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3C76E">
      <w:pPr>
        <w:jc w:val="center"/>
        <w:rPr>
          <w:rFonts w:asciiTheme="minorEastAsia" w:hAnsiTheme="minorEastAsia" w:cstheme="minorEastAsia"/>
          <w:b/>
          <w:bCs/>
          <w:sz w:val="24"/>
        </w:rPr>
      </w:pPr>
    </w:p>
    <w:p w14:paraId="032FC704">
      <w:pPr>
        <w:jc w:val="center"/>
        <w:rPr>
          <w:rFonts w:hint="eastAsia" w:asciiTheme="minorEastAsia" w:hAnsiTheme="minorEastAsia" w:cstheme="minorEastAsia"/>
          <w:b/>
          <w:bCs/>
          <w:sz w:val="40"/>
          <w:szCs w:val="40"/>
        </w:rPr>
      </w:pPr>
      <w:r>
        <w:rPr>
          <w:rFonts w:hint="eastAsia" w:asciiTheme="minorEastAsia" w:hAnsiTheme="minorEastAsia" w:cstheme="minorEastAsia"/>
          <w:b/>
          <w:bCs/>
          <w:sz w:val="40"/>
          <w:szCs w:val="40"/>
        </w:rPr>
        <w:t>福田区第二人民医院医疗器械</w:t>
      </w:r>
      <w:r>
        <w:rPr>
          <w:rFonts w:hint="eastAsia" w:asciiTheme="minorEastAsia" w:hAnsiTheme="minorEastAsia" w:cstheme="minorEastAsia"/>
          <w:b/>
          <w:bCs/>
          <w:sz w:val="40"/>
          <w:szCs w:val="40"/>
          <w:lang w:val="en-US" w:eastAsia="zh-CN"/>
        </w:rPr>
        <w:t>征集</w:t>
      </w:r>
      <w:r>
        <w:rPr>
          <w:rFonts w:hint="eastAsia" w:asciiTheme="minorEastAsia" w:hAnsiTheme="minorEastAsia" w:cstheme="minorEastAsia"/>
          <w:b/>
          <w:bCs/>
          <w:sz w:val="40"/>
          <w:szCs w:val="40"/>
        </w:rPr>
        <w:t>文件</w:t>
      </w:r>
    </w:p>
    <w:p w14:paraId="40CD8E0A">
      <w:pPr>
        <w:jc w:val="center"/>
        <w:rPr>
          <w:rFonts w:hint="eastAsia" w:asciiTheme="minorEastAsia" w:hAnsiTheme="minorEastAsia" w:cstheme="minorEastAsia"/>
          <w:b/>
          <w:bCs/>
          <w:sz w:val="32"/>
          <w:szCs w:val="32"/>
        </w:rPr>
      </w:pPr>
    </w:p>
    <w:p w14:paraId="7CB31B7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rPr>
        <w:t>1、深圳市福田区第二人民医院对本单位部分</w:t>
      </w:r>
      <w:r>
        <w:rPr>
          <w:rFonts w:hint="eastAsia" w:asciiTheme="minorEastAsia" w:hAnsiTheme="minorEastAsia" w:cstheme="minorEastAsia"/>
          <w:sz w:val="28"/>
          <w:szCs w:val="28"/>
          <w:lang w:val="en-US" w:eastAsia="zh-CN"/>
        </w:rPr>
        <w:t>医疗器械</w:t>
      </w:r>
      <w:r>
        <w:rPr>
          <w:rFonts w:hint="eastAsia" w:asciiTheme="minorEastAsia" w:hAnsiTheme="minorEastAsia" w:cstheme="minorEastAsia"/>
          <w:sz w:val="28"/>
          <w:szCs w:val="28"/>
        </w:rPr>
        <w:t xml:space="preserve">进行公开征集。欢迎各经营企业或生产企业参加投标。 </w:t>
      </w:r>
    </w:p>
    <w:p w14:paraId="46BEE8EA">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eastAsia" w:asciiTheme="minorEastAsia" w:hAnsiTheme="minorEastAsia" w:cstheme="minorEastAsia"/>
          <w:sz w:val="28"/>
          <w:szCs w:val="28"/>
        </w:rPr>
      </w:pPr>
      <w:r>
        <w:rPr>
          <w:rFonts w:hint="eastAsia" w:asciiTheme="minorEastAsia" w:hAnsiTheme="minorEastAsia" w:cstheme="minorEastAsia"/>
          <w:sz w:val="28"/>
          <w:szCs w:val="28"/>
        </w:rPr>
        <w:t>2、供应商可根据自身的经营情况，选择投一个或多个采购条目，但不允许将一个采购条目流水号的内容拆散。</w:t>
      </w:r>
      <w:r>
        <w:rPr>
          <w:rFonts w:hint="eastAsia" w:asciiTheme="minorEastAsia" w:hAnsiTheme="minorEastAsia" w:cstheme="minorEastAsia"/>
          <w:b/>
          <w:bCs/>
          <w:sz w:val="28"/>
          <w:szCs w:val="28"/>
        </w:rPr>
        <w:t>请准备投标文件</w:t>
      </w:r>
      <w:r>
        <w:rPr>
          <w:rFonts w:hint="eastAsia" w:asciiTheme="minorEastAsia" w:hAnsiTheme="minorEastAsia" w:cstheme="minorEastAsia"/>
          <w:b/>
          <w:bCs/>
          <w:sz w:val="28"/>
          <w:szCs w:val="28"/>
          <w:lang w:val="en-US" w:eastAsia="zh-CN"/>
        </w:rPr>
        <w:t>四</w:t>
      </w:r>
      <w:r>
        <w:rPr>
          <w:rFonts w:hint="eastAsia" w:asciiTheme="minorEastAsia" w:hAnsiTheme="minorEastAsia" w:cstheme="minorEastAsia"/>
          <w:b/>
          <w:bCs/>
          <w:sz w:val="28"/>
          <w:szCs w:val="28"/>
        </w:rPr>
        <w:t>份</w:t>
      </w:r>
      <w:r>
        <w:rPr>
          <w:rFonts w:hint="eastAsia" w:asciiTheme="minorEastAsia" w:hAnsiTheme="minorEastAsia" w:cstheme="minorEastAsia"/>
          <w:sz w:val="28"/>
          <w:szCs w:val="28"/>
        </w:rPr>
        <w:t>（</w:t>
      </w:r>
      <w:r>
        <w:rPr>
          <w:rFonts w:hint="eastAsia" w:asciiTheme="minorEastAsia" w:hAnsiTheme="minorEastAsia" w:cstheme="minorEastAsia"/>
          <w:color w:val="FF0000"/>
          <w:sz w:val="28"/>
          <w:szCs w:val="28"/>
        </w:rPr>
        <w:t>一份正本</w:t>
      </w:r>
      <w:r>
        <w:rPr>
          <w:rFonts w:hint="eastAsia" w:asciiTheme="minorEastAsia" w:hAnsiTheme="minorEastAsia" w:cstheme="minorEastAsia"/>
          <w:color w:val="FF0000"/>
          <w:sz w:val="28"/>
          <w:szCs w:val="28"/>
          <w:lang w:val="en-US" w:eastAsia="zh-CN"/>
        </w:rPr>
        <w:t>三</w:t>
      </w:r>
      <w:r>
        <w:rPr>
          <w:rFonts w:hint="eastAsia" w:asciiTheme="minorEastAsia" w:hAnsiTheme="minorEastAsia" w:cstheme="minorEastAsia"/>
          <w:color w:val="FF0000"/>
          <w:sz w:val="28"/>
          <w:szCs w:val="28"/>
        </w:rPr>
        <w:t>份副本</w:t>
      </w:r>
      <w:r>
        <w:rPr>
          <w:rFonts w:hint="eastAsia"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开标一览表需单独密封，电子文件拷贝到U盘存放于开标一览表密封袋内。</w:t>
      </w:r>
      <w:r>
        <w:rPr>
          <w:rFonts w:hint="eastAsia" w:asciiTheme="minorEastAsia" w:hAnsiTheme="minorEastAsia" w:cstheme="minorEastAsia"/>
          <w:sz w:val="28"/>
          <w:szCs w:val="28"/>
        </w:rPr>
        <w:t>电子文件内容应与纸质投标文件正本内容一致，如有差异以纸质投标文件正本为准，正副本如有差异以正本为准；开标时唱标用的开标一览表内容应与投标文件中的开标一览表内容一致，如有差异以唱标用的开标一览表内容为准。表格应按</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文件要求签署并加盖公章</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w:t>
      </w:r>
    </w:p>
    <w:p w14:paraId="4B9050B9">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企业参加投标，即表示接受本次</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的各项要求。</w:t>
      </w:r>
    </w:p>
    <w:p w14:paraId="3CB0ADC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活动的最终解释权属于深圳市福田区第二人民医院。</w:t>
      </w:r>
    </w:p>
    <w:p w14:paraId="3AA58BAC">
      <w:pPr>
        <w:jc w:val="both"/>
        <w:rPr>
          <w:rFonts w:hint="eastAsia" w:ascii="宋体" w:hAnsi="宋体" w:eastAsia="宋体" w:cs="宋体"/>
          <w:b/>
          <w:bCs/>
          <w:color w:val="FF0000"/>
          <w:kern w:val="44"/>
          <w:sz w:val="44"/>
          <w:szCs w:val="44"/>
          <w:highlight w:val="none"/>
          <w:lang w:eastAsia="zh-CN"/>
        </w:rPr>
      </w:pPr>
    </w:p>
    <w:p w14:paraId="289EEDBB">
      <w:pPr>
        <w:jc w:val="both"/>
        <w:rPr>
          <w:rFonts w:hint="eastAsia" w:ascii="宋体" w:hAnsi="宋体" w:eastAsia="宋体" w:cs="宋体"/>
          <w:b/>
          <w:bCs/>
          <w:color w:val="FF0000"/>
          <w:kern w:val="44"/>
          <w:sz w:val="44"/>
          <w:szCs w:val="44"/>
          <w:highlight w:val="none"/>
          <w:lang w:eastAsia="zh-CN"/>
        </w:rPr>
      </w:pPr>
    </w:p>
    <w:p w14:paraId="63C995F2">
      <w:pPr>
        <w:jc w:val="both"/>
        <w:rPr>
          <w:rFonts w:hint="eastAsia" w:ascii="宋体" w:hAnsi="宋体" w:eastAsia="宋体" w:cs="宋体"/>
          <w:b/>
          <w:bCs/>
          <w:color w:val="FF0000"/>
          <w:kern w:val="44"/>
          <w:sz w:val="44"/>
          <w:szCs w:val="44"/>
          <w:highlight w:val="none"/>
          <w:lang w:eastAsia="zh-CN"/>
        </w:rPr>
      </w:pPr>
    </w:p>
    <w:p w14:paraId="44269B29">
      <w:pPr>
        <w:jc w:val="both"/>
        <w:rPr>
          <w:rFonts w:hint="eastAsia" w:ascii="宋体" w:hAnsi="宋体" w:eastAsia="宋体" w:cs="宋体"/>
          <w:b/>
          <w:bCs/>
          <w:color w:val="FF0000"/>
          <w:kern w:val="44"/>
          <w:sz w:val="44"/>
          <w:szCs w:val="44"/>
          <w:highlight w:val="none"/>
          <w:lang w:eastAsia="zh-CN"/>
        </w:rPr>
      </w:pPr>
    </w:p>
    <w:p w14:paraId="4D69B061">
      <w:pPr>
        <w:jc w:val="both"/>
        <w:rPr>
          <w:rFonts w:hint="eastAsia" w:ascii="宋体" w:hAnsi="宋体" w:eastAsia="宋体" w:cs="宋体"/>
          <w:b/>
          <w:bCs/>
          <w:color w:val="FF0000"/>
          <w:kern w:val="44"/>
          <w:sz w:val="44"/>
          <w:szCs w:val="44"/>
          <w:highlight w:val="none"/>
          <w:lang w:eastAsia="zh-CN"/>
        </w:rPr>
      </w:pPr>
    </w:p>
    <w:p w14:paraId="78224E58">
      <w:pPr>
        <w:jc w:val="both"/>
        <w:rPr>
          <w:rFonts w:hint="eastAsia" w:ascii="宋体" w:hAnsi="宋体" w:eastAsia="宋体" w:cs="宋体"/>
          <w:b/>
          <w:bCs/>
          <w:color w:val="FF0000"/>
          <w:kern w:val="44"/>
          <w:sz w:val="44"/>
          <w:szCs w:val="44"/>
          <w:highlight w:val="none"/>
          <w:lang w:eastAsia="zh-CN"/>
        </w:rPr>
      </w:pPr>
    </w:p>
    <w:p w14:paraId="348F3D32">
      <w:pPr>
        <w:jc w:val="both"/>
        <w:rPr>
          <w:rFonts w:hint="eastAsia" w:ascii="宋体" w:hAnsi="宋体" w:eastAsia="宋体" w:cs="宋体"/>
          <w:b/>
          <w:bCs/>
          <w:color w:val="FF0000"/>
          <w:kern w:val="44"/>
          <w:sz w:val="44"/>
          <w:szCs w:val="44"/>
          <w:highlight w:val="none"/>
          <w:lang w:eastAsia="zh-CN"/>
        </w:rPr>
      </w:pPr>
    </w:p>
    <w:p w14:paraId="47F9CE09">
      <w:pPr>
        <w:jc w:val="both"/>
        <w:rPr>
          <w:rFonts w:hint="eastAsia" w:ascii="宋体" w:hAnsi="宋体" w:eastAsia="宋体" w:cs="宋体"/>
          <w:b/>
          <w:bCs/>
          <w:color w:val="FF0000"/>
          <w:kern w:val="44"/>
          <w:sz w:val="44"/>
          <w:szCs w:val="44"/>
          <w:highlight w:val="none"/>
          <w:lang w:eastAsia="zh-CN"/>
        </w:rPr>
      </w:pPr>
    </w:p>
    <w:p w14:paraId="273ED2AD">
      <w:pPr>
        <w:jc w:val="both"/>
        <w:rPr>
          <w:rFonts w:hint="eastAsia" w:ascii="宋体" w:hAnsi="宋体" w:eastAsia="宋体" w:cs="宋体"/>
          <w:b/>
          <w:bCs/>
          <w:color w:val="FF0000"/>
          <w:kern w:val="44"/>
          <w:sz w:val="44"/>
          <w:szCs w:val="44"/>
          <w:highlight w:val="none"/>
          <w:lang w:eastAsia="zh-CN"/>
        </w:rPr>
      </w:pPr>
    </w:p>
    <w:p w14:paraId="4E47FF13">
      <w:pPr>
        <w:jc w:val="center"/>
        <w:outlineLvl w:val="9"/>
        <w:rPr>
          <w:rFonts w:hint="eastAsia" w:ascii="宋体" w:hAnsi="宋体" w:eastAsia="宋体" w:cs="宋体"/>
          <w:b/>
          <w:bCs/>
          <w:color w:val="FF0000"/>
          <w:sz w:val="28"/>
          <w:szCs w:val="28"/>
          <w:highlight w:val="none"/>
          <w:lang w:val="en-US" w:eastAsia="zh-CN"/>
        </w:rPr>
      </w:pPr>
      <w:bookmarkStart w:id="0" w:name="_Toc3689"/>
      <w:bookmarkStart w:id="1" w:name="_Toc29098"/>
      <w:r>
        <w:rPr>
          <w:rFonts w:hint="eastAsia" w:ascii="宋体" w:hAnsi="宋体" w:eastAsia="宋体" w:cs="宋体"/>
          <w:b/>
          <w:bCs/>
          <w:color w:val="FF0000"/>
          <w:kern w:val="44"/>
          <w:sz w:val="44"/>
          <w:szCs w:val="44"/>
          <w:highlight w:val="none"/>
          <w:lang w:eastAsia="zh-CN"/>
        </w:rPr>
        <w:t>特别</w:t>
      </w:r>
      <w:r>
        <w:rPr>
          <w:rFonts w:hint="eastAsia" w:ascii="宋体" w:hAnsi="宋体" w:eastAsia="宋体" w:cs="宋体"/>
          <w:b/>
          <w:bCs/>
          <w:color w:val="FF0000"/>
          <w:kern w:val="44"/>
          <w:sz w:val="44"/>
          <w:szCs w:val="44"/>
          <w:highlight w:val="none"/>
        </w:rPr>
        <w:t>警示条款</w:t>
      </w:r>
      <w:bookmarkEnd w:id="0"/>
      <w:bookmarkEnd w:id="1"/>
    </w:p>
    <w:p w14:paraId="6BD7F2C5">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参与本项目采购活动的供应商应认真阅读以下特别警示条款，不得存在以下所列禁止情形，一旦发现，将被处以记入供应商诚信档案、取消参与项目采购资格等处罚；构成犯罪的，依法追究刑事责任。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711"/>
      </w:tblGrid>
      <w:tr w14:paraId="11D0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55" w:type="dxa"/>
            <w:noWrap w:val="0"/>
            <w:vAlign w:val="center"/>
          </w:tcPr>
          <w:p w14:paraId="6D572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序号</w:t>
            </w:r>
          </w:p>
        </w:tc>
        <w:tc>
          <w:tcPr>
            <w:tcW w:w="7711" w:type="dxa"/>
            <w:noWrap w:val="0"/>
            <w:vAlign w:val="center"/>
          </w:tcPr>
          <w:p w14:paraId="1E90D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供应商参与投标禁止情形</w:t>
            </w:r>
          </w:p>
        </w:tc>
      </w:tr>
      <w:tr w14:paraId="4DA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49C24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1</w:t>
            </w:r>
          </w:p>
        </w:tc>
        <w:tc>
          <w:tcPr>
            <w:tcW w:w="7711" w:type="dxa"/>
            <w:noWrap w:val="0"/>
            <w:vAlign w:val="center"/>
          </w:tcPr>
          <w:p w14:paraId="0025E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8"/>
                <w:szCs w:val="28"/>
                <w:highlight w:val="none"/>
                <w:lang w:val="en-US" w:eastAsia="zh-CN"/>
              </w:rPr>
              <w:t>同一人、属同一单位或者在同一单位缴纳社会保险</w:t>
            </w:r>
            <w:r>
              <w:rPr>
                <w:rFonts w:hint="eastAsia" w:ascii="宋体" w:hAnsi="宋体" w:eastAsia="宋体" w:cs="宋体"/>
                <w:color w:val="FF0000"/>
                <w:sz w:val="28"/>
                <w:szCs w:val="28"/>
                <w:highlight w:val="none"/>
                <w:lang w:val="en-US" w:eastAsia="zh-CN"/>
              </w:rPr>
              <w:t>。</w:t>
            </w:r>
          </w:p>
        </w:tc>
      </w:tr>
      <w:tr w14:paraId="03DE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noWrap w:val="0"/>
            <w:vAlign w:val="center"/>
          </w:tcPr>
          <w:p w14:paraId="621A6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2</w:t>
            </w:r>
          </w:p>
        </w:tc>
        <w:tc>
          <w:tcPr>
            <w:tcW w:w="7711" w:type="dxa"/>
            <w:noWrap w:val="0"/>
            <w:vAlign w:val="center"/>
          </w:tcPr>
          <w:p w14:paraId="1B184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参与本项目采购活动时，与其他投标供应商存在单位负责人为</w:t>
            </w:r>
            <w:r>
              <w:rPr>
                <w:rFonts w:hint="eastAsia" w:ascii="宋体" w:hAnsi="宋体" w:eastAsia="宋体" w:cs="宋体"/>
                <w:b/>
                <w:bCs/>
                <w:color w:val="FF0000"/>
                <w:sz w:val="28"/>
                <w:szCs w:val="28"/>
                <w:highlight w:val="none"/>
                <w:lang w:val="en-US" w:eastAsia="zh-CN"/>
              </w:rPr>
              <w:t>同一人或直接控股、管理关系</w:t>
            </w:r>
            <w:r>
              <w:rPr>
                <w:rFonts w:hint="eastAsia" w:ascii="宋体" w:hAnsi="宋体" w:eastAsia="宋体" w:cs="宋体"/>
                <w:color w:val="FF0000"/>
                <w:sz w:val="28"/>
                <w:szCs w:val="28"/>
                <w:highlight w:val="none"/>
                <w:lang w:val="en-US" w:eastAsia="zh-CN"/>
              </w:rPr>
              <w:t>。</w:t>
            </w:r>
          </w:p>
        </w:tc>
      </w:tr>
      <w:tr w14:paraId="16F6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53F4B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3</w:t>
            </w:r>
          </w:p>
        </w:tc>
        <w:tc>
          <w:tcPr>
            <w:tcW w:w="7711" w:type="dxa"/>
            <w:noWrap w:val="0"/>
            <w:vAlign w:val="center"/>
          </w:tcPr>
          <w:p w14:paraId="75A13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与其他投标供应商的投标文件或部分投标文件</w:t>
            </w:r>
            <w:r>
              <w:rPr>
                <w:rFonts w:hint="eastAsia" w:ascii="宋体" w:hAnsi="宋体" w:eastAsia="宋体" w:cs="宋体"/>
                <w:b/>
                <w:bCs/>
                <w:color w:val="FF0000"/>
                <w:sz w:val="28"/>
                <w:szCs w:val="28"/>
                <w:highlight w:val="none"/>
                <w:lang w:val="en-US" w:eastAsia="zh-CN"/>
              </w:rPr>
              <w:t>相互混装或存在非正常一致</w:t>
            </w:r>
            <w:r>
              <w:rPr>
                <w:rFonts w:hint="eastAsia" w:ascii="宋体" w:hAnsi="宋体" w:eastAsia="宋体" w:cs="宋体"/>
                <w:color w:val="FF0000"/>
                <w:sz w:val="28"/>
                <w:szCs w:val="28"/>
                <w:highlight w:val="none"/>
                <w:lang w:val="en-US" w:eastAsia="zh-CN"/>
              </w:rPr>
              <w:t>。</w:t>
            </w:r>
          </w:p>
        </w:tc>
      </w:tr>
      <w:tr w14:paraId="1E5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55" w:type="dxa"/>
            <w:noWrap w:val="0"/>
            <w:vAlign w:val="center"/>
          </w:tcPr>
          <w:p w14:paraId="2A39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4</w:t>
            </w:r>
          </w:p>
        </w:tc>
        <w:tc>
          <w:tcPr>
            <w:tcW w:w="7711" w:type="dxa"/>
            <w:noWrap w:val="0"/>
            <w:vAlign w:val="center"/>
          </w:tcPr>
          <w:p w14:paraId="581C5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与其他投标供应商的投标文件由</w:t>
            </w:r>
            <w:r>
              <w:rPr>
                <w:rFonts w:hint="eastAsia" w:ascii="宋体" w:hAnsi="宋体" w:eastAsia="宋体" w:cs="宋体"/>
                <w:b/>
                <w:bCs/>
                <w:color w:val="FF0000"/>
                <w:sz w:val="28"/>
                <w:szCs w:val="28"/>
                <w:highlight w:val="none"/>
                <w:lang w:val="en-US" w:eastAsia="zh-CN"/>
              </w:rPr>
              <w:t>同一单位或者同一人编制</w:t>
            </w:r>
            <w:r>
              <w:rPr>
                <w:rFonts w:hint="eastAsia" w:ascii="宋体" w:hAnsi="宋体" w:eastAsia="宋体" w:cs="宋体"/>
                <w:color w:val="FF0000"/>
                <w:sz w:val="28"/>
                <w:szCs w:val="28"/>
                <w:highlight w:val="none"/>
                <w:lang w:val="en-US" w:eastAsia="zh-CN"/>
              </w:rPr>
              <w:t>，或者使用</w:t>
            </w:r>
            <w:r>
              <w:rPr>
                <w:rFonts w:hint="eastAsia" w:ascii="宋体" w:hAnsi="宋体" w:eastAsia="宋体" w:cs="宋体"/>
                <w:b/>
                <w:bCs/>
                <w:color w:val="FF0000"/>
                <w:sz w:val="28"/>
                <w:szCs w:val="28"/>
                <w:highlight w:val="none"/>
                <w:lang w:val="en-US" w:eastAsia="zh-CN"/>
              </w:rPr>
              <w:t>同一设备编制</w:t>
            </w:r>
            <w:r>
              <w:rPr>
                <w:rFonts w:hint="eastAsia" w:ascii="宋体" w:hAnsi="宋体" w:eastAsia="宋体" w:cs="宋体"/>
                <w:color w:val="FF0000"/>
                <w:sz w:val="28"/>
                <w:szCs w:val="28"/>
                <w:highlight w:val="none"/>
                <w:lang w:val="en-US" w:eastAsia="zh-CN"/>
              </w:rPr>
              <w:t>（“文件制作机器码”“文件创建标识码”一致）。</w:t>
            </w:r>
          </w:p>
        </w:tc>
      </w:tr>
      <w:tr w14:paraId="13D8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55" w:type="dxa"/>
            <w:noWrap w:val="0"/>
            <w:vAlign w:val="center"/>
          </w:tcPr>
          <w:p w14:paraId="26C15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5</w:t>
            </w:r>
          </w:p>
        </w:tc>
        <w:tc>
          <w:tcPr>
            <w:tcW w:w="7711" w:type="dxa"/>
            <w:noWrap w:val="0"/>
            <w:vAlign w:val="center"/>
          </w:tcPr>
          <w:p w14:paraId="403AF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提供</w:t>
            </w:r>
            <w:r>
              <w:rPr>
                <w:rFonts w:hint="eastAsia" w:ascii="宋体" w:hAnsi="宋体" w:eastAsia="宋体" w:cs="宋体"/>
                <w:b/>
                <w:bCs/>
                <w:color w:val="FF0000"/>
                <w:sz w:val="28"/>
                <w:szCs w:val="28"/>
                <w:highlight w:val="none"/>
                <w:lang w:val="en-US" w:eastAsia="zh-CN"/>
              </w:rPr>
              <w:t>未经出具机构核实</w:t>
            </w:r>
            <w:r>
              <w:rPr>
                <w:rFonts w:hint="eastAsia" w:ascii="宋体" w:hAnsi="宋体" w:eastAsia="宋体" w:cs="宋体"/>
                <w:color w:val="FF0000"/>
                <w:sz w:val="28"/>
                <w:szCs w:val="28"/>
                <w:highlight w:val="none"/>
                <w:lang w:val="en-US" w:eastAsia="zh-CN"/>
              </w:rPr>
              <w:t>的虚假的检验检测报告、业绩材料、社保缴纳证明、学历学位证书、职称认证证书等材料。</w:t>
            </w:r>
          </w:p>
        </w:tc>
      </w:tr>
      <w:tr w14:paraId="585D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55" w:type="dxa"/>
            <w:noWrap w:val="0"/>
            <w:vAlign w:val="center"/>
          </w:tcPr>
          <w:p w14:paraId="52078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6</w:t>
            </w:r>
          </w:p>
        </w:tc>
        <w:tc>
          <w:tcPr>
            <w:tcW w:w="7711" w:type="dxa"/>
            <w:noWrap w:val="0"/>
            <w:vAlign w:val="center"/>
          </w:tcPr>
          <w:p w14:paraId="4B0D6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擅自将投标密钥</w:t>
            </w:r>
            <w:r>
              <w:rPr>
                <w:rFonts w:hint="eastAsia" w:ascii="宋体" w:hAnsi="宋体" w:eastAsia="宋体" w:cs="宋体"/>
                <w:color w:val="FF0000"/>
                <w:sz w:val="28"/>
                <w:szCs w:val="28"/>
                <w:highlight w:val="none"/>
                <w:lang w:eastAsia="zh-CN"/>
              </w:rPr>
              <w:t>或</w:t>
            </w:r>
            <w:r>
              <w:rPr>
                <w:rFonts w:hint="eastAsia" w:ascii="宋体" w:hAnsi="宋体" w:eastAsia="宋体" w:cs="宋体"/>
                <w:color w:val="FF0000"/>
                <w:sz w:val="28"/>
                <w:szCs w:val="28"/>
                <w:highlight w:val="none"/>
                <w:lang w:val="en-US" w:eastAsia="zh-CN"/>
              </w:rPr>
              <w:t>电子营业执照出借他人使用或未妥善保管。</w:t>
            </w:r>
          </w:p>
        </w:tc>
      </w:tr>
    </w:tbl>
    <w:p w14:paraId="179585CB">
      <w:pPr>
        <w:rPr>
          <w:rFonts w:asciiTheme="minorEastAsia" w:hAnsiTheme="minorEastAsia" w:cstheme="minorEastAsia"/>
          <w:szCs w:val="21"/>
        </w:rPr>
      </w:pPr>
    </w:p>
    <w:p w14:paraId="10E164FD">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538F311D">
      <w:pPr>
        <w:rPr>
          <w:rFonts w:hint="eastAsia" w:asciiTheme="minorEastAsia" w:hAnsiTheme="minorEastAsia" w:cstheme="minorEastAsia"/>
          <w:szCs w:val="21"/>
        </w:rPr>
      </w:pPr>
    </w:p>
    <w:p w14:paraId="1D12076D">
      <w:pPr>
        <w:rPr>
          <w:rFonts w:hint="eastAsia" w:asciiTheme="minorEastAsia" w:hAnsiTheme="minorEastAsia" w:cstheme="minorEastAsia"/>
          <w:szCs w:val="21"/>
        </w:rPr>
      </w:pPr>
    </w:p>
    <w:p w14:paraId="0592315D">
      <w:pPr>
        <w:rPr>
          <w:rFonts w:hint="eastAsia" w:asciiTheme="minorEastAsia" w:hAnsiTheme="minorEastAsia" w:cstheme="minorEastAsia"/>
          <w:szCs w:val="21"/>
        </w:rPr>
      </w:pPr>
    </w:p>
    <w:p w14:paraId="2277D1FB">
      <w:pPr>
        <w:rPr>
          <w:rFonts w:hint="eastAsia" w:asciiTheme="minorEastAsia" w:hAnsiTheme="minorEastAsia" w:cstheme="minorEastAsia"/>
          <w:szCs w:val="21"/>
        </w:rPr>
      </w:pPr>
    </w:p>
    <w:p w14:paraId="5A35ED88">
      <w:pPr>
        <w:rPr>
          <w:rFonts w:hint="eastAsia" w:asciiTheme="minorEastAsia" w:hAnsiTheme="minorEastAsia" w:cstheme="minorEastAsia"/>
          <w:szCs w:val="21"/>
        </w:rPr>
      </w:pPr>
    </w:p>
    <w:p w14:paraId="2FF3BF78">
      <w:pPr>
        <w:rPr>
          <w:rFonts w:hint="eastAsia" w:asciiTheme="minorEastAsia" w:hAnsiTheme="minorEastAsia" w:cstheme="minorEastAsia"/>
          <w:szCs w:val="21"/>
        </w:rPr>
      </w:pPr>
    </w:p>
    <w:p w14:paraId="135AA796">
      <w:pPr>
        <w:rPr>
          <w:rFonts w:hint="eastAsia" w:asciiTheme="minorEastAsia" w:hAnsiTheme="minorEastAsia" w:cstheme="minorEastAsia"/>
          <w:szCs w:val="21"/>
        </w:rPr>
      </w:pPr>
    </w:p>
    <w:p w14:paraId="189AF714">
      <w:pPr>
        <w:rPr>
          <w:rFonts w:hint="eastAsia" w:asciiTheme="minorEastAsia" w:hAnsiTheme="minorEastAsia" w:cstheme="minorEastAsia"/>
          <w:szCs w:val="21"/>
        </w:rPr>
      </w:pPr>
    </w:p>
    <w:p w14:paraId="458ADCBE">
      <w:pPr>
        <w:rPr>
          <w:rFonts w:hint="eastAsia" w:asciiTheme="minorEastAsia" w:hAnsiTheme="minorEastAsia" w:cstheme="minorEastAsia"/>
          <w:szCs w:val="21"/>
        </w:rPr>
      </w:pPr>
    </w:p>
    <w:p w14:paraId="42E54434">
      <w:pPr>
        <w:rPr>
          <w:rFonts w:hint="eastAsia" w:asciiTheme="minorEastAsia" w:hAnsiTheme="minorEastAsia" w:cstheme="minorEastAsia"/>
          <w:szCs w:val="21"/>
        </w:rPr>
      </w:pPr>
    </w:p>
    <w:p w14:paraId="01F3185B">
      <w:pPr>
        <w:rPr>
          <w:rFonts w:hint="eastAsia" w:asciiTheme="minorEastAsia" w:hAnsiTheme="minorEastAsia" w:cstheme="minorEastAsia"/>
          <w:szCs w:val="21"/>
        </w:rPr>
      </w:pPr>
    </w:p>
    <w:p w14:paraId="3AECDAA7">
      <w:pPr>
        <w:rPr>
          <w:rFonts w:hint="eastAsia" w:asciiTheme="minorEastAsia" w:hAnsiTheme="minorEastAsia" w:cstheme="minorEastAsia"/>
          <w:szCs w:val="21"/>
        </w:rPr>
      </w:pPr>
    </w:p>
    <w:p w14:paraId="47ED932C">
      <w:pPr>
        <w:jc w:val="both"/>
        <w:outlineLvl w:val="9"/>
        <w:rPr>
          <w:rFonts w:hint="eastAsia" w:ascii="宋体" w:hAnsi="宋体" w:eastAsia="宋体" w:cs="宋体"/>
          <w:b/>
          <w:bCs/>
          <w:color w:val="FF0000"/>
          <w:sz w:val="36"/>
          <w:szCs w:val="36"/>
          <w:highlight w:val="none"/>
          <w:lang w:val="en-US" w:eastAsia="zh-CN"/>
        </w:rPr>
      </w:pPr>
    </w:p>
    <w:p w14:paraId="34E45245">
      <w:pPr>
        <w:jc w:val="both"/>
        <w:outlineLvl w:val="9"/>
        <w:rPr>
          <w:rFonts w:hint="eastAsia" w:ascii="宋体" w:hAnsi="宋体" w:eastAsia="宋体" w:cs="宋体"/>
          <w:b/>
          <w:bCs/>
          <w:color w:val="FF0000"/>
          <w:sz w:val="36"/>
          <w:szCs w:val="36"/>
          <w:highlight w:val="none"/>
          <w:lang w:val="en-US" w:eastAsia="zh-CN"/>
        </w:rPr>
      </w:pPr>
    </w:p>
    <w:p w14:paraId="448581D6">
      <w:pPr>
        <w:ind w:firstLine="723" w:firstLineChars="200"/>
        <w:jc w:val="center"/>
        <w:outlineLvl w:val="9"/>
        <w:rPr>
          <w:rFonts w:hint="eastAsia" w:ascii="宋体" w:hAnsi="宋体" w:eastAsia="宋体" w:cs="宋体"/>
          <w:b/>
          <w:bCs/>
          <w:color w:val="FF0000"/>
          <w:sz w:val="36"/>
          <w:szCs w:val="36"/>
          <w:highlight w:val="none"/>
          <w:lang w:val="en-US" w:eastAsia="zh-CN"/>
        </w:rPr>
      </w:pPr>
      <w:r>
        <w:rPr>
          <w:rFonts w:hint="eastAsia" w:ascii="宋体" w:hAnsi="宋体" w:eastAsia="宋体" w:cs="宋体"/>
          <w:b/>
          <w:bCs/>
          <w:color w:val="FF0000"/>
          <w:sz w:val="36"/>
          <w:szCs w:val="36"/>
          <w:highlight w:val="none"/>
          <w:lang w:val="en-US" w:eastAsia="zh-CN"/>
        </w:rPr>
        <w:t>警示条款</w:t>
      </w:r>
    </w:p>
    <w:p w14:paraId="474C1D0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316AF0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（一）在采购活动中应当回避而未回避的；</w:t>
      </w:r>
    </w:p>
    <w:p w14:paraId="37EEE27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（二）未按本条例规定签订、履行采购合同，造成严重后果的；</w:t>
      </w:r>
    </w:p>
    <w:p w14:paraId="4808C23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（三）隐瞒真实情况，提供虚假资料的；</w:t>
      </w:r>
    </w:p>
    <w:p w14:paraId="5345B83E">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（四）以非法手段排斥其他供应商参与竞争的；</w:t>
      </w:r>
    </w:p>
    <w:p w14:paraId="3340A43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（五）与其他采购参加人串通投标的；</w:t>
      </w:r>
    </w:p>
    <w:p w14:paraId="0136FED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（六）恶意投诉的；</w:t>
      </w:r>
    </w:p>
    <w:p w14:paraId="59253F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（七）向采购项目相关人行贿或者提供其他不当利益的；</w:t>
      </w:r>
    </w:p>
    <w:p w14:paraId="1F389C1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（八）阻碍、抗拒主管部门监督检查的；</w:t>
      </w:r>
    </w:p>
    <w:p w14:paraId="02FF8D1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（九）其他违反本条例规定的行为。</w:t>
      </w:r>
    </w:p>
    <w:p w14:paraId="51EEDF7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二、《深圳经济特区政府采购条例实施细则》第七十五条 供应商有下列情形的，属于采购条例所称的串通投标行为，按照采购条例第五十七条有关规定处理：</w:t>
      </w:r>
    </w:p>
    <w:p w14:paraId="2ADCC08D">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（一）投标供应商之间相互约定给予未中标的供应商利益补偿；</w:t>
      </w:r>
    </w:p>
    <w:p w14:paraId="55ED522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（二）不同投标供应商的法定代表人、主要经营负责人、项目投标授权代表人、项目负责人、主要技术人员为同一人、属同一单位或者在同一单位缴纳社会保险；</w:t>
      </w:r>
    </w:p>
    <w:p w14:paraId="78F14F4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（三）不同投标供应商的投标文件由同一单位或者同一人编制，或者由同一人分阶段参与编制的；</w:t>
      </w:r>
    </w:p>
    <w:p w14:paraId="16658C6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（四）不同投标供应商的投标文件或部分投标文件相互混装；</w:t>
      </w:r>
    </w:p>
    <w:p w14:paraId="5196299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（五）不同投标供应商的投标文件内容存在非正常一致；</w:t>
      </w:r>
    </w:p>
    <w:p w14:paraId="434F021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（六）由同一单位工作人员为两家以上（含两家）供应商进行同一项投标活动的；</w:t>
      </w:r>
    </w:p>
    <w:p w14:paraId="4A398E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（七）主管部门依照法律、法规认定的其他情形。</w:t>
      </w:r>
    </w:p>
    <w:p w14:paraId="79CD4B5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三、《深圳经济特区政府采购条例实施细则》第七十七条 供应商有下列情形之一的，属于隐瞒真实情况，提供虚假资料，按照采购条例第五十七的有关规定处理：</w:t>
      </w:r>
    </w:p>
    <w:p w14:paraId="741CCB3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（一）通过转让或者租借等方式从其他单位获取资格或者资质证书投标的；</w:t>
      </w:r>
    </w:p>
    <w:p w14:paraId="596ABDAF">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（二）由其他单位或者其他单位负责人在投标供应商编制的投标文件上加盖印章或者签字的；</w:t>
      </w:r>
    </w:p>
    <w:p w14:paraId="34B9408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（三）项目负责人或者主要技术人员不是本单位人员的；</w:t>
      </w:r>
    </w:p>
    <w:p w14:paraId="17A6347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（四）投标保证金不是从投标供应商基本账户转出的；</w:t>
      </w:r>
    </w:p>
    <w:p w14:paraId="52EF686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（五）其他隐瞒真实情况、提供虚假资料的行为。</w:t>
      </w:r>
    </w:p>
    <w:p w14:paraId="06D6419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投标供应商不能提供项目负责人或者主要技术人员的劳动合同、社会保险等劳动关系证明材料的，视为存在前款第（三）项规定的情形。</w:t>
      </w:r>
    </w:p>
    <w:p w14:paraId="53B57CC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四、请投标供应商阅读《政府采购违法行为风险知悉确认书》，并经各投标供应商负责人或投标授权代表签字并加盖单位公章后，扫描上传至投标文件一并提交。</w:t>
      </w:r>
    </w:p>
    <w:p w14:paraId="7076758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注：该风险知悉确认书用于对供应商违法行为的警示，不作为供应商资格性审查及符合性审查条件。</w:t>
      </w:r>
    </w:p>
    <w:p w14:paraId="13255A4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密钥。</w:t>
      </w:r>
    </w:p>
    <w:p w14:paraId="2C569DFF">
      <w:pPr>
        <w:jc w:val="center"/>
        <w:rPr>
          <w:rFonts w:hint="eastAsia" w:ascii="宋体" w:hAnsi="宋体" w:eastAsia="宋体" w:cs="宋体"/>
          <w:b/>
          <w:sz w:val="32"/>
          <w:szCs w:val="32"/>
          <w:highlight w:val="none"/>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480CE01">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温 馨 提 示</w:t>
      </w:r>
    </w:p>
    <w:p w14:paraId="0D27806F">
      <w:pPr>
        <w:spacing w:line="360" w:lineRule="auto"/>
        <w:rPr>
          <w:rFonts w:hint="eastAsia" w:ascii="宋体" w:hAnsi="宋体" w:eastAsia="宋体" w:cs="宋体"/>
          <w:szCs w:val="21"/>
          <w:highlight w:val="none"/>
        </w:rPr>
      </w:pPr>
    </w:p>
    <w:p w14:paraId="3621BD62">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如无另行说明，投标文件递交时间为</w:t>
      </w:r>
      <w:r>
        <w:rPr>
          <w:rFonts w:hint="eastAsia" w:ascii="宋体" w:hAnsi="宋体" w:eastAsia="宋体" w:cs="宋体"/>
          <w:b/>
          <w:bCs/>
          <w:szCs w:val="21"/>
          <w:highlight w:val="none"/>
          <w:u w:val="single"/>
          <w:lang w:val="en-US" w:eastAsia="zh-CN"/>
        </w:rPr>
        <w:t>开标</w:t>
      </w:r>
      <w:r>
        <w:rPr>
          <w:rFonts w:hint="eastAsia" w:ascii="宋体" w:hAnsi="宋体" w:eastAsia="宋体" w:cs="宋体"/>
          <w:b/>
          <w:bCs/>
          <w:szCs w:val="21"/>
          <w:highlight w:val="none"/>
          <w:u w:val="single"/>
        </w:rPr>
        <w:t>截止</w:t>
      </w:r>
      <w:r>
        <w:rPr>
          <w:rFonts w:hint="eastAsia" w:ascii="宋体" w:hAnsi="宋体" w:eastAsia="宋体" w:cs="宋体"/>
          <w:b/>
          <w:szCs w:val="21"/>
          <w:highlight w:val="none"/>
          <w:u w:val="single"/>
        </w:rPr>
        <w:t>时间之前30分</w:t>
      </w:r>
      <w:r>
        <w:rPr>
          <w:rFonts w:hint="eastAsia" w:ascii="宋体" w:hAnsi="宋体" w:eastAsia="宋体" w:cs="宋体"/>
          <w:b/>
          <w:bCs w:val="0"/>
          <w:szCs w:val="21"/>
          <w:highlight w:val="none"/>
          <w:u w:val="single"/>
        </w:rPr>
        <w:t>钟内</w:t>
      </w:r>
      <w:r>
        <w:rPr>
          <w:rFonts w:hint="eastAsia" w:ascii="宋体" w:hAnsi="宋体" w:eastAsia="宋体" w:cs="宋体"/>
          <w:szCs w:val="21"/>
          <w:highlight w:val="none"/>
        </w:rPr>
        <w:t>。</w:t>
      </w:r>
    </w:p>
    <w:p w14:paraId="3DBA86A7">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为避免因迟到而失去投标资格，请</w:t>
      </w:r>
      <w:r>
        <w:rPr>
          <w:rFonts w:hint="eastAsia" w:ascii="宋体" w:hAnsi="宋体" w:eastAsia="宋体" w:cs="宋体"/>
          <w:b/>
          <w:szCs w:val="21"/>
          <w:highlight w:val="none"/>
          <w:u w:val="single"/>
        </w:rPr>
        <w:t>适当提前到达</w:t>
      </w:r>
      <w:r>
        <w:rPr>
          <w:rFonts w:hint="eastAsia" w:ascii="宋体" w:hAnsi="宋体" w:eastAsia="宋体" w:cs="宋体"/>
          <w:szCs w:val="21"/>
          <w:highlight w:val="none"/>
        </w:rPr>
        <w:t>。</w:t>
      </w:r>
    </w:p>
    <w:p w14:paraId="462579F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投标文件</w:t>
      </w:r>
      <w:r>
        <w:rPr>
          <w:rFonts w:hint="eastAsia" w:ascii="宋体" w:hAnsi="宋体" w:eastAsia="宋体" w:cs="宋体"/>
          <w:b/>
          <w:bCs/>
          <w:szCs w:val="21"/>
          <w:highlight w:val="none"/>
          <w:u w:val="single"/>
        </w:rPr>
        <w:t>应</w:t>
      </w:r>
      <w:r>
        <w:rPr>
          <w:rFonts w:hint="eastAsia" w:ascii="宋体" w:hAnsi="宋体" w:eastAsia="宋体" w:cs="宋体"/>
          <w:b/>
          <w:bCs/>
          <w:szCs w:val="21"/>
          <w:highlight w:val="none"/>
          <w:u w:val="single"/>
          <w:lang w:val="en-US" w:eastAsia="zh-CN"/>
        </w:rPr>
        <w:t>有目录并</w:t>
      </w:r>
      <w:r>
        <w:rPr>
          <w:rFonts w:hint="eastAsia" w:ascii="宋体" w:hAnsi="宋体" w:eastAsia="宋体" w:cs="宋体"/>
          <w:b/>
          <w:bCs/>
          <w:szCs w:val="21"/>
          <w:highlight w:val="none"/>
          <w:u w:val="single"/>
        </w:rPr>
        <w:t>按顺序编</w:t>
      </w:r>
      <w:r>
        <w:rPr>
          <w:rFonts w:hint="eastAsia" w:ascii="宋体" w:hAnsi="宋体" w:eastAsia="宋体" w:cs="宋体"/>
          <w:b/>
          <w:szCs w:val="21"/>
          <w:highlight w:val="none"/>
          <w:u w:val="single"/>
        </w:rPr>
        <w:t>制页码</w:t>
      </w:r>
      <w:r>
        <w:rPr>
          <w:rFonts w:hint="eastAsia" w:ascii="宋体" w:hAnsi="宋体" w:eastAsia="宋体" w:cs="宋体"/>
          <w:szCs w:val="21"/>
          <w:highlight w:val="none"/>
        </w:rPr>
        <w:t>。</w:t>
      </w:r>
    </w:p>
    <w:p w14:paraId="14FE425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请仔细检查投标文件是否已按</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文件要求</w:t>
      </w:r>
      <w:r>
        <w:rPr>
          <w:rFonts w:hint="eastAsia" w:ascii="宋体" w:hAnsi="宋体" w:eastAsia="宋体" w:cs="宋体"/>
          <w:b/>
          <w:szCs w:val="21"/>
          <w:highlight w:val="none"/>
          <w:u w:val="single"/>
        </w:rPr>
        <w:t>盖章、签名及密封</w:t>
      </w:r>
      <w:r>
        <w:rPr>
          <w:rFonts w:hint="eastAsia" w:ascii="宋体" w:hAnsi="宋体" w:eastAsia="宋体" w:cs="宋体"/>
          <w:szCs w:val="21"/>
          <w:highlight w:val="none"/>
        </w:rPr>
        <w:t>。</w:t>
      </w:r>
    </w:p>
    <w:p w14:paraId="0F34933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请正确填写《开标一览表》，封装在单独的唱标信封当中</w:t>
      </w:r>
      <w:r>
        <w:rPr>
          <w:rFonts w:hint="eastAsia" w:ascii="宋体" w:hAnsi="宋体" w:eastAsia="宋体" w:cs="宋体"/>
          <w:szCs w:val="21"/>
          <w:highlight w:val="none"/>
          <w:lang w:eastAsia="zh-CN"/>
        </w:rPr>
        <w:t>，</w:t>
      </w:r>
      <w:r>
        <w:rPr>
          <w:rFonts w:hint="eastAsia" w:ascii="宋体" w:hAnsi="宋体" w:eastAsia="宋体" w:cs="宋体"/>
          <w:b/>
          <w:szCs w:val="21"/>
          <w:highlight w:val="none"/>
          <w:u w:val="single"/>
        </w:rPr>
        <w:t>多包项目请每包单独封装</w:t>
      </w:r>
      <w:r>
        <w:rPr>
          <w:rFonts w:hint="eastAsia" w:ascii="宋体" w:hAnsi="宋体" w:eastAsia="宋体" w:cs="宋体"/>
          <w:szCs w:val="21"/>
          <w:highlight w:val="none"/>
        </w:rPr>
        <w:t>，并请仔细检查包号，包号与包名称必须对应。</w:t>
      </w:r>
    </w:p>
    <w:p w14:paraId="58F2196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项目内或所投包号内有多项设备或报价内容的，</w:t>
      </w:r>
      <w:r>
        <w:rPr>
          <w:rFonts w:hint="eastAsia" w:ascii="宋体" w:hAnsi="宋体" w:eastAsia="宋体" w:cs="宋体"/>
          <w:b/>
          <w:szCs w:val="21"/>
          <w:highlight w:val="none"/>
          <w:u w:val="single"/>
        </w:rPr>
        <w:t>应加总后报总价</w:t>
      </w:r>
      <w:r>
        <w:rPr>
          <w:rFonts w:hint="eastAsia" w:ascii="宋体" w:hAnsi="宋体" w:eastAsia="宋体" w:cs="宋体"/>
          <w:szCs w:val="21"/>
          <w:highlight w:val="none"/>
        </w:rPr>
        <w:t>。</w:t>
      </w:r>
    </w:p>
    <w:p w14:paraId="6356504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如投标人以非独立法人注册的分公司名义代表总公司盖章和签署文件的，须提供总公司的营业执照副本复印件及总公司针对本项目投标的授权书原件。</w:t>
      </w:r>
    </w:p>
    <w:p w14:paraId="2FC136FF">
      <w:pPr>
        <w:tabs>
          <w:tab w:val="left" w:pos="851"/>
        </w:tabs>
        <w:spacing w:line="360" w:lineRule="auto"/>
        <w:ind w:left="850" w:hanging="850" w:hangingChars="405"/>
        <w:rPr>
          <w:rFonts w:hint="eastAsia" w:ascii="宋体" w:hAnsi="宋体" w:eastAsia="宋体" w:cs="宋体"/>
          <w:szCs w:val="21"/>
          <w:highlight w:val="none"/>
        </w:rPr>
      </w:pPr>
      <w:r>
        <w:rPr>
          <w:rFonts w:hint="eastAsia" w:ascii="宋体" w:hAnsi="宋体" w:eastAsia="宋体" w:cs="宋体"/>
          <w:szCs w:val="21"/>
          <w:highlight w:val="none"/>
        </w:rPr>
        <w:tab/>
      </w:r>
      <w:r>
        <w:rPr>
          <w:rFonts w:hint="eastAsia" w:ascii="宋体" w:hAnsi="宋体" w:eastAsia="宋体" w:cs="宋体"/>
          <w:szCs w:val="21"/>
          <w:highlight w:val="none"/>
        </w:rPr>
        <w:t>（以上提示内容仅仅一般项提醒，如与实际</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项目要求有不一致，以</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文件为准）</w:t>
      </w:r>
    </w:p>
    <w:p w14:paraId="16CAAC3F">
      <w:pPr>
        <w:rPr>
          <w:rFonts w:hint="eastAsia" w:asciiTheme="minorEastAsia" w:hAnsiTheme="minorEastAsia" w:cstheme="minorEastAsia"/>
          <w:szCs w:val="21"/>
        </w:rPr>
      </w:pPr>
    </w:p>
    <w:p w14:paraId="47039B92">
      <w:pPr>
        <w:rPr>
          <w:rFonts w:hint="eastAsia" w:asciiTheme="minorEastAsia" w:hAnsiTheme="minorEastAsia" w:cstheme="minorEastAsia"/>
          <w:szCs w:val="21"/>
        </w:rPr>
      </w:pPr>
    </w:p>
    <w:p w14:paraId="7B13E3C0">
      <w:pPr>
        <w:rPr>
          <w:rFonts w:hint="eastAsia" w:asciiTheme="minorEastAsia" w:hAnsiTheme="minorEastAsia" w:cstheme="minorEastAsia"/>
          <w:szCs w:val="21"/>
        </w:rPr>
      </w:pPr>
    </w:p>
    <w:p w14:paraId="5A64B025">
      <w:pPr>
        <w:rPr>
          <w:rFonts w:hint="eastAsia" w:asciiTheme="minorEastAsia" w:hAnsiTheme="minorEastAsia" w:cstheme="minorEastAsia"/>
          <w:szCs w:val="21"/>
        </w:rPr>
      </w:pPr>
    </w:p>
    <w:p w14:paraId="34556B53">
      <w:pPr>
        <w:rPr>
          <w:rFonts w:hint="eastAsia" w:asciiTheme="minorEastAsia" w:hAnsiTheme="minorEastAsia" w:cstheme="minorEastAsia"/>
          <w:szCs w:val="21"/>
        </w:rPr>
      </w:pPr>
    </w:p>
    <w:p w14:paraId="63B3F4CA">
      <w:pPr>
        <w:rPr>
          <w:rFonts w:hint="eastAsia" w:asciiTheme="minorEastAsia" w:hAnsiTheme="minorEastAsia" w:cstheme="minorEastAsia"/>
          <w:szCs w:val="21"/>
        </w:rPr>
      </w:pPr>
    </w:p>
    <w:p w14:paraId="238999D2">
      <w:pPr>
        <w:rPr>
          <w:rFonts w:hint="eastAsia" w:asciiTheme="minorEastAsia" w:hAnsiTheme="minorEastAsia" w:cstheme="minorEastAsia"/>
          <w:szCs w:val="21"/>
        </w:rPr>
      </w:pPr>
    </w:p>
    <w:p w14:paraId="5EE83BD7">
      <w:pPr>
        <w:rPr>
          <w:rFonts w:hint="eastAsia" w:asciiTheme="minorEastAsia" w:hAnsiTheme="minorEastAsia" w:cstheme="minorEastAsia"/>
          <w:szCs w:val="21"/>
        </w:rPr>
      </w:pPr>
    </w:p>
    <w:p w14:paraId="1A7B06A3">
      <w:pPr>
        <w:rPr>
          <w:rFonts w:hint="eastAsia" w:asciiTheme="minorEastAsia" w:hAnsiTheme="minorEastAsia" w:cstheme="minorEastAsia"/>
          <w:szCs w:val="21"/>
        </w:rPr>
      </w:pPr>
    </w:p>
    <w:p w14:paraId="0BE9234F">
      <w:pPr>
        <w:rPr>
          <w:rFonts w:hint="eastAsia" w:asciiTheme="minorEastAsia" w:hAnsiTheme="minorEastAsia" w:cstheme="minorEastAsia"/>
          <w:szCs w:val="21"/>
        </w:rPr>
      </w:pPr>
    </w:p>
    <w:p w14:paraId="6AFB3A9E">
      <w:pPr>
        <w:rPr>
          <w:rFonts w:hint="eastAsia" w:asciiTheme="minorEastAsia" w:hAnsiTheme="minorEastAsia" w:cstheme="minorEastAsia"/>
          <w:szCs w:val="21"/>
        </w:rPr>
      </w:pPr>
    </w:p>
    <w:p w14:paraId="3251FB3B">
      <w:pPr>
        <w:rPr>
          <w:rFonts w:hint="eastAsia" w:asciiTheme="minorEastAsia" w:hAnsiTheme="minorEastAsia" w:cstheme="minorEastAsia"/>
          <w:szCs w:val="21"/>
        </w:rPr>
      </w:pPr>
    </w:p>
    <w:p w14:paraId="0EF5ADC6">
      <w:pPr>
        <w:rPr>
          <w:rFonts w:hint="eastAsia" w:asciiTheme="minorEastAsia" w:hAnsiTheme="minorEastAsia" w:cstheme="minorEastAsia"/>
          <w:szCs w:val="21"/>
        </w:rPr>
      </w:pPr>
    </w:p>
    <w:p w14:paraId="2CE665B9">
      <w:pPr>
        <w:rPr>
          <w:rFonts w:hint="eastAsia" w:asciiTheme="minorEastAsia" w:hAnsiTheme="minorEastAsia" w:cstheme="minorEastAsia"/>
          <w:szCs w:val="21"/>
        </w:rPr>
      </w:pPr>
    </w:p>
    <w:p w14:paraId="53D7BD1D">
      <w:pPr>
        <w:rPr>
          <w:rFonts w:hint="eastAsia" w:asciiTheme="minorEastAsia" w:hAnsiTheme="minorEastAsia" w:cstheme="minorEastAsia"/>
          <w:szCs w:val="21"/>
        </w:rPr>
      </w:pPr>
    </w:p>
    <w:p w14:paraId="6607EFBE">
      <w:pPr>
        <w:rPr>
          <w:rFonts w:hint="eastAsia" w:asciiTheme="minorEastAsia" w:hAnsiTheme="minorEastAsia" w:cstheme="minorEastAsia"/>
          <w:szCs w:val="21"/>
        </w:rPr>
      </w:pPr>
    </w:p>
    <w:p w14:paraId="3B8FF10C">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38395D03">
      <w:pPr>
        <w:jc w:val="center"/>
        <w:rPr>
          <w:rFonts w:hint="eastAsia" w:asciiTheme="minorEastAsia" w:hAnsiTheme="minorEastAsia" w:cstheme="minorEastAsia"/>
          <w:sz w:val="36"/>
          <w:szCs w:val="36"/>
          <w:lang w:val="en-US" w:eastAsia="zh-CN"/>
        </w:rPr>
      </w:pPr>
    </w:p>
    <w:p w14:paraId="4D764082">
      <w:pPr>
        <w:jc w:val="center"/>
        <w:rPr>
          <w:rFonts w:hint="eastAsia" w:asciiTheme="minorEastAsia" w:hAnsiTheme="minorEastAsia" w:cstheme="minorEastAsia"/>
          <w:sz w:val="36"/>
          <w:szCs w:val="36"/>
          <w:lang w:val="en-US" w:eastAsia="zh-CN"/>
        </w:rPr>
      </w:pPr>
    </w:p>
    <w:p w14:paraId="51B6ABE7">
      <w:pPr>
        <w:jc w:val="center"/>
        <w:rPr>
          <w:rFonts w:hint="eastAsia" w:asciiTheme="minorEastAsia" w:hAnsiTheme="minorEastAsia" w:cstheme="minorEastAsia"/>
          <w:sz w:val="36"/>
          <w:szCs w:val="36"/>
          <w:lang w:val="en-US" w:eastAsia="zh-CN"/>
        </w:rPr>
      </w:pPr>
    </w:p>
    <w:p w14:paraId="193D958E">
      <w:pPr>
        <w:jc w:val="both"/>
        <w:rPr>
          <w:rFonts w:hint="eastAsia" w:asciiTheme="minorEastAsia" w:hAnsiTheme="minorEastAsia" w:cstheme="minorEastAsia"/>
          <w:sz w:val="36"/>
          <w:szCs w:val="36"/>
          <w:lang w:val="en-US" w:eastAsia="zh-CN"/>
        </w:rPr>
      </w:pPr>
    </w:p>
    <w:sdt>
      <w:sdtPr>
        <w:rPr>
          <w:rFonts w:ascii="宋体" w:hAnsi="宋体" w:eastAsia="宋体" w:cstheme="minorBidi"/>
          <w:kern w:val="2"/>
          <w:sz w:val="52"/>
          <w:szCs w:val="60"/>
          <w:lang w:val="en-US" w:eastAsia="zh-CN" w:bidi="ar-SA"/>
        </w:rPr>
        <w:id w:val="147469591"/>
        <w15:color w:val="DBDBDB"/>
        <w:docPartObj>
          <w:docPartGallery w:val="Table of Contents"/>
          <w:docPartUnique/>
        </w:docPartObj>
      </w:sdtPr>
      <w:sdtEndPr>
        <w:rPr>
          <w:rFonts w:hint="eastAsia" w:asciiTheme="majorEastAsia" w:hAnsiTheme="majorEastAsia" w:eastAsiaTheme="majorEastAsia" w:cstheme="majorEastAsia"/>
          <w:kern w:val="2"/>
          <w:sz w:val="36"/>
          <w:szCs w:val="44"/>
          <w:lang w:val="en-US" w:eastAsia="zh-CN" w:bidi="ar-SA"/>
        </w:rPr>
      </w:sdtEndPr>
      <w:sdtContent>
        <w:p w14:paraId="2B4FFD52">
          <w:pPr>
            <w:spacing w:before="0" w:beforeLines="0" w:after="0" w:afterLines="0" w:line="240" w:lineRule="auto"/>
            <w:ind w:left="0" w:leftChars="0" w:right="0" w:rightChars="0" w:firstLine="0" w:firstLineChars="0"/>
            <w:jc w:val="center"/>
            <w:rPr>
              <w:sz w:val="52"/>
              <w:szCs w:val="60"/>
            </w:rPr>
          </w:pPr>
          <w:r>
            <w:rPr>
              <w:rFonts w:ascii="宋体" w:hAnsi="宋体" w:eastAsia="宋体"/>
              <w:sz w:val="52"/>
              <w:szCs w:val="60"/>
            </w:rPr>
            <w:t>目录</w:t>
          </w:r>
        </w:p>
        <w:p w14:paraId="025925AB">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TOC \o "1-1" \h \u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_Toc27897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第一章 综合评分表</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_Toc27897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1C2C024F">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_Toc16421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第二章 征集公告</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_Toc16421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8</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3B83435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_Toc27909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第三章 用户需求书</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_Toc27909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11</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0E83D99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_Toc113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 xml:space="preserve">第四章 </w:t>
          </w:r>
          <w:r>
            <w:rPr>
              <w:rFonts w:hint="eastAsia" w:asciiTheme="majorEastAsia" w:hAnsiTheme="majorEastAsia" w:eastAsiaTheme="majorEastAsia" w:cstheme="majorEastAsia"/>
              <w:sz w:val="36"/>
              <w:szCs w:val="52"/>
            </w:rPr>
            <w:t>开标、评标、定标</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_Toc113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12</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788C09A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_Toc14800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第五章 </w:t>
          </w:r>
          <w:r>
            <w:rPr>
              <w:rFonts w:hint="eastAsia" w:asciiTheme="majorEastAsia" w:hAnsiTheme="majorEastAsia" w:eastAsiaTheme="majorEastAsia" w:cstheme="majorEastAsia"/>
              <w:sz w:val="36"/>
              <w:szCs w:val="52"/>
            </w:rPr>
            <w:t>投标文件</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52"/>
              <w:lang w:val="en-US" w:eastAsia="zh-CN"/>
            </w:rPr>
            <w:t>编制</w:t>
          </w:r>
          <w:r>
            <w:rPr>
              <w:rFonts w:hint="eastAsia" w:asciiTheme="majorEastAsia" w:hAnsiTheme="majorEastAsia" w:eastAsiaTheme="majorEastAsia" w:cstheme="majorEastAsia"/>
              <w:sz w:val="36"/>
              <w:szCs w:val="52"/>
            </w:rPr>
            <w:t>参考</w:t>
          </w:r>
          <w:r>
            <w:rPr>
              <w:rFonts w:hint="eastAsia" w:asciiTheme="majorEastAsia" w:hAnsiTheme="majorEastAsia" w:eastAsiaTheme="majorEastAsia" w:cstheme="majorEastAsia"/>
              <w:sz w:val="36"/>
              <w:szCs w:val="52"/>
              <w:lang w:val="en-US" w:eastAsia="zh-CN"/>
            </w:rPr>
            <w:t>模板</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_Toc14800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18</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4FD02B4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_Toc21111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第六章 </w:t>
          </w:r>
          <w:r>
            <w:rPr>
              <w:rFonts w:hint="eastAsia" w:asciiTheme="majorEastAsia" w:hAnsiTheme="majorEastAsia" w:eastAsiaTheme="majorEastAsia" w:cstheme="majorEastAsia"/>
              <w:sz w:val="36"/>
              <w:szCs w:val="52"/>
              <w:lang w:eastAsia="zh-TW"/>
            </w:rPr>
            <w:t>说 明</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_Toc21111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62</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50CEB7C1">
          <w:pPr>
            <w:rPr>
              <w:rFonts w:hint="eastAsia" w:asciiTheme="majorEastAsia" w:hAnsiTheme="majorEastAsia" w:eastAsiaTheme="majorEastAsia" w:cstheme="majorEastAsia"/>
              <w:kern w:val="2"/>
              <w:sz w:val="36"/>
              <w:szCs w:val="44"/>
              <w:lang w:val="en-US" w:eastAsia="zh-CN" w:bidi="ar-SA"/>
            </w:rPr>
          </w:pPr>
          <w:r>
            <w:rPr>
              <w:rFonts w:hint="eastAsia" w:asciiTheme="majorEastAsia" w:hAnsiTheme="majorEastAsia" w:eastAsiaTheme="majorEastAsia" w:cstheme="majorEastAsia"/>
              <w:kern w:val="2"/>
              <w:sz w:val="36"/>
              <w:szCs w:val="44"/>
              <w:lang w:val="en-US" w:eastAsia="zh-CN" w:bidi="ar-SA"/>
            </w:rPr>
            <w:fldChar w:fldCharType="end"/>
          </w:r>
        </w:p>
      </w:sdtContent>
    </w:sdt>
    <w:p w14:paraId="5BBB0E65">
      <w:pPr>
        <w:rPr>
          <w:rFonts w:asciiTheme="minorHAnsi" w:hAnsiTheme="minorHAnsi" w:eastAsiaTheme="minorEastAsia" w:cstheme="minorBidi"/>
          <w:kern w:val="2"/>
          <w:sz w:val="21"/>
          <w:szCs w:val="24"/>
          <w:lang w:val="en-US" w:eastAsia="zh-CN" w:bidi="ar-SA"/>
        </w:rPr>
      </w:pPr>
    </w:p>
    <w:p w14:paraId="0CF51C02"/>
    <w:p w14:paraId="2EC45284">
      <w:pPr>
        <w:pStyle w:val="3"/>
        <w:numPr>
          <w:ilvl w:val="0"/>
          <w:numId w:val="0"/>
        </w:numPr>
        <w:spacing w:line="240" w:lineRule="auto"/>
        <w:ind w:left="0" w:leftChars="0" w:firstLine="0" w:firstLineChars="0"/>
        <w:jc w:val="both"/>
        <w:outlineLvl w:val="9"/>
        <w:rPr>
          <w:rFonts w:hint="eastAsia" w:cs="宋体" w:asciiTheme="majorEastAsia" w:hAnsiTheme="majorEastAsia" w:eastAsiaTheme="majorEastAsia"/>
          <w:kern w:val="2"/>
          <w:sz w:val="32"/>
          <w:szCs w:val="32"/>
          <w:lang w:val="en-US" w:eastAsia="zh-CN" w:bidi="ar-SA"/>
        </w:rPr>
      </w:pPr>
      <w:r>
        <w:br w:type="page"/>
      </w:r>
      <w:bookmarkStart w:id="2" w:name="_Toc24015566"/>
      <w:bookmarkStart w:id="3" w:name="_Toc28823"/>
    </w:p>
    <w:bookmarkEnd w:id="2"/>
    <w:bookmarkEnd w:id="3"/>
    <w:p w14:paraId="549DA7AA">
      <w:pPr>
        <w:widowControl/>
        <w:numPr>
          <w:ilvl w:val="0"/>
          <w:numId w:val="2"/>
        </w:numPr>
        <w:ind w:firstLine="640" w:firstLineChars="200"/>
        <w:jc w:val="center"/>
        <w:outlineLvl w:val="0"/>
        <w:rPr>
          <w:rFonts w:hint="eastAsia" w:cs="宋体" w:asciiTheme="majorEastAsia" w:hAnsiTheme="majorEastAsia" w:eastAsiaTheme="majorEastAsia"/>
          <w:kern w:val="2"/>
          <w:sz w:val="32"/>
          <w:szCs w:val="32"/>
          <w:lang w:val="en-US" w:eastAsia="zh-CN" w:bidi="ar-SA"/>
        </w:rPr>
      </w:pPr>
      <w:bookmarkStart w:id="4" w:name="_Toc27897"/>
      <w:r>
        <w:rPr>
          <w:rFonts w:hint="eastAsia" w:cs="宋体" w:asciiTheme="majorEastAsia" w:hAnsiTheme="majorEastAsia" w:eastAsiaTheme="majorEastAsia"/>
          <w:kern w:val="2"/>
          <w:sz w:val="32"/>
          <w:szCs w:val="32"/>
          <w:lang w:val="en-US" w:eastAsia="zh-CN" w:bidi="ar-SA"/>
        </w:rPr>
        <w:t>综合评分表</w:t>
      </w:r>
      <w:bookmarkEnd w:id="4"/>
    </w:p>
    <w:tbl>
      <w:tblPr>
        <w:tblStyle w:val="16"/>
        <w:tblW w:w="98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7"/>
        <w:gridCol w:w="647"/>
        <w:gridCol w:w="7443"/>
        <w:gridCol w:w="702"/>
      </w:tblGrid>
      <w:tr w14:paraId="18A3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829" w:type="dxa"/>
            <w:gridSpan w:val="4"/>
            <w:tcBorders>
              <w:top w:val="nil"/>
              <w:left w:val="nil"/>
              <w:bottom w:val="nil"/>
              <w:right w:val="nil"/>
            </w:tcBorders>
            <w:shd w:val="clear" w:color="auto" w:fill="auto"/>
            <w:noWrap/>
            <w:vAlign w:val="center"/>
          </w:tcPr>
          <w:p w14:paraId="67E240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Style w:val="29"/>
                <w:sz w:val="21"/>
                <w:szCs w:val="21"/>
                <w:lang w:val="en-US" w:eastAsia="zh-CN" w:bidi="ar"/>
              </w:rPr>
              <w:t>项目名称：                         征集编号：</w:t>
            </w:r>
          </w:p>
        </w:tc>
      </w:tr>
      <w:tr w14:paraId="0EA4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9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评分项目</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26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7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评分因素</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2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r>
      <w:tr w14:paraId="27E6F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bottom w:val="nil"/>
              <w:right w:val="single" w:color="000000" w:sz="4" w:space="0"/>
            </w:tcBorders>
            <w:shd w:val="clear" w:color="auto" w:fill="auto"/>
            <w:vAlign w:val="center"/>
          </w:tcPr>
          <w:p w14:paraId="06E82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32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77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技术参数响应情况                                                               投标供应商应如实填写《技术规格偏离表》，评审委员会根据技术需求参数响应情况进行打分，每1项负偏离的，扣4分；扣完为止。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C9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24</w:t>
            </w:r>
          </w:p>
        </w:tc>
      </w:tr>
      <w:tr w14:paraId="0E3F4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17FCE8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D3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86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重要技术参数响应评分                                                                投标供应商应如实填写《技术规格偏离表》，评审委员会根据技术需求参数响应情况进行打分，每1项负偏离的，扣7分；扣完为止。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69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21</w:t>
            </w:r>
          </w:p>
        </w:tc>
      </w:tr>
      <w:tr w14:paraId="298D2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7"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7BF0D3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85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F0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技术保障措施</w:t>
            </w:r>
          </w:p>
          <w:p w14:paraId="46D8BE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投标人在投标文件中提供技术保障措施，评分标准：</w:t>
            </w:r>
          </w:p>
          <w:p w14:paraId="59F074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1.安装售后服务保障</w:t>
            </w:r>
          </w:p>
          <w:p w14:paraId="73706E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2.紧急情况响应程度</w:t>
            </w:r>
          </w:p>
          <w:p w14:paraId="6870C1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3.人员培训措施综合评价</w:t>
            </w:r>
          </w:p>
          <w:p w14:paraId="46EFB3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每提供一项得2分，最高不超过6分。</w:t>
            </w:r>
          </w:p>
          <w:p w14:paraId="219DFB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在此基础上，专家根据各供应商的具体响应内容进一步评审，评审标准如下：</w:t>
            </w:r>
          </w:p>
          <w:p w14:paraId="0FE438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(1)所投产品的安装售后服务保障、紧急情况响应程度、人员培训措施内容全面，得5分，</w:t>
            </w:r>
          </w:p>
          <w:p w14:paraId="49757A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(2)所投产品的安装售后服务保障、紧急情况响应程度、人员培训措施评价较为内容全面，得3分，</w:t>
            </w:r>
          </w:p>
          <w:p w14:paraId="5FF525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(3)所投产品的安装售后服务保障、紧急情况响应程度、人员培训措施评价一般，得1分，</w:t>
            </w:r>
          </w:p>
          <w:p w14:paraId="2DBF4B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(4)所投产品的安装售后服务保障、紧急情况响应程度、人员培训措施评价差，不得分。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91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11</w:t>
            </w:r>
          </w:p>
        </w:tc>
      </w:tr>
      <w:tr w14:paraId="6BACA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right w:val="single" w:color="000000" w:sz="4" w:space="0"/>
            </w:tcBorders>
            <w:shd w:val="clear" w:color="auto" w:fill="auto"/>
            <w:vAlign w:val="center"/>
          </w:tcPr>
          <w:p w14:paraId="79D6F5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FD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BB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有效业绩                                                                        提供1项有效业绩的，得1分；以此类推，最高不超过3分。不提供或者不能有效证明的，得0分。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有效业绩定义：（同时满足以下全部要求同类业绩才属于有效业绩）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1.为投标供应商所投产品的同类业绩（所投核心产品同品牌同型号的产品）。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2.合同签订时间为2024年1月1日至投标截止时间前。</w:t>
            </w:r>
          </w:p>
          <w:p w14:paraId="520CBE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3.合同、发票等证明文件必须是以该投标人出具的。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供应商必须提供项目合同或发票复印件，未提供或无法判断则不得分，原件备查。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FB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r>
      <w:tr w14:paraId="4B29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194ACA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FC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26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履约评价</w:t>
            </w:r>
          </w:p>
          <w:p w14:paraId="6DCCC9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投标人提供上述同类项目业绩中，能够提供用户出具的履约评价书，且评价为优或满意以上的，每提供1份得1分，本项最高得3分。</w:t>
            </w:r>
          </w:p>
          <w:p w14:paraId="663F275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603CC2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须提供用户出具的履约评价书扫描件或复印件，并加盖用户公章，原件备查。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EC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r>
      <w:tr w14:paraId="125E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0490A6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8F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0CE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延长质保期                                                                      在满足免费保修期（3年质保期）基础上，承诺每延长1年加1分，最高3分。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p>
          <w:p w14:paraId="3CC72A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提供延长免费保修期的承诺函（格式自拟），未提供或无法判断则不得分。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FB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368D5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bottom w:val="nil"/>
              <w:right w:val="single" w:color="000000" w:sz="4" w:space="0"/>
            </w:tcBorders>
            <w:shd w:val="clear" w:color="auto" w:fill="auto"/>
            <w:vAlign w:val="center"/>
          </w:tcPr>
          <w:p w14:paraId="3F305F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EF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BA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诚信</w:t>
            </w:r>
          </w:p>
          <w:p w14:paraId="52E5F7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投标人在参与政府采购活动中存在诚信相关问题且在主管部门相关处理措施实施期限内的；投标人存在《深圳市财政局 政府采购供应商信用信息管理办法》（深财规〔2023〕3号）列明的一般行政处罚信息、一般违法失信记录信息的，本项不得分，否则得满分。</w:t>
            </w:r>
          </w:p>
          <w:p w14:paraId="664356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01CE7CB9">
            <w:pPr>
              <w:keepNext w:val="0"/>
              <w:keepLines w:val="0"/>
              <w:widowControl/>
              <w:suppressLineNumbers w:val="0"/>
              <w:spacing w:before="0" w:beforeAutospacing="0" w:after="0" w:afterAutospacing="0"/>
              <w:ind w:left="0" w:right="0"/>
              <w:jc w:val="left"/>
              <w:textAlignment w:val="center"/>
              <w:rPr>
                <w:rFonts w:hint="eastAsia" w:ascii="宋体" w:hAnsi="宋体" w:cs="宋体" w:eastAsia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投标人无需提供任何证明材料，由工作人员向评审委员会提供相关信息。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F6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0AEF3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57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CF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A5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采用低价优先法计算，即满足征集文件要求且投标价格最低的投标报价为评标基准价，其价格分为满分。其他投标人的价格分统一按照下列公式计算： </w:t>
            </w:r>
          </w:p>
          <w:p w14:paraId="4FE03F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投标报价得分=(基准价／扣除后的报价)×30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64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51920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E73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2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bl>
    <w:p w14:paraId="3E733A93">
      <w:pPr>
        <w:widowControl/>
        <w:jc w:val="left"/>
        <w:rPr>
          <w:rFonts w:hint="eastAsia" w:ascii="宋体" w:cs="宋体"/>
          <w:snapToGrid w:val="0"/>
          <w:kern w:val="0"/>
        </w:rPr>
      </w:pPr>
      <w:r>
        <w:rPr>
          <w:rFonts w:hint="eastAsia" w:ascii="宋体" w:cs="宋体"/>
          <w:snapToGrid w:val="0"/>
          <w:kern w:val="0"/>
        </w:rPr>
        <w:t>备注：</w:t>
      </w:r>
      <w:r>
        <w:rPr>
          <w:rFonts w:hint="eastAsia" w:ascii="宋体" w:cs="宋体"/>
          <w:snapToGrid w:val="0"/>
          <w:kern w:val="0"/>
          <w:lang w:eastAsia="zh-CN"/>
        </w:rPr>
        <w:t>征集</w:t>
      </w:r>
      <w:r>
        <w:rPr>
          <w:rFonts w:hint="eastAsia" w:ascii="宋体" w:cs="宋体"/>
          <w:snapToGrid w:val="0"/>
          <w:kern w:val="0"/>
        </w:rPr>
        <w:t>文件要求提交的与评价指标体系相关的各类有效资料，投标人如未按要求提交的，该项评分为零分。</w:t>
      </w:r>
    </w:p>
    <w:p w14:paraId="6435363A">
      <w:pPr>
        <w:widowControl/>
        <w:jc w:val="left"/>
        <w:rPr>
          <w:rFonts w:hint="eastAsia" w:ascii="宋体" w:cs="宋体"/>
          <w:snapToGrid w:val="0"/>
          <w:kern w:val="0"/>
        </w:rPr>
      </w:pPr>
    </w:p>
    <w:p w14:paraId="7FAC5CF9">
      <w:pPr>
        <w:widowControl/>
        <w:jc w:val="left"/>
        <w:rPr>
          <w:rFonts w:hint="eastAsia" w:ascii="宋体" w:cs="宋体"/>
          <w:snapToGrid w:val="0"/>
          <w:kern w:val="0"/>
        </w:rPr>
      </w:pPr>
    </w:p>
    <w:p w14:paraId="521C6A40">
      <w:pPr>
        <w:widowControl/>
        <w:jc w:val="left"/>
        <w:rPr>
          <w:rFonts w:hint="eastAsia" w:ascii="宋体" w:cs="宋体"/>
          <w:snapToGrid w:val="0"/>
          <w:kern w:val="0"/>
        </w:rPr>
      </w:pPr>
    </w:p>
    <w:p w14:paraId="06190832">
      <w:pPr>
        <w:widowControl/>
        <w:jc w:val="left"/>
        <w:rPr>
          <w:rFonts w:hint="eastAsia" w:ascii="宋体" w:cs="宋体"/>
          <w:snapToGrid w:val="0"/>
          <w:kern w:val="0"/>
        </w:rPr>
      </w:pPr>
    </w:p>
    <w:p w14:paraId="472306B9">
      <w:pPr>
        <w:widowControl/>
        <w:jc w:val="left"/>
        <w:rPr>
          <w:rFonts w:hint="eastAsia" w:ascii="宋体" w:cs="宋体"/>
          <w:snapToGrid w:val="0"/>
          <w:kern w:val="0"/>
        </w:rPr>
      </w:pPr>
    </w:p>
    <w:p w14:paraId="6B9FED75">
      <w:pPr>
        <w:widowControl/>
        <w:jc w:val="left"/>
        <w:rPr>
          <w:rFonts w:hint="eastAsia" w:ascii="宋体" w:cs="宋体"/>
          <w:snapToGrid w:val="0"/>
          <w:kern w:val="0"/>
        </w:rPr>
      </w:pPr>
    </w:p>
    <w:p w14:paraId="5884F5C0">
      <w:pPr>
        <w:widowControl/>
        <w:jc w:val="left"/>
        <w:rPr>
          <w:rFonts w:hint="eastAsia" w:ascii="宋体" w:cs="宋体"/>
          <w:snapToGrid w:val="0"/>
          <w:kern w:val="0"/>
        </w:rPr>
      </w:pPr>
    </w:p>
    <w:p w14:paraId="501FB820">
      <w:pPr>
        <w:widowControl/>
        <w:jc w:val="left"/>
        <w:rPr>
          <w:rFonts w:hint="eastAsia" w:ascii="宋体" w:cs="宋体"/>
          <w:snapToGrid w:val="0"/>
          <w:kern w:val="0"/>
        </w:rPr>
      </w:pPr>
    </w:p>
    <w:p w14:paraId="4C76C92A">
      <w:pPr>
        <w:widowControl/>
        <w:jc w:val="left"/>
        <w:rPr>
          <w:rFonts w:hint="eastAsia" w:ascii="宋体" w:cs="宋体"/>
          <w:snapToGrid w:val="0"/>
          <w:kern w:val="0"/>
        </w:rPr>
      </w:pPr>
    </w:p>
    <w:p w14:paraId="5B5E2F15">
      <w:pPr>
        <w:widowControl/>
        <w:jc w:val="left"/>
        <w:rPr>
          <w:rFonts w:hint="eastAsia" w:ascii="宋体" w:cs="宋体"/>
          <w:snapToGrid w:val="0"/>
          <w:kern w:val="0"/>
        </w:rPr>
      </w:pPr>
    </w:p>
    <w:p w14:paraId="034C2B92">
      <w:pPr>
        <w:widowControl/>
        <w:jc w:val="left"/>
        <w:rPr>
          <w:rFonts w:hint="eastAsia" w:ascii="宋体" w:cs="宋体"/>
          <w:snapToGrid w:val="0"/>
          <w:kern w:val="0"/>
        </w:rPr>
      </w:pPr>
    </w:p>
    <w:p w14:paraId="47B59301">
      <w:pPr>
        <w:widowControl/>
        <w:jc w:val="left"/>
        <w:rPr>
          <w:rFonts w:hint="eastAsia" w:ascii="宋体" w:cs="宋体"/>
          <w:snapToGrid w:val="0"/>
          <w:kern w:val="0"/>
        </w:rPr>
      </w:pPr>
    </w:p>
    <w:p w14:paraId="18160263">
      <w:pPr>
        <w:widowControl/>
        <w:jc w:val="left"/>
        <w:rPr>
          <w:rFonts w:hint="eastAsia" w:ascii="宋体" w:cs="宋体"/>
          <w:snapToGrid w:val="0"/>
          <w:kern w:val="0"/>
        </w:rPr>
      </w:pPr>
    </w:p>
    <w:p w14:paraId="2ECDB819">
      <w:pPr>
        <w:widowControl/>
        <w:jc w:val="left"/>
        <w:rPr>
          <w:rFonts w:hint="eastAsia" w:ascii="宋体" w:cs="宋体"/>
          <w:snapToGrid w:val="0"/>
          <w:kern w:val="0"/>
        </w:rPr>
      </w:pPr>
    </w:p>
    <w:p w14:paraId="3F39DACF">
      <w:pPr>
        <w:widowControl/>
        <w:jc w:val="left"/>
        <w:rPr>
          <w:rFonts w:hint="eastAsia" w:ascii="宋体" w:cs="宋体"/>
          <w:snapToGrid w:val="0"/>
          <w:kern w:val="0"/>
        </w:rPr>
      </w:pPr>
    </w:p>
    <w:p w14:paraId="3B0DF469">
      <w:pPr>
        <w:widowControl/>
        <w:jc w:val="left"/>
        <w:rPr>
          <w:rFonts w:hint="eastAsia" w:ascii="宋体" w:cs="宋体"/>
          <w:snapToGrid w:val="0"/>
          <w:kern w:val="0"/>
        </w:rPr>
      </w:pPr>
    </w:p>
    <w:p w14:paraId="7936A017">
      <w:pPr>
        <w:widowControl/>
        <w:jc w:val="left"/>
        <w:rPr>
          <w:rFonts w:hint="eastAsia" w:ascii="宋体" w:cs="宋体"/>
          <w:snapToGrid w:val="0"/>
          <w:kern w:val="0"/>
        </w:rPr>
      </w:pPr>
    </w:p>
    <w:p w14:paraId="2C368AE4">
      <w:pPr>
        <w:widowControl/>
        <w:jc w:val="left"/>
        <w:rPr>
          <w:rFonts w:hint="eastAsia" w:ascii="宋体" w:cs="宋体"/>
          <w:snapToGrid w:val="0"/>
          <w:kern w:val="0"/>
        </w:rPr>
      </w:pPr>
    </w:p>
    <w:p w14:paraId="541605B7">
      <w:pPr>
        <w:widowControl/>
        <w:jc w:val="left"/>
        <w:rPr>
          <w:rFonts w:hint="eastAsia" w:ascii="宋体" w:cs="宋体"/>
          <w:snapToGrid w:val="0"/>
          <w:kern w:val="0"/>
        </w:rPr>
      </w:pPr>
    </w:p>
    <w:p w14:paraId="4D5860BD">
      <w:pPr>
        <w:widowControl/>
        <w:jc w:val="left"/>
        <w:rPr>
          <w:rFonts w:hint="eastAsia" w:ascii="宋体" w:cs="宋体"/>
          <w:snapToGrid w:val="0"/>
          <w:kern w:val="0"/>
        </w:rPr>
      </w:pPr>
    </w:p>
    <w:p w14:paraId="15BCC94D">
      <w:pPr>
        <w:widowControl/>
        <w:jc w:val="left"/>
        <w:rPr>
          <w:rFonts w:hint="eastAsia" w:ascii="宋体" w:cs="宋体"/>
          <w:snapToGrid w:val="0"/>
          <w:kern w:val="0"/>
        </w:rPr>
      </w:pPr>
    </w:p>
    <w:p w14:paraId="42F6C424">
      <w:pPr>
        <w:widowControl/>
        <w:jc w:val="left"/>
        <w:rPr>
          <w:rFonts w:hint="eastAsia" w:ascii="宋体" w:cs="宋体"/>
          <w:snapToGrid w:val="0"/>
          <w:kern w:val="0"/>
        </w:rPr>
      </w:pPr>
    </w:p>
    <w:p w14:paraId="5F7E00AB">
      <w:pPr>
        <w:widowControl/>
        <w:jc w:val="left"/>
        <w:rPr>
          <w:rFonts w:hint="eastAsia" w:ascii="宋体" w:cs="宋体"/>
          <w:snapToGrid w:val="0"/>
          <w:kern w:val="0"/>
        </w:rPr>
      </w:pPr>
    </w:p>
    <w:p w14:paraId="16309AA4">
      <w:pPr>
        <w:widowControl/>
        <w:jc w:val="left"/>
        <w:rPr>
          <w:rFonts w:hint="eastAsia" w:ascii="宋体" w:cs="宋体"/>
          <w:snapToGrid w:val="0"/>
          <w:kern w:val="0"/>
        </w:rPr>
      </w:pPr>
    </w:p>
    <w:p w14:paraId="4A2149EB">
      <w:pPr>
        <w:widowControl/>
        <w:jc w:val="left"/>
        <w:rPr>
          <w:rFonts w:hint="eastAsia" w:ascii="宋体" w:cs="宋体"/>
          <w:snapToGrid w:val="0"/>
          <w:kern w:val="0"/>
        </w:rPr>
      </w:pPr>
    </w:p>
    <w:p w14:paraId="66F24A15">
      <w:pPr>
        <w:widowControl/>
        <w:jc w:val="left"/>
        <w:rPr>
          <w:rFonts w:hint="eastAsia" w:ascii="宋体" w:cs="宋体"/>
          <w:snapToGrid w:val="0"/>
          <w:kern w:val="0"/>
        </w:rPr>
      </w:pPr>
    </w:p>
    <w:p w14:paraId="483038EC">
      <w:pPr>
        <w:widowControl/>
        <w:jc w:val="left"/>
        <w:rPr>
          <w:rFonts w:hint="eastAsia" w:ascii="宋体" w:cs="宋体"/>
          <w:snapToGrid w:val="0"/>
          <w:kern w:val="0"/>
        </w:rPr>
      </w:pPr>
    </w:p>
    <w:p w14:paraId="468CB623">
      <w:pPr>
        <w:widowControl/>
        <w:jc w:val="left"/>
        <w:rPr>
          <w:rFonts w:hint="eastAsia" w:ascii="宋体" w:cs="宋体"/>
          <w:snapToGrid w:val="0"/>
          <w:kern w:val="0"/>
        </w:rPr>
      </w:pPr>
    </w:p>
    <w:p w14:paraId="3F8F5A74">
      <w:pPr>
        <w:widowControl/>
        <w:jc w:val="left"/>
        <w:rPr>
          <w:rFonts w:hint="eastAsia" w:ascii="宋体" w:cs="宋体"/>
          <w:snapToGrid w:val="0"/>
          <w:kern w:val="0"/>
        </w:rPr>
      </w:pPr>
    </w:p>
    <w:p w14:paraId="413A7A8C">
      <w:pPr>
        <w:widowControl/>
        <w:jc w:val="left"/>
        <w:rPr>
          <w:rFonts w:hint="eastAsia" w:ascii="宋体" w:cs="宋体"/>
          <w:snapToGrid w:val="0"/>
          <w:kern w:val="0"/>
        </w:rPr>
      </w:pPr>
    </w:p>
    <w:p w14:paraId="1CF88144">
      <w:pPr>
        <w:widowControl/>
        <w:jc w:val="left"/>
        <w:rPr>
          <w:rFonts w:hint="eastAsia" w:ascii="宋体" w:cs="宋体"/>
          <w:snapToGrid w:val="0"/>
          <w:kern w:val="0"/>
        </w:rPr>
      </w:pPr>
    </w:p>
    <w:p w14:paraId="73316491">
      <w:pPr>
        <w:widowControl/>
        <w:jc w:val="left"/>
        <w:rPr>
          <w:rFonts w:hint="eastAsia" w:ascii="宋体" w:cs="宋体"/>
          <w:snapToGrid w:val="0"/>
          <w:kern w:val="0"/>
        </w:rPr>
      </w:pPr>
    </w:p>
    <w:p w14:paraId="363E7F86">
      <w:pPr>
        <w:widowControl/>
        <w:jc w:val="left"/>
        <w:rPr>
          <w:rFonts w:hint="eastAsia" w:ascii="宋体" w:cs="宋体"/>
          <w:snapToGrid w:val="0"/>
          <w:kern w:val="0"/>
        </w:rPr>
      </w:pPr>
    </w:p>
    <w:p w14:paraId="4FFB062A">
      <w:pPr>
        <w:widowControl/>
        <w:jc w:val="left"/>
        <w:rPr>
          <w:rFonts w:hint="eastAsia" w:ascii="宋体" w:cs="宋体"/>
          <w:snapToGrid w:val="0"/>
          <w:kern w:val="0"/>
        </w:rPr>
      </w:pPr>
    </w:p>
    <w:p w14:paraId="153AF54F">
      <w:pPr>
        <w:widowControl/>
        <w:jc w:val="left"/>
        <w:rPr>
          <w:rFonts w:hint="eastAsia" w:ascii="宋体" w:cs="宋体"/>
          <w:snapToGrid w:val="0"/>
          <w:kern w:val="0"/>
        </w:rPr>
      </w:pPr>
    </w:p>
    <w:p w14:paraId="7C88F462">
      <w:pPr>
        <w:widowControl/>
        <w:numPr>
          <w:ilvl w:val="0"/>
          <w:numId w:val="2"/>
        </w:numPr>
        <w:ind w:left="0" w:leftChars="0" w:firstLine="640" w:firstLineChars="200"/>
        <w:jc w:val="center"/>
        <w:outlineLvl w:val="0"/>
        <w:rPr>
          <w:rFonts w:hint="eastAsia" w:asciiTheme="majorEastAsia" w:hAnsiTheme="majorEastAsia" w:eastAsiaTheme="majorEastAsia"/>
          <w:sz w:val="32"/>
          <w:szCs w:val="32"/>
          <w:lang w:val="en-US" w:eastAsia="zh-CN"/>
        </w:rPr>
      </w:pPr>
      <w:bookmarkStart w:id="5" w:name="_Toc16421"/>
      <w:r>
        <w:rPr>
          <w:rFonts w:hint="eastAsia" w:asciiTheme="majorEastAsia" w:hAnsiTheme="majorEastAsia" w:eastAsiaTheme="majorEastAsia"/>
          <w:sz w:val="32"/>
          <w:szCs w:val="32"/>
          <w:lang w:val="en-US" w:eastAsia="zh-CN"/>
        </w:rPr>
        <w:t>征集公告</w:t>
      </w:r>
      <w:bookmarkEnd w:id="5"/>
    </w:p>
    <w:p w14:paraId="37A5CB8D">
      <w:pPr>
        <w:pStyle w:val="3"/>
        <w:spacing w:before="0" w:after="0" w:line="240" w:lineRule="auto"/>
        <w:jc w:val="both"/>
        <w:outlineLvl w:val="9"/>
      </w:pPr>
    </w:p>
    <w:p w14:paraId="6E7EA3B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bookmarkStart w:id="6" w:name="OLE_LINK3"/>
      <w:bookmarkStart w:id="7" w:name="OLE_LINK1"/>
      <w:r>
        <w:rPr>
          <w:rFonts w:hint="eastAsia" w:ascii="宋体" w:hAnsi="宋体"/>
          <w:szCs w:val="28"/>
        </w:rPr>
        <w:t>项目概况</w:t>
      </w:r>
    </w:p>
    <w:p w14:paraId="6AAB300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r>
        <w:rPr>
          <w:rFonts w:hint="eastAsia" w:ascii="宋体" w:hAnsi="宋体"/>
          <w:szCs w:val="28"/>
          <w:u w:val="single"/>
          <w:lang w:val="en-US" w:eastAsia="zh-CN"/>
        </w:rPr>
        <w:t>根尖定位仪</w:t>
      </w:r>
      <w:r>
        <w:rPr>
          <w:rFonts w:hint="eastAsia" w:ascii="宋体" w:hAnsi="宋体"/>
          <w:szCs w:val="28"/>
          <w:lang w:eastAsia="zh-CN"/>
        </w:rPr>
        <w:t>征集</w:t>
      </w:r>
      <w:r>
        <w:rPr>
          <w:rFonts w:hint="eastAsia" w:ascii="宋体" w:hAnsi="宋体"/>
          <w:szCs w:val="28"/>
        </w:rPr>
        <w:t>项目的潜</w:t>
      </w:r>
      <w:r>
        <w:rPr>
          <w:rFonts w:hint="eastAsia" w:ascii="宋体" w:hAnsi="宋体"/>
          <w:szCs w:val="28"/>
          <w:highlight w:val="none"/>
        </w:rPr>
        <w:t>在投标人应在</w:t>
      </w:r>
      <w:r>
        <w:rPr>
          <w:rFonts w:hint="eastAsia" w:ascii="宋体" w:hAnsi="宋体"/>
          <w:szCs w:val="28"/>
          <w:highlight w:val="none"/>
          <w:lang w:val="en-US" w:eastAsia="zh-CN"/>
        </w:rPr>
        <w:t>深圳市福田区第二人民医院</w:t>
      </w:r>
      <w:r>
        <w:rPr>
          <w:rFonts w:hint="eastAsia" w:ascii="宋体" w:hAnsi="宋体"/>
          <w:szCs w:val="28"/>
          <w:highlight w:val="none"/>
        </w:rPr>
        <w:t>获取</w:t>
      </w:r>
      <w:r>
        <w:rPr>
          <w:rFonts w:hint="eastAsia" w:ascii="宋体" w:hAnsi="宋体"/>
          <w:szCs w:val="28"/>
          <w:highlight w:val="none"/>
          <w:lang w:eastAsia="zh-CN"/>
        </w:rPr>
        <w:t>征集</w:t>
      </w:r>
      <w:r>
        <w:rPr>
          <w:rFonts w:hint="eastAsia" w:ascii="宋体" w:hAnsi="宋体"/>
          <w:szCs w:val="28"/>
          <w:highlight w:val="none"/>
        </w:rPr>
        <w:t>文件，并于</w:t>
      </w:r>
      <w:r>
        <w:rPr>
          <w:rFonts w:hint="eastAsia" w:ascii="宋体" w:hAnsi="宋体"/>
          <w:szCs w:val="28"/>
          <w:highlight w:val="none"/>
          <w:u w:val="single"/>
        </w:rPr>
        <w:t>202</w:t>
      </w:r>
      <w:r>
        <w:rPr>
          <w:rFonts w:hint="eastAsia" w:ascii="宋体" w:hAnsi="宋体"/>
          <w:szCs w:val="28"/>
          <w:highlight w:val="none"/>
          <w:u w:val="single"/>
          <w:lang w:val="en-US" w:eastAsia="zh-CN"/>
        </w:rPr>
        <w:t>6</w:t>
      </w:r>
      <w:r>
        <w:rPr>
          <w:rFonts w:hint="eastAsia" w:ascii="宋体" w:hAnsi="宋体"/>
          <w:bCs/>
          <w:szCs w:val="28"/>
          <w:highlight w:val="none"/>
          <w:u w:val="single"/>
        </w:rPr>
        <w:t>年</w:t>
      </w:r>
      <w:r>
        <w:rPr>
          <w:rFonts w:hint="eastAsia" w:ascii="宋体" w:hAnsi="宋体"/>
          <w:bCs/>
          <w:szCs w:val="28"/>
          <w:highlight w:val="none"/>
          <w:u w:val="single"/>
          <w:lang w:val="en-US" w:eastAsia="zh-CN"/>
        </w:rPr>
        <w:t>4</w:t>
      </w:r>
      <w:r>
        <w:rPr>
          <w:rFonts w:hint="eastAsia" w:ascii="宋体" w:hAnsi="宋体"/>
          <w:bCs/>
          <w:szCs w:val="28"/>
          <w:highlight w:val="none"/>
          <w:u w:val="single"/>
        </w:rPr>
        <w:t>月</w:t>
      </w:r>
      <w:r>
        <w:rPr>
          <w:rFonts w:hint="eastAsia" w:ascii="宋体" w:hAnsi="宋体"/>
          <w:bCs/>
          <w:szCs w:val="28"/>
          <w:highlight w:val="none"/>
          <w:u w:val="single"/>
          <w:lang w:val="en-US" w:eastAsia="zh-CN"/>
        </w:rPr>
        <w:t>9</w:t>
      </w:r>
      <w:r>
        <w:rPr>
          <w:rFonts w:hint="eastAsia" w:ascii="宋体" w:hAnsi="宋体"/>
          <w:bCs/>
          <w:szCs w:val="28"/>
          <w:highlight w:val="none"/>
          <w:u w:val="single"/>
        </w:rPr>
        <w:t>日14点30分</w:t>
      </w:r>
      <w:r>
        <w:rPr>
          <w:rFonts w:hint="eastAsia" w:ascii="宋体" w:hAnsi="宋体"/>
          <w:bCs/>
          <w:szCs w:val="28"/>
          <w:highlight w:val="none"/>
          <w:u w:val="none"/>
        </w:rPr>
        <w:t>（</w:t>
      </w:r>
      <w:r>
        <w:rPr>
          <w:rFonts w:hint="eastAsia" w:ascii="宋体" w:hAnsi="宋体"/>
          <w:bCs/>
          <w:szCs w:val="28"/>
          <w:highlight w:val="none"/>
        </w:rPr>
        <w:t>北京时</w:t>
      </w:r>
      <w:r>
        <w:rPr>
          <w:rFonts w:hint="eastAsia" w:ascii="宋体" w:hAnsi="宋体"/>
          <w:bCs/>
          <w:szCs w:val="28"/>
        </w:rPr>
        <w:t>间）前递交投标</w:t>
      </w:r>
      <w:r>
        <w:rPr>
          <w:rFonts w:ascii="宋体" w:hAnsi="宋体"/>
          <w:bCs/>
          <w:szCs w:val="28"/>
        </w:rPr>
        <w:t>文件</w:t>
      </w:r>
      <w:r>
        <w:rPr>
          <w:rFonts w:hint="eastAsia" w:ascii="宋体" w:hAnsi="宋体"/>
          <w:szCs w:val="28"/>
        </w:rPr>
        <w:t>。</w:t>
      </w:r>
    </w:p>
    <w:p w14:paraId="75F49FC0">
      <w:pPr>
        <w:spacing w:line="360" w:lineRule="auto"/>
        <w:ind w:firstLine="420" w:firstLineChars="200"/>
        <w:rPr>
          <w:rFonts w:hint="eastAsia" w:ascii="宋体" w:hAnsi="宋体"/>
        </w:rPr>
      </w:pPr>
      <w:bookmarkStart w:id="8" w:name="OLE_LINK2"/>
    </w:p>
    <w:p w14:paraId="445E017D">
      <w:pPr>
        <w:spacing w:line="360" w:lineRule="auto"/>
        <w:ind w:firstLine="420" w:firstLineChars="200"/>
        <w:outlineLvl w:val="0"/>
        <w:rPr>
          <w:rFonts w:ascii="宋体" w:hAnsi="宋体"/>
          <w:b/>
        </w:rPr>
      </w:pPr>
      <w:r>
        <w:rPr>
          <w:rFonts w:hint="eastAsia" w:ascii="宋体" w:hAnsi="宋体"/>
        </w:rPr>
        <w:t>一、项目基本情况</w:t>
      </w:r>
    </w:p>
    <w:p w14:paraId="656BF1CC">
      <w:pPr>
        <w:spacing w:line="360" w:lineRule="auto"/>
        <w:ind w:firstLine="420" w:firstLineChars="200"/>
        <w:rPr>
          <w:rFonts w:hint="default" w:ascii="宋体" w:hAnsi="宋体" w:eastAsiaTheme="minorEastAsia"/>
          <w:lang w:val="en-US" w:eastAsia="zh-CN"/>
        </w:rPr>
      </w:pPr>
      <w:r>
        <w:rPr>
          <w:rFonts w:hint="eastAsia" w:ascii="宋体" w:hAnsi="宋体"/>
        </w:rPr>
        <w:t>项目编号：</w:t>
      </w:r>
      <w:r>
        <w:rPr>
          <w:rFonts w:hint="eastAsia" w:ascii="宋体" w:hAnsi="宋体"/>
          <w:lang w:val="en-US" w:eastAsia="zh-CN"/>
        </w:rPr>
        <w:t>FTEY-202505-QX003</w:t>
      </w:r>
    </w:p>
    <w:p w14:paraId="792813B2">
      <w:pPr>
        <w:spacing w:line="360" w:lineRule="auto"/>
        <w:ind w:firstLine="420" w:firstLineChars="200"/>
        <w:rPr>
          <w:rFonts w:hint="eastAsia" w:ascii="宋体" w:hAnsi="宋体" w:eastAsiaTheme="minorEastAsia"/>
          <w:lang w:eastAsia="zh-CN"/>
        </w:rPr>
      </w:pPr>
      <w:r>
        <w:rPr>
          <w:rFonts w:hint="eastAsia" w:ascii="宋体" w:hAnsi="宋体"/>
        </w:rPr>
        <w:t>项目名称：根尖定位仪</w:t>
      </w:r>
    </w:p>
    <w:p w14:paraId="118885C8">
      <w:pPr>
        <w:spacing w:line="360" w:lineRule="auto"/>
        <w:ind w:firstLine="420" w:firstLineChars="200"/>
        <w:rPr>
          <w:rFonts w:hint="eastAsia" w:ascii="宋体" w:hAnsi="宋体"/>
          <w:szCs w:val="21"/>
        </w:rPr>
      </w:pPr>
      <w:r>
        <w:rPr>
          <w:rFonts w:hint="eastAsia" w:ascii="宋体" w:hAnsi="宋体"/>
        </w:rPr>
        <w:t>预算金额：人民币柒万捌仟元整（¥</w:t>
      </w:r>
      <w:r>
        <w:rPr>
          <w:rFonts w:hint="eastAsia" w:ascii="宋体" w:hAnsi="宋体"/>
          <w:lang w:val="en-US" w:eastAsia="zh-CN"/>
        </w:rPr>
        <w:t>78000</w:t>
      </w:r>
      <w:r>
        <w:rPr>
          <w:rFonts w:hint="eastAsia" w:ascii="宋体" w:hAnsi="宋体"/>
        </w:rPr>
        <w:t>.00元）</w:t>
      </w:r>
    </w:p>
    <w:p w14:paraId="11B5D75C">
      <w:pPr>
        <w:spacing w:line="360" w:lineRule="auto"/>
        <w:ind w:firstLine="420" w:firstLineChars="200"/>
        <w:rPr>
          <w:rFonts w:hint="default" w:ascii="宋体" w:hAnsi="宋体" w:eastAsiaTheme="minorEastAsia"/>
          <w:szCs w:val="21"/>
          <w:lang w:val="en-US" w:eastAsia="zh-CN"/>
        </w:rPr>
      </w:pPr>
      <w:r>
        <w:rPr>
          <w:rFonts w:hint="eastAsia" w:ascii="宋体" w:hAnsi="宋体"/>
          <w:szCs w:val="21"/>
          <w:lang w:val="en-US" w:eastAsia="zh-CN"/>
        </w:rPr>
        <w:t>采购方式：公开征集</w:t>
      </w:r>
    </w:p>
    <w:p w14:paraId="3D8115B5">
      <w:pPr>
        <w:spacing w:line="360" w:lineRule="auto"/>
        <w:ind w:firstLine="420" w:firstLineChars="200"/>
        <w:rPr>
          <w:rFonts w:ascii="宋体" w:hAnsi="宋体"/>
          <w:u w:val="single"/>
        </w:rPr>
      </w:pPr>
      <w:r>
        <w:rPr>
          <w:rFonts w:hint="eastAsia" w:ascii="宋体" w:hAnsi="宋体"/>
        </w:rPr>
        <w:t>采购需求：详见</w:t>
      </w:r>
      <w:r>
        <w:rPr>
          <w:rFonts w:hint="eastAsia" w:ascii="宋体" w:hAnsi="宋体"/>
          <w:lang w:eastAsia="zh-CN"/>
        </w:rPr>
        <w:t>征集</w:t>
      </w:r>
      <w:r>
        <w:rPr>
          <w:rFonts w:hint="eastAsia" w:ascii="宋体" w:hAnsi="宋体"/>
        </w:rPr>
        <w:t>文件</w:t>
      </w:r>
    </w:p>
    <w:p w14:paraId="1C2AA89B">
      <w:pPr>
        <w:spacing w:line="360" w:lineRule="auto"/>
        <w:ind w:firstLine="420" w:firstLineChars="200"/>
        <w:rPr>
          <w:rFonts w:ascii="宋体" w:hAnsi="宋体"/>
          <w:u w:val="single"/>
        </w:rPr>
      </w:pPr>
      <w:r>
        <w:rPr>
          <w:rFonts w:hint="eastAsia" w:ascii="宋体" w:hAnsi="宋体"/>
        </w:rPr>
        <w:t>合同履行期限：详见</w:t>
      </w:r>
      <w:r>
        <w:rPr>
          <w:rFonts w:hint="eastAsia" w:ascii="宋体" w:hAnsi="宋体"/>
          <w:lang w:eastAsia="zh-CN"/>
        </w:rPr>
        <w:t>征集</w:t>
      </w:r>
      <w:r>
        <w:rPr>
          <w:rFonts w:hint="eastAsia" w:ascii="宋体" w:hAnsi="宋体"/>
        </w:rPr>
        <w:t>文件</w:t>
      </w:r>
    </w:p>
    <w:p w14:paraId="22B32CBD">
      <w:pPr>
        <w:spacing w:line="360" w:lineRule="auto"/>
        <w:ind w:firstLine="420" w:firstLineChars="200"/>
        <w:rPr>
          <w:rFonts w:hint="eastAsia" w:ascii="宋体" w:hAnsi="宋体"/>
        </w:rPr>
      </w:pPr>
      <w:r>
        <w:rPr>
          <w:rFonts w:hint="eastAsia" w:ascii="宋体" w:hAnsi="宋体"/>
        </w:rPr>
        <w:t>本项目不接受联合体投标。</w:t>
      </w:r>
    </w:p>
    <w:p w14:paraId="25206CE6">
      <w:pPr>
        <w:spacing w:line="360" w:lineRule="auto"/>
        <w:ind w:firstLine="420" w:firstLineChars="200"/>
        <w:rPr>
          <w:rFonts w:hint="eastAsia" w:ascii="宋体" w:hAnsi="宋体"/>
        </w:rPr>
      </w:pPr>
    </w:p>
    <w:p w14:paraId="1FCF967D">
      <w:pPr>
        <w:spacing w:line="360" w:lineRule="auto"/>
        <w:ind w:firstLine="420" w:firstLineChars="200"/>
        <w:outlineLvl w:val="0"/>
        <w:rPr>
          <w:rFonts w:ascii="宋体" w:hAnsi="宋体"/>
          <w:b/>
        </w:rPr>
      </w:pPr>
      <w:r>
        <w:rPr>
          <w:rFonts w:hint="eastAsia" w:ascii="宋体" w:hAnsi="宋体"/>
        </w:rPr>
        <w:t>二、申请人的资格要求：</w:t>
      </w:r>
    </w:p>
    <w:p w14:paraId="79CCFEC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Theme="minorEastAsia" w:cstheme="minorBidi"/>
          <w:kern w:val="2"/>
          <w:sz w:val="21"/>
          <w:szCs w:val="24"/>
          <w:lang w:val="en-US" w:eastAsia="zh-CN" w:bidi="ar-SA"/>
        </w:rPr>
      </w:pPr>
      <w:bookmarkStart w:id="9" w:name="_Toc27076"/>
      <w:r>
        <w:rPr>
          <w:rFonts w:hint="eastAsia" w:ascii="宋体" w:hAnsi="宋体" w:eastAsiaTheme="minorEastAsia" w:cstheme="minorBidi"/>
          <w:kern w:val="2"/>
          <w:sz w:val="21"/>
          <w:szCs w:val="24"/>
          <w:lang w:val="en-US" w:eastAsia="zh-CN" w:bidi="ar-SA"/>
        </w:rPr>
        <w:t>1、满足《中华人民共和国政府采购法》第二十二条规定（由供应商在《投标人资格声明函及履约承诺函》中作出声明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bookmarkEnd w:id="9"/>
    </w:p>
    <w:p w14:paraId="4857933A">
      <w:pPr>
        <w:spacing w:line="360" w:lineRule="auto"/>
        <w:ind w:firstLine="420" w:firstLineChars="200"/>
        <w:rPr>
          <w:rFonts w:hint="eastAsia" w:ascii="宋体" w:hAnsi="宋体"/>
          <w:lang w:eastAsia="zh-CN"/>
        </w:rPr>
      </w:pPr>
      <w:r>
        <w:rPr>
          <w:rFonts w:hint="eastAsia" w:ascii="宋体" w:hAnsi="宋体"/>
        </w:rPr>
        <w:t>2、投标人具有独立法人资格或独立承担民事责任能力的其他组织（提供营业执照或事业单位法人证等法人证明复印件加盖投标人公章，原件备查）</w:t>
      </w:r>
      <w:r>
        <w:rPr>
          <w:rFonts w:hint="eastAsia" w:ascii="宋体" w:hAnsi="宋体"/>
          <w:lang w:eastAsia="zh-CN"/>
        </w:rPr>
        <w:t>；</w:t>
      </w:r>
    </w:p>
    <w:p w14:paraId="4D702BE4">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投标人的医疗器械生产/经营资格：</w:t>
      </w:r>
    </w:p>
    <w:p w14:paraId="0CFEC3E0">
      <w:pPr>
        <w:spacing w:line="360" w:lineRule="auto"/>
        <w:ind w:firstLine="420" w:firstLineChars="200"/>
        <w:rPr>
          <w:rFonts w:hint="eastAsia" w:ascii="宋体" w:hAnsi="宋体"/>
        </w:rPr>
      </w:pPr>
      <w:r>
        <w:rPr>
          <w:rFonts w:hint="eastAsia" w:ascii="宋体" w:hAnsi="宋体"/>
          <w:lang w:val="en-US" w:eastAsia="zh-CN"/>
        </w:rPr>
        <w:t>①</w:t>
      </w:r>
      <w:r>
        <w:rPr>
          <w:rFonts w:hint="eastAsia" w:ascii="宋体" w:hAnsi="宋体"/>
        </w:rPr>
        <w:t>若投标人若为生产企业（指所投医疗器械的注册人或备案人）：所投产品为第一类医疗器械的，提供监督管理部门签发的涵盖所投医疗器械的有效《第一类医疗器械生产备案凭证》或备案证明文件；所投产品为第二、三类医疗器械的，提供监督管理部门签发的涵盖所投医疗器械的有效《医疗器械生产许可证》。（提供相关证明材料复印件加盖投标人公章）</w:t>
      </w:r>
    </w:p>
    <w:p w14:paraId="0096F72F">
      <w:pPr>
        <w:spacing w:line="360" w:lineRule="auto"/>
        <w:ind w:firstLine="420" w:firstLineChars="200"/>
        <w:rPr>
          <w:rFonts w:hint="default" w:ascii="宋体" w:hAnsi="宋体"/>
          <w:lang w:val="en-US" w:eastAsia="zh-CN"/>
        </w:rPr>
      </w:pPr>
      <w:r>
        <w:rPr>
          <w:rFonts w:hint="eastAsia" w:ascii="宋体" w:hAnsi="宋体"/>
          <w:lang w:val="en-US" w:eastAsia="zh-CN"/>
        </w:rPr>
        <w:t>②</w:t>
      </w:r>
      <w:r>
        <w:rPr>
          <w:rFonts w:hint="eastAsia" w:ascii="宋体" w:hAnsi="宋体"/>
        </w:rPr>
        <w:t>若投标人若为经营企业：所投产品为第二类医疗器械的，提供监督管理部门签发的涵盖所投医疗器械的有效《医疗器械经营备案凭证》（属于监督管理部门公布的免于经营备案的医疗器械除外）；所投产品为第三类医疗器械的，提供监督管理部门签发的涵盖所投医疗器械的有效《医疗器械经营许可证》。（提供相关证明材料复印件加盖投标人公章）</w:t>
      </w:r>
    </w:p>
    <w:p w14:paraId="62B7FE0C">
      <w:pPr>
        <w:spacing w:line="360" w:lineRule="auto"/>
        <w:ind w:firstLine="420" w:firstLineChars="200"/>
        <w:rPr>
          <w:rFonts w:ascii="宋体" w:hAnsi="宋体"/>
        </w:rPr>
      </w:pPr>
      <w:r>
        <w:rPr>
          <w:rFonts w:hint="eastAsia" w:ascii="宋体" w:hAnsi="宋体"/>
          <w:lang w:val="en-US" w:eastAsia="zh-CN"/>
        </w:rPr>
        <w:t>4</w:t>
      </w:r>
      <w:r>
        <w:rPr>
          <w:rFonts w:hint="eastAsia" w:ascii="宋体" w:hAnsi="宋体"/>
        </w:rPr>
        <w:t>、本项目</w:t>
      </w:r>
      <w:r>
        <w:rPr>
          <w:rFonts w:hint="eastAsia" w:ascii="宋体" w:hAnsi="宋体"/>
          <w:b/>
        </w:rPr>
        <w:t>接受</w:t>
      </w:r>
      <w:r>
        <w:rPr>
          <w:rFonts w:hint="eastAsia" w:ascii="宋体" w:hAnsi="宋体"/>
        </w:rPr>
        <w:t>供应商选用进口产品参与投标（进口产品是指通过中国海关报关验收进入中国境内且产自境外的产品）；</w:t>
      </w:r>
    </w:p>
    <w:p w14:paraId="4799F45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ascii="宋体" w:hAnsi="宋体"/>
        </w:rPr>
      </w:pPr>
      <w:bookmarkStart w:id="10" w:name="_Toc27695"/>
      <w:r>
        <w:rPr>
          <w:rFonts w:hint="eastAsia" w:ascii="宋体" w:hAnsi="宋体"/>
          <w:lang w:val="en-US" w:eastAsia="zh-CN"/>
        </w:rPr>
        <w:t>5</w:t>
      </w:r>
      <w:r>
        <w:rPr>
          <w:rFonts w:hint="eastAsia" w:ascii="宋体" w:hAnsi="宋体"/>
        </w:rPr>
        <w:t>、参与本项目投标前三年内，在经营活动中没有重大违法记录</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bookmarkEnd w:id="10"/>
    </w:p>
    <w:p w14:paraId="7875783B">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6</w:t>
      </w:r>
      <w:r>
        <w:rPr>
          <w:rFonts w:hint="eastAsia" w:ascii="宋体" w:hAnsi="宋体"/>
        </w:rPr>
        <w:t>、参与本项目政府采购活动时不存在被有关部门禁止参与政府采购活动且在有效期内的情况</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5396B01A">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7</w:t>
      </w:r>
      <w:r>
        <w:rPr>
          <w:rFonts w:hint="eastAsia" w:ascii="宋体" w:hAnsi="宋体"/>
        </w:rPr>
        <w:t>、供应商未被列入失信被执行人、重大税收违法案件当事人名单、政府采购严重违法失信行为记录名单，不存在《深圳市财政局政府采购供应商信用信息管理办法》（深财规〔2023〕3 号）列明的严重违法失信行为</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763DD6D8">
      <w:pPr>
        <w:spacing w:line="360" w:lineRule="auto"/>
        <w:ind w:firstLine="420" w:firstLineChars="200"/>
        <w:rPr>
          <w:rFonts w:ascii="宋体" w:hAnsi="宋体"/>
        </w:rPr>
      </w:pPr>
      <w:r>
        <w:rPr>
          <w:rFonts w:hint="eastAsia" w:ascii="宋体" w:hAnsi="宋体"/>
          <w:lang w:val="en-US" w:eastAsia="zh-CN"/>
        </w:rPr>
        <w:t>8</w:t>
      </w:r>
      <w:r>
        <w:rPr>
          <w:rFonts w:hint="eastAsia" w:ascii="宋体" w:hAnsi="宋体"/>
        </w:rPr>
        <w:t>、本项目不接受联合体投标，不允许分包、转包。</w:t>
      </w:r>
    </w:p>
    <w:p w14:paraId="47C6FE71">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9</w:t>
      </w:r>
      <w:r>
        <w:rPr>
          <w:rFonts w:hint="eastAsia" w:ascii="宋体" w:hAnsi="宋体"/>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5E1264F4">
      <w:pPr>
        <w:spacing w:line="360" w:lineRule="auto"/>
        <w:ind w:firstLine="420" w:firstLineChars="200"/>
        <w:rPr>
          <w:rFonts w:ascii="宋体" w:hAnsi="宋体"/>
        </w:rPr>
      </w:pPr>
      <w:r>
        <w:rPr>
          <w:rFonts w:hint="eastAsia" w:ascii="宋体" w:hAnsi="宋体"/>
          <w:lang w:val="en-US" w:eastAsia="zh-CN"/>
        </w:rPr>
        <w:t>10</w:t>
      </w:r>
      <w:r>
        <w:rPr>
          <w:rFonts w:hint="eastAsia" w:ascii="宋体" w:hAnsi="宋体"/>
        </w:rPr>
        <w:t>、本项目是（否）专门面向中小企业采购：否。</w:t>
      </w:r>
    </w:p>
    <w:p w14:paraId="066F3206">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rPr>
        <w:t>1</w:t>
      </w:r>
      <w:r>
        <w:rPr>
          <w:rFonts w:hint="eastAsia" w:ascii="宋体" w:hAnsi="宋体"/>
          <w:lang w:val="en-US" w:eastAsia="zh-CN"/>
        </w:rPr>
        <w:t>1</w:t>
      </w:r>
      <w:r>
        <w:rPr>
          <w:rFonts w:hint="eastAsia" w:ascii="宋体" w:hAnsi="宋体"/>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02B7BA36">
      <w:pPr>
        <w:spacing w:line="360" w:lineRule="auto"/>
        <w:ind w:firstLine="420" w:firstLineChars="200"/>
        <w:rPr>
          <w:rFonts w:ascii="宋体" w:hAnsi="宋体"/>
        </w:rPr>
      </w:pPr>
      <w:r>
        <w:rPr>
          <w:rFonts w:hint="eastAsia" w:ascii="宋体" w:hAnsi="宋体"/>
        </w:rPr>
        <w:t>注：（1）“信用中国”（www.creditchina.gov.cn）、“中国政府采购网”（www.ccgp.gov.cn）、“深圳市政府采购监管网”（http://zfcg.sz.gov.cn）以及市、区财政部门认定的其他渠道为供应商信用信息的查询渠道，相关信息以</w:t>
      </w:r>
      <w:r>
        <w:rPr>
          <w:rFonts w:hint="eastAsia" w:ascii="宋体" w:hAnsi="宋体"/>
          <w:lang w:val="en-US" w:eastAsia="zh-CN"/>
        </w:rPr>
        <w:t>采购人</w:t>
      </w:r>
      <w:r>
        <w:rPr>
          <w:rFonts w:hint="eastAsia" w:ascii="宋体" w:hAnsi="宋体"/>
        </w:rPr>
        <w:t>开标当日的查询结果为准。</w:t>
      </w:r>
    </w:p>
    <w:p w14:paraId="54EF219F">
      <w:pPr>
        <w:numPr>
          <w:ilvl w:val="0"/>
          <w:numId w:val="3"/>
        </w:numPr>
        <w:spacing w:line="360" w:lineRule="auto"/>
        <w:ind w:firstLine="420" w:firstLineChars="200"/>
        <w:rPr>
          <w:rFonts w:hint="eastAsia" w:ascii="宋体" w:hAnsi="宋体"/>
        </w:rPr>
      </w:pPr>
      <w:r>
        <w:rPr>
          <w:rFonts w:hint="eastAsia" w:ascii="宋体" w:hAnsi="宋体"/>
        </w:rPr>
        <w:t>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14:paraId="0D24330A">
      <w:pPr>
        <w:spacing w:line="360" w:lineRule="auto"/>
        <w:ind w:firstLine="420" w:firstLineChars="200"/>
        <w:rPr>
          <w:rFonts w:hint="eastAsia" w:ascii="宋体" w:hAnsi="宋体"/>
          <w:lang w:val="en-US" w:eastAsia="zh-CN"/>
        </w:rPr>
      </w:pPr>
    </w:p>
    <w:p w14:paraId="2E0B1E6D">
      <w:pPr>
        <w:spacing w:line="360" w:lineRule="auto"/>
        <w:ind w:firstLine="420" w:firstLineChars="200"/>
        <w:outlineLvl w:val="0"/>
        <w:rPr>
          <w:rFonts w:hint="default" w:ascii="宋体" w:hAnsi="宋体" w:eastAsiaTheme="minorEastAsia"/>
          <w:b/>
          <w:lang w:val="en-US" w:eastAsia="zh-CN"/>
        </w:rPr>
      </w:pPr>
      <w:r>
        <w:rPr>
          <w:rFonts w:hint="eastAsia" w:ascii="宋体" w:hAnsi="宋体"/>
          <w:lang w:val="en-US" w:eastAsia="zh-CN"/>
        </w:rPr>
        <w:t>三</w:t>
      </w:r>
      <w:r>
        <w:rPr>
          <w:rFonts w:hint="eastAsia" w:ascii="宋体" w:hAnsi="宋体"/>
        </w:rPr>
        <w:t>、</w:t>
      </w:r>
      <w:r>
        <w:rPr>
          <w:rFonts w:hint="eastAsia" w:ascii="宋体" w:hAnsi="宋体"/>
          <w:lang w:val="en-US" w:eastAsia="zh-CN"/>
        </w:rPr>
        <w:t>相关招投标时间及地点信息</w:t>
      </w:r>
    </w:p>
    <w:p w14:paraId="6F0FAEE1">
      <w:pPr>
        <w:numPr>
          <w:ilvl w:val="0"/>
          <w:numId w:val="0"/>
        </w:numPr>
        <w:spacing w:line="360" w:lineRule="auto"/>
        <w:ind w:firstLine="420" w:firstLineChars="200"/>
        <w:outlineLvl w:val="9"/>
        <w:rPr>
          <w:rFonts w:hint="eastAsia" w:ascii="宋体" w:hAnsi="宋体" w:eastAsiaTheme="minorEastAsia" w:cstheme="minorBidi"/>
          <w:bCs/>
          <w:kern w:val="2"/>
          <w:sz w:val="21"/>
          <w:szCs w:val="24"/>
          <w:highlight w:val="none"/>
          <w:lang w:val="en-US" w:eastAsia="zh-CN" w:bidi="ar-SA"/>
        </w:rPr>
      </w:pPr>
      <w:r>
        <w:rPr>
          <w:rFonts w:hint="eastAsia" w:ascii="宋体" w:hAnsi="宋体" w:eastAsiaTheme="minorEastAsia" w:cstheme="minorBidi"/>
          <w:bCs/>
          <w:kern w:val="2"/>
          <w:sz w:val="21"/>
          <w:szCs w:val="24"/>
          <w:highlight w:val="none"/>
          <w:lang w:val="en-US" w:eastAsia="zh-CN" w:bidi="ar-SA"/>
        </w:rPr>
        <w:t>1、</w:t>
      </w:r>
      <w:r>
        <w:rPr>
          <w:rFonts w:hint="eastAsia" w:ascii="宋体" w:hAnsi="宋体" w:eastAsia="宋体" w:cs="宋体"/>
          <w:i w:val="0"/>
          <w:iCs w:val="0"/>
          <w:caps w:val="0"/>
          <w:strike w:val="0"/>
          <w:dstrike w:val="0"/>
          <w:color w:val="000000" w:themeColor="text1"/>
          <w:spacing w:val="0"/>
          <w:kern w:val="0"/>
          <w:sz w:val="21"/>
          <w:szCs w:val="21"/>
          <w:highlight w:val="none"/>
          <w:shd w:val="clear" w:fill="FFFFFF"/>
          <w:lang w:val="en-US" w:eastAsia="zh-CN" w:bidi="ar"/>
          <w14:textFill>
            <w14:solidFill>
              <w14:schemeClr w14:val="tx1"/>
            </w14:solidFill>
          </w14:textFill>
        </w:rPr>
        <w:t>报名时间：2026年3月27日8时00分至2026年4月2日17时00分止。</w:t>
      </w:r>
    </w:p>
    <w:p w14:paraId="1A0158DA">
      <w:pPr>
        <w:spacing w:line="360" w:lineRule="auto"/>
        <w:ind w:firstLine="420" w:firstLineChars="200"/>
        <w:rPr>
          <w:rFonts w:ascii="宋体" w:hAnsi="宋体"/>
          <w:bCs/>
          <w:highlight w:val="none"/>
        </w:rPr>
      </w:pPr>
      <w:r>
        <w:rPr>
          <w:rFonts w:hint="eastAsia" w:ascii="宋体" w:hAnsi="宋体"/>
          <w:bCs/>
          <w:highlight w:val="none"/>
          <w:lang w:val="en-US" w:eastAsia="zh-CN"/>
        </w:rPr>
        <w:t>2</w:t>
      </w:r>
      <w:r>
        <w:rPr>
          <w:rFonts w:hint="eastAsia" w:ascii="宋体" w:hAnsi="宋体"/>
          <w:bCs/>
          <w:highlight w:val="none"/>
        </w:rPr>
        <w:t>、投标文件递交时间：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4</w:t>
      </w:r>
      <w:r>
        <w:rPr>
          <w:rFonts w:hint="eastAsia" w:ascii="宋体" w:hAnsi="宋体"/>
          <w:highlight w:val="none"/>
        </w:rPr>
        <w:t>月</w:t>
      </w:r>
      <w:r>
        <w:rPr>
          <w:rFonts w:hint="eastAsia" w:ascii="宋体" w:hAnsi="宋体"/>
          <w:highlight w:val="none"/>
          <w:lang w:val="en-US" w:eastAsia="zh-CN"/>
        </w:rPr>
        <w:t>9</w:t>
      </w:r>
      <w:r>
        <w:rPr>
          <w:rFonts w:hint="eastAsia" w:ascii="宋体" w:hAnsi="宋体"/>
          <w:highlight w:val="none"/>
        </w:rPr>
        <w:t>日</w:t>
      </w:r>
      <w:r>
        <w:rPr>
          <w:rFonts w:hint="eastAsia" w:ascii="宋体" w:hAnsi="宋体"/>
          <w:bCs/>
          <w:highlight w:val="none"/>
        </w:rPr>
        <w:t>14:00至14:30（北京时间）；</w:t>
      </w:r>
    </w:p>
    <w:p w14:paraId="1157F1DE">
      <w:pPr>
        <w:spacing w:line="360" w:lineRule="auto"/>
        <w:ind w:firstLine="420" w:firstLineChars="200"/>
        <w:rPr>
          <w:rFonts w:hint="default" w:ascii="宋体" w:hAnsi="宋体"/>
          <w:bCs/>
          <w:highlight w:val="none"/>
          <w:lang w:val="en-US"/>
        </w:rPr>
      </w:pPr>
      <w:r>
        <w:rPr>
          <w:rFonts w:hint="eastAsia" w:ascii="宋体" w:hAnsi="宋体"/>
          <w:bCs/>
          <w:highlight w:val="none"/>
          <w:lang w:val="en-US" w:eastAsia="zh-CN"/>
        </w:rPr>
        <w:t>3</w:t>
      </w:r>
      <w:r>
        <w:rPr>
          <w:rFonts w:hint="eastAsia" w:ascii="宋体" w:hAnsi="宋体"/>
          <w:bCs/>
          <w:highlight w:val="none"/>
        </w:rPr>
        <w:t>、投标文件递交地点：</w:t>
      </w:r>
      <w:r>
        <w:rPr>
          <w:rFonts w:hint="eastAsia" w:ascii="宋体"/>
          <w:bCs/>
          <w:color w:val="auto"/>
          <w:szCs w:val="20"/>
          <w:highlight w:val="none"/>
          <w:lang w:val="en-US" w:eastAsia="zh-CN"/>
        </w:rPr>
        <w:t>深圳市福田区梅林街道中康路27号综合楼A栋501室</w:t>
      </w:r>
    </w:p>
    <w:p w14:paraId="74CAA61F">
      <w:pPr>
        <w:spacing w:line="360" w:lineRule="auto"/>
        <w:ind w:firstLine="420" w:firstLineChars="200"/>
        <w:rPr>
          <w:rFonts w:ascii="宋体" w:hAnsi="宋体"/>
          <w:bCs/>
          <w:highlight w:val="none"/>
        </w:rPr>
      </w:pPr>
      <w:r>
        <w:rPr>
          <w:rFonts w:hint="eastAsia" w:ascii="宋体" w:hAnsi="宋体"/>
          <w:bCs/>
          <w:highlight w:val="none"/>
          <w:lang w:val="en-US" w:eastAsia="zh-CN"/>
        </w:rPr>
        <w:t>4</w:t>
      </w:r>
      <w:r>
        <w:rPr>
          <w:rFonts w:hint="eastAsia" w:ascii="宋体" w:hAnsi="宋体"/>
          <w:bCs/>
          <w:highlight w:val="none"/>
        </w:rPr>
        <w:t>、递交投标文件截止时间：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4</w:t>
      </w:r>
      <w:r>
        <w:rPr>
          <w:rFonts w:hint="eastAsia" w:ascii="宋体" w:hAnsi="宋体"/>
          <w:highlight w:val="none"/>
        </w:rPr>
        <w:t>月</w:t>
      </w:r>
      <w:r>
        <w:rPr>
          <w:rFonts w:hint="eastAsia" w:ascii="宋体" w:hAnsi="宋体"/>
          <w:highlight w:val="none"/>
          <w:lang w:val="en-US" w:eastAsia="zh-CN"/>
        </w:rPr>
        <w:t>9</w:t>
      </w:r>
      <w:r>
        <w:rPr>
          <w:rFonts w:hint="eastAsia" w:ascii="宋体" w:hAnsi="宋体"/>
          <w:highlight w:val="none"/>
        </w:rPr>
        <w:t>日</w:t>
      </w:r>
      <w:r>
        <w:rPr>
          <w:rFonts w:hint="eastAsia" w:ascii="宋体" w:hAnsi="宋体"/>
          <w:bCs/>
          <w:highlight w:val="none"/>
        </w:rPr>
        <w:t>14:30（北京时间）</w:t>
      </w:r>
      <w:r>
        <w:rPr>
          <w:rFonts w:hint="eastAsia" w:ascii="宋体" w:hAnsi="宋体"/>
          <w:bCs/>
          <w:highlight w:val="none"/>
          <w:lang w:eastAsia="zh-CN"/>
        </w:rPr>
        <w:t>，</w:t>
      </w:r>
      <w:r>
        <w:rPr>
          <w:rFonts w:hint="eastAsia" w:ascii="宋体" w:hAnsi="宋体"/>
          <w:bCs/>
          <w:highlight w:val="none"/>
        </w:rPr>
        <w:t>所有投标文件应于投标截止时间之前递交，迟交的投标文件将拒绝接收；</w:t>
      </w:r>
    </w:p>
    <w:p w14:paraId="416C132A">
      <w:pPr>
        <w:spacing w:line="360" w:lineRule="auto"/>
        <w:ind w:firstLine="420" w:firstLineChars="200"/>
        <w:rPr>
          <w:rFonts w:ascii="宋体" w:hAnsi="宋体"/>
          <w:bCs/>
          <w:highlight w:val="none"/>
        </w:rPr>
      </w:pPr>
      <w:r>
        <w:rPr>
          <w:rFonts w:hint="eastAsia" w:ascii="宋体" w:hAnsi="宋体"/>
          <w:bCs/>
          <w:highlight w:val="none"/>
          <w:lang w:val="en-US" w:eastAsia="zh-CN"/>
        </w:rPr>
        <w:t>5</w:t>
      </w:r>
      <w:r>
        <w:rPr>
          <w:rFonts w:hint="eastAsia" w:ascii="宋体" w:hAnsi="宋体"/>
          <w:bCs/>
          <w:highlight w:val="none"/>
        </w:rPr>
        <w:t>、开标时间：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4</w:t>
      </w:r>
      <w:r>
        <w:rPr>
          <w:rFonts w:hint="eastAsia" w:ascii="宋体" w:hAnsi="宋体"/>
          <w:highlight w:val="none"/>
        </w:rPr>
        <w:t>月</w:t>
      </w:r>
      <w:r>
        <w:rPr>
          <w:rFonts w:hint="eastAsia" w:ascii="宋体" w:hAnsi="宋体"/>
          <w:highlight w:val="none"/>
          <w:lang w:val="en-US" w:eastAsia="zh-CN"/>
        </w:rPr>
        <w:t>9</w:t>
      </w:r>
      <w:r>
        <w:rPr>
          <w:rFonts w:hint="eastAsia" w:ascii="宋体" w:hAnsi="宋体"/>
          <w:highlight w:val="none"/>
        </w:rPr>
        <w:t>日</w:t>
      </w:r>
      <w:r>
        <w:rPr>
          <w:rFonts w:hint="eastAsia" w:ascii="宋体" w:hAnsi="宋体"/>
          <w:bCs/>
          <w:highlight w:val="none"/>
        </w:rPr>
        <w:t>14:30（北京时间）</w:t>
      </w:r>
    </w:p>
    <w:p w14:paraId="7CA577EA">
      <w:pPr>
        <w:spacing w:line="360" w:lineRule="auto"/>
        <w:ind w:firstLine="420" w:firstLineChars="200"/>
        <w:rPr>
          <w:rFonts w:ascii="宋体" w:hAnsi="宋体"/>
          <w:bCs/>
          <w:highlight w:val="none"/>
        </w:rPr>
      </w:pPr>
      <w:r>
        <w:rPr>
          <w:rFonts w:hint="eastAsia" w:ascii="宋体" w:hAnsi="宋体"/>
          <w:bCs/>
          <w:highlight w:val="none"/>
          <w:lang w:val="en-US" w:eastAsia="zh-CN"/>
        </w:rPr>
        <w:t>6</w:t>
      </w:r>
      <w:r>
        <w:rPr>
          <w:rFonts w:hint="eastAsia" w:ascii="宋体" w:hAnsi="宋体"/>
          <w:bCs/>
          <w:highlight w:val="none"/>
        </w:rPr>
        <w:t>、开标地点：</w:t>
      </w:r>
      <w:r>
        <w:rPr>
          <w:rFonts w:hint="eastAsia" w:ascii="宋体"/>
          <w:bCs/>
          <w:color w:val="auto"/>
          <w:szCs w:val="20"/>
          <w:highlight w:val="none"/>
          <w:lang w:val="en-US" w:eastAsia="zh-CN"/>
        </w:rPr>
        <w:t>深圳市福田区梅林街道中康路27号综合楼A栋501室</w:t>
      </w:r>
    </w:p>
    <w:p w14:paraId="003CCE7E">
      <w:pPr>
        <w:spacing w:line="360" w:lineRule="auto"/>
        <w:ind w:firstLine="420" w:firstLineChars="200"/>
        <w:rPr>
          <w:rFonts w:hint="eastAsia" w:ascii="宋体" w:hAnsi="宋体"/>
          <w:lang w:val="en-US" w:eastAsia="zh-CN"/>
        </w:rPr>
      </w:pPr>
    </w:p>
    <w:p w14:paraId="3A925972">
      <w:pPr>
        <w:spacing w:line="360" w:lineRule="auto"/>
        <w:ind w:firstLine="420" w:firstLineChars="200"/>
        <w:outlineLvl w:val="0"/>
        <w:rPr>
          <w:rFonts w:ascii="宋体" w:hAnsi="宋体"/>
          <w:b/>
        </w:rPr>
      </w:pPr>
      <w:r>
        <w:rPr>
          <w:rFonts w:hint="eastAsia" w:ascii="宋体" w:hAnsi="宋体"/>
          <w:lang w:val="en-US" w:eastAsia="zh-CN"/>
        </w:rPr>
        <w:t>四</w:t>
      </w:r>
      <w:r>
        <w:rPr>
          <w:rFonts w:hint="eastAsia" w:ascii="宋体" w:hAnsi="宋体"/>
        </w:rPr>
        <w:t>、公告期限</w:t>
      </w:r>
    </w:p>
    <w:p w14:paraId="53BA3E0E">
      <w:pPr>
        <w:spacing w:line="360" w:lineRule="auto"/>
        <w:ind w:firstLine="420" w:firstLineChars="200"/>
        <w:rPr>
          <w:rFonts w:ascii="宋体" w:hAnsi="宋体"/>
          <w:kern w:val="0"/>
        </w:rPr>
      </w:pPr>
      <w:r>
        <w:rPr>
          <w:rFonts w:hint="eastAsia" w:ascii="宋体" w:hAnsi="宋体"/>
          <w:kern w:val="0"/>
        </w:rPr>
        <w:t>自本公告发布之日起5个工作日。</w:t>
      </w:r>
    </w:p>
    <w:p w14:paraId="790F53A0">
      <w:pPr>
        <w:spacing w:line="360" w:lineRule="auto"/>
        <w:ind w:firstLine="420" w:firstLineChars="200"/>
        <w:rPr>
          <w:rFonts w:hint="eastAsia" w:ascii="宋体" w:hAnsi="宋体"/>
          <w:lang w:val="en-US" w:eastAsia="zh-CN"/>
        </w:rPr>
      </w:pPr>
    </w:p>
    <w:p w14:paraId="0972B18F">
      <w:pPr>
        <w:numPr>
          <w:ilvl w:val="0"/>
          <w:numId w:val="4"/>
        </w:numPr>
        <w:spacing w:line="360" w:lineRule="auto"/>
        <w:ind w:firstLine="420" w:firstLineChars="200"/>
        <w:outlineLvl w:val="0"/>
        <w:rPr>
          <w:rFonts w:hint="default" w:ascii="宋体" w:hAnsi="宋体"/>
          <w:lang w:val="en-US" w:eastAsia="zh-CN"/>
        </w:rPr>
      </w:pPr>
      <w:r>
        <w:rPr>
          <w:rFonts w:hint="eastAsia" w:ascii="宋体" w:hAnsi="宋体"/>
          <w:lang w:val="en-US" w:eastAsia="zh-CN"/>
        </w:rPr>
        <w:t>报名事宜</w:t>
      </w:r>
    </w:p>
    <w:p w14:paraId="5920D85F">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有意参与投标的供应商需将附件一.报名文件填写完毕并加盖公章后，发送至邮箱zbcgb@ft2yy.cn进行报名。</w:t>
      </w:r>
    </w:p>
    <w:p w14:paraId="5AAE8624">
      <w:pPr>
        <w:numPr>
          <w:ilvl w:val="0"/>
          <w:numId w:val="0"/>
        </w:numPr>
        <w:spacing w:line="360" w:lineRule="auto"/>
        <w:ind w:firstLine="420" w:firstLineChars="200"/>
        <w:rPr>
          <w:rFonts w:hint="default" w:ascii="宋体" w:hAnsi="宋体"/>
          <w:lang w:val="en-US" w:eastAsia="zh-CN"/>
        </w:rPr>
      </w:pPr>
    </w:p>
    <w:p w14:paraId="4F2DF4E0">
      <w:pPr>
        <w:numPr>
          <w:ilvl w:val="0"/>
          <w:numId w:val="4"/>
        </w:numPr>
        <w:spacing w:line="360" w:lineRule="auto"/>
        <w:ind w:firstLine="420" w:firstLineChars="200"/>
        <w:outlineLvl w:val="0"/>
        <w:rPr>
          <w:rFonts w:hint="eastAsia" w:ascii="宋体" w:hAnsi="宋体"/>
        </w:rPr>
      </w:pPr>
      <w:r>
        <w:rPr>
          <w:rFonts w:hint="eastAsia" w:ascii="宋体" w:hAnsi="宋体"/>
        </w:rPr>
        <w:t>其他补充事宜</w:t>
      </w:r>
    </w:p>
    <w:p w14:paraId="49A5F5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lang w:val="en-US" w:eastAsia="zh-CN"/>
        </w:rPr>
      </w:pPr>
      <w:r>
        <w:rPr>
          <w:rFonts w:hint="eastAsia" w:ascii="宋体" w:hAnsi="宋体"/>
          <w:lang w:val="en-US" w:eastAsia="zh-CN"/>
        </w:rPr>
        <w:t>1.报名的供应商若因任何原因无法应标，请在开标时间前1个日历日书面告知。若未告知，视为能够如期应标。如果出现未书面告知又没有如期应标的情况，我院将视情况，将违规公司列入不诚信名单。</w:t>
      </w:r>
    </w:p>
    <w:p w14:paraId="30405C1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r>
        <w:rPr>
          <w:rFonts w:hint="eastAsia" w:ascii="宋体" w:hAnsi="宋体"/>
          <w:lang w:val="en-US" w:eastAsia="zh-CN"/>
        </w:rPr>
        <w:t>2.</w:t>
      </w:r>
      <w:r>
        <w:rPr>
          <w:rFonts w:hint="eastAsia" w:ascii="宋体" w:hAnsi="宋体"/>
        </w:rPr>
        <w:t>投标人有义务在</w:t>
      </w:r>
      <w:r>
        <w:rPr>
          <w:rFonts w:hint="eastAsia" w:ascii="宋体" w:hAnsi="宋体"/>
          <w:lang w:eastAsia="zh-CN"/>
        </w:rPr>
        <w:t>征集</w:t>
      </w:r>
      <w:r>
        <w:rPr>
          <w:rFonts w:hint="eastAsia" w:ascii="宋体" w:hAnsi="宋体"/>
        </w:rPr>
        <w:t>活动期间浏览</w:t>
      </w:r>
      <w:r>
        <w:rPr>
          <w:rFonts w:hint="eastAsia" w:ascii="宋体" w:hAnsi="宋体"/>
          <w:lang w:val="en-US" w:eastAsia="zh-CN"/>
        </w:rPr>
        <w:t>深圳市福田区第二人民医院</w:t>
      </w:r>
      <w:r>
        <w:rPr>
          <w:rFonts w:hint="eastAsia" w:ascii="宋体"/>
          <w:bCs/>
          <w:color w:val="auto"/>
          <w:szCs w:val="20"/>
          <w:highlight w:val="none"/>
          <w:lang w:val="en-US" w:eastAsia="zh-CN"/>
        </w:rPr>
        <w:t>网站（https://www.ft2yy.cn/）。相关公告在上述媒体上公布之日即视为有效送达，不再另行通知。</w:t>
      </w:r>
    </w:p>
    <w:p w14:paraId="28D320D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p>
    <w:p w14:paraId="3019BE1D">
      <w:pPr>
        <w:spacing w:line="360" w:lineRule="auto"/>
        <w:ind w:firstLine="420" w:firstLineChars="200"/>
        <w:outlineLvl w:val="0"/>
        <w:rPr>
          <w:rFonts w:ascii="宋体" w:hAnsi="宋体"/>
          <w:b/>
        </w:rPr>
      </w:pPr>
      <w:r>
        <w:rPr>
          <w:rFonts w:hint="eastAsia" w:ascii="宋体" w:hAnsi="宋体"/>
          <w:lang w:val="en-US" w:eastAsia="zh-CN"/>
        </w:rPr>
        <w:t>七</w:t>
      </w:r>
      <w:r>
        <w:rPr>
          <w:rFonts w:hint="eastAsia" w:ascii="宋体" w:hAnsi="宋体"/>
        </w:rPr>
        <w:t>、对本次</w:t>
      </w:r>
      <w:r>
        <w:rPr>
          <w:rFonts w:hint="eastAsia" w:ascii="宋体" w:hAnsi="宋体"/>
          <w:lang w:eastAsia="zh-CN"/>
        </w:rPr>
        <w:t>征集</w:t>
      </w:r>
      <w:r>
        <w:rPr>
          <w:rFonts w:hint="eastAsia" w:ascii="宋体" w:hAnsi="宋体"/>
        </w:rPr>
        <w:t>提出询问，请按</w:t>
      </w:r>
      <w:r>
        <w:rPr>
          <w:rFonts w:ascii="宋体" w:hAnsi="宋体"/>
        </w:rPr>
        <w:t>以下方式</w:t>
      </w:r>
      <w:r>
        <w:rPr>
          <w:rFonts w:hint="eastAsia" w:ascii="宋体" w:hAnsi="宋体"/>
        </w:rPr>
        <w:t>联系。</w:t>
      </w:r>
    </w:p>
    <w:p w14:paraId="4F679AC3">
      <w:pPr>
        <w:adjustRightInd w:val="0"/>
        <w:snapToGrid w:val="0"/>
        <w:spacing w:line="360" w:lineRule="auto"/>
        <w:ind w:firstLine="424" w:firstLineChars="202"/>
        <w:rPr>
          <w:rFonts w:hint="default" w:ascii="宋体"/>
          <w:bCs/>
          <w:color w:val="auto"/>
          <w:szCs w:val="20"/>
          <w:highlight w:val="none"/>
          <w:lang w:val="en-US" w:eastAsia="zh-CN"/>
        </w:rPr>
      </w:pPr>
      <w:r>
        <w:rPr>
          <w:rFonts w:hint="eastAsia" w:ascii="宋体"/>
          <w:bCs/>
          <w:color w:val="auto"/>
          <w:szCs w:val="20"/>
          <w:highlight w:val="none"/>
          <w:lang w:val="en-US" w:eastAsia="zh-CN"/>
        </w:rPr>
        <w:t>医学装备部联系人</w:t>
      </w:r>
      <w:r>
        <w:rPr>
          <w:rFonts w:hint="eastAsia" w:ascii="宋体"/>
          <w:bCs/>
          <w:color w:val="auto"/>
          <w:szCs w:val="20"/>
          <w:highlight w:val="none"/>
        </w:rPr>
        <w:t>：</w:t>
      </w:r>
      <w:r>
        <w:rPr>
          <w:rFonts w:hint="eastAsia" w:ascii="宋体"/>
          <w:bCs/>
          <w:color w:val="auto"/>
          <w:szCs w:val="20"/>
          <w:highlight w:val="none"/>
          <w:lang w:val="en-US" w:eastAsia="zh-CN"/>
        </w:rPr>
        <w:t>石老师 0755-83116181</w:t>
      </w:r>
    </w:p>
    <w:p w14:paraId="1D33796B">
      <w:pPr>
        <w:adjustRightInd w:val="0"/>
        <w:snapToGrid w:val="0"/>
        <w:spacing w:line="360" w:lineRule="auto"/>
        <w:ind w:firstLine="424" w:firstLineChars="202"/>
        <w:rPr>
          <w:rFonts w:hint="eastAsia" w:ascii="宋体"/>
          <w:bCs/>
          <w:color w:val="auto"/>
          <w:szCs w:val="20"/>
          <w:highlight w:val="none"/>
        </w:rPr>
      </w:pPr>
      <w:r>
        <w:rPr>
          <w:rFonts w:hint="eastAsia" w:ascii="宋体"/>
          <w:bCs/>
          <w:color w:val="auto"/>
          <w:szCs w:val="20"/>
          <w:highlight w:val="none"/>
          <w:lang w:val="en-US" w:eastAsia="zh-CN"/>
        </w:rPr>
        <w:t>招标采购办联系人：吴老师 0755-83279817</w:t>
      </w:r>
    </w:p>
    <w:p w14:paraId="4B886C7A">
      <w:pPr>
        <w:spacing w:line="400" w:lineRule="exact"/>
        <w:rPr>
          <w:rFonts w:ascii="宋体" w:hAnsi="宋体"/>
          <w:szCs w:val="21"/>
          <w:u w:val="single"/>
        </w:rPr>
      </w:pPr>
    </w:p>
    <w:p w14:paraId="12B3098F">
      <w:pPr>
        <w:spacing w:line="400" w:lineRule="exact"/>
        <w:ind w:firstLine="420" w:firstLineChars="200"/>
        <w:jc w:val="right"/>
        <w:rPr>
          <w:rFonts w:hint="eastAsia" w:ascii="宋体" w:hAnsi="宋体"/>
          <w:szCs w:val="21"/>
          <w:lang w:val="en-US" w:eastAsia="zh-CN"/>
        </w:rPr>
      </w:pPr>
      <w:r>
        <w:rPr>
          <w:rFonts w:hint="eastAsia" w:ascii="宋体" w:hAnsi="宋体"/>
          <w:szCs w:val="21"/>
          <w:lang w:val="en-US" w:eastAsia="zh-CN"/>
        </w:rPr>
        <w:t>深圳市福田区第二人民医院</w:t>
      </w:r>
    </w:p>
    <w:p w14:paraId="7A1260C9">
      <w:pPr>
        <w:spacing w:line="400" w:lineRule="exact"/>
        <w:ind w:firstLine="420" w:firstLineChars="200"/>
        <w:jc w:val="right"/>
        <w:rPr>
          <w:rFonts w:hint="eastAsia" w:ascii="宋体" w:hAnsi="宋体"/>
          <w:highlight w:val="none"/>
        </w:rPr>
      </w:pP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3</w:t>
      </w:r>
      <w:r>
        <w:rPr>
          <w:rFonts w:hint="eastAsia" w:ascii="宋体" w:hAnsi="宋体"/>
          <w:highlight w:val="none"/>
        </w:rPr>
        <w:t>月</w:t>
      </w:r>
      <w:r>
        <w:rPr>
          <w:rFonts w:hint="eastAsia" w:ascii="宋体" w:hAnsi="宋体"/>
          <w:highlight w:val="none"/>
          <w:lang w:val="en-US" w:eastAsia="zh-CN"/>
        </w:rPr>
        <w:t>26</w:t>
      </w:r>
      <w:r>
        <w:rPr>
          <w:rFonts w:hint="eastAsia" w:ascii="宋体" w:hAnsi="宋体"/>
          <w:highlight w:val="none"/>
        </w:rPr>
        <w:t>日</w:t>
      </w:r>
      <w:bookmarkEnd w:id="6"/>
      <w:bookmarkEnd w:id="7"/>
      <w:bookmarkEnd w:id="8"/>
    </w:p>
    <w:p w14:paraId="469BE884">
      <w:pPr>
        <w:spacing w:line="400" w:lineRule="exact"/>
        <w:ind w:firstLine="420" w:firstLineChars="200"/>
        <w:jc w:val="right"/>
        <w:rPr>
          <w:rFonts w:hint="eastAsia" w:ascii="宋体" w:hAnsi="宋体"/>
          <w:highlight w:val="yellow"/>
        </w:rPr>
      </w:pPr>
    </w:p>
    <w:p w14:paraId="7EBFFE83">
      <w:pPr>
        <w:spacing w:line="400" w:lineRule="exact"/>
        <w:ind w:firstLine="420" w:firstLineChars="200"/>
        <w:jc w:val="right"/>
        <w:rPr>
          <w:rFonts w:hint="eastAsia" w:ascii="宋体" w:hAnsi="宋体"/>
          <w:highlight w:val="yellow"/>
          <w:lang w:val="en-US" w:eastAsia="zh-CN"/>
        </w:rPr>
      </w:pPr>
    </w:p>
    <w:p w14:paraId="3F56D25A">
      <w:pPr>
        <w:widowControl/>
        <w:numPr>
          <w:ilvl w:val="0"/>
          <w:numId w:val="2"/>
        </w:numPr>
        <w:ind w:left="0" w:leftChars="0" w:firstLine="640" w:firstLineChars="200"/>
        <w:jc w:val="center"/>
        <w:outlineLvl w:val="0"/>
        <w:rPr>
          <w:rFonts w:hint="eastAsia" w:asciiTheme="majorEastAsia" w:hAnsiTheme="majorEastAsia" w:eastAsiaTheme="majorEastAsia"/>
          <w:sz w:val="32"/>
          <w:szCs w:val="32"/>
          <w:lang w:val="en-US" w:eastAsia="zh-CN"/>
        </w:rPr>
      </w:pPr>
      <w:bookmarkStart w:id="11" w:name="_Toc27909"/>
      <w:r>
        <w:rPr>
          <w:rFonts w:hint="eastAsia" w:asciiTheme="majorEastAsia" w:hAnsiTheme="majorEastAsia" w:eastAsiaTheme="majorEastAsia"/>
          <w:sz w:val="32"/>
          <w:szCs w:val="32"/>
          <w:lang w:val="en-US" w:eastAsia="zh-CN"/>
        </w:rPr>
        <w:t>用户需求书</w:t>
      </w:r>
      <w:bookmarkEnd w:id="11"/>
    </w:p>
    <w:p w14:paraId="1A0964E7">
      <w:pPr>
        <w:snapToGrid w:val="0"/>
        <w:spacing w:line="360" w:lineRule="auto"/>
        <w:rPr>
          <w:rFonts w:ascii="宋体"/>
          <w:b/>
          <w:bCs/>
          <w:szCs w:val="20"/>
        </w:rPr>
      </w:pPr>
      <w:r>
        <w:rPr>
          <w:rFonts w:hint="eastAsia" w:ascii="宋体"/>
          <w:b/>
          <w:bCs/>
          <w:szCs w:val="20"/>
        </w:rPr>
        <w:t>说明：</w:t>
      </w:r>
    </w:p>
    <w:p w14:paraId="41B0864D">
      <w:pPr>
        <w:numPr>
          <w:ilvl w:val="0"/>
          <w:numId w:val="5"/>
        </w:numPr>
        <w:snapToGrid w:val="0"/>
        <w:spacing w:line="360" w:lineRule="auto"/>
        <w:ind w:left="422" w:hanging="422" w:hangingChars="200"/>
        <w:rPr>
          <w:rFonts w:ascii="宋体"/>
          <w:b/>
          <w:bCs/>
          <w:color w:val="auto"/>
          <w:szCs w:val="20"/>
        </w:rPr>
      </w:pPr>
      <w:r>
        <w:rPr>
          <w:rFonts w:hint="eastAsia" w:ascii="宋体"/>
          <w:b/>
          <w:bCs/>
          <w:szCs w:val="20"/>
        </w:rPr>
        <w:t>投标人</w:t>
      </w:r>
      <w:r>
        <w:rPr>
          <w:rFonts w:hint="eastAsia" w:ascii="宋体"/>
          <w:b/>
          <w:bCs/>
          <w:color w:val="auto"/>
          <w:szCs w:val="20"/>
        </w:rPr>
        <w:t>须对本项目的</w:t>
      </w:r>
      <w:r>
        <w:rPr>
          <w:rFonts w:hint="eastAsia" w:asciiTheme="minorEastAsia" w:hAnsiTheme="minorEastAsia" w:eastAsiaTheme="minorEastAsia"/>
          <w:b/>
          <w:bCs/>
          <w:color w:val="auto"/>
          <w:szCs w:val="21"/>
        </w:rPr>
        <w:t>采购标的或服务内容</w:t>
      </w:r>
      <w:r>
        <w:rPr>
          <w:rFonts w:hint="eastAsia" w:ascii="宋体"/>
          <w:b/>
          <w:bCs/>
          <w:color w:val="auto"/>
          <w:szCs w:val="20"/>
        </w:rPr>
        <w:t>进行整体响应，任何只对</w:t>
      </w:r>
      <w:r>
        <w:rPr>
          <w:rFonts w:hint="eastAsia" w:asciiTheme="minorEastAsia" w:hAnsiTheme="minorEastAsia" w:eastAsiaTheme="minorEastAsia"/>
          <w:b/>
          <w:bCs/>
          <w:color w:val="auto"/>
          <w:szCs w:val="21"/>
        </w:rPr>
        <w:t>采购标的或服务内容</w:t>
      </w:r>
      <w:r>
        <w:rPr>
          <w:rFonts w:hint="eastAsia" w:ascii="宋体"/>
          <w:b/>
          <w:bCs/>
          <w:color w:val="auto"/>
          <w:szCs w:val="20"/>
        </w:rPr>
        <w:t>其中一部分内容进行的响应都被视为无效投标。</w:t>
      </w:r>
    </w:p>
    <w:p w14:paraId="43676C16">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用户需求书中打“★”号条款为实质性条款，有任何一条负偏离则导致无效投标。</w:t>
      </w:r>
    </w:p>
    <w:p w14:paraId="4D99824F">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用户需求书中打“▲”号条款为重要技术参数，但不作为无效投标条款。</w:t>
      </w:r>
    </w:p>
    <w:p w14:paraId="36AC43F5">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用户需求书中打“●”号的为采购的核心产品，投标人应在《投标报价</w:t>
      </w:r>
      <w:r>
        <w:rPr>
          <w:rFonts w:hint="eastAsia" w:asciiTheme="minorEastAsia" w:hAnsiTheme="minorEastAsia" w:eastAsiaTheme="minorEastAsia"/>
          <w:b/>
          <w:bCs/>
          <w:color w:val="auto"/>
          <w:szCs w:val="21"/>
          <w:lang w:val="en-US" w:eastAsia="zh-CN"/>
        </w:rPr>
        <w:t>明细</w:t>
      </w:r>
      <w:r>
        <w:rPr>
          <w:rFonts w:hint="eastAsia" w:asciiTheme="minorEastAsia" w:hAnsiTheme="minorEastAsia" w:eastAsiaTheme="minorEastAsia"/>
          <w:b/>
          <w:bCs/>
          <w:color w:val="auto"/>
          <w:szCs w:val="21"/>
        </w:rPr>
        <w:t>表》中清晰列明“产品名称、品牌”。</w:t>
      </w:r>
    </w:p>
    <w:p w14:paraId="5AAF2DBC">
      <w:pPr>
        <w:pStyle w:val="9"/>
        <w:numPr>
          <w:ilvl w:val="0"/>
          <w:numId w:val="6"/>
        </w:numPr>
        <w:tabs>
          <w:tab w:val="left" w:pos="540"/>
        </w:tabs>
        <w:adjustRightInd w:val="0"/>
        <w:snapToGrid w:val="0"/>
        <w:spacing w:line="360" w:lineRule="auto"/>
        <w:ind w:left="420" w:leftChars="0" w:hanging="420" w:firstLineChars="0"/>
        <w:outlineLvl w:val="0"/>
        <w:rPr>
          <w:color w:val="auto"/>
        </w:rPr>
      </w:pPr>
      <w:r>
        <w:rPr>
          <w:rFonts w:hint="eastAsia"/>
          <w:b/>
          <w:color w:val="auto"/>
          <w:szCs w:val="20"/>
        </w:rPr>
        <w:t>项目</w:t>
      </w:r>
      <w:r>
        <w:rPr>
          <w:rFonts w:hint="eastAsia"/>
          <w:b/>
          <w:color w:val="auto"/>
          <w:szCs w:val="20"/>
          <w:lang w:val="en-US" w:eastAsia="zh-CN"/>
        </w:rPr>
        <w:t>一览表</w:t>
      </w:r>
      <w:r>
        <w:rPr>
          <w:rFonts w:hint="eastAsia"/>
          <w:b/>
          <w:color w:val="auto"/>
          <w:szCs w:val="20"/>
        </w:rPr>
        <w:t>：</w:t>
      </w:r>
    </w:p>
    <w:tbl>
      <w:tblPr>
        <w:tblStyle w:val="16"/>
        <w:tblW w:w="10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874"/>
        <w:gridCol w:w="2166"/>
        <w:gridCol w:w="2018"/>
        <w:gridCol w:w="2019"/>
        <w:gridCol w:w="1227"/>
      </w:tblGrid>
      <w:tr w14:paraId="3CF2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2130" w:type="dxa"/>
            <w:shd w:val="clear" w:color="auto" w:fill="EEECE1"/>
            <w:vAlign w:val="center"/>
          </w:tcPr>
          <w:p w14:paraId="515F1896">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采购内容</w:t>
            </w:r>
          </w:p>
        </w:tc>
        <w:tc>
          <w:tcPr>
            <w:tcW w:w="874" w:type="dxa"/>
            <w:shd w:val="clear" w:color="auto" w:fill="EEECE1"/>
            <w:vAlign w:val="center"/>
          </w:tcPr>
          <w:p w14:paraId="6E527C4A">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数量</w:t>
            </w:r>
          </w:p>
        </w:tc>
        <w:tc>
          <w:tcPr>
            <w:tcW w:w="2166" w:type="dxa"/>
            <w:shd w:val="clear" w:color="auto" w:fill="EEECE1"/>
            <w:vAlign w:val="center"/>
          </w:tcPr>
          <w:p w14:paraId="1F7013D0">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交货期</w:t>
            </w:r>
          </w:p>
        </w:tc>
        <w:tc>
          <w:tcPr>
            <w:tcW w:w="2018" w:type="dxa"/>
            <w:shd w:val="clear" w:color="auto" w:fill="EEECE1"/>
            <w:vAlign w:val="center"/>
          </w:tcPr>
          <w:p w14:paraId="16D9626C">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预算金额</w:t>
            </w:r>
          </w:p>
        </w:tc>
        <w:tc>
          <w:tcPr>
            <w:tcW w:w="2019" w:type="dxa"/>
            <w:shd w:val="clear" w:color="auto" w:fill="EEECE1"/>
            <w:vAlign w:val="center"/>
          </w:tcPr>
          <w:p w14:paraId="77A1679F">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最高限价</w:t>
            </w:r>
          </w:p>
        </w:tc>
        <w:tc>
          <w:tcPr>
            <w:tcW w:w="1227" w:type="dxa"/>
            <w:shd w:val="clear" w:color="auto" w:fill="EEECE1"/>
            <w:vAlign w:val="center"/>
          </w:tcPr>
          <w:p w14:paraId="20EB26C1">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rPr>
              <w:t>所属行业</w:t>
            </w:r>
          </w:p>
        </w:tc>
      </w:tr>
      <w:tr w14:paraId="0A12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2130" w:type="dxa"/>
            <w:vAlign w:val="center"/>
          </w:tcPr>
          <w:p w14:paraId="262358C2">
            <w:pPr>
              <w:keepNext w:val="0"/>
              <w:keepLines w:val="0"/>
              <w:suppressLineNumbers w:val="0"/>
              <w:spacing w:before="0" w:beforeAutospacing="0" w:after="0" w:afterAutospacing="0"/>
              <w:ind w:left="0" w:leftChars="0" w:right="0" w:rightChars="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根尖定位仪</w:t>
            </w:r>
          </w:p>
        </w:tc>
        <w:tc>
          <w:tcPr>
            <w:tcW w:w="874" w:type="dxa"/>
            <w:vAlign w:val="center"/>
          </w:tcPr>
          <w:p w14:paraId="390AF9D4">
            <w:pPr>
              <w:keepNext w:val="0"/>
              <w:keepLines w:val="0"/>
              <w:suppressLineNumbers w:val="0"/>
              <w:spacing w:before="0" w:beforeAutospacing="0" w:after="0" w:afterAutospacing="0"/>
              <w:ind w:left="0" w:leftChars="0" w:right="0" w:rightChars="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13台</w:t>
            </w:r>
          </w:p>
        </w:tc>
        <w:tc>
          <w:tcPr>
            <w:tcW w:w="2166" w:type="dxa"/>
            <w:vAlign w:val="center"/>
          </w:tcPr>
          <w:p w14:paraId="36A3EC96">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合同签订并接院方通知后30日内交货</w:t>
            </w:r>
          </w:p>
        </w:tc>
        <w:tc>
          <w:tcPr>
            <w:tcW w:w="2018" w:type="dxa"/>
            <w:vAlign w:val="center"/>
          </w:tcPr>
          <w:p w14:paraId="5EB8399A">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人民币78000.00元</w:t>
            </w:r>
          </w:p>
        </w:tc>
        <w:tc>
          <w:tcPr>
            <w:tcW w:w="2019" w:type="dxa"/>
            <w:vAlign w:val="center"/>
          </w:tcPr>
          <w:p w14:paraId="113A87B9">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人民币78000.00元</w:t>
            </w:r>
          </w:p>
        </w:tc>
        <w:tc>
          <w:tcPr>
            <w:tcW w:w="1227" w:type="dxa"/>
            <w:vAlign w:val="center"/>
          </w:tcPr>
          <w:p w14:paraId="6694BA19">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工业</w:t>
            </w:r>
          </w:p>
        </w:tc>
      </w:tr>
    </w:tbl>
    <w:p w14:paraId="70B3C683">
      <w:pPr>
        <w:pStyle w:val="9"/>
        <w:tabs>
          <w:tab w:val="left" w:pos="540"/>
        </w:tabs>
        <w:adjustRightInd w:val="0"/>
        <w:snapToGrid w:val="0"/>
        <w:spacing w:line="360" w:lineRule="auto"/>
        <w:rPr>
          <w:rFonts w:hAnsi="宋体"/>
          <w:b/>
          <w:color w:val="auto"/>
        </w:rPr>
      </w:pPr>
    </w:p>
    <w:p w14:paraId="3142D659">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asciiTheme="minorEastAsia" w:hAnsiTheme="minorEastAsia" w:eastAsiaTheme="minorEastAsia"/>
          <w:b/>
          <w:bCs/>
          <w:color w:val="auto"/>
          <w:szCs w:val="21"/>
        </w:rPr>
        <w:t>★</w:t>
      </w:r>
      <w:r>
        <w:rPr>
          <w:rFonts w:hint="eastAsia" w:hAnsi="宋体"/>
          <w:b/>
          <w:color w:val="auto"/>
        </w:rPr>
        <w:t>项目采购标的清单</w:t>
      </w:r>
      <w:r>
        <w:rPr>
          <w:rFonts w:hint="eastAsia" w:hAnsi="宋体"/>
          <w:b/>
          <w:color w:val="auto"/>
          <w:lang w:eastAsia="zh-CN"/>
        </w:rPr>
        <w:t>（</w:t>
      </w:r>
      <w:r>
        <w:rPr>
          <w:rFonts w:hint="eastAsia" w:hAnsi="宋体"/>
          <w:b/>
          <w:color w:val="auto"/>
          <w:lang w:val="en-US" w:eastAsia="zh-CN"/>
        </w:rPr>
        <w:t>配</w:t>
      </w:r>
      <w:r>
        <w:rPr>
          <w:rFonts w:hint="eastAsia" w:ascii="宋体" w:hAnsi="宋体" w:eastAsia="宋体"/>
          <w:b/>
          <w:color w:val="auto"/>
          <w:lang w:val="en-US" w:eastAsia="zh-CN"/>
        </w:rPr>
        <w:t>置清单</w:t>
      </w:r>
      <w:r>
        <w:rPr>
          <w:rFonts w:hint="eastAsia" w:ascii="宋体" w:hAnsi="宋体" w:eastAsia="宋体"/>
          <w:b/>
          <w:color w:val="auto"/>
          <w:lang w:eastAsia="zh-CN"/>
        </w:rPr>
        <w:t>）：（</w:t>
      </w:r>
      <w:r>
        <w:rPr>
          <w:rFonts w:hint="eastAsia" w:hAnsi="宋体"/>
          <w:b/>
          <w:color w:val="auto"/>
          <w:lang w:val="en-US" w:eastAsia="zh-CN"/>
        </w:rPr>
        <w:t>配置清单应</w:t>
      </w:r>
      <w:r>
        <w:rPr>
          <w:rFonts w:hint="eastAsia" w:ascii="宋体" w:hAnsi="宋体" w:eastAsia="宋体"/>
          <w:b/>
          <w:color w:val="auto"/>
          <w:lang w:eastAsia="zh-CN"/>
        </w:rPr>
        <w:t>不低于下表配置）</w:t>
      </w:r>
    </w:p>
    <w:tbl>
      <w:tblPr>
        <w:tblStyle w:val="17"/>
        <w:tblW w:w="9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2520"/>
        <w:gridCol w:w="2175"/>
        <w:gridCol w:w="922"/>
        <w:gridCol w:w="1022"/>
        <w:gridCol w:w="1286"/>
        <w:gridCol w:w="1286"/>
      </w:tblGrid>
      <w:tr w14:paraId="17BD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shd w:val="clear" w:color="auto" w:fill="EEECE1" w:themeFill="background2"/>
            <w:vAlign w:val="center"/>
          </w:tcPr>
          <w:p w14:paraId="31685FAE">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序号</w:t>
            </w:r>
          </w:p>
        </w:tc>
        <w:tc>
          <w:tcPr>
            <w:tcW w:w="2520" w:type="dxa"/>
            <w:shd w:val="clear" w:color="auto" w:fill="EEECE1" w:themeFill="background2"/>
            <w:vAlign w:val="center"/>
          </w:tcPr>
          <w:p w14:paraId="69748C28">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货物名称</w:t>
            </w:r>
          </w:p>
        </w:tc>
        <w:tc>
          <w:tcPr>
            <w:tcW w:w="2175" w:type="dxa"/>
            <w:shd w:val="clear" w:color="auto" w:fill="EEECE1" w:themeFill="background2"/>
            <w:vAlign w:val="center"/>
          </w:tcPr>
          <w:p w14:paraId="18375BE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预算价格</w:t>
            </w:r>
          </w:p>
        </w:tc>
        <w:tc>
          <w:tcPr>
            <w:tcW w:w="922" w:type="dxa"/>
            <w:shd w:val="clear" w:color="auto" w:fill="EEECE1" w:themeFill="background2"/>
            <w:vAlign w:val="center"/>
          </w:tcPr>
          <w:p w14:paraId="4F3D85F1">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数量</w:t>
            </w:r>
          </w:p>
        </w:tc>
        <w:tc>
          <w:tcPr>
            <w:tcW w:w="1022" w:type="dxa"/>
            <w:shd w:val="clear" w:color="auto" w:fill="EEECE1" w:themeFill="background2"/>
            <w:vAlign w:val="center"/>
          </w:tcPr>
          <w:p w14:paraId="211C175B">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单位</w:t>
            </w:r>
          </w:p>
        </w:tc>
        <w:tc>
          <w:tcPr>
            <w:tcW w:w="1286" w:type="dxa"/>
            <w:shd w:val="clear" w:color="auto" w:fill="EEECE1" w:themeFill="background2"/>
            <w:vAlign w:val="center"/>
          </w:tcPr>
          <w:p w14:paraId="24AFDF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val="0"/>
                <w:color w:val="auto"/>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备注</w:t>
            </w:r>
          </w:p>
        </w:tc>
        <w:tc>
          <w:tcPr>
            <w:tcW w:w="1286" w:type="dxa"/>
            <w:shd w:val="clear" w:color="auto" w:fill="EEECE1" w:themeFill="background2"/>
            <w:vAlign w:val="center"/>
          </w:tcPr>
          <w:p w14:paraId="4E504C0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0F8A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111891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auto"/>
                <w:sz w:val="22"/>
                <w:szCs w:val="28"/>
                <w:vertAlign w:val="baseline"/>
              </w:rPr>
            </w:pPr>
            <w:r>
              <w:rPr>
                <w:rFonts w:hint="eastAsia" w:ascii="宋体" w:hAnsi="宋体" w:eastAsia="宋体" w:cs="宋体"/>
                <w:i w:val="0"/>
                <w:iCs w:val="0"/>
                <w:color w:val="auto"/>
                <w:kern w:val="0"/>
                <w:sz w:val="21"/>
                <w:szCs w:val="21"/>
                <w:u w:val="none"/>
                <w:lang w:val="en-US" w:eastAsia="zh-CN" w:bidi="ar"/>
              </w:rPr>
              <w:t>1</w:t>
            </w:r>
          </w:p>
        </w:tc>
        <w:tc>
          <w:tcPr>
            <w:tcW w:w="2520" w:type="dxa"/>
            <w:shd w:val="clear" w:color="auto" w:fill="auto"/>
            <w:vAlign w:val="center"/>
          </w:tcPr>
          <w:p w14:paraId="02F7A62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主机</w:t>
            </w:r>
          </w:p>
        </w:tc>
        <w:tc>
          <w:tcPr>
            <w:tcW w:w="2175" w:type="dxa"/>
            <w:vMerge w:val="restart"/>
            <w:shd w:val="clear" w:color="auto" w:fill="auto"/>
            <w:vAlign w:val="center"/>
          </w:tcPr>
          <w:p w14:paraId="413407C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人民币78000.00元</w:t>
            </w:r>
          </w:p>
        </w:tc>
        <w:tc>
          <w:tcPr>
            <w:tcW w:w="922" w:type="dxa"/>
            <w:shd w:val="clear" w:color="auto" w:fill="auto"/>
            <w:vAlign w:val="center"/>
          </w:tcPr>
          <w:p w14:paraId="498A6DB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1022" w:type="dxa"/>
            <w:shd w:val="clear" w:color="auto" w:fill="auto"/>
            <w:vAlign w:val="center"/>
          </w:tcPr>
          <w:p w14:paraId="72BDBA0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6" w:type="dxa"/>
            <w:vMerge w:val="restart"/>
            <w:vAlign w:val="center"/>
          </w:tcPr>
          <w:p w14:paraId="2BFC1F9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接受进口</w:t>
            </w:r>
          </w:p>
          <w:p w14:paraId="7A13F7F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286" w:type="dxa"/>
            <w:vMerge w:val="restart"/>
            <w:vAlign w:val="center"/>
          </w:tcPr>
          <w:p w14:paraId="47FE27CB">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0"/>
                <w:sz w:val="21"/>
                <w:szCs w:val="21"/>
                <w:u w:val="none"/>
                <w:lang w:val="en-US" w:eastAsia="zh-CN" w:bidi="ar"/>
              </w:rPr>
            </w:pPr>
          </w:p>
        </w:tc>
      </w:tr>
      <w:tr w14:paraId="6696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6FE4E66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520" w:type="dxa"/>
            <w:shd w:val="clear" w:color="auto" w:fill="auto"/>
            <w:vAlign w:val="center"/>
          </w:tcPr>
          <w:p w14:paraId="75D81FD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充电器</w:t>
            </w:r>
          </w:p>
        </w:tc>
        <w:tc>
          <w:tcPr>
            <w:tcW w:w="2175" w:type="dxa"/>
            <w:vMerge w:val="continue"/>
            <w:shd w:val="clear" w:color="auto" w:fill="auto"/>
            <w:vAlign w:val="center"/>
          </w:tcPr>
          <w:p w14:paraId="47A5A65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64AC6AA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1022" w:type="dxa"/>
            <w:shd w:val="clear" w:color="auto" w:fill="auto"/>
            <w:vAlign w:val="center"/>
          </w:tcPr>
          <w:p w14:paraId="7191D7F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根</w:t>
            </w:r>
          </w:p>
        </w:tc>
        <w:tc>
          <w:tcPr>
            <w:tcW w:w="1286" w:type="dxa"/>
            <w:vMerge w:val="continue"/>
            <w:vAlign w:val="center"/>
          </w:tcPr>
          <w:p w14:paraId="30431FF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286" w:type="dxa"/>
            <w:vMerge w:val="continue"/>
            <w:vAlign w:val="center"/>
          </w:tcPr>
          <w:p w14:paraId="0494221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255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7C0428A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2520" w:type="dxa"/>
            <w:shd w:val="clear" w:color="auto" w:fill="auto"/>
            <w:vAlign w:val="center"/>
          </w:tcPr>
          <w:p w14:paraId="6865518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测量电缆</w:t>
            </w:r>
          </w:p>
        </w:tc>
        <w:tc>
          <w:tcPr>
            <w:tcW w:w="2175" w:type="dxa"/>
            <w:vMerge w:val="continue"/>
            <w:shd w:val="clear" w:color="auto" w:fill="auto"/>
            <w:vAlign w:val="center"/>
          </w:tcPr>
          <w:p w14:paraId="5A7068D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42E0F34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1022" w:type="dxa"/>
            <w:shd w:val="clear" w:color="auto" w:fill="auto"/>
            <w:vAlign w:val="center"/>
          </w:tcPr>
          <w:p w14:paraId="70351B4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条</w:t>
            </w:r>
          </w:p>
        </w:tc>
        <w:tc>
          <w:tcPr>
            <w:tcW w:w="1286" w:type="dxa"/>
            <w:vMerge w:val="continue"/>
            <w:vAlign w:val="center"/>
          </w:tcPr>
          <w:p w14:paraId="78B2F50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286" w:type="dxa"/>
            <w:vMerge w:val="continue"/>
            <w:vAlign w:val="center"/>
          </w:tcPr>
          <w:p w14:paraId="62616C0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E1A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279452E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2520" w:type="dxa"/>
            <w:shd w:val="clear" w:color="auto" w:fill="auto"/>
            <w:vAlign w:val="center"/>
          </w:tcPr>
          <w:p w14:paraId="7ACA706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唇夹</w:t>
            </w:r>
          </w:p>
        </w:tc>
        <w:tc>
          <w:tcPr>
            <w:tcW w:w="2175" w:type="dxa"/>
            <w:vMerge w:val="continue"/>
            <w:shd w:val="clear" w:color="auto" w:fill="auto"/>
            <w:vAlign w:val="center"/>
          </w:tcPr>
          <w:p w14:paraId="6F4EB36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7A9DA26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1022" w:type="dxa"/>
            <w:shd w:val="clear" w:color="auto" w:fill="auto"/>
            <w:vAlign w:val="center"/>
          </w:tcPr>
          <w:p w14:paraId="0D1F7CE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Merge w:val="continue"/>
            <w:vAlign w:val="center"/>
          </w:tcPr>
          <w:p w14:paraId="6FB5854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286" w:type="dxa"/>
            <w:vMerge w:val="continue"/>
            <w:vAlign w:val="center"/>
          </w:tcPr>
          <w:p w14:paraId="18B80E3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21D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41BAD9A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2520" w:type="dxa"/>
            <w:shd w:val="clear" w:color="auto" w:fill="auto"/>
            <w:vAlign w:val="center"/>
          </w:tcPr>
          <w:p w14:paraId="5FE888D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连接钩</w:t>
            </w:r>
          </w:p>
        </w:tc>
        <w:tc>
          <w:tcPr>
            <w:tcW w:w="2175" w:type="dxa"/>
            <w:vMerge w:val="continue"/>
            <w:shd w:val="clear" w:color="auto" w:fill="auto"/>
            <w:vAlign w:val="center"/>
          </w:tcPr>
          <w:p w14:paraId="41DEA98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5FD1AE3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26</w:t>
            </w:r>
          </w:p>
        </w:tc>
        <w:tc>
          <w:tcPr>
            <w:tcW w:w="1022" w:type="dxa"/>
            <w:shd w:val="clear" w:color="auto" w:fill="auto"/>
            <w:vAlign w:val="center"/>
          </w:tcPr>
          <w:p w14:paraId="07C6CC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Merge w:val="continue"/>
            <w:vAlign w:val="center"/>
          </w:tcPr>
          <w:p w14:paraId="6AA974B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286" w:type="dxa"/>
            <w:vMerge w:val="continue"/>
            <w:vAlign w:val="center"/>
          </w:tcPr>
          <w:p w14:paraId="0D3E14D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4A689026">
      <w:pPr>
        <w:pStyle w:val="28"/>
        <w:ind w:firstLine="422"/>
        <w:rPr>
          <w:rFonts w:hAnsi="宋体"/>
          <w:b/>
          <w:color w:val="auto"/>
        </w:rPr>
      </w:pPr>
    </w:p>
    <w:p w14:paraId="705CA8FA">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hAnsi="宋体"/>
          <w:b/>
          <w:color w:val="auto"/>
        </w:rPr>
        <w:t>技术要求：</w:t>
      </w:r>
    </w:p>
    <w:tbl>
      <w:tblPr>
        <w:tblStyle w:val="16"/>
        <w:tblW w:w="964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754"/>
        <w:gridCol w:w="6743"/>
        <w:gridCol w:w="1152"/>
      </w:tblGrid>
      <w:tr w14:paraId="7FB416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tcBorders>
              <w:tl2br w:val="nil"/>
              <w:tr2bl w:val="nil"/>
            </w:tcBorders>
            <w:shd w:val="clear" w:color="auto" w:fill="EEECE1" w:themeFill="background2"/>
            <w:vAlign w:val="center"/>
          </w:tcPr>
          <w:p w14:paraId="44747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6743" w:type="dxa"/>
            <w:tcBorders>
              <w:tl2br w:val="nil"/>
              <w:tr2bl w:val="nil"/>
            </w:tcBorders>
            <w:shd w:val="clear" w:color="auto" w:fill="EEECE1" w:themeFill="background2"/>
            <w:vAlign w:val="center"/>
          </w:tcPr>
          <w:p w14:paraId="45189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技术要求</w:t>
            </w:r>
          </w:p>
        </w:tc>
        <w:tc>
          <w:tcPr>
            <w:tcW w:w="1152" w:type="dxa"/>
            <w:tcBorders>
              <w:tl2br w:val="nil"/>
              <w:tr2bl w:val="nil"/>
            </w:tcBorders>
            <w:shd w:val="clear" w:color="auto" w:fill="EEECE1" w:themeFill="background2"/>
            <w:vAlign w:val="center"/>
          </w:tcPr>
          <w:p w14:paraId="653EA3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标注</w:t>
            </w:r>
          </w:p>
        </w:tc>
      </w:tr>
      <w:tr w14:paraId="3A1E62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restart"/>
            <w:tcBorders>
              <w:tl2br w:val="nil"/>
              <w:tr2bl w:val="nil"/>
            </w:tcBorders>
            <w:shd w:val="clear" w:color="auto" w:fill="auto"/>
            <w:vAlign w:val="center"/>
          </w:tcPr>
          <w:p w14:paraId="1ED5D7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snapToGrid/>
                <w:color w:val="auto"/>
                <w:spacing w:val="0"/>
                <w:kern w:val="2"/>
                <w:sz w:val="21"/>
                <w:szCs w:val="24"/>
                <w:highlight w:val="none"/>
                <w:lang w:val="en-US" w:eastAsia="zh-CN" w:bidi="ar-SA"/>
              </w:rPr>
              <w:t>根尖定位仪</w:t>
            </w:r>
          </w:p>
        </w:tc>
        <w:tc>
          <w:tcPr>
            <w:tcW w:w="6743" w:type="dxa"/>
            <w:tcBorders>
              <w:tl2br w:val="nil"/>
              <w:tr2bl w:val="nil"/>
            </w:tcBorders>
            <w:shd w:val="clear" w:color="auto" w:fill="auto"/>
            <w:vAlign w:val="center"/>
          </w:tcPr>
          <w:p w14:paraId="2F55B7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1、产品尺寸：≤70x60x20mm。</w:t>
            </w:r>
          </w:p>
        </w:tc>
        <w:tc>
          <w:tcPr>
            <w:tcW w:w="1152" w:type="dxa"/>
            <w:tcBorders>
              <w:tl2br w:val="nil"/>
              <w:tr2bl w:val="nil"/>
            </w:tcBorders>
            <w:shd w:val="clear" w:color="auto" w:fill="auto"/>
            <w:vAlign w:val="center"/>
          </w:tcPr>
          <w:p w14:paraId="2DFC33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2DF83D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FFD2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B9FED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 xml:space="preserve">2、重量：便携式，重量≤60g，便于医生放置。（需提供产品彩页或产品说明书或技术白皮书佐证）  </w:t>
            </w:r>
          </w:p>
        </w:tc>
        <w:tc>
          <w:tcPr>
            <w:tcW w:w="1152" w:type="dxa"/>
            <w:tcBorders>
              <w:tl2br w:val="nil"/>
              <w:tr2bl w:val="nil"/>
            </w:tcBorders>
            <w:shd w:val="clear" w:color="auto" w:fill="auto"/>
            <w:vAlign w:val="center"/>
          </w:tcPr>
          <w:p w14:paraId="0CF639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5445C7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1487C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ADC07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3、屏幕类型：彩色LEDs 。</w:t>
            </w:r>
          </w:p>
        </w:tc>
        <w:tc>
          <w:tcPr>
            <w:tcW w:w="1152" w:type="dxa"/>
            <w:tcBorders>
              <w:tl2br w:val="nil"/>
              <w:tr2bl w:val="nil"/>
            </w:tcBorders>
            <w:shd w:val="clear" w:color="auto" w:fill="auto"/>
            <w:vAlign w:val="center"/>
          </w:tcPr>
          <w:p w14:paraId="589758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40DCD2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69457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18FB5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4、内置电源：镍氢可充电电池，电池容量≥1000mAh。</w:t>
            </w:r>
          </w:p>
        </w:tc>
        <w:tc>
          <w:tcPr>
            <w:tcW w:w="1152" w:type="dxa"/>
            <w:tcBorders>
              <w:tl2br w:val="nil"/>
              <w:tr2bl w:val="nil"/>
            </w:tcBorders>
            <w:shd w:val="clear" w:color="auto" w:fill="auto"/>
            <w:vAlign w:val="center"/>
          </w:tcPr>
          <w:p w14:paraId="12E2BA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354D42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506F6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D86B2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5、外部充电器：输入：100-240 V AC ~ 50-60 Hz，输出：6VDC±5%, 1000 mA。</w:t>
            </w:r>
          </w:p>
        </w:tc>
        <w:tc>
          <w:tcPr>
            <w:tcW w:w="1152" w:type="dxa"/>
            <w:tcBorders>
              <w:tl2br w:val="nil"/>
              <w:tr2bl w:val="nil"/>
            </w:tcBorders>
            <w:shd w:val="clear" w:color="auto" w:fill="auto"/>
            <w:vAlign w:val="center"/>
          </w:tcPr>
          <w:p w14:paraId="522FF0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7182CB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03FD9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A8F03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6、设备符合IEC60601-1安全标准以及CE符合性标志要求。</w:t>
            </w:r>
          </w:p>
        </w:tc>
        <w:tc>
          <w:tcPr>
            <w:tcW w:w="1152" w:type="dxa"/>
            <w:tcBorders>
              <w:tl2br w:val="nil"/>
              <w:tr2bl w:val="nil"/>
            </w:tcBorders>
            <w:shd w:val="clear" w:color="auto" w:fill="auto"/>
            <w:vAlign w:val="center"/>
          </w:tcPr>
          <w:p w14:paraId="3F7166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312A03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0D00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A20FF2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7、音量反馈≥4种，器械前进的过程中提供双提醒。（需提供产品彩页或产品说明书或技术白皮书佐证）</w:t>
            </w:r>
          </w:p>
        </w:tc>
        <w:tc>
          <w:tcPr>
            <w:tcW w:w="1152" w:type="dxa"/>
            <w:tcBorders>
              <w:tl2br w:val="nil"/>
              <w:tr2bl w:val="nil"/>
            </w:tcBorders>
            <w:shd w:val="clear" w:color="auto" w:fill="auto"/>
            <w:vAlign w:val="center"/>
          </w:tcPr>
          <w:p w14:paraId="5ACDD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05E510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A2681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9B8D9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8、多频根管测量技术，在干燥和湿润的根管中都可以工作。精确度不受是否冲洗或者根管中不同的冲洗液体所影响无需校准，也不需要零点调节：随时可以使用。（需提供产品彩页或产品说明书或技术白皮书佐证）</w:t>
            </w:r>
          </w:p>
        </w:tc>
        <w:tc>
          <w:tcPr>
            <w:tcW w:w="1152" w:type="dxa"/>
            <w:tcBorders>
              <w:tl2br w:val="nil"/>
              <w:tr2bl w:val="nil"/>
            </w:tcBorders>
            <w:shd w:val="clear" w:color="auto" w:fill="auto"/>
            <w:vAlign w:val="center"/>
          </w:tcPr>
          <w:p w14:paraId="407794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172078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93BE0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77BE4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9、自动关闭功能：3分钟未使用，可自动关闭。</w:t>
            </w:r>
          </w:p>
        </w:tc>
        <w:tc>
          <w:tcPr>
            <w:tcW w:w="1152" w:type="dxa"/>
            <w:tcBorders>
              <w:tl2br w:val="nil"/>
              <w:tr2bl w:val="nil"/>
            </w:tcBorders>
            <w:shd w:val="clear" w:color="auto" w:fill="auto"/>
            <w:vAlign w:val="center"/>
          </w:tcPr>
          <w:p w14:paraId="69744D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5AC8AA01">
      <w:pPr>
        <w:pStyle w:val="9"/>
        <w:tabs>
          <w:tab w:val="left" w:pos="420"/>
          <w:tab w:val="left" w:pos="540"/>
        </w:tabs>
        <w:adjustRightInd w:val="0"/>
        <w:snapToGrid w:val="0"/>
        <w:spacing w:line="360" w:lineRule="auto"/>
        <w:rPr>
          <w:rFonts w:hAnsi="宋体"/>
          <w:b/>
          <w:color w:val="auto"/>
        </w:rPr>
      </w:pPr>
    </w:p>
    <w:p w14:paraId="7C2FC4C4">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ascii="宋体" w:hAnsi="宋体" w:cs="宋体"/>
          <w:b/>
          <w:sz w:val="24"/>
        </w:rPr>
        <w:t>★</w:t>
      </w:r>
      <w:r>
        <w:rPr>
          <w:rFonts w:hint="eastAsia" w:hAnsi="宋体"/>
          <w:b/>
          <w:color w:val="auto"/>
        </w:rPr>
        <w:t>商务要求：</w:t>
      </w:r>
    </w:p>
    <w:tbl>
      <w:tblPr>
        <w:tblStyle w:val="16"/>
        <w:tblW w:w="95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9"/>
        <w:gridCol w:w="8683"/>
      </w:tblGrid>
      <w:tr w14:paraId="36F6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A9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bookmarkStart w:id="12" w:name="_Toc113"/>
            <w:r>
              <w:rPr>
                <w:rFonts w:hint="eastAsia" w:ascii="宋体" w:hAnsi="宋体" w:eastAsia="宋体" w:cs="宋体"/>
                <w:i w:val="0"/>
                <w:iCs w:val="0"/>
                <w:color w:val="000000"/>
                <w:kern w:val="0"/>
                <w:sz w:val="21"/>
                <w:szCs w:val="21"/>
                <w:u w:val="none"/>
                <w:lang w:val="en-US" w:eastAsia="zh-CN" w:bidi="ar"/>
              </w:rPr>
              <w:t>序号</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42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商务条款</w:t>
            </w:r>
          </w:p>
        </w:tc>
      </w:tr>
      <w:tr w14:paraId="3F86D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15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AC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交货时间：合同签订并接院方通知后30日内。</w:t>
            </w:r>
          </w:p>
        </w:tc>
      </w:tr>
      <w:tr w14:paraId="35A0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C5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8A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免费保修期：系指中标供应商提供的产品在非使用者人为破坏情况下，出现任何质量问题造成产品不能使用时，由中标供应商免费维修、更换以确保产品正常使用的时间期限。此时间期限从设备验收合格之日起计算。具体是指设备验收合格后3年内 。</w:t>
            </w:r>
          </w:p>
        </w:tc>
      </w:tr>
      <w:tr w14:paraId="262F7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A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53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中标方应保证设备是全新、未使用过的原装合格正品（包括零部件），设备到达院方安装现场时外包装应完好无损。进口产品生产日期在采购人收到货物日期前</w:t>
            </w:r>
            <w:r>
              <w:rPr>
                <w:rFonts w:hint="default" w:ascii="宋体" w:hAnsi="宋体" w:eastAsia="宋体" w:cs="宋体"/>
                <w:i w:val="0"/>
                <w:iCs w:val="0"/>
                <w:color w:val="auto"/>
                <w:kern w:val="0"/>
                <w:sz w:val="21"/>
                <w:szCs w:val="21"/>
                <w:u w:val="none"/>
                <w:lang w:val="en-US" w:eastAsia="zh-CN" w:bidi="ar"/>
              </w:rPr>
              <w:t>12</w:t>
            </w:r>
            <w:r>
              <w:rPr>
                <w:rFonts w:hint="eastAsia" w:ascii="宋体" w:hAnsi="宋体" w:eastAsia="宋体" w:cs="宋体"/>
                <w:i w:val="0"/>
                <w:iCs w:val="0"/>
                <w:color w:val="auto"/>
                <w:kern w:val="0"/>
                <w:sz w:val="21"/>
                <w:szCs w:val="21"/>
                <w:u w:val="none"/>
                <w:lang w:val="en-US" w:eastAsia="zh-CN" w:bidi="ar"/>
              </w:rPr>
              <w:t>个月内，本国产品生产日期在采购人收到货物日期前</w:t>
            </w:r>
            <w:r>
              <w:rPr>
                <w:rFonts w:hint="default" w:ascii="宋体" w:hAnsi="宋体" w:eastAsia="宋体" w:cs="宋体"/>
                <w:i w:val="0"/>
                <w:iCs w:val="0"/>
                <w:color w:val="auto"/>
                <w:kern w:val="0"/>
                <w:sz w:val="21"/>
                <w:szCs w:val="21"/>
                <w:u w:val="none"/>
                <w:lang w:val="en-US" w:eastAsia="zh-CN" w:bidi="ar"/>
              </w:rPr>
              <w:t>6</w:t>
            </w:r>
            <w:r>
              <w:rPr>
                <w:rFonts w:hint="eastAsia" w:ascii="宋体" w:hAnsi="宋体" w:eastAsia="宋体" w:cs="宋体"/>
                <w:i w:val="0"/>
                <w:iCs w:val="0"/>
                <w:color w:val="auto"/>
                <w:kern w:val="0"/>
                <w:sz w:val="21"/>
                <w:szCs w:val="21"/>
                <w:u w:val="none"/>
                <w:lang w:val="en-US" w:eastAsia="zh-CN" w:bidi="ar"/>
              </w:rPr>
              <w:t>个月内，最新生产批次且经检验合格的产品。</w:t>
            </w:r>
          </w:p>
        </w:tc>
      </w:tr>
      <w:tr w14:paraId="782EB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6A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DB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随设备向院方交付设备中文版《使用说明书》《医疗器械生产企业许可证》《医疗器械经营企业许可证》《医疗器械注册证》等与本合同设备使用有关的所有资料。如为进口设备，中标方还应提供进口设备原产地证、检测报告、《进口医疗器械注册证》、检验检疫证明、进口报关手续等资料。</w:t>
            </w:r>
          </w:p>
        </w:tc>
      </w:tr>
      <w:tr w14:paraId="30037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8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E2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验收日期前中标方必须完成合同约定的各项培训，包括对院方相关人员进行设备使用培训及日常保养培训并提供培训记录。现场验收时中标方需提供必要的技术支持并协助院方完成各项指标和功能的测试，否则因验收延误产生的后果由中标方负责。</w:t>
            </w:r>
          </w:p>
        </w:tc>
      </w:tr>
      <w:tr w14:paraId="68DB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9E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41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货到安装、调试验收合格后，中标方应按本合同全额价款出具正规税务发票，院方财务科收到中标方发票等相关资料后</w:t>
            </w:r>
            <w:r>
              <w:rPr>
                <w:rFonts w:hint="default" w:ascii="宋体" w:hAnsi="宋体" w:eastAsia="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个工作日内向中标方支付合同全款。</w:t>
            </w:r>
          </w:p>
        </w:tc>
      </w:tr>
      <w:tr w14:paraId="09FD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26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B7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设备出现故障时中标方应在接到院方通知时</w:t>
            </w:r>
            <w:r>
              <w:rPr>
                <w:rFonts w:hint="default" w:ascii="宋体" w:hAnsi="宋体" w:eastAsia="宋体"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小时响应，</w:t>
            </w:r>
            <w:r>
              <w:rPr>
                <w:rFonts w:hint="default" w:ascii="宋体" w:hAnsi="宋体" w:eastAsia="宋体" w:cs="宋体"/>
                <w:i w:val="0"/>
                <w:iCs w:val="0"/>
                <w:color w:val="auto"/>
                <w:kern w:val="0"/>
                <w:sz w:val="21"/>
                <w:szCs w:val="21"/>
                <w:u w:val="none"/>
                <w:lang w:val="en-US" w:eastAsia="zh-CN" w:bidi="ar"/>
              </w:rPr>
              <w:t>24</w:t>
            </w:r>
            <w:r>
              <w:rPr>
                <w:rFonts w:hint="eastAsia" w:ascii="宋体" w:hAnsi="宋体" w:eastAsia="宋体" w:cs="宋体"/>
                <w:i w:val="0"/>
                <w:iCs w:val="0"/>
                <w:color w:val="auto"/>
                <w:kern w:val="0"/>
                <w:sz w:val="21"/>
                <w:szCs w:val="21"/>
                <w:u w:val="none"/>
                <w:lang w:val="en-US" w:eastAsia="zh-CN" w:bidi="ar"/>
              </w:rPr>
              <w:t>小时内到位，若中标方未能在</w:t>
            </w:r>
            <w:r>
              <w:rPr>
                <w:rFonts w:hint="default" w:ascii="宋体" w:hAnsi="宋体" w:eastAsia="宋体" w:cs="宋体"/>
                <w:i w:val="0"/>
                <w:iCs w:val="0"/>
                <w:color w:val="auto"/>
                <w:kern w:val="0"/>
                <w:sz w:val="21"/>
                <w:szCs w:val="21"/>
                <w:u w:val="none"/>
                <w:lang w:val="en-US" w:eastAsia="zh-CN" w:bidi="ar"/>
              </w:rPr>
              <w:t>24</w:t>
            </w:r>
            <w:r>
              <w:rPr>
                <w:rFonts w:hint="eastAsia" w:ascii="宋体" w:hAnsi="宋体" w:eastAsia="宋体" w:cs="宋体"/>
                <w:i w:val="0"/>
                <w:iCs w:val="0"/>
                <w:color w:val="auto"/>
                <w:kern w:val="0"/>
                <w:sz w:val="21"/>
                <w:szCs w:val="21"/>
                <w:u w:val="none"/>
                <w:lang w:val="en-US" w:eastAsia="zh-CN" w:bidi="ar"/>
              </w:rPr>
              <w:t>小时内消除障碍，院方有权聘请第三方消除障碍，所发生的费用由中标方全部承担。</w:t>
            </w:r>
          </w:p>
        </w:tc>
      </w:tr>
      <w:tr w14:paraId="62A6C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33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8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81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如中标设备需要医院信息端口，则由中标方负责医院信息系统端口连接的安装工作及费用（包含信息系统方的接口开发费），医院协助中标方完成信息系统安装，确保设备稳定运行。</w:t>
            </w:r>
          </w:p>
        </w:tc>
      </w:tr>
    </w:tbl>
    <w:p w14:paraId="6EDC8C03">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3B71E8B7">
      <w:pPr>
        <w:rPr>
          <w:rFonts w:hint="eastAsia" w:asciiTheme="majorEastAsia" w:hAnsiTheme="majorEastAsia" w:eastAsiaTheme="majorEastAsia" w:cstheme="majorEastAsia"/>
          <w:kern w:val="2"/>
          <w:sz w:val="32"/>
          <w:szCs w:val="32"/>
          <w:lang w:val="en-US" w:eastAsia="zh-CN" w:bidi="ar-SA"/>
        </w:rPr>
      </w:pPr>
    </w:p>
    <w:p w14:paraId="5B2D89BF">
      <w:pPr>
        <w:rPr>
          <w:rFonts w:hint="eastAsia" w:asciiTheme="majorEastAsia" w:hAnsiTheme="majorEastAsia" w:eastAsiaTheme="majorEastAsia" w:cstheme="majorEastAsia"/>
          <w:kern w:val="2"/>
          <w:sz w:val="32"/>
          <w:szCs w:val="32"/>
          <w:lang w:val="en-US" w:eastAsia="zh-CN" w:bidi="ar-SA"/>
        </w:rPr>
      </w:pPr>
    </w:p>
    <w:p w14:paraId="1ACC3D3F">
      <w:pPr>
        <w:rPr>
          <w:rFonts w:hint="eastAsia" w:asciiTheme="majorEastAsia" w:hAnsiTheme="majorEastAsia" w:eastAsiaTheme="majorEastAsia" w:cstheme="majorEastAsia"/>
          <w:kern w:val="2"/>
          <w:sz w:val="32"/>
          <w:szCs w:val="32"/>
          <w:lang w:val="en-US" w:eastAsia="zh-CN" w:bidi="ar-SA"/>
        </w:rPr>
      </w:pPr>
    </w:p>
    <w:p w14:paraId="36EB70C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kern w:val="2"/>
          <w:sz w:val="32"/>
          <w:szCs w:val="32"/>
          <w:lang w:val="en-US" w:eastAsia="zh-CN" w:bidi="ar-SA"/>
        </w:rPr>
        <w:t xml:space="preserve">第四章 </w:t>
      </w:r>
      <w:r>
        <w:rPr>
          <w:rFonts w:hint="eastAsia" w:asciiTheme="majorEastAsia" w:hAnsiTheme="majorEastAsia" w:eastAsiaTheme="majorEastAsia" w:cstheme="majorEastAsia"/>
          <w:sz w:val="32"/>
          <w:szCs w:val="32"/>
        </w:rPr>
        <w:t>开标、评标、定标</w:t>
      </w:r>
      <w:bookmarkEnd w:id="12"/>
    </w:p>
    <w:p w14:paraId="3B4C8BEE">
      <w:pPr>
        <w:pStyle w:val="3"/>
        <w:numPr>
          <w:ilvl w:val="0"/>
          <w:numId w:val="7"/>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3" w:name="_Toc1988"/>
      <w:bookmarkStart w:id="14" w:name="_Toc24015563"/>
      <w:bookmarkStart w:id="15" w:name="_Toc15209"/>
      <w:r>
        <w:rPr>
          <w:rFonts w:hint="eastAsia" w:ascii="宋体" w:hAnsi="宋体" w:cs="宋体" w:eastAsiaTheme="minorEastAsia"/>
          <w:kern w:val="2"/>
          <w:sz w:val="21"/>
          <w:szCs w:val="21"/>
          <w:lang w:val="en-US" w:eastAsia="zh-CN" w:bidi="ar-SA"/>
        </w:rPr>
        <w:t>资格性审查表</w:t>
      </w:r>
      <w:bookmarkEnd w:id="13"/>
      <w:bookmarkEnd w:id="14"/>
      <w:bookmarkEnd w:id="15"/>
    </w:p>
    <w:tbl>
      <w:tblPr>
        <w:tblStyle w:val="1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86"/>
      </w:tblGrid>
      <w:tr w14:paraId="2C7A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3" w:type="dxa"/>
            <w:noWrap w:val="0"/>
            <w:vAlign w:val="center"/>
          </w:tcPr>
          <w:p w14:paraId="59A3AE57">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bookmarkStart w:id="16" w:name="_Toc15975"/>
            <w:r>
              <w:rPr>
                <w:rFonts w:hint="eastAsia" w:ascii="宋体" w:hAnsi="宋体" w:eastAsia="宋体" w:cs="宋体"/>
                <w:b/>
                <w:bCs/>
                <w:color w:val="000000"/>
                <w:sz w:val="21"/>
                <w:szCs w:val="21"/>
              </w:rPr>
              <w:t>序号</w:t>
            </w:r>
          </w:p>
        </w:tc>
        <w:tc>
          <w:tcPr>
            <w:tcW w:w="9286" w:type="dxa"/>
            <w:noWrap w:val="0"/>
            <w:vAlign w:val="center"/>
          </w:tcPr>
          <w:p w14:paraId="492F829C">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资格性审查内容</w:t>
            </w:r>
          </w:p>
        </w:tc>
      </w:tr>
      <w:tr w14:paraId="62EB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6424D38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286" w:type="dxa"/>
            <w:noWrap w:val="0"/>
            <w:vAlign w:val="center"/>
          </w:tcPr>
          <w:p w14:paraId="37E0A346">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r>
      <w:tr w14:paraId="1FD2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503FDA2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286" w:type="dxa"/>
            <w:noWrap w:val="0"/>
            <w:vAlign w:val="center"/>
          </w:tcPr>
          <w:p w14:paraId="3A1E4E1D">
            <w:pPr>
              <w:keepNext w:val="0"/>
              <w:keepLines w:val="0"/>
              <w:suppressLineNumbers w:val="0"/>
              <w:spacing w:before="0" w:beforeAutospacing="0" w:after="0" w:afterAutospacing="0"/>
              <w:ind w:left="0" w:right="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r>
    </w:tbl>
    <w:p w14:paraId="218A01EB">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投标人必须严格按照《资格性审查表》的评审内容的要求如实提供证明材料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bookmarkEnd w:id="16"/>
    </w:p>
    <w:p w14:paraId="41BA4C69">
      <w:pPr>
        <w:pStyle w:val="3"/>
        <w:numPr>
          <w:ilvl w:val="0"/>
          <w:numId w:val="7"/>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符合</w:t>
      </w:r>
      <w:r>
        <w:rPr>
          <w:rFonts w:hint="eastAsia" w:ascii="宋体" w:hAnsi="宋体" w:cs="宋体" w:eastAsiaTheme="minorEastAsia"/>
          <w:kern w:val="2"/>
          <w:sz w:val="21"/>
          <w:szCs w:val="21"/>
          <w:lang w:val="en-US" w:eastAsia="zh-CN" w:bidi="ar-SA"/>
        </w:rPr>
        <w:t>性审查表</w:t>
      </w:r>
    </w:p>
    <w:tbl>
      <w:tblPr>
        <w:tblStyle w:val="16"/>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319"/>
      </w:tblGrid>
      <w:tr w14:paraId="36AC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noWrap w:val="0"/>
            <w:vAlign w:val="center"/>
          </w:tcPr>
          <w:p w14:paraId="0EED1B4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序号</w:t>
            </w:r>
          </w:p>
        </w:tc>
        <w:tc>
          <w:tcPr>
            <w:tcW w:w="9319" w:type="dxa"/>
            <w:noWrap w:val="0"/>
            <w:vAlign w:val="center"/>
          </w:tcPr>
          <w:p w14:paraId="0D35C54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符合性</w:t>
            </w:r>
            <w:r>
              <w:rPr>
                <w:rFonts w:hint="eastAsia" w:ascii="宋体" w:hAnsi="宋体" w:eastAsia="宋体" w:cs="宋体"/>
                <w:b/>
                <w:color w:val="000000"/>
                <w:sz w:val="21"/>
                <w:szCs w:val="21"/>
                <w:lang w:val="en-US" w:eastAsia="zh-CN"/>
              </w:rPr>
              <w:t>审查内容</w:t>
            </w:r>
          </w:p>
        </w:tc>
      </w:tr>
      <w:tr w14:paraId="6851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5" w:type="dxa"/>
            <w:shd w:val="clear" w:color="auto" w:fill="auto"/>
            <w:noWrap w:val="0"/>
            <w:vAlign w:val="center"/>
          </w:tcPr>
          <w:p w14:paraId="02E74DBF">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w:t>
            </w:r>
          </w:p>
        </w:tc>
        <w:tc>
          <w:tcPr>
            <w:tcW w:w="9319" w:type="dxa"/>
            <w:shd w:val="clear" w:color="auto" w:fill="auto"/>
            <w:noWrap w:val="0"/>
            <w:vAlign w:val="center"/>
          </w:tcPr>
          <w:p w14:paraId="66D5BC0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r>
      <w:tr w14:paraId="6CE7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85" w:type="dxa"/>
            <w:shd w:val="clear" w:color="auto" w:fill="auto"/>
            <w:noWrap w:val="0"/>
            <w:vAlign w:val="center"/>
          </w:tcPr>
          <w:p w14:paraId="3684B3E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w:t>
            </w:r>
          </w:p>
        </w:tc>
        <w:tc>
          <w:tcPr>
            <w:tcW w:w="9319" w:type="dxa"/>
            <w:shd w:val="clear" w:color="auto" w:fill="auto"/>
            <w:noWrap w:val="0"/>
            <w:vAlign w:val="center"/>
          </w:tcPr>
          <w:p w14:paraId="5094F6E0">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r>
      <w:tr w14:paraId="4C9A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shd w:val="clear" w:color="auto" w:fill="auto"/>
            <w:noWrap w:val="0"/>
            <w:vAlign w:val="center"/>
          </w:tcPr>
          <w:p w14:paraId="29F5E7CB">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9319" w:type="dxa"/>
            <w:shd w:val="clear" w:color="auto" w:fill="auto"/>
            <w:noWrap w:val="0"/>
            <w:vAlign w:val="center"/>
          </w:tcPr>
          <w:p w14:paraId="2FA4074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r>
      <w:tr w14:paraId="07C1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5" w:type="dxa"/>
            <w:shd w:val="clear" w:color="auto" w:fill="auto"/>
            <w:noWrap w:val="0"/>
            <w:vAlign w:val="center"/>
          </w:tcPr>
          <w:p w14:paraId="15D79638">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w:t>
            </w:r>
          </w:p>
        </w:tc>
        <w:tc>
          <w:tcPr>
            <w:tcW w:w="9319" w:type="dxa"/>
            <w:shd w:val="clear" w:color="auto" w:fill="auto"/>
            <w:noWrap w:val="0"/>
            <w:vAlign w:val="center"/>
          </w:tcPr>
          <w:p w14:paraId="50C53FF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分项报价或投标总价高于预算金额（最高投标限价）的，或未按招标文件要求报价的</w:t>
            </w:r>
          </w:p>
        </w:tc>
      </w:tr>
      <w:tr w14:paraId="2903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85" w:type="dxa"/>
            <w:shd w:val="clear" w:color="auto" w:fill="auto"/>
            <w:noWrap w:val="0"/>
            <w:vAlign w:val="center"/>
          </w:tcPr>
          <w:p w14:paraId="54B0DFA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5</w:t>
            </w:r>
          </w:p>
        </w:tc>
        <w:tc>
          <w:tcPr>
            <w:tcW w:w="9319" w:type="dxa"/>
            <w:shd w:val="clear" w:color="auto" w:fill="auto"/>
            <w:noWrap w:val="0"/>
            <w:vAlign w:val="center"/>
          </w:tcPr>
          <w:p w14:paraId="6012D7A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r>
      <w:tr w14:paraId="0944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85" w:type="dxa"/>
            <w:shd w:val="clear" w:color="auto" w:fill="auto"/>
            <w:noWrap w:val="0"/>
            <w:vAlign w:val="center"/>
          </w:tcPr>
          <w:p w14:paraId="3B2F8E9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6</w:t>
            </w:r>
          </w:p>
        </w:tc>
        <w:tc>
          <w:tcPr>
            <w:tcW w:w="9319" w:type="dxa"/>
            <w:shd w:val="clear" w:color="auto" w:fill="auto"/>
            <w:noWrap w:val="0"/>
            <w:vAlign w:val="center"/>
          </w:tcPr>
          <w:p w14:paraId="615E946B">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r>
      <w:tr w14:paraId="5F89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shd w:val="clear" w:color="auto" w:fill="auto"/>
            <w:noWrap w:val="0"/>
            <w:vAlign w:val="center"/>
          </w:tcPr>
          <w:p w14:paraId="2CBFECB3">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7</w:t>
            </w:r>
          </w:p>
        </w:tc>
        <w:tc>
          <w:tcPr>
            <w:tcW w:w="9319" w:type="dxa"/>
            <w:shd w:val="clear" w:color="auto" w:fill="auto"/>
            <w:noWrap w:val="0"/>
            <w:vAlign w:val="center"/>
          </w:tcPr>
          <w:p w14:paraId="07E171B0">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文件要求的（是否实质性满足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r>
      <w:tr w14:paraId="78D2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5" w:type="dxa"/>
            <w:shd w:val="clear" w:color="auto" w:fill="auto"/>
            <w:noWrap w:val="0"/>
            <w:vAlign w:val="center"/>
          </w:tcPr>
          <w:p w14:paraId="584C965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8</w:t>
            </w:r>
          </w:p>
        </w:tc>
        <w:tc>
          <w:tcPr>
            <w:tcW w:w="9319" w:type="dxa"/>
            <w:shd w:val="clear" w:color="auto" w:fill="auto"/>
            <w:noWrap w:val="0"/>
            <w:vAlign w:val="center"/>
          </w:tcPr>
          <w:p w14:paraId="0ECC420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r>
      <w:tr w14:paraId="5B35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85" w:type="dxa"/>
            <w:shd w:val="clear" w:color="auto" w:fill="auto"/>
            <w:noWrap w:val="0"/>
            <w:vAlign w:val="center"/>
          </w:tcPr>
          <w:p w14:paraId="41899103">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w:t>
            </w:r>
          </w:p>
        </w:tc>
        <w:tc>
          <w:tcPr>
            <w:tcW w:w="9319" w:type="dxa"/>
            <w:shd w:val="clear" w:color="auto" w:fill="auto"/>
            <w:noWrap w:val="0"/>
            <w:vAlign w:val="center"/>
          </w:tcPr>
          <w:p w14:paraId="4504AFE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r>
      <w:tr w14:paraId="7E2B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0EF1F89F">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w:t>
            </w:r>
          </w:p>
        </w:tc>
        <w:tc>
          <w:tcPr>
            <w:tcW w:w="9319" w:type="dxa"/>
            <w:shd w:val="clear" w:color="auto" w:fill="auto"/>
            <w:noWrap w:val="0"/>
            <w:vAlign w:val="center"/>
          </w:tcPr>
          <w:p w14:paraId="55DC8266">
            <w:pPr>
              <w:keepNext w:val="0"/>
              <w:keepLines w:val="0"/>
              <w:suppressLineNumbers w:val="0"/>
              <w:spacing w:before="0" w:beforeAutospacing="0" w:after="0" w:afterAutospacing="0"/>
              <w:ind w:left="0" w:leftChars="0" w:right="0" w:rightChars="0"/>
              <w:rPr>
                <w:rFonts w:hint="default" w:ascii="宋体" w:hAnsi="宋体" w:eastAsia="宋体" w:cs="宋体"/>
                <w:kern w:val="2"/>
                <w:sz w:val="21"/>
                <w:szCs w:val="21"/>
                <w:lang w:val="en-US" w:eastAsia="zh-CN" w:bidi="ar-SA"/>
              </w:rPr>
            </w:pPr>
            <w:r>
              <w:rPr>
                <w:rFonts w:hint="eastAsia" w:ascii="宋体" w:hAnsi="宋体" w:eastAsia="宋体" w:cs="宋体"/>
                <w:sz w:val="21"/>
                <w:szCs w:val="21"/>
              </w:rPr>
              <w:t>未按招标文件附件所提供的样式和要求完整填写“投标函及履约承诺函”，或投标文件组成部分不符合</w:t>
            </w:r>
            <w:r>
              <w:rPr>
                <w:rFonts w:hint="eastAsia" w:ascii="宋体" w:hAnsi="宋体" w:eastAsia="宋体" w:cs="宋体"/>
                <w:sz w:val="21"/>
                <w:szCs w:val="21"/>
                <w:lang w:val="en-US" w:eastAsia="zh-CN"/>
              </w:rPr>
              <w:t>招标文件</w:t>
            </w:r>
            <w:r>
              <w:rPr>
                <w:rFonts w:hint="eastAsia" w:ascii="宋体" w:hAnsi="宋体" w:eastAsia="宋体" w:cs="宋体"/>
                <w:sz w:val="21"/>
                <w:szCs w:val="21"/>
              </w:rPr>
              <w:t>规定的</w:t>
            </w:r>
          </w:p>
        </w:tc>
      </w:tr>
      <w:tr w14:paraId="10E3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77071F0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11</w:t>
            </w:r>
          </w:p>
        </w:tc>
        <w:tc>
          <w:tcPr>
            <w:tcW w:w="9319" w:type="dxa"/>
            <w:shd w:val="clear" w:color="auto" w:fill="auto"/>
            <w:noWrap w:val="0"/>
            <w:vAlign w:val="center"/>
          </w:tcPr>
          <w:p w14:paraId="659C8E5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r>
      <w:tr w14:paraId="4FDF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28D15117">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p>
        </w:tc>
        <w:tc>
          <w:tcPr>
            <w:tcW w:w="9319" w:type="dxa"/>
            <w:shd w:val="clear" w:color="auto" w:fill="auto"/>
            <w:noWrap w:val="0"/>
            <w:vAlign w:val="center"/>
          </w:tcPr>
          <w:p w14:paraId="6B1EEF3D">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r>
    </w:tbl>
    <w:p w14:paraId="544B3F43">
      <w:pPr>
        <w:tabs>
          <w:tab w:val="left" w:pos="420"/>
          <w:tab w:val="left" w:pos="630"/>
        </w:tabs>
        <w:autoSpaceDE w:val="0"/>
        <w:autoSpaceDN w:val="0"/>
        <w:adjustRightInd w:val="0"/>
        <w:spacing w:line="360" w:lineRule="auto"/>
        <w:rPr>
          <w:rFonts w:hint="eastAsia" w:ascii="宋体" w:cs="宋体"/>
          <w:szCs w:val="21"/>
        </w:rPr>
      </w:pPr>
      <w:r>
        <w:rPr>
          <w:rFonts w:hint="eastAsia" w:ascii="宋体" w:hAnsi="宋体"/>
          <w:szCs w:val="21"/>
        </w:rPr>
        <w:t>说明：</w:t>
      </w:r>
      <w:r>
        <w:rPr>
          <w:rFonts w:hint="eastAsia" w:ascii="宋体" w:hAnsi="宋体"/>
        </w:rPr>
        <w:t>投标人必须严格按照《符合性审查表》的评审内容的要求如实提供证明材料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14:paraId="619B9638">
      <w:pPr>
        <w:tabs>
          <w:tab w:val="left" w:pos="420"/>
          <w:tab w:val="left" w:pos="630"/>
        </w:tabs>
        <w:autoSpaceDE w:val="0"/>
        <w:autoSpaceDN w:val="0"/>
        <w:adjustRightInd w:val="0"/>
        <w:spacing w:line="360" w:lineRule="auto"/>
        <w:rPr>
          <w:rFonts w:hint="eastAsia" w:ascii="宋体" w:cs="宋体"/>
          <w:szCs w:val="21"/>
        </w:rPr>
      </w:pPr>
    </w:p>
    <w:p w14:paraId="58D1A2AD">
      <w:pPr>
        <w:pStyle w:val="4"/>
        <w:numPr>
          <w:ilvl w:val="0"/>
          <w:numId w:val="8"/>
        </w:numPr>
        <w:ind w:left="0" w:leftChars="0" w:firstLine="0" w:firstLineChars="0"/>
        <w:jc w:val="left"/>
        <w:outlineLvl w:val="0"/>
        <w:rPr>
          <w:color w:val="auto"/>
        </w:rPr>
      </w:pPr>
      <w:r>
        <w:rPr>
          <w:rFonts w:hint="eastAsia" w:ascii="宋体" w:hAnsi="宋体" w:cs="宋体" w:eastAsiaTheme="minorEastAsia"/>
          <w:kern w:val="2"/>
          <w:sz w:val="21"/>
          <w:szCs w:val="21"/>
          <w:lang w:val="en-US" w:eastAsia="zh-CN" w:bidi="ar-SA"/>
        </w:rPr>
        <w:t>福田区自行采购供应商资格审查表</w:t>
      </w:r>
    </w:p>
    <w:tbl>
      <w:tblPr>
        <w:tblStyle w:val="17"/>
        <w:tblW w:w="11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46"/>
        <w:gridCol w:w="3257"/>
        <w:gridCol w:w="1150"/>
        <w:gridCol w:w="1150"/>
        <w:gridCol w:w="1150"/>
        <w:gridCol w:w="1644"/>
      </w:tblGrid>
      <w:tr w14:paraId="6FD9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dxa"/>
            <w:noWrap w:val="0"/>
            <w:vAlign w:val="center"/>
          </w:tcPr>
          <w:p w14:paraId="32D01AB9">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序号</w:t>
            </w:r>
          </w:p>
        </w:tc>
        <w:tc>
          <w:tcPr>
            <w:tcW w:w="2146" w:type="dxa"/>
            <w:noWrap w:val="0"/>
            <w:vAlign w:val="center"/>
          </w:tcPr>
          <w:p w14:paraId="059D003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审查内容</w:t>
            </w:r>
          </w:p>
        </w:tc>
        <w:tc>
          <w:tcPr>
            <w:tcW w:w="3257" w:type="dxa"/>
            <w:noWrap w:val="0"/>
            <w:vAlign w:val="center"/>
          </w:tcPr>
          <w:p w14:paraId="2F9C71D5">
            <w:pPr>
              <w:keepNext w:val="0"/>
              <w:keepLines w:val="0"/>
              <w:widowControl/>
              <w:suppressLineNumbers w:val="0"/>
              <w:spacing w:before="0" w:beforeLines="0" w:beforeAutospacing="0" w:after="0" w:afterLines="0" w:afterAutospacing="0" w:line="380" w:lineRule="exact"/>
              <w:ind w:left="0" w:right="0"/>
              <w:jc w:val="center"/>
              <w:rPr>
                <w:rFonts w:hint="default"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eastAsia="zh-CN"/>
              </w:rPr>
              <w:t>审查方式</w:t>
            </w:r>
            <w:r>
              <w:rPr>
                <w:rFonts w:hint="eastAsia" w:ascii="黑体" w:hAnsi="黑体" w:eastAsia="黑体" w:cs="仿宋_GB2312"/>
                <w:color w:val="auto"/>
                <w:sz w:val="21"/>
                <w:szCs w:val="21"/>
                <w:highlight w:val="none"/>
                <w:u w:val="none"/>
                <w:vertAlign w:val="baseline"/>
                <w:lang w:val="en-US" w:eastAsia="zh-CN"/>
              </w:rPr>
              <w:t>/查询途径</w:t>
            </w:r>
          </w:p>
        </w:tc>
        <w:tc>
          <w:tcPr>
            <w:tcW w:w="1150" w:type="dxa"/>
            <w:noWrap w:val="0"/>
            <w:vAlign w:val="center"/>
          </w:tcPr>
          <w:p w14:paraId="47502B1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1B574F3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5CD13CEC">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4D1C1DC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377759A0">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val="en-US" w:eastAsia="zh-CN"/>
              </w:rPr>
              <w:t>……</w:t>
            </w:r>
          </w:p>
        </w:tc>
        <w:tc>
          <w:tcPr>
            <w:tcW w:w="1644" w:type="dxa"/>
            <w:noWrap w:val="0"/>
            <w:vAlign w:val="center"/>
          </w:tcPr>
          <w:p w14:paraId="466F1B24">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备注</w:t>
            </w:r>
          </w:p>
        </w:tc>
      </w:tr>
      <w:tr w14:paraId="01F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66E81D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1</w:t>
            </w:r>
          </w:p>
        </w:tc>
        <w:tc>
          <w:tcPr>
            <w:tcW w:w="2146" w:type="dxa"/>
            <w:noWrap w:val="0"/>
            <w:vAlign w:val="center"/>
          </w:tcPr>
          <w:p w14:paraId="5DBA137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lang w:eastAsia="zh-CN"/>
              </w:rPr>
              <w:t>资质</w:t>
            </w:r>
            <w:r>
              <w:rPr>
                <w:rFonts w:hint="eastAsia" w:ascii="仿宋_GB2312" w:hAnsi="仿宋_GB2312" w:eastAsia="仿宋_GB2312" w:cs="仿宋_GB2312"/>
                <w:color w:val="auto"/>
                <w:spacing w:val="-11"/>
                <w:sz w:val="21"/>
                <w:szCs w:val="21"/>
                <w:highlight w:val="none"/>
                <w:u w:val="none"/>
              </w:rPr>
              <w:t>条件</w:t>
            </w:r>
          </w:p>
        </w:tc>
        <w:tc>
          <w:tcPr>
            <w:tcW w:w="3257" w:type="dxa"/>
            <w:noWrap w:val="0"/>
            <w:vAlign w:val="center"/>
          </w:tcPr>
          <w:p w14:paraId="55589E4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rPr>
              <w:t>根据采购文件的规定，要求供应商提供资质证明材料或采购人自行通过公开渠道查询</w:t>
            </w:r>
          </w:p>
        </w:tc>
        <w:tc>
          <w:tcPr>
            <w:tcW w:w="1150" w:type="dxa"/>
            <w:noWrap w:val="0"/>
            <w:vAlign w:val="center"/>
          </w:tcPr>
          <w:p w14:paraId="19582C5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6DD0C3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A6A97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0B50EF1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84C8CE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sym w:font="Wingdings 2" w:char="00A3"/>
            </w:r>
            <w:r>
              <w:rPr>
                <w:rFonts w:hint="eastAsia" w:ascii="仿宋_GB2312" w:hAnsi="仿宋_GB2312" w:eastAsia="仿宋_GB2312" w:cs="仿宋_GB2312"/>
                <w:color w:val="auto"/>
                <w:spacing w:val="-11"/>
                <w:sz w:val="21"/>
                <w:szCs w:val="21"/>
                <w:highlight w:val="none"/>
                <w:u w:val="none"/>
                <w:lang w:eastAsia="zh-CN"/>
              </w:rPr>
              <w:t>通过</w:t>
            </w:r>
          </w:p>
          <w:p w14:paraId="739018D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65F56D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采购人应当在采购文件事先明确具体的审查方式</w:t>
            </w:r>
          </w:p>
        </w:tc>
      </w:tr>
      <w:tr w14:paraId="226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94A446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2</w:t>
            </w:r>
          </w:p>
        </w:tc>
        <w:tc>
          <w:tcPr>
            <w:tcW w:w="2146" w:type="dxa"/>
            <w:noWrap w:val="0"/>
            <w:vAlign w:val="center"/>
          </w:tcPr>
          <w:p w14:paraId="29BAD3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rPr>
              <w:t>是否存在</w:t>
            </w:r>
            <w:r>
              <w:rPr>
                <w:rFonts w:hint="eastAsia" w:ascii="仿宋_GB2312" w:hAnsi="仿宋_GB2312" w:eastAsia="仿宋_GB2312" w:cs="仿宋_GB2312"/>
                <w:color w:val="auto"/>
                <w:spacing w:val="-11"/>
                <w:sz w:val="21"/>
                <w:szCs w:val="21"/>
                <w:highlight w:val="none"/>
                <w:u w:val="none"/>
                <w:lang w:eastAsia="zh-CN"/>
              </w:rPr>
              <w:t>因</w:t>
            </w:r>
            <w:r>
              <w:rPr>
                <w:rFonts w:hint="eastAsia" w:ascii="仿宋_GB2312" w:hAnsi="仿宋_GB2312" w:eastAsia="仿宋_GB2312" w:cs="仿宋_GB2312"/>
                <w:color w:val="auto"/>
                <w:spacing w:val="-11"/>
                <w:sz w:val="21"/>
                <w:szCs w:val="21"/>
                <w:highlight w:val="none"/>
                <w:u w:val="none"/>
              </w:rPr>
              <w:t>违法行为</w:t>
            </w:r>
            <w:r>
              <w:rPr>
                <w:rFonts w:hint="eastAsia" w:ascii="仿宋_GB2312" w:hAnsi="仿宋_GB2312" w:eastAsia="仿宋_GB2312" w:cs="仿宋_GB2312"/>
                <w:color w:val="auto"/>
                <w:spacing w:val="-11"/>
                <w:sz w:val="21"/>
                <w:szCs w:val="21"/>
                <w:highlight w:val="none"/>
                <w:u w:val="none"/>
                <w:lang w:eastAsia="zh-CN"/>
              </w:rPr>
              <w:t>而</w:t>
            </w:r>
            <w:r>
              <w:rPr>
                <w:rFonts w:hint="eastAsia" w:ascii="仿宋_GB2312" w:hAnsi="仿宋_GB2312" w:eastAsia="仿宋_GB2312" w:cs="仿宋_GB2312"/>
                <w:color w:val="auto"/>
                <w:spacing w:val="-11"/>
                <w:sz w:val="21"/>
                <w:szCs w:val="21"/>
                <w:highlight w:val="none"/>
                <w:u w:val="none"/>
              </w:rPr>
              <w:t>被禁止参加</w:t>
            </w:r>
            <w:r>
              <w:rPr>
                <w:rFonts w:hint="eastAsia" w:ascii="仿宋_GB2312" w:hAnsi="仿宋_GB2312" w:eastAsia="仿宋_GB2312" w:cs="仿宋_GB2312"/>
                <w:color w:val="auto"/>
                <w:spacing w:val="-11"/>
                <w:sz w:val="21"/>
                <w:szCs w:val="21"/>
                <w:highlight w:val="none"/>
                <w:u w:val="none"/>
                <w:lang w:eastAsia="zh-CN"/>
              </w:rPr>
              <w:t>本市</w:t>
            </w:r>
            <w:r>
              <w:rPr>
                <w:rFonts w:hint="eastAsia" w:ascii="仿宋_GB2312" w:hAnsi="仿宋_GB2312" w:eastAsia="仿宋_GB2312" w:cs="仿宋_GB2312"/>
                <w:color w:val="auto"/>
                <w:spacing w:val="-11"/>
                <w:sz w:val="21"/>
                <w:szCs w:val="21"/>
                <w:highlight w:val="none"/>
                <w:u w:val="none"/>
              </w:rPr>
              <w:t>政府采购活动</w:t>
            </w:r>
            <w:r>
              <w:rPr>
                <w:rFonts w:hint="eastAsia" w:ascii="仿宋_GB2312" w:hAnsi="仿宋_GB2312" w:eastAsia="仿宋_GB2312" w:cs="仿宋_GB2312"/>
                <w:color w:val="auto"/>
                <w:spacing w:val="-11"/>
                <w:sz w:val="21"/>
                <w:szCs w:val="21"/>
                <w:highlight w:val="none"/>
                <w:u w:val="none"/>
                <w:lang w:eastAsia="zh-CN"/>
              </w:rPr>
              <w:t>的情形</w:t>
            </w:r>
          </w:p>
        </w:tc>
        <w:tc>
          <w:tcPr>
            <w:tcW w:w="3257" w:type="dxa"/>
            <w:noWrap w:val="0"/>
            <w:vAlign w:val="center"/>
          </w:tcPr>
          <w:p w14:paraId="4B1C3D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中国政府采购网（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"http://www.ccgp.gov.cn/search/cr/"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http://www.ccgp.gov.cn/search/cr/</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p w14:paraId="70163EA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深圳市政府采购监管网（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"http://zfcg.sz.gov.cn/cgjg/cxda/index.html"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http://zfcg.sz.gov.cn/cgjg/cxda/index.html</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tc>
        <w:tc>
          <w:tcPr>
            <w:tcW w:w="1150" w:type="dxa"/>
            <w:noWrap w:val="0"/>
            <w:vAlign w:val="center"/>
          </w:tcPr>
          <w:p w14:paraId="740F657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0F7AA86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551C558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0A79B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1F3DF3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A1D88E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644" w:type="dxa"/>
            <w:noWrap w:val="0"/>
            <w:vAlign w:val="center"/>
          </w:tcPr>
          <w:p w14:paraId="57C93C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val="en-US" w:eastAsia="zh-CN" w:bidi="ar-SA"/>
              </w:rPr>
              <w:t>若选择“是”，则属于审查不通过。</w:t>
            </w:r>
          </w:p>
        </w:tc>
      </w:tr>
      <w:tr w14:paraId="0305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11FFD6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3</w:t>
            </w:r>
          </w:p>
        </w:tc>
        <w:tc>
          <w:tcPr>
            <w:tcW w:w="2146" w:type="dxa"/>
            <w:noWrap w:val="0"/>
            <w:vAlign w:val="center"/>
          </w:tcPr>
          <w:p w14:paraId="0CECC22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不同投标供应商的法定代表人、主要经营负责人、投标授权代表人、项目负责人、主要技术人员是否为同一人、属同一单位或者在同一单位缴纳社会保险</w:t>
            </w:r>
          </w:p>
        </w:tc>
        <w:tc>
          <w:tcPr>
            <w:tcW w:w="3257" w:type="dxa"/>
            <w:noWrap w:val="0"/>
            <w:vAlign w:val="center"/>
          </w:tcPr>
          <w:p w14:paraId="432EA16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供应商提供的社保缴纳证明材料（如有）</w:t>
            </w:r>
          </w:p>
        </w:tc>
        <w:tc>
          <w:tcPr>
            <w:tcW w:w="1150" w:type="dxa"/>
            <w:noWrap w:val="0"/>
            <w:vAlign w:val="center"/>
          </w:tcPr>
          <w:p w14:paraId="0FF9F6C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0CECA60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254A2EC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6E487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B6B91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432B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78577DB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w:t>
            </w:r>
            <w:r>
              <w:rPr>
                <w:rFonts w:hint="eastAsia" w:ascii="仿宋_GB2312" w:hAnsi="仿宋_GB2312" w:eastAsia="仿宋_GB2312" w:cs="仿宋_GB2312"/>
                <w:color w:val="auto"/>
                <w:spacing w:val="-11"/>
                <w:sz w:val="21"/>
                <w:szCs w:val="21"/>
                <w:highlight w:val="none"/>
                <w:u w:val="none"/>
                <w:lang w:bidi="ar"/>
              </w:rPr>
              <w:t>同一人、属同一单位或者在同一单位缴纳社会保险</w:t>
            </w:r>
            <w:r>
              <w:rPr>
                <w:rFonts w:hint="eastAsia" w:ascii="仿宋_GB2312" w:hAnsi="仿宋_GB2312" w:eastAsia="仿宋_GB2312" w:cs="仿宋_GB2312"/>
                <w:color w:val="auto"/>
                <w:spacing w:val="-11"/>
                <w:kern w:val="2"/>
                <w:sz w:val="21"/>
                <w:szCs w:val="21"/>
                <w:highlight w:val="none"/>
                <w:u w:val="none"/>
                <w:lang w:eastAsia="zh-CN" w:bidi="ar"/>
              </w:rPr>
              <w:t>，则该几家供应商不得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40B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4056122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4</w:t>
            </w:r>
          </w:p>
        </w:tc>
        <w:tc>
          <w:tcPr>
            <w:tcW w:w="2146" w:type="dxa"/>
            <w:noWrap w:val="0"/>
            <w:vAlign w:val="center"/>
          </w:tcPr>
          <w:p w14:paraId="36A6586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不同供应商的单位负责人是否为同一人</w:t>
            </w:r>
          </w:p>
        </w:tc>
        <w:tc>
          <w:tcPr>
            <w:tcW w:w="3257" w:type="dxa"/>
            <w:noWrap w:val="0"/>
            <w:vAlign w:val="center"/>
          </w:tcPr>
          <w:p w14:paraId="33A5D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2834" w:right="0" w:hanging="2444" w:hangingChars="130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280D599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w:t>
            </w:r>
            <w:r>
              <w:rPr>
                <w:rFonts w:hint="eastAsia" w:ascii="仿宋_GB2312" w:hAnsi="仿宋_GB2312" w:eastAsia="仿宋_GB2312" w:cs="仿宋_GB2312"/>
                <w:color w:val="auto"/>
                <w:spacing w:val="-11"/>
                <w:sz w:val="21"/>
                <w:szCs w:val="21"/>
                <w:highlight w:val="none"/>
                <w:u w:val="none"/>
                <w:vertAlign w:val="baseline"/>
                <w:lang w:val="en-US" w:eastAsia="zh-CN" w:bidi="ar"/>
              </w:rPr>
              <w:t>c</w:t>
            </w:r>
            <w:r>
              <w:rPr>
                <w:rFonts w:hint="eastAsia" w:ascii="仿宋_GB2312" w:hAnsi="仿宋_GB2312" w:eastAsia="仿宋_GB2312" w:cs="仿宋_GB2312"/>
                <w:color w:val="auto"/>
                <w:spacing w:val="-11"/>
                <w:sz w:val="21"/>
                <w:szCs w:val="21"/>
                <w:highlight w:val="none"/>
                <w:u w:val="none"/>
                <w:vertAlign w:val="baseline"/>
                <w:lang w:eastAsia="zh-CN" w:bidi="ar"/>
              </w:rPr>
              <w:t>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6EF748F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232D4B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201583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152B4E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17FE1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9E16C6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16924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若为同一人，则该几家供应商不得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FB9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768" w:type="dxa"/>
            <w:noWrap w:val="0"/>
            <w:vAlign w:val="center"/>
          </w:tcPr>
          <w:p w14:paraId="52018E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5</w:t>
            </w:r>
          </w:p>
        </w:tc>
        <w:tc>
          <w:tcPr>
            <w:tcW w:w="2146" w:type="dxa"/>
            <w:noWrap w:val="0"/>
            <w:vAlign w:val="center"/>
          </w:tcPr>
          <w:p w14:paraId="7A6BF92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eastAsia="zh-CN" w:bidi="ar"/>
              </w:rPr>
              <w:t>不同供应商之间是否</w:t>
            </w:r>
            <w:r>
              <w:rPr>
                <w:rFonts w:hint="eastAsia" w:ascii="仿宋_GB2312" w:hAnsi="仿宋_GB2312" w:eastAsia="仿宋_GB2312" w:cs="仿宋_GB2312"/>
                <w:color w:val="auto"/>
                <w:spacing w:val="-11"/>
                <w:kern w:val="2"/>
                <w:sz w:val="21"/>
                <w:szCs w:val="21"/>
                <w:highlight w:val="none"/>
                <w:u w:val="none"/>
                <w:lang w:bidi="ar"/>
              </w:rPr>
              <w:t>存在直接控股、管理关系</w:t>
            </w:r>
          </w:p>
        </w:tc>
        <w:tc>
          <w:tcPr>
            <w:tcW w:w="3257" w:type="dxa"/>
            <w:noWrap w:val="0"/>
            <w:vAlign w:val="center"/>
          </w:tcPr>
          <w:p w14:paraId="5FA73D8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7A3E488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（https://www.gsxt.gov.cn/index.html）、机关赋码和事业单位登记管理网（http://www.gjsy.gov.cn/sydwfrxxcx/）、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7170A9B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057252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5AA5CBE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E4C5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032A482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6D5E3DA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5819F7E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kern w:val="2"/>
                <w:sz w:val="21"/>
                <w:szCs w:val="21"/>
                <w:highlight w:val="none"/>
                <w:u w:val="none"/>
                <w:lang w:eastAsia="zh-CN" w:bidi="ar"/>
              </w:rPr>
              <w:t>若存在直接控股、管理关系，则该几家供应商不得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6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7A7D7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6</w:t>
            </w:r>
          </w:p>
        </w:tc>
        <w:tc>
          <w:tcPr>
            <w:tcW w:w="2146" w:type="dxa"/>
            <w:noWrap w:val="0"/>
            <w:vAlign w:val="center"/>
          </w:tcPr>
          <w:p w14:paraId="5FC973B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kern w:val="2"/>
                <w:sz w:val="21"/>
                <w:szCs w:val="21"/>
                <w:highlight w:val="none"/>
                <w:u w:val="none"/>
                <w:lang w:bidi="ar"/>
              </w:rPr>
              <w:t>为采购项目提供整体设计、规范编制或者项目管理、监理、检测等服务的供应商，</w:t>
            </w:r>
            <w:r>
              <w:rPr>
                <w:rFonts w:hint="eastAsia" w:ascii="仿宋_GB2312" w:hAnsi="仿宋_GB2312" w:eastAsia="仿宋_GB2312" w:cs="仿宋_GB2312"/>
                <w:color w:val="auto"/>
                <w:spacing w:val="-11"/>
                <w:kern w:val="2"/>
                <w:sz w:val="21"/>
                <w:szCs w:val="21"/>
                <w:highlight w:val="none"/>
                <w:u w:val="none"/>
                <w:lang w:eastAsia="zh-CN" w:bidi="ar"/>
              </w:rPr>
              <w:t>是否</w:t>
            </w:r>
            <w:r>
              <w:rPr>
                <w:rFonts w:hint="eastAsia" w:ascii="仿宋_GB2312" w:hAnsi="仿宋_GB2312" w:eastAsia="仿宋_GB2312" w:cs="仿宋_GB2312"/>
                <w:color w:val="auto"/>
                <w:spacing w:val="-11"/>
                <w:kern w:val="2"/>
                <w:sz w:val="21"/>
                <w:szCs w:val="21"/>
                <w:highlight w:val="none"/>
                <w:u w:val="none"/>
                <w:lang w:bidi="ar"/>
              </w:rPr>
              <w:t>参加</w:t>
            </w:r>
            <w:r>
              <w:rPr>
                <w:rFonts w:hint="eastAsia" w:ascii="仿宋_GB2312" w:hAnsi="仿宋_GB2312" w:eastAsia="仿宋_GB2312" w:cs="仿宋_GB2312"/>
                <w:color w:val="auto"/>
                <w:spacing w:val="-11"/>
                <w:kern w:val="2"/>
                <w:sz w:val="21"/>
                <w:szCs w:val="21"/>
                <w:highlight w:val="none"/>
                <w:u w:val="none"/>
                <w:lang w:eastAsia="zh-CN" w:bidi="ar"/>
              </w:rPr>
              <w:t>了</w:t>
            </w:r>
            <w:r>
              <w:rPr>
                <w:rFonts w:hint="eastAsia" w:ascii="仿宋_GB2312" w:hAnsi="仿宋_GB2312" w:eastAsia="仿宋_GB2312" w:cs="仿宋_GB2312"/>
                <w:color w:val="auto"/>
                <w:spacing w:val="-11"/>
                <w:kern w:val="2"/>
                <w:sz w:val="21"/>
                <w:szCs w:val="21"/>
                <w:highlight w:val="none"/>
                <w:u w:val="none"/>
                <w:lang w:bidi="ar"/>
              </w:rPr>
              <w:t>该采购项目的其他采购活动</w:t>
            </w:r>
          </w:p>
        </w:tc>
        <w:tc>
          <w:tcPr>
            <w:tcW w:w="3257" w:type="dxa"/>
            <w:noWrap w:val="0"/>
            <w:vAlign w:val="center"/>
          </w:tcPr>
          <w:p w14:paraId="676FF01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采购人内部排查</w:t>
            </w:r>
          </w:p>
        </w:tc>
        <w:tc>
          <w:tcPr>
            <w:tcW w:w="1150" w:type="dxa"/>
            <w:noWrap w:val="0"/>
            <w:vAlign w:val="center"/>
          </w:tcPr>
          <w:p w14:paraId="6F23824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4D74A8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043129E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031FD49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422557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6A4BBA2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644" w:type="dxa"/>
            <w:noWrap w:val="0"/>
            <w:vAlign w:val="center"/>
          </w:tcPr>
          <w:p w14:paraId="17249EC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采用单一来源方式的除外。若选择“是”，则属于审查不通过。</w:t>
            </w:r>
          </w:p>
        </w:tc>
      </w:tr>
      <w:tr w14:paraId="578B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1" w:type="dxa"/>
            <w:gridSpan w:val="3"/>
            <w:noWrap w:val="0"/>
            <w:vAlign w:val="center"/>
          </w:tcPr>
          <w:p w14:paraId="3625CB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审查结论</w:t>
            </w:r>
          </w:p>
        </w:tc>
        <w:tc>
          <w:tcPr>
            <w:tcW w:w="1150" w:type="dxa"/>
            <w:noWrap w:val="0"/>
            <w:vAlign w:val="center"/>
          </w:tcPr>
          <w:p w14:paraId="3CFEB5A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737A6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D013D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500EBCF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0AA013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FC3B50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3EAFADB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w:t>
            </w:r>
          </w:p>
        </w:tc>
      </w:tr>
      <w:tr w14:paraId="1C74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65" w:type="dxa"/>
            <w:gridSpan w:val="7"/>
            <w:noWrap w:val="0"/>
            <w:vAlign w:val="center"/>
          </w:tcPr>
          <w:p w14:paraId="6CAA1B8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564" w:firstLineChars="30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审查人员签名：                                          审查日期：</w:t>
            </w:r>
          </w:p>
        </w:tc>
      </w:tr>
    </w:tbl>
    <w:p w14:paraId="4D79F9F6">
      <w:pPr>
        <w:pStyle w:val="34"/>
        <w:widowControl/>
        <w:numPr>
          <w:ilvl w:val="0"/>
          <w:numId w:val="9"/>
        </w:numPr>
        <w:spacing w:line="360" w:lineRule="auto"/>
        <w:ind w:left="0" w:leftChars="0" w:firstLine="0" w:firstLineChars="0"/>
        <w:jc w:val="left"/>
        <w:outlineLvl w:val="1"/>
        <w:rPr>
          <w:rFonts w:hAnsi="宋体"/>
          <w:b/>
          <w:bCs/>
        </w:rPr>
      </w:pPr>
      <w:r>
        <w:rPr>
          <w:rFonts w:hint="eastAsia" w:hAnsi="宋体"/>
          <w:b/>
          <w:bCs/>
          <w:lang w:val="en-US" w:eastAsia="zh-CN"/>
        </w:rPr>
        <w:t xml:space="preserve"> </w:t>
      </w:r>
      <w:r>
        <w:rPr>
          <w:rFonts w:hint="eastAsia" w:hAnsi="宋体"/>
          <w:b/>
          <w:bCs/>
        </w:rPr>
        <w:t>开标</w:t>
      </w:r>
    </w:p>
    <w:p w14:paraId="069C923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1.1. 应在规定的日期、时间和地点组织公开开标。开标时邀请所有投标人代表参加。参加开标的代表应签名报到以证明其出席。</w:t>
      </w:r>
    </w:p>
    <w:p w14:paraId="45B9A2A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1.2. 开标时，由采购人党委办公室工作人员检查投标文件的密封情况；经确认无误后，由采购人工作人员当众拆封，宣布投标人名称、投标价格和征集文件规定的需要宣布的其他内容。</w:t>
      </w:r>
    </w:p>
    <w:p w14:paraId="3E406D9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1.3. 投标人代表对开标过程和开标记录有疑义，以及认为采购人相关工作人员有需要回避的情形的，应当场提出询问或者回避申请。采购人对投标人代表提出的询问或者回避申请应当及时处理。</w:t>
      </w:r>
    </w:p>
    <w:p w14:paraId="0C42C018">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1.4. 投标人未参加开标的，视同认可开标结果。</w:t>
      </w:r>
    </w:p>
    <w:p w14:paraId="15660E1E">
      <w:pPr>
        <w:pStyle w:val="34"/>
        <w:widowControl/>
        <w:numPr>
          <w:ilvl w:val="0"/>
          <w:numId w:val="0"/>
        </w:numPr>
        <w:spacing w:line="360" w:lineRule="auto"/>
        <w:ind w:leftChars="0"/>
        <w:jc w:val="left"/>
        <w:outlineLvl w:val="1"/>
        <w:rPr>
          <w:rFonts w:hint="eastAsia" w:ascii="宋体" w:hAnsi="宋体" w:cs="宋体"/>
          <w:szCs w:val="21"/>
        </w:rPr>
      </w:pPr>
      <w:r>
        <w:rPr>
          <w:rFonts w:hint="eastAsia" w:hAnsi="宋体"/>
          <w:b/>
          <w:lang w:val="en-US" w:eastAsia="zh-CN"/>
        </w:rPr>
        <w:t>2.  评标委员会的组成</w:t>
      </w:r>
    </w:p>
    <w:p w14:paraId="625E4982">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2.1. 评标委员会依法组建，由3人或以上单数组成。</w:t>
      </w:r>
    </w:p>
    <w:p w14:paraId="0EA1849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2.2. 评标委员会成员名单在评标结果公告前应当保密。评审专家有下列情形之一的，受到邀请应主动提出回避，采购当事人也可以要求该评审专家回避：</w:t>
      </w:r>
    </w:p>
    <w:p w14:paraId="1A8F301E">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参加采购活动前3年内与供应商存在劳动关系；</w:t>
      </w:r>
    </w:p>
    <w:p w14:paraId="12286088">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参加采购活动前3年内担任供应商的董事、监事；</w:t>
      </w:r>
    </w:p>
    <w:p w14:paraId="61CB271C">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参加采购活动前3年内是供应商的控股股东或者实际控制人；</w:t>
      </w:r>
    </w:p>
    <w:p w14:paraId="32FEE72C">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（4） 与供应商的法定代表人或者负责人有夫妻、直系血亲、三代以内旁系血亲或者近姻亲关系；</w:t>
      </w:r>
    </w:p>
    <w:p w14:paraId="3893B29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（5） 与供应商有其他可能影响采购活动公平、公正进行的关系。</w:t>
      </w:r>
    </w:p>
    <w:p w14:paraId="400F944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2.3. 评标委员会和有关工作人员不得透露对投标文件的评审和比较以及与评标有关的其他情况。</w:t>
      </w:r>
    </w:p>
    <w:p w14:paraId="5B3AE09A">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2.4. 评标委员会负责具体评标事务，并独立履行下列职责：</w:t>
      </w:r>
    </w:p>
    <w:p w14:paraId="2E20211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审查、评价投标文件是否符合征集文件的商务、技术等实质性要求；</w:t>
      </w:r>
    </w:p>
    <w:p w14:paraId="5E69551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要求投标人对投标文件有关事项作出澄清或者说明；</w:t>
      </w:r>
    </w:p>
    <w:p w14:paraId="21D1899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对投标文件进行比较和评价；</w:t>
      </w:r>
    </w:p>
    <w:p w14:paraId="1141E4F7">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（4） 确定中标候选人名单；</w:t>
      </w:r>
    </w:p>
    <w:p w14:paraId="40C1AD7F">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2.5. 对于投标文件中含义不明确、同类问题表述不一致或者有明显文字和计算错误的内容，评标委员会应当以书面形式要求投标人作出必要的澄清、说明或者补正。</w:t>
      </w:r>
    </w:p>
    <w:p w14:paraId="5D1FCB27">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2.6. 投标人的澄清、说明或者补正应当采用书面形式，并加盖公章，或者由法定代表人或其授权的代表签字。投标人的澄清、说明或者补正不得超出投标文件的范围或者改变投标文件的实质性内容。投标人的澄清文件是其投标文件的组成部分。</w:t>
      </w:r>
    </w:p>
    <w:p w14:paraId="4EBDD54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2.7. 评标委员会决定投标的响应性只根据投标文件中提供的材料内容，而不依据外部的材料证据。</w:t>
      </w:r>
    </w:p>
    <w:p w14:paraId="072F2F10">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2.8.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致的，按照“少数服从多数”的原则确定评标委员会的意见。</w:t>
      </w:r>
    </w:p>
    <w:p w14:paraId="4280082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2.9. 评标委员会成员对需要共同认定的事项存在争议的，应当按照少数服从多数的原则作出结论。持不同意见的评标委员会成员应当在评标报告上签署不同意见及理由，否则视为同意评标报告。</w:t>
      </w:r>
    </w:p>
    <w:p w14:paraId="2D7705E9">
      <w:pPr>
        <w:pStyle w:val="34"/>
        <w:widowControl/>
        <w:numPr>
          <w:ilvl w:val="0"/>
          <w:numId w:val="0"/>
        </w:numPr>
        <w:spacing w:line="360" w:lineRule="auto"/>
        <w:ind w:leftChars="0"/>
        <w:jc w:val="left"/>
        <w:outlineLvl w:val="1"/>
        <w:rPr>
          <w:rFonts w:hAnsi="宋体"/>
          <w:b/>
        </w:rPr>
      </w:pPr>
      <w:r>
        <w:rPr>
          <w:rFonts w:hint="eastAsia" w:hAnsi="宋体"/>
          <w:b/>
          <w:lang w:val="en-US" w:eastAsia="zh-CN"/>
        </w:rPr>
        <w:t>3.  投标文件初审</w:t>
      </w:r>
    </w:p>
    <w:p w14:paraId="04739DE4">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3.1. 投标文件初审包括资格性检查和符合性检查。资格性检查：依据法律法规和征集文件的规定，对投标文件中的资格证明等进行审查，以确定投标供应商是否具备投标资格。符合性检查：依据征集文件的规定，从投标文件的有效性、完整性和对征集文件的响应程度进行审查，以确定是否对征集文件的实质性要求作出响应。</w:t>
      </w:r>
    </w:p>
    <w:p w14:paraId="57C10333">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3.2. 投标文件初审中关于供应商家数的计算:</w:t>
      </w:r>
    </w:p>
    <w:p w14:paraId="449F47A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采用最低价法的采购项目，提供相同品牌产品的不同投标人参加同一合同项下投标的，以其中通过资格审查、符合性审查且报价最低的参加评标；报价相同的，由采购人或者采购人委托评标委员会按照征集文件规定的方式确定一个参加评审的投标人，征集文件未规定的采取随机抽取方式确定，其他投标无效。</w:t>
      </w:r>
    </w:p>
    <w:p w14:paraId="280FE5A6">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征集文件规定的方式确定一个投标人获得中标人推荐资格，征集文件未规定的采取随机抽取方式确定，其他同品牌投标人不作为中标候选人。</w:t>
      </w:r>
    </w:p>
    <w:p w14:paraId="26AA3AE3">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非单一产品采购项目，采购人应当根据采购项目技术构成、产品价格比重等合理确定核心产品，并在征集文件中载明。多家投标人提供的核心产品品牌相同的，按前两款规定处理。</w:t>
      </w:r>
    </w:p>
    <w:p w14:paraId="43B1EC83">
      <w:pPr>
        <w:pStyle w:val="34"/>
        <w:widowControl/>
        <w:numPr>
          <w:ilvl w:val="0"/>
          <w:numId w:val="0"/>
        </w:numPr>
        <w:spacing w:line="360" w:lineRule="auto"/>
        <w:ind w:leftChars="0"/>
        <w:jc w:val="left"/>
        <w:outlineLvl w:val="1"/>
        <w:rPr>
          <w:rFonts w:hint="eastAsia" w:hAnsi="宋体"/>
          <w:b/>
          <w:lang w:val="en-US" w:eastAsia="zh-CN"/>
        </w:rPr>
      </w:pPr>
      <w:r>
        <w:rPr>
          <w:rFonts w:hint="eastAsia" w:hAnsi="宋体"/>
          <w:b/>
          <w:lang w:val="en-US" w:eastAsia="zh-CN"/>
        </w:rPr>
        <w:t xml:space="preserve">4.  </w:t>
      </w:r>
      <w:r>
        <w:rPr>
          <w:rFonts w:hint="eastAsia" w:hAnsi="宋体"/>
          <w:b/>
        </w:rPr>
        <w:t>评标</w:t>
      </w:r>
      <w:r>
        <w:rPr>
          <w:rFonts w:hint="eastAsia" w:hAnsi="宋体"/>
          <w:b/>
          <w:lang w:val="en-US" w:eastAsia="zh-CN"/>
        </w:rPr>
        <w:t>方法</w:t>
      </w:r>
    </w:p>
    <w:p w14:paraId="24BFCB5C">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 评标方法分为最低价法、综合评分法及法律、法规允许的其它评标办法。</w:t>
      </w:r>
    </w:p>
    <w:p w14:paraId="2BAE06B5">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4.1.1 最低价法，是指完全满足征集文件实质性要求，按照报价由低到高的顺序，依据征集文件中规定的数量或者比例推荐候选中标供应商。</w:t>
      </w:r>
    </w:p>
    <w:p w14:paraId="6A87ECB0">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4.1.2. 综合评分法，是指在满足征集文件全部实质性要求的前提下，按照征集文件中规定的各项因素进行综合评审，评审总得分排名前列的投标人，作为推荐的候选中标供应商。</w:t>
      </w:r>
    </w:p>
    <w:p w14:paraId="498A3F2E">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4.2. 重新评审的情形：</w:t>
      </w:r>
    </w:p>
    <w:p w14:paraId="53D60DF6">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（1） 分值汇总计算错误的；</w:t>
      </w:r>
    </w:p>
    <w:p w14:paraId="73732F88">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（2） 分项评分超出评分标准范围的；</w:t>
      </w:r>
    </w:p>
    <w:p w14:paraId="7FC7B6E4">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（3） 评标委员会成员对客观评审因素评分不一致的；</w:t>
      </w:r>
    </w:p>
    <w:p w14:paraId="35EAE67F">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 经评标委员会认定评分畸高、畸低的。</w:t>
      </w:r>
    </w:p>
    <w:p w14:paraId="3E53A539">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4.3. 评标报告签署前，经复核发现存在以上情形之一的，评标委员会应当当场修改评审结果，并进行书面记载；评标报告签署后，采购人发现存在以上情形之一的，应当组织原评标委员会进行重新评审，重新评审改变评审结果的，书面报告采购人的采购主管部门。</w:t>
      </w:r>
    </w:p>
    <w:p w14:paraId="43BAA2D4">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4.4. 投标人对本条第一款情形提出质疑的，采购人可以组织原评标委员会进行重新评审，重新评审改变评审结果的，应当书面报告采购人的采购主管部门。</w:t>
      </w:r>
    </w:p>
    <w:p w14:paraId="70185EF8">
      <w:pPr>
        <w:pStyle w:val="28"/>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5.  </w:t>
      </w:r>
      <w:r>
        <w:rPr>
          <w:rFonts w:hint="eastAsia" w:ascii="宋体" w:hAnsi="宋体"/>
          <w:b/>
          <w:szCs w:val="21"/>
        </w:rPr>
        <w:t>定标</w:t>
      </w:r>
    </w:p>
    <w:p w14:paraId="34B0A016">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5.1. 评标委员会按征集文件中规定的评标方法和标准，对资格性检查和符合性检查合格且报价不超过预算控制金额的投标文件进行商务和技术评审，综合比较与评价。</w:t>
      </w:r>
    </w:p>
    <w:p w14:paraId="33596E13">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5.2. 评标委员会成员对需要共同认定的事项存在争议的，应当按照少数服从多数的原则作出结论。持不同意见的评标委员会成员应当书面作出说明，否则视为无异议。</w:t>
      </w:r>
    </w:p>
    <w:p w14:paraId="32247012">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5.3. 在评标过程中，评标委员会有权决定是否对本项目投标人进行实地考察或资料查验（原件）。投标人应随时做好接受实地考察或资料查验的准备。</w:t>
      </w:r>
    </w:p>
    <w:p w14:paraId="09B21436">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5.4. 按照评标报告中推荐的中标候选人确定中标人，确认后将在刊登本项目征集公告的法定媒体上发布中标公告。</w:t>
      </w:r>
    </w:p>
    <w:p w14:paraId="20858C48">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5.5. 中标人拒绝与采购人签订合同的，可以重新开展政府采购活动。</w:t>
      </w:r>
    </w:p>
    <w:p w14:paraId="3949C5CA">
      <w:pPr>
        <w:pStyle w:val="34"/>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6.  </w:t>
      </w:r>
      <w:r>
        <w:rPr>
          <w:rFonts w:ascii="宋体" w:hAnsi="宋体"/>
          <w:b/>
          <w:szCs w:val="21"/>
        </w:rPr>
        <w:t>特别说明</w:t>
      </w:r>
    </w:p>
    <w:p w14:paraId="70EEA8B4">
      <w:pPr>
        <w:pStyle w:val="34"/>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6.1. </w:t>
      </w:r>
      <w:r>
        <w:rPr>
          <w:rFonts w:hint="eastAsia" w:ascii="宋体" w:hAnsi="宋体"/>
          <w:szCs w:val="21"/>
        </w:rPr>
        <w:t>有下列情形之一的，视为投标人串通投标，其投标无效：</w:t>
      </w:r>
    </w:p>
    <w:p w14:paraId="776BF247">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不同投标人的投标文件由同一单位或者个人编制；</w:t>
      </w:r>
    </w:p>
    <w:p w14:paraId="45D516EA">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不同投标人委托同一单位或者个人办理投标事宜；</w:t>
      </w:r>
    </w:p>
    <w:p w14:paraId="09F72BB8">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不同投标人的投标文件载明的项目管理成员或者联系人员为同一人；</w:t>
      </w:r>
    </w:p>
    <w:p w14:paraId="16ACA07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不同投标人的投标文件异常一致或者投标报价呈规律性差异；</w:t>
      </w:r>
    </w:p>
    <w:p w14:paraId="421D9A7B">
      <w:pPr>
        <w:pStyle w:val="34"/>
        <w:widowControl/>
        <w:numPr>
          <w:ilvl w:val="0"/>
          <w:numId w:val="0"/>
        </w:numPr>
        <w:spacing w:line="360" w:lineRule="auto"/>
        <w:ind w:leftChars="0"/>
        <w:jc w:val="left"/>
        <w:outlineLvl w:val="9"/>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不同投标人的投标文件相互混装；</w:t>
      </w:r>
    </w:p>
    <w:p w14:paraId="2FAB76F9">
      <w:pPr>
        <w:pStyle w:val="34"/>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6.2. </w:t>
      </w:r>
      <w:r>
        <w:rPr>
          <w:rFonts w:hint="eastAsia" w:ascii="宋体" w:hAnsi="宋体"/>
          <w:szCs w:val="21"/>
        </w:rPr>
        <w:t>投标人存在下列情况之一的，投标无效：</w:t>
      </w:r>
    </w:p>
    <w:p w14:paraId="2B978D18">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投标文件未按</w:t>
      </w:r>
      <w:r>
        <w:rPr>
          <w:rFonts w:hint="eastAsia" w:ascii="宋体" w:hAnsi="宋体"/>
          <w:szCs w:val="21"/>
          <w:lang w:eastAsia="zh-CN"/>
        </w:rPr>
        <w:t>征集</w:t>
      </w:r>
      <w:r>
        <w:rPr>
          <w:rFonts w:hint="eastAsia" w:ascii="宋体" w:hAnsi="宋体"/>
          <w:szCs w:val="21"/>
        </w:rPr>
        <w:t>文件要求签署、盖章的；</w:t>
      </w:r>
    </w:p>
    <w:p w14:paraId="4BAD3AB5">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不具备</w:t>
      </w:r>
      <w:r>
        <w:rPr>
          <w:rFonts w:hint="eastAsia" w:ascii="宋体" w:hAnsi="宋体"/>
          <w:szCs w:val="21"/>
          <w:lang w:eastAsia="zh-CN"/>
        </w:rPr>
        <w:t>征集</w:t>
      </w:r>
      <w:r>
        <w:rPr>
          <w:rFonts w:hint="eastAsia" w:ascii="宋体" w:hAnsi="宋体"/>
          <w:szCs w:val="21"/>
        </w:rPr>
        <w:t>文件中规定的资格要求的；</w:t>
      </w:r>
    </w:p>
    <w:p w14:paraId="72EC76C4">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报价超过</w:t>
      </w:r>
      <w:r>
        <w:rPr>
          <w:rFonts w:hint="eastAsia" w:ascii="宋体" w:hAnsi="宋体"/>
          <w:szCs w:val="21"/>
          <w:lang w:eastAsia="zh-CN"/>
        </w:rPr>
        <w:t>征集</w:t>
      </w:r>
      <w:r>
        <w:rPr>
          <w:rFonts w:hint="eastAsia" w:ascii="宋体" w:hAnsi="宋体"/>
          <w:szCs w:val="21"/>
        </w:rPr>
        <w:t>文件中规定的预算金额或者最高限价的；</w:t>
      </w:r>
    </w:p>
    <w:p w14:paraId="62626DC9">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投标文件含有采购人不能接受的附加条件的;</w:t>
      </w:r>
    </w:p>
    <w:p w14:paraId="55F4A46C">
      <w:pPr>
        <w:pStyle w:val="34"/>
        <w:widowControl/>
        <w:numPr>
          <w:ilvl w:val="0"/>
          <w:numId w:val="0"/>
        </w:numPr>
        <w:spacing w:line="360" w:lineRule="auto"/>
        <w:ind w:leftChars="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法律、法规和</w:t>
      </w:r>
      <w:r>
        <w:rPr>
          <w:rFonts w:hint="eastAsia" w:ascii="宋体" w:hAnsi="宋体"/>
          <w:szCs w:val="21"/>
          <w:lang w:eastAsia="zh-CN"/>
        </w:rPr>
        <w:t>征集</w:t>
      </w:r>
      <w:r>
        <w:rPr>
          <w:rFonts w:hint="eastAsia" w:ascii="宋体" w:hAnsi="宋体"/>
          <w:szCs w:val="21"/>
        </w:rPr>
        <w:t>文件规定的其他无效情形。</w:t>
      </w:r>
    </w:p>
    <w:p w14:paraId="10C28F40">
      <w:pPr>
        <w:pStyle w:val="34"/>
        <w:widowControl/>
        <w:numPr>
          <w:ilvl w:val="0"/>
          <w:numId w:val="0"/>
        </w:numPr>
        <w:spacing w:line="360" w:lineRule="auto"/>
        <w:ind w:leftChars="0"/>
        <w:jc w:val="left"/>
        <w:rPr>
          <w:rFonts w:hint="eastAsia" w:ascii="宋体" w:hAnsi="宋体" w:eastAsiaTheme="minorEastAsia"/>
          <w:szCs w:val="21"/>
          <w:lang w:eastAsia="zh-CN"/>
        </w:rPr>
      </w:pPr>
      <w:r>
        <w:rPr>
          <w:rFonts w:hint="eastAsia" w:ascii="宋体" w:hAnsi="宋体"/>
          <w:szCs w:val="21"/>
          <w:lang w:val="en-US" w:eastAsia="zh-CN"/>
        </w:rPr>
        <w:t xml:space="preserve">6.3. </w:t>
      </w:r>
      <w:r>
        <w:rPr>
          <w:rFonts w:ascii="宋体" w:hAnsi="宋体"/>
          <w:szCs w:val="21"/>
        </w:rPr>
        <w:t>在</w:t>
      </w:r>
      <w:r>
        <w:rPr>
          <w:rFonts w:hint="eastAsia" w:ascii="宋体" w:hAnsi="宋体"/>
          <w:szCs w:val="21"/>
          <w:lang w:eastAsia="zh-CN"/>
        </w:rPr>
        <w:t>征集</w:t>
      </w:r>
      <w:r>
        <w:rPr>
          <w:rFonts w:ascii="宋体" w:hAnsi="宋体"/>
          <w:szCs w:val="21"/>
        </w:rPr>
        <w:t>采购中，出现下列情形之一的，应予废标</w:t>
      </w:r>
      <w:r>
        <w:rPr>
          <w:rFonts w:hint="eastAsia" w:ascii="宋体" w:hAnsi="宋体"/>
          <w:szCs w:val="21"/>
          <w:lang w:eastAsia="zh-CN"/>
        </w:rPr>
        <w:t>：</w:t>
      </w:r>
    </w:p>
    <w:p w14:paraId="7667ED95">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符合专业条件的供应商或者对</w:t>
      </w:r>
      <w:r>
        <w:rPr>
          <w:rFonts w:hint="eastAsia" w:ascii="宋体" w:hAnsi="宋体"/>
          <w:szCs w:val="21"/>
          <w:lang w:eastAsia="zh-CN"/>
        </w:rPr>
        <w:t>征集</w:t>
      </w:r>
      <w:r>
        <w:rPr>
          <w:rFonts w:ascii="宋体" w:hAnsi="宋体"/>
          <w:szCs w:val="21"/>
        </w:rPr>
        <w:t>文件作实质响应的供应商不足</w:t>
      </w:r>
      <w:r>
        <w:rPr>
          <w:rFonts w:hint="eastAsia" w:ascii="宋体" w:hAnsi="宋体"/>
          <w:szCs w:val="21"/>
          <w:lang w:val="en-US" w:eastAsia="zh-CN"/>
        </w:rPr>
        <w:t>两</w:t>
      </w:r>
      <w:r>
        <w:rPr>
          <w:rFonts w:ascii="宋体" w:hAnsi="宋体"/>
          <w:szCs w:val="21"/>
        </w:rPr>
        <w:t>家的；</w:t>
      </w:r>
    </w:p>
    <w:p w14:paraId="7C0BA65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出现影响采购公正的违法、违规行为的；</w:t>
      </w:r>
    </w:p>
    <w:p w14:paraId="55C2363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投标人的报价均超过了采购预算，采购人不能支付的；</w:t>
      </w:r>
      <w:bookmarkStart w:id="138" w:name="_GoBack"/>
      <w:bookmarkEnd w:id="138"/>
    </w:p>
    <w:p w14:paraId="4B57E99D">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因重大变故，采购任务取消的</w:t>
      </w:r>
      <w:r>
        <w:rPr>
          <w:rFonts w:hint="eastAsia" w:ascii="宋体" w:hAnsi="宋体"/>
          <w:szCs w:val="21"/>
        </w:rPr>
        <w:t>。</w:t>
      </w:r>
    </w:p>
    <w:p w14:paraId="462F3870">
      <w:pPr>
        <w:pStyle w:val="34"/>
        <w:widowControl/>
        <w:numPr>
          <w:ilvl w:val="0"/>
          <w:numId w:val="0"/>
        </w:numPr>
        <w:spacing w:line="360" w:lineRule="auto"/>
        <w:ind w:leftChars="0"/>
        <w:jc w:val="left"/>
        <w:outlineLvl w:val="1"/>
        <w:rPr>
          <w:rFonts w:hint="default" w:ascii="宋体" w:hAnsi="宋体" w:eastAsiaTheme="minorEastAsia"/>
          <w:b/>
          <w:bCs/>
          <w:szCs w:val="21"/>
          <w:lang w:val="en-US" w:eastAsia="zh-CN"/>
        </w:rPr>
      </w:pPr>
      <w:r>
        <w:rPr>
          <w:rFonts w:hint="eastAsia" w:ascii="宋体" w:hAnsi="宋体"/>
          <w:b/>
          <w:bCs/>
          <w:szCs w:val="21"/>
          <w:lang w:val="en-US" w:eastAsia="zh-CN"/>
        </w:rPr>
        <w:t>7.  其他事宜说明</w:t>
      </w:r>
    </w:p>
    <w:p w14:paraId="7C7305C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bookmarkStart w:id="17" w:name="_Toc435515292"/>
      <w:bookmarkStart w:id="18" w:name="_Toc1246"/>
      <w:bookmarkStart w:id="19" w:name="_Toc435514852"/>
      <w:bookmarkStart w:id="20" w:name="_Toc14800"/>
      <w:bookmarkStart w:id="21" w:name="_Toc8080"/>
      <w:r>
        <w:rPr>
          <w:rFonts w:hint="eastAsia" w:ascii="宋体" w:hAnsi="宋体" w:eastAsiaTheme="minorEastAsia" w:cstheme="minorBidi"/>
          <w:color w:val="auto"/>
          <w:kern w:val="2"/>
          <w:sz w:val="21"/>
          <w:szCs w:val="21"/>
          <w:lang w:val="en-US" w:eastAsia="zh-CN" w:bidi="ar-SA"/>
        </w:rPr>
        <w:t>7.1. 本项目公开征集过程中若出现投标截止后实际递交投标文件的供应商数量不足、经评审委员会评审对征集文件作实质响应的供应商不足等情况，公开征集有效供应商不足两家的（有效供应商不少于两家的，可按照征集文件评审规则继续评审），项目根据以下情况开展：</w:t>
      </w:r>
    </w:p>
    <w:p w14:paraId="4A8A077F">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 公开征集失败的处理：</w:t>
      </w:r>
    </w:p>
    <w:p w14:paraId="658402E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7.1.1.1. 采购人可结合实际需要，重新实施公开征集，或依据有效投标供应商数量转为单一来源采购（仅1家有效供应商）。</w:t>
      </w:r>
    </w:p>
    <w:p w14:paraId="3DA210AB">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7.1.1.2. 对公开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失败的项目，评标委员会在出具该项目</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失败结论的同时，可以提出重新采购组织形式的建议，以及进一步完善</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文件的资格、技术、商务要求的修改建议。</w:t>
      </w:r>
    </w:p>
    <w:p w14:paraId="59FCE80B">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7.1.2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失败的采购项目重新组织公开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的，需要重新按公开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流程发布</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公告和</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文件、组成评标委员会等组织采购活动。</w:t>
      </w:r>
    </w:p>
    <w:p w14:paraId="2E0C4D38">
      <w:pPr>
        <w:pStyle w:val="28"/>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w:t>
      </w:r>
    </w:p>
    <w:p w14:paraId="607F0182">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失败项目转为单一来源谈判方式采购后，评标委员会转为谈判小组，谈判小组成员由有关专家共3人以上（含3人）的单数组成；专家可重新抽取也可继续采用评标委员会内专家。</w:t>
      </w:r>
    </w:p>
    <w:p w14:paraId="4FC4C941">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.2. 谈判前，谈判小组将对单一来源供应商的谈判应答文件进行审查，当谈判应答文件出现下列情况之一的将视为无效，按废标处理，不得进入谈判，具体内容见原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文件中投标文件初审表的《资格性检查表》部分以及谈判邀请中相应的变动部分。</w:t>
      </w:r>
    </w:p>
    <w:p w14:paraId="79E26EE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.3. 参加谈判的供应商和谈判小组成员填写谈判登记表，并交验证明文件（法定代表人证明书、法人授权委托书、被授权的谈判代表身份证原件）。</w:t>
      </w:r>
    </w:p>
    <w:p w14:paraId="268E945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.4. 在谈判中，谈判小组将就以下谈判内容跟供应商进行谈判：</w:t>
      </w:r>
    </w:p>
    <w:p w14:paraId="184744A2">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（1）项目方案；（2）报价；（3）其它相关事项。</w:t>
      </w:r>
    </w:p>
    <w:p w14:paraId="3C18AE3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文件或谈判邀请文件有实质性变动的，谈判小组应当通知供应商。</w:t>
      </w:r>
    </w:p>
    <w:p w14:paraId="1F14676C">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.5. 谈判小组可以用书面形式要求供应商对其谈判应答文件含义不明确的内容作必要的澄清或者说明，重要问题供应商应以书面形式进行澄清、说明。</w:t>
      </w:r>
    </w:p>
    <w:p w14:paraId="3D25FB60">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.6. 允许供应商在谈判结束之前根据谈判小组提出的内容进行澄清、修改或完善，或对项目方案进行相应的调整。</w:t>
      </w:r>
    </w:p>
    <w:p w14:paraId="09064B8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.7. 供应商对谈判应答文件进行修改，都应形成文字材料，并经供应商谈判授权人签字认可。</w:t>
      </w:r>
    </w:p>
    <w:p w14:paraId="587108D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.8. 谈判小组与单一来源供应商进行谈判。供应商有两次更改机会；供应商应在规定的时间内提出最后更改及书面承诺。</w:t>
      </w:r>
    </w:p>
    <w:p w14:paraId="68A2DE8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.9. 有下列情形之一的，供应商的谈判结果作废标处理，具体内容见原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文件中投标文件初审表的《符合性检查表》部分以及谈判邀请中相应的变动部分。</w:t>
      </w:r>
    </w:p>
    <w:p w14:paraId="5FCC98A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.10. 谈判结束后，谈判小组根据供应商提供的谈判应答文件、谈判过程中产生的相关资料，对供应商谈判应答文件进行评估与比较，提出书面评审意见。</w:t>
      </w:r>
    </w:p>
    <w:p w14:paraId="000A168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.11. 谈判小组将对谈判过程进行记录，以存档备查。</w:t>
      </w:r>
    </w:p>
    <w:p w14:paraId="32D66409">
      <w:pPr>
        <w:pStyle w:val="28"/>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.12. 单一来源谈判采用最低价法。原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文件若采用最低价法以外的评标方法，转为单一来源后，评标方法改为最低价法。谈判小组对谈判应答文件进行评审和比较，对供应商最终的方案、服务和投资等谈判结果按最低价法进行评审。</w:t>
      </w:r>
    </w:p>
    <w:p w14:paraId="09AD85D9">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3</w:t>
      </w:r>
      <w:r>
        <w:rPr>
          <w:rFonts w:hint="eastAsia" w:ascii="宋体" w:hAnsi="宋体" w:eastAsiaTheme="minorEastAsia" w:cstheme="minorBidi"/>
          <w:color w:val="auto"/>
          <w:kern w:val="2"/>
          <w:sz w:val="21"/>
          <w:szCs w:val="21"/>
          <w:lang w:val="en-US" w:eastAsia="zh-CN" w:bidi="ar-SA"/>
        </w:rPr>
        <w:t>. 该项目中标候选供应商数量为</w:t>
      </w:r>
      <w:r>
        <w:rPr>
          <w:rFonts w:hint="eastAsia" w:ascii="宋体" w:hAnsi="宋体" w:cstheme="minorBidi"/>
          <w:color w:val="auto"/>
          <w:kern w:val="2"/>
          <w:sz w:val="21"/>
          <w:szCs w:val="21"/>
          <w:lang w:val="en-US" w:eastAsia="zh-CN" w:bidi="ar-SA"/>
        </w:rPr>
        <w:t>两家</w:t>
      </w:r>
      <w:r>
        <w:rPr>
          <w:rFonts w:hint="eastAsia" w:ascii="宋体" w:hAnsi="宋体" w:eastAsiaTheme="minorEastAsia" w:cstheme="minorBidi"/>
          <w:color w:val="auto"/>
          <w:kern w:val="2"/>
          <w:sz w:val="21"/>
          <w:szCs w:val="21"/>
          <w:lang w:val="en-US" w:eastAsia="zh-CN" w:bidi="ar-SA"/>
        </w:rPr>
        <w:t>。</w:t>
      </w:r>
    </w:p>
    <w:p w14:paraId="08F6603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4</w:t>
      </w:r>
      <w:r>
        <w:rPr>
          <w:rFonts w:hint="eastAsia" w:ascii="宋体" w:hAnsi="宋体" w:eastAsiaTheme="minorEastAsia" w:cstheme="minorBidi"/>
          <w:color w:val="auto"/>
          <w:kern w:val="2"/>
          <w:sz w:val="21"/>
          <w:szCs w:val="21"/>
          <w:lang w:val="en-US" w:eastAsia="zh-CN" w:bidi="ar-SA"/>
        </w:rPr>
        <w:t>. 评标委员会推荐排名第一的投标人为第一候选中标供应商，排名第二的投标人为第二候选中标供应商。中标供应商放弃中标资格的或中标资格被依法确认无效的，因情况紧急，重新组织采购不能满足采购人要求时，可依法从其他候选中标供应商中确定替补中标供应商。</w:t>
      </w:r>
    </w:p>
    <w:p w14:paraId="54B4AF3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5</w:t>
      </w:r>
      <w:r>
        <w:rPr>
          <w:rFonts w:hint="eastAsia" w:ascii="宋体" w:hAnsi="宋体" w:eastAsiaTheme="minorEastAsia" w:cstheme="minorBidi"/>
          <w:color w:val="auto"/>
          <w:kern w:val="2"/>
          <w:sz w:val="21"/>
          <w:szCs w:val="21"/>
          <w:lang w:val="en-US" w:eastAsia="zh-CN" w:bidi="ar-SA"/>
        </w:rPr>
        <w:t>. 本项目不安排现场踏勘</w:t>
      </w:r>
      <w:r>
        <w:rPr>
          <w:rFonts w:hint="eastAsia" w:ascii="宋体" w:hAnsi="宋体" w:cstheme="minorBidi"/>
          <w:color w:val="auto"/>
          <w:kern w:val="2"/>
          <w:sz w:val="21"/>
          <w:szCs w:val="21"/>
          <w:lang w:val="en-US" w:eastAsia="zh-CN" w:bidi="ar-SA"/>
        </w:rPr>
        <w:t>、</w:t>
      </w:r>
      <w:r>
        <w:rPr>
          <w:rFonts w:hint="eastAsia" w:ascii="宋体" w:hAnsi="宋体" w:eastAsiaTheme="minorEastAsia" w:cstheme="minorBidi"/>
          <w:color w:val="auto"/>
          <w:kern w:val="2"/>
          <w:sz w:val="21"/>
          <w:szCs w:val="21"/>
          <w:lang w:val="en-US" w:eastAsia="zh-CN" w:bidi="ar-SA"/>
        </w:rPr>
        <w:t>不安排现场演示。</w:t>
      </w:r>
    </w:p>
    <w:p w14:paraId="26CC7918">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6</w:t>
      </w:r>
      <w:r>
        <w:rPr>
          <w:rFonts w:hint="eastAsia" w:ascii="宋体" w:hAnsi="宋体" w:eastAsiaTheme="minorEastAsia" w:cstheme="minorBidi"/>
          <w:color w:val="auto"/>
          <w:kern w:val="2"/>
          <w:sz w:val="21"/>
          <w:szCs w:val="21"/>
          <w:lang w:val="en-US" w:eastAsia="zh-CN" w:bidi="ar-SA"/>
        </w:rPr>
        <w:t>. 本项目资金来源为自筹资金。</w:t>
      </w:r>
    </w:p>
    <w:p w14:paraId="1146D06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7</w:t>
      </w:r>
      <w:r>
        <w:rPr>
          <w:rFonts w:hint="eastAsia" w:ascii="宋体" w:hAnsi="宋体" w:eastAsiaTheme="minorEastAsia" w:cstheme="minorBidi"/>
          <w:color w:val="auto"/>
          <w:kern w:val="2"/>
          <w:sz w:val="21"/>
          <w:szCs w:val="21"/>
          <w:lang w:val="en-US" w:eastAsia="zh-CN" w:bidi="ar-SA"/>
        </w:rPr>
        <w:t>. 本项目投标有效期从提交投标文件的截止之日起120日历日内有效。</w:t>
      </w:r>
    </w:p>
    <w:p w14:paraId="3CAB0B6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8</w:t>
      </w:r>
      <w:r>
        <w:rPr>
          <w:rFonts w:hint="eastAsia" w:ascii="宋体" w:hAnsi="宋体" w:eastAsiaTheme="minorEastAsia" w:cstheme="minorBidi"/>
          <w:color w:val="auto"/>
          <w:kern w:val="2"/>
          <w:sz w:val="21"/>
          <w:szCs w:val="21"/>
          <w:lang w:val="en-US" w:eastAsia="zh-CN" w:bidi="ar-SA"/>
        </w:rPr>
        <w:t>. 本项目不允许提交备选方案或替代方案。</w:t>
      </w:r>
    </w:p>
    <w:p w14:paraId="4C5400BE">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9</w:t>
      </w:r>
      <w:r>
        <w:rPr>
          <w:rFonts w:hint="eastAsia" w:ascii="宋体" w:hAnsi="宋体" w:eastAsiaTheme="minorEastAsia" w:cstheme="minorBidi"/>
          <w:color w:val="auto"/>
          <w:kern w:val="2"/>
          <w:sz w:val="21"/>
          <w:szCs w:val="21"/>
          <w:lang w:val="en-US" w:eastAsia="zh-CN" w:bidi="ar-SA"/>
        </w:rPr>
        <w:t>.</w:t>
      </w:r>
      <w:r>
        <w:rPr>
          <w:rFonts w:hint="eastAsia" w:ascii="宋体" w:hAnsi="宋体" w:cstheme="minorBidi"/>
          <w:color w:val="auto"/>
          <w:kern w:val="2"/>
          <w:sz w:val="21"/>
          <w:szCs w:val="21"/>
          <w:lang w:val="en-US" w:eastAsia="zh-CN" w:bidi="ar-SA"/>
        </w:rPr>
        <w:t xml:space="preserve"> 本</w:t>
      </w:r>
      <w:r>
        <w:rPr>
          <w:rFonts w:hint="eastAsia" w:ascii="宋体" w:hAnsi="宋体" w:eastAsiaTheme="minorEastAsia" w:cstheme="minorBidi"/>
          <w:color w:val="auto"/>
          <w:kern w:val="2"/>
          <w:sz w:val="21"/>
          <w:szCs w:val="21"/>
          <w:lang w:val="en-US" w:eastAsia="zh-CN" w:bidi="ar-SA"/>
        </w:rPr>
        <w:t>项目评标方法</w:t>
      </w:r>
      <w:r>
        <w:rPr>
          <w:rFonts w:hint="eastAsia" w:ascii="宋体" w:hAnsi="宋体" w:cstheme="minorBidi"/>
          <w:color w:val="auto"/>
          <w:kern w:val="2"/>
          <w:sz w:val="21"/>
          <w:szCs w:val="21"/>
          <w:lang w:val="en-US" w:eastAsia="zh-CN" w:bidi="ar-SA"/>
        </w:rPr>
        <w:t>为综合评分法。</w:t>
      </w:r>
    </w:p>
    <w:p w14:paraId="0C9F6675">
      <w:pPr>
        <w:pStyle w:val="34"/>
        <w:widowControl/>
        <w:numPr>
          <w:ilvl w:val="0"/>
          <w:numId w:val="0"/>
        </w:numPr>
        <w:spacing w:line="360" w:lineRule="auto"/>
        <w:ind w:leftChars="0"/>
        <w:jc w:val="left"/>
        <w:outlineLvl w:val="1"/>
        <w:rPr>
          <w:rFonts w:hint="eastAsia" w:ascii="宋体" w:hAnsi="宋体"/>
          <w:b/>
          <w:bCs/>
          <w:szCs w:val="21"/>
          <w:lang w:val="en-US" w:eastAsia="zh-CN"/>
        </w:rPr>
      </w:pPr>
      <w:r>
        <w:rPr>
          <w:rFonts w:hint="eastAsia" w:ascii="宋体" w:hAnsi="宋体"/>
          <w:b/>
          <w:bCs/>
          <w:szCs w:val="21"/>
          <w:lang w:val="en-US" w:eastAsia="zh-CN"/>
        </w:rPr>
        <w:t>8.  关于异常低价投标(响应)程序</w:t>
      </w:r>
    </w:p>
    <w:p w14:paraId="2C6264FF">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8.1根据《关于推动解决政府采购异常低价问题的通知》（财库〔2026〕2号）的相关规定：</w:t>
      </w:r>
    </w:p>
    <w:p w14:paraId="7731A654">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8.2本项目评审中出现下列情形之一的，评审委员会应当启动异常低价投标(响应)审查程序：</w:t>
      </w:r>
    </w:p>
    <w:p w14:paraId="26A36E86">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①投标(响应)报价低于全部通过符合性审查供应商投标(响应)报价平均值50%的，即投标(响应)报价&lt;全部通过符合性审查供应商投标(响应)报价平均值×50%;</w:t>
      </w:r>
    </w:p>
    <w:p w14:paraId="5C4B5AF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②投标(响应)报价低于通过符合性审查的次低报价供应商投标(响应)报价50%的，即投标(响应)报价&lt;通过符合性审查的次低报价供应商投标(响应)报价×50%;</w:t>
      </w:r>
    </w:p>
    <w:p w14:paraId="7B03FBAD">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③投标(响应)报价低于采购项目最高限价45%的，即投标(响应)报价&lt;采购项目最高限价×45%;</w:t>
      </w:r>
    </w:p>
    <w:p w14:paraId="0A2DE8F6">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④评审委员会基于专业判断，认为供应商报价过低，有可能影响产品质量或者不能诚信履约的其他情形。</w:t>
      </w:r>
    </w:p>
    <w:p w14:paraId="6ECF0761">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相关法律法规对供应商报价有规定的，从其规定。</w:t>
      </w:r>
    </w:p>
    <w:p w14:paraId="24487F7F">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8.3评审委员会启动异常低价投标(响应)审查后，属于前述第1项至第4项情形的，要求相关供应商在评审现场合理的时间内对投标(响应)价格作出解释，要求相关供应商在接到通知后30分钟内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27A6321C">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D7E4D19">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959A1A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6BC2689A">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2D93F6D">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6F49FED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70B649B">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87BE903">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1B56CBFB">
      <w:pPr>
        <w:pStyle w:val="3"/>
        <w:numPr>
          <w:ilvl w:val="0"/>
          <w:numId w:val="0"/>
        </w:numPr>
        <w:spacing w:line="240" w:lineRule="auto"/>
        <w:ind w:leftChars="0"/>
        <w:jc w:val="center"/>
        <w:outlineLvl w:val="0"/>
        <w:rPr>
          <w:rFonts w:asciiTheme="majorEastAsia" w:hAnsiTheme="majorEastAsia" w:eastAsiaTheme="majorEastAsia"/>
          <w:sz w:val="32"/>
          <w:szCs w:val="32"/>
        </w:rPr>
      </w:pPr>
      <w:r>
        <w:rPr>
          <w:rFonts w:hint="eastAsia" w:asciiTheme="majorEastAsia" w:hAnsiTheme="majorEastAsia" w:eastAsiaTheme="majorEastAsia"/>
          <w:sz w:val="32"/>
          <w:szCs w:val="32"/>
          <w:lang w:val="en-US" w:eastAsia="zh-CN"/>
        </w:rPr>
        <w:t xml:space="preserve">第五章 </w:t>
      </w:r>
      <w:r>
        <w:rPr>
          <w:rFonts w:hint="eastAsia" w:asciiTheme="majorEastAsia" w:hAnsiTheme="majorEastAsia" w:eastAsiaTheme="majorEastAsia"/>
          <w:sz w:val="32"/>
          <w:szCs w:val="32"/>
        </w:rPr>
        <w:t>投标文件</w:t>
      </w:r>
      <w:r>
        <w:rPr>
          <w:rFonts w:hint="eastAsia" w:asciiTheme="majorEastAsia" w:hAnsiTheme="majorEastAsia" w:eastAsiaTheme="majorEastAsia"/>
          <w:sz w:val="32"/>
          <w:szCs w:val="32"/>
          <w:lang w:eastAsia="zh-CN"/>
        </w:rPr>
        <w:t>（</w:t>
      </w:r>
      <w:r>
        <w:rPr>
          <w:rFonts w:hint="eastAsia" w:asciiTheme="majorEastAsia" w:hAnsiTheme="majorEastAsia" w:eastAsiaTheme="majorEastAsia"/>
          <w:sz w:val="32"/>
          <w:szCs w:val="32"/>
          <w:lang w:val="en-US" w:eastAsia="zh-CN"/>
        </w:rPr>
        <w:t>编制</w:t>
      </w:r>
      <w:r>
        <w:rPr>
          <w:rFonts w:hint="eastAsia" w:asciiTheme="majorEastAsia" w:hAnsiTheme="majorEastAsia" w:eastAsiaTheme="majorEastAsia"/>
          <w:sz w:val="32"/>
          <w:szCs w:val="32"/>
        </w:rPr>
        <w:t>参考</w:t>
      </w:r>
      <w:r>
        <w:rPr>
          <w:rFonts w:hint="eastAsia" w:asciiTheme="majorEastAsia" w:hAnsiTheme="majorEastAsia" w:eastAsiaTheme="majorEastAsia"/>
          <w:sz w:val="32"/>
          <w:szCs w:val="32"/>
          <w:lang w:val="en-US" w:eastAsia="zh-CN"/>
        </w:rPr>
        <w:t>模板</w:t>
      </w:r>
      <w:r>
        <w:rPr>
          <w:rFonts w:hint="eastAsia" w:asciiTheme="majorEastAsia" w:hAnsiTheme="majorEastAsia" w:eastAsiaTheme="majorEastAsia"/>
          <w:sz w:val="32"/>
          <w:szCs w:val="32"/>
          <w:lang w:eastAsia="zh-CN"/>
        </w:rPr>
        <w:t>）</w:t>
      </w:r>
      <w:bookmarkEnd w:id="17"/>
      <w:bookmarkEnd w:id="18"/>
      <w:bookmarkEnd w:id="19"/>
      <w:bookmarkEnd w:id="20"/>
      <w:bookmarkEnd w:id="21"/>
    </w:p>
    <w:tbl>
      <w:tblPr>
        <w:tblStyle w:val="16"/>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018" w:type="dxa"/>
          </w:tcPr>
          <w:p w14:paraId="0168BCD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5DD6665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4F96A7D5">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24E0C28B">
            <w:pPr>
              <w:pStyle w:val="5"/>
              <w:keepNext w:val="0"/>
              <w:keepLines w:val="0"/>
              <w:suppressLineNumbers w:val="0"/>
              <w:spacing w:before="0" w:beforeAutospacing="0" w:afterAutospacing="0" w:line="360" w:lineRule="auto"/>
              <w:ind w:left="0" w:right="0"/>
              <w:jc w:val="center"/>
              <w:rPr>
                <w:rFonts w:hint="default" w:ascii="黑体" w:eastAsia="黑体"/>
                <w:b/>
                <w:sz w:val="72"/>
                <w:szCs w:val="72"/>
              </w:rPr>
            </w:pPr>
            <w:r>
              <w:rPr>
                <w:rFonts w:hint="eastAsia" w:ascii="黑体" w:eastAsia="黑体"/>
                <w:b/>
                <w:sz w:val="72"/>
                <w:szCs w:val="72"/>
              </w:rPr>
              <w:t>投 标 文 件</w:t>
            </w:r>
          </w:p>
          <w:p w14:paraId="056E2451">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正本</w:t>
            </w:r>
          </w:p>
          <w:p w14:paraId="68FD3430">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副本</w:t>
            </w:r>
          </w:p>
          <w:p w14:paraId="327486C6">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408DEE70">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F535991">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8F76FDC">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w:t>
            </w:r>
            <w:r>
              <w:rPr>
                <w:rFonts w:hint="eastAsia" w:ascii="仿宋_GB2312" w:eastAsia="仿宋_GB2312"/>
                <w:b/>
                <w:color w:val="auto"/>
                <w:sz w:val="28"/>
                <w:szCs w:val="28"/>
              </w:rPr>
              <w:t>目编号：</w:t>
            </w:r>
          </w:p>
          <w:p w14:paraId="5FE98AF9">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项目名称：</w:t>
            </w:r>
          </w:p>
          <w:p w14:paraId="4900056A">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投标人名称：</w:t>
            </w:r>
          </w:p>
          <w:p w14:paraId="3E773E6D">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投标人地址：</w:t>
            </w:r>
          </w:p>
          <w:p w14:paraId="578B5057">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43" w:firstLineChars="300"/>
              <w:jc w:val="both"/>
              <w:rPr>
                <w:rFonts w:hint="default" w:ascii="仿宋_GB2312" w:eastAsia="仿宋_GB2312" w:hAnsiTheme="minorHAnsi" w:cstheme="minorBidi"/>
                <w:b/>
                <w:color w:val="auto"/>
                <w:kern w:val="2"/>
                <w:sz w:val="28"/>
                <w:szCs w:val="28"/>
                <w:lang w:val="en-US" w:eastAsia="zh-CN" w:bidi="ar-SA"/>
              </w:rPr>
            </w:pPr>
            <w:r>
              <w:rPr>
                <w:rFonts w:hint="eastAsia" w:ascii="仿宋_GB2312" w:eastAsia="仿宋_GB2312" w:cstheme="minorBidi"/>
                <w:b/>
                <w:color w:val="auto"/>
                <w:kern w:val="2"/>
                <w:sz w:val="28"/>
                <w:szCs w:val="28"/>
                <w:lang w:val="en-US" w:eastAsia="zh-CN" w:bidi="ar-SA"/>
              </w:rPr>
              <w:t>联系人及联系电话：</w:t>
            </w:r>
          </w:p>
          <w:p w14:paraId="41FDBA62">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eastAsia" w:ascii="仿宋_GB2312" w:eastAsia="仿宋_GB2312"/>
                <w:b/>
                <w:sz w:val="28"/>
                <w:szCs w:val="28"/>
              </w:rPr>
            </w:pPr>
          </w:p>
          <w:p w14:paraId="29748A16">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default" w:ascii="仿宋_GB2312" w:eastAsia="仿宋_GB2312"/>
                <w:b/>
                <w:sz w:val="32"/>
              </w:rPr>
            </w:pPr>
            <w:r>
              <w:rPr>
                <w:rFonts w:hint="eastAsia" w:ascii="仿宋_GB2312" w:eastAsia="仿宋_GB2312"/>
                <w:b/>
                <w:sz w:val="28"/>
                <w:szCs w:val="28"/>
              </w:rPr>
              <w:t>开标之前不得启封</w:t>
            </w:r>
          </w:p>
        </w:tc>
      </w:tr>
    </w:tbl>
    <w:p w14:paraId="24A46D78">
      <w:bookmarkStart w:id="22" w:name="_Toc435515305"/>
      <w:bookmarkStart w:id="23" w:name="_Toc435514865"/>
      <w:r>
        <w:rPr>
          <w:rFonts w:hint="eastAsia"/>
        </w:rPr>
        <w:br w:type="page"/>
      </w:r>
    </w:p>
    <w:p w14:paraId="5B3C692F">
      <w:pPr>
        <w:pStyle w:val="3"/>
        <w:numPr>
          <w:ilvl w:val="0"/>
          <w:numId w:val="0"/>
        </w:numPr>
        <w:spacing w:line="240" w:lineRule="auto"/>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24" w:name="_Toc28307"/>
      <w:bookmarkStart w:id="25" w:name="_Toc29334"/>
      <w:r>
        <w:rPr>
          <w:rFonts w:hint="eastAsia" w:cs="宋体" w:asciiTheme="majorEastAsia" w:hAnsiTheme="majorEastAsia" w:eastAsiaTheme="majorEastAsia"/>
          <w:kern w:val="2"/>
          <w:sz w:val="30"/>
          <w:szCs w:val="30"/>
          <w:lang w:val="en-US" w:eastAsia="zh-CN" w:bidi="ar-SA"/>
        </w:rPr>
        <w:t>（一）资格性自查表</w:t>
      </w:r>
    </w:p>
    <w:tbl>
      <w:tblPr>
        <w:tblStyle w:val="16"/>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518"/>
        <w:gridCol w:w="1244"/>
        <w:gridCol w:w="1982"/>
      </w:tblGrid>
      <w:tr w14:paraId="0CA5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17AFD81E">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8" w:type="dxa"/>
            <w:vAlign w:val="center"/>
          </w:tcPr>
          <w:p w14:paraId="291C9C2C">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4" w:type="dxa"/>
            <w:vAlign w:val="center"/>
          </w:tcPr>
          <w:p w14:paraId="105F2E11">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1982" w:type="dxa"/>
            <w:vAlign w:val="center"/>
          </w:tcPr>
          <w:p w14:paraId="58327D04">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5DE9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08A38E4A">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szCs w:val="21"/>
                <w:highlight w:val="none"/>
              </w:rPr>
              <w:t>1</w:t>
            </w:r>
          </w:p>
        </w:tc>
        <w:tc>
          <w:tcPr>
            <w:tcW w:w="6518" w:type="dxa"/>
            <w:vAlign w:val="center"/>
          </w:tcPr>
          <w:p w14:paraId="2D4DF4ED">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c>
          <w:tcPr>
            <w:tcW w:w="1244" w:type="dxa"/>
            <w:vAlign w:val="center"/>
          </w:tcPr>
          <w:p w14:paraId="45BD21F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5A22CED">
            <w:pPr>
              <w:keepNext w:val="0"/>
              <w:keepLines w:val="0"/>
              <w:suppressLineNumbers w:val="0"/>
              <w:spacing w:before="0" w:beforeAutospacing="0" w:after="0" w:afterAutospacing="0"/>
              <w:ind w:left="36" w:leftChars="17" w:right="0"/>
              <w:jc w:val="center"/>
              <w:rPr>
                <w:rFonts w:hint="eastAsia" w:ascii="宋体" w:hAnsi="宋体" w:eastAsia="宋体" w:cs="宋体"/>
                <w:b/>
                <w:bCs/>
                <w:szCs w:val="21"/>
                <w:highlight w:val="none"/>
                <w:lang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12EF8529">
            <w:pPr>
              <w:keepNext w:val="0"/>
              <w:keepLines w:val="0"/>
              <w:suppressLineNumbers w:val="0"/>
              <w:spacing w:before="0" w:beforeAutospacing="0" w:after="0" w:afterAutospacing="0"/>
              <w:ind w:left="0" w:right="-178" w:rightChars="-85"/>
              <w:jc w:val="left"/>
              <w:rPr>
                <w:rFonts w:hint="eastAsia" w:ascii="宋体" w:hAnsi="宋体" w:eastAsia="宋体" w:cs="宋体"/>
                <w:b/>
                <w:bCs/>
                <w:szCs w:val="21"/>
                <w:highlight w:val="none"/>
              </w:rPr>
            </w:pPr>
            <w:r>
              <w:rPr>
                <w:rFonts w:hint="eastAsia" w:ascii="宋体" w:hAnsi="宋体" w:eastAsia="宋体" w:cs="宋体"/>
                <w:szCs w:val="21"/>
                <w:highlight w:val="none"/>
              </w:rPr>
              <w:t>见投标文件第( )页</w:t>
            </w:r>
          </w:p>
        </w:tc>
      </w:tr>
      <w:tr w14:paraId="331E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02091EDD">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8" w:type="dxa"/>
            <w:vAlign w:val="center"/>
          </w:tcPr>
          <w:p w14:paraId="3688507B">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lang w:val="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c>
          <w:tcPr>
            <w:tcW w:w="1244" w:type="dxa"/>
            <w:vAlign w:val="center"/>
          </w:tcPr>
          <w:p w14:paraId="1FE8465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60377F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701AE31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6A005CD">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1599D583">
      <w:pPr>
        <w:widowControl w:val="0"/>
        <w:numPr>
          <w:ilvl w:val="0"/>
          <w:numId w:val="0"/>
        </w:numPr>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（二）符合性自查表</w:t>
      </w:r>
    </w:p>
    <w:tbl>
      <w:tblPr>
        <w:tblStyle w:val="16"/>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519"/>
        <w:gridCol w:w="1240"/>
        <w:gridCol w:w="2004"/>
      </w:tblGrid>
      <w:tr w14:paraId="2E1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6BDD066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9" w:type="dxa"/>
            <w:vAlign w:val="center"/>
          </w:tcPr>
          <w:p w14:paraId="47A7A07B">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0" w:type="dxa"/>
            <w:vAlign w:val="center"/>
          </w:tcPr>
          <w:p w14:paraId="77891499">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2004" w:type="dxa"/>
            <w:vAlign w:val="center"/>
          </w:tcPr>
          <w:p w14:paraId="799F1D15">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7231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8" w:type="dxa"/>
            <w:shd w:val="clear" w:color="auto" w:fill="auto"/>
            <w:vAlign w:val="center"/>
          </w:tcPr>
          <w:p w14:paraId="75862572">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1</w:t>
            </w:r>
          </w:p>
        </w:tc>
        <w:tc>
          <w:tcPr>
            <w:tcW w:w="6519" w:type="dxa"/>
            <w:shd w:val="clear" w:color="auto" w:fill="auto"/>
            <w:vAlign w:val="center"/>
          </w:tcPr>
          <w:p w14:paraId="505738C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c>
          <w:tcPr>
            <w:tcW w:w="1240" w:type="dxa"/>
            <w:vAlign w:val="center"/>
          </w:tcPr>
          <w:p w14:paraId="390EEA3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C68E1E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29CF0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04C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0219854E">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2</w:t>
            </w:r>
          </w:p>
        </w:tc>
        <w:tc>
          <w:tcPr>
            <w:tcW w:w="6519" w:type="dxa"/>
            <w:shd w:val="clear" w:color="auto" w:fill="auto"/>
            <w:vAlign w:val="center"/>
          </w:tcPr>
          <w:p w14:paraId="39608BB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c>
          <w:tcPr>
            <w:tcW w:w="1240" w:type="dxa"/>
            <w:vAlign w:val="center"/>
          </w:tcPr>
          <w:p w14:paraId="4400EC7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E114970">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EFBCF2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CC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381DCB45">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3</w:t>
            </w:r>
          </w:p>
        </w:tc>
        <w:tc>
          <w:tcPr>
            <w:tcW w:w="6519" w:type="dxa"/>
            <w:shd w:val="clear" w:color="auto" w:fill="auto"/>
            <w:vAlign w:val="center"/>
          </w:tcPr>
          <w:p w14:paraId="7665786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c>
          <w:tcPr>
            <w:tcW w:w="1240" w:type="dxa"/>
            <w:vAlign w:val="center"/>
          </w:tcPr>
          <w:p w14:paraId="50A9D488">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F0744C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A451F83">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E96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129DC0A8">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4</w:t>
            </w:r>
          </w:p>
        </w:tc>
        <w:tc>
          <w:tcPr>
            <w:tcW w:w="6519" w:type="dxa"/>
            <w:shd w:val="clear" w:color="auto" w:fill="auto"/>
            <w:vAlign w:val="center"/>
          </w:tcPr>
          <w:p w14:paraId="71A26AA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分项报价或投标总价高于预算金额（最高投标限价）的，或未按招标文件要求报价的</w:t>
            </w:r>
          </w:p>
        </w:tc>
        <w:tc>
          <w:tcPr>
            <w:tcW w:w="1240" w:type="dxa"/>
            <w:vAlign w:val="center"/>
          </w:tcPr>
          <w:p w14:paraId="0553C5C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C52F57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BF002AF">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7059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62B4EEDC">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5</w:t>
            </w:r>
          </w:p>
        </w:tc>
        <w:tc>
          <w:tcPr>
            <w:tcW w:w="6519" w:type="dxa"/>
            <w:shd w:val="clear" w:color="auto" w:fill="auto"/>
            <w:vAlign w:val="center"/>
          </w:tcPr>
          <w:p w14:paraId="323DD3F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c>
          <w:tcPr>
            <w:tcW w:w="1240" w:type="dxa"/>
            <w:vAlign w:val="center"/>
          </w:tcPr>
          <w:p w14:paraId="2498A841">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758BE9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60403B9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646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78" w:type="dxa"/>
            <w:shd w:val="clear" w:color="auto" w:fill="auto"/>
            <w:vAlign w:val="center"/>
          </w:tcPr>
          <w:p w14:paraId="097844E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6</w:t>
            </w:r>
          </w:p>
        </w:tc>
        <w:tc>
          <w:tcPr>
            <w:tcW w:w="6519" w:type="dxa"/>
            <w:shd w:val="clear" w:color="auto" w:fill="auto"/>
            <w:vAlign w:val="center"/>
          </w:tcPr>
          <w:p w14:paraId="455E1F0C">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c>
          <w:tcPr>
            <w:tcW w:w="1240" w:type="dxa"/>
            <w:vAlign w:val="center"/>
          </w:tcPr>
          <w:p w14:paraId="3D88256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FD6D3FF">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FCEFD01">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2B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2E8BCCF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7</w:t>
            </w:r>
          </w:p>
        </w:tc>
        <w:tc>
          <w:tcPr>
            <w:tcW w:w="6519" w:type="dxa"/>
            <w:shd w:val="clear" w:color="auto" w:fill="auto"/>
            <w:vAlign w:val="center"/>
          </w:tcPr>
          <w:p w14:paraId="12DE733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文件要求的（是否实质性满足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c>
          <w:tcPr>
            <w:tcW w:w="1240" w:type="dxa"/>
            <w:vAlign w:val="center"/>
          </w:tcPr>
          <w:p w14:paraId="7D85E5D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F3C914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BA5D88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5E7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67D4A6A3">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8</w:t>
            </w:r>
          </w:p>
        </w:tc>
        <w:tc>
          <w:tcPr>
            <w:tcW w:w="6519" w:type="dxa"/>
            <w:shd w:val="clear" w:color="auto" w:fill="auto"/>
            <w:vAlign w:val="center"/>
          </w:tcPr>
          <w:p w14:paraId="47FBAF7D">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c>
          <w:tcPr>
            <w:tcW w:w="1240" w:type="dxa"/>
            <w:vAlign w:val="center"/>
          </w:tcPr>
          <w:p w14:paraId="3F7BD46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7869250">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BE4E5A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206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0E869902">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9</w:t>
            </w:r>
          </w:p>
        </w:tc>
        <w:tc>
          <w:tcPr>
            <w:tcW w:w="6519" w:type="dxa"/>
            <w:shd w:val="clear" w:color="auto" w:fill="auto"/>
            <w:vAlign w:val="center"/>
          </w:tcPr>
          <w:p w14:paraId="0726203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c>
          <w:tcPr>
            <w:tcW w:w="1240" w:type="dxa"/>
            <w:vAlign w:val="center"/>
          </w:tcPr>
          <w:p w14:paraId="752AFE5F">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D1543C1">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B2F3620">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19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4BF9E474">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10</w:t>
            </w:r>
          </w:p>
        </w:tc>
        <w:tc>
          <w:tcPr>
            <w:tcW w:w="6519" w:type="dxa"/>
            <w:shd w:val="clear" w:color="auto" w:fill="auto"/>
            <w:vAlign w:val="center"/>
          </w:tcPr>
          <w:p w14:paraId="2BC975CF">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未按招标文件附件所提供的样式和要求完整填写“投标函及履约承诺函”，或投标文件组成部分不符合</w:t>
            </w:r>
            <w:r>
              <w:rPr>
                <w:rFonts w:hint="eastAsia" w:ascii="宋体" w:hAnsi="宋体" w:eastAsia="宋体" w:cs="宋体"/>
                <w:sz w:val="21"/>
                <w:szCs w:val="21"/>
                <w:lang w:val="en-US" w:eastAsia="zh-CN"/>
              </w:rPr>
              <w:t>招标文件</w:t>
            </w:r>
            <w:r>
              <w:rPr>
                <w:rFonts w:hint="eastAsia" w:ascii="宋体" w:hAnsi="宋体" w:eastAsia="宋体" w:cs="宋体"/>
                <w:sz w:val="21"/>
                <w:szCs w:val="21"/>
              </w:rPr>
              <w:t>规定的</w:t>
            </w:r>
          </w:p>
        </w:tc>
        <w:tc>
          <w:tcPr>
            <w:tcW w:w="1240" w:type="dxa"/>
            <w:vAlign w:val="center"/>
          </w:tcPr>
          <w:p w14:paraId="4CF02F8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D9622F8">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43061E2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9BB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1451AC4C">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p>
        </w:tc>
        <w:tc>
          <w:tcPr>
            <w:tcW w:w="6519" w:type="dxa"/>
            <w:shd w:val="clear" w:color="auto" w:fill="auto"/>
            <w:vAlign w:val="center"/>
          </w:tcPr>
          <w:p w14:paraId="37030BEA">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c>
          <w:tcPr>
            <w:tcW w:w="1240" w:type="dxa"/>
            <w:vAlign w:val="center"/>
          </w:tcPr>
          <w:p w14:paraId="1948CEF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A5A6CA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58E75A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44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23A3DF55">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12</w:t>
            </w:r>
          </w:p>
        </w:tc>
        <w:tc>
          <w:tcPr>
            <w:tcW w:w="6519" w:type="dxa"/>
            <w:shd w:val="clear" w:color="auto" w:fill="auto"/>
            <w:vAlign w:val="center"/>
          </w:tcPr>
          <w:p w14:paraId="32F4929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c>
          <w:tcPr>
            <w:tcW w:w="1240" w:type="dxa"/>
            <w:vAlign w:val="center"/>
          </w:tcPr>
          <w:p w14:paraId="5A60639F">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4DC7A5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D85D9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81EFBA4">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w:t>
      </w:r>
      <w:r>
        <w:rPr>
          <w:rFonts w:hint="eastAsia" w:ascii="宋体" w:hAnsi="宋体"/>
          <w:lang w:val="en-US" w:eastAsia="zh-CN"/>
        </w:rPr>
        <w:t>符合</w:t>
      </w:r>
      <w:r>
        <w:rPr>
          <w:rFonts w:hint="eastAsia" w:ascii="宋体" w:hAnsi="宋体"/>
        </w:rPr>
        <w:t>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7837DDEC">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headerReference r:id="rId4" w:type="default"/>
          <w:footerReference r:id="rId5"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99D0F2C">
      <w:pPr>
        <w:widowControl w:val="0"/>
        <w:numPr>
          <w:ilvl w:val="0"/>
          <w:numId w:val="0"/>
        </w:numPr>
        <w:ind w:left="0" w:leftChars="0" w:firstLine="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（三）警示情形自查确认表</w:t>
      </w: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2ECE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60" w:type="dxa"/>
            <w:tcBorders>
              <w:tl2br w:val="nil"/>
              <w:tr2bl w:val="nil"/>
            </w:tcBorders>
            <w:noWrap/>
            <w:vAlign w:val="center"/>
          </w:tcPr>
          <w:p w14:paraId="64DA0D58">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序号</w:t>
            </w:r>
          </w:p>
        </w:tc>
        <w:tc>
          <w:tcPr>
            <w:tcW w:w="744" w:type="dxa"/>
            <w:tcBorders>
              <w:tl2br w:val="nil"/>
              <w:tr2bl w:val="nil"/>
            </w:tcBorders>
            <w:noWrap/>
            <w:vAlign w:val="center"/>
          </w:tcPr>
          <w:p w14:paraId="73B5F9F9">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类别</w:t>
            </w:r>
          </w:p>
        </w:tc>
        <w:tc>
          <w:tcPr>
            <w:tcW w:w="11002" w:type="dxa"/>
            <w:tcBorders>
              <w:tl2br w:val="nil"/>
              <w:tr2bl w:val="nil"/>
            </w:tcBorders>
            <w:noWrap w:val="0"/>
            <w:vAlign w:val="center"/>
          </w:tcPr>
          <w:p w14:paraId="4C356927">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内容</w:t>
            </w:r>
          </w:p>
        </w:tc>
        <w:tc>
          <w:tcPr>
            <w:tcW w:w="1385" w:type="dxa"/>
            <w:gridSpan w:val="2"/>
            <w:tcBorders>
              <w:tl2br w:val="nil"/>
              <w:tr2bl w:val="nil"/>
            </w:tcBorders>
            <w:noWrap/>
            <w:vAlign w:val="center"/>
          </w:tcPr>
          <w:p w14:paraId="2B6DE1F5">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选项</w:t>
            </w:r>
          </w:p>
        </w:tc>
      </w:tr>
      <w:tr w14:paraId="710B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00F22F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1</w:t>
            </w:r>
          </w:p>
        </w:tc>
        <w:tc>
          <w:tcPr>
            <w:tcW w:w="744" w:type="dxa"/>
            <w:vMerge w:val="restart"/>
            <w:tcBorders>
              <w:tl2br w:val="nil"/>
              <w:tr2bl w:val="nil"/>
            </w:tcBorders>
            <w:noWrap w:val="0"/>
            <w:vAlign w:val="center"/>
          </w:tcPr>
          <w:p w14:paraId="6C4C3F4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串通投标</w:t>
            </w:r>
          </w:p>
        </w:tc>
        <w:tc>
          <w:tcPr>
            <w:tcW w:w="11002" w:type="dxa"/>
            <w:tcBorders>
              <w:tl2br w:val="nil"/>
              <w:tr2bl w:val="nil"/>
            </w:tcBorders>
            <w:noWrap w:val="0"/>
            <w:vAlign w:val="center"/>
          </w:tcPr>
          <w:p w14:paraId="2C3AA7B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692" w:type="dxa"/>
            <w:tcBorders>
              <w:tl2br w:val="nil"/>
              <w:tr2bl w:val="nil"/>
            </w:tcBorders>
            <w:noWrap/>
            <w:vAlign w:val="center"/>
          </w:tcPr>
          <w:p w14:paraId="51C7AFE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901164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703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38D4AE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2</w:t>
            </w:r>
          </w:p>
        </w:tc>
        <w:tc>
          <w:tcPr>
            <w:tcW w:w="744" w:type="dxa"/>
            <w:vMerge w:val="continue"/>
            <w:tcBorders>
              <w:tl2br w:val="nil"/>
              <w:tr2bl w:val="nil"/>
            </w:tcBorders>
            <w:noWrap w:val="0"/>
            <w:vAlign w:val="center"/>
          </w:tcPr>
          <w:p w14:paraId="513C1BB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BB8385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我单位不存在与其他投标供应商的投标文件由同一单位或者同一人编制的“串通投标”违法行为。</w:t>
            </w:r>
          </w:p>
        </w:tc>
        <w:tc>
          <w:tcPr>
            <w:tcW w:w="692" w:type="dxa"/>
            <w:tcBorders>
              <w:tl2br w:val="nil"/>
              <w:tr2bl w:val="nil"/>
            </w:tcBorders>
            <w:noWrap/>
            <w:vAlign w:val="center"/>
          </w:tcPr>
          <w:p w14:paraId="4E345C2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2A4F3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4F8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2554F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3</w:t>
            </w:r>
          </w:p>
        </w:tc>
        <w:tc>
          <w:tcPr>
            <w:tcW w:w="744" w:type="dxa"/>
            <w:vMerge w:val="continue"/>
            <w:tcBorders>
              <w:tl2br w:val="nil"/>
              <w:tr2bl w:val="nil"/>
            </w:tcBorders>
            <w:noWrap w:val="0"/>
            <w:vAlign w:val="center"/>
          </w:tcPr>
          <w:p w14:paraId="067B523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09EF03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我单位不存在与其他投标供应商的投标文件或部分投标文件相互混装的“串通投标”违法行为。</w:t>
            </w:r>
          </w:p>
        </w:tc>
        <w:tc>
          <w:tcPr>
            <w:tcW w:w="692" w:type="dxa"/>
            <w:tcBorders>
              <w:tl2br w:val="nil"/>
              <w:tr2bl w:val="nil"/>
            </w:tcBorders>
            <w:noWrap/>
            <w:vAlign w:val="center"/>
          </w:tcPr>
          <w:p w14:paraId="47999F2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690B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2C0C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C19A34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4</w:t>
            </w:r>
          </w:p>
        </w:tc>
        <w:tc>
          <w:tcPr>
            <w:tcW w:w="744" w:type="dxa"/>
            <w:vMerge w:val="continue"/>
            <w:tcBorders>
              <w:tl2br w:val="nil"/>
              <w:tr2bl w:val="nil"/>
            </w:tcBorders>
            <w:noWrap w:val="0"/>
            <w:vAlign w:val="center"/>
          </w:tcPr>
          <w:p w14:paraId="0516BB8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0E487E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我单位不存在与其他投标供应商的投标文件内容非正常一致的“串通投标”违法行为。</w:t>
            </w:r>
          </w:p>
        </w:tc>
        <w:tc>
          <w:tcPr>
            <w:tcW w:w="692" w:type="dxa"/>
            <w:tcBorders>
              <w:tl2br w:val="nil"/>
              <w:tr2bl w:val="nil"/>
            </w:tcBorders>
            <w:noWrap/>
            <w:vAlign w:val="center"/>
          </w:tcPr>
          <w:p w14:paraId="11E9C8D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0B8E5F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BF5F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2BAE7D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5</w:t>
            </w:r>
          </w:p>
        </w:tc>
        <w:tc>
          <w:tcPr>
            <w:tcW w:w="744" w:type="dxa"/>
            <w:vMerge w:val="continue"/>
            <w:tcBorders>
              <w:tl2br w:val="nil"/>
              <w:tr2bl w:val="nil"/>
            </w:tcBorders>
            <w:noWrap w:val="0"/>
            <w:vAlign w:val="center"/>
          </w:tcPr>
          <w:p w14:paraId="5F7825F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5E0A89C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我单位不存在由同一单位工作人员为两家（含）以上供应商进行同一项投标活动的“串通投标”违法行为。</w:t>
            </w:r>
          </w:p>
        </w:tc>
        <w:tc>
          <w:tcPr>
            <w:tcW w:w="692" w:type="dxa"/>
            <w:tcBorders>
              <w:tl2br w:val="nil"/>
              <w:tr2bl w:val="nil"/>
            </w:tcBorders>
            <w:noWrap/>
            <w:vAlign w:val="center"/>
          </w:tcPr>
          <w:p w14:paraId="0AFDB9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20EF22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37A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A2D8FA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6</w:t>
            </w:r>
          </w:p>
        </w:tc>
        <w:tc>
          <w:tcPr>
            <w:tcW w:w="744" w:type="dxa"/>
            <w:vMerge w:val="continue"/>
            <w:tcBorders>
              <w:tl2br w:val="nil"/>
              <w:tr2bl w:val="nil"/>
            </w:tcBorders>
            <w:noWrap w:val="0"/>
            <w:vAlign w:val="center"/>
          </w:tcPr>
          <w:p w14:paraId="4104D38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9F6C46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我单位不存在与其他投标供应商相互约定给予未中标供应商利益补偿的“串通投标”违法行为。</w:t>
            </w:r>
          </w:p>
        </w:tc>
        <w:tc>
          <w:tcPr>
            <w:tcW w:w="692" w:type="dxa"/>
            <w:tcBorders>
              <w:tl2br w:val="nil"/>
              <w:tr2bl w:val="nil"/>
            </w:tcBorders>
            <w:noWrap/>
            <w:vAlign w:val="center"/>
          </w:tcPr>
          <w:p w14:paraId="420A642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DCFB6C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6DD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6BCFE4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7</w:t>
            </w:r>
          </w:p>
        </w:tc>
        <w:tc>
          <w:tcPr>
            <w:tcW w:w="744" w:type="dxa"/>
            <w:vMerge w:val="restart"/>
            <w:tcBorders>
              <w:tl2br w:val="nil"/>
              <w:tr2bl w:val="nil"/>
            </w:tcBorders>
            <w:noWrap w:val="0"/>
            <w:vAlign w:val="center"/>
          </w:tcPr>
          <w:p w14:paraId="220FF6C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虚假材料</w:t>
            </w:r>
          </w:p>
        </w:tc>
        <w:tc>
          <w:tcPr>
            <w:tcW w:w="11002" w:type="dxa"/>
            <w:tcBorders>
              <w:tl2br w:val="nil"/>
              <w:tr2bl w:val="nil"/>
            </w:tcBorders>
            <w:noWrap w:val="0"/>
            <w:vAlign w:val="center"/>
          </w:tcPr>
          <w:p w14:paraId="3F3353E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我单位已认真核查了投标文件的全部内容，</w:t>
            </w:r>
            <w:r>
              <w:rPr>
                <w:rFonts w:hint="eastAsia" w:ascii="宋体" w:hAnsi="宋体" w:eastAsia="宋体" w:cs="宋体"/>
                <w:b/>
                <w:bCs/>
                <w:color w:val="auto"/>
                <w:sz w:val="22"/>
                <w:szCs w:val="28"/>
                <w:highlight w:val="none"/>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2"/>
                <w:szCs w:val="28"/>
                <w:highlight w:val="none"/>
                <w:lang w:val="en-US" w:eastAsia="zh-CN"/>
              </w:rPr>
              <w:t>均为真实资料，</w:t>
            </w:r>
            <w:r>
              <w:rPr>
                <w:rFonts w:hint="eastAsia" w:ascii="宋体" w:hAnsi="宋体" w:eastAsia="宋体" w:cs="宋体"/>
                <w:color w:val="auto"/>
                <w:sz w:val="22"/>
                <w:szCs w:val="28"/>
                <w:highlight w:val="none"/>
                <w:shd w:val="clear" w:color="auto" w:fill="auto"/>
                <w:lang w:val="en-US" w:eastAsia="zh-CN"/>
              </w:rPr>
              <w:t>已</w:t>
            </w:r>
            <w:r>
              <w:rPr>
                <w:rFonts w:hint="eastAsia" w:ascii="宋体" w:hAnsi="宋体" w:eastAsia="宋体" w:cs="宋体"/>
                <w:b/>
                <w:bCs/>
                <w:color w:val="auto"/>
                <w:sz w:val="22"/>
                <w:szCs w:val="28"/>
                <w:highlight w:val="none"/>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2"/>
                <w:szCs w:val="28"/>
                <w:highlight w:val="none"/>
                <w:shd w:val="clear" w:color="auto" w:fill="auto"/>
                <w:lang w:val="en-US" w:eastAsia="zh-CN"/>
              </w:rPr>
              <w:t>。</w:t>
            </w:r>
            <w:r>
              <w:rPr>
                <w:rFonts w:hint="eastAsia" w:ascii="宋体" w:hAnsi="宋体" w:eastAsia="宋体" w:cs="宋体"/>
                <w:color w:val="auto"/>
                <w:sz w:val="22"/>
                <w:szCs w:val="28"/>
                <w:highlight w:val="none"/>
                <w:lang w:val="en-US" w:eastAsia="zh-CN"/>
              </w:rPr>
              <w:t>我单位对投标文件中全部投标资料的真实性负责。</w:t>
            </w:r>
          </w:p>
        </w:tc>
        <w:tc>
          <w:tcPr>
            <w:tcW w:w="692" w:type="dxa"/>
            <w:tcBorders>
              <w:tl2br w:val="nil"/>
              <w:tr2bl w:val="nil"/>
            </w:tcBorders>
            <w:noWrap/>
            <w:vAlign w:val="center"/>
          </w:tcPr>
          <w:p w14:paraId="7363C63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48C040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EB5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33E4D5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8</w:t>
            </w:r>
          </w:p>
        </w:tc>
        <w:tc>
          <w:tcPr>
            <w:tcW w:w="744" w:type="dxa"/>
            <w:vMerge w:val="continue"/>
            <w:tcBorders>
              <w:tl2br w:val="nil"/>
              <w:tr2bl w:val="nil"/>
            </w:tcBorders>
            <w:noWrap w:val="0"/>
            <w:vAlign w:val="center"/>
          </w:tcPr>
          <w:p w14:paraId="5FA2B27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771B746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我单位不存在通过转让或者租借等方式从其他单位获取资格或者资质证书投标的“提供虚假资料”违法行为。</w:t>
            </w:r>
          </w:p>
        </w:tc>
        <w:tc>
          <w:tcPr>
            <w:tcW w:w="692" w:type="dxa"/>
            <w:tcBorders>
              <w:tl2br w:val="nil"/>
              <w:tr2bl w:val="nil"/>
            </w:tcBorders>
            <w:noWrap/>
            <w:vAlign w:val="center"/>
          </w:tcPr>
          <w:p w14:paraId="1D7CB1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AD2F00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546F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89143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9</w:t>
            </w:r>
          </w:p>
        </w:tc>
        <w:tc>
          <w:tcPr>
            <w:tcW w:w="744" w:type="dxa"/>
            <w:vMerge w:val="continue"/>
            <w:tcBorders>
              <w:tl2br w:val="nil"/>
              <w:tr2bl w:val="nil"/>
            </w:tcBorders>
            <w:noWrap w:val="0"/>
            <w:vAlign w:val="center"/>
          </w:tcPr>
          <w:p w14:paraId="36720B8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19CC44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我单位不存在由其他单位或者其他单位负责人在我单位投标文件上加盖印章或者签字的“提供虚假资料”违法行为。</w:t>
            </w:r>
          </w:p>
        </w:tc>
        <w:tc>
          <w:tcPr>
            <w:tcW w:w="692" w:type="dxa"/>
            <w:tcBorders>
              <w:tl2br w:val="nil"/>
              <w:tr2bl w:val="nil"/>
            </w:tcBorders>
            <w:noWrap/>
            <w:vAlign w:val="center"/>
          </w:tcPr>
          <w:p w14:paraId="2AD88F2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550BC4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953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DE351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10</w:t>
            </w:r>
          </w:p>
        </w:tc>
        <w:tc>
          <w:tcPr>
            <w:tcW w:w="744" w:type="dxa"/>
            <w:vMerge w:val="continue"/>
            <w:tcBorders>
              <w:tl2br w:val="nil"/>
              <w:tr2bl w:val="nil"/>
            </w:tcBorders>
            <w:noWrap w:val="0"/>
            <w:vAlign w:val="center"/>
          </w:tcPr>
          <w:p w14:paraId="2A96838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D6A9775">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我单位不存在项目负责人或者主要技术人员不是本单位人员的“提供虚假资料”违法行为。</w:t>
            </w:r>
          </w:p>
        </w:tc>
        <w:tc>
          <w:tcPr>
            <w:tcW w:w="692" w:type="dxa"/>
            <w:tcBorders>
              <w:tl2br w:val="nil"/>
              <w:tr2bl w:val="nil"/>
            </w:tcBorders>
            <w:noWrap/>
            <w:vAlign w:val="center"/>
          </w:tcPr>
          <w:p w14:paraId="65F60E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B168349">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B9F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135B6D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11</w:t>
            </w:r>
          </w:p>
        </w:tc>
        <w:tc>
          <w:tcPr>
            <w:tcW w:w="744" w:type="dxa"/>
            <w:vMerge w:val="continue"/>
            <w:tcBorders>
              <w:tl2br w:val="nil"/>
              <w:tr2bl w:val="nil"/>
            </w:tcBorders>
            <w:noWrap w:val="0"/>
            <w:vAlign w:val="center"/>
          </w:tcPr>
          <w:p w14:paraId="1B33D2FE">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1FD23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我单位不存在投标保证金（根据采购文件要求提交）不是从我单位基本账户转出的“提供虚假资料”违法行为。</w:t>
            </w:r>
          </w:p>
        </w:tc>
        <w:tc>
          <w:tcPr>
            <w:tcW w:w="692" w:type="dxa"/>
            <w:tcBorders>
              <w:tl2br w:val="nil"/>
              <w:tr2bl w:val="nil"/>
            </w:tcBorders>
            <w:noWrap/>
            <w:vAlign w:val="center"/>
          </w:tcPr>
          <w:p w14:paraId="672F812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91C8B3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A31C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866316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12</w:t>
            </w:r>
          </w:p>
        </w:tc>
        <w:tc>
          <w:tcPr>
            <w:tcW w:w="744" w:type="dxa"/>
            <w:vMerge w:val="restart"/>
            <w:tcBorders>
              <w:tl2br w:val="nil"/>
              <w:tr2bl w:val="nil"/>
            </w:tcBorders>
            <w:noWrap w:val="0"/>
            <w:vAlign w:val="center"/>
          </w:tcPr>
          <w:p w14:paraId="615C333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关联关系及其他情形</w:t>
            </w:r>
          </w:p>
        </w:tc>
        <w:tc>
          <w:tcPr>
            <w:tcW w:w="11002" w:type="dxa"/>
            <w:tcBorders>
              <w:tl2br w:val="nil"/>
              <w:tr2bl w:val="nil"/>
            </w:tcBorders>
            <w:noWrap w:val="0"/>
            <w:vAlign w:val="center"/>
          </w:tcPr>
          <w:p w14:paraId="714141C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我单位严格管理本单位的电子秘钥及电子营业执照，不委托或出借给第三方（人）使用和管理。</w:t>
            </w:r>
          </w:p>
        </w:tc>
        <w:tc>
          <w:tcPr>
            <w:tcW w:w="692" w:type="dxa"/>
            <w:tcBorders>
              <w:tl2br w:val="nil"/>
              <w:tr2bl w:val="nil"/>
            </w:tcBorders>
            <w:noWrap/>
            <w:vAlign w:val="center"/>
          </w:tcPr>
          <w:p w14:paraId="57BE226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45A77C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600C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6564F2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13</w:t>
            </w:r>
          </w:p>
        </w:tc>
        <w:tc>
          <w:tcPr>
            <w:tcW w:w="744" w:type="dxa"/>
            <w:vMerge w:val="continue"/>
            <w:tcBorders>
              <w:tl2br w:val="nil"/>
              <w:tr2bl w:val="nil"/>
            </w:tcBorders>
            <w:noWrap w:val="0"/>
            <w:vAlign w:val="center"/>
          </w:tcPr>
          <w:p w14:paraId="7D49EC6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p>
        </w:tc>
        <w:tc>
          <w:tcPr>
            <w:tcW w:w="11002" w:type="dxa"/>
            <w:tcBorders>
              <w:tl2br w:val="nil"/>
              <w:tr2bl w:val="nil"/>
            </w:tcBorders>
            <w:noWrap w:val="0"/>
            <w:vAlign w:val="center"/>
          </w:tcPr>
          <w:p w14:paraId="5F2C3E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我单位不使用公共电脑设备或公共网络编制、上传投标文件。</w:t>
            </w:r>
          </w:p>
        </w:tc>
        <w:tc>
          <w:tcPr>
            <w:tcW w:w="692" w:type="dxa"/>
            <w:tcBorders>
              <w:tl2br w:val="nil"/>
              <w:tr2bl w:val="nil"/>
            </w:tcBorders>
            <w:noWrap/>
            <w:vAlign w:val="center"/>
          </w:tcPr>
          <w:p w14:paraId="36B45C5E">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190171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F40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46697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14</w:t>
            </w:r>
          </w:p>
        </w:tc>
        <w:tc>
          <w:tcPr>
            <w:tcW w:w="744" w:type="dxa"/>
            <w:vMerge w:val="continue"/>
            <w:tcBorders>
              <w:tl2br w:val="nil"/>
              <w:tr2bl w:val="nil"/>
            </w:tcBorders>
            <w:noWrap w:val="0"/>
            <w:vAlign w:val="center"/>
          </w:tcPr>
          <w:p w14:paraId="31F008B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8DB313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我单位与其他投标供应商在参与本项目时，不存在单位负责人为同一人或直接控股、管理关系的行为。</w:t>
            </w:r>
          </w:p>
        </w:tc>
        <w:tc>
          <w:tcPr>
            <w:tcW w:w="692" w:type="dxa"/>
            <w:tcBorders>
              <w:tl2br w:val="nil"/>
              <w:tr2bl w:val="nil"/>
            </w:tcBorders>
            <w:noWrap/>
            <w:vAlign w:val="center"/>
          </w:tcPr>
          <w:p w14:paraId="406A98C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E025D6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bl>
    <w:p w14:paraId="005DAF95">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51B4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60" w:type="dxa"/>
            <w:tcBorders>
              <w:tl2br w:val="nil"/>
              <w:tr2bl w:val="nil"/>
            </w:tcBorders>
            <w:noWrap/>
            <w:vAlign w:val="center"/>
          </w:tcPr>
          <w:p w14:paraId="55206D2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15</w:t>
            </w:r>
          </w:p>
        </w:tc>
        <w:tc>
          <w:tcPr>
            <w:tcW w:w="744" w:type="dxa"/>
            <w:vMerge w:val="restart"/>
            <w:tcBorders>
              <w:tl2br w:val="nil"/>
              <w:tr2bl w:val="nil"/>
            </w:tcBorders>
            <w:noWrap w:val="0"/>
            <w:vAlign w:val="center"/>
          </w:tcPr>
          <w:p w14:paraId="58124DE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2868A9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b w:val="0"/>
                <w:bCs w:val="0"/>
                <w:color w:val="auto"/>
                <w:sz w:val="22"/>
                <w:szCs w:val="28"/>
                <w:highlight w:val="none"/>
                <w:lang w:val="en-US" w:eastAsia="zh-CN"/>
              </w:rPr>
              <w:t>我单位在参与本项目（单一来源采购项目除外）时，不存在同时为本项目提供整体设计、规范编制或者项目管理、监理、检测等服务的行为。</w:t>
            </w:r>
          </w:p>
        </w:tc>
        <w:tc>
          <w:tcPr>
            <w:tcW w:w="692" w:type="dxa"/>
            <w:tcBorders>
              <w:tl2br w:val="nil"/>
              <w:tr2bl w:val="nil"/>
            </w:tcBorders>
            <w:noWrap/>
            <w:vAlign w:val="center"/>
          </w:tcPr>
          <w:p w14:paraId="7E281193">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CE3FDA6">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230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E5FB0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16</w:t>
            </w:r>
          </w:p>
        </w:tc>
        <w:tc>
          <w:tcPr>
            <w:tcW w:w="744" w:type="dxa"/>
            <w:vMerge w:val="continue"/>
            <w:tcBorders>
              <w:left w:val="single" w:color="000000" w:sz="4" w:space="0"/>
              <w:bottom w:val="nil"/>
              <w:right w:val="single" w:color="000000" w:sz="4" w:space="0"/>
              <w:tl2br w:val="nil"/>
              <w:tr2bl w:val="nil"/>
            </w:tcBorders>
            <w:noWrap w:val="0"/>
            <w:vAlign w:val="center"/>
          </w:tcPr>
          <w:p w14:paraId="5FA702B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6054A">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我单位在本项目中，□是□否 委托第三方（人）代为办理或从生产厂家、代理商等第三方（人）间接取得投标文件涉及的检验检测报告、证书、证明等材料。</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3087A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6203BB">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3DE0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791" w:type="dxa"/>
            <w:gridSpan w:val="5"/>
            <w:tcBorders>
              <w:tl2br w:val="nil"/>
              <w:tr2bl w:val="nil"/>
            </w:tcBorders>
            <w:noWrap/>
            <w:vAlign w:val="center"/>
          </w:tcPr>
          <w:p w14:paraId="4B8359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若第16项选择“是”，则投标供应商需要填写：</w:t>
            </w:r>
          </w:p>
          <w:p w14:paraId="1BA4A9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①</w:t>
            </w:r>
            <w:r>
              <w:rPr>
                <w:rFonts w:hint="eastAsia" w:ascii="宋体" w:hAnsi="宋体" w:eastAsia="宋体" w:cs="宋体"/>
                <w:b w:val="0"/>
                <w:bCs w:val="0"/>
                <w:color w:val="auto"/>
                <w:sz w:val="22"/>
                <w:szCs w:val="28"/>
                <w:highlight w:val="none"/>
                <w:lang w:val="en-US" w:eastAsia="zh-CN"/>
              </w:rPr>
              <w:t>相关</w:t>
            </w:r>
            <w:r>
              <w:rPr>
                <w:rFonts w:hint="eastAsia" w:ascii="宋体" w:hAnsi="宋体" w:eastAsia="宋体" w:cs="宋体"/>
                <w:color w:val="auto"/>
                <w:sz w:val="22"/>
                <w:szCs w:val="28"/>
                <w:highlight w:val="none"/>
                <w:lang w:val="en-US" w:eastAsia="zh-CN"/>
              </w:rPr>
              <w:t>材料类型（必填）（包括检验检测报告、学历证书、职称证书、社保证明、合同业绩、其他等，以下拉列表显示）；</w:t>
            </w:r>
          </w:p>
          <w:p w14:paraId="176344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②相关材料的名称（必填）（按材料类型填写，不同类型的需分别填写）；</w:t>
            </w:r>
          </w:p>
          <w:p w14:paraId="04339F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③相关材料出具单位（必填）（</w:t>
            </w:r>
            <w:r>
              <w:rPr>
                <w:rFonts w:hint="eastAsia" w:ascii="宋体" w:hAnsi="宋体" w:eastAsia="宋体" w:cs="宋体"/>
                <w:b w:val="0"/>
                <w:bCs w:val="0"/>
                <w:color w:val="auto"/>
                <w:sz w:val="22"/>
                <w:szCs w:val="28"/>
                <w:highlight w:val="none"/>
                <w:lang w:val="en-US" w:eastAsia="zh-CN"/>
              </w:rPr>
              <w:t>按材料类型填写，出具单位即为相关</w:t>
            </w:r>
            <w:r>
              <w:rPr>
                <w:rFonts w:hint="eastAsia" w:ascii="宋体" w:hAnsi="宋体" w:eastAsia="宋体" w:cs="宋体"/>
                <w:color w:val="auto"/>
                <w:sz w:val="22"/>
                <w:szCs w:val="28"/>
                <w:highlight w:val="none"/>
                <w:lang w:val="en-US" w:eastAsia="zh-CN"/>
              </w:rPr>
              <w:t>材料的落款单位）；</w:t>
            </w:r>
          </w:p>
          <w:p w14:paraId="49536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④是否向材料出具单位核实材料真实性（必填）（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以下拉列表显示“是”和“否”）；</w:t>
            </w:r>
          </w:p>
          <w:p w14:paraId="0D4B90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⑤第三方（人）的基本信息（必填），（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以下拉列表显示“单位”和“个人”，其中，“单位”需填写单位全称、统一社会信用代码、联系人及电话，“</w:t>
            </w:r>
            <w:r>
              <w:rPr>
                <w:rFonts w:hint="eastAsia" w:ascii="宋体" w:hAnsi="宋体" w:eastAsia="宋体" w:cs="宋体"/>
                <w:b w:val="0"/>
                <w:bCs w:val="0"/>
                <w:color w:val="auto"/>
                <w:sz w:val="22"/>
                <w:szCs w:val="28"/>
                <w:highlight w:val="none"/>
                <w:lang w:val="en-US" w:eastAsia="zh-CN"/>
              </w:rPr>
              <w:t>个人”需填写个人姓名、联系方式）；</w:t>
            </w:r>
          </w:p>
          <w:p w14:paraId="5C881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⑥相关材料的编号（选填）（</w:t>
            </w:r>
            <w:r>
              <w:rPr>
                <w:rFonts w:hint="eastAsia" w:ascii="宋体" w:hAnsi="宋体" w:eastAsia="宋体" w:cs="宋体"/>
                <w:b w:val="0"/>
                <w:bCs w:val="0"/>
                <w:color w:val="auto"/>
                <w:sz w:val="22"/>
                <w:szCs w:val="28"/>
                <w:highlight w:val="none"/>
                <w:lang w:val="en-US" w:eastAsia="zh-CN"/>
              </w:rPr>
              <w:t>按材料类型填写）；</w:t>
            </w:r>
          </w:p>
          <w:p w14:paraId="606ECE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val="en-US" w:eastAsia="zh-CN"/>
              </w:rPr>
              <w:t>⑦相关材料出具时间（选填）（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w:t>
            </w:r>
          </w:p>
        </w:tc>
      </w:tr>
    </w:tbl>
    <w:p w14:paraId="46B81160">
      <w:pPr>
        <w:rPr>
          <w:rFonts w:hint="eastAsi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611745D">
      <w:pPr>
        <w:pStyle w:val="3"/>
        <w:numPr>
          <w:ilvl w:val="0"/>
          <w:numId w:val="8"/>
        </w:numPr>
        <w:spacing w:line="240" w:lineRule="auto"/>
        <w:ind w:left="0" w:leftChars="0" w:firstLine="0" w:firstLineChars="0"/>
        <w:jc w:val="center"/>
        <w:outlineLvl w:val="0"/>
        <w:rPr>
          <w:rFonts w:hint="eastAsia" w:asciiTheme="majorEastAsia" w:hAnsiTheme="majorEastAsia" w:eastAsiaTheme="majorEastAsia"/>
          <w:sz w:val="30"/>
          <w:szCs w:val="30"/>
          <w:lang w:val="en-US" w:eastAsia="zh-CN"/>
        </w:rPr>
      </w:pPr>
      <w:r>
        <w:rPr>
          <w:rFonts w:hint="eastAsia" w:asciiTheme="majorEastAsia" w:hAnsiTheme="majorEastAsia" w:eastAsiaTheme="majorEastAsia"/>
          <w:sz w:val="30"/>
          <w:szCs w:val="30"/>
          <w:lang w:val="en-US" w:eastAsia="zh-CN"/>
        </w:rPr>
        <w:t>综合评分指引</w:t>
      </w:r>
    </w:p>
    <w:p w14:paraId="168FCB66">
      <w:pPr>
        <w:adjustRightInd w:val="0"/>
        <w:snapToGrid w:val="0"/>
        <w:spacing w:line="300" w:lineRule="auto"/>
        <w:ind w:firstLine="420" w:firstLineChars="200"/>
        <w:rPr>
          <w:rFonts w:ascii="宋体" w:hAnsi="宋体"/>
          <w:szCs w:val="21"/>
        </w:rPr>
      </w:pPr>
      <w:r>
        <w:rPr>
          <w:rFonts w:hint="eastAsia" w:ascii="宋体" w:hAnsi="宋体"/>
          <w:szCs w:val="21"/>
        </w:rPr>
        <w:t>对于“</w:t>
      </w:r>
      <w:r>
        <w:rPr>
          <w:rFonts w:hint="eastAsia" w:ascii="宋体" w:hAnsi="宋体"/>
          <w:b/>
          <w:szCs w:val="21"/>
        </w:rPr>
        <w:t>综合评分指引”</w:t>
      </w:r>
      <w:r>
        <w:rPr>
          <w:rFonts w:hint="eastAsia" w:ascii="宋体" w:hAnsi="宋体"/>
          <w:szCs w:val="21"/>
        </w:rPr>
        <w:t>请投标人按照</w:t>
      </w:r>
      <w:r>
        <w:rPr>
          <w:rFonts w:hint="eastAsia" w:ascii="宋体" w:hAnsi="宋体"/>
          <w:szCs w:val="21"/>
          <w:lang w:eastAsia="zh-CN"/>
        </w:rPr>
        <w:t>征集</w:t>
      </w:r>
      <w:r>
        <w:rPr>
          <w:rFonts w:hint="eastAsia" w:ascii="宋体" w:hAnsi="宋体"/>
          <w:szCs w:val="21"/>
        </w:rPr>
        <w:t>文件</w:t>
      </w:r>
      <w:r>
        <w:rPr>
          <w:rFonts w:hint="eastAsia" w:ascii="宋体" w:hAnsi="宋体"/>
          <w:b/>
          <w:szCs w:val="21"/>
        </w:rPr>
        <w:t>评标信息评分细则表</w:t>
      </w:r>
      <w:r>
        <w:rPr>
          <w:rFonts w:hint="eastAsia" w:ascii="宋体" w:hAnsi="宋体"/>
          <w:szCs w:val="21"/>
        </w:rPr>
        <w:t>内容，根据各评分项目以</w:t>
      </w:r>
      <w:r>
        <w:rPr>
          <w:rFonts w:hint="eastAsia" w:ascii="宋体" w:hAnsi="宋体"/>
          <w:b/>
          <w:szCs w:val="21"/>
        </w:rPr>
        <w:t>自上而下</w:t>
      </w:r>
      <w:r>
        <w:rPr>
          <w:rFonts w:hint="eastAsia" w:ascii="宋体" w:hAnsi="宋体"/>
          <w:szCs w:val="21"/>
        </w:rPr>
        <w:t>的顺序编制。因项目次序混乱而影响评标效率及评标结果者，投标人自负其责。</w:t>
      </w:r>
    </w:p>
    <w:p w14:paraId="257ABC5B">
      <w:pPr>
        <w:adjustRightInd w:val="0"/>
        <w:snapToGrid w:val="0"/>
        <w:spacing w:line="300" w:lineRule="auto"/>
        <w:rPr>
          <w:rFonts w:ascii="宋体" w:hAnsi="宋体"/>
          <w:szCs w:val="21"/>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1"/>
        <w:gridCol w:w="2636"/>
        <w:gridCol w:w="3367"/>
      </w:tblGrid>
      <w:tr w14:paraId="58E4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01" w:type="dxa"/>
            <w:vAlign w:val="center"/>
          </w:tcPr>
          <w:p w14:paraId="7098C0A7">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评分因素</w:t>
            </w:r>
          </w:p>
        </w:tc>
        <w:tc>
          <w:tcPr>
            <w:tcW w:w="2636" w:type="dxa"/>
            <w:vAlign w:val="center"/>
          </w:tcPr>
          <w:p w14:paraId="2F23BF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评分准则</w:t>
            </w:r>
          </w:p>
        </w:tc>
        <w:tc>
          <w:tcPr>
            <w:tcW w:w="3367" w:type="dxa"/>
            <w:vAlign w:val="center"/>
          </w:tcPr>
          <w:p w14:paraId="097497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证明文件</w:t>
            </w:r>
          </w:p>
        </w:tc>
      </w:tr>
      <w:tr w14:paraId="44BB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01" w:type="dxa"/>
            <w:vAlign w:val="center"/>
          </w:tcPr>
          <w:p w14:paraId="4C8851E2">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24BA1A3A">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28CF5B8">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7CA2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001" w:type="dxa"/>
            <w:vAlign w:val="center"/>
          </w:tcPr>
          <w:p w14:paraId="61AE6F4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7BF120A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7FC47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6AC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 w:hRule="atLeast"/>
          <w:jc w:val="center"/>
        </w:trPr>
        <w:tc>
          <w:tcPr>
            <w:tcW w:w="3001" w:type="dxa"/>
            <w:vAlign w:val="center"/>
          </w:tcPr>
          <w:p w14:paraId="725CDC1D">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F7544BC">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00DAD86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5F6D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001" w:type="dxa"/>
            <w:vAlign w:val="center"/>
          </w:tcPr>
          <w:p w14:paraId="133B850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D6C3D8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8257C3">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24C0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0E5EF5F1">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C0DE59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2D667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D72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6E5F3AE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18F66296">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5A69511D">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r w14:paraId="09BA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7360DA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0D1FA4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7C5C56C">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bl>
    <w:p w14:paraId="360D7A47">
      <w:pPr>
        <w:numPr>
          <w:ilvl w:val="0"/>
          <w:numId w:val="0"/>
        </w:numPr>
        <w:ind w:leftChars="0"/>
        <w:rPr>
          <w:rFonts w:hint="eastAsia"/>
          <w:lang w:val="en-US" w:eastAsia="zh-CN"/>
        </w:rPr>
      </w:pPr>
    </w:p>
    <w:p w14:paraId="1B2C3062">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3652D17">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163C87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CA0D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24022B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C0E4DD3">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7186ED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48117D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D3A274">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F674D68">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4115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D7BB6C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6D7C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4C12BA8">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（五）</w:t>
      </w:r>
      <w:r>
        <w:rPr>
          <w:rFonts w:hint="eastAsia" w:asciiTheme="majorEastAsia" w:hAnsiTheme="majorEastAsia" w:eastAsiaTheme="majorEastAsia"/>
          <w:sz w:val="30"/>
          <w:szCs w:val="30"/>
          <w:lang w:val="en-US" w:eastAsia="zh-CN"/>
        </w:rPr>
        <w:t>营业执</w:t>
      </w:r>
      <w:r>
        <w:rPr>
          <w:rFonts w:hint="eastAsia" w:cs="宋体" w:asciiTheme="majorEastAsia" w:hAnsiTheme="majorEastAsia" w:eastAsiaTheme="majorEastAsia"/>
          <w:sz w:val="30"/>
          <w:szCs w:val="30"/>
        </w:rPr>
        <w:t>照</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rPr>
        <w:t>经营许可证</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lang w:val="en-US" w:eastAsia="zh-CN"/>
        </w:rPr>
        <w:t>授权书、注册证</w:t>
      </w:r>
      <w:r>
        <w:rPr>
          <w:rFonts w:hint="eastAsia" w:cs="宋体" w:asciiTheme="majorEastAsia" w:hAnsiTheme="majorEastAsia" w:eastAsiaTheme="majorEastAsia"/>
          <w:sz w:val="30"/>
          <w:szCs w:val="30"/>
        </w:rPr>
        <w:t>等</w:t>
      </w:r>
      <w:r>
        <w:rPr>
          <w:rFonts w:hint="eastAsia" w:asciiTheme="majorEastAsia" w:hAnsiTheme="majorEastAsia" w:eastAsiaTheme="majorEastAsia"/>
          <w:sz w:val="30"/>
          <w:szCs w:val="30"/>
        </w:rPr>
        <w:t>资质文件</w:t>
      </w:r>
      <w:bookmarkEnd w:id="24"/>
    </w:p>
    <w:p w14:paraId="26AAB42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CFFBC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E7F17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A742C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833E0F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360B77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F55108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AC643E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21FE17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B185E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C91DC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4B81486">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F8624B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8BBDE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51B00AFA">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5365A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49C1257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2676F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8B630B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13D883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02A6B7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FCECDC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20" w:leftChars="0" w:hanging="420" w:firstLineChars="0"/>
        <w:jc w:val="center"/>
        <w:textAlignment w:val="auto"/>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（六）诚信及信用信息证明</w:t>
      </w:r>
    </w:p>
    <w:p w14:paraId="3195806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1.投标方需提供中国政府采购网（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"http://www.ccgp.gov.cn/search/cr/"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http://www.ccgp.gov.cn/search/cr/</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）、深圳市政府采购监管网（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"http://zfcg.sz.gov.cn/cgjg/cxda/index.html"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http://zfcg.sz.gov.cn/cgjg/cxda/index.html</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）的有效截图。</w:t>
      </w:r>
    </w:p>
    <w:p w14:paraId="7D5212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2.投标方需提供国家企业信用信息公示系统（https://www.gsxt.gov.cn/index.html）、机关赋码和事业单位登记管理网（如有）（http://www.gjsy.gov.cn/sydwfrxxcx/）、全国社会组织信用信息公示平台（如有）（https://xxgs.chinanpo.mca.gov.cn/gsxt/newList）的有效截图</w:t>
      </w:r>
    </w:p>
    <w:p w14:paraId="1149DDCE">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3.投标方需提供股权关系证明材料:通过国家企业信用信息公示系统(https://www.gsxt.gov.cn/index.html)、或机关赋码和事业单位登记管理网（如有）(http://gjsy.gov.cn/sydwfrxxcx/)、或全国社会组织信用信息公示平台（如有）(https://xxgs.chinanpo.mca.gov.cn/gsxt/newList 等网站查询的最新股权(或管理)关系截图)</w:t>
      </w:r>
    </w:p>
    <w:p w14:paraId="2AEEF612">
      <w:pPr>
        <w:rPr>
          <w:rFonts w:asciiTheme="majorEastAsia" w:hAnsiTheme="majorEastAsia" w:eastAsiaTheme="majorEastAsia"/>
          <w:sz w:val="28"/>
          <w:szCs w:val="28"/>
        </w:rPr>
      </w:pPr>
      <w:r>
        <w:rPr>
          <w:rFonts w:hint="eastAsia" w:asciiTheme="majorEastAsia" w:hAnsiTheme="majorEastAsia" w:eastAsiaTheme="majorEastAsia"/>
          <w:sz w:val="28"/>
          <w:szCs w:val="28"/>
        </w:rPr>
        <w:br w:type="page"/>
      </w:r>
    </w:p>
    <w:p w14:paraId="7CC4A323">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26" w:name="_Toc12322"/>
      <w:r>
        <w:rPr>
          <w:rFonts w:hint="eastAsia" w:cs="宋体" w:asciiTheme="majorEastAsia" w:hAnsiTheme="majorEastAsia" w:eastAsiaTheme="majorEastAsia"/>
          <w:kern w:val="2"/>
          <w:sz w:val="30"/>
          <w:szCs w:val="30"/>
          <w:lang w:val="en-US" w:eastAsia="zh-CN" w:bidi="ar-SA"/>
        </w:rPr>
        <w:t>（七）</w:t>
      </w:r>
      <w:r>
        <w:rPr>
          <w:rFonts w:hint="eastAsia" w:asciiTheme="majorEastAsia" w:hAnsiTheme="majorEastAsia" w:eastAsiaTheme="majorEastAsia"/>
          <w:sz w:val="30"/>
          <w:szCs w:val="30"/>
        </w:rPr>
        <w:t>供应商基本情况表</w:t>
      </w:r>
      <w:bookmarkEnd w:id="26"/>
    </w:p>
    <w:p w14:paraId="16EF2219">
      <w:pPr>
        <w:bidi w:val="0"/>
        <w:rPr>
          <w:rFonts w:hint="default" w:eastAsia="宋体"/>
          <w:u w:val="single"/>
          <w:lang w:val="en-US" w:eastAsia="zh-CN"/>
        </w:rPr>
      </w:pPr>
      <w:r>
        <w:rPr>
          <w:rFonts w:hint="eastAsia"/>
          <w:lang w:val="en-US" w:eastAsia="zh-CN"/>
        </w:rPr>
        <w:t>填表单位：</w:t>
      </w:r>
      <w:r>
        <w:rPr>
          <w:rFonts w:hint="eastAsia"/>
          <w:u w:val="single"/>
          <w:lang w:val="en-US" w:eastAsia="zh-CN"/>
        </w:rPr>
        <w:t xml:space="preserve">           </w:t>
      </w:r>
      <w:r>
        <w:rPr>
          <w:rFonts w:hint="eastAsia"/>
          <w:u w:val="none"/>
          <w:lang w:val="en-US" w:eastAsia="zh-CN"/>
        </w:rPr>
        <w:t xml:space="preserve"> （加盖单位公章）                       填表日期：      年  月  日</w:t>
      </w:r>
    </w:p>
    <w:tbl>
      <w:tblPr>
        <w:tblStyle w:val="17"/>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0E9E01A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3386" w:type="dxa"/>
            <w:gridSpan w:val="2"/>
            <w:vAlign w:val="center"/>
          </w:tcPr>
          <w:p w14:paraId="64471A8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45A0A5D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583" w:type="dxa"/>
            <w:vAlign w:val="center"/>
          </w:tcPr>
          <w:p w14:paraId="7560148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14:paraId="45EC77D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3386" w:type="dxa"/>
            <w:gridSpan w:val="2"/>
            <w:vAlign w:val="center"/>
          </w:tcPr>
          <w:p w14:paraId="1AF41A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1B42BE4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1583" w:type="dxa"/>
            <w:vAlign w:val="center"/>
          </w:tcPr>
          <w:p w14:paraId="604DACCA">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0E823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373F25C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957" w:type="dxa"/>
            <w:vAlign w:val="center"/>
          </w:tcPr>
          <w:p w14:paraId="346A53C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1429" w:type="dxa"/>
            <w:vAlign w:val="center"/>
          </w:tcPr>
          <w:p w14:paraId="7C4C48B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583" w:type="dxa"/>
            <w:vAlign w:val="center"/>
          </w:tcPr>
          <w:p w14:paraId="39702C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83" w:type="dxa"/>
            <w:vAlign w:val="center"/>
          </w:tcPr>
          <w:p w14:paraId="3CAF34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14:paraId="5B3B2D2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583" w:type="dxa"/>
            <w:vAlign w:val="center"/>
          </w:tcPr>
          <w:p w14:paraId="3629417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14:paraId="6DC40D5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14:paraId="5D405B2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57" w:type="dxa"/>
            <w:vAlign w:val="center"/>
          </w:tcPr>
          <w:p w14:paraId="2A71D68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法定代表人/单位负责人/主要经营负责人</w:t>
            </w:r>
          </w:p>
        </w:tc>
        <w:tc>
          <w:tcPr>
            <w:tcW w:w="1429" w:type="dxa"/>
            <w:vAlign w:val="center"/>
          </w:tcPr>
          <w:p w14:paraId="6E7A5BB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93FE52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83A26E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5FD7B4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598D993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57" w:type="dxa"/>
            <w:vAlign w:val="center"/>
          </w:tcPr>
          <w:p w14:paraId="7997FEF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项目投标授权代表人</w:t>
            </w:r>
          </w:p>
        </w:tc>
        <w:tc>
          <w:tcPr>
            <w:tcW w:w="1429" w:type="dxa"/>
            <w:vAlign w:val="center"/>
          </w:tcPr>
          <w:p w14:paraId="767793D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19B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2F47493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D911DD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18ED780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57" w:type="dxa"/>
            <w:vAlign w:val="center"/>
          </w:tcPr>
          <w:p w14:paraId="593D6D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1429" w:type="dxa"/>
            <w:vAlign w:val="center"/>
          </w:tcPr>
          <w:p w14:paraId="007C117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C0051F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48729E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E035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7732C98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57" w:type="dxa"/>
            <w:vAlign w:val="center"/>
          </w:tcPr>
          <w:p w14:paraId="223622D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主要技术人员</w:t>
            </w:r>
          </w:p>
        </w:tc>
        <w:tc>
          <w:tcPr>
            <w:tcW w:w="1429" w:type="dxa"/>
            <w:vAlign w:val="center"/>
          </w:tcPr>
          <w:p w14:paraId="17DEDBF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D102E7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5A708A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50CDBC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77676A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57" w:type="dxa"/>
            <w:vAlign w:val="center"/>
          </w:tcPr>
          <w:p w14:paraId="5C3EEB0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投标文件编制人员</w:t>
            </w:r>
          </w:p>
        </w:tc>
        <w:tc>
          <w:tcPr>
            <w:tcW w:w="1429" w:type="dxa"/>
            <w:vAlign w:val="center"/>
          </w:tcPr>
          <w:p w14:paraId="7C3B831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39CE7BC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B62990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BC94FC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9A32B79">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说明：同一职务有多人担任（如主要技术人员），应分行填写。</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746E5D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投标（响应）供应商关联关系情况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75341A7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386" w:type="dxa"/>
            <w:gridSpan w:val="2"/>
            <w:vAlign w:val="center"/>
          </w:tcPr>
          <w:p w14:paraId="56B9B2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关联关系类型</w:t>
            </w:r>
          </w:p>
        </w:tc>
        <w:tc>
          <w:tcPr>
            <w:tcW w:w="1583" w:type="dxa"/>
            <w:vAlign w:val="center"/>
          </w:tcPr>
          <w:p w14:paraId="46A24EF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关联主体名称</w:t>
            </w:r>
          </w:p>
        </w:tc>
        <w:tc>
          <w:tcPr>
            <w:tcW w:w="3166" w:type="dxa"/>
            <w:gridSpan w:val="2"/>
            <w:vAlign w:val="center"/>
          </w:tcPr>
          <w:p w14:paraId="5E2022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600701E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86" w:type="dxa"/>
            <w:gridSpan w:val="2"/>
            <w:vAlign w:val="center"/>
          </w:tcPr>
          <w:p w14:paraId="566EF64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控股股东</w:t>
            </w:r>
          </w:p>
        </w:tc>
        <w:tc>
          <w:tcPr>
            <w:tcW w:w="1583" w:type="dxa"/>
            <w:vAlign w:val="center"/>
          </w:tcPr>
          <w:p w14:paraId="6992A4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6B2E6F3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指出资额（或持有股份）占投标（响应）供应商资 本总额（或股本总额）50%以上的股东，以及出资额 （或持有股份）的比例虽然不足 50%，但依其出资  额（或持有股份）所享有的表决权已足以对投标（响 应）供应商股东会（或股东大会）的决议产生重要 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0304A5E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86" w:type="dxa"/>
            <w:gridSpan w:val="2"/>
            <w:vAlign w:val="center"/>
          </w:tcPr>
          <w:p w14:paraId="4A83AFC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管理关系</w:t>
            </w:r>
          </w:p>
        </w:tc>
        <w:tc>
          <w:tcPr>
            <w:tcW w:w="1583" w:type="dxa"/>
            <w:vAlign w:val="center"/>
          </w:tcPr>
          <w:p w14:paraId="50071E4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2A7418A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cs="方正仿宋_GBK" w:asciiTheme="minorEastAsia" w:hAnsiTheme="minorEastAsia" w:eastAsiaTheme="minorEastAsia"/>
                <w:szCs w:val="21"/>
              </w:rPr>
              <w:t>指对投标（响应）供应商不具有出资持股关系，但对其存在管理关系的主体。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257A4A10">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说明：同一关联关系类型有多个主体的，应分行填写。</w:t>
            </w:r>
          </w:p>
        </w:tc>
      </w:tr>
    </w:tbl>
    <w:p w14:paraId="6AA7347A">
      <w:pPr>
        <w:bidi w:val="0"/>
        <w:rPr>
          <w:rFonts w:hint="eastAsia"/>
        </w:rPr>
      </w:pPr>
    </w:p>
    <w:p w14:paraId="66A8E52C">
      <w:pPr>
        <w:rPr>
          <w:rFonts w:hint="eastAsia" w:ascii="宋体" w:hAnsi="宋体" w:eastAsia="宋体" w:cs="宋体"/>
          <w:sz w:val="30"/>
          <w:szCs w:val="30"/>
        </w:rPr>
      </w:pPr>
      <w:r>
        <w:rPr>
          <w:rFonts w:hint="eastAsia" w:ascii="宋体" w:hAnsi="宋体" w:eastAsia="宋体" w:cs="宋体"/>
          <w:sz w:val="30"/>
          <w:szCs w:val="30"/>
        </w:rPr>
        <w:br w:type="page"/>
      </w:r>
    </w:p>
    <w:p w14:paraId="76C3BE37">
      <w:pPr>
        <w:pStyle w:val="3"/>
        <w:numPr>
          <w:ilvl w:val="0"/>
          <w:numId w:val="0"/>
        </w:numPr>
        <w:spacing w:line="240" w:lineRule="auto"/>
        <w:ind w:left="420" w:leftChars="0" w:hanging="420" w:firstLineChars="0"/>
        <w:jc w:val="center"/>
        <w:outlineLvl w:val="0"/>
        <w:rPr>
          <w:rFonts w:asciiTheme="majorEastAsia" w:hAnsiTheme="majorEastAsia" w:eastAsiaTheme="majorEastAsia"/>
          <w:color w:val="auto"/>
          <w:sz w:val="30"/>
          <w:szCs w:val="30"/>
        </w:rPr>
      </w:pPr>
      <w:bookmarkStart w:id="27" w:name="_Toc30875"/>
      <w:bookmarkStart w:id="28" w:name="_Toc2074"/>
      <w:r>
        <w:rPr>
          <w:rFonts w:hint="eastAsia" w:cs="宋体" w:asciiTheme="majorEastAsia" w:hAnsiTheme="majorEastAsia" w:eastAsiaTheme="majorEastAsia"/>
          <w:color w:val="auto"/>
          <w:kern w:val="2"/>
          <w:sz w:val="30"/>
          <w:szCs w:val="30"/>
          <w:lang w:val="en-US" w:eastAsia="zh-CN" w:bidi="ar-SA"/>
        </w:rPr>
        <w:t>（八）</w:t>
      </w:r>
      <w:r>
        <w:rPr>
          <w:rFonts w:hint="eastAsia" w:asciiTheme="majorEastAsia" w:hAnsiTheme="majorEastAsia" w:eastAsiaTheme="majorEastAsia"/>
          <w:sz w:val="30"/>
          <w:szCs w:val="30"/>
        </w:rPr>
        <w:t>符合政府采</w:t>
      </w:r>
      <w:r>
        <w:rPr>
          <w:rFonts w:hint="eastAsia" w:asciiTheme="majorEastAsia" w:hAnsiTheme="majorEastAsia" w:eastAsiaTheme="majorEastAsia"/>
          <w:color w:val="auto"/>
          <w:sz w:val="30"/>
          <w:szCs w:val="30"/>
        </w:rPr>
        <w:t>购优惠政策的证明材料</w:t>
      </w:r>
      <w:bookmarkEnd w:id="27"/>
      <w:bookmarkEnd w:id="28"/>
    </w:p>
    <w:p w14:paraId="02229216">
      <w:pPr>
        <w:spacing w:line="360" w:lineRule="exact"/>
        <w:rPr>
          <w:b/>
          <w:bCs/>
          <w:color w:val="auto"/>
        </w:rPr>
      </w:pPr>
      <w:r>
        <w:rPr>
          <w:rFonts w:hint="eastAsia" w:ascii="黑体" w:hAnsi="宋体" w:eastAsia="黑体"/>
          <w:bCs/>
          <w:color w:val="auto"/>
          <w:szCs w:val="32"/>
        </w:rPr>
        <w:t>备注：该部分内容由供应商根据自身情况提供相关内容，不符合要求的供应商可以不提供。</w:t>
      </w:r>
    </w:p>
    <w:p w14:paraId="5C981CD0">
      <w:pPr>
        <w:pStyle w:val="31"/>
        <w:spacing w:before="120" w:after="120" w:line="276" w:lineRule="auto"/>
        <w:ind w:left="0" w:leftChars="0" w:firstLine="0" w:firstLineChars="0"/>
        <w:rPr>
          <w:rFonts w:hint="eastAsia"/>
          <w:b/>
          <w:color w:val="auto"/>
          <w:sz w:val="24"/>
        </w:rPr>
      </w:pPr>
    </w:p>
    <w:p w14:paraId="4B1D9CBC">
      <w:pPr>
        <w:pStyle w:val="31"/>
        <w:spacing w:before="120" w:after="120" w:line="276" w:lineRule="auto"/>
        <w:ind w:firstLine="482"/>
        <w:rPr>
          <w:rFonts w:hint="eastAsia" w:ascii="宋体" w:hAnsi="宋体" w:eastAsia="宋体" w:cs="宋体"/>
          <w:bCs/>
          <w:color w:val="auto"/>
          <w:kern w:val="0"/>
          <w:sz w:val="24"/>
          <w:szCs w:val="24"/>
          <w:highlight w:val="none"/>
        </w:rPr>
      </w:pPr>
      <w:r>
        <w:rPr>
          <w:rFonts w:hint="eastAsia"/>
          <w:b/>
          <w:color w:val="auto"/>
          <w:sz w:val="24"/>
        </w:rPr>
        <w:t>填写指引：</w:t>
      </w:r>
    </w:p>
    <w:p w14:paraId="7DBF2140">
      <w:pPr>
        <w:spacing w:after="0" w:afterLines="0" w:line="360" w:lineRule="exact"/>
        <w:ind w:right="420" w:rightChars="200" w:firstLine="420" w:firstLineChars="200"/>
        <w:outlineLvl w:val="9"/>
        <w:rPr>
          <w:rFonts w:hint="eastAsia"/>
          <w:color w:val="auto"/>
        </w:rPr>
      </w:pPr>
      <w:r>
        <w:rPr>
          <w:rFonts w:hint="eastAsia"/>
          <w:color w:val="auto"/>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5617E08">
      <w:pPr>
        <w:ind w:right="420" w:rightChars="200" w:firstLine="420" w:firstLineChars="200"/>
        <w:outlineLvl w:val="9"/>
        <w:rPr>
          <w:rFonts w:hint="eastAsia"/>
          <w:color w:val="auto"/>
        </w:rPr>
      </w:pPr>
      <w:r>
        <w:rPr>
          <w:rFonts w:hint="eastAsia"/>
          <w:color w:val="auto"/>
        </w:rPr>
        <w:t>2、该部分内容填写需要参考的相关文件：</w:t>
      </w:r>
    </w:p>
    <w:p w14:paraId="64954CAC">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(1)财政部《政府采购促进中小企业发展管理办法》（财库〔2020〕46号）；</w:t>
      </w:r>
    </w:p>
    <w:p w14:paraId="6707DBC9">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lang w:eastAsia="zh-CN"/>
        </w:rPr>
        <w:t>；</w:t>
      </w:r>
    </w:p>
    <w:p w14:paraId="694DC4B5">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(3)《统计上大中小微型企业划分办法(2017)》（国统字〔2017〕213 号）</w:t>
      </w:r>
      <w:r>
        <w:rPr>
          <w:rFonts w:hint="eastAsia" w:ascii="宋体" w:hAnsi="宋体" w:eastAsia="宋体" w:cs="宋体"/>
          <w:color w:val="auto"/>
          <w:sz w:val="21"/>
          <w:szCs w:val="21"/>
          <w:lang w:eastAsia="zh-CN"/>
        </w:rPr>
        <w:t>；</w:t>
      </w:r>
    </w:p>
    <w:p w14:paraId="2989B0D2">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(4)《关于促进残疾人就业政府采购政策的通知》（财库〔2017〕141号）</w:t>
      </w:r>
      <w:r>
        <w:rPr>
          <w:rFonts w:hint="eastAsia" w:ascii="宋体" w:hAnsi="宋体" w:eastAsia="宋体" w:cs="宋体"/>
          <w:color w:val="auto"/>
          <w:sz w:val="21"/>
          <w:szCs w:val="21"/>
          <w:lang w:eastAsia="zh-CN"/>
        </w:rPr>
        <w:t>；</w:t>
      </w:r>
    </w:p>
    <w:p w14:paraId="3C13DDC9">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(5)《关于政府采购支持监狱企业发展有关问题的通知》（财库〔2014〕68号）</w:t>
      </w:r>
      <w:r>
        <w:rPr>
          <w:rFonts w:hint="eastAsia" w:ascii="宋体" w:hAnsi="宋体" w:eastAsia="宋体" w:cs="宋体"/>
          <w:color w:val="auto"/>
          <w:sz w:val="21"/>
          <w:szCs w:val="21"/>
          <w:lang w:eastAsia="zh-CN"/>
        </w:rPr>
        <w:t>。</w:t>
      </w:r>
    </w:p>
    <w:p w14:paraId="66F6DBBB">
      <w:pPr>
        <w:spacing w:after="0" w:afterLines="0" w:line="360" w:lineRule="exact"/>
        <w:ind w:right="420" w:rightChars="200" w:firstLine="420" w:firstLineChars="200"/>
        <w:outlineLvl w:val="9"/>
        <w:rPr>
          <w:rFonts w:hint="eastAsia"/>
          <w:color w:val="auto"/>
        </w:rPr>
      </w:pPr>
      <w:r>
        <w:rPr>
          <w:rFonts w:hint="eastAsia"/>
          <w:color w:val="auto"/>
        </w:rPr>
        <w:t>3、请依照提供的格式和内容填写声明函，不要随意变更格式；满足多项优惠政策的投标人，不重复享受多项价格扣除政策。</w:t>
      </w:r>
    </w:p>
    <w:p w14:paraId="100CD60A">
      <w:pPr>
        <w:spacing w:after="0" w:afterLines="0" w:line="360" w:lineRule="exact"/>
        <w:ind w:right="420" w:rightChars="200" w:firstLine="420" w:firstLineChars="200"/>
        <w:outlineLvl w:val="9"/>
        <w:rPr>
          <w:rFonts w:hint="eastAsia"/>
          <w:color w:val="auto"/>
        </w:rPr>
      </w:pPr>
      <w:r>
        <w:rPr>
          <w:rFonts w:hint="eastAsia"/>
          <w:color w:val="auto"/>
        </w:rPr>
        <w:t>4、声明函具体填写要求：</w:t>
      </w:r>
    </w:p>
    <w:p w14:paraId="5AB7E822">
      <w:pPr>
        <w:spacing w:after="0" w:afterLines="0" w:line="360" w:lineRule="exact"/>
        <w:ind w:right="420" w:rightChars="200" w:firstLine="420" w:firstLineChars="200"/>
        <w:outlineLvl w:val="9"/>
        <w:rPr>
          <w:rFonts w:hint="eastAsia"/>
          <w:color w:val="auto"/>
        </w:rPr>
      </w:pPr>
      <w:r>
        <w:rPr>
          <w:rFonts w:hint="eastAsia"/>
          <w:color w:val="auto"/>
        </w:rPr>
        <w:t>（1）声明是中小企业须填写《中小企业声明函》的以下内容：</w:t>
      </w:r>
    </w:p>
    <w:p w14:paraId="7741FA94">
      <w:pPr>
        <w:spacing w:after="0" w:afterLines="0" w:line="360" w:lineRule="exact"/>
        <w:ind w:right="420" w:rightChars="200" w:firstLine="420" w:firstLineChars="200"/>
        <w:outlineLvl w:val="9"/>
        <w:rPr>
          <w:rFonts w:hint="eastAsia" w:eastAsiaTheme="minorEastAsia"/>
          <w:color w:val="auto"/>
          <w:lang w:eastAsia="zh-CN"/>
        </w:rPr>
      </w:pPr>
      <w:r>
        <w:rPr>
          <w:rFonts w:hint="eastAsia"/>
          <w:color w:val="auto"/>
        </w:rPr>
        <w:t>第一处，在</w:t>
      </w:r>
      <w:r>
        <w:rPr>
          <w:rFonts w:hint="eastAsia"/>
          <w:b/>
          <w:bCs/>
          <w:color w:val="auto"/>
        </w:rPr>
        <w:t>“单位名称”</w:t>
      </w:r>
      <w:r>
        <w:rPr>
          <w:rFonts w:hint="eastAsia"/>
          <w:color w:val="auto"/>
        </w:rPr>
        <w:t>下划线处如实填写</w:t>
      </w:r>
      <w:r>
        <w:rPr>
          <w:rFonts w:hint="eastAsia"/>
          <w:b/>
          <w:bCs/>
          <w:color w:val="auto"/>
        </w:rPr>
        <w:t>采购人名称</w:t>
      </w:r>
      <w:r>
        <w:rPr>
          <w:rFonts w:hint="eastAsia"/>
          <w:color w:val="auto"/>
        </w:rPr>
        <w:t>；</w:t>
      </w:r>
    </w:p>
    <w:p w14:paraId="40D70F64">
      <w:pPr>
        <w:spacing w:after="0" w:afterLines="0" w:line="360" w:lineRule="exact"/>
        <w:ind w:right="420" w:rightChars="200" w:firstLine="420" w:firstLineChars="200"/>
        <w:outlineLvl w:val="9"/>
        <w:rPr>
          <w:rFonts w:hint="eastAsia"/>
          <w:color w:val="auto"/>
        </w:rPr>
      </w:pPr>
      <w:r>
        <w:rPr>
          <w:rFonts w:hint="eastAsia"/>
          <w:color w:val="auto"/>
        </w:rPr>
        <w:t>第二处，在</w:t>
      </w:r>
      <w:r>
        <w:rPr>
          <w:rFonts w:hint="eastAsia"/>
          <w:b/>
          <w:bCs/>
          <w:color w:val="auto"/>
        </w:rPr>
        <w:t>“项目名称”</w:t>
      </w:r>
      <w:r>
        <w:rPr>
          <w:rFonts w:hint="eastAsia"/>
          <w:color w:val="auto"/>
        </w:rPr>
        <w:t>下划线处如实填写采购</w:t>
      </w:r>
      <w:r>
        <w:rPr>
          <w:rFonts w:hint="eastAsia"/>
          <w:b/>
          <w:bCs/>
          <w:color w:val="auto"/>
        </w:rPr>
        <w:t>项目名称（项目名称可在</w:t>
      </w:r>
      <w:r>
        <w:rPr>
          <w:rFonts w:hint="eastAsia"/>
          <w:b/>
          <w:bCs/>
          <w:color w:val="auto"/>
          <w:lang w:eastAsia="zh-CN"/>
        </w:rPr>
        <w:t>征集</w:t>
      </w:r>
      <w:r>
        <w:rPr>
          <w:rFonts w:hint="eastAsia"/>
          <w:b/>
          <w:bCs/>
          <w:color w:val="auto"/>
        </w:rPr>
        <w:t>公告处查看）</w:t>
      </w:r>
      <w:r>
        <w:rPr>
          <w:rFonts w:hint="eastAsia"/>
          <w:color w:val="auto"/>
        </w:rPr>
        <w:t>；</w:t>
      </w:r>
    </w:p>
    <w:p w14:paraId="65BD23A0">
      <w:pPr>
        <w:spacing w:after="0" w:afterLines="0" w:line="360" w:lineRule="exact"/>
        <w:ind w:right="420" w:rightChars="200" w:firstLine="420" w:firstLineChars="200"/>
        <w:outlineLvl w:val="9"/>
        <w:rPr>
          <w:rFonts w:hint="eastAsia"/>
          <w:color w:val="auto"/>
        </w:rPr>
      </w:pPr>
      <w:r>
        <w:rPr>
          <w:rFonts w:hint="eastAsia"/>
          <w:color w:val="auto"/>
        </w:rPr>
        <w:t>第三处，在</w:t>
      </w:r>
      <w:r>
        <w:rPr>
          <w:rFonts w:hint="eastAsia"/>
          <w:b/>
          <w:bCs/>
          <w:color w:val="auto"/>
        </w:rPr>
        <w:t>“标的名称”</w:t>
      </w:r>
      <w:r>
        <w:rPr>
          <w:rFonts w:hint="eastAsia"/>
          <w:color w:val="auto"/>
        </w:rPr>
        <w:t>下划线处填写所采购</w:t>
      </w:r>
      <w:r>
        <w:rPr>
          <w:rFonts w:hint="eastAsia"/>
          <w:color w:val="auto"/>
          <w:lang w:val="en-US" w:eastAsia="zh-CN"/>
        </w:rPr>
        <w:t>货物</w:t>
      </w:r>
      <w:r>
        <w:rPr>
          <w:rFonts w:hint="eastAsia"/>
          <w:color w:val="auto"/>
        </w:rPr>
        <w:t>（标的）的具体名称（</w:t>
      </w:r>
      <w:r>
        <w:rPr>
          <w:rFonts w:hint="eastAsia"/>
          <w:b/>
          <w:bCs/>
          <w:color w:val="auto"/>
        </w:rPr>
        <w:t>以</w:t>
      </w:r>
      <w:bookmarkStart w:id="29" w:name="_Hlk72259001"/>
      <w:r>
        <w:rPr>
          <w:rFonts w:hint="eastAsia"/>
          <w:b/>
          <w:bCs/>
          <w:color w:val="auto"/>
          <w:lang w:eastAsia="zh-CN"/>
        </w:rPr>
        <w:t>征集</w:t>
      </w:r>
      <w:r>
        <w:rPr>
          <w:rFonts w:hint="eastAsia"/>
          <w:b/>
          <w:bCs/>
          <w:color w:val="auto"/>
        </w:rPr>
        <w:t>文件</w:t>
      </w:r>
      <w:bookmarkEnd w:id="29"/>
      <w:r>
        <w:rPr>
          <w:rFonts w:hint="eastAsia"/>
          <w:b/>
          <w:bCs/>
          <w:color w:val="auto"/>
          <w:lang w:val="en-US" w:eastAsia="zh-CN"/>
        </w:rPr>
        <w:t>中</w:t>
      </w:r>
      <w:r>
        <w:rPr>
          <w:rFonts w:hint="eastAsia" w:ascii="Times New Roman" w:hAnsi="Times New Roman" w:eastAsia="宋体" w:cs="Times New Roman"/>
          <w:b/>
          <w:bCs/>
          <w:color w:val="auto"/>
        </w:rPr>
        <w:t>的“货物名称”一栏为准</w:t>
      </w:r>
      <w:r>
        <w:rPr>
          <w:rFonts w:hint="eastAsia" w:ascii="Times New Roman" w:hAnsi="Times New Roman" w:eastAsia="宋体" w:cs="Times New Roman"/>
          <w:color w:val="auto"/>
        </w:rPr>
        <w:t>）</w:t>
      </w:r>
      <w:r>
        <w:rPr>
          <w:rFonts w:hint="eastAsia"/>
          <w:color w:val="auto"/>
        </w:rPr>
        <w:t>；如果涉及多</w:t>
      </w:r>
      <w:r>
        <w:rPr>
          <w:rFonts w:hint="eastAsia"/>
          <w:color w:val="auto"/>
          <w:lang w:val="en-US" w:eastAsia="zh-CN"/>
        </w:rPr>
        <w:t>项货物</w:t>
      </w:r>
      <w:r>
        <w:rPr>
          <w:rFonts w:hint="eastAsia"/>
          <w:color w:val="auto"/>
        </w:rPr>
        <w:t>（标的）由同一企业制造，“标的名称”下划线处可以如实填写多</w:t>
      </w:r>
      <w:r>
        <w:rPr>
          <w:rFonts w:hint="eastAsia"/>
          <w:color w:val="auto"/>
          <w:lang w:val="en-US" w:eastAsia="zh-CN"/>
        </w:rPr>
        <w:t>项货物</w:t>
      </w:r>
      <w:r>
        <w:rPr>
          <w:rFonts w:hint="eastAsia"/>
          <w:color w:val="auto"/>
        </w:rPr>
        <w:t>；</w:t>
      </w:r>
    </w:p>
    <w:p w14:paraId="10F85C46">
      <w:pPr>
        <w:spacing w:after="0" w:afterLines="0" w:line="360" w:lineRule="exact"/>
        <w:ind w:right="420" w:rightChars="200" w:firstLine="420" w:firstLineChars="200"/>
        <w:outlineLvl w:val="9"/>
        <w:rPr>
          <w:rFonts w:hint="eastAsia"/>
          <w:color w:val="auto"/>
        </w:rPr>
      </w:pPr>
      <w:r>
        <w:rPr>
          <w:rFonts w:hint="eastAsia"/>
          <w:color w:val="auto"/>
        </w:rPr>
        <w:t>第四处，在</w:t>
      </w:r>
      <w:r>
        <w:rPr>
          <w:rFonts w:hint="eastAsia"/>
          <w:b/>
          <w:bCs/>
          <w:color w:val="auto"/>
        </w:rPr>
        <w:t>“</w:t>
      </w:r>
      <w:r>
        <w:rPr>
          <w:rFonts w:hint="eastAsia"/>
          <w:b/>
          <w:bCs/>
          <w:color w:val="auto"/>
          <w:lang w:eastAsia="zh-CN"/>
        </w:rPr>
        <w:t>征集</w:t>
      </w:r>
      <w:r>
        <w:rPr>
          <w:rFonts w:hint="eastAsia"/>
          <w:b/>
          <w:bCs/>
          <w:color w:val="auto"/>
        </w:rPr>
        <w:t>文件中明确的所属行业”</w:t>
      </w:r>
      <w:r>
        <w:rPr>
          <w:rFonts w:hint="eastAsia"/>
          <w:color w:val="auto"/>
        </w:rPr>
        <w:t>下划线处填写采购标的对应的中小企业划分标准所属行业（</w:t>
      </w:r>
      <w:r>
        <w:rPr>
          <w:rFonts w:hint="eastAsia"/>
          <w:b/>
          <w:bCs/>
          <w:color w:val="auto"/>
        </w:rPr>
        <w:t>所属行业可在</w:t>
      </w:r>
      <w:r>
        <w:rPr>
          <w:rFonts w:hint="eastAsia"/>
          <w:b/>
          <w:bCs/>
          <w:color w:val="auto"/>
          <w:lang w:eastAsia="zh-CN"/>
        </w:rPr>
        <w:t>征集</w:t>
      </w:r>
      <w:r>
        <w:rPr>
          <w:rFonts w:hint="eastAsia"/>
          <w:b/>
          <w:bCs/>
          <w:color w:val="auto"/>
        </w:rPr>
        <w:t>文件</w:t>
      </w:r>
      <w:r>
        <w:rPr>
          <w:rFonts w:hint="eastAsia"/>
          <w:b/>
          <w:bCs/>
          <w:color w:val="auto"/>
          <w:lang w:val="en-US" w:eastAsia="zh-CN"/>
        </w:rPr>
        <w:t>中</w:t>
      </w:r>
      <w:r>
        <w:rPr>
          <w:rFonts w:hint="eastAsia"/>
          <w:b/>
          <w:bCs/>
          <w:color w:val="auto"/>
        </w:rPr>
        <w:t>查看</w:t>
      </w:r>
      <w:r>
        <w:rPr>
          <w:rFonts w:hint="eastAsia"/>
          <w:color w:val="auto"/>
        </w:rPr>
        <w:t>）；</w:t>
      </w:r>
    </w:p>
    <w:p w14:paraId="117EB2AF">
      <w:pPr>
        <w:spacing w:after="0" w:afterLines="0" w:line="360" w:lineRule="exact"/>
        <w:ind w:right="420" w:rightChars="200" w:firstLine="420" w:firstLineChars="200"/>
        <w:outlineLvl w:val="9"/>
        <w:rPr>
          <w:rFonts w:hint="eastAsia"/>
          <w:color w:val="auto"/>
        </w:rPr>
      </w:pPr>
      <w:r>
        <w:rPr>
          <w:rFonts w:hint="eastAsia"/>
          <w:color w:val="auto"/>
        </w:rPr>
        <w:t>第五处，在</w:t>
      </w:r>
      <w:r>
        <w:rPr>
          <w:rFonts w:hint="eastAsia"/>
          <w:b/>
          <w:bCs/>
          <w:color w:val="auto"/>
        </w:rPr>
        <w:t>“企业名称”</w:t>
      </w:r>
      <w:r>
        <w:rPr>
          <w:rFonts w:hint="eastAsia"/>
          <w:color w:val="auto"/>
        </w:rPr>
        <w:t>下划线处如实填写</w:t>
      </w:r>
      <w:r>
        <w:rPr>
          <w:rFonts w:hint="eastAsia" w:ascii="Times New Roman" w:hAnsi="Times New Roman" w:eastAsia="宋体" w:cs="Times New Roman"/>
          <w:b/>
          <w:bCs/>
          <w:color w:val="auto"/>
          <w:kern w:val="2"/>
          <w:szCs w:val="22"/>
        </w:rPr>
        <w:t>制造商</w:t>
      </w:r>
      <w:r>
        <w:rPr>
          <w:rFonts w:hint="eastAsia"/>
          <w:b/>
          <w:bCs/>
          <w:color w:val="auto"/>
        </w:rPr>
        <w:t>名称</w:t>
      </w:r>
      <w:r>
        <w:rPr>
          <w:rFonts w:hint="eastAsia"/>
          <w:color w:val="auto"/>
        </w:rPr>
        <w:t>；在“从业人员”、“营业收入”、“资产总额”下划线处如实填写从业人员、营业收入、资产总额；在“中型企业、小型企业、微型企业”下划线处如实依照300号文填写相应的企业类型；</w:t>
      </w:r>
      <w:r>
        <w:rPr>
          <w:rFonts w:hint="eastAsia"/>
          <w:b/>
          <w:bCs/>
          <w:color w:val="auto"/>
        </w:rPr>
        <w:t>从业人员、营业收入、资产总额填报上一年度数据，无上一年度数据的新成立企业可以不填报。</w:t>
      </w:r>
      <w:r>
        <w:rPr>
          <w:rFonts w:hint="eastAsia" w:ascii="宋体" w:hAnsi="宋体" w:eastAsia="宋体" w:cs="宋体"/>
          <w:b/>
          <w:bCs/>
          <w:color w:val="auto"/>
          <w:sz w:val="21"/>
          <w:szCs w:val="21"/>
        </w:rPr>
        <w:t>《中小企业声明函》中制造商所属行业应当与</w:t>
      </w:r>
      <w:r>
        <w:rPr>
          <w:rFonts w:hint="eastAsia" w:ascii="宋体" w:hAnsi="宋体" w:eastAsia="宋体" w:cs="宋体"/>
          <w:b/>
          <w:bCs/>
          <w:color w:val="auto"/>
          <w:sz w:val="21"/>
          <w:szCs w:val="21"/>
          <w:lang w:eastAsia="zh-CN"/>
        </w:rPr>
        <w:t>征集</w:t>
      </w:r>
      <w:r>
        <w:rPr>
          <w:rFonts w:hint="eastAsia" w:ascii="宋体" w:hAnsi="宋体" w:eastAsia="宋体" w:cs="宋体"/>
          <w:b/>
          <w:bCs/>
          <w:color w:val="auto"/>
          <w:sz w:val="21"/>
          <w:szCs w:val="21"/>
        </w:rPr>
        <w:t>文件要求的行业相一致，</w:t>
      </w:r>
      <w:r>
        <w:rPr>
          <w:rFonts w:hint="eastAsia" w:ascii="宋体" w:hAnsi="宋体" w:eastAsia="宋体" w:cs="宋体"/>
          <w:color w:val="auto"/>
          <w:sz w:val="21"/>
          <w:szCs w:val="21"/>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53E128D">
      <w:pPr>
        <w:spacing w:after="0" w:afterLines="0" w:line="360" w:lineRule="exact"/>
        <w:ind w:right="420" w:rightChars="200" w:firstLine="420" w:firstLineChars="200"/>
        <w:outlineLvl w:val="9"/>
        <w:rPr>
          <w:rFonts w:hint="eastAsia"/>
          <w:color w:val="auto"/>
        </w:rPr>
      </w:pPr>
      <w:r>
        <w:rPr>
          <w:rFonts w:hint="eastAsia"/>
          <w:color w:val="auto"/>
        </w:rPr>
        <w:t>（2）声明是残疾人福利性单位须填写《残疾人福利性单位声明函》的相关内容（填写位置的字体已加粗），具体参照以上《中小企业声明函》填写要求执行。</w:t>
      </w:r>
    </w:p>
    <w:p w14:paraId="772E21B9">
      <w:pPr>
        <w:spacing w:after="0" w:afterLines="0" w:line="360" w:lineRule="exact"/>
        <w:ind w:right="420" w:rightChars="200" w:firstLine="420" w:firstLineChars="200"/>
        <w:outlineLvl w:val="9"/>
        <w:rPr>
          <w:rFonts w:hint="eastAsia"/>
          <w:color w:val="auto"/>
        </w:rPr>
      </w:pPr>
      <w:r>
        <w:rPr>
          <w:rFonts w:hint="eastAsia"/>
          <w:color w:val="auto"/>
        </w:rPr>
        <w:t>（3）声明是监狱企业须填写《监狱企业声明函》的相关内容（填写位置的字体已加粗），具体参照以上《中小企业声明函》填写要求执行。</w:t>
      </w:r>
    </w:p>
    <w:p w14:paraId="34F8C19F">
      <w:pPr>
        <w:snapToGrid/>
        <w:spacing w:after="0" w:afterLines="0" w:line="360" w:lineRule="exact"/>
        <w:ind w:right="420" w:rightChars="200" w:firstLine="420" w:firstLineChars="200"/>
        <w:rPr>
          <w:rFonts w:ascii="宋体" w:hAnsi="宋体"/>
          <w:color w:val="auto"/>
          <w:szCs w:val="21"/>
        </w:rPr>
      </w:pPr>
      <w:r>
        <w:rPr>
          <w:rFonts w:hint="eastAsia"/>
          <w:color w:val="auto"/>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w:t>
      </w:r>
      <w:r>
        <w:rPr>
          <w:rFonts w:hint="eastAsia"/>
          <w:color w:val="auto"/>
          <w:lang w:eastAsia="zh-CN"/>
        </w:rPr>
        <w:t>评标委员会</w:t>
      </w:r>
      <w:r>
        <w:rPr>
          <w:rFonts w:hint="eastAsia"/>
          <w:color w:val="auto"/>
        </w:rPr>
        <w:t>判定，如</w:t>
      </w:r>
      <w:r>
        <w:rPr>
          <w:rFonts w:hint="eastAsia"/>
          <w:color w:val="auto"/>
          <w:lang w:eastAsia="zh-CN"/>
        </w:rPr>
        <w:t>评标委员会</w:t>
      </w:r>
      <w:r>
        <w:rPr>
          <w:rFonts w:hint="eastAsia"/>
          <w:color w:val="auto"/>
        </w:rPr>
        <w:t>判定声明函无效，相关供应商不享受价格扣除（但不作投标无效处理）。</w:t>
      </w:r>
    </w:p>
    <w:p w14:paraId="04C31D22">
      <w:pPr>
        <w:pStyle w:val="5"/>
        <w:rPr>
          <w:color w:val="auto"/>
        </w:rPr>
      </w:pPr>
    </w:p>
    <w:p w14:paraId="04F8DE87">
      <w:pPr>
        <w:spacing w:after="60"/>
        <w:jc w:val="center"/>
        <w:outlineLvl w:val="1"/>
        <w:rPr>
          <w:b/>
          <w:color w:val="auto"/>
        </w:rPr>
      </w:pPr>
      <w:r>
        <w:rPr>
          <w:rFonts w:hint="eastAsia"/>
          <w:b/>
          <w:color w:val="auto"/>
        </w:rPr>
        <w:t>1、中小企业声明函</w:t>
      </w:r>
    </w:p>
    <w:p w14:paraId="260C3881">
      <w:pPr>
        <w:pStyle w:val="5"/>
        <w:spacing w:line="302" w:lineRule="auto"/>
        <w:ind w:right="-51" w:firstLine="412"/>
        <w:outlineLvl w:val="9"/>
        <w:rPr>
          <w:rFonts w:asciiTheme="minorEastAsia" w:hAnsiTheme="minorEastAsia"/>
          <w:color w:val="auto"/>
          <w:szCs w:val="21"/>
        </w:rPr>
      </w:pPr>
      <w:r>
        <w:rPr>
          <w:rFonts w:asciiTheme="minorEastAsia" w:hAnsiTheme="minorEastAsia"/>
          <w:color w:val="auto"/>
          <w:szCs w:val="21"/>
        </w:rPr>
        <w:t>本公司（联合体）郑重声明，根据《政府采购促进中小企业发展管理办法》（财库</w:t>
      </w:r>
      <w:r>
        <w:rPr>
          <w:rFonts w:hint="eastAsia" w:asciiTheme="minorEastAsia" w:hAnsiTheme="minorEastAsia"/>
          <w:color w:val="auto"/>
          <w:szCs w:val="21"/>
        </w:rPr>
        <w:t>﹝</w:t>
      </w:r>
      <w:r>
        <w:rPr>
          <w:rFonts w:asciiTheme="minorEastAsia" w:hAnsiTheme="minorEastAsia"/>
          <w:color w:val="auto"/>
          <w:szCs w:val="21"/>
        </w:rPr>
        <w:t>2020</w:t>
      </w:r>
      <w:r>
        <w:rPr>
          <w:rFonts w:hint="eastAsia" w:asciiTheme="minorEastAsia" w:hAnsiTheme="minorEastAsia"/>
          <w:color w:val="auto"/>
          <w:szCs w:val="21"/>
        </w:rPr>
        <w:t>﹞</w:t>
      </w:r>
      <w:r>
        <w:rPr>
          <w:rFonts w:asciiTheme="minorEastAsia" w:hAnsiTheme="minorEastAsia"/>
          <w:color w:val="auto"/>
          <w:szCs w:val="21"/>
        </w:rPr>
        <w:t>46 号）的规定，本公司（联合体）参加</w:t>
      </w:r>
      <w:r>
        <w:rPr>
          <w:rFonts w:asciiTheme="minorEastAsia" w:hAnsiTheme="minorEastAsia"/>
          <w:color w:val="auto"/>
          <w:szCs w:val="21"/>
          <w:u w:val="single"/>
        </w:rPr>
        <w:t>（单位名称）</w:t>
      </w:r>
      <w:r>
        <w:rPr>
          <w:rFonts w:asciiTheme="minorEastAsia" w:hAnsiTheme="minorEastAsia"/>
          <w:color w:val="auto"/>
          <w:szCs w:val="21"/>
        </w:rPr>
        <w:t>的</w:t>
      </w:r>
      <w:r>
        <w:rPr>
          <w:rFonts w:asciiTheme="minorEastAsia" w:hAnsiTheme="minorEastAsia"/>
          <w:color w:val="auto"/>
          <w:szCs w:val="21"/>
          <w:u w:val="single"/>
        </w:rPr>
        <w:t>（项目名称）</w:t>
      </w:r>
      <w:r>
        <w:rPr>
          <w:rFonts w:asciiTheme="minorEastAsia" w:hAnsiTheme="minorEastAsia"/>
          <w:color w:val="auto"/>
          <w:szCs w:val="21"/>
        </w:rPr>
        <w:t>采购活动，</w:t>
      </w:r>
      <w:r>
        <w:rPr>
          <w:rFonts w:hint="eastAsia" w:asciiTheme="minorEastAsia" w:hAnsiTheme="minorEastAsia"/>
          <w:color w:val="auto"/>
          <w:szCs w:val="21"/>
        </w:rPr>
        <w:t>提供的货物全部由符合政策要求的中小企业制造</w:t>
      </w:r>
      <w:r>
        <w:rPr>
          <w:rFonts w:asciiTheme="minorEastAsia" w:hAnsiTheme="minorEastAsia"/>
          <w:color w:val="auto"/>
          <w:szCs w:val="21"/>
        </w:rPr>
        <w:t>。相关企业（含联合体中的中小企业、签订分包意向协议的中小企业）的具体情况如下：</w:t>
      </w:r>
    </w:p>
    <w:p w14:paraId="2D1BF500">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1.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55E4E598">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2.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21CE4560">
      <w:pPr>
        <w:pStyle w:val="5"/>
        <w:spacing w:before="11"/>
        <w:ind w:right="-51" w:firstLine="424" w:firstLineChars="202"/>
        <w:outlineLvl w:val="9"/>
        <w:rPr>
          <w:rFonts w:asciiTheme="minorEastAsia" w:hAnsiTheme="minorEastAsia"/>
          <w:color w:val="auto"/>
          <w:szCs w:val="21"/>
        </w:rPr>
      </w:pPr>
      <w:r>
        <w:rPr>
          <w:rFonts w:asciiTheme="minorEastAsia" w:hAnsiTheme="minorEastAsia"/>
          <w:color w:val="auto"/>
          <w:szCs w:val="21"/>
        </w:rPr>
        <w:t>……</w:t>
      </w:r>
    </w:p>
    <w:p w14:paraId="0BA2A6F9">
      <w:pPr>
        <w:pStyle w:val="5"/>
        <w:spacing w:before="108" w:line="304" w:lineRule="auto"/>
        <w:ind w:right="-51" w:firstLine="408"/>
        <w:outlineLvl w:val="9"/>
        <w:rPr>
          <w:rFonts w:asciiTheme="minorEastAsia" w:hAnsiTheme="minorEastAsia"/>
          <w:color w:val="auto"/>
          <w:szCs w:val="21"/>
        </w:rPr>
      </w:pPr>
      <w:r>
        <w:rPr>
          <w:rFonts w:asciiTheme="minorEastAsia" w:hAnsiTheme="minorEastAsia"/>
          <w:color w:val="auto"/>
          <w:szCs w:val="21"/>
        </w:rPr>
        <w:t>以上企业，不属于大企业的分支机构，不存在控股股东为大企业的情形，也不存在与大企业的负责人为同一人的情形。</w:t>
      </w:r>
    </w:p>
    <w:p w14:paraId="3BE2077A">
      <w:pPr>
        <w:spacing w:line="360" w:lineRule="exact"/>
        <w:ind w:right="-51" w:firstLine="420" w:firstLineChars="200"/>
        <w:outlineLvl w:val="9"/>
        <w:rPr>
          <w:rFonts w:asciiTheme="minorEastAsia" w:hAnsiTheme="minorEastAsia"/>
          <w:color w:val="auto"/>
          <w:szCs w:val="21"/>
        </w:rPr>
      </w:pPr>
      <w:r>
        <w:rPr>
          <w:rFonts w:asciiTheme="minorEastAsia" w:hAnsiTheme="minorEastAsia"/>
          <w:color w:val="auto"/>
          <w:szCs w:val="21"/>
        </w:rPr>
        <w:t>本企业对上述声明内容的真实性负责。如有虚假，将依法承担相应责任</w:t>
      </w:r>
      <w:r>
        <w:rPr>
          <w:rFonts w:hint="eastAsia" w:asciiTheme="minorEastAsia" w:hAnsiTheme="minorEastAsia"/>
          <w:color w:val="auto"/>
          <w:szCs w:val="21"/>
        </w:rPr>
        <w:t>。</w:t>
      </w:r>
    </w:p>
    <w:p w14:paraId="7A5FADDD">
      <w:pPr>
        <w:spacing w:line="360" w:lineRule="exact"/>
        <w:ind w:right="-51" w:firstLine="420" w:firstLineChars="200"/>
        <w:outlineLvl w:val="9"/>
        <w:rPr>
          <w:rFonts w:asciiTheme="minorEastAsia" w:hAnsiTheme="minorEastAsia"/>
          <w:color w:val="auto"/>
          <w:szCs w:val="21"/>
        </w:rPr>
      </w:pPr>
      <w:r>
        <w:rPr>
          <w:rFonts w:hint="eastAsia" w:asciiTheme="minorEastAsia" w:hAnsiTheme="minorEastAsia"/>
          <w:color w:val="auto"/>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5A4D99C7">
      <w:pPr>
        <w:spacing w:line="360" w:lineRule="exact"/>
        <w:ind w:firstLine="420" w:firstLineChars="200"/>
        <w:outlineLvl w:val="9"/>
        <w:rPr>
          <w:rFonts w:asciiTheme="minorEastAsia" w:hAnsiTheme="minorEastAsia"/>
          <w:color w:val="auto"/>
          <w:szCs w:val="21"/>
        </w:rPr>
      </w:pPr>
    </w:p>
    <w:p w14:paraId="16CC9DE2">
      <w:pPr>
        <w:spacing w:line="360" w:lineRule="exact"/>
        <w:jc w:val="right"/>
        <w:outlineLvl w:val="9"/>
        <w:rPr>
          <w:color w:val="auto"/>
        </w:rPr>
      </w:pPr>
      <w:r>
        <w:rPr>
          <w:rFonts w:hint="eastAsia"/>
          <w:color w:val="auto"/>
          <w:szCs w:val="21"/>
        </w:rPr>
        <w:t xml:space="preserve">                             投标人：</w:t>
      </w:r>
    </w:p>
    <w:p w14:paraId="79996728">
      <w:pPr>
        <w:spacing w:line="360" w:lineRule="exact"/>
        <w:jc w:val="right"/>
        <w:outlineLvl w:val="9"/>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FC5DFF0">
      <w:pPr>
        <w:spacing w:line="360" w:lineRule="exact"/>
        <w:ind w:firstLine="420" w:firstLineChars="200"/>
        <w:outlineLvl w:val="9"/>
        <w:rPr>
          <w:rFonts w:ascii="宋体" w:hAnsi="宋体"/>
          <w:color w:val="auto"/>
          <w:szCs w:val="21"/>
        </w:rPr>
      </w:pPr>
      <w:r>
        <w:rPr>
          <w:rFonts w:hint="eastAsia" w:ascii="宋体" w:hAnsi="宋体"/>
          <w:color w:val="auto"/>
          <w:szCs w:val="21"/>
        </w:rPr>
        <w:t>备注：</w:t>
      </w:r>
    </w:p>
    <w:p w14:paraId="27AD37D7">
      <w:pPr>
        <w:spacing w:line="360" w:lineRule="exact"/>
        <w:ind w:firstLine="420" w:firstLineChars="200"/>
        <w:outlineLvl w:val="9"/>
        <w:rPr>
          <w:rFonts w:ascii="宋体" w:hAnsi="宋体"/>
          <w:color w:val="auto"/>
          <w:szCs w:val="21"/>
        </w:rPr>
      </w:pPr>
      <w:r>
        <w:rPr>
          <w:rFonts w:hint="eastAsia" w:ascii="宋体" w:hAnsi="宋体"/>
          <w:color w:val="auto"/>
          <w:szCs w:val="21"/>
        </w:rPr>
        <w:t>1、填写前请认真阅读《工业和信息化部、国家统计局、国家发展和改革委员会、财政部关于印发中小企业划型标准规定的通知》</w:t>
      </w:r>
      <w:r>
        <w:rPr>
          <w:rFonts w:ascii="宋体" w:hAnsi="宋体"/>
          <w:color w:val="auto"/>
          <w:szCs w:val="21"/>
        </w:rPr>
        <w:t>(</w:t>
      </w:r>
      <w:r>
        <w:rPr>
          <w:rFonts w:hint="eastAsia" w:ascii="宋体" w:hAnsi="宋体"/>
          <w:color w:val="auto"/>
          <w:szCs w:val="21"/>
        </w:rPr>
        <w:t>工信部联企业〔</w:t>
      </w:r>
      <w:r>
        <w:rPr>
          <w:rFonts w:ascii="宋体" w:hAnsi="宋体"/>
          <w:color w:val="auto"/>
          <w:szCs w:val="21"/>
        </w:rPr>
        <w:t>2011</w:t>
      </w:r>
      <w:r>
        <w:rPr>
          <w:rFonts w:hint="eastAsia" w:ascii="宋体" w:hAnsi="宋体"/>
          <w:color w:val="auto"/>
          <w:szCs w:val="21"/>
        </w:rPr>
        <w:t>〕</w:t>
      </w:r>
      <w:r>
        <w:rPr>
          <w:rFonts w:ascii="宋体" w:hAnsi="宋体"/>
          <w:color w:val="auto"/>
          <w:szCs w:val="21"/>
        </w:rPr>
        <w:t>300</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和《财政部 工业和信息化部关于印发《政府采购促进中小企业发展管理办法》的通知》</w:t>
      </w:r>
      <w:r>
        <w:rPr>
          <w:rFonts w:ascii="宋体" w:hAnsi="宋体"/>
          <w:color w:val="auto"/>
          <w:szCs w:val="21"/>
        </w:rPr>
        <w:t>(</w:t>
      </w:r>
      <w:r>
        <w:rPr>
          <w:rFonts w:hint="eastAsia" w:ascii="宋体" w:hAnsi="宋体"/>
          <w:color w:val="auto"/>
          <w:szCs w:val="21"/>
        </w:rPr>
        <w:t>财库〔2020〕46号</w:t>
      </w:r>
      <w:r>
        <w:rPr>
          <w:rFonts w:ascii="宋体" w:hAnsi="宋体"/>
          <w:color w:val="auto"/>
          <w:szCs w:val="21"/>
        </w:rPr>
        <w:t>)</w:t>
      </w:r>
      <w:r>
        <w:rPr>
          <w:rFonts w:hint="eastAsia" w:ascii="宋体" w:hAnsi="宋体"/>
          <w:color w:val="auto"/>
          <w:szCs w:val="21"/>
        </w:rPr>
        <w:t>相关规定。如不符合前述相关规定所确定的</w:t>
      </w:r>
      <w:r>
        <w:rPr>
          <w:rFonts w:hint="eastAsia" w:ascii="宋体" w:hAnsi="宋体"/>
          <w:b/>
          <w:color w:val="auto"/>
          <w:szCs w:val="21"/>
        </w:rPr>
        <w:t>小型和微型企业</w:t>
      </w:r>
      <w:r>
        <w:rPr>
          <w:rFonts w:hint="eastAsia" w:ascii="宋体" w:hAnsi="宋体"/>
          <w:color w:val="auto"/>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14:paraId="185F43C9">
      <w:pPr>
        <w:spacing w:line="360" w:lineRule="exact"/>
        <w:ind w:firstLine="420" w:firstLineChars="200"/>
        <w:outlineLvl w:val="9"/>
        <w:rPr>
          <w:rFonts w:ascii="宋体" w:hAnsi="宋体"/>
          <w:color w:val="auto"/>
          <w:szCs w:val="21"/>
        </w:rPr>
      </w:pPr>
      <w:r>
        <w:rPr>
          <w:rFonts w:hint="eastAsia" w:ascii="宋体" w:hAnsi="宋体"/>
          <w:color w:val="auto"/>
          <w:szCs w:val="21"/>
        </w:rPr>
        <w:t>2、从业人员、营业收入、资产总额填报上一年度数据，无上一年度数据的新成立企业可不填报。</w:t>
      </w:r>
    </w:p>
    <w:p w14:paraId="57A7B0AD">
      <w:pPr>
        <w:spacing w:line="360" w:lineRule="exact"/>
        <w:ind w:firstLine="420" w:firstLineChars="200"/>
        <w:outlineLvl w:val="9"/>
        <w:rPr>
          <w:rFonts w:ascii="宋体" w:hAnsi="宋体"/>
          <w:color w:val="auto"/>
          <w:szCs w:val="21"/>
        </w:rPr>
      </w:pPr>
      <w:r>
        <w:rPr>
          <w:rFonts w:hint="eastAsia" w:ascii="宋体" w:hAnsi="宋体"/>
          <w:color w:val="auto"/>
          <w:szCs w:val="21"/>
        </w:rPr>
        <w:t>3、供应商提供的货物既有中小企业制造货物，也有大型企业制造货物的，不享受中小企业扶持政策。</w:t>
      </w:r>
    </w:p>
    <w:p w14:paraId="5CFDC2F7">
      <w:pPr>
        <w:spacing w:after="60" w:line="360" w:lineRule="exact"/>
        <w:jc w:val="center"/>
        <w:outlineLvl w:val="1"/>
        <w:rPr>
          <w:b/>
          <w:color w:val="auto"/>
        </w:rPr>
      </w:pPr>
      <w:r>
        <w:rPr>
          <w:rFonts w:hint="eastAsia"/>
          <w:b/>
          <w:color w:val="auto"/>
        </w:rPr>
        <w:t>2、监狱企业声明函</w:t>
      </w:r>
    </w:p>
    <w:p w14:paraId="5BCD263D">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本单位郑重声明，根据《关于政府采购支持监狱企业发展有关问题的通知》（财库〔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号）的规定，本单位为符合条件的监狱企业。</w:t>
      </w:r>
    </w:p>
    <w:p w14:paraId="06AEB3D5">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4CB4EBE4">
      <w:pPr>
        <w:spacing w:line="360" w:lineRule="exact"/>
        <w:outlineLvl w:val="9"/>
        <w:rPr>
          <w:color w:val="auto"/>
        </w:rPr>
      </w:pPr>
      <w:r>
        <w:rPr>
          <w:rFonts w:hint="eastAsia"/>
          <w:color w:val="auto"/>
          <w:szCs w:val="21"/>
        </w:rPr>
        <w:t>投标人：</w:t>
      </w:r>
    </w:p>
    <w:p w14:paraId="50AE583F">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D009A09">
      <w:pPr>
        <w:spacing w:line="360" w:lineRule="exact"/>
        <w:outlineLvl w:val="9"/>
        <w:rPr>
          <w:rFonts w:ascii="宋体"/>
          <w:b/>
          <w:color w:val="auto"/>
          <w:szCs w:val="21"/>
        </w:rPr>
      </w:pPr>
      <w:r>
        <w:rPr>
          <w:rFonts w:hint="eastAsia" w:ascii="宋体" w:hAnsi="宋体"/>
          <w:color w:val="auto"/>
          <w:szCs w:val="21"/>
        </w:rPr>
        <w:t xml:space="preserve">                                    </w:t>
      </w:r>
    </w:p>
    <w:p w14:paraId="674A5FF5">
      <w:pPr>
        <w:spacing w:after="60" w:line="360" w:lineRule="exact"/>
        <w:ind w:firstLine="422" w:firstLineChars="200"/>
        <w:outlineLvl w:val="9"/>
        <w:rPr>
          <w:rFonts w:ascii="宋体" w:hAnsi="宋体"/>
          <w:b/>
          <w:color w:val="auto"/>
          <w:szCs w:val="21"/>
        </w:rPr>
      </w:pPr>
      <w:r>
        <w:rPr>
          <w:rFonts w:hint="eastAsia" w:ascii="宋体" w:hAnsi="宋体"/>
          <w:b/>
          <w:color w:val="auto"/>
          <w:szCs w:val="21"/>
        </w:rPr>
        <w:t>附：省级以上监狱管理局、戒毒管理局（含新疆生产建设兵团）出具的监狱企业证明文件。</w:t>
      </w:r>
    </w:p>
    <w:p w14:paraId="3703EB32">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1353735">
      <w:pPr>
        <w:spacing w:after="60" w:line="360" w:lineRule="exact"/>
        <w:ind w:firstLine="420" w:firstLineChars="200"/>
        <w:outlineLvl w:val="9"/>
        <w:rPr>
          <w:rFonts w:ascii="宋体" w:hAnsi="宋体"/>
          <w:color w:val="auto"/>
          <w:szCs w:val="21"/>
        </w:rPr>
      </w:pPr>
      <w:r>
        <w:rPr>
          <w:rFonts w:hint="eastAsia" w:ascii="宋体" w:hAnsi="宋体"/>
          <w:color w:val="auto"/>
          <w:szCs w:val="21"/>
        </w:rPr>
        <w:t xml:space="preserve">                                     </w:t>
      </w:r>
    </w:p>
    <w:p w14:paraId="4B289F80">
      <w:pPr>
        <w:spacing w:after="60" w:line="360" w:lineRule="exact"/>
        <w:jc w:val="center"/>
        <w:outlineLvl w:val="1"/>
        <w:rPr>
          <w:b/>
          <w:bCs/>
          <w:color w:val="auto"/>
        </w:rPr>
      </w:pPr>
      <w:r>
        <w:rPr>
          <w:rFonts w:hint="eastAsia"/>
          <w:b/>
          <w:color w:val="auto"/>
        </w:rPr>
        <w:t>3、残疾人福利性单位声明函</w:t>
      </w:r>
    </w:p>
    <w:p w14:paraId="62A1F375">
      <w:pPr>
        <w:spacing w:line="360" w:lineRule="exact"/>
        <w:ind w:firstLine="420" w:firstLineChars="200"/>
        <w:outlineLvl w:val="9"/>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Cs w:val="21"/>
          <w:u w:val="single"/>
        </w:rPr>
        <w:t xml:space="preserve">    </w:t>
      </w:r>
      <w:r>
        <w:rPr>
          <w:rFonts w:hint="eastAsia" w:ascii="宋体" w:hAnsi="宋体"/>
          <w:color w:val="auto"/>
          <w:szCs w:val="21"/>
        </w:rPr>
        <w:t>单位的</w:t>
      </w:r>
      <w:r>
        <w:rPr>
          <w:rFonts w:hint="eastAsia" w:ascii="宋体" w:hAnsi="宋体"/>
          <w:color w:val="auto"/>
          <w:szCs w:val="21"/>
          <w:u w:val="single"/>
        </w:rPr>
        <w:t xml:space="preserve">            </w:t>
      </w:r>
      <w:r>
        <w:rPr>
          <w:rFonts w:hint="eastAsia" w:ascii="宋体" w:hAnsi="宋体"/>
          <w:color w:val="auto"/>
          <w:szCs w:val="21"/>
        </w:rPr>
        <w:t>项目采购活动提供本单位制造的货物，或者提供其他残疾人福利性单位制造的货物（不包括使用非残疾人福利性单位注册商标的货物）。</w:t>
      </w:r>
    </w:p>
    <w:p w14:paraId="6298693E">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00507B23">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本单位知悉《关于促进残疾人就业政府采购政策的通知》（财库〔2017〕141 号）的规定，承诺提供的声明函内容是真实的，如提供声明函内容不实，则依法追究相关法律责任。</w:t>
      </w:r>
    </w:p>
    <w:p w14:paraId="312D2F0C">
      <w:pPr>
        <w:spacing w:line="360" w:lineRule="exact"/>
        <w:outlineLvl w:val="9"/>
        <w:rPr>
          <w:color w:val="auto"/>
        </w:rPr>
      </w:pPr>
      <w:r>
        <w:rPr>
          <w:rFonts w:hint="eastAsia"/>
          <w:color w:val="auto"/>
          <w:szCs w:val="21"/>
        </w:rPr>
        <w:t>投标人：</w:t>
      </w:r>
    </w:p>
    <w:p w14:paraId="7EC4C1ED">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E8CB70A">
      <w:pPr>
        <w:pStyle w:val="5"/>
        <w:outlineLvl w:val="9"/>
        <w:rPr>
          <w:color w:val="auto"/>
        </w:rPr>
      </w:pPr>
    </w:p>
    <w:p w14:paraId="0888B786">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民政部 中国残疾人联合会关于促进残疾人就业政府采购政策的通知》</w:t>
      </w:r>
      <w:r>
        <w:rPr>
          <w:rFonts w:ascii="宋体" w:hAnsi="宋体"/>
          <w:color w:val="auto"/>
          <w:szCs w:val="21"/>
        </w:rPr>
        <w:t>(</w:t>
      </w:r>
      <w:r>
        <w:rPr>
          <w:rFonts w:hint="eastAsia" w:ascii="宋体" w:hAnsi="宋体"/>
          <w:color w:val="auto"/>
          <w:szCs w:val="21"/>
        </w:rPr>
        <w:t>财库〔2017〕141号</w:t>
      </w:r>
      <w:r>
        <w:rPr>
          <w:rFonts w:ascii="宋体" w:hAnsi="宋体"/>
          <w:color w:val="auto"/>
          <w:szCs w:val="21"/>
        </w:rPr>
        <w:t>)</w:t>
      </w:r>
      <w:r>
        <w:rPr>
          <w:rFonts w:hint="eastAsia" w:ascii="宋体" w:hAnsi="宋体"/>
          <w:color w:val="auto"/>
          <w:szCs w:val="21"/>
        </w:rPr>
        <w:t xml:space="preserve">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                                              </w:t>
      </w:r>
    </w:p>
    <w:p w14:paraId="3BD169D5">
      <w:pPr>
        <w:rPr>
          <w:rFonts w:hint="eastAsia" w:ascii="宋体" w:hAnsi="宋体" w:eastAsia="宋体"/>
          <w:b/>
          <w:bCs/>
          <w:szCs w:val="21"/>
        </w:rPr>
      </w:pPr>
    </w:p>
    <w:p w14:paraId="0B227468">
      <w:pPr>
        <w:rPr>
          <w:rFonts w:ascii="宋体" w:hAnsi="宋体" w:eastAsia="宋体"/>
          <w:b/>
          <w:bCs/>
          <w:szCs w:val="21"/>
        </w:rPr>
      </w:pPr>
      <w:r>
        <w:rPr>
          <w:rFonts w:hint="eastAsia" w:ascii="宋体" w:hAnsi="宋体" w:eastAsia="宋体"/>
          <w:b/>
          <w:bCs/>
          <w:szCs w:val="21"/>
        </w:rPr>
        <w:t>附件1.统计上大中小微型企业划分标准</w:t>
      </w:r>
    </w:p>
    <w:p w14:paraId="03C689CE">
      <w:pPr>
        <w:rPr>
          <w:rFonts w:hint="eastAsia" w:ascii="宋体" w:hAnsi="宋体" w:eastAsia="宋体" w:cs="宋体"/>
          <w:sz w:val="21"/>
          <w:szCs w:val="21"/>
        </w:rPr>
      </w:pPr>
      <w:r>
        <w:rPr>
          <w:rFonts w:hint="eastAsia" w:ascii="宋体" w:hAnsi="宋体" w:eastAsia="宋体" w:cs="宋体"/>
          <w:sz w:val="21"/>
          <w:szCs w:val="21"/>
        </w:rPr>
        <w:t>来源：国家统计局关于印发《统计上大中小微型企业划分办法（2017）》的通知（国统字〔2017〕213 号）</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"https://www.stats.gov.cn/xxgk/tjbz/gjtjbz/202008/t20200811_1782335.html" </w:instrText>
      </w:r>
      <w:r>
        <w:rPr>
          <w:rFonts w:hint="eastAsia" w:ascii="宋体" w:hAnsi="宋体" w:eastAsia="宋体" w:cs="宋体"/>
          <w:sz w:val="21"/>
          <w:szCs w:val="21"/>
        </w:rPr>
        <w:fldChar w:fldCharType="separate"/>
      </w:r>
      <w:r>
        <w:rPr>
          <w:rFonts w:hint="eastAsia" w:ascii="宋体" w:hAnsi="宋体" w:eastAsia="宋体" w:cs="宋体"/>
          <w:sz w:val="21"/>
          <w:szCs w:val="21"/>
        </w:rPr>
        <w:t>https://www.stats.gov.cn/xxgk/tjbz/gjtjbz/202008/t20200811_1782335.html</w:t>
      </w:r>
      <w:r>
        <w:rPr>
          <w:rFonts w:hint="eastAsia" w:ascii="宋体" w:hAnsi="宋体" w:eastAsia="宋体" w:cs="宋体"/>
          <w:sz w:val="21"/>
          <w:szCs w:val="21"/>
        </w:rPr>
        <w:fldChar w:fldCharType="end"/>
      </w:r>
    </w:p>
    <w:tbl>
      <w:tblPr>
        <w:tblStyle w:val="16"/>
        <w:tblW w:w="5606" w:type="pct"/>
        <w:jc w:val="center"/>
        <w:tblLayout w:type="autofit"/>
        <w:tblCellMar>
          <w:top w:w="0" w:type="dxa"/>
          <w:left w:w="108" w:type="dxa"/>
          <w:bottom w:w="0" w:type="dxa"/>
          <w:right w:w="108" w:type="dxa"/>
        </w:tblCellMar>
      </w:tblPr>
      <w:tblGrid>
        <w:gridCol w:w="2363"/>
        <w:gridCol w:w="1529"/>
        <w:gridCol w:w="787"/>
        <w:gridCol w:w="1257"/>
        <w:gridCol w:w="1900"/>
        <w:gridCol w:w="1594"/>
        <w:gridCol w:w="1105"/>
      </w:tblGrid>
      <w:tr w14:paraId="2767ADD0">
        <w:tblPrEx>
          <w:tblCellMar>
            <w:top w:w="0" w:type="dxa"/>
            <w:left w:w="108" w:type="dxa"/>
            <w:bottom w:w="0" w:type="dxa"/>
            <w:right w:w="108" w:type="dxa"/>
          </w:tblCellMar>
        </w:tblPrEx>
        <w:trPr>
          <w:trHeight w:val="643" w:hRule="exact"/>
          <w:jc w:val="center"/>
        </w:trPr>
        <w:tc>
          <w:tcPr>
            <w:tcW w:w="1121" w:type="pct"/>
            <w:tcBorders>
              <w:top w:val="single" w:color="auto" w:sz="4" w:space="0"/>
              <w:left w:val="nil"/>
              <w:bottom w:val="single" w:color="auto" w:sz="4" w:space="0"/>
              <w:right w:val="single" w:color="auto" w:sz="4" w:space="0"/>
            </w:tcBorders>
            <w:shd w:val="clear" w:color="auto" w:fill="auto"/>
            <w:vAlign w:val="center"/>
          </w:tcPr>
          <w:p w14:paraId="76B3C900">
            <w:pPr>
              <w:keepNext w:val="0"/>
              <w:keepLines w:val="0"/>
              <w:suppressLineNumbers w:val="0"/>
              <w:spacing w:before="0" w:beforeAutospacing="0" w:after="0" w:afterAutospacing="0" w:line="240" w:lineRule="exact"/>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行业名称</w:t>
            </w:r>
          </w:p>
        </w:tc>
        <w:tc>
          <w:tcPr>
            <w:tcW w:w="725" w:type="pct"/>
            <w:tcBorders>
              <w:top w:val="single" w:color="auto" w:sz="4" w:space="0"/>
              <w:left w:val="nil"/>
              <w:bottom w:val="single" w:color="auto" w:sz="4" w:space="0"/>
              <w:right w:val="single" w:color="auto" w:sz="4" w:space="0"/>
            </w:tcBorders>
            <w:shd w:val="clear" w:color="auto" w:fill="auto"/>
            <w:vAlign w:val="center"/>
          </w:tcPr>
          <w:p w14:paraId="363619D0">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指标名称</w:t>
            </w:r>
          </w:p>
        </w:tc>
        <w:tc>
          <w:tcPr>
            <w:tcW w:w="373" w:type="pct"/>
            <w:tcBorders>
              <w:top w:val="single" w:color="auto" w:sz="4" w:space="0"/>
              <w:left w:val="nil"/>
              <w:bottom w:val="single" w:color="auto" w:sz="4" w:space="0"/>
              <w:right w:val="single" w:color="auto" w:sz="4" w:space="0"/>
            </w:tcBorders>
            <w:shd w:val="clear" w:color="auto" w:fill="auto"/>
            <w:vAlign w:val="center"/>
          </w:tcPr>
          <w:p w14:paraId="2D792FD8">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计量</w:t>
            </w:r>
            <w:r>
              <w:rPr>
                <w:rFonts w:hint="eastAsia" w:ascii="宋体" w:hAnsi="宋体" w:eastAsia="宋体" w:cs="宋体"/>
                <w:b/>
                <w:bCs/>
                <w:color w:val="000000"/>
                <w:sz w:val="21"/>
                <w:szCs w:val="21"/>
              </w:rPr>
              <w:br w:type="textWrapping"/>
            </w:r>
            <w:r>
              <w:rPr>
                <w:rFonts w:hint="eastAsia" w:ascii="宋体" w:hAnsi="宋体" w:eastAsia="宋体" w:cs="宋体"/>
                <w:b/>
                <w:bCs/>
                <w:color w:val="000000"/>
                <w:sz w:val="21"/>
                <w:szCs w:val="21"/>
              </w:rPr>
              <w:t>单位</w:t>
            </w:r>
          </w:p>
        </w:tc>
        <w:tc>
          <w:tcPr>
            <w:tcW w:w="596" w:type="pct"/>
            <w:tcBorders>
              <w:top w:val="single" w:color="auto" w:sz="4" w:space="0"/>
              <w:left w:val="nil"/>
              <w:bottom w:val="single" w:color="auto" w:sz="4" w:space="0"/>
              <w:right w:val="single" w:color="auto" w:sz="4" w:space="0"/>
            </w:tcBorders>
            <w:shd w:val="clear" w:color="auto" w:fill="auto"/>
            <w:vAlign w:val="center"/>
          </w:tcPr>
          <w:p w14:paraId="7F08D2F5">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大型</w:t>
            </w:r>
          </w:p>
        </w:tc>
        <w:tc>
          <w:tcPr>
            <w:tcW w:w="901" w:type="pct"/>
            <w:tcBorders>
              <w:top w:val="single" w:color="auto" w:sz="4" w:space="0"/>
              <w:left w:val="nil"/>
              <w:bottom w:val="single" w:color="auto" w:sz="4" w:space="0"/>
              <w:right w:val="single" w:color="auto" w:sz="4" w:space="0"/>
            </w:tcBorders>
            <w:shd w:val="clear" w:color="auto" w:fill="auto"/>
            <w:vAlign w:val="center"/>
          </w:tcPr>
          <w:p w14:paraId="7B929E8F">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中型</w:t>
            </w:r>
          </w:p>
        </w:tc>
        <w:tc>
          <w:tcPr>
            <w:tcW w:w="756" w:type="pct"/>
            <w:tcBorders>
              <w:top w:val="single" w:color="auto" w:sz="4" w:space="0"/>
              <w:left w:val="nil"/>
              <w:bottom w:val="single" w:color="auto" w:sz="4" w:space="0"/>
              <w:right w:val="single" w:color="auto" w:sz="4" w:space="0"/>
            </w:tcBorders>
            <w:shd w:val="clear" w:color="auto" w:fill="auto"/>
            <w:vAlign w:val="center"/>
          </w:tcPr>
          <w:p w14:paraId="54E0E34A">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小型</w:t>
            </w:r>
          </w:p>
        </w:tc>
        <w:tc>
          <w:tcPr>
            <w:tcW w:w="524" w:type="pct"/>
            <w:tcBorders>
              <w:top w:val="single" w:color="auto" w:sz="4" w:space="0"/>
              <w:left w:val="nil"/>
              <w:bottom w:val="single" w:color="auto" w:sz="4" w:space="0"/>
              <w:right w:val="nil"/>
            </w:tcBorders>
            <w:shd w:val="clear" w:color="auto" w:fill="auto"/>
            <w:vAlign w:val="center"/>
          </w:tcPr>
          <w:p w14:paraId="49A590F5">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微型</w:t>
            </w:r>
          </w:p>
        </w:tc>
      </w:tr>
      <w:tr w14:paraId="06E67DC5">
        <w:tblPrEx>
          <w:tblCellMar>
            <w:top w:w="0" w:type="dxa"/>
            <w:left w:w="108" w:type="dxa"/>
            <w:bottom w:w="0" w:type="dxa"/>
            <w:right w:w="108" w:type="dxa"/>
          </w:tblCellMar>
        </w:tblPrEx>
        <w:trPr>
          <w:trHeight w:val="409" w:hRule="exact"/>
          <w:jc w:val="center"/>
        </w:trPr>
        <w:tc>
          <w:tcPr>
            <w:tcW w:w="1121" w:type="pct"/>
            <w:tcBorders>
              <w:top w:val="nil"/>
              <w:left w:val="nil"/>
              <w:bottom w:val="single" w:color="auto" w:sz="4" w:space="0"/>
              <w:right w:val="single" w:color="auto" w:sz="4" w:space="0"/>
            </w:tcBorders>
            <w:shd w:val="clear" w:color="auto" w:fill="auto"/>
            <w:vAlign w:val="center"/>
          </w:tcPr>
          <w:p w14:paraId="1E4A9504">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农、林、牧、渔业</w:t>
            </w:r>
          </w:p>
        </w:tc>
        <w:tc>
          <w:tcPr>
            <w:tcW w:w="725" w:type="pct"/>
            <w:tcBorders>
              <w:top w:val="nil"/>
              <w:left w:val="nil"/>
              <w:bottom w:val="single" w:color="auto" w:sz="4" w:space="0"/>
              <w:right w:val="single" w:color="auto" w:sz="4" w:space="0"/>
            </w:tcBorders>
            <w:shd w:val="clear" w:color="auto" w:fill="auto"/>
            <w:vAlign w:val="center"/>
          </w:tcPr>
          <w:p w14:paraId="58655A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3F106CD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746A32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1" w:type="pct"/>
            <w:tcBorders>
              <w:top w:val="nil"/>
              <w:left w:val="nil"/>
              <w:bottom w:val="single" w:color="auto" w:sz="4" w:space="0"/>
              <w:right w:val="single" w:color="auto" w:sz="4" w:space="0"/>
            </w:tcBorders>
            <w:shd w:val="clear" w:color="auto" w:fill="auto"/>
            <w:vAlign w:val="center"/>
          </w:tcPr>
          <w:p w14:paraId="49DAE89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6" w:type="pct"/>
            <w:tcBorders>
              <w:top w:val="nil"/>
              <w:left w:val="nil"/>
              <w:bottom w:val="single" w:color="auto" w:sz="4" w:space="0"/>
              <w:right w:val="single" w:color="auto" w:sz="4" w:space="0"/>
            </w:tcBorders>
            <w:shd w:val="clear" w:color="auto" w:fill="auto"/>
            <w:vAlign w:val="center"/>
          </w:tcPr>
          <w:p w14:paraId="06C20A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50≤Y＜500</w:t>
            </w:r>
          </w:p>
        </w:tc>
        <w:tc>
          <w:tcPr>
            <w:tcW w:w="524" w:type="pct"/>
            <w:tcBorders>
              <w:top w:val="nil"/>
              <w:left w:val="nil"/>
              <w:bottom w:val="single" w:color="auto" w:sz="4" w:space="0"/>
              <w:right w:val="nil"/>
            </w:tcBorders>
            <w:shd w:val="clear" w:color="auto" w:fill="auto"/>
            <w:vAlign w:val="center"/>
          </w:tcPr>
          <w:p w14:paraId="4A581E9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37584D36">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1146CCC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工业 *</w:t>
            </w:r>
          </w:p>
        </w:tc>
        <w:tc>
          <w:tcPr>
            <w:tcW w:w="725" w:type="pct"/>
            <w:tcBorders>
              <w:top w:val="nil"/>
              <w:left w:val="nil"/>
              <w:bottom w:val="nil"/>
              <w:right w:val="single" w:color="auto" w:sz="4" w:space="0"/>
            </w:tcBorders>
            <w:shd w:val="clear" w:color="auto" w:fill="auto"/>
            <w:vAlign w:val="center"/>
          </w:tcPr>
          <w:p w14:paraId="35C3A26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2E2F64D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7ADC0BF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52D2056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6C34132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0462CE6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51708A">
        <w:tblPrEx>
          <w:tblCellMar>
            <w:top w:w="0" w:type="dxa"/>
            <w:left w:w="108" w:type="dxa"/>
            <w:bottom w:w="0" w:type="dxa"/>
            <w:right w:w="108" w:type="dxa"/>
          </w:tblCellMar>
        </w:tblPrEx>
        <w:trPr>
          <w:trHeight w:val="529" w:hRule="exact"/>
          <w:jc w:val="center"/>
        </w:trPr>
        <w:tc>
          <w:tcPr>
            <w:tcW w:w="1121" w:type="pct"/>
            <w:vMerge w:val="continue"/>
            <w:tcBorders>
              <w:top w:val="nil"/>
              <w:left w:val="nil"/>
              <w:bottom w:val="single" w:color="auto" w:sz="4" w:space="0"/>
              <w:right w:val="single" w:color="auto" w:sz="4" w:space="0"/>
            </w:tcBorders>
            <w:vAlign w:val="center"/>
          </w:tcPr>
          <w:p w14:paraId="2225C670">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73F00572">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17EEF3E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5634F7F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1" w:type="pct"/>
            <w:tcBorders>
              <w:top w:val="nil"/>
              <w:left w:val="nil"/>
              <w:bottom w:val="single" w:color="auto" w:sz="4" w:space="0"/>
              <w:right w:val="single" w:color="auto" w:sz="4" w:space="0"/>
            </w:tcBorders>
            <w:shd w:val="clear" w:color="auto" w:fill="auto"/>
            <w:vAlign w:val="center"/>
          </w:tcPr>
          <w:p w14:paraId="72A1DCB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2000≤Y＜40000</w:t>
            </w:r>
          </w:p>
        </w:tc>
        <w:tc>
          <w:tcPr>
            <w:tcW w:w="756" w:type="pct"/>
            <w:tcBorders>
              <w:top w:val="nil"/>
              <w:left w:val="nil"/>
              <w:bottom w:val="single" w:color="auto" w:sz="4" w:space="0"/>
              <w:right w:val="single" w:color="auto" w:sz="4" w:space="0"/>
            </w:tcBorders>
            <w:shd w:val="clear" w:color="auto" w:fill="auto"/>
            <w:vAlign w:val="center"/>
          </w:tcPr>
          <w:p w14:paraId="31E39D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300≤Y＜2000</w:t>
            </w:r>
          </w:p>
        </w:tc>
        <w:tc>
          <w:tcPr>
            <w:tcW w:w="524" w:type="pct"/>
            <w:tcBorders>
              <w:top w:val="nil"/>
              <w:left w:val="nil"/>
              <w:bottom w:val="single" w:color="auto" w:sz="4" w:space="0"/>
              <w:right w:val="nil"/>
            </w:tcBorders>
            <w:shd w:val="clear" w:color="auto" w:fill="auto"/>
            <w:vAlign w:val="center"/>
          </w:tcPr>
          <w:p w14:paraId="2654F2C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620FC4F5">
        <w:tblPrEx>
          <w:tblCellMar>
            <w:top w:w="0" w:type="dxa"/>
            <w:left w:w="108" w:type="dxa"/>
            <w:bottom w:w="0" w:type="dxa"/>
            <w:right w:w="108" w:type="dxa"/>
          </w:tblCellMar>
        </w:tblPrEx>
        <w:trPr>
          <w:trHeight w:val="47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5A40ACF3">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建筑业</w:t>
            </w:r>
          </w:p>
        </w:tc>
        <w:tc>
          <w:tcPr>
            <w:tcW w:w="725" w:type="pct"/>
            <w:tcBorders>
              <w:top w:val="nil"/>
              <w:left w:val="nil"/>
              <w:bottom w:val="nil"/>
              <w:right w:val="single" w:color="auto" w:sz="4" w:space="0"/>
            </w:tcBorders>
            <w:shd w:val="clear" w:color="auto" w:fill="auto"/>
            <w:vAlign w:val="center"/>
          </w:tcPr>
          <w:p w14:paraId="22C243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nil"/>
              <w:right w:val="single" w:color="auto" w:sz="4" w:space="0"/>
            </w:tcBorders>
            <w:shd w:val="clear" w:color="auto" w:fill="auto"/>
            <w:vAlign w:val="center"/>
          </w:tcPr>
          <w:p w14:paraId="36388E8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nil"/>
              <w:right w:val="single" w:color="auto" w:sz="4" w:space="0"/>
            </w:tcBorders>
            <w:shd w:val="clear" w:color="auto" w:fill="auto"/>
            <w:vAlign w:val="center"/>
          </w:tcPr>
          <w:p w14:paraId="41EBCFB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Y≥80000</w:t>
            </w:r>
          </w:p>
        </w:tc>
        <w:tc>
          <w:tcPr>
            <w:tcW w:w="901" w:type="pct"/>
            <w:tcBorders>
              <w:top w:val="nil"/>
              <w:left w:val="nil"/>
              <w:bottom w:val="nil"/>
              <w:right w:val="single" w:color="auto" w:sz="4" w:space="0"/>
            </w:tcBorders>
            <w:shd w:val="clear" w:color="auto" w:fill="auto"/>
            <w:vAlign w:val="center"/>
          </w:tcPr>
          <w:p w14:paraId="3013AC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6000≤Y＜80000</w:t>
            </w:r>
          </w:p>
        </w:tc>
        <w:tc>
          <w:tcPr>
            <w:tcW w:w="756" w:type="pct"/>
            <w:tcBorders>
              <w:top w:val="nil"/>
              <w:left w:val="nil"/>
              <w:bottom w:val="nil"/>
              <w:right w:val="single" w:color="auto" w:sz="4" w:space="0"/>
            </w:tcBorders>
            <w:shd w:val="clear" w:color="auto" w:fill="auto"/>
            <w:vAlign w:val="center"/>
          </w:tcPr>
          <w:p w14:paraId="293566D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300≤Y＜6000</w:t>
            </w:r>
          </w:p>
        </w:tc>
        <w:tc>
          <w:tcPr>
            <w:tcW w:w="524" w:type="pct"/>
            <w:tcBorders>
              <w:top w:val="nil"/>
              <w:left w:val="nil"/>
              <w:bottom w:val="nil"/>
              <w:right w:val="nil"/>
            </w:tcBorders>
            <w:shd w:val="clear" w:color="auto" w:fill="auto"/>
            <w:vAlign w:val="center"/>
          </w:tcPr>
          <w:p w14:paraId="0FD6207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26DD693E">
        <w:tblPrEx>
          <w:tblCellMar>
            <w:top w:w="0" w:type="dxa"/>
            <w:left w:w="108" w:type="dxa"/>
            <w:bottom w:w="0" w:type="dxa"/>
            <w:right w:w="108" w:type="dxa"/>
          </w:tblCellMar>
        </w:tblPrEx>
        <w:trPr>
          <w:trHeight w:val="499" w:hRule="exact"/>
          <w:jc w:val="center"/>
        </w:trPr>
        <w:tc>
          <w:tcPr>
            <w:tcW w:w="1121" w:type="pct"/>
            <w:vMerge w:val="continue"/>
            <w:tcBorders>
              <w:top w:val="nil"/>
              <w:left w:val="nil"/>
              <w:bottom w:val="single" w:color="auto" w:sz="4" w:space="0"/>
              <w:right w:val="single" w:color="auto" w:sz="4" w:space="0"/>
            </w:tcBorders>
            <w:vAlign w:val="center"/>
          </w:tcPr>
          <w:p w14:paraId="0A93CBF2">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6115F84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3186C9E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636EF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Z≥80000</w:t>
            </w:r>
          </w:p>
        </w:tc>
        <w:tc>
          <w:tcPr>
            <w:tcW w:w="901" w:type="pct"/>
            <w:tcBorders>
              <w:top w:val="nil"/>
              <w:left w:val="nil"/>
              <w:bottom w:val="single" w:color="auto" w:sz="4" w:space="0"/>
              <w:right w:val="single" w:color="auto" w:sz="4" w:space="0"/>
            </w:tcBorders>
            <w:shd w:val="clear" w:color="auto" w:fill="auto"/>
            <w:vAlign w:val="center"/>
          </w:tcPr>
          <w:p w14:paraId="4015984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5000≤Z＜80000</w:t>
            </w:r>
          </w:p>
        </w:tc>
        <w:tc>
          <w:tcPr>
            <w:tcW w:w="756" w:type="pct"/>
            <w:tcBorders>
              <w:top w:val="nil"/>
              <w:left w:val="nil"/>
              <w:bottom w:val="single" w:color="auto" w:sz="4" w:space="0"/>
              <w:right w:val="single" w:color="auto" w:sz="4" w:space="0"/>
            </w:tcBorders>
            <w:shd w:val="clear" w:color="auto" w:fill="auto"/>
            <w:vAlign w:val="center"/>
          </w:tcPr>
          <w:p w14:paraId="0CE7EB1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300≤Z＜5000</w:t>
            </w:r>
          </w:p>
        </w:tc>
        <w:tc>
          <w:tcPr>
            <w:tcW w:w="524" w:type="pct"/>
            <w:tcBorders>
              <w:top w:val="nil"/>
              <w:left w:val="nil"/>
              <w:bottom w:val="single" w:color="auto" w:sz="4" w:space="0"/>
              <w:right w:val="nil"/>
            </w:tcBorders>
            <w:shd w:val="clear" w:color="auto" w:fill="auto"/>
            <w:vAlign w:val="center"/>
          </w:tcPr>
          <w:p w14:paraId="405E6DA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Z＜300</w:t>
            </w:r>
          </w:p>
        </w:tc>
      </w:tr>
      <w:tr w14:paraId="290EEEC2">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D85AEEC">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批发业</w:t>
            </w:r>
          </w:p>
        </w:tc>
        <w:tc>
          <w:tcPr>
            <w:tcW w:w="725" w:type="pct"/>
            <w:tcBorders>
              <w:top w:val="nil"/>
              <w:left w:val="nil"/>
              <w:bottom w:val="nil"/>
              <w:right w:val="single" w:color="auto" w:sz="4" w:space="0"/>
            </w:tcBorders>
            <w:shd w:val="clear" w:color="auto" w:fill="auto"/>
            <w:vAlign w:val="center"/>
          </w:tcPr>
          <w:p w14:paraId="1E12E71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ECFAC3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37176D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1" w:type="pct"/>
            <w:tcBorders>
              <w:top w:val="nil"/>
              <w:left w:val="nil"/>
              <w:bottom w:val="nil"/>
              <w:right w:val="single" w:color="auto" w:sz="4" w:space="0"/>
            </w:tcBorders>
            <w:shd w:val="clear" w:color="auto" w:fill="auto"/>
            <w:vAlign w:val="center"/>
          </w:tcPr>
          <w:p w14:paraId="42828F5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20≤X＜200</w:t>
            </w:r>
          </w:p>
        </w:tc>
        <w:tc>
          <w:tcPr>
            <w:tcW w:w="756" w:type="pct"/>
            <w:tcBorders>
              <w:top w:val="nil"/>
              <w:left w:val="nil"/>
              <w:bottom w:val="nil"/>
              <w:right w:val="single" w:color="auto" w:sz="4" w:space="0"/>
            </w:tcBorders>
            <w:shd w:val="clear" w:color="auto" w:fill="auto"/>
            <w:vAlign w:val="center"/>
          </w:tcPr>
          <w:p w14:paraId="7465D58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5≤X＜20</w:t>
            </w:r>
          </w:p>
        </w:tc>
        <w:tc>
          <w:tcPr>
            <w:tcW w:w="524" w:type="pct"/>
            <w:tcBorders>
              <w:top w:val="nil"/>
              <w:left w:val="nil"/>
              <w:bottom w:val="nil"/>
              <w:right w:val="nil"/>
            </w:tcBorders>
            <w:shd w:val="clear" w:color="auto" w:fill="auto"/>
            <w:vAlign w:val="center"/>
          </w:tcPr>
          <w:p w14:paraId="1881E08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X＜5</w:t>
            </w:r>
          </w:p>
        </w:tc>
      </w:tr>
      <w:tr w14:paraId="76A794D2">
        <w:tblPrEx>
          <w:tblCellMar>
            <w:top w:w="0" w:type="dxa"/>
            <w:left w:w="108" w:type="dxa"/>
            <w:bottom w:w="0" w:type="dxa"/>
            <w:right w:w="108" w:type="dxa"/>
          </w:tblCellMar>
        </w:tblPrEx>
        <w:trPr>
          <w:trHeight w:val="598" w:hRule="exact"/>
          <w:jc w:val="center"/>
        </w:trPr>
        <w:tc>
          <w:tcPr>
            <w:tcW w:w="1121" w:type="pct"/>
            <w:vMerge w:val="continue"/>
            <w:tcBorders>
              <w:top w:val="nil"/>
              <w:left w:val="nil"/>
              <w:bottom w:val="single" w:color="auto" w:sz="4" w:space="0"/>
              <w:right w:val="single" w:color="auto" w:sz="4" w:space="0"/>
            </w:tcBorders>
            <w:vAlign w:val="center"/>
          </w:tcPr>
          <w:p w14:paraId="6D57115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AAFF7C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7832338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5D177DE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1" w:type="pct"/>
            <w:tcBorders>
              <w:top w:val="nil"/>
              <w:left w:val="nil"/>
              <w:bottom w:val="single" w:color="auto" w:sz="4" w:space="0"/>
              <w:right w:val="single" w:color="auto" w:sz="4" w:space="0"/>
            </w:tcBorders>
            <w:shd w:val="clear" w:color="auto" w:fill="auto"/>
            <w:vAlign w:val="center"/>
          </w:tcPr>
          <w:p w14:paraId="62206B4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5000≤Y＜40000</w:t>
            </w:r>
          </w:p>
        </w:tc>
        <w:tc>
          <w:tcPr>
            <w:tcW w:w="756" w:type="pct"/>
            <w:tcBorders>
              <w:top w:val="nil"/>
              <w:left w:val="nil"/>
              <w:bottom w:val="single" w:color="auto" w:sz="4" w:space="0"/>
              <w:right w:val="single" w:color="auto" w:sz="4" w:space="0"/>
            </w:tcBorders>
            <w:shd w:val="clear" w:color="auto" w:fill="auto"/>
            <w:vAlign w:val="center"/>
          </w:tcPr>
          <w:p w14:paraId="742BD7B1">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1000≤Y＜5000</w:t>
            </w:r>
          </w:p>
        </w:tc>
        <w:tc>
          <w:tcPr>
            <w:tcW w:w="524" w:type="pct"/>
            <w:tcBorders>
              <w:top w:val="nil"/>
              <w:left w:val="nil"/>
              <w:bottom w:val="single" w:color="auto" w:sz="4" w:space="0"/>
              <w:right w:val="nil"/>
            </w:tcBorders>
            <w:shd w:val="clear" w:color="auto" w:fill="auto"/>
            <w:vAlign w:val="center"/>
          </w:tcPr>
          <w:p w14:paraId="745B09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w:t>
            </w:r>
          </w:p>
        </w:tc>
      </w:tr>
      <w:tr w14:paraId="33337038">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4AC9CBDF">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零售业</w:t>
            </w:r>
          </w:p>
        </w:tc>
        <w:tc>
          <w:tcPr>
            <w:tcW w:w="725" w:type="pct"/>
            <w:tcBorders>
              <w:top w:val="nil"/>
              <w:left w:val="nil"/>
              <w:bottom w:val="nil"/>
              <w:right w:val="single" w:color="auto" w:sz="4" w:space="0"/>
            </w:tcBorders>
            <w:shd w:val="clear" w:color="auto" w:fill="auto"/>
            <w:vAlign w:val="center"/>
          </w:tcPr>
          <w:p w14:paraId="3B91380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43362D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2C8F6F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7B6599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50≤X＜300</w:t>
            </w:r>
          </w:p>
        </w:tc>
        <w:tc>
          <w:tcPr>
            <w:tcW w:w="756" w:type="pct"/>
            <w:tcBorders>
              <w:top w:val="nil"/>
              <w:left w:val="nil"/>
              <w:bottom w:val="nil"/>
              <w:right w:val="single" w:color="auto" w:sz="4" w:space="0"/>
            </w:tcBorders>
            <w:shd w:val="clear" w:color="auto" w:fill="auto"/>
            <w:vAlign w:val="center"/>
          </w:tcPr>
          <w:p w14:paraId="1BF265D8">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10≤X＜50 </w:t>
            </w:r>
          </w:p>
        </w:tc>
        <w:tc>
          <w:tcPr>
            <w:tcW w:w="524" w:type="pct"/>
            <w:tcBorders>
              <w:top w:val="nil"/>
              <w:left w:val="nil"/>
              <w:bottom w:val="nil"/>
              <w:right w:val="nil"/>
            </w:tcBorders>
            <w:shd w:val="clear" w:color="auto" w:fill="auto"/>
            <w:vAlign w:val="center"/>
          </w:tcPr>
          <w:p w14:paraId="5520E2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4511B9C1">
        <w:tblPrEx>
          <w:tblCellMar>
            <w:top w:w="0" w:type="dxa"/>
            <w:left w:w="108" w:type="dxa"/>
            <w:bottom w:w="0" w:type="dxa"/>
            <w:right w:w="108" w:type="dxa"/>
          </w:tblCellMar>
        </w:tblPrEx>
        <w:trPr>
          <w:trHeight w:val="409" w:hRule="exact"/>
          <w:jc w:val="center"/>
        </w:trPr>
        <w:tc>
          <w:tcPr>
            <w:tcW w:w="1121" w:type="pct"/>
            <w:vMerge w:val="continue"/>
            <w:tcBorders>
              <w:top w:val="nil"/>
              <w:left w:val="nil"/>
              <w:bottom w:val="single" w:color="auto" w:sz="4" w:space="0"/>
              <w:right w:val="single" w:color="auto" w:sz="4" w:space="0"/>
            </w:tcBorders>
            <w:vAlign w:val="center"/>
          </w:tcPr>
          <w:p w14:paraId="060058A5">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C10FEE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2ABA93A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238638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1" w:type="pct"/>
            <w:tcBorders>
              <w:top w:val="nil"/>
              <w:left w:val="nil"/>
              <w:bottom w:val="single" w:color="auto" w:sz="4" w:space="0"/>
              <w:right w:val="single" w:color="auto" w:sz="4" w:space="0"/>
            </w:tcBorders>
            <w:shd w:val="clear" w:color="auto" w:fill="auto"/>
            <w:vAlign w:val="center"/>
          </w:tcPr>
          <w:p w14:paraId="1BB0E91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6" w:type="pct"/>
            <w:tcBorders>
              <w:top w:val="nil"/>
              <w:left w:val="nil"/>
              <w:bottom w:val="single" w:color="auto" w:sz="4" w:space="0"/>
              <w:right w:val="single" w:color="auto" w:sz="4" w:space="0"/>
            </w:tcBorders>
            <w:shd w:val="clear" w:color="auto" w:fill="auto"/>
            <w:vAlign w:val="center"/>
          </w:tcPr>
          <w:p w14:paraId="313C9A45">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100≤Y＜500 </w:t>
            </w:r>
          </w:p>
        </w:tc>
        <w:tc>
          <w:tcPr>
            <w:tcW w:w="524" w:type="pct"/>
            <w:tcBorders>
              <w:top w:val="nil"/>
              <w:left w:val="nil"/>
              <w:bottom w:val="single" w:color="auto" w:sz="4" w:space="0"/>
              <w:right w:val="nil"/>
            </w:tcBorders>
            <w:shd w:val="clear" w:color="auto" w:fill="auto"/>
            <w:vAlign w:val="center"/>
          </w:tcPr>
          <w:p w14:paraId="37400EC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6F159EC1">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70E4F0C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交通运输业 *</w:t>
            </w:r>
          </w:p>
        </w:tc>
        <w:tc>
          <w:tcPr>
            <w:tcW w:w="725" w:type="pct"/>
            <w:tcBorders>
              <w:top w:val="nil"/>
              <w:left w:val="nil"/>
              <w:bottom w:val="nil"/>
              <w:right w:val="single" w:color="auto" w:sz="4" w:space="0"/>
            </w:tcBorders>
            <w:shd w:val="clear" w:color="auto" w:fill="auto"/>
            <w:vAlign w:val="center"/>
          </w:tcPr>
          <w:p w14:paraId="51F5DCC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36A8611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4E3CFC0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14104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7B8D0C8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2420F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1791983B">
        <w:tblPrEx>
          <w:tblCellMar>
            <w:top w:w="0" w:type="dxa"/>
            <w:left w:w="108" w:type="dxa"/>
            <w:bottom w:w="0" w:type="dxa"/>
            <w:right w:w="108" w:type="dxa"/>
          </w:tblCellMar>
        </w:tblPrEx>
        <w:trPr>
          <w:trHeight w:val="498" w:hRule="exact"/>
          <w:jc w:val="center"/>
        </w:trPr>
        <w:tc>
          <w:tcPr>
            <w:tcW w:w="1121" w:type="pct"/>
            <w:vMerge w:val="continue"/>
            <w:tcBorders>
              <w:top w:val="nil"/>
              <w:left w:val="nil"/>
              <w:bottom w:val="single" w:color="auto" w:sz="4" w:space="0"/>
              <w:right w:val="single" w:color="auto" w:sz="4" w:space="0"/>
            </w:tcBorders>
            <w:vAlign w:val="center"/>
          </w:tcPr>
          <w:p w14:paraId="7477D18D">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5B10CF7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6343E83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C0472E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517AA37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3000≤Y＜30000</w:t>
            </w:r>
          </w:p>
        </w:tc>
        <w:tc>
          <w:tcPr>
            <w:tcW w:w="756" w:type="pct"/>
            <w:tcBorders>
              <w:top w:val="nil"/>
              <w:left w:val="nil"/>
              <w:bottom w:val="single" w:color="auto" w:sz="4" w:space="0"/>
              <w:right w:val="single" w:color="auto" w:sz="4" w:space="0"/>
            </w:tcBorders>
            <w:shd w:val="clear" w:color="auto" w:fill="auto"/>
            <w:vAlign w:val="center"/>
          </w:tcPr>
          <w:p w14:paraId="2C3F1D5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200≤Y＜3000</w:t>
            </w:r>
          </w:p>
        </w:tc>
        <w:tc>
          <w:tcPr>
            <w:tcW w:w="524" w:type="pct"/>
            <w:tcBorders>
              <w:top w:val="nil"/>
              <w:left w:val="nil"/>
              <w:bottom w:val="single" w:color="auto" w:sz="4" w:space="0"/>
              <w:right w:val="nil"/>
            </w:tcBorders>
            <w:shd w:val="clear" w:color="auto" w:fill="auto"/>
            <w:vAlign w:val="center"/>
          </w:tcPr>
          <w:p w14:paraId="3307341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w:t>
            </w:r>
          </w:p>
        </w:tc>
      </w:tr>
      <w:tr w14:paraId="7324CA13">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28D27621">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仓储业*</w:t>
            </w:r>
          </w:p>
        </w:tc>
        <w:tc>
          <w:tcPr>
            <w:tcW w:w="725" w:type="pct"/>
            <w:tcBorders>
              <w:top w:val="nil"/>
              <w:left w:val="nil"/>
              <w:bottom w:val="nil"/>
              <w:right w:val="single" w:color="auto" w:sz="4" w:space="0"/>
            </w:tcBorders>
            <w:shd w:val="clear" w:color="auto" w:fill="auto"/>
            <w:vAlign w:val="center"/>
          </w:tcPr>
          <w:p w14:paraId="02B3C9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56D8780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2C29790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1" w:type="pct"/>
            <w:tcBorders>
              <w:top w:val="nil"/>
              <w:left w:val="nil"/>
              <w:bottom w:val="nil"/>
              <w:right w:val="single" w:color="auto" w:sz="4" w:space="0"/>
            </w:tcBorders>
            <w:shd w:val="clear" w:color="auto" w:fill="auto"/>
            <w:vAlign w:val="center"/>
          </w:tcPr>
          <w:p w14:paraId="0B4BE9FA">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w:t>
            </w:r>
          </w:p>
        </w:tc>
        <w:tc>
          <w:tcPr>
            <w:tcW w:w="756" w:type="pct"/>
            <w:tcBorders>
              <w:top w:val="nil"/>
              <w:left w:val="nil"/>
              <w:bottom w:val="nil"/>
              <w:right w:val="single" w:color="auto" w:sz="4" w:space="0"/>
            </w:tcBorders>
            <w:shd w:val="clear" w:color="auto" w:fill="auto"/>
            <w:vAlign w:val="center"/>
          </w:tcPr>
          <w:p w14:paraId="666BCF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20≤X＜100</w:t>
            </w:r>
          </w:p>
        </w:tc>
        <w:tc>
          <w:tcPr>
            <w:tcW w:w="524" w:type="pct"/>
            <w:tcBorders>
              <w:top w:val="nil"/>
              <w:left w:val="nil"/>
              <w:bottom w:val="nil"/>
              <w:right w:val="nil"/>
            </w:tcBorders>
            <w:shd w:val="clear" w:color="auto" w:fill="auto"/>
            <w:vAlign w:val="center"/>
          </w:tcPr>
          <w:p w14:paraId="7597B97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0D7CD7">
        <w:tblPrEx>
          <w:tblCellMar>
            <w:top w:w="0" w:type="dxa"/>
            <w:left w:w="108" w:type="dxa"/>
            <w:bottom w:w="0" w:type="dxa"/>
            <w:right w:w="108" w:type="dxa"/>
          </w:tblCellMar>
        </w:tblPrEx>
        <w:trPr>
          <w:trHeight w:val="568" w:hRule="exact"/>
          <w:jc w:val="center"/>
        </w:trPr>
        <w:tc>
          <w:tcPr>
            <w:tcW w:w="1121" w:type="pct"/>
            <w:vMerge w:val="continue"/>
            <w:tcBorders>
              <w:top w:val="nil"/>
              <w:left w:val="nil"/>
              <w:bottom w:val="single" w:color="auto" w:sz="4" w:space="0"/>
              <w:right w:val="single" w:color="auto" w:sz="4" w:space="0"/>
            </w:tcBorders>
            <w:vAlign w:val="center"/>
          </w:tcPr>
          <w:p w14:paraId="73446885">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13C3201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628C6A5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4261EDA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428400A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1000≤Y＜30000</w:t>
            </w:r>
          </w:p>
        </w:tc>
        <w:tc>
          <w:tcPr>
            <w:tcW w:w="756" w:type="pct"/>
            <w:tcBorders>
              <w:top w:val="nil"/>
              <w:left w:val="nil"/>
              <w:bottom w:val="single" w:color="auto" w:sz="4" w:space="0"/>
              <w:right w:val="single" w:color="auto" w:sz="4" w:space="0"/>
            </w:tcBorders>
            <w:shd w:val="clear" w:color="auto" w:fill="auto"/>
            <w:vAlign w:val="center"/>
          </w:tcPr>
          <w:p w14:paraId="6420DF1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single" w:color="auto" w:sz="4" w:space="0"/>
              <w:right w:val="nil"/>
            </w:tcBorders>
            <w:shd w:val="clear" w:color="auto" w:fill="auto"/>
            <w:vAlign w:val="center"/>
          </w:tcPr>
          <w:p w14:paraId="709E9C2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5CCAEF01">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7EE42844">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邮政业</w:t>
            </w:r>
          </w:p>
        </w:tc>
        <w:tc>
          <w:tcPr>
            <w:tcW w:w="725" w:type="pct"/>
            <w:tcBorders>
              <w:top w:val="nil"/>
              <w:left w:val="nil"/>
              <w:bottom w:val="nil"/>
              <w:right w:val="single" w:color="auto" w:sz="4" w:space="0"/>
            </w:tcBorders>
            <w:shd w:val="clear" w:color="auto" w:fill="auto"/>
            <w:vAlign w:val="center"/>
          </w:tcPr>
          <w:p w14:paraId="4C1DBF0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032A06F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40DF520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5D9AE6A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40994DF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3BE341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20D8A9BA">
        <w:tblPrEx>
          <w:tblCellMar>
            <w:top w:w="0" w:type="dxa"/>
            <w:left w:w="108" w:type="dxa"/>
            <w:bottom w:w="0" w:type="dxa"/>
            <w:right w:w="108" w:type="dxa"/>
          </w:tblCellMar>
        </w:tblPrEx>
        <w:trPr>
          <w:trHeight w:val="612" w:hRule="exact"/>
          <w:jc w:val="center"/>
        </w:trPr>
        <w:tc>
          <w:tcPr>
            <w:tcW w:w="1121" w:type="pct"/>
            <w:vMerge w:val="continue"/>
            <w:tcBorders>
              <w:top w:val="nil"/>
              <w:left w:val="nil"/>
              <w:bottom w:val="single" w:color="auto" w:sz="4" w:space="0"/>
              <w:right w:val="single" w:color="auto" w:sz="4" w:space="0"/>
            </w:tcBorders>
            <w:vAlign w:val="center"/>
          </w:tcPr>
          <w:p w14:paraId="3C63DDD2">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D682616">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78B35CC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E92DD3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11ECCF7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2000≤Y＜30000</w:t>
            </w:r>
          </w:p>
        </w:tc>
        <w:tc>
          <w:tcPr>
            <w:tcW w:w="756" w:type="pct"/>
            <w:tcBorders>
              <w:top w:val="nil"/>
              <w:left w:val="nil"/>
              <w:bottom w:val="single" w:color="auto" w:sz="4" w:space="0"/>
              <w:right w:val="single" w:color="auto" w:sz="4" w:space="0"/>
            </w:tcBorders>
            <w:shd w:val="clear" w:color="auto" w:fill="auto"/>
            <w:vAlign w:val="center"/>
          </w:tcPr>
          <w:p w14:paraId="18E8C66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1F1D51B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200705D">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698BA48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住宿业</w:t>
            </w:r>
          </w:p>
        </w:tc>
        <w:tc>
          <w:tcPr>
            <w:tcW w:w="725" w:type="pct"/>
            <w:tcBorders>
              <w:top w:val="nil"/>
              <w:left w:val="nil"/>
              <w:bottom w:val="nil"/>
              <w:right w:val="single" w:color="auto" w:sz="4" w:space="0"/>
            </w:tcBorders>
            <w:shd w:val="clear" w:color="auto" w:fill="auto"/>
            <w:vAlign w:val="center"/>
          </w:tcPr>
          <w:p w14:paraId="5C6EF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4079B1E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5BE7FA8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6887D398">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6CDEC9F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19DA3F9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4394227">
        <w:tblPrEx>
          <w:tblCellMar>
            <w:top w:w="0" w:type="dxa"/>
            <w:left w:w="108" w:type="dxa"/>
            <w:bottom w:w="0" w:type="dxa"/>
            <w:right w:w="108" w:type="dxa"/>
          </w:tblCellMar>
        </w:tblPrEx>
        <w:trPr>
          <w:trHeight w:val="540" w:hRule="exact"/>
          <w:jc w:val="center"/>
        </w:trPr>
        <w:tc>
          <w:tcPr>
            <w:tcW w:w="1121" w:type="pct"/>
            <w:vMerge w:val="continue"/>
            <w:tcBorders>
              <w:top w:val="nil"/>
              <w:left w:val="nil"/>
              <w:bottom w:val="single" w:color="auto" w:sz="4" w:space="0"/>
              <w:right w:val="single" w:color="auto" w:sz="4" w:space="0"/>
            </w:tcBorders>
            <w:vAlign w:val="center"/>
          </w:tcPr>
          <w:p w14:paraId="255F1EC9">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62C4C64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2CCCB75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4EF3216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3424A8F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6" w:type="pct"/>
            <w:tcBorders>
              <w:top w:val="nil"/>
              <w:left w:val="nil"/>
              <w:bottom w:val="single" w:color="auto" w:sz="4" w:space="0"/>
              <w:right w:val="single" w:color="auto" w:sz="4" w:space="0"/>
            </w:tcBorders>
            <w:shd w:val="clear" w:color="auto" w:fill="auto"/>
            <w:vAlign w:val="center"/>
          </w:tcPr>
          <w:p w14:paraId="7B54734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14F0D4C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290E8FBC">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F165C71">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餐饮业</w:t>
            </w:r>
          </w:p>
        </w:tc>
        <w:tc>
          <w:tcPr>
            <w:tcW w:w="725" w:type="pct"/>
            <w:tcBorders>
              <w:top w:val="nil"/>
              <w:left w:val="nil"/>
              <w:bottom w:val="nil"/>
              <w:right w:val="single" w:color="auto" w:sz="4" w:space="0"/>
            </w:tcBorders>
            <w:shd w:val="clear" w:color="auto" w:fill="auto"/>
            <w:vAlign w:val="center"/>
          </w:tcPr>
          <w:p w14:paraId="6665599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28D30E5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563F27F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523F73F8">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170A3D4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73046A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E3EB01F">
        <w:tblPrEx>
          <w:tblCellMar>
            <w:top w:w="0" w:type="dxa"/>
            <w:left w:w="108" w:type="dxa"/>
            <w:bottom w:w="0" w:type="dxa"/>
            <w:right w:w="108" w:type="dxa"/>
          </w:tblCellMar>
        </w:tblPrEx>
        <w:trPr>
          <w:trHeight w:val="598" w:hRule="exact"/>
          <w:jc w:val="center"/>
        </w:trPr>
        <w:tc>
          <w:tcPr>
            <w:tcW w:w="1121" w:type="pct"/>
            <w:vMerge w:val="continue"/>
            <w:tcBorders>
              <w:top w:val="nil"/>
              <w:left w:val="nil"/>
              <w:bottom w:val="single" w:color="auto" w:sz="4" w:space="0"/>
              <w:right w:val="single" w:color="auto" w:sz="4" w:space="0"/>
            </w:tcBorders>
            <w:vAlign w:val="center"/>
          </w:tcPr>
          <w:p w14:paraId="031C078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284BD0F">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4DD96CA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D59FA4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2252564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6" w:type="pct"/>
            <w:tcBorders>
              <w:top w:val="nil"/>
              <w:left w:val="nil"/>
              <w:bottom w:val="single" w:color="auto" w:sz="4" w:space="0"/>
              <w:right w:val="single" w:color="auto" w:sz="4" w:space="0"/>
            </w:tcBorders>
            <w:shd w:val="clear" w:color="auto" w:fill="auto"/>
            <w:vAlign w:val="center"/>
          </w:tcPr>
          <w:p w14:paraId="4C7950F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5C28BE2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575276C">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6226AA49">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信息传输业 *</w:t>
            </w:r>
          </w:p>
        </w:tc>
        <w:tc>
          <w:tcPr>
            <w:tcW w:w="725" w:type="pct"/>
            <w:tcBorders>
              <w:top w:val="nil"/>
              <w:left w:val="nil"/>
              <w:bottom w:val="nil"/>
              <w:right w:val="single" w:color="auto" w:sz="4" w:space="0"/>
            </w:tcBorders>
            <w:shd w:val="clear" w:color="auto" w:fill="auto"/>
            <w:vAlign w:val="center"/>
          </w:tcPr>
          <w:p w14:paraId="25E2BA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ED433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0AB5C4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X≥2000</w:t>
            </w:r>
          </w:p>
        </w:tc>
        <w:tc>
          <w:tcPr>
            <w:tcW w:w="901" w:type="pct"/>
            <w:tcBorders>
              <w:top w:val="nil"/>
              <w:left w:val="nil"/>
              <w:bottom w:val="nil"/>
              <w:right w:val="single" w:color="auto" w:sz="4" w:space="0"/>
            </w:tcBorders>
            <w:shd w:val="clear" w:color="auto" w:fill="auto"/>
            <w:vAlign w:val="center"/>
          </w:tcPr>
          <w:p w14:paraId="197F2CE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100≤X＜2000</w:t>
            </w:r>
          </w:p>
        </w:tc>
        <w:tc>
          <w:tcPr>
            <w:tcW w:w="756" w:type="pct"/>
            <w:tcBorders>
              <w:top w:val="nil"/>
              <w:left w:val="nil"/>
              <w:bottom w:val="nil"/>
              <w:right w:val="single" w:color="auto" w:sz="4" w:space="0"/>
            </w:tcBorders>
            <w:shd w:val="clear" w:color="auto" w:fill="auto"/>
            <w:vAlign w:val="center"/>
          </w:tcPr>
          <w:p w14:paraId="5F082A7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3554942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6E0BA73F">
        <w:tblPrEx>
          <w:tblCellMar>
            <w:top w:w="0" w:type="dxa"/>
            <w:left w:w="108" w:type="dxa"/>
            <w:bottom w:w="0" w:type="dxa"/>
            <w:right w:w="108" w:type="dxa"/>
          </w:tblCellMar>
        </w:tblPrEx>
        <w:trPr>
          <w:trHeight w:val="539" w:hRule="exact"/>
          <w:jc w:val="center"/>
        </w:trPr>
        <w:tc>
          <w:tcPr>
            <w:tcW w:w="1121" w:type="pct"/>
            <w:vMerge w:val="continue"/>
            <w:tcBorders>
              <w:top w:val="nil"/>
              <w:left w:val="nil"/>
              <w:bottom w:val="single" w:color="auto" w:sz="4" w:space="0"/>
              <w:right w:val="single" w:color="auto" w:sz="4" w:space="0"/>
            </w:tcBorders>
            <w:vAlign w:val="center"/>
          </w:tcPr>
          <w:p w14:paraId="628CFDA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698AF9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1382F9D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BE5A43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Y≥100000</w:t>
            </w:r>
          </w:p>
        </w:tc>
        <w:tc>
          <w:tcPr>
            <w:tcW w:w="901" w:type="pct"/>
            <w:tcBorders>
              <w:top w:val="nil"/>
              <w:left w:val="nil"/>
              <w:bottom w:val="single" w:color="auto" w:sz="4" w:space="0"/>
              <w:right w:val="single" w:color="auto" w:sz="4" w:space="0"/>
            </w:tcBorders>
            <w:shd w:val="clear" w:color="auto" w:fill="auto"/>
            <w:vAlign w:val="center"/>
          </w:tcPr>
          <w:p w14:paraId="3317A58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1000≤Y＜100000</w:t>
            </w:r>
          </w:p>
        </w:tc>
        <w:tc>
          <w:tcPr>
            <w:tcW w:w="756" w:type="pct"/>
            <w:tcBorders>
              <w:top w:val="nil"/>
              <w:left w:val="nil"/>
              <w:bottom w:val="single" w:color="auto" w:sz="4" w:space="0"/>
              <w:right w:val="single" w:color="auto" w:sz="4" w:space="0"/>
            </w:tcBorders>
            <w:shd w:val="clear" w:color="auto" w:fill="auto"/>
            <w:vAlign w:val="center"/>
          </w:tcPr>
          <w:p w14:paraId="0F1A4FC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single" w:color="auto" w:sz="4" w:space="0"/>
              <w:right w:val="nil"/>
            </w:tcBorders>
            <w:shd w:val="clear" w:color="auto" w:fill="auto"/>
            <w:vAlign w:val="center"/>
          </w:tcPr>
          <w:p w14:paraId="7F5996B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7210C39">
        <w:tblPrEx>
          <w:tblCellMar>
            <w:top w:w="0" w:type="dxa"/>
            <w:left w:w="108" w:type="dxa"/>
            <w:bottom w:w="0" w:type="dxa"/>
            <w:right w:w="108" w:type="dxa"/>
          </w:tblCellMar>
        </w:tblPrEx>
        <w:trPr>
          <w:trHeight w:val="351" w:hRule="exact"/>
          <w:jc w:val="center"/>
        </w:trPr>
        <w:tc>
          <w:tcPr>
            <w:tcW w:w="1121" w:type="pct"/>
            <w:vMerge w:val="restart"/>
            <w:tcBorders>
              <w:top w:val="single" w:color="auto" w:sz="4" w:space="0"/>
              <w:left w:val="nil"/>
              <w:bottom w:val="single" w:color="auto" w:sz="4" w:space="0"/>
              <w:right w:val="single" w:color="auto" w:sz="4" w:space="0"/>
            </w:tcBorders>
            <w:shd w:val="clear" w:color="auto" w:fill="auto"/>
            <w:vAlign w:val="center"/>
          </w:tcPr>
          <w:p w14:paraId="45B417F5">
            <w:pPr>
              <w:keepNext w:val="0"/>
              <w:keepLines w:val="0"/>
              <w:suppressLineNumbers w:val="0"/>
              <w:spacing w:before="0" w:beforeAutospacing="0" w:after="0" w:afterAutospacing="0" w:line="240" w:lineRule="exact"/>
              <w:ind w:left="0" w:right="0"/>
              <w:rPr>
                <w:rFonts w:hint="eastAsia" w:ascii="宋体" w:hAnsi="宋体" w:eastAsia="宋体" w:cs="宋体"/>
                <w:color w:val="000000"/>
                <w:spacing w:val="-12"/>
                <w:sz w:val="21"/>
                <w:szCs w:val="21"/>
              </w:rPr>
            </w:pPr>
            <w:r>
              <w:rPr>
                <w:rFonts w:hint="eastAsia" w:ascii="宋体" w:hAnsi="宋体" w:eastAsia="宋体" w:cs="宋体"/>
                <w:color w:val="000000"/>
                <w:spacing w:val="-12"/>
                <w:sz w:val="21"/>
                <w:szCs w:val="21"/>
              </w:rPr>
              <w:t>软件和信息技术服</w:t>
            </w:r>
            <w:r>
              <w:rPr>
                <w:rFonts w:hint="eastAsia" w:ascii="宋体" w:hAnsi="宋体" w:eastAsia="宋体" w:cs="宋体"/>
                <w:color w:val="000000"/>
                <w:sz w:val="21"/>
                <w:szCs w:val="21"/>
              </w:rPr>
              <w:t>务业</w:t>
            </w:r>
          </w:p>
        </w:tc>
        <w:tc>
          <w:tcPr>
            <w:tcW w:w="725" w:type="pct"/>
            <w:tcBorders>
              <w:top w:val="nil"/>
              <w:left w:val="nil"/>
              <w:bottom w:val="nil"/>
              <w:right w:val="single" w:color="auto" w:sz="4" w:space="0"/>
            </w:tcBorders>
            <w:shd w:val="clear" w:color="auto" w:fill="auto"/>
            <w:vAlign w:val="center"/>
          </w:tcPr>
          <w:p w14:paraId="2D4225B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97ADFE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B1BCB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51D17C8C">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02891ED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0E55861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84D51DB">
        <w:tblPrEx>
          <w:tblCellMar>
            <w:top w:w="0" w:type="dxa"/>
            <w:left w:w="108" w:type="dxa"/>
            <w:bottom w:w="0" w:type="dxa"/>
            <w:right w:w="108" w:type="dxa"/>
          </w:tblCellMar>
        </w:tblPrEx>
        <w:trPr>
          <w:trHeight w:val="523" w:hRule="exact"/>
          <w:jc w:val="center"/>
        </w:trPr>
        <w:tc>
          <w:tcPr>
            <w:tcW w:w="1121" w:type="pct"/>
            <w:vMerge w:val="continue"/>
            <w:tcBorders>
              <w:top w:val="single" w:color="auto" w:sz="4" w:space="0"/>
              <w:left w:val="nil"/>
              <w:bottom w:val="single" w:color="auto" w:sz="4" w:space="0"/>
              <w:right w:val="single" w:color="auto" w:sz="4" w:space="0"/>
            </w:tcBorders>
            <w:vAlign w:val="center"/>
          </w:tcPr>
          <w:p w14:paraId="61B7FD76">
            <w:pPr>
              <w:keepNext w:val="0"/>
              <w:keepLines w:val="0"/>
              <w:suppressLineNumbers w:val="0"/>
              <w:spacing w:before="0" w:beforeAutospacing="0" w:after="0" w:afterAutospacing="0"/>
              <w:ind w:left="0" w:right="0"/>
              <w:rPr>
                <w:rFonts w:hint="eastAsia" w:ascii="宋体" w:hAnsi="宋体" w:eastAsia="宋体" w:cs="宋体"/>
                <w:color w:val="000000"/>
                <w:spacing w:val="-12"/>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8F14E6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46C8D6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20E34C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29C41C5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1000≤Y＜10000</w:t>
            </w:r>
          </w:p>
        </w:tc>
        <w:tc>
          <w:tcPr>
            <w:tcW w:w="756" w:type="pct"/>
            <w:tcBorders>
              <w:top w:val="nil"/>
              <w:left w:val="nil"/>
              <w:bottom w:val="single" w:color="auto" w:sz="4" w:space="0"/>
              <w:right w:val="single" w:color="auto" w:sz="4" w:space="0"/>
            </w:tcBorders>
            <w:shd w:val="clear" w:color="auto" w:fill="auto"/>
            <w:vAlign w:val="center"/>
          </w:tcPr>
          <w:p w14:paraId="30D5967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50≤Y＜1000</w:t>
            </w:r>
          </w:p>
        </w:tc>
        <w:tc>
          <w:tcPr>
            <w:tcW w:w="524" w:type="pct"/>
            <w:tcBorders>
              <w:top w:val="nil"/>
              <w:left w:val="nil"/>
              <w:bottom w:val="single" w:color="auto" w:sz="4" w:space="0"/>
              <w:right w:val="nil"/>
            </w:tcBorders>
            <w:shd w:val="clear" w:color="auto" w:fill="auto"/>
            <w:vAlign w:val="center"/>
          </w:tcPr>
          <w:p w14:paraId="3AD7B85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602EC54F">
        <w:tblPrEx>
          <w:tblCellMar>
            <w:top w:w="0" w:type="dxa"/>
            <w:left w:w="108" w:type="dxa"/>
            <w:bottom w:w="0" w:type="dxa"/>
            <w:right w:w="108" w:type="dxa"/>
          </w:tblCellMar>
        </w:tblPrEx>
        <w:trPr>
          <w:trHeight w:val="493"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481C872B">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房地产开发经营</w:t>
            </w:r>
          </w:p>
        </w:tc>
        <w:tc>
          <w:tcPr>
            <w:tcW w:w="725" w:type="pct"/>
            <w:tcBorders>
              <w:top w:val="nil"/>
              <w:left w:val="nil"/>
              <w:bottom w:val="nil"/>
              <w:right w:val="single" w:color="auto" w:sz="4" w:space="0"/>
            </w:tcBorders>
            <w:shd w:val="clear" w:color="auto" w:fill="auto"/>
            <w:vAlign w:val="center"/>
          </w:tcPr>
          <w:p w14:paraId="45CCA4E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nil"/>
              <w:right w:val="single" w:color="auto" w:sz="4" w:space="0"/>
            </w:tcBorders>
            <w:shd w:val="clear" w:color="auto" w:fill="auto"/>
            <w:vAlign w:val="center"/>
          </w:tcPr>
          <w:p w14:paraId="57584D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nil"/>
              <w:right w:val="single" w:color="auto" w:sz="4" w:space="0"/>
            </w:tcBorders>
            <w:shd w:val="clear" w:color="auto" w:fill="auto"/>
            <w:vAlign w:val="center"/>
          </w:tcPr>
          <w:p w14:paraId="22560B0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Y≥200000</w:t>
            </w:r>
          </w:p>
        </w:tc>
        <w:tc>
          <w:tcPr>
            <w:tcW w:w="901" w:type="pct"/>
            <w:tcBorders>
              <w:top w:val="nil"/>
              <w:left w:val="nil"/>
              <w:bottom w:val="nil"/>
              <w:right w:val="single" w:color="auto" w:sz="4" w:space="0"/>
            </w:tcBorders>
            <w:shd w:val="clear" w:color="auto" w:fill="auto"/>
            <w:vAlign w:val="center"/>
          </w:tcPr>
          <w:p w14:paraId="1CF8A84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1000≤Y＜200000</w:t>
            </w:r>
          </w:p>
        </w:tc>
        <w:tc>
          <w:tcPr>
            <w:tcW w:w="756" w:type="pct"/>
            <w:tcBorders>
              <w:top w:val="nil"/>
              <w:left w:val="nil"/>
              <w:bottom w:val="nil"/>
              <w:right w:val="single" w:color="auto" w:sz="4" w:space="0"/>
            </w:tcBorders>
            <w:shd w:val="clear" w:color="auto" w:fill="auto"/>
            <w:vAlign w:val="center"/>
          </w:tcPr>
          <w:p w14:paraId="110E573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nil"/>
              <w:right w:val="nil"/>
            </w:tcBorders>
            <w:shd w:val="clear" w:color="auto" w:fill="auto"/>
            <w:vAlign w:val="center"/>
          </w:tcPr>
          <w:p w14:paraId="775C602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0A1D483">
        <w:tblPrEx>
          <w:tblCellMar>
            <w:top w:w="0" w:type="dxa"/>
            <w:left w:w="108" w:type="dxa"/>
            <w:bottom w:w="0" w:type="dxa"/>
            <w:right w:w="108" w:type="dxa"/>
          </w:tblCellMar>
        </w:tblPrEx>
        <w:trPr>
          <w:trHeight w:val="523" w:hRule="exact"/>
          <w:jc w:val="center"/>
        </w:trPr>
        <w:tc>
          <w:tcPr>
            <w:tcW w:w="1121" w:type="pct"/>
            <w:vMerge w:val="continue"/>
            <w:tcBorders>
              <w:top w:val="nil"/>
              <w:left w:val="nil"/>
              <w:bottom w:val="single" w:color="auto" w:sz="4" w:space="0"/>
              <w:right w:val="single" w:color="auto" w:sz="4" w:space="0"/>
            </w:tcBorders>
            <w:vAlign w:val="center"/>
          </w:tcPr>
          <w:p w14:paraId="7318124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05C6336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4036377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7F8A5B4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Z≥10000</w:t>
            </w:r>
          </w:p>
        </w:tc>
        <w:tc>
          <w:tcPr>
            <w:tcW w:w="901" w:type="pct"/>
            <w:tcBorders>
              <w:top w:val="nil"/>
              <w:left w:val="nil"/>
              <w:bottom w:val="single" w:color="auto" w:sz="4" w:space="0"/>
              <w:right w:val="single" w:color="auto" w:sz="4" w:space="0"/>
            </w:tcBorders>
            <w:shd w:val="clear" w:color="auto" w:fill="auto"/>
            <w:vAlign w:val="center"/>
          </w:tcPr>
          <w:p w14:paraId="33E1CA9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5000≤Z＜10000</w:t>
            </w:r>
          </w:p>
        </w:tc>
        <w:tc>
          <w:tcPr>
            <w:tcW w:w="756" w:type="pct"/>
            <w:tcBorders>
              <w:top w:val="nil"/>
              <w:left w:val="nil"/>
              <w:bottom w:val="single" w:color="auto" w:sz="4" w:space="0"/>
              <w:right w:val="single" w:color="auto" w:sz="4" w:space="0"/>
            </w:tcBorders>
            <w:shd w:val="clear" w:color="auto" w:fill="auto"/>
            <w:vAlign w:val="center"/>
          </w:tcPr>
          <w:p w14:paraId="6E2F923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2000≤Z＜5000</w:t>
            </w:r>
          </w:p>
        </w:tc>
        <w:tc>
          <w:tcPr>
            <w:tcW w:w="524" w:type="pct"/>
            <w:tcBorders>
              <w:top w:val="nil"/>
              <w:left w:val="nil"/>
              <w:bottom w:val="single" w:color="auto" w:sz="4" w:space="0"/>
              <w:right w:val="nil"/>
            </w:tcBorders>
            <w:shd w:val="clear" w:color="auto" w:fill="auto"/>
            <w:vAlign w:val="center"/>
          </w:tcPr>
          <w:p w14:paraId="0AA13F7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Z＜2000</w:t>
            </w:r>
          </w:p>
        </w:tc>
      </w:tr>
      <w:tr w14:paraId="52DD8552">
        <w:tblPrEx>
          <w:tblCellMar>
            <w:top w:w="0" w:type="dxa"/>
            <w:left w:w="108" w:type="dxa"/>
            <w:bottom w:w="0" w:type="dxa"/>
            <w:right w:w="108" w:type="dxa"/>
          </w:tblCellMar>
        </w:tblPrEx>
        <w:trPr>
          <w:trHeight w:val="351"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4FE9FA7">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物业管理</w:t>
            </w:r>
          </w:p>
        </w:tc>
        <w:tc>
          <w:tcPr>
            <w:tcW w:w="725" w:type="pct"/>
            <w:tcBorders>
              <w:top w:val="nil"/>
              <w:left w:val="nil"/>
              <w:bottom w:val="nil"/>
              <w:right w:val="single" w:color="auto" w:sz="4" w:space="0"/>
            </w:tcBorders>
            <w:shd w:val="clear" w:color="auto" w:fill="auto"/>
            <w:vAlign w:val="center"/>
          </w:tcPr>
          <w:p w14:paraId="7630060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539C3C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910EF2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4FC6582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727C294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524" w:type="pct"/>
            <w:tcBorders>
              <w:top w:val="nil"/>
              <w:left w:val="nil"/>
              <w:bottom w:val="nil"/>
              <w:right w:val="nil"/>
            </w:tcBorders>
            <w:shd w:val="clear" w:color="auto" w:fill="auto"/>
            <w:vAlign w:val="center"/>
          </w:tcPr>
          <w:p w14:paraId="14AE39A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w:t>
            </w:r>
          </w:p>
        </w:tc>
      </w:tr>
      <w:tr w14:paraId="13B76433">
        <w:tblPrEx>
          <w:tblCellMar>
            <w:top w:w="0" w:type="dxa"/>
            <w:left w:w="108" w:type="dxa"/>
            <w:bottom w:w="0" w:type="dxa"/>
            <w:right w:w="108" w:type="dxa"/>
          </w:tblCellMar>
        </w:tblPrEx>
        <w:trPr>
          <w:trHeight w:val="523" w:hRule="exact"/>
          <w:jc w:val="center"/>
        </w:trPr>
        <w:tc>
          <w:tcPr>
            <w:tcW w:w="1121" w:type="pct"/>
            <w:vMerge w:val="continue"/>
            <w:tcBorders>
              <w:top w:val="nil"/>
              <w:left w:val="nil"/>
              <w:bottom w:val="single" w:color="auto" w:sz="4" w:space="0"/>
              <w:right w:val="single" w:color="auto" w:sz="4" w:space="0"/>
            </w:tcBorders>
            <w:vAlign w:val="center"/>
          </w:tcPr>
          <w:p w14:paraId="1A68BC5E">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16BA7C3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51610F9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799D96E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Y≥5000</w:t>
            </w:r>
          </w:p>
        </w:tc>
        <w:tc>
          <w:tcPr>
            <w:tcW w:w="901" w:type="pct"/>
            <w:tcBorders>
              <w:top w:val="nil"/>
              <w:left w:val="nil"/>
              <w:bottom w:val="single" w:color="auto" w:sz="4" w:space="0"/>
              <w:right w:val="single" w:color="auto" w:sz="4" w:space="0"/>
            </w:tcBorders>
            <w:shd w:val="clear" w:color="auto" w:fill="auto"/>
            <w:vAlign w:val="center"/>
          </w:tcPr>
          <w:p w14:paraId="37E7E745">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1000≤Y＜5000 </w:t>
            </w:r>
          </w:p>
        </w:tc>
        <w:tc>
          <w:tcPr>
            <w:tcW w:w="756" w:type="pct"/>
            <w:tcBorders>
              <w:top w:val="nil"/>
              <w:left w:val="nil"/>
              <w:bottom w:val="single" w:color="auto" w:sz="4" w:space="0"/>
              <w:right w:val="single" w:color="auto" w:sz="4" w:space="0"/>
            </w:tcBorders>
            <w:shd w:val="clear" w:color="auto" w:fill="auto"/>
            <w:vAlign w:val="center"/>
          </w:tcPr>
          <w:p w14:paraId="4731D9D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500≤Y＜1000</w:t>
            </w:r>
          </w:p>
        </w:tc>
        <w:tc>
          <w:tcPr>
            <w:tcW w:w="524" w:type="pct"/>
            <w:tcBorders>
              <w:top w:val="nil"/>
              <w:left w:val="nil"/>
              <w:bottom w:val="single" w:color="auto" w:sz="4" w:space="0"/>
              <w:right w:val="nil"/>
            </w:tcBorders>
            <w:shd w:val="clear" w:color="auto" w:fill="auto"/>
            <w:vAlign w:val="center"/>
          </w:tcPr>
          <w:p w14:paraId="29AC619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w:t>
            </w:r>
          </w:p>
        </w:tc>
      </w:tr>
      <w:tr w14:paraId="3BA7E760">
        <w:tblPrEx>
          <w:tblCellMar>
            <w:top w:w="0" w:type="dxa"/>
            <w:left w:w="108" w:type="dxa"/>
            <w:bottom w:w="0" w:type="dxa"/>
            <w:right w:w="108" w:type="dxa"/>
          </w:tblCellMar>
        </w:tblPrEx>
        <w:trPr>
          <w:trHeight w:val="351"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27199F9B">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租赁和商务服务业</w:t>
            </w:r>
          </w:p>
        </w:tc>
        <w:tc>
          <w:tcPr>
            <w:tcW w:w="725" w:type="pct"/>
            <w:tcBorders>
              <w:top w:val="nil"/>
              <w:left w:val="nil"/>
              <w:bottom w:val="nil"/>
              <w:right w:val="single" w:color="auto" w:sz="4" w:space="0"/>
            </w:tcBorders>
            <w:shd w:val="clear" w:color="auto" w:fill="auto"/>
            <w:vAlign w:val="center"/>
          </w:tcPr>
          <w:p w14:paraId="463D482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1C35B23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2F820C7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32D65003">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4818E20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643E368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B226B3D">
        <w:tblPrEx>
          <w:tblCellMar>
            <w:top w:w="0" w:type="dxa"/>
            <w:left w:w="108" w:type="dxa"/>
            <w:bottom w:w="0" w:type="dxa"/>
            <w:right w:w="108" w:type="dxa"/>
          </w:tblCellMar>
        </w:tblPrEx>
        <w:trPr>
          <w:trHeight w:val="510" w:hRule="exact"/>
          <w:jc w:val="center"/>
        </w:trPr>
        <w:tc>
          <w:tcPr>
            <w:tcW w:w="1121" w:type="pct"/>
            <w:vMerge w:val="continue"/>
            <w:tcBorders>
              <w:top w:val="nil"/>
              <w:left w:val="nil"/>
              <w:bottom w:val="single" w:color="auto" w:sz="4" w:space="0"/>
              <w:right w:val="single" w:color="auto" w:sz="4" w:space="0"/>
            </w:tcBorders>
            <w:vAlign w:val="center"/>
          </w:tcPr>
          <w:p w14:paraId="52835203">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134416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175AB97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297D50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Z≥120000</w:t>
            </w:r>
          </w:p>
        </w:tc>
        <w:tc>
          <w:tcPr>
            <w:tcW w:w="901" w:type="pct"/>
            <w:tcBorders>
              <w:top w:val="nil"/>
              <w:left w:val="nil"/>
              <w:bottom w:val="single" w:color="auto" w:sz="4" w:space="0"/>
              <w:right w:val="single" w:color="auto" w:sz="4" w:space="0"/>
            </w:tcBorders>
            <w:shd w:val="clear" w:color="auto" w:fill="auto"/>
            <w:vAlign w:val="center"/>
          </w:tcPr>
          <w:p w14:paraId="3A78E3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8000≤Z＜120000</w:t>
            </w:r>
          </w:p>
        </w:tc>
        <w:tc>
          <w:tcPr>
            <w:tcW w:w="756" w:type="pct"/>
            <w:tcBorders>
              <w:top w:val="nil"/>
              <w:left w:val="nil"/>
              <w:bottom w:val="single" w:color="auto" w:sz="4" w:space="0"/>
              <w:right w:val="single" w:color="auto" w:sz="4" w:space="0"/>
            </w:tcBorders>
            <w:shd w:val="clear" w:color="auto" w:fill="auto"/>
            <w:vAlign w:val="center"/>
          </w:tcPr>
          <w:p w14:paraId="2B6A71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100≤Z＜8000</w:t>
            </w:r>
          </w:p>
        </w:tc>
        <w:tc>
          <w:tcPr>
            <w:tcW w:w="524" w:type="pct"/>
            <w:tcBorders>
              <w:top w:val="nil"/>
              <w:left w:val="nil"/>
              <w:bottom w:val="single" w:color="auto" w:sz="4" w:space="0"/>
              <w:right w:val="nil"/>
            </w:tcBorders>
            <w:shd w:val="clear" w:color="auto" w:fill="auto"/>
            <w:vAlign w:val="center"/>
          </w:tcPr>
          <w:p w14:paraId="47A346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w:t>
            </w:r>
          </w:p>
        </w:tc>
      </w:tr>
      <w:tr w14:paraId="2C1E9CB7">
        <w:tblPrEx>
          <w:tblCellMar>
            <w:top w:w="0" w:type="dxa"/>
            <w:left w:w="108" w:type="dxa"/>
            <w:bottom w:w="0" w:type="dxa"/>
            <w:right w:w="108" w:type="dxa"/>
          </w:tblCellMar>
        </w:tblPrEx>
        <w:trPr>
          <w:trHeight w:val="720" w:hRule="exact"/>
          <w:jc w:val="center"/>
        </w:trPr>
        <w:tc>
          <w:tcPr>
            <w:tcW w:w="1121" w:type="pct"/>
            <w:tcBorders>
              <w:top w:val="nil"/>
              <w:left w:val="nil"/>
              <w:bottom w:val="single" w:color="auto" w:sz="4" w:space="0"/>
              <w:right w:val="single" w:color="auto" w:sz="4" w:space="0"/>
            </w:tcBorders>
            <w:shd w:val="clear" w:color="auto" w:fill="auto"/>
            <w:vAlign w:val="center"/>
          </w:tcPr>
          <w:p w14:paraId="5684BF9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其他未列明行业 *</w:t>
            </w:r>
          </w:p>
        </w:tc>
        <w:tc>
          <w:tcPr>
            <w:tcW w:w="725" w:type="pct"/>
            <w:tcBorders>
              <w:top w:val="nil"/>
              <w:left w:val="nil"/>
              <w:bottom w:val="single" w:color="auto" w:sz="4" w:space="0"/>
              <w:right w:val="single" w:color="auto" w:sz="4" w:space="0"/>
            </w:tcBorders>
            <w:shd w:val="clear" w:color="auto" w:fill="auto"/>
            <w:vAlign w:val="center"/>
          </w:tcPr>
          <w:p w14:paraId="2BE196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single" w:color="auto" w:sz="4" w:space="0"/>
              <w:right w:val="single" w:color="auto" w:sz="4" w:space="0"/>
            </w:tcBorders>
            <w:shd w:val="clear" w:color="auto" w:fill="auto"/>
            <w:vAlign w:val="center"/>
          </w:tcPr>
          <w:p w14:paraId="27854EA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single" w:color="auto" w:sz="4" w:space="0"/>
              <w:right w:val="single" w:color="auto" w:sz="4" w:space="0"/>
            </w:tcBorders>
            <w:shd w:val="clear" w:color="auto" w:fill="auto"/>
            <w:vAlign w:val="center"/>
          </w:tcPr>
          <w:p w14:paraId="3D5F863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single" w:color="auto" w:sz="4" w:space="0"/>
              <w:right w:val="single" w:color="auto" w:sz="4" w:space="0"/>
            </w:tcBorders>
            <w:shd w:val="clear" w:color="auto" w:fill="auto"/>
            <w:vAlign w:val="center"/>
          </w:tcPr>
          <w:p w14:paraId="0C1E1D9E">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single" w:color="auto" w:sz="4" w:space="0"/>
              <w:right w:val="single" w:color="auto" w:sz="4" w:space="0"/>
            </w:tcBorders>
            <w:shd w:val="clear" w:color="auto" w:fill="auto"/>
            <w:vAlign w:val="center"/>
          </w:tcPr>
          <w:p w14:paraId="6BCAF46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single" w:color="auto" w:sz="4" w:space="0"/>
              <w:right w:val="nil"/>
            </w:tcBorders>
            <w:shd w:val="clear" w:color="auto" w:fill="auto"/>
            <w:vAlign w:val="center"/>
          </w:tcPr>
          <w:p w14:paraId="10286CB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bl>
    <w:p w14:paraId="3EA04559">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说明：</w:t>
      </w:r>
    </w:p>
    <w:p w14:paraId="1466E79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1.大型、中型和小型企业须同时满足所列指标的下限，否则下划一档；微型企业只须满足所列指标中的一项即可。</w:t>
      </w:r>
    </w:p>
    <w:p w14:paraId="40C76877">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F33104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FCBB8AC">
      <w:pPr>
        <w:spacing w:line="240" w:lineRule="exact"/>
        <w:ind w:firstLine="360" w:firstLineChars="200"/>
        <w:rPr>
          <w:rFonts w:hint="eastAsia" w:ascii="宋体" w:hAnsi="宋体" w:cs="宋体"/>
          <w:color w:val="000000"/>
          <w:sz w:val="18"/>
          <w:szCs w:val="18"/>
          <w:lang w:val="en-US" w:eastAsia="zh-CN"/>
        </w:rPr>
      </w:pPr>
    </w:p>
    <w:p w14:paraId="02D963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Theme="minorHAnsi" w:hAnsiTheme="minorHAnsi" w:eastAsiaTheme="minorEastAsia" w:cstheme="minorBidi"/>
          <w:b/>
          <w:color w:val="auto"/>
          <w:kern w:val="2"/>
          <w:sz w:val="21"/>
          <w:szCs w:val="24"/>
          <w:lang w:val="en-US" w:eastAsia="zh-CN" w:bidi="ar-SA"/>
        </w:rPr>
      </w:pPr>
      <w:r>
        <w:rPr>
          <w:rFonts w:hint="eastAsia" w:asciiTheme="minorHAnsi" w:hAnsiTheme="minorHAnsi" w:eastAsiaTheme="minorEastAsia" w:cstheme="minorBidi"/>
          <w:b/>
          <w:color w:val="auto"/>
          <w:kern w:val="2"/>
          <w:sz w:val="21"/>
          <w:szCs w:val="24"/>
          <w:lang w:val="en-US" w:eastAsia="zh-CN" w:bidi="ar-SA"/>
        </w:rPr>
        <w:t>4、国务院办公厅关于在政府采购中实施本国产品标准及相关政策的通知</w:t>
      </w:r>
    </w:p>
    <w:p w14:paraId="55FC967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i w:val="0"/>
          <w:iCs w:val="0"/>
          <w:caps w:val="0"/>
          <w:color w:val="333333"/>
          <w:spacing w:val="0"/>
          <w:sz w:val="21"/>
          <w:szCs w:val="21"/>
          <w:shd w:val="clear" w:color="auto" w:fill="FFFFFF"/>
        </w:rPr>
      </w:pPr>
      <w:r>
        <w:rPr>
          <w:rFonts w:ascii="楷体_GB2312" w:hAnsi="楷体_GB2312" w:eastAsia="楷体_GB2312" w:cs="楷体_GB2312"/>
          <w:i w:val="0"/>
          <w:iCs w:val="0"/>
          <w:caps w:val="0"/>
          <w:color w:val="333333"/>
          <w:spacing w:val="0"/>
          <w:sz w:val="21"/>
          <w:szCs w:val="21"/>
          <w:shd w:val="clear" w:color="auto" w:fill="FFFFFF"/>
        </w:rPr>
        <w:t>国办发〔2025〕34号</w:t>
      </w:r>
      <w:r>
        <w:rPr>
          <w:rFonts w:hint="eastAsia" w:ascii="宋体" w:hAnsi="宋体" w:eastAsia="宋体" w:cs="宋体"/>
          <w:i w:val="0"/>
          <w:iCs w:val="0"/>
          <w:caps w:val="0"/>
          <w:color w:val="333333"/>
          <w:spacing w:val="0"/>
          <w:sz w:val="21"/>
          <w:szCs w:val="21"/>
          <w:shd w:val="clear" w:color="auto" w:fill="FFFFFF"/>
        </w:rPr>
        <w:t>  </w:t>
      </w:r>
    </w:p>
    <w:p w14:paraId="70BF84B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各省、自治区、直辖市人民政府，国务院各部委、各直属机构：</w:t>
      </w:r>
    </w:p>
    <w:p w14:paraId="36700AB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5B1209F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一、本国产品标准</w:t>
      </w:r>
    </w:p>
    <w:p w14:paraId="53A7DA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本国产品应当符合以下条件：</w:t>
      </w:r>
    </w:p>
    <w:p w14:paraId="07811D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（一）在中国境内生产</w:t>
      </w:r>
    </w:p>
    <w:p w14:paraId="1D0B8DE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产品应当在中国境内生产，即在中华人民共和国关境内实现从原材料、组件到产品的属性改变。</w:t>
      </w:r>
    </w:p>
    <w:p w14:paraId="5218A7F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属性改变是指经过制造、加工或者组装等工序，产生完全不同于原材料、组件的新产品，并具有新的名称和特征（用途）。属性改变不包括以下细微操作：</w:t>
      </w:r>
    </w:p>
    <w:p w14:paraId="7583F37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1.为确保产品在运输或者储存期间保持某种状态而进行的操作；</w:t>
      </w:r>
    </w:p>
    <w:p w14:paraId="7C9D155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2.为产品运输或者销售进行的包装或者展示；</w:t>
      </w:r>
    </w:p>
    <w:p w14:paraId="5C7ABA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3.在产品或者其包装上粘贴或者印刷品牌、标志、标识以及其他用于区别的标记；</w:t>
      </w:r>
    </w:p>
    <w:p w14:paraId="1C3EDEF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4.简单的上漆、磨光和分装；</w:t>
      </w:r>
    </w:p>
    <w:p w14:paraId="4E6615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5.其他不属于属性改变的情形。</w:t>
      </w:r>
    </w:p>
    <w:p w14:paraId="1A548C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（二）在中国境内生产的组件成本占比达到规定比例</w:t>
      </w:r>
    </w:p>
    <w:p w14:paraId="5A44497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产品在中国境内生产的组件成本占比应当达到规定比例，计算公式为：</w:t>
      </w:r>
    </w:p>
    <w:p w14:paraId="748F95A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drawing>
          <wp:inline distT="0" distB="0" distL="114300" distR="114300">
            <wp:extent cx="2733675" cy="390525"/>
            <wp:effectExtent l="0" t="0" r="9525" b="9525"/>
            <wp:docPr id="6" name="图片 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9"/>
                    <pic:cNvPicPr>
                      <a:picLocks noChangeAspect="1"/>
                    </pic:cNvPicPr>
                  </pic:nvPicPr>
                  <pic:blipFill>
                    <a:blip r:embed="rId7"/>
                    <a:stretch>
                      <a:fillRect/>
                    </a:stretch>
                  </pic:blipFill>
                  <pic:spPr>
                    <a:xfrm>
                      <a:off x="0" y="0"/>
                      <a:ext cx="2733675" cy="390525"/>
                    </a:xfrm>
                    <a:prstGeom prst="rect">
                      <a:avLst/>
                    </a:prstGeom>
                    <a:noFill/>
                    <a:ln>
                      <a:noFill/>
                    </a:ln>
                  </pic:spPr>
                </pic:pic>
              </a:graphicData>
            </a:graphic>
          </wp:inline>
        </w:drawing>
      </w:r>
    </w:p>
    <w:p w14:paraId="2B92452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023538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（三）特定产品的关键组件、关键工序符合相关要求</w:t>
      </w:r>
    </w:p>
    <w:p w14:paraId="0773D6E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对特定产品，在符合本通知第一条第（一）项和第（二）项条件的基础上，应当符合财政部会同有关行业主管部门确定的其关键组件、关键工序在中国境内生产、完成等要求。</w:t>
      </w:r>
    </w:p>
    <w:p w14:paraId="0964E0E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318A66A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二、本国产品标准的适用范围</w:t>
      </w:r>
    </w:p>
    <w:p w14:paraId="79720E0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b/>
          <w:bCs/>
          <w:i w:val="0"/>
          <w:iCs w:val="0"/>
          <w:caps w:val="0"/>
          <w:color w:val="FF0000"/>
          <w:spacing w:val="0"/>
          <w:sz w:val="21"/>
          <w:szCs w:val="21"/>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8CBB4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三、对本国产品的支持政策</w:t>
      </w:r>
    </w:p>
    <w:p w14:paraId="73E0980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政府采购活动中既有本国产品又有非本国产品参与竞争的，依法对本国产品给予价格评审优惠，对本国产品的报价给予20%的价格扣除，用扣除后的价格参与评审。</w:t>
      </w:r>
    </w:p>
    <w:p w14:paraId="6DD2802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A3CCF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四、政策执行要求</w:t>
      </w:r>
    </w:p>
    <w:p w14:paraId="36C4A40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（一）产品在中国境内生产的组件成本核算规则。产品在中国境内生产的组件成本，按照《中国境内生产的组件成本核算基本规则》（见附件1）计算。</w:t>
      </w:r>
    </w:p>
    <w:p w14:paraId="4129D21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1AF4E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采购人、采购代理机构应当随中标、成交结果同时公告中标、成交供应商提供的《声明函》或有关证明文件。</w:t>
      </w:r>
    </w:p>
    <w:p w14:paraId="2BF9FB3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4F4E69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（四）中华人民共和国缔结或者共同参加的国际条约、协定对政府采购中本国产品政策另有规定的，按照有关条约、协定执行。</w:t>
      </w:r>
    </w:p>
    <w:p w14:paraId="27676B5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五、争议处理</w:t>
      </w:r>
    </w:p>
    <w:p w14:paraId="381B739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494866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（一）政府采购投诉处理、监督检查中，对产品或组件是否在中国境内生产存在争议的，按照以下原则处理：</w:t>
      </w:r>
    </w:p>
    <w:p w14:paraId="4BD7AB2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438A4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0EF985A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616ACB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07A1C41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0B6062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本通知自2026年1月1日起施行。</w:t>
      </w:r>
    </w:p>
    <w:p w14:paraId="5361AEB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附件：1.中国境内生产的组件成本核算基本规则</w:t>
      </w:r>
    </w:p>
    <w:p w14:paraId="6178648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　　　2.关于符合本国产品标准的声明函</w:t>
      </w:r>
    </w:p>
    <w:p w14:paraId="7289F6B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国务院办公厅         </w:t>
      </w:r>
    </w:p>
    <w:p w14:paraId="10CD1F6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2025年9月28日  </w:t>
      </w:r>
      <w:r>
        <w:rPr>
          <w:rFonts w:hint="eastAsia" w:ascii="宋体" w:hAnsi="宋体" w:eastAsia="宋体" w:cs="宋体"/>
          <w:i w:val="0"/>
          <w:iCs w:val="0"/>
          <w:caps w:val="0"/>
          <w:color w:val="333333"/>
          <w:spacing w:val="0"/>
          <w:sz w:val="24"/>
          <w:szCs w:val="24"/>
          <w:shd w:val="clear" w:color="auto" w:fill="FFFFFF"/>
        </w:rPr>
        <w:t>  </w:t>
      </w:r>
    </w:p>
    <w:p w14:paraId="563C520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rPr>
      </w:pPr>
    </w:p>
    <w:p w14:paraId="30048A4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pPr>
    </w:p>
    <w:p w14:paraId="70E47E7A">
      <w:r>
        <w:rPr>
          <w:rFonts w:hint="eastAsia" w:ascii="宋体" w:hAnsi="宋体" w:eastAsia="宋体"/>
          <w:b/>
          <w:bCs/>
          <w:szCs w:val="21"/>
        </w:rPr>
        <w:t>附件</w:t>
      </w:r>
      <w:r>
        <w:rPr>
          <w:rFonts w:hint="eastAsia" w:ascii="宋体" w:hAnsi="宋体" w:eastAsia="宋体"/>
          <w:b/>
          <w:bCs/>
          <w:szCs w:val="21"/>
          <w:lang w:val="en-US" w:eastAsia="zh-CN"/>
        </w:rPr>
        <w:t>1.</w:t>
      </w:r>
      <w:r>
        <w:rPr>
          <w:rFonts w:hint="eastAsia" w:ascii="宋体" w:hAnsi="宋体" w:eastAsia="宋体"/>
          <w:b/>
          <w:bCs/>
          <w:szCs w:val="21"/>
        </w:rPr>
        <w:t>中国境内生产的组件成本核算基本规则</w:t>
      </w:r>
    </w:p>
    <w:p w14:paraId="5AA190C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AE4679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一、产品的一级组件是指直接组成产品的组件。产品的二级组件是指直接组成产品一级组件的组件。一级组件不可分解的，视同二级组件。</w:t>
      </w:r>
    </w:p>
    <w:p w14:paraId="3AE278A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二、二级组件在中国境内生产的，其全部成本计入中国境内生产的组件成本；二级组件不在中国境内生产的，其成本不计入中国境内生产的组件成本。</w:t>
      </w:r>
    </w:p>
    <w:p w14:paraId="335DC1C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三、产品总成本和组件成本以相关会计核算数据、采购合同、进货记录等为基础进行计算。</w:t>
      </w:r>
    </w:p>
    <w:p w14:paraId="45F6E99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四、需要对成本核算规则予以进一步明确的其他有关事项，由财政部会同有关部门另行规定。</w:t>
      </w:r>
    </w:p>
    <w:p w14:paraId="1ED59E9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4FCD19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F1FCDD7">
      <w:r>
        <w:rPr>
          <w:rFonts w:hint="eastAsia" w:ascii="宋体" w:hAnsi="宋体" w:eastAsia="宋体"/>
          <w:b/>
          <w:bCs/>
          <w:szCs w:val="21"/>
        </w:rPr>
        <w:t>附件</w:t>
      </w:r>
      <w:r>
        <w:rPr>
          <w:rFonts w:hint="eastAsia" w:ascii="宋体" w:hAnsi="宋体" w:eastAsia="宋体"/>
          <w:b/>
          <w:bCs/>
          <w:szCs w:val="21"/>
          <w:lang w:val="en-US" w:eastAsia="zh-CN"/>
        </w:rPr>
        <w:t>2.</w:t>
      </w:r>
      <w:r>
        <w:rPr>
          <w:rFonts w:hint="eastAsia" w:ascii="宋体" w:hAnsi="宋体" w:eastAsia="宋体"/>
          <w:b/>
          <w:bCs/>
          <w:szCs w:val="21"/>
        </w:rPr>
        <w:t>关于符合本国产品标准的声明函</w:t>
      </w:r>
      <w:r>
        <w:rPr>
          <w:rFonts w:hint="eastAsia" w:ascii="宋体" w:hAnsi="宋体" w:eastAsia="宋体"/>
          <w:b/>
          <w:bCs/>
          <w:szCs w:val="21"/>
          <w:lang w:eastAsia="zh-CN"/>
        </w:rPr>
        <w:t>（</w:t>
      </w:r>
      <w:r>
        <w:rPr>
          <w:rFonts w:hint="eastAsia" w:ascii="宋体" w:hAnsi="宋体" w:eastAsia="宋体"/>
          <w:b/>
          <w:bCs/>
          <w:szCs w:val="21"/>
          <w:lang w:val="en-US" w:eastAsia="zh-CN"/>
        </w:rPr>
        <w:t>请供应商根据实际情况填写此函</w:t>
      </w:r>
      <w:r>
        <w:rPr>
          <w:rFonts w:hint="eastAsia" w:ascii="宋体" w:hAnsi="宋体" w:eastAsia="宋体"/>
          <w:b/>
          <w:bCs/>
          <w:szCs w:val="21"/>
          <w:lang w:eastAsia="zh-CN"/>
        </w:rPr>
        <w:t>）</w:t>
      </w:r>
    </w:p>
    <w:p w14:paraId="74BFEB5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3D60A1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w:t>
      </w:r>
      <w:r>
        <w:rPr>
          <w:rStyle w:val="21"/>
          <w:rFonts w:hint="eastAsia" w:ascii="宋体" w:hAnsi="宋体" w:eastAsia="宋体" w:cs="宋体"/>
          <w:i w:val="0"/>
          <w:iCs w:val="0"/>
          <w:caps w:val="0"/>
          <w:color w:val="333333"/>
          <w:spacing w:val="0"/>
          <w:sz w:val="21"/>
          <w:szCs w:val="21"/>
          <w:shd w:val="clear" w:color="auto" w:fill="FFFFFF"/>
        </w:rPr>
        <w:t>（产品名称1）</w:t>
      </w:r>
      <w:r>
        <w:rPr>
          <w:rStyle w:val="21"/>
          <w:rFonts w:hint="eastAsia" w:ascii="宋体" w:hAnsi="宋体" w:eastAsia="宋体" w:cs="宋体"/>
          <w:i w:val="0"/>
          <w:iCs w:val="0"/>
          <w:caps w:val="0"/>
          <w:color w:val="333333"/>
          <w:spacing w:val="0"/>
          <w:sz w:val="21"/>
          <w:szCs w:val="21"/>
          <w:shd w:val="clear" w:color="auto" w:fill="FFFFFF"/>
          <w:vertAlign w:val="superscript"/>
        </w:rPr>
        <w:t>1</w:t>
      </w:r>
      <w:r>
        <w:rPr>
          <w:rFonts w:hint="eastAsia" w:ascii="宋体" w:hAnsi="宋体" w:eastAsia="宋体" w:cs="宋体"/>
          <w:i w:val="0"/>
          <w:iCs w:val="0"/>
          <w:caps w:val="0"/>
          <w:color w:val="333333"/>
          <w:spacing w:val="0"/>
          <w:sz w:val="21"/>
          <w:szCs w:val="21"/>
          <w:shd w:val="clear" w:color="auto" w:fill="FFFFFF"/>
        </w:rPr>
        <w:t>，生产厂为</w:t>
      </w:r>
      <w:r>
        <w:rPr>
          <w:rStyle w:val="21"/>
          <w:rFonts w:hint="eastAsia" w:ascii="宋体" w:hAnsi="宋体" w:eastAsia="宋体" w:cs="宋体"/>
          <w:i w:val="0"/>
          <w:iCs w:val="0"/>
          <w:caps w:val="0"/>
          <w:color w:val="333333"/>
          <w:spacing w:val="0"/>
          <w:sz w:val="21"/>
          <w:szCs w:val="21"/>
          <w:shd w:val="clear" w:color="auto" w:fill="FFFFFF"/>
        </w:rPr>
        <w:t>（厂名）</w:t>
      </w:r>
      <w:r>
        <w:rPr>
          <w:rStyle w:val="21"/>
          <w:rFonts w:hint="eastAsia" w:ascii="宋体" w:hAnsi="宋体" w:eastAsia="宋体" w:cs="宋体"/>
          <w:i w:val="0"/>
          <w:iCs w:val="0"/>
          <w:caps w:val="0"/>
          <w:color w:val="333333"/>
          <w:spacing w:val="0"/>
          <w:sz w:val="21"/>
          <w:szCs w:val="21"/>
          <w:shd w:val="clear" w:color="auto" w:fill="FFFFFF"/>
          <w:vertAlign w:val="superscript"/>
        </w:rPr>
        <w:t>2</w:t>
      </w:r>
      <w:r>
        <w:rPr>
          <w:rFonts w:hint="eastAsia" w:ascii="宋体" w:hAnsi="宋体" w:eastAsia="宋体" w:cs="宋体"/>
          <w:i w:val="0"/>
          <w:iCs w:val="0"/>
          <w:caps w:val="0"/>
          <w:color w:val="333333"/>
          <w:spacing w:val="0"/>
          <w:sz w:val="21"/>
          <w:szCs w:val="21"/>
          <w:shd w:val="clear" w:color="auto" w:fill="FFFFFF"/>
        </w:rPr>
        <w:t>，厂址为</w:t>
      </w:r>
      <w:r>
        <w:rPr>
          <w:rStyle w:val="21"/>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shd w:val="clear" w:color="auto" w:fill="FFFFFF"/>
        </w:rPr>
        <w:t>（规定比例）</w:t>
      </w:r>
      <w:r>
        <w:rPr>
          <w:rStyle w:val="21"/>
          <w:rFonts w:hint="eastAsia" w:ascii="宋体" w:hAnsi="宋体" w:eastAsia="宋体" w:cs="宋体"/>
          <w:i w:val="0"/>
          <w:iCs w:val="0"/>
          <w:caps w:val="0"/>
          <w:color w:val="333333"/>
          <w:spacing w:val="0"/>
          <w:sz w:val="21"/>
          <w:szCs w:val="21"/>
          <w:shd w:val="clear" w:color="auto" w:fill="FFFFFF"/>
          <w:vertAlign w:val="superscript"/>
        </w:rPr>
        <w:t>3</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（关键组件）</w:t>
      </w:r>
      <w:r>
        <w:rPr>
          <w:rStyle w:val="21"/>
          <w:rFonts w:hint="eastAsia" w:ascii="宋体" w:hAnsi="宋体" w:eastAsia="宋体" w:cs="宋体"/>
          <w:i w:val="0"/>
          <w:iCs w:val="0"/>
          <w:caps w:val="0"/>
          <w:color w:val="333333"/>
          <w:spacing w:val="0"/>
          <w:sz w:val="21"/>
          <w:szCs w:val="21"/>
          <w:shd w:val="clear" w:color="auto" w:fill="FFFFFF"/>
          <w:vertAlign w:val="superscript"/>
        </w:rPr>
        <w:t>4</w:t>
      </w:r>
      <w:r>
        <w:rPr>
          <w:rFonts w:hint="eastAsia" w:ascii="宋体" w:hAnsi="宋体" w:eastAsia="宋体" w:cs="宋体"/>
          <w:i w:val="0"/>
          <w:iCs w:val="0"/>
          <w:caps w:val="0"/>
          <w:color w:val="333333"/>
          <w:spacing w:val="0"/>
          <w:sz w:val="21"/>
          <w:szCs w:val="21"/>
          <w:shd w:val="clear" w:color="auto" w:fill="FFFFFF"/>
        </w:rPr>
        <w:t>在中国境内生产。</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（关键工序）</w:t>
      </w:r>
      <w:r>
        <w:rPr>
          <w:rStyle w:val="21"/>
          <w:rFonts w:hint="eastAsia" w:ascii="宋体" w:hAnsi="宋体" w:eastAsia="宋体" w:cs="宋体"/>
          <w:i w:val="0"/>
          <w:iCs w:val="0"/>
          <w:caps w:val="0"/>
          <w:color w:val="333333"/>
          <w:spacing w:val="0"/>
          <w:sz w:val="21"/>
          <w:szCs w:val="21"/>
          <w:shd w:val="clear" w:color="auto" w:fill="FFFFFF"/>
          <w:vertAlign w:val="superscript"/>
        </w:rPr>
        <w:t>5</w:t>
      </w:r>
      <w:r>
        <w:rPr>
          <w:rFonts w:hint="eastAsia" w:ascii="宋体" w:hAnsi="宋体" w:eastAsia="宋体" w:cs="宋体"/>
          <w:i w:val="0"/>
          <w:iCs w:val="0"/>
          <w:caps w:val="0"/>
          <w:color w:val="333333"/>
          <w:spacing w:val="0"/>
          <w:sz w:val="21"/>
          <w:szCs w:val="21"/>
          <w:shd w:val="clear" w:color="auto" w:fill="FFFFFF"/>
        </w:rPr>
        <w:t>在中国境内完成。</w:t>
      </w:r>
    </w:p>
    <w:p w14:paraId="5C70906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2.</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，生产厂为</w:t>
      </w:r>
      <w:r>
        <w:rPr>
          <w:rStyle w:val="21"/>
          <w:rFonts w:hint="eastAsia" w:ascii="宋体" w:hAnsi="宋体" w:eastAsia="宋体" w:cs="宋体"/>
          <w:i w:val="0"/>
          <w:iCs w:val="0"/>
          <w:caps w:val="0"/>
          <w:color w:val="333333"/>
          <w:spacing w:val="0"/>
          <w:sz w:val="21"/>
          <w:szCs w:val="21"/>
          <w:shd w:val="clear" w:color="auto" w:fill="FFFFFF"/>
        </w:rPr>
        <w:t>（厂名）</w:t>
      </w:r>
      <w:r>
        <w:rPr>
          <w:rFonts w:hint="eastAsia" w:ascii="宋体" w:hAnsi="宋体" w:eastAsia="宋体" w:cs="宋体"/>
          <w:i w:val="0"/>
          <w:iCs w:val="0"/>
          <w:caps w:val="0"/>
          <w:color w:val="333333"/>
          <w:spacing w:val="0"/>
          <w:sz w:val="21"/>
          <w:szCs w:val="21"/>
          <w:shd w:val="clear" w:color="auto" w:fill="FFFFFF"/>
        </w:rPr>
        <w:t>，厂址为</w:t>
      </w:r>
      <w:r>
        <w:rPr>
          <w:rStyle w:val="21"/>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shd w:val="clear" w:color="auto" w:fill="FFFFFF"/>
        </w:rPr>
        <w:t>（规定比例）</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（关键组件）</w:t>
      </w:r>
      <w:r>
        <w:rPr>
          <w:rFonts w:hint="eastAsia" w:ascii="宋体" w:hAnsi="宋体" w:eastAsia="宋体" w:cs="宋体"/>
          <w:i w:val="0"/>
          <w:iCs w:val="0"/>
          <w:caps w:val="0"/>
          <w:color w:val="333333"/>
          <w:spacing w:val="0"/>
          <w:sz w:val="21"/>
          <w:szCs w:val="21"/>
          <w:shd w:val="clear" w:color="auto" w:fill="FFFFFF"/>
        </w:rPr>
        <w:t>在中国境内生产。</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（关键工序）</w:t>
      </w:r>
      <w:r>
        <w:rPr>
          <w:rFonts w:hint="eastAsia" w:ascii="宋体" w:hAnsi="宋体" w:eastAsia="宋体" w:cs="宋体"/>
          <w:i w:val="0"/>
          <w:iCs w:val="0"/>
          <w:caps w:val="0"/>
          <w:color w:val="333333"/>
          <w:spacing w:val="0"/>
          <w:sz w:val="21"/>
          <w:szCs w:val="21"/>
          <w:shd w:val="clear" w:color="auto" w:fill="FFFFFF"/>
        </w:rPr>
        <w:t>在中国境内完成。</w:t>
      </w:r>
    </w:p>
    <w:p w14:paraId="061DE0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w:t>
      </w:r>
    </w:p>
    <w:p w14:paraId="3567796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p>
    <w:p w14:paraId="4F26054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333333"/>
          <w:spacing w:val="0"/>
          <w:sz w:val="21"/>
          <w:szCs w:val="21"/>
          <w:shd w:val="clear" w:color="auto" w:fill="FFFFFF"/>
        </w:rPr>
        <w:t>本公司（单位）</w:t>
      </w:r>
      <w:r>
        <w:rPr>
          <w:rFonts w:hint="eastAsia" w:ascii="宋体" w:hAnsi="宋体" w:eastAsia="宋体" w:cs="宋体"/>
          <w:i w:val="0"/>
          <w:iCs w:val="0"/>
          <w:caps w:val="0"/>
          <w:color w:val="333333"/>
          <w:spacing w:val="0"/>
          <w:sz w:val="21"/>
          <w:szCs w:val="21"/>
          <w:shd w:val="clear" w:color="auto" w:fill="FFFFFF"/>
          <w:lang w:val="en-US" w:eastAsia="zh-CN"/>
        </w:rPr>
        <w:t>承诺：</w:t>
      </w:r>
    </w:p>
    <w:p w14:paraId="14E69B3C">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b w:val="0"/>
          <w:bCs w:val="0"/>
          <w:i w:val="0"/>
          <w:iCs w:val="0"/>
          <w:caps w:val="0"/>
          <w:color w:val="auto"/>
          <w:spacing w:val="0"/>
          <w:sz w:val="21"/>
          <w:szCs w:val="21"/>
          <w:u w:val="none"/>
          <w:shd w:val="clear" w:color="auto" w:fill="FFFFFF"/>
          <w:lang w:val="en-US" w:eastAsia="zh-CN"/>
        </w:rPr>
      </w:pPr>
      <w:r>
        <w:rPr>
          <w:rFonts w:hint="eastAsia" w:ascii="宋体" w:hAnsi="宋体" w:eastAsia="宋体" w:cs="宋体"/>
          <w:b w:val="0"/>
          <w:bCs w:val="0"/>
          <w:i w:val="0"/>
          <w:iCs w:val="0"/>
          <w:caps w:val="0"/>
          <w:color w:val="auto"/>
          <w:spacing w:val="0"/>
          <w:kern w:val="0"/>
          <w:sz w:val="21"/>
          <w:szCs w:val="21"/>
          <w:shd w:val="clear" w:fill="FFFFFF"/>
          <w:lang w:val="en-US" w:eastAsia="zh-CN" w:bidi="ar"/>
        </w:rPr>
        <w:t>1.</w:t>
      </w:r>
      <w:r>
        <w:rPr>
          <w:rFonts w:hint="eastAsia" w:ascii="宋体" w:hAnsi="宋体" w:eastAsia="宋体" w:cs="宋体"/>
          <w:b w:val="0"/>
          <w:bCs w:val="0"/>
          <w:i w:val="0"/>
          <w:iCs w:val="0"/>
          <w:caps w:val="0"/>
          <w:color w:val="auto"/>
          <w:spacing w:val="0"/>
          <w:sz w:val="21"/>
          <w:szCs w:val="21"/>
          <w:shd w:val="clear" w:color="auto" w:fill="FFFFFF"/>
          <w:lang w:val="en-US" w:eastAsia="zh-CN"/>
        </w:rPr>
        <w:t>不适用本国产品标准的货物总报价为：</w:t>
      </w:r>
      <w:r>
        <w:rPr>
          <w:rFonts w:hint="eastAsia" w:ascii="宋体" w:hAnsi="宋体" w:eastAsia="宋体" w:cs="宋体"/>
          <w:b w:val="0"/>
          <w:bCs w:val="0"/>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（填写小写金额） </w:t>
      </w:r>
      <w:r>
        <w:rPr>
          <w:rFonts w:hint="eastAsia" w:ascii="宋体" w:hAnsi="宋体" w:eastAsia="宋体" w:cs="宋体"/>
          <w:b w:val="0"/>
          <w:bCs w:val="0"/>
          <w:i w:val="0"/>
          <w:iCs w:val="0"/>
          <w:caps w:val="0"/>
          <w:color w:val="auto"/>
          <w:spacing w:val="0"/>
          <w:sz w:val="21"/>
          <w:szCs w:val="21"/>
          <w:u w:val="none"/>
          <w:shd w:val="clear" w:color="auto" w:fill="FFFFFF"/>
          <w:lang w:val="en-US" w:eastAsia="zh-CN"/>
        </w:rPr>
        <w:t>元；</w:t>
      </w:r>
    </w:p>
    <w:p w14:paraId="53716A7F">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none"/>
          <w:shd w:val="clear" w:color="auto" w:fill="FFFFFF"/>
          <w:lang w:val="en-US" w:eastAsia="zh-CN"/>
        </w:rPr>
      </w:pPr>
      <w:r>
        <w:rPr>
          <w:rFonts w:hint="eastAsia" w:ascii="宋体" w:hAnsi="宋体" w:eastAsia="宋体" w:cs="宋体"/>
          <w:i w:val="0"/>
          <w:iCs w:val="0"/>
          <w:caps w:val="0"/>
          <w:color w:val="333333"/>
          <w:spacing w:val="0"/>
          <w:kern w:val="0"/>
          <w:sz w:val="21"/>
          <w:szCs w:val="21"/>
          <w:shd w:val="clear" w:fill="FFFFFF"/>
          <w:lang w:val="en-US" w:eastAsia="zh-CN" w:bidi="ar"/>
        </w:rPr>
        <w:t>2.</w:t>
      </w:r>
      <w:r>
        <w:rPr>
          <w:rFonts w:hint="eastAsia" w:ascii="宋体" w:hAnsi="宋体" w:eastAsia="宋体" w:cs="宋体"/>
          <w:b w:val="0"/>
          <w:bCs w:val="0"/>
          <w:i w:val="0"/>
          <w:iCs w:val="0"/>
          <w:caps w:val="0"/>
          <w:color w:val="auto"/>
          <w:spacing w:val="0"/>
          <w:sz w:val="21"/>
          <w:szCs w:val="21"/>
          <w:shd w:val="clear" w:color="auto" w:fill="FFFFFF"/>
          <w:lang w:val="en-US" w:eastAsia="zh-CN"/>
        </w:rPr>
        <w:t>适用本国产品标准的货物总报价</w:t>
      </w:r>
      <w:r>
        <w:rPr>
          <w:rFonts w:hint="eastAsia" w:ascii="宋体" w:hAnsi="宋体" w:eastAsia="宋体" w:cs="宋体"/>
          <w:i w:val="0"/>
          <w:iCs w:val="0"/>
          <w:caps w:val="0"/>
          <w:color w:val="333333"/>
          <w:spacing w:val="0"/>
          <w:sz w:val="21"/>
          <w:szCs w:val="21"/>
          <w:shd w:val="clear" w:color="auto" w:fill="FFFFFF"/>
          <w:lang w:val="en-US" w:eastAsia="zh-CN"/>
        </w:rPr>
        <w:t>为：</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（填写小写金额）</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u w:val="none"/>
          <w:shd w:val="clear" w:color="auto" w:fill="FFFFFF"/>
          <w:lang w:val="en-US" w:eastAsia="zh-CN"/>
        </w:rPr>
        <w:t>元；</w:t>
      </w:r>
    </w:p>
    <w:p w14:paraId="5EB47894">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single"/>
          <w:shd w:val="clear" w:color="auto" w:fill="FFFFFF"/>
          <w:lang w:val="en-US" w:eastAsia="zh-CN"/>
        </w:rPr>
      </w:pPr>
      <w:r>
        <w:rPr>
          <w:rFonts w:hint="eastAsia" w:ascii="宋体" w:hAnsi="宋体" w:eastAsia="宋体" w:cs="宋体"/>
          <w:i w:val="0"/>
          <w:iCs w:val="0"/>
          <w:caps w:val="0"/>
          <w:color w:val="333333"/>
          <w:spacing w:val="0"/>
          <w:sz w:val="21"/>
          <w:szCs w:val="21"/>
          <w:u w:val="none"/>
          <w:shd w:val="clear" w:color="auto" w:fill="FFFFFF"/>
          <w:lang w:val="en-US" w:eastAsia="zh-CN"/>
        </w:rPr>
        <w:t>3.本国产品成本之和占比全部产品成本之和</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 （选择填写“是”或“否”，二选一） </w:t>
      </w:r>
      <w:r>
        <w:rPr>
          <w:rFonts w:hint="eastAsia" w:ascii="宋体" w:hAnsi="宋体" w:eastAsia="宋体" w:cs="宋体"/>
          <w:i w:val="0"/>
          <w:iCs w:val="0"/>
          <w:caps w:val="0"/>
          <w:color w:val="333333"/>
          <w:spacing w:val="0"/>
          <w:sz w:val="21"/>
          <w:szCs w:val="21"/>
          <w:u w:val="none"/>
          <w:shd w:val="clear" w:color="auto" w:fill="FFFFFF"/>
          <w:lang w:val="en-US" w:eastAsia="zh-CN"/>
        </w:rPr>
        <w:t>≥80%。</w:t>
      </w:r>
    </w:p>
    <w:p w14:paraId="2E26305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7925751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注：</w:t>
      </w:r>
    </w:p>
    <w:p w14:paraId="0575D91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1.不适用本国产品标准的货物是指《政府采购品目分类目录》中的房屋和构筑物，文物和陈列品，图书和档案，特种动植物，农林牧渔业产品，矿与矿物，电力、城市燃气、蒸汽和热水、水，食品、饮料和烟草原料，无形资产。如无，则填写“0”；</w:t>
      </w:r>
    </w:p>
    <w:p w14:paraId="27990EBB">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2.适用本国产品标准的货物总报价=总报价-不适用本国产品标准的货物总报价</w:t>
      </w:r>
    </w:p>
    <w:p w14:paraId="75D3114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19E91BE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443FE9F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本公司（单位）对上述声明内容的真实性负责。如有虚假，愿承担相应法律责任。</w:t>
      </w:r>
    </w:p>
    <w:p w14:paraId="7AF5EB9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公司（单位）名称（盖章）：      </w:t>
      </w:r>
    </w:p>
    <w:p w14:paraId="39B2500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日期：　　　　　年　　月　日    </w:t>
      </w:r>
    </w:p>
    <w:p w14:paraId="059217C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rPr>
          <w:rFonts w:hint="eastAsia" w:ascii="宋体" w:hAnsi="宋体" w:eastAsia="宋体" w:cs="宋体"/>
          <w:sz w:val="21"/>
          <w:szCs w:val="21"/>
        </w:rPr>
      </w:pPr>
    </w:p>
    <w:p w14:paraId="669999F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1.产品如有型号，请在“产品名称”栏一并填写。</w:t>
      </w:r>
    </w:p>
    <w:p w14:paraId="15C7AF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2.生产厂名与厂址应与生产厂营业执照载明的相关信息保持一致。</w:t>
      </w:r>
    </w:p>
    <w:p w14:paraId="2204944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3.该产品的中国境内生产的组件成本占比相关要求实施前，“规定比例”栏可不填，下同。</w:t>
      </w:r>
    </w:p>
    <w:p w14:paraId="476FB5D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4.该产品的关键组件要求实施前，“关键组件”栏可不填，下同。</w:t>
      </w:r>
    </w:p>
    <w:p w14:paraId="1010ED76">
      <w:pPr>
        <w:pStyle w:val="5"/>
        <w:numPr>
          <w:ilvl w:val="0"/>
          <w:numId w:val="0"/>
        </w:numPr>
        <w:spacing w:after="120"/>
        <w:ind w:firstLine="210" w:firstLineChars="1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rPr>
        <w:t>5.该产品的关键工序要求实施前，“关键工序”栏可不填，下同。</w:t>
      </w:r>
    </w:p>
    <w:p w14:paraId="362F04DC">
      <w:pPr>
        <w:pStyle w:val="5"/>
        <w:numPr>
          <w:ilvl w:val="0"/>
          <w:numId w:val="0"/>
        </w:numPr>
        <w:spacing w:after="120"/>
        <w:rPr>
          <w:rFonts w:hint="eastAsia" w:ascii="宋体" w:hAnsi="宋体" w:eastAsia="宋体" w:cs="宋体"/>
          <w:i w:val="0"/>
          <w:iCs w:val="0"/>
          <w:caps w:val="0"/>
          <w:color w:val="333333"/>
          <w:spacing w:val="0"/>
          <w:sz w:val="21"/>
          <w:szCs w:val="21"/>
          <w:shd w:val="clear" w:fill="FFFFFF"/>
        </w:rPr>
      </w:pPr>
    </w:p>
    <w:p w14:paraId="77AFA75C">
      <w:pPr>
        <w:pStyle w:val="5"/>
        <w:ind w:firstLine="420" w:firstLineChars="2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lang w:val="en-US" w:eastAsia="zh-CN"/>
        </w:rPr>
        <w:t>根据《深圳市财政局关于贯彻落实政府采购本国产品标准及相关政策的通知》（深财购〔2025〕69号）相关规定，评审中发现《声明函》内容含义不明确、同类事项与投标（响应）文件表述不一致或者有明显文字错误等情况的，应当以书面形式要求供应商作出必要的澄清、说明或者补正。经澄清、说明或者补正仍不符合要求的，供应商提供的相关产品视为不符合本国产品标准。</w:t>
      </w:r>
    </w:p>
    <w:p w14:paraId="6A69460F">
      <w:pPr>
        <w:rPr>
          <w:color w:val="auto"/>
        </w:rPr>
      </w:pPr>
    </w:p>
    <w:p w14:paraId="64691BFF">
      <w:pPr>
        <w:rPr>
          <w:color w:val="auto"/>
        </w:rPr>
      </w:pPr>
    </w:p>
    <w:p w14:paraId="2A982AB6">
      <w:pPr>
        <w:rPr>
          <w:color w:val="auto"/>
        </w:rPr>
      </w:pPr>
    </w:p>
    <w:p w14:paraId="5A426C0A">
      <w:pPr>
        <w:rPr>
          <w:color w:val="auto"/>
        </w:rPr>
      </w:pPr>
    </w:p>
    <w:p w14:paraId="1D8E6724">
      <w:pPr>
        <w:rPr>
          <w:color w:val="auto"/>
        </w:rPr>
      </w:pPr>
    </w:p>
    <w:p w14:paraId="1A3E840D">
      <w:pPr>
        <w:rPr>
          <w:color w:val="auto"/>
        </w:rPr>
      </w:pPr>
    </w:p>
    <w:p w14:paraId="093493CD">
      <w:pPr>
        <w:rPr>
          <w:color w:val="auto"/>
        </w:rPr>
      </w:pPr>
    </w:p>
    <w:p w14:paraId="1D37C6CC">
      <w:pPr>
        <w:rPr>
          <w:color w:val="auto"/>
        </w:rPr>
      </w:pPr>
    </w:p>
    <w:p w14:paraId="42F5E4C0">
      <w:pPr>
        <w:rPr>
          <w:color w:val="auto"/>
        </w:rPr>
      </w:pPr>
    </w:p>
    <w:p w14:paraId="14AF4BAD">
      <w:pPr>
        <w:rPr>
          <w:color w:val="auto"/>
        </w:rPr>
      </w:pPr>
    </w:p>
    <w:p w14:paraId="2F1C726D">
      <w:pPr>
        <w:rPr>
          <w:color w:val="auto"/>
        </w:rPr>
      </w:pPr>
    </w:p>
    <w:p w14:paraId="0C3B96BD">
      <w:pPr>
        <w:rPr>
          <w:color w:val="auto"/>
        </w:rPr>
      </w:pPr>
    </w:p>
    <w:p w14:paraId="42B9973E">
      <w:pPr>
        <w:rPr>
          <w:color w:val="auto"/>
        </w:rPr>
      </w:pPr>
    </w:p>
    <w:p w14:paraId="3EF6F41F">
      <w:pPr>
        <w:rPr>
          <w:color w:val="auto"/>
        </w:rPr>
      </w:pPr>
    </w:p>
    <w:p w14:paraId="44A7480B">
      <w:pPr>
        <w:rPr>
          <w:color w:val="auto"/>
        </w:rPr>
      </w:pPr>
    </w:p>
    <w:p w14:paraId="2E9D95E9">
      <w:pPr>
        <w:rPr>
          <w:color w:val="auto"/>
        </w:rPr>
      </w:pPr>
    </w:p>
    <w:p w14:paraId="6206D5B6">
      <w:pPr>
        <w:rPr>
          <w:color w:val="auto"/>
        </w:rPr>
      </w:pPr>
    </w:p>
    <w:p w14:paraId="663A38CC">
      <w:pPr>
        <w:rPr>
          <w:color w:val="auto"/>
        </w:rPr>
      </w:pPr>
    </w:p>
    <w:p w14:paraId="680B9D94">
      <w:pPr>
        <w:rPr>
          <w:color w:val="auto"/>
        </w:rPr>
      </w:pPr>
    </w:p>
    <w:p w14:paraId="4D84F8E4">
      <w:pPr>
        <w:rPr>
          <w:color w:val="auto"/>
        </w:rPr>
      </w:pPr>
    </w:p>
    <w:p w14:paraId="406BD766">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30" w:name="_Toc8245"/>
      <w:r>
        <w:rPr>
          <w:rFonts w:hint="eastAsia" w:cs="宋体" w:asciiTheme="majorEastAsia" w:hAnsiTheme="majorEastAsia" w:eastAsiaTheme="majorEastAsia"/>
          <w:kern w:val="2"/>
          <w:sz w:val="30"/>
          <w:szCs w:val="30"/>
          <w:lang w:val="en-US" w:eastAsia="zh-CN" w:bidi="ar-SA"/>
        </w:rPr>
        <w:t>（九）</w:t>
      </w:r>
      <w:r>
        <w:rPr>
          <w:rFonts w:hint="eastAsia" w:asciiTheme="majorEastAsia" w:hAnsiTheme="majorEastAsia" w:eastAsiaTheme="majorEastAsia"/>
          <w:sz w:val="30"/>
          <w:szCs w:val="30"/>
        </w:rPr>
        <w:t>开标一览表(报价表)</w:t>
      </w:r>
      <w:bookmarkEnd w:id="25"/>
      <w:bookmarkEnd w:id="30"/>
    </w:p>
    <w:bookmarkEnd w:id="22"/>
    <w:bookmarkEnd w:id="23"/>
    <w:tbl>
      <w:tblPr>
        <w:tblStyle w:val="16"/>
        <w:tblW w:w="102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665"/>
        <w:gridCol w:w="1870"/>
        <w:gridCol w:w="1435"/>
        <w:gridCol w:w="1078"/>
        <w:gridCol w:w="2612"/>
      </w:tblGrid>
      <w:tr w14:paraId="1F687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638" w:type="dxa"/>
            <w:tcBorders>
              <w:top w:val="single" w:color="auto" w:sz="12" w:space="0"/>
              <w:bottom w:val="single" w:color="auto" w:sz="12" w:space="0"/>
            </w:tcBorders>
            <w:shd w:val="clear" w:color="auto" w:fill="EEECE1"/>
            <w:vAlign w:val="center"/>
          </w:tcPr>
          <w:p w14:paraId="12F100D1">
            <w:pPr>
              <w:keepNext w:val="0"/>
              <w:keepLines w:val="0"/>
              <w:suppressLineNumbers w:val="0"/>
              <w:spacing w:before="0" w:beforeAutospacing="0" w:after="0" w:afterAutospacing="0"/>
              <w:ind w:left="0" w:right="0"/>
              <w:jc w:val="center"/>
              <w:rPr>
                <w:rFonts w:hint="default" w:ascii="宋体" w:eastAsia="宋体"/>
                <w:b/>
                <w:color w:val="auto"/>
                <w:szCs w:val="21"/>
                <w:lang w:val="en-US" w:eastAsia="zh-CN"/>
              </w:rPr>
            </w:pPr>
            <w:r>
              <w:rPr>
                <w:rFonts w:hint="eastAsia" w:ascii="宋体"/>
                <w:b/>
                <w:color w:val="auto"/>
                <w:szCs w:val="21"/>
                <w:lang w:val="en-US" w:eastAsia="zh-CN"/>
              </w:rPr>
              <w:t>采购编号</w:t>
            </w:r>
          </w:p>
        </w:tc>
        <w:tc>
          <w:tcPr>
            <w:tcW w:w="1665" w:type="dxa"/>
            <w:tcBorders>
              <w:top w:val="single" w:color="auto" w:sz="12" w:space="0"/>
              <w:bottom w:val="single" w:color="auto" w:sz="12" w:space="0"/>
            </w:tcBorders>
            <w:shd w:val="clear" w:color="auto" w:fill="EEECE1"/>
            <w:vAlign w:val="center"/>
          </w:tcPr>
          <w:p w14:paraId="7DF2F416">
            <w:pPr>
              <w:keepNext w:val="0"/>
              <w:keepLines w:val="0"/>
              <w:suppressLineNumbers w:val="0"/>
              <w:spacing w:before="0" w:beforeAutospacing="0" w:after="0" w:afterAutospacing="0"/>
              <w:ind w:left="0" w:right="0"/>
              <w:jc w:val="center"/>
              <w:rPr>
                <w:rFonts w:hint="default" w:ascii="宋体" w:eastAsia="宋体" w:hAnsiTheme="minorHAnsi" w:cstheme="minorBidi"/>
                <w:b/>
                <w:color w:val="auto"/>
                <w:kern w:val="2"/>
                <w:sz w:val="21"/>
                <w:szCs w:val="21"/>
                <w:lang w:val="en-US" w:eastAsia="zh-CN" w:bidi="ar-SA"/>
              </w:rPr>
            </w:pPr>
            <w:r>
              <w:rPr>
                <w:rFonts w:hint="eastAsia" w:ascii="宋体"/>
                <w:b/>
                <w:color w:val="auto"/>
                <w:szCs w:val="21"/>
                <w:lang w:val="en-US" w:eastAsia="zh-CN"/>
              </w:rPr>
              <w:t>采购名称</w:t>
            </w:r>
          </w:p>
        </w:tc>
        <w:tc>
          <w:tcPr>
            <w:tcW w:w="1870" w:type="dxa"/>
            <w:tcBorders>
              <w:top w:val="single" w:color="auto" w:sz="12" w:space="0"/>
              <w:bottom w:val="single" w:color="auto" w:sz="12" w:space="0"/>
            </w:tcBorders>
            <w:shd w:val="clear" w:color="auto" w:fill="EEECE1"/>
            <w:vAlign w:val="center"/>
          </w:tcPr>
          <w:p w14:paraId="0FC0ABDC">
            <w:pPr>
              <w:keepNext w:val="0"/>
              <w:keepLines w:val="0"/>
              <w:suppressLineNumbers w:val="0"/>
              <w:tabs>
                <w:tab w:val="left" w:pos="8364"/>
              </w:tabs>
              <w:snapToGrid w:val="0"/>
              <w:spacing w:before="0" w:beforeAutospacing="0" w:after="0" w:afterAutospacing="0"/>
              <w:ind w:left="0" w:right="-58"/>
              <w:jc w:val="center"/>
              <w:rPr>
                <w:rFonts w:hint="eastAsia" w:ascii="宋体"/>
                <w:b/>
                <w:color w:val="auto"/>
                <w:szCs w:val="21"/>
              </w:rPr>
            </w:pPr>
            <w:r>
              <w:rPr>
                <w:rFonts w:hint="eastAsia" w:ascii="宋体" w:hAnsi="宋体" w:eastAsia="宋体" w:cs="宋体"/>
                <w:b/>
                <w:szCs w:val="21"/>
                <w:highlight w:val="none"/>
              </w:rPr>
              <w:t>制造商、原产地</w:t>
            </w:r>
          </w:p>
        </w:tc>
        <w:tc>
          <w:tcPr>
            <w:tcW w:w="1435" w:type="dxa"/>
            <w:tcBorders>
              <w:top w:val="single" w:color="auto" w:sz="12" w:space="0"/>
              <w:bottom w:val="single" w:color="auto" w:sz="12" w:space="0"/>
            </w:tcBorders>
            <w:shd w:val="clear" w:color="auto" w:fill="EEECE1"/>
            <w:vAlign w:val="center"/>
          </w:tcPr>
          <w:p w14:paraId="65458354">
            <w:pPr>
              <w:keepNext w:val="0"/>
              <w:keepLines w:val="0"/>
              <w:suppressLineNumbers w:val="0"/>
              <w:spacing w:before="0" w:beforeAutospacing="0" w:after="0" w:afterAutospacing="0"/>
              <w:ind w:left="0" w:right="0"/>
              <w:jc w:val="center"/>
              <w:rPr>
                <w:rFonts w:hint="eastAsia" w:ascii="宋体" w:hAnsi="宋体" w:cs="宋体"/>
                <w:b/>
                <w:color w:val="FF0000"/>
                <w:szCs w:val="21"/>
                <w:highlight w:val="none"/>
                <w:lang w:eastAsia="zh-CN"/>
              </w:rPr>
            </w:pPr>
            <w:r>
              <w:rPr>
                <w:rFonts w:hint="eastAsia" w:ascii="宋体" w:hAnsi="宋体" w:eastAsia="宋体" w:cs="宋体"/>
                <w:b/>
                <w:szCs w:val="21"/>
                <w:highlight w:val="none"/>
              </w:rPr>
              <w:t>品牌、型号</w:t>
            </w:r>
          </w:p>
        </w:tc>
        <w:tc>
          <w:tcPr>
            <w:tcW w:w="1078" w:type="dxa"/>
            <w:tcBorders>
              <w:top w:val="single" w:color="auto" w:sz="12" w:space="0"/>
              <w:bottom w:val="single" w:color="auto" w:sz="12" w:space="0"/>
            </w:tcBorders>
            <w:shd w:val="clear" w:color="auto" w:fill="EEECE1"/>
            <w:vAlign w:val="center"/>
          </w:tcPr>
          <w:p w14:paraId="0DE0CD21">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ascii="宋体"/>
                <w:b/>
                <w:color w:val="auto"/>
                <w:szCs w:val="21"/>
              </w:rPr>
              <w:t>数量</w:t>
            </w:r>
          </w:p>
        </w:tc>
        <w:tc>
          <w:tcPr>
            <w:tcW w:w="2612" w:type="dxa"/>
            <w:tcBorders>
              <w:top w:val="single" w:color="auto" w:sz="12" w:space="0"/>
              <w:bottom w:val="single" w:color="auto" w:sz="12" w:space="0"/>
            </w:tcBorders>
            <w:shd w:val="clear" w:color="auto" w:fill="EEECE1"/>
            <w:vAlign w:val="center"/>
          </w:tcPr>
          <w:p w14:paraId="07C9EA11">
            <w:pPr>
              <w:keepNext w:val="0"/>
              <w:keepLines w:val="0"/>
              <w:suppressLineNumbers w:val="0"/>
              <w:spacing w:before="0" w:beforeAutospacing="0" w:after="0" w:afterAutospacing="0"/>
              <w:ind w:left="0" w:right="0"/>
              <w:jc w:val="center"/>
              <w:rPr>
                <w:rFonts w:hint="eastAsia" w:hAnsi="宋体"/>
                <w:b/>
                <w:color w:val="auto"/>
                <w:vertAlign w:val="baseline"/>
                <w:lang w:val="en-US" w:eastAsia="zh-CN"/>
              </w:rPr>
            </w:pPr>
            <w:r>
              <w:rPr>
                <w:rFonts w:hint="eastAsia" w:hAnsi="宋体"/>
                <w:b/>
                <w:color w:val="auto"/>
                <w:vertAlign w:val="baseline"/>
                <w:lang w:val="en-US" w:eastAsia="zh-CN"/>
              </w:rPr>
              <w:t>投标报价</w:t>
            </w:r>
          </w:p>
          <w:p w14:paraId="21427E9E">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hAnsi="宋体"/>
                <w:b/>
                <w:color w:val="auto"/>
                <w:vertAlign w:val="baseline"/>
                <w:lang w:val="en-US" w:eastAsia="zh-CN"/>
              </w:rPr>
              <w:t>（人民币 元）</w:t>
            </w:r>
          </w:p>
        </w:tc>
      </w:tr>
      <w:tr w14:paraId="090F9B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638" w:type="dxa"/>
            <w:tcBorders>
              <w:top w:val="single" w:color="auto" w:sz="12" w:space="0"/>
              <w:bottom w:val="single" w:color="auto" w:sz="12" w:space="0"/>
            </w:tcBorders>
            <w:vAlign w:val="center"/>
          </w:tcPr>
          <w:p w14:paraId="27FCC3B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665" w:type="dxa"/>
            <w:tcBorders>
              <w:top w:val="single" w:color="auto" w:sz="12" w:space="0"/>
              <w:bottom w:val="single" w:color="auto" w:sz="12" w:space="0"/>
            </w:tcBorders>
            <w:vAlign w:val="center"/>
          </w:tcPr>
          <w:p w14:paraId="431C6EDD">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napToGrid/>
                <w:color w:val="auto"/>
                <w:spacing w:val="0"/>
                <w:kern w:val="2"/>
                <w:sz w:val="21"/>
                <w:szCs w:val="24"/>
                <w:lang w:val="en-US" w:eastAsia="zh-CN" w:bidi="ar-SA"/>
              </w:rPr>
            </w:pPr>
          </w:p>
        </w:tc>
        <w:tc>
          <w:tcPr>
            <w:tcW w:w="1870" w:type="dxa"/>
            <w:tcBorders>
              <w:top w:val="single" w:color="auto" w:sz="12" w:space="0"/>
              <w:bottom w:val="single" w:color="auto" w:sz="12" w:space="0"/>
            </w:tcBorders>
            <w:vAlign w:val="center"/>
          </w:tcPr>
          <w:p w14:paraId="53030D5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435" w:type="dxa"/>
            <w:tcBorders>
              <w:top w:val="single" w:color="auto" w:sz="12" w:space="0"/>
              <w:bottom w:val="single" w:color="auto" w:sz="12" w:space="0"/>
            </w:tcBorders>
            <w:vAlign w:val="center"/>
          </w:tcPr>
          <w:p w14:paraId="5CAF2A8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078" w:type="dxa"/>
            <w:tcBorders>
              <w:top w:val="single" w:color="auto" w:sz="12" w:space="0"/>
              <w:bottom w:val="single" w:color="auto" w:sz="12" w:space="0"/>
            </w:tcBorders>
            <w:vAlign w:val="center"/>
          </w:tcPr>
          <w:p w14:paraId="7E633B9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2612" w:type="dxa"/>
            <w:tcBorders>
              <w:top w:val="single" w:color="auto" w:sz="12" w:space="0"/>
              <w:bottom w:val="single" w:color="auto" w:sz="12" w:space="0"/>
            </w:tcBorders>
            <w:vAlign w:val="center"/>
          </w:tcPr>
          <w:p w14:paraId="6885F932">
            <w:pPr>
              <w:pStyle w:val="32"/>
              <w:keepLines w:val="0"/>
              <w:suppressLineNumbers w:val="0"/>
              <w:spacing w:beforeAutospacing="0" w:afterAutospacing="0" w:line="240" w:lineRule="auto"/>
              <w:ind w:left="0" w:right="0"/>
              <w:rPr>
                <w:rFonts w:hint="default" w:ascii="宋体"/>
                <w:bCs/>
                <w:color w:val="auto"/>
                <w:szCs w:val="21"/>
                <w:u w:val="single"/>
              </w:rPr>
            </w:pPr>
          </w:p>
        </w:tc>
      </w:tr>
      <w:tr w14:paraId="71680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0298" w:type="dxa"/>
            <w:gridSpan w:val="6"/>
            <w:tcBorders>
              <w:top w:val="single" w:color="auto" w:sz="12" w:space="0"/>
              <w:bottom w:val="single" w:color="auto" w:sz="12" w:space="0"/>
            </w:tcBorders>
            <w:vAlign w:val="center"/>
          </w:tcPr>
          <w:p w14:paraId="366CD76F">
            <w:pPr>
              <w:keepNext w:val="0"/>
              <w:keepLines w:val="0"/>
              <w:suppressLineNumbers w:val="0"/>
              <w:spacing w:before="0" w:beforeAutospacing="0" w:after="0" w:afterAutospacing="0"/>
              <w:ind w:left="0" w:right="0"/>
              <w:jc w:val="left"/>
              <w:rPr>
                <w:rFonts w:hint="default" w:ascii="宋体"/>
                <w:bCs/>
                <w:color w:val="auto"/>
                <w:szCs w:val="21"/>
                <w:u w:val="single"/>
                <w:lang w:val="en-US"/>
              </w:rPr>
            </w:pPr>
            <w:r>
              <w:rPr>
                <w:rFonts w:hint="eastAsia" w:hAnsi="宋体"/>
                <w:b/>
                <w:color w:val="auto"/>
                <w:vertAlign w:val="baseline"/>
                <w:lang w:val="en-US" w:eastAsia="zh-CN"/>
              </w:rPr>
              <w:t>投标报价（元）小写：                   大写：</w:t>
            </w:r>
          </w:p>
        </w:tc>
      </w:tr>
    </w:tbl>
    <w:p w14:paraId="2F8AE64B">
      <w:pPr>
        <w:pStyle w:val="33"/>
      </w:pPr>
    </w:p>
    <w:p w14:paraId="3E7E1871">
      <w:pPr>
        <w:pStyle w:val="33"/>
      </w:pPr>
    </w:p>
    <w:p w14:paraId="65FD6EFB">
      <w:pPr>
        <w:pStyle w:val="33"/>
      </w:pPr>
    </w:p>
    <w:p w14:paraId="599AE3DB">
      <w:pPr>
        <w:spacing w:line="360" w:lineRule="auto"/>
        <w:rPr>
          <w:rFonts w:hint="default"/>
          <w:b/>
          <w:bCs/>
          <w:highlight w:val="lightGray"/>
          <w:u w:val="single"/>
          <w:lang w:val="en-US"/>
        </w:rPr>
      </w:pPr>
      <w:r>
        <w:rPr>
          <w:rFonts w:hint="eastAsia"/>
          <w:b/>
          <w:bCs/>
          <w:sz w:val="24"/>
          <w:lang w:val="en-US" w:eastAsia="zh-CN"/>
        </w:rPr>
        <w:t>投标人签字：</w:t>
      </w:r>
      <w:r>
        <w:rPr>
          <w:rFonts w:hint="eastAsia"/>
          <w:b/>
          <w:bCs/>
          <w:sz w:val="24"/>
          <w:u w:val="single"/>
          <w:lang w:val="en-US" w:eastAsia="zh-CN"/>
        </w:rPr>
        <w:t xml:space="preserve">                     </w:t>
      </w:r>
    </w:p>
    <w:p w14:paraId="73B46FE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AE07D80">
      <w:pPr>
        <w:spacing w:line="360" w:lineRule="auto"/>
        <w:outlineLvl w:val="9"/>
        <w:rPr>
          <w:rFonts w:hint="eastAsia"/>
          <w:b/>
          <w:sz w:val="24"/>
        </w:rPr>
      </w:pPr>
      <w:r>
        <w:rPr>
          <w:rFonts w:hint="eastAsia"/>
          <w:b/>
          <w:sz w:val="24"/>
        </w:rPr>
        <w:t>（此处加盖投标人单位公章）</w:t>
      </w:r>
    </w:p>
    <w:p w14:paraId="7D974DDB">
      <w:pPr>
        <w:spacing w:line="360" w:lineRule="auto"/>
        <w:rPr>
          <w:rFonts w:hint="eastAsia"/>
          <w:b/>
          <w:bCs/>
          <w:sz w:val="24"/>
        </w:rPr>
      </w:pPr>
      <w:r>
        <w:rPr>
          <w:rFonts w:hint="eastAsia"/>
          <w:b/>
          <w:bCs/>
          <w:sz w:val="24"/>
        </w:rPr>
        <w:t>日期：       年     月    日</w:t>
      </w:r>
    </w:p>
    <w:p w14:paraId="3E729C9D">
      <w:pPr>
        <w:pStyle w:val="5"/>
        <w:rPr>
          <w:rFonts w:hint="default"/>
          <w:lang w:val="en-US" w:eastAsia="zh-CN"/>
        </w:rPr>
      </w:pPr>
    </w:p>
    <w:p w14:paraId="29AA90E5">
      <w:pPr>
        <w:spacing w:line="400" w:lineRule="exact"/>
        <w:rPr>
          <w:rFonts w:ascii="宋体" w:hAnsi="宋体"/>
          <w:szCs w:val="21"/>
        </w:rPr>
      </w:pPr>
      <w:r>
        <w:rPr>
          <w:rFonts w:hint="eastAsia" w:ascii="宋体" w:hAnsi="宋体"/>
          <w:szCs w:val="21"/>
        </w:rPr>
        <w:t>备注：</w:t>
      </w:r>
    </w:p>
    <w:p w14:paraId="461A862F">
      <w:pPr>
        <w:numPr>
          <w:ilvl w:val="1"/>
          <w:numId w:val="10"/>
        </w:numPr>
        <w:tabs>
          <w:tab w:val="left" w:pos="360"/>
          <w:tab w:val="clear" w:pos="1620"/>
        </w:tabs>
        <w:snapToGrid w:val="0"/>
        <w:spacing w:line="360" w:lineRule="auto"/>
        <w:ind w:left="360" w:leftChars="0" w:hanging="360" w:firstLineChars="0"/>
        <w:outlineLvl w:val="9"/>
        <w:rPr>
          <w:rFonts w:ascii="宋体" w:hAnsi="宋体"/>
          <w:szCs w:val="21"/>
        </w:rPr>
      </w:pPr>
      <w:r>
        <w:rPr>
          <w:rFonts w:hint="eastAsia" w:ascii="宋体" w:hAnsi="宋体"/>
        </w:rPr>
        <w:t>投标报价的小数点后保留两位有效数</w:t>
      </w:r>
      <w:r>
        <w:rPr>
          <w:rFonts w:hint="eastAsia" w:ascii="宋体" w:hAnsi="宋体"/>
          <w:szCs w:val="21"/>
        </w:rPr>
        <w:t>。</w:t>
      </w:r>
    </w:p>
    <w:p w14:paraId="0226C8E6">
      <w:pPr>
        <w:numPr>
          <w:ilvl w:val="1"/>
          <w:numId w:val="10"/>
        </w:numPr>
        <w:tabs>
          <w:tab w:val="left" w:pos="360"/>
          <w:tab w:val="left" w:pos="840"/>
          <w:tab w:val="clear" w:pos="1620"/>
        </w:tabs>
        <w:snapToGrid w:val="0"/>
        <w:spacing w:line="360" w:lineRule="auto"/>
        <w:ind w:left="360"/>
      </w:pPr>
      <w:r>
        <w:rPr>
          <w:rFonts w:hint="eastAsia"/>
        </w:rPr>
        <w:t>除</w:t>
      </w:r>
      <w:r>
        <w:rPr>
          <w:rFonts w:hint="eastAsia"/>
          <w:lang w:eastAsia="zh-CN"/>
        </w:rPr>
        <w:t>征集</w:t>
      </w:r>
      <w:r>
        <w:rPr>
          <w:rFonts w:hint="eastAsia"/>
        </w:rPr>
        <w:t>文件另有规定外，投标文件内不得含有任何对本报价进行价格折扣的说明或资料，否则为无效投标。</w:t>
      </w:r>
    </w:p>
    <w:p w14:paraId="63A99683">
      <w:pPr>
        <w:numPr>
          <w:ilvl w:val="1"/>
          <w:numId w:val="10"/>
        </w:numPr>
        <w:tabs>
          <w:tab w:val="left" w:pos="360"/>
          <w:tab w:val="left" w:pos="840"/>
          <w:tab w:val="clear" w:pos="1620"/>
        </w:tabs>
        <w:snapToGrid w:val="0"/>
        <w:spacing w:line="360" w:lineRule="auto"/>
        <w:ind w:left="360"/>
      </w:pPr>
      <w:r>
        <w:rPr>
          <w:rFonts w:hint="eastAsia"/>
        </w:rPr>
        <w:t>投标报价</w:t>
      </w:r>
      <w:r>
        <w:rPr>
          <w:rFonts w:hint="eastAsia"/>
          <w:lang w:val="en-US" w:eastAsia="zh-CN"/>
        </w:rPr>
        <w:t>不得超过挂网公告的预算价格，否则为无效投标</w:t>
      </w:r>
      <w:r>
        <w:rPr>
          <w:rFonts w:hint="eastAsia"/>
        </w:rPr>
        <w:t>。</w:t>
      </w:r>
    </w:p>
    <w:p w14:paraId="2B15EBBF">
      <w:pPr>
        <w:numPr>
          <w:ilvl w:val="1"/>
          <w:numId w:val="10"/>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投标人须按要求填写所有信息，不得随意更改本表格式。</w:t>
      </w:r>
    </w:p>
    <w:p w14:paraId="6497BC59">
      <w:pPr>
        <w:numPr>
          <w:ilvl w:val="1"/>
          <w:numId w:val="10"/>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此表是投标文件的必要文件，是投标文件的组成部分，封装在一个信封中，作为唱标之用。</w:t>
      </w:r>
    </w:p>
    <w:p w14:paraId="15DE9748">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根据《政府采购货物和服务</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w:t>
      </w:r>
      <w:r>
        <w:rPr>
          <w:rFonts w:hint="eastAsia" w:ascii="宋体" w:hAnsi="宋体" w:eastAsia="宋体" w:cs="宋体"/>
          <w:szCs w:val="21"/>
          <w:highlight w:val="none"/>
          <w:lang w:val="en-US" w:eastAsia="zh-CN"/>
        </w:rPr>
        <w:t>做</w:t>
      </w:r>
      <w:r>
        <w:rPr>
          <w:rFonts w:hint="eastAsia" w:ascii="宋体" w:hAnsi="宋体" w:eastAsia="宋体" w:cs="宋体"/>
          <w:szCs w:val="21"/>
          <w:highlight w:val="none"/>
        </w:rPr>
        <w:t>相应处理。</w:t>
      </w:r>
    </w:p>
    <w:p w14:paraId="015DCFDE">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详细填写所投货物的制造商名称；若所投产品属于定制类的非量产货物或无具体品牌型号的货物，可以不填写品牌、型号等信息，但应当标注投标产品为定制产品。</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文件已要求提供核心产品的，供应商必须明确所投核心产品的品牌。</w:t>
      </w:r>
    </w:p>
    <w:p w14:paraId="31AC87EF">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Theme="minorEastAsia" w:hAnsiTheme="minorEastAsia" w:eastAsiaTheme="minorEastAsia"/>
          <w:szCs w:val="21"/>
        </w:rPr>
        <w:t>若开标一览表中大写金额和小写金额不一致的，以大写金额为准。</w:t>
      </w:r>
    </w:p>
    <w:p w14:paraId="3DCB839C">
      <w:pPr>
        <w:pStyle w:val="5"/>
        <w:rPr>
          <w:rFonts w:hint="default" w:ascii="宋体" w:hAnsi="宋体" w:eastAsiaTheme="minorEastAsia" w:cstheme="minorBidi"/>
          <w:kern w:val="2"/>
          <w:sz w:val="21"/>
          <w:szCs w:val="24"/>
          <w:lang w:val="en-US" w:eastAsia="zh-CN" w:bidi="ar-SA"/>
        </w:rPr>
      </w:pPr>
    </w:p>
    <w:p w14:paraId="27349781">
      <w:pPr>
        <w:tabs>
          <w:tab w:val="left" w:pos="1200"/>
        </w:tabs>
        <w:snapToGrid w:val="0"/>
        <w:spacing w:line="360" w:lineRule="auto"/>
        <w:ind w:left="360"/>
        <w:rPr>
          <w:color w:val="FF0000"/>
        </w:rPr>
      </w:pPr>
    </w:p>
    <w:p w14:paraId="54F1A10B">
      <w:pPr>
        <w:spacing w:line="400" w:lineRule="exact"/>
        <w:rPr>
          <w:rFonts w:ascii="宋体" w:hAnsi="宋体"/>
          <w:b/>
          <w:bCs/>
          <w:szCs w:val="21"/>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57D675F">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lang w:eastAsia="zh-CN"/>
        </w:rPr>
      </w:pPr>
      <w:bookmarkStart w:id="31" w:name="_Toc435514866"/>
      <w:bookmarkStart w:id="32" w:name="_Toc192662843"/>
      <w:bookmarkStart w:id="33" w:name="_Toc22031"/>
      <w:bookmarkStart w:id="34" w:name="_Toc435515306"/>
      <w:bookmarkStart w:id="35" w:name="_Toc6350"/>
      <w:bookmarkStart w:id="36" w:name="_Toc275865611"/>
      <w:r>
        <w:rPr>
          <w:rFonts w:hint="eastAsia" w:cs="宋体" w:asciiTheme="majorEastAsia" w:hAnsiTheme="majorEastAsia" w:eastAsiaTheme="majorEastAsia"/>
          <w:kern w:val="2"/>
          <w:sz w:val="30"/>
          <w:szCs w:val="30"/>
          <w:lang w:val="en-US" w:eastAsia="zh-CN" w:bidi="ar-SA"/>
        </w:rPr>
        <w:t>（十）</w:t>
      </w:r>
      <w:r>
        <w:rPr>
          <w:rFonts w:hint="eastAsia" w:asciiTheme="majorEastAsia" w:hAnsiTheme="majorEastAsia" w:eastAsiaTheme="majorEastAsia"/>
          <w:sz w:val="30"/>
          <w:szCs w:val="30"/>
        </w:rPr>
        <w:t>投标报价</w:t>
      </w:r>
      <w:r>
        <w:rPr>
          <w:rFonts w:hint="eastAsia" w:asciiTheme="majorEastAsia" w:hAnsiTheme="majorEastAsia" w:eastAsiaTheme="majorEastAsia"/>
          <w:sz w:val="30"/>
          <w:szCs w:val="30"/>
          <w:lang w:val="en-US" w:eastAsia="zh-CN"/>
        </w:rPr>
        <w:t>明细</w:t>
      </w:r>
      <w:r>
        <w:rPr>
          <w:rFonts w:hint="eastAsia" w:asciiTheme="majorEastAsia" w:hAnsiTheme="majorEastAsia" w:eastAsiaTheme="majorEastAsia"/>
          <w:sz w:val="30"/>
          <w:szCs w:val="30"/>
        </w:rPr>
        <w:t>表</w:t>
      </w:r>
      <w:bookmarkEnd w:id="31"/>
      <w:bookmarkEnd w:id="32"/>
      <w:bookmarkEnd w:id="33"/>
      <w:bookmarkEnd w:id="34"/>
      <w:bookmarkEnd w:id="35"/>
      <w:bookmarkEnd w:id="36"/>
    </w:p>
    <w:tbl>
      <w:tblPr>
        <w:tblStyle w:val="16"/>
        <w:tblW w:w="88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1050"/>
        <w:gridCol w:w="990"/>
        <w:gridCol w:w="990"/>
        <w:gridCol w:w="750"/>
        <w:gridCol w:w="870"/>
        <w:gridCol w:w="1020"/>
        <w:gridCol w:w="968"/>
        <w:gridCol w:w="725"/>
      </w:tblGrid>
      <w:tr w14:paraId="30F3E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534" w:type="dxa"/>
            <w:tcBorders>
              <w:top w:val="single" w:color="auto" w:sz="12" w:space="0"/>
              <w:bottom w:val="double" w:color="auto" w:sz="4" w:space="0"/>
            </w:tcBorders>
            <w:shd w:val="clear" w:color="auto" w:fill="EEECE1"/>
            <w:vAlign w:val="center"/>
          </w:tcPr>
          <w:p w14:paraId="5F5EBF4D">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序号</w:t>
            </w:r>
          </w:p>
        </w:tc>
        <w:tc>
          <w:tcPr>
            <w:tcW w:w="1050" w:type="dxa"/>
            <w:tcBorders>
              <w:top w:val="single" w:color="auto" w:sz="12" w:space="0"/>
              <w:bottom w:val="double" w:color="auto" w:sz="4" w:space="0"/>
            </w:tcBorders>
            <w:shd w:val="clear" w:color="auto" w:fill="EEECE1"/>
            <w:vAlign w:val="center"/>
          </w:tcPr>
          <w:p w14:paraId="5915C804">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产品</w:t>
            </w:r>
          </w:p>
          <w:p w14:paraId="384D549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名称</w:t>
            </w:r>
          </w:p>
        </w:tc>
        <w:tc>
          <w:tcPr>
            <w:tcW w:w="990" w:type="dxa"/>
            <w:tcBorders>
              <w:top w:val="single" w:color="auto" w:sz="12" w:space="0"/>
              <w:bottom w:val="double" w:color="auto" w:sz="4" w:space="0"/>
            </w:tcBorders>
            <w:shd w:val="clear" w:color="auto" w:fill="EEECE1"/>
            <w:vAlign w:val="center"/>
          </w:tcPr>
          <w:p w14:paraId="4F87A1A6">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规格</w:t>
            </w:r>
            <w:r>
              <w:rPr>
                <w:rFonts w:hint="eastAsia" w:ascii="宋体" w:hAnsi="宋体"/>
                <w:lang w:val="en-US" w:eastAsia="zh-CN"/>
              </w:rPr>
              <w:t xml:space="preserve">  </w:t>
            </w:r>
            <w:r>
              <w:rPr>
                <w:rFonts w:hint="default" w:ascii="宋体" w:hAnsi="宋体"/>
              </w:rPr>
              <w:t>型号</w:t>
            </w:r>
          </w:p>
        </w:tc>
        <w:tc>
          <w:tcPr>
            <w:tcW w:w="990" w:type="dxa"/>
            <w:tcBorders>
              <w:top w:val="single" w:color="auto" w:sz="12" w:space="0"/>
              <w:bottom w:val="double" w:color="auto" w:sz="4" w:space="0"/>
            </w:tcBorders>
            <w:shd w:val="clear" w:color="auto" w:fill="EEECE1"/>
            <w:vAlign w:val="center"/>
          </w:tcPr>
          <w:p w14:paraId="69A5DBCF">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品牌</w:t>
            </w:r>
          </w:p>
        </w:tc>
        <w:tc>
          <w:tcPr>
            <w:tcW w:w="750" w:type="dxa"/>
            <w:tcBorders>
              <w:top w:val="single" w:color="auto" w:sz="12" w:space="0"/>
              <w:bottom w:val="double" w:color="auto" w:sz="4" w:space="0"/>
            </w:tcBorders>
            <w:shd w:val="clear" w:color="auto" w:fill="EEECE1"/>
            <w:vAlign w:val="center"/>
          </w:tcPr>
          <w:p w14:paraId="22B38E5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单位</w:t>
            </w:r>
          </w:p>
        </w:tc>
        <w:tc>
          <w:tcPr>
            <w:tcW w:w="870" w:type="dxa"/>
            <w:tcBorders>
              <w:top w:val="single" w:color="auto" w:sz="12" w:space="0"/>
              <w:bottom w:val="double" w:color="auto" w:sz="4" w:space="0"/>
            </w:tcBorders>
            <w:shd w:val="clear" w:color="auto" w:fill="EEECE1"/>
            <w:vAlign w:val="center"/>
          </w:tcPr>
          <w:p w14:paraId="3C4AF9D9">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数量</w:t>
            </w:r>
          </w:p>
        </w:tc>
        <w:tc>
          <w:tcPr>
            <w:tcW w:w="1020" w:type="dxa"/>
            <w:tcBorders>
              <w:top w:val="single" w:color="auto" w:sz="12" w:space="0"/>
              <w:bottom w:val="double" w:color="auto" w:sz="4" w:space="0"/>
            </w:tcBorders>
            <w:shd w:val="clear" w:color="auto" w:fill="EEECE1"/>
            <w:vAlign w:val="center"/>
          </w:tcPr>
          <w:p w14:paraId="1D2B96D2">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单价</w:t>
            </w:r>
            <w:r>
              <w:rPr>
                <w:rFonts w:hint="eastAsia" w:ascii="宋体" w:hAnsi="宋体"/>
                <w:lang w:val="en-US" w:eastAsia="zh-CN"/>
              </w:rPr>
              <w:t xml:space="preserve">   </w:t>
            </w:r>
            <w:r>
              <w:rPr>
                <w:rFonts w:hint="default" w:ascii="宋体" w:hAnsi="宋体"/>
              </w:rPr>
              <w:t>（元）</w:t>
            </w:r>
          </w:p>
        </w:tc>
        <w:tc>
          <w:tcPr>
            <w:tcW w:w="968" w:type="dxa"/>
            <w:tcBorders>
              <w:top w:val="single" w:color="auto" w:sz="12" w:space="0"/>
              <w:bottom w:val="double" w:color="auto" w:sz="4" w:space="0"/>
            </w:tcBorders>
            <w:shd w:val="clear" w:color="auto" w:fill="EEECE1"/>
            <w:vAlign w:val="center"/>
          </w:tcPr>
          <w:p w14:paraId="122C5C98">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合计</w:t>
            </w:r>
            <w:r>
              <w:rPr>
                <w:rFonts w:hint="eastAsia" w:ascii="宋体" w:hAnsi="宋体"/>
                <w:lang w:val="en-US" w:eastAsia="zh-CN"/>
              </w:rPr>
              <w:t xml:space="preserve">   </w:t>
            </w:r>
            <w:r>
              <w:rPr>
                <w:rFonts w:hint="eastAsia" w:ascii="宋体" w:hAnsi="宋体"/>
              </w:rPr>
              <w:t>（元）</w:t>
            </w:r>
          </w:p>
        </w:tc>
        <w:tc>
          <w:tcPr>
            <w:tcW w:w="725" w:type="dxa"/>
            <w:tcBorders>
              <w:top w:val="single" w:color="auto" w:sz="12" w:space="0"/>
              <w:bottom w:val="double" w:color="auto" w:sz="4" w:space="0"/>
            </w:tcBorders>
            <w:shd w:val="clear" w:color="auto" w:fill="EEECE1"/>
            <w:vAlign w:val="center"/>
          </w:tcPr>
          <w:p w14:paraId="26BB7D70">
            <w:pPr>
              <w:keepNext w:val="0"/>
              <w:keepLines w:val="0"/>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备注</w:t>
            </w:r>
          </w:p>
        </w:tc>
      </w:tr>
      <w:tr w14:paraId="3D7BC0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6ADCBEC4">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1</w:t>
            </w:r>
          </w:p>
        </w:tc>
        <w:tc>
          <w:tcPr>
            <w:tcW w:w="1050" w:type="dxa"/>
            <w:vAlign w:val="center"/>
          </w:tcPr>
          <w:p w14:paraId="587D43AF">
            <w:pPr>
              <w:keepNext w:val="0"/>
              <w:keepLines w:val="0"/>
              <w:suppressLineNumbers w:val="0"/>
              <w:spacing w:before="0" w:beforeAutospacing="0" w:after="0" w:afterAutospacing="0"/>
              <w:ind w:left="0" w:right="0"/>
              <w:jc w:val="center"/>
              <w:rPr>
                <w:rFonts w:hint="default"/>
              </w:rPr>
            </w:pPr>
          </w:p>
        </w:tc>
        <w:tc>
          <w:tcPr>
            <w:tcW w:w="990" w:type="dxa"/>
            <w:vAlign w:val="center"/>
          </w:tcPr>
          <w:p w14:paraId="1FBD9E86">
            <w:pPr>
              <w:keepNext w:val="0"/>
              <w:keepLines w:val="0"/>
              <w:suppressLineNumbers w:val="0"/>
              <w:spacing w:before="0" w:beforeAutospacing="0" w:after="0" w:afterAutospacing="0"/>
              <w:ind w:left="0" w:right="0"/>
              <w:jc w:val="center"/>
              <w:rPr>
                <w:rFonts w:hint="default"/>
              </w:rPr>
            </w:pPr>
          </w:p>
        </w:tc>
        <w:tc>
          <w:tcPr>
            <w:tcW w:w="990" w:type="dxa"/>
            <w:vAlign w:val="center"/>
          </w:tcPr>
          <w:p w14:paraId="4F5FDCC7">
            <w:pPr>
              <w:keepNext w:val="0"/>
              <w:keepLines w:val="0"/>
              <w:suppressLineNumbers w:val="0"/>
              <w:spacing w:before="0" w:beforeAutospacing="0" w:after="0" w:afterAutospacing="0"/>
              <w:ind w:left="0" w:right="0"/>
              <w:jc w:val="center"/>
              <w:rPr>
                <w:rFonts w:hint="default"/>
              </w:rPr>
            </w:pPr>
          </w:p>
        </w:tc>
        <w:tc>
          <w:tcPr>
            <w:tcW w:w="750" w:type="dxa"/>
            <w:vAlign w:val="center"/>
          </w:tcPr>
          <w:p w14:paraId="5DEBA6A7">
            <w:pPr>
              <w:keepNext w:val="0"/>
              <w:keepLines w:val="0"/>
              <w:suppressLineNumbers w:val="0"/>
              <w:spacing w:before="0" w:beforeAutospacing="0" w:after="0" w:afterAutospacing="0"/>
              <w:ind w:left="0" w:right="0"/>
              <w:jc w:val="center"/>
              <w:rPr>
                <w:rFonts w:hint="default"/>
              </w:rPr>
            </w:pPr>
          </w:p>
        </w:tc>
        <w:tc>
          <w:tcPr>
            <w:tcW w:w="870" w:type="dxa"/>
            <w:vAlign w:val="center"/>
          </w:tcPr>
          <w:p w14:paraId="150DCEB5">
            <w:pPr>
              <w:keepNext w:val="0"/>
              <w:keepLines w:val="0"/>
              <w:suppressLineNumbers w:val="0"/>
              <w:spacing w:before="0" w:beforeAutospacing="0" w:after="0" w:afterAutospacing="0"/>
              <w:ind w:left="0" w:right="0"/>
              <w:jc w:val="center"/>
              <w:rPr>
                <w:rFonts w:hint="default"/>
              </w:rPr>
            </w:pPr>
          </w:p>
        </w:tc>
        <w:tc>
          <w:tcPr>
            <w:tcW w:w="1020" w:type="dxa"/>
            <w:vAlign w:val="center"/>
          </w:tcPr>
          <w:p w14:paraId="0B6ACCDB">
            <w:pPr>
              <w:keepNext w:val="0"/>
              <w:keepLines w:val="0"/>
              <w:suppressLineNumbers w:val="0"/>
              <w:spacing w:before="0" w:beforeAutospacing="0" w:after="0" w:afterAutospacing="0"/>
              <w:ind w:left="0" w:right="0"/>
              <w:jc w:val="center"/>
              <w:rPr>
                <w:rFonts w:hint="default"/>
              </w:rPr>
            </w:pPr>
          </w:p>
        </w:tc>
        <w:tc>
          <w:tcPr>
            <w:tcW w:w="968" w:type="dxa"/>
            <w:vAlign w:val="center"/>
          </w:tcPr>
          <w:p w14:paraId="7BBE7B51">
            <w:pPr>
              <w:keepNext w:val="0"/>
              <w:keepLines w:val="0"/>
              <w:suppressLineNumbers w:val="0"/>
              <w:spacing w:before="0" w:beforeAutospacing="0" w:after="0" w:afterAutospacing="0"/>
              <w:ind w:left="0" w:right="0"/>
              <w:jc w:val="center"/>
              <w:rPr>
                <w:rFonts w:hint="default"/>
              </w:rPr>
            </w:pPr>
          </w:p>
        </w:tc>
        <w:tc>
          <w:tcPr>
            <w:tcW w:w="725" w:type="dxa"/>
            <w:vAlign w:val="center"/>
          </w:tcPr>
          <w:p w14:paraId="3A11F0BB">
            <w:pPr>
              <w:keepNext w:val="0"/>
              <w:keepLines w:val="0"/>
              <w:suppressLineNumbers w:val="0"/>
              <w:spacing w:before="0" w:beforeAutospacing="0" w:after="0" w:afterAutospacing="0"/>
              <w:ind w:left="0" w:right="0"/>
              <w:jc w:val="center"/>
              <w:rPr>
                <w:rFonts w:hint="default"/>
              </w:rPr>
            </w:pPr>
          </w:p>
        </w:tc>
      </w:tr>
      <w:tr w14:paraId="5F9A3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D8B611E">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2</w:t>
            </w:r>
          </w:p>
        </w:tc>
        <w:tc>
          <w:tcPr>
            <w:tcW w:w="1050" w:type="dxa"/>
            <w:vAlign w:val="center"/>
          </w:tcPr>
          <w:p w14:paraId="70669F5F">
            <w:pPr>
              <w:keepNext w:val="0"/>
              <w:keepLines w:val="0"/>
              <w:suppressLineNumbers w:val="0"/>
              <w:spacing w:before="0" w:beforeAutospacing="0" w:after="0" w:afterAutospacing="0"/>
              <w:ind w:left="0" w:right="0"/>
              <w:jc w:val="center"/>
              <w:rPr>
                <w:rFonts w:hint="default"/>
              </w:rPr>
            </w:pPr>
          </w:p>
        </w:tc>
        <w:tc>
          <w:tcPr>
            <w:tcW w:w="990" w:type="dxa"/>
            <w:vAlign w:val="center"/>
          </w:tcPr>
          <w:p w14:paraId="41ED0F8E">
            <w:pPr>
              <w:keepNext w:val="0"/>
              <w:keepLines w:val="0"/>
              <w:suppressLineNumbers w:val="0"/>
              <w:spacing w:before="0" w:beforeAutospacing="0" w:after="0" w:afterAutospacing="0"/>
              <w:ind w:left="0" w:right="0"/>
              <w:jc w:val="center"/>
              <w:rPr>
                <w:rFonts w:hint="default"/>
              </w:rPr>
            </w:pPr>
          </w:p>
        </w:tc>
        <w:tc>
          <w:tcPr>
            <w:tcW w:w="990" w:type="dxa"/>
            <w:vAlign w:val="center"/>
          </w:tcPr>
          <w:p w14:paraId="222424AE">
            <w:pPr>
              <w:keepNext w:val="0"/>
              <w:keepLines w:val="0"/>
              <w:suppressLineNumbers w:val="0"/>
              <w:spacing w:before="0" w:beforeAutospacing="0" w:after="0" w:afterAutospacing="0"/>
              <w:ind w:left="0" w:right="0"/>
              <w:jc w:val="center"/>
              <w:rPr>
                <w:rFonts w:hint="default"/>
              </w:rPr>
            </w:pPr>
          </w:p>
        </w:tc>
        <w:tc>
          <w:tcPr>
            <w:tcW w:w="750" w:type="dxa"/>
            <w:vAlign w:val="center"/>
          </w:tcPr>
          <w:p w14:paraId="72412A1D">
            <w:pPr>
              <w:keepNext w:val="0"/>
              <w:keepLines w:val="0"/>
              <w:suppressLineNumbers w:val="0"/>
              <w:spacing w:before="0" w:beforeAutospacing="0" w:after="0" w:afterAutospacing="0"/>
              <w:ind w:left="0" w:right="0"/>
              <w:jc w:val="center"/>
              <w:rPr>
                <w:rFonts w:hint="default"/>
              </w:rPr>
            </w:pPr>
          </w:p>
        </w:tc>
        <w:tc>
          <w:tcPr>
            <w:tcW w:w="870" w:type="dxa"/>
            <w:vAlign w:val="center"/>
          </w:tcPr>
          <w:p w14:paraId="257186F2">
            <w:pPr>
              <w:keepNext w:val="0"/>
              <w:keepLines w:val="0"/>
              <w:suppressLineNumbers w:val="0"/>
              <w:spacing w:before="0" w:beforeAutospacing="0" w:after="0" w:afterAutospacing="0"/>
              <w:ind w:left="0" w:right="0"/>
              <w:jc w:val="center"/>
              <w:rPr>
                <w:rFonts w:hint="default"/>
              </w:rPr>
            </w:pPr>
          </w:p>
        </w:tc>
        <w:tc>
          <w:tcPr>
            <w:tcW w:w="1020" w:type="dxa"/>
            <w:vAlign w:val="center"/>
          </w:tcPr>
          <w:p w14:paraId="42E249AF">
            <w:pPr>
              <w:keepNext w:val="0"/>
              <w:keepLines w:val="0"/>
              <w:suppressLineNumbers w:val="0"/>
              <w:spacing w:before="0" w:beforeAutospacing="0" w:after="0" w:afterAutospacing="0"/>
              <w:ind w:left="0" w:right="0"/>
              <w:jc w:val="center"/>
              <w:rPr>
                <w:rFonts w:hint="default"/>
              </w:rPr>
            </w:pPr>
          </w:p>
        </w:tc>
        <w:tc>
          <w:tcPr>
            <w:tcW w:w="968" w:type="dxa"/>
            <w:vAlign w:val="center"/>
          </w:tcPr>
          <w:p w14:paraId="5C60D203">
            <w:pPr>
              <w:keepNext w:val="0"/>
              <w:keepLines w:val="0"/>
              <w:suppressLineNumbers w:val="0"/>
              <w:spacing w:before="0" w:beforeAutospacing="0" w:after="0" w:afterAutospacing="0"/>
              <w:ind w:left="0" w:right="0"/>
              <w:jc w:val="center"/>
              <w:rPr>
                <w:rFonts w:hint="default"/>
              </w:rPr>
            </w:pPr>
          </w:p>
        </w:tc>
        <w:tc>
          <w:tcPr>
            <w:tcW w:w="725" w:type="dxa"/>
            <w:vAlign w:val="center"/>
          </w:tcPr>
          <w:p w14:paraId="5A6C1D5A">
            <w:pPr>
              <w:keepNext w:val="0"/>
              <w:keepLines w:val="0"/>
              <w:suppressLineNumbers w:val="0"/>
              <w:spacing w:before="0" w:beforeAutospacing="0" w:after="0" w:afterAutospacing="0"/>
              <w:ind w:left="0" w:right="0"/>
              <w:jc w:val="center"/>
              <w:rPr>
                <w:rFonts w:hint="default"/>
              </w:rPr>
            </w:pPr>
          </w:p>
        </w:tc>
      </w:tr>
      <w:tr w14:paraId="192755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0" w:hRule="atLeast"/>
          <w:jc w:val="center"/>
        </w:trPr>
        <w:tc>
          <w:tcPr>
            <w:tcW w:w="1534" w:type="dxa"/>
            <w:vAlign w:val="center"/>
          </w:tcPr>
          <w:p w14:paraId="16FB0D31">
            <w:pPr>
              <w:keepNext w:val="0"/>
              <w:keepLines w:val="0"/>
              <w:suppressLineNumbers w:val="0"/>
              <w:spacing w:before="0" w:beforeAutospacing="0" w:after="0" w:afterAutospacing="0"/>
              <w:ind w:left="0" w:right="0"/>
              <w:jc w:val="center"/>
              <w:rPr>
                <w:rFonts w:hint="eastAsia" w:eastAsiaTheme="minorEastAsia"/>
                <w:lang w:eastAsia="zh-CN"/>
              </w:rPr>
            </w:pPr>
            <w:r>
              <w:rPr>
                <w:rFonts w:hint="eastAsia"/>
                <w:lang w:val="en-US" w:eastAsia="zh-CN"/>
              </w:rPr>
              <w:t>3</w:t>
            </w:r>
          </w:p>
        </w:tc>
        <w:tc>
          <w:tcPr>
            <w:tcW w:w="1050" w:type="dxa"/>
            <w:vAlign w:val="center"/>
          </w:tcPr>
          <w:p w14:paraId="745F5712">
            <w:pPr>
              <w:keepNext w:val="0"/>
              <w:keepLines w:val="0"/>
              <w:suppressLineNumbers w:val="0"/>
              <w:spacing w:before="0" w:beforeAutospacing="0" w:after="0" w:afterAutospacing="0"/>
              <w:ind w:left="0" w:right="0"/>
              <w:jc w:val="center"/>
              <w:rPr>
                <w:rFonts w:hint="default"/>
              </w:rPr>
            </w:pPr>
          </w:p>
        </w:tc>
        <w:tc>
          <w:tcPr>
            <w:tcW w:w="990" w:type="dxa"/>
            <w:vAlign w:val="center"/>
          </w:tcPr>
          <w:p w14:paraId="77BF9D43">
            <w:pPr>
              <w:keepNext w:val="0"/>
              <w:keepLines w:val="0"/>
              <w:suppressLineNumbers w:val="0"/>
              <w:spacing w:before="0" w:beforeAutospacing="0" w:after="0" w:afterAutospacing="0"/>
              <w:ind w:left="0" w:right="0"/>
              <w:jc w:val="center"/>
              <w:rPr>
                <w:rFonts w:hint="default"/>
              </w:rPr>
            </w:pPr>
          </w:p>
        </w:tc>
        <w:tc>
          <w:tcPr>
            <w:tcW w:w="990" w:type="dxa"/>
            <w:vAlign w:val="center"/>
          </w:tcPr>
          <w:p w14:paraId="0A5DC4D5">
            <w:pPr>
              <w:keepNext w:val="0"/>
              <w:keepLines w:val="0"/>
              <w:suppressLineNumbers w:val="0"/>
              <w:spacing w:before="0" w:beforeAutospacing="0" w:after="0" w:afterAutospacing="0"/>
              <w:ind w:left="0" w:right="0"/>
              <w:jc w:val="center"/>
              <w:rPr>
                <w:rFonts w:hint="default"/>
              </w:rPr>
            </w:pPr>
          </w:p>
        </w:tc>
        <w:tc>
          <w:tcPr>
            <w:tcW w:w="750" w:type="dxa"/>
            <w:vAlign w:val="center"/>
          </w:tcPr>
          <w:p w14:paraId="10A066A4">
            <w:pPr>
              <w:keepNext w:val="0"/>
              <w:keepLines w:val="0"/>
              <w:suppressLineNumbers w:val="0"/>
              <w:spacing w:before="0" w:beforeAutospacing="0" w:after="0" w:afterAutospacing="0"/>
              <w:ind w:left="0" w:right="0"/>
              <w:jc w:val="center"/>
              <w:rPr>
                <w:rFonts w:hint="default"/>
              </w:rPr>
            </w:pPr>
          </w:p>
        </w:tc>
        <w:tc>
          <w:tcPr>
            <w:tcW w:w="870" w:type="dxa"/>
            <w:vAlign w:val="center"/>
          </w:tcPr>
          <w:p w14:paraId="7B558961">
            <w:pPr>
              <w:keepNext w:val="0"/>
              <w:keepLines w:val="0"/>
              <w:suppressLineNumbers w:val="0"/>
              <w:spacing w:before="0" w:beforeAutospacing="0" w:after="0" w:afterAutospacing="0"/>
              <w:ind w:left="0" w:right="0"/>
              <w:jc w:val="center"/>
              <w:rPr>
                <w:rFonts w:hint="default"/>
              </w:rPr>
            </w:pPr>
          </w:p>
        </w:tc>
        <w:tc>
          <w:tcPr>
            <w:tcW w:w="1020" w:type="dxa"/>
            <w:vAlign w:val="center"/>
          </w:tcPr>
          <w:p w14:paraId="7E193032">
            <w:pPr>
              <w:keepNext w:val="0"/>
              <w:keepLines w:val="0"/>
              <w:suppressLineNumbers w:val="0"/>
              <w:spacing w:before="0" w:beforeAutospacing="0" w:after="0" w:afterAutospacing="0"/>
              <w:ind w:left="0" w:right="0"/>
              <w:jc w:val="center"/>
              <w:rPr>
                <w:rFonts w:hint="default"/>
              </w:rPr>
            </w:pPr>
          </w:p>
        </w:tc>
        <w:tc>
          <w:tcPr>
            <w:tcW w:w="968" w:type="dxa"/>
            <w:vAlign w:val="center"/>
          </w:tcPr>
          <w:p w14:paraId="50C0846A">
            <w:pPr>
              <w:keepNext w:val="0"/>
              <w:keepLines w:val="0"/>
              <w:suppressLineNumbers w:val="0"/>
              <w:spacing w:before="0" w:beforeAutospacing="0" w:after="0" w:afterAutospacing="0"/>
              <w:ind w:left="0" w:right="0"/>
              <w:jc w:val="center"/>
              <w:rPr>
                <w:rFonts w:hint="default"/>
              </w:rPr>
            </w:pPr>
          </w:p>
        </w:tc>
        <w:tc>
          <w:tcPr>
            <w:tcW w:w="725" w:type="dxa"/>
            <w:vAlign w:val="center"/>
          </w:tcPr>
          <w:p w14:paraId="1AB98162">
            <w:pPr>
              <w:keepNext w:val="0"/>
              <w:keepLines w:val="0"/>
              <w:suppressLineNumbers w:val="0"/>
              <w:spacing w:before="0" w:beforeAutospacing="0" w:after="0" w:afterAutospacing="0"/>
              <w:ind w:left="0" w:right="0"/>
              <w:jc w:val="center"/>
              <w:rPr>
                <w:rFonts w:hint="default"/>
              </w:rPr>
            </w:pPr>
          </w:p>
        </w:tc>
      </w:tr>
      <w:tr w14:paraId="47AF0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37BEBF6">
            <w:pPr>
              <w:keepNext w:val="0"/>
              <w:keepLines w:val="0"/>
              <w:suppressLineNumbers w:val="0"/>
              <w:spacing w:before="0" w:beforeAutospacing="0" w:after="0" w:afterAutospacing="0"/>
              <w:ind w:left="0" w:right="0"/>
              <w:jc w:val="center"/>
              <w:rPr>
                <w:rFonts w:hint="eastAsia" w:eastAsiaTheme="minorEastAsia"/>
                <w:lang w:val="en-US" w:eastAsia="zh-CN"/>
              </w:rPr>
            </w:pPr>
            <w:r>
              <w:rPr>
                <w:rFonts w:hint="eastAsia"/>
                <w:lang w:val="en-US" w:eastAsia="zh-CN"/>
              </w:rPr>
              <w:t>4</w:t>
            </w:r>
          </w:p>
        </w:tc>
        <w:tc>
          <w:tcPr>
            <w:tcW w:w="1050" w:type="dxa"/>
            <w:vAlign w:val="center"/>
          </w:tcPr>
          <w:p w14:paraId="7C2988EE">
            <w:pPr>
              <w:keepNext w:val="0"/>
              <w:keepLines w:val="0"/>
              <w:suppressLineNumbers w:val="0"/>
              <w:spacing w:before="0" w:beforeAutospacing="0" w:after="0" w:afterAutospacing="0"/>
              <w:ind w:left="0" w:right="0"/>
              <w:jc w:val="center"/>
              <w:rPr>
                <w:rFonts w:hint="default"/>
              </w:rPr>
            </w:pPr>
          </w:p>
        </w:tc>
        <w:tc>
          <w:tcPr>
            <w:tcW w:w="990" w:type="dxa"/>
            <w:vAlign w:val="center"/>
          </w:tcPr>
          <w:p w14:paraId="29A2E49B">
            <w:pPr>
              <w:keepNext w:val="0"/>
              <w:keepLines w:val="0"/>
              <w:suppressLineNumbers w:val="0"/>
              <w:spacing w:before="0" w:beforeAutospacing="0" w:after="0" w:afterAutospacing="0"/>
              <w:ind w:left="0" w:right="0"/>
              <w:jc w:val="center"/>
              <w:rPr>
                <w:rFonts w:hint="default"/>
              </w:rPr>
            </w:pPr>
          </w:p>
        </w:tc>
        <w:tc>
          <w:tcPr>
            <w:tcW w:w="990" w:type="dxa"/>
            <w:vAlign w:val="center"/>
          </w:tcPr>
          <w:p w14:paraId="63DDBB0D">
            <w:pPr>
              <w:keepNext w:val="0"/>
              <w:keepLines w:val="0"/>
              <w:suppressLineNumbers w:val="0"/>
              <w:spacing w:before="0" w:beforeAutospacing="0" w:after="0" w:afterAutospacing="0"/>
              <w:ind w:left="0" w:right="0"/>
              <w:jc w:val="center"/>
              <w:rPr>
                <w:rFonts w:hint="default"/>
              </w:rPr>
            </w:pPr>
          </w:p>
        </w:tc>
        <w:tc>
          <w:tcPr>
            <w:tcW w:w="750" w:type="dxa"/>
            <w:vAlign w:val="center"/>
          </w:tcPr>
          <w:p w14:paraId="097E2DB7">
            <w:pPr>
              <w:keepNext w:val="0"/>
              <w:keepLines w:val="0"/>
              <w:suppressLineNumbers w:val="0"/>
              <w:spacing w:before="0" w:beforeAutospacing="0" w:after="0" w:afterAutospacing="0"/>
              <w:ind w:left="0" w:right="0"/>
              <w:jc w:val="center"/>
              <w:rPr>
                <w:rFonts w:hint="default"/>
              </w:rPr>
            </w:pPr>
          </w:p>
        </w:tc>
        <w:tc>
          <w:tcPr>
            <w:tcW w:w="870" w:type="dxa"/>
            <w:vAlign w:val="center"/>
          </w:tcPr>
          <w:p w14:paraId="06F59F69">
            <w:pPr>
              <w:keepNext w:val="0"/>
              <w:keepLines w:val="0"/>
              <w:suppressLineNumbers w:val="0"/>
              <w:spacing w:before="0" w:beforeAutospacing="0" w:after="0" w:afterAutospacing="0"/>
              <w:ind w:left="0" w:right="0"/>
              <w:jc w:val="center"/>
              <w:rPr>
                <w:rFonts w:hint="default"/>
              </w:rPr>
            </w:pPr>
          </w:p>
        </w:tc>
        <w:tc>
          <w:tcPr>
            <w:tcW w:w="1020" w:type="dxa"/>
            <w:vAlign w:val="center"/>
          </w:tcPr>
          <w:p w14:paraId="7033E8FE">
            <w:pPr>
              <w:keepNext w:val="0"/>
              <w:keepLines w:val="0"/>
              <w:suppressLineNumbers w:val="0"/>
              <w:spacing w:before="0" w:beforeAutospacing="0" w:after="0" w:afterAutospacing="0"/>
              <w:ind w:left="0" w:right="0"/>
              <w:jc w:val="center"/>
              <w:rPr>
                <w:rFonts w:hint="default"/>
              </w:rPr>
            </w:pPr>
          </w:p>
        </w:tc>
        <w:tc>
          <w:tcPr>
            <w:tcW w:w="968" w:type="dxa"/>
            <w:vAlign w:val="center"/>
          </w:tcPr>
          <w:p w14:paraId="190F58CD">
            <w:pPr>
              <w:keepNext w:val="0"/>
              <w:keepLines w:val="0"/>
              <w:suppressLineNumbers w:val="0"/>
              <w:spacing w:before="0" w:beforeAutospacing="0" w:after="0" w:afterAutospacing="0"/>
              <w:ind w:left="0" w:right="0"/>
              <w:jc w:val="center"/>
              <w:rPr>
                <w:rFonts w:hint="default"/>
              </w:rPr>
            </w:pPr>
          </w:p>
        </w:tc>
        <w:tc>
          <w:tcPr>
            <w:tcW w:w="725" w:type="dxa"/>
            <w:vAlign w:val="center"/>
          </w:tcPr>
          <w:p w14:paraId="0069FDC3">
            <w:pPr>
              <w:keepNext w:val="0"/>
              <w:keepLines w:val="0"/>
              <w:suppressLineNumbers w:val="0"/>
              <w:spacing w:before="0" w:beforeAutospacing="0" w:after="0" w:afterAutospacing="0"/>
              <w:ind w:left="0" w:right="0"/>
              <w:jc w:val="center"/>
              <w:rPr>
                <w:rFonts w:hint="default"/>
              </w:rPr>
            </w:pPr>
          </w:p>
        </w:tc>
      </w:tr>
      <w:tr w14:paraId="304F6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3D46894B">
            <w:pPr>
              <w:keepNext w:val="0"/>
              <w:keepLines w:val="0"/>
              <w:suppressLineNumbers w:val="0"/>
              <w:spacing w:before="0" w:beforeAutospacing="0" w:after="0" w:afterAutospacing="0"/>
              <w:ind w:left="0" w:right="0"/>
              <w:jc w:val="center"/>
              <w:rPr>
                <w:rFonts w:hint="eastAsia"/>
              </w:rPr>
            </w:pPr>
            <w:r>
              <w:rPr>
                <w:rFonts w:hint="eastAsia"/>
              </w:rPr>
              <w:t>……</w:t>
            </w:r>
          </w:p>
        </w:tc>
        <w:tc>
          <w:tcPr>
            <w:tcW w:w="1050" w:type="dxa"/>
            <w:vAlign w:val="center"/>
          </w:tcPr>
          <w:p w14:paraId="6D7736AA">
            <w:pPr>
              <w:keepNext w:val="0"/>
              <w:keepLines w:val="0"/>
              <w:suppressLineNumbers w:val="0"/>
              <w:spacing w:before="0" w:beforeAutospacing="0" w:after="0" w:afterAutospacing="0"/>
              <w:ind w:left="0" w:right="0"/>
              <w:jc w:val="center"/>
              <w:rPr>
                <w:rFonts w:hint="default"/>
              </w:rPr>
            </w:pPr>
          </w:p>
        </w:tc>
        <w:tc>
          <w:tcPr>
            <w:tcW w:w="990" w:type="dxa"/>
            <w:vAlign w:val="center"/>
          </w:tcPr>
          <w:p w14:paraId="1CE8CDF5">
            <w:pPr>
              <w:keepNext w:val="0"/>
              <w:keepLines w:val="0"/>
              <w:suppressLineNumbers w:val="0"/>
              <w:spacing w:before="0" w:beforeAutospacing="0" w:after="0" w:afterAutospacing="0"/>
              <w:ind w:left="0" w:right="0"/>
              <w:jc w:val="center"/>
              <w:rPr>
                <w:rFonts w:hint="default"/>
              </w:rPr>
            </w:pPr>
          </w:p>
        </w:tc>
        <w:tc>
          <w:tcPr>
            <w:tcW w:w="990" w:type="dxa"/>
            <w:vAlign w:val="center"/>
          </w:tcPr>
          <w:p w14:paraId="0A436446">
            <w:pPr>
              <w:keepNext w:val="0"/>
              <w:keepLines w:val="0"/>
              <w:suppressLineNumbers w:val="0"/>
              <w:spacing w:before="0" w:beforeAutospacing="0" w:after="0" w:afterAutospacing="0"/>
              <w:ind w:left="0" w:right="0"/>
              <w:jc w:val="center"/>
              <w:rPr>
                <w:rFonts w:hint="default"/>
              </w:rPr>
            </w:pPr>
          </w:p>
        </w:tc>
        <w:tc>
          <w:tcPr>
            <w:tcW w:w="750" w:type="dxa"/>
            <w:vAlign w:val="center"/>
          </w:tcPr>
          <w:p w14:paraId="793DB9AB">
            <w:pPr>
              <w:keepNext w:val="0"/>
              <w:keepLines w:val="0"/>
              <w:suppressLineNumbers w:val="0"/>
              <w:spacing w:before="0" w:beforeAutospacing="0" w:after="0" w:afterAutospacing="0"/>
              <w:ind w:left="0" w:right="0"/>
              <w:jc w:val="center"/>
              <w:rPr>
                <w:rFonts w:hint="default"/>
              </w:rPr>
            </w:pPr>
          </w:p>
        </w:tc>
        <w:tc>
          <w:tcPr>
            <w:tcW w:w="870" w:type="dxa"/>
            <w:vAlign w:val="center"/>
          </w:tcPr>
          <w:p w14:paraId="572BDF3D">
            <w:pPr>
              <w:keepNext w:val="0"/>
              <w:keepLines w:val="0"/>
              <w:suppressLineNumbers w:val="0"/>
              <w:spacing w:before="0" w:beforeAutospacing="0" w:after="0" w:afterAutospacing="0"/>
              <w:ind w:left="0" w:right="0"/>
              <w:jc w:val="center"/>
              <w:rPr>
                <w:rFonts w:hint="default"/>
              </w:rPr>
            </w:pPr>
          </w:p>
        </w:tc>
        <w:tc>
          <w:tcPr>
            <w:tcW w:w="1020" w:type="dxa"/>
            <w:vAlign w:val="center"/>
          </w:tcPr>
          <w:p w14:paraId="0D5FDA0D">
            <w:pPr>
              <w:keepNext w:val="0"/>
              <w:keepLines w:val="0"/>
              <w:suppressLineNumbers w:val="0"/>
              <w:spacing w:before="0" w:beforeAutospacing="0" w:after="0" w:afterAutospacing="0"/>
              <w:ind w:left="0" w:right="0"/>
              <w:jc w:val="center"/>
              <w:rPr>
                <w:rFonts w:hint="default"/>
              </w:rPr>
            </w:pPr>
          </w:p>
        </w:tc>
        <w:tc>
          <w:tcPr>
            <w:tcW w:w="968" w:type="dxa"/>
            <w:vAlign w:val="center"/>
          </w:tcPr>
          <w:p w14:paraId="4386A38B">
            <w:pPr>
              <w:keepNext w:val="0"/>
              <w:keepLines w:val="0"/>
              <w:suppressLineNumbers w:val="0"/>
              <w:spacing w:before="0" w:beforeAutospacing="0" w:after="0" w:afterAutospacing="0"/>
              <w:ind w:left="0" w:right="0"/>
              <w:jc w:val="center"/>
              <w:rPr>
                <w:rFonts w:hint="default"/>
              </w:rPr>
            </w:pPr>
          </w:p>
        </w:tc>
        <w:tc>
          <w:tcPr>
            <w:tcW w:w="725" w:type="dxa"/>
            <w:vAlign w:val="center"/>
          </w:tcPr>
          <w:p w14:paraId="3AE151F1">
            <w:pPr>
              <w:keepNext w:val="0"/>
              <w:keepLines w:val="0"/>
              <w:suppressLineNumbers w:val="0"/>
              <w:spacing w:before="0" w:beforeAutospacing="0" w:after="0" w:afterAutospacing="0"/>
              <w:ind w:left="0" w:right="0"/>
              <w:jc w:val="center"/>
              <w:rPr>
                <w:rFonts w:hint="default"/>
              </w:rPr>
            </w:pPr>
          </w:p>
        </w:tc>
      </w:tr>
      <w:tr w14:paraId="7C2BA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299453B2">
            <w:pPr>
              <w:keepNext w:val="0"/>
              <w:keepLines w:val="0"/>
              <w:suppressLineNumbers w:val="0"/>
              <w:spacing w:before="0" w:beforeAutospacing="0" w:after="0" w:afterAutospacing="0"/>
              <w:ind w:left="0" w:right="0"/>
              <w:jc w:val="center"/>
              <w:rPr>
                <w:rFonts w:hint="eastAsia" w:ascii="宋体" w:hAnsi="宋体" w:eastAsiaTheme="minorEastAsia"/>
                <w:lang w:eastAsia="zh-CN"/>
              </w:rPr>
            </w:pPr>
            <w:r>
              <w:rPr>
                <w:rFonts w:hint="eastAsia" w:ascii="宋体" w:hAnsi="宋体"/>
              </w:rPr>
              <w:t>总计</w:t>
            </w:r>
          </w:p>
        </w:tc>
        <w:tc>
          <w:tcPr>
            <w:tcW w:w="7363" w:type="dxa"/>
            <w:gridSpan w:val="8"/>
            <w:vAlign w:val="center"/>
          </w:tcPr>
          <w:p w14:paraId="44A20969">
            <w:pPr>
              <w:keepNext w:val="0"/>
              <w:keepLines w:val="0"/>
              <w:suppressLineNumbers w:val="0"/>
              <w:spacing w:before="0" w:beforeAutospacing="0" w:after="0" w:afterAutospacing="0"/>
              <w:ind w:left="0" w:right="0"/>
              <w:rPr>
                <w:rFonts w:hint="default"/>
              </w:rPr>
            </w:pPr>
            <w:r>
              <w:rPr>
                <w:rFonts w:hint="eastAsia"/>
                <w:lang w:val="en-US" w:eastAsia="zh-CN"/>
              </w:rPr>
              <w:t>小写：</w:t>
            </w:r>
            <w:r>
              <w:rPr>
                <w:rFonts w:hint="eastAsia"/>
              </w:rPr>
              <w:t xml:space="preserve">            大写：</w:t>
            </w:r>
          </w:p>
        </w:tc>
      </w:tr>
    </w:tbl>
    <w:p w14:paraId="74DB6181">
      <w:pPr>
        <w:widowControl/>
        <w:wordWrap w:val="0"/>
        <w:spacing w:line="360" w:lineRule="auto"/>
        <w:jc w:val="left"/>
        <w:rPr>
          <w:rFonts w:ascii="ˎ̥" w:hAnsi="ˎ̥" w:cs="宋体"/>
          <w:kern w:val="0"/>
          <w:sz w:val="18"/>
          <w:szCs w:val="18"/>
        </w:rPr>
      </w:pPr>
    </w:p>
    <w:p w14:paraId="6AA29BC1">
      <w:pPr>
        <w:pStyle w:val="5"/>
      </w:pPr>
    </w:p>
    <w:p w14:paraId="14D6F199">
      <w:pPr>
        <w:spacing w:line="360" w:lineRule="auto"/>
        <w:rPr>
          <w:b/>
          <w:bCs/>
          <w:sz w:val="24"/>
        </w:rPr>
      </w:pPr>
      <w:r>
        <w:rPr>
          <w:rFonts w:hint="eastAsia"/>
          <w:b/>
          <w:bCs/>
          <w:sz w:val="24"/>
          <w:lang w:val="en-US" w:eastAsia="zh-CN"/>
        </w:rPr>
        <w:t>投标人签字：</w:t>
      </w:r>
      <w:r>
        <w:rPr>
          <w:rFonts w:hint="eastAsia"/>
          <w:b/>
          <w:bCs/>
          <w:sz w:val="24"/>
          <w:u w:val="single"/>
          <w:lang w:val="en-US" w:eastAsia="zh-CN"/>
        </w:rPr>
        <w:t xml:space="preserve">                     </w:t>
      </w:r>
    </w:p>
    <w:p w14:paraId="32FD1D14">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58704B5">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4E0D3D7E">
      <w:pPr>
        <w:spacing w:line="360" w:lineRule="auto"/>
        <w:outlineLvl w:val="9"/>
        <w:rPr>
          <w:sz w:val="24"/>
        </w:rPr>
      </w:pPr>
      <w:r>
        <w:rPr>
          <w:rFonts w:hint="eastAsia"/>
          <w:b/>
          <w:sz w:val="24"/>
        </w:rPr>
        <w:t>（此处加盖投标人单位公章）</w:t>
      </w:r>
    </w:p>
    <w:p w14:paraId="2F80012B">
      <w:pPr>
        <w:tabs>
          <w:tab w:val="left" w:pos="567"/>
        </w:tabs>
        <w:snapToGrid w:val="0"/>
        <w:spacing w:line="360" w:lineRule="auto"/>
        <w:rPr>
          <w:rFonts w:ascii="宋体" w:hAnsi="宋体"/>
        </w:rPr>
      </w:pPr>
    </w:p>
    <w:p w14:paraId="7578DAC9">
      <w:pPr>
        <w:tabs>
          <w:tab w:val="left" w:pos="567"/>
        </w:tabs>
        <w:snapToGrid w:val="0"/>
        <w:spacing w:line="360" w:lineRule="auto"/>
        <w:rPr>
          <w:rFonts w:ascii="宋体" w:hAnsi="宋体"/>
        </w:rPr>
      </w:pPr>
      <w:r>
        <w:rPr>
          <w:rFonts w:hint="eastAsia" w:ascii="宋体" w:hAnsi="宋体"/>
        </w:rPr>
        <w:t>注：</w:t>
      </w:r>
    </w:p>
    <w:p w14:paraId="10109930">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此表为《开标一览表(报价表)》的报价明细表。</w:t>
      </w:r>
    </w:p>
    <w:p w14:paraId="60C88164">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所有价格均以人民币作为货币单位填写及计算。</w:t>
      </w:r>
    </w:p>
    <w:p w14:paraId="08644903">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该表格式仅作参考，投标人的详细报价表格式可自定。</w:t>
      </w:r>
    </w:p>
    <w:p w14:paraId="4B3DAAF6">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若投标报价</w:t>
      </w:r>
      <w:r>
        <w:rPr>
          <w:rFonts w:hint="eastAsia" w:ascii="宋体" w:hAnsi="宋体"/>
          <w:lang w:val="en-US" w:eastAsia="zh-CN"/>
        </w:rPr>
        <w:t>明细</w:t>
      </w:r>
      <w:r>
        <w:rPr>
          <w:rFonts w:hint="eastAsia" w:ascii="宋体" w:hAnsi="宋体"/>
        </w:rPr>
        <w:t>表中大写金额和小</w:t>
      </w:r>
      <w:r>
        <w:rPr>
          <w:rFonts w:hint="eastAsia" w:asciiTheme="minorEastAsia" w:hAnsiTheme="minorEastAsia" w:eastAsiaTheme="minorEastAsia"/>
          <w:szCs w:val="21"/>
        </w:rPr>
        <w:t>写金额不一致的，以大写金额为准。</w:t>
      </w:r>
    </w:p>
    <w:p w14:paraId="57712ECD">
      <w:pPr>
        <w:pStyle w:val="3"/>
        <w:numPr>
          <w:ilvl w:val="0"/>
          <w:numId w:val="0"/>
        </w:numPr>
        <w:spacing w:line="240" w:lineRule="auto"/>
        <w:ind w:left="420" w:leftChars="0" w:hanging="420" w:firstLineChars="0"/>
        <w:jc w:val="center"/>
        <w:outlineLvl w:val="9"/>
        <w:rPr>
          <w:rFonts w:ascii="宋体" w:hAnsi="宋体"/>
          <w:color w:val="000000"/>
        </w:rPr>
      </w:pPr>
    </w:p>
    <w:p w14:paraId="37B42F00">
      <w:pPr>
        <w:rPr>
          <w:rFonts w:ascii="宋体" w:hAnsi="宋体"/>
          <w:color w:val="000000"/>
        </w:rPr>
      </w:pPr>
    </w:p>
    <w:p w14:paraId="48A26FD0">
      <w:pPr>
        <w:pStyle w:val="5"/>
        <w:rPr>
          <w:rFonts w:ascii="宋体" w:hAnsi="宋体"/>
          <w:color w:val="000000"/>
        </w:rPr>
      </w:pPr>
    </w:p>
    <w:p w14:paraId="1EE00335">
      <w:pPr>
        <w:rPr>
          <w:rFonts w:ascii="宋体" w:hAnsi="宋体"/>
          <w:color w:val="000000"/>
        </w:rPr>
      </w:pPr>
    </w:p>
    <w:p w14:paraId="074A18CC">
      <w:pPr>
        <w:pStyle w:val="5"/>
        <w:rPr>
          <w:rFonts w:ascii="宋体" w:hAnsi="宋体"/>
          <w:color w:val="000000"/>
        </w:rPr>
      </w:pPr>
    </w:p>
    <w:p w14:paraId="1EAF0F35">
      <w:pPr>
        <w:rPr>
          <w:rFonts w:ascii="宋体" w:hAnsi="宋体"/>
          <w:color w:val="000000"/>
        </w:rPr>
      </w:pPr>
    </w:p>
    <w:p w14:paraId="561C5F22">
      <w:pPr>
        <w:pStyle w:val="5"/>
        <w:rPr>
          <w:rFonts w:ascii="宋体" w:hAnsi="宋体"/>
          <w:color w:val="000000"/>
        </w:rPr>
      </w:pPr>
    </w:p>
    <w:p w14:paraId="68A50261">
      <w:pPr>
        <w:rPr>
          <w:rFonts w:ascii="宋体" w:hAnsi="宋体"/>
          <w:color w:val="000000"/>
        </w:rPr>
      </w:pPr>
    </w:p>
    <w:p w14:paraId="7E8FC21E">
      <w:pPr>
        <w:pStyle w:val="5"/>
        <w:rPr>
          <w:rFonts w:ascii="宋体" w:hAnsi="宋体"/>
          <w:color w:val="000000"/>
        </w:rPr>
      </w:pPr>
    </w:p>
    <w:p w14:paraId="51E2905D">
      <w:pPr>
        <w:pStyle w:val="5"/>
      </w:pPr>
    </w:p>
    <w:p w14:paraId="48791E83">
      <w:pPr>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（十一）产品配置清单</w:t>
      </w:r>
    </w:p>
    <w:tbl>
      <w:tblPr>
        <w:tblStyle w:val="16"/>
        <w:tblW w:w="4996"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02"/>
        <w:gridCol w:w="1359"/>
        <w:gridCol w:w="1446"/>
        <w:gridCol w:w="1098"/>
        <w:gridCol w:w="1350"/>
        <w:gridCol w:w="2391"/>
        <w:gridCol w:w="957"/>
      </w:tblGrid>
      <w:tr w14:paraId="59B3688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27"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27C78ED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序号</w:t>
            </w:r>
          </w:p>
        </w:tc>
        <w:tc>
          <w:tcPr>
            <w:tcW w:w="73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81144DE">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品名</w:t>
            </w:r>
          </w:p>
        </w:tc>
        <w:tc>
          <w:tcPr>
            <w:tcW w:w="785"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7AE266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规格说明</w:t>
            </w:r>
          </w:p>
        </w:tc>
        <w:tc>
          <w:tcPr>
            <w:tcW w:w="596"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3EDABADF">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采购数量</w:t>
            </w:r>
          </w:p>
        </w:tc>
        <w:tc>
          <w:tcPr>
            <w:tcW w:w="733"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46D0FDD2">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lang w:val="en-US" w:eastAsia="zh-CN"/>
              </w:rPr>
              <w:t>投标</w:t>
            </w:r>
            <w:r>
              <w:rPr>
                <w:rFonts w:hint="eastAsia" w:ascii="宋体" w:hAnsi="宋体"/>
                <w:highlight w:val="none"/>
              </w:rPr>
              <w:t>数量</w:t>
            </w:r>
          </w:p>
        </w:tc>
        <w:tc>
          <w:tcPr>
            <w:tcW w:w="129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616CA0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偏离情况（填写“正偏离、</w:t>
            </w:r>
            <w:r>
              <w:rPr>
                <w:rFonts w:hint="eastAsia" w:ascii="宋体" w:hAnsi="宋体"/>
                <w:highlight w:val="none"/>
                <w:lang w:val="en-US" w:eastAsia="zh-CN"/>
              </w:rPr>
              <w:t>无偏离</w:t>
            </w:r>
            <w:r>
              <w:rPr>
                <w:rFonts w:hint="eastAsia" w:ascii="宋体" w:hAnsi="宋体"/>
                <w:highlight w:val="none"/>
              </w:rPr>
              <w:t>或负偏离”）</w:t>
            </w:r>
          </w:p>
        </w:tc>
        <w:tc>
          <w:tcPr>
            <w:tcW w:w="519"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281F3E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备注</w:t>
            </w:r>
          </w:p>
        </w:tc>
      </w:tr>
      <w:tr w14:paraId="0C11FD5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double" w:color="auto" w:sz="4" w:space="0"/>
              <w:left w:val="single" w:color="auto" w:sz="4" w:space="0"/>
              <w:bottom w:val="single" w:color="auto" w:sz="4" w:space="0"/>
              <w:right w:val="single" w:color="auto" w:sz="4" w:space="0"/>
            </w:tcBorders>
            <w:vAlign w:val="center"/>
          </w:tcPr>
          <w:p w14:paraId="226BB8C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w:t>
            </w:r>
          </w:p>
        </w:tc>
        <w:tc>
          <w:tcPr>
            <w:tcW w:w="738" w:type="pct"/>
            <w:tcBorders>
              <w:top w:val="double" w:color="auto" w:sz="4" w:space="0"/>
              <w:left w:val="single" w:color="auto" w:sz="4" w:space="0"/>
              <w:bottom w:val="single" w:color="auto" w:sz="4" w:space="0"/>
              <w:right w:val="single" w:color="auto" w:sz="4" w:space="0"/>
            </w:tcBorders>
            <w:vAlign w:val="center"/>
          </w:tcPr>
          <w:p w14:paraId="49504AD2">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double" w:color="auto" w:sz="4" w:space="0"/>
              <w:left w:val="single" w:color="auto" w:sz="4" w:space="0"/>
              <w:bottom w:val="single" w:color="auto" w:sz="4" w:space="0"/>
              <w:right w:val="single" w:color="auto" w:sz="4" w:space="0"/>
            </w:tcBorders>
            <w:vAlign w:val="center"/>
          </w:tcPr>
          <w:p w14:paraId="399BD18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double" w:color="auto" w:sz="4" w:space="0"/>
              <w:left w:val="single" w:color="auto" w:sz="4" w:space="0"/>
              <w:bottom w:val="single" w:color="auto" w:sz="4" w:space="0"/>
              <w:right w:val="single" w:color="auto" w:sz="4" w:space="0"/>
            </w:tcBorders>
            <w:vAlign w:val="center"/>
          </w:tcPr>
          <w:p w14:paraId="681D123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double" w:color="auto" w:sz="4" w:space="0"/>
              <w:left w:val="single" w:color="auto" w:sz="4" w:space="0"/>
              <w:bottom w:val="single" w:color="auto" w:sz="4" w:space="0"/>
              <w:right w:val="single" w:color="auto" w:sz="4" w:space="0"/>
            </w:tcBorders>
            <w:vAlign w:val="center"/>
          </w:tcPr>
          <w:p w14:paraId="11E35DC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double" w:color="auto" w:sz="4" w:space="0"/>
              <w:left w:val="single" w:color="auto" w:sz="4" w:space="0"/>
              <w:bottom w:val="single" w:color="auto" w:sz="4" w:space="0"/>
              <w:right w:val="single" w:color="auto" w:sz="4" w:space="0"/>
            </w:tcBorders>
            <w:vAlign w:val="center"/>
          </w:tcPr>
          <w:p w14:paraId="3B9FCC3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double" w:color="auto" w:sz="4" w:space="0"/>
              <w:left w:val="single" w:color="auto" w:sz="4" w:space="0"/>
              <w:bottom w:val="single" w:color="auto" w:sz="4" w:space="0"/>
              <w:right w:val="single" w:color="auto" w:sz="4" w:space="0"/>
            </w:tcBorders>
            <w:vAlign w:val="center"/>
          </w:tcPr>
          <w:p w14:paraId="6742F55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610D879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6EAC12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w:t>
            </w:r>
          </w:p>
        </w:tc>
        <w:tc>
          <w:tcPr>
            <w:tcW w:w="738" w:type="pct"/>
            <w:tcBorders>
              <w:top w:val="single" w:color="auto" w:sz="4" w:space="0"/>
              <w:left w:val="single" w:color="auto" w:sz="4" w:space="0"/>
              <w:bottom w:val="single" w:color="auto" w:sz="4" w:space="0"/>
              <w:right w:val="single" w:color="auto" w:sz="4" w:space="0"/>
            </w:tcBorders>
            <w:vAlign w:val="center"/>
          </w:tcPr>
          <w:p w14:paraId="5E3D5F7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FA75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220495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7270A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BAF619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6906FD8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1656BA9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17C546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3</w:t>
            </w:r>
          </w:p>
        </w:tc>
        <w:tc>
          <w:tcPr>
            <w:tcW w:w="738" w:type="pct"/>
            <w:tcBorders>
              <w:top w:val="single" w:color="auto" w:sz="4" w:space="0"/>
              <w:left w:val="single" w:color="auto" w:sz="4" w:space="0"/>
              <w:bottom w:val="single" w:color="auto" w:sz="4" w:space="0"/>
              <w:right w:val="single" w:color="auto" w:sz="4" w:space="0"/>
            </w:tcBorders>
            <w:vAlign w:val="center"/>
          </w:tcPr>
          <w:p w14:paraId="25216D35">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247AEBA6">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6192661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2241BF8">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0A80945A">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11E0420E">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0B6946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33DA7FE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4</w:t>
            </w:r>
          </w:p>
        </w:tc>
        <w:tc>
          <w:tcPr>
            <w:tcW w:w="738" w:type="pct"/>
            <w:tcBorders>
              <w:top w:val="single" w:color="auto" w:sz="4" w:space="0"/>
              <w:left w:val="single" w:color="auto" w:sz="4" w:space="0"/>
              <w:bottom w:val="single" w:color="auto" w:sz="4" w:space="0"/>
              <w:right w:val="single" w:color="auto" w:sz="4" w:space="0"/>
            </w:tcBorders>
            <w:vAlign w:val="center"/>
          </w:tcPr>
          <w:p w14:paraId="34C2F6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14A87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5108311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FE7BB6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FBC13D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343D8A2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B343FC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050012D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5</w:t>
            </w:r>
          </w:p>
        </w:tc>
        <w:tc>
          <w:tcPr>
            <w:tcW w:w="738" w:type="pct"/>
            <w:tcBorders>
              <w:top w:val="single" w:color="auto" w:sz="4" w:space="0"/>
              <w:left w:val="single" w:color="auto" w:sz="4" w:space="0"/>
              <w:bottom w:val="single" w:color="auto" w:sz="4" w:space="0"/>
              <w:right w:val="single" w:color="auto" w:sz="4" w:space="0"/>
            </w:tcBorders>
            <w:vAlign w:val="center"/>
          </w:tcPr>
          <w:p w14:paraId="3DF3997D">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37F8DD0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134A4BC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26568D7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F72E6A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CE24A0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4ACF3B7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CE6BB2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w:t>
            </w:r>
          </w:p>
        </w:tc>
        <w:tc>
          <w:tcPr>
            <w:tcW w:w="738" w:type="pct"/>
            <w:tcBorders>
              <w:top w:val="single" w:color="auto" w:sz="4" w:space="0"/>
              <w:left w:val="single" w:color="auto" w:sz="4" w:space="0"/>
              <w:bottom w:val="single" w:color="auto" w:sz="4" w:space="0"/>
              <w:right w:val="single" w:color="auto" w:sz="4" w:space="0"/>
            </w:tcBorders>
            <w:vAlign w:val="center"/>
          </w:tcPr>
          <w:p w14:paraId="5869EB8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0594AAA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67A414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42933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9713A4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5E5BAD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bl>
    <w:p w14:paraId="21CB7445">
      <w:pPr>
        <w:rPr>
          <w:rFonts w:asciiTheme="minorEastAsia" w:hAnsiTheme="minorEastAsia" w:cstheme="minorEastAsia"/>
          <w:szCs w:val="21"/>
        </w:rPr>
      </w:pPr>
    </w:p>
    <w:p w14:paraId="76382B3F">
      <w:pPr>
        <w:pStyle w:val="9"/>
        <w:numPr>
          <w:ilvl w:val="0"/>
          <w:numId w:val="0"/>
        </w:numPr>
        <w:tabs>
          <w:tab w:val="left" w:pos="540"/>
        </w:tabs>
        <w:adjustRightInd w:val="0"/>
        <w:snapToGrid w:val="0"/>
        <w:spacing w:line="360" w:lineRule="auto"/>
        <w:ind w:leftChars="0"/>
        <w:rPr>
          <w:rFonts w:hint="eastAsia" w:ascii="宋体" w:hAnsi="宋体"/>
        </w:rPr>
      </w:pPr>
      <w:r>
        <w:rPr>
          <w:rFonts w:hint="eastAsia" w:ascii="宋体" w:hAnsi="宋体"/>
        </w:rPr>
        <w:t>注：</w:t>
      </w:r>
    </w:p>
    <w:p w14:paraId="40CC3990">
      <w:pPr>
        <w:pStyle w:val="9"/>
        <w:numPr>
          <w:ilvl w:val="0"/>
          <w:numId w:val="12"/>
        </w:numPr>
        <w:tabs>
          <w:tab w:val="left" w:pos="540"/>
          <w:tab w:val="clear" w:pos="312"/>
        </w:tabs>
        <w:adjustRightInd w:val="0"/>
        <w:snapToGrid w:val="0"/>
        <w:spacing w:line="360" w:lineRule="auto"/>
        <w:ind w:leftChars="0"/>
        <w:rPr>
          <w:rFonts w:hint="eastAsia" w:ascii="宋体" w:hAnsi="宋体" w:eastAsia="宋体" w:cs="Times New Roman"/>
          <w:lang w:val="en-US" w:eastAsia="zh-CN"/>
        </w:rPr>
      </w:pPr>
      <w:r>
        <w:rPr>
          <w:rFonts w:hint="eastAsia" w:ascii="宋体" w:hAnsi="宋体" w:eastAsia="宋体" w:cs="Times New Roman"/>
        </w:rPr>
        <w:t>此表为项目采购标的清单的</w:t>
      </w:r>
      <w:r>
        <w:rPr>
          <w:rFonts w:hint="eastAsia" w:ascii="宋体" w:hAnsi="宋体" w:eastAsia="宋体" w:cs="Times New Roman"/>
          <w:lang w:val="en-US" w:eastAsia="zh-CN"/>
        </w:rPr>
        <w:t>响应情况表。</w:t>
      </w:r>
    </w:p>
    <w:p w14:paraId="5C82DA66">
      <w:pPr>
        <w:pStyle w:val="9"/>
        <w:numPr>
          <w:ilvl w:val="0"/>
          <w:numId w:val="12"/>
        </w:numPr>
        <w:tabs>
          <w:tab w:val="left" w:pos="540"/>
          <w:tab w:val="clear" w:pos="312"/>
        </w:tabs>
        <w:adjustRightInd w:val="0"/>
        <w:snapToGrid w:val="0"/>
        <w:spacing w:line="360" w:lineRule="auto"/>
        <w:ind w:leftChars="0"/>
        <w:rPr>
          <w:rFonts w:hint="default" w:ascii="宋体" w:hAnsi="宋体" w:eastAsia="宋体" w:cs="Times New Roman"/>
          <w:lang w:val="en-US" w:eastAsia="zh-CN"/>
        </w:rPr>
      </w:pPr>
      <w:r>
        <w:rPr>
          <w:rFonts w:hint="eastAsia" w:ascii="宋体" w:hAnsi="宋体" w:eastAsia="宋体" w:cs="Times New Roman"/>
          <w:lang w:val="en-US" w:eastAsia="zh-CN"/>
        </w:rPr>
        <w:t>投标人需根据</w:t>
      </w:r>
      <w:r>
        <w:rPr>
          <w:rFonts w:hint="eastAsia" w:hAnsi="宋体" w:cs="Times New Roman"/>
          <w:lang w:val="en-US" w:eastAsia="zh-CN"/>
        </w:rPr>
        <w:t>征集</w:t>
      </w:r>
      <w:r>
        <w:rPr>
          <w:rFonts w:hint="eastAsia" w:ascii="宋体" w:hAnsi="宋体" w:eastAsia="宋体" w:cs="Times New Roman"/>
          <w:lang w:val="en-US" w:eastAsia="zh-CN"/>
        </w:rPr>
        <w:t>文件采购数量如实填写投标数量。</w:t>
      </w:r>
    </w:p>
    <w:p w14:paraId="71BC2208">
      <w:pPr>
        <w:numPr>
          <w:ilvl w:val="0"/>
          <w:numId w:val="12"/>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768874C">
      <w:pPr>
        <w:numPr>
          <w:ilvl w:val="0"/>
          <w:numId w:val="12"/>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4C5FED8B">
      <w:pPr>
        <w:pStyle w:val="9"/>
        <w:numPr>
          <w:ilvl w:val="0"/>
          <w:numId w:val="0"/>
        </w:numPr>
        <w:tabs>
          <w:tab w:val="left" w:pos="540"/>
        </w:tabs>
        <w:adjustRightInd w:val="0"/>
        <w:snapToGrid w:val="0"/>
        <w:spacing w:line="360" w:lineRule="auto"/>
        <w:rPr>
          <w:rFonts w:hint="default" w:ascii="宋体" w:hAnsi="宋体" w:eastAsia="宋体" w:cs="Times New Roman"/>
          <w:lang w:val="en-US" w:eastAsia="zh-CN"/>
        </w:rPr>
      </w:pPr>
    </w:p>
    <w:p w14:paraId="51884ACB">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r>
        <w:rPr>
          <w:rFonts w:ascii="宋体" w:hAnsi="宋体"/>
          <w:color w:val="000000"/>
        </w:rPr>
        <w:br w:type="page"/>
      </w:r>
      <w:bookmarkStart w:id="37" w:name="_Toc435515294"/>
      <w:bookmarkStart w:id="38" w:name="_Toc24434"/>
      <w:bookmarkStart w:id="39" w:name="_Toc1762"/>
      <w:bookmarkStart w:id="40" w:name="_Toc435514854"/>
      <w:bookmarkStart w:id="41" w:name="_Toc20322_WPSOffice_Level1"/>
      <w:bookmarkStart w:id="42" w:name="_Toc275865605"/>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十二</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投标函</w:t>
      </w:r>
      <w:bookmarkEnd w:id="37"/>
      <w:bookmarkEnd w:id="38"/>
      <w:bookmarkEnd w:id="39"/>
      <w:bookmarkEnd w:id="40"/>
      <w:bookmarkEnd w:id="41"/>
      <w:bookmarkEnd w:id="42"/>
    </w:p>
    <w:p w14:paraId="4F6C8FF7">
      <w:pPr>
        <w:spacing w:line="360" w:lineRule="auto"/>
        <w:ind w:left="105" w:leftChars="50" w:firstLine="2"/>
        <w:rPr>
          <w:rFonts w:hint="default" w:ascii="宋体" w:hAnsi="宋体" w:eastAsiaTheme="minorEastAsia"/>
          <w:b/>
          <w:lang w:val="en-US" w:eastAsia="zh-CN"/>
        </w:rPr>
      </w:pPr>
      <w:r>
        <w:rPr>
          <w:rFonts w:hint="eastAsia" w:ascii="宋体" w:hAnsi="宋体"/>
          <w:b/>
        </w:rPr>
        <w:t>致：</w:t>
      </w:r>
      <w:r>
        <w:rPr>
          <w:rFonts w:hint="eastAsia" w:ascii="宋体" w:hAnsi="宋体"/>
          <w:b/>
          <w:lang w:val="en-US" w:eastAsia="zh-CN"/>
        </w:rPr>
        <w:t>深圳市福田区第二人民医院</w:t>
      </w:r>
    </w:p>
    <w:p w14:paraId="3D608F84">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w:t>
      </w:r>
      <w:r>
        <w:rPr>
          <w:rFonts w:hint="eastAsia" w:ascii="宋体" w:hAnsi="宋体"/>
          <w:lang w:eastAsia="zh-CN"/>
        </w:rPr>
        <w:t>征集</w:t>
      </w:r>
      <w:r>
        <w:rPr>
          <w:rFonts w:hint="eastAsia" w:ascii="宋体" w:hAnsi="宋体"/>
        </w:rPr>
        <w:t>文件（项目编号：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rPr>
        <w:t>），</w:t>
      </w:r>
      <w:r>
        <w:rPr>
          <w:rFonts w:hint="eastAsia" w:ascii="宋体" w:hAnsi="宋体"/>
          <w:u w:val="single"/>
        </w:rPr>
        <w:t xml:space="preserve"> (投标人名称、地址)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14:paraId="72162EEE">
      <w:pPr>
        <w:numPr>
          <w:ilvl w:val="0"/>
          <w:numId w:val="13"/>
        </w:numPr>
        <w:tabs>
          <w:tab w:val="clear" w:pos="780"/>
        </w:tabs>
        <w:snapToGrid w:val="0"/>
        <w:spacing w:line="360" w:lineRule="auto"/>
        <w:ind w:left="426"/>
        <w:rPr>
          <w:rFonts w:ascii="宋体" w:hAnsi="宋体"/>
          <w:b/>
        </w:rPr>
      </w:pPr>
      <w:r>
        <w:rPr>
          <w:rFonts w:hint="eastAsia" w:ascii="宋体" w:hAnsi="宋体"/>
          <w:b/>
        </w:rPr>
        <w:t>我单位愿意遵守</w:t>
      </w:r>
      <w:r>
        <w:rPr>
          <w:rFonts w:hint="eastAsia" w:ascii="宋体" w:hAnsi="宋体"/>
          <w:b/>
          <w:lang w:eastAsia="zh-CN"/>
        </w:rPr>
        <w:t>征集</w:t>
      </w:r>
      <w:r>
        <w:rPr>
          <w:rFonts w:hint="eastAsia" w:ascii="宋体" w:hAnsi="宋体"/>
          <w:b/>
        </w:rPr>
        <w:t>文件的各项规定，自愿参加投标，并已清楚</w:t>
      </w:r>
      <w:r>
        <w:rPr>
          <w:rFonts w:hint="eastAsia" w:ascii="宋体" w:hAnsi="宋体"/>
          <w:b/>
          <w:lang w:eastAsia="zh-CN"/>
        </w:rPr>
        <w:t>征集</w:t>
      </w:r>
      <w:r>
        <w:rPr>
          <w:rFonts w:hint="eastAsia" w:ascii="宋体" w:hAnsi="宋体"/>
          <w:b/>
        </w:rPr>
        <w:t>文件的要求及有关文件规定，并严格按照</w:t>
      </w:r>
      <w:r>
        <w:rPr>
          <w:rFonts w:hint="eastAsia" w:ascii="宋体" w:hAnsi="宋体"/>
          <w:b/>
          <w:lang w:eastAsia="zh-CN"/>
        </w:rPr>
        <w:t>征集</w:t>
      </w:r>
      <w:r>
        <w:rPr>
          <w:rFonts w:hint="eastAsia" w:ascii="宋体" w:hAnsi="宋体"/>
          <w:b/>
        </w:rPr>
        <w:t>文件的规定履行全部责任和义务。</w:t>
      </w:r>
    </w:p>
    <w:p w14:paraId="628A2847">
      <w:pPr>
        <w:numPr>
          <w:ilvl w:val="0"/>
          <w:numId w:val="13"/>
        </w:numPr>
        <w:tabs>
          <w:tab w:val="clear" w:pos="780"/>
        </w:tabs>
        <w:snapToGrid w:val="0"/>
        <w:spacing w:line="360" w:lineRule="auto"/>
        <w:ind w:left="426"/>
        <w:rPr>
          <w:rFonts w:ascii="宋体" w:hAnsi="宋体"/>
          <w:b/>
        </w:rPr>
      </w:pPr>
      <w:r>
        <w:rPr>
          <w:rFonts w:hint="eastAsia" w:ascii="宋体" w:hAnsi="宋体"/>
          <w:b/>
        </w:rPr>
        <w:t>我们同意本投标文件的投标有效期从提交投标文件的截止之日起</w:t>
      </w:r>
      <w:r>
        <w:rPr>
          <w:rFonts w:hint="eastAsia" w:ascii="宋体" w:hAnsi="宋体"/>
          <w:b/>
          <w:u w:val="single"/>
          <w:lang w:val="en-US" w:eastAsia="zh-CN"/>
        </w:rPr>
        <w:t>120</w:t>
      </w:r>
      <w:r>
        <w:rPr>
          <w:rFonts w:hint="eastAsia" w:ascii="宋体" w:hAnsi="宋体"/>
          <w:b/>
        </w:rPr>
        <w:t>日历日内有效。</w:t>
      </w:r>
    </w:p>
    <w:p w14:paraId="78A9D3C3">
      <w:pPr>
        <w:numPr>
          <w:ilvl w:val="0"/>
          <w:numId w:val="13"/>
        </w:numPr>
        <w:tabs>
          <w:tab w:val="clear" w:pos="780"/>
        </w:tabs>
        <w:snapToGrid w:val="0"/>
        <w:spacing w:line="360" w:lineRule="auto"/>
        <w:ind w:left="426"/>
        <w:rPr>
          <w:rFonts w:ascii="宋体" w:hAnsi="宋体"/>
          <w:b/>
        </w:rPr>
      </w:pPr>
      <w:r>
        <w:rPr>
          <w:rFonts w:hint="eastAsia" w:ascii="宋体" w:hAnsi="宋体"/>
          <w:b/>
        </w:rPr>
        <w:t>我们承诺从本项目投标截止时间起，本投标始终有效且不予撤销已递交的投标文件。</w:t>
      </w:r>
    </w:p>
    <w:p w14:paraId="539CB16A">
      <w:pPr>
        <w:numPr>
          <w:ilvl w:val="0"/>
          <w:numId w:val="13"/>
        </w:numPr>
        <w:tabs>
          <w:tab w:val="clear" w:pos="780"/>
        </w:tabs>
        <w:snapToGrid w:val="0"/>
        <w:spacing w:line="360" w:lineRule="auto"/>
        <w:ind w:left="426"/>
        <w:rPr>
          <w:rFonts w:ascii="宋体" w:hAnsi="宋体"/>
          <w:b/>
        </w:rPr>
      </w:pPr>
      <w:r>
        <w:rPr>
          <w:rFonts w:hint="eastAsia" w:ascii="宋体" w:hAnsi="宋体"/>
          <w:b/>
        </w:rPr>
        <w:t>我单位已经详细地阅读并完全明白了全部</w:t>
      </w:r>
      <w:r>
        <w:rPr>
          <w:rFonts w:hint="eastAsia" w:ascii="宋体" w:hAnsi="宋体"/>
          <w:b/>
          <w:lang w:eastAsia="zh-CN"/>
        </w:rPr>
        <w:t>征集</w:t>
      </w:r>
      <w:r>
        <w:rPr>
          <w:rFonts w:hint="eastAsia" w:ascii="宋体" w:hAnsi="宋体"/>
          <w:b/>
        </w:rPr>
        <w:t>文件及附件，包括澄清（如有）及参考文件，我单位完全理解本</w:t>
      </w:r>
      <w:r>
        <w:rPr>
          <w:rFonts w:hint="eastAsia" w:ascii="宋体" w:hAnsi="宋体"/>
          <w:b/>
          <w:lang w:eastAsia="zh-CN"/>
        </w:rPr>
        <w:t>征集</w:t>
      </w:r>
      <w:r>
        <w:rPr>
          <w:rFonts w:hint="eastAsia" w:ascii="宋体" w:hAnsi="宋体"/>
          <w:b/>
        </w:rPr>
        <w:t>文件的要求，</w:t>
      </w:r>
      <w:r>
        <w:rPr>
          <w:rFonts w:hint="eastAsia" w:ascii="宋体"/>
          <w:b/>
        </w:rPr>
        <w:t>我单位同意放弃对</w:t>
      </w:r>
      <w:r>
        <w:rPr>
          <w:rFonts w:hint="eastAsia" w:ascii="宋体"/>
          <w:b/>
          <w:lang w:eastAsia="zh-CN"/>
        </w:rPr>
        <w:t>征集</w:t>
      </w:r>
      <w:r>
        <w:rPr>
          <w:rFonts w:hint="eastAsia" w:ascii="宋体"/>
          <w:b/>
        </w:rPr>
        <w:t>文件提出不明或误解的一切权力</w:t>
      </w:r>
      <w:r>
        <w:rPr>
          <w:rFonts w:hint="eastAsia" w:ascii="宋体" w:hAnsi="宋体"/>
          <w:b/>
        </w:rPr>
        <w:t>。</w:t>
      </w:r>
    </w:p>
    <w:p w14:paraId="6B072C5B">
      <w:pPr>
        <w:numPr>
          <w:ilvl w:val="0"/>
          <w:numId w:val="13"/>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rPr>
        <w:t>采购人</w:t>
      </w:r>
      <w:r>
        <w:rPr>
          <w:rFonts w:hint="eastAsia" w:ascii="宋体" w:hAnsi="宋体"/>
          <w:b/>
        </w:rPr>
        <w:t>与评标委员会要求的有关投标的一切数据或资料。</w:t>
      </w:r>
    </w:p>
    <w:p w14:paraId="0FD5B310">
      <w:pPr>
        <w:numPr>
          <w:ilvl w:val="0"/>
          <w:numId w:val="13"/>
        </w:numPr>
        <w:tabs>
          <w:tab w:val="clear" w:pos="780"/>
        </w:tabs>
        <w:snapToGrid w:val="0"/>
        <w:spacing w:line="360" w:lineRule="auto"/>
        <w:ind w:left="426"/>
        <w:rPr>
          <w:rFonts w:ascii="宋体" w:hAnsi="宋体"/>
          <w:b/>
        </w:rPr>
      </w:pPr>
      <w:r>
        <w:rPr>
          <w:rFonts w:hint="eastAsia" w:ascii="宋体" w:hAnsi="宋体"/>
          <w:b/>
        </w:rPr>
        <w:t>我单位理解</w:t>
      </w:r>
      <w:r>
        <w:rPr>
          <w:rFonts w:hint="eastAsia" w:ascii="宋体" w:hAnsi="宋体" w:cs="宋体"/>
          <w:b/>
          <w:szCs w:val="21"/>
        </w:rPr>
        <w:t>采购人</w:t>
      </w:r>
      <w:r>
        <w:rPr>
          <w:rFonts w:hint="eastAsia" w:ascii="宋体" w:hAnsi="宋体"/>
          <w:b/>
        </w:rPr>
        <w:t>与评标委员会并无义务必须接受最低报价的投标或其它任何投标，完全理解拒绝迟到的任何投标和最低投标报价不是被授予中标的唯一条件。</w:t>
      </w:r>
    </w:p>
    <w:p w14:paraId="2BDE4B1F">
      <w:pPr>
        <w:numPr>
          <w:ilvl w:val="0"/>
          <w:numId w:val="13"/>
        </w:numPr>
        <w:tabs>
          <w:tab w:val="clear" w:pos="780"/>
        </w:tabs>
        <w:snapToGrid w:val="0"/>
        <w:spacing w:line="360" w:lineRule="auto"/>
        <w:ind w:left="426"/>
        <w:rPr>
          <w:rFonts w:ascii="宋体" w:hAnsi="宋体"/>
          <w:b/>
        </w:rPr>
      </w:pPr>
      <w:r>
        <w:rPr>
          <w:rFonts w:hint="eastAsia" w:ascii="宋体" w:hAnsi="宋体"/>
          <w:b/>
        </w:rPr>
        <w:t>如果我单位未对</w:t>
      </w:r>
      <w:r>
        <w:rPr>
          <w:rFonts w:hint="eastAsia" w:ascii="宋体" w:hAnsi="宋体"/>
          <w:b/>
          <w:lang w:eastAsia="zh-CN"/>
        </w:rPr>
        <w:t>征集</w:t>
      </w:r>
      <w:r>
        <w:rPr>
          <w:rFonts w:hint="eastAsia" w:ascii="宋体" w:hAnsi="宋体"/>
          <w:b/>
        </w:rPr>
        <w:t xml:space="preserve">文件全部要求作出实质性响应，则完全同意并接受按无效投标处理。 </w:t>
      </w:r>
    </w:p>
    <w:p w14:paraId="4E34F74F">
      <w:pPr>
        <w:numPr>
          <w:ilvl w:val="0"/>
          <w:numId w:val="13"/>
        </w:numPr>
        <w:tabs>
          <w:tab w:val="clear" w:pos="780"/>
        </w:tabs>
        <w:snapToGrid w:val="0"/>
        <w:spacing w:line="360" w:lineRule="auto"/>
        <w:ind w:left="426"/>
        <w:rPr>
          <w:rFonts w:ascii="宋体" w:hAnsi="宋体"/>
          <w:b/>
        </w:rPr>
      </w:pPr>
      <w:r>
        <w:rPr>
          <w:rFonts w:hint="eastAsia" w:ascii="宋体" w:hAnsi="宋体"/>
          <w:b/>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39B7B50">
      <w:pPr>
        <w:numPr>
          <w:ilvl w:val="0"/>
          <w:numId w:val="13"/>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14:paraId="4C1AC611">
      <w:pPr>
        <w:numPr>
          <w:ilvl w:val="0"/>
          <w:numId w:val="13"/>
        </w:numPr>
        <w:tabs>
          <w:tab w:val="clear" w:pos="780"/>
        </w:tabs>
        <w:snapToGrid w:val="0"/>
        <w:spacing w:line="360" w:lineRule="auto"/>
        <w:ind w:left="426"/>
        <w:rPr>
          <w:rFonts w:ascii="宋体" w:hAnsi="宋体"/>
          <w:b/>
        </w:rPr>
      </w:pPr>
      <w:r>
        <w:rPr>
          <w:rFonts w:hint="eastAsia" w:ascii="宋体" w:hAnsi="宋体"/>
          <w:b/>
        </w:rPr>
        <w:t>我单位是依法注册的法人，在法律、财务及运作上完全独立于本项目采购人、用户单位（如有）。</w:t>
      </w:r>
    </w:p>
    <w:p w14:paraId="1F18F6C0">
      <w:pPr>
        <w:numPr>
          <w:ilvl w:val="0"/>
          <w:numId w:val="13"/>
        </w:numPr>
        <w:tabs>
          <w:tab w:val="clear" w:pos="780"/>
        </w:tabs>
        <w:snapToGrid w:val="0"/>
        <w:spacing w:line="360" w:lineRule="auto"/>
        <w:ind w:left="426" w:leftChars="0" w:hanging="360" w:firstLineChars="0"/>
        <w:outlineLvl w:val="9"/>
        <w:rPr>
          <w:rFonts w:ascii="宋体" w:hAnsi="宋体"/>
          <w:b/>
        </w:rPr>
      </w:pPr>
      <w:r>
        <w:rPr>
          <w:rFonts w:hint="eastAsia" w:ascii="宋体" w:hAnsi="宋体"/>
          <w:b/>
        </w:rPr>
        <w:t>所有有关本次投标的函电请寄：</w:t>
      </w:r>
      <w:r>
        <w:rPr>
          <w:rFonts w:hint="eastAsia" w:ascii="宋体" w:hAnsi="宋体"/>
          <w:b/>
          <w:u w:val="single"/>
        </w:rPr>
        <w:t xml:space="preserve">  （投标人地址）   </w:t>
      </w:r>
    </w:p>
    <w:p w14:paraId="47161A4E">
      <w:pPr>
        <w:numPr>
          <w:ilvl w:val="0"/>
          <w:numId w:val="0"/>
        </w:numPr>
        <w:snapToGrid w:val="0"/>
        <w:spacing w:line="360" w:lineRule="auto"/>
        <w:ind w:left="66" w:leftChars="0"/>
        <w:rPr>
          <w:rFonts w:hint="eastAsia" w:ascii="宋体" w:hAnsi="宋体"/>
          <w:b/>
        </w:rPr>
      </w:pPr>
    </w:p>
    <w:p w14:paraId="12626E67">
      <w:pPr>
        <w:numPr>
          <w:ilvl w:val="0"/>
          <w:numId w:val="0"/>
        </w:numPr>
        <w:snapToGrid w:val="0"/>
        <w:spacing w:line="360" w:lineRule="auto"/>
        <w:ind w:left="66" w:leftChars="0"/>
        <w:rPr>
          <w:rFonts w:hint="eastAsia" w:ascii="宋体" w:hAnsi="宋体"/>
          <w:b/>
        </w:rPr>
      </w:pPr>
      <w:r>
        <w:rPr>
          <w:rFonts w:hint="eastAsia" w:ascii="宋体" w:hAnsi="宋体"/>
          <w:b/>
        </w:rPr>
        <w:t>备注：</w:t>
      </w:r>
    </w:p>
    <w:p w14:paraId="117E2E10">
      <w:pPr>
        <w:numPr>
          <w:ilvl w:val="0"/>
          <w:numId w:val="0"/>
        </w:numPr>
        <w:snapToGrid w:val="0"/>
        <w:spacing w:line="360" w:lineRule="auto"/>
        <w:ind w:left="66" w:leftChars="0"/>
        <w:rPr>
          <w:rFonts w:hint="eastAsia" w:ascii="宋体" w:hAnsi="宋体"/>
          <w:b/>
        </w:rPr>
      </w:pPr>
      <w:r>
        <w:rPr>
          <w:rFonts w:hint="eastAsia" w:ascii="宋体" w:hAnsi="宋体"/>
          <w:b/>
        </w:rPr>
        <w:t>1、投标函中承诺的投标有效期应当不少于</w:t>
      </w:r>
      <w:r>
        <w:rPr>
          <w:rFonts w:hint="eastAsia" w:ascii="宋体" w:hAnsi="宋体"/>
          <w:b/>
          <w:lang w:eastAsia="zh-CN"/>
        </w:rPr>
        <w:t>征集</w:t>
      </w:r>
      <w:r>
        <w:rPr>
          <w:rFonts w:hint="eastAsia" w:ascii="宋体" w:hAnsi="宋体"/>
          <w:b/>
        </w:rPr>
        <w:t>文件中载明的投标有效期，否则视为无效投标。</w:t>
      </w:r>
    </w:p>
    <w:p w14:paraId="681BA045">
      <w:pPr>
        <w:numPr>
          <w:ilvl w:val="0"/>
          <w:numId w:val="0"/>
        </w:numPr>
        <w:snapToGrid w:val="0"/>
        <w:spacing w:line="360" w:lineRule="auto"/>
        <w:ind w:left="66" w:leftChars="0"/>
        <w:rPr>
          <w:rFonts w:hint="eastAsia" w:ascii="宋体" w:hAnsi="宋体"/>
          <w:b/>
        </w:rPr>
      </w:pPr>
      <w:r>
        <w:rPr>
          <w:rFonts w:hint="eastAsia" w:ascii="宋体" w:hAnsi="宋体"/>
          <w:b/>
        </w:rPr>
        <w:t xml:space="preserve">2、除投标有效期承诺的时间外，本投标函内容不得擅自删改，否则视为无效投标。 </w:t>
      </w:r>
    </w:p>
    <w:p w14:paraId="25611BD8">
      <w:pPr>
        <w:autoSpaceDE w:val="0"/>
        <w:autoSpaceDN w:val="0"/>
        <w:adjustRightInd w:val="0"/>
        <w:spacing w:line="360" w:lineRule="auto"/>
        <w:rPr>
          <w:rFonts w:ascii="宋体" w:hAnsi="宋体"/>
          <w:b/>
        </w:rPr>
      </w:pPr>
    </w:p>
    <w:p w14:paraId="71C7008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A0C8083">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4F1B277">
      <w:pPr>
        <w:spacing w:line="360" w:lineRule="auto"/>
        <w:outlineLvl w:val="9"/>
        <w:rPr>
          <w:sz w:val="24"/>
        </w:rPr>
      </w:pPr>
      <w:r>
        <w:rPr>
          <w:rFonts w:hint="eastAsia"/>
          <w:b/>
          <w:sz w:val="24"/>
        </w:rPr>
        <w:t>（此处加盖投标人单位公章）</w:t>
      </w:r>
    </w:p>
    <w:p w14:paraId="273868D5">
      <w:pPr>
        <w:adjustRightInd w:val="0"/>
        <w:snapToGrid w:val="0"/>
        <w:spacing w:line="360" w:lineRule="auto"/>
        <w:rPr>
          <w:rFonts w:ascii="黑体" w:eastAsia="黑体"/>
          <w:b/>
          <w:bCs/>
          <w:sz w:val="24"/>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C64CD1">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43" w:name="_Toc24650"/>
      <w:bookmarkStart w:id="44" w:name="_Toc4649"/>
      <w:bookmarkStart w:id="45" w:name="_Toc275865606"/>
      <w:bookmarkStart w:id="46" w:name="_Toc435515295"/>
      <w:bookmarkStart w:id="47" w:name="_Toc435514855"/>
      <w:r>
        <w:rPr>
          <w:rFonts w:hint="eastAsia" w:cs="宋体" w:asciiTheme="majorEastAsia" w:hAnsiTheme="majorEastAsia" w:eastAsiaTheme="majorEastAsia"/>
          <w:kern w:val="2"/>
          <w:sz w:val="30"/>
          <w:szCs w:val="30"/>
          <w:lang w:val="en-US" w:eastAsia="zh-CN" w:bidi="ar-SA"/>
        </w:rPr>
        <w:t>（十三）</w:t>
      </w:r>
      <w:r>
        <w:rPr>
          <w:rFonts w:hint="eastAsia" w:asciiTheme="majorEastAsia" w:hAnsiTheme="majorEastAsia" w:eastAsiaTheme="majorEastAsia"/>
          <w:sz w:val="30"/>
          <w:szCs w:val="30"/>
        </w:rPr>
        <w:t>投标人资格声明函</w:t>
      </w:r>
      <w:bookmarkEnd w:id="43"/>
      <w:bookmarkEnd w:id="44"/>
      <w:bookmarkEnd w:id="45"/>
      <w:bookmarkEnd w:id="46"/>
      <w:bookmarkEnd w:id="47"/>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28"/>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w:t>
      </w:r>
      <w:r>
        <w:rPr>
          <w:rFonts w:hint="eastAsia" w:ascii="宋体" w:hAnsi="宋体"/>
          <w:color w:val="auto"/>
          <w:highlight w:val="none"/>
          <w:lang w:eastAsia="zh-CN"/>
        </w:rPr>
        <w:t>征集</w:t>
      </w:r>
      <w:r>
        <w:rPr>
          <w:rFonts w:hint="eastAsia" w:ascii="宋体" w:hAnsi="宋体"/>
          <w:color w:val="auto"/>
          <w:highlight w:val="none"/>
        </w:rPr>
        <w:t>，本公司（企业）愿意参加投标，并声明：</w:t>
      </w:r>
    </w:p>
    <w:p w14:paraId="179ACA93">
      <w:pPr>
        <w:numPr>
          <w:ilvl w:val="0"/>
          <w:numId w:val="14"/>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4"/>
        </w:numPr>
        <w:spacing w:line="360" w:lineRule="auto"/>
        <w:ind w:left="0" w:leftChars="0" w:right="-815" w:rightChars="0" w:firstLine="420" w:firstLineChars="200"/>
        <w:outlineLvl w:val="9"/>
        <w:rPr>
          <w:rFonts w:ascii="宋体" w:hAnsi="宋体"/>
          <w:szCs w:val="21"/>
        </w:rPr>
      </w:pPr>
      <w:r>
        <w:rPr>
          <w:rFonts w:hint="eastAsia" w:ascii="宋体" w:hAnsi="宋体"/>
          <w:szCs w:val="21"/>
        </w:rPr>
        <w:t>我公司对本</w:t>
      </w:r>
      <w:r>
        <w:rPr>
          <w:rFonts w:hint="eastAsia" w:ascii="宋体" w:hAnsi="宋体"/>
          <w:szCs w:val="21"/>
          <w:lang w:eastAsia="zh-CN"/>
        </w:rPr>
        <w:t>征集</w:t>
      </w:r>
      <w:r>
        <w:rPr>
          <w:rFonts w:hint="eastAsia" w:ascii="宋体" w:hAnsi="宋体"/>
          <w:szCs w:val="21"/>
        </w:rPr>
        <w:t>项目所提供的货物或服务未侵犯知识产权。</w:t>
      </w:r>
    </w:p>
    <w:p w14:paraId="6CC207C4">
      <w:pPr>
        <w:numPr>
          <w:ilvl w:val="0"/>
          <w:numId w:val="14"/>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4"/>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4"/>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w:t>
      </w:r>
      <w:r>
        <w:rPr>
          <w:rFonts w:hint="eastAsia" w:ascii="宋体" w:hAnsi="宋体"/>
          <w:color w:val="auto"/>
          <w:szCs w:val="21"/>
          <w:highlight w:val="none"/>
          <w:lang w:eastAsia="zh-CN"/>
        </w:rPr>
        <w:t>征集</w:t>
      </w:r>
      <w:r>
        <w:rPr>
          <w:rFonts w:hint="eastAsia" w:ascii="宋体" w:hAnsi="宋体"/>
          <w:color w:val="auto"/>
          <w:szCs w:val="21"/>
          <w:highlight w:val="none"/>
        </w:rPr>
        <w:t>文件需求内容、签署的采购合同及本公司在投标中所作的一切承诺履约。项目验收达到全部指标合格，力争优良。</w:t>
      </w:r>
    </w:p>
    <w:p w14:paraId="30EADCCC">
      <w:pPr>
        <w:numPr>
          <w:ilvl w:val="0"/>
          <w:numId w:val="14"/>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4"/>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4"/>
        </w:numPr>
        <w:spacing w:line="360" w:lineRule="auto"/>
        <w:ind w:right="-815" w:firstLineChars="200"/>
        <w:rPr>
          <w:rFonts w:ascii="宋体" w:hAnsi="宋体"/>
          <w:szCs w:val="21"/>
        </w:rPr>
      </w:pPr>
      <w:r>
        <w:rPr>
          <w:rFonts w:hint="eastAsia" w:ascii="宋体" w:hAnsi="宋体"/>
        </w:rPr>
        <w:t>本公司（企业）承诺在本次</w:t>
      </w:r>
      <w:r>
        <w:rPr>
          <w:rFonts w:hint="eastAsia" w:ascii="宋体" w:hAnsi="宋体"/>
          <w:lang w:eastAsia="zh-CN"/>
        </w:rPr>
        <w:t>征集</w:t>
      </w:r>
      <w:r>
        <w:rPr>
          <w:rFonts w:hint="eastAsia" w:ascii="宋体" w:hAnsi="宋体"/>
        </w:rPr>
        <w:t>采购活动中，如有违法、违规、弄虚作假行为，所造成的损失、不良后果及法律责任，一律由我公司（企业）承担。</w:t>
      </w:r>
    </w:p>
    <w:p w14:paraId="776B9E12">
      <w:pPr>
        <w:numPr>
          <w:ilvl w:val="0"/>
          <w:numId w:val="14"/>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4"/>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4"/>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9"/>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9"/>
        <w:rPr>
          <w:b/>
          <w:sz w:val="24"/>
        </w:rPr>
      </w:pPr>
      <w:r>
        <w:rPr>
          <w:rFonts w:hint="eastAsia"/>
          <w:b/>
          <w:sz w:val="24"/>
        </w:rPr>
        <w:t>（此处加盖投标人单位公章）</w:t>
      </w:r>
    </w:p>
    <w:p w14:paraId="51C2D38A">
      <w:pPr>
        <w:widowControl/>
        <w:jc w:val="left"/>
        <w:rPr>
          <w:b/>
          <w:sz w:val="24"/>
        </w:rPr>
      </w:pPr>
      <w:r>
        <w:rPr>
          <w:b/>
          <w:sz w:val="24"/>
        </w:rPr>
        <w:br w:type="page"/>
      </w:r>
    </w:p>
    <w:p w14:paraId="04BEA813">
      <w:pPr>
        <w:keepNext w:val="0"/>
        <w:keepLines w:val="0"/>
        <w:widowControl/>
        <w:suppressLineNumbers w:val="0"/>
        <w:jc w:val="center"/>
        <w:outlineLvl w:val="0"/>
        <w:rPr>
          <w:rFonts w:hint="eastAsia" w:ascii="宋体" w:hAnsi="宋体" w:eastAsia="宋体" w:cs="宋体"/>
          <w:b/>
          <w:bCs/>
          <w:color w:val="auto"/>
          <w:sz w:val="36"/>
          <w:szCs w:val="36"/>
          <w:highlight w:val="none"/>
        </w:rPr>
      </w:pPr>
      <w:bookmarkStart w:id="48" w:name="_承诺函"/>
      <w:bookmarkEnd w:id="48"/>
      <w:bookmarkStart w:id="49" w:name="_Toc50737297"/>
      <w:bookmarkStart w:id="50" w:name="_Toc275865607"/>
      <w:bookmarkStart w:id="51" w:name="_Toc435515299"/>
      <w:bookmarkStart w:id="52" w:name="_Toc52165081"/>
      <w:bookmarkStart w:id="53" w:name="_Toc50736477"/>
      <w:bookmarkStart w:id="54" w:name="_Toc27672"/>
      <w:bookmarkStart w:id="55" w:name="_Toc50737329"/>
      <w:bookmarkStart w:id="56" w:name="_Toc24149"/>
      <w:bookmarkStart w:id="57" w:name="_Toc435514859"/>
      <w:bookmarkStart w:id="58" w:name="_Toc50736476"/>
      <w:bookmarkStart w:id="59" w:name="_Toc50737328"/>
      <w:bookmarkStart w:id="60" w:name="_Toc50737296"/>
      <w:bookmarkStart w:id="61" w:name="_Toc52165080"/>
      <w:bookmarkStart w:id="62" w:name="_Toc50691034"/>
      <w:r>
        <w:rPr>
          <w:rFonts w:hint="eastAsia" w:cs="宋体" w:asciiTheme="majorEastAsia" w:hAnsiTheme="majorEastAsia" w:eastAsiaTheme="majorEastAsia"/>
          <w:kern w:val="2"/>
          <w:sz w:val="30"/>
          <w:szCs w:val="30"/>
          <w:lang w:val="en-US" w:eastAsia="zh-CN" w:bidi="ar-SA"/>
        </w:rPr>
        <w:t>（十四）政府采购违法行为风险知悉确认书</w:t>
      </w:r>
    </w:p>
    <w:p w14:paraId="20E114A7">
      <w:pPr>
        <w:spacing w:before="0" w:beforeLines="0" w:after="157" w:afterLines="50" w:line="36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我</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highlight w:val="none"/>
        </w:rPr>
        <w:t>在投标前已充分知悉以下情形为参与政府采购活动时的重大风险事项，并承诺已对下述风险提示事项重点排查，</w:t>
      </w:r>
      <w:r>
        <w:rPr>
          <w:rFonts w:hint="eastAsia" w:ascii="宋体" w:hAnsi="宋体" w:eastAsia="宋体" w:cs="宋体"/>
          <w:b/>
          <w:bCs/>
          <w:color w:val="auto"/>
          <w:sz w:val="24"/>
          <w:highlight w:val="none"/>
          <w:lang w:val="en-US" w:eastAsia="zh-CN"/>
        </w:rPr>
        <w:t>若存在下述情况，我单位愿意依法承担被记入供应商诚信档案、罚款、取消参与政府采购资格等处罚；构成犯罪的，依法承担刑事责任。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821"/>
      </w:tblGrid>
      <w:tr w14:paraId="3D8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noWrap w:val="0"/>
            <w:vAlign w:val="top"/>
          </w:tcPr>
          <w:p w14:paraId="4BB599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085" w:type="dxa"/>
            <w:noWrap w:val="0"/>
            <w:vAlign w:val="top"/>
          </w:tcPr>
          <w:p w14:paraId="3C32FF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供应商参与投标禁止情形</w:t>
            </w:r>
          </w:p>
        </w:tc>
      </w:tr>
      <w:tr w14:paraId="5BE7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5C259D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085" w:type="dxa"/>
            <w:noWrap w:val="0"/>
            <w:vAlign w:val="center"/>
          </w:tcPr>
          <w:p w14:paraId="3B0FA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lang w:val="en-US" w:eastAsia="zh-CN"/>
              </w:rPr>
              <w:t>同一人、属同一单位或者在同一单位缴纳社会保险</w:t>
            </w:r>
            <w:r>
              <w:rPr>
                <w:rFonts w:hint="eastAsia" w:ascii="宋体" w:hAnsi="宋体" w:eastAsia="宋体" w:cs="宋体"/>
                <w:color w:val="auto"/>
                <w:sz w:val="24"/>
                <w:szCs w:val="24"/>
                <w:highlight w:val="none"/>
                <w:lang w:val="en-US" w:eastAsia="zh-CN"/>
              </w:rPr>
              <w:t>。</w:t>
            </w:r>
          </w:p>
        </w:tc>
      </w:tr>
      <w:tr w14:paraId="417A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1E0948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085" w:type="dxa"/>
            <w:noWrap w:val="0"/>
            <w:vAlign w:val="center"/>
          </w:tcPr>
          <w:p w14:paraId="6261DB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参与本项目政府采购活动时，与其他投标供应商存在单位负责人为</w:t>
            </w:r>
            <w:r>
              <w:rPr>
                <w:rFonts w:hint="eastAsia" w:ascii="宋体" w:hAnsi="宋体" w:eastAsia="宋体" w:cs="宋体"/>
                <w:b/>
                <w:bCs/>
                <w:color w:val="auto"/>
                <w:sz w:val="24"/>
                <w:szCs w:val="24"/>
                <w:highlight w:val="none"/>
                <w:lang w:val="en-US" w:eastAsia="zh-CN"/>
              </w:rPr>
              <w:t>同一人或直接控股、管理关系</w:t>
            </w:r>
            <w:r>
              <w:rPr>
                <w:rFonts w:hint="eastAsia" w:ascii="宋体" w:hAnsi="宋体" w:eastAsia="宋体" w:cs="宋体"/>
                <w:color w:val="auto"/>
                <w:sz w:val="24"/>
                <w:szCs w:val="24"/>
                <w:highlight w:val="none"/>
                <w:lang w:val="en-US" w:eastAsia="zh-CN"/>
              </w:rPr>
              <w:t>。</w:t>
            </w:r>
          </w:p>
        </w:tc>
      </w:tr>
      <w:tr w14:paraId="7D5E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41F78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085" w:type="dxa"/>
            <w:noWrap w:val="0"/>
            <w:vAlign w:val="center"/>
          </w:tcPr>
          <w:p w14:paraId="3CDD8A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与其他投标供应商的投标文件或部分投标文件</w:t>
            </w:r>
            <w:r>
              <w:rPr>
                <w:rFonts w:hint="eastAsia" w:ascii="宋体" w:hAnsi="宋体" w:eastAsia="宋体" w:cs="宋体"/>
                <w:b/>
                <w:bCs/>
                <w:color w:val="auto"/>
                <w:sz w:val="24"/>
                <w:szCs w:val="24"/>
                <w:highlight w:val="none"/>
                <w:lang w:val="en-US" w:eastAsia="zh-CN"/>
              </w:rPr>
              <w:t>相互混装或存在非正常一致</w:t>
            </w:r>
            <w:r>
              <w:rPr>
                <w:rFonts w:hint="eastAsia" w:ascii="宋体" w:hAnsi="宋体" w:eastAsia="宋体" w:cs="宋体"/>
                <w:color w:val="auto"/>
                <w:sz w:val="24"/>
                <w:szCs w:val="24"/>
                <w:highlight w:val="none"/>
                <w:lang w:val="en-US" w:eastAsia="zh-CN"/>
              </w:rPr>
              <w:t>。</w:t>
            </w:r>
          </w:p>
        </w:tc>
      </w:tr>
      <w:tr w14:paraId="1F93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707810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085" w:type="dxa"/>
            <w:noWrap w:val="0"/>
            <w:vAlign w:val="center"/>
          </w:tcPr>
          <w:p w14:paraId="15D6B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与其他投标供应商的投标文件由</w:t>
            </w:r>
            <w:r>
              <w:rPr>
                <w:rFonts w:hint="eastAsia" w:ascii="宋体" w:hAnsi="宋体" w:eastAsia="宋体" w:cs="宋体"/>
                <w:b/>
                <w:bCs/>
                <w:color w:val="auto"/>
                <w:sz w:val="24"/>
                <w:szCs w:val="24"/>
                <w:highlight w:val="none"/>
                <w:lang w:val="en-US" w:eastAsia="zh-CN"/>
              </w:rPr>
              <w:t>同一单位或者同一人编制</w:t>
            </w:r>
            <w:r>
              <w:rPr>
                <w:rFonts w:hint="eastAsia" w:ascii="宋体" w:hAnsi="宋体" w:eastAsia="宋体" w:cs="宋体"/>
                <w:color w:val="auto"/>
                <w:sz w:val="24"/>
                <w:szCs w:val="24"/>
                <w:highlight w:val="none"/>
                <w:lang w:val="en-US" w:eastAsia="zh-CN"/>
              </w:rPr>
              <w:t>，或者使用</w:t>
            </w:r>
            <w:r>
              <w:rPr>
                <w:rFonts w:hint="eastAsia" w:ascii="宋体" w:hAnsi="宋体" w:eastAsia="宋体" w:cs="宋体"/>
                <w:b/>
                <w:bCs/>
                <w:color w:val="auto"/>
                <w:sz w:val="24"/>
                <w:szCs w:val="24"/>
                <w:highlight w:val="none"/>
                <w:lang w:val="en-US" w:eastAsia="zh-CN"/>
              </w:rPr>
              <w:t>同一设备编制</w:t>
            </w:r>
            <w:r>
              <w:rPr>
                <w:rFonts w:hint="eastAsia" w:ascii="宋体" w:hAnsi="宋体" w:eastAsia="宋体" w:cs="宋体"/>
                <w:color w:val="auto"/>
                <w:sz w:val="24"/>
                <w:szCs w:val="24"/>
                <w:highlight w:val="none"/>
                <w:lang w:val="en-US" w:eastAsia="zh-CN"/>
              </w:rPr>
              <w:t>（“文件制作机器码”“文件创建标识码”一致）。</w:t>
            </w:r>
          </w:p>
        </w:tc>
      </w:tr>
      <w:tr w14:paraId="0153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5395EF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085" w:type="dxa"/>
            <w:noWrap w:val="0"/>
            <w:vAlign w:val="center"/>
          </w:tcPr>
          <w:p w14:paraId="54725C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未经出具机构核实</w:t>
            </w:r>
            <w:r>
              <w:rPr>
                <w:rFonts w:hint="eastAsia" w:ascii="宋体" w:hAnsi="宋体" w:eastAsia="宋体" w:cs="宋体"/>
                <w:color w:val="auto"/>
                <w:sz w:val="24"/>
                <w:szCs w:val="24"/>
                <w:highlight w:val="none"/>
                <w:lang w:val="en-US" w:eastAsia="zh-CN"/>
              </w:rPr>
              <w:t>的虚假的检验检测报告、业绩材料、社保缴纳证明、学历学位证书、职称认证证书等材料。</w:t>
            </w:r>
          </w:p>
        </w:tc>
      </w:tr>
      <w:tr w14:paraId="1A11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57D3F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085" w:type="dxa"/>
            <w:noWrap w:val="0"/>
            <w:vAlign w:val="center"/>
          </w:tcPr>
          <w:p w14:paraId="720EBC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擅自将投标密钥或电子营业执照出借他人使用或未妥善保管。</w:t>
            </w:r>
          </w:p>
        </w:tc>
      </w:tr>
    </w:tbl>
    <w:p w14:paraId="5947B219">
      <w:pPr>
        <w:spacing w:before="157" w:beforeLines="5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一、</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已充分知悉“隐瞒真实情况，提供虚假资料”的法定情形，包括但不限于：</w:t>
      </w:r>
    </w:p>
    <w:p w14:paraId="7228650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（一）通过转让或者租借等方式从其他单位获取资格或者资质证书投标的。</w:t>
      </w:r>
    </w:p>
    <w:p w14:paraId="17D34ED0">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（二）由其他单位或者其他单位负责人在投标供应商编制的投标文件上加盖印章或者签字的。</w:t>
      </w:r>
    </w:p>
    <w:p w14:paraId="69668DE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（三）项目负责人或者主要技术人员不是本单位人员的。</w:t>
      </w:r>
    </w:p>
    <w:p w14:paraId="598519C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（四）投标保证金不是从投标供应商基本账户转出的。</w:t>
      </w:r>
    </w:p>
    <w:p w14:paraId="1F469B7D">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（五）其他隐瞒真实情况、提供虚假资料的行为。</w:t>
      </w:r>
    </w:p>
    <w:p w14:paraId="357F0084">
      <w:pPr>
        <w:spacing w:beforeLines="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二、</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已充分知悉“与其他采购参加人串通投标”的法定情形，包括但不限于：</w:t>
      </w:r>
    </w:p>
    <w:p w14:paraId="49D8EFC2">
      <w:pPr>
        <w:spacing w:beforeLines="0" w:line="3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（一）投标供应商之间相互约定给予未中标的供应商利益补偿。</w:t>
      </w:r>
    </w:p>
    <w:p w14:paraId="21A233C2">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（二）不同投标供应商的法定代表人、主要经营负责人、项目投标授权代表人、项目负责人、主要技术人员为同一人、属同一单位或者在同一单位缴纳社会保险。</w:t>
      </w:r>
    </w:p>
    <w:p w14:paraId="7818E9A2">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（三）不同投标供应商的投标文件由同一单位或者同一人编制，或者由同一人分阶段参与编制的。</w:t>
      </w:r>
    </w:p>
    <w:p w14:paraId="0786DCD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（四）不同投标供应商的投标文件或部分投标文件相互混装。</w:t>
      </w:r>
    </w:p>
    <w:p w14:paraId="7BDDC5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（五）不同投标供应商的投标文件内容存在非正常一致。</w:t>
      </w:r>
    </w:p>
    <w:p w14:paraId="3213BA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（六）由同一单位工作人员为两家以上（含两家）供应商进行同一项投标活动的。</w:t>
      </w:r>
    </w:p>
    <w:p w14:paraId="2D578AD8">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（七）不同投标人的投标报价呈规律性差异。</w:t>
      </w:r>
    </w:p>
    <w:p w14:paraId="1B067A2A">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（八）不同投标人的投标保证金从同一单位或者个人的账户转出。</w:t>
      </w:r>
    </w:p>
    <w:p w14:paraId="381375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（九）主管部门依照法律、法规认定的其他情形。</w:t>
      </w:r>
    </w:p>
    <w:p w14:paraId="30797EF1">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已充分知悉下列情形</w:t>
      </w:r>
      <w:r>
        <w:rPr>
          <w:rFonts w:hint="eastAsia" w:ascii="宋体" w:hAnsi="宋体" w:eastAsia="宋体" w:cs="宋体"/>
          <w:b/>
          <w:color w:val="auto"/>
          <w:highlight w:val="none"/>
          <w:lang w:eastAsia="zh-CN"/>
        </w:rPr>
        <w:t>存在</w:t>
      </w:r>
      <w:r>
        <w:rPr>
          <w:rFonts w:hint="eastAsia" w:ascii="宋体" w:hAnsi="宋体" w:eastAsia="宋体" w:cs="宋体"/>
          <w:b/>
          <w:color w:val="auto"/>
          <w:highlight w:val="none"/>
        </w:rPr>
        <w:t>法律风险，在投标前已对相关风险事项进行排查。</w:t>
      </w:r>
    </w:p>
    <w:p w14:paraId="0E381613">
      <w:pPr>
        <w:spacing w:beforeLines="0" w:line="34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（一）对于从其他主体获取的投标资料，</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应审慎核查，确保</w:t>
      </w:r>
      <w:r>
        <w:rPr>
          <w:rFonts w:hint="eastAsia" w:ascii="宋体" w:hAnsi="宋体" w:eastAsia="宋体" w:cs="宋体"/>
          <w:color w:val="auto"/>
          <w:highlight w:val="none"/>
          <w:lang w:eastAsia="zh-CN"/>
        </w:rPr>
        <w:t>其</w:t>
      </w:r>
      <w:r>
        <w:rPr>
          <w:rFonts w:hint="eastAsia" w:ascii="宋体" w:hAnsi="宋体" w:eastAsia="宋体" w:cs="宋体"/>
          <w:color w:val="auto"/>
          <w:highlight w:val="none"/>
        </w:rPr>
        <w:t>真实性。</w:t>
      </w:r>
      <w:r>
        <w:rPr>
          <w:rFonts w:hint="eastAsia" w:ascii="宋体" w:hAnsi="宋体" w:eastAsia="宋体" w:cs="宋体"/>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9BD4587">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highlight w:val="none"/>
          <w:lang w:eastAsia="zh-CN"/>
        </w:rPr>
        <w:t>处理</w:t>
      </w:r>
      <w:r>
        <w:rPr>
          <w:rFonts w:hint="eastAsia" w:ascii="宋体" w:hAnsi="宋体" w:eastAsia="宋体" w:cs="宋体"/>
          <w:color w:val="auto"/>
          <w:highlight w:val="none"/>
        </w:rPr>
        <w:t>。</w:t>
      </w:r>
    </w:p>
    <w:p w14:paraId="419A2B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对投标电子密钥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负有妥善保管、及时变更和续期等主体责任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使用电子密钥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在深圳政府采购网站进行的活动，均具有法律效力，须承担相应的法律后果。</w:t>
      </w:r>
      <w:r>
        <w:rPr>
          <w:rFonts w:hint="eastAsia" w:ascii="宋体" w:hAnsi="宋体" w:eastAsia="宋体" w:cs="宋体"/>
          <w:color w:val="auto"/>
          <w:highlight w:val="none"/>
          <w:lang w:eastAsia="zh-CN"/>
        </w:rPr>
        <w:t>若</w:t>
      </w:r>
      <w:r>
        <w:rPr>
          <w:rFonts w:hint="eastAsia" w:ascii="宋体" w:hAnsi="宋体" w:eastAsia="宋体" w:cs="宋体"/>
          <w:b/>
          <w:bCs/>
          <w:color w:val="auto"/>
          <w:highlight w:val="none"/>
        </w:rPr>
        <w:t>擅自将投标密钥</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lang w:val="en-US" w:eastAsia="zh-CN"/>
        </w:rPr>
        <w:t>电子营业执照</w:t>
      </w:r>
      <w:r>
        <w:rPr>
          <w:rFonts w:hint="eastAsia" w:ascii="宋体" w:hAnsi="宋体" w:eastAsia="宋体" w:cs="宋体"/>
          <w:b/>
          <w:bCs/>
          <w:color w:val="auto"/>
          <w:highlight w:val="none"/>
        </w:rPr>
        <w:t>出借他人使用所造成的法律后果，由</w:t>
      </w:r>
      <w:r>
        <w:rPr>
          <w:rFonts w:hint="eastAsia" w:ascii="宋体" w:hAnsi="宋体" w:eastAsia="宋体" w:cs="宋体"/>
          <w:b/>
          <w:bCs/>
          <w:color w:val="auto"/>
          <w:highlight w:val="none"/>
          <w:lang w:eastAsia="zh-CN"/>
        </w:rPr>
        <w:t>我</w:t>
      </w:r>
      <w:r>
        <w:rPr>
          <w:rFonts w:hint="eastAsia" w:ascii="宋体" w:hAnsi="宋体" w:eastAsia="宋体" w:cs="宋体"/>
          <w:b/>
          <w:bCs/>
          <w:color w:val="auto"/>
          <w:highlight w:val="none"/>
          <w:lang w:val="en-US" w:eastAsia="zh-CN"/>
        </w:rPr>
        <w:t>单位</w:t>
      </w:r>
      <w:r>
        <w:rPr>
          <w:rFonts w:hint="eastAsia" w:ascii="宋体" w:hAnsi="宋体" w:eastAsia="宋体" w:cs="宋体"/>
          <w:b/>
          <w:bCs/>
          <w:color w:val="auto"/>
          <w:highlight w:val="none"/>
        </w:rPr>
        <w:t>自行承担</w:t>
      </w:r>
      <w:r>
        <w:rPr>
          <w:rFonts w:hint="eastAsia" w:ascii="宋体" w:hAnsi="宋体" w:eastAsia="宋体" w:cs="宋体"/>
          <w:color w:val="auto"/>
          <w:highlight w:val="none"/>
        </w:rPr>
        <w:t>。</w:t>
      </w:r>
    </w:p>
    <w:p w14:paraId="7A943B34">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四、</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已充分知悉政府采购违法、违规行为的法律后果。</w:t>
      </w:r>
    </w:p>
    <w:p w14:paraId="6B9D35C5">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经查实，若</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3606CC4">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以下文字请投标供应商抄写并确认：“</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已仔细阅读《政府采购违法行为风险知悉确认书》，充分知悉违法行为的法律后果，并承诺将严谨、诚信、依法依规参与政府采购活动”。</w:t>
      </w:r>
    </w:p>
    <w:tbl>
      <w:tblPr>
        <w:tblStyle w:val="35"/>
        <w:tblW w:w="8529"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059F2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8529" w:type="dxa"/>
            <w:tcBorders>
              <w:top w:val="nil"/>
              <w:left w:val="nil"/>
              <w:bottom w:val="single" w:color="000000" w:sz="8" w:space="0"/>
              <w:right w:val="nil"/>
            </w:tcBorders>
            <w:noWrap w:val="0"/>
            <w:vAlign w:val="top"/>
          </w:tcPr>
          <w:p w14:paraId="51BCFE1D">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1583EC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16EF46E3">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39A2AE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662C21C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50033A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auto" w:sz="8" w:space="0"/>
              <w:right w:val="nil"/>
            </w:tcBorders>
            <w:noWrap w:val="0"/>
            <w:vAlign w:val="top"/>
          </w:tcPr>
          <w:p w14:paraId="63B196E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bl>
    <w:p w14:paraId="3C2B44B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rPr>
      </w:pPr>
    </w:p>
    <w:p w14:paraId="01B014E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eastAsia="zh-CN"/>
        </w:rPr>
        <w:t>单位</w:t>
      </w:r>
      <w:r>
        <w:rPr>
          <w:rFonts w:hint="eastAsia" w:ascii="宋体" w:hAnsi="宋体" w:eastAsia="宋体" w:cs="宋体"/>
          <w:color w:val="auto"/>
          <w:spacing w:val="-4"/>
          <w:kern w:val="0"/>
          <w:szCs w:val="21"/>
          <w:highlight w:val="none"/>
        </w:rPr>
        <w:t>负责人签名：</w:t>
      </w:r>
      <w:r>
        <w:rPr>
          <w:rFonts w:hint="eastAsia" w:ascii="宋体" w:hAnsi="宋体" w:eastAsia="宋体" w:cs="宋体"/>
          <w:color w:val="auto"/>
          <w:spacing w:val="-4"/>
          <w:kern w:val="0"/>
          <w:szCs w:val="21"/>
          <w:highlight w:val="none"/>
          <w:u w:val="single"/>
        </w:rPr>
        <w:t xml:space="preserve">              </w:t>
      </w:r>
    </w:p>
    <w:p w14:paraId="6E788663">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val="en-US" w:eastAsia="zh-CN"/>
        </w:rPr>
        <w:t xml:space="preserve">                                 </w:t>
      </w:r>
      <w:r>
        <w:rPr>
          <w:rFonts w:hint="eastAsia" w:ascii="宋体" w:hAnsi="宋体" w:eastAsia="宋体" w:cs="宋体"/>
          <w:color w:val="auto"/>
          <w:spacing w:val="-4"/>
          <w:kern w:val="0"/>
          <w:szCs w:val="21"/>
          <w:highlight w:val="none"/>
          <w:lang w:eastAsia="zh-CN"/>
        </w:rPr>
        <w:t>（加盖</w:t>
      </w:r>
      <w:r>
        <w:rPr>
          <w:rFonts w:hint="eastAsia" w:ascii="宋体" w:hAnsi="宋体" w:eastAsia="宋体" w:cs="宋体"/>
          <w:color w:val="auto"/>
          <w:spacing w:val="-4"/>
          <w:kern w:val="0"/>
          <w:szCs w:val="21"/>
          <w:highlight w:val="none"/>
        </w:rPr>
        <w:t>公章</w:t>
      </w:r>
      <w:r>
        <w:rPr>
          <w:rFonts w:hint="eastAsia" w:ascii="宋体" w:hAnsi="宋体" w:eastAsia="宋体" w:cs="宋体"/>
          <w:color w:val="auto"/>
          <w:spacing w:val="-4"/>
          <w:kern w:val="0"/>
          <w:szCs w:val="21"/>
          <w:highlight w:val="none"/>
          <w:lang w:eastAsia="zh-CN"/>
        </w:rPr>
        <w:t>）</w:t>
      </w:r>
    </w:p>
    <w:p w14:paraId="1301C0D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rPr>
        <w:t xml:space="preserve">     日期：</w:t>
      </w:r>
      <w:r>
        <w:rPr>
          <w:rFonts w:hint="eastAsia" w:ascii="宋体" w:hAnsi="宋体" w:eastAsia="宋体" w:cs="宋体"/>
          <w:color w:val="auto"/>
          <w:spacing w:val="-4"/>
          <w:kern w:val="0"/>
          <w:szCs w:val="21"/>
          <w:highlight w:val="none"/>
          <w:u w:val="single"/>
        </w:rPr>
        <w:t xml:space="preserve">              </w:t>
      </w:r>
    </w:p>
    <w:p w14:paraId="3DDFD0BC">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highlight w:val="none"/>
        </w:rPr>
      </w:pPr>
    </w:p>
    <w:p w14:paraId="6BA3B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A781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F5C7DD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06E1805">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C06AD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B1E7BB1">
      <w:pPr>
        <w:pStyle w:val="3"/>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62FCFEB3">
      <w:pPr>
        <w:pStyle w:val="3"/>
        <w:numPr>
          <w:ilvl w:val="0"/>
          <w:numId w:val="0"/>
        </w:numPr>
        <w:spacing w:line="240" w:lineRule="auto"/>
        <w:ind w:left="0" w:leftChars="0" w:firstLine="0" w:firstLineChars="0"/>
        <w:jc w:val="center"/>
        <w:outlineLvl w:val="0"/>
        <w:rPr>
          <w:rFonts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（十五）</w:t>
      </w:r>
      <w:r>
        <w:rPr>
          <w:rFonts w:hint="eastAsia" w:asciiTheme="majorEastAsia" w:hAnsiTheme="majorEastAsia" w:eastAsiaTheme="majorEastAsia"/>
          <w:sz w:val="30"/>
          <w:szCs w:val="30"/>
        </w:rPr>
        <w:t>法定代表人授权委托书</w:t>
      </w:r>
      <w:bookmarkEnd w:id="49"/>
      <w:bookmarkEnd w:id="50"/>
      <w:bookmarkEnd w:id="51"/>
      <w:bookmarkEnd w:id="52"/>
      <w:bookmarkEnd w:id="53"/>
      <w:bookmarkEnd w:id="54"/>
      <w:bookmarkEnd w:id="55"/>
      <w:bookmarkEnd w:id="56"/>
      <w:bookmarkEnd w:id="57"/>
    </w:p>
    <w:p w14:paraId="232C51C3">
      <w:pPr>
        <w:pStyle w:val="9"/>
        <w:spacing w:line="360" w:lineRule="auto"/>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由</w:t>
      </w:r>
      <w:r>
        <w:rPr>
          <w:rFonts w:hint="eastAsia"/>
          <w:u w:val="single"/>
        </w:rPr>
        <w:t>（法定代表人姓名、职务）</w:t>
      </w:r>
      <w:r>
        <w:rPr>
          <w:rFonts w:hint="eastAsia"/>
        </w:rPr>
        <w:t>在此授权</w:t>
      </w:r>
      <w:r>
        <w:rPr>
          <w:rFonts w:hint="eastAsia"/>
          <w:u w:val="single"/>
        </w:rPr>
        <w:t>（被授权人姓名、职务、联系电话）</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14:paraId="25C88E70">
      <w:pPr>
        <w:pStyle w:val="9"/>
        <w:spacing w:line="360" w:lineRule="auto"/>
        <w:ind w:firstLine="420" w:firstLineChars="200"/>
      </w:pPr>
      <w:r>
        <w:rPr>
          <w:rFonts w:hint="eastAsia"/>
        </w:rPr>
        <w:t>被授权人（投标人授权代表）无转委托权限。</w:t>
      </w:r>
    </w:p>
    <w:p w14:paraId="6EBC4722">
      <w:pPr>
        <w:spacing w:line="360" w:lineRule="auto"/>
        <w:ind w:firstLine="420" w:firstLineChars="200"/>
        <w:rPr>
          <w:rFonts w:ascii="宋体"/>
        </w:rPr>
      </w:pPr>
      <w:r>
        <w:rPr>
          <w:rFonts w:hint="eastAsia" w:ascii="宋体"/>
        </w:rPr>
        <w:t>本授权书自盖章之日起生效，特此声明。</w:t>
      </w:r>
    </w:p>
    <w:p w14:paraId="065678EB">
      <w:pPr>
        <w:spacing w:line="360" w:lineRule="auto"/>
        <w:rPr>
          <w:rFonts w:ascii="宋体"/>
          <w:b/>
        </w:rPr>
      </w:pPr>
      <w:r>
        <w:rPr>
          <w:rFonts w:hint="eastAsia" w:ascii="宋体"/>
          <w:b/>
        </w:rPr>
        <w:t>随附《法定代表人证明书》</w:t>
      </w:r>
    </w:p>
    <w:p w14:paraId="215C7755">
      <w:pPr>
        <w:spacing w:line="360" w:lineRule="auto"/>
        <w:rPr>
          <w:rFonts w:ascii="宋体"/>
        </w:rPr>
      </w:pPr>
    </w:p>
    <w:p w14:paraId="74EAEBC6">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r>
        <w:rPr>
          <w:rFonts w:hint="eastAsia"/>
          <w:b/>
          <w:sz w:val="24"/>
        </w:rPr>
        <w:t>（此处加盖投标人单位公章）</w:t>
      </w:r>
    </w:p>
    <w:p w14:paraId="2AEA9980">
      <w:pPr>
        <w:spacing w:line="360" w:lineRule="auto"/>
        <w:rPr>
          <w:rFonts w:ascii="宋体" w:hAnsi="宋体"/>
          <w:b/>
          <w:bCs/>
          <w:sz w:val="24"/>
        </w:rPr>
      </w:pPr>
    </w:p>
    <w:p w14:paraId="28B3133D">
      <w:pPr>
        <w:spacing w:line="360" w:lineRule="auto"/>
        <w:outlineLvl w:val="9"/>
        <w:rPr>
          <w:rFonts w:ascii="宋体" w:hAnsi="宋体"/>
          <w:b/>
          <w:bCs/>
          <w:sz w:val="24"/>
          <w:u w:val="single"/>
        </w:rPr>
      </w:pPr>
      <w:r>
        <w:rPr>
          <w:rFonts w:hint="eastAsia" w:ascii="宋体" w:hAnsi="宋体"/>
          <w:b/>
          <w:bCs/>
          <w:sz w:val="24"/>
        </w:rPr>
        <w:t>法定代表人：</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（签字或盖法人章）</w:t>
      </w:r>
    </w:p>
    <w:p w14:paraId="3E70759A">
      <w:pPr>
        <w:spacing w:line="360" w:lineRule="auto"/>
        <w:rPr>
          <w:rFonts w:ascii="宋体" w:hAnsi="宋体"/>
          <w:b/>
          <w:bCs/>
          <w:sz w:val="24"/>
        </w:rPr>
      </w:pPr>
    </w:p>
    <w:p w14:paraId="2B182CAD">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ED0D45E">
      <w:pPr>
        <w:spacing w:line="360" w:lineRule="auto"/>
        <w:rPr>
          <w:sz w:val="24"/>
        </w:rPr>
      </w:pPr>
    </w:p>
    <w:p w14:paraId="1F81D656">
      <w:pPr>
        <w:tabs>
          <w:tab w:val="left" w:pos="3780"/>
        </w:tabs>
        <w:spacing w:line="360" w:lineRule="auto"/>
        <w:rPr>
          <w:rFonts w:ascii="宋体" w:hAnsi="宋体"/>
          <w:b/>
          <w:bCs/>
          <w:sz w:val="24"/>
        </w:rPr>
      </w:pPr>
    </w:p>
    <w:p w14:paraId="392B2581">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501B6EE5">
      <w:pPr>
        <w:pStyle w:val="5"/>
        <w:rPr>
          <w:rFonts w:ascii="宋体" w:hAnsi="宋体"/>
          <w:b/>
          <w:bCs/>
          <w:sz w:val="24"/>
        </w:rPr>
      </w:pPr>
    </w:p>
    <w:p w14:paraId="4A32CAAD">
      <w:pPr>
        <w:spacing w:line="360" w:lineRule="auto"/>
        <w:ind w:left="1159" w:leftChars="552" w:firstLine="2261"/>
        <w:rPr>
          <w:rFonts w:ascii="宋体"/>
        </w:rPr>
      </w:pPr>
    </w:p>
    <w:p w14:paraId="1D7F7654">
      <w:pPr>
        <w:rPr>
          <w:rFonts w:hint="eastAsia" w:asciiTheme="majorEastAsia" w:hAnsiTheme="majorEastAsia" w:eastAsiaTheme="majorEastAsia"/>
          <w:sz w:val="30"/>
          <w:szCs w:val="30"/>
        </w:rPr>
      </w:pPr>
      <w:bookmarkStart w:id="63" w:name="_Toc435514860"/>
      <w:bookmarkStart w:id="64" w:name="_Toc435515300"/>
      <w:bookmarkStart w:id="65" w:name="_Toc14289"/>
      <w:bookmarkStart w:id="66" w:name="_Toc275865608"/>
    </w:p>
    <w:p w14:paraId="5C6720B5">
      <w:pPr>
        <w:rPr>
          <w:rFonts w:hint="eastAsia" w:asciiTheme="majorEastAsia" w:hAnsiTheme="majorEastAsia" w:eastAsiaTheme="majorEastAsia"/>
          <w:sz w:val="30"/>
          <w:szCs w:val="30"/>
        </w:rPr>
      </w:pPr>
    </w:p>
    <w:p w14:paraId="087A530D">
      <w:pPr>
        <w:rPr>
          <w:rFonts w:hint="eastAsia" w:asciiTheme="majorEastAsia" w:hAnsiTheme="majorEastAsia" w:eastAsiaTheme="majorEastAsia"/>
          <w:sz w:val="30"/>
          <w:szCs w:val="30"/>
        </w:rPr>
      </w:pPr>
    </w:p>
    <w:p w14:paraId="46D4BB7D">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61D0EFB9">
      <w:pPr>
        <w:rPr>
          <w:rFonts w:asciiTheme="majorEastAsia" w:hAnsiTheme="majorEastAsia" w:eastAsiaTheme="majorEastAsia"/>
          <w:sz w:val="30"/>
          <w:szCs w:val="30"/>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Theme="majorEastAsia" w:hAnsiTheme="majorEastAsia" w:eastAsiaTheme="majorEastAsia"/>
          <w:sz w:val="30"/>
          <w:szCs w:val="30"/>
        </w:rPr>
        <w:br w:type="page"/>
      </w:r>
    </w:p>
    <w:bookmarkEnd w:id="58"/>
    <w:bookmarkEnd w:id="59"/>
    <w:bookmarkEnd w:id="60"/>
    <w:bookmarkEnd w:id="61"/>
    <w:bookmarkEnd w:id="62"/>
    <w:bookmarkEnd w:id="63"/>
    <w:bookmarkEnd w:id="64"/>
    <w:bookmarkEnd w:id="65"/>
    <w:bookmarkEnd w:id="66"/>
    <w:p w14:paraId="0DE7F0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7" w:name="_Toc6666"/>
      <w:bookmarkStart w:id="68" w:name="_Toc7067"/>
      <w:r>
        <w:rPr>
          <w:rFonts w:hint="eastAsia" w:cs="宋体" w:asciiTheme="majorEastAsia" w:hAnsiTheme="majorEastAsia" w:eastAsiaTheme="majorEastAsia"/>
          <w:kern w:val="2"/>
          <w:sz w:val="30"/>
          <w:szCs w:val="30"/>
          <w:lang w:val="en-US" w:eastAsia="zh-CN" w:bidi="ar-SA"/>
        </w:rPr>
        <w:t>（十六）</w:t>
      </w:r>
      <w:r>
        <w:rPr>
          <w:rFonts w:hint="eastAsia" w:asciiTheme="majorEastAsia" w:hAnsiTheme="majorEastAsia" w:eastAsiaTheme="majorEastAsia"/>
          <w:sz w:val="30"/>
          <w:szCs w:val="30"/>
        </w:rPr>
        <w:t>提供被授权人（授权代表）的近</w:t>
      </w:r>
      <w:r>
        <w:rPr>
          <w:rFonts w:hint="eastAsia" w:asciiTheme="majorEastAsia" w:hAnsiTheme="majorEastAsia" w:eastAsiaTheme="majorEastAsia"/>
          <w:sz w:val="30"/>
          <w:szCs w:val="30"/>
          <w:lang w:val="en-US" w:eastAsia="zh-CN"/>
        </w:rPr>
        <w:t>一</w:t>
      </w:r>
      <w:r>
        <w:rPr>
          <w:rFonts w:hint="eastAsia" w:asciiTheme="majorEastAsia" w:hAnsiTheme="majorEastAsia" w:eastAsiaTheme="majorEastAsia"/>
          <w:sz w:val="30"/>
          <w:szCs w:val="30"/>
        </w:rPr>
        <w:t>个月社保证明</w:t>
      </w:r>
      <w:bookmarkEnd w:id="67"/>
    </w:p>
    <w:p w14:paraId="183B5364">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kern w:val="0"/>
          <w:sz w:val="21"/>
          <w:szCs w:val="21"/>
          <w:highlight w:val="none"/>
          <w:lang w:val="en-US" w:eastAsia="zh-CN"/>
        </w:rPr>
        <w:t>1、</w:t>
      </w:r>
      <w:r>
        <w:rPr>
          <w:rFonts w:hint="eastAsia" w:ascii="宋体" w:hAnsi="宋体" w:eastAsia="宋体" w:cs="宋体"/>
          <w:b/>
          <w:bCs w:val="0"/>
          <w:kern w:val="0"/>
          <w:sz w:val="21"/>
          <w:szCs w:val="21"/>
          <w:highlight w:val="none"/>
        </w:rPr>
        <w:t>须提供被授权人（授权代表）</w:t>
      </w:r>
      <w:r>
        <w:rPr>
          <w:rFonts w:hint="eastAsia" w:ascii="宋体" w:hAnsi="宋体" w:eastAsia="宋体" w:cs="宋体"/>
          <w:b/>
          <w:bCs w:val="0"/>
          <w:kern w:val="0"/>
          <w:sz w:val="21"/>
          <w:szCs w:val="21"/>
          <w:highlight w:val="none"/>
          <w:lang w:val="en-US" w:eastAsia="zh-CN"/>
        </w:rPr>
        <w:t>投标截止前近一个月（由于社保部门原因最近一个月的社保证明无法提供的可往前顺延一个月）的社保证明；如投标人为新成立企</w:t>
      </w:r>
      <w:r>
        <w:rPr>
          <w:rFonts w:hint="eastAsia" w:ascii="宋体" w:hAnsi="宋体" w:eastAsia="宋体" w:cs="宋体"/>
          <w:b/>
          <w:bCs w:val="0"/>
          <w:color w:val="auto"/>
          <w:kern w:val="0"/>
          <w:sz w:val="21"/>
          <w:szCs w:val="21"/>
          <w:highlight w:val="none"/>
          <w:lang w:val="en-US" w:eastAsia="zh-CN"/>
        </w:rPr>
        <w:t>业且成立时间不足一个月可提供加盖公章的情况说明或者证明材料亦视为符合（格式自拟）</w:t>
      </w:r>
      <w:r>
        <w:rPr>
          <w:rFonts w:hint="eastAsia" w:ascii="宋体" w:hAnsi="宋体" w:eastAsia="宋体" w:cs="宋体"/>
          <w:b/>
          <w:bCs w:val="0"/>
          <w:color w:val="auto"/>
          <w:kern w:val="0"/>
          <w:sz w:val="21"/>
          <w:szCs w:val="21"/>
          <w:highlight w:val="none"/>
        </w:rPr>
        <w:t>。如依法不需要缴纳社会保险费的，应提供相应文件证明其依法不需要缴纳社会保险费</w:t>
      </w:r>
      <w:r>
        <w:rPr>
          <w:rFonts w:hint="eastAsia" w:ascii="宋体" w:hAnsi="宋体" w:eastAsia="宋体" w:cs="宋体"/>
          <w:b/>
          <w:bCs w:val="0"/>
          <w:color w:val="auto"/>
          <w:kern w:val="0"/>
          <w:sz w:val="21"/>
          <w:szCs w:val="21"/>
          <w:highlight w:val="none"/>
          <w:lang w:eastAsia="zh-CN"/>
        </w:rPr>
        <w:t>。</w:t>
      </w:r>
    </w:p>
    <w:p w14:paraId="3A73B24C">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kern w:val="0"/>
          <w:sz w:val="21"/>
          <w:szCs w:val="21"/>
          <w:highlight w:val="none"/>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8A4F398">
      <w:pPr>
        <w:spacing w:line="360" w:lineRule="auto"/>
        <w:ind w:firstLine="422" w:firstLineChars="200"/>
        <w:rPr>
          <w:rFonts w:hint="eastAsia" w:ascii="宋体" w:hAnsi="宋体" w:eastAsia="宋体" w:cs="宋体"/>
          <w:b/>
          <w:bCs w:val="0"/>
          <w:color w:val="auto"/>
          <w:kern w:val="0"/>
          <w:sz w:val="21"/>
          <w:szCs w:val="21"/>
          <w:highlight w:val="none"/>
          <w:lang w:eastAsia="zh-CN"/>
        </w:rPr>
      </w:pPr>
    </w:p>
    <w:p w14:paraId="08E7BD5D">
      <w:pPr>
        <w:spacing w:line="360" w:lineRule="auto"/>
        <w:ind w:firstLine="422" w:firstLineChars="200"/>
      </w:pPr>
      <w:r>
        <w:rPr>
          <w:rFonts w:hint="eastAsia" w:ascii="宋体" w:hAnsi="宋体" w:eastAsia="宋体" w:cs="宋体"/>
          <w:b/>
          <w:bCs w:val="0"/>
          <w:color w:val="auto"/>
          <w:kern w:val="0"/>
          <w:sz w:val="21"/>
          <w:szCs w:val="21"/>
          <w:highlight w:val="none"/>
          <w:lang w:val="en-US" w:eastAsia="zh-CN"/>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br w:type="page"/>
      </w:r>
    </w:p>
    <w:p w14:paraId="7B3B68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9" w:name="_Toc24233"/>
      <w:r>
        <w:rPr>
          <w:rFonts w:hint="eastAsia" w:cs="宋体" w:asciiTheme="majorEastAsia" w:hAnsiTheme="majorEastAsia" w:eastAsiaTheme="majorEastAsia"/>
          <w:kern w:val="2"/>
          <w:sz w:val="30"/>
          <w:szCs w:val="30"/>
          <w:lang w:val="en-US" w:eastAsia="zh-CN" w:bidi="ar-SA"/>
        </w:rPr>
        <w:t>（十七）</w:t>
      </w:r>
      <w:r>
        <w:rPr>
          <w:rFonts w:hint="eastAsia" w:asciiTheme="majorEastAsia" w:hAnsiTheme="majorEastAsia" w:eastAsiaTheme="majorEastAsia"/>
          <w:sz w:val="30"/>
          <w:szCs w:val="30"/>
        </w:rPr>
        <w:t>法定代表人证明书</w:t>
      </w:r>
      <w:bookmarkEnd w:id="68"/>
      <w:bookmarkEnd w:id="69"/>
    </w:p>
    <w:p w14:paraId="4A383F38">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hint="eastAsia" w:ascii="宋体" w:hAnsi="宋体"/>
          <w:u w:val="single"/>
        </w:rPr>
        <w:t xml:space="preserve">       </w:t>
      </w:r>
      <w:r>
        <w:rPr>
          <w:rFonts w:hint="eastAsia" w:ascii="宋体" w:hAnsi="宋体"/>
        </w:rPr>
        <w:t>职务，为法定代表人，特此证明。</w:t>
      </w:r>
    </w:p>
    <w:p w14:paraId="1F483407">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0B227F57">
      <w:pPr>
        <w:spacing w:line="480" w:lineRule="auto"/>
        <w:ind w:firstLine="420" w:firstLineChars="200"/>
        <w:rPr>
          <w:rFonts w:ascii="宋体" w:hAnsi="宋体"/>
        </w:rPr>
      </w:pPr>
      <w:r>
        <w:rPr>
          <w:rFonts w:hint="eastAsia" w:ascii="宋体" w:hAnsi="宋体"/>
        </w:rPr>
        <w:t>附：</w:t>
      </w:r>
    </w:p>
    <w:p w14:paraId="42F5B5B6">
      <w:pPr>
        <w:spacing w:line="480" w:lineRule="auto"/>
        <w:ind w:firstLine="840" w:firstLineChars="400"/>
        <w:rPr>
          <w:rFonts w:ascii="宋体" w:hAnsi="宋体"/>
        </w:rPr>
      </w:pPr>
      <w:r>
        <w:rPr>
          <w:rFonts w:hint="eastAsia" w:ascii="宋体" w:hAnsi="宋体"/>
        </w:rPr>
        <w:t>经济性质：</w:t>
      </w:r>
    </w:p>
    <w:p w14:paraId="43BB9386">
      <w:pPr>
        <w:spacing w:line="480" w:lineRule="auto"/>
        <w:ind w:firstLine="840" w:firstLineChars="400"/>
        <w:rPr>
          <w:rFonts w:ascii="宋体" w:hAnsi="宋体"/>
        </w:rPr>
      </w:pPr>
      <w:r>
        <w:rPr>
          <w:rFonts w:hint="eastAsia" w:ascii="宋体" w:hAnsi="宋体"/>
        </w:rPr>
        <w:t>主营（产）：</w:t>
      </w:r>
    </w:p>
    <w:p w14:paraId="35263D64">
      <w:pPr>
        <w:spacing w:line="480" w:lineRule="auto"/>
        <w:ind w:firstLine="840" w:firstLineChars="400"/>
        <w:rPr>
          <w:rFonts w:ascii="宋体" w:hAnsi="宋体"/>
        </w:rPr>
      </w:pPr>
      <w:r>
        <w:rPr>
          <w:rFonts w:hint="eastAsia" w:ascii="宋体" w:hAnsi="宋体"/>
        </w:rPr>
        <w:t>兼营（产）：</w:t>
      </w:r>
    </w:p>
    <w:p w14:paraId="4953BF97">
      <w:pPr>
        <w:spacing w:line="500" w:lineRule="exact"/>
        <w:rPr>
          <w:rFonts w:ascii="宋体"/>
          <w:b/>
          <w:bCs/>
        </w:rPr>
      </w:pPr>
    </w:p>
    <w:p w14:paraId="60988389">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0EA6209">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7E6D32CB">
      <w:pPr>
        <w:spacing w:line="360" w:lineRule="auto"/>
        <w:outlineLvl w:val="9"/>
        <w:rPr>
          <w:sz w:val="24"/>
        </w:rPr>
      </w:pPr>
      <w:r>
        <w:rPr>
          <w:rFonts w:hint="eastAsia"/>
          <w:b/>
          <w:sz w:val="24"/>
        </w:rPr>
        <w:t>（此处加盖投标人单位公章）</w:t>
      </w:r>
    </w:p>
    <w:p w14:paraId="465D750C">
      <w:pPr>
        <w:spacing w:line="500" w:lineRule="exact"/>
        <w:rPr>
          <w:rFonts w:ascii="宋体" w:hAnsi="宋体"/>
        </w:rPr>
      </w:pPr>
    </w:p>
    <w:p w14:paraId="7AB77908">
      <w:pPr>
        <w:spacing w:line="360" w:lineRule="auto"/>
        <w:rPr>
          <w:b/>
          <w:sz w:val="24"/>
        </w:rPr>
      </w:pPr>
      <w:r>
        <w:rPr>
          <w:rFonts w:hint="eastAsia"/>
          <w:b/>
          <w:sz w:val="24"/>
        </w:rPr>
        <w:t>提供法定代表人居民身份证（正反面）复印件：</w:t>
      </w:r>
    </w:p>
    <w:p w14:paraId="1D682404">
      <w:pPr>
        <w:spacing w:line="500" w:lineRule="exact"/>
        <w:rPr>
          <w:rFonts w:hint="eastAsia" w:ascii="宋体" w:hAnsi="宋体"/>
        </w:rPr>
      </w:pPr>
    </w:p>
    <w:p w14:paraId="208C415E">
      <w:pPr>
        <w:spacing w:line="500" w:lineRule="exact"/>
        <w:rPr>
          <w:rFonts w:hint="eastAsia" w:ascii="宋体" w:hAnsi="宋体"/>
        </w:rPr>
      </w:pPr>
    </w:p>
    <w:p w14:paraId="7B4511A0">
      <w:pPr>
        <w:spacing w:line="500" w:lineRule="exact"/>
        <w:rPr>
          <w:rFonts w:hint="eastAsia" w:ascii="宋体" w:hAnsi="宋体"/>
        </w:rPr>
      </w:pPr>
    </w:p>
    <w:p w14:paraId="16B17A75">
      <w:pPr>
        <w:spacing w:line="500" w:lineRule="exact"/>
        <w:rPr>
          <w:rFonts w:hint="eastAsia" w:ascii="宋体" w:hAnsi="宋体"/>
        </w:rPr>
      </w:pPr>
    </w:p>
    <w:p w14:paraId="39439C03">
      <w:pPr>
        <w:spacing w:line="500" w:lineRule="exact"/>
        <w:rPr>
          <w:rFonts w:hint="eastAsia" w:ascii="宋体" w:hAnsi="宋体"/>
        </w:rPr>
      </w:pPr>
    </w:p>
    <w:p w14:paraId="2911D273">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5E66CA1E">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F986E39">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249326D2">
      <w:pPr>
        <w:pStyle w:val="3"/>
        <w:numPr>
          <w:ilvl w:val="0"/>
          <w:numId w:val="0"/>
        </w:numPr>
        <w:spacing w:line="240" w:lineRule="auto"/>
        <w:ind w:left="420" w:leftChars="0" w:hanging="420" w:firstLineChars="0"/>
        <w:jc w:val="center"/>
        <w:outlineLvl w:val="0"/>
        <w:rPr>
          <w:rFonts w:ascii="宋体" w:hAnsi="宋体" w:eastAsia="宋体"/>
          <w:sz w:val="30"/>
          <w:szCs w:val="30"/>
        </w:rPr>
      </w:pPr>
      <w:bookmarkStart w:id="70" w:name="_Toc24644"/>
      <w:r>
        <w:rPr>
          <w:rFonts w:hint="eastAsia" w:ascii="宋体" w:hAnsi="宋体" w:eastAsia="宋体" w:cs="宋体"/>
          <w:kern w:val="2"/>
          <w:sz w:val="30"/>
          <w:szCs w:val="30"/>
          <w:lang w:val="en-US" w:eastAsia="zh-CN" w:bidi="ar-SA"/>
        </w:rPr>
        <w:t>（十八）</w:t>
      </w:r>
      <w:r>
        <w:rPr>
          <w:rFonts w:hint="eastAsia" w:ascii="宋体" w:hAnsi="宋体" w:eastAsia="宋体"/>
          <w:color w:val="auto"/>
          <w:sz w:val="30"/>
          <w:szCs w:val="30"/>
        </w:rPr>
        <w:t>提供</w:t>
      </w:r>
      <w:r>
        <w:rPr>
          <w:rFonts w:hint="eastAsia" w:asciiTheme="majorEastAsia" w:hAnsiTheme="majorEastAsia" w:eastAsiaTheme="majorEastAsia"/>
          <w:color w:val="auto"/>
          <w:sz w:val="30"/>
          <w:szCs w:val="30"/>
        </w:rPr>
        <w:t>法定代表人</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w:t>
      </w:r>
      <w:r>
        <w:rPr>
          <w:rFonts w:hint="eastAsia" w:ascii="宋体" w:hAnsi="宋体" w:eastAsia="宋体"/>
          <w:sz w:val="30"/>
          <w:szCs w:val="30"/>
        </w:rPr>
        <w:t>证明</w:t>
      </w:r>
      <w:bookmarkEnd w:id="70"/>
    </w:p>
    <w:p w14:paraId="0263054A">
      <w:pPr>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w:t>
      </w:r>
    </w:p>
    <w:p w14:paraId="4E6988C2">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olor w:val="auto"/>
          <w:szCs w:val="21"/>
          <w:highlight w:val="none"/>
          <w:lang w:val="en-US" w:eastAsia="zh-CN"/>
        </w:rPr>
        <w:br w:type="page"/>
      </w:r>
    </w:p>
    <w:p w14:paraId="6C6A5DD0">
      <w:pPr>
        <w:pStyle w:val="3"/>
        <w:numPr>
          <w:ilvl w:val="0"/>
          <w:numId w:val="0"/>
        </w:numPr>
        <w:spacing w:line="240" w:lineRule="auto"/>
        <w:ind w:left="420" w:leftChars="0" w:hanging="420" w:firstLineChars="0"/>
        <w:jc w:val="center"/>
        <w:outlineLvl w:val="0"/>
        <w:rPr>
          <w:rFonts w:ascii="宋体" w:hAnsi="宋体" w:eastAsia="宋体"/>
          <w:color w:val="auto"/>
          <w:sz w:val="30"/>
          <w:szCs w:val="30"/>
        </w:rPr>
      </w:pPr>
      <w:bookmarkStart w:id="71" w:name="_Toc2305"/>
      <w:bookmarkStart w:id="72" w:name="_Toc25910"/>
      <w:bookmarkStart w:id="73" w:name="_Toc777"/>
      <w:bookmarkStart w:id="74" w:name="_Toc11352"/>
      <w:bookmarkStart w:id="75" w:name="_Toc7126"/>
      <w:bookmarkStart w:id="76" w:name="_Toc15871"/>
      <w:r>
        <w:rPr>
          <w:rFonts w:hint="eastAsia" w:ascii="宋体" w:hAnsi="宋体" w:eastAsia="宋体" w:cs="宋体"/>
          <w:color w:val="auto"/>
          <w:kern w:val="2"/>
          <w:sz w:val="30"/>
          <w:szCs w:val="30"/>
          <w:lang w:val="en-US" w:eastAsia="zh-CN" w:bidi="ar-SA"/>
        </w:rPr>
        <w:t>（十九）</w:t>
      </w:r>
      <w:r>
        <w:rPr>
          <w:rFonts w:hint="eastAsia" w:ascii="宋体" w:hAnsi="宋体" w:eastAsia="宋体"/>
          <w:sz w:val="30"/>
          <w:szCs w:val="30"/>
        </w:rPr>
        <w:t>提供主要经营负责人</w:t>
      </w:r>
      <w:r>
        <w:rPr>
          <w:rFonts w:hint="eastAsia" w:ascii="宋体" w:hAnsi="宋体" w:eastAsia="宋体"/>
          <w:color w:val="auto"/>
          <w:sz w:val="30"/>
          <w:szCs w:val="30"/>
        </w:rPr>
        <w:t>、项目负责人、主要技术人员</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的社会保险证明</w:t>
      </w:r>
      <w:bookmarkEnd w:id="71"/>
      <w:bookmarkEnd w:id="72"/>
      <w:bookmarkEnd w:id="73"/>
      <w:bookmarkEnd w:id="74"/>
      <w:bookmarkEnd w:id="75"/>
      <w:bookmarkEnd w:id="76"/>
    </w:p>
    <w:p w14:paraId="08F7380F">
      <w:pPr>
        <w:spacing w:line="500" w:lineRule="exact"/>
        <w:rPr>
          <w:rFonts w:ascii="宋体" w:hAnsi="宋体"/>
          <w:color w:val="auto"/>
        </w:rPr>
      </w:pPr>
    </w:p>
    <w:p w14:paraId="46EA680B">
      <w:pPr>
        <w:rPr>
          <w:rFonts w:ascii="宋体" w:hAnsi="宋体"/>
          <w:b/>
          <w:bCs/>
          <w:color w:val="auto"/>
          <w:sz w:val="24"/>
        </w:rPr>
      </w:pPr>
      <w:r>
        <w:rPr>
          <w:rFonts w:hint="eastAsia" w:ascii="宋体" w:hAnsi="宋体"/>
          <w:b/>
          <w:bCs/>
          <w:color w:val="auto"/>
          <w:sz w:val="24"/>
        </w:rPr>
        <w:t>提供</w:t>
      </w:r>
      <w:r>
        <w:rPr>
          <w:rFonts w:hint="eastAsia"/>
          <w:b/>
          <w:color w:val="auto"/>
          <w:sz w:val="24"/>
        </w:rPr>
        <w:t>主要经营负责</w:t>
      </w:r>
      <w:r>
        <w:rPr>
          <w:rFonts w:hint="eastAsia" w:ascii="宋体" w:hAnsi="宋体"/>
          <w:b/>
          <w:bCs/>
          <w:color w:val="auto"/>
          <w:sz w:val="24"/>
        </w:rPr>
        <w:t>人近一个月的社保证明：</w:t>
      </w:r>
    </w:p>
    <w:p w14:paraId="6675E697">
      <w:pPr>
        <w:rPr>
          <w:rFonts w:ascii="宋体" w:hAnsi="宋体"/>
          <w:b/>
          <w:bCs/>
          <w:color w:val="auto"/>
          <w:sz w:val="24"/>
        </w:rPr>
      </w:pPr>
    </w:p>
    <w:p w14:paraId="4A27208D">
      <w:pPr>
        <w:rPr>
          <w:rFonts w:hint="default" w:ascii="宋体" w:hAnsi="宋体" w:eastAsiaTheme="minorEastAsia"/>
          <w:b/>
          <w:bCs/>
          <w:color w:val="auto"/>
          <w:sz w:val="24"/>
          <w:lang w:val="en-US" w:eastAsia="zh-CN"/>
        </w:rPr>
      </w:pPr>
    </w:p>
    <w:p w14:paraId="3D26AD5A">
      <w:pPr>
        <w:rPr>
          <w:rFonts w:hint="default" w:ascii="宋体" w:hAnsi="宋体" w:eastAsiaTheme="minorEastAsia"/>
          <w:b/>
          <w:bCs/>
          <w:color w:val="auto"/>
          <w:sz w:val="24"/>
          <w:lang w:val="en-US" w:eastAsia="zh-CN"/>
        </w:rPr>
      </w:pPr>
    </w:p>
    <w:p w14:paraId="68D36F64">
      <w:pPr>
        <w:rPr>
          <w:rFonts w:hint="default" w:ascii="宋体" w:hAnsi="宋体" w:eastAsiaTheme="minorEastAsia"/>
          <w:b/>
          <w:bCs/>
          <w:color w:val="auto"/>
          <w:sz w:val="24"/>
          <w:lang w:val="en-US" w:eastAsia="zh-CN"/>
        </w:rPr>
      </w:pPr>
    </w:p>
    <w:p w14:paraId="1C61B072">
      <w:pPr>
        <w:rPr>
          <w:rFonts w:hint="default" w:ascii="宋体" w:hAnsi="宋体" w:eastAsiaTheme="minorEastAsia"/>
          <w:b/>
          <w:bCs/>
          <w:color w:val="auto"/>
          <w:sz w:val="24"/>
          <w:lang w:val="en-US" w:eastAsia="zh-CN"/>
        </w:rPr>
      </w:pPr>
    </w:p>
    <w:p w14:paraId="7DED4F92">
      <w:pPr>
        <w:rPr>
          <w:rFonts w:hint="default" w:ascii="宋体" w:hAnsi="宋体" w:eastAsiaTheme="minorEastAsia"/>
          <w:b/>
          <w:bCs/>
          <w:color w:val="auto"/>
          <w:sz w:val="24"/>
          <w:lang w:val="en-US" w:eastAsia="zh-CN"/>
        </w:rPr>
      </w:pPr>
    </w:p>
    <w:p w14:paraId="2D944E21">
      <w:pPr>
        <w:rPr>
          <w:rFonts w:ascii="宋体" w:hAnsi="宋体"/>
          <w:b/>
          <w:bCs/>
          <w:color w:val="auto"/>
          <w:sz w:val="24"/>
        </w:rPr>
      </w:pPr>
    </w:p>
    <w:p w14:paraId="262F899B">
      <w:pPr>
        <w:rPr>
          <w:rFonts w:ascii="宋体" w:hAnsi="宋体"/>
          <w:b/>
          <w:bCs/>
          <w:color w:val="auto"/>
          <w:sz w:val="24"/>
        </w:rPr>
      </w:pPr>
      <w:r>
        <w:rPr>
          <w:rFonts w:hint="eastAsia" w:ascii="宋体" w:hAnsi="宋体"/>
          <w:b/>
          <w:bCs/>
          <w:color w:val="auto"/>
          <w:sz w:val="24"/>
        </w:rPr>
        <w:t>提供项目负责人近一个月的社保证明（如有）：</w:t>
      </w:r>
    </w:p>
    <w:p w14:paraId="70313BD8">
      <w:pPr>
        <w:spacing w:line="500" w:lineRule="exact"/>
        <w:rPr>
          <w:rFonts w:ascii="宋体" w:hAnsi="宋体"/>
          <w:color w:val="auto"/>
        </w:rPr>
      </w:pPr>
    </w:p>
    <w:p w14:paraId="3C259EF8">
      <w:pPr>
        <w:spacing w:line="500" w:lineRule="exact"/>
        <w:rPr>
          <w:rFonts w:ascii="宋体" w:hAnsi="宋体"/>
          <w:color w:val="auto"/>
        </w:rPr>
      </w:pPr>
    </w:p>
    <w:p w14:paraId="1F074AE8">
      <w:pPr>
        <w:spacing w:line="500" w:lineRule="exact"/>
        <w:rPr>
          <w:rFonts w:ascii="宋体" w:hAnsi="宋体"/>
          <w:color w:val="auto"/>
        </w:rPr>
      </w:pPr>
    </w:p>
    <w:p w14:paraId="125868D8">
      <w:pPr>
        <w:spacing w:line="500" w:lineRule="exact"/>
        <w:rPr>
          <w:rFonts w:ascii="宋体" w:hAnsi="宋体"/>
          <w:color w:val="auto"/>
        </w:rPr>
      </w:pPr>
    </w:p>
    <w:p w14:paraId="01262934">
      <w:pPr>
        <w:spacing w:line="500" w:lineRule="exact"/>
        <w:rPr>
          <w:rFonts w:ascii="宋体" w:hAnsi="宋体"/>
          <w:color w:val="auto"/>
        </w:rPr>
      </w:pPr>
    </w:p>
    <w:p w14:paraId="5794AF27">
      <w:pPr>
        <w:rPr>
          <w:color w:val="auto"/>
        </w:rPr>
      </w:pPr>
      <w:r>
        <w:rPr>
          <w:rFonts w:hint="eastAsia" w:ascii="宋体" w:hAnsi="宋体"/>
          <w:b/>
          <w:bCs/>
          <w:color w:val="auto"/>
          <w:sz w:val="24"/>
        </w:rPr>
        <w:t>提供主要技术人员近一个月的社保证明（如有）：</w:t>
      </w:r>
    </w:p>
    <w:p w14:paraId="4A18806C">
      <w:pPr>
        <w:spacing w:line="500" w:lineRule="exact"/>
        <w:rPr>
          <w:rFonts w:ascii="宋体" w:hAnsi="宋体"/>
        </w:rPr>
      </w:pPr>
    </w:p>
    <w:p w14:paraId="5A093BAC">
      <w:pPr>
        <w:spacing w:line="500" w:lineRule="exact"/>
        <w:rPr>
          <w:rFonts w:ascii="宋体" w:hAnsi="宋体"/>
        </w:rPr>
      </w:pPr>
    </w:p>
    <w:p w14:paraId="325C72B5">
      <w:pPr>
        <w:spacing w:line="500" w:lineRule="exact"/>
        <w:rPr>
          <w:rFonts w:ascii="宋体" w:hAnsi="宋体"/>
        </w:rPr>
      </w:pPr>
    </w:p>
    <w:p w14:paraId="42F919D5">
      <w:pPr>
        <w:spacing w:line="500" w:lineRule="exact"/>
        <w:rPr>
          <w:rFonts w:ascii="宋体" w:hAnsi="宋体"/>
        </w:rPr>
      </w:pPr>
    </w:p>
    <w:p w14:paraId="790DCE5D">
      <w:pPr>
        <w:pStyle w:val="5"/>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如本项目未安排项目投标授权代表人、项目负责人、主要技术人员的，无需提供项目投标授权代表人、项目负责人、主要技术人员的社保。</w:t>
      </w:r>
    </w:p>
    <w:p w14:paraId="4006300D">
      <w:r>
        <w:rPr>
          <w:rFonts w:hint="eastAsi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9129845">
      <w:pPr>
        <w:spacing w:line="500" w:lineRule="exact"/>
        <w:rPr>
          <w:rFonts w:ascii="宋体" w:hAnsi="宋体"/>
        </w:rPr>
      </w:pPr>
    </w:p>
    <w:p w14:paraId="0B1E9164">
      <w:pPr>
        <w:rPr>
          <w:rFonts w:hint="eastAsia" w:asciiTheme="majorEastAsia" w:hAnsiTheme="majorEastAsia" w:eastAsiaTheme="majorEastAsia"/>
          <w:sz w:val="30"/>
          <w:szCs w:val="30"/>
        </w:rPr>
      </w:pPr>
      <w:bookmarkStart w:id="77" w:name="_Toc8619"/>
      <w:bookmarkStart w:id="78" w:name="_Toc435515308"/>
      <w:bookmarkStart w:id="79" w:name="_Toc435514868"/>
      <w:r>
        <w:rPr>
          <w:rFonts w:hint="eastAsia" w:asciiTheme="majorEastAsia" w:hAnsiTheme="majorEastAsia" w:eastAsiaTheme="majorEastAsia"/>
          <w:sz w:val="30"/>
          <w:szCs w:val="30"/>
        </w:rPr>
        <w:br w:type="page"/>
      </w:r>
    </w:p>
    <w:p w14:paraId="6F888131">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80" w:name="_Toc29264"/>
      <w:r>
        <w:rPr>
          <w:rFonts w:hint="eastAsia" w:cs="宋体" w:asciiTheme="majorEastAsia" w:hAnsiTheme="majorEastAsia" w:eastAsiaTheme="majorEastAsia"/>
          <w:kern w:val="2"/>
          <w:sz w:val="30"/>
          <w:szCs w:val="30"/>
          <w:lang w:val="en-US" w:eastAsia="zh-CN" w:bidi="ar-SA"/>
        </w:rPr>
        <w:t>（二十）</w:t>
      </w:r>
      <w:r>
        <w:rPr>
          <w:rFonts w:hint="eastAsia" w:asciiTheme="majorEastAsia" w:hAnsiTheme="majorEastAsia" w:eastAsiaTheme="majorEastAsia"/>
          <w:sz w:val="30"/>
          <w:szCs w:val="30"/>
        </w:rPr>
        <w:t>技术规格偏离表</w:t>
      </w:r>
      <w:bookmarkEnd w:id="80"/>
    </w:p>
    <w:p w14:paraId="4B516DB8">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采购清单及技术规格中的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5F40C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600754F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2F5E61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rPr>
            </w:pPr>
            <w:r>
              <w:rPr>
                <w:rFonts w:hint="eastAsia" w:ascii="宋体" w:hAnsi="宋体"/>
                <w:szCs w:val="21"/>
                <w:lang w:val="en-US" w:eastAsia="zh-CN"/>
              </w:rPr>
              <w:t>征集技术要求</w:t>
            </w:r>
          </w:p>
        </w:tc>
        <w:tc>
          <w:tcPr>
            <w:tcW w:w="2341" w:type="dxa"/>
            <w:shd w:val="clear" w:color="auto" w:fill="EAF1DD" w:themeFill="accent3" w:themeFillTint="33"/>
            <w:vAlign w:val="center"/>
          </w:tcPr>
          <w:p w14:paraId="63784F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w:t>
            </w:r>
          </w:p>
        </w:tc>
        <w:tc>
          <w:tcPr>
            <w:tcW w:w="1750" w:type="dxa"/>
            <w:shd w:val="clear" w:color="auto" w:fill="EAF1DD" w:themeFill="accent3" w:themeFillTint="33"/>
            <w:vAlign w:val="center"/>
          </w:tcPr>
          <w:p w14:paraId="668063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5A9313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3459C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E47F2F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2491D04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A8C1FC9">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7964FF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1D64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B411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6ED6CC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3E6648D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3EF56D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FBF78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DF9696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FF0D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E433214">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4BAB58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00B2E8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220D7B6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FB38C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180E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7405FAE">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0997BCF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0EE07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8E8214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D4E48A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D3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5C6801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D058D3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42660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428964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015303A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275E9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BDA9829">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69E79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53128E0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1EE0E7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67486C0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D614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2376D43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5E8BBAD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BF324C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AD49B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47EF3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0518E54">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p w14:paraId="04071499">
      <w:pPr>
        <w:spacing w:line="360" w:lineRule="auto"/>
        <w:ind w:right="84" w:rightChars="40"/>
        <w:rPr>
          <w:rFonts w:hint="eastAsia" w:ascii="宋体" w:hAnsi="宋体"/>
          <w:szCs w:val="21"/>
        </w:rPr>
      </w:pPr>
      <w:r>
        <w:rPr>
          <w:rFonts w:hint="eastAsia" w:ascii="宋体" w:hAnsi="宋体"/>
          <w:szCs w:val="21"/>
        </w:rPr>
        <w:t>《</w:t>
      </w:r>
      <w:r>
        <w:rPr>
          <w:rFonts w:hint="eastAsia" w:ascii="宋体" w:hAnsi="宋体"/>
          <w:szCs w:val="21"/>
          <w:lang w:val="en-US" w:eastAsia="zh-CN"/>
        </w:rPr>
        <w:t>技术规格偏离表</w:t>
      </w:r>
      <w:r>
        <w:rPr>
          <w:rFonts w:hint="eastAsia" w:ascii="宋体" w:hAnsi="宋体"/>
          <w:szCs w:val="21"/>
        </w:rPr>
        <w:t>》编制指引：</w:t>
      </w:r>
    </w:p>
    <w:p w14:paraId="5FB2148D">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响应”一栏必须一一对照“</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要求”，详细填写自身响应情况，而不能不合理照搬照抄</w:t>
      </w:r>
      <w:r>
        <w:rPr>
          <w:rFonts w:hint="eastAsia" w:ascii="宋体" w:hAnsi="宋体"/>
          <w:szCs w:val="21"/>
          <w:lang w:eastAsia="zh-CN"/>
        </w:rPr>
        <w:t>征集</w:t>
      </w:r>
      <w:r>
        <w:rPr>
          <w:rFonts w:hint="eastAsia" w:ascii="宋体" w:hAnsi="宋体"/>
          <w:szCs w:val="21"/>
        </w:rPr>
        <w:t>文件的</w:t>
      </w:r>
      <w:r>
        <w:rPr>
          <w:rFonts w:hint="eastAsia" w:ascii="宋体" w:hAnsi="宋体"/>
          <w:szCs w:val="21"/>
          <w:lang w:val="en-US" w:eastAsia="zh-CN"/>
        </w:rPr>
        <w:t>技术</w:t>
      </w:r>
      <w:r>
        <w:rPr>
          <w:rFonts w:hint="eastAsia" w:ascii="宋体" w:hAnsi="宋体"/>
          <w:szCs w:val="21"/>
        </w:rPr>
        <w:t>要求，以体现具体响应情况。</w:t>
      </w:r>
    </w:p>
    <w:p w14:paraId="5E7709C8">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1F5FBAF">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5521E149">
      <w:pPr>
        <w:adjustRightInd w:val="0"/>
        <w:snapToGrid w:val="0"/>
        <w:spacing w:line="300" w:lineRule="auto"/>
        <w:rPr>
          <w:rFonts w:hint="eastAsia" w:ascii="宋体" w:hAnsi="宋体" w:eastAsia="宋体" w:cs="宋体"/>
          <w:sz w:val="24"/>
          <w:highlight w:val="none"/>
        </w:rPr>
      </w:pPr>
    </w:p>
    <w:p w14:paraId="2D7347C3">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2F36244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78E62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1562BABE">
      <w:pPr>
        <w:rPr>
          <w:rFonts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26710D5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81" w:name="_Toc1851"/>
      <w:r>
        <w:rPr>
          <w:rFonts w:hint="eastAsia" w:cs="宋体" w:asciiTheme="majorEastAsia" w:hAnsiTheme="majorEastAsia" w:eastAsiaTheme="majorEastAsia"/>
          <w:kern w:val="2"/>
          <w:sz w:val="30"/>
          <w:szCs w:val="30"/>
          <w:lang w:val="en-US" w:eastAsia="zh-CN" w:bidi="ar-SA"/>
        </w:rPr>
        <w:t>（二十一）</w:t>
      </w:r>
      <w:r>
        <w:rPr>
          <w:rFonts w:hint="eastAsia" w:asciiTheme="majorEastAsia" w:hAnsiTheme="majorEastAsia" w:eastAsiaTheme="majorEastAsia"/>
          <w:sz w:val="30"/>
          <w:szCs w:val="30"/>
          <w:lang w:val="en-US" w:eastAsia="zh-CN"/>
        </w:rPr>
        <w:t>商务</w:t>
      </w:r>
      <w:r>
        <w:rPr>
          <w:rFonts w:hint="eastAsia" w:asciiTheme="majorEastAsia" w:hAnsiTheme="majorEastAsia" w:eastAsiaTheme="majorEastAsia"/>
          <w:sz w:val="30"/>
          <w:szCs w:val="30"/>
        </w:rPr>
        <w:t>条款响应一览表</w:t>
      </w:r>
      <w:bookmarkEnd w:id="77"/>
      <w:bookmarkEnd w:id="81"/>
    </w:p>
    <w:p w14:paraId="4F49A491">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商务要求中的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1131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5D47DA5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076510C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lang w:val="en-US" w:eastAsia="zh-CN"/>
              </w:rPr>
            </w:pPr>
            <w:r>
              <w:rPr>
                <w:rFonts w:hint="eastAsia" w:ascii="宋体" w:hAnsi="宋体"/>
                <w:szCs w:val="21"/>
                <w:lang w:val="en-US" w:eastAsia="zh-CN"/>
              </w:rPr>
              <w:t>征集</w:t>
            </w:r>
            <w:r>
              <w:rPr>
                <w:rFonts w:hint="eastAsia" w:ascii="宋体" w:hAnsi="宋体"/>
                <w:szCs w:val="21"/>
              </w:rPr>
              <w:t>商务</w:t>
            </w:r>
            <w:r>
              <w:rPr>
                <w:rFonts w:hint="eastAsia" w:ascii="宋体" w:hAnsi="宋体"/>
                <w:szCs w:val="21"/>
                <w:lang w:val="en-US" w:eastAsia="zh-CN"/>
              </w:rPr>
              <w:t>要求</w:t>
            </w:r>
          </w:p>
        </w:tc>
        <w:tc>
          <w:tcPr>
            <w:tcW w:w="2341" w:type="dxa"/>
            <w:shd w:val="clear" w:color="auto" w:fill="EAF1DD" w:themeFill="accent3" w:themeFillTint="33"/>
            <w:vAlign w:val="center"/>
          </w:tcPr>
          <w:p w14:paraId="5A5F691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投标商务响应</w:t>
            </w:r>
          </w:p>
        </w:tc>
        <w:tc>
          <w:tcPr>
            <w:tcW w:w="1750" w:type="dxa"/>
            <w:shd w:val="clear" w:color="auto" w:fill="EAF1DD" w:themeFill="accent3" w:themeFillTint="33"/>
            <w:vAlign w:val="center"/>
          </w:tcPr>
          <w:p w14:paraId="5EB892D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174B98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50CE9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29324E3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szCs w:val="21"/>
                <w:lang w:val="en-US" w:eastAsia="zh-CN"/>
              </w:rPr>
              <w:t>商务</w:t>
            </w:r>
            <w:r>
              <w:rPr>
                <w:rFonts w:hint="eastAsia" w:asciiTheme="minorEastAsia" w:hAnsiTheme="minorEastAsia" w:eastAsiaTheme="minorEastAsia"/>
                <w:szCs w:val="21"/>
              </w:rPr>
              <w:t>条款</w:t>
            </w:r>
          </w:p>
        </w:tc>
      </w:tr>
      <w:tr w14:paraId="77AD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F5768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18A89F6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1C7FE1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E3F4AE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4721E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525F7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A57EE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4D13A26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91D2AD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4141B8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9B22E1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16C23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0DB666A">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5609A7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7B37A5E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CD5563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173AC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6EDF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28F007B">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39911D4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2D282E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F34C41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07101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A0B2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1405C0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4DE0E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95AB4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D97C41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FA1D5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1267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2503923">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3EB1FC9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DF40B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3B51D46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B65CDB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44EB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967485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7CDB4A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08BE62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0DFCF1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AE040F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26C6290">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bookmarkEnd w:id="78"/>
    <w:bookmarkEnd w:id="79"/>
    <w:p w14:paraId="1F5586D6">
      <w:pPr>
        <w:spacing w:line="360" w:lineRule="auto"/>
        <w:ind w:right="84" w:rightChars="40"/>
        <w:rPr>
          <w:rFonts w:hint="eastAsia" w:ascii="宋体" w:hAnsi="宋体"/>
          <w:szCs w:val="21"/>
        </w:rPr>
      </w:pPr>
      <w:r>
        <w:rPr>
          <w:rFonts w:hint="eastAsia" w:ascii="宋体" w:hAnsi="宋体"/>
          <w:szCs w:val="21"/>
        </w:rPr>
        <w:t>《商务条款响应</w:t>
      </w:r>
      <w:r>
        <w:rPr>
          <w:rFonts w:hint="eastAsia" w:ascii="宋体" w:hAnsi="宋体"/>
          <w:szCs w:val="21"/>
          <w:lang w:val="en-US" w:eastAsia="zh-CN"/>
        </w:rPr>
        <w:t>一栏表</w:t>
      </w:r>
      <w:r>
        <w:rPr>
          <w:rFonts w:hint="eastAsia" w:ascii="宋体" w:hAnsi="宋体"/>
          <w:szCs w:val="21"/>
        </w:rPr>
        <w:t>》编制指引：</w:t>
      </w:r>
    </w:p>
    <w:p w14:paraId="4E2607C5">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、“投标商务响应”一栏必须一一对照“</w:t>
      </w:r>
      <w:r>
        <w:rPr>
          <w:rFonts w:hint="eastAsia" w:ascii="宋体" w:hAnsi="宋体"/>
          <w:szCs w:val="21"/>
          <w:lang w:eastAsia="zh-CN"/>
        </w:rPr>
        <w:t>征集</w:t>
      </w:r>
      <w:r>
        <w:rPr>
          <w:rFonts w:hint="eastAsia" w:ascii="宋体" w:hAnsi="宋体"/>
          <w:szCs w:val="21"/>
        </w:rPr>
        <w:t>商务要求”，详细填写自身响应情况，而不能不合理照搬照抄</w:t>
      </w:r>
      <w:r>
        <w:rPr>
          <w:rFonts w:hint="eastAsia" w:ascii="宋体" w:hAnsi="宋体"/>
          <w:szCs w:val="21"/>
          <w:lang w:eastAsia="zh-CN"/>
        </w:rPr>
        <w:t>征集</w:t>
      </w:r>
      <w:r>
        <w:rPr>
          <w:rFonts w:hint="eastAsia" w:ascii="宋体" w:hAnsi="宋体"/>
          <w:szCs w:val="21"/>
        </w:rPr>
        <w:t>文件的商务要求，以体现具体响应情况。</w:t>
      </w:r>
    </w:p>
    <w:p w14:paraId="401E1F14">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商务</w:t>
      </w:r>
      <w:r>
        <w:rPr>
          <w:rFonts w:hint="eastAsia" w:ascii="宋体" w:hAnsi="宋体"/>
          <w:szCs w:val="21"/>
        </w:rPr>
        <w:t>响应优于</w:t>
      </w:r>
      <w:r>
        <w:rPr>
          <w:rFonts w:hint="eastAsia" w:ascii="宋体" w:hAnsi="宋体"/>
          <w:szCs w:val="21"/>
          <w:lang w:eastAsia="zh-CN"/>
        </w:rPr>
        <w:t>征集</w:t>
      </w:r>
      <w:r>
        <w:rPr>
          <w:rFonts w:hint="eastAsia" w:ascii="宋体" w:hAnsi="宋体"/>
          <w:szCs w:val="21"/>
        </w:rPr>
        <w:t>商务要求”，“负偏离”表示“投标</w:t>
      </w:r>
      <w:r>
        <w:rPr>
          <w:rFonts w:hint="eastAsia" w:ascii="宋体" w:hAnsi="宋体"/>
          <w:szCs w:val="21"/>
          <w:lang w:val="en-US" w:eastAsia="zh-CN"/>
        </w:rPr>
        <w:t>商务</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rPr>
        <w:t>商务要求”，“无偏离”表示“投标</w:t>
      </w:r>
      <w:r>
        <w:rPr>
          <w:rFonts w:hint="eastAsia" w:ascii="宋体" w:hAnsi="宋体"/>
          <w:szCs w:val="21"/>
          <w:lang w:val="en-US" w:eastAsia="zh-CN"/>
        </w:rPr>
        <w:t>商务</w:t>
      </w:r>
      <w:r>
        <w:rPr>
          <w:rFonts w:hint="eastAsia" w:ascii="宋体" w:hAnsi="宋体"/>
          <w:szCs w:val="21"/>
        </w:rPr>
        <w:t>响应与</w:t>
      </w:r>
      <w:r>
        <w:rPr>
          <w:rFonts w:hint="eastAsia" w:ascii="宋体" w:hAnsi="宋体"/>
          <w:szCs w:val="21"/>
          <w:lang w:eastAsia="zh-CN"/>
        </w:rPr>
        <w:t>征集</w:t>
      </w:r>
      <w:r>
        <w:rPr>
          <w:rFonts w:hint="eastAsia" w:ascii="宋体" w:hAnsi="宋体"/>
          <w:szCs w:val="21"/>
        </w:rPr>
        <w:t>商务要求一致”。</w:t>
      </w:r>
    </w:p>
    <w:p w14:paraId="381E0A73">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、“投标商务响应”对比“</w:t>
      </w:r>
      <w:r>
        <w:rPr>
          <w:rFonts w:hint="eastAsia" w:ascii="宋体" w:hAnsi="宋体"/>
          <w:szCs w:val="21"/>
          <w:lang w:eastAsia="zh-CN"/>
        </w:rPr>
        <w:t>征集</w:t>
      </w:r>
      <w:r>
        <w:rPr>
          <w:rFonts w:hint="eastAsia" w:ascii="宋体" w:hAnsi="宋体"/>
          <w:szCs w:val="21"/>
        </w:rPr>
        <w:t>商务要求”存在响应不全（包括未响应整项</w:t>
      </w:r>
      <w:r>
        <w:rPr>
          <w:rFonts w:hint="eastAsia" w:ascii="宋体" w:hAnsi="宋体"/>
          <w:szCs w:val="21"/>
          <w:lang w:eastAsia="zh-CN"/>
        </w:rPr>
        <w:t>征集</w:t>
      </w:r>
      <w:r>
        <w:rPr>
          <w:rFonts w:hint="eastAsia" w:ascii="宋体" w:hAnsi="宋体"/>
          <w:szCs w:val="21"/>
        </w:rPr>
        <w:t>商务要求或者未响应一项</w:t>
      </w:r>
      <w:r>
        <w:rPr>
          <w:rFonts w:hint="eastAsia" w:ascii="宋体" w:hAnsi="宋体"/>
          <w:szCs w:val="21"/>
          <w:lang w:eastAsia="zh-CN"/>
        </w:rPr>
        <w:t>征集</w:t>
      </w:r>
      <w:r>
        <w:rPr>
          <w:rFonts w:hint="eastAsia" w:ascii="宋体" w:hAnsi="宋体"/>
          <w:szCs w:val="21"/>
        </w:rPr>
        <w:t>商务要求的部分内容），均视为“负偏离”。</w:t>
      </w:r>
    </w:p>
    <w:p w14:paraId="0D577773">
      <w:pPr>
        <w:adjustRightInd w:val="0"/>
        <w:snapToGrid w:val="0"/>
        <w:spacing w:line="300" w:lineRule="auto"/>
        <w:rPr>
          <w:rFonts w:hint="eastAsia" w:ascii="宋体" w:hAnsi="宋体" w:eastAsia="宋体" w:cs="宋体"/>
          <w:sz w:val="24"/>
          <w:highlight w:val="none"/>
        </w:rPr>
      </w:pPr>
    </w:p>
    <w:p w14:paraId="3DEAE6B1">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40FCA40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3EC51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bookmarkStart w:id="82" w:name="_Toc435515318"/>
      <w:bookmarkStart w:id="83" w:name="_Toc275865626"/>
      <w:bookmarkStart w:id="84" w:name="_Toc173553195"/>
      <w:bookmarkStart w:id="85" w:name="_Toc435514878"/>
    </w:p>
    <w:p w14:paraId="57099E2D">
      <w:pPr>
        <w:pStyle w:val="3"/>
        <w:numPr>
          <w:ilvl w:val="0"/>
          <w:numId w:val="0"/>
        </w:numPr>
        <w:jc w:val="center"/>
        <w:outlineLvl w:val="9"/>
        <w:rPr>
          <w:rFonts w:hint="eastAsia" w:ascii="宋体" w:hAnsi="宋体" w:cs="宋体" w:eastAsiaTheme="minorEastAsia"/>
          <w:kern w:val="2"/>
          <w:sz w:val="30"/>
          <w:szCs w:val="30"/>
          <w:lang w:val="en-US" w:eastAsia="zh-CN" w:bidi="ar-SA"/>
        </w:rPr>
      </w:pPr>
      <w:bookmarkStart w:id="86" w:name="_Toc5084"/>
      <w:bookmarkStart w:id="87" w:name="_Toc24015580"/>
      <w:bookmarkStart w:id="88" w:name="_Toc23178"/>
    </w:p>
    <w:p w14:paraId="7A683F8F">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34D72260">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16B3BBAB">
      <w:pPr>
        <w:pStyle w:val="3"/>
        <w:numPr>
          <w:ilvl w:val="0"/>
          <w:numId w:val="0"/>
        </w:numPr>
        <w:ind w:left="0" w:leftChars="0" w:firstLine="0" w:firstLineChars="0"/>
        <w:jc w:val="center"/>
        <w:outlineLvl w:val="0"/>
        <w:rPr>
          <w:rFonts w:ascii="宋体" w:hAnsi="宋体"/>
          <w:sz w:val="30"/>
          <w:szCs w:val="30"/>
        </w:rPr>
      </w:pPr>
      <w:r>
        <w:rPr>
          <w:rFonts w:hint="eastAsia" w:ascii="宋体" w:hAnsi="宋体" w:cs="宋体" w:eastAsiaTheme="minorEastAsia"/>
          <w:kern w:val="2"/>
          <w:sz w:val="30"/>
          <w:szCs w:val="30"/>
          <w:lang w:val="en-US" w:eastAsia="zh-CN" w:bidi="ar-SA"/>
        </w:rPr>
        <w:t>（</w:t>
      </w:r>
      <w:r>
        <w:rPr>
          <w:rFonts w:hint="eastAsia" w:ascii="宋体" w:hAnsi="宋体" w:cs="宋体"/>
          <w:kern w:val="2"/>
          <w:sz w:val="30"/>
          <w:szCs w:val="30"/>
          <w:lang w:val="en-US" w:eastAsia="zh-CN" w:bidi="ar-SA"/>
        </w:rPr>
        <w:t>二十二</w:t>
      </w:r>
      <w:r>
        <w:rPr>
          <w:rFonts w:hint="eastAsia" w:ascii="宋体" w:hAnsi="宋体" w:cs="宋体" w:eastAsiaTheme="minorEastAsia"/>
          <w:kern w:val="2"/>
          <w:sz w:val="30"/>
          <w:szCs w:val="30"/>
          <w:lang w:val="en-US" w:eastAsia="zh-CN" w:bidi="ar-SA"/>
        </w:rPr>
        <w:t>）</w:t>
      </w:r>
      <w:r>
        <w:rPr>
          <w:rFonts w:hint="eastAsia" w:ascii="宋体" w:hAnsi="宋体"/>
          <w:sz w:val="30"/>
          <w:szCs w:val="30"/>
        </w:rPr>
        <w:t>履约承诺函</w:t>
      </w:r>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r>
        <w:rPr>
          <w:rFonts w:hint="eastAsia"/>
          <w:b/>
          <w:szCs w:val="21"/>
        </w:rPr>
        <w:t>：</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w:t>
      </w:r>
      <w:r>
        <w:rPr>
          <w:rFonts w:hint="eastAsia" w:ascii="宋体" w:hAnsi="宋体"/>
          <w:szCs w:val="21"/>
        </w:rPr>
        <w:t>我公司本</w:t>
      </w:r>
      <w:r>
        <w:rPr>
          <w:rFonts w:hint="eastAsia" w:ascii="宋体" w:hAnsi="宋体"/>
          <w:szCs w:val="21"/>
          <w:lang w:eastAsia="zh-CN"/>
        </w:rPr>
        <w:t>征集</w:t>
      </w:r>
      <w:r>
        <w:rPr>
          <w:rFonts w:hint="eastAsia" w:ascii="宋体" w:hAnsi="宋体"/>
          <w:szCs w:val="21"/>
        </w:rPr>
        <w:t>项目所提供的货物或服务未侵犯知识产权。</w:t>
      </w:r>
    </w:p>
    <w:p w14:paraId="5EC7A22A">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22065317">
      <w:pPr>
        <w:spacing w:line="360" w:lineRule="auto"/>
        <w:ind w:firstLine="4578" w:firstLineChars="1900"/>
        <w:jc w:val="both"/>
        <w:outlineLvl w:val="9"/>
        <w:rPr>
          <w:rFonts w:hint="eastAsia" w:cs="宋体" w:asciiTheme="majorEastAsia" w:hAnsiTheme="majorEastAsia" w:eastAsiaTheme="majorEastAsia"/>
          <w:kern w:val="2"/>
          <w:sz w:val="30"/>
          <w:szCs w:val="30"/>
          <w:lang w:val="en-US" w:eastAsia="zh-CN" w:bidi="ar-SA"/>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p w14:paraId="2E0EBD0A">
      <w:pPr>
        <w:numPr>
          <w:ilvl w:val="0"/>
          <w:numId w:val="0"/>
        </w:numPr>
        <w:ind w:left="0" w:leftChars="0" w:firstLine="0" w:firstLineChars="0"/>
        <w:jc w:val="center"/>
        <w:outlineLvl w:val="0"/>
        <w:rPr>
          <w:rFonts w:hint="eastAsia" w:asciiTheme="minorEastAsia" w:hAnsiTheme="minorEastAsia" w:cstheme="minorEastAsia"/>
          <w:sz w:val="30"/>
          <w:szCs w:val="30"/>
        </w:rPr>
      </w:pP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kern w:val="2"/>
          <w:sz w:val="30"/>
          <w:szCs w:val="30"/>
          <w:lang w:val="en-US" w:eastAsia="zh-CN" w:bidi="ar-SA"/>
        </w:rPr>
        <w:t>二十三</w:t>
      </w: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sz w:val="30"/>
          <w:szCs w:val="30"/>
        </w:rPr>
        <w:t>售后服务承诺</w:t>
      </w:r>
    </w:p>
    <w:p w14:paraId="37889004">
      <w:pPr>
        <w:numPr>
          <w:ilvl w:val="0"/>
          <w:numId w:val="0"/>
        </w:numPr>
        <w:rPr>
          <w:rFonts w:hint="eastAsia" w:asciiTheme="minorEastAsia" w:hAnsiTheme="minorEastAsia" w:cstheme="minorEastAsia"/>
          <w:sz w:val="24"/>
        </w:rPr>
      </w:pPr>
    </w:p>
    <w:p w14:paraId="0C827B89">
      <w:pPr>
        <w:widowControl/>
        <w:spacing w:after="200" w:line="220" w:lineRule="atLeast"/>
        <w:jc w:val="center"/>
        <w:outlineLvl w:val="1"/>
        <w:rPr>
          <w:rFonts w:hint="eastAsia" w:asciiTheme="minorEastAsia" w:hAnsiTheme="minorEastAsia" w:eastAsiaTheme="minorEastAsia" w:cstheme="minorEastAsia"/>
          <w:sz w:val="24"/>
          <w:highlight w:val="yellow"/>
          <w:lang w:eastAsia="zh-CN"/>
        </w:rPr>
      </w:pPr>
      <w:r>
        <w:rPr>
          <w:rFonts w:asciiTheme="minorEastAsia" w:hAnsiTheme="minorEastAsia" w:cstheme="minorEastAsia"/>
          <w:sz w:val="24"/>
          <w:highlight w:val="yellow"/>
        </w:rPr>
        <w:t>每年</w:t>
      </w:r>
      <w:r>
        <w:rPr>
          <w:rFonts w:hint="eastAsia" w:asciiTheme="minorEastAsia" w:hAnsiTheme="minorEastAsia" w:cstheme="minorEastAsia"/>
          <w:sz w:val="24"/>
          <w:highlight w:val="red"/>
          <w:lang w:val="en-US" w:eastAsia="zh-CN"/>
        </w:rPr>
        <w:t xml:space="preserve">  </w:t>
      </w:r>
      <w:r>
        <w:rPr>
          <w:rFonts w:asciiTheme="minorEastAsia" w:hAnsiTheme="minorEastAsia" w:cstheme="minorEastAsia"/>
          <w:sz w:val="24"/>
          <w:highlight w:val="yellow"/>
        </w:rPr>
        <w:t>次</w:t>
      </w:r>
      <w:r>
        <w:rPr>
          <w:rFonts w:hint="eastAsia" w:asciiTheme="minorEastAsia" w:hAnsiTheme="minorEastAsia" w:cstheme="minorEastAsia"/>
          <w:sz w:val="24"/>
          <w:highlight w:val="yellow"/>
          <w:lang w:val="en-US" w:eastAsia="zh-CN"/>
        </w:rPr>
        <w:t>维保</w:t>
      </w:r>
      <w:r>
        <w:rPr>
          <w:rFonts w:hint="eastAsia" w:asciiTheme="minorEastAsia" w:hAnsiTheme="minorEastAsia" w:cstheme="minorEastAsia"/>
          <w:sz w:val="24"/>
          <w:highlight w:val="yellow"/>
          <w:lang w:eastAsia="zh-CN"/>
        </w:rPr>
        <w:t>承诺</w:t>
      </w:r>
    </w:p>
    <w:p w14:paraId="4F2BE074">
      <w:pPr>
        <w:widowControl/>
        <w:spacing w:after="200" w:line="220" w:lineRule="atLeast"/>
        <w:ind w:left="420" w:hanging="420" w:hangingChars="200"/>
        <w:jc w:val="left"/>
        <w:rPr>
          <w:rFonts w:ascii="宋体" w:hAnsi="宋体" w:cs="宋体"/>
          <w:szCs w:val="21"/>
        </w:rPr>
      </w:pPr>
      <w:r>
        <w:rPr>
          <w:rFonts w:ascii="宋体" w:hAnsi="宋体" w:cs="宋体"/>
          <w:szCs w:val="21"/>
        </w:rPr>
        <w:t>深圳市福田区第二人民医院：</w:t>
      </w:r>
    </w:p>
    <w:p w14:paraId="0E78352C">
      <w:pPr>
        <w:ind w:firstLine="420" w:firstLineChars="200"/>
        <w:rPr>
          <w:rFonts w:ascii="宋体" w:hAnsi="宋体" w:cs="宋体"/>
          <w:szCs w:val="21"/>
        </w:rPr>
      </w:pPr>
      <w:r>
        <w:rPr>
          <w:rFonts w:ascii="宋体" w:hAnsi="宋体" w:cs="宋体"/>
          <w:szCs w:val="21"/>
        </w:rPr>
        <w:t>在您的支持和信任之下，为保障您的利益，使您得到更好更优质的服务，我司在此做出如下承诺：</w:t>
      </w:r>
    </w:p>
    <w:p w14:paraId="20163C6E">
      <w:pPr>
        <w:numPr>
          <w:ilvl w:val="0"/>
          <w:numId w:val="15"/>
        </w:numPr>
        <w:ind w:left="210" w:hanging="210" w:hangingChars="100"/>
        <w:rPr>
          <w:rFonts w:ascii="宋体" w:hAnsi="宋体" w:cs="宋体"/>
          <w:szCs w:val="21"/>
        </w:rPr>
      </w:pPr>
      <w:r>
        <w:rPr>
          <w:rFonts w:ascii="宋体" w:hAnsi="宋体" w:cs="宋体"/>
          <w:szCs w:val="21"/>
        </w:rPr>
        <w:t>安装前准备工作：</w:t>
      </w:r>
      <w:r>
        <w:rPr>
          <w:rFonts w:ascii="宋体" w:hAnsi="宋体" w:cs="宋体"/>
          <w:szCs w:val="21"/>
        </w:rPr>
        <w:br w:type="textWrapping"/>
      </w:r>
      <w:r>
        <w:rPr>
          <w:rFonts w:ascii="宋体" w:hAnsi="宋体" w:cs="宋体"/>
          <w:szCs w:val="21"/>
        </w:rPr>
        <w:t>我方所提</w:t>
      </w:r>
      <w:r>
        <w:rPr>
          <w:rFonts w:ascii="Calibri" w:hAnsi="Calibri" w:eastAsia="宋体" w:cs="Times New Roman"/>
          <w:color w:val="000000"/>
        </w:rPr>
        <w:t>供的设备必须是全新（包括零部件）的设备</w:t>
      </w:r>
      <w:r>
        <w:rPr>
          <w:rFonts w:hint="eastAsia" w:ascii="Calibri" w:hAnsi="Calibri" w:eastAsia="宋体" w:cs="Times New Roman"/>
          <w:color w:val="000000"/>
        </w:rPr>
        <w:t>,</w:t>
      </w:r>
      <w:r>
        <w:rPr>
          <w:rFonts w:hint="eastAsia" w:ascii="Calibri" w:hAnsi="Calibri" w:eastAsia="宋体" w:cs="Times New Roman"/>
          <w:color w:val="FF0000"/>
        </w:rPr>
        <w:t xml:space="preserve"> </w:t>
      </w:r>
      <w:r>
        <w:rPr>
          <w:rFonts w:hint="eastAsia" w:ascii="Calibri" w:hAnsi="Calibri" w:eastAsia="宋体" w:cs="Times New Roman"/>
          <w:color w:val="000000"/>
        </w:rPr>
        <w:t>出厂日期在采购人收到日期前12个月内，最新生产批次且经检验合格的产品。</w:t>
      </w:r>
      <w:r>
        <w:rPr>
          <w:rFonts w:ascii="Calibri" w:hAnsi="Calibri" w:eastAsia="宋体" w:cs="Times New Roman"/>
          <w:color w:val="000000"/>
        </w:rPr>
        <w:t>设备到达甲方安装现场时外包装应完好无损。本合同项下设备必须符合国家检测标准。</w:t>
      </w:r>
    </w:p>
    <w:p w14:paraId="3F31591F">
      <w:pPr>
        <w:numPr>
          <w:ilvl w:val="0"/>
          <w:numId w:val="15"/>
        </w:numPr>
        <w:ind w:left="210" w:hanging="210" w:hangingChars="100"/>
        <w:rPr>
          <w:szCs w:val="21"/>
        </w:rPr>
      </w:pPr>
      <w:r>
        <w:rPr>
          <w:rFonts w:ascii="宋体" w:hAnsi="宋体" w:cs="宋体"/>
          <w:szCs w:val="21"/>
        </w:rPr>
        <w:t>安装与调试及培训</w:t>
      </w:r>
      <w:r>
        <w:rPr>
          <w:rFonts w:ascii="宋体" w:hAnsi="宋体" w:cs="宋体"/>
          <w:szCs w:val="21"/>
        </w:rPr>
        <w:br w:type="textWrapping"/>
      </w:r>
      <w:r>
        <w:rPr>
          <w:rFonts w:ascii="宋体" w:hAnsi="宋体" w:cs="宋体"/>
          <w:szCs w:val="21"/>
        </w:rPr>
        <w:t>1.我方对所提供的设备负责现场指导安装与调试直至系统正常运行。</w:t>
      </w:r>
      <w:r>
        <w:rPr>
          <w:rFonts w:ascii="宋体" w:hAnsi="宋体" w:cs="宋体"/>
          <w:szCs w:val="21"/>
        </w:rPr>
        <w:br w:type="textWrapping"/>
      </w:r>
      <w:r>
        <w:rPr>
          <w:rFonts w:ascii="宋体" w:hAnsi="宋体" w:cs="宋体"/>
          <w:szCs w:val="21"/>
        </w:rPr>
        <w:t>2.安装调试完成后我方将在安装现场由具有</w:t>
      </w:r>
      <w:r>
        <w:rPr>
          <w:rFonts w:hint="eastAsia" w:ascii="宋体" w:hAnsi="宋体" w:cs="宋体"/>
          <w:szCs w:val="21"/>
        </w:rPr>
        <w:t>三</w:t>
      </w:r>
      <w:r>
        <w:rPr>
          <w:rFonts w:ascii="宋体" w:hAnsi="宋体" w:cs="宋体"/>
          <w:szCs w:val="21"/>
        </w:rPr>
        <w:t>年以上的维修经验的技术员为需方进行培训，使其能独立完成与设备、系统有关的各项操作，以及使用时注意的事项和常见简单故障的处理，保证用户对仪器能进行熟练的操作和日常维护。</w:t>
      </w:r>
    </w:p>
    <w:p w14:paraId="3062E996">
      <w:pPr>
        <w:ind w:left="210" w:hanging="210" w:hangingChars="100"/>
      </w:pPr>
      <w:r>
        <w:rPr>
          <w:rFonts w:hint="eastAsia" w:ascii="宋体" w:hAnsi="宋体" w:cs="宋体"/>
          <w:szCs w:val="21"/>
          <w:lang w:val="en-US" w:eastAsia="zh-CN"/>
        </w:rPr>
        <w:t>三、</w:t>
      </w:r>
      <w:r>
        <w:rPr>
          <w:rFonts w:ascii="宋体" w:hAnsi="宋体" w:cs="宋体"/>
          <w:szCs w:val="21"/>
        </w:rPr>
        <w:t>维护保养服务</w:t>
      </w:r>
      <w:r>
        <w:rPr>
          <w:rFonts w:ascii="宋体" w:hAnsi="宋体" w:cs="宋体"/>
          <w:szCs w:val="21"/>
        </w:rPr>
        <w:br w:type="textWrapping"/>
      </w:r>
      <w:r>
        <w:rPr>
          <w:rFonts w:ascii="宋体" w:hAnsi="宋体" w:cs="宋体"/>
          <w:szCs w:val="21"/>
        </w:rPr>
        <w:t>我们保证为货物提供整机免</w:t>
      </w:r>
      <w:r>
        <w:rPr>
          <w:rFonts w:ascii="宋体" w:hAnsi="宋体" w:cs="宋体"/>
          <w:color w:val="000000" w:themeColor="text1"/>
          <w:szCs w:val="21"/>
          <w14:textFill>
            <w14:solidFill>
              <w14:schemeClr w14:val="tx1"/>
            </w14:solidFill>
          </w14:textFill>
        </w:rPr>
        <w:t>费</w:t>
      </w:r>
      <w:r>
        <w:rPr>
          <w:rFonts w:ascii="宋体" w:hAnsi="宋体" w:cs="宋体"/>
          <w:color w:val="000000" w:themeColor="text1"/>
          <w:szCs w:val="21"/>
          <w:highlight w:val="yellow"/>
          <w14:textFill>
            <w14:solidFill>
              <w14:schemeClr w14:val="tx1"/>
            </w14:solidFill>
          </w14:textFill>
        </w:rPr>
        <w:t>保修期</w:t>
      </w:r>
      <w:r>
        <w:rPr>
          <w:rFonts w:hint="eastAsia" w:ascii="宋体" w:hAnsi="宋体" w:cs="宋体"/>
          <w:color w:val="000000" w:themeColor="text1"/>
          <w:szCs w:val="21"/>
          <w:highlight w:val="red"/>
          <w:lang w:val="en-US" w:eastAsia="zh-CN"/>
          <w14:textFill>
            <w14:solidFill>
              <w14:schemeClr w14:val="tx1"/>
            </w14:solidFill>
          </w14:textFill>
        </w:rPr>
        <w:t xml:space="preserve">  </w:t>
      </w:r>
      <w:r>
        <w:rPr>
          <w:rFonts w:ascii="宋体" w:hAnsi="宋体" w:cs="宋体"/>
          <w:color w:val="000000" w:themeColor="text1"/>
          <w:szCs w:val="21"/>
          <w:highlight w:val="yellow"/>
          <w14:textFill>
            <w14:solidFill>
              <w14:schemeClr w14:val="tx1"/>
            </w14:solidFill>
          </w14:textFill>
        </w:rPr>
        <w:t>年</w:t>
      </w:r>
      <w:r>
        <w:rPr>
          <w:rFonts w:ascii="宋体" w:hAnsi="宋体" w:cs="宋体"/>
          <w:szCs w:val="21"/>
        </w:rPr>
        <w:t>，终身有偿维修。年度定期预防性维护保养次数应</w:t>
      </w:r>
      <w:r>
        <w:rPr>
          <w:rFonts w:ascii="宋体" w:hAnsi="宋体" w:cs="宋体"/>
          <w:szCs w:val="21"/>
          <w:highlight w:val="yellow"/>
        </w:rPr>
        <w:t>不少于</w:t>
      </w:r>
      <w:r>
        <w:rPr>
          <w:rFonts w:hint="eastAsia" w:ascii="宋体" w:hAnsi="宋体" w:cs="宋体"/>
          <w:szCs w:val="21"/>
          <w:highlight w:val="red"/>
          <w:lang w:val="en-US" w:eastAsia="zh-CN"/>
        </w:rPr>
        <w:t xml:space="preserve">  </w:t>
      </w:r>
      <w:r>
        <w:rPr>
          <w:rFonts w:ascii="宋体" w:hAnsi="宋体" w:cs="宋体"/>
          <w:szCs w:val="21"/>
          <w:highlight w:val="yellow"/>
        </w:rPr>
        <w:t>次</w:t>
      </w:r>
      <w:r>
        <w:rPr>
          <w:rFonts w:hint="eastAsia" w:ascii="宋体" w:hAnsi="宋体" w:cs="宋体"/>
          <w:szCs w:val="21"/>
          <w:highlight w:val="yellow"/>
          <w:lang w:eastAsia="zh-CN"/>
        </w:rPr>
        <w:t>。</w:t>
      </w:r>
      <w:r>
        <w:rPr>
          <w:rFonts w:ascii="宋体" w:hAnsi="宋体" w:cs="宋体"/>
          <w:szCs w:val="21"/>
        </w:rPr>
        <w:br w:type="textWrapping"/>
      </w:r>
      <w:r>
        <w:rPr>
          <w:rFonts w:ascii="宋体" w:hAnsi="宋体" w:cs="宋体"/>
          <w:szCs w:val="21"/>
        </w:rPr>
        <w:t>1．</w:t>
      </w:r>
      <w:r>
        <w:rPr>
          <w:rFonts w:hint="eastAsia" w:ascii="宋体" w:hAnsi="宋体" w:cs="宋体"/>
          <w:szCs w:val="21"/>
          <w:lang w:val="en-US" w:eastAsia="zh-CN"/>
        </w:rPr>
        <w:t>仪器</w:t>
      </w:r>
      <w:r>
        <w:rPr>
          <w:rFonts w:ascii="宋体" w:hAnsi="宋体" w:cs="宋体"/>
          <w:szCs w:val="21"/>
        </w:rPr>
        <w:t>的正常保养</w:t>
      </w:r>
      <w:r>
        <w:rPr>
          <w:rFonts w:hint="eastAsia" w:ascii="宋体" w:hAnsi="宋体" w:cs="宋体"/>
          <w:szCs w:val="21"/>
          <w:lang w:eastAsia="zh-CN"/>
        </w:rPr>
        <w:t>。</w:t>
      </w:r>
      <w:r>
        <w:rPr>
          <w:rFonts w:ascii="宋体" w:hAnsi="宋体" w:cs="宋体"/>
          <w:szCs w:val="21"/>
        </w:rPr>
        <w:br w:type="textWrapping"/>
      </w:r>
      <w:r>
        <w:rPr>
          <w:rFonts w:ascii="宋体" w:hAnsi="宋体" w:cs="宋体"/>
          <w:szCs w:val="21"/>
        </w:rPr>
        <w:t>2．</w:t>
      </w:r>
      <w:r>
        <w:rPr>
          <w:rFonts w:hint="eastAsia" w:ascii="宋体" w:hAnsi="宋体" w:cs="宋体"/>
          <w:szCs w:val="21"/>
          <w:lang w:val="en-US" w:eastAsia="zh-CN"/>
        </w:rPr>
        <w:t>仪器</w:t>
      </w:r>
      <w:r>
        <w:rPr>
          <w:rFonts w:ascii="宋体" w:hAnsi="宋体" w:cs="宋体"/>
          <w:szCs w:val="21"/>
        </w:rPr>
        <w:t>性能的检测。 </w:t>
      </w:r>
    </w:p>
    <w:p w14:paraId="0D53EFF2">
      <w:pPr>
        <w:ind w:left="210" w:hanging="210" w:hangingChars="100"/>
      </w:pPr>
      <w:r>
        <w:rPr>
          <w:rFonts w:hint="eastAsia"/>
          <w:lang w:val="en-US" w:eastAsia="zh-CN"/>
        </w:rPr>
        <w:t>四、</w:t>
      </w:r>
      <w:r>
        <w:t>免费保修期内外所提供服务</w:t>
      </w:r>
      <w:r>
        <w:br w:type="textWrapping"/>
      </w:r>
      <w:r>
        <w:t>1.保修期内免费更换零配件、免工时保修时间从验收签字起计算。在质保期内我方将严格遵守中华人民共和国的相关法律和法规对货物提供“三包”等售后服务</w:t>
      </w:r>
      <w:r>
        <w:rPr>
          <w:rFonts w:hint="eastAsia"/>
        </w:rPr>
        <w:t>。</w:t>
      </w:r>
    </w:p>
    <w:p w14:paraId="536B31BE">
      <w:pPr>
        <w:ind w:left="210" w:leftChars="100" w:firstLine="0" w:firstLineChars="0"/>
      </w:pPr>
      <w:r>
        <w:rPr>
          <w:highlight w:val="yellow"/>
        </w:rPr>
        <w:t>2.由我方提供售后服务，</w:t>
      </w:r>
      <w:r>
        <w:rPr>
          <w:rFonts w:hint="eastAsia"/>
          <w:highlight w:val="red"/>
          <w:lang w:val="en-US" w:eastAsia="zh-CN"/>
        </w:rPr>
        <w:t xml:space="preserve">  </w:t>
      </w:r>
      <w:r>
        <w:rPr>
          <w:highlight w:val="yellow"/>
        </w:rPr>
        <w:t>小时内响应，</w:t>
      </w:r>
      <w:r>
        <w:rPr>
          <w:rFonts w:hint="eastAsia"/>
          <w:highlight w:val="red"/>
          <w:lang w:val="en-US" w:eastAsia="zh-CN"/>
        </w:rPr>
        <w:t xml:space="preserve">  </w:t>
      </w:r>
      <w:r>
        <w:rPr>
          <w:highlight w:val="yellow"/>
        </w:rPr>
        <w:t>小时维修到位（不可抗力情况除外）。消耗品和零配件供应及时，特殊情况下可提供备用机</w:t>
      </w:r>
      <w:r>
        <w:t>。</w:t>
      </w:r>
      <w:r>
        <w:rPr>
          <w:rFonts w:hint="eastAsia"/>
        </w:rPr>
        <w:t xml:space="preserve">   </w:t>
      </w:r>
    </w:p>
    <w:p w14:paraId="44D01A4A">
      <w:pPr>
        <w:outlineLvl w:val="9"/>
      </w:pPr>
      <w:r>
        <w:rPr>
          <w:rFonts w:hint="eastAsia"/>
        </w:rPr>
        <w:t>五、信息化服务</w:t>
      </w:r>
    </w:p>
    <w:p w14:paraId="1263201E">
      <w:pPr>
        <w:ind w:left="210" w:leftChars="100" w:firstLine="210" w:firstLineChars="100"/>
      </w:pPr>
      <w:r>
        <w:rPr>
          <w:rFonts w:hint="eastAsia"/>
        </w:rPr>
        <w:t xml:space="preserve">免费提供软件升级服务,并免费开放设备接口，无偿派人配合与医院信息系统的连接工作(包括接口费与二次开发费)，直至该设备与医院信息系统可进行完整的数据交换；在设备保修期内，当医院信息系统变更并需要与该设备连接时，需无偿派人配合直至该设备与医院信息系统可进行完整的数据交换。  </w:t>
      </w:r>
    </w:p>
    <w:p w14:paraId="783B0E99">
      <w:pPr>
        <w:numPr>
          <w:ilvl w:val="0"/>
          <w:numId w:val="0"/>
        </w:numPr>
        <w:rPr>
          <w:rFonts w:hint="eastAsia" w:ascii="宋体" w:hAnsi="宋体" w:cs="宋体"/>
          <w:color w:val="000000" w:themeColor="text1"/>
          <w:szCs w:val="21"/>
          <w:lang w:eastAsia="zh-CN"/>
          <w14:textFill>
            <w14:solidFill>
              <w14:schemeClr w14:val="tx1"/>
            </w14:solidFill>
          </w14:textFill>
        </w:rPr>
      </w:pPr>
    </w:p>
    <w:p w14:paraId="0CE62F1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8FC25D">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A806D6A">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02FE106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A407C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5E40BD2">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（二十四）</w:t>
      </w:r>
      <w:bookmarkEnd w:id="86"/>
      <w:r>
        <w:rPr>
          <w:rFonts w:hint="eastAsia" w:cs="宋体" w:asciiTheme="majorEastAsia" w:hAnsiTheme="majorEastAsia" w:eastAsiaTheme="majorEastAsia"/>
          <w:kern w:val="2"/>
          <w:sz w:val="30"/>
          <w:szCs w:val="30"/>
          <w:lang w:val="en-US" w:eastAsia="zh-CN" w:bidi="ar-SA"/>
        </w:rPr>
        <w:t>技术保障措施</w:t>
      </w:r>
    </w:p>
    <w:p w14:paraId="32448156">
      <w:pPr>
        <w:keepNext w:val="0"/>
        <w:keepLines w:val="0"/>
        <w:widowControl/>
        <w:suppressLineNumbers w:val="0"/>
        <w:jc w:val="center"/>
        <w:textAlignment w:val="center"/>
        <w:outlineLvl w:val="9"/>
        <w:rPr>
          <w:rFonts w:hint="default"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05FF5B71">
      <w:pPr>
        <w:pStyle w:val="3"/>
        <w:numPr>
          <w:ilvl w:val="0"/>
          <w:numId w:val="0"/>
        </w:numPr>
        <w:spacing w:line="240" w:lineRule="auto"/>
        <w:ind w:left="0" w:leftChars="0" w:firstLine="0" w:firstLineChars="0"/>
        <w:jc w:val="center"/>
        <w:outlineLvl w:val="9"/>
        <w:rPr>
          <w:rFonts w:hint="eastAsia" w:asciiTheme="majorEastAsia" w:hAnsiTheme="majorEastAsia" w:eastAsiaTheme="majorEastAsia"/>
          <w:sz w:val="30"/>
          <w:szCs w:val="30"/>
        </w:rPr>
      </w:pPr>
    </w:p>
    <w:p w14:paraId="142BDA7C">
      <w:pPr>
        <w:widowControl w:val="0"/>
        <w:numPr>
          <w:ilvl w:val="0"/>
          <w:numId w:val="0"/>
        </w:numPr>
        <w:jc w:val="both"/>
        <w:rPr>
          <w:rFonts w:hint="eastAsia"/>
          <w:sz w:val="32"/>
          <w:szCs w:val="32"/>
          <w:lang w:val="en-US" w:eastAsia="zh-CN"/>
        </w:rPr>
      </w:pPr>
    </w:p>
    <w:p w14:paraId="386EC165">
      <w:pPr>
        <w:widowControl w:val="0"/>
        <w:numPr>
          <w:ilvl w:val="0"/>
          <w:numId w:val="0"/>
        </w:numPr>
        <w:jc w:val="both"/>
        <w:rPr>
          <w:rFonts w:hint="eastAsia"/>
          <w:sz w:val="32"/>
          <w:szCs w:val="32"/>
          <w:lang w:val="en-US" w:eastAsia="zh-CN"/>
        </w:rPr>
      </w:pPr>
    </w:p>
    <w:p w14:paraId="50E0B4B0">
      <w:pPr>
        <w:widowControl w:val="0"/>
        <w:numPr>
          <w:ilvl w:val="0"/>
          <w:numId w:val="0"/>
        </w:numPr>
        <w:jc w:val="both"/>
        <w:rPr>
          <w:rFonts w:hint="eastAsia"/>
          <w:sz w:val="32"/>
          <w:szCs w:val="32"/>
          <w:lang w:val="en-US" w:eastAsia="zh-CN"/>
        </w:rPr>
      </w:pPr>
    </w:p>
    <w:p w14:paraId="07EB7E8B">
      <w:pPr>
        <w:widowControl w:val="0"/>
        <w:numPr>
          <w:ilvl w:val="0"/>
          <w:numId w:val="0"/>
        </w:numPr>
        <w:jc w:val="both"/>
        <w:rPr>
          <w:rFonts w:hint="eastAsia"/>
          <w:sz w:val="32"/>
          <w:szCs w:val="32"/>
          <w:lang w:val="en-US" w:eastAsia="zh-CN"/>
        </w:rPr>
      </w:pPr>
    </w:p>
    <w:p w14:paraId="379CB4BF">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bookmarkStart w:id="89" w:name="_Toc435514882"/>
      <w:bookmarkStart w:id="90" w:name="_Toc435515322"/>
    </w:p>
    <w:p w14:paraId="44FBB5B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9EE82B4">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7ED4A22">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40D7815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7E0C35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0B94A02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D17910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564217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CC54C3A">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FE501F5">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68A0206">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88D070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1CB9269">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4048E0C">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1F0C58A0">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95C51CB">
      <w:pPr>
        <w:pStyle w:val="15"/>
        <w:numPr>
          <w:ilvl w:val="0"/>
          <w:numId w:val="0"/>
        </w:numPr>
        <w:ind w:left="0" w:leftChars="0" w:firstLine="0" w:firstLineChars="0"/>
        <w:jc w:val="both"/>
        <w:rPr>
          <w:rFonts w:hint="eastAsia" w:asciiTheme="majorEastAsia" w:hAnsiTheme="majorEastAsia" w:eastAsiaTheme="minorEastAsia" w:cstheme="minorBidi"/>
          <w:kern w:val="2"/>
          <w:sz w:val="32"/>
          <w:szCs w:val="32"/>
          <w:lang w:val="en-US" w:eastAsia="zh-CN" w:bidi="ar-SA"/>
        </w:rPr>
      </w:pPr>
    </w:p>
    <w:p w14:paraId="451040B1">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（二十五）有效业绩</w:t>
      </w:r>
    </w:p>
    <w:p w14:paraId="4A0B5855">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3D3DFE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7C76D66">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241D1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72C0D1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E407A8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928BA8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4013F4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6488E1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F081C0A">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167D38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08EC39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AD6A4C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D538EA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98773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33CECA4">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306C94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FE3A0F8">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40FEC72">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7FDCF3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F9ADBB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E12505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D9A2BD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34E2CF8">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（二十六）履约评价</w:t>
      </w:r>
    </w:p>
    <w:p w14:paraId="7FB48CE9">
      <w:pPr>
        <w:pStyle w:val="15"/>
        <w:widowControl w:val="0"/>
        <w:numPr>
          <w:ilvl w:val="0"/>
          <w:numId w:val="0"/>
        </w:numPr>
        <w:spacing w:line="560" w:lineRule="exact"/>
        <w:jc w:val="center"/>
        <w:rPr>
          <w:rFonts w:hint="eastAsia" w:asciiTheme="majorEastAsia" w:hAnsiTheme="majorEastAsia"/>
          <w:sz w:val="32"/>
          <w:szCs w:val="32"/>
        </w:rPr>
      </w:pPr>
    </w:p>
    <w:p w14:paraId="1E64563B">
      <w:pPr>
        <w:pStyle w:val="15"/>
        <w:widowControl w:val="0"/>
        <w:numPr>
          <w:ilvl w:val="0"/>
          <w:numId w:val="0"/>
        </w:numPr>
        <w:spacing w:line="560" w:lineRule="exact"/>
        <w:jc w:val="center"/>
        <w:rPr>
          <w:rFonts w:hint="eastAsia" w:asciiTheme="majorEastAsia" w:hAnsiTheme="majorEastAsia"/>
          <w:sz w:val="32"/>
          <w:szCs w:val="32"/>
        </w:rPr>
      </w:pPr>
    </w:p>
    <w:p w14:paraId="1E9153AC">
      <w:pPr>
        <w:pStyle w:val="15"/>
        <w:widowControl w:val="0"/>
        <w:numPr>
          <w:ilvl w:val="0"/>
          <w:numId w:val="0"/>
        </w:numPr>
        <w:spacing w:line="560" w:lineRule="exact"/>
        <w:jc w:val="center"/>
        <w:rPr>
          <w:rFonts w:hint="eastAsia" w:asciiTheme="majorEastAsia" w:hAnsiTheme="majorEastAsia"/>
          <w:sz w:val="32"/>
          <w:szCs w:val="32"/>
        </w:rPr>
      </w:pPr>
    </w:p>
    <w:p w14:paraId="5F101BCF">
      <w:pPr>
        <w:pStyle w:val="15"/>
        <w:widowControl w:val="0"/>
        <w:numPr>
          <w:ilvl w:val="0"/>
          <w:numId w:val="0"/>
        </w:numPr>
        <w:spacing w:line="560" w:lineRule="exact"/>
        <w:jc w:val="center"/>
        <w:rPr>
          <w:rFonts w:hint="eastAsia" w:asciiTheme="majorEastAsia" w:hAnsiTheme="majorEastAsia"/>
          <w:sz w:val="32"/>
          <w:szCs w:val="32"/>
        </w:rPr>
      </w:pPr>
    </w:p>
    <w:p w14:paraId="1F62F63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56082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4735608">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8ED6084">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2381D1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FEEA16C">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C4C8B4E">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14721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EA864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5E3BA20">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DE647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DE47B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64A1AEF9">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BEBDA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64AB9C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F802E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1974B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175A2CD7">
      <w:pPr>
        <w:snapToGrid w:val="0"/>
        <w:ind w:left="0" w:leftChars="0" w:firstLine="0" w:firstLineChars="0"/>
        <w:jc w:val="center"/>
        <w:rPr>
          <w:rFonts w:hint="eastAsia" w:asciiTheme="majorEastAsia" w:hAnsiTheme="majorEastAsia" w:eastAsiaTheme="majorEastAsia"/>
          <w:sz w:val="30"/>
          <w:szCs w:val="30"/>
          <w:lang w:eastAsia="zh-CN"/>
        </w:rPr>
      </w:pPr>
    </w:p>
    <w:p w14:paraId="46420AF4">
      <w:pPr>
        <w:snapToGrid w:val="0"/>
        <w:ind w:left="0" w:leftChars="0" w:firstLine="0" w:firstLineChars="0"/>
        <w:jc w:val="center"/>
        <w:outlineLvl w:val="0"/>
        <w:rPr>
          <w:rFonts w:hint="eastAsia"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二十七</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质保期</w:t>
      </w:r>
    </w:p>
    <w:p w14:paraId="1535852E">
      <w:pPr>
        <w:snapToGrid w:val="0"/>
        <w:ind w:left="0" w:leftChars="0" w:firstLine="0" w:firstLineChars="0"/>
        <w:jc w:val="center"/>
        <w:outlineLvl w:val="9"/>
        <w:rPr>
          <w:rFonts w:hint="eastAsia" w:asciiTheme="majorEastAsia" w:hAnsiTheme="majorEastAsia" w:eastAsiaTheme="minorEastAsia" w:cstheme="minorBidi"/>
          <w:kern w:val="2"/>
          <w:sz w:val="30"/>
          <w:szCs w:val="30"/>
          <w:lang w:val="en-US" w:eastAsia="zh-CN" w:bidi="ar-SA"/>
        </w:rPr>
      </w:pPr>
      <w:r>
        <w:rPr>
          <w:rFonts w:hint="eastAsia" w:asciiTheme="majorEastAsia" w:hAnsiTheme="majorEastAsia" w:eastAsiaTheme="minorEastAsia" w:cstheme="minorBidi"/>
          <w:kern w:val="2"/>
          <w:sz w:val="30"/>
          <w:szCs w:val="30"/>
          <w:lang w:val="en-US" w:eastAsia="zh-CN" w:bidi="ar-SA"/>
        </w:rPr>
        <w:t>（根据投标人情况提供承诺，格式自拟）</w:t>
      </w:r>
    </w:p>
    <w:p w14:paraId="1785BFA1">
      <w:pPr>
        <w:jc w:val="center"/>
        <w:rPr>
          <w:rFonts w:hint="eastAsia" w:asciiTheme="majorEastAsia" w:hAnsiTheme="majorEastAsia" w:eastAsiaTheme="majorEastAsia"/>
          <w:sz w:val="30"/>
          <w:szCs w:val="30"/>
          <w:lang w:eastAsia="zh-CN"/>
        </w:rPr>
      </w:pPr>
    </w:p>
    <w:p w14:paraId="076E8443">
      <w:pPr>
        <w:pStyle w:val="5"/>
        <w:rPr>
          <w:rFonts w:hint="eastAsia" w:asciiTheme="majorEastAsia" w:hAnsiTheme="majorEastAsia" w:eastAsiaTheme="majorEastAsia"/>
          <w:sz w:val="30"/>
          <w:szCs w:val="30"/>
          <w:lang w:eastAsia="zh-CN"/>
        </w:rPr>
      </w:pPr>
    </w:p>
    <w:p w14:paraId="6F8BD450">
      <w:pPr>
        <w:rPr>
          <w:rFonts w:hint="eastAsia" w:asciiTheme="majorEastAsia" w:hAnsiTheme="majorEastAsia" w:eastAsiaTheme="majorEastAsia"/>
          <w:sz w:val="30"/>
          <w:szCs w:val="30"/>
          <w:lang w:eastAsia="zh-CN"/>
        </w:rPr>
      </w:pPr>
    </w:p>
    <w:p w14:paraId="51439EBE">
      <w:pPr>
        <w:rPr>
          <w:rFonts w:hint="eastAsia" w:asciiTheme="majorEastAsia" w:hAnsiTheme="majorEastAsia" w:eastAsiaTheme="majorEastAsia"/>
          <w:sz w:val="30"/>
          <w:szCs w:val="30"/>
          <w:lang w:eastAsia="zh-CN"/>
        </w:rPr>
      </w:pPr>
    </w:p>
    <w:p w14:paraId="70E44D4C">
      <w:pPr>
        <w:rPr>
          <w:rFonts w:hint="eastAsia" w:asciiTheme="majorEastAsia" w:hAnsiTheme="majorEastAsia" w:eastAsiaTheme="majorEastAsia"/>
          <w:sz w:val="30"/>
          <w:szCs w:val="30"/>
          <w:lang w:eastAsia="zh-CN"/>
        </w:rPr>
      </w:pPr>
    </w:p>
    <w:p w14:paraId="77D7B746">
      <w:pPr>
        <w:rPr>
          <w:rFonts w:hint="eastAsia" w:asciiTheme="majorEastAsia" w:hAnsiTheme="majorEastAsia" w:eastAsiaTheme="majorEastAsia"/>
          <w:sz w:val="30"/>
          <w:szCs w:val="30"/>
          <w:lang w:eastAsia="zh-CN"/>
        </w:rPr>
      </w:pPr>
    </w:p>
    <w:p w14:paraId="5D61D772">
      <w:pPr>
        <w:rPr>
          <w:rFonts w:hint="eastAsia" w:asciiTheme="majorEastAsia" w:hAnsiTheme="majorEastAsia" w:eastAsiaTheme="majorEastAsia"/>
          <w:sz w:val="30"/>
          <w:szCs w:val="30"/>
          <w:lang w:eastAsia="zh-CN"/>
        </w:rPr>
      </w:pPr>
    </w:p>
    <w:p w14:paraId="4D3D118A">
      <w:pPr>
        <w:rPr>
          <w:rFonts w:hint="eastAsia" w:asciiTheme="majorEastAsia" w:hAnsiTheme="majorEastAsia" w:eastAsiaTheme="majorEastAsia"/>
          <w:sz w:val="30"/>
          <w:szCs w:val="30"/>
          <w:lang w:eastAsia="zh-CN"/>
        </w:rPr>
      </w:pPr>
    </w:p>
    <w:p w14:paraId="5302882E">
      <w:pPr>
        <w:rPr>
          <w:rFonts w:hint="eastAsia" w:asciiTheme="majorEastAsia" w:hAnsiTheme="majorEastAsia" w:eastAsiaTheme="majorEastAsia"/>
          <w:sz w:val="30"/>
          <w:szCs w:val="30"/>
          <w:lang w:eastAsia="zh-CN"/>
        </w:rPr>
      </w:pPr>
    </w:p>
    <w:p w14:paraId="295B4F01">
      <w:pPr>
        <w:rPr>
          <w:rFonts w:hint="eastAsia" w:asciiTheme="majorEastAsia" w:hAnsiTheme="majorEastAsia" w:eastAsiaTheme="majorEastAsia"/>
          <w:sz w:val="30"/>
          <w:szCs w:val="30"/>
          <w:lang w:eastAsia="zh-CN"/>
        </w:rPr>
      </w:pPr>
    </w:p>
    <w:p w14:paraId="1A606DEA">
      <w:pPr>
        <w:rPr>
          <w:rFonts w:hint="eastAsia" w:asciiTheme="majorEastAsia" w:hAnsiTheme="majorEastAsia" w:eastAsiaTheme="majorEastAsia"/>
          <w:sz w:val="30"/>
          <w:szCs w:val="30"/>
          <w:lang w:eastAsia="zh-CN"/>
        </w:rPr>
      </w:pPr>
    </w:p>
    <w:p w14:paraId="726B63A6">
      <w:pPr>
        <w:rPr>
          <w:rFonts w:hint="eastAsia" w:asciiTheme="majorEastAsia" w:hAnsiTheme="majorEastAsia" w:eastAsiaTheme="majorEastAsia"/>
          <w:sz w:val="30"/>
          <w:szCs w:val="30"/>
          <w:lang w:eastAsia="zh-CN"/>
        </w:rPr>
      </w:pPr>
    </w:p>
    <w:p w14:paraId="5D363DC9">
      <w:pPr>
        <w:rPr>
          <w:rFonts w:hint="eastAsia" w:asciiTheme="majorEastAsia" w:hAnsiTheme="majorEastAsia" w:eastAsiaTheme="majorEastAsia"/>
          <w:sz w:val="30"/>
          <w:szCs w:val="30"/>
          <w:lang w:eastAsia="zh-CN"/>
        </w:rPr>
      </w:pPr>
    </w:p>
    <w:p w14:paraId="55ED6738">
      <w:pPr>
        <w:rPr>
          <w:rFonts w:hint="eastAsia" w:asciiTheme="majorEastAsia" w:hAnsiTheme="majorEastAsia" w:eastAsiaTheme="majorEastAsia"/>
          <w:sz w:val="30"/>
          <w:szCs w:val="30"/>
          <w:lang w:eastAsia="zh-CN"/>
        </w:rPr>
      </w:pPr>
    </w:p>
    <w:p w14:paraId="44188481">
      <w:pPr>
        <w:rPr>
          <w:rFonts w:hint="eastAsia" w:asciiTheme="majorEastAsia" w:hAnsiTheme="majorEastAsia" w:eastAsiaTheme="majorEastAsia"/>
          <w:sz w:val="30"/>
          <w:szCs w:val="30"/>
          <w:lang w:eastAsia="zh-CN"/>
        </w:rPr>
      </w:pPr>
    </w:p>
    <w:p w14:paraId="0E08CF18">
      <w:pPr>
        <w:rPr>
          <w:rFonts w:hint="eastAsia" w:asciiTheme="majorEastAsia" w:hAnsiTheme="majorEastAsia" w:eastAsiaTheme="majorEastAsia"/>
          <w:sz w:val="30"/>
          <w:szCs w:val="30"/>
          <w:lang w:eastAsia="zh-CN"/>
        </w:rPr>
      </w:pPr>
    </w:p>
    <w:p w14:paraId="54F7E3A7">
      <w:pPr>
        <w:rPr>
          <w:rFonts w:hint="eastAsia" w:asciiTheme="majorEastAsia" w:hAnsiTheme="majorEastAsia" w:eastAsiaTheme="majorEastAsia"/>
          <w:sz w:val="30"/>
          <w:szCs w:val="30"/>
          <w:lang w:eastAsia="zh-CN"/>
        </w:rPr>
      </w:pPr>
    </w:p>
    <w:p w14:paraId="4FD042A8">
      <w:pPr>
        <w:rPr>
          <w:rFonts w:hint="eastAsia" w:asciiTheme="majorEastAsia" w:hAnsiTheme="majorEastAsia" w:eastAsiaTheme="majorEastAsia"/>
          <w:sz w:val="30"/>
          <w:szCs w:val="30"/>
          <w:lang w:eastAsia="zh-CN"/>
        </w:rPr>
      </w:pPr>
    </w:p>
    <w:p w14:paraId="4B38098E">
      <w:pPr>
        <w:rPr>
          <w:rFonts w:hint="eastAsia" w:asciiTheme="majorEastAsia" w:hAnsiTheme="majorEastAsia" w:eastAsiaTheme="majorEastAsia"/>
          <w:sz w:val="30"/>
          <w:szCs w:val="30"/>
          <w:lang w:eastAsia="zh-CN"/>
        </w:rPr>
      </w:pPr>
    </w:p>
    <w:p w14:paraId="29E48FF0">
      <w:pPr>
        <w:rPr>
          <w:rFonts w:hint="eastAsia" w:asciiTheme="majorEastAsia" w:hAnsiTheme="majorEastAsia" w:eastAsiaTheme="majorEastAsia"/>
          <w:sz w:val="30"/>
          <w:szCs w:val="30"/>
          <w:lang w:eastAsia="zh-CN"/>
        </w:rPr>
      </w:pPr>
    </w:p>
    <w:p w14:paraId="6E958AAC">
      <w:pPr>
        <w:rPr>
          <w:rFonts w:hint="eastAsia" w:asciiTheme="majorEastAsia" w:hAnsiTheme="majorEastAsia" w:eastAsiaTheme="majorEastAsia"/>
          <w:sz w:val="30"/>
          <w:szCs w:val="30"/>
          <w:lang w:eastAsia="zh-CN"/>
        </w:rPr>
      </w:pPr>
    </w:p>
    <w:p w14:paraId="3323938C">
      <w:pPr>
        <w:pStyle w:val="15"/>
        <w:numPr>
          <w:ilvl w:val="0"/>
          <w:numId w:val="0"/>
        </w:numPr>
        <w:ind w:left="0" w:leftChars="0" w:firstLine="0" w:firstLineChars="0"/>
        <w:jc w:val="center"/>
        <w:outlineLvl w:val="0"/>
        <w:rPr>
          <w:rFonts w:hint="eastAsia" w:asciiTheme="majorEastAsia" w:hAnsiTheme="majorEastAsia"/>
          <w:sz w:val="30"/>
          <w:szCs w:val="30"/>
        </w:rPr>
      </w:pP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cstheme="minorBidi"/>
          <w:kern w:val="2"/>
          <w:sz w:val="30"/>
          <w:szCs w:val="30"/>
          <w:lang w:val="en-US" w:eastAsia="zh-CN" w:bidi="ar-SA"/>
        </w:rPr>
        <w:t>二十八</w:t>
      </w: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sz w:val="30"/>
          <w:szCs w:val="30"/>
        </w:rPr>
        <w:t>所投设备参数及产品注册时的检测报告</w:t>
      </w:r>
      <w:r>
        <w:rPr>
          <w:rFonts w:hint="eastAsia" w:asciiTheme="majorEastAsia" w:hAnsiTheme="majorEastAsia"/>
          <w:sz w:val="30"/>
          <w:szCs w:val="30"/>
          <w:lang w:val="en-US" w:eastAsia="zh-CN"/>
        </w:rPr>
        <w:t xml:space="preserve">            </w:t>
      </w:r>
    </w:p>
    <w:p w14:paraId="40472A44">
      <w:pPr>
        <w:rPr>
          <w:rFonts w:hint="eastAsia" w:asciiTheme="majorEastAsia" w:hAnsiTheme="majorEastAsia" w:eastAsiaTheme="majorEastAsia"/>
          <w:sz w:val="30"/>
          <w:szCs w:val="30"/>
          <w:lang w:eastAsia="zh-CN"/>
        </w:rPr>
      </w:pPr>
    </w:p>
    <w:p w14:paraId="7588BA56">
      <w:pPr>
        <w:pStyle w:val="5"/>
        <w:rPr>
          <w:rFonts w:hint="eastAsia" w:asciiTheme="majorEastAsia" w:hAnsiTheme="majorEastAsia" w:eastAsiaTheme="majorEastAsia"/>
          <w:sz w:val="30"/>
          <w:szCs w:val="30"/>
          <w:lang w:eastAsia="zh-CN"/>
        </w:rPr>
      </w:pPr>
    </w:p>
    <w:p w14:paraId="17CABD36">
      <w:pPr>
        <w:rPr>
          <w:rFonts w:hint="eastAsia" w:asciiTheme="majorEastAsia" w:hAnsiTheme="majorEastAsia" w:eastAsiaTheme="majorEastAsia"/>
          <w:sz w:val="30"/>
          <w:szCs w:val="30"/>
          <w:lang w:eastAsia="zh-CN"/>
        </w:rPr>
      </w:pPr>
    </w:p>
    <w:p w14:paraId="4EFA4CC0">
      <w:pPr>
        <w:pStyle w:val="5"/>
        <w:rPr>
          <w:rFonts w:hint="eastAsia" w:asciiTheme="majorEastAsia" w:hAnsiTheme="majorEastAsia" w:eastAsiaTheme="majorEastAsia"/>
          <w:sz w:val="30"/>
          <w:szCs w:val="30"/>
          <w:lang w:eastAsia="zh-CN"/>
        </w:rPr>
      </w:pPr>
    </w:p>
    <w:p w14:paraId="4BD30BB8">
      <w:pPr>
        <w:rPr>
          <w:rFonts w:hint="eastAsia" w:asciiTheme="majorEastAsia" w:hAnsiTheme="majorEastAsia" w:eastAsiaTheme="majorEastAsia"/>
          <w:sz w:val="30"/>
          <w:szCs w:val="30"/>
          <w:lang w:eastAsia="zh-CN"/>
        </w:rPr>
      </w:pPr>
    </w:p>
    <w:p w14:paraId="67DAEE38">
      <w:pPr>
        <w:pStyle w:val="5"/>
        <w:rPr>
          <w:rFonts w:hint="eastAsia" w:asciiTheme="majorEastAsia" w:hAnsiTheme="majorEastAsia" w:eastAsiaTheme="majorEastAsia"/>
          <w:sz w:val="30"/>
          <w:szCs w:val="30"/>
          <w:lang w:eastAsia="zh-CN"/>
        </w:rPr>
      </w:pPr>
    </w:p>
    <w:p w14:paraId="0C2C9215">
      <w:pPr>
        <w:rPr>
          <w:rFonts w:hint="eastAsia" w:asciiTheme="majorEastAsia" w:hAnsiTheme="majorEastAsia" w:eastAsiaTheme="majorEastAsia"/>
          <w:sz w:val="30"/>
          <w:szCs w:val="30"/>
          <w:lang w:eastAsia="zh-CN"/>
        </w:rPr>
      </w:pPr>
    </w:p>
    <w:p w14:paraId="23AEC420">
      <w:pPr>
        <w:pStyle w:val="5"/>
        <w:rPr>
          <w:rFonts w:hint="eastAsia" w:asciiTheme="majorEastAsia" w:hAnsiTheme="majorEastAsia" w:eastAsiaTheme="majorEastAsia"/>
          <w:sz w:val="30"/>
          <w:szCs w:val="30"/>
          <w:lang w:eastAsia="zh-CN"/>
        </w:rPr>
      </w:pPr>
    </w:p>
    <w:p w14:paraId="1DA4F157">
      <w:pPr>
        <w:rPr>
          <w:rFonts w:hint="eastAsia" w:asciiTheme="majorEastAsia" w:hAnsiTheme="majorEastAsia" w:eastAsiaTheme="majorEastAsia"/>
          <w:sz w:val="30"/>
          <w:szCs w:val="30"/>
          <w:lang w:eastAsia="zh-CN"/>
        </w:rPr>
      </w:pPr>
    </w:p>
    <w:p w14:paraId="2612965B">
      <w:pPr>
        <w:pStyle w:val="5"/>
        <w:rPr>
          <w:rFonts w:hint="eastAsia" w:asciiTheme="majorEastAsia" w:hAnsiTheme="majorEastAsia" w:eastAsiaTheme="majorEastAsia"/>
          <w:sz w:val="30"/>
          <w:szCs w:val="30"/>
          <w:lang w:eastAsia="zh-CN"/>
        </w:rPr>
      </w:pPr>
    </w:p>
    <w:p w14:paraId="42B2449E">
      <w:pPr>
        <w:rPr>
          <w:rFonts w:hint="eastAsia" w:asciiTheme="majorEastAsia" w:hAnsiTheme="majorEastAsia" w:eastAsiaTheme="majorEastAsia"/>
          <w:sz w:val="30"/>
          <w:szCs w:val="30"/>
          <w:lang w:eastAsia="zh-CN"/>
        </w:rPr>
      </w:pPr>
    </w:p>
    <w:p w14:paraId="2AE8F28C">
      <w:pPr>
        <w:pStyle w:val="5"/>
        <w:rPr>
          <w:rFonts w:hint="eastAsia" w:asciiTheme="majorEastAsia" w:hAnsiTheme="majorEastAsia" w:eastAsiaTheme="majorEastAsia"/>
          <w:sz w:val="30"/>
          <w:szCs w:val="30"/>
          <w:lang w:eastAsia="zh-CN"/>
        </w:rPr>
      </w:pPr>
    </w:p>
    <w:p w14:paraId="1C6F6F6C">
      <w:pPr>
        <w:rPr>
          <w:rFonts w:hint="eastAsia" w:asciiTheme="majorEastAsia" w:hAnsiTheme="majorEastAsia" w:eastAsiaTheme="majorEastAsia"/>
          <w:sz w:val="30"/>
          <w:szCs w:val="30"/>
          <w:lang w:eastAsia="zh-CN"/>
        </w:rPr>
      </w:pPr>
    </w:p>
    <w:p w14:paraId="461EB672">
      <w:pPr>
        <w:pStyle w:val="5"/>
        <w:rPr>
          <w:rFonts w:hint="eastAsia" w:asciiTheme="majorEastAsia" w:hAnsiTheme="majorEastAsia" w:eastAsiaTheme="majorEastAsia"/>
          <w:sz w:val="30"/>
          <w:szCs w:val="30"/>
          <w:lang w:eastAsia="zh-CN"/>
        </w:rPr>
      </w:pPr>
    </w:p>
    <w:p w14:paraId="303E52EE">
      <w:pPr>
        <w:rPr>
          <w:rFonts w:hint="eastAsia" w:asciiTheme="majorEastAsia" w:hAnsiTheme="majorEastAsia" w:eastAsiaTheme="majorEastAsia"/>
          <w:sz w:val="30"/>
          <w:szCs w:val="30"/>
          <w:lang w:eastAsia="zh-CN"/>
        </w:rPr>
      </w:pPr>
    </w:p>
    <w:p w14:paraId="46B53A22">
      <w:pPr>
        <w:pStyle w:val="5"/>
        <w:rPr>
          <w:rFonts w:hint="eastAsia" w:asciiTheme="majorEastAsia" w:hAnsiTheme="majorEastAsia" w:eastAsiaTheme="majorEastAsia"/>
          <w:sz w:val="30"/>
          <w:szCs w:val="30"/>
          <w:lang w:eastAsia="zh-CN"/>
        </w:rPr>
      </w:pPr>
    </w:p>
    <w:p w14:paraId="6412A59E">
      <w:pPr>
        <w:pStyle w:val="5"/>
        <w:rPr>
          <w:rFonts w:hint="eastAsia"/>
          <w:lang w:eastAsia="zh-CN"/>
        </w:rPr>
      </w:pPr>
    </w:p>
    <w:p w14:paraId="706D9213">
      <w:pPr>
        <w:rPr>
          <w:rFonts w:hint="eastAsia"/>
          <w:lang w:eastAsia="zh-CN"/>
        </w:rPr>
      </w:pPr>
    </w:p>
    <w:p w14:paraId="565BAA7E">
      <w:pPr>
        <w:rPr>
          <w:rFonts w:hint="eastAsia"/>
          <w:lang w:eastAsia="zh-CN"/>
        </w:rPr>
      </w:pPr>
    </w:p>
    <w:p w14:paraId="0D900A92">
      <w:pPr>
        <w:rPr>
          <w:rFonts w:hint="eastAsia"/>
          <w:lang w:eastAsia="zh-CN"/>
        </w:rPr>
      </w:pPr>
    </w:p>
    <w:p w14:paraId="22E4BFDB">
      <w:pPr>
        <w:rPr>
          <w:rFonts w:hint="eastAsia"/>
          <w:lang w:eastAsia="zh-CN"/>
        </w:rPr>
      </w:pPr>
    </w:p>
    <w:p w14:paraId="7D5BD77E">
      <w:pPr>
        <w:snapToGrid w:val="0"/>
        <w:ind w:left="0" w:leftChars="0" w:firstLine="0" w:firstLineChars="0"/>
        <w:jc w:val="center"/>
        <w:outlineLvl w:val="9"/>
        <w:rPr>
          <w:rFonts w:hint="eastAsia" w:asciiTheme="majorEastAsia" w:hAnsiTheme="majorEastAsia" w:eastAsiaTheme="majorEastAsia"/>
          <w:sz w:val="30"/>
          <w:szCs w:val="30"/>
          <w:lang w:eastAsia="zh-CN"/>
        </w:rPr>
      </w:pPr>
    </w:p>
    <w:p w14:paraId="5F0A14F1">
      <w:pPr>
        <w:snapToGrid w:val="0"/>
        <w:ind w:left="0" w:leftChars="0" w:firstLine="0" w:firstLineChars="0"/>
        <w:jc w:val="center"/>
        <w:outlineLvl w:val="0"/>
        <w:rPr>
          <w:rFonts w:hint="eastAsia"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二十九</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征集文件要求的其他内容及投标人认为需要加以说明其他内容</w:t>
      </w:r>
    </w:p>
    <w:p w14:paraId="37883878">
      <w:pPr>
        <w:rPr>
          <w:rFonts w:hint="eastAsia"/>
          <w:lang w:eastAsia="zh-CN"/>
        </w:rPr>
      </w:pPr>
    </w:p>
    <w:p w14:paraId="7D6A1082">
      <w:pPr>
        <w:rPr>
          <w:rFonts w:hint="eastAsia"/>
          <w:lang w:eastAsia="zh-CN"/>
        </w:rPr>
      </w:pPr>
    </w:p>
    <w:p w14:paraId="2167A369">
      <w:pPr>
        <w:rPr>
          <w:rFonts w:hint="eastAsia"/>
          <w:lang w:eastAsia="zh-CN"/>
        </w:rPr>
      </w:pPr>
    </w:p>
    <w:p w14:paraId="535ED33C">
      <w:pPr>
        <w:rPr>
          <w:rFonts w:hint="eastAsia"/>
          <w:lang w:eastAsia="zh-CN"/>
        </w:rPr>
      </w:pPr>
    </w:p>
    <w:p w14:paraId="74C826FA">
      <w:pPr>
        <w:rPr>
          <w:rFonts w:hint="eastAsia"/>
          <w:lang w:eastAsia="zh-CN"/>
        </w:rPr>
      </w:pPr>
    </w:p>
    <w:p w14:paraId="0A3F66F0">
      <w:pPr>
        <w:rPr>
          <w:rFonts w:hint="eastAsia"/>
          <w:lang w:eastAsia="zh-CN"/>
        </w:rPr>
      </w:pPr>
    </w:p>
    <w:p w14:paraId="041DC546">
      <w:pPr>
        <w:rPr>
          <w:rFonts w:hint="eastAsia"/>
          <w:lang w:eastAsia="zh-CN"/>
        </w:rPr>
      </w:pPr>
    </w:p>
    <w:p w14:paraId="199634B8">
      <w:pPr>
        <w:rPr>
          <w:rFonts w:hint="eastAsia"/>
          <w:lang w:eastAsia="zh-CN"/>
        </w:rPr>
      </w:pPr>
    </w:p>
    <w:p w14:paraId="70B5E125">
      <w:pPr>
        <w:rPr>
          <w:rFonts w:hint="eastAsia"/>
          <w:lang w:eastAsia="zh-CN"/>
        </w:rPr>
      </w:pPr>
    </w:p>
    <w:p w14:paraId="5F19ED12">
      <w:pPr>
        <w:rPr>
          <w:rFonts w:hint="eastAsia"/>
          <w:lang w:eastAsia="zh-CN"/>
        </w:rPr>
      </w:pPr>
    </w:p>
    <w:p w14:paraId="738613B9">
      <w:pPr>
        <w:rPr>
          <w:rFonts w:hint="eastAsia"/>
          <w:lang w:eastAsia="zh-CN"/>
        </w:rPr>
      </w:pPr>
    </w:p>
    <w:p w14:paraId="69E28615">
      <w:pPr>
        <w:rPr>
          <w:rFonts w:hint="eastAsia"/>
          <w:lang w:eastAsia="zh-CN"/>
        </w:rPr>
      </w:pPr>
    </w:p>
    <w:p w14:paraId="61CA393F">
      <w:pPr>
        <w:rPr>
          <w:rFonts w:hint="eastAsia"/>
          <w:lang w:eastAsia="zh-CN"/>
        </w:rPr>
      </w:pPr>
    </w:p>
    <w:p w14:paraId="30D31DDD">
      <w:pPr>
        <w:rPr>
          <w:rFonts w:hint="eastAsia"/>
          <w:lang w:eastAsia="zh-CN"/>
        </w:rPr>
      </w:pPr>
    </w:p>
    <w:p w14:paraId="14BAD376">
      <w:pPr>
        <w:rPr>
          <w:rFonts w:hint="eastAsia"/>
          <w:lang w:eastAsia="zh-CN"/>
        </w:rPr>
      </w:pPr>
    </w:p>
    <w:p w14:paraId="4CEE6252">
      <w:pPr>
        <w:rPr>
          <w:rFonts w:hint="eastAsia"/>
          <w:lang w:eastAsia="zh-CN"/>
        </w:rPr>
      </w:pPr>
    </w:p>
    <w:p w14:paraId="01884D50">
      <w:pPr>
        <w:rPr>
          <w:rFonts w:hint="eastAsia"/>
          <w:lang w:eastAsia="zh-CN"/>
        </w:rPr>
      </w:pPr>
    </w:p>
    <w:p w14:paraId="53649E07">
      <w:pPr>
        <w:rPr>
          <w:rFonts w:hint="eastAsia"/>
          <w:lang w:eastAsia="zh-CN"/>
        </w:rPr>
      </w:pPr>
    </w:p>
    <w:p w14:paraId="5A5C0A7E">
      <w:pPr>
        <w:rPr>
          <w:rFonts w:hint="eastAsia"/>
          <w:lang w:eastAsia="zh-CN"/>
        </w:rPr>
      </w:pPr>
    </w:p>
    <w:p w14:paraId="06D8142C">
      <w:pPr>
        <w:rPr>
          <w:rFonts w:hint="eastAsia"/>
          <w:lang w:eastAsia="zh-CN"/>
        </w:rPr>
      </w:pPr>
    </w:p>
    <w:p w14:paraId="0109BEA2">
      <w:pPr>
        <w:rPr>
          <w:rFonts w:hint="eastAsia"/>
          <w:lang w:eastAsia="zh-CN"/>
        </w:rPr>
      </w:pPr>
    </w:p>
    <w:p w14:paraId="104047FB">
      <w:pPr>
        <w:rPr>
          <w:rFonts w:hint="eastAsia"/>
          <w:lang w:eastAsia="zh-CN"/>
        </w:rPr>
      </w:pPr>
    </w:p>
    <w:p w14:paraId="1A06EB15">
      <w:pPr>
        <w:rPr>
          <w:rFonts w:hint="eastAsia"/>
          <w:lang w:eastAsia="zh-CN"/>
        </w:rPr>
      </w:pPr>
    </w:p>
    <w:p w14:paraId="70C03BFD">
      <w:pPr>
        <w:rPr>
          <w:rFonts w:hint="eastAsia"/>
          <w:lang w:eastAsia="zh-CN"/>
        </w:rPr>
      </w:pPr>
    </w:p>
    <w:p w14:paraId="6E3A0FAB">
      <w:pPr>
        <w:rPr>
          <w:rFonts w:hint="eastAsia"/>
          <w:lang w:eastAsia="zh-CN"/>
        </w:rPr>
      </w:pPr>
    </w:p>
    <w:p w14:paraId="61A647DF">
      <w:pPr>
        <w:rPr>
          <w:rFonts w:hint="eastAsia"/>
          <w:lang w:eastAsia="zh-CN"/>
        </w:rPr>
      </w:pPr>
    </w:p>
    <w:p w14:paraId="353D963B">
      <w:pPr>
        <w:rPr>
          <w:rFonts w:hint="eastAsia"/>
          <w:lang w:eastAsia="zh-CN"/>
        </w:rPr>
      </w:pPr>
    </w:p>
    <w:p w14:paraId="7E1194BA">
      <w:pPr>
        <w:rPr>
          <w:rFonts w:hint="eastAsia"/>
          <w:lang w:eastAsia="zh-CN"/>
        </w:rPr>
      </w:pPr>
    </w:p>
    <w:p w14:paraId="4F1B7BB3">
      <w:pPr>
        <w:rPr>
          <w:rFonts w:hint="eastAsia"/>
          <w:lang w:eastAsia="zh-CN"/>
        </w:rPr>
      </w:pPr>
    </w:p>
    <w:p w14:paraId="4F7368EE">
      <w:pPr>
        <w:rPr>
          <w:rFonts w:hint="eastAsia"/>
          <w:lang w:eastAsia="zh-CN"/>
        </w:rPr>
      </w:pPr>
    </w:p>
    <w:p w14:paraId="5F270169">
      <w:pPr>
        <w:rPr>
          <w:rFonts w:hint="eastAsia"/>
          <w:lang w:eastAsia="zh-CN"/>
        </w:rPr>
      </w:pPr>
    </w:p>
    <w:p w14:paraId="1D421011">
      <w:pPr>
        <w:rPr>
          <w:rFonts w:hint="eastAsia"/>
          <w:lang w:eastAsia="zh-CN"/>
        </w:rPr>
      </w:pPr>
    </w:p>
    <w:p w14:paraId="7562AB98">
      <w:pPr>
        <w:rPr>
          <w:rFonts w:hint="eastAsia"/>
          <w:lang w:eastAsia="zh-CN"/>
        </w:rPr>
      </w:pPr>
    </w:p>
    <w:p w14:paraId="69F1EB36">
      <w:pPr>
        <w:rPr>
          <w:rFonts w:hint="eastAsia"/>
          <w:lang w:eastAsia="zh-CN"/>
        </w:rPr>
      </w:pPr>
    </w:p>
    <w:p w14:paraId="2C91AA8B">
      <w:pPr>
        <w:rPr>
          <w:rFonts w:hint="eastAsia"/>
          <w:lang w:eastAsia="zh-CN"/>
        </w:rPr>
      </w:pPr>
    </w:p>
    <w:p w14:paraId="79333D8D">
      <w:pPr>
        <w:rPr>
          <w:rFonts w:hint="eastAsia"/>
          <w:lang w:eastAsia="zh-CN"/>
        </w:rPr>
      </w:pPr>
    </w:p>
    <w:p w14:paraId="7501A7C1">
      <w:pPr>
        <w:rPr>
          <w:rFonts w:hint="eastAsia"/>
          <w:lang w:eastAsia="zh-CN"/>
        </w:rPr>
      </w:pPr>
    </w:p>
    <w:p w14:paraId="4145D5CE">
      <w:pPr>
        <w:rPr>
          <w:rFonts w:hint="eastAsia"/>
          <w:lang w:eastAsia="zh-CN"/>
        </w:rPr>
      </w:pPr>
    </w:p>
    <w:p w14:paraId="2EA21846">
      <w:pPr>
        <w:rPr>
          <w:rFonts w:hint="eastAsia"/>
          <w:lang w:eastAsia="zh-CN"/>
        </w:rPr>
      </w:pPr>
    </w:p>
    <w:p w14:paraId="54EC5EB0">
      <w:pPr>
        <w:rPr>
          <w:rFonts w:hint="eastAsia"/>
          <w:lang w:eastAsia="zh-CN"/>
        </w:rPr>
      </w:pPr>
    </w:p>
    <w:bookmarkEnd w:id="82"/>
    <w:bookmarkEnd w:id="83"/>
    <w:bookmarkEnd w:id="84"/>
    <w:bookmarkEnd w:id="85"/>
    <w:bookmarkEnd w:id="87"/>
    <w:bookmarkEnd w:id="88"/>
    <w:bookmarkEnd w:id="89"/>
    <w:bookmarkEnd w:id="90"/>
    <w:p w14:paraId="5AFDC160">
      <w:pPr>
        <w:pStyle w:val="3"/>
        <w:numPr>
          <w:ilvl w:val="0"/>
          <w:numId w:val="0"/>
        </w:numPr>
        <w:spacing w:line="240" w:lineRule="auto"/>
        <w:jc w:val="both"/>
        <w:outlineLvl w:val="9"/>
        <w:rPr>
          <w:rFonts w:hint="eastAsia" w:asciiTheme="majorEastAsia" w:hAnsiTheme="majorEastAsia" w:eastAsiaTheme="majorEastAsia"/>
          <w:sz w:val="30"/>
          <w:szCs w:val="30"/>
          <w:lang w:val="en-US" w:eastAsia="zh-CN"/>
        </w:rPr>
      </w:pPr>
      <w:bookmarkStart w:id="91" w:name="_Toc438223136"/>
      <w:bookmarkStart w:id="92" w:name="_Toc435516650"/>
      <w:bookmarkStart w:id="93" w:name="_Toc11652"/>
      <w:bookmarkStart w:id="94" w:name="_Toc435174933"/>
      <w:bookmarkStart w:id="95" w:name="_Toc1658"/>
    </w:p>
    <w:p w14:paraId="4844EB47">
      <w:pPr>
        <w:pStyle w:val="3"/>
        <w:numPr>
          <w:ilvl w:val="0"/>
          <w:numId w:val="16"/>
        </w:numPr>
        <w:spacing w:line="240" w:lineRule="auto"/>
        <w:ind w:left="420" w:leftChars="0" w:hanging="420" w:firstLineChars="0"/>
        <w:jc w:val="center"/>
        <w:outlineLvl w:val="0"/>
        <w:rPr>
          <w:rFonts w:asciiTheme="majorEastAsia" w:hAnsiTheme="majorEastAsia" w:eastAsiaTheme="majorEastAsia"/>
          <w:sz w:val="32"/>
          <w:szCs w:val="32"/>
          <w:lang w:eastAsia="zh-TW"/>
        </w:rPr>
      </w:pPr>
      <w:bookmarkStart w:id="96" w:name="_Toc21111"/>
      <w:r>
        <w:rPr>
          <w:rFonts w:asciiTheme="majorEastAsia" w:hAnsiTheme="majorEastAsia" w:eastAsiaTheme="majorEastAsia"/>
          <w:sz w:val="32"/>
          <w:szCs w:val="32"/>
          <w:lang w:eastAsia="zh-TW"/>
        </w:rPr>
        <w:t>说 明</w:t>
      </w:r>
      <w:bookmarkEnd w:id="91"/>
      <w:bookmarkEnd w:id="92"/>
      <w:bookmarkEnd w:id="93"/>
      <w:bookmarkEnd w:id="94"/>
      <w:bookmarkEnd w:id="95"/>
      <w:bookmarkEnd w:id="96"/>
      <w:bookmarkStart w:id="97" w:name="_Toc292267791"/>
    </w:p>
    <w:p w14:paraId="7D46DAAC">
      <w:pPr>
        <w:numPr>
          <w:ilvl w:val="0"/>
          <w:numId w:val="0"/>
        </w:numPr>
        <w:jc w:val="center"/>
        <w:rPr>
          <w:rFonts w:hint="default" w:eastAsiaTheme="minorEastAsia"/>
          <w:sz w:val="30"/>
          <w:szCs w:val="30"/>
          <w:lang w:val="en-US" w:eastAsia="zh-CN"/>
        </w:rPr>
      </w:pPr>
      <w:r>
        <w:rPr>
          <w:rFonts w:hint="eastAsia"/>
          <w:sz w:val="30"/>
          <w:szCs w:val="30"/>
          <w:lang w:val="en-US" w:eastAsia="zh-CN"/>
        </w:rPr>
        <w:t>总则</w:t>
      </w:r>
    </w:p>
    <w:bookmarkEnd w:id="97"/>
    <w:p w14:paraId="6C6C625E">
      <w:pPr>
        <w:numPr>
          <w:ilvl w:val="0"/>
          <w:numId w:val="17"/>
        </w:numPr>
        <w:autoSpaceDE w:val="0"/>
        <w:autoSpaceDN w:val="0"/>
        <w:adjustRightInd w:val="0"/>
        <w:snapToGrid w:val="0"/>
        <w:spacing w:line="360" w:lineRule="auto"/>
        <w:outlineLvl w:val="1"/>
        <w:rPr>
          <w:rFonts w:ascii="宋体" w:hAnsi="宋体"/>
          <w:b/>
          <w:bCs/>
          <w:szCs w:val="21"/>
        </w:rPr>
      </w:pPr>
      <w:bookmarkStart w:id="98" w:name="_Toc23054"/>
      <w:r>
        <w:rPr>
          <w:rFonts w:hint="eastAsia" w:ascii="宋体" w:hAnsi="宋体"/>
          <w:b/>
          <w:bCs/>
          <w:szCs w:val="21"/>
        </w:rPr>
        <w:t>适用范围</w:t>
      </w:r>
      <w:bookmarkEnd w:id="98"/>
    </w:p>
    <w:p w14:paraId="5425D084">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1.1.</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文件适用于本投标邀请中所述采购项目。</w:t>
      </w:r>
    </w:p>
    <w:p w14:paraId="39FB9C80">
      <w:pPr>
        <w:numPr>
          <w:ilvl w:val="0"/>
          <w:numId w:val="0"/>
        </w:numPr>
        <w:autoSpaceDE w:val="0"/>
        <w:autoSpaceDN w:val="0"/>
        <w:adjustRightInd w:val="0"/>
        <w:snapToGrid w:val="0"/>
        <w:spacing w:line="360" w:lineRule="auto"/>
        <w:ind w:leftChars="0"/>
        <w:jc w:val="left"/>
        <w:outlineLvl w:val="9"/>
        <w:rPr>
          <w:rFonts w:hint="eastAsia" w:ascii="宋体" w:hAnsi="宋体"/>
          <w:szCs w:val="21"/>
        </w:rPr>
      </w:pPr>
      <w:r>
        <w:rPr>
          <w:rFonts w:hint="eastAsia" w:ascii="宋体" w:hAnsi="宋体"/>
          <w:szCs w:val="21"/>
          <w:lang w:val="en-US" w:eastAsia="zh-CN"/>
        </w:rPr>
        <w:t>1.2.</w:t>
      </w:r>
      <w:r>
        <w:rPr>
          <w:rFonts w:hint="eastAsia" w:ascii="宋体" w:hAnsi="宋体"/>
          <w:szCs w:val="21"/>
        </w:rPr>
        <w:t>本项目参照《深圳经济特区政府采购条例》《深圳经济特区政府采购条例实施细则》的规定，并参考有关法规、政策、规章、规定，通过公开</w:t>
      </w:r>
      <w:r>
        <w:rPr>
          <w:rFonts w:hint="eastAsia" w:ascii="宋体" w:hAnsi="宋体"/>
          <w:szCs w:val="21"/>
          <w:lang w:eastAsia="zh-CN"/>
        </w:rPr>
        <w:t>征集</w:t>
      </w:r>
      <w:r>
        <w:rPr>
          <w:rFonts w:hint="eastAsia" w:ascii="宋体" w:hAnsi="宋体"/>
          <w:szCs w:val="21"/>
        </w:rPr>
        <w:t>择优选定供应商。</w:t>
      </w:r>
    </w:p>
    <w:p w14:paraId="0810A1EC">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1.3.</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文件适用于货物采购项目。</w:t>
      </w:r>
    </w:p>
    <w:p w14:paraId="7B029138">
      <w:pPr>
        <w:numPr>
          <w:ilvl w:val="0"/>
          <w:numId w:val="17"/>
        </w:numPr>
        <w:autoSpaceDE w:val="0"/>
        <w:autoSpaceDN w:val="0"/>
        <w:adjustRightInd w:val="0"/>
        <w:snapToGrid w:val="0"/>
        <w:spacing w:line="360" w:lineRule="auto"/>
        <w:ind w:left="449" w:hanging="449" w:hangingChars="213"/>
        <w:outlineLvl w:val="1"/>
        <w:rPr>
          <w:rFonts w:ascii="宋体" w:hAnsi="宋体"/>
          <w:b/>
          <w:bCs/>
          <w:strike/>
          <w:szCs w:val="21"/>
        </w:rPr>
      </w:pPr>
      <w:bookmarkStart w:id="99" w:name="_Toc28379"/>
      <w:r>
        <w:rPr>
          <w:rFonts w:hint="eastAsia" w:ascii="宋体" w:hAnsi="宋体"/>
          <w:b/>
          <w:szCs w:val="21"/>
        </w:rPr>
        <w:t>定义</w:t>
      </w:r>
      <w:bookmarkEnd w:id="99"/>
    </w:p>
    <w:p w14:paraId="293D86D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2.1.</w:t>
      </w:r>
      <w:r>
        <w:rPr>
          <w:rFonts w:hint="eastAsia" w:ascii="宋体" w:hAnsi="宋体"/>
          <w:szCs w:val="21"/>
        </w:rPr>
        <w:t>采购人</w:t>
      </w:r>
      <w:r>
        <w:rPr>
          <w:rFonts w:hint="eastAsia" w:ascii="宋体" w:hAnsi="宋体"/>
          <w:szCs w:val="21"/>
          <w:lang w:val="en-US" w:eastAsia="zh-CN"/>
        </w:rPr>
        <w:t>是</w:t>
      </w:r>
      <w:r>
        <w:rPr>
          <w:rFonts w:hint="eastAsia" w:ascii="宋体" w:hAnsi="宋体"/>
          <w:szCs w:val="21"/>
        </w:rPr>
        <w:t>指各级</w:t>
      </w:r>
      <w:r>
        <w:rPr>
          <w:rFonts w:ascii="宋体" w:hAnsi="宋体"/>
          <w:szCs w:val="21"/>
        </w:rPr>
        <w:t>国家机关、事业单位和团体组织</w:t>
      </w:r>
      <w:r>
        <w:rPr>
          <w:rFonts w:hint="eastAsia" w:ascii="宋体" w:hAnsi="宋体"/>
          <w:szCs w:val="21"/>
          <w:lang w:eastAsia="zh-CN"/>
        </w:rPr>
        <w:t>。</w:t>
      </w:r>
      <w:r>
        <w:rPr>
          <w:rFonts w:hint="eastAsia" w:ascii="宋体" w:hAnsi="宋体" w:cs="宋体"/>
          <w:szCs w:val="21"/>
        </w:rPr>
        <w:t>采购人已拥有一笔财政性资金或资金来源已落实。采购人计划将一部分或全部资金用于支付本次采购后所签订合同项下的款项。</w:t>
      </w:r>
    </w:p>
    <w:p w14:paraId="3ECABCB9">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2.2.</w:t>
      </w:r>
      <w:r>
        <w:rPr>
          <w:rFonts w:hint="eastAsia" w:ascii="宋体" w:hAnsi="宋体"/>
          <w:szCs w:val="21"/>
        </w:rPr>
        <w:t>供应商是指向采购人提供货物、工程或者服务的法人、其他组织或者自然人。</w:t>
      </w:r>
    </w:p>
    <w:p w14:paraId="65BBC7FD">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2.3.评标</w:t>
      </w:r>
      <w:r>
        <w:rPr>
          <w:rFonts w:hint="eastAsia" w:ascii="宋体" w:hAnsi="宋体"/>
          <w:szCs w:val="21"/>
        </w:rPr>
        <w:t>委员会是</w:t>
      </w:r>
      <w:r>
        <w:rPr>
          <w:rFonts w:hint="eastAsia" w:ascii="宋体" w:hAnsi="宋体"/>
          <w:szCs w:val="21"/>
          <w:lang w:val="en-US" w:eastAsia="zh-CN"/>
        </w:rPr>
        <w:t>指</w:t>
      </w:r>
      <w:r>
        <w:rPr>
          <w:rFonts w:hint="eastAsia" w:ascii="宋体" w:hAnsi="宋体"/>
          <w:szCs w:val="21"/>
        </w:rPr>
        <w:t>专门负责本项目评标工作的临时性机构。</w:t>
      </w:r>
    </w:p>
    <w:p w14:paraId="10EFBBB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2.4.</w:t>
      </w:r>
      <w:r>
        <w:rPr>
          <w:rFonts w:hint="eastAsia" w:ascii="宋体" w:hAnsi="宋体"/>
          <w:szCs w:val="21"/>
        </w:rPr>
        <w:t>投标人是指响应</w:t>
      </w:r>
      <w:r>
        <w:rPr>
          <w:rFonts w:hint="eastAsia" w:ascii="宋体" w:hAnsi="宋体"/>
          <w:szCs w:val="21"/>
          <w:lang w:eastAsia="zh-CN"/>
        </w:rPr>
        <w:t>征集</w:t>
      </w:r>
      <w:r>
        <w:rPr>
          <w:rFonts w:hint="eastAsia" w:ascii="宋体" w:hAnsi="宋体"/>
          <w:szCs w:val="21"/>
        </w:rPr>
        <w:t>、参加投标竞争的法人、其他组织或者自然人。</w:t>
      </w:r>
    </w:p>
    <w:p w14:paraId="03F60D92">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szCs w:val="21"/>
          <w:lang w:val="en-US" w:eastAsia="zh-CN"/>
        </w:rPr>
        <w:t>2.5.</w:t>
      </w:r>
      <w:r>
        <w:rPr>
          <w:rFonts w:hint="eastAsia" w:ascii="宋体" w:hAnsi="宋体"/>
          <w:szCs w:val="21"/>
        </w:rPr>
        <w:t>中标人是指经法定程序确定并授予合同的投标人。</w:t>
      </w:r>
    </w:p>
    <w:p w14:paraId="176C9523">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2.6.</w:t>
      </w:r>
      <w:r>
        <w:rPr>
          <w:rFonts w:hint="eastAsia" w:ascii="宋体" w:hAnsi="宋体"/>
          <w:szCs w:val="21"/>
        </w:rPr>
        <w:t>合同</w:t>
      </w:r>
      <w:r>
        <w:rPr>
          <w:rFonts w:hint="eastAsia" w:ascii="宋体" w:hAnsi="宋体"/>
          <w:szCs w:val="21"/>
          <w:lang w:val="en-US" w:eastAsia="zh-CN"/>
        </w:rPr>
        <w:t>是</w:t>
      </w:r>
      <w:r>
        <w:rPr>
          <w:rFonts w:hint="eastAsia" w:ascii="宋体" w:hAnsi="宋体"/>
          <w:szCs w:val="21"/>
        </w:rPr>
        <w:t>指由本次</w:t>
      </w:r>
      <w:r>
        <w:rPr>
          <w:rFonts w:hint="eastAsia" w:ascii="宋体" w:hAnsi="宋体"/>
          <w:szCs w:val="21"/>
          <w:lang w:eastAsia="zh-CN"/>
        </w:rPr>
        <w:t>征集</w:t>
      </w:r>
      <w:r>
        <w:rPr>
          <w:rFonts w:hint="eastAsia" w:ascii="宋体" w:hAnsi="宋体"/>
          <w:szCs w:val="21"/>
        </w:rPr>
        <w:t>所产生的合同或合约文件。</w:t>
      </w:r>
    </w:p>
    <w:p w14:paraId="0EE11412">
      <w:pPr>
        <w:numPr>
          <w:ilvl w:val="0"/>
          <w:numId w:val="0"/>
        </w:numPr>
        <w:autoSpaceDE w:val="0"/>
        <w:autoSpaceDN w:val="0"/>
        <w:adjustRightInd w:val="0"/>
        <w:snapToGrid w:val="0"/>
        <w:spacing w:line="360" w:lineRule="auto"/>
        <w:ind w:leftChars="0"/>
        <w:outlineLvl w:val="9"/>
        <w:rPr>
          <w:rFonts w:hint="eastAsia" w:ascii="宋体" w:hAnsi="宋体"/>
          <w:szCs w:val="21"/>
        </w:rPr>
      </w:pPr>
      <w:r>
        <w:rPr>
          <w:rFonts w:hint="eastAsia" w:ascii="宋体" w:hAnsi="宋体"/>
          <w:szCs w:val="21"/>
          <w:lang w:val="en-US" w:eastAsia="zh-CN"/>
        </w:rPr>
        <w:t>2.7.</w:t>
      </w:r>
      <w:r>
        <w:rPr>
          <w:rFonts w:hint="eastAsia" w:ascii="宋体" w:hAnsi="宋体"/>
          <w:szCs w:val="21"/>
        </w:rPr>
        <w:t>纸质投标文件</w:t>
      </w:r>
      <w:r>
        <w:rPr>
          <w:rFonts w:hint="eastAsia" w:ascii="宋体" w:hAnsi="宋体"/>
          <w:szCs w:val="21"/>
          <w:lang w:val="en-US" w:eastAsia="zh-CN"/>
        </w:rPr>
        <w:t>是</w:t>
      </w:r>
      <w:r>
        <w:rPr>
          <w:rFonts w:hint="eastAsia" w:ascii="宋体" w:hAnsi="宋体"/>
          <w:szCs w:val="21"/>
        </w:rPr>
        <w:t>指根据本</w:t>
      </w:r>
      <w:r>
        <w:rPr>
          <w:rFonts w:hint="eastAsia" w:ascii="宋体" w:hAnsi="宋体"/>
          <w:szCs w:val="21"/>
          <w:lang w:eastAsia="zh-CN"/>
        </w:rPr>
        <w:t>征集</w:t>
      </w:r>
      <w:r>
        <w:rPr>
          <w:rFonts w:hint="eastAsia" w:ascii="宋体" w:hAnsi="宋体"/>
          <w:szCs w:val="21"/>
        </w:rPr>
        <w:t>文件模板的要求规范填写，打印输出并盖有单位公章的投标文件原件。</w:t>
      </w:r>
    </w:p>
    <w:p w14:paraId="0DADBB1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2.8.</w:t>
      </w:r>
      <w:r>
        <w:rPr>
          <w:rFonts w:hint="eastAsia" w:ascii="宋体" w:hAnsi="宋体"/>
          <w:szCs w:val="21"/>
        </w:rPr>
        <w:t>现场投标</w:t>
      </w:r>
      <w:r>
        <w:rPr>
          <w:rFonts w:hint="eastAsia" w:ascii="宋体" w:hAnsi="宋体"/>
          <w:szCs w:val="21"/>
          <w:lang w:val="en-US" w:eastAsia="zh-CN"/>
        </w:rPr>
        <w:t>是</w:t>
      </w:r>
      <w:r>
        <w:rPr>
          <w:rFonts w:hint="eastAsia" w:ascii="宋体" w:hAnsi="宋体"/>
          <w:szCs w:val="21"/>
        </w:rPr>
        <w:t>指在规定时间内直接向</w:t>
      </w:r>
      <w:r>
        <w:rPr>
          <w:rFonts w:hint="eastAsia" w:ascii="宋体" w:hAnsi="宋体"/>
          <w:szCs w:val="21"/>
          <w:lang w:val="en-US" w:eastAsia="zh-CN"/>
        </w:rPr>
        <w:t>我院</w:t>
      </w:r>
      <w:r>
        <w:rPr>
          <w:rFonts w:hint="eastAsia" w:ascii="宋体" w:hAnsi="宋体"/>
          <w:szCs w:val="21"/>
        </w:rPr>
        <w:t>提交纸质投标文件。</w:t>
      </w:r>
    </w:p>
    <w:p w14:paraId="4EC4B66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2.9.</w:t>
      </w:r>
      <w:r>
        <w:rPr>
          <w:rFonts w:hint="eastAsia" w:ascii="宋体" w:hAnsi="宋体"/>
          <w:szCs w:val="21"/>
          <w:lang w:eastAsia="zh-CN"/>
        </w:rPr>
        <w:t>征集</w:t>
      </w:r>
      <w:r>
        <w:rPr>
          <w:rFonts w:hint="eastAsia" w:ascii="宋体" w:hAnsi="宋体"/>
          <w:szCs w:val="21"/>
        </w:rPr>
        <w:t>文件中的标题或题名仅起引导作用，而不应视为对</w:t>
      </w:r>
      <w:r>
        <w:rPr>
          <w:rFonts w:hint="eastAsia" w:ascii="宋体" w:hAnsi="宋体"/>
          <w:szCs w:val="21"/>
          <w:lang w:eastAsia="zh-CN"/>
        </w:rPr>
        <w:t>征集</w:t>
      </w:r>
      <w:r>
        <w:rPr>
          <w:rFonts w:hint="eastAsia" w:ascii="宋体" w:hAnsi="宋体"/>
          <w:szCs w:val="21"/>
        </w:rPr>
        <w:t>文件内容的理解和解释。</w:t>
      </w:r>
    </w:p>
    <w:p w14:paraId="77DE7CA6">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2.10.</w:t>
      </w:r>
      <w:r>
        <w:rPr>
          <w:rFonts w:hint="eastAsia" w:ascii="宋体" w:hAnsi="宋体"/>
          <w:szCs w:val="21"/>
        </w:rPr>
        <w:t>日期</w:t>
      </w:r>
      <w:r>
        <w:rPr>
          <w:rFonts w:hint="eastAsia" w:ascii="宋体" w:hAnsi="宋体"/>
          <w:szCs w:val="21"/>
          <w:lang w:val="en-US" w:eastAsia="zh-CN"/>
        </w:rPr>
        <w:t>是</w:t>
      </w:r>
      <w:r>
        <w:rPr>
          <w:rFonts w:hint="eastAsia" w:ascii="宋体" w:hAnsi="宋体"/>
          <w:szCs w:val="21"/>
        </w:rPr>
        <w:t>指公历日。</w:t>
      </w:r>
    </w:p>
    <w:p w14:paraId="767FC079">
      <w:pPr>
        <w:numPr>
          <w:ilvl w:val="0"/>
          <w:numId w:val="0"/>
        </w:numPr>
        <w:autoSpaceDE w:val="0"/>
        <w:autoSpaceDN w:val="0"/>
        <w:adjustRightInd w:val="0"/>
        <w:snapToGrid w:val="0"/>
        <w:spacing w:line="360" w:lineRule="auto"/>
        <w:ind w:leftChars="0"/>
        <w:rPr>
          <w:rFonts w:hint="default" w:ascii="宋体" w:hAnsi="宋体" w:eastAsiaTheme="minorEastAsia"/>
          <w:szCs w:val="21"/>
          <w:lang w:val="en-US" w:eastAsia="zh-CN"/>
        </w:rPr>
      </w:pPr>
      <w:r>
        <w:rPr>
          <w:rFonts w:hint="eastAsia" w:ascii="宋体" w:hAnsi="宋体"/>
          <w:szCs w:val="21"/>
          <w:lang w:val="en-US" w:eastAsia="zh-CN"/>
        </w:rPr>
        <w:t>2.11.征集</w:t>
      </w:r>
      <w:r>
        <w:rPr>
          <w:rFonts w:hint="eastAsia" w:ascii="宋体" w:hAnsi="宋体"/>
          <w:szCs w:val="21"/>
        </w:rPr>
        <w:t>文件中的标题或题名仅起引导作用，而不应视为对</w:t>
      </w:r>
      <w:r>
        <w:rPr>
          <w:rFonts w:hint="eastAsia" w:ascii="宋体" w:hAnsi="宋体"/>
          <w:szCs w:val="21"/>
          <w:lang w:val="en-US" w:eastAsia="zh-CN"/>
        </w:rPr>
        <w:t>征集</w:t>
      </w:r>
      <w:r>
        <w:rPr>
          <w:rFonts w:hint="eastAsia" w:ascii="宋体" w:hAnsi="宋体"/>
          <w:szCs w:val="21"/>
        </w:rPr>
        <w:t>文件内容的理解和解释。</w:t>
      </w:r>
    </w:p>
    <w:p w14:paraId="08E94636">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00" w:name="_Toc4681"/>
      <w:r>
        <w:rPr>
          <w:rFonts w:hint="eastAsia" w:ascii="宋体" w:hAnsi="宋体"/>
          <w:b/>
          <w:bCs/>
          <w:szCs w:val="21"/>
        </w:rPr>
        <w:t>合格的货物和服务</w:t>
      </w:r>
      <w:bookmarkEnd w:id="100"/>
    </w:p>
    <w:p w14:paraId="6CA79C08">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szCs w:val="21"/>
          <w:lang w:val="en-US" w:eastAsia="zh-CN"/>
        </w:rPr>
        <w:t>3.1.</w:t>
      </w:r>
      <w:r>
        <w:rPr>
          <w:rFonts w:hint="eastAsia" w:ascii="宋体" w:hAnsi="宋体"/>
          <w:szCs w:val="21"/>
        </w:rPr>
        <w:t>货物是指投标人制造或组织符合</w:t>
      </w:r>
      <w:r>
        <w:rPr>
          <w:rFonts w:hint="eastAsia" w:ascii="宋体" w:hAnsi="宋体"/>
          <w:szCs w:val="21"/>
          <w:lang w:eastAsia="zh-CN"/>
        </w:rPr>
        <w:t>征集</w:t>
      </w:r>
      <w:r>
        <w:rPr>
          <w:rFonts w:hint="eastAsia" w:ascii="宋体" w:hAnsi="宋体"/>
          <w:szCs w:val="21"/>
        </w:rPr>
        <w:t>文件要求的货物等。投标的货物必须是其合法生产、合法来源的符合国家有关标准要求的货物，并满足</w:t>
      </w:r>
      <w:r>
        <w:rPr>
          <w:rFonts w:hint="eastAsia" w:ascii="宋体" w:hAnsi="宋体"/>
          <w:szCs w:val="21"/>
          <w:lang w:eastAsia="zh-CN"/>
        </w:rPr>
        <w:t>征集</w:t>
      </w:r>
      <w:r>
        <w:rPr>
          <w:rFonts w:hint="eastAsia" w:ascii="宋体" w:hAnsi="宋体"/>
          <w:szCs w:val="21"/>
        </w:rPr>
        <w:t>文件规定的规格、参数、质量、价格、有效期、售后服务等要求。</w:t>
      </w:r>
    </w:p>
    <w:p w14:paraId="26B52F2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3.2.</w:t>
      </w:r>
      <w:r>
        <w:rPr>
          <w:rFonts w:hint="eastAsia" w:ascii="宋体" w:hAnsi="宋体"/>
          <w:szCs w:val="21"/>
        </w:rPr>
        <w:t>服务是指除货物和工程以外的其他政府采购对象，其中包括：投标人须承担的运输、安装、技术支持、培训以及</w:t>
      </w:r>
      <w:r>
        <w:rPr>
          <w:rFonts w:hint="eastAsia" w:ascii="宋体" w:hAnsi="宋体"/>
          <w:szCs w:val="21"/>
          <w:lang w:eastAsia="zh-CN"/>
        </w:rPr>
        <w:t>征集</w:t>
      </w:r>
      <w:r>
        <w:rPr>
          <w:rFonts w:hint="eastAsia" w:ascii="宋体" w:hAnsi="宋体"/>
          <w:szCs w:val="21"/>
        </w:rPr>
        <w:t>文件规定的其它服务。</w:t>
      </w:r>
    </w:p>
    <w:p w14:paraId="1B2DAB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3.3.</w:t>
      </w:r>
      <w:r>
        <w:rPr>
          <w:rFonts w:hint="eastAsia" w:ascii="宋体" w:hAnsi="宋体"/>
          <w:szCs w:val="21"/>
        </w:rPr>
        <w:t>国产的货物及其有关服务必须符合中华人民共和国的设计、制造生产标准及行业标准。</w:t>
      </w:r>
      <w:r>
        <w:rPr>
          <w:rFonts w:hint="eastAsia" w:ascii="宋体" w:hAnsi="宋体"/>
          <w:szCs w:val="21"/>
          <w:lang w:eastAsia="zh-CN"/>
        </w:rPr>
        <w:t>征集</w:t>
      </w:r>
      <w:r>
        <w:rPr>
          <w:rFonts w:hint="eastAsia" w:ascii="宋体" w:hAnsi="宋体"/>
          <w:szCs w:val="21"/>
        </w:rPr>
        <w:t>公告有其他要求的，亦应符合其要求。进口货物及其有关服务必须符合原产地和中华人民共和国的设计、制造生产标准及行业标准。进口的货物必须具有合法的进口手续和途径，并通过中华人民共和国商检部门检验。</w:t>
      </w:r>
      <w:r>
        <w:rPr>
          <w:rFonts w:hint="eastAsia" w:ascii="宋体" w:hAnsi="宋体"/>
          <w:szCs w:val="21"/>
          <w:lang w:eastAsia="zh-CN"/>
        </w:rPr>
        <w:t>征集</w:t>
      </w:r>
      <w:r>
        <w:rPr>
          <w:rFonts w:hint="eastAsia" w:ascii="宋体" w:hAnsi="宋体"/>
          <w:szCs w:val="21"/>
        </w:rPr>
        <w:t>公告有其他要求的，亦应符合其要求。</w:t>
      </w:r>
    </w:p>
    <w:p w14:paraId="03AB9CC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3.4.</w:t>
      </w:r>
      <w:r>
        <w:rPr>
          <w:rFonts w:hint="eastAsia" w:ascii="宋体" w:hAnsi="宋体"/>
          <w:szCs w:val="21"/>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w:t>
      </w:r>
    </w:p>
    <w:p w14:paraId="7CB46EEB">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3.5.</w:t>
      </w:r>
      <w:r>
        <w:rPr>
          <w:rFonts w:hint="eastAsia" w:ascii="宋体" w:hAnsi="宋体"/>
          <w:szCs w:val="21"/>
        </w:rPr>
        <w:t>若所投产品属于政府强制采购节能产品的，则投标人必须提供该产品国家强制性节能产品进行响应，并提供强制性节能产品认证证书，否则视为无效投标。</w:t>
      </w:r>
    </w:p>
    <w:p w14:paraId="4D908F5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3.6.</w:t>
      </w:r>
      <w:r>
        <w:rPr>
          <w:rFonts w:hint="eastAsia" w:ascii="宋体" w:hAnsi="宋体"/>
          <w:szCs w:val="21"/>
        </w:rPr>
        <w:t>投标人</w:t>
      </w:r>
      <w:bookmarkStart w:id="101"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01"/>
    </w:p>
    <w:p w14:paraId="7436C279">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3.7.</w:t>
      </w:r>
      <w:r>
        <w:rPr>
          <w:rFonts w:hint="eastAsia" w:ascii="宋体" w:hAnsi="宋体"/>
          <w:szCs w:val="21"/>
        </w:rPr>
        <w:t>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3CF8BAC">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3.8.</w:t>
      </w:r>
      <w:r>
        <w:rPr>
          <w:rFonts w:hint="eastAsia" w:ascii="宋体" w:hAnsi="宋体"/>
          <w:szCs w:val="21"/>
        </w:rPr>
        <w:t>工期要求：投标人在投标时对其所投项目应提交交货进度、交货计划等，在合同规定的时间内完成项目实施工作。</w:t>
      </w:r>
    </w:p>
    <w:p w14:paraId="5D1ABA4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3.9.</w:t>
      </w:r>
      <w:r>
        <w:rPr>
          <w:rFonts w:hint="eastAsia" w:ascii="宋体" w:hAnsi="宋体"/>
          <w:szCs w:val="21"/>
        </w:rPr>
        <w:t>投标人必须承担的设备运输、安装调试、验收检测和提供设备操作说明书、图纸等其他相关及类似的义务。</w:t>
      </w:r>
    </w:p>
    <w:p w14:paraId="45BD45A2">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02" w:name="_Toc27847"/>
      <w:r>
        <w:rPr>
          <w:rFonts w:hint="eastAsia" w:ascii="宋体" w:hAnsi="宋体"/>
          <w:b/>
          <w:bCs/>
          <w:szCs w:val="21"/>
        </w:rPr>
        <w:t>其他</w:t>
      </w:r>
      <w:bookmarkEnd w:id="102"/>
    </w:p>
    <w:p w14:paraId="20835FF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szCs w:val="21"/>
          <w:lang w:val="en-US" w:eastAsia="zh-CN"/>
        </w:rPr>
        <w:t>4.1.</w:t>
      </w:r>
      <w:r>
        <w:rPr>
          <w:rFonts w:hint="eastAsia" w:ascii="宋体" w:hAnsi="宋体" w:cs="宋体"/>
          <w:szCs w:val="21"/>
        </w:rPr>
        <w:t>所有时间均为24小时制北京时间，所有货币单位均为人民币元，所使用的计量单位均以《中华</w:t>
      </w:r>
      <w:r>
        <w:rPr>
          <w:rFonts w:hint="eastAsia" w:ascii="宋体" w:hAnsi="宋体" w:cs="宋体"/>
          <w:color w:val="auto"/>
          <w:szCs w:val="21"/>
          <w:highlight w:val="none"/>
        </w:rPr>
        <w:t>人民共和国法定计量单位》为准（特别注明除外）。</w:t>
      </w:r>
    </w:p>
    <w:p w14:paraId="18D56482">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供应商（投标人）向我</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咨询的有关项目事项，一切以法律法规的规定和本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书面答复为准，其他一切形式均为个人意见，不代表本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的意见。</w:t>
      </w:r>
    </w:p>
    <w:p w14:paraId="50953B09">
      <w:pPr>
        <w:numPr>
          <w:ilvl w:val="0"/>
          <w:numId w:val="0"/>
        </w:numPr>
        <w:adjustRightInd w:val="0"/>
        <w:snapToGrid w:val="0"/>
        <w:spacing w:line="360" w:lineRule="auto"/>
        <w:ind w:leftChars="0"/>
        <w:rPr>
          <w:rFonts w:cs="宋体" w:asciiTheme="minorEastAsia" w:hAnsiTheme="minorEastAsia" w:eastAsiaTheme="minorEastAsia"/>
          <w:bCs/>
          <w:color w:val="auto"/>
          <w:szCs w:val="21"/>
          <w:highlight w:val="none"/>
        </w:rPr>
      </w:pPr>
      <w:bookmarkStart w:id="103" w:name="_Hlk21592778"/>
      <w:r>
        <w:rPr>
          <w:rFonts w:hint="eastAsia" w:asciiTheme="minorEastAsia" w:hAnsiTheme="minorEastAsia"/>
          <w:color w:val="auto"/>
          <w:szCs w:val="21"/>
          <w:highlight w:val="none"/>
          <w:lang w:val="en-US" w:eastAsia="zh-CN"/>
        </w:rPr>
        <w:t>4.3.</w:t>
      </w:r>
      <w:r>
        <w:rPr>
          <w:rFonts w:hint="eastAsia" w:asciiTheme="minorEastAsia" w:hAnsiTheme="minorEastAsia" w:eastAsiaTheme="minorEastAsia"/>
          <w:color w:val="auto"/>
          <w:szCs w:val="21"/>
          <w:highlight w:val="none"/>
        </w:rPr>
        <w:t>对列入失信</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黑名单</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的</w:t>
      </w:r>
      <w:bookmarkStart w:id="104" w:name="_Hlk21591509"/>
      <w:r>
        <w:rPr>
          <w:rFonts w:hint="eastAsia" w:asciiTheme="minorEastAsia" w:hAnsiTheme="minorEastAsia" w:eastAsiaTheme="minorEastAsia"/>
          <w:color w:val="auto"/>
          <w:szCs w:val="21"/>
          <w:highlight w:val="none"/>
        </w:rPr>
        <w:t>供应商限制参与政府采购</w:t>
      </w:r>
      <w:bookmarkEnd w:id="104"/>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供应商诚信查询方式：</w:t>
      </w:r>
      <w:r>
        <w:rPr>
          <w:rFonts w:asciiTheme="minorEastAsia" w:hAnsiTheme="minorEastAsia" w:eastAsiaTheme="minorEastAsia"/>
          <w:color w:val="auto"/>
          <w:szCs w:val="21"/>
          <w:highlight w:val="none"/>
        </w:rPr>
        <w:t>“信用中国”网站(www.creditchina.gov.cn)</w:t>
      </w:r>
      <w:r>
        <w:rPr>
          <w:rFonts w:hint="eastAsia" w:asciiTheme="minorEastAsia" w:hAnsiTheme="minorEastAsia" w:eastAsiaTheme="minorEastAsia"/>
          <w:color w:val="auto"/>
          <w:szCs w:val="21"/>
          <w:highlight w:val="none"/>
        </w:rPr>
        <w:t>没有以下任意记录名单之一：①</w:t>
      </w:r>
      <w:r>
        <w:rPr>
          <w:rFonts w:asciiTheme="minorEastAsia" w:hAnsiTheme="minorEastAsia" w:eastAsiaTheme="minorEastAsia"/>
          <w:color w:val="auto"/>
          <w:szCs w:val="21"/>
          <w:highlight w:val="none"/>
        </w:rPr>
        <w:t>记录失信被执行人</w:t>
      </w:r>
      <w:r>
        <w:rPr>
          <w:rFonts w:hint="eastAsia" w:asciiTheme="minorEastAsia" w:hAnsiTheme="minorEastAsia" w:eastAsiaTheme="minorEastAsia"/>
          <w:color w:val="auto"/>
          <w:szCs w:val="21"/>
          <w:highlight w:val="none"/>
        </w:rPr>
        <w:t>；②税收违法黑名单；</w:t>
      </w:r>
      <w:r>
        <w:rPr>
          <w:rFonts w:asciiTheme="minorEastAsia" w:hAnsiTheme="minorEastAsia" w:eastAsiaTheme="minorEastAsia"/>
          <w:color w:val="auto"/>
          <w:szCs w:val="21"/>
          <w:highlight w:val="none"/>
        </w:rPr>
        <w:t>中国政府采购网(www.ccgp.gov.cn)不处于“政府采购严重违法失信行为信息记录”中的禁止参加政府采购活动期间</w:t>
      </w:r>
      <w:r>
        <w:rPr>
          <w:rFonts w:hint="eastAsia" w:asciiTheme="minorEastAsia" w:hAnsiTheme="minorEastAsia" w:eastAsiaTheme="minorEastAsia"/>
          <w:color w:val="auto"/>
          <w:szCs w:val="21"/>
          <w:highlight w:val="none"/>
        </w:rPr>
        <w:t>；</w:t>
      </w:r>
      <w:bookmarkEnd w:id="103"/>
      <w:r>
        <w:rPr>
          <w:rFonts w:hint="eastAsia" w:asciiTheme="minorEastAsia" w:hAnsiTheme="minorEastAsia" w:eastAsiaTheme="minorEastAsia"/>
          <w:color w:val="auto"/>
          <w:szCs w:val="21"/>
          <w:highlight w:val="none"/>
        </w:rPr>
        <w:t>在深圳信用网（</w:t>
      </w:r>
      <w:r>
        <w:rPr>
          <w:rFonts w:asciiTheme="minorEastAsia" w:hAnsiTheme="minorEastAsia" w:eastAsiaTheme="minorEastAsia"/>
          <w:color w:val="auto"/>
          <w:szCs w:val="21"/>
          <w:highlight w:val="none"/>
        </w:rPr>
        <w:t>https://www.szcredit.com.cn</w:t>
      </w:r>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深圳市政府采购监管网（zfcg.sz.gov.cn）查询相关主体信用记录，对不符合《中华人民共和国政府采购法》第二十二条规定条件的供应商限制参与政府采购。</w:t>
      </w:r>
      <w:r>
        <w:rPr>
          <w:rFonts w:hint="eastAsia" w:cs="宋体" w:asciiTheme="minorEastAsia" w:hAnsiTheme="minorEastAsia" w:eastAsiaTheme="minorEastAsia"/>
          <w:color w:val="auto"/>
          <w:szCs w:val="21"/>
          <w:highlight w:val="none"/>
        </w:rPr>
        <w:t>联合体投标的，对</w:t>
      </w:r>
      <w:r>
        <w:rPr>
          <w:rFonts w:cs="宋体" w:asciiTheme="minorEastAsia" w:hAnsiTheme="minorEastAsia" w:eastAsiaTheme="minorEastAsia"/>
          <w:color w:val="auto"/>
          <w:szCs w:val="21"/>
          <w:highlight w:val="none"/>
        </w:rPr>
        <w:t>所有联合体成员进行信用记录查询，联合体成员存在不良信用记录的，视同联合体存在不良信用记录。</w:t>
      </w:r>
      <w:r>
        <w:rPr>
          <w:rFonts w:cs="宋体" w:asciiTheme="minorEastAsia" w:hAnsiTheme="minorEastAsia" w:eastAsiaTheme="minorEastAsia"/>
          <w:bCs/>
          <w:color w:val="auto"/>
          <w:szCs w:val="21"/>
          <w:highlight w:val="none"/>
        </w:rPr>
        <w:t>如在上述网站查询结果均显示没有相关记录，视为</w:t>
      </w:r>
      <w:r>
        <w:rPr>
          <w:rFonts w:hint="eastAsia" w:cs="宋体" w:asciiTheme="minorEastAsia" w:hAnsiTheme="minorEastAsia" w:eastAsiaTheme="minorEastAsia"/>
          <w:bCs/>
          <w:color w:val="auto"/>
          <w:szCs w:val="21"/>
          <w:highlight w:val="none"/>
        </w:rPr>
        <w:t>不存在</w:t>
      </w:r>
      <w:r>
        <w:rPr>
          <w:rFonts w:cs="宋体" w:asciiTheme="minorEastAsia" w:hAnsiTheme="minorEastAsia" w:eastAsiaTheme="minorEastAsia"/>
          <w:bCs/>
          <w:color w:val="auto"/>
          <w:szCs w:val="21"/>
          <w:highlight w:val="none"/>
        </w:rPr>
        <w:t>上述不良信用记录</w:t>
      </w:r>
      <w:r>
        <w:rPr>
          <w:rFonts w:hint="eastAsia" w:cs="宋体" w:asciiTheme="minorEastAsia" w:hAnsiTheme="minorEastAsia" w:eastAsiaTheme="minorEastAsia"/>
          <w:bCs/>
          <w:color w:val="auto"/>
          <w:szCs w:val="21"/>
          <w:highlight w:val="none"/>
        </w:rPr>
        <w:t>。由</w:t>
      </w:r>
      <w:r>
        <w:rPr>
          <w:rFonts w:hint="eastAsia" w:cs="宋体" w:asciiTheme="minorEastAsia" w:hAnsiTheme="minorEastAsia"/>
          <w:bCs/>
          <w:color w:val="auto"/>
          <w:szCs w:val="21"/>
          <w:highlight w:val="none"/>
          <w:lang w:val="en-US" w:eastAsia="zh-CN"/>
        </w:rPr>
        <w:t>采购人工作人员</w:t>
      </w:r>
      <w:r>
        <w:rPr>
          <w:rFonts w:hint="eastAsia" w:cs="宋体" w:asciiTheme="minorEastAsia" w:hAnsiTheme="minorEastAsia" w:eastAsiaTheme="minorEastAsia"/>
          <w:bCs/>
          <w:color w:val="auto"/>
          <w:szCs w:val="21"/>
          <w:highlight w:val="none"/>
        </w:rPr>
        <w:t>对信用信息查询记录和证据截图或下载存档，</w:t>
      </w:r>
      <w:r>
        <w:rPr>
          <w:rFonts w:hint="eastAsia" w:asciiTheme="minorEastAsia" w:hAnsiTheme="minorEastAsia" w:eastAsiaTheme="minorEastAsia"/>
          <w:color w:val="auto"/>
          <w:szCs w:val="21"/>
          <w:highlight w:val="none"/>
        </w:rPr>
        <w:t>相关信息以开标当日的查询结果为准。信用信息查询记录应当作为项目档案材料一并保存。</w:t>
      </w:r>
    </w:p>
    <w:p w14:paraId="33445C9F">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p>
    <w:p w14:paraId="5CDF3448">
      <w:pPr>
        <w:numPr>
          <w:ilvl w:val="0"/>
          <w:numId w:val="0"/>
        </w:numPr>
        <w:adjustRightInd w:val="0"/>
        <w:snapToGrid w:val="0"/>
        <w:spacing w:line="360" w:lineRule="auto"/>
        <w:ind w:leftChars="0"/>
        <w:jc w:val="center"/>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征集文件</w:t>
      </w:r>
    </w:p>
    <w:p w14:paraId="1C971EE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征集文件注意事项</w:t>
      </w:r>
    </w:p>
    <w:p w14:paraId="38D39AA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5.1.</w:t>
      </w:r>
      <w:r>
        <w:rPr>
          <w:rFonts w:hint="eastAsia" w:cs="宋体" w:asciiTheme="minorEastAsia" w:hAnsiTheme="minorEastAsia" w:eastAsiaTheme="minorEastAsia"/>
          <w:bCs/>
          <w:color w:val="auto"/>
          <w:szCs w:val="21"/>
          <w:highlight w:val="none"/>
        </w:rPr>
        <w:t>投标人获得</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文件后，应仔细检查</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文件的所有内容，如有残缺应在投标截止时间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前向</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提出，否则，由此引起的投标损失自负；投标人同时应认真审阅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文件所有的事项、格式、条款和规范要求等，如果投标人的投标文件没有按</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文件要求提交全部资料或者投标文件没有对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文件做出实质性响应，其风险应由投标人自行承担，并根据有关条款规定，其投标有可能被拒绝。</w:t>
      </w:r>
    </w:p>
    <w:p w14:paraId="4B9F136D">
      <w:pPr>
        <w:numPr>
          <w:ilvl w:val="0"/>
          <w:numId w:val="0"/>
        </w:numPr>
        <w:adjustRightInd w:val="0"/>
        <w:snapToGrid w:val="0"/>
        <w:spacing w:line="360" w:lineRule="auto"/>
        <w:ind w:leftChars="0"/>
        <w:rPr>
          <w:rFonts w:ascii="宋体" w:hAnsi="宋体" w:cs="黑体"/>
          <w:b/>
          <w:bCs/>
          <w:szCs w:val="21"/>
        </w:rPr>
      </w:pPr>
      <w:r>
        <w:rPr>
          <w:rFonts w:hint="eastAsia" w:cs="宋体" w:asciiTheme="minorEastAsia" w:hAnsiTheme="minorEastAsia"/>
          <w:bCs/>
          <w:color w:val="auto"/>
          <w:szCs w:val="21"/>
          <w:highlight w:val="none"/>
          <w:lang w:val="en-US" w:eastAsia="zh-CN"/>
        </w:rPr>
        <w:t>5.2.</w:t>
      </w:r>
      <w:r>
        <w:rPr>
          <w:rFonts w:hint="eastAsia" w:cs="宋体" w:asciiTheme="minorEastAsia" w:hAnsiTheme="minorEastAsia" w:eastAsiaTheme="minorEastAsia"/>
          <w:bCs/>
          <w:color w:val="auto"/>
          <w:szCs w:val="21"/>
          <w:highlight w:val="none"/>
        </w:rPr>
        <w:t>任何人或任何组织向投标人提交的任何书面或口头资料，未经</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在网上发布或书面通知，均作无效处理，不得作为</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对投标人由此而做出的推论、理解和结论概不负责。</w:t>
      </w:r>
    </w:p>
    <w:p w14:paraId="11AE4433">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5.3.</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文件澄清的目的是澄清、解答投标人在查阅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文件后或现场踏勘中可能提出的与投标有关的疑问或询问。</w:t>
      </w:r>
      <w:r>
        <w:rPr>
          <w:rFonts w:hint="eastAsia" w:cs="宋体" w:asciiTheme="minorEastAsia" w:hAnsiTheme="minorEastAsia"/>
          <w:bCs/>
          <w:color w:val="auto"/>
          <w:szCs w:val="21"/>
          <w:highlight w:val="none"/>
          <w:lang w:val="en-US" w:eastAsia="zh-CN"/>
        </w:rPr>
        <w:t>征集</w:t>
      </w:r>
      <w:r>
        <w:rPr>
          <w:rFonts w:hint="eastAsia" w:cs="宋体" w:asciiTheme="minorEastAsia" w:hAnsiTheme="minorEastAsia" w:eastAsiaTheme="minorEastAsia"/>
          <w:bCs/>
          <w:color w:val="auto"/>
          <w:szCs w:val="21"/>
          <w:highlight w:val="none"/>
        </w:rPr>
        <w:t>文件的修改性文件，如补充、澄清文件或</w:t>
      </w:r>
      <w:r>
        <w:rPr>
          <w:rFonts w:hint="eastAsia" w:cs="宋体" w:asciiTheme="minorEastAsia" w:hAnsiTheme="minorEastAsia"/>
          <w:bCs/>
          <w:color w:val="auto"/>
          <w:szCs w:val="21"/>
          <w:highlight w:val="none"/>
          <w:lang w:val="en-US" w:eastAsia="zh-CN"/>
        </w:rPr>
        <w:t>征集</w:t>
      </w:r>
      <w:r>
        <w:rPr>
          <w:rFonts w:hint="eastAsia" w:cs="宋体" w:asciiTheme="minorEastAsia" w:hAnsiTheme="minorEastAsia" w:eastAsiaTheme="minorEastAsia"/>
          <w:bCs/>
          <w:color w:val="auto"/>
          <w:szCs w:val="21"/>
          <w:highlight w:val="none"/>
        </w:rPr>
        <w:t>文件修订说明同样具有法律效力。</w:t>
      </w:r>
    </w:p>
    <w:p w14:paraId="769203AE">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5.4.</w:t>
      </w:r>
      <w:r>
        <w:rPr>
          <w:rFonts w:hint="eastAsia" w:cs="宋体" w:asciiTheme="minorEastAsia" w:hAnsiTheme="minorEastAsia" w:eastAsiaTheme="minorEastAsia"/>
          <w:bCs/>
          <w:color w:val="auto"/>
          <w:szCs w:val="21"/>
          <w:highlight w:val="none"/>
        </w:rPr>
        <w:t>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文件进行澄清或者对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文件有限制性、倾向性条款提出</w:t>
      </w:r>
      <w:r>
        <w:rPr>
          <w:rFonts w:hint="eastAsia" w:cs="宋体" w:asciiTheme="minorEastAsia" w:hAnsiTheme="minorEastAsia"/>
          <w:bCs/>
          <w:color w:val="auto"/>
          <w:szCs w:val="21"/>
          <w:highlight w:val="none"/>
          <w:lang w:val="en-US" w:eastAsia="zh-CN"/>
        </w:rPr>
        <w:t>征集答疑</w:t>
      </w:r>
      <w:r>
        <w:rPr>
          <w:rFonts w:hint="eastAsia" w:cs="宋体" w:asciiTheme="minorEastAsia" w:hAnsiTheme="minorEastAsia" w:eastAsiaTheme="minorEastAsia"/>
          <w:bCs/>
          <w:color w:val="auto"/>
          <w:szCs w:val="21"/>
          <w:highlight w:val="none"/>
        </w:rPr>
        <w:t>的投标人，均应于“</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公告”中所述</w:t>
      </w:r>
      <w:r>
        <w:rPr>
          <w:rFonts w:hint="eastAsia" w:cs="宋体" w:asciiTheme="minorEastAsia" w:hAnsiTheme="minorEastAsia"/>
          <w:bCs/>
          <w:color w:val="auto"/>
          <w:szCs w:val="21"/>
          <w:highlight w:val="none"/>
          <w:lang w:val="en-US" w:eastAsia="zh-CN"/>
        </w:rPr>
        <w:t>投标</w:t>
      </w:r>
      <w:r>
        <w:rPr>
          <w:rFonts w:hint="eastAsia" w:cs="宋体" w:asciiTheme="minorEastAsia" w:hAnsiTheme="minorEastAsia" w:eastAsiaTheme="minorEastAsia"/>
          <w:bCs/>
          <w:color w:val="auto"/>
          <w:szCs w:val="21"/>
          <w:highlight w:val="none"/>
        </w:rPr>
        <w:t>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前书面通知</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对规定时间内收到的对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文件的澄清或者</w:t>
      </w:r>
      <w:r>
        <w:rPr>
          <w:rFonts w:hint="eastAsia" w:cs="宋体" w:asciiTheme="minorEastAsia" w:hAnsiTheme="minorEastAsia"/>
          <w:bCs/>
          <w:color w:val="auto"/>
          <w:szCs w:val="21"/>
          <w:highlight w:val="none"/>
          <w:lang w:val="en-US" w:eastAsia="zh-CN"/>
        </w:rPr>
        <w:t>质疑</w:t>
      </w:r>
      <w:r>
        <w:rPr>
          <w:rFonts w:hint="eastAsia" w:cs="宋体" w:asciiTheme="minorEastAsia" w:hAnsiTheme="minorEastAsia" w:eastAsiaTheme="minorEastAsia"/>
          <w:bCs/>
          <w:color w:val="auto"/>
          <w:szCs w:val="21"/>
          <w:highlight w:val="none"/>
        </w:rPr>
        <w:t>，视情况予以答复。</w:t>
      </w:r>
    </w:p>
    <w:p w14:paraId="212D649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5.5.</w:t>
      </w:r>
      <w:r>
        <w:rPr>
          <w:rFonts w:hint="eastAsia" w:cs="宋体" w:asciiTheme="minorEastAsia" w:hAnsiTheme="minorEastAsia" w:eastAsiaTheme="minorEastAsia"/>
          <w:bCs/>
          <w:color w:val="auto"/>
          <w:szCs w:val="21"/>
          <w:highlight w:val="none"/>
        </w:rPr>
        <w:t>不论是</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根据需要主动对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文件进行必要的澄清或是根据投标人的要求对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文件做出澄清，</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都将在投标截止日期前以书面形式（包括网站发布方式）答复或发送给所有投标人。答复内容是</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文件的组成部分，对投标人起约束作用。</w:t>
      </w:r>
    </w:p>
    <w:p w14:paraId="71321A8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5.6.</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文件发出后，在投标截止日期前任何时候，确需要变更</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内容的，</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可主动地或在解答投标人提出的澄清问题时对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文件进行修改</w:t>
      </w:r>
      <w:r>
        <w:rPr>
          <w:rFonts w:hint="eastAsia" w:cs="宋体" w:asciiTheme="minorEastAsia" w:hAnsiTheme="minorEastAsia"/>
          <w:bCs/>
          <w:color w:val="auto"/>
          <w:szCs w:val="21"/>
          <w:highlight w:val="none"/>
          <w:lang w:eastAsia="zh-CN"/>
        </w:rPr>
        <w:t>。</w:t>
      </w:r>
    </w:p>
    <w:p w14:paraId="0B39DAF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5.7.</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文件的修改均在指定网站</w:t>
      </w:r>
      <w:r>
        <w:rPr>
          <w:rFonts w:hint="eastAsia" w:cs="宋体" w:asciiTheme="minorEastAsia" w:hAnsiTheme="minorEastAsia"/>
          <w:bCs/>
          <w:color w:val="auto"/>
          <w:szCs w:val="21"/>
          <w:highlight w:val="none"/>
          <w:lang w:eastAsia="zh-CN"/>
        </w:rPr>
        <w:t>（</w:t>
      </w:r>
      <w:r>
        <w:rPr>
          <w:rFonts w:hint="eastAsia" w:cs="宋体" w:asciiTheme="minorEastAsia" w:hAnsiTheme="minorEastAsia"/>
          <w:bCs/>
          <w:color w:val="auto"/>
          <w:szCs w:val="21"/>
          <w:highlight w:val="none"/>
          <w:lang w:val="en-US" w:eastAsia="zh-CN"/>
        </w:rPr>
        <w:t>医院官网</w:t>
      </w:r>
      <w:r>
        <w:rPr>
          <w:rFonts w:hint="eastAsia" w:cs="宋体" w:asciiTheme="minorEastAsia" w:hAnsi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以网上公告形式发布，并对投标人具有约束力，在项目开标前，投标人有义务上网查看，公告一经上网发布，即视为送达。</w:t>
      </w:r>
    </w:p>
    <w:p w14:paraId="03A8854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5.8.</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文件修改补充通知内容均以书面明确的内容为准。当</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文件、修改补充通知、澄清（答疑）纪要内容相互矛盾时，以最后发出的通知（或纪要）或修改文件为准</w:t>
      </w:r>
      <w:r>
        <w:rPr>
          <w:rFonts w:hint="eastAsia" w:cs="宋体" w:asciiTheme="minorEastAsia" w:hAnsiTheme="minorEastAsia"/>
          <w:bCs/>
          <w:color w:val="auto"/>
          <w:szCs w:val="21"/>
          <w:highlight w:val="none"/>
          <w:lang w:eastAsia="zh-CN"/>
        </w:rPr>
        <w:t>。</w:t>
      </w:r>
    </w:p>
    <w:p w14:paraId="01BD5C1A">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5.9.我院</w:t>
      </w:r>
      <w:r>
        <w:rPr>
          <w:rFonts w:hint="eastAsia" w:cs="宋体" w:asciiTheme="minorEastAsia" w:hAnsiTheme="minorEastAsia" w:eastAsiaTheme="minorEastAsia"/>
          <w:bCs/>
          <w:color w:val="auto"/>
          <w:szCs w:val="21"/>
          <w:highlight w:val="none"/>
        </w:rPr>
        <w:t>保证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文件澄清（答疑）纪要和</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文件修改补充通知在投标截止时间前以网站公开发布形式或书面形式发送给所有投标人。为使投标人在编写投标文件时有充分时间对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文件的修改部分进行研究，</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可以酌情延长递交投标文件的截止日期，具体时间将在修改补充通知中明确。</w:t>
      </w:r>
    </w:p>
    <w:p w14:paraId="162D3CE0">
      <w:pPr>
        <w:numPr>
          <w:ilvl w:val="0"/>
          <w:numId w:val="0"/>
        </w:numPr>
        <w:adjustRightInd w:val="0"/>
        <w:snapToGrid w:val="0"/>
        <w:spacing w:line="360" w:lineRule="auto"/>
        <w:ind w:leftChars="0"/>
        <w:rPr>
          <w:rFonts w:hint="eastAsia" w:cs="宋体" w:asciiTheme="minorEastAsia" w:hAnsiTheme="minorEastAsia"/>
          <w:bCs/>
          <w:color w:val="auto"/>
          <w:szCs w:val="21"/>
          <w:highlight w:val="none"/>
          <w:lang w:val="en-US" w:eastAsia="zh-CN"/>
        </w:rPr>
      </w:pPr>
      <w:r>
        <w:rPr>
          <w:rFonts w:hint="eastAsia" w:cs="宋体" w:asciiTheme="minorEastAsia" w:hAnsiTheme="minorEastAsia"/>
          <w:bCs/>
          <w:color w:val="auto"/>
          <w:szCs w:val="21"/>
          <w:highlight w:val="none"/>
          <w:lang w:val="en-US" w:eastAsia="zh-CN"/>
        </w:rPr>
        <w:t>5.10.征集文件由深圳市福田区第二人民医院负责解释。</w:t>
      </w:r>
    </w:p>
    <w:p w14:paraId="59DC293A">
      <w:pPr>
        <w:numPr>
          <w:ilvl w:val="0"/>
          <w:numId w:val="0"/>
        </w:numPr>
        <w:adjustRightInd w:val="0"/>
        <w:snapToGrid w:val="0"/>
        <w:spacing w:line="360" w:lineRule="auto"/>
        <w:ind w:leftChars="0"/>
        <w:rPr>
          <w:rFonts w:hint="eastAsia" w:ascii="宋体" w:hAnsi="宋体"/>
          <w:szCs w:val="21"/>
        </w:rPr>
      </w:pPr>
      <w:r>
        <w:rPr>
          <w:rFonts w:hint="eastAsia" w:cs="宋体" w:asciiTheme="minorEastAsia" w:hAnsiTheme="minorEastAsia"/>
          <w:bCs/>
          <w:color w:val="auto"/>
          <w:szCs w:val="21"/>
          <w:highlight w:val="none"/>
          <w:lang w:val="en-US" w:eastAsia="zh-CN"/>
        </w:rPr>
        <w:t>5.11.</w:t>
      </w:r>
      <w:r>
        <w:rPr>
          <w:rFonts w:hint="eastAsia" w:ascii="宋体" w:hAnsi="宋体"/>
          <w:szCs w:val="21"/>
        </w:rPr>
        <w:t>本次招投标的最终解释权归</w:t>
      </w:r>
      <w:r>
        <w:rPr>
          <w:rFonts w:hint="eastAsia" w:cs="宋体" w:asciiTheme="minorEastAsia" w:hAnsiTheme="minorEastAsia"/>
          <w:bCs/>
          <w:color w:val="auto"/>
          <w:szCs w:val="21"/>
          <w:highlight w:val="none"/>
          <w:lang w:val="en-US" w:eastAsia="zh-CN"/>
        </w:rPr>
        <w:t>深圳市福田区第二人民医院</w:t>
      </w:r>
      <w:r>
        <w:rPr>
          <w:rFonts w:hint="eastAsia" w:ascii="宋体" w:hAnsi="宋体"/>
          <w:szCs w:val="21"/>
        </w:rPr>
        <w:t>所有。本文件未作须知明示，而又有相关法律、法规规定的，</w:t>
      </w:r>
      <w:r>
        <w:rPr>
          <w:rFonts w:hint="eastAsia" w:cs="宋体" w:asciiTheme="minorEastAsia" w:hAnsiTheme="minorEastAsia"/>
          <w:bCs/>
          <w:color w:val="auto"/>
          <w:szCs w:val="21"/>
          <w:highlight w:val="none"/>
          <w:lang w:val="en-US" w:eastAsia="zh-CN"/>
        </w:rPr>
        <w:t>深圳市福田区第二人民医院</w:t>
      </w:r>
      <w:r>
        <w:rPr>
          <w:rFonts w:hint="eastAsia" w:ascii="宋体" w:hAnsi="宋体"/>
          <w:szCs w:val="21"/>
        </w:rPr>
        <w:t>将对此解释为依据有关法律、法规的规定。</w:t>
      </w:r>
    </w:p>
    <w:p w14:paraId="65742B83">
      <w:pPr>
        <w:numPr>
          <w:ilvl w:val="0"/>
          <w:numId w:val="0"/>
        </w:numPr>
        <w:adjustRightInd w:val="0"/>
        <w:snapToGrid w:val="0"/>
        <w:spacing w:line="360" w:lineRule="auto"/>
        <w:ind w:leftChars="0"/>
        <w:rPr>
          <w:rFonts w:hint="default" w:cs="宋体" w:asciiTheme="minorEastAsia" w:hAnsiTheme="minorEastAsia"/>
          <w:bCs/>
          <w:color w:val="auto"/>
          <w:szCs w:val="21"/>
          <w:highlight w:val="none"/>
          <w:lang w:val="en-US" w:eastAsia="zh-CN"/>
        </w:rPr>
      </w:pPr>
    </w:p>
    <w:p w14:paraId="71E88C04">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05" w:name="_Toc15510"/>
      <w:bookmarkStart w:id="106" w:name="_Toc435516652"/>
      <w:bookmarkStart w:id="107" w:name="_Toc435174935"/>
      <w:bookmarkStart w:id="108" w:name="_Toc22222"/>
      <w:bookmarkStart w:id="109" w:name="_Toc438223138"/>
      <w:r>
        <w:rPr>
          <w:rFonts w:hint="eastAsia" w:asciiTheme="majorEastAsia" w:hAnsiTheme="majorEastAsia" w:eastAsiaTheme="majorEastAsia"/>
          <w:sz w:val="30"/>
          <w:szCs w:val="30"/>
          <w:lang w:eastAsia="zh-TW"/>
        </w:rPr>
        <w:t>投标文件的编制</w:t>
      </w:r>
      <w:bookmarkEnd w:id="105"/>
      <w:bookmarkEnd w:id="106"/>
      <w:bookmarkEnd w:id="107"/>
      <w:bookmarkEnd w:id="108"/>
      <w:bookmarkEnd w:id="109"/>
    </w:p>
    <w:p w14:paraId="5EBD4F7D">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0" w:name="_Toc27317"/>
      <w:r>
        <w:rPr>
          <w:rFonts w:hint="eastAsia" w:ascii="宋体" w:hAnsi="宋体"/>
          <w:b/>
          <w:bCs/>
          <w:szCs w:val="21"/>
        </w:rPr>
        <w:t>投标的语言</w:t>
      </w:r>
      <w:bookmarkEnd w:id="110"/>
      <w:r>
        <w:rPr>
          <w:rFonts w:hint="eastAsia" w:ascii="宋体" w:hAnsi="宋体"/>
          <w:b/>
          <w:bCs/>
          <w:szCs w:val="21"/>
          <w:lang w:val="en-US" w:eastAsia="zh-CN"/>
        </w:rPr>
        <w:t>及度量单位</w:t>
      </w:r>
    </w:p>
    <w:p w14:paraId="60E51897">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6.1.</w:t>
      </w:r>
      <w:r>
        <w:rPr>
          <w:rFonts w:hint="eastAsia" w:ascii="宋体" w:hAnsi="宋体" w:cs="宋体"/>
          <w:szCs w:val="21"/>
        </w:rPr>
        <w:t>投标人提交的投标文件以及投标人与采购人就有关投标的所有来往函电均应使用中文书写。投标人提交的支持文件或印刷的资料可以用另一种语言，但相应内容应附有中文翻译本，由翻译机构盖章或者翻译人员签名。</w:t>
      </w:r>
      <w:r>
        <w:rPr>
          <w:rFonts w:hint="eastAsia" w:ascii="宋体" w:hAnsi="宋体"/>
        </w:rPr>
        <w:t>两种语言不一致时以中文翻译本为准。</w:t>
      </w:r>
    </w:p>
    <w:p w14:paraId="2EC9C25D">
      <w:pPr>
        <w:numPr>
          <w:ilvl w:val="0"/>
          <w:numId w:val="0"/>
        </w:numPr>
        <w:autoSpaceDE w:val="0"/>
        <w:autoSpaceDN w:val="0"/>
        <w:adjustRightInd w:val="0"/>
        <w:snapToGrid w:val="0"/>
        <w:spacing w:line="360" w:lineRule="auto"/>
        <w:ind w:leftChars="0"/>
        <w:rPr>
          <w:rFonts w:hint="eastAsia" w:ascii="宋体" w:hAnsi="宋体" w:cs="宋体"/>
          <w:szCs w:val="21"/>
        </w:rPr>
      </w:pPr>
      <w:r>
        <w:rPr>
          <w:rFonts w:hint="eastAsia" w:ascii="宋体" w:hAnsi="宋体" w:cs="宋体"/>
          <w:szCs w:val="21"/>
          <w:lang w:val="en-US" w:eastAsia="zh-CN"/>
        </w:rPr>
        <w:t>6.2.</w:t>
      </w:r>
      <w:r>
        <w:rPr>
          <w:rFonts w:hint="eastAsia" w:ascii="宋体" w:hAnsi="宋体" w:cs="宋体"/>
          <w:szCs w:val="21"/>
        </w:rPr>
        <w:t>除技术规范另有规定外，投标文件使用的度量单位，均采用中华人民共和国法定计量单位。</w:t>
      </w:r>
    </w:p>
    <w:p w14:paraId="5EB2D7D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1" w:name="_Toc2446"/>
      <w:r>
        <w:rPr>
          <w:rFonts w:hint="eastAsia" w:ascii="宋体" w:hAnsi="宋体"/>
          <w:b/>
          <w:bCs/>
          <w:szCs w:val="21"/>
        </w:rPr>
        <w:t>投标文件的构成</w:t>
      </w:r>
      <w:bookmarkEnd w:id="111"/>
    </w:p>
    <w:p w14:paraId="57D603E8">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7.1.</w:t>
      </w:r>
      <w:r>
        <w:rPr>
          <w:rFonts w:hint="eastAsia" w:ascii="宋体" w:hAnsi="宋体" w:cs="宋体"/>
          <w:szCs w:val="21"/>
        </w:rPr>
        <w:t>投标人编写的投标文件应包括资格性文件、符合性文件、技术文件、商务文件等，编排顺序参见投标文件格式。</w:t>
      </w:r>
    </w:p>
    <w:p w14:paraId="219B7BC5">
      <w:pPr>
        <w:numPr>
          <w:ilvl w:val="0"/>
          <w:numId w:val="0"/>
        </w:numPr>
        <w:autoSpaceDE w:val="0"/>
        <w:autoSpaceDN w:val="0"/>
        <w:adjustRightInd w:val="0"/>
        <w:snapToGrid w:val="0"/>
        <w:spacing w:line="360" w:lineRule="auto"/>
        <w:ind w:leftChars="0"/>
        <w:outlineLvl w:val="9"/>
        <w:rPr>
          <w:rFonts w:ascii="宋体" w:hAnsi="宋体" w:cs="宋体"/>
          <w:szCs w:val="21"/>
        </w:rPr>
      </w:pPr>
      <w:r>
        <w:rPr>
          <w:rFonts w:hint="eastAsia" w:ascii="宋体" w:hAnsi="宋体" w:cs="宋体"/>
          <w:szCs w:val="21"/>
          <w:lang w:val="en-US" w:eastAsia="zh-CN"/>
        </w:rPr>
        <w:t>7.2.</w:t>
      </w:r>
      <w:r>
        <w:rPr>
          <w:rFonts w:hint="eastAsia" w:ascii="宋体" w:hAnsi="宋体" w:cs="宋体"/>
          <w:szCs w:val="21"/>
        </w:rPr>
        <w:t>投标文件的构成应符合法律法规及</w:t>
      </w:r>
      <w:r>
        <w:rPr>
          <w:rFonts w:hint="eastAsia" w:ascii="宋体" w:hAnsi="宋体" w:cs="宋体"/>
          <w:szCs w:val="21"/>
          <w:lang w:eastAsia="zh-CN"/>
        </w:rPr>
        <w:t>征集</w:t>
      </w:r>
      <w:r>
        <w:rPr>
          <w:rFonts w:hint="eastAsia" w:ascii="宋体" w:hAnsi="宋体" w:cs="宋体"/>
          <w:szCs w:val="21"/>
        </w:rPr>
        <w:t>文件的要求。</w:t>
      </w:r>
    </w:p>
    <w:p w14:paraId="0F86CEF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2" w:name="_Toc11091"/>
      <w:r>
        <w:rPr>
          <w:rFonts w:hint="eastAsia" w:ascii="宋体" w:hAnsi="宋体"/>
          <w:b/>
          <w:bCs/>
          <w:szCs w:val="21"/>
        </w:rPr>
        <w:t>投标文件的编写</w:t>
      </w:r>
      <w:bookmarkEnd w:id="112"/>
    </w:p>
    <w:p w14:paraId="3AA1BCA5">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8.1.</w:t>
      </w:r>
      <w:r>
        <w:rPr>
          <w:rFonts w:hint="eastAsia" w:ascii="宋体" w:hAnsi="宋体" w:cs="宋体"/>
          <w:szCs w:val="21"/>
        </w:rPr>
        <w:t>投标人对</w:t>
      </w:r>
      <w:r>
        <w:rPr>
          <w:rFonts w:hint="eastAsia" w:ascii="宋体" w:hAnsi="宋体" w:cs="宋体"/>
          <w:szCs w:val="21"/>
          <w:lang w:eastAsia="zh-CN"/>
        </w:rPr>
        <w:t>征集</w:t>
      </w:r>
      <w:r>
        <w:rPr>
          <w:rFonts w:hint="eastAsia" w:ascii="宋体" w:hAnsi="宋体" w:cs="宋体"/>
          <w:szCs w:val="21"/>
        </w:rPr>
        <w:t>文件中多个包组进行投标的，其投标文件的编制可按每个包组的要求分别装订和密封。投标人应当对投标文件进行装订，对未经装订的投标文件可能发生的文件散落或缺损，由此造成的后果和责任由投标人承担。</w:t>
      </w:r>
    </w:p>
    <w:p w14:paraId="2476390D">
      <w:pPr>
        <w:numPr>
          <w:ilvl w:val="0"/>
          <w:numId w:val="0"/>
        </w:numPr>
        <w:tabs>
          <w:tab w:val="left" w:pos="709"/>
        </w:tabs>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8.2.</w:t>
      </w:r>
      <w:r>
        <w:rPr>
          <w:rFonts w:hint="eastAsia" w:ascii="宋体" w:hAnsi="宋体" w:cs="宋体"/>
          <w:szCs w:val="21"/>
        </w:rPr>
        <w:t>投标人必须对投标文件所提供的全部资料的真实性承担法律责任，并无条件接受采购人或者</w:t>
      </w:r>
      <w:r>
        <w:rPr>
          <w:rFonts w:hint="eastAsia" w:ascii="宋体" w:hAnsi="宋体"/>
          <w:szCs w:val="21"/>
        </w:rPr>
        <w:t>政府采购监督管理部门</w:t>
      </w:r>
      <w:r>
        <w:rPr>
          <w:rFonts w:hint="eastAsia" w:ascii="宋体" w:hAnsi="宋体" w:cs="宋体"/>
          <w:szCs w:val="21"/>
        </w:rPr>
        <w:t>对其中任何资料进行核实的要求。</w:t>
      </w:r>
    </w:p>
    <w:p w14:paraId="1EC5433C">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8.3.</w:t>
      </w:r>
      <w:r>
        <w:rPr>
          <w:rFonts w:hint="eastAsia" w:ascii="宋体" w:hAnsi="宋体" w:cs="宋体"/>
          <w:szCs w:val="21"/>
        </w:rPr>
        <w:t>如果因为投标人的投标文件只填写和提供了本</w:t>
      </w:r>
      <w:r>
        <w:rPr>
          <w:rFonts w:hint="eastAsia" w:ascii="宋体" w:hAnsi="宋体" w:cs="宋体"/>
          <w:szCs w:val="21"/>
          <w:lang w:eastAsia="zh-CN"/>
        </w:rPr>
        <w:t>征集</w:t>
      </w:r>
      <w:r>
        <w:rPr>
          <w:rFonts w:hint="eastAsia" w:ascii="宋体" w:hAnsi="宋体" w:cs="宋体"/>
          <w:szCs w:val="21"/>
        </w:rPr>
        <w:t>文件要求的部分内容和附件，或没有提供</w:t>
      </w:r>
      <w:r>
        <w:rPr>
          <w:rFonts w:hint="eastAsia" w:ascii="宋体" w:hAnsi="宋体" w:cs="宋体"/>
          <w:szCs w:val="21"/>
          <w:lang w:eastAsia="zh-CN"/>
        </w:rPr>
        <w:t>征集</w:t>
      </w:r>
      <w:r>
        <w:rPr>
          <w:rFonts w:hint="eastAsia" w:ascii="宋体" w:hAnsi="宋体" w:cs="宋体"/>
          <w:szCs w:val="21"/>
        </w:rPr>
        <w:t>文件中所要求的资料及数据，由此造成的后果和责任由投标人承担。</w:t>
      </w:r>
    </w:p>
    <w:p w14:paraId="274B42DA">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8.4.</w:t>
      </w:r>
      <w:r>
        <w:rPr>
          <w:rFonts w:hint="eastAsia" w:ascii="宋体" w:hAnsi="宋体" w:cs="宋体"/>
          <w:szCs w:val="21"/>
        </w:rPr>
        <w:t>投标人应认真阅读、并充分理解</w:t>
      </w:r>
      <w:r>
        <w:rPr>
          <w:rFonts w:hint="eastAsia" w:ascii="宋体" w:hAnsi="宋体" w:cs="宋体"/>
          <w:szCs w:val="21"/>
          <w:lang w:eastAsia="zh-CN"/>
        </w:rPr>
        <w:t>征集</w:t>
      </w:r>
      <w:r>
        <w:rPr>
          <w:rFonts w:hint="eastAsia" w:ascii="宋体" w:hAnsi="宋体" w:cs="宋体"/>
          <w:szCs w:val="21"/>
        </w:rPr>
        <w:t>文件的全部内容（包括所有的补充、修改内容重要事项、格式、条款和技术规范、参数及要求等）。投标人没有按照</w:t>
      </w:r>
      <w:r>
        <w:rPr>
          <w:rFonts w:hint="eastAsia" w:ascii="宋体" w:hAnsi="宋体" w:cs="宋体"/>
          <w:szCs w:val="21"/>
          <w:lang w:eastAsia="zh-CN"/>
        </w:rPr>
        <w:t>征集</w:t>
      </w:r>
      <w:r>
        <w:rPr>
          <w:rFonts w:hint="eastAsia" w:ascii="宋体" w:hAnsi="宋体" w:cs="宋体"/>
          <w:szCs w:val="21"/>
        </w:rPr>
        <w:t>文件要求提交资料，或者投标文件没有对</w:t>
      </w:r>
      <w:r>
        <w:rPr>
          <w:rFonts w:hint="eastAsia" w:ascii="宋体" w:hAnsi="宋体" w:cs="宋体"/>
          <w:szCs w:val="21"/>
          <w:lang w:eastAsia="zh-CN"/>
        </w:rPr>
        <w:t>征集</w:t>
      </w:r>
      <w:r>
        <w:rPr>
          <w:rFonts w:hint="eastAsia" w:ascii="宋体" w:hAnsi="宋体" w:cs="宋体"/>
          <w:szCs w:val="21"/>
        </w:rPr>
        <w:t>文件在各方面都作出实质性响应是投标人的风险，有可能导致其投标被认定为无效投标或被确定为投标无效。</w:t>
      </w:r>
    </w:p>
    <w:p w14:paraId="20EF46C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8.5.</w:t>
      </w:r>
      <w:r>
        <w:rPr>
          <w:rFonts w:hint="eastAsia" w:ascii="宋体" w:hAnsi="宋体" w:cs="宋体"/>
          <w:szCs w:val="21"/>
        </w:rPr>
        <w:t>如</w:t>
      </w:r>
      <w:r>
        <w:rPr>
          <w:rFonts w:hint="eastAsia" w:ascii="宋体" w:hAnsi="宋体" w:cs="宋体"/>
          <w:szCs w:val="21"/>
          <w:lang w:eastAsia="zh-CN"/>
        </w:rPr>
        <w:t>征集</w:t>
      </w:r>
      <w:r>
        <w:rPr>
          <w:rFonts w:hint="eastAsia" w:ascii="宋体" w:hAnsi="宋体" w:cs="宋体"/>
          <w:szCs w:val="21"/>
        </w:rPr>
        <w:t>文件提供了投标文件格式，则投标人提交的投标文件必须毫无例外地使用</w:t>
      </w:r>
      <w:r>
        <w:rPr>
          <w:rFonts w:hint="eastAsia" w:ascii="宋体" w:hAnsi="宋体" w:cs="宋体"/>
          <w:szCs w:val="21"/>
          <w:lang w:eastAsia="zh-CN"/>
        </w:rPr>
        <w:t>征集</w:t>
      </w:r>
      <w:r>
        <w:rPr>
          <w:rFonts w:hint="eastAsia" w:ascii="宋体" w:hAnsi="宋体" w:cs="宋体"/>
          <w:szCs w:val="21"/>
        </w:rPr>
        <w:t>文件所提供的相应格式（表格可以按同样格式扩展）。</w:t>
      </w:r>
    </w:p>
    <w:p w14:paraId="17A80A89">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3" w:name="_Toc7497"/>
      <w:r>
        <w:rPr>
          <w:rFonts w:hint="eastAsia" w:ascii="宋体" w:hAnsi="宋体"/>
          <w:b/>
          <w:bCs/>
          <w:szCs w:val="21"/>
        </w:rPr>
        <w:t>投标报价</w:t>
      </w:r>
      <w:bookmarkEnd w:id="113"/>
    </w:p>
    <w:p w14:paraId="34667E9C">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9.1.</w:t>
      </w:r>
      <w:r>
        <w:rPr>
          <w:rFonts w:hint="eastAsia" w:ascii="宋体" w:hAnsi="宋体" w:cs="宋体"/>
          <w:szCs w:val="21"/>
        </w:rPr>
        <w:t>投标人应按照“用户需求书”中采购项目技术规格、参数及要求规定的内容、责任范围进行报价。并按《开标一览表(报价表)》及《投标分项报价表》（如适用）的要求报出总价和分项价格。</w:t>
      </w:r>
    </w:p>
    <w:p w14:paraId="4C0B5911">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cs="宋体"/>
          <w:szCs w:val="21"/>
          <w:lang w:val="en-US" w:eastAsia="zh-CN"/>
        </w:rPr>
        <w:t>9.2.</w:t>
      </w:r>
      <w:r>
        <w:rPr>
          <w:rFonts w:hint="eastAsia" w:ascii="宋体" w:hAnsi="宋体" w:cs="宋体"/>
          <w:szCs w:val="21"/>
          <w:lang w:eastAsia="zh-TW"/>
        </w:rPr>
        <w:t>投标分项报价</w:t>
      </w:r>
      <w:r>
        <w:rPr>
          <w:rFonts w:hint="eastAsia" w:ascii="宋体" w:hAnsi="宋体" w:cs="宋体"/>
          <w:szCs w:val="21"/>
        </w:rPr>
        <w:t>应包含：</w:t>
      </w:r>
    </w:p>
    <w:p w14:paraId="7BEEE35F">
      <w:pPr>
        <w:numPr>
          <w:ilvl w:val="0"/>
          <w:numId w:val="0"/>
        </w:numPr>
        <w:tabs>
          <w:tab w:val="left" w:pos="851"/>
        </w:tabs>
        <w:autoSpaceDE w:val="0"/>
        <w:autoSpaceDN w:val="0"/>
        <w:adjustRightInd w:val="0"/>
        <w:snapToGrid w:val="0"/>
        <w:spacing w:line="360" w:lineRule="auto"/>
        <w:ind w:leftChars="0"/>
        <w:jc w:val="left"/>
        <w:rPr>
          <w:rFonts w:ascii="宋体" w:hAnsi="宋体" w:cs="宋体"/>
          <w:szCs w:val="21"/>
        </w:rPr>
      </w:pPr>
      <w:r>
        <w:rPr>
          <w:rFonts w:hint="eastAsia" w:ascii="宋体" w:hAnsi="宋体" w:cs="宋体"/>
          <w:szCs w:val="21"/>
          <w:lang w:val="en-US" w:eastAsia="zh-CN"/>
        </w:rPr>
        <w:t>9.2.1.</w:t>
      </w:r>
      <w:r>
        <w:rPr>
          <w:rFonts w:hint="eastAsia" w:ascii="宋体" w:hAnsi="宋体" w:cs="宋体"/>
          <w:szCs w:val="21"/>
        </w:rPr>
        <w:t>按</w:t>
      </w:r>
      <w:r>
        <w:rPr>
          <w:rFonts w:hint="eastAsia" w:ascii="宋体" w:hAnsi="宋体" w:cs="宋体"/>
          <w:szCs w:val="21"/>
          <w:lang w:eastAsia="zh-CN"/>
        </w:rPr>
        <w:t>征集</w:t>
      </w:r>
      <w:r>
        <w:rPr>
          <w:rFonts w:hint="eastAsia" w:ascii="宋体" w:hAnsi="宋体" w:cs="宋体"/>
          <w:szCs w:val="21"/>
        </w:rPr>
        <w:t>文件的要求全部货物及服务内容所需的所有费用，</w:t>
      </w:r>
      <w:r>
        <w:t>包括但不限于项目的</w:t>
      </w:r>
      <w:r>
        <w:rPr>
          <w:rFonts w:hint="eastAsia" w:ascii="宋体" w:hAnsi="宋体" w:cs="宋体"/>
          <w:szCs w:val="21"/>
        </w:rPr>
        <w:t>全部产品价格、服务价格、应向中华人民共和国政府缴纳的增值税和其它税等全部税费、</w:t>
      </w:r>
      <w:r>
        <w:t>运输、保险、安装、伴随服务、</w:t>
      </w:r>
      <w:r>
        <w:rPr>
          <w:rFonts w:hint="eastAsia" w:ascii="宋体" w:hAnsi="宋体" w:cs="宋体"/>
          <w:szCs w:val="21"/>
        </w:rPr>
        <w:t>标准附件价、备品备件及专用工具价</w:t>
      </w:r>
      <w:r>
        <w:rPr>
          <w:rFonts w:ascii="宋体" w:hAnsi="宋体" w:cs="宋体"/>
          <w:szCs w:val="21"/>
        </w:rPr>
        <w:t>(</w:t>
      </w:r>
      <w:r>
        <w:rPr>
          <w:rFonts w:hint="eastAsia" w:ascii="宋体" w:hAnsi="宋体" w:cs="宋体"/>
          <w:szCs w:val="21"/>
        </w:rPr>
        <w:t>如有</w:t>
      </w:r>
      <w:r>
        <w:rPr>
          <w:rFonts w:ascii="宋体" w:hAnsi="宋体" w:cs="宋体"/>
          <w:szCs w:val="21"/>
        </w:rPr>
        <w:t>)、</w:t>
      </w:r>
      <w:r>
        <w:t>以及</w:t>
      </w:r>
      <w:r>
        <w:rPr>
          <w:rFonts w:hint="eastAsia" w:ascii="宋体" w:hAnsi="宋体" w:cs="宋体"/>
          <w:szCs w:val="21"/>
        </w:rPr>
        <w:t>履行合同所需的费用、</w:t>
      </w:r>
      <w:r>
        <w:t>所有风险、责任等</w:t>
      </w:r>
      <w:r>
        <w:rPr>
          <w:rFonts w:hint="eastAsia" w:ascii="宋体" w:hAnsi="宋体" w:cs="宋体"/>
          <w:szCs w:val="21"/>
        </w:rPr>
        <w:t>其他一切隐含及不可预见的费用</w:t>
      </w:r>
      <w:r>
        <w:t>。如是</w:t>
      </w:r>
      <w:r>
        <w:rPr>
          <w:rFonts w:hint="eastAsia" w:ascii="宋体" w:hAnsi="宋体" w:cs="宋体"/>
          <w:szCs w:val="21"/>
        </w:rPr>
        <w:t>提供境外的货物，还应包括货物从境外进口己缴纳或应缴纳的全部关税、增值税和其它税、报货物境外离岸价格、国外运输费、国外运输保险费等费用。投标资料表中对进口环节关税和增值税另有规定的，从其规定。</w:t>
      </w:r>
    </w:p>
    <w:p w14:paraId="46B2DB31">
      <w:pPr>
        <w:numPr>
          <w:ilvl w:val="0"/>
          <w:numId w:val="0"/>
        </w:numPr>
        <w:tabs>
          <w:tab w:val="left" w:pos="851"/>
        </w:tabs>
        <w:autoSpaceDE w:val="0"/>
        <w:autoSpaceDN w:val="0"/>
        <w:adjustRightInd w:val="0"/>
        <w:snapToGrid w:val="0"/>
        <w:spacing w:line="360" w:lineRule="auto"/>
        <w:ind w:leftChars="0"/>
        <w:jc w:val="left"/>
        <w:outlineLvl w:val="9"/>
        <w:rPr>
          <w:rFonts w:ascii="宋体" w:hAnsi="宋体" w:cs="宋体"/>
          <w:szCs w:val="21"/>
        </w:rPr>
      </w:pPr>
      <w:r>
        <w:rPr>
          <w:rFonts w:hint="eastAsia" w:ascii="宋体" w:hAnsi="宋体" w:cs="宋体"/>
          <w:szCs w:val="21"/>
          <w:lang w:val="en-US" w:eastAsia="zh-CN"/>
        </w:rPr>
        <w:t>9.2.2.</w:t>
      </w:r>
      <w:r>
        <w:rPr>
          <w:rFonts w:hint="eastAsia" w:ascii="宋体" w:hAnsi="宋体" w:cs="宋体"/>
          <w:szCs w:val="21"/>
        </w:rPr>
        <w:t>对于报价免费的内容须标明“免费”。</w:t>
      </w:r>
    </w:p>
    <w:p w14:paraId="3708B8C6">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9.3.</w:t>
      </w:r>
      <w:r>
        <w:rPr>
          <w:rFonts w:hint="eastAsia" w:ascii="宋体" w:hAnsi="宋体"/>
          <w:szCs w:val="21"/>
        </w:rPr>
        <w:t>除</w:t>
      </w:r>
      <w:r>
        <w:rPr>
          <w:rFonts w:hint="eastAsia" w:ascii="宋体" w:hAnsi="宋体" w:cs="宋体"/>
          <w:szCs w:val="21"/>
        </w:rPr>
        <w:t>投标资料表中另有</w:t>
      </w:r>
      <w:r>
        <w:rPr>
          <w:rFonts w:hint="eastAsia" w:ascii="宋体" w:hAnsi="宋体"/>
          <w:szCs w:val="21"/>
        </w:rPr>
        <w:t>规定，</w:t>
      </w:r>
      <w:r>
        <w:rPr>
          <w:rFonts w:hint="eastAsia" w:ascii="宋体" w:hAnsi="宋体" w:cs="宋体"/>
          <w:szCs w:val="21"/>
        </w:rPr>
        <w:t>投标人所报的投标价在合同执行过程中是固定不变的，不得以任何理由予以变更。任何包含价格调整要求的投标被认为是非实质性响应投标而予以拒绝。</w:t>
      </w:r>
    </w:p>
    <w:p w14:paraId="36D75F9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9.4.</w:t>
      </w:r>
      <w:r>
        <w:rPr>
          <w:rFonts w:hint="eastAsia" w:ascii="宋体" w:hAnsi="宋体" w:cs="宋体"/>
          <w:szCs w:val="21"/>
        </w:rPr>
        <w:t>除投标资料表中允许有</w:t>
      </w:r>
      <w:r>
        <w:rPr>
          <w:rFonts w:hint="eastAsia" w:ascii="宋体" w:hAnsi="宋体"/>
          <w:szCs w:val="21"/>
        </w:rPr>
        <w:t>备选方案外，本次</w:t>
      </w:r>
      <w:r>
        <w:rPr>
          <w:rFonts w:hint="eastAsia" w:ascii="宋体" w:hAnsi="宋体"/>
          <w:szCs w:val="21"/>
          <w:lang w:eastAsia="zh-CN"/>
        </w:rPr>
        <w:t>征集</w:t>
      </w:r>
      <w:r>
        <w:rPr>
          <w:rFonts w:hint="eastAsia" w:ascii="宋体" w:hAnsi="宋体"/>
          <w:szCs w:val="21"/>
        </w:rPr>
        <w:t>不接受选择性报价，</w:t>
      </w:r>
      <w:r>
        <w:rPr>
          <w:rFonts w:hint="eastAsia" w:ascii="宋体" w:hAnsi="宋体" w:cs="宋体"/>
          <w:szCs w:val="21"/>
        </w:rPr>
        <w:t>否则将被视为无效投标。</w:t>
      </w:r>
    </w:p>
    <w:p w14:paraId="32B5E02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9.5.</w:t>
      </w:r>
      <w:r>
        <w:rPr>
          <w:rFonts w:hint="eastAsia" w:ascii="宋体" w:hAnsi="宋体"/>
          <w:szCs w:val="21"/>
        </w:rPr>
        <w:t>除投标资料表另有规定外，本次</w:t>
      </w:r>
      <w:r>
        <w:rPr>
          <w:rFonts w:hint="eastAsia" w:ascii="宋体" w:hAnsi="宋体"/>
          <w:szCs w:val="21"/>
          <w:lang w:eastAsia="zh-CN"/>
        </w:rPr>
        <w:t>征集</w:t>
      </w:r>
      <w:r>
        <w:rPr>
          <w:rFonts w:hint="eastAsia" w:ascii="宋体" w:hAnsi="宋体"/>
          <w:szCs w:val="21"/>
        </w:rPr>
        <w:t>不接受具有附加条件的报价，</w:t>
      </w:r>
      <w:r>
        <w:rPr>
          <w:rFonts w:hint="eastAsia" w:ascii="宋体" w:hAnsi="宋体" w:cs="宋体"/>
          <w:szCs w:val="21"/>
        </w:rPr>
        <w:t>否则将被视为无效投标。</w:t>
      </w:r>
    </w:p>
    <w:p w14:paraId="2B358E29">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4" w:name="_Toc2827"/>
      <w:r>
        <w:rPr>
          <w:rFonts w:hint="eastAsia" w:ascii="宋体" w:hAnsi="宋体"/>
          <w:b/>
          <w:bCs/>
          <w:szCs w:val="21"/>
        </w:rPr>
        <w:t>投标货币</w:t>
      </w:r>
      <w:bookmarkEnd w:id="114"/>
    </w:p>
    <w:p w14:paraId="75F25268">
      <w:pPr>
        <w:numPr>
          <w:ilvl w:val="1"/>
          <w:numId w:val="17"/>
        </w:numPr>
        <w:autoSpaceDE w:val="0"/>
        <w:autoSpaceDN w:val="0"/>
        <w:adjustRightInd w:val="0"/>
        <w:snapToGrid w:val="0"/>
        <w:spacing w:line="360" w:lineRule="auto"/>
        <w:ind w:left="567" w:leftChars="0" w:hanging="567" w:firstLineChars="0"/>
        <w:outlineLvl w:val="9"/>
        <w:rPr>
          <w:rFonts w:ascii="宋体" w:hAnsi="宋体"/>
          <w:szCs w:val="21"/>
        </w:rPr>
      </w:pPr>
      <w:r>
        <w:rPr>
          <w:rFonts w:hint="eastAsia" w:ascii="宋体" w:hAnsi="宋体"/>
          <w:szCs w:val="21"/>
        </w:rPr>
        <w:t>投标人所提供的货物和服务均应以人民币报价。</w:t>
      </w:r>
    </w:p>
    <w:p w14:paraId="74EED58B">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5" w:name="_Toc23174"/>
      <w:r>
        <w:rPr>
          <w:rFonts w:hint="eastAsia" w:ascii="宋体" w:hAnsi="宋体"/>
          <w:b/>
          <w:bCs/>
          <w:szCs w:val="21"/>
        </w:rPr>
        <w:t>联合体投标</w:t>
      </w:r>
      <w:bookmarkEnd w:id="115"/>
    </w:p>
    <w:p w14:paraId="1C1E2EC5">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除</w:t>
      </w:r>
      <w:r>
        <w:rPr>
          <w:rFonts w:hint="eastAsia" w:ascii="宋体" w:hAnsi="宋体"/>
          <w:bCs/>
          <w:szCs w:val="20"/>
        </w:rPr>
        <w:t>非投标邀请中另有规定</w:t>
      </w:r>
      <w:r>
        <w:rPr>
          <w:rFonts w:hint="eastAsia" w:ascii="宋体" w:hAnsi="宋体"/>
          <w:szCs w:val="21"/>
        </w:rPr>
        <w:t>，不接受联合体投标。如果投标邀请中规定允许联合体投标的，则必须满足：</w:t>
      </w:r>
    </w:p>
    <w:p w14:paraId="5EFCE26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11.1.1.</w:t>
      </w:r>
      <w:r>
        <w:rPr>
          <w:rFonts w:hint="eastAsia" w:ascii="宋体" w:hAnsi="宋体"/>
          <w:szCs w:val="21"/>
        </w:rPr>
        <w:t>以联合体形式参加投标的，联合体各方均必须符合联合体各方均必须符合</w:t>
      </w:r>
      <w:r>
        <w:rPr>
          <w:rFonts w:hint="eastAsia" w:ascii="宋体" w:hAnsi="宋体"/>
          <w:bCs/>
          <w:szCs w:val="20"/>
        </w:rPr>
        <w:t>《中华人民共和国政府采购法》第二十二条第（一）至（六）项规定。</w:t>
      </w:r>
    </w:p>
    <w:p w14:paraId="7D7ADB52">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11.1.2.</w:t>
      </w:r>
      <w:r>
        <w:rPr>
          <w:rFonts w:hint="eastAsia" w:ascii="宋体" w:hAnsi="宋体"/>
          <w:szCs w:val="21"/>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168C4E3F">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11.1.3.</w:t>
      </w:r>
      <w:r>
        <w:rPr>
          <w:rFonts w:hint="eastAsia" w:ascii="宋体" w:hAnsi="宋体"/>
          <w:szCs w:val="21"/>
        </w:rPr>
        <w:t>联合体中有同类资质的供应商按照联合体分工承担相同工作的，应当按照资质等级较低的供应商确定资质等级。</w:t>
      </w:r>
    </w:p>
    <w:p w14:paraId="637120FC">
      <w:pPr>
        <w:numPr>
          <w:ilvl w:val="0"/>
          <w:numId w:val="0"/>
        </w:numPr>
        <w:tabs>
          <w:tab w:val="left" w:pos="851"/>
        </w:tabs>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11.1.4.</w:t>
      </w:r>
      <w:r>
        <w:rPr>
          <w:rFonts w:ascii="宋体" w:hAnsi="宋体"/>
          <w:szCs w:val="21"/>
        </w:rPr>
        <w:t>联合体中标的，联合体各方应当共同与</w:t>
      </w:r>
      <w:r>
        <w:rPr>
          <w:rFonts w:hint="eastAsia" w:ascii="宋体" w:hAnsi="宋体"/>
          <w:szCs w:val="21"/>
        </w:rPr>
        <w:t>采购</w:t>
      </w:r>
      <w:r>
        <w:rPr>
          <w:rFonts w:ascii="宋体" w:hAnsi="宋体"/>
          <w:szCs w:val="21"/>
        </w:rPr>
        <w:t>人签订合同。</w:t>
      </w:r>
    </w:p>
    <w:p w14:paraId="1D5AF8E3">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6" w:name="_Toc14020"/>
      <w:r>
        <w:rPr>
          <w:rFonts w:hint="eastAsia" w:ascii="宋体" w:hAnsi="宋体"/>
          <w:b/>
          <w:bCs/>
          <w:szCs w:val="21"/>
        </w:rPr>
        <w:t>证明投标人合格和资格的文件</w:t>
      </w:r>
      <w:bookmarkEnd w:id="116"/>
    </w:p>
    <w:p w14:paraId="5439B540">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投标人应提交证明其有资格参加投标和中标后有能力履行合同的文件，并作为其投标文件的一部分。如果投标人为联合体，应提交联合体各方的资格证明文件、</w:t>
      </w:r>
      <w:r>
        <w:rPr>
          <w:rFonts w:hint="eastAsia" w:ascii="宋体" w:hAnsi="宋体"/>
          <w:szCs w:val="21"/>
        </w:rPr>
        <w:t>联合</w:t>
      </w:r>
      <w:r>
        <w:rPr>
          <w:rFonts w:hint="eastAsia" w:ascii="宋体" w:hAnsi="宋体" w:cs="宋体"/>
          <w:szCs w:val="21"/>
        </w:rPr>
        <w:t>投标协议并注明主体方及各方拟承担的工作和责任。</w:t>
      </w:r>
      <w:r>
        <w:rPr>
          <w:rFonts w:hint="eastAsia" w:ascii="宋体" w:hAnsi="宋体" w:cs="宋体"/>
          <w:szCs w:val="21"/>
          <w:lang w:eastAsia="zh-TW"/>
        </w:rPr>
        <w:t>否则</w:t>
      </w:r>
      <w:r>
        <w:rPr>
          <w:rFonts w:hint="eastAsia" w:ascii="宋体" w:hAnsi="宋体" w:cs="宋体"/>
          <w:szCs w:val="21"/>
        </w:rPr>
        <w:t>，</w:t>
      </w:r>
      <w:r>
        <w:rPr>
          <w:rFonts w:hint="eastAsia" w:ascii="宋体" w:hAnsi="宋体" w:cs="宋体"/>
          <w:szCs w:val="21"/>
          <w:lang w:eastAsia="zh-TW"/>
        </w:rPr>
        <w:t>将导致其投标</w:t>
      </w:r>
      <w:r>
        <w:rPr>
          <w:rFonts w:hint="eastAsia" w:ascii="宋体" w:hAnsi="宋体" w:cs="宋体"/>
          <w:szCs w:val="21"/>
        </w:rPr>
        <w:t>无效。</w:t>
      </w:r>
    </w:p>
    <w:p w14:paraId="2E771B7C">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投标人提交的资格证明文件应证明其满足</w:t>
      </w:r>
      <w:r>
        <w:rPr>
          <w:rFonts w:hint="eastAsia" w:ascii="宋体"/>
          <w:bCs/>
          <w:szCs w:val="20"/>
        </w:rPr>
        <w:t>投标人的资格要求</w:t>
      </w:r>
      <w:r>
        <w:rPr>
          <w:rFonts w:hint="eastAsia" w:ascii="宋体" w:hAnsi="宋体" w:cs="宋体"/>
          <w:szCs w:val="21"/>
        </w:rPr>
        <w:t>。</w:t>
      </w:r>
    </w:p>
    <w:p w14:paraId="62D8239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7" w:name="_Toc17198"/>
      <w:r>
        <w:rPr>
          <w:rFonts w:ascii="宋体" w:hAnsi="宋体"/>
          <w:b/>
          <w:bCs/>
          <w:szCs w:val="21"/>
        </w:rPr>
        <w:t>证明投标标的的合格性和符合</w:t>
      </w:r>
      <w:r>
        <w:rPr>
          <w:rFonts w:hint="eastAsia" w:ascii="宋体" w:hAnsi="宋体"/>
          <w:b/>
          <w:bCs/>
          <w:szCs w:val="21"/>
          <w:lang w:eastAsia="zh-CN"/>
        </w:rPr>
        <w:t>征集</w:t>
      </w:r>
      <w:r>
        <w:rPr>
          <w:rFonts w:ascii="宋体" w:hAnsi="宋体"/>
          <w:b/>
          <w:bCs/>
          <w:szCs w:val="21"/>
        </w:rPr>
        <w:t>文件规定的文件</w:t>
      </w:r>
      <w:bookmarkEnd w:id="117"/>
    </w:p>
    <w:p w14:paraId="6B9702A6">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投标人应提交证明文件，证明其拟投标的货物和服务的合格性符合</w:t>
      </w:r>
      <w:r>
        <w:rPr>
          <w:rFonts w:hint="eastAsia" w:ascii="宋体" w:hAnsi="宋体" w:cs="宋体"/>
          <w:szCs w:val="21"/>
          <w:lang w:eastAsia="zh-CN"/>
        </w:rPr>
        <w:t>征集</w:t>
      </w:r>
      <w:r>
        <w:rPr>
          <w:rFonts w:hint="eastAsia" w:ascii="宋体" w:hAnsi="宋体" w:cs="宋体"/>
          <w:szCs w:val="21"/>
        </w:rPr>
        <w:t>文件规定。该证明文件作为投标文件的一部分。</w:t>
      </w:r>
    </w:p>
    <w:p w14:paraId="2283C2D1">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货物和服务合格性的证明文件应包括投标分项报价表中对货物和服务原产地的说明。</w:t>
      </w:r>
    </w:p>
    <w:p w14:paraId="34664144">
      <w:pPr>
        <w:numPr>
          <w:ilvl w:val="1"/>
          <w:numId w:val="17"/>
        </w:numPr>
        <w:autoSpaceDE w:val="0"/>
        <w:autoSpaceDN w:val="0"/>
        <w:adjustRightInd w:val="0"/>
        <w:snapToGrid w:val="0"/>
        <w:spacing w:line="360" w:lineRule="auto"/>
        <w:rPr>
          <w:rFonts w:ascii="宋体" w:hAnsi="宋体"/>
          <w:strike/>
          <w:color w:val="auto"/>
          <w:szCs w:val="21"/>
        </w:rPr>
      </w:pPr>
      <w:r>
        <w:rPr>
          <w:rFonts w:hint="eastAsia" w:ascii="宋体" w:hAnsi="宋体" w:cs="宋体"/>
          <w:szCs w:val="21"/>
        </w:rPr>
        <w:t>证</w:t>
      </w:r>
      <w:r>
        <w:rPr>
          <w:rFonts w:hint="eastAsia" w:ascii="宋体" w:hAnsi="宋体" w:cs="宋体"/>
          <w:color w:val="auto"/>
          <w:szCs w:val="21"/>
        </w:rPr>
        <w:t>明货物和服务与</w:t>
      </w:r>
      <w:r>
        <w:rPr>
          <w:rFonts w:hint="eastAsia" w:ascii="宋体" w:hAnsi="宋体" w:cs="宋体"/>
          <w:color w:val="auto"/>
          <w:szCs w:val="21"/>
          <w:lang w:eastAsia="zh-CN"/>
        </w:rPr>
        <w:t>征集</w:t>
      </w:r>
      <w:r>
        <w:rPr>
          <w:rFonts w:hint="eastAsia" w:ascii="宋体" w:hAnsi="宋体" w:cs="宋体"/>
          <w:color w:val="auto"/>
          <w:szCs w:val="21"/>
        </w:rPr>
        <w:t>文件的要求相一致的文件，可以是文字资料、图纸和数据。</w:t>
      </w:r>
    </w:p>
    <w:p w14:paraId="4D4BF88B">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8" w:name="_Toc20270"/>
      <w:r>
        <w:rPr>
          <w:rFonts w:hint="eastAsia" w:ascii="宋体" w:hAnsi="宋体"/>
          <w:b/>
          <w:bCs/>
          <w:szCs w:val="21"/>
        </w:rPr>
        <w:t>投标文件的式样和签署、密封</w:t>
      </w:r>
      <w:bookmarkEnd w:id="118"/>
    </w:p>
    <w:p w14:paraId="669ADE1D">
      <w:pPr>
        <w:numPr>
          <w:ilvl w:val="1"/>
          <w:numId w:val="17"/>
        </w:numPr>
        <w:autoSpaceDE w:val="0"/>
        <w:autoSpaceDN w:val="0"/>
        <w:adjustRightInd w:val="0"/>
        <w:snapToGrid w:val="0"/>
        <w:spacing w:line="360" w:lineRule="auto"/>
        <w:rPr>
          <w:rFonts w:ascii="宋体" w:hAnsi="宋体" w:cs="黑体"/>
          <w:b/>
          <w:bCs/>
          <w:szCs w:val="21"/>
        </w:rPr>
      </w:pPr>
      <w:bookmarkStart w:id="119" w:name="_Toc435516653"/>
      <w:bookmarkStart w:id="120" w:name="_Toc438223139"/>
      <w:bookmarkStart w:id="121" w:name="_Toc435174936"/>
      <w:r>
        <w:rPr>
          <w:rFonts w:hint="eastAsia" w:ascii="宋体" w:hAnsi="宋体" w:cs="宋体"/>
          <w:szCs w:val="21"/>
        </w:rPr>
        <w:t>投标文件的式样：投标人应准备纸质投标文件一份正本、电子文件和</w:t>
      </w:r>
      <w:r>
        <w:rPr>
          <w:rFonts w:hint="eastAsia" w:ascii="宋体" w:hAnsi="宋体" w:cs="宋体"/>
          <w:szCs w:val="21"/>
          <w:lang w:val="en-US" w:eastAsia="zh-CN"/>
        </w:rPr>
        <w:t>征集须知</w:t>
      </w:r>
      <w:r>
        <w:rPr>
          <w:rFonts w:hint="eastAsia" w:ascii="宋体" w:hAnsi="宋体" w:cs="宋体"/>
          <w:szCs w:val="21"/>
        </w:rPr>
        <w:t>中规定数目的纸质副本。投标文件的副本可采用正本的复印件。每套投标文件须清楚地标明“正本”或“副本”。</w:t>
      </w:r>
      <w:r>
        <w:rPr>
          <w:rFonts w:hint="eastAsia" w:ascii="宋体" w:hAnsi="宋体" w:cs="宋体"/>
          <w:szCs w:val="21"/>
          <w:lang w:eastAsia="zh-TW"/>
        </w:rPr>
        <w:t>若副本与正本不符</w:t>
      </w:r>
      <w:r>
        <w:rPr>
          <w:rFonts w:hint="eastAsia" w:ascii="宋体" w:hAnsi="宋体" w:cs="宋体"/>
          <w:szCs w:val="21"/>
        </w:rPr>
        <w:t>，</w:t>
      </w:r>
      <w:r>
        <w:rPr>
          <w:rFonts w:hint="eastAsia" w:ascii="宋体" w:hAnsi="宋体" w:cs="宋体"/>
          <w:szCs w:val="21"/>
          <w:lang w:eastAsia="zh-TW"/>
        </w:rPr>
        <w:t>以正本为准。</w:t>
      </w:r>
    </w:p>
    <w:p w14:paraId="33C4C948">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电子文件：是指将按</w:t>
      </w:r>
      <w:r>
        <w:rPr>
          <w:rFonts w:hint="eastAsia" w:ascii="宋体" w:hAnsi="宋体" w:cs="宋体"/>
          <w:szCs w:val="21"/>
          <w:lang w:eastAsia="zh-CN"/>
        </w:rPr>
        <w:t>征集</w:t>
      </w:r>
      <w:r>
        <w:rPr>
          <w:rFonts w:hint="eastAsia" w:ascii="宋体" w:hAnsi="宋体" w:cs="宋体"/>
          <w:szCs w:val="21"/>
        </w:rPr>
        <w:t>文件要求签署、盖章后的正本投标文件扫描成PDF格式后拷贝至无病毒无密码的U盘或光盘。电子文件与</w:t>
      </w:r>
      <w:r>
        <w:rPr>
          <w:rFonts w:hint="eastAsia" w:ascii="宋体" w:hAnsi="宋体" w:cs="宋体"/>
          <w:szCs w:val="21"/>
          <w:lang w:val="en-US" w:eastAsia="zh-CN"/>
        </w:rPr>
        <w:t>开标一览表</w:t>
      </w:r>
      <w:r>
        <w:rPr>
          <w:rFonts w:hint="eastAsia" w:ascii="宋体" w:hAnsi="宋体" w:cs="宋体"/>
          <w:szCs w:val="21"/>
        </w:rPr>
        <w:t>一同密封，若电子文件与正本不符，以正本为准。</w:t>
      </w:r>
    </w:p>
    <w:p w14:paraId="2956E498">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bCs/>
          <w:szCs w:val="21"/>
        </w:rPr>
      </w:pPr>
      <w:r>
        <w:rPr>
          <w:rFonts w:hint="eastAsia" w:ascii="宋体" w:hAnsi="宋体" w:cs="宋体"/>
          <w:szCs w:val="21"/>
          <w:lang w:eastAsia="zh-TW"/>
        </w:rPr>
        <w:t>投标文件的签署：</w:t>
      </w:r>
      <w:r>
        <w:rPr>
          <w:rFonts w:ascii="宋体" w:hAnsi="宋体" w:cs="黑体"/>
          <w:b/>
          <w:bCs/>
          <w:szCs w:val="21"/>
        </w:rPr>
        <w:t xml:space="preserve"> </w:t>
      </w:r>
    </w:p>
    <w:p w14:paraId="17D5B1D7">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14.3.1.</w:t>
      </w:r>
      <w:r>
        <w:rPr>
          <w:rFonts w:hint="eastAsia" w:ascii="宋体" w:hAnsi="宋体" w:cs="宋体"/>
          <w:szCs w:val="21"/>
        </w:rPr>
        <w:t>投标文件的正本需打印或用不褪色墨水书写，且</w:t>
      </w:r>
      <w:r>
        <w:rPr>
          <w:rFonts w:hint="eastAsia" w:ascii="宋体" w:hAnsi="宋体" w:cs="宋体"/>
          <w:szCs w:val="21"/>
          <w:lang w:eastAsia="zh-CN"/>
        </w:rPr>
        <w:t>征集</w:t>
      </w:r>
      <w:r>
        <w:rPr>
          <w:rFonts w:hint="eastAsia" w:ascii="宋体" w:hAnsi="宋体" w:cs="宋体"/>
          <w:szCs w:val="21"/>
        </w:rPr>
        <w:t>文件要求签名的由法定代表人或经其正式授权的代表签字或盖章，以及</w:t>
      </w:r>
      <w:r>
        <w:rPr>
          <w:rFonts w:hint="eastAsia" w:ascii="宋体" w:hAnsi="宋体" w:cs="宋体"/>
          <w:szCs w:val="21"/>
          <w:lang w:eastAsia="zh-CN"/>
        </w:rPr>
        <w:t>征集</w:t>
      </w:r>
      <w:r>
        <w:rPr>
          <w:rFonts w:hint="eastAsia" w:ascii="宋体" w:hAnsi="宋体" w:cs="宋体"/>
          <w:szCs w:val="21"/>
        </w:rPr>
        <w:t>文件中明示盖公章处及要求提供的证明材料应盖投标人公章，副本可以</w:t>
      </w:r>
      <w:r>
        <w:rPr>
          <w:rFonts w:hint="eastAsia" w:ascii="宋体" w:hAnsi="宋体" w:cs="Courier New"/>
        </w:rPr>
        <w:t>用正本</w:t>
      </w:r>
      <w:r>
        <w:rPr>
          <w:rFonts w:hint="eastAsia" w:ascii="宋体" w:hAnsi="宋体" w:cs="宋体"/>
          <w:szCs w:val="21"/>
        </w:rPr>
        <w:t>复印，与正本具有同等法律效力。授权代表须将以书面形式出具的《法定代表人授权委托书》附在投标文件中。</w:t>
      </w:r>
    </w:p>
    <w:p w14:paraId="087BEF45">
      <w:pPr>
        <w:numPr>
          <w:ilvl w:val="2"/>
          <w:numId w:val="17"/>
        </w:numPr>
        <w:tabs>
          <w:tab w:val="left" w:pos="851"/>
        </w:tabs>
        <w:autoSpaceDE w:val="0"/>
        <w:autoSpaceDN w:val="0"/>
        <w:adjustRightInd w:val="0"/>
        <w:snapToGrid w:val="0"/>
        <w:spacing w:line="360" w:lineRule="auto"/>
        <w:ind w:left="851" w:hanging="851"/>
        <w:rPr>
          <w:rFonts w:ascii="宋体" w:hAnsi="宋体" w:cs="宋体"/>
          <w:b w:val="0"/>
          <w:bCs w:val="0"/>
          <w:szCs w:val="21"/>
        </w:rPr>
      </w:pPr>
      <w:r>
        <w:rPr>
          <w:rFonts w:hint="eastAsia" w:ascii="宋体" w:hAnsi="宋体" w:cs="宋体"/>
          <w:szCs w:val="21"/>
        </w:rPr>
        <w:t>投标文件中的任何重要的插字、涂改和增删，必须由法定代表人或经其正式授权的</w:t>
      </w:r>
      <w:r>
        <w:rPr>
          <w:rFonts w:hint="eastAsia" w:ascii="宋体" w:hAnsi="宋体" w:cs="宋体"/>
          <w:b w:val="0"/>
          <w:bCs w:val="0"/>
          <w:szCs w:val="21"/>
        </w:rPr>
        <w:t>代表在旁边签章或签字</w:t>
      </w:r>
      <w:r>
        <w:rPr>
          <w:rFonts w:hint="eastAsia" w:ascii="宋体" w:hAnsi="宋体"/>
          <w:b w:val="0"/>
          <w:bCs w:val="0"/>
        </w:rPr>
        <w:t>或盖投标人公章</w:t>
      </w:r>
      <w:r>
        <w:rPr>
          <w:rFonts w:hint="eastAsia" w:ascii="宋体" w:hAnsi="宋体" w:cs="宋体"/>
          <w:b w:val="0"/>
          <w:bCs w:val="0"/>
          <w:szCs w:val="21"/>
        </w:rPr>
        <w:t>才有效。</w:t>
      </w:r>
    </w:p>
    <w:p w14:paraId="3179F55C">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val="0"/>
          <w:bCs w:val="0"/>
          <w:szCs w:val="21"/>
        </w:rPr>
      </w:pPr>
      <w:r>
        <w:rPr>
          <w:rFonts w:hint="eastAsia" w:ascii="宋体" w:hAnsi="宋体" w:cs="宋体"/>
          <w:b w:val="0"/>
          <w:bCs w:val="0"/>
          <w:szCs w:val="21"/>
          <w:lang w:eastAsia="zh-TW"/>
        </w:rPr>
        <w:t>投标文件</w:t>
      </w:r>
      <w:r>
        <w:rPr>
          <w:rFonts w:hint="eastAsia" w:ascii="宋体" w:hAnsi="宋体" w:cs="宋体"/>
          <w:b w:val="0"/>
          <w:bCs w:val="0"/>
          <w:szCs w:val="21"/>
          <w:lang w:val="en-US" w:eastAsia="zh-CN"/>
        </w:rPr>
        <w:t>必须</w:t>
      </w:r>
      <w:r>
        <w:rPr>
          <w:rFonts w:hint="eastAsia" w:ascii="宋体" w:hAnsi="宋体"/>
          <w:b w:val="0"/>
          <w:bCs w:val="0"/>
          <w:szCs w:val="21"/>
        </w:rPr>
        <w:t>密封</w:t>
      </w:r>
      <w:r>
        <w:rPr>
          <w:rFonts w:hint="eastAsia" w:ascii="宋体" w:hAnsi="宋体" w:cs="宋体"/>
          <w:b w:val="0"/>
          <w:bCs w:val="0"/>
          <w:szCs w:val="21"/>
          <w:lang w:eastAsia="zh-TW"/>
        </w:rPr>
        <w:t>：</w:t>
      </w:r>
    </w:p>
    <w:p w14:paraId="10B9B55B">
      <w:pPr>
        <w:numPr>
          <w:ilvl w:val="2"/>
          <w:numId w:val="17"/>
        </w:numPr>
        <w:tabs>
          <w:tab w:val="left" w:pos="851"/>
          <w:tab w:val="clear" w:pos="567"/>
        </w:tabs>
        <w:autoSpaceDE w:val="0"/>
        <w:autoSpaceDN w:val="0"/>
        <w:adjustRightInd w:val="0"/>
        <w:snapToGrid w:val="0"/>
        <w:spacing w:line="360" w:lineRule="auto"/>
        <w:ind w:left="567" w:leftChars="0" w:hanging="567" w:firstLineChars="0"/>
        <w:rPr>
          <w:rFonts w:hint="eastAsia" w:ascii="宋体" w:hAnsi="宋体" w:cs="宋体"/>
          <w:szCs w:val="21"/>
        </w:rPr>
      </w:pPr>
      <w:r>
        <w:rPr>
          <w:rFonts w:hint="eastAsia" w:ascii="宋体" w:hAnsi="宋体"/>
        </w:rPr>
        <w:t>信封或外包装上应当</w:t>
      </w:r>
      <w:r>
        <w:rPr>
          <w:rFonts w:hint="eastAsia" w:ascii="宋体" w:hAnsi="宋体" w:cs="宋体"/>
          <w:szCs w:val="21"/>
        </w:rPr>
        <w:t>清楚写明</w:t>
      </w:r>
      <w:r>
        <w:rPr>
          <w:rFonts w:hint="eastAsia" w:ascii="宋体" w:hAnsi="宋体"/>
        </w:rPr>
        <w:t>投标人名称、项目名称、项目编号、</w:t>
      </w:r>
      <w:r>
        <w:rPr>
          <w:rFonts w:hint="eastAsia" w:ascii="宋体" w:hAnsi="宋体" w:cs="宋体"/>
          <w:szCs w:val="21"/>
        </w:rPr>
        <w:t>包组号（如有）和</w:t>
      </w:r>
      <w:r>
        <w:rPr>
          <w:rFonts w:hint="eastAsia" w:ascii="宋体" w:hAnsi="宋体"/>
          <w:szCs w:val="21"/>
        </w:rPr>
        <w:t>“</w:t>
      </w:r>
      <w:r>
        <w:rPr>
          <w:rFonts w:hint="eastAsia" w:ascii="宋体" w:hAnsi="宋体" w:cs="宋体"/>
          <w:szCs w:val="21"/>
        </w:rPr>
        <w:t>在</w:t>
      </w:r>
      <w:r>
        <w:rPr>
          <w:rFonts w:ascii="宋体" w:hAnsi="宋体" w:cs="宋体"/>
          <w:szCs w:val="21"/>
        </w:rPr>
        <w:t>(</w:t>
      </w:r>
      <w:r>
        <w:rPr>
          <w:rFonts w:hint="eastAsia" w:ascii="宋体" w:hAnsi="宋体" w:cs="宋体"/>
          <w:szCs w:val="21"/>
          <w:lang w:eastAsia="zh-CN"/>
        </w:rPr>
        <w:t>征集</w:t>
      </w:r>
      <w:r>
        <w:rPr>
          <w:rFonts w:hint="eastAsia" w:ascii="宋体" w:hAnsi="宋体" w:cs="宋体"/>
          <w:szCs w:val="21"/>
        </w:rPr>
        <w:t>文件中规定的开标日期和时间</w:t>
      </w:r>
      <w:r>
        <w:rPr>
          <w:rFonts w:ascii="宋体" w:hAnsi="宋体" w:cs="宋体"/>
          <w:szCs w:val="21"/>
        </w:rPr>
        <w:t>)</w:t>
      </w:r>
      <w:r>
        <w:rPr>
          <w:rFonts w:hint="eastAsia" w:ascii="宋体" w:hAnsi="宋体" w:cs="宋体"/>
          <w:szCs w:val="21"/>
        </w:rPr>
        <w:t>之前不得启封”的字样。</w:t>
      </w:r>
    </w:p>
    <w:p w14:paraId="74C79580">
      <w:pPr>
        <w:numPr>
          <w:ilvl w:val="0"/>
          <w:numId w:val="0"/>
        </w:numPr>
        <w:tabs>
          <w:tab w:val="left" w:pos="851"/>
        </w:tabs>
        <w:autoSpaceDE w:val="0"/>
        <w:autoSpaceDN w:val="0"/>
        <w:adjustRightInd w:val="0"/>
        <w:snapToGrid w:val="0"/>
        <w:spacing w:line="360" w:lineRule="auto"/>
        <w:ind w:leftChars="0"/>
        <w:rPr>
          <w:rFonts w:hint="eastAsia" w:ascii="宋体" w:hAnsi="宋体" w:cs="宋体"/>
          <w:szCs w:val="21"/>
        </w:rPr>
      </w:pPr>
    </w:p>
    <w:p w14:paraId="2761954F">
      <w:pPr>
        <w:pStyle w:val="3"/>
        <w:numPr>
          <w:ilvl w:val="0"/>
          <w:numId w:val="0"/>
        </w:numPr>
        <w:spacing w:line="240" w:lineRule="auto"/>
        <w:ind w:left="420" w:leftChars="0" w:hanging="420" w:firstLineChars="0"/>
        <w:jc w:val="center"/>
        <w:outlineLvl w:val="9"/>
        <w:rPr>
          <w:rFonts w:asciiTheme="majorEastAsia" w:hAnsiTheme="majorEastAsia" w:eastAsiaTheme="majorEastAsia"/>
          <w:sz w:val="30"/>
          <w:szCs w:val="30"/>
          <w:lang w:eastAsia="zh-TW"/>
        </w:rPr>
      </w:pPr>
      <w:bookmarkStart w:id="122" w:name="_Toc28883"/>
      <w:bookmarkStart w:id="123" w:name="_Toc5252"/>
      <w:r>
        <w:rPr>
          <w:rFonts w:hint="eastAsia" w:asciiTheme="majorEastAsia" w:hAnsiTheme="majorEastAsia" w:eastAsiaTheme="majorEastAsia"/>
          <w:sz w:val="30"/>
          <w:szCs w:val="30"/>
          <w:lang w:eastAsia="zh-TW"/>
        </w:rPr>
        <w:t>投标文件的递交</w:t>
      </w:r>
      <w:bookmarkEnd w:id="119"/>
      <w:bookmarkEnd w:id="120"/>
      <w:bookmarkEnd w:id="121"/>
      <w:bookmarkEnd w:id="122"/>
      <w:bookmarkEnd w:id="123"/>
    </w:p>
    <w:p w14:paraId="34019736">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4" w:name="_Toc13202"/>
      <w:r>
        <w:rPr>
          <w:rFonts w:hint="eastAsia" w:ascii="宋体" w:hAnsi="宋体"/>
          <w:b/>
          <w:bCs/>
          <w:szCs w:val="21"/>
        </w:rPr>
        <w:t>投标文件递交</w:t>
      </w:r>
      <w:bookmarkEnd w:id="124"/>
    </w:p>
    <w:p w14:paraId="6CF7C752">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投标人的投标文件应在</w:t>
      </w:r>
      <w:r>
        <w:rPr>
          <w:rFonts w:hint="eastAsia" w:ascii="宋体" w:hAnsi="宋体"/>
        </w:rPr>
        <w:t>本项目投标截止时间前送达开标地点。</w:t>
      </w:r>
    </w:p>
    <w:p w14:paraId="3C3AF87B">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逾期送达或者未按照</w:t>
      </w:r>
      <w:r>
        <w:rPr>
          <w:rFonts w:hint="eastAsia" w:ascii="宋体" w:hAnsi="宋体"/>
          <w:lang w:eastAsia="zh-CN"/>
        </w:rPr>
        <w:t>征集</w:t>
      </w:r>
      <w:r>
        <w:rPr>
          <w:rFonts w:hint="eastAsia" w:ascii="宋体" w:hAnsi="宋体"/>
        </w:rPr>
        <w:t>文件要求密封的投标文件，采购人应当拒收。</w:t>
      </w:r>
    </w:p>
    <w:p w14:paraId="4E5AD5BF">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29C8BEAC">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投标文件正本、所有的副本应统一封装在一个信封中，信封密封封口处须加盖投标单位公章（或信封密封封口处粘贴封条并加盖投标单位公章）。</w:t>
      </w:r>
    </w:p>
    <w:p w14:paraId="5D6ABDE0">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密封包上</w:t>
      </w:r>
      <w:r>
        <w:rPr>
          <w:rFonts w:hint="eastAsia" w:ascii="宋体" w:hAnsi="宋体"/>
          <w:lang w:val="en-US" w:eastAsia="zh-CN"/>
        </w:rPr>
        <w:t>应</w:t>
      </w:r>
      <w:r>
        <w:rPr>
          <w:rFonts w:hint="eastAsia" w:ascii="宋体" w:hAnsi="宋体"/>
        </w:rPr>
        <w:t>注明所规定的开标时间（指</w:t>
      </w:r>
      <w:r>
        <w:rPr>
          <w:rFonts w:hint="eastAsia" w:ascii="宋体" w:hAnsi="宋体"/>
          <w:lang w:eastAsia="zh-CN"/>
        </w:rPr>
        <w:t>征集</w:t>
      </w:r>
      <w:r>
        <w:rPr>
          <w:rFonts w:hint="eastAsia" w:ascii="宋体" w:hAnsi="宋体"/>
        </w:rPr>
        <w:t>公告中规定的开标时间）前不准启封的字样。</w:t>
      </w:r>
    </w:p>
    <w:p w14:paraId="5C42D29C">
      <w:pPr>
        <w:numPr>
          <w:ilvl w:val="1"/>
          <w:numId w:val="17"/>
        </w:numPr>
        <w:autoSpaceDE w:val="0"/>
        <w:autoSpaceDN w:val="0"/>
        <w:adjustRightInd w:val="0"/>
        <w:snapToGrid w:val="0"/>
        <w:spacing w:line="360" w:lineRule="auto"/>
        <w:rPr>
          <w:rFonts w:hint="eastAsia" w:ascii="宋体" w:hAnsi="宋体"/>
        </w:rPr>
      </w:pPr>
      <w:r>
        <w:rPr>
          <w:rFonts w:hint="eastAsia" w:ascii="宋体" w:hAnsi="宋体"/>
          <w:lang w:val="en-US" w:eastAsia="zh-CN"/>
        </w:rPr>
        <w:t>我院将拒绝并原封退回在其规定的投标截止期后收到的任何投标文件。</w:t>
      </w:r>
    </w:p>
    <w:p w14:paraId="5FB9A843">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5" w:name="_Toc22017"/>
      <w:r>
        <w:rPr>
          <w:rFonts w:hint="eastAsia" w:ascii="宋体" w:hAnsi="宋体"/>
          <w:b/>
          <w:bCs/>
          <w:szCs w:val="21"/>
        </w:rPr>
        <w:t>投标文件的修改和撤回、撤销</w:t>
      </w:r>
      <w:bookmarkEnd w:id="125"/>
    </w:p>
    <w:p w14:paraId="6E8E5B6D">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投标人在投标截止时间前，可以对所递交的投标文件进行补充、修改或者撤回。补充、修改的内容应当按</w:t>
      </w:r>
      <w:r>
        <w:rPr>
          <w:rFonts w:hint="eastAsia" w:ascii="宋体" w:hAnsi="宋体" w:cs="宋体"/>
          <w:szCs w:val="21"/>
          <w:lang w:eastAsia="zh-CN"/>
        </w:rPr>
        <w:t>征集</w:t>
      </w:r>
      <w:r>
        <w:rPr>
          <w:rFonts w:hint="eastAsia" w:ascii="宋体" w:hAnsi="宋体" w:cs="宋体"/>
          <w:szCs w:val="21"/>
        </w:rPr>
        <w:t>文件要求签署、盖章、密封后，并作为投标文件的组成部分。在投标截止时间之后，投标人不得对其投标文件做任何修改和补充。</w:t>
      </w:r>
    </w:p>
    <w:p w14:paraId="00F01FD5">
      <w:pPr>
        <w:numPr>
          <w:ilvl w:val="1"/>
          <w:numId w:val="17"/>
        </w:numPr>
        <w:autoSpaceDE w:val="0"/>
        <w:autoSpaceDN w:val="0"/>
        <w:adjustRightInd w:val="0"/>
        <w:snapToGrid w:val="0"/>
        <w:spacing w:line="360" w:lineRule="auto"/>
        <w:rPr>
          <w:rFonts w:ascii="宋体" w:hAnsi="宋体" w:cs="黑体"/>
          <w:b/>
          <w:bCs/>
          <w:strike/>
          <w:szCs w:val="21"/>
        </w:rPr>
      </w:pPr>
      <w:r>
        <w:rPr>
          <w:rFonts w:hint="eastAsia" w:ascii="宋体" w:hAnsi="宋体"/>
          <w:bCs/>
        </w:rPr>
        <w:t>投标人在投标截止后或在</w:t>
      </w:r>
      <w:r>
        <w:rPr>
          <w:rFonts w:hint="eastAsia" w:ascii="宋体" w:hAnsi="宋体"/>
          <w:bCs/>
          <w:lang w:eastAsia="zh-CN"/>
        </w:rPr>
        <w:t>征集</w:t>
      </w:r>
      <w:r>
        <w:rPr>
          <w:rFonts w:hint="eastAsia" w:ascii="宋体" w:hAnsi="宋体"/>
          <w:bCs/>
        </w:rPr>
        <w:t>文件中规定的投标有效期内不可撤销其投标。</w:t>
      </w:r>
      <w:r>
        <w:rPr>
          <w:rFonts w:hint="eastAsia" w:ascii="宋体" w:hAnsi="宋体"/>
        </w:rPr>
        <w:t>投标人所提交的投标文件在本项目投标截止时间后均不予退还。</w:t>
      </w:r>
    </w:p>
    <w:p w14:paraId="6D72A899">
      <w:pPr>
        <w:numPr>
          <w:ilvl w:val="0"/>
          <w:numId w:val="17"/>
        </w:numPr>
        <w:autoSpaceDE w:val="0"/>
        <w:autoSpaceDN w:val="0"/>
        <w:adjustRightInd w:val="0"/>
        <w:snapToGrid w:val="0"/>
        <w:spacing w:line="360" w:lineRule="auto"/>
        <w:ind w:left="449" w:hanging="449" w:hangingChars="213"/>
        <w:outlineLvl w:val="1"/>
        <w:rPr>
          <w:rFonts w:ascii="宋体" w:hAnsi="宋体" w:cs="黑体"/>
          <w:bCs/>
          <w:szCs w:val="21"/>
        </w:rPr>
      </w:pPr>
      <w:bookmarkStart w:id="126" w:name="_Toc18853"/>
      <w:r>
        <w:rPr>
          <w:rFonts w:hint="eastAsia" w:ascii="宋体" w:hAnsi="宋体"/>
          <w:b/>
          <w:bCs/>
          <w:szCs w:val="21"/>
        </w:rPr>
        <w:t>质疑</w:t>
      </w:r>
      <w:bookmarkEnd w:id="126"/>
    </w:p>
    <w:p w14:paraId="40FAED7F">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质疑期限：</w:t>
      </w:r>
    </w:p>
    <w:p w14:paraId="495E23B1">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17.1.1.</w:t>
      </w:r>
      <w:r>
        <w:rPr>
          <w:rFonts w:hint="eastAsia" w:ascii="宋体" w:hAnsi="宋体" w:cs="黑体"/>
          <w:bCs/>
          <w:szCs w:val="21"/>
        </w:rPr>
        <w:t>供应商认为采购文件的内容损害其权益的，应在采购文件公布之日起七个工作日内。</w:t>
      </w:r>
    </w:p>
    <w:p w14:paraId="285D781C">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17.1.2.</w:t>
      </w:r>
      <w:r>
        <w:rPr>
          <w:rFonts w:hint="eastAsia" w:ascii="宋体" w:hAnsi="宋体" w:cs="黑体"/>
          <w:bCs/>
          <w:szCs w:val="21"/>
        </w:rPr>
        <w:t>供应商认为采购过程损害其权益的，应在各采购程序环节结束之日起七个工作日内。</w:t>
      </w:r>
    </w:p>
    <w:p w14:paraId="09A5D385">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17.1.3.</w:t>
      </w:r>
      <w:r>
        <w:rPr>
          <w:rFonts w:hint="eastAsia" w:ascii="宋体" w:hAnsi="宋体" w:cs="黑体"/>
          <w:bCs/>
          <w:szCs w:val="21"/>
        </w:rPr>
        <w:t>供应商认为中标或者成交结果以及</w:t>
      </w:r>
      <w:r>
        <w:rPr>
          <w:rFonts w:hint="eastAsia" w:ascii="宋体" w:hAnsi="宋体" w:cs="黑体"/>
          <w:bCs/>
          <w:szCs w:val="21"/>
          <w:lang w:eastAsia="zh-CN"/>
        </w:rPr>
        <w:t>评标委员会</w:t>
      </w:r>
      <w:r>
        <w:rPr>
          <w:rFonts w:hint="eastAsia" w:ascii="宋体" w:hAnsi="宋体" w:cs="黑体"/>
          <w:bCs/>
          <w:szCs w:val="21"/>
        </w:rPr>
        <w:t>、谈判小组、竞价小组组成人员损害其权益的，应在中标或者成交结果公示之日起七个工作日内。</w:t>
      </w:r>
    </w:p>
    <w:p w14:paraId="4AC2CB6D">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提交要求：</w:t>
      </w:r>
    </w:p>
    <w:p w14:paraId="119713E8">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17.2.1.</w:t>
      </w:r>
      <w:r>
        <w:rPr>
          <w:rFonts w:hint="eastAsia" w:ascii="宋体" w:hAnsi="宋体" w:cs="黑体"/>
          <w:bCs/>
          <w:szCs w:val="21"/>
        </w:rPr>
        <w:t>以书面形式向采购人</w:t>
      </w:r>
      <w:r>
        <w:rPr>
          <w:rFonts w:hint="eastAsia" w:ascii="宋体" w:hAnsi="宋体" w:cs="宋体"/>
          <w:szCs w:val="21"/>
        </w:rPr>
        <w:t>一次性提出针对同一采购程序环节的</w:t>
      </w:r>
      <w:r>
        <w:rPr>
          <w:rFonts w:hint="eastAsia" w:ascii="宋体" w:hAnsi="宋体" w:cs="黑体"/>
          <w:bCs/>
          <w:szCs w:val="21"/>
        </w:rPr>
        <w:t>质疑。</w:t>
      </w:r>
    </w:p>
    <w:p w14:paraId="43876402">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17.2.2.</w:t>
      </w:r>
      <w:r>
        <w:rPr>
          <w:rFonts w:hint="eastAsia" w:ascii="宋体" w:hAnsi="宋体" w:cs="黑体"/>
          <w:bCs/>
          <w:szCs w:val="21"/>
        </w:rPr>
        <w:t>以联合体形式参加政府采购活动的，其质疑应当由组成联合体的所有供应商共同提出。</w:t>
      </w:r>
    </w:p>
    <w:p w14:paraId="720447C5">
      <w:pPr>
        <w:numPr>
          <w:ilvl w:val="0"/>
          <w:numId w:val="0"/>
        </w:numPr>
        <w:autoSpaceDE w:val="0"/>
        <w:autoSpaceDN w:val="0"/>
        <w:adjustRightInd w:val="0"/>
        <w:snapToGrid w:val="0"/>
        <w:spacing w:line="360" w:lineRule="auto"/>
        <w:ind w:leftChars="0"/>
        <w:rPr>
          <w:rFonts w:hint="eastAsia" w:ascii="宋体" w:hAnsi="宋体" w:eastAsia="宋体" w:cs="宋体"/>
          <w:bCs/>
          <w:szCs w:val="21"/>
        </w:rPr>
      </w:pPr>
      <w:r>
        <w:rPr>
          <w:rFonts w:hint="eastAsia" w:ascii="宋体" w:hAnsi="宋体" w:cs="黑体"/>
          <w:bCs/>
          <w:szCs w:val="21"/>
          <w:lang w:val="en-US" w:eastAsia="zh-CN"/>
        </w:rPr>
        <w:t>17.2.3.</w:t>
      </w:r>
      <w:r>
        <w:rPr>
          <w:rFonts w:hint="eastAsia" w:ascii="宋体" w:hAnsi="宋体" w:cs="黑体"/>
          <w:bCs/>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w:t>
      </w:r>
      <w:r>
        <w:rPr>
          <w:rFonts w:hint="eastAsia" w:ascii="宋体" w:hAnsi="宋体" w:eastAsia="宋体" w:cs="宋体"/>
          <w:bCs/>
          <w:szCs w:val="21"/>
        </w:rPr>
        <w:t>代表的姓名或者名称、代理事项、具体权限、期限和相关事项）及授权代表身份证复印件。</w:t>
      </w:r>
    </w:p>
    <w:p w14:paraId="44F2E68E">
      <w:pPr>
        <w:numPr>
          <w:ilvl w:val="0"/>
          <w:numId w:val="0"/>
        </w:numPr>
        <w:autoSpaceDE w:val="0"/>
        <w:autoSpaceDN w:val="0"/>
        <w:adjustRightInd w:val="0"/>
        <w:snapToGrid w:val="0"/>
        <w:spacing w:line="360" w:lineRule="auto"/>
        <w:ind w:leftChars="0"/>
        <w:rPr>
          <w:rFonts w:hAnsi="宋体"/>
          <w:snapToGrid w:val="0"/>
          <w:szCs w:val="21"/>
        </w:rPr>
      </w:pPr>
      <w:r>
        <w:rPr>
          <w:rFonts w:hint="eastAsia" w:ascii="宋体" w:hAnsi="宋体" w:eastAsia="宋体" w:cs="宋体"/>
          <w:szCs w:val="21"/>
          <w:lang w:val="en-US" w:eastAsia="zh-CN"/>
        </w:rPr>
        <w:t>17.2.4.</w:t>
      </w:r>
      <w:r>
        <w:rPr>
          <w:rFonts w:hint="eastAsia" w:ascii="宋体" w:hAnsi="宋体" w:eastAsia="宋体" w:cs="宋体"/>
          <w:szCs w:val="21"/>
        </w:rPr>
        <w:t>供应商捏造</w:t>
      </w:r>
      <w:r>
        <w:rPr>
          <w:rFonts w:hint="eastAsia" w:hAnsi="宋体"/>
          <w:szCs w:val="21"/>
        </w:rPr>
        <w:t>事实、提供虚假材料或者以非法手段取得证明材料不能作为质疑的证明材料</w:t>
      </w:r>
      <w:r>
        <w:rPr>
          <w:rFonts w:hint="eastAsia" w:hAnsi="宋体"/>
          <w:snapToGrid w:val="0"/>
          <w:szCs w:val="21"/>
        </w:rPr>
        <w:t>。</w:t>
      </w:r>
    </w:p>
    <w:p w14:paraId="13B078DA">
      <w:pPr>
        <w:numPr>
          <w:ilvl w:val="0"/>
          <w:numId w:val="0"/>
        </w:numPr>
        <w:tabs>
          <w:tab w:val="left" w:pos="1134"/>
        </w:tabs>
        <w:autoSpaceDE w:val="0"/>
        <w:autoSpaceDN w:val="0"/>
        <w:adjustRightInd w:val="0"/>
        <w:snapToGrid w:val="0"/>
        <w:spacing w:line="360" w:lineRule="auto"/>
        <w:ind w:leftChars="0"/>
        <w:rPr>
          <w:rFonts w:ascii="宋体" w:hAnsi="宋体" w:cs="黑体"/>
          <w:bCs/>
          <w:szCs w:val="21"/>
        </w:rPr>
      </w:pPr>
      <w:r>
        <w:rPr>
          <w:rFonts w:hint="eastAsia" w:ascii="宋体" w:hAnsi="宋体" w:cs="宋体"/>
          <w:szCs w:val="21"/>
          <w:lang w:val="en-US" w:eastAsia="zh-CN"/>
        </w:rPr>
        <w:t>17.2.5.</w:t>
      </w:r>
      <w:r>
        <w:rPr>
          <w:rFonts w:hint="eastAsia" w:ascii="宋体" w:hAnsi="宋体" w:cs="宋体"/>
          <w:szCs w:val="21"/>
        </w:rPr>
        <w:t>采购人</w:t>
      </w:r>
      <w:r>
        <w:rPr>
          <w:rFonts w:hint="eastAsia" w:ascii="宋体" w:hAnsi="宋体"/>
          <w:szCs w:val="21"/>
        </w:rPr>
        <w:t>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743620BC">
      <w:pPr>
        <w:numPr>
          <w:ilvl w:val="0"/>
          <w:numId w:val="0"/>
        </w:numPr>
        <w:autoSpaceDE w:val="0"/>
        <w:autoSpaceDN w:val="0"/>
        <w:adjustRightInd w:val="0"/>
        <w:snapToGrid w:val="0"/>
        <w:spacing w:line="360" w:lineRule="auto"/>
        <w:ind w:leftChars="0"/>
        <w:rPr>
          <w:rFonts w:hint="eastAsia" w:ascii="宋体" w:hAnsi="宋体" w:eastAsia="宋体" w:cs="宋体"/>
          <w:b/>
          <w:bCs/>
          <w:szCs w:val="21"/>
        </w:rPr>
      </w:pPr>
      <w:r>
        <w:rPr>
          <w:rFonts w:hint="eastAsia" w:ascii="宋体" w:hAnsi="宋体" w:eastAsia="宋体" w:cs="宋体"/>
          <w:snapToGrid w:val="0"/>
          <w:szCs w:val="21"/>
          <w:lang w:val="en-US" w:eastAsia="zh-CN"/>
        </w:rPr>
        <w:t>17.2.6.</w:t>
      </w:r>
      <w:r>
        <w:rPr>
          <w:rFonts w:hint="eastAsia" w:ascii="宋体" w:hAnsi="宋体" w:eastAsia="宋体" w:cs="宋体"/>
          <w:snapToGrid w:val="0"/>
          <w:szCs w:val="21"/>
        </w:rPr>
        <w:t>采购</w:t>
      </w:r>
      <w:r>
        <w:rPr>
          <w:rFonts w:hint="eastAsia" w:hAnsi="宋体"/>
          <w:snapToGrid w:val="0"/>
          <w:szCs w:val="21"/>
        </w:rPr>
        <w:t>人接收以书面形式递交的质疑函，接收质疑函的联系人、联系方式和通讯地址</w:t>
      </w:r>
      <w:r>
        <w:rPr>
          <w:rFonts w:hint="eastAsia" w:ascii="宋体" w:hAnsi="宋体" w:eastAsia="宋体" w:cs="宋体"/>
          <w:snapToGrid w:val="0"/>
          <w:szCs w:val="21"/>
          <w:lang w:val="en-US" w:eastAsia="zh-CN"/>
        </w:rPr>
        <w:t>见征集公告</w:t>
      </w:r>
      <w:r>
        <w:rPr>
          <w:rFonts w:hint="eastAsia" w:ascii="宋体" w:hAnsi="宋体" w:eastAsia="宋体" w:cs="宋体"/>
          <w:szCs w:val="21"/>
        </w:rPr>
        <w:t>。</w:t>
      </w:r>
    </w:p>
    <w:p w14:paraId="263985DD">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17.2.7.</w:t>
      </w:r>
      <w:r>
        <w:rPr>
          <w:rFonts w:hint="eastAsia" w:ascii="宋体" w:hAnsi="宋体" w:eastAsia="宋体" w:cs="宋体"/>
          <w:snapToGrid w:val="0"/>
          <w:szCs w:val="21"/>
        </w:rPr>
        <w:t>提出质疑的供应商应当是参与所质疑项目采购活动的供应商。</w:t>
      </w:r>
    </w:p>
    <w:p w14:paraId="099241A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17.2.8.</w:t>
      </w:r>
      <w:r>
        <w:rPr>
          <w:rFonts w:hint="eastAsia" w:ascii="宋体" w:hAnsi="宋体" w:eastAsia="宋体" w:cs="宋体"/>
          <w:snapToGrid w:val="0"/>
          <w:szCs w:val="21"/>
        </w:rPr>
        <w:t>供应商质疑不成立，或者成立但未对中标、成交结果构成影响的，继续开展采购活动。</w:t>
      </w:r>
    </w:p>
    <w:p w14:paraId="26A23E6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17.2.9.</w:t>
      </w:r>
      <w:r>
        <w:rPr>
          <w:rFonts w:hint="eastAsia" w:ascii="宋体" w:hAnsi="宋体" w:eastAsia="宋体" w:cs="宋体"/>
          <w:snapToGrid w:val="0"/>
          <w:szCs w:val="21"/>
        </w:rPr>
        <w:t>供应商质疑成立且影响或者可能影响中标、成交结果的，按照下列情况处理：</w:t>
      </w:r>
    </w:p>
    <w:p w14:paraId="3C314CF7">
      <w:pPr>
        <w:snapToGrid w:val="0"/>
        <w:spacing w:line="360" w:lineRule="auto"/>
        <w:rPr>
          <w:rFonts w:hint="eastAsia" w:hAnsi="宋体"/>
          <w:snapToGrid w:val="0"/>
          <w:szCs w:val="21"/>
        </w:rPr>
      </w:pPr>
      <w:r>
        <w:rPr>
          <w:rFonts w:hint="eastAsia" w:ascii="宋体" w:hAnsi="宋体" w:eastAsia="宋体" w:cs="宋体"/>
          <w:snapToGrid w:val="0"/>
          <w:szCs w:val="21"/>
          <w:lang w:val="en-US" w:eastAsia="zh-CN"/>
        </w:rPr>
        <w:t>17.2.10.</w:t>
      </w:r>
      <w:r>
        <w:rPr>
          <w:rFonts w:hint="eastAsia" w:ascii="宋体" w:hAnsi="宋体" w:eastAsia="宋体" w:cs="宋体"/>
          <w:snapToGrid w:val="0"/>
          <w:szCs w:val="21"/>
        </w:rPr>
        <w:t>对采购文件提</w:t>
      </w:r>
      <w:r>
        <w:rPr>
          <w:rFonts w:hint="eastAsia" w:hAnsi="宋体"/>
          <w:snapToGrid w:val="0"/>
          <w:szCs w:val="21"/>
        </w:rPr>
        <w:t>出的质疑，依法通过澄清或者修改可以继续开展采购活动的，澄清或者修改采购文件后继续开展采购活动；否则应当修改采购文件后重新开展采购活动。</w:t>
      </w:r>
    </w:p>
    <w:p w14:paraId="7E90B108">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违约责任</w:t>
      </w:r>
    </w:p>
    <w:p w14:paraId="37F2FCB9">
      <w:pPr>
        <w:numPr>
          <w:ilvl w:val="1"/>
          <w:numId w:val="17"/>
        </w:numPr>
        <w:snapToGrid w:val="0"/>
        <w:spacing w:line="360" w:lineRule="auto"/>
        <w:ind w:left="567" w:leftChars="0" w:hanging="567" w:firstLineChars="0"/>
        <w:rPr>
          <w:rFonts w:hint="eastAsia" w:hAnsi="宋体"/>
          <w:snapToGrid w:val="0"/>
          <w:szCs w:val="21"/>
          <w:lang w:val="en-US" w:eastAsia="zh-CN"/>
        </w:rPr>
      </w:pPr>
      <w:r>
        <w:rPr>
          <w:rFonts w:hint="eastAsia" w:hAnsi="宋体"/>
          <w:snapToGrid w:val="0"/>
          <w:szCs w:val="21"/>
          <w:lang w:val="en-US" w:eastAsia="zh-CN"/>
        </w:rPr>
        <w:t>供应商若在政府采购活动存在下列违法行为，给采购人造成损失的，应当承担赔偿责任。</w:t>
      </w:r>
    </w:p>
    <w:p w14:paraId="47E13451">
      <w:pPr>
        <w:snapToGrid w:val="0"/>
        <w:spacing w:line="360" w:lineRule="auto"/>
        <w:rPr>
          <w:rFonts w:hint="eastAsia" w:hAnsi="宋体"/>
          <w:snapToGrid w:val="0"/>
          <w:szCs w:val="21"/>
        </w:rPr>
      </w:pPr>
      <w:r>
        <w:rPr>
          <w:rFonts w:hint="eastAsia" w:hAnsi="宋体"/>
          <w:snapToGrid w:val="0"/>
          <w:szCs w:val="21"/>
        </w:rPr>
        <w:t>（1）未按照规定签订、履行采购合同；</w:t>
      </w:r>
    </w:p>
    <w:p w14:paraId="25A0EEAE">
      <w:pPr>
        <w:snapToGrid w:val="0"/>
        <w:spacing w:line="360" w:lineRule="auto"/>
        <w:rPr>
          <w:rFonts w:hint="eastAsia" w:hAnsi="宋体"/>
          <w:snapToGrid w:val="0"/>
          <w:szCs w:val="21"/>
        </w:rPr>
      </w:pPr>
      <w:r>
        <w:rPr>
          <w:rFonts w:hint="eastAsia" w:hAnsi="宋体"/>
          <w:snapToGrid w:val="0"/>
          <w:szCs w:val="21"/>
        </w:rPr>
        <w:t>（2）提供虚假材料谋取中标、成交的；</w:t>
      </w:r>
    </w:p>
    <w:p w14:paraId="29F1483A">
      <w:pPr>
        <w:snapToGrid w:val="0"/>
        <w:spacing w:line="360" w:lineRule="auto"/>
        <w:rPr>
          <w:rFonts w:hint="eastAsia" w:hAnsi="宋体"/>
          <w:snapToGrid w:val="0"/>
          <w:szCs w:val="21"/>
        </w:rPr>
      </w:pPr>
      <w:r>
        <w:rPr>
          <w:rFonts w:hint="eastAsia" w:hAnsi="宋体"/>
          <w:snapToGrid w:val="0"/>
          <w:szCs w:val="21"/>
        </w:rPr>
        <w:t>（3）采取不正当手段诋毁、排挤其他供应商的；</w:t>
      </w:r>
    </w:p>
    <w:p w14:paraId="286CA9B2">
      <w:pPr>
        <w:snapToGrid w:val="0"/>
        <w:spacing w:line="360" w:lineRule="auto"/>
        <w:rPr>
          <w:rFonts w:hint="eastAsia" w:hAnsi="宋体"/>
          <w:snapToGrid w:val="0"/>
          <w:szCs w:val="21"/>
        </w:rPr>
      </w:pPr>
      <w:r>
        <w:rPr>
          <w:rFonts w:hint="eastAsia" w:hAnsi="宋体"/>
          <w:snapToGrid w:val="0"/>
          <w:szCs w:val="21"/>
        </w:rPr>
        <w:t>（4）与其他供应商恶意串通的；</w:t>
      </w:r>
    </w:p>
    <w:p w14:paraId="6BB6D639">
      <w:pPr>
        <w:snapToGrid w:val="0"/>
        <w:spacing w:line="360" w:lineRule="auto"/>
        <w:rPr>
          <w:rFonts w:hint="eastAsia" w:hAnsi="宋体"/>
          <w:snapToGrid w:val="0"/>
          <w:szCs w:val="21"/>
        </w:rPr>
      </w:pPr>
      <w:r>
        <w:rPr>
          <w:rFonts w:hint="eastAsia" w:hAnsi="宋体"/>
          <w:snapToGrid w:val="0"/>
          <w:szCs w:val="21"/>
        </w:rPr>
        <w:t>（5）拒绝有关部门监督检查或者提供虚假情况的；</w:t>
      </w:r>
    </w:p>
    <w:p w14:paraId="60452A43">
      <w:pPr>
        <w:snapToGrid w:val="0"/>
        <w:spacing w:line="360" w:lineRule="auto"/>
        <w:rPr>
          <w:rFonts w:hint="eastAsia" w:hAnsi="宋体"/>
          <w:snapToGrid w:val="0"/>
          <w:szCs w:val="21"/>
        </w:rPr>
      </w:pPr>
      <w:r>
        <w:rPr>
          <w:rFonts w:hint="eastAsia" w:hAnsi="宋体"/>
          <w:snapToGrid w:val="0"/>
          <w:szCs w:val="21"/>
        </w:rPr>
        <w:t>（6）经主管部门认定的其他违法采购相关法律法规的行为。</w:t>
      </w:r>
    </w:p>
    <w:p w14:paraId="74E07005">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7" w:name="_Toc19729"/>
      <w:r>
        <w:rPr>
          <w:rFonts w:hint="eastAsia" w:ascii="宋体" w:hAnsi="宋体"/>
          <w:b/>
          <w:bCs/>
          <w:szCs w:val="21"/>
        </w:rPr>
        <w:t>中标通知书</w:t>
      </w:r>
      <w:bookmarkEnd w:id="127"/>
    </w:p>
    <w:p w14:paraId="0275F8BA">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中标人确定后，采购</w:t>
      </w:r>
      <w:r>
        <w:rPr>
          <w:rFonts w:hint="eastAsia" w:ascii="宋体" w:hAnsi="宋体" w:cs="宋体"/>
          <w:szCs w:val="21"/>
          <w:lang w:val="en-US" w:eastAsia="zh-CN"/>
        </w:rPr>
        <w:t>人</w:t>
      </w:r>
      <w:r>
        <w:rPr>
          <w:rFonts w:hint="eastAsia" w:ascii="宋体" w:hAnsi="宋体" w:cs="宋体"/>
          <w:szCs w:val="21"/>
        </w:rPr>
        <w:t>将在发布采购信息公告的媒体上发布中标公告，并向中标人发出《中标通知书》，</w:t>
      </w:r>
      <w:r>
        <w:rPr>
          <w:rFonts w:hint="eastAsia" w:ascii="宋体" w:hAnsi="宋体" w:cs="宋体"/>
          <w:szCs w:val="21"/>
          <w:lang w:val="en-US" w:eastAsia="zh-CN"/>
        </w:rPr>
        <w:t>其中</w:t>
      </w:r>
      <w:r>
        <w:rPr>
          <w:rFonts w:hint="eastAsia" w:ascii="宋体" w:hAnsi="宋体" w:cs="宋体"/>
          <w:szCs w:val="21"/>
        </w:rPr>
        <w:t>《中标通知书》对中标人和采购人具有同等法律效力。</w:t>
      </w:r>
    </w:p>
    <w:p w14:paraId="1A6AFA14">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《中标通知书》将作为授予合同资格的合法依据，是合同的一个组成部分。</w:t>
      </w:r>
    </w:p>
    <w:p w14:paraId="49145DAD">
      <w:pPr>
        <w:numPr>
          <w:ilvl w:val="0"/>
          <w:numId w:val="0"/>
        </w:numPr>
        <w:autoSpaceDE w:val="0"/>
        <w:autoSpaceDN w:val="0"/>
        <w:adjustRightInd w:val="0"/>
        <w:snapToGrid w:val="0"/>
        <w:spacing w:line="360" w:lineRule="auto"/>
        <w:ind w:leftChars="0"/>
        <w:rPr>
          <w:rFonts w:ascii="宋体" w:hAnsi="宋体" w:cs="黑体"/>
          <w:b/>
          <w:bCs/>
          <w:szCs w:val="21"/>
        </w:rPr>
      </w:pPr>
    </w:p>
    <w:p w14:paraId="3FF9917A">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28" w:name="_Toc20050"/>
      <w:bookmarkStart w:id="129" w:name="_Toc438223141"/>
      <w:bookmarkStart w:id="130" w:name="_Toc6704"/>
      <w:bookmarkStart w:id="131" w:name="_Toc435516655"/>
      <w:bookmarkStart w:id="132" w:name="_Toc435174938"/>
      <w:r>
        <w:rPr>
          <w:rFonts w:hint="eastAsia" w:asciiTheme="majorEastAsia" w:hAnsiTheme="majorEastAsia" w:eastAsiaTheme="majorEastAsia"/>
          <w:sz w:val="30"/>
          <w:szCs w:val="30"/>
          <w:lang w:eastAsia="zh-TW"/>
        </w:rPr>
        <w:t>授予合同</w:t>
      </w:r>
      <w:bookmarkEnd w:id="128"/>
      <w:bookmarkEnd w:id="129"/>
      <w:bookmarkEnd w:id="130"/>
      <w:bookmarkEnd w:id="131"/>
      <w:bookmarkEnd w:id="132"/>
    </w:p>
    <w:p w14:paraId="58EF321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33" w:name="_Toc23713"/>
      <w:bookmarkStart w:id="134" w:name="_Toc5467"/>
      <w:r>
        <w:rPr>
          <w:rFonts w:hint="eastAsia" w:ascii="宋体" w:hAnsi="宋体"/>
          <w:b/>
          <w:bCs/>
          <w:szCs w:val="21"/>
        </w:rPr>
        <w:t>合同的订立</w:t>
      </w:r>
      <w:bookmarkEnd w:id="133"/>
      <w:bookmarkEnd w:id="134"/>
    </w:p>
    <w:p w14:paraId="4D85A810">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采购人应当自中标通知书发出之日起十个工作日内，按照</w:t>
      </w:r>
      <w:r>
        <w:rPr>
          <w:rFonts w:hint="eastAsia" w:ascii="宋体" w:hAnsi="宋体" w:cs="宋体"/>
          <w:szCs w:val="21"/>
          <w:lang w:eastAsia="zh-CN"/>
        </w:rPr>
        <w:t>征集</w:t>
      </w:r>
      <w:r>
        <w:rPr>
          <w:rFonts w:hint="eastAsia" w:ascii="宋体" w:hAnsi="宋体" w:cs="宋体"/>
          <w:szCs w:val="21"/>
        </w:rPr>
        <w:t>文件和中标人投标文件的约定，与中标人签订书面合同。所签订的合同不得对</w:t>
      </w:r>
      <w:r>
        <w:rPr>
          <w:rFonts w:hint="eastAsia" w:ascii="宋体" w:hAnsi="宋体" w:cs="宋体"/>
          <w:szCs w:val="21"/>
          <w:lang w:eastAsia="zh-CN"/>
        </w:rPr>
        <w:t>征集</w:t>
      </w:r>
      <w:r>
        <w:rPr>
          <w:rFonts w:hint="eastAsia" w:ascii="宋体" w:hAnsi="宋体" w:cs="宋体"/>
          <w:szCs w:val="21"/>
        </w:rPr>
        <w:t>文件和中标人投标文件作实质性修改。</w:t>
      </w:r>
    </w:p>
    <w:p w14:paraId="6A8641E7">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 xml:space="preserve">采购人不得向中标人提出任何不合理的要求，作为签订合同的条件，不得与中标人私下订立背离合同实质性内容的协议。 </w:t>
      </w:r>
    </w:p>
    <w:p w14:paraId="5A4F68FF">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自政府采购合同签订之日起2个工作日内，采购人应将政府采购合同在指定的渠道公告，但政府采购合同中涉及国家秘密、商业秘密的内容除外。</w:t>
      </w:r>
    </w:p>
    <w:p w14:paraId="608A44DF">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政府采购合同签订之日起10日内，采购人应将政府采购合同副本报同级监管部门备案和有关部门备案。</w:t>
      </w:r>
    </w:p>
    <w:p w14:paraId="38113B0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35" w:name="_Toc5053"/>
      <w:bookmarkStart w:id="136" w:name="_Toc560"/>
      <w:r>
        <w:rPr>
          <w:rFonts w:hint="eastAsia" w:ascii="宋体" w:hAnsi="宋体"/>
          <w:b/>
          <w:bCs/>
          <w:szCs w:val="21"/>
        </w:rPr>
        <w:t>合同的履行</w:t>
      </w:r>
      <w:bookmarkEnd w:id="135"/>
      <w:bookmarkEnd w:id="136"/>
    </w:p>
    <w:p w14:paraId="5265F92B">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0B352265">
      <w:pPr>
        <w:numPr>
          <w:ilvl w:val="1"/>
          <w:numId w:val="17"/>
        </w:numPr>
        <w:autoSpaceDE w:val="0"/>
        <w:autoSpaceDN w:val="0"/>
        <w:adjustRightInd w:val="0"/>
        <w:snapToGrid w:val="0"/>
        <w:spacing w:line="360" w:lineRule="auto"/>
        <w:rPr>
          <w:rFonts w:hint="eastAsia" w:ascii="黑体" w:hAnsi="宋体" w:eastAsia="黑体" w:cs="黑体"/>
          <w:b/>
          <w:bCs/>
          <w:kern w:val="44"/>
          <w:sz w:val="44"/>
          <w:szCs w:val="44"/>
        </w:rPr>
      </w:pPr>
      <w:r>
        <w:rPr>
          <w:rFonts w:hint="eastAsia" w:ascii="宋体" w:hAnsi="宋体" w:cs="宋体"/>
          <w:szCs w:val="21"/>
        </w:rPr>
        <w:t>政府采购合同履行中，采购人需追加与合同标的相同的货物、工程或者服务的，在不改变合同其他条款的前提下，可以与供应商签订补充合同，但所补充合同的采购金额不得超过原合同采购金额的百分之十。</w:t>
      </w:r>
      <w:r>
        <w:rPr>
          <w:rFonts w:hint="eastAsia" w:ascii="宋体" w:hAnsi="宋体" w:cs="宋体"/>
          <w:szCs w:val="21"/>
          <w:lang w:eastAsia="zh-TW"/>
        </w:rPr>
        <w:t>签订补充合同的必须按规定备案。</w:t>
      </w:r>
      <w:bookmarkStart w:id="137" w:name="_Toc6953"/>
    </w:p>
    <w:p w14:paraId="5B5517A4">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62B0181">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3DF0F3B">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6BB0921">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803C8D8">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5C6F6BA8">
      <w:pPr>
        <w:pStyle w:val="2"/>
        <w:widowControl/>
        <w:numPr>
          <w:ilvl w:val="0"/>
          <w:numId w:val="0"/>
        </w:numPr>
        <w:spacing w:before="0" w:beforeAutospacing="0" w:after="0" w:afterAutospacing="0"/>
        <w:ind w:left="0" w:leftChars="0" w:firstLine="0" w:firstLineChars="0"/>
        <w:jc w:val="both"/>
        <w:outlineLvl w:val="9"/>
        <w:rPr>
          <w:rFonts w:hint="eastAsia" w:ascii="黑体" w:hAnsi="宋体" w:eastAsia="黑体" w:cs="黑体"/>
          <w:b/>
          <w:bCs/>
          <w:kern w:val="44"/>
          <w:sz w:val="44"/>
          <w:szCs w:val="44"/>
        </w:rPr>
      </w:pPr>
    </w:p>
    <w:p w14:paraId="14AE1EFA">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046234DE">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4C2332A4">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4567B637">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077F369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DFD1B82">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FD4DA5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6827F9DC">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3F5D706">
      <w:pPr>
        <w:rPr>
          <w:rFonts w:hint="eastAsia" w:ascii="黑体" w:hAnsi="宋体" w:eastAsia="黑体" w:cs="黑体"/>
          <w:b/>
          <w:bCs/>
          <w:kern w:val="44"/>
          <w:sz w:val="44"/>
          <w:szCs w:val="44"/>
        </w:rPr>
      </w:pPr>
    </w:p>
    <w:p w14:paraId="3C195DDC">
      <w:pPr>
        <w:rPr>
          <w:rFonts w:hint="eastAsia" w:ascii="黑体" w:hAnsi="宋体" w:eastAsia="黑体" w:cs="黑体"/>
          <w:b/>
          <w:bCs/>
          <w:kern w:val="44"/>
          <w:sz w:val="44"/>
          <w:szCs w:val="44"/>
        </w:rPr>
      </w:pPr>
    </w:p>
    <w:p w14:paraId="669EE19B">
      <w:pPr>
        <w:rPr>
          <w:rFonts w:hint="eastAsia" w:ascii="黑体" w:hAnsi="宋体" w:eastAsia="黑体" w:cs="黑体"/>
          <w:b/>
          <w:bCs/>
          <w:kern w:val="44"/>
          <w:sz w:val="44"/>
          <w:szCs w:val="44"/>
        </w:rPr>
      </w:pPr>
    </w:p>
    <w:p w14:paraId="5BF0ADA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Times New Roman"/>
          <w:kern w:val="2"/>
          <w:sz w:val="21"/>
          <w:szCs w:val="21"/>
        </w:rPr>
      </w:pPr>
      <w:r>
        <w:rPr>
          <w:rFonts w:hint="eastAsia" w:ascii="黑体" w:hAnsi="宋体" w:eastAsia="黑体" w:cs="黑体"/>
          <w:b/>
          <w:bCs/>
          <w:kern w:val="44"/>
          <w:sz w:val="44"/>
          <w:szCs w:val="44"/>
        </w:rPr>
        <w:t>合同格式</w:t>
      </w:r>
      <w:bookmarkEnd w:id="137"/>
    </w:p>
    <w:p w14:paraId="144919E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b/>
          <w:bCs/>
          <w:color w:val="FF0000"/>
          <w:kern w:val="2"/>
          <w:sz w:val="21"/>
          <w:szCs w:val="21"/>
          <w:highlight w:val="none"/>
          <w:lang w:val="en-US" w:eastAsia="zh-CN" w:bidi="ar"/>
        </w:rPr>
        <w:t>（此部分仅供参考，具体以实际签订为准）</w:t>
      </w:r>
    </w:p>
    <w:p w14:paraId="09180E1A">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BDB2344">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合同编号：</w:t>
      </w:r>
      <w:r>
        <w:rPr>
          <w:rFonts w:hint="eastAsia" w:ascii="仿宋" w:hAnsi="仿宋" w:eastAsia="仿宋" w:cs="Times New Roman"/>
          <w:b/>
          <w:bCs w:val="0"/>
          <w:kern w:val="2"/>
          <w:sz w:val="32"/>
          <w:szCs w:val="32"/>
          <w:lang w:val="en-US" w:eastAsia="zh-CN" w:bidi="ar"/>
        </w:rPr>
        <w:t xml:space="preserve"> </w:t>
      </w:r>
    </w:p>
    <w:p w14:paraId="7B5A5D2C">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1954386D">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6023CF0F">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21"/>
          <w:szCs w:val="21"/>
        </w:rPr>
      </w:pPr>
      <w:r>
        <w:rPr>
          <w:rFonts w:hint="eastAsia" w:ascii="仿宋" w:hAnsi="仿宋" w:eastAsia="仿宋" w:cs="Times New Roman"/>
          <w:b/>
          <w:bCs w:val="0"/>
          <w:kern w:val="2"/>
          <w:sz w:val="21"/>
          <w:szCs w:val="21"/>
          <w:lang w:val="en-US" w:eastAsia="zh-CN" w:bidi="ar"/>
        </w:rPr>
        <w:t xml:space="preserve"> </w:t>
      </w:r>
    </w:p>
    <w:p w14:paraId="02EDA3B9">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72"/>
          <w:szCs w:val="72"/>
        </w:rPr>
      </w:pPr>
      <w:r>
        <w:rPr>
          <w:rFonts w:hint="eastAsia" w:ascii="宋体" w:hAnsi="宋体" w:eastAsia="宋体" w:cs="宋体"/>
          <w:b/>
          <w:bCs/>
          <w:kern w:val="2"/>
          <w:sz w:val="72"/>
          <w:szCs w:val="72"/>
          <w:lang w:val="en-US" w:eastAsia="zh-CN" w:bidi="ar"/>
        </w:rPr>
        <w:t>福田区卫生系统医用设备采购合同</w:t>
      </w:r>
    </w:p>
    <w:p w14:paraId="511DCED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814D1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FCEDB1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A9CD24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E3DE5F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042832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0FDD660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14:paraId="379846F8">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rPr>
      </w:pPr>
      <w:r>
        <w:rPr>
          <w:rFonts w:hint="eastAsia" w:ascii="仿宋_GB2312" w:hAnsi="Times New Roman" w:eastAsia="仿宋_GB2312" w:cs="仿宋_GB2312"/>
          <w:bCs/>
          <w:kern w:val="2"/>
          <w:sz w:val="32"/>
          <w:szCs w:val="32"/>
          <w:lang w:val="en-US" w:eastAsia="zh-CN" w:bidi="ar"/>
        </w:rPr>
        <w:t>项目名称：</w:t>
      </w:r>
      <w:r>
        <w:rPr>
          <w:rFonts w:hint="eastAsia" w:ascii="仿宋_GB2312" w:hAnsi="Times New Roman" w:eastAsia="仿宋_GB2312" w:cs="仿宋_GB2312"/>
          <w:bCs/>
          <w:kern w:val="2"/>
          <w:sz w:val="32"/>
          <w:szCs w:val="32"/>
          <w:u w:val="single"/>
          <w:lang w:val="en-US" w:eastAsia="zh-CN" w:bidi="ar"/>
        </w:rPr>
        <w:t xml:space="preserve">                               </w:t>
      </w:r>
    </w:p>
    <w:p w14:paraId="5FE8EE7C">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甲    方：</w:t>
      </w:r>
      <w:r>
        <w:rPr>
          <w:rFonts w:hint="eastAsia" w:ascii="仿宋_GB2312" w:hAnsi="Times New Roman" w:eastAsia="仿宋_GB2312" w:cs="仿宋_GB2312"/>
          <w:kern w:val="2"/>
          <w:sz w:val="32"/>
          <w:szCs w:val="32"/>
          <w:u w:val="single"/>
          <w:lang w:val="en-US" w:eastAsia="zh-CN" w:bidi="ar"/>
        </w:rPr>
        <w:t xml:space="preserve">    深圳市福田区第二人民医院   </w:t>
      </w:r>
    </w:p>
    <w:p w14:paraId="391FCCB2">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乙    方：</w:t>
      </w:r>
      <w:r>
        <w:rPr>
          <w:rFonts w:hint="eastAsia" w:ascii="仿宋_GB2312" w:hAnsi="Times New Roman" w:eastAsia="仿宋_GB2312" w:cs="仿宋_GB2312"/>
          <w:bCs/>
          <w:kern w:val="2"/>
          <w:sz w:val="32"/>
          <w:szCs w:val="32"/>
          <w:u w:val="single"/>
          <w:lang w:val="en-US" w:eastAsia="zh-CN" w:bidi="ar"/>
        </w:rPr>
        <w:t xml:space="preserve">                           </w:t>
      </w:r>
      <w:r>
        <w:rPr>
          <w:rFonts w:hint="eastAsia" w:ascii="仿宋_GB2312" w:hAnsi="Times New Roman" w:eastAsia="仿宋_GB2312" w:cs="仿宋_GB2312"/>
          <w:bCs/>
          <w:color w:val="FF0000"/>
          <w:kern w:val="2"/>
          <w:sz w:val="32"/>
          <w:szCs w:val="32"/>
          <w:u w:val="single"/>
          <w:lang w:val="en-US" w:eastAsia="zh-CN" w:bidi="ar"/>
        </w:rPr>
        <w:t xml:space="preserve"> </w:t>
      </w:r>
      <w:r>
        <w:rPr>
          <w:rFonts w:hint="eastAsia" w:ascii="仿宋_GB2312" w:hAnsi="Times New Roman" w:eastAsia="仿宋_GB2312" w:cs="仿宋_GB2312"/>
          <w:bCs/>
          <w:kern w:val="2"/>
          <w:sz w:val="32"/>
          <w:szCs w:val="32"/>
          <w:u w:val="single"/>
          <w:lang w:val="en-US" w:eastAsia="zh-CN" w:bidi="ar"/>
        </w:rPr>
        <w:t xml:space="preserve">   </w:t>
      </w:r>
    </w:p>
    <w:p w14:paraId="4F59B20D">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07517EA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3CCED6E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r>
        <w:rPr>
          <w:rFonts w:hint="default" w:ascii="Times New Roman" w:hAnsi="Times New Roman" w:eastAsia="宋体" w:cs="Times New Roman"/>
          <w:kern w:val="2"/>
          <w:sz w:val="48"/>
          <w:szCs w:val="48"/>
          <w:lang w:val="en-US" w:eastAsia="zh-CN" w:bidi="ar"/>
        </w:rPr>
        <w:t xml:space="preserve"> </w:t>
      </w:r>
    </w:p>
    <w:p w14:paraId="4AA5236E">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8D762C3">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57CBAB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7005833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DDCA062">
      <w:pPr>
        <w:keepNext w:val="0"/>
        <w:keepLines w:val="0"/>
        <w:widowControl/>
        <w:suppressLineNumbers w:val="0"/>
        <w:spacing w:before="0" w:beforeAutospacing="0" w:after="0" w:afterAutospacing="0"/>
        <w:ind w:left="0" w:right="0"/>
        <w:jc w:val="center"/>
        <w:rPr>
          <w:rFonts w:hint="eastAsia" w:ascii="宋体" w:hAnsi="宋体" w:eastAsia="宋体" w:cs="Times New Roman"/>
          <w:b/>
          <w:bCs w:val="0"/>
          <w:kern w:val="2"/>
          <w:sz w:val="24"/>
          <w:szCs w:val="24"/>
        </w:rPr>
      </w:pPr>
      <w:r>
        <w:rPr>
          <w:rFonts w:hint="eastAsia" w:ascii="方正小标宋简体" w:hAnsi="方正小标宋简体" w:eastAsia="方正小标宋简体" w:cs="方正小标宋简体"/>
          <w:kern w:val="2"/>
          <w:sz w:val="44"/>
          <w:szCs w:val="44"/>
          <w:lang w:val="en-US" w:eastAsia="zh-CN" w:bidi="ar"/>
        </w:rPr>
        <w:t>福田区卫生系统医用设备采购合同</w:t>
      </w:r>
    </w:p>
    <w:p w14:paraId="79729736">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甲方（采购人）：深圳市福田区第二人民医院</w:t>
      </w:r>
    </w:p>
    <w:p w14:paraId="3C39095F">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法定代表人/负责人或授权代表：</w:t>
      </w:r>
    </w:p>
    <w:p w14:paraId="02A429C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地址：</w:t>
      </w:r>
    </w:p>
    <w:p w14:paraId="314251D8">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305A9A1D">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E127DCF">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color w:val="000000" w:themeColor="text1"/>
          <w:kern w:val="2"/>
          <w:sz w:val="28"/>
          <w:szCs w:val="28"/>
          <w:u w:val="single"/>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乙方（供应商）：</w:t>
      </w:r>
    </w:p>
    <w:p w14:paraId="52868DAA">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法定代表人或授权代表：</w:t>
      </w:r>
    </w:p>
    <w:p w14:paraId="697044E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地址：</w:t>
      </w:r>
    </w:p>
    <w:p w14:paraId="76DC256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5D062FA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default" w:ascii="Times New Roman" w:hAnsi="Times New Roman" w:eastAsia="宋体" w:cs="Times New Roman"/>
          <w:kern w:val="2"/>
          <w:sz w:val="21"/>
          <w:szCs w:val="21"/>
        </w:rPr>
      </w:pPr>
      <w:r>
        <w:rPr>
          <w:rFonts w:hint="eastAsia" w:ascii="仿宋_GB2312" w:hAnsi="Times New Roman" w:eastAsia="仿宋_GB2312" w:cs="仿宋_GB2312"/>
          <w:color w:val="000000"/>
          <w:kern w:val="2"/>
          <w:sz w:val="28"/>
          <w:szCs w:val="28"/>
          <w:lang w:val="en-US" w:eastAsia="zh-CN" w:bidi="ar"/>
        </w:rPr>
        <w:t>甲、乙双方</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根据 2024年XX月XX日“XXXX”（征集编号：XXXX）采购项目的结果，按照《中华人民共和国民法典》《中华人民共和国</w:t>
      </w:r>
      <w:r>
        <w:rPr>
          <w:rFonts w:hint="eastAsia" w:ascii="仿宋_GB2312" w:hAnsi="Times New Roman" w:eastAsia="仿宋_GB2312" w:cs="仿宋_GB2312"/>
          <w:kern w:val="2"/>
          <w:sz w:val="28"/>
          <w:szCs w:val="28"/>
          <w:lang w:val="en-US" w:eastAsia="zh-CN" w:bidi="ar"/>
        </w:rPr>
        <w:t>政府采购法》《深圳经济特区政府采购条例》《深圳经济特区政府采购条例实施细则》等相关法律法规的规定，经双方协商一致，达成以下合同条款：</w:t>
      </w:r>
    </w:p>
    <w:p w14:paraId="5E99CF32">
      <w:pPr>
        <w:keepNext w:val="0"/>
        <w:keepLines w:val="0"/>
        <w:widowControl w:val="0"/>
        <w:suppressLineNumbers w:val="0"/>
        <w:adjustRightInd w:val="0"/>
        <w:snapToGrid w:val="0"/>
        <w:spacing w:before="0" w:beforeAutospacing="0" w:after="0" w:afterAutospacing="0" w:line="560" w:lineRule="exact"/>
        <w:ind w:left="0" w:leftChars="0" w:right="0" w:right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第一条  合同标的</w:t>
      </w:r>
    </w:p>
    <w:tbl>
      <w:tblPr>
        <w:tblStyle w:val="16"/>
        <w:tblW w:w="63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2"/>
        <w:gridCol w:w="1001"/>
        <w:gridCol w:w="870"/>
        <w:gridCol w:w="1083"/>
        <w:gridCol w:w="1116"/>
        <w:gridCol w:w="658"/>
        <w:gridCol w:w="794"/>
        <w:gridCol w:w="554"/>
        <w:gridCol w:w="1275"/>
        <w:gridCol w:w="1162"/>
        <w:gridCol w:w="465"/>
        <w:gridCol w:w="474"/>
        <w:gridCol w:w="801"/>
      </w:tblGrid>
      <w:tr w14:paraId="3FD0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1F0EB10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序号</w:t>
            </w:r>
          </w:p>
        </w:tc>
        <w:tc>
          <w:tcPr>
            <w:tcW w:w="1058" w:type="dxa"/>
            <w:tcBorders>
              <w:top w:val="single" w:color="auto" w:sz="4" w:space="0"/>
              <w:left w:val="nil"/>
              <w:bottom w:val="single" w:color="auto" w:sz="4" w:space="0"/>
              <w:right w:val="single" w:color="auto" w:sz="4" w:space="0"/>
            </w:tcBorders>
            <w:shd w:val="clear" w:color="auto" w:fill="auto"/>
            <w:vAlign w:val="center"/>
          </w:tcPr>
          <w:p w14:paraId="78A0430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w:t>
            </w:r>
          </w:p>
          <w:p w14:paraId="50AC90B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名称</w:t>
            </w:r>
          </w:p>
        </w:tc>
        <w:tc>
          <w:tcPr>
            <w:tcW w:w="919" w:type="dxa"/>
            <w:tcBorders>
              <w:top w:val="single" w:color="auto" w:sz="4" w:space="0"/>
              <w:left w:val="nil"/>
              <w:bottom w:val="single" w:color="auto" w:sz="4" w:space="0"/>
              <w:right w:val="single" w:color="auto" w:sz="4" w:space="0"/>
            </w:tcBorders>
            <w:shd w:val="clear" w:color="auto" w:fill="auto"/>
            <w:vAlign w:val="center"/>
          </w:tcPr>
          <w:p w14:paraId="07CCF94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产地</w:t>
            </w:r>
            <w:r>
              <w:rPr>
                <w:rFonts w:hint="eastAsia"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品牌</w:t>
            </w:r>
          </w:p>
        </w:tc>
        <w:tc>
          <w:tcPr>
            <w:tcW w:w="1144" w:type="dxa"/>
            <w:tcBorders>
              <w:top w:val="single" w:color="auto" w:sz="4" w:space="0"/>
              <w:left w:val="nil"/>
              <w:bottom w:val="single" w:color="auto" w:sz="4" w:space="0"/>
              <w:right w:val="single" w:color="auto" w:sz="4" w:space="0"/>
            </w:tcBorders>
            <w:shd w:val="clear" w:color="auto" w:fill="auto"/>
            <w:vAlign w:val="center"/>
          </w:tcPr>
          <w:p w14:paraId="36E0222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规格型号</w:t>
            </w:r>
          </w:p>
        </w:tc>
        <w:tc>
          <w:tcPr>
            <w:tcW w:w="1179" w:type="dxa"/>
            <w:tcBorders>
              <w:top w:val="single" w:color="auto" w:sz="4" w:space="0"/>
              <w:left w:val="nil"/>
              <w:bottom w:val="single" w:color="auto" w:sz="4" w:space="0"/>
              <w:right w:val="single" w:color="auto" w:sz="4" w:space="0"/>
            </w:tcBorders>
            <w:shd w:val="clear" w:color="auto" w:fill="auto"/>
            <w:vAlign w:val="center"/>
          </w:tcPr>
          <w:p w14:paraId="06BCE06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注册证名</w:t>
            </w:r>
          </w:p>
        </w:tc>
        <w:tc>
          <w:tcPr>
            <w:tcW w:w="695" w:type="dxa"/>
            <w:tcBorders>
              <w:top w:val="single" w:color="auto" w:sz="4" w:space="0"/>
              <w:left w:val="nil"/>
              <w:bottom w:val="single" w:color="auto" w:sz="4" w:space="0"/>
              <w:right w:val="single" w:color="auto" w:sz="4" w:space="0"/>
            </w:tcBorders>
            <w:shd w:val="clear" w:color="auto" w:fill="auto"/>
            <w:vAlign w:val="center"/>
          </w:tcPr>
          <w:p w14:paraId="48A7958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注册证号</w:t>
            </w:r>
          </w:p>
        </w:tc>
        <w:tc>
          <w:tcPr>
            <w:tcW w:w="839" w:type="dxa"/>
            <w:tcBorders>
              <w:top w:val="single" w:color="auto" w:sz="4" w:space="0"/>
              <w:left w:val="nil"/>
              <w:bottom w:val="single" w:color="auto" w:sz="4" w:space="0"/>
              <w:right w:val="single" w:color="auto" w:sz="4" w:space="0"/>
            </w:tcBorders>
            <w:shd w:val="clear" w:color="auto" w:fill="auto"/>
            <w:vAlign w:val="center"/>
          </w:tcPr>
          <w:p w14:paraId="3193F87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单位</w:t>
            </w:r>
          </w:p>
        </w:tc>
        <w:tc>
          <w:tcPr>
            <w:tcW w:w="585" w:type="dxa"/>
            <w:tcBorders>
              <w:top w:val="single" w:color="auto" w:sz="4" w:space="0"/>
              <w:left w:val="nil"/>
              <w:bottom w:val="single" w:color="auto" w:sz="4" w:space="0"/>
              <w:right w:val="single" w:color="auto" w:sz="4" w:space="0"/>
            </w:tcBorders>
            <w:shd w:val="clear" w:color="auto" w:fill="auto"/>
            <w:vAlign w:val="center"/>
          </w:tcPr>
          <w:p w14:paraId="2F52B8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数量</w:t>
            </w:r>
          </w:p>
        </w:tc>
        <w:tc>
          <w:tcPr>
            <w:tcW w:w="1347" w:type="dxa"/>
            <w:tcBorders>
              <w:top w:val="single" w:color="auto" w:sz="4" w:space="0"/>
              <w:left w:val="nil"/>
              <w:bottom w:val="single" w:color="auto" w:sz="4" w:space="0"/>
              <w:right w:val="single" w:color="auto" w:sz="4" w:space="0"/>
            </w:tcBorders>
            <w:shd w:val="clear" w:color="auto" w:fill="auto"/>
            <w:vAlign w:val="center"/>
          </w:tcPr>
          <w:p w14:paraId="6DB72FA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单价（元）</w:t>
            </w:r>
          </w:p>
        </w:tc>
        <w:tc>
          <w:tcPr>
            <w:tcW w:w="1228" w:type="dxa"/>
            <w:tcBorders>
              <w:top w:val="single" w:color="auto" w:sz="4" w:space="0"/>
              <w:left w:val="nil"/>
              <w:bottom w:val="single" w:color="auto" w:sz="4" w:space="0"/>
              <w:right w:val="single" w:color="auto" w:sz="4" w:space="0"/>
            </w:tcBorders>
            <w:shd w:val="clear" w:color="auto" w:fill="auto"/>
            <w:vAlign w:val="center"/>
          </w:tcPr>
          <w:p w14:paraId="5793F15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总价（元）</w:t>
            </w:r>
          </w:p>
        </w:tc>
        <w:tc>
          <w:tcPr>
            <w:tcW w:w="491" w:type="dxa"/>
            <w:tcBorders>
              <w:top w:val="single" w:color="auto" w:sz="4" w:space="0"/>
              <w:left w:val="nil"/>
              <w:bottom w:val="single" w:color="auto" w:sz="4" w:space="0"/>
              <w:right w:val="single" w:color="auto" w:sz="4" w:space="0"/>
            </w:tcBorders>
            <w:shd w:val="clear" w:color="auto" w:fill="auto"/>
            <w:vAlign w:val="center"/>
          </w:tcPr>
          <w:p w14:paraId="54EF476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随机配件</w:t>
            </w:r>
          </w:p>
        </w:tc>
        <w:tc>
          <w:tcPr>
            <w:tcW w:w="501" w:type="dxa"/>
            <w:tcBorders>
              <w:top w:val="single" w:color="auto" w:sz="4" w:space="0"/>
              <w:left w:val="nil"/>
              <w:bottom w:val="single" w:color="auto" w:sz="4" w:space="0"/>
              <w:right w:val="single" w:color="auto" w:sz="4" w:space="0"/>
            </w:tcBorders>
            <w:shd w:val="clear" w:color="auto" w:fill="auto"/>
            <w:vAlign w:val="center"/>
          </w:tcPr>
          <w:p w14:paraId="3AF54D1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使用科室</w:t>
            </w:r>
          </w:p>
        </w:tc>
        <w:tc>
          <w:tcPr>
            <w:tcW w:w="846" w:type="dxa"/>
            <w:tcBorders>
              <w:top w:val="single" w:color="auto" w:sz="4" w:space="0"/>
              <w:left w:val="nil"/>
              <w:bottom w:val="single" w:color="auto" w:sz="4" w:space="0"/>
              <w:right w:val="single" w:color="auto" w:sz="4" w:space="0"/>
            </w:tcBorders>
            <w:shd w:val="clear" w:color="auto" w:fill="auto"/>
            <w:vAlign w:val="center"/>
          </w:tcPr>
          <w:p w14:paraId="058F805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设备用途</w:t>
            </w:r>
          </w:p>
        </w:tc>
      </w:tr>
      <w:tr w14:paraId="6BFB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2D8498A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p>
        </w:tc>
        <w:tc>
          <w:tcPr>
            <w:tcW w:w="1058" w:type="dxa"/>
            <w:tcBorders>
              <w:top w:val="single" w:color="auto" w:sz="4" w:space="0"/>
              <w:left w:val="nil"/>
              <w:bottom w:val="single" w:color="auto" w:sz="4" w:space="0"/>
              <w:right w:val="single" w:color="auto" w:sz="4" w:space="0"/>
            </w:tcBorders>
            <w:shd w:val="clear" w:color="auto" w:fill="auto"/>
            <w:vAlign w:val="center"/>
          </w:tcPr>
          <w:p w14:paraId="2DC1999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919" w:type="dxa"/>
            <w:tcBorders>
              <w:top w:val="single" w:color="auto" w:sz="4" w:space="0"/>
              <w:left w:val="nil"/>
              <w:bottom w:val="single" w:color="auto" w:sz="4" w:space="0"/>
              <w:right w:val="single" w:color="auto" w:sz="4" w:space="0"/>
            </w:tcBorders>
            <w:shd w:val="clear" w:color="auto" w:fill="auto"/>
            <w:vAlign w:val="center"/>
          </w:tcPr>
          <w:p w14:paraId="28E6FA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44" w:type="dxa"/>
            <w:tcBorders>
              <w:top w:val="single" w:color="auto" w:sz="4" w:space="0"/>
              <w:left w:val="nil"/>
              <w:bottom w:val="single" w:color="auto" w:sz="4" w:space="0"/>
              <w:right w:val="single" w:color="auto" w:sz="4" w:space="0"/>
            </w:tcBorders>
            <w:shd w:val="clear" w:color="auto" w:fill="auto"/>
            <w:vAlign w:val="center"/>
          </w:tcPr>
          <w:p w14:paraId="10DCF5B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79" w:type="dxa"/>
            <w:tcBorders>
              <w:top w:val="single" w:color="auto" w:sz="4" w:space="0"/>
              <w:left w:val="nil"/>
              <w:bottom w:val="single" w:color="auto" w:sz="4" w:space="0"/>
              <w:right w:val="single" w:color="auto" w:sz="4" w:space="0"/>
            </w:tcBorders>
            <w:shd w:val="clear" w:color="auto" w:fill="auto"/>
            <w:vAlign w:val="center"/>
          </w:tcPr>
          <w:p w14:paraId="02ACD99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695" w:type="dxa"/>
            <w:tcBorders>
              <w:top w:val="single" w:color="auto" w:sz="4" w:space="0"/>
              <w:left w:val="nil"/>
              <w:bottom w:val="single" w:color="auto" w:sz="4" w:space="0"/>
              <w:right w:val="single" w:color="auto" w:sz="4" w:space="0"/>
            </w:tcBorders>
            <w:shd w:val="clear" w:color="auto" w:fill="auto"/>
            <w:vAlign w:val="center"/>
          </w:tcPr>
          <w:p w14:paraId="5C20AFF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839" w:type="dxa"/>
            <w:tcBorders>
              <w:top w:val="single" w:color="auto" w:sz="4" w:space="0"/>
              <w:left w:val="nil"/>
              <w:bottom w:val="single" w:color="auto" w:sz="4" w:space="0"/>
              <w:right w:val="single" w:color="auto" w:sz="4" w:space="0"/>
            </w:tcBorders>
            <w:shd w:val="clear" w:color="auto" w:fill="auto"/>
            <w:vAlign w:val="center"/>
          </w:tcPr>
          <w:p w14:paraId="3776F7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585" w:type="dxa"/>
            <w:tcBorders>
              <w:top w:val="single" w:color="auto" w:sz="4" w:space="0"/>
              <w:left w:val="nil"/>
              <w:bottom w:val="single" w:color="auto" w:sz="4" w:space="0"/>
              <w:right w:val="single" w:color="auto" w:sz="4" w:space="0"/>
            </w:tcBorders>
            <w:shd w:val="clear" w:color="auto" w:fill="auto"/>
            <w:vAlign w:val="center"/>
          </w:tcPr>
          <w:p w14:paraId="6A1BBB9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2B32764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228" w:type="dxa"/>
            <w:tcBorders>
              <w:top w:val="single" w:color="auto" w:sz="4" w:space="0"/>
              <w:left w:val="nil"/>
              <w:bottom w:val="single" w:color="auto" w:sz="4" w:space="0"/>
              <w:right w:val="single" w:color="auto" w:sz="4" w:space="0"/>
            </w:tcBorders>
            <w:shd w:val="clear" w:color="auto" w:fill="auto"/>
            <w:vAlign w:val="center"/>
          </w:tcPr>
          <w:p w14:paraId="644A5CF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491" w:type="dxa"/>
            <w:tcBorders>
              <w:top w:val="single" w:color="auto" w:sz="4" w:space="0"/>
              <w:left w:val="nil"/>
              <w:bottom w:val="single" w:color="auto" w:sz="4" w:space="0"/>
              <w:right w:val="single" w:color="auto" w:sz="4" w:space="0"/>
            </w:tcBorders>
            <w:shd w:val="clear" w:color="auto" w:fill="auto"/>
            <w:vAlign w:val="center"/>
          </w:tcPr>
          <w:p w14:paraId="5CBC594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r>
              <w:rPr>
                <w:rFonts w:hint="eastAsia" w:ascii="宋体" w:hAnsi="宋体" w:eastAsia="宋体" w:cs="宋体"/>
                <w:kern w:val="2"/>
                <w:sz w:val="21"/>
                <w:szCs w:val="21"/>
                <w:lang w:val="en-US" w:eastAsia="zh-CN" w:bidi="ar"/>
              </w:rPr>
              <w:t>详见配置清单</w:t>
            </w:r>
          </w:p>
        </w:tc>
        <w:tc>
          <w:tcPr>
            <w:tcW w:w="501" w:type="dxa"/>
            <w:tcBorders>
              <w:top w:val="single" w:color="auto" w:sz="4" w:space="0"/>
              <w:left w:val="nil"/>
              <w:bottom w:val="single" w:color="auto" w:sz="4" w:space="0"/>
              <w:right w:val="single" w:color="auto" w:sz="4" w:space="0"/>
            </w:tcBorders>
            <w:shd w:val="clear" w:color="auto" w:fill="auto"/>
            <w:vAlign w:val="top"/>
          </w:tcPr>
          <w:p w14:paraId="69888EB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p>
        </w:tc>
        <w:tc>
          <w:tcPr>
            <w:tcW w:w="846" w:type="dxa"/>
            <w:tcBorders>
              <w:top w:val="single" w:color="auto" w:sz="4" w:space="0"/>
              <w:left w:val="nil"/>
              <w:bottom w:val="single" w:color="auto" w:sz="4" w:space="0"/>
              <w:right w:val="single" w:color="auto" w:sz="4" w:space="0"/>
            </w:tcBorders>
            <w:shd w:val="clear" w:color="auto" w:fill="auto"/>
            <w:vAlign w:val="top"/>
          </w:tcPr>
          <w:p w14:paraId="7AACBBB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2F048FA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55CF718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r>
      <w:tr w14:paraId="3378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11373"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46583CD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合计人民币：</w:t>
            </w:r>
            <w:r>
              <w:rPr>
                <w:rFonts w:hint="default" w:ascii="Times New Roman" w:hAnsi="Times New Roman" w:eastAsia="宋体" w:cs="Times New Roman"/>
                <w:kern w:val="2"/>
                <w:sz w:val="21"/>
                <w:szCs w:val="21"/>
                <w:lang w:val="en-US" w:eastAsia="zh-CN" w:bidi="ar"/>
              </w:rPr>
              <w:t>XXXX</w:t>
            </w:r>
            <w:r>
              <w:rPr>
                <w:rFonts w:hint="eastAsia" w:ascii="宋体" w:hAnsi="宋体" w:eastAsia="宋体" w:cs="宋体"/>
                <w:kern w:val="2"/>
                <w:sz w:val="21"/>
                <w:szCs w:val="21"/>
                <w:lang w:val="en-US" w:eastAsia="zh-CN" w:bidi="ar"/>
              </w:rPr>
              <w:t xml:space="preserve">元整（￥ </w:t>
            </w:r>
            <w:r>
              <w:rPr>
                <w:rFonts w:hint="default" w:ascii="Times New Roman" w:hAnsi="Times New Roman" w:eastAsia="宋体" w:cs="Times New Roman"/>
                <w:kern w:val="2"/>
                <w:sz w:val="21"/>
                <w:szCs w:val="21"/>
                <w:lang w:val="en-US" w:eastAsia="zh-CN" w:bidi="ar"/>
              </w:rPr>
              <w:t>XXXX.00</w:t>
            </w:r>
            <w:r>
              <w:rPr>
                <w:rFonts w:hint="eastAsia" w:ascii="宋体" w:hAnsi="宋体" w:eastAsia="宋体" w:cs="宋体"/>
                <w:kern w:val="2"/>
                <w:sz w:val="21"/>
                <w:szCs w:val="21"/>
                <w:lang w:val="en-US" w:eastAsia="zh-CN" w:bidi="ar"/>
              </w:rPr>
              <w:t>元）</w:t>
            </w:r>
          </w:p>
        </w:tc>
      </w:tr>
    </w:tbl>
    <w:p w14:paraId="34CBD8B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 xml:space="preserve"> </w:t>
      </w:r>
    </w:p>
    <w:p w14:paraId="55128311">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第二条 合同价款</w:t>
      </w:r>
    </w:p>
    <w:p w14:paraId="2C6C2F13">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1.本合同项下甲乙双方买卖</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设备含税总价款为：大写人民币</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XXXX</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元整（￥</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 xml:space="preserve"> XXXX.00元</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）。此价款为甲方履行本合同义务而产生的一切费用，除此以外甲方不再对乙方承担任何支付价款或以外费用的责任。此价款包括但不限于报装费、设计费、设备</w:t>
      </w:r>
      <w:r>
        <w:rPr>
          <w:rFonts w:hint="eastAsia" w:ascii="仿宋_GB2312" w:hAnsi="Times New Roman" w:eastAsia="仿宋_GB2312" w:cs="仿宋_GB2312"/>
          <w:kern w:val="2"/>
          <w:sz w:val="28"/>
          <w:szCs w:val="28"/>
          <w:lang w:val="en-US" w:eastAsia="zh-CN" w:bidi="ar"/>
        </w:rPr>
        <w:t>制造费、包装费、仓储费、运输费、安装调试费、验收和保修期届满前备品备件费用以及与本合同设备及服务相关的税和费。合同总价款不因通货膨胀、市场行情等市场价格的变动而变动，但本合同另有约定的除外。</w:t>
      </w:r>
    </w:p>
    <w:p w14:paraId="00F9F27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
          <w:bCs w:val="0"/>
          <w:kern w:val="2"/>
          <w:sz w:val="28"/>
          <w:szCs w:val="28"/>
        </w:rPr>
      </w:pPr>
      <w:r>
        <w:rPr>
          <w:rFonts w:hint="eastAsia" w:ascii="仿宋_GB2312" w:hAnsi="Times New Roman" w:eastAsia="仿宋_GB2312" w:cs="仿宋_GB2312"/>
          <w:kern w:val="2"/>
          <w:sz w:val="28"/>
          <w:szCs w:val="28"/>
          <w:lang w:val="en-US" w:eastAsia="zh-CN" w:bidi="ar"/>
        </w:rPr>
        <w:t>2.合同价款的支付方式（双方应共同选择一项，并在所选项□内打“√”）：</w:t>
      </w:r>
    </w:p>
    <w:p w14:paraId="64AF812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一次性支付</w:t>
      </w:r>
    </w:p>
    <w:p w14:paraId="249405F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货到安装、调试验收合格后，乙方应按本合同全额价款出具正规税务发票，甲方财务科收到乙方发票等相关资料后</w:t>
      </w:r>
      <w:r>
        <w:rPr>
          <w:rFonts w:hint="eastAsia" w:ascii="仿宋_GB2312" w:hAnsi="Times New Roman" w:eastAsia="仿宋_GB2312" w:cs="仿宋_GB2312"/>
          <w:color w:val="000000"/>
          <w:kern w:val="2"/>
          <w:sz w:val="28"/>
          <w:szCs w:val="28"/>
          <w:u w:val="single"/>
          <w:lang w:val="en-US" w:eastAsia="zh-CN" w:bidi="ar"/>
        </w:rPr>
        <w:t>10</w:t>
      </w:r>
      <w:r>
        <w:rPr>
          <w:rFonts w:hint="eastAsia" w:ascii="仿宋_GB2312" w:hAnsi="Times New Roman" w:eastAsia="仿宋_GB2312" w:cs="仿宋_GB2312"/>
          <w:color w:val="000000"/>
          <w:kern w:val="2"/>
          <w:sz w:val="28"/>
          <w:szCs w:val="28"/>
          <w:lang w:val="en-US" w:eastAsia="zh-CN" w:bidi="ar"/>
        </w:rPr>
        <w:t>个工作日内向乙方支付合同全款。</w:t>
      </w:r>
    </w:p>
    <w:p w14:paraId="66857BA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分笔支付</w:t>
      </w:r>
    </w:p>
    <w:p w14:paraId="65E4F97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且财政资金下达后，乙方应按本合同全额价款出具正规税务发票，甲方财务科收到乙方发票等相关资料后15日内向乙方支付合同价款的90%；若财政当次下达资金未达合同价款的90%，则以当次实际下达资金为准，直至付款至合同价款的90%。货款余额（合同价款的10%）在项目结算并下达尾款资金后支付。</w:t>
      </w:r>
    </w:p>
    <w:p w14:paraId="7F6EF68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3.乙方指定的收款账户：</w:t>
      </w:r>
    </w:p>
    <w:p w14:paraId="1EA9958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户名：</w:t>
      </w:r>
    </w:p>
    <w:p w14:paraId="0832B23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银行账号</w:t>
      </w:r>
      <w:r>
        <w:rPr>
          <w:rFonts w:hint="eastAsia" w:ascii="仿宋_GB2312" w:hAnsi="Times New Roman" w:eastAsia="仿宋_GB2312" w:cs="仿宋_GB2312"/>
          <w:kern w:val="2"/>
          <w:sz w:val="28"/>
          <w:szCs w:val="28"/>
          <w:lang w:val="en-US" w:eastAsia="zh-CN" w:bidi="ar"/>
        </w:rPr>
        <w:t>：</w:t>
      </w:r>
    </w:p>
    <w:p w14:paraId="4660AF9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开户行：</w:t>
      </w:r>
    </w:p>
    <w:p w14:paraId="1AAFC1EE">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第三条  质量标准</w:t>
      </w:r>
    </w:p>
    <w:p w14:paraId="50F884C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1.乙方在本合同项下向甲方提供的</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质量和技术规格应符合以下标准：</w:t>
      </w:r>
    </w:p>
    <w:p w14:paraId="527B30E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（1）项目的中标通知书、征集文件、答疑及补充通知；</w:t>
      </w:r>
    </w:p>
    <w:p w14:paraId="0F52D3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（2）乙方的投标文件；</w:t>
      </w:r>
    </w:p>
    <w:p w14:paraId="32546F1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kern w:val="2"/>
          <w:sz w:val="28"/>
          <w:szCs w:val="28"/>
          <w:lang w:val="en-US" w:eastAsia="zh-CN" w:bidi="ar"/>
        </w:rPr>
        <w:t>（3）本合同附件</w:t>
      </w:r>
      <w:r>
        <w:rPr>
          <w:rFonts w:hint="eastAsia" w:ascii="仿宋_GB2312" w:hAnsi="Times New Roman" w:eastAsia="仿宋_GB2312" w:cs="仿宋_GB2312"/>
          <w:bCs/>
          <w:kern w:val="2"/>
          <w:sz w:val="28"/>
          <w:szCs w:val="28"/>
          <w:lang w:val="en-US" w:eastAsia="zh-CN" w:bidi="ar"/>
        </w:rPr>
        <w:t>的约定；</w:t>
      </w:r>
    </w:p>
    <w:p w14:paraId="3011BCE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（4）国家关于该类设备的设计和制造生产标准；</w:t>
      </w:r>
    </w:p>
    <w:p w14:paraId="59F70D4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（5）国家关于该类设备质量的行业标准；</w:t>
      </w:r>
    </w:p>
    <w:p w14:paraId="6855ACB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（6）符合国家有关安全、环保等规范和要求（乙方须提供设备测验报告）；</w:t>
      </w:r>
    </w:p>
    <w:p w14:paraId="76C7E72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（7）进口设备具有进口注册证书、《入境设备检验检疫证明》等中国海关商检合格证明</w:t>
      </w:r>
    </w:p>
    <w:p w14:paraId="475DF8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设备注册证名、产地品牌、规格型号应与在行政部门登记的注册证描述一致并在有效期内。消毒设备在注册证号栏中分别填入注册证号、卫生许可证号、卫生许可证批号。合同设备如属《中华人民共和国进口计量器具型式审查目录》或《中华人民共和国强制检定的工作计量器具目录》内的，乙方需提供计量合格证，所有上述证照办理的费用均包含在合同总价内。</w:t>
      </w:r>
    </w:p>
    <w:p w14:paraId="127CB9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3.如合同设备属于国家规定的强检设备，由乙方负责完成首次计量强制检定，验收前乙方必须附上计量检定合格报告。</w:t>
      </w:r>
    </w:p>
    <w:p w14:paraId="632E43A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w:t>
      </w:r>
      <w:r>
        <w:rPr>
          <w:rFonts w:hint="eastAsia" w:ascii="仿宋_GB2312" w:hAnsi="Times New Roman" w:eastAsia="仿宋_GB2312" w:cs="仿宋_GB2312"/>
          <w:bCs/>
          <w:color w:val="000000"/>
          <w:kern w:val="2"/>
          <w:sz w:val="28"/>
          <w:szCs w:val="28"/>
          <w:lang w:val="en-US" w:eastAsia="zh-CN" w:bidi="ar"/>
        </w:rPr>
        <w:t>如合同设备需要甲方信息端口，则由乙方负责甲方信息系统端口连接的安装工作及费用（包含信息系统方的接口开发费）。甲方协助乙方完成信息系统安装，确保设备稳定运行。</w:t>
      </w:r>
    </w:p>
    <w:p w14:paraId="2E910D0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 </w:t>
      </w:r>
    </w:p>
    <w:p w14:paraId="28EAC693">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第四条  质量保证及售后服务</w:t>
      </w:r>
    </w:p>
    <w:p w14:paraId="4A74E58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FF0000"/>
          <w:kern w:val="2"/>
          <w:sz w:val="28"/>
          <w:szCs w:val="28"/>
        </w:rPr>
      </w:pPr>
      <w:r>
        <w:rPr>
          <w:rFonts w:hint="eastAsia" w:ascii="仿宋_GB2312" w:hAnsi="Times New Roman" w:eastAsia="仿宋_GB2312" w:cs="仿宋_GB2312"/>
          <w:bCs/>
          <w:kern w:val="2"/>
          <w:sz w:val="28"/>
          <w:szCs w:val="28"/>
          <w:lang w:val="en-US" w:eastAsia="zh-CN" w:bidi="ar"/>
        </w:rPr>
        <w:t>1.乙方应保证设备是全新、未使用过的原装合格正品（包括零部件），设备到达甲方安装现场时外包装应完好无损，最新生产批次且经检验合格的产品。</w:t>
      </w:r>
    </w:p>
    <w:p w14:paraId="48CE813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2.乙方对本合同设备提供质</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保期</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3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年（</w:t>
      </w:r>
      <w:r>
        <w:rPr>
          <w:rFonts w:hint="eastAsia" w:ascii="仿宋_GB2312" w:hAnsi="Times New Roman" w:eastAsia="仿宋_GB2312" w:cs="仿宋_GB2312"/>
          <w:bCs/>
          <w:kern w:val="2"/>
          <w:sz w:val="28"/>
          <w:szCs w:val="28"/>
          <w:lang w:val="en-US" w:eastAsia="zh-CN" w:bidi="ar"/>
        </w:rPr>
        <w:t>自验收合格之日起算），终身维护。质保期内免费提供每年2次定期保养。设备出现故障时乙方应在接到甲方通知时4小时响应，24小时内到位，若乙方未能在24小时内消除障碍，甲方有权聘请第三方消除障碍，</w:t>
      </w:r>
      <w:r>
        <w:rPr>
          <w:rFonts w:hint="eastAsia" w:ascii="仿宋_GB2312" w:hAnsi="Times New Roman" w:eastAsia="仿宋_GB2312" w:cs="仿宋_GB2312"/>
          <w:kern w:val="2"/>
          <w:sz w:val="28"/>
          <w:szCs w:val="28"/>
          <w:lang w:val="en-US" w:eastAsia="zh-CN" w:bidi="ar"/>
        </w:rPr>
        <w:t>所发生的费用由乙方全部承担，乙方应于故障发生后</w:t>
      </w:r>
      <w:r>
        <w:rPr>
          <w:rFonts w:hint="eastAsia" w:ascii="仿宋_GB2312" w:hAnsi="Times New Roman" w:eastAsia="仿宋_GB2312" w:cs="仿宋_GB2312"/>
          <w:bCs/>
          <w:kern w:val="2"/>
          <w:sz w:val="28"/>
          <w:szCs w:val="28"/>
          <w:u w:val="single"/>
          <w:lang w:val="en-US" w:eastAsia="zh-CN" w:bidi="ar"/>
        </w:rPr>
        <w:t xml:space="preserve"> 15 </w:t>
      </w:r>
      <w:r>
        <w:rPr>
          <w:rFonts w:hint="eastAsia" w:ascii="仿宋_GB2312" w:hAnsi="Times New Roman" w:eastAsia="仿宋_GB2312" w:cs="仿宋_GB2312"/>
          <w:kern w:val="2"/>
          <w:sz w:val="28"/>
          <w:szCs w:val="28"/>
          <w:lang w:val="en-US" w:eastAsia="zh-CN" w:bidi="ar"/>
        </w:rPr>
        <w:t>日内支付。</w:t>
      </w:r>
    </w:p>
    <w:p w14:paraId="3867D0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3.质保期内非因甲方人为原因而出现的质量问题，由乙方负责包修、包换或者包退，并承担修理、调换或退货的实际费用。乙方不能修理或不能调换，按不能交货处理。</w:t>
      </w:r>
    </w:p>
    <w:p w14:paraId="2CF296AD">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必须提供由设备生产原厂签署承诺的合法有效的保修、维修证明（售后服务承诺函，盖厂家公章），厂家签署承诺的保修期应与投标供应商承诺的保修期一致；必须由原厂工程师及技术人员直接提供保修、维修、免费技术培训服务。</w:t>
      </w:r>
    </w:p>
    <w:p w14:paraId="00ADCC3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5.保修期届满后，乙方应按其在深圳地区同类产品的优惠价格提供维保服务，具体设备维护事宜由双方另行协商。</w:t>
      </w:r>
    </w:p>
    <w:p w14:paraId="41941F25">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第五条  进口设备手续（进口设备方使用该条款）</w:t>
      </w:r>
    </w:p>
    <w:p w14:paraId="214316D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乙方提供的进口设备必须具有合法的进口手续，并负责办理设备进口报关等手续。</w:t>
      </w:r>
    </w:p>
    <w:p w14:paraId="23575CE2">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第六条  包装</w:t>
      </w:r>
    </w:p>
    <w:p w14:paraId="3598D3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设备运输至本合同指定的交货地点所需要的包装，包装费用由乙方承担，包装物不返还，归甲方所有。设备的包装均应有良好的防湿、防锈、防潮、防雨、防腐及防碰撞的措施，符合产品标准关于包装的要求。凡由于包装问题造成的损失和由此产生的费用均由乙方承担。</w:t>
      </w:r>
    </w:p>
    <w:p w14:paraId="02E7C3D4">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第七条  交付</w:t>
      </w:r>
    </w:p>
    <w:p w14:paraId="24E4037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1.交货时间：合同签订并接甲方</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通知后</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w:t>
      </w:r>
    </w:p>
    <w:p w14:paraId="503DD4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2.交货地点：运输及卸车搬至甲方指定地点。运输费用及风险由乙方承担。在乙方将设备送至该交货地点前，甲方有权单方变更该交货地点，但应提前</w:t>
      </w:r>
      <w:r>
        <w:rPr>
          <w:rFonts w:hint="eastAsia" w:ascii="仿宋_GB2312" w:hAnsi="Times New Roman" w:eastAsia="仿宋_GB2312" w:cs="仿宋_GB2312"/>
          <w:bCs/>
          <w:kern w:val="2"/>
          <w:sz w:val="28"/>
          <w:szCs w:val="28"/>
          <w:u w:val="single"/>
          <w:lang w:val="en-US" w:eastAsia="zh-CN" w:bidi="ar"/>
        </w:rPr>
        <w:t xml:space="preserve"> 1 </w:t>
      </w:r>
      <w:r>
        <w:rPr>
          <w:rFonts w:hint="eastAsia" w:ascii="仿宋_GB2312" w:hAnsi="Times New Roman" w:eastAsia="仿宋_GB2312" w:cs="仿宋_GB2312"/>
          <w:bCs/>
          <w:kern w:val="2"/>
          <w:sz w:val="28"/>
          <w:szCs w:val="28"/>
          <w:lang w:val="en-US" w:eastAsia="zh-CN" w:bidi="ar"/>
        </w:rPr>
        <w:t>日通知乙方，乙方应无条件服从，因此产生的费用由乙方承担。</w:t>
      </w:r>
    </w:p>
    <w:p w14:paraId="1D62D960">
      <w:pPr>
        <w:pStyle w:val="14"/>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Calibri" w:eastAsia="仿宋_GB2312" w:cs="仿宋_GB2312"/>
          <w:bCs/>
          <w:kern w:val="2"/>
          <w:sz w:val="28"/>
          <w:szCs w:val="28"/>
          <w:lang w:val="en-US" w:eastAsia="zh-CN" w:bidi="ar"/>
        </w:rPr>
        <w:t>3.乙方应随设备向甲方交付设备中文版《使用说明书》等与本合同设备使用有关的所有资料。如为进口设备，乙方还应提供进口设备原产地证、检测报告、检验检疫证明、进口报关手续等资料。</w:t>
      </w:r>
    </w:p>
    <w:p w14:paraId="2780DE8F">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第八条  安装调试</w:t>
      </w:r>
    </w:p>
    <w:p w14:paraId="341EA76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000000" w:themeColor="text1"/>
          <w:kern w:val="2"/>
          <w:sz w:val="28"/>
          <w:szCs w:val="28"/>
          <w14:textFill>
            <w14:solidFill>
              <w14:schemeClr w14:val="tx1"/>
            </w14:solidFill>
          </w14:textFill>
        </w:rPr>
      </w:pPr>
      <w:r>
        <w:rPr>
          <w:rFonts w:hint="eastAsia" w:ascii="仿宋_GB2312" w:hAnsi="Times New Roman" w:eastAsia="仿宋_GB2312" w:cs="仿宋_GB2312"/>
          <w:bCs/>
          <w:kern w:val="2"/>
          <w:sz w:val="28"/>
          <w:szCs w:val="28"/>
          <w:lang w:val="en-US" w:eastAsia="zh-CN" w:bidi="ar"/>
        </w:rPr>
        <w:t>1.安装调试时间</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：自交货</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日内完成。</w:t>
      </w:r>
    </w:p>
    <w:p w14:paraId="5F47CA3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2.乙方负责合同项下设备的安装、调</w:t>
      </w:r>
      <w:r>
        <w:rPr>
          <w:rFonts w:hint="eastAsia" w:ascii="仿宋_GB2312" w:hAnsi="Times New Roman" w:eastAsia="仿宋_GB2312" w:cs="仿宋_GB2312"/>
          <w:bCs/>
          <w:kern w:val="2"/>
          <w:sz w:val="28"/>
          <w:szCs w:val="28"/>
          <w:lang w:val="en-US" w:eastAsia="zh-CN" w:bidi="ar"/>
        </w:rPr>
        <w:t>试，一切费用及责任由乙方承担。</w:t>
      </w:r>
    </w:p>
    <w:p w14:paraId="0950F28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设备安装需施工的，乙方应在合同签订前提供设备安装施工图纸，甲方与乙方共同签字确定安装场地施工方案，确保安装场地（包括消防、环保等）适合设备安装，如因乙方延迟提供材料或未及时签字确认方案等致设备无法如期安装所造成的损失由乙方承担。安装前乙方通知甲方使用科室、设备科三方共同到场开箱，并填写开箱记录。乙方应提供与设备相符且完整的资料，提供包括但不限于如下资料：①产品安装、操作和维修手册②中文版使用说明书③出厂合格证（进口产品提供进口报关单及检疫证明）④到货清单。</w:t>
      </w:r>
    </w:p>
    <w:p w14:paraId="4A93200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安装时须对安装场地及场地内的其他设备、设施有良好保护措施。如因乙方原因造成甲方场地或场地内其他设备、设施损坏，由乙方承担赔偿责任。如安装地点不适合应当书面通知甲方调换合适的地点，设备运送、安装调试以及计量检测所产生的费用由乙方负责。</w:t>
      </w:r>
    </w:p>
    <w:p w14:paraId="21A3797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Cs/>
          <w:kern w:val="2"/>
          <w:sz w:val="28"/>
          <w:szCs w:val="28"/>
          <w:lang w:val="en-US" w:eastAsia="zh-CN" w:bidi="ar"/>
        </w:rPr>
        <w:t>5.如乙方人员（包括受乙方委托提供送货、安装、调试等服务的人员）应提供安全、专业的服务，如在送货、安装、调试过程中造成乙方及乙方服务人员自身、甲方及甲方人员或者任何第三方的人身或财产损害，应由乙方自行承担责任；</w:t>
      </w:r>
    </w:p>
    <w:p w14:paraId="66E68496">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第九条  验收</w:t>
      </w:r>
    </w:p>
    <w:p w14:paraId="5A4AD28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1.验收时间：设备安装调试完毕，并正常运行后</w:t>
      </w:r>
      <w:r>
        <w:rPr>
          <w:rFonts w:hint="eastAsia" w:ascii="仿宋_GB2312" w:hAnsi="Times New Roman" w:eastAsia="仿宋_GB2312" w:cs="仿宋_GB2312"/>
          <w:bCs/>
          <w:color w:val="FF0000"/>
          <w:kern w:val="2"/>
          <w:sz w:val="28"/>
          <w:szCs w:val="28"/>
          <w:u w:val="single"/>
          <w:lang w:val="en-US" w:eastAsia="zh-CN" w:bidi="ar"/>
        </w:rPr>
        <w:t xml:space="preserve">  </w:t>
      </w:r>
      <w:r>
        <w:rPr>
          <w:rFonts w:hint="eastAsia" w:ascii="仿宋_GB2312" w:hAnsi="Times New Roman" w:eastAsia="仿宋_GB2312" w:cs="仿宋_GB2312"/>
          <w:bCs/>
          <w:kern w:val="2"/>
          <w:sz w:val="28"/>
          <w:szCs w:val="28"/>
          <w:lang w:val="en-US" w:eastAsia="zh-CN" w:bidi="ar"/>
        </w:rPr>
        <w:t>日内。</w:t>
      </w:r>
    </w:p>
    <w:p w14:paraId="666954D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验收日期前乙方必须完成合同约定的各项培训，包括对甲方相关人员进行设备使用培训及日常保养培训并提供培训记录。现场验收时乙方提供必要的技术支持并协助甲方完成各项指标和功能的测试，否则因验收延误产生的后果由乙方负责。</w:t>
      </w:r>
    </w:p>
    <w:p w14:paraId="5628763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3.合同设备安装调试完毕后，乙方应及时书面提请验收。甲乙双方共同对</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的包装、外观、数量、商标、型号、规格、质量以及设备随附单证、资料等进行验收。经双方验收后，由双方共同签署验收报告。乙方提供的设备及其随附物件的风险在经验收合格后转移至甲方。因乙方未及时书面提请验收造成付款延误的，由乙方自行承担责任。</w:t>
      </w:r>
    </w:p>
    <w:p w14:paraId="6085CCA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验收按本合同要求及国家有关的规定、规范进行。验收时如发现所交付的设备有短装、次品、损坏或其它不符合本合同规定之情形者，甲方可作现场记录，或由甲乙双方签署备忘录。此现场记录或备忘录可用作换货、补充缺失、更换损坏部件和追责的有效证据。由此产生的有关费用由乙方承担。乙方提供的各种文件载明的内容必须真实，甲方对产品的技术数据置疑时，有权要求乙方按照双方认可的第三方检测机构出具的检验方法进行检测（检测费用由乙方承担），检测结果必须证明乙方提供的技术数据是真实的，否则视为不合格。</w:t>
      </w:r>
    </w:p>
    <w:p w14:paraId="738C1179">
      <w:pPr>
        <w:keepNext w:val="0"/>
        <w:keepLines w:val="0"/>
        <w:widowControl w:val="0"/>
        <w:suppressLineNumbers w:val="0"/>
        <w:tabs>
          <w:tab w:val="left" w:pos="780"/>
        </w:tabs>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验收发现设备短装、损坏或质量不符合本合同之规定，不论何种原因导致，在甲方提出换货要求的情况下，乙方应及时安排换货，以保证合同设备如期安装、通过验收。换货的相关费用和相应后果由乙方承担，验收时间不予顺延。</w:t>
      </w:r>
    </w:p>
    <w:p w14:paraId="581AEB88">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第十条 权利保证</w:t>
      </w:r>
    </w:p>
    <w:p w14:paraId="6DEBE08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1.</w:t>
      </w:r>
      <w:r>
        <w:rPr>
          <w:rFonts w:hint="eastAsia" w:ascii="仿宋_GB2312" w:hAnsi="Times New Roman" w:eastAsia="仿宋_GB2312" w:cs="仿宋_GB2312"/>
          <w:kern w:val="2"/>
          <w:sz w:val="28"/>
          <w:szCs w:val="28"/>
          <w:lang w:val="en-US" w:eastAsia="zh-CN" w:bidi="ar"/>
        </w:rPr>
        <w:t>乙方保证所提供的设备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设备造成的全部损失、律师费、诉讼费、取证费、差旅费、保全费、担保费、鉴证费、公证费、执行费以及间接损失等。</w:t>
      </w:r>
    </w:p>
    <w:p w14:paraId="0E5F35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2.乙方保证所提供的设备符合征集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设备的损失及因纠纷造成的其他损失（如被保全等）、甲方为解决纠纷支出的律师费、诉讼费、保全费、担保费、差旅费、鉴证费、公证费、执行费等全部费用以及全部间接损失。</w:t>
      </w:r>
    </w:p>
    <w:p w14:paraId="74A5506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3.如有关法院、仲裁机构或行政机关禁止甲方继续使用本合同项目下设备的部分或全部，乙方应酌情采取以下措施之一：</w:t>
      </w:r>
    </w:p>
    <w:p w14:paraId="68CEDF5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（1）使甲方重新免费获得使用上述设备的权利； </w:t>
      </w:r>
    </w:p>
    <w:p w14:paraId="1CBDBA2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（2）免费更换或改造上述设备，使甲方不受上述禁令限制继续使用该设备。</w:t>
      </w:r>
    </w:p>
    <w:p w14:paraId="748CF3D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乙方采取上述措施不能免除乙方就甲方因此遭受的损失进行赔偿的义务。</w:t>
      </w:r>
    </w:p>
    <w:p w14:paraId="034A79A9">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第十一条  违约责任</w:t>
      </w:r>
    </w:p>
    <w:p w14:paraId="2DAF2192">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1.甲方无正当理由拒收设备、拒付设备款的，甲方向乙方偿付其所拒收设备总值的</w:t>
      </w:r>
      <w:r>
        <w:rPr>
          <w:rFonts w:hint="eastAsia" w:ascii="仿宋_GB2312" w:hAnsi="Times New Roman" w:eastAsia="仿宋_GB2312" w:cs="仿宋_GB2312"/>
          <w:kern w:val="2"/>
          <w:sz w:val="28"/>
          <w:szCs w:val="28"/>
          <w:u w:val="single"/>
          <w:lang w:val="en-US" w:eastAsia="zh-CN" w:bidi="ar"/>
        </w:rPr>
        <w:t xml:space="preserve"> 10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73CAB818">
      <w:pPr>
        <w:pStyle w:val="45"/>
        <w:widowControl/>
        <w:adjustRightInd w:val="0"/>
        <w:snapToGrid w:val="0"/>
        <w:spacing w:line="560" w:lineRule="exact"/>
        <w:ind w:left="0" w:firstLine="602"/>
        <w:jc w:val="left"/>
        <w:rPr>
          <w:rFonts w:hint="default" w:ascii="Calibri" w:hAnsi="Calibri" w:eastAsia="宋体" w:cs="Times New Roman"/>
          <w:kern w:val="2"/>
          <w:sz w:val="24"/>
          <w:szCs w:val="24"/>
        </w:rPr>
      </w:pPr>
      <w:r>
        <w:rPr>
          <w:rFonts w:hint="eastAsia" w:ascii="仿宋_GB2312" w:eastAsia="仿宋_GB2312" w:cs="仿宋_GB2312"/>
          <w:bCs/>
          <w:kern w:val="2"/>
          <w:sz w:val="28"/>
          <w:szCs w:val="28"/>
        </w:rPr>
        <w:t>2.甲方逾期付设备款的，甲方向乙方每日偿付欠款总额</w:t>
      </w:r>
      <w:r>
        <w:rPr>
          <w:rFonts w:hint="eastAsia" w:ascii="仿宋_GB2312" w:eastAsia="仿宋_GB2312" w:cs="仿宋_GB2312"/>
          <w:kern w:val="2"/>
          <w:sz w:val="28"/>
          <w:szCs w:val="28"/>
          <w:u w:val="single"/>
        </w:rPr>
        <w:t xml:space="preserve">  1  </w:t>
      </w:r>
      <w:r>
        <w:rPr>
          <w:rFonts w:hint="eastAsia" w:ascii="仿宋_GB2312" w:eastAsia="仿宋_GB2312" w:cs="仿宋_GB2312"/>
          <w:kern w:val="2"/>
          <w:sz w:val="28"/>
          <w:szCs w:val="28"/>
        </w:rPr>
        <w:t>‰</w:t>
      </w:r>
      <w:r>
        <w:rPr>
          <w:rFonts w:hint="eastAsia" w:ascii="仿宋_GB2312" w:eastAsia="仿宋_GB2312" w:cs="仿宋_GB2312"/>
          <w:bCs/>
          <w:kern w:val="2"/>
          <w:sz w:val="28"/>
          <w:szCs w:val="28"/>
        </w:rPr>
        <w:t>的违约金，违约金总额最高不超过逾期支付设备款项的5%。但因甲方使用的是财政资金，甲方应在约定期限内办理财政支付申请手续（不含政府财政支付部门审核的时间）。因财政支付流程造成的延误，应视为甲方依约履行，甲方不承担任何逾期付款的违约责任。</w:t>
      </w:r>
    </w:p>
    <w:p w14:paraId="443668E0">
      <w:pPr>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3.乙方逾期交付设备的，每逾期1日，乙方向甲方偿付</w:t>
      </w:r>
      <w:r>
        <w:rPr>
          <w:rFonts w:hint="eastAsia" w:ascii="仿宋_GB2312" w:hAnsi="Times New Roman" w:eastAsia="仿宋_GB2312" w:cs="仿宋_GB2312"/>
          <w:bCs/>
          <w:kern w:val="2"/>
          <w:sz w:val="28"/>
          <w:szCs w:val="28"/>
          <w:lang w:val="en-US" w:eastAsia="zh-CN" w:bidi="ar"/>
        </w:rPr>
        <w:t>本合同总价款</w:t>
      </w:r>
      <w:r>
        <w:rPr>
          <w:rFonts w:hint="eastAsia" w:ascii="仿宋_GB2312" w:hAnsi="Times New Roman" w:eastAsia="仿宋_GB2312" w:cs="仿宋_GB2312"/>
          <w:kern w:val="2"/>
          <w:sz w:val="28"/>
          <w:szCs w:val="28"/>
          <w:u w:val="single"/>
          <w:lang w:val="en-US" w:eastAsia="zh-CN" w:bidi="ar"/>
        </w:rPr>
        <w:t xml:space="preserve">  5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r>
        <w:rPr>
          <w:rFonts w:hint="eastAsia" w:ascii="仿宋_GB2312" w:hAnsi="Times New Roman" w:eastAsia="仿宋_GB2312" w:cs="仿宋_GB2312"/>
          <w:kern w:val="2"/>
          <w:sz w:val="28"/>
          <w:szCs w:val="28"/>
          <w:lang w:val="en-US" w:eastAsia="zh-CN" w:bidi="ar"/>
        </w:rPr>
        <w:t>。如乙方逾期交货达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日，甲方有权单方解除合同，同时乙方应向甲方</w:t>
      </w:r>
      <w:r>
        <w:rPr>
          <w:rFonts w:hint="eastAsia" w:ascii="仿宋_GB2312" w:hAnsi="Times New Roman" w:eastAsia="仿宋_GB2312" w:cs="仿宋_GB2312"/>
          <w:bCs/>
          <w:kern w:val="2"/>
          <w:sz w:val="28"/>
          <w:szCs w:val="28"/>
          <w:lang w:val="en-US" w:eastAsia="zh-CN" w:bidi="ar"/>
        </w:rPr>
        <w:t>支付合同总价款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25819B11">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4.乙方所交付的设备品种、型号、规格、质量标准等不符合合同约定的，甲方有权要求乙方进行退换货处理;设备已安装的，乙方须按照甲方要求的时间、方式拆除处置乙方设备，由此产生一切费用（含恢复原状费用）由乙方承担。乙方在甲方要求时间内不予处置的，甲方有权自行处置，乙方应向甲方支付货款总额</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％的违约金。乙方因退换货造成逾期交货的，按本条第3点的约定执行。</w:t>
      </w:r>
    </w:p>
    <w:p w14:paraId="6F6DC6D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5.在乙方承诺的或国家规定的质量保证期内（取两者中最长的期限），如经乙方两次维修或更换，设备仍不能达到合同约定的质量标准，甲方有权单方解除合同，乙方应退回全部货款并赔偿甲方因此遭受的损失，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46B6D9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6.乙方未履行本合同项下的其他义务或违反征集文件的要求或其在投标文件中的相关承诺的，乙方须在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内改正，未能在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内改正且无正当理由的，甲方有权单方解除合同，乙方应退回全部货款，同时乙方应向甲方支付合同总价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B50EAB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7.乙方在承担上述一项或多项违约责任后，仍应继续履行合同规定的义务（甲方解除合同的除外）。甲方未能及时追究乙方的任何一项违约责任并不表明甲方放弃追究乙方该项或其他违约责任。</w:t>
      </w:r>
    </w:p>
    <w:p w14:paraId="7DCC9C7C">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8.合同双方认为应补充的内容（不违反招投标文件及相关法律法规）：</w:t>
      </w:r>
      <w:r>
        <w:rPr>
          <w:rFonts w:hint="eastAsia" w:ascii="仿宋_GB2312" w:hAnsi="Times New Roman" w:eastAsia="仿宋_GB2312" w:cs="仿宋_GB2312"/>
          <w:kern w:val="2"/>
          <w:sz w:val="28"/>
          <w:szCs w:val="28"/>
          <w:u w:val="single"/>
          <w:lang w:val="en-US" w:eastAsia="zh-CN" w:bidi="ar"/>
        </w:rPr>
        <w:t xml:space="preserve">   无   </w:t>
      </w:r>
    </w:p>
    <w:p w14:paraId="6FF5175D">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第十二条  不可抗力</w:t>
      </w:r>
    </w:p>
    <w:p w14:paraId="4E4FA3D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4）</w:t>
      </w:r>
      <w:r>
        <w:rPr>
          <w:rFonts w:hint="eastAsia" w:ascii="仿宋_GB2312" w:hAnsi="Times New Roman" w:eastAsia="仿宋_GB2312" w:cs="仿宋_GB2312"/>
          <w:kern w:val="2"/>
          <w:sz w:val="28"/>
          <w:szCs w:val="28"/>
          <w:lang w:val="en-US" w:eastAsia="zh-CN" w:bidi="ar"/>
        </w:rPr>
        <w:t>突发公共卫生事件</w:t>
      </w:r>
      <w:r>
        <w:rPr>
          <w:rFonts w:hint="eastAsia" w:ascii="仿宋_GB2312" w:hAnsi="Times New Roman" w:eastAsia="仿宋_GB2312" w:cs="仿宋_GB2312"/>
          <w:bCs/>
          <w:kern w:val="2"/>
          <w:sz w:val="28"/>
          <w:szCs w:val="28"/>
          <w:lang w:val="en-US" w:eastAsia="zh-CN" w:bidi="ar"/>
        </w:rPr>
        <w:t>等。</w:t>
      </w:r>
    </w:p>
    <w:p w14:paraId="033C406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4278B0B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3170BE3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6116D662">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u w:val="single"/>
        </w:rPr>
      </w:pPr>
      <w:r>
        <w:rPr>
          <w:rFonts w:hint="eastAsia" w:ascii="仿宋_GB2312" w:hAnsi="Times New Roman" w:eastAsia="仿宋_GB2312" w:cs="仿宋_GB2312"/>
          <w:b/>
          <w:bCs w:val="0"/>
          <w:kern w:val="2"/>
          <w:sz w:val="28"/>
          <w:szCs w:val="28"/>
          <w:lang w:val="en-US" w:eastAsia="zh-CN" w:bidi="ar"/>
        </w:rPr>
        <w:t>第十三条 变更、终止条款</w:t>
      </w:r>
    </w:p>
    <w:p w14:paraId="7473535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1.除继续履行将损害国家利益和社会公共利益的外，双方不得擅自变更或者终止合同，确有需要的，甲乙双方应根据相关规定完成合同变更程序。</w:t>
      </w:r>
    </w:p>
    <w:p w14:paraId="7A67EE9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2.如继续履行将损害国家利益和社会公共利益的，主张变更或终止权利一方应在终止事件或情形发生时通知另一方。双方另行签订变更或终止协议。</w:t>
      </w:r>
    </w:p>
    <w:p w14:paraId="6227716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kern w:val="2"/>
          <w:sz w:val="28"/>
          <w:szCs w:val="28"/>
          <w:lang w:val="en-US" w:eastAsia="zh-CN" w:bidi="ar"/>
        </w:rPr>
        <w:t>3.合同履行期间，相关法律、法规、规章、规范性文件和政策发生变化或者颁布新的规定，导致本合同的履行依据发生变化的，双方可以按照修改后或者新的规定执行，并另行签订变更协议。</w:t>
      </w:r>
    </w:p>
    <w:p w14:paraId="694F3FFF">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第十四条  争议解决</w:t>
      </w:r>
    </w:p>
    <w:p w14:paraId="54A4032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1.因设备的质量问题发生争议，由国家和市政府指定的技术单位进行质量鉴定，该鉴定结论是终局的，甲乙双方应当接受。</w:t>
      </w:r>
    </w:p>
    <w:p w14:paraId="4488280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2.因履行本合同引起的或与本合同有关的争议，甲、乙双方应首先通过友好协商解决，如果协商不能解决争议，则向甲方所在地有管辖权的人民法院提起诉讼。</w:t>
      </w:r>
    </w:p>
    <w:p w14:paraId="4DE7BD5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3.有关本协议的效力、解释及可执行性的所有问题均应当受中华人民共和国法律管辖并按照其法律进行解释。</w:t>
      </w:r>
    </w:p>
    <w:p w14:paraId="1308FC55">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第十五条  保密责任</w:t>
      </w:r>
    </w:p>
    <w:p w14:paraId="0122AC3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7847E6C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bCs/>
          <w:kern w:val="2"/>
          <w:sz w:val="28"/>
          <w:szCs w:val="28"/>
          <w:lang w:val="en-US" w:eastAsia="zh-CN" w:bidi="ar"/>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255E804D">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第十六条  通信送达</w:t>
      </w:r>
    </w:p>
    <w:p w14:paraId="624E538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1.乙方履行本合同的指定联系人及授</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权代表为</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；职务</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销售经理</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；联系电话</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；电子邮箱</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。在履行合同过程中，该指定联系人及授权代表的行为、意思表示及对甲方所作的任何</w:t>
      </w:r>
      <w:r>
        <w:rPr>
          <w:rFonts w:hint="eastAsia" w:ascii="仿宋_GB2312" w:hAnsi="Times New Roman" w:eastAsia="仿宋_GB2312" w:cs="仿宋_GB2312"/>
          <w:bCs/>
          <w:kern w:val="2"/>
          <w:sz w:val="28"/>
          <w:szCs w:val="28"/>
          <w:lang w:val="en-US" w:eastAsia="zh-CN" w:bidi="ar"/>
        </w:rPr>
        <w:t>承诺、通知等，都对乙方直接具有约束力；甲方通知送达该联系人及授权代表时，即视为通知送达乙方。</w:t>
      </w:r>
    </w:p>
    <w:p w14:paraId="339E78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2.乙方的指定联系人、授权代表的信息发生变化的，或乙方联系地址、电话等发生变化的，应提前5个工作日书面通知到甲方。否则相关送达的不利后果及责任，由乙方自行承担。</w:t>
      </w:r>
    </w:p>
    <w:p w14:paraId="5543FC9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3.如上述地址无法送达的，以双方当事人的注册地址作为送达地址。</w:t>
      </w:r>
    </w:p>
    <w:p w14:paraId="1C321F4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第十七条  廉洁合作</w:t>
      </w:r>
    </w:p>
    <w:p w14:paraId="4300A40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14E0434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8E4A2A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第十八条  附则</w:t>
      </w:r>
    </w:p>
    <w:p w14:paraId="21CD95D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1.本合同一式</w:t>
      </w:r>
      <w:r>
        <w:rPr>
          <w:rFonts w:hint="eastAsia" w:ascii="仿宋_GB2312" w:hAnsi="Times New Roman" w:eastAsia="仿宋_GB2312" w:cs="仿宋_GB2312"/>
          <w:kern w:val="2"/>
          <w:sz w:val="28"/>
          <w:szCs w:val="28"/>
          <w:u w:val="single"/>
          <w:lang w:val="en-US" w:eastAsia="zh-CN" w:bidi="ar"/>
        </w:rPr>
        <w:t xml:space="preserve"> 陆 </w:t>
      </w:r>
      <w:r>
        <w:rPr>
          <w:rFonts w:hint="eastAsia" w:ascii="仿宋_GB2312" w:hAnsi="Times New Roman" w:eastAsia="仿宋_GB2312" w:cs="仿宋_GB2312"/>
          <w:bCs/>
          <w:kern w:val="2"/>
          <w:sz w:val="28"/>
          <w:szCs w:val="28"/>
          <w:lang w:val="en-US" w:eastAsia="zh-CN" w:bidi="ar"/>
        </w:rPr>
        <w:t>份，甲方执</w:t>
      </w:r>
      <w:r>
        <w:rPr>
          <w:rFonts w:hint="eastAsia" w:ascii="仿宋_GB2312" w:hAnsi="Times New Roman" w:eastAsia="仿宋_GB2312" w:cs="仿宋_GB2312"/>
          <w:kern w:val="2"/>
          <w:sz w:val="28"/>
          <w:szCs w:val="28"/>
          <w:u w:val="single"/>
          <w:lang w:val="en-US" w:eastAsia="zh-CN" w:bidi="ar"/>
        </w:rPr>
        <w:t xml:space="preserve"> 伍 </w:t>
      </w:r>
      <w:r>
        <w:rPr>
          <w:rFonts w:hint="eastAsia" w:ascii="仿宋_GB2312" w:hAnsi="Times New Roman" w:eastAsia="仿宋_GB2312" w:cs="仿宋_GB2312"/>
          <w:bCs/>
          <w:kern w:val="2"/>
          <w:sz w:val="28"/>
          <w:szCs w:val="28"/>
          <w:lang w:val="en-US" w:eastAsia="zh-CN" w:bidi="ar"/>
        </w:rPr>
        <w:t>份、乙方执</w:t>
      </w:r>
      <w:r>
        <w:rPr>
          <w:rFonts w:hint="eastAsia" w:ascii="仿宋_GB2312" w:hAnsi="Times New Roman" w:eastAsia="仿宋_GB2312" w:cs="仿宋_GB2312"/>
          <w:kern w:val="2"/>
          <w:sz w:val="28"/>
          <w:szCs w:val="28"/>
          <w:u w:val="single"/>
          <w:lang w:val="en-US" w:eastAsia="zh-CN" w:bidi="ar"/>
        </w:rPr>
        <w:t xml:space="preserve"> 壹 </w:t>
      </w:r>
      <w:r>
        <w:rPr>
          <w:rFonts w:hint="eastAsia" w:ascii="仿宋_GB2312" w:hAnsi="Times New Roman" w:eastAsia="仿宋_GB2312" w:cs="仿宋_GB2312"/>
          <w:bCs/>
          <w:kern w:val="2"/>
          <w:sz w:val="28"/>
          <w:szCs w:val="28"/>
          <w:lang w:val="en-US" w:eastAsia="zh-CN" w:bidi="ar"/>
        </w:rPr>
        <w:t>份，具有同等法律效力。本合同自双方法定代表人或有权代理人签字并加盖双方公章或合同专用章之日起生效。</w:t>
      </w:r>
    </w:p>
    <w:p w14:paraId="30BA3AC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2.本合同未尽事宜，由双方协商处理，经协商一致可签订补充协议。</w:t>
      </w:r>
    </w:p>
    <w:p w14:paraId="30A3ABE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3.如有设备相关耗材、试剂或易损器械，设备及主要维修配件，乙方应提供并分别列出它们的优惠价格。</w:t>
      </w:r>
    </w:p>
    <w:p w14:paraId="7F4E540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第十九条  合同组成文件</w:t>
      </w:r>
    </w:p>
    <w:p w14:paraId="7EADE49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下列文件为本合同的组成部分，并构成一个整体，需综合解释、相互补充。如果下列文件内容出现不一致的情形，在保证按照采购文件确定的事项的前提下，组成本合同的多个文件的优先适用顺序如下：</w:t>
      </w:r>
    </w:p>
    <w:p w14:paraId="66D58A3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1.本合同及其附件、补充合同、变更协议；</w:t>
      </w:r>
    </w:p>
    <w:p w14:paraId="28FF17B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2.中标通知书；</w:t>
      </w:r>
    </w:p>
    <w:p w14:paraId="566848FE">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3.投标文件（含澄清或者说明文件）；</w:t>
      </w:r>
    </w:p>
    <w:p w14:paraId="5702877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4.征集文件（含澄清或者修改文件）；</w:t>
      </w:r>
    </w:p>
    <w:p w14:paraId="7FBE8B5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5.其他相关采购文件。</w:t>
      </w:r>
    </w:p>
    <w:p w14:paraId="1DBDB0B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附件一：中标通知书</w:t>
      </w:r>
    </w:p>
    <w:p w14:paraId="1CDC973A">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附件二：廉洁合作承诺书（企业承诺）</w:t>
      </w:r>
    </w:p>
    <w:p w14:paraId="79CA7C50">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附件三：廉洁从业承诺书（员工承诺）</w:t>
      </w:r>
    </w:p>
    <w:p w14:paraId="1EFC61B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附件四：配置清单</w:t>
      </w:r>
    </w:p>
    <w:p w14:paraId="138DABC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附件五：技术偏离表</w:t>
      </w:r>
    </w:p>
    <w:p w14:paraId="00F6C0A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附件六：售后服务承诺（含厂家）</w:t>
      </w:r>
    </w:p>
    <w:p w14:paraId="501FDF1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附件七：每年二次的维护计划</w:t>
      </w:r>
    </w:p>
    <w:p w14:paraId="61B1BB1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6F7AE8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7BF623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283FF78">
      <w:pPr>
        <w:keepNext w:val="0"/>
        <w:keepLines w:val="0"/>
        <w:widowControl/>
        <w:suppressLineNumbers w:val="0"/>
        <w:spacing w:before="0" w:beforeAutospacing="0" w:after="0" w:afterAutospacing="0"/>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br w:type="page"/>
      </w:r>
    </w:p>
    <w:p w14:paraId="7094F3A3">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（本页无正文</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，为《XXXX》签署页</w:t>
      </w:r>
      <w:r>
        <w:rPr>
          <w:rFonts w:hint="eastAsia" w:ascii="仿宋_GB2312" w:hAnsi="Times New Roman" w:eastAsia="仿宋_GB2312" w:cs="仿宋_GB2312"/>
          <w:kern w:val="2"/>
          <w:sz w:val="28"/>
          <w:szCs w:val="28"/>
          <w:lang w:val="en-US" w:eastAsia="zh-CN" w:bidi="ar"/>
        </w:rPr>
        <w:t>）</w:t>
      </w:r>
    </w:p>
    <w:p w14:paraId="4F8276B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2EEB678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5D9DE3D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tbl>
      <w:tblPr>
        <w:tblStyle w:val="17"/>
        <w:tblW w:w="5000" w:type="pct"/>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362"/>
        <w:gridCol w:w="4160"/>
      </w:tblGrid>
      <w:tr w14:paraId="13BE996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14D854B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甲方：深圳市福田区第二人民医院</w:t>
            </w:r>
          </w:p>
        </w:tc>
        <w:tc>
          <w:tcPr>
            <w:tcW w:w="2441" w:type="pct"/>
            <w:tcBorders>
              <w:top w:val="nil"/>
              <w:left w:val="nil"/>
              <w:bottom w:val="nil"/>
              <w:right w:val="nil"/>
            </w:tcBorders>
            <w:shd w:val="clear" w:color="auto" w:fill="auto"/>
            <w:vAlign w:val="top"/>
          </w:tcPr>
          <w:p w14:paraId="3C71B5C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乙方：</w:t>
            </w:r>
          </w:p>
        </w:tc>
      </w:tr>
      <w:tr w14:paraId="223952E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1358CA2">
            <w:pPr>
              <w:keepNext w:val="0"/>
              <w:keepLines w:val="0"/>
              <w:widowControl w:val="0"/>
              <w:suppressLineNumbers w:val="0"/>
              <w:spacing w:before="0" w:beforeAutospacing="0" w:after="0" w:afterAutospacing="0" w:line="360" w:lineRule="auto"/>
              <w:ind w:left="0" w:right="0" w:firstLine="840" w:firstLineChars="30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地址：</w:t>
            </w:r>
          </w:p>
        </w:tc>
        <w:tc>
          <w:tcPr>
            <w:tcW w:w="2441" w:type="pct"/>
            <w:tcBorders>
              <w:top w:val="nil"/>
              <w:left w:val="nil"/>
              <w:bottom w:val="nil"/>
              <w:right w:val="nil"/>
            </w:tcBorders>
            <w:shd w:val="clear" w:color="auto" w:fill="auto"/>
            <w:vAlign w:val="top"/>
          </w:tcPr>
          <w:p w14:paraId="344D2F8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址：</w:t>
            </w:r>
          </w:p>
        </w:tc>
      </w:tr>
      <w:tr w14:paraId="1DC6AC5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4BC953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p w14:paraId="2A2D2CB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4DAE673C">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tc>
      </w:tr>
      <w:tr w14:paraId="338836D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F1B7B5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p w14:paraId="2B13E927">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69E7D06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tc>
      </w:tr>
      <w:tr w14:paraId="066AEE4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9AF21A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c>
          <w:tcPr>
            <w:tcW w:w="2441" w:type="pct"/>
            <w:tcBorders>
              <w:top w:val="nil"/>
              <w:left w:val="nil"/>
              <w:bottom w:val="nil"/>
              <w:right w:val="nil"/>
            </w:tcBorders>
            <w:shd w:val="clear" w:color="auto" w:fill="auto"/>
            <w:vAlign w:val="top"/>
          </w:tcPr>
          <w:p w14:paraId="245F03F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r>
      <w:tr w14:paraId="1B11505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CD57FB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c>
          <w:tcPr>
            <w:tcW w:w="2441" w:type="pct"/>
            <w:tcBorders>
              <w:top w:val="nil"/>
              <w:left w:val="nil"/>
              <w:bottom w:val="nil"/>
              <w:right w:val="nil"/>
            </w:tcBorders>
            <w:shd w:val="clear" w:color="auto" w:fill="auto"/>
            <w:vAlign w:val="top"/>
          </w:tcPr>
          <w:p w14:paraId="0C5397A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r>
      <w:tr w14:paraId="3641142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EA15F9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c>
          <w:tcPr>
            <w:tcW w:w="2441" w:type="pct"/>
            <w:tcBorders>
              <w:top w:val="nil"/>
              <w:left w:val="nil"/>
              <w:bottom w:val="nil"/>
              <w:right w:val="nil"/>
            </w:tcBorders>
            <w:shd w:val="clear" w:color="auto" w:fill="auto"/>
            <w:vAlign w:val="top"/>
          </w:tcPr>
          <w:p w14:paraId="05A37C2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r>
      <w:tr w14:paraId="5467284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4C27A9F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c>
          <w:tcPr>
            <w:tcW w:w="2441" w:type="pct"/>
            <w:tcBorders>
              <w:top w:val="nil"/>
              <w:left w:val="nil"/>
              <w:bottom w:val="nil"/>
              <w:right w:val="nil"/>
            </w:tcBorders>
            <w:shd w:val="clear" w:color="auto" w:fill="auto"/>
            <w:vAlign w:val="top"/>
          </w:tcPr>
          <w:p w14:paraId="73E6F56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r>
    </w:tbl>
    <w:p w14:paraId="48D2DAA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FDF13A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6B3E0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1F751C3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3BA9FD39">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仿宋_GB2312" w:eastAsia="仿宋_GB2312" w:cs="仿宋_GB2312"/>
          <w:b/>
          <w:bCs/>
          <w:kern w:val="0"/>
          <w:sz w:val="28"/>
          <w:szCs w:val="28"/>
        </w:rPr>
      </w:pPr>
      <w:r>
        <w:rPr>
          <w:rFonts w:hint="eastAsia" w:ascii="仿宋_GB2312" w:hAnsi="Times New Roman" w:eastAsia="仿宋_GB2312" w:cs="仿宋_GB2312"/>
          <w:b/>
          <w:bCs/>
          <w:kern w:val="0"/>
          <w:sz w:val="28"/>
          <w:szCs w:val="28"/>
          <w:lang w:val="en-US" w:eastAsia="zh-CN" w:bidi="ar"/>
        </w:rPr>
        <w:t>附件一：中标通知书</w:t>
      </w:r>
    </w:p>
    <w:p w14:paraId="3C84B435">
      <w:pPr>
        <w:keepNext w:val="0"/>
        <w:keepLines w:val="0"/>
        <w:widowControl/>
        <w:suppressLineNumbers w:val="0"/>
        <w:spacing w:before="0" w:beforeAutospacing="0" w:after="0" w:afterAutospacing="0"/>
        <w:ind w:left="0" w:right="0"/>
        <w:jc w:val="left"/>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 xml:space="preserve"> </w:t>
      </w:r>
    </w:p>
    <w:p w14:paraId="37E6A5D3">
      <w:pPr>
        <w:keepNext w:val="0"/>
        <w:keepLines w:val="0"/>
        <w:widowControl/>
        <w:suppressLineNumbers w:val="0"/>
        <w:spacing w:before="0" w:beforeAutospacing="0" w:after="0" w:afterAutospacing="0"/>
        <w:ind w:left="0" w:right="0"/>
        <w:jc w:val="left"/>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2"/>
          <w:sz w:val="28"/>
          <w:szCs w:val="28"/>
          <w:lang w:val="en-US" w:eastAsia="zh-CN" w:bidi="ar"/>
        </w:rPr>
        <w:br w:type="page"/>
      </w:r>
    </w:p>
    <w:p w14:paraId="362DF27A">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方正小标宋_GBK" w:hAnsi="方正小标宋_GBK" w:eastAsia="方正小标宋_GBK" w:cs="方正小标宋_GBK"/>
          <w:b/>
          <w:bCs/>
          <w:kern w:val="0"/>
          <w:sz w:val="44"/>
          <w:szCs w:val="44"/>
        </w:rPr>
      </w:pPr>
      <w:r>
        <w:rPr>
          <w:rFonts w:hint="eastAsia" w:ascii="仿宋_GB2312" w:hAnsi="Times New Roman" w:eastAsia="仿宋_GB2312" w:cs="仿宋_GB2312"/>
          <w:b/>
          <w:bCs w:val="0"/>
          <w:kern w:val="0"/>
          <w:sz w:val="28"/>
          <w:szCs w:val="28"/>
          <w:lang w:val="en-US" w:eastAsia="zh-CN" w:bidi="ar"/>
        </w:rPr>
        <w:t>附件二：廉洁合作承诺书（企业承诺）</w:t>
      </w:r>
    </w:p>
    <w:p w14:paraId="3F649317">
      <w:pPr>
        <w:pStyle w:val="14"/>
        <w:keepNext w:val="0"/>
        <w:keepLines w:val="0"/>
        <w:widowControl/>
        <w:suppressLineNumbers w:val="0"/>
        <w:tabs>
          <w:tab w:val="left" w:pos="7497"/>
        </w:tabs>
        <w:spacing w:before="0" w:beforeAutospacing="1" w:after="120" w:afterLines="50" w:afterAutospacing="0" w:line="600" w:lineRule="exact"/>
        <w:ind w:left="0" w:right="0"/>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廉洁合作承诺书</w:t>
      </w:r>
    </w:p>
    <w:p w14:paraId="70CCDE80">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（企业承诺）</w:t>
      </w:r>
    </w:p>
    <w:p w14:paraId="0C7FE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本公司决定参加项目投标。为维护公平竞争的市场秩序，促进企业廉洁从业、诚实守信，特承诺如下：</w:t>
      </w:r>
    </w:p>
    <w:p w14:paraId="5498C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一、严格遵守《中华人民共和国征集投标法》、《中华人民共和国政府采购法》等法律法规，决不发生以下行为：</w:t>
      </w:r>
    </w:p>
    <w:p w14:paraId="05B6A1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1.以他人名义投标，允许其他单位或个人使用本单位资质投标；</w:t>
      </w:r>
    </w:p>
    <w:p w14:paraId="30DBBB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2.提供虚假材料，或以其他方式弄虚作假骗取中标；</w:t>
      </w:r>
    </w:p>
    <w:p w14:paraId="6CDDC9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3.与征集人或者其他投标人相互串通投标；</w:t>
      </w:r>
    </w:p>
    <w:p w14:paraId="56CFF1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4.中标后将项目转包，或违法分包；</w:t>
      </w:r>
    </w:p>
    <w:p w14:paraId="273200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5.中标后与征集人签订背离投标文件及合同实质性内容的私下协议；</w:t>
      </w:r>
    </w:p>
    <w:p w14:paraId="19B58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6.其他违反征集投标、政府采购等法律法规的行为。</w:t>
      </w:r>
    </w:p>
    <w:p w14:paraId="680C4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二、不以任何理由给予采购单位、主管部门、相关单位及其工作人员以下好处：</w:t>
      </w:r>
    </w:p>
    <w:p w14:paraId="6BCA90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0F4FE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3776D0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7BD195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4.提供宴请、健身、旅游、娱乐等高消费活动； </w:t>
      </w:r>
    </w:p>
    <w:p w14:paraId="6CB9B2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73BFB7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三、不以任何理由为采购单位、主管部门、相关单位的工作人员及其配偶、子女等亲属的工作安排以及出国（境）等提供方便。</w:t>
      </w:r>
    </w:p>
    <w:p w14:paraId="68BC2C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四、自觉接受有关部门和派驻廉政监察组等机构的监督，积极配合采购单位开展廉政文化进工程工作，加强廉洁从业环境宣传、项目管理制度建设，多种形式开展廉洁教育。</w:t>
      </w:r>
    </w:p>
    <w:p w14:paraId="19F8A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上述承诺如有违反，愿接受录入诚信档案的处理，构成违纪违法的，由相关部门依纪依法作出处理。</w:t>
      </w:r>
    </w:p>
    <w:p w14:paraId="4877F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（本承诺书由投标人法定代表人签名，并加盖公章；一式贰份，采购单位与履约供应商各持壹份。）</w:t>
      </w:r>
    </w:p>
    <w:p w14:paraId="150BE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 xml:space="preserve"> </w:t>
      </w:r>
    </w:p>
    <w:p w14:paraId="76269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  </w:t>
      </w:r>
    </w:p>
    <w:p w14:paraId="17047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法定代表人签名：</w:t>
      </w:r>
    </w:p>
    <w:p w14:paraId="67FFCA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承诺单位（公章）：</w:t>
      </w:r>
    </w:p>
    <w:p w14:paraId="70C029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eastAsia="仿宋_GB2312" w:cs="仿宋_GB2312"/>
          <w:kern w:val="2"/>
          <w:sz w:val="28"/>
          <w:szCs w:val="28"/>
        </w:rPr>
      </w:pPr>
      <w:r>
        <w:rPr>
          <w:rFonts w:hint="eastAsia" w:ascii="仿宋_GB2312" w:hAnsi="Times New Roman" w:eastAsia="仿宋_GB2312" w:cs="仿宋_GB2312"/>
          <w:kern w:val="0"/>
          <w:sz w:val="28"/>
          <w:szCs w:val="28"/>
          <w:lang w:val="en-US" w:eastAsia="zh-CN" w:bidi="ar"/>
        </w:rPr>
        <w:t>承诺日期：</w:t>
      </w:r>
      <w:r>
        <w:rPr>
          <w:rFonts w:hint="eastAsia" w:ascii="仿宋_GB2312" w:hAnsi="Times New Roman" w:eastAsia="仿宋_GB2312" w:cs="仿宋_GB2312"/>
          <w:kern w:val="2"/>
          <w:sz w:val="28"/>
          <w:szCs w:val="28"/>
          <w:lang w:val="en-US" w:eastAsia="zh-CN" w:bidi="ar"/>
        </w:rPr>
        <w:br w:type="page"/>
      </w:r>
    </w:p>
    <w:p w14:paraId="26DE5847">
      <w:pPr>
        <w:keepNext w:val="0"/>
        <w:keepLines w:val="0"/>
        <w:widowControl/>
        <w:suppressLineNumbers w:val="0"/>
        <w:spacing w:before="0" w:beforeAutospacing="0" w:after="0" w:afterAutospacing="0"/>
        <w:ind w:left="0" w:leftChars="0" w:right="0" w:rightChars="0"/>
        <w:jc w:val="left"/>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附件三：廉洁从业承诺书（员工承诺）</w:t>
      </w:r>
    </w:p>
    <w:p w14:paraId="15EB66DC">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bCs/>
          <w:kern w:val="2"/>
          <w:sz w:val="44"/>
          <w:szCs w:val="44"/>
        </w:rPr>
      </w:pPr>
      <w:r>
        <w:rPr>
          <w:rFonts w:hint="eastAsia" w:ascii="方正小标宋_GBK" w:hAnsi="方正小标宋_GBK" w:eastAsia="方正小标宋_GBK" w:cs="方正小标宋_GBK"/>
          <w:bCs/>
          <w:kern w:val="2"/>
          <w:sz w:val="44"/>
          <w:szCs w:val="44"/>
          <w:lang w:val="en-US" w:eastAsia="zh-CN" w:bidi="ar"/>
        </w:rPr>
        <w:t>廉洁从业承诺书</w:t>
      </w:r>
    </w:p>
    <w:p w14:paraId="36F8610E">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（员工承诺）</w:t>
      </w:r>
    </w:p>
    <w:p w14:paraId="160FF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本人决定自愿参加本项目。为了更好的树立公司对外形象，更好地打造公司的品牌，促进个人廉洁从业、诚实守信，特承诺如下：</w:t>
      </w:r>
    </w:p>
    <w:p w14:paraId="14C702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一、不以任何理由给予采购单位、主管部门、相关单位及其工作人员以下好处：</w:t>
      </w:r>
    </w:p>
    <w:p w14:paraId="37FDC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73AF2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409FEA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6CE6F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4.提供宴请、健身、旅游、娱乐等高消费活动；</w:t>
      </w:r>
    </w:p>
    <w:p w14:paraId="49386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291ED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二、不以任何理由为采购单位、主管部门、相关单位的工作人员及其配偶、子女等亲属的工作安排以及出国（境）等提供方便。</w:t>
      </w:r>
    </w:p>
    <w:p w14:paraId="164A1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三、自觉接受有关部门和派驻廉政监察组等机构的监督。</w:t>
      </w:r>
    </w:p>
    <w:p w14:paraId="419BE5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以上承诺接受公司和广大员工的监督。本人如有违反承诺，自愿承担违诺责任和法律后果。</w:t>
      </w:r>
    </w:p>
    <w:p w14:paraId="1B3B6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（本承诺书由项目人员签名，一式贰份。公司与项目人员各持壹份。）</w:t>
      </w:r>
    </w:p>
    <w:p w14:paraId="0CBF6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承诺人：</w:t>
      </w:r>
    </w:p>
    <w:p w14:paraId="797BAB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承诺日期：</w:t>
      </w:r>
    </w:p>
    <w:p w14:paraId="328685BE">
      <w:pPr>
        <w:pStyle w:val="14"/>
        <w:keepNext w:val="0"/>
        <w:keepLines w:val="0"/>
        <w:widowControl/>
        <w:suppressLineNumbers w:val="0"/>
        <w:adjustRightInd w:val="0"/>
        <w:snapToGrid w:val="0"/>
        <w:spacing w:before="0" w:beforeAutospacing="1" w:after="0" w:afterAutospacing="1" w:line="579" w:lineRule="exact"/>
        <w:ind w:left="0" w:right="0"/>
        <w:jc w:val="left"/>
        <w:rPr>
          <w:rFonts w:hint="default" w:ascii="Times New Roman" w:hAnsi="Times New Roman" w:cs="Times New Roman"/>
          <w:color w:val="FFFFFF"/>
          <w:kern w:val="2"/>
          <w:sz w:val="16"/>
          <w:szCs w:val="16"/>
          <w:shd w:val="clear" w:fill="000000"/>
        </w:rPr>
      </w:pPr>
      <w:r>
        <w:rPr>
          <w:rFonts w:hint="eastAsia" w:ascii="仿宋_GB2312" w:hAnsi="Times New Roman" w:eastAsia="仿宋_GB2312" w:cs="仿宋_GB2312"/>
          <w:b/>
          <w:bCs/>
          <w:kern w:val="0"/>
          <w:sz w:val="28"/>
          <w:szCs w:val="28"/>
          <w:lang w:val="en-US" w:eastAsia="zh-CN" w:bidi="ar"/>
        </w:rPr>
        <w:t>附件四：配置清单</w:t>
      </w:r>
    </w:p>
    <w:p w14:paraId="042C0A6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0F829A2F">
      <w:pPr>
        <w:keepNext w:val="0"/>
        <w:keepLines w:val="0"/>
        <w:widowControl w:val="0"/>
        <w:suppressLineNumbers w:val="0"/>
        <w:spacing w:before="0" w:beforeAutospacing="0" w:after="0" w:afterAutospacing="0"/>
        <w:ind w:left="0" w:right="0"/>
        <w:jc w:val="left"/>
        <w:rPr>
          <w:rFonts w:hint="eastAsia" w:ascii="仿宋" w:hAnsi="仿宋" w:eastAsia="仿宋" w:cs="Times New Roman"/>
          <w:b/>
          <w:bCs w:val="0"/>
          <w:color w:val="FF0000"/>
          <w:kern w:val="2"/>
          <w:sz w:val="28"/>
          <w:szCs w:val="28"/>
        </w:rPr>
      </w:pPr>
      <w:r>
        <w:rPr>
          <w:rFonts w:hint="eastAsia" w:ascii="仿宋" w:hAnsi="仿宋" w:eastAsia="仿宋" w:cs="仿宋"/>
          <w:b/>
          <w:bCs w:val="0"/>
          <w:kern w:val="2"/>
          <w:sz w:val="28"/>
          <w:szCs w:val="28"/>
          <w:lang w:val="en-US" w:eastAsia="zh-CN" w:bidi="ar"/>
        </w:rPr>
        <w:t>附件五：技术参数偏离表</w:t>
      </w:r>
    </w:p>
    <w:p w14:paraId="4881B7C8">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74263C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24BB280">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122DB13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
          <w:bCs/>
          <w:kern w:val="2"/>
          <w:sz w:val="28"/>
          <w:szCs w:val="28"/>
          <w:lang w:val="en-US" w:eastAsia="zh-CN" w:bidi="ar"/>
        </w:rPr>
        <w:t>附件六：售后服务承诺（含厂家）</w:t>
      </w:r>
    </w:p>
    <w:p w14:paraId="6EDEECB2">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43C1B10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kern w:val="0"/>
          <w:sz w:val="32"/>
          <w:szCs w:val="32"/>
        </w:rPr>
      </w:pPr>
      <w:r>
        <w:rPr>
          <w:rFonts w:hint="eastAsia" w:ascii="仿宋_GB2312" w:hAnsi="Times New Roman" w:eastAsia="仿宋_GB2312" w:cs="仿宋_GB2312"/>
          <w:b/>
          <w:bCs/>
          <w:kern w:val="2"/>
          <w:sz w:val="28"/>
          <w:szCs w:val="28"/>
          <w:lang w:val="en-US" w:eastAsia="zh-CN" w:bidi="ar"/>
        </w:rPr>
        <w:t>附件七：每年二次的维护计划</w:t>
      </w:r>
    </w:p>
    <w:p w14:paraId="6D05C46A">
      <w:pPr>
        <w:pStyle w:val="23"/>
        <w:ind w:left="0" w:leftChars="0" w:firstLine="0" w:firstLineChars="0"/>
        <w:rPr>
          <w:rFonts w:hint="eastAsia" w:ascii="宋体" w:hAnsi="宋体" w:cs="宋体"/>
          <w:color w:val="000000" w:themeColor="text1"/>
          <w:szCs w:val="21"/>
          <w:lang w:eastAsia="zh-CN"/>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1C501F7-F363-4F8B-8126-5918561B4DAD}"/>
  </w:font>
  <w:font w:name="黑体">
    <w:panose1 w:val="02010609060101010101"/>
    <w:charset w:val="86"/>
    <w:family w:val="auto"/>
    <w:pitch w:val="default"/>
    <w:sig w:usb0="800002BF" w:usb1="38CF7CFA" w:usb2="00000016" w:usb3="00000000" w:csb0="00040001" w:csb1="00000000"/>
    <w:embedRegular r:id="rId2" w:fontKey="{57FAE519-C287-40CA-86BE-9CEB1E74AFE2}"/>
  </w:font>
  <w:font w:name="Courier New">
    <w:panose1 w:val="02070309020205020404"/>
    <w:charset w:val="01"/>
    <w:family w:val="modern"/>
    <w:pitch w:val="default"/>
    <w:sig w:usb0="E0002EFF" w:usb1="C0007843" w:usb2="00000009" w:usb3="00000000" w:csb0="400001FF" w:csb1="FFFF0000"/>
    <w:embedRegular r:id="rId3" w:fontKey="{9C5D8EF3-ED68-48AF-AAC5-374D0FB8998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CEE1062D-924F-4B1E-8A0A-6384A916F659}"/>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5" w:fontKey="{F66DD41C-D2D0-4447-864A-D6A88745A9DB}"/>
  </w:font>
  <w:font w:name="微软雅黑">
    <w:panose1 w:val="020B0503020204020204"/>
    <w:charset w:val="86"/>
    <w:family w:val="swiss"/>
    <w:pitch w:val="default"/>
    <w:sig w:usb0="80000287" w:usb1="2ACF3C50" w:usb2="00000016" w:usb3="00000000" w:csb0="0004001F" w:csb1="00000000"/>
  </w:font>
  <w:font w:name="华文宋体">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6" w:fontKey="{E783E114-50EC-478C-9972-6B2ADD779B88}"/>
  </w:font>
  <w:font w:name="Wingdings 2">
    <w:panose1 w:val="05020102010507070707"/>
    <w:charset w:val="00"/>
    <w:family w:val="auto"/>
    <w:pitch w:val="default"/>
    <w:sig w:usb0="00000000" w:usb1="00000000" w:usb2="00000000" w:usb3="00000000" w:csb0="80000000" w:csb1="00000000"/>
    <w:embedRegular r:id="rId7" w:fontKey="{0DA6B748-EABA-4317-87F7-2B511BD6F8E6}"/>
  </w:font>
  <w:font w:name="方正仿宋_GBK">
    <w:altName w:val="微软雅黑"/>
    <w:panose1 w:val="00000000000000000000"/>
    <w:charset w:val="86"/>
    <w:family w:val="auto"/>
    <w:pitch w:val="default"/>
    <w:sig w:usb0="00000000" w:usb1="00000000" w:usb2="00000000" w:usb3="00000000" w:csb0="00040000" w:csb1="00000000"/>
    <w:embedRegular r:id="rId8" w:fontKey="{5834A8F2-F42B-40EB-B19E-1FB822F92E41}"/>
  </w:font>
  <w:font w:name="楷体_GB2312">
    <w:altName w:val="楷体"/>
    <w:panose1 w:val="00000000000000000000"/>
    <w:charset w:val="00"/>
    <w:family w:val="auto"/>
    <w:pitch w:val="default"/>
    <w:sig w:usb0="00000000" w:usb1="00000000" w:usb2="00000000" w:usb3="00000000" w:csb0="00000000" w:csb1="00000000"/>
    <w:embedRegular r:id="rId9" w:fontKey="{E9BB3F92-8FEE-47AD-9166-95AFFD3298BD}"/>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embedRegular r:id="rId10" w:fontKey="{7ADF26E9-12E6-4A30-BCDE-8B7EC87C603A}"/>
  </w:font>
  <w:font w:name="方正小标宋简体">
    <w:panose1 w:val="02010600010101010101"/>
    <w:charset w:val="86"/>
    <w:family w:val="auto"/>
    <w:pitch w:val="default"/>
    <w:sig w:usb0="00000001" w:usb1="080E0000" w:usb2="00000000" w:usb3="00000000" w:csb0="00040000" w:csb1="00000000"/>
    <w:embedRegular r:id="rId11" w:fontKey="{A095C48F-315C-4263-A650-1CA7A9F252EC}"/>
  </w:font>
  <w:font w:name="方正小标宋_GBK">
    <w:panose1 w:val="02000000000000000000"/>
    <w:charset w:val="86"/>
    <w:family w:val="auto"/>
    <w:pitch w:val="default"/>
    <w:sig w:usb0="A00002BF" w:usb1="38CF7CFA" w:usb2="00082016" w:usb3="00000000" w:csb0="00040001" w:csb1="00000000"/>
    <w:embedRegular r:id="rId12" w:fontKey="{0B2AD71A-4853-46D7-975F-9B2A1FEAAD17}"/>
  </w:font>
  <w:font w:name="WPSEMBED1">
    <w:panose1 w:val="05020102010507070707"/>
    <w:charset w:val="00"/>
    <w:family w:val="auto"/>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060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C0B5">
    <w:pPr>
      <w:pStyle w:val="10"/>
      <w:jc w:val="center"/>
      <w:rPr>
        <w:rStyle w:val="20"/>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p w14:paraId="5AE7A01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996D">
    <w:pPr>
      <w:pStyle w:val="11"/>
      <w:jc w:val="right"/>
      <w:rPr>
        <w:rFonts w:hint="eastAsia" w:ascii="宋体" w:hAnsi="宋体" w:eastAsia="宋体"/>
        <w:color w:val="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F3313"/>
    <w:multiLevelType w:val="singleLevel"/>
    <w:tmpl w:val="C2FF3313"/>
    <w:lvl w:ilvl="0" w:tentative="0">
      <w:start w:val="3"/>
      <w:numFmt w:val="chineseCounting"/>
      <w:suff w:val="space"/>
      <w:lvlText w:val="（%1）"/>
      <w:lvlJc w:val="left"/>
      <w:rPr>
        <w:rFonts w:hint="eastAsia"/>
      </w:rPr>
    </w:lvl>
  </w:abstractNum>
  <w:abstractNum w:abstractNumId="1">
    <w:nsid w:val="D9602B2F"/>
    <w:multiLevelType w:val="singleLevel"/>
    <w:tmpl w:val="D9602B2F"/>
    <w:lvl w:ilvl="0" w:tentative="0">
      <w:start w:val="1"/>
      <w:numFmt w:val="chineseCounting"/>
      <w:suff w:val="space"/>
      <w:lvlText w:val="%1、"/>
      <w:lvlJc w:val="left"/>
      <w:rPr>
        <w:rFonts w:hint="eastAsia"/>
      </w:rPr>
    </w:lvl>
  </w:abstractNum>
  <w:abstractNum w:abstractNumId="2">
    <w:nsid w:val="F4421C38"/>
    <w:multiLevelType w:val="singleLevel"/>
    <w:tmpl w:val="F4421C38"/>
    <w:lvl w:ilvl="0" w:tentative="0">
      <w:start w:val="1"/>
      <w:numFmt w:val="chineseCounting"/>
      <w:suff w:val="space"/>
      <w:lvlText w:val="第%1章"/>
      <w:lvlJc w:val="left"/>
      <w:rPr>
        <w:rFonts w:hint="eastAsia"/>
      </w:rPr>
    </w:lvl>
  </w:abstractNum>
  <w:abstractNum w:abstractNumId="3">
    <w:nsid w:val="07486699"/>
    <w:multiLevelType w:val="singleLevel"/>
    <w:tmpl w:val="07486699"/>
    <w:lvl w:ilvl="0" w:tentative="0">
      <w:start w:val="1"/>
      <w:numFmt w:val="decimal"/>
      <w:lvlText w:val="%1."/>
      <w:lvlJc w:val="left"/>
      <w:pPr>
        <w:tabs>
          <w:tab w:val="left" w:pos="312"/>
        </w:tabs>
      </w:pPr>
    </w:lvl>
  </w:abstractNum>
  <w:abstractNum w:abstractNumId="4">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6">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8">
    <w:nsid w:val="4C5BCD0C"/>
    <w:multiLevelType w:val="singleLevel"/>
    <w:tmpl w:val="4C5BCD0C"/>
    <w:lvl w:ilvl="0" w:tentative="0">
      <w:start w:val="6"/>
      <w:numFmt w:val="chineseCounting"/>
      <w:suff w:val="space"/>
      <w:lvlText w:val="第%1章"/>
      <w:lvlJc w:val="left"/>
      <w:rPr>
        <w:rFonts w:hint="eastAsia"/>
      </w:rPr>
    </w:lvl>
  </w:abstractNum>
  <w:abstractNum w:abstractNumId="9">
    <w:nsid w:val="507A66DD"/>
    <w:multiLevelType w:val="singleLevel"/>
    <w:tmpl w:val="507A66DD"/>
    <w:lvl w:ilvl="0" w:tentative="0">
      <w:start w:val="5"/>
      <w:numFmt w:val="chineseCounting"/>
      <w:suff w:val="nothing"/>
      <w:lvlText w:val="%1、"/>
      <w:lvlJc w:val="left"/>
      <w:rPr>
        <w:rFonts w:hint="eastAsia"/>
      </w:rPr>
    </w:lvl>
  </w:abstractNum>
  <w:abstractNum w:abstractNumId="10">
    <w:nsid w:val="50FB4E67"/>
    <w:multiLevelType w:val="singleLevel"/>
    <w:tmpl w:val="50FB4E67"/>
    <w:lvl w:ilvl="0" w:tentative="0">
      <w:start w:val="1"/>
      <w:numFmt w:val="decimal"/>
      <w:suff w:val="space"/>
      <w:lvlText w:val="%1."/>
      <w:lvlJc w:val="left"/>
    </w:lvl>
  </w:abstractNum>
  <w:abstractNum w:abstractNumId="11">
    <w:nsid w:val="59215DE2"/>
    <w:multiLevelType w:val="singleLevel"/>
    <w:tmpl w:val="59215DE2"/>
    <w:lvl w:ilvl="0" w:tentative="0">
      <w:start w:val="2"/>
      <w:numFmt w:val="decimal"/>
      <w:suff w:val="nothing"/>
      <w:lvlText w:val="（%1）"/>
      <w:lvlJc w:val="left"/>
    </w:lvl>
  </w:abstractNum>
  <w:abstractNum w:abstractNumId="12">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3">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num>
  <w:num w:numId="4">
    <w:abstractNumId w:val="9"/>
  </w:num>
  <w:num w:numId="5">
    <w:abstractNumId w:val="6"/>
  </w:num>
  <w:num w:numId="6">
    <w:abstractNumId w:val="4"/>
  </w:num>
  <w:num w:numId="7">
    <w:abstractNumId w:val="14"/>
  </w:num>
  <w:num w:numId="8">
    <w:abstractNumId w:val="0"/>
  </w:num>
  <w:num w:numId="9">
    <w:abstractNumId w:val="10"/>
  </w:num>
  <w:num w:numId="10">
    <w:abstractNumId w:val="7"/>
  </w:num>
  <w:num w:numId="11">
    <w:abstractNumId w:val="5"/>
  </w:num>
  <w:num w:numId="12">
    <w:abstractNumId w:val="3"/>
  </w:num>
  <w:num w:numId="13">
    <w:abstractNumId w:val="16"/>
  </w:num>
  <w:num w:numId="14">
    <w:abstractNumId w:val="12"/>
  </w:num>
  <w:num w:numId="15">
    <w:abstractNumId w:val="1"/>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yNDYyYmQ1ZDA0NDE2ZWMxMTVjMTBjNjZlNGMxZWM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26253"/>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2A9777F"/>
    <w:rsid w:val="03D86CBB"/>
    <w:rsid w:val="046F3F65"/>
    <w:rsid w:val="047E7636"/>
    <w:rsid w:val="05830AC6"/>
    <w:rsid w:val="05E163D0"/>
    <w:rsid w:val="06A974F2"/>
    <w:rsid w:val="0729050F"/>
    <w:rsid w:val="0744295F"/>
    <w:rsid w:val="075E2523"/>
    <w:rsid w:val="07FB70D8"/>
    <w:rsid w:val="080655EC"/>
    <w:rsid w:val="082779ED"/>
    <w:rsid w:val="0861098D"/>
    <w:rsid w:val="09A06388"/>
    <w:rsid w:val="0B89451B"/>
    <w:rsid w:val="0C415C2B"/>
    <w:rsid w:val="0CA95AF4"/>
    <w:rsid w:val="0D2F59DD"/>
    <w:rsid w:val="0DD34C1E"/>
    <w:rsid w:val="0F2B57C3"/>
    <w:rsid w:val="0F3833E7"/>
    <w:rsid w:val="0FEF647A"/>
    <w:rsid w:val="10256062"/>
    <w:rsid w:val="10A47E99"/>
    <w:rsid w:val="113F716A"/>
    <w:rsid w:val="11547CE6"/>
    <w:rsid w:val="11A46535"/>
    <w:rsid w:val="12DD6F01"/>
    <w:rsid w:val="12EC5AC1"/>
    <w:rsid w:val="13251FF4"/>
    <w:rsid w:val="133438E9"/>
    <w:rsid w:val="14BB18F8"/>
    <w:rsid w:val="15E056F0"/>
    <w:rsid w:val="165B02D3"/>
    <w:rsid w:val="16E878A8"/>
    <w:rsid w:val="16FD7F75"/>
    <w:rsid w:val="17BE6A0B"/>
    <w:rsid w:val="17C0574B"/>
    <w:rsid w:val="182D25C2"/>
    <w:rsid w:val="187C40C2"/>
    <w:rsid w:val="18CD0295"/>
    <w:rsid w:val="18D1626C"/>
    <w:rsid w:val="19C34D79"/>
    <w:rsid w:val="1A2A0151"/>
    <w:rsid w:val="1AF57CC6"/>
    <w:rsid w:val="1CB04F5A"/>
    <w:rsid w:val="1CF04135"/>
    <w:rsid w:val="1D0B2FB0"/>
    <w:rsid w:val="1E1B7543"/>
    <w:rsid w:val="1E287231"/>
    <w:rsid w:val="1FB10D31"/>
    <w:rsid w:val="205729C5"/>
    <w:rsid w:val="20B61DE1"/>
    <w:rsid w:val="20FE7400"/>
    <w:rsid w:val="210D20DA"/>
    <w:rsid w:val="22E70F8C"/>
    <w:rsid w:val="22F35ED1"/>
    <w:rsid w:val="230949B3"/>
    <w:rsid w:val="231B2B24"/>
    <w:rsid w:val="239F6B5C"/>
    <w:rsid w:val="24106E72"/>
    <w:rsid w:val="24487A08"/>
    <w:rsid w:val="25DE2164"/>
    <w:rsid w:val="262C78E7"/>
    <w:rsid w:val="268564DD"/>
    <w:rsid w:val="26A900A8"/>
    <w:rsid w:val="271324B7"/>
    <w:rsid w:val="274550D1"/>
    <w:rsid w:val="275859A0"/>
    <w:rsid w:val="27BB7CDD"/>
    <w:rsid w:val="29833AC2"/>
    <w:rsid w:val="2B4C1378"/>
    <w:rsid w:val="2BE90BA6"/>
    <w:rsid w:val="2C150838"/>
    <w:rsid w:val="2C3E49FC"/>
    <w:rsid w:val="2D18339C"/>
    <w:rsid w:val="2D8D5C78"/>
    <w:rsid w:val="2EE67D35"/>
    <w:rsid w:val="2F623005"/>
    <w:rsid w:val="2F807931"/>
    <w:rsid w:val="3153125F"/>
    <w:rsid w:val="315F792B"/>
    <w:rsid w:val="32674CE9"/>
    <w:rsid w:val="32BB4225"/>
    <w:rsid w:val="348651FA"/>
    <w:rsid w:val="35294DAE"/>
    <w:rsid w:val="355369E9"/>
    <w:rsid w:val="35F51174"/>
    <w:rsid w:val="35F76384"/>
    <w:rsid w:val="364E3EA8"/>
    <w:rsid w:val="36865435"/>
    <w:rsid w:val="37206CBB"/>
    <w:rsid w:val="37743C09"/>
    <w:rsid w:val="37753A04"/>
    <w:rsid w:val="38AA1DD4"/>
    <w:rsid w:val="38E30E42"/>
    <w:rsid w:val="3B273268"/>
    <w:rsid w:val="3C844841"/>
    <w:rsid w:val="3D626DA6"/>
    <w:rsid w:val="3E896739"/>
    <w:rsid w:val="3ED82EA8"/>
    <w:rsid w:val="3FB3156E"/>
    <w:rsid w:val="3FF9372A"/>
    <w:rsid w:val="4000052B"/>
    <w:rsid w:val="40624EF6"/>
    <w:rsid w:val="41B77024"/>
    <w:rsid w:val="437A1489"/>
    <w:rsid w:val="45FD1696"/>
    <w:rsid w:val="46614FB8"/>
    <w:rsid w:val="480F755D"/>
    <w:rsid w:val="486B29D8"/>
    <w:rsid w:val="48C4659A"/>
    <w:rsid w:val="48DB3851"/>
    <w:rsid w:val="494A4D03"/>
    <w:rsid w:val="4A4B30A6"/>
    <w:rsid w:val="4BB057D6"/>
    <w:rsid w:val="4C186067"/>
    <w:rsid w:val="4CFC253C"/>
    <w:rsid w:val="4D4B557E"/>
    <w:rsid w:val="4E287B8F"/>
    <w:rsid w:val="4E2B2C17"/>
    <w:rsid w:val="4E7520E4"/>
    <w:rsid w:val="4F276100"/>
    <w:rsid w:val="4F337933"/>
    <w:rsid w:val="4F7227C9"/>
    <w:rsid w:val="51CA5707"/>
    <w:rsid w:val="52662470"/>
    <w:rsid w:val="52796647"/>
    <w:rsid w:val="52835739"/>
    <w:rsid w:val="528965FF"/>
    <w:rsid w:val="54034D64"/>
    <w:rsid w:val="54707634"/>
    <w:rsid w:val="548605A3"/>
    <w:rsid w:val="55223429"/>
    <w:rsid w:val="55301E37"/>
    <w:rsid w:val="564156CE"/>
    <w:rsid w:val="57641802"/>
    <w:rsid w:val="58EB2CD9"/>
    <w:rsid w:val="592204BC"/>
    <w:rsid w:val="5B0F6FF4"/>
    <w:rsid w:val="5D045FFD"/>
    <w:rsid w:val="5DED21E0"/>
    <w:rsid w:val="5E533026"/>
    <w:rsid w:val="5F7F1015"/>
    <w:rsid w:val="603040BD"/>
    <w:rsid w:val="61131A15"/>
    <w:rsid w:val="63DA5557"/>
    <w:rsid w:val="64F341BD"/>
    <w:rsid w:val="651F6AF8"/>
    <w:rsid w:val="65AF2FC0"/>
    <w:rsid w:val="664D7777"/>
    <w:rsid w:val="66FB3482"/>
    <w:rsid w:val="672B148E"/>
    <w:rsid w:val="67775E34"/>
    <w:rsid w:val="67B840B0"/>
    <w:rsid w:val="68921DB9"/>
    <w:rsid w:val="69D81A4D"/>
    <w:rsid w:val="69EE0DB5"/>
    <w:rsid w:val="6A507835"/>
    <w:rsid w:val="6B1E5ABE"/>
    <w:rsid w:val="6B7258C3"/>
    <w:rsid w:val="6CA908B2"/>
    <w:rsid w:val="6D6134B1"/>
    <w:rsid w:val="6EF015E7"/>
    <w:rsid w:val="6FA3559F"/>
    <w:rsid w:val="700B526E"/>
    <w:rsid w:val="70497201"/>
    <w:rsid w:val="7083201C"/>
    <w:rsid w:val="708A7E9A"/>
    <w:rsid w:val="70A95EF1"/>
    <w:rsid w:val="70C67989"/>
    <w:rsid w:val="723039E4"/>
    <w:rsid w:val="72367718"/>
    <w:rsid w:val="72ED6ADA"/>
    <w:rsid w:val="73C80160"/>
    <w:rsid w:val="73E346AF"/>
    <w:rsid w:val="73F85F77"/>
    <w:rsid w:val="74B661AA"/>
    <w:rsid w:val="755469EE"/>
    <w:rsid w:val="76074F9A"/>
    <w:rsid w:val="76525A3A"/>
    <w:rsid w:val="76764645"/>
    <w:rsid w:val="77187ACC"/>
    <w:rsid w:val="77813724"/>
    <w:rsid w:val="77CB584B"/>
    <w:rsid w:val="780A23D9"/>
    <w:rsid w:val="786D4A31"/>
    <w:rsid w:val="788039DC"/>
    <w:rsid w:val="78B60C02"/>
    <w:rsid w:val="78FA0D3D"/>
    <w:rsid w:val="7A2747BD"/>
    <w:rsid w:val="7A7430CC"/>
    <w:rsid w:val="7B2C15E1"/>
    <w:rsid w:val="7BC4348B"/>
    <w:rsid w:val="7C22504E"/>
    <w:rsid w:val="7CA61410"/>
    <w:rsid w:val="7D0D1FD1"/>
    <w:rsid w:val="7D806106"/>
    <w:rsid w:val="7D863BB0"/>
    <w:rsid w:val="7D986F5E"/>
    <w:rsid w:val="7E060C3F"/>
    <w:rsid w:val="7E370052"/>
    <w:rsid w:val="7ED11769"/>
    <w:rsid w:val="7F0D1DA3"/>
    <w:rsid w:val="7FBD6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widowControl/>
      <w:jc w:val="left"/>
      <w:outlineLvl w:val="0"/>
    </w:pPr>
    <w:rPr>
      <w:b/>
      <w:bCs/>
      <w:kern w:val="0"/>
      <w:sz w:val="24"/>
    </w:rPr>
  </w:style>
  <w:style w:type="paragraph" w:styleId="3">
    <w:name w:val="heading 2"/>
    <w:basedOn w:val="1"/>
    <w:next w:val="1"/>
    <w:qFormat/>
    <w:uiPriority w:val="0"/>
    <w:pPr>
      <w:outlineLvl w:val="1"/>
    </w:pPr>
    <w:rPr>
      <w:rFonts w:ascii="Cambria" w:hAnsi="Cambria" w:cs="宋体"/>
    </w:rPr>
  </w:style>
  <w:style w:type="character" w:default="1" w:styleId="18">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next w:val="5"/>
    <w:qFormat/>
    <w:uiPriority w:val="99"/>
    <w:pPr>
      <w:ind w:firstLine="420" w:firstLineChars="200"/>
    </w:pPr>
  </w:style>
  <w:style w:type="paragraph" w:styleId="5">
    <w:name w:val="Body Text"/>
    <w:basedOn w:val="1"/>
    <w:next w:val="1"/>
    <w:qFormat/>
    <w:uiPriority w:val="0"/>
    <w:pPr>
      <w:spacing w:after="120"/>
    </w:pPr>
  </w:style>
  <w:style w:type="paragraph" w:styleId="6">
    <w:name w:val="annotation text"/>
    <w:basedOn w:val="1"/>
    <w:qFormat/>
    <w:uiPriority w:val="0"/>
    <w:pPr>
      <w:jc w:val="left"/>
    </w:pPr>
    <w:rPr>
      <w:rFonts w:asciiTheme="minorHAnsi" w:hAnsiTheme="minorHAnsi" w:eastAsiaTheme="minorEastAsia" w:cstheme="minorBidi"/>
    </w:rPr>
  </w:style>
  <w:style w:type="paragraph" w:styleId="7">
    <w:name w:val="Body Text Indent"/>
    <w:basedOn w:val="1"/>
    <w:qFormat/>
    <w:uiPriority w:val="0"/>
    <w:pPr>
      <w:spacing w:line="560" w:lineRule="exact"/>
      <w:ind w:left="300"/>
    </w:pPr>
    <w:rPr>
      <w:sz w:val="24"/>
    </w:rPr>
  </w:style>
  <w:style w:type="paragraph" w:styleId="8">
    <w:name w:val="toc 3"/>
    <w:basedOn w:val="1"/>
    <w:next w:val="1"/>
    <w:semiHidden/>
    <w:unhideWhenUsed/>
    <w:qFormat/>
    <w:uiPriority w:val="39"/>
    <w:pPr>
      <w:ind w:left="840" w:leftChars="400"/>
    </w:pPr>
  </w:style>
  <w:style w:type="paragraph" w:styleId="9">
    <w:name w:val="Plain Text"/>
    <w:basedOn w:val="1"/>
    <w:link w:val="26"/>
    <w:semiHidden/>
    <w:unhideWhenUsed/>
    <w:qFormat/>
    <w:uiPriority w:val="99"/>
    <w:rPr>
      <w:rFonts w:ascii="宋体" w:hAnsi="Courier New" w:eastAsia="宋体" w:cs="Times New Roman"/>
      <w:szCs w:val="20"/>
    </w:rPr>
  </w:style>
  <w:style w:type="paragraph" w:styleId="10">
    <w:name w:val="footer"/>
    <w:basedOn w:val="1"/>
    <w:link w:val="25"/>
    <w:semiHidden/>
    <w:unhideWhenUsed/>
    <w:qFormat/>
    <w:uiPriority w:val="99"/>
    <w:pPr>
      <w:tabs>
        <w:tab w:val="center" w:pos="4153"/>
        <w:tab w:val="right" w:pos="8306"/>
      </w:tabs>
      <w:snapToGrid w:val="0"/>
      <w:jc w:val="left"/>
    </w:pPr>
    <w:rPr>
      <w:sz w:val="18"/>
      <w:szCs w:val="18"/>
    </w:rPr>
  </w:style>
  <w:style w:type="paragraph" w:styleId="11">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toc 2"/>
    <w:basedOn w:val="1"/>
    <w:next w:val="1"/>
    <w:semiHidden/>
    <w:unhideWhenUsed/>
    <w:qFormat/>
    <w:uiPriority w:val="39"/>
    <w:pPr>
      <w:ind w:left="420" w:leftChars="200"/>
    </w:pPr>
  </w:style>
  <w:style w:type="paragraph" w:styleId="14">
    <w:name w:val="Normal (Web)"/>
    <w:basedOn w:val="1"/>
    <w:semiHidden/>
    <w:unhideWhenUsed/>
    <w:qFormat/>
    <w:uiPriority w:val="99"/>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5">
    <w:name w:val="Body Text First Indent 2"/>
    <w:basedOn w:val="7"/>
    <w:qFormat/>
    <w:uiPriority w:val="0"/>
    <w:pPr>
      <w:ind w:firstLine="420" w:firstLineChars="200"/>
    </w:pPr>
    <w:rPr>
      <w:sz w:val="21"/>
    </w:rPr>
  </w:style>
  <w:style w:type="table" w:styleId="17">
    <w:name w:val="Table Grid"/>
    <w:basedOn w:val="1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9">
    <w:name w:val="Strong"/>
    <w:basedOn w:val="18"/>
    <w:qFormat/>
    <w:uiPriority w:val="0"/>
    <w:rPr>
      <w:b/>
      <w:bCs/>
    </w:rPr>
  </w:style>
  <w:style w:type="character" w:styleId="20">
    <w:name w:val="page number"/>
    <w:basedOn w:val="18"/>
    <w:qFormat/>
    <w:uiPriority w:val="0"/>
  </w:style>
  <w:style w:type="character" w:styleId="21">
    <w:name w:val="Emphasis"/>
    <w:basedOn w:val="18"/>
    <w:qFormat/>
    <w:uiPriority w:val="0"/>
    <w:rPr>
      <w:i/>
      <w:iCs/>
    </w:rPr>
  </w:style>
  <w:style w:type="character" w:styleId="22">
    <w:name w:val="Hyperlink"/>
    <w:qFormat/>
    <w:uiPriority w:val="99"/>
    <w:rPr>
      <w:color w:val="0000FF"/>
      <w:u w:val="single"/>
    </w:rPr>
  </w:style>
  <w:style w:type="paragraph" w:customStyle="1" w:styleId="23">
    <w:name w:val="文档正文"/>
    <w:basedOn w:val="1"/>
    <w:qFormat/>
    <w:uiPriority w:val="99"/>
    <w:pPr>
      <w:adjustRightInd w:val="0"/>
      <w:spacing w:line="480" w:lineRule="atLeast"/>
      <w:ind w:firstLine="567" w:firstLineChars="200"/>
      <w:textAlignment w:val="baseline"/>
    </w:pPr>
    <w:rPr>
      <w:rFonts w:ascii="长城仿宋"/>
      <w:szCs w:val="20"/>
    </w:rPr>
  </w:style>
  <w:style w:type="character" w:customStyle="1" w:styleId="24">
    <w:name w:val="页眉 Char"/>
    <w:basedOn w:val="18"/>
    <w:link w:val="11"/>
    <w:semiHidden/>
    <w:qFormat/>
    <w:uiPriority w:val="99"/>
    <w:rPr>
      <w:sz w:val="18"/>
      <w:szCs w:val="18"/>
    </w:rPr>
  </w:style>
  <w:style w:type="character" w:customStyle="1" w:styleId="25">
    <w:name w:val="页脚 Char"/>
    <w:basedOn w:val="18"/>
    <w:link w:val="10"/>
    <w:semiHidden/>
    <w:qFormat/>
    <w:uiPriority w:val="99"/>
    <w:rPr>
      <w:sz w:val="18"/>
      <w:szCs w:val="18"/>
    </w:rPr>
  </w:style>
  <w:style w:type="character" w:customStyle="1" w:styleId="26">
    <w:name w:val="纯文本 Char"/>
    <w:basedOn w:val="18"/>
    <w:link w:val="9"/>
    <w:semiHidden/>
    <w:qFormat/>
    <w:uiPriority w:val="99"/>
    <w:rPr>
      <w:rFonts w:ascii="宋体" w:hAnsi="Courier New" w:eastAsia="宋体" w:cs="Times New Roman"/>
      <w:szCs w:val="20"/>
    </w:rPr>
  </w:style>
  <w:style w:type="paragraph" w:customStyle="1" w:styleId="27">
    <w:name w:val="列出段落11"/>
    <w:basedOn w:val="1"/>
    <w:qFormat/>
    <w:uiPriority w:val="0"/>
    <w:pPr>
      <w:ind w:firstLine="420" w:firstLineChars="200"/>
    </w:pPr>
  </w:style>
  <w:style w:type="paragraph" w:styleId="28">
    <w:name w:val="List Paragraph"/>
    <w:basedOn w:val="1"/>
    <w:autoRedefine/>
    <w:qFormat/>
    <w:uiPriority w:val="34"/>
    <w:pPr>
      <w:ind w:firstLine="420" w:firstLineChars="200"/>
    </w:pPr>
    <w:rPr>
      <w:rFonts w:ascii="Calibri" w:hAnsi="Calibri"/>
      <w:szCs w:val="22"/>
    </w:rPr>
  </w:style>
  <w:style w:type="character" w:customStyle="1" w:styleId="29">
    <w:name w:val="font11"/>
    <w:basedOn w:val="18"/>
    <w:qFormat/>
    <w:uiPriority w:val="0"/>
    <w:rPr>
      <w:rFonts w:hint="eastAsia" w:ascii="宋体" w:hAnsi="宋体" w:eastAsia="宋体" w:cs="宋体"/>
      <w:color w:val="000000"/>
      <w:sz w:val="24"/>
      <w:szCs w:val="24"/>
      <w:u w:val="none"/>
    </w:rPr>
  </w:style>
  <w:style w:type="character" w:customStyle="1" w:styleId="30">
    <w:name w:val="font41"/>
    <w:basedOn w:val="18"/>
    <w:qFormat/>
    <w:uiPriority w:val="0"/>
    <w:rPr>
      <w:rFonts w:hint="default" w:ascii="Times New Roman" w:hAnsi="Times New Roman" w:cs="Times New Roman"/>
      <w:color w:val="000000"/>
      <w:sz w:val="24"/>
      <w:szCs w:val="24"/>
      <w:u w:val="none"/>
    </w:rPr>
  </w:style>
  <w:style w:type="paragraph" w:customStyle="1" w:styleId="31">
    <w:name w:val="*正文"/>
    <w:basedOn w:val="1"/>
    <w:qFormat/>
    <w:uiPriority w:val="0"/>
    <w:pPr>
      <w:spacing w:line="360" w:lineRule="auto"/>
      <w:ind w:firstLine="200" w:firstLineChars="200"/>
    </w:pPr>
    <w:rPr>
      <w:rFonts w:ascii="宋体" w:hAnsi="宋体"/>
      <w:kern w:val="0"/>
      <w:sz w:val="22"/>
      <w:szCs w:val="24"/>
    </w:rPr>
  </w:style>
  <w:style w:type="paragraph" w:customStyle="1" w:styleId="3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3">
    <w:name w:val="_Style 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列出段落1"/>
    <w:basedOn w:val="1"/>
    <w:autoRedefine/>
    <w:qFormat/>
    <w:uiPriority w:val="34"/>
    <w:pPr>
      <w:ind w:firstLine="420" w:firstLineChars="200"/>
    </w:pPr>
  </w:style>
  <w:style w:type="table" w:customStyle="1" w:styleId="35">
    <w:name w:val="网格型1"/>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6">
    <w:name w:val="font21"/>
    <w:basedOn w:val="18"/>
    <w:qFormat/>
    <w:uiPriority w:val="0"/>
    <w:rPr>
      <w:rFonts w:hint="eastAsia" w:ascii="宋体" w:hAnsi="宋体" w:eastAsia="宋体" w:cs="宋体"/>
      <w:color w:val="000000"/>
      <w:sz w:val="22"/>
      <w:szCs w:val="22"/>
      <w:u w:val="none"/>
    </w:rPr>
  </w:style>
  <w:style w:type="character" w:customStyle="1" w:styleId="37">
    <w:name w:val="font71"/>
    <w:basedOn w:val="18"/>
    <w:qFormat/>
    <w:uiPriority w:val="0"/>
    <w:rPr>
      <w:rFonts w:hint="eastAsia" w:ascii="微软雅黑" w:hAnsi="微软雅黑" w:eastAsia="微软雅黑" w:cs="微软雅黑"/>
      <w:color w:val="FF0000"/>
      <w:sz w:val="22"/>
      <w:szCs w:val="22"/>
      <w:u w:val="none"/>
    </w:rPr>
  </w:style>
  <w:style w:type="character" w:customStyle="1" w:styleId="38">
    <w:name w:val="font81"/>
    <w:basedOn w:val="18"/>
    <w:qFormat/>
    <w:uiPriority w:val="0"/>
    <w:rPr>
      <w:rFonts w:hint="eastAsia" w:ascii="宋体" w:hAnsi="宋体" w:eastAsia="宋体" w:cs="宋体"/>
      <w:color w:val="000000"/>
      <w:sz w:val="22"/>
      <w:szCs w:val="22"/>
      <w:u w:val="none"/>
    </w:rPr>
  </w:style>
  <w:style w:type="character" w:customStyle="1" w:styleId="39">
    <w:name w:val="font91"/>
    <w:basedOn w:val="18"/>
    <w:qFormat/>
    <w:uiPriority w:val="0"/>
    <w:rPr>
      <w:rFonts w:hint="default" w:ascii="Times New Roman" w:hAnsi="Times New Roman" w:cs="Times New Roman"/>
      <w:color w:val="FF0000"/>
      <w:sz w:val="22"/>
      <w:szCs w:val="22"/>
      <w:u w:val="none"/>
    </w:rPr>
  </w:style>
  <w:style w:type="character" w:customStyle="1" w:styleId="40">
    <w:name w:val="font101"/>
    <w:basedOn w:val="18"/>
    <w:qFormat/>
    <w:uiPriority w:val="0"/>
    <w:rPr>
      <w:rFonts w:hint="eastAsia" w:ascii="宋体" w:hAnsi="宋体" w:eastAsia="宋体" w:cs="宋体"/>
      <w:color w:val="FF0000"/>
      <w:sz w:val="22"/>
      <w:szCs w:val="22"/>
      <w:u w:val="none"/>
    </w:rPr>
  </w:style>
  <w:style w:type="character" w:customStyle="1" w:styleId="41">
    <w:name w:val="font51"/>
    <w:basedOn w:val="18"/>
    <w:qFormat/>
    <w:uiPriority w:val="0"/>
    <w:rPr>
      <w:rFonts w:hint="default" w:ascii="华文宋体" w:hAnsi="华文宋体" w:eastAsia="华文宋体" w:cs="华文宋体"/>
      <w:color w:val="000000"/>
      <w:sz w:val="22"/>
      <w:szCs w:val="22"/>
      <w:u w:val="none"/>
    </w:rPr>
  </w:style>
  <w:style w:type="character" w:customStyle="1" w:styleId="42">
    <w:name w:val="font121"/>
    <w:basedOn w:val="18"/>
    <w:qFormat/>
    <w:uiPriority w:val="0"/>
    <w:rPr>
      <w:rFonts w:hint="default" w:ascii="华文宋体" w:hAnsi="华文宋体" w:eastAsia="华文宋体" w:cs="华文宋体"/>
      <w:color w:val="FF0000"/>
      <w:sz w:val="22"/>
      <w:szCs w:val="22"/>
      <w:u w:val="none"/>
    </w:rPr>
  </w:style>
  <w:style w:type="character" w:customStyle="1" w:styleId="43">
    <w:name w:val="font111"/>
    <w:basedOn w:val="18"/>
    <w:qFormat/>
    <w:uiPriority w:val="0"/>
    <w:rPr>
      <w:rFonts w:ascii="Arial" w:hAnsi="Arial" w:cs="Arial"/>
      <w:color w:val="000000"/>
      <w:sz w:val="22"/>
      <w:szCs w:val="22"/>
      <w:u w:val="none"/>
    </w:r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样式1 Char Char"/>
    <w:basedOn w:val="1"/>
    <w:qFormat/>
    <w:uiPriority w:val="0"/>
    <w:pPr>
      <w:keepNext w:val="0"/>
      <w:keepLines w:val="0"/>
      <w:widowControl w:val="0"/>
      <w:suppressLineNumbers w:val="0"/>
      <w:spacing w:before="0" w:beforeAutospacing="0" w:after="0" w:afterAutospacing="0" w:line="360" w:lineRule="auto"/>
      <w:ind w:left="0" w:right="0" w:firstLine="516" w:firstLineChars="215"/>
      <w:jc w:val="both"/>
    </w:pPr>
    <w:rPr>
      <w:rFonts w:hint="default" w:ascii="Calibri" w:hAnsi="Calibri" w:eastAsia="宋体" w:cs="Times New Roman"/>
      <w:kern w:val="2"/>
      <w:sz w:val="24"/>
      <w:szCs w:val="24"/>
      <w:lang w:val="en-US" w:eastAsia="zh-CN" w:bidi="ar"/>
    </w:rPr>
  </w:style>
  <w:style w:type="character" w:customStyle="1" w:styleId="46">
    <w:name w:val="font31"/>
    <w:basedOn w:val="18"/>
    <w:qFormat/>
    <w:uiPriority w:val="0"/>
    <w:rPr>
      <w:rFonts w:hint="eastAsia" w:ascii="宋体" w:hAnsi="宋体" w:eastAsia="宋体" w:cs="宋体"/>
      <w:color w:val="FF0000"/>
      <w:sz w:val="22"/>
      <w:szCs w:val="22"/>
      <w:u w:val="none"/>
    </w:rPr>
  </w:style>
  <w:style w:type="character" w:customStyle="1" w:styleId="47">
    <w:name w:val="font61"/>
    <w:basedOn w:val="18"/>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93</Pages>
  <Words>3538</Words>
  <Characters>3576</Characters>
  <Lines>1</Lines>
  <Paragraphs>1</Paragraphs>
  <TotalTime>5</TotalTime>
  <ScaleCrop>false</ScaleCrop>
  <LinksUpToDate>false</LinksUpToDate>
  <CharactersWithSpaces>3939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2026-04-07T02:42:54Z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C7575F66AAC543EAB9019EA1C47E59D9_13</vt:lpwstr>
  </property>
  <property fmtid="{D5CDD505-2E9C-101B-9397-08002B2CF9AE}" pid="4" name="KSOTemplateDocerSaveRecord">
    <vt:lpwstr>eyJoZGlkIjoiM2EyNDYyYmQ1ZDA0NDE2ZWMxMTVjMTBjNjZlNGMxZWMiLCJ1c2VySWQiOiIxOTQ5NzkyNTQifQ==</vt:lpwstr>
  </property>
</Properties>
</file>