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（含谈判文件）</w:t>
      </w:r>
    </w:p>
    <w:p w14:paraId="7BD398E4">
      <w:pPr>
        <w:jc w:val="center"/>
        <w:rPr>
          <w:rFonts w:asciiTheme="minorEastAsia" w:hAnsiTheme="minorEastAsia" w:cstheme="minorEastAsia"/>
          <w:b/>
          <w:bCs/>
          <w:sz w:val="24"/>
          <w:szCs w:val="24"/>
        </w:rPr>
      </w:pPr>
    </w:p>
    <w:p w14:paraId="31C454CB">
      <w:pPr>
        <w:keepNext w:val="0"/>
        <w:keepLines w:val="0"/>
        <w:widowControl w:val="0"/>
        <w:suppressLineNumbers w:val="0"/>
        <w:autoSpaceDE w:val="0"/>
        <w:autoSpaceDN/>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1、深圳市福田区第二人民医院对本单位部分医用耗材进行单一来源采购。欢迎各经营企业或生产企业参加投标。 </w:t>
      </w:r>
    </w:p>
    <w:p w14:paraId="62D595AE">
      <w:pPr>
        <w:keepNext w:val="0"/>
        <w:keepLines w:val="0"/>
        <w:widowControl w:val="0"/>
        <w:suppressLineNumbers w:val="0"/>
        <w:autoSpaceDE w:val="0"/>
        <w:autoSpaceDN/>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2、供应商可根据自身的经营情况，选择投一个或多个采购条目，但不允许将一个采购条目流水</w:t>
      </w:r>
      <w:r>
        <w:rPr>
          <w:rFonts w:hint="eastAsia" w:ascii="宋体" w:hAnsi="宋体" w:eastAsia="宋体" w:cs="宋体"/>
          <w:color w:val="000000"/>
          <w:kern w:val="2"/>
          <w:sz w:val="28"/>
          <w:szCs w:val="28"/>
          <w:lang w:val="en-US" w:eastAsia="zh-CN" w:bidi="ar"/>
        </w:rPr>
        <w:t>号的内容拆散投标</w:t>
      </w:r>
      <w:r>
        <w:rPr>
          <w:rFonts w:hint="eastAsia" w:ascii="宋体" w:hAnsi="宋体" w:eastAsia="宋体" w:cs="宋体"/>
          <w:kern w:val="2"/>
          <w:sz w:val="28"/>
          <w:szCs w:val="28"/>
          <w:lang w:val="en-US" w:eastAsia="zh-CN" w:bidi="ar"/>
        </w:rPr>
        <w:t>。</w:t>
      </w:r>
      <w:r>
        <w:rPr>
          <w:rFonts w:hint="eastAsia" w:ascii="宋体" w:hAnsi="宋体" w:eastAsia="宋体" w:cs="宋体"/>
          <w:b/>
          <w:bCs/>
          <w:kern w:val="2"/>
          <w:sz w:val="28"/>
          <w:szCs w:val="28"/>
          <w:lang w:val="en-US" w:eastAsia="zh-CN" w:bidi="ar"/>
        </w:rPr>
        <w:t>请准备投标文件四份</w:t>
      </w:r>
      <w:r>
        <w:rPr>
          <w:rFonts w:hint="eastAsia" w:ascii="宋体" w:hAnsi="宋体" w:eastAsia="宋体" w:cs="宋体"/>
          <w:kern w:val="2"/>
          <w:sz w:val="28"/>
          <w:szCs w:val="28"/>
          <w:lang w:val="en-US" w:eastAsia="zh-CN" w:bidi="ar"/>
        </w:rPr>
        <w:t>（</w:t>
      </w:r>
      <w:r>
        <w:rPr>
          <w:rFonts w:hint="eastAsia" w:ascii="宋体" w:hAnsi="宋体" w:eastAsia="宋体" w:cs="宋体"/>
          <w:color w:val="FF0000"/>
          <w:kern w:val="2"/>
          <w:sz w:val="28"/>
          <w:szCs w:val="28"/>
          <w:lang w:val="en-US" w:eastAsia="zh-CN" w:bidi="ar"/>
        </w:rPr>
        <w:t>一份正本三份副本，开标一览表需单独密封，电子文件拷贝到U盘存放于开标一览表密封袋内。</w:t>
      </w:r>
      <w:r>
        <w:rPr>
          <w:rFonts w:hint="eastAsia" w:ascii="宋体" w:hAnsi="宋体" w:eastAsia="宋体" w:cs="宋体"/>
          <w:kern w:val="2"/>
          <w:sz w:val="28"/>
          <w:szCs w:val="28"/>
          <w:lang w:val="en-US" w:eastAsia="zh-CN" w:bidi="ar"/>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谈判文件要求签署并加盖公章。）</w:t>
      </w:r>
    </w:p>
    <w:p w14:paraId="22E937E4">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3、企业参加投标，即表示接受本次谈判的各项要求。 </w:t>
      </w:r>
    </w:p>
    <w:p w14:paraId="080FA326">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4、谈判活动的最终解释权属于深圳市福田区第二人民医院。 </w:t>
      </w: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29098"/>
      <w:bookmarkStart w:id="1" w:name="_Toc3689"/>
    </w:p>
    <w:p w14:paraId="61849867">
      <w:pPr>
        <w:jc w:val="both"/>
        <w:outlineLvl w:val="9"/>
        <w:rPr>
          <w:rFonts w:hint="eastAsia" w:ascii="宋体" w:hAnsi="宋体" w:eastAsia="宋体" w:cs="宋体"/>
          <w:b/>
          <w:bCs/>
          <w:color w:val="FF0000"/>
          <w:kern w:val="44"/>
          <w:sz w:val="44"/>
          <w:szCs w:val="44"/>
          <w:highlight w:val="none"/>
          <w:lang w:eastAsia="zh-CN"/>
        </w:rPr>
      </w:pPr>
    </w:p>
    <w:p w14:paraId="6FBED514">
      <w:pPr>
        <w:jc w:val="both"/>
        <w:outlineLvl w:val="9"/>
        <w:rPr>
          <w:rFonts w:hint="eastAsia" w:ascii="宋体" w:hAnsi="宋体" w:eastAsia="宋体" w:cs="宋体"/>
          <w:b/>
          <w:bCs/>
          <w:color w:val="FF0000"/>
          <w:kern w:val="44"/>
          <w:sz w:val="44"/>
          <w:szCs w:val="44"/>
          <w:highlight w:val="none"/>
          <w:lang w:eastAsia="zh-CN"/>
        </w:rPr>
      </w:pPr>
    </w:p>
    <w:p w14:paraId="731069E5">
      <w:pPr>
        <w:jc w:val="both"/>
        <w:outlineLvl w:val="9"/>
        <w:rPr>
          <w:rFonts w:hint="eastAsia" w:ascii="宋体" w:hAnsi="宋体" w:eastAsia="宋体" w:cs="宋体"/>
          <w:b/>
          <w:bCs/>
          <w:color w:val="FF0000"/>
          <w:kern w:val="44"/>
          <w:sz w:val="44"/>
          <w:szCs w:val="44"/>
          <w:highlight w:val="none"/>
          <w:lang w:eastAsia="zh-CN"/>
        </w:rPr>
      </w:pPr>
    </w:p>
    <w:p w14:paraId="5AFBE37B">
      <w:pPr>
        <w:jc w:val="both"/>
        <w:outlineLvl w:val="9"/>
        <w:rPr>
          <w:rFonts w:hint="eastAsia" w:ascii="宋体" w:hAnsi="宋体" w:eastAsia="宋体" w:cs="宋体"/>
          <w:b/>
          <w:bCs/>
          <w:color w:val="FF0000"/>
          <w:kern w:val="44"/>
          <w:sz w:val="44"/>
          <w:szCs w:val="44"/>
          <w:highlight w:val="none"/>
          <w:lang w:eastAsia="zh-CN"/>
        </w:rPr>
      </w:pPr>
    </w:p>
    <w:p w14:paraId="44ACACBE">
      <w:pPr>
        <w:jc w:val="both"/>
        <w:outlineLvl w:val="9"/>
        <w:rPr>
          <w:rFonts w:hint="eastAsia" w:ascii="宋体" w:hAnsi="宋体" w:eastAsia="宋体" w:cs="宋体"/>
          <w:b/>
          <w:bCs/>
          <w:color w:val="FF0000"/>
          <w:kern w:val="44"/>
          <w:sz w:val="44"/>
          <w:szCs w:val="44"/>
          <w:highlight w:val="none"/>
          <w:lang w:eastAsia="zh-CN"/>
        </w:rPr>
      </w:pPr>
    </w:p>
    <w:p w14:paraId="1FBFDD91">
      <w:pPr>
        <w:jc w:val="both"/>
        <w:outlineLvl w:val="9"/>
        <w:rPr>
          <w:rFonts w:hint="eastAsia" w:ascii="宋体" w:hAnsi="宋体" w:eastAsia="宋体" w:cs="宋体"/>
          <w:b/>
          <w:bCs/>
          <w:color w:val="FF0000"/>
          <w:kern w:val="44"/>
          <w:sz w:val="44"/>
          <w:szCs w:val="44"/>
          <w:highlight w:val="none"/>
          <w:lang w:eastAsia="zh-CN"/>
        </w:rPr>
      </w:pPr>
    </w:p>
    <w:p w14:paraId="426302E2">
      <w:pPr>
        <w:jc w:val="both"/>
        <w:outlineLvl w:val="9"/>
        <w:rPr>
          <w:rFonts w:hint="eastAsia" w:ascii="宋体" w:hAnsi="宋体" w:eastAsia="宋体" w:cs="宋体"/>
          <w:b/>
          <w:bCs/>
          <w:color w:val="FF0000"/>
          <w:kern w:val="44"/>
          <w:sz w:val="44"/>
          <w:szCs w:val="44"/>
          <w:highlight w:val="none"/>
          <w:lang w:eastAsia="zh-CN"/>
        </w:rPr>
      </w:pPr>
    </w:p>
    <w:p w14:paraId="1638F651">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谈判</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谈判公告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10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14</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4AD4D8CF">
      <w:pPr>
        <w:widowControl w:val="0"/>
        <w:numPr>
          <w:ilvl w:val="0"/>
          <w:numId w:val="0"/>
        </w:numPr>
        <w:tabs>
          <w:tab w:val="left" w:pos="567"/>
        </w:tabs>
        <w:spacing w:line="360" w:lineRule="auto"/>
        <w:jc w:val="both"/>
        <w:rPr>
          <w:rFonts w:hint="eastAsia" w:ascii="宋体" w:hAnsi="宋体" w:cs="宋体"/>
          <w:szCs w:val="21"/>
          <w:lang w:bidi="ar"/>
        </w:rPr>
      </w:pPr>
    </w:p>
    <w:p w14:paraId="7D3AF6E1">
      <w:pPr>
        <w:widowControl w:val="0"/>
        <w:numPr>
          <w:ilvl w:val="0"/>
          <w:numId w:val="0"/>
        </w:numPr>
        <w:tabs>
          <w:tab w:val="left" w:pos="567"/>
        </w:tabs>
        <w:spacing w:line="360" w:lineRule="auto"/>
        <w:jc w:val="both"/>
        <w:rPr>
          <w:rFonts w:hint="eastAsia" w:ascii="宋体" w:hAnsi="宋体" w:cs="宋体"/>
          <w:szCs w:val="21"/>
          <w:lang w:bidi="ar"/>
        </w:rPr>
      </w:pPr>
    </w:p>
    <w:p w14:paraId="7D7822F5">
      <w:pPr>
        <w:widowControl w:val="0"/>
        <w:numPr>
          <w:ilvl w:val="0"/>
          <w:numId w:val="0"/>
        </w:numPr>
        <w:tabs>
          <w:tab w:val="left" w:pos="567"/>
        </w:tabs>
        <w:spacing w:line="360" w:lineRule="auto"/>
        <w:jc w:val="both"/>
        <w:rPr>
          <w:rFonts w:hint="eastAsia" w:ascii="宋体" w:hAnsi="宋体" w:cs="宋体"/>
          <w:szCs w:val="21"/>
          <w:lang w:bidi="ar"/>
        </w:rPr>
      </w:pPr>
    </w:p>
    <w:p w14:paraId="217EECD4">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04E3E066">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谈判公告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1"/>
      <w:bookmarkStart w:id="4"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口腔耗材A包</w:t>
      </w:r>
      <w:r>
        <w:rPr>
          <w:rFonts w:hint="eastAsia" w:ascii="宋体" w:hAnsi="宋体"/>
          <w:szCs w:val="28"/>
          <w:lang w:eastAsia="zh-CN"/>
        </w:rPr>
        <w:t>谈判</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谈判文件</w:t>
      </w:r>
      <w:r>
        <w:rPr>
          <w:rFonts w:hint="eastAsia" w:ascii="宋体" w:hAnsi="宋体"/>
          <w:szCs w:val="28"/>
        </w:rPr>
        <w:t>，并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4</w:t>
      </w:r>
      <w:r>
        <w:rPr>
          <w:rFonts w:hint="eastAsia" w:ascii="宋体" w:hAnsi="宋体"/>
          <w:bCs/>
          <w:szCs w:val="28"/>
          <w:highlight w:val="none"/>
          <w:u w:val="single"/>
        </w:rPr>
        <w:t>月</w:t>
      </w:r>
      <w:r>
        <w:rPr>
          <w:rFonts w:hint="eastAsia" w:ascii="宋体" w:hAnsi="宋体"/>
          <w:bCs/>
          <w:szCs w:val="28"/>
          <w:highlight w:val="none"/>
          <w:u w:val="single"/>
          <w:lang w:val="en-US" w:eastAsia="zh-CN"/>
        </w:rPr>
        <w:t>27</w:t>
      </w:r>
      <w:r>
        <w:rPr>
          <w:rFonts w:hint="eastAsia" w:ascii="宋体" w:hAnsi="宋体"/>
          <w:bCs/>
          <w:szCs w:val="28"/>
          <w:highlight w:val="none"/>
          <w:u w:val="single"/>
        </w:rPr>
        <w:t>日</w:t>
      </w:r>
      <w:r>
        <w:rPr>
          <w:rFonts w:hint="eastAsia" w:ascii="宋体" w:hAnsi="宋体"/>
          <w:bCs/>
          <w:szCs w:val="28"/>
          <w:highlight w:val="none"/>
          <w:u w:val="single"/>
          <w:lang w:val="en-US" w:eastAsia="zh-CN"/>
        </w:rPr>
        <w:t>14</w:t>
      </w:r>
      <w:r>
        <w:rPr>
          <w:rFonts w:hint="eastAsia" w:ascii="宋体" w:hAnsi="宋体"/>
          <w:bCs/>
          <w:szCs w:val="28"/>
          <w:highlight w:val="none"/>
          <w:u w:val="single"/>
        </w:rPr>
        <w:t>点30分</w:t>
      </w:r>
      <w:r>
        <w:rPr>
          <w:rFonts w:hint="eastAsia" w:ascii="宋体" w:hAnsi="宋体"/>
          <w:bCs/>
          <w:szCs w:val="28"/>
          <w:highlight w:val="none"/>
          <w:u w:val="none"/>
        </w:rPr>
        <w:t>（</w:t>
      </w:r>
      <w:r>
        <w:rPr>
          <w:rFonts w:hint="eastAsia" w:ascii="宋体" w:hAnsi="宋体"/>
          <w:bCs/>
          <w:szCs w:val="28"/>
          <w:highlight w:val="none"/>
        </w:rPr>
        <w:t>北</w:t>
      </w:r>
      <w:r>
        <w:rPr>
          <w:rFonts w:hint="eastAsia" w:ascii="宋体" w:hAnsi="宋体"/>
          <w:bCs/>
          <w:szCs w:val="28"/>
        </w:rPr>
        <w:t>京时间）前递交投标</w:t>
      </w:r>
      <w:r>
        <w:rPr>
          <w:rFonts w:ascii="宋体" w:hAnsi="宋体"/>
          <w:bCs/>
          <w:szCs w:val="28"/>
        </w:rPr>
        <w:t>文件</w:t>
      </w:r>
      <w:r>
        <w:rPr>
          <w:rFonts w:hint="eastAsia" w:ascii="宋体" w:hAnsi="宋体"/>
          <w:szCs w:val="28"/>
        </w:rPr>
        <w:t>。</w:t>
      </w:r>
    </w:p>
    <w:p w14:paraId="75F49FC0">
      <w:pPr>
        <w:spacing w:line="360" w:lineRule="auto"/>
        <w:rPr>
          <w:rFonts w:hint="eastAsia" w:ascii="宋体" w:hAnsi="宋体"/>
        </w:rPr>
      </w:pPr>
      <w:bookmarkStart w:id="5" w:name="OLE_LINK2"/>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FTEY-FYC-009C</w:t>
      </w:r>
    </w:p>
    <w:p w14:paraId="4C536290">
      <w:pPr>
        <w:spacing w:line="360" w:lineRule="auto"/>
        <w:ind w:firstLine="420" w:firstLineChars="200"/>
        <w:rPr>
          <w:rFonts w:ascii="宋体" w:hAnsi="宋体"/>
        </w:rPr>
      </w:pPr>
      <w:r>
        <w:rPr>
          <w:rFonts w:hint="eastAsia" w:ascii="宋体" w:hAnsi="宋体"/>
        </w:rPr>
        <w:t>项目名称：</w:t>
      </w:r>
      <w:r>
        <w:rPr>
          <w:rFonts w:hint="eastAsia" w:ascii="宋体" w:hAnsi="宋体"/>
          <w:szCs w:val="28"/>
          <w:u w:val="none"/>
          <w:lang w:val="en-US" w:eastAsia="zh-CN"/>
        </w:rPr>
        <w:t>口腔耗材A包</w:t>
      </w:r>
      <w:bookmarkStart w:id="124" w:name="_GoBack"/>
      <w:bookmarkEnd w:id="124"/>
    </w:p>
    <w:p w14:paraId="6B8796DB">
      <w:pPr>
        <w:spacing w:line="360" w:lineRule="auto"/>
        <w:ind w:firstLine="420" w:firstLineChars="200"/>
        <w:rPr>
          <w:rFonts w:hint="eastAsia" w:ascii="宋体" w:hAnsi="宋体"/>
          <w:szCs w:val="21"/>
        </w:rPr>
      </w:pPr>
      <w:r>
        <w:rPr>
          <w:rFonts w:hint="eastAsia" w:ascii="宋体" w:hAnsi="宋体"/>
        </w:rPr>
        <w:t>预算金额（支付上限）：人民币伍万柒仟肆佰叁拾叁元捌角整（¥</w:t>
      </w:r>
      <w:r>
        <w:rPr>
          <w:rFonts w:hint="eastAsia" w:ascii="宋体" w:hAnsi="宋体"/>
          <w:lang w:val="en-US" w:eastAsia="zh-CN"/>
        </w:rPr>
        <w:t>57433.80</w:t>
      </w:r>
      <w:r>
        <w:rPr>
          <w:rFonts w:hint="eastAsia" w:ascii="宋体" w:hAnsi="宋体"/>
          <w:szCs w:val="21"/>
        </w:rPr>
        <w:t>元）</w:t>
      </w:r>
    </w:p>
    <w:p w14:paraId="24B35A0B">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采购方式：单一来源采购</w:t>
      </w:r>
    </w:p>
    <w:p w14:paraId="2FA96857">
      <w:pPr>
        <w:spacing w:line="360" w:lineRule="auto"/>
        <w:ind w:left="420" w:leftChars="200" w:firstLine="0" w:firstLineChars="0"/>
        <w:rPr>
          <w:rFonts w:hint="default" w:ascii="宋体" w:hAnsi="宋体"/>
          <w:szCs w:val="21"/>
          <w:lang w:val="en-US" w:eastAsia="zh-CN"/>
        </w:rPr>
      </w:pPr>
      <w:r>
        <w:rPr>
          <w:rFonts w:hint="default" w:ascii="宋体" w:hAnsi="宋体"/>
          <w:szCs w:val="21"/>
          <w:lang w:val="en-US" w:eastAsia="zh-CN"/>
        </w:rPr>
        <w:t>单一来源采购方式理由</w:t>
      </w:r>
      <w:r>
        <w:rPr>
          <w:rFonts w:hint="eastAsia" w:ascii="宋体" w:hAnsi="宋体"/>
          <w:szCs w:val="21"/>
          <w:lang w:val="en-US" w:eastAsia="zh-CN"/>
        </w:rPr>
        <w:t>：该项目已挂网三次，仅一家供应商实际响应，</w:t>
      </w:r>
      <w:r>
        <w:rPr>
          <w:rFonts w:hint="default" w:ascii="宋体" w:hAnsi="宋体"/>
          <w:szCs w:val="21"/>
          <w:lang w:val="en-US" w:eastAsia="zh-CN"/>
        </w:rPr>
        <w:t>只能从唯一供应商处采购</w:t>
      </w:r>
      <w:r>
        <w:rPr>
          <w:rFonts w:hint="eastAsia" w:ascii="宋体" w:hAnsi="宋体"/>
          <w:szCs w:val="21"/>
          <w:lang w:val="en-US" w:eastAsia="zh-CN"/>
        </w:rPr>
        <w:t>。</w:t>
      </w:r>
    </w:p>
    <w:p w14:paraId="53438E1E">
      <w:pPr>
        <w:spacing w:line="360" w:lineRule="auto"/>
        <w:ind w:firstLine="420" w:firstLineChars="200"/>
        <w:rPr>
          <w:rFonts w:hint="eastAsia" w:ascii="宋体" w:hAnsi="宋体" w:eastAsiaTheme="minorEastAsia"/>
          <w:u w:val="single"/>
          <w:lang w:eastAsia="zh-CN"/>
        </w:rPr>
      </w:pPr>
      <w:r>
        <w:rPr>
          <w:rFonts w:hint="eastAsia" w:ascii="宋体" w:hAnsi="宋体"/>
        </w:rPr>
        <w:t>采购需求：详见</w:t>
      </w:r>
      <w:r>
        <w:rPr>
          <w:rFonts w:hint="eastAsia" w:ascii="宋体" w:hAnsi="宋体"/>
          <w:lang w:eastAsia="zh-CN"/>
        </w:rPr>
        <w:t>谈判文件</w:t>
      </w:r>
    </w:p>
    <w:p w14:paraId="7CF96533">
      <w:pPr>
        <w:spacing w:line="360" w:lineRule="auto"/>
        <w:ind w:firstLine="420" w:firstLineChars="200"/>
        <w:rPr>
          <w:rFonts w:hint="eastAsia" w:ascii="宋体" w:hAnsi="宋体"/>
          <w:lang w:eastAsia="zh-CN"/>
        </w:rPr>
      </w:pPr>
      <w:r>
        <w:rPr>
          <w:rFonts w:hint="eastAsia" w:ascii="宋体" w:hAnsi="宋体"/>
        </w:rPr>
        <w:t>合同履行期限：详见</w:t>
      </w:r>
      <w:r>
        <w:rPr>
          <w:rFonts w:hint="eastAsia" w:ascii="宋体" w:hAnsi="宋体"/>
          <w:lang w:eastAsia="zh-CN"/>
        </w:rPr>
        <w:t>谈判文件</w:t>
      </w:r>
    </w:p>
    <w:p w14:paraId="0EA90B9A">
      <w:pPr>
        <w:spacing w:line="360" w:lineRule="auto"/>
        <w:ind w:firstLine="420" w:firstLineChars="200"/>
        <w:rPr>
          <w:rFonts w:hint="eastAsia" w:ascii="宋体" w:hAnsi="宋体"/>
        </w:rPr>
      </w:pPr>
      <w:r>
        <w:rPr>
          <w:rFonts w:hint="eastAsia" w:ascii="宋体" w:hAnsi="宋体"/>
        </w:rPr>
        <w:t>本项目不接受联合体投标</w:t>
      </w:r>
    </w:p>
    <w:p w14:paraId="119088AC">
      <w:pPr>
        <w:spacing w:line="360" w:lineRule="auto"/>
        <w:ind w:firstLine="420" w:firstLineChars="200"/>
        <w:rPr>
          <w:rFonts w:hint="eastAsia" w:ascii="宋体" w:hAnsi="宋体"/>
          <w:lang w:val="en-US" w:eastAsia="zh-CN"/>
        </w:rPr>
      </w:pPr>
      <w:r>
        <w:rPr>
          <w:rFonts w:hint="eastAsia" w:ascii="宋体" w:hAnsi="宋体"/>
          <w:lang w:val="en-US" w:eastAsia="zh-CN"/>
        </w:rPr>
        <w:t>拟定的唯一供应商名称、地址：</w:t>
      </w:r>
    </w:p>
    <w:p w14:paraId="59D9FF89">
      <w:pPr>
        <w:spacing w:line="360" w:lineRule="auto"/>
        <w:ind w:firstLine="420" w:firstLineChars="200"/>
        <w:rPr>
          <w:rFonts w:hint="eastAsia" w:ascii="宋体" w:hAnsi="宋体"/>
          <w:lang w:val="en-US" w:eastAsia="zh-CN"/>
        </w:rPr>
      </w:pPr>
      <w:r>
        <w:rPr>
          <w:rFonts w:hint="eastAsia" w:ascii="宋体" w:hAnsi="宋体"/>
          <w:lang w:val="en-US" w:eastAsia="zh-CN"/>
        </w:rPr>
        <w:t>供应商名称：深圳市开心医疗器械有限公司</w:t>
      </w:r>
    </w:p>
    <w:p w14:paraId="2264CBE2">
      <w:pPr>
        <w:spacing w:line="360" w:lineRule="auto"/>
        <w:ind w:left="420" w:leftChars="200" w:firstLine="0" w:firstLineChars="0"/>
        <w:rPr>
          <w:rFonts w:hint="eastAsia" w:ascii="宋体" w:hAnsi="宋体"/>
          <w:lang w:val="en-US" w:eastAsia="zh-CN"/>
        </w:rPr>
      </w:pPr>
      <w:r>
        <w:rPr>
          <w:rFonts w:hint="eastAsia" w:ascii="宋体" w:hAnsi="宋体"/>
          <w:lang w:val="en-US" w:eastAsia="zh-CN"/>
        </w:rPr>
        <w:t>供应商地址：深圳市罗湖区东门街道城东社区中兴路239号外贸集团大厦2801-2805、2809-2810、2701-2702</w:t>
      </w:r>
    </w:p>
    <w:p w14:paraId="31587BF2">
      <w:pPr>
        <w:spacing w:line="360" w:lineRule="auto"/>
        <w:ind w:firstLine="420" w:firstLineChars="200"/>
        <w:rPr>
          <w:rFonts w:hint="default" w:ascii="宋体" w:hAnsi="宋体"/>
          <w:lang w:val="en-US" w:eastAsia="zh-CN"/>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3BF5B2CB">
      <w:pPr>
        <w:spacing w:line="360" w:lineRule="auto"/>
        <w:ind w:firstLine="420" w:firstLineChars="200"/>
        <w:rPr>
          <w:rFonts w:hint="eastAsia" w:ascii="宋体" w:hAnsi="宋体"/>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782A4BC2">
      <w:pPr>
        <w:spacing w:line="360" w:lineRule="auto"/>
        <w:ind w:firstLine="420" w:firstLineChars="200"/>
        <w:rPr>
          <w:rFonts w:ascii="宋体" w:hAnsi="宋体"/>
        </w:rPr>
      </w:pPr>
      <w:bookmarkStart w:id="7" w:name="_Toc27695"/>
      <w:r>
        <w:rPr>
          <w:rFonts w:hint="eastAsia" w:ascii="宋体" w:hAnsi="宋体"/>
          <w:lang w:val="en-US" w:eastAsia="zh-CN"/>
        </w:rPr>
        <w:t>4</w:t>
      </w:r>
      <w:r>
        <w:rPr>
          <w:rFonts w:hint="eastAsia" w:ascii="宋体" w:hAnsi="宋体"/>
        </w:rPr>
        <w:t>、本项目</w:t>
      </w:r>
      <w:r>
        <w:rPr>
          <w:rFonts w:hint="eastAsia" w:ascii="宋体" w:hAnsi="宋体"/>
          <w:lang w:val="en-US" w:eastAsia="zh-CN"/>
        </w:rPr>
        <w:t>部分耗材</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1B33D27">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报名时间：2026年4月21日8时00分至2026年4月23日17时00分止</w:t>
      </w:r>
    </w:p>
    <w:p w14:paraId="17D4E8FF">
      <w:pPr>
        <w:spacing w:line="360" w:lineRule="auto"/>
        <w:ind w:firstLine="420" w:firstLineChars="200"/>
        <w:rPr>
          <w:rFonts w:hint="eastAsia" w:ascii="宋体" w:hAnsi="宋体" w:eastAsiaTheme="minorEastAsia"/>
          <w:bCs/>
          <w:highlight w:val="none"/>
          <w:lang w:eastAsia="zh-CN"/>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r>
        <w:rPr>
          <w:rFonts w:hint="eastAsia" w:ascii="宋体" w:hAnsi="宋体"/>
          <w:bCs/>
          <w:highlight w:val="none"/>
          <w:lang w:val="en-US" w:eastAsia="zh-CN"/>
        </w:rPr>
        <w:t>14</w:t>
      </w:r>
      <w:r>
        <w:rPr>
          <w:rFonts w:hint="eastAsia" w:ascii="宋体" w:hAnsi="宋体"/>
          <w:bCs/>
          <w:highlight w:val="none"/>
        </w:rPr>
        <w:t>:00至</w:t>
      </w:r>
      <w:r>
        <w:rPr>
          <w:rFonts w:hint="eastAsia" w:ascii="宋体" w:hAnsi="宋体"/>
          <w:bCs/>
          <w:highlight w:val="none"/>
          <w:lang w:val="en-US" w:eastAsia="zh-CN"/>
        </w:rPr>
        <w:t>14</w:t>
      </w:r>
      <w:r>
        <w:rPr>
          <w:rFonts w:hint="eastAsia" w:ascii="宋体" w:hAnsi="宋体"/>
          <w:bCs/>
          <w:highlight w:val="none"/>
        </w:rPr>
        <w:t>:30（北京时间）</w:t>
      </w:r>
    </w:p>
    <w:p w14:paraId="78BAA079">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482C806E">
      <w:pPr>
        <w:spacing w:line="360" w:lineRule="auto"/>
        <w:ind w:firstLine="420" w:firstLineChars="200"/>
        <w:rPr>
          <w:rFonts w:hint="eastAsia" w:ascii="宋体" w:hAnsi="宋体" w:eastAsiaTheme="minorEastAsia"/>
          <w:bCs/>
          <w:highlight w:val="none"/>
          <w:lang w:eastAsia="zh-CN"/>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6367366C">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p>
    <w:p w14:paraId="5F335419">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FBAB5B0">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自本公告发布之日起5日。</w:t>
      </w:r>
    </w:p>
    <w:p w14:paraId="783EA265">
      <w:pPr>
        <w:pStyle w:val="32"/>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14DB6B97">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2、投标人有义务在谈判活动期间浏览深圳市福田区第二人民医院网站（https://www.ft2yy.cn/）。相关公告在上述媒体上公布之日即视为有效送达，不再另行通知。</w:t>
      </w:r>
    </w:p>
    <w:p w14:paraId="5499B73F">
      <w:pPr>
        <w:numPr>
          <w:ilvl w:val="0"/>
          <w:numId w:val="0"/>
        </w:numPr>
        <w:spacing w:line="360" w:lineRule="auto"/>
        <w:ind w:firstLine="420" w:firstLineChars="200"/>
        <w:rPr>
          <w:rFonts w:hint="eastAsia" w:ascii="宋体" w:hAnsi="宋体"/>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七、对本次谈判提出询问，请按以下方式联系。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highlight w:val="none"/>
          <w:lang w:val="en-US" w:eastAsia="zh-CN"/>
        </w:rPr>
      </w:pPr>
      <w:r>
        <w:rPr>
          <w:rFonts w:hint="eastAsia" w:ascii="宋体" w:hAnsi="宋体"/>
          <w:szCs w:val="21"/>
          <w:lang w:val="en-US" w:eastAsia="zh-CN"/>
        </w:rPr>
        <w:t>深圳市</w:t>
      </w:r>
      <w:r>
        <w:rPr>
          <w:rFonts w:hint="eastAsia" w:ascii="宋体" w:hAnsi="宋体"/>
          <w:szCs w:val="21"/>
          <w:highlight w:val="none"/>
          <w:lang w:val="en-US" w:eastAsia="zh-CN"/>
        </w:rPr>
        <w:t>福田区第二人民医院</w:t>
      </w:r>
    </w:p>
    <w:p w14:paraId="1B01E0D4">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20</w:t>
      </w:r>
      <w:r>
        <w:rPr>
          <w:rFonts w:hint="eastAsia" w:ascii="宋体" w:hAnsi="宋体"/>
          <w:highlight w:val="none"/>
        </w:rPr>
        <w:t>日</w:t>
      </w:r>
      <w:bookmarkEnd w:id="3"/>
      <w:bookmarkEnd w:id="4"/>
      <w:bookmarkEnd w:id="5"/>
    </w:p>
    <w:p w14:paraId="7F2E5E0A">
      <w:pPr>
        <w:spacing w:line="400" w:lineRule="exact"/>
        <w:ind w:firstLine="420" w:firstLineChars="200"/>
        <w:jc w:val="right"/>
        <w:rPr>
          <w:rFonts w:hint="eastAsia" w:ascii="宋体" w:hAnsi="宋体"/>
          <w:highlight w:val="none"/>
        </w:rPr>
      </w:pPr>
    </w:p>
    <w:p w14:paraId="28FE820D">
      <w:pPr>
        <w:spacing w:line="400" w:lineRule="exact"/>
        <w:ind w:firstLine="420" w:firstLineChars="200"/>
        <w:jc w:val="right"/>
        <w:rPr>
          <w:rFonts w:hint="eastAsia" w:ascii="宋体" w:hAnsi="宋体"/>
        </w:rPr>
      </w:pPr>
    </w:p>
    <w:p w14:paraId="7B98A2E6">
      <w:pPr>
        <w:spacing w:line="400" w:lineRule="exact"/>
        <w:ind w:firstLine="420" w:firstLineChars="200"/>
        <w:jc w:val="right"/>
        <w:rPr>
          <w:rFonts w:hint="eastAsia" w:ascii="宋体" w:hAnsi="宋体"/>
        </w:rPr>
      </w:pPr>
    </w:p>
    <w:p w14:paraId="01C5B294">
      <w:pPr>
        <w:spacing w:line="400" w:lineRule="exact"/>
        <w:ind w:firstLine="420" w:firstLineChars="200"/>
        <w:jc w:val="right"/>
        <w:rPr>
          <w:rFonts w:hint="eastAsia" w:ascii="宋体" w:hAnsi="宋体"/>
        </w:rPr>
      </w:pPr>
    </w:p>
    <w:p w14:paraId="6F0686E3">
      <w:pPr>
        <w:spacing w:line="400" w:lineRule="exact"/>
        <w:ind w:firstLine="420" w:firstLineChars="200"/>
        <w:jc w:val="right"/>
        <w:rPr>
          <w:rFonts w:hint="eastAsia" w:ascii="宋体" w:hAnsi="宋体"/>
        </w:rPr>
      </w:pPr>
    </w:p>
    <w:p w14:paraId="671D8BDE">
      <w:pPr>
        <w:spacing w:line="400" w:lineRule="exact"/>
        <w:ind w:firstLine="420" w:firstLineChars="200"/>
        <w:jc w:val="right"/>
        <w:rPr>
          <w:rFonts w:hint="eastAsia" w:ascii="宋体" w:hAnsi="宋体"/>
        </w:rPr>
      </w:pPr>
    </w:p>
    <w:p w14:paraId="710B0E0D">
      <w:pPr>
        <w:spacing w:line="400" w:lineRule="exact"/>
        <w:ind w:firstLine="420" w:firstLineChars="200"/>
        <w:jc w:val="right"/>
        <w:rPr>
          <w:rFonts w:hint="eastAsia" w:ascii="宋体" w:hAnsi="宋体"/>
        </w:rPr>
      </w:pPr>
    </w:p>
    <w:p w14:paraId="693233D9">
      <w:pPr>
        <w:spacing w:line="400" w:lineRule="exact"/>
        <w:ind w:firstLine="420" w:firstLineChars="200"/>
        <w:jc w:val="right"/>
        <w:rPr>
          <w:rFonts w:hint="eastAsia" w:ascii="宋体" w:hAnsi="宋体"/>
        </w:rPr>
      </w:pPr>
    </w:p>
    <w:p w14:paraId="367A490C">
      <w:pPr>
        <w:spacing w:line="400" w:lineRule="exact"/>
        <w:ind w:firstLine="420" w:firstLineChars="200"/>
        <w:jc w:val="right"/>
        <w:rPr>
          <w:rFonts w:hint="eastAsia" w:ascii="宋体" w:hAnsi="宋体"/>
        </w:rPr>
      </w:pPr>
    </w:p>
    <w:p w14:paraId="151F1BBB">
      <w:pPr>
        <w:spacing w:line="400" w:lineRule="exact"/>
        <w:ind w:firstLine="420" w:firstLineChars="200"/>
        <w:jc w:val="right"/>
        <w:rPr>
          <w:rFonts w:hint="eastAsia" w:ascii="宋体" w:hAnsi="宋体"/>
        </w:rPr>
      </w:pPr>
    </w:p>
    <w:p w14:paraId="42C4CFAE">
      <w:pPr>
        <w:spacing w:line="400" w:lineRule="exact"/>
        <w:ind w:firstLine="420" w:firstLineChars="200"/>
        <w:jc w:val="right"/>
        <w:rPr>
          <w:rFonts w:hint="eastAsia" w:ascii="宋体" w:hAnsi="宋体"/>
        </w:rPr>
      </w:pPr>
    </w:p>
    <w:p w14:paraId="540771E4">
      <w:pPr>
        <w:spacing w:line="400" w:lineRule="exact"/>
        <w:ind w:firstLine="420" w:firstLineChars="200"/>
        <w:jc w:val="right"/>
        <w:rPr>
          <w:rFonts w:hint="eastAsia" w:ascii="宋体" w:hAnsi="宋体"/>
        </w:rPr>
      </w:pPr>
    </w:p>
    <w:p w14:paraId="2B430713">
      <w:pPr>
        <w:spacing w:line="400" w:lineRule="exact"/>
        <w:ind w:firstLine="420" w:firstLineChars="200"/>
        <w:jc w:val="right"/>
        <w:rPr>
          <w:rFonts w:hint="eastAsia" w:ascii="宋体" w:hAnsi="宋体"/>
        </w:rPr>
      </w:pPr>
    </w:p>
    <w:p w14:paraId="38F91C62">
      <w:pPr>
        <w:spacing w:line="400" w:lineRule="exact"/>
        <w:ind w:firstLine="420" w:firstLineChars="200"/>
        <w:jc w:val="right"/>
        <w:rPr>
          <w:rFonts w:hint="eastAsia" w:ascii="宋体" w:hAnsi="宋体"/>
        </w:rPr>
      </w:pPr>
    </w:p>
    <w:p w14:paraId="6AEC6D12">
      <w:pPr>
        <w:spacing w:line="400" w:lineRule="exact"/>
        <w:ind w:firstLine="420" w:firstLineChars="200"/>
        <w:jc w:val="right"/>
        <w:rPr>
          <w:rFonts w:hint="eastAsia" w:ascii="宋体" w:hAnsi="宋体"/>
        </w:rPr>
      </w:pPr>
    </w:p>
    <w:p w14:paraId="74716F70">
      <w:pPr>
        <w:spacing w:line="400" w:lineRule="exact"/>
        <w:ind w:firstLine="420" w:firstLineChars="200"/>
        <w:jc w:val="right"/>
        <w:rPr>
          <w:rFonts w:hint="eastAsia" w:ascii="宋体" w:hAnsi="宋体"/>
        </w:rPr>
      </w:pPr>
    </w:p>
    <w:p w14:paraId="1E5909DF">
      <w:pPr>
        <w:spacing w:line="400" w:lineRule="exact"/>
        <w:ind w:firstLine="420" w:firstLineChars="200"/>
        <w:jc w:val="right"/>
        <w:rPr>
          <w:rFonts w:hint="eastAsia" w:ascii="宋体" w:hAnsi="宋体"/>
        </w:rPr>
      </w:pPr>
    </w:p>
    <w:p w14:paraId="52A61FB5">
      <w:pPr>
        <w:spacing w:line="400" w:lineRule="exact"/>
        <w:ind w:firstLine="420" w:firstLineChars="200"/>
        <w:jc w:val="right"/>
        <w:rPr>
          <w:rFonts w:hint="eastAsia" w:ascii="宋体" w:hAnsi="宋体"/>
        </w:rPr>
      </w:pPr>
    </w:p>
    <w:p w14:paraId="53A61936">
      <w:pPr>
        <w:spacing w:line="400" w:lineRule="exact"/>
        <w:ind w:firstLine="420" w:firstLineChars="200"/>
        <w:jc w:val="right"/>
        <w:rPr>
          <w:rFonts w:hint="eastAsia" w:ascii="宋体" w:hAnsi="宋体"/>
        </w:rPr>
      </w:pPr>
    </w:p>
    <w:p w14:paraId="55CF4BA6">
      <w:pPr>
        <w:spacing w:line="400" w:lineRule="exact"/>
        <w:ind w:firstLine="420" w:firstLineChars="200"/>
        <w:jc w:val="right"/>
        <w:rPr>
          <w:rFonts w:hint="eastAsia" w:ascii="宋体" w:hAnsi="宋体"/>
        </w:rPr>
      </w:pPr>
    </w:p>
    <w:p w14:paraId="17F11F84">
      <w:pPr>
        <w:spacing w:line="400" w:lineRule="exact"/>
        <w:ind w:firstLine="420" w:firstLineChars="200"/>
        <w:jc w:val="right"/>
        <w:rPr>
          <w:rFonts w:hint="eastAsia" w:ascii="宋体" w:hAnsi="宋体"/>
        </w:rPr>
      </w:pPr>
    </w:p>
    <w:p w14:paraId="5898B3B2">
      <w:pPr>
        <w:spacing w:line="400" w:lineRule="exact"/>
        <w:ind w:firstLine="420" w:firstLineChars="200"/>
        <w:jc w:val="right"/>
        <w:rPr>
          <w:rFonts w:hint="eastAsia" w:ascii="宋体" w:hAnsi="宋体"/>
        </w:rPr>
      </w:pPr>
    </w:p>
    <w:p w14:paraId="59771B28">
      <w:pPr>
        <w:spacing w:line="400" w:lineRule="exact"/>
        <w:ind w:firstLine="420" w:firstLineChars="200"/>
        <w:jc w:val="right"/>
        <w:rPr>
          <w:rFonts w:hint="eastAsia" w:ascii="宋体" w:hAnsi="宋体"/>
        </w:rPr>
      </w:pPr>
    </w:p>
    <w:p w14:paraId="7BB6A93D">
      <w:pPr>
        <w:spacing w:line="400" w:lineRule="exact"/>
        <w:ind w:firstLine="420" w:firstLineChars="200"/>
        <w:jc w:val="right"/>
        <w:rPr>
          <w:rFonts w:hint="eastAsia" w:ascii="宋体" w:hAnsi="宋体"/>
        </w:rPr>
      </w:pPr>
    </w:p>
    <w:p w14:paraId="01B536D1">
      <w:pPr>
        <w:spacing w:line="400" w:lineRule="exact"/>
        <w:ind w:firstLine="420" w:firstLineChars="200"/>
        <w:jc w:val="right"/>
        <w:rPr>
          <w:rFonts w:hint="eastAsia" w:ascii="宋体" w:hAnsi="宋体"/>
        </w:rPr>
      </w:pPr>
    </w:p>
    <w:p w14:paraId="5B60410A">
      <w:pPr>
        <w:spacing w:line="400" w:lineRule="exact"/>
        <w:ind w:firstLine="420" w:firstLineChars="200"/>
        <w:jc w:val="right"/>
        <w:rPr>
          <w:rFonts w:hint="eastAsia" w:ascii="宋体" w:hAnsi="宋体"/>
        </w:rPr>
      </w:pPr>
    </w:p>
    <w:p w14:paraId="22694E02">
      <w:pPr>
        <w:spacing w:line="400" w:lineRule="exact"/>
        <w:ind w:firstLine="420" w:firstLineChars="200"/>
        <w:jc w:val="right"/>
        <w:rPr>
          <w:rFonts w:hint="eastAsia" w:ascii="宋体" w:hAnsi="宋体"/>
        </w:rPr>
      </w:pPr>
    </w:p>
    <w:p w14:paraId="22F58DF4">
      <w:pPr>
        <w:spacing w:line="400" w:lineRule="exact"/>
        <w:ind w:firstLine="420" w:firstLineChars="200"/>
        <w:jc w:val="right"/>
        <w:rPr>
          <w:rFonts w:hint="eastAsia" w:ascii="宋体" w:hAnsi="宋体"/>
        </w:rPr>
      </w:pPr>
    </w:p>
    <w:p w14:paraId="53876EEB">
      <w:pPr>
        <w:spacing w:line="400" w:lineRule="exact"/>
        <w:jc w:val="both"/>
        <w:rPr>
          <w:rFonts w:hint="eastAsia" w:ascii="宋体" w:hAnsi="宋体"/>
        </w:rPr>
      </w:pPr>
    </w:p>
    <w:p w14:paraId="4CED831E">
      <w:pPr>
        <w:spacing w:line="400" w:lineRule="exact"/>
        <w:jc w:val="both"/>
        <w:rPr>
          <w:rFonts w:hint="eastAsia" w:ascii="宋体" w:hAnsi="宋体"/>
        </w:rPr>
      </w:pPr>
    </w:p>
    <w:p w14:paraId="43F00514">
      <w:pPr>
        <w:spacing w:line="400" w:lineRule="exact"/>
        <w:jc w:val="both"/>
        <w:rPr>
          <w:rFonts w:hint="eastAsia" w:ascii="宋体" w:hAnsi="宋体"/>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2F8DF358">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用户需求书中打“●”号的为采购的核心产品，投标人应在《</w:t>
      </w:r>
      <w:r>
        <w:rPr>
          <w:rFonts w:hint="eastAsia" w:asciiTheme="minorEastAsia" w:hAnsiTheme="minorEastAsia" w:eastAsiaTheme="minorEastAsia"/>
          <w:b/>
          <w:bCs/>
          <w:color w:val="auto"/>
          <w:szCs w:val="21"/>
          <w:lang w:val="en-US" w:eastAsia="zh-CN"/>
        </w:rPr>
        <w:t>开标一栏表</w:t>
      </w:r>
      <w:r>
        <w:rPr>
          <w:rFonts w:hint="eastAsia" w:asciiTheme="minorEastAsia" w:hAnsiTheme="minorEastAsia" w:eastAsiaTheme="minorEastAsia"/>
          <w:b/>
          <w:bCs/>
          <w:color w:val="auto"/>
          <w:szCs w:val="21"/>
        </w:rPr>
        <w:t>》中清晰列明“产品名称、品牌”。</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26"/>
        <w:gridCol w:w="1465"/>
        <w:gridCol w:w="2293"/>
        <w:gridCol w:w="2294"/>
        <w:gridCol w:w="1195"/>
      </w:tblGrid>
      <w:tr w14:paraId="2B67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920" w:type="dxa"/>
            <w:shd w:val="clear" w:color="auto" w:fill="EEECE1"/>
            <w:vAlign w:val="center"/>
          </w:tcPr>
          <w:p w14:paraId="6BC8C088">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26" w:type="dxa"/>
            <w:shd w:val="clear" w:color="auto" w:fill="EEECE1"/>
            <w:vAlign w:val="center"/>
          </w:tcPr>
          <w:p w14:paraId="0F593D38">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465" w:type="dxa"/>
            <w:shd w:val="clear" w:color="auto" w:fill="EEECE1"/>
            <w:vAlign w:val="center"/>
          </w:tcPr>
          <w:p w14:paraId="05842BA9">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  期限</w:t>
            </w:r>
          </w:p>
        </w:tc>
        <w:tc>
          <w:tcPr>
            <w:tcW w:w="2293"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294" w:type="dxa"/>
            <w:shd w:val="clear" w:color="auto" w:fill="EEECE1"/>
            <w:vAlign w:val="center"/>
          </w:tcPr>
          <w:p w14:paraId="4CEF088D">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95" w:type="dxa"/>
            <w:shd w:val="clear" w:color="auto" w:fill="EEECE1"/>
            <w:vAlign w:val="center"/>
          </w:tcPr>
          <w:p w14:paraId="13AF89FC">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1385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920" w:type="dxa"/>
            <w:vAlign w:val="center"/>
          </w:tcPr>
          <w:p w14:paraId="489D56A8">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口腔耗材A包</w:t>
            </w:r>
          </w:p>
        </w:tc>
        <w:tc>
          <w:tcPr>
            <w:tcW w:w="826" w:type="dxa"/>
            <w:vAlign w:val="center"/>
          </w:tcPr>
          <w:p w14:paraId="1611D57E">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465" w:type="dxa"/>
            <w:vAlign w:val="center"/>
          </w:tcPr>
          <w:p w14:paraId="64A663D1">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293" w:type="dxa"/>
            <w:vAlign w:val="center"/>
          </w:tcPr>
          <w:p w14:paraId="26A59F7D">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人民币57433.80元/年</w:t>
            </w:r>
          </w:p>
        </w:tc>
        <w:tc>
          <w:tcPr>
            <w:tcW w:w="2294" w:type="dxa"/>
            <w:vAlign w:val="center"/>
          </w:tcPr>
          <w:p w14:paraId="1C2A6908">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人民币57433.80元/年</w:t>
            </w:r>
          </w:p>
        </w:tc>
        <w:tc>
          <w:tcPr>
            <w:tcW w:w="1195" w:type="dxa"/>
            <w:vAlign w:val="center"/>
          </w:tcPr>
          <w:p w14:paraId="214360AD">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54E7C51C">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asciiTheme="minorEastAsia" w:hAnsiTheme="minorEastAsia" w:eastAsiaTheme="minorEastAsia"/>
          <w:b/>
          <w:bCs/>
          <w:color w:val="auto"/>
          <w:szCs w:val="21"/>
        </w:rPr>
        <w:t>★</w:t>
      </w:r>
      <w:r>
        <w:rPr>
          <w:rFonts w:hint="eastAsia" w:hAnsi="宋体"/>
          <w:b/>
          <w:color w:val="auto"/>
          <w:lang w:val="en-US" w:eastAsia="zh-CN"/>
        </w:rPr>
        <w:t>货品清单及</w:t>
      </w:r>
      <w:r>
        <w:rPr>
          <w:rFonts w:hint="eastAsia" w:hAnsi="宋体"/>
          <w:b/>
          <w:color w:val="auto"/>
        </w:rPr>
        <w:t>技术要求：</w:t>
      </w:r>
    </w:p>
    <w:tbl>
      <w:tblPr>
        <w:tblStyle w:val="17"/>
        <w:tblW w:w="1112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28"/>
        <w:gridCol w:w="2636"/>
        <w:gridCol w:w="1227"/>
        <w:gridCol w:w="996"/>
        <w:gridCol w:w="1281"/>
        <w:gridCol w:w="985"/>
        <w:gridCol w:w="1268"/>
        <w:gridCol w:w="1000"/>
      </w:tblGrid>
      <w:tr w14:paraId="014AD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EEECE1" w:themeFill="background2"/>
            <w:vAlign w:val="center"/>
          </w:tcPr>
          <w:p w14:paraId="5471A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2636" w:type="dxa"/>
            <w:tcBorders>
              <w:tl2br w:val="nil"/>
              <w:tr2bl w:val="nil"/>
            </w:tcBorders>
            <w:shd w:val="clear" w:color="auto" w:fill="EEECE1" w:themeFill="background2"/>
            <w:vAlign w:val="center"/>
          </w:tcPr>
          <w:p w14:paraId="341146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227" w:type="dxa"/>
            <w:tcBorders>
              <w:tl2br w:val="nil"/>
              <w:tr2bl w:val="nil"/>
            </w:tcBorders>
            <w:shd w:val="clear" w:color="auto" w:fill="EEECE1" w:themeFill="background2"/>
            <w:vAlign w:val="center"/>
          </w:tcPr>
          <w:p w14:paraId="267CD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96" w:type="dxa"/>
            <w:tcBorders>
              <w:tl2br w:val="nil"/>
              <w:tr2bl w:val="nil"/>
            </w:tcBorders>
            <w:shd w:val="clear" w:color="auto" w:fill="EEECE1" w:themeFill="background2"/>
            <w:vAlign w:val="center"/>
          </w:tcPr>
          <w:p w14:paraId="54F000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81" w:type="dxa"/>
            <w:tcBorders>
              <w:tl2br w:val="nil"/>
              <w:tr2bl w:val="nil"/>
            </w:tcBorders>
            <w:shd w:val="clear" w:color="auto" w:fill="EEECE1" w:themeFill="background2"/>
            <w:vAlign w:val="center"/>
          </w:tcPr>
          <w:p w14:paraId="2755F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85" w:type="dxa"/>
            <w:tcBorders>
              <w:tl2br w:val="nil"/>
              <w:tr2bl w:val="nil"/>
            </w:tcBorders>
            <w:shd w:val="clear" w:color="auto" w:fill="EEECE1" w:themeFill="background2"/>
            <w:vAlign w:val="center"/>
          </w:tcPr>
          <w:p w14:paraId="472112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预计年使用量</w:t>
            </w:r>
          </w:p>
        </w:tc>
        <w:tc>
          <w:tcPr>
            <w:tcW w:w="1268" w:type="dxa"/>
            <w:tcBorders>
              <w:tl2br w:val="nil"/>
              <w:tr2bl w:val="nil"/>
            </w:tcBorders>
            <w:shd w:val="clear" w:color="auto" w:fill="EEECE1" w:themeFill="background2"/>
            <w:vAlign w:val="center"/>
          </w:tcPr>
          <w:p w14:paraId="5A312972">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c>
          <w:tcPr>
            <w:tcW w:w="1000" w:type="dxa"/>
            <w:tcBorders>
              <w:tl2br w:val="nil"/>
              <w:tr2bl w:val="nil"/>
            </w:tcBorders>
            <w:shd w:val="clear" w:color="auto" w:fill="EEECE1" w:themeFill="background2"/>
            <w:vAlign w:val="center"/>
          </w:tcPr>
          <w:p w14:paraId="1CB73338">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是否接受进口</w:t>
            </w:r>
          </w:p>
        </w:tc>
      </w:tr>
      <w:tr w14:paraId="7F0F53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A8F7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牙探针</w:t>
            </w:r>
          </w:p>
        </w:tc>
        <w:tc>
          <w:tcPr>
            <w:tcW w:w="2636" w:type="dxa"/>
            <w:tcBorders>
              <w:tl2br w:val="nil"/>
              <w:tr2bl w:val="nil"/>
            </w:tcBorders>
            <w:shd w:val="clear" w:color="auto" w:fill="auto"/>
            <w:vAlign w:val="center"/>
          </w:tcPr>
          <w:p w14:paraId="5BA5CFD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用于探查牙面、牙龈等部位的病灶。</w:t>
            </w:r>
          </w:p>
        </w:tc>
        <w:tc>
          <w:tcPr>
            <w:tcW w:w="1227" w:type="dxa"/>
            <w:tcBorders>
              <w:tl2br w:val="nil"/>
              <w:tr2bl w:val="nil"/>
            </w:tcBorders>
            <w:shd w:val="clear" w:color="auto" w:fill="auto"/>
            <w:vAlign w:val="center"/>
          </w:tcPr>
          <w:p w14:paraId="62AA3C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08D38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1D0A56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985" w:type="dxa"/>
            <w:tcBorders>
              <w:tl2br w:val="nil"/>
              <w:tr2bl w:val="nil"/>
            </w:tcBorders>
            <w:shd w:val="clear" w:color="auto" w:fill="auto"/>
            <w:vAlign w:val="center"/>
          </w:tcPr>
          <w:p w14:paraId="322C3B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6C7641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000" w:type="dxa"/>
            <w:tcBorders>
              <w:tl2br w:val="nil"/>
              <w:tr2bl w:val="nil"/>
            </w:tcBorders>
            <w:shd w:val="clear" w:color="auto" w:fill="auto"/>
            <w:vAlign w:val="center"/>
          </w:tcPr>
          <w:p w14:paraId="3BE93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2ADE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9765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000000"/>
                <w:kern w:val="0"/>
                <w:sz w:val="18"/>
                <w:szCs w:val="18"/>
                <w:u w:val="none"/>
                <w:lang w:val="en-US" w:eastAsia="zh-CN" w:bidi="ar"/>
              </w:rPr>
              <w:t>牙周袋探针</w:t>
            </w:r>
          </w:p>
        </w:tc>
        <w:tc>
          <w:tcPr>
            <w:tcW w:w="2636" w:type="dxa"/>
            <w:tcBorders>
              <w:tl2br w:val="nil"/>
              <w:tr2bl w:val="nil"/>
            </w:tcBorders>
            <w:shd w:val="clear" w:color="auto" w:fill="auto"/>
            <w:vAlign w:val="center"/>
          </w:tcPr>
          <w:p w14:paraId="571792A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用于探查牙面、牙龈等部位的病灶。</w:t>
            </w:r>
          </w:p>
        </w:tc>
        <w:tc>
          <w:tcPr>
            <w:tcW w:w="1227" w:type="dxa"/>
            <w:tcBorders>
              <w:tl2br w:val="nil"/>
              <w:tr2bl w:val="nil"/>
            </w:tcBorders>
            <w:shd w:val="clear" w:color="auto" w:fill="auto"/>
            <w:vAlign w:val="center"/>
          </w:tcPr>
          <w:p w14:paraId="0F529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C81D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79466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985" w:type="dxa"/>
            <w:tcBorders>
              <w:tl2br w:val="nil"/>
              <w:tr2bl w:val="nil"/>
            </w:tcBorders>
            <w:shd w:val="clear" w:color="auto" w:fill="auto"/>
            <w:vAlign w:val="center"/>
          </w:tcPr>
          <w:p w14:paraId="6D1CA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268" w:type="dxa"/>
            <w:tcBorders>
              <w:tl2br w:val="nil"/>
              <w:tr2bl w:val="nil"/>
            </w:tcBorders>
            <w:shd w:val="clear" w:color="auto" w:fill="auto"/>
            <w:vAlign w:val="center"/>
          </w:tcPr>
          <w:p w14:paraId="2A4A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w:t>
            </w:r>
          </w:p>
        </w:tc>
        <w:tc>
          <w:tcPr>
            <w:tcW w:w="1000" w:type="dxa"/>
            <w:tcBorders>
              <w:tl2br w:val="nil"/>
              <w:tr2bl w:val="nil"/>
            </w:tcBorders>
            <w:shd w:val="clear" w:color="auto" w:fill="auto"/>
            <w:vAlign w:val="center"/>
          </w:tcPr>
          <w:p w14:paraId="334CC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E8607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E7F5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刮治器</w:t>
            </w:r>
          </w:p>
        </w:tc>
        <w:tc>
          <w:tcPr>
            <w:tcW w:w="2636" w:type="dxa"/>
            <w:tcBorders>
              <w:tl2br w:val="nil"/>
              <w:tr2bl w:val="nil"/>
            </w:tcBorders>
            <w:shd w:val="clear" w:color="auto" w:fill="auto"/>
            <w:vAlign w:val="center"/>
          </w:tcPr>
          <w:p w14:paraId="72C4E8D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36809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060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D9C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32.4</w:t>
            </w:r>
          </w:p>
        </w:tc>
        <w:tc>
          <w:tcPr>
            <w:tcW w:w="985" w:type="dxa"/>
            <w:tcBorders>
              <w:tl2br w:val="nil"/>
              <w:tr2bl w:val="nil"/>
            </w:tcBorders>
            <w:shd w:val="clear" w:color="auto" w:fill="auto"/>
            <w:vAlign w:val="center"/>
          </w:tcPr>
          <w:p w14:paraId="26029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A1BB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12A3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A7B2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350C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牙周器械包</w:t>
            </w:r>
          </w:p>
        </w:tc>
        <w:tc>
          <w:tcPr>
            <w:tcW w:w="2636" w:type="dxa"/>
            <w:tcBorders>
              <w:tl2br w:val="nil"/>
              <w:tr2bl w:val="nil"/>
            </w:tcBorders>
            <w:shd w:val="clear" w:color="auto" w:fill="auto"/>
            <w:vAlign w:val="center"/>
          </w:tcPr>
          <w:p w14:paraId="4688C4E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300A0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双头刮治器4支/套</w:t>
            </w:r>
          </w:p>
        </w:tc>
        <w:tc>
          <w:tcPr>
            <w:tcW w:w="996" w:type="dxa"/>
            <w:tcBorders>
              <w:tl2br w:val="nil"/>
              <w:tr2bl w:val="nil"/>
            </w:tcBorders>
            <w:shd w:val="clear" w:color="auto" w:fill="auto"/>
            <w:vAlign w:val="center"/>
          </w:tcPr>
          <w:p w14:paraId="5F9976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281" w:type="dxa"/>
            <w:tcBorders>
              <w:tl2br w:val="nil"/>
              <w:tr2bl w:val="nil"/>
            </w:tcBorders>
            <w:shd w:val="clear" w:color="auto" w:fill="auto"/>
            <w:vAlign w:val="center"/>
          </w:tcPr>
          <w:p w14:paraId="76CD7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985" w:type="dxa"/>
            <w:tcBorders>
              <w:tl2br w:val="nil"/>
              <w:tr2bl w:val="nil"/>
            </w:tcBorders>
            <w:shd w:val="clear" w:color="auto" w:fill="auto"/>
            <w:vAlign w:val="center"/>
          </w:tcPr>
          <w:p w14:paraId="2D103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A7D33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8369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3F50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EC56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洁治器</w:t>
            </w:r>
          </w:p>
        </w:tc>
        <w:tc>
          <w:tcPr>
            <w:tcW w:w="2636" w:type="dxa"/>
            <w:tcBorders>
              <w:tl2br w:val="nil"/>
              <w:tr2bl w:val="nil"/>
            </w:tcBorders>
            <w:shd w:val="clear" w:color="auto" w:fill="auto"/>
            <w:vAlign w:val="center"/>
          </w:tcPr>
          <w:p w14:paraId="6D706A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7D4FA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E2F3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4E95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3BF82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5619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C37B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AC38F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AE34A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牙骨锉</w:t>
            </w:r>
          </w:p>
        </w:tc>
        <w:tc>
          <w:tcPr>
            <w:tcW w:w="2636" w:type="dxa"/>
            <w:tcBorders>
              <w:tl2br w:val="nil"/>
              <w:tr2bl w:val="nil"/>
            </w:tcBorders>
            <w:shd w:val="clear" w:color="auto" w:fill="auto"/>
            <w:vAlign w:val="center"/>
          </w:tcPr>
          <w:p w14:paraId="531F37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用于牙科治疗中进行切削和平滑。</w:t>
            </w:r>
          </w:p>
        </w:tc>
        <w:tc>
          <w:tcPr>
            <w:tcW w:w="1227" w:type="dxa"/>
            <w:tcBorders>
              <w:tl2br w:val="nil"/>
              <w:tr2bl w:val="nil"/>
            </w:tcBorders>
            <w:shd w:val="clear" w:color="auto" w:fill="auto"/>
            <w:vAlign w:val="center"/>
          </w:tcPr>
          <w:p w14:paraId="02E59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5DA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945A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79.2</w:t>
            </w:r>
          </w:p>
        </w:tc>
        <w:tc>
          <w:tcPr>
            <w:tcW w:w="985" w:type="dxa"/>
            <w:tcBorders>
              <w:tl2br w:val="nil"/>
              <w:tr2bl w:val="nil"/>
            </w:tcBorders>
            <w:shd w:val="clear" w:color="auto" w:fill="auto"/>
            <w:vAlign w:val="center"/>
          </w:tcPr>
          <w:p w14:paraId="133EA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7221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316E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8BFC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A8F65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牙骨凿</w:t>
            </w:r>
          </w:p>
        </w:tc>
        <w:tc>
          <w:tcPr>
            <w:tcW w:w="2636" w:type="dxa"/>
            <w:tcBorders>
              <w:tl2br w:val="nil"/>
              <w:tr2bl w:val="nil"/>
            </w:tcBorders>
            <w:shd w:val="clear" w:color="auto" w:fill="auto"/>
            <w:vAlign w:val="center"/>
          </w:tcPr>
          <w:p w14:paraId="459530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用于牙科手术中进行切割或凿开骨质等组织。</w:t>
            </w:r>
          </w:p>
        </w:tc>
        <w:tc>
          <w:tcPr>
            <w:tcW w:w="1227" w:type="dxa"/>
            <w:tcBorders>
              <w:tl2br w:val="nil"/>
              <w:tr2bl w:val="nil"/>
            </w:tcBorders>
            <w:shd w:val="clear" w:color="auto" w:fill="auto"/>
            <w:vAlign w:val="center"/>
          </w:tcPr>
          <w:p w14:paraId="4247A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2788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3426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985" w:type="dxa"/>
            <w:tcBorders>
              <w:tl2br w:val="nil"/>
              <w:tr2bl w:val="nil"/>
            </w:tcBorders>
            <w:shd w:val="clear" w:color="auto" w:fill="auto"/>
            <w:vAlign w:val="center"/>
          </w:tcPr>
          <w:p w14:paraId="4D201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08EA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E959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326D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1640E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牙骨凿(单面)</w:t>
            </w:r>
          </w:p>
        </w:tc>
        <w:tc>
          <w:tcPr>
            <w:tcW w:w="2636" w:type="dxa"/>
            <w:tcBorders>
              <w:tl2br w:val="nil"/>
              <w:tr2bl w:val="nil"/>
            </w:tcBorders>
            <w:shd w:val="clear" w:color="auto" w:fill="auto"/>
            <w:vAlign w:val="center"/>
          </w:tcPr>
          <w:p w14:paraId="16219C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用于口腔手术时凿除骨质或凿断骨连接。</w:t>
            </w:r>
          </w:p>
        </w:tc>
        <w:tc>
          <w:tcPr>
            <w:tcW w:w="1227" w:type="dxa"/>
            <w:tcBorders>
              <w:tl2br w:val="nil"/>
              <w:tr2bl w:val="nil"/>
            </w:tcBorders>
            <w:shd w:val="clear" w:color="auto" w:fill="auto"/>
            <w:vAlign w:val="center"/>
          </w:tcPr>
          <w:p w14:paraId="2C708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1906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5E8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85" w:type="dxa"/>
            <w:tcBorders>
              <w:tl2br w:val="nil"/>
              <w:tr2bl w:val="nil"/>
            </w:tcBorders>
            <w:shd w:val="clear" w:color="auto" w:fill="auto"/>
            <w:vAlign w:val="center"/>
          </w:tcPr>
          <w:p w14:paraId="2EC85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8310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1C33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5AA98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E108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牙釉凿</w:t>
            </w:r>
          </w:p>
        </w:tc>
        <w:tc>
          <w:tcPr>
            <w:tcW w:w="2636" w:type="dxa"/>
            <w:tcBorders>
              <w:tl2br w:val="nil"/>
              <w:tr2bl w:val="nil"/>
            </w:tcBorders>
            <w:shd w:val="clear" w:color="auto" w:fill="auto"/>
            <w:vAlign w:val="center"/>
          </w:tcPr>
          <w:p w14:paraId="4B553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用于口腔手术时凿除骨质或凿断骨连接。</w:t>
            </w:r>
          </w:p>
        </w:tc>
        <w:tc>
          <w:tcPr>
            <w:tcW w:w="1227" w:type="dxa"/>
            <w:tcBorders>
              <w:tl2br w:val="nil"/>
              <w:tr2bl w:val="nil"/>
            </w:tcBorders>
            <w:shd w:val="clear" w:color="auto" w:fill="auto"/>
            <w:vAlign w:val="center"/>
          </w:tcPr>
          <w:p w14:paraId="758CD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9C8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7717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1C1B4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B865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71925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E197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4383D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牙骨锤</w:t>
            </w:r>
          </w:p>
        </w:tc>
        <w:tc>
          <w:tcPr>
            <w:tcW w:w="2636" w:type="dxa"/>
            <w:tcBorders>
              <w:tl2br w:val="nil"/>
              <w:tr2bl w:val="nil"/>
            </w:tcBorders>
            <w:shd w:val="clear" w:color="auto" w:fill="auto"/>
            <w:vAlign w:val="center"/>
          </w:tcPr>
          <w:p w14:paraId="2C49FE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用于口腔科手术中敲击牙骨凿。</w:t>
            </w:r>
          </w:p>
        </w:tc>
        <w:tc>
          <w:tcPr>
            <w:tcW w:w="1227" w:type="dxa"/>
            <w:tcBorders>
              <w:tl2br w:val="nil"/>
              <w:tr2bl w:val="nil"/>
            </w:tcBorders>
            <w:shd w:val="clear" w:color="auto" w:fill="auto"/>
            <w:vAlign w:val="center"/>
          </w:tcPr>
          <w:p w14:paraId="7D1AA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716E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C4EB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86.4</w:t>
            </w:r>
          </w:p>
        </w:tc>
        <w:tc>
          <w:tcPr>
            <w:tcW w:w="985" w:type="dxa"/>
            <w:tcBorders>
              <w:tl2br w:val="nil"/>
              <w:tr2bl w:val="nil"/>
            </w:tcBorders>
            <w:shd w:val="clear" w:color="auto" w:fill="auto"/>
            <w:vAlign w:val="center"/>
          </w:tcPr>
          <w:p w14:paraId="1A2D4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68" w:type="dxa"/>
            <w:tcBorders>
              <w:tl2br w:val="nil"/>
              <w:tr2bl w:val="nil"/>
            </w:tcBorders>
            <w:shd w:val="clear" w:color="auto" w:fill="auto"/>
            <w:vAlign w:val="center"/>
          </w:tcPr>
          <w:p w14:paraId="04FEF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1036.8</w:t>
            </w:r>
          </w:p>
        </w:tc>
        <w:tc>
          <w:tcPr>
            <w:tcW w:w="1000" w:type="dxa"/>
            <w:tcBorders>
              <w:tl2br w:val="nil"/>
              <w:tr2bl w:val="nil"/>
            </w:tcBorders>
            <w:shd w:val="clear" w:color="auto" w:fill="auto"/>
            <w:vAlign w:val="center"/>
          </w:tcPr>
          <w:p w14:paraId="2BDB6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277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D92E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吸唾管</w:t>
            </w:r>
          </w:p>
        </w:tc>
        <w:tc>
          <w:tcPr>
            <w:tcW w:w="2636" w:type="dxa"/>
            <w:tcBorders>
              <w:tl2br w:val="nil"/>
              <w:tr2bl w:val="nil"/>
            </w:tcBorders>
            <w:shd w:val="clear" w:color="auto" w:fill="auto"/>
            <w:vAlign w:val="center"/>
          </w:tcPr>
          <w:p w14:paraId="0C6CBB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用于牙科治疗时吸取患者口腔内的血水、唾液及其他异物。</w:t>
            </w:r>
          </w:p>
        </w:tc>
        <w:tc>
          <w:tcPr>
            <w:tcW w:w="1227" w:type="dxa"/>
            <w:tcBorders>
              <w:tl2br w:val="nil"/>
              <w:tr2bl w:val="nil"/>
            </w:tcBorders>
            <w:shd w:val="clear" w:color="auto" w:fill="auto"/>
            <w:vAlign w:val="center"/>
          </w:tcPr>
          <w:p w14:paraId="7FD4B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725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50583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85" w:type="dxa"/>
            <w:tcBorders>
              <w:tl2br w:val="nil"/>
              <w:tr2bl w:val="nil"/>
            </w:tcBorders>
            <w:shd w:val="clear" w:color="auto" w:fill="auto"/>
            <w:vAlign w:val="center"/>
          </w:tcPr>
          <w:p w14:paraId="218FF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268" w:type="dxa"/>
            <w:tcBorders>
              <w:tl2br w:val="nil"/>
              <w:tr2bl w:val="nil"/>
            </w:tcBorders>
            <w:shd w:val="clear" w:color="auto" w:fill="auto"/>
            <w:vAlign w:val="center"/>
          </w:tcPr>
          <w:p w14:paraId="4EA65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112.5</w:t>
            </w:r>
          </w:p>
        </w:tc>
        <w:tc>
          <w:tcPr>
            <w:tcW w:w="1000" w:type="dxa"/>
            <w:tcBorders>
              <w:tl2br w:val="nil"/>
              <w:tr2bl w:val="nil"/>
            </w:tcBorders>
            <w:shd w:val="clear" w:color="auto" w:fill="auto"/>
            <w:vAlign w:val="center"/>
          </w:tcPr>
          <w:p w14:paraId="45422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DF768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41AD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牙刮匙</w:t>
            </w:r>
          </w:p>
        </w:tc>
        <w:tc>
          <w:tcPr>
            <w:tcW w:w="2636" w:type="dxa"/>
            <w:tcBorders>
              <w:tl2br w:val="nil"/>
              <w:tr2bl w:val="nil"/>
            </w:tcBorders>
            <w:shd w:val="clear" w:color="auto" w:fill="auto"/>
            <w:vAlign w:val="center"/>
          </w:tcPr>
          <w:p w14:paraId="50ECC4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用于口腔手术中撬除牙残根或碎根尖、刮除软组织。</w:t>
            </w:r>
          </w:p>
        </w:tc>
        <w:tc>
          <w:tcPr>
            <w:tcW w:w="1227" w:type="dxa"/>
            <w:tcBorders>
              <w:tl2br w:val="nil"/>
              <w:tr2bl w:val="nil"/>
            </w:tcBorders>
            <w:shd w:val="clear" w:color="auto" w:fill="auto"/>
            <w:vAlign w:val="center"/>
          </w:tcPr>
          <w:p w14:paraId="00EC0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6A80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5163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985" w:type="dxa"/>
            <w:tcBorders>
              <w:tl2br w:val="nil"/>
              <w:tr2bl w:val="nil"/>
            </w:tcBorders>
            <w:shd w:val="clear" w:color="auto" w:fill="auto"/>
            <w:vAlign w:val="center"/>
          </w:tcPr>
          <w:p w14:paraId="5D640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268" w:type="dxa"/>
            <w:tcBorders>
              <w:tl2br w:val="nil"/>
              <w:tr2bl w:val="nil"/>
            </w:tcBorders>
            <w:shd w:val="clear" w:color="auto" w:fill="auto"/>
            <w:vAlign w:val="center"/>
          </w:tcPr>
          <w:p w14:paraId="4E273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3196.8</w:t>
            </w:r>
          </w:p>
        </w:tc>
        <w:tc>
          <w:tcPr>
            <w:tcW w:w="1000" w:type="dxa"/>
            <w:tcBorders>
              <w:tl2br w:val="nil"/>
              <w:tr2bl w:val="nil"/>
            </w:tcBorders>
            <w:shd w:val="clear" w:color="auto" w:fill="auto"/>
            <w:vAlign w:val="center"/>
          </w:tcPr>
          <w:p w14:paraId="52B34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B2E4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F9A2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拔牙钳</w:t>
            </w:r>
          </w:p>
        </w:tc>
        <w:tc>
          <w:tcPr>
            <w:tcW w:w="2636" w:type="dxa"/>
            <w:tcBorders>
              <w:tl2br w:val="nil"/>
              <w:tr2bl w:val="nil"/>
            </w:tcBorders>
            <w:shd w:val="clear" w:color="auto" w:fill="auto"/>
            <w:vAlign w:val="center"/>
          </w:tcPr>
          <w:p w14:paraId="2A441F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用于牙科手术中拔除成人、儿童的牙齿和牙根或切断牙冠用。</w:t>
            </w:r>
          </w:p>
        </w:tc>
        <w:tc>
          <w:tcPr>
            <w:tcW w:w="1227" w:type="dxa"/>
            <w:tcBorders>
              <w:tl2br w:val="nil"/>
              <w:tr2bl w:val="nil"/>
            </w:tcBorders>
            <w:shd w:val="clear" w:color="auto" w:fill="auto"/>
            <w:vAlign w:val="center"/>
          </w:tcPr>
          <w:p w14:paraId="0C76D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50DE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5E695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985" w:type="dxa"/>
            <w:tcBorders>
              <w:tl2br w:val="nil"/>
              <w:tr2bl w:val="nil"/>
            </w:tcBorders>
            <w:shd w:val="clear" w:color="auto" w:fill="auto"/>
            <w:vAlign w:val="center"/>
          </w:tcPr>
          <w:p w14:paraId="1F928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268" w:type="dxa"/>
            <w:tcBorders>
              <w:tl2br w:val="nil"/>
              <w:tr2bl w:val="nil"/>
            </w:tcBorders>
            <w:shd w:val="clear" w:color="auto" w:fill="auto"/>
            <w:vAlign w:val="center"/>
          </w:tcPr>
          <w:p w14:paraId="1ED72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28476</w:t>
            </w:r>
          </w:p>
        </w:tc>
        <w:tc>
          <w:tcPr>
            <w:tcW w:w="1000" w:type="dxa"/>
            <w:tcBorders>
              <w:tl2br w:val="nil"/>
              <w:tr2bl w:val="nil"/>
            </w:tcBorders>
            <w:shd w:val="clear" w:color="auto" w:fill="auto"/>
            <w:vAlign w:val="center"/>
          </w:tcPr>
          <w:p w14:paraId="65F06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1A7FE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47AC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帕巾钳</w:t>
            </w:r>
          </w:p>
        </w:tc>
        <w:tc>
          <w:tcPr>
            <w:tcW w:w="2636" w:type="dxa"/>
            <w:tcBorders>
              <w:tl2br w:val="nil"/>
              <w:tr2bl w:val="nil"/>
            </w:tcBorders>
            <w:shd w:val="clear" w:color="auto" w:fill="auto"/>
            <w:vAlign w:val="center"/>
          </w:tcPr>
          <w:p w14:paraId="12D5FF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5E6AF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弯头 12cm</w:t>
            </w:r>
          </w:p>
        </w:tc>
        <w:tc>
          <w:tcPr>
            <w:tcW w:w="996" w:type="dxa"/>
            <w:tcBorders>
              <w:tl2br w:val="nil"/>
              <w:tr2bl w:val="nil"/>
            </w:tcBorders>
            <w:shd w:val="clear" w:color="auto" w:fill="auto"/>
            <w:vAlign w:val="center"/>
          </w:tcPr>
          <w:p w14:paraId="3D34E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2B1E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134.4</w:t>
            </w:r>
          </w:p>
        </w:tc>
        <w:tc>
          <w:tcPr>
            <w:tcW w:w="985" w:type="dxa"/>
            <w:tcBorders>
              <w:tl2br w:val="nil"/>
              <w:tr2bl w:val="nil"/>
            </w:tcBorders>
            <w:shd w:val="clear" w:color="auto" w:fill="auto"/>
            <w:vAlign w:val="center"/>
          </w:tcPr>
          <w:p w14:paraId="6F26A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F1DA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0A7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BAC89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BA5A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帕巾钳</w:t>
            </w:r>
          </w:p>
        </w:tc>
        <w:tc>
          <w:tcPr>
            <w:tcW w:w="2636" w:type="dxa"/>
            <w:tcBorders>
              <w:tl2br w:val="nil"/>
              <w:tr2bl w:val="nil"/>
            </w:tcBorders>
            <w:shd w:val="clear" w:color="auto" w:fill="auto"/>
            <w:vAlign w:val="center"/>
          </w:tcPr>
          <w:p w14:paraId="3A4A05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66AC6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弯头 14cm</w:t>
            </w:r>
          </w:p>
        </w:tc>
        <w:tc>
          <w:tcPr>
            <w:tcW w:w="996" w:type="dxa"/>
            <w:tcBorders>
              <w:tl2br w:val="nil"/>
              <w:tr2bl w:val="nil"/>
            </w:tcBorders>
            <w:shd w:val="clear" w:color="auto" w:fill="auto"/>
            <w:vAlign w:val="center"/>
          </w:tcPr>
          <w:p w14:paraId="1A2AC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9ADA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134.4</w:t>
            </w:r>
          </w:p>
        </w:tc>
        <w:tc>
          <w:tcPr>
            <w:tcW w:w="985" w:type="dxa"/>
            <w:tcBorders>
              <w:tl2br w:val="nil"/>
              <w:tr2bl w:val="nil"/>
            </w:tcBorders>
            <w:shd w:val="clear" w:color="auto" w:fill="auto"/>
            <w:vAlign w:val="center"/>
          </w:tcPr>
          <w:p w14:paraId="452EA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A927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50E8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5E10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51EA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牙槽咬骨钳</w:t>
            </w:r>
          </w:p>
        </w:tc>
        <w:tc>
          <w:tcPr>
            <w:tcW w:w="2636" w:type="dxa"/>
            <w:tcBorders>
              <w:tl2br w:val="nil"/>
              <w:tr2bl w:val="nil"/>
            </w:tcBorders>
            <w:shd w:val="clear" w:color="auto" w:fill="auto"/>
            <w:vAlign w:val="center"/>
          </w:tcPr>
          <w:p w14:paraId="585342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用于牙科手术中固定、止血、切断等操作。</w:t>
            </w:r>
          </w:p>
        </w:tc>
        <w:tc>
          <w:tcPr>
            <w:tcW w:w="1227" w:type="dxa"/>
            <w:tcBorders>
              <w:tl2br w:val="nil"/>
              <w:tr2bl w:val="nil"/>
            </w:tcBorders>
            <w:shd w:val="clear" w:color="auto" w:fill="auto"/>
            <w:vAlign w:val="center"/>
          </w:tcPr>
          <w:p w14:paraId="75A92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C8C4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66DF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268.2</w:t>
            </w:r>
          </w:p>
        </w:tc>
        <w:tc>
          <w:tcPr>
            <w:tcW w:w="985" w:type="dxa"/>
            <w:tcBorders>
              <w:tl2br w:val="nil"/>
              <w:tr2bl w:val="nil"/>
            </w:tcBorders>
            <w:shd w:val="clear" w:color="auto" w:fill="auto"/>
            <w:vAlign w:val="center"/>
          </w:tcPr>
          <w:p w14:paraId="5D387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915D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98C4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EFFF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FD0E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持针钳</w:t>
            </w:r>
          </w:p>
        </w:tc>
        <w:tc>
          <w:tcPr>
            <w:tcW w:w="2636" w:type="dxa"/>
            <w:tcBorders>
              <w:tl2br w:val="nil"/>
              <w:tr2bl w:val="nil"/>
            </w:tcBorders>
            <w:shd w:val="clear" w:color="auto" w:fill="auto"/>
            <w:vAlign w:val="center"/>
          </w:tcPr>
          <w:p w14:paraId="254C06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2B0C3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2621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47C4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58.5</w:t>
            </w:r>
          </w:p>
        </w:tc>
        <w:tc>
          <w:tcPr>
            <w:tcW w:w="985" w:type="dxa"/>
            <w:tcBorders>
              <w:tl2br w:val="nil"/>
              <w:tr2bl w:val="nil"/>
            </w:tcBorders>
            <w:shd w:val="clear" w:color="auto" w:fill="auto"/>
            <w:vAlign w:val="center"/>
          </w:tcPr>
          <w:p w14:paraId="20035A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268" w:type="dxa"/>
            <w:tcBorders>
              <w:tl2br w:val="nil"/>
              <w:tr2bl w:val="nil"/>
            </w:tcBorders>
            <w:shd w:val="clear" w:color="auto" w:fill="auto"/>
            <w:vAlign w:val="center"/>
          </w:tcPr>
          <w:p w14:paraId="670C2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1989</w:t>
            </w:r>
          </w:p>
        </w:tc>
        <w:tc>
          <w:tcPr>
            <w:tcW w:w="1000" w:type="dxa"/>
            <w:tcBorders>
              <w:tl2br w:val="nil"/>
              <w:tr2bl w:val="nil"/>
            </w:tcBorders>
            <w:shd w:val="clear" w:color="auto" w:fill="auto"/>
            <w:vAlign w:val="center"/>
          </w:tcPr>
          <w:p w14:paraId="123CE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3B74A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2DBBF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止血钳</w:t>
            </w:r>
          </w:p>
        </w:tc>
        <w:tc>
          <w:tcPr>
            <w:tcW w:w="2636" w:type="dxa"/>
            <w:tcBorders>
              <w:tl2br w:val="nil"/>
              <w:tr2bl w:val="nil"/>
            </w:tcBorders>
            <w:shd w:val="clear" w:color="auto" w:fill="auto"/>
            <w:vAlign w:val="center"/>
          </w:tcPr>
          <w:p w14:paraId="13CE6C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用于夹持人体内血管、组织以止血。</w:t>
            </w:r>
          </w:p>
        </w:tc>
        <w:tc>
          <w:tcPr>
            <w:tcW w:w="1227" w:type="dxa"/>
            <w:tcBorders>
              <w:tl2br w:val="nil"/>
              <w:tr2bl w:val="nil"/>
            </w:tcBorders>
            <w:shd w:val="clear" w:color="auto" w:fill="auto"/>
            <w:vAlign w:val="center"/>
          </w:tcPr>
          <w:p w14:paraId="0BC01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0C27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37B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985" w:type="dxa"/>
            <w:tcBorders>
              <w:tl2br w:val="nil"/>
              <w:tr2bl w:val="nil"/>
            </w:tcBorders>
            <w:shd w:val="clear" w:color="auto" w:fill="auto"/>
            <w:vAlign w:val="center"/>
          </w:tcPr>
          <w:p w14:paraId="26172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268" w:type="dxa"/>
            <w:tcBorders>
              <w:tl2br w:val="nil"/>
              <w:tr2bl w:val="nil"/>
            </w:tcBorders>
            <w:shd w:val="clear" w:color="auto" w:fill="auto"/>
            <w:vAlign w:val="center"/>
          </w:tcPr>
          <w:p w14:paraId="449AB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w:t>
            </w:r>
          </w:p>
        </w:tc>
        <w:tc>
          <w:tcPr>
            <w:tcW w:w="1000" w:type="dxa"/>
            <w:tcBorders>
              <w:tl2br w:val="nil"/>
              <w:tr2bl w:val="nil"/>
            </w:tcBorders>
            <w:shd w:val="clear" w:color="auto" w:fill="auto"/>
            <w:vAlign w:val="center"/>
          </w:tcPr>
          <w:p w14:paraId="41DC2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521D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4EA04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牙科用分离器(牙龈压排器)</w:t>
            </w:r>
          </w:p>
        </w:tc>
        <w:tc>
          <w:tcPr>
            <w:tcW w:w="2636" w:type="dxa"/>
            <w:tcBorders>
              <w:tl2br w:val="nil"/>
              <w:tr2bl w:val="nil"/>
            </w:tcBorders>
            <w:shd w:val="clear" w:color="auto" w:fill="FFFFFF"/>
            <w:vAlign w:val="center"/>
          </w:tcPr>
          <w:p w14:paraId="66E39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522E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2065D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4B3FD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985" w:type="dxa"/>
            <w:tcBorders>
              <w:tl2br w:val="nil"/>
              <w:tr2bl w:val="nil"/>
            </w:tcBorders>
            <w:shd w:val="clear" w:color="auto" w:fill="FFFFFF"/>
            <w:vAlign w:val="center"/>
          </w:tcPr>
          <w:p w14:paraId="69208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651F4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000" w:type="dxa"/>
            <w:tcBorders>
              <w:tl2br w:val="nil"/>
              <w:tr2bl w:val="nil"/>
            </w:tcBorders>
            <w:shd w:val="clear" w:color="auto" w:fill="FFFFFF"/>
            <w:vAlign w:val="center"/>
          </w:tcPr>
          <w:p w14:paraId="3C277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02E02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6E5A3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w:t>
            </w:r>
          </w:p>
        </w:tc>
        <w:tc>
          <w:tcPr>
            <w:tcW w:w="2636" w:type="dxa"/>
            <w:tcBorders>
              <w:tl2br w:val="nil"/>
              <w:tr2bl w:val="nil"/>
            </w:tcBorders>
            <w:shd w:val="clear" w:color="auto" w:fill="FFFFFF"/>
            <w:vAlign w:val="center"/>
          </w:tcPr>
          <w:p w14:paraId="5F1284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380C0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6E58E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1EBDC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97.2</w:t>
            </w:r>
          </w:p>
        </w:tc>
        <w:tc>
          <w:tcPr>
            <w:tcW w:w="985" w:type="dxa"/>
            <w:tcBorders>
              <w:tl2br w:val="nil"/>
              <w:tr2bl w:val="nil"/>
            </w:tcBorders>
            <w:shd w:val="clear" w:color="auto" w:fill="FFFFFF"/>
            <w:vAlign w:val="center"/>
          </w:tcPr>
          <w:p w14:paraId="230C9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64A34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1944</w:t>
            </w:r>
          </w:p>
        </w:tc>
        <w:tc>
          <w:tcPr>
            <w:tcW w:w="1000" w:type="dxa"/>
            <w:tcBorders>
              <w:tl2br w:val="nil"/>
              <w:tr2bl w:val="nil"/>
            </w:tcBorders>
            <w:shd w:val="clear" w:color="auto" w:fill="FFFFFF"/>
            <w:vAlign w:val="center"/>
          </w:tcPr>
          <w:p w14:paraId="48C0D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8860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553C1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牙科用分离器(骨膜分离器)</w:t>
            </w:r>
          </w:p>
        </w:tc>
        <w:tc>
          <w:tcPr>
            <w:tcW w:w="2636" w:type="dxa"/>
            <w:tcBorders>
              <w:tl2br w:val="nil"/>
              <w:tr2bl w:val="nil"/>
            </w:tcBorders>
            <w:shd w:val="clear" w:color="auto" w:fill="FFFFFF"/>
            <w:vAlign w:val="center"/>
          </w:tcPr>
          <w:p w14:paraId="27AD90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06C6D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513B59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21186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55.8</w:t>
            </w:r>
          </w:p>
        </w:tc>
        <w:tc>
          <w:tcPr>
            <w:tcW w:w="985" w:type="dxa"/>
            <w:tcBorders>
              <w:tl2br w:val="nil"/>
              <w:tr2bl w:val="nil"/>
            </w:tcBorders>
            <w:shd w:val="clear" w:color="auto" w:fill="FFFFFF"/>
            <w:vAlign w:val="center"/>
          </w:tcPr>
          <w:p w14:paraId="264FC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268" w:type="dxa"/>
            <w:tcBorders>
              <w:tl2br w:val="nil"/>
              <w:tr2bl w:val="nil"/>
            </w:tcBorders>
            <w:shd w:val="clear" w:color="auto" w:fill="auto"/>
            <w:vAlign w:val="center"/>
          </w:tcPr>
          <w:p w14:paraId="3741B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3682.8</w:t>
            </w:r>
          </w:p>
        </w:tc>
        <w:tc>
          <w:tcPr>
            <w:tcW w:w="1000" w:type="dxa"/>
            <w:tcBorders>
              <w:tl2br w:val="nil"/>
              <w:tr2bl w:val="nil"/>
            </w:tcBorders>
            <w:shd w:val="clear" w:color="auto" w:fill="FFFFFF"/>
            <w:vAlign w:val="center"/>
          </w:tcPr>
          <w:p w14:paraId="63E37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F3C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7F49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w:t>
            </w:r>
          </w:p>
        </w:tc>
        <w:tc>
          <w:tcPr>
            <w:tcW w:w="2636" w:type="dxa"/>
            <w:tcBorders>
              <w:tl2br w:val="nil"/>
              <w:tr2bl w:val="nil"/>
            </w:tcBorders>
            <w:shd w:val="clear" w:color="auto" w:fill="auto"/>
            <w:vAlign w:val="center"/>
          </w:tcPr>
          <w:p w14:paraId="15719D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70585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F1D9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04D3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94.8</w:t>
            </w:r>
          </w:p>
        </w:tc>
        <w:tc>
          <w:tcPr>
            <w:tcW w:w="985" w:type="dxa"/>
            <w:tcBorders>
              <w:tl2br w:val="nil"/>
              <w:tr2bl w:val="nil"/>
            </w:tcBorders>
            <w:shd w:val="clear" w:color="auto" w:fill="auto"/>
            <w:vAlign w:val="center"/>
          </w:tcPr>
          <w:p w14:paraId="0D713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268" w:type="dxa"/>
            <w:tcBorders>
              <w:tl2br w:val="nil"/>
              <w:tr2bl w:val="nil"/>
            </w:tcBorders>
            <w:shd w:val="clear" w:color="auto" w:fill="auto"/>
            <w:vAlign w:val="center"/>
          </w:tcPr>
          <w:p w14:paraId="2A031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2559.6</w:t>
            </w:r>
          </w:p>
        </w:tc>
        <w:tc>
          <w:tcPr>
            <w:tcW w:w="1000" w:type="dxa"/>
            <w:tcBorders>
              <w:tl2br w:val="nil"/>
              <w:tr2bl w:val="nil"/>
            </w:tcBorders>
            <w:shd w:val="clear" w:color="auto" w:fill="auto"/>
            <w:vAlign w:val="center"/>
          </w:tcPr>
          <w:p w14:paraId="38522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0E605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BA85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牙根尖挺(八角)</w:t>
            </w:r>
          </w:p>
        </w:tc>
        <w:tc>
          <w:tcPr>
            <w:tcW w:w="2636" w:type="dxa"/>
            <w:tcBorders>
              <w:tl2br w:val="nil"/>
              <w:tr2bl w:val="nil"/>
            </w:tcBorders>
            <w:shd w:val="clear" w:color="auto" w:fill="auto"/>
            <w:vAlign w:val="center"/>
          </w:tcPr>
          <w:p w14:paraId="54F12A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1664B2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6BB8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17B7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1C008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3A82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3D2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5FFCE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C991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牙根尖挺(六角)</w:t>
            </w:r>
          </w:p>
        </w:tc>
        <w:tc>
          <w:tcPr>
            <w:tcW w:w="2636" w:type="dxa"/>
            <w:tcBorders>
              <w:tl2br w:val="nil"/>
              <w:tr2bl w:val="nil"/>
            </w:tcBorders>
            <w:shd w:val="clear" w:color="auto" w:fill="auto"/>
            <w:vAlign w:val="center"/>
          </w:tcPr>
          <w:p w14:paraId="21EFE2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1915A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DAFF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922C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77.4</w:t>
            </w:r>
          </w:p>
        </w:tc>
        <w:tc>
          <w:tcPr>
            <w:tcW w:w="985" w:type="dxa"/>
            <w:tcBorders>
              <w:tl2br w:val="nil"/>
              <w:tr2bl w:val="nil"/>
            </w:tcBorders>
            <w:shd w:val="clear" w:color="auto" w:fill="auto"/>
            <w:vAlign w:val="center"/>
          </w:tcPr>
          <w:p w14:paraId="5DF8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2B6CE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77.4</w:t>
            </w:r>
          </w:p>
        </w:tc>
        <w:tc>
          <w:tcPr>
            <w:tcW w:w="1000" w:type="dxa"/>
            <w:tcBorders>
              <w:tl2br w:val="nil"/>
              <w:tr2bl w:val="nil"/>
            </w:tcBorders>
            <w:shd w:val="clear" w:color="auto" w:fill="auto"/>
            <w:vAlign w:val="center"/>
          </w:tcPr>
          <w:p w14:paraId="5B1A4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ACE21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14EC8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牙根尖挺(大手柄八角)</w:t>
            </w:r>
          </w:p>
        </w:tc>
        <w:tc>
          <w:tcPr>
            <w:tcW w:w="2636" w:type="dxa"/>
            <w:tcBorders>
              <w:tl2br w:val="nil"/>
              <w:tr2bl w:val="nil"/>
            </w:tcBorders>
            <w:shd w:val="clear" w:color="auto" w:fill="auto"/>
            <w:vAlign w:val="center"/>
          </w:tcPr>
          <w:p w14:paraId="2604F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7F0F7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8127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C7F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985" w:type="dxa"/>
            <w:tcBorders>
              <w:tl2br w:val="nil"/>
              <w:tr2bl w:val="nil"/>
            </w:tcBorders>
            <w:shd w:val="clear" w:color="auto" w:fill="auto"/>
            <w:vAlign w:val="center"/>
          </w:tcPr>
          <w:p w14:paraId="3424A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8" w:type="dxa"/>
            <w:tcBorders>
              <w:tl2br w:val="nil"/>
              <w:tr2bl w:val="nil"/>
            </w:tcBorders>
            <w:shd w:val="clear" w:color="auto" w:fill="auto"/>
            <w:vAlign w:val="center"/>
          </w:tcPr>
          <w:p w14:paraId="1B8D3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1000" w:type="dxa"/>
            <w:tcBorders>
              <w:tl2br w:val="nil"/>
              <w:tr2bl w:val="nil"/>
            </w:tcBorders>
            <w:shd w:val="clear" w:color="auto" w:fill="auto"/>
            <w:vAlign w:val="center"/>
          </w:tcPr>
          <w:p w14:paraId="6B1C9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0789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046D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牙挺(微型牙挺)</w:t>
            </w:r>
          </w:p>
        </w:tc>
        <w:tc>
          <w:tcPr>
            <w:tcW w:w="2636" w:type="dxa"/>
            <w:tcBorders>
              <w:tl2br w:val="nil"/>
              <w:tr2bl w:val="nil"/>
            </w:tcBorders>
            <w:shd w:val="clear" w:color="auto" w:fill="auto"/>
            <w:vAlign w:val="center"/>
          </w:tcPr>
          <w:p w14:paraId="592116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642AE5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856D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1349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214.2</w:t>
            </w:r>
          </w:p>
        </w:tc>
        <w:tc>
          <w:tcPr>
            <w:tcW w:w="985" w:type="dxa"/>
            <w:tcBorders>
              <w:tl2br w:val="nil"/>
              <w:tr2bl w:val="nil"/>
            </w:tcBorders>
            <w:shd w:val="clear" w:color="auto" w:fill="auto"/>
            <w:vAlign w:val="center"/>
          </w:tcPr>
          <w:p w14:paraId="74C56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6C039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214.2</w:t>
            </w:r>
          </w:p>
        </w:tc>
        <w:tc>
          <w:tcPr>
            <w:tcW w:w="1000" w:type="dxa"/>
            <w:tcBorders>
              <w:tl2br w:val="nil"/>
              <w:tr2bl w:val="nil"/>
            </w:tcBorders>
            <w:shd w:val="clear" w:color="auto" w:fill="auto"/>
            <w:vAlign w:val="center"/>
          </w:tcPr>
          <w:p w14:paraId="21E27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49FB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CCE6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牙挺(阻生型牙挺)</w:t>
            </w:r>
          </w:p>
        </w:tc>
        <w:tc>
          <w:tcPr>
            <w:tcW w:w="2636" w:type="dxa"/>
            <w:tcBorders>
              <w:tl2br w:val="nil"/>
              <w:tr2bl w:val="nil"/>
            </w:tcBorders>
            <w:shd w:val="clear" w:color="auto" w:fill="auto"/>
            <w:vAlign w:val="center"/>
          </w:tcPr>
          <w:p w14:paraId="31F9C3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7ADC3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5E0D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B15E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124.2</w:t>
            </w:r>
          </w:p>
        </w:tc>
        <w:tc>
          <w:tcPr>
            <w:tcW w:w="985" w:type="dxa"/>
            <w:tcBorders>
              <w:tl2br w:val="nil"/>
              <w:tr2bl w:val="nil"/>
            </w:tcBorders>
            <w:shd w:val="clear" w:color="auto" w:fill="auto"/>
            <w:vAlign w:val="center"/>
          </w:tcPr>
          <w:p w14:paraId="16E2A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2A0D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112D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EFC43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1285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丁字形牙挺</w:t>
            </w:r>
          </w:p>
        </w:tc>
        <w:tc>
          <w:tcPr>
            <w:tcW w:w="2636" w:type="dxa"/>
            <w:tcBorders>
              <w:tl2br w:val="nil"/>
              <w:tr2bl w:val="nil"/>
            </w:tcBorders>
            <w:shd w:val="clear" w:color="auto" w:fill="auto"/>
            <w:vAlign w:val="center"/>
          </w:tcPr>
          <w:p w14:paraId="2076A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0C1B6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E4CC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ECBE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95.4</w:t>
            </w:r>
          </w:p>
        </w:tc>
        <w:tc>
          <w:tcPr>
            <w:tcW w:w="985" w:type="dxa"/>
            <w:tcBorders>
              <w:tl2br w:val="nil"/>
              <w:tr2bl w:val="nil"/>
            </w:tcBorders>
            <w:shd w:val="clear" w:color="auto" w:fill="auto"/>
            <w:vAlign w:val="center"/>
          </w:tcPr>
          <w:p w14:paraId="177C0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68" w:type="dxa"/>
            <w:tcBorders>
              <w:tl2br w:val="nil"/>
              <w:tr2bl w:val="nil"/>
            </w:tcBorders>
            <w:shd w:val="clear" w:color="auto" w:fill="auto"/>
            <w:vAlign w:val="center"/>
          </w:tcPr>
          <w:p w14:paraId="7F9EA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381.6</w:t>
            </w:r>
          </w:p>
        </w:tc>
        <w:tc>
          <w:tcPr>
            <w:tcW w:w="1000" w:type="dxa"/>
            <w:tcBorders>
              <w:tl2br w:val="nil"/>
              <w:tr2bl w:val="nil"/>
            </w:tcBorders>
            <w:shd w:val="clear" w:color="auto" w:fill="auto"/>
            <w:vAlign w:val="center"/>
          </w:tcPr>
          <w:p w14:paraId="5F2AA6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D13B7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3941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无针注射推进器(口腔麻醉注射架)</w:t>
            </w:r>
          </w:p>
        </w:tc>
        <w:tc>
          <w:tcPr>
            <w:tcW w:w="2636" w:type="dxa"/>
            <w:tcBorders>
              <w:tl2br w:val="nil"/>
              <w:tr2bl w:val="nil"/>
            </w:tcBorders>
            <w:shd w:val="clear" w:color="auto" w:fill="auto"/>
            <w:vAlign w:val="center"/>
          </w:tcPr>
          <w:p w14:paraId="1A5BAC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用于口腔治疗局部麻醉时注射药液，不接触患者和药液，无剂量控制功能。</w:t>
            </w:r>
          </w:p>
        </w:tc>
        <w:tc>
          <w:tcPr>
            <w:tcW w:w="1227" w:type="dxa"/>
            <w:tcBorders>
              <w:tl2br w:val="nil"/>
              <w:tr2bl w:val="nil"/>
            </w:tcBorders>
            <w:shd w:val="clear" w:color="auto" w:fill="auto"/>
            <w:vAlign w:val="center"/>
          </w:tcPr>
          <w:p w14:paraId="465F1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4329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EB14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985" w:type="dxa"/>
            <w:tcBorders>
              <w:tl2br w:val="nil"/>
              <w:tr2bl w:val="nil"/>
            </w:tcBorders>
            <w:shd w:val="clear" w:color="auto" w:fill="auto"/>
            <w:vAlign w:val="center"/>
          </w:tcPr>
          <w:p w14:paraId="1AED9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268" w:type="dxa"/>
            <w:tcBorders>
              <w:tl2br w:val="nil"/>
              <w:tr2bl w:val="nil"/>
            </w:tcBorders>
            <w:shd w:val="clear" w:color="auto" w:fill="auto"/>
            <w:vAlign w:val="center"/>
          </w:tcPr>
          <w:p w14:paraId="68886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2448</w:t>
            </w:r>
          </w:p>
        </w:tc>
        <w:tc>
          <w:tcPr>
            <w:tcW w:w="1000" w:type="dxa"/>
            <w:tcBorders>
              <w:tl2br w:val="nil"/>
              <w:tr2bl w:val="nil"/>
            </w:tcBorders>
            <w:shd w:val="clear" w:color="auto" w:fill="auto"/>
            <w:vAlign w:val="center"/>
          </w:tcPr>
          <w:p w14:paraId="3347A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7957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15F5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牙龈剪</w:t>
            </w:r>
          </w:p>
        </w:tc>
        <w:tc>
          <w:tcPr>
            <w:tcW w:w="2636" w:type="dxa"/>
            <w:tcBorders>
              <w:tl2br w:val="nil"/>
              <w:tr2bl w:val="nil"/>
            </w:tcBorders>
            <w:shd w:val="clear" w:color="auto" w:fill="auto"/>
            <w:vAlign w:val="center"/>
          </w:tcPr>
          <w:p w14:paraId="0B1AC7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用于牙科手术中剪切口腔组织。</w:t>
            </w:r>
          </w:p>
        </w:tc>
        <w:tc>
          <w:tcPr>
            <w:tcW w:w="1227" w:type="dxa"/>
            <w:tcBorders>
              <w:tl2br w:val="nil"/>
              <w:tr2bl w:val="nil"/>
            </w:tcBorders>
            <w:shd w:val="clear" w:color="auto" w:fill="auto"/>
            <w:vAlign w:val="center"/>
          </w:tcPr>
          <w:p w14:paraId="01416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直型13cm</w:t>
            </w:r>
          </w:p>
        </w:tc>
        <w:tc>
          <w:tcPr>
            <w:tcW w:w="996" w:type="dxa"/>
            <w:tcBorders>
              <w:tl2br w:val="nil"/>
              <w:tr2bl w:val="nil"/>
            </w:tcBorders>
            <w:shd w:val="clear" w:color="auto" w:fill="auto"/>
            <w:vAlign w:val="center"/>
          </w:tcPr>
          <w:p w14:paraId="4E486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84FE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985" w:type="dxa"/>
            <w:tcBorders>
              <w:tl2br w:val="nil"/>
              <w:tr2bl w:val="nil"/>
            </w:tcBorders>
            <w:shd w:val="clear" w:color="auto" w:fill="auto"/>
            <w:vAlign w:val="center"/>
          </w:tcPr>
          <w:p w14:paraId="508E2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9786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22E2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8C771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A0CB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手术剪</w:t>
            </w:r>
          </w:p>
        </w:tc>
        <w:tc>
          <w:tcPr>
            <w:tcW w:w="2636" w:type="dxa"/>
            <w:tcBorders>
              <w:tl2br w:val="nil"/>
              <w:tr2bl w:val="nil"/>
            </w:tcBorders>
            <w:shd w:val="clear" w:color="auto" w:fill="auto"/>
            <w:vAlign w:val="center"/>
          </w:tcPr>
          <w:p w14:paraId="12ACA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用于剪切人体组织、皮肤。</w:t>
            </w:r>
          </w:p>
        </w:tc>
        <w:tc>
          <w:tcPr>
            <w:tcW w:w="1227" w:type="dxa"/>
            <w:tcBorders>
              <w:tl2br w:val="nil"/>
              <w:tr2bl w:val="nil"/>
            </w:tcBorders>
            <w:shd w:val="clear" w:color="auto" w:fill="auto"/>
            <w:vAlign w:val="center"/>
          </w:tcPr>
          <w:p w14:paraId="57079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125mm</w:t>
            </w:r>
          </w:p>
        </w:tc>
        <w:tc>
          <w:tcPr>
            <w:tcW w:w="996" w:type="dxa"/>
            <w:tcBorders>
              <w:tl2br w:val="nil"/>
              <w:tr2bl w:val="nil"/>
            </w:tcBorders>
            <w:shd w:val="clear" w:color="auto" w:fill="auto"/>
            <w:vAlign w:val="center"/>
          </w:tcPr>
          <w:p w14:paraId="7C0BF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0AC5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45.9</w:t>
            </w:r>
          </w:p>
        </w:tc>
        <w:tc>
          <w:tcPr>
            <w:tcW w:w="985" w:type="dxa"/>
            <w:tcBorders>
              <w:tl2br w:val="nil"/>
              <w:tr2bl w:val="nil"/>
            </w:tcBorders>
            <w:shd w:val="clear" w:color="auto" w:fill="auto"/>
            <w:vAlign w:val="center"/>
          </w:tcPr>
          <w:p w14:paraId="21DDB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8" w:type="dxa"/>
            <w:tcBorders>
              <w:tl2br w:val="nil"/>
              <w:tr2bl w:val="nil"/>
            </w:tcBorders>
            <w:shd w:val="clear" w:color="auto" w:fill="auto"/>
            <w:vAlign w:val="center"/>
          </w:tcPr>
          <w:p w14:paraId="2AC41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137.7</w:t>
            </w:r>
          </w:p>
        </w:tc>
        <w:tc>
          <w:tcPr>
            <w:tcW w:w="1000" w:type="dxa"/>
            <w:tcBorders>
              <w:tl2br w:val="nil"/>
              <w:tr2bl w:val="nil"/>
            </w:tcBorders>
            <w:shd w:val="clear" w:color="auto" w:fill="auto"/>
            <w:vAlign w:val="center"/>
          </w:tcPr>
          <w:p w14:paraId="1217C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8DC5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5525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手术剪</w:t>
            </w:r>
          </w:p>
        </w:tc>
        <w:tc>
          <w:tcPr>
            <w:tcW w:w="2636" w:type="dxa"/>
            <w:tcBorders>
              <w:tl2br w:val="nil"/>
              <w:tr2bl w:val="nil"/>
            </w:tcBorders>
            <w:shd w:val="clear" w:color="auto" w:fill="auto"/>
            <w:vAlign w:val="center"/>
          </w:tcPr>
          <w:p w14:paraId="4A2538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用于剪切人体组织、皮肤。</w:t>
            </w:r>
          </w:p>
        </w:tc>
        <w:tc>
          <w:tcPr>
            <w:tcW w:w="1227" w:type="dxa"/>
            <w:tcBorders>
              <w:tl2br w:val="nil"/>
              <w:tr2bl w:val="nil"/>
            </w:tcBorders>
            <w:shd w:val="clear" w:color="auto" w:fill="auto"/>
            <w:vAlign w:val="center"/>
          </w:tcPr>
          <w:p w14:paraId="01DB0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160mm</w:t>
            </w:r>
          </w:p>
        </w:tc>
        <w:tc>
          <w:tcPr>
            <w:tcW w:w="996" w:type="dxa"/>
            <w:tcBorders>
              <w:tl2br w:val="nil"/>
              <w:tr2bl w:val="nil"/>
            </w:tcBorders>
            <w:shd w:val="clear" w:color="auto" w:fill="auto"/>
            <w:vAlign w:val="center"/>
          </w:tcPr>
          <w:p w14:paraId="080E5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850A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45.9</w:t>
            </w:r>
          </w:p>
        </w:tc>
        <w:tc>
          <w:tcPr>
            <w:tcW w:w="985" w:type="dxa"/>
            <w:tcBorders>
              <w:tl2br w:val="nil"/>
              <w:tr2bl w:val="nil"/>
            </w:tcBorders>
            <w:shd w:val="clear" w:color="auto" w:fill="auto"/>
            <w:vAlign w:val="center"/>
          </w:tcPr>
          <w:p w14:paraId="49539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B5DC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8D8B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108E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5F1C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眼用剪</w:t>
            </w:r>
          </w:p>
        </w:tc>
        <w:tc>
          <w:tcPr>
            <w:tcW w:w="2636" w:type="dxa"/>
            <w:tcBorders>
              <w:tl2br w:val="nil"/>
              <w:tr2bl w:val="nil"/>
            </w:tcBorders>
            <w:shd w:val="clear" w:color="auto" w:fill="auto"/>
            <w:vAlign w:val="center"/>
          </w:tcPr>
          <w:p w14:paraId="7F3590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用于剪切眼内组织。</w:t>
            </w:r>
          </w:p>
        </w:tc>
        <w:tc>
          <w:tcPr>
            <w:tcW w:w="1227" w:type="dxa"/>
            <w:tcBorders>
              <w:tl2br w:val="nil"/>
              <w:tr2bl w:val="nil"/>
            </w:tcBorders>
            <w:shd w:val="clear" w:color="auto" w:fill="auto"/>
            <w:vAlign w:val="center"/>
          </w:tcPr>
          <w:p w14:paraId="4497F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弯尖头 10cm </w:t>
            </w:r>
          </w:p>
        </w:tc>
        <w:tc>
          <w:tcPr>
            <w:tcW w:w="996" w:type="dxa"/>
            <w:tcBorders>
              <w:tl2br w:val="nil"/>
              <w:tr2bl w:val="nil"/>
            </w:tcBorders>
            <w:shd w:val="clear" w:color="auto" w:fill="auto"/>
            <w:vAlign w:val="center"/>
          </w:tcPr>
          <w:p w14:paraId="0B3A7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4A1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985" w:type="dxa"/>
            <w:tcBorders>
              <w:tl2br w:val="nil"/>
              <w:tr2bl w:val="nil"/>
            </w:tcBorders>
            <w:shd w:val="clear" w:color="auto" w:fill="auto"/>
            <w:vAlign w:val="center"/>
          </w:tcPr>
          <w:p w14:paraId="1E720C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268" w:type="dxa"/>
            <w:tcBorders>
              <w:tl2br w:val="nil"/>
              <w:tr2bl w:val="nil"/>
            </w:tcBorders>
            <w:shd w:val="clear" w:color="auto" w:fill="auto"/>
            <w:vAlign w:val="center"/>
          </w:tcPr>
          <w:p w14:paraId="2103A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4320</w:t>
            </w:r>
          </w:p>
        </w:tc>
        <w:tc>
          <w:tcPr>
            <w:tcW w:w="1000" w:type="dxa"/>
            <w:tcBorders>
              <w:tl2br w:val="nil"/>
              <w:tr2bl w:val="nil"/>
            </w:tcBorders>
            <w:shd w:val="clear" w:color="auto" w:fill="auto"/>
            <w:vAlign w:val="center"/>
          </w:tcPr>
          <w:p w14:paraId="7F57E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682F6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07BD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牙用刀</w:t>
            </w:r>
          </w:p>
        </w:tc>
        <w:tc>
          <w:tcPr>
            <w:tcW w:w="2636" w:type="dxa"/>
            <w:tcBorders>
              <w:tl2br w:val="nil"/>
              <w:tr2bl w:val="nil"/>
            </w:tcBorders>
            <w:shd w:val="clear" w:color="auto" w:fill="auto"/>
            <w:vAlign w:val="center"/>
          </w:tcPr>
          <w:p w14:paraId="4DB0E5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用于牙科手术中进行切割。</w:t>
            </w:r>
          </w:p>
        </w:tc>
        <w:tc>
          <w:tcPr>
            <w:tcW w:w="1227" w:type="dxa"/>
            <w:tcBorders>
              <w:tl2br w:val="nil"/>
              <w:tr2bl w:val="nil"/>
            </w:tcBorders>
            <w:shd w:val="clear" w:color="auto" w:fill="auto"/>
            <w:vAlign w:val="center"/>
          </w:tcPr>
          <w:p w14:paraId="5DFA5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手术刀柄   圆柄</w:t>
            </w:r>
          </w:p>
        </w:tc>
        <w:tc>
          <w:tcPr>
            <w:tcW w:w="996" w:type="dxa"/>
            <w:tcBorders>
              <w:tl2br w:val="nil"/>
              <w:tr2bl w:val="nil"/>
            </w:tcBorders>
            <w:shd w:val="clear" w:color="auto" w:fill="auto"/>
            <w:vAlign w:val="center"/>
          </w:tcPr>
          <w:p w14:paraId="58A9C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D527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598.5</w:t>
            </w:r>
          </w:p>
        </w:tc>
        <w:tc>
          <w:tcPr>
            <w:tcW w:w="985" w:type="dxa"/>
            <w:tcBorders>
              <w:tl2br w:val="nil"/>
              <w:tr2bl w:val="nil"/>
            </w:tcBorders>
            <w:shd w:val="clear" w:color="auto" w:fill="auto"/>
            <w:vAlign w:val="center"/>
          </w:tcPr>
          <w:p w14:paraId="7F1E8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C0A4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D9E2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BA3D1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F9699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手术刀柄</w:t>
            </w:r>
          </w:p>
        </w:tc>
        <w:tc>
          <w:tcPr>
            <w:tcW w:w="2636" w:type="dxa"/>
            <w:tcBorders>
              <w:tl2br w:val="nil"/>
              <w:tr2bl w:val="nil"/>
            </w:tcBorders>
            <w:shd w:val="clear" w:color="auto" w:fill="auto"/>
            <w:vAlign w:val="center"/>
          </w:tcPr>
          <w:p w14:paraId="5EE6E0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用于连接器械（刀片）。</w:t>
            </w:r>
          </w:p>
        </w:tc>
        <w:tc>
          <w:tcPr>
            <w:tcW w:w="1227" w:type="dxa"/>
            <w:tcBorders>
              <w:tl2br w:val="nil"/>
              <w:tr2bl w:val="nil"/>
            </w:tcBorders>
            <w:shd w:val="clear" w:color="auto" w:fill="auto"/>
            <w:vAlign w:val="center"/>
          </w:tcPr>
          <w:p w14:paraId="71924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538F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EC8F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985" w:type="dxa"/>
            <w:tcBorders>
              <w:tl2br w:val="nil"/>
              <w:tr2bl w:val="nil"/>
            </w:tcBorders>
            <w:shd w:val="clear" w:color="auto" w:fill="auto"/>
            <w:vAlign w:val="center"/>
          </w:tcPr>
          <w:p w14:paraId="3A7C6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68" w:type="dxa"/>
            <w:tcBorders>
              <w:tl2br w:val="nil"/>
              <w:tr2bl w:val="nil"/>
            </w:tcBorders>
            <w:shd w:val="clear" w:color="auto" w:fill="auto"/>
            <w:vAlign w:val="center"/>
          </w:tcPr>
          <w:p w14:paraId="0B335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230.4</w:t>
            </w:r>
          </w:p>
        </w:tc>
        <w:tc>
          <w:tcPr>
            <w:tcW w:w="1000" w:type="dxa"/>
            <w:tcBorders>
              <w:tl2br w:val="nil"/>
              <w:tr2bl w:val="nil"/>
            </w:tcBorders>
            <w:shd w:val="clear" w:color="auto" w:fill="auto"/>
            <w:vAlign w:val="center"/>
          </w:tcPr>
          <w:p w14:paraId="1F9AE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bl>
    <w:p w14:paraId="6E86B208">
      <w:pPr>
        <w:pStyle w:val="10"/>
        <w:tabs>
          <w:tab w:val="left" w:pos="420"/>
          <w:tab w:val="left" w:pos="540"/>
        </w:tabs>
        <w:adjustRightInd w:val="0"/>
        <w:snapToGrid w:val="0"/>
        <w:spacing w:line="360" w:lineRule="auto"/>
        <w:rPr>
          <w:rFonts w:hAnsi="宋体"/>
          <w:b/>
          <w:color w:val="auto"/>
        </w:rPr>
      </w:pPr>
    </w:p>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26BD2C03">
      <w:pPr>
        <w:keepNext w:val="0"/>
        <w:keepLines w:val="0"/>
        <w:widowControl w:val="0"/>
        <w:numPr>
          <w:ilvl w:val="0"/>
          <w:numId w:val="8"/>
        </w:numPr>
        <w:suppressLineNumbers w:val="0"/>
        <w:tabs>
          <w:tab w:val="left" w:pos="0"/>
          <w:tab w:val="left" w:pos="220"/>
        </w:tabs>
        <w:wordWrap w:val="0"/>
        <w:autoSpaceDE w:val="0"/>
        <w:autoSpaceDN/>
        <w:adjustRightInd w:val="0"/>
        <w:snapToGrid w:val="0"/>
        <w:spacing w:before="0" w:beforeAutospacing="0" w:after="0" w:afterAutospacing="0"/>
        <w:ind w:left="0" w:right="0"/>
        <w:jc w:val="left"/>
        <w:rPr>
          <w:rFonts w:hint="eastAsia" w:ascii="Calibri" w:hAnsi="Calibri" w:eastAsia="宋体" w:cs="Times New Roman"/>
          <w:kern w:val="2"/>
          <w:sz w:val="21"/>
          <w:szCs w:val="21"/>
        </w:rPr>
      </w:pPr>
      <w:r>
        <w:rPr>
          <w:rFonts w:hint="eastAsia" w:ascii="宋体" w:hAnsi="宋体" w:eastAsia="宋体" w:cs="宋体"/>
          <w:b/>
          <w:bCs/>
          <w:kern w:val="2"/>
          <w:sz w:val="21"/>
          <w:szCs w:val="21"/>
          <w:lang w:val="en-US" w:eastAsia="zh-CN" w:bidi="ar"/>
        </w:rPr>
        <w:t>合同履行期限：</w:t>
      </w:r>
      <w:r>
        <w:rPr>
          <w:rFonts w:hint="default" w:ascii="Calibri" w:hAnsi="Calibri" w:eastAsia="宋体" w:cs="Calibri"/>
          <w:kern w:val="2"/>
          <w:sz w:val="21"/>
          <w:szCs w:val="21"/>
          <w:lang w:val="en-US" w:eastAsia="zh-CN" w:bidi="ar"/>
        </w:rPr>
        <w:t>24</w:t>
      </w:r>
      <w:r>
        <w:rPr>
          <w:rFonts w:hint="eastAsia" w:ascii="宋体" w:hAnsi="宋体" w:eastAsia="宋体" w:cs="宋体"/>
          <w:kern w:val="2"/>
          <w:sz w:val="21"/>
          <w:szCs w:val="21"/>
          <w:lang w:val="en-US" w:eastAsia="zh-CN" w:bidi="ar"/>
        </w:rPr>
        <w:t>个月。</w:t>
      </w:r>
    </w:p>
    <w:p w14:paraId="3401BFF5">
      <w:pPr>
        <w:keepNext w:val="0"/>
        <w:keepLines w:val="0"/>
        <w:widowControl w:val="0"/>
        <w:numPr>
          <w:ilvl w:val="0"/>
          <w:numId w:val="8"/>
        </w:numPr>
        <w:suppressLineNumbers w:val="0"/>
        <w:tabs>
          <w:tab w:val="left" w:pos="0"/>
          <w:tab w:val="left" w:pos="220"/>
        </w:tabs>
        <w:autoSpaceDE w:val="0"/>
        <w:autoSpaceDN/>
        <w:spacing w:before="0" w:beforeAutospacing="0" w:after="0" w:afterAutospacing="0"/>
        <w:ind w:left="0" w:leftChars="0" w:right="0" w:firstLine="0" w:firstLineChars="0"/>
        <w:jc w:val="left"/>
        <w:rPr>
          <w:rFonts w:hint="eastAsia" w:ascii="宋体" w:hAnsi="宋体" w:eastAsia="宋体" w:cs="宋体"/>
          <w:b w:val="0"/>
          <w:bCs w:val="0"/>
          <w:kern w:val="2"/>
          <w:sz w:val="21"/>
          <w:szCs w:val="21"/>
        </w:rPr>
      </w:pPr>
      <w:r>
        <w:rPr>
          <w:rFonts w:hint="eastAsia" w:ascii="宋体" w:hAnsi="宋体" w:eastAsia="宋体" w:cs="宋体"/>
          <w:b/>
          <w:bCs/>
          <w:kern w:val="2"/>
          <w:sz w:val="21"/>
          <w:szCs w:val="21"/>
          <w:lang w:val="en-US" w:eastAsia="zh-CN" w:bidi="ar"/>
        </w:rPr>
        <w:t>交货时间：</w:t>
      </w:r>
      <w:r>
        <w:rPr>
          <w:rFonts w:hint="eastAsia" w:ascii="宋体" w:hAnsi="宋体" w:eastAsia="宋体" w:cs="宋体"/>
          <w:b w:val="0"/>
          <w:bCs w:val="0"/>
          <w:kern w:val="2"/>
          <w:sz w:val="21"/>
          <w:szCs w:val="21"/>
          <w:lang w:val="en-US" w:eastAsia="zh-CN" w:bidi="ar"/>
        </w:rPr>
        <w:t>中标人收到采购人的需求清单后2天内交货。</w:t>
      </w:r>
    </w:p>
    <w:p w14:paraId="32534ACE">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3.报价方式：</w:t>
      </w:r>
    </w:p>
    <w:p w14:paraId="3DD54695">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3.1报价使用货币及单位：人民币（元），报价精确到元。</w:t>
      </w:r>
    </w:p>
    <w:p w14:paraId="6D2E9B30">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3.2投标人所报价格为含税、配送商费用等的全包价。</w:t>
      </w:r>
    </w:p>
    <w:p w14:paraId="3D24E112">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3.3投标人的投标报价不得高于深圳市最低成交价。</w:t>
      </w:r>
    </w:p>
    <w:p w14:paraId="0424A42D">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3.4投标人不得以低于自身成本的报价投标：当评标委员会认为其报价低于成本价时，评标委员会有权要求其对成本构成进行介绍，并要求投标方用书面的形式进行低价说明（在保证质量的前提下，能够大幅节省经费的手段或原因）；如投标人没有合理的理由或不按要求提供低价说明，可视为不被接受的有风险的报价。</w:t>
      </w:r>
    </w:p>
    <w:p w14:paraId="20292913">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4.付款方式：</w:t>
      </w:r>
    </w:p>
    <w:p w14:paraId="24AA688B">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本项目是按月据实结算，投标人在中标后，每月根据采购人的采购订货单、货物验收签到表以及开具购买对应耗材的发票金额，向采购人申请支付费用结算。</w:t>
      </w:r>
    </w:p>
    <w:p w14:paraId="43CBADEF">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5.质量保证：</w:t>
      </w:r>
    </w:p>
    <w:p w14:paraId="0A87B37F">
      <w:pPr>
        <w:keepNext w:val="0"/>
        <w:keepLines w:val="0"/>
        <w:widowControl w:val="0"/>
        <w:suppressLineNumbers w:val="0"/>
        <w:tabs>
          <w:tab w:val="left" w:pos="0"/>
          <w:tab w:val="left" w:pos="420"/>
        </w:tabs>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5.1中标人需按国家相关标准进行耗材包装，耗材的包装均需有良好的防湿、防锈、防潮、防雨、防腐及防碰撞的措施，并适宜深圳的气候条件。凡由于包装不良造成的损失和由此产生的费用均由中标人承担。</w:t>
      </w:r>
    </w:p>
    <w:p w14:paraId="60B386DC">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5.2中标人应提供完整的技术资料，包括但不限于产品说明书、质量保证文件、服务指南等，所有外文资料需提供中文译本。文件应随货物一并交付至采购人指定地点。</w:t>
      </w:r>
    </w:p>
    <w:p w14:paraId="2E34608A">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5.3在临床使用中出现不良事件，要求中标人接到通知后半小时内响应，两小时内赶到现场。经国家相关质量监察部门鉴定后，确实属于产品质量问题的，由中标人承担全部责任。</w:t>
      </w:r>
    </w:p>
    <w:p w14:paraId="52FFEA40">
      <w:pPr>
        <w:pStyle w:val="15"/>
        <w:keepNext w:val="0"/>
        <w:keepLines w:val="0"/>
        <w:widowControl w:val="0"/>
        <w:suppressLineNumbers w:val="0"/>
        <w:autoSpaceDE w:val="0"/>
        <w:autoSpaceDN/>
        <w:adjustRightInd w:val="0"/>
        <w:snapToGrid w:val="0"/>
        <w:spacing w:before="0" w:beforeAutospacing="0" w:after="0" w:afterAutospacing="0"/>
        <w:ind w:left="0" w:leftChars="0" w:right="0" w:firstLine="420" w:firstLineChars="20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5.4</w:t>
      </w:r>
      <w:r>
        <w:rPr>
          <w:rFonts w:hint="eastAsia" w:ascii="宋体" w:hAnsi="宋体" w:eastAsia="宋体" w:cs="宋体"/>
          <w:kern w:val="0"/>
          <w:sz w:val="21"/>
          <w:szCs w:val="21"/>
          <w:lang w:val="en-US" w:eastAsia="zh-CN" w:bidi="ar"/>
        </w:rPr>
        <w:t>货物有效期不低于</w:t>
      </w:r>
      <w:r>
        <w:rPr>
          <w:rFonts w:hint="eastAsia" w:ascii="宋体" w:hAnsi="宋体" w:eastAsia="宋体" w:cs="宋体"/>
          <w:b/>
          <w:bCs/>
          <w:color w:val="FF0000"/>
          <w:kern w:val="0"/>
          <w:sz w:val="21"/>
          <w:szCs w:val="21"/>
          <w:u w:val="single"/>
          <w:lang w:val="en-US" w:eastAsia="zh-CN" w:bidi="ar"/>
        </w:rPr>
        <w:t>产品有效期的三分之二</w:t>
      </w:r>
      <w:r>
        <w:rPr>
          <w:rFonts w:hint="eastAsia" w:ascii="宋体" w:hAnsi="宋体" w:eastAsia="宋体" w:cs="宋体"/>
          <w:kern w:val="0"/>
          <w:sz w:val="21"/>
          <w:szCs w:val="21"/>
          <w:lang w:val="en-US" w:eastAsia="zh-CN" w:bidi="ar"/>
        </w:rPr>
        <w:t>，有效期内有任何产品质量问题，中标人需免费进行更换。</w:t>
      </w:r>
    </w:p>
    <w:p w14:paraId="0CA623B2">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6.售后服务要求：</w:t>
      </w:r>
    </w:p>
    <w:p w14:paraId="590459F5">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420" w:leftChars="20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6.1耗材出现问题时，要求中标人能在半小时内响应，两小时内赶到现场。</w:t>
      </w:r>
    </w:p>
    <w:p w14:paraId="43F1E94B">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420" w:leftChars="20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自采购人订单发出之时起要求中标人耗材配送时限一般不超过48小时。若采购人要求紧急配送，中标人需保证所有耗材在4小时内送达。采购人订单发出时间包含节假日，中标人应留置值班人员以满足采购人订货需求。</w:t>
      </w:r>
    </w:p>
    <w:p w14:paraId="0FB82F95">
      <w:pPr>
        <w:keepNext w:val="0"/>
        <w:keepLines w:val="0"/>
        <w:widowControl w:val="0"/>
        <w:suppressLineNumbers w:val="0"/>
        <w:tabs>
          <w:tab w:val="left" w:pos="0"/>
          <w:tab w:val="left" w:pos="420"/>
        </w:tabs>
        <w:autoSpaceDE w:val="0"/>
        <w:autoSpaceDN/>
        <w:spacing w:before="0" w:beforeAutospacing="0" w:after="0" w:afterAutospacing="0"/>
        <w:ind w:left="420" w:leftChars="20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6.3投标人应按其投标文件中的承诺，进行其他售后服务工作。</w:t>
      </w:r>
    </w:p>
    <w:p w14:paraId="27810223">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7.验收及相关技术文件、资料：</w:t>
      </w:r>
    </w:p>
    <w:p w14:paraId="2723ABE7">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7.1投标人提供的耗材应符合国家承认的相应标准。满足采购要求。</w:t>
      </w:r>
    </w:p>
    <w:p w14:paraId="1AF748A8">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7.2投标人所提供的应是其合法生产或代理的合格耗材，并能够按照耗材成交确认合同规定的商标、产地、质量、价格、有效期及时供货。</w:t>
      </w:r>
    </w:p>
    <w:p w14:paraId="0E9A3D1D">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7.3耗材外观清洁，产品包装上（包括大包装、小包装等）需附有以下所列各项国家规定的中文标识：</w:t>
      </w:r>
    </w:p>
    <w:p w14:paraId="6D8CC0B5">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（1）耗材名称、型号、规格；</w:t>
      </w:r>
    </w:p>
    <w:p w14:paraId="611EC2BE">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（2）生产企业名称、注册地址、生产地址、联系方式；</w:t>
      </w:r>
    </w:p>
    <w:p w14:paraId="4BE37601">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（3）耗材生产日期或批（编）号、有效期限。</w:t>
      </w:r>
    </w:p>
    <w:p w14:paraId="18A27574">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7.4所有耗材在开封检验时应完好，无破损，配置与说明书相符。如有破损，应无条件退换。</w:t>
      </w:r>
    </w:p>
    <w:p w14:paraId="24F40575">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7.5耗材符合谈判文件技术要求，具备产品合格证，性能满足要求。</w:t>
      </w:r>
    </w:p>
    <w:p w14:paraId="003BB05E">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7.6采购人接受货物后若有疑义或使用前发现不宜使用的现象，中标人需提供退换货服务，不额外收费。</w:t>
      </w:r>
    </w:p>
    <w:p w14:paraId="7BBC420B">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color w:val="FF0000"/>
          <w:kern w:val="2"/>
          <w:sz w:val="21"/>
          <w:szCs w:val="21"/>
        </w:rPr>
      </w:pPr>
      <w:r>
        <w:rPr>
          <w:rFonts w:hint="eastAsia" w:ascii="宋体" w:hAnsi="宋体" w:eastAsia="宋体" w:cs="宋体"/>
          <w:b/>
          <w:bCs/>
          <w:kern w:val="2"/>
          <w:sz w:val="21"/>
          <w:szCs w:val="21"/>
          <w:lang w:val="en-US" w:eastAsia="zh-CN" w:bidi="ar"/>
        </w:rPr>
        <w:t>8.运输要求：</w:t>
      </w:r>
      <w:r>
        <w:rPr>
          <w:rFonts w:hint="eastAsia" w:ascii="宋体" w:hAnsi="宋体" w:eastAsia="宋体" w:cs="宋体"/>
          <w:kern w:val="2"/>
          <w:sz w:val="21"/>
          <w:szCs w:val="21"/>
          <w:lang w:val="en-US" w:eastAsia="zh-CN" w:bidi="ar"/>
        </w:rPr>
        <w:t>中标人负责将耗材安全无损运抵采购人指定地点，并承担包装、运输、保险、装卸、关税、增值税等费用。</w:t>
      </w:r>
    </w:p>
    <w:p w14:paraId="58747A4A">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9.质量及知识产权要求：</w:t>
      </w:r>
    </w:p>
    <w:p w14:paraId="2C7EB83E">
      <w:pPr>
        <w:keepNext w:val="0"/>
        <w:keepLines w:val="0"/>
        <w:widowControl w:val="0"/>
        <w:suppressLineNumbers w:val="0"/>
        <w:tabs>
          <w:tab w:val="left" w:pos="0"/>
          <w:tab w:val="left" w:pos="2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9.1投标人应保证采购人在使用该货物或其任何一部分时，免受第三方提出的侵犯其专利权、商标权、著作权或其它知识产权的起诉。投标人保证所提供软件的合法性，所发生的任何知识产权纠纷与采购人无关。</w:t>
      </w:r>
    </w:p>
    <w:p w14:paraId="5D97AC5F">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9.2采购人购买产品后，有权对该产品与其他设备进行配套、整合或适当改进，而免受侵犯专利权的起诉。</w:t>
      </w:r>
    </w:p>
    <w:p w14:paraId="3D6537FB">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10.违约责任：</w:t>
      </w:r>
    </w:p>
    <w:p w14:paraId="0B201552">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10.1如投标人未按照投标文件中承诺的时间交货或提供服务，投标人应承担延期交货和延期服务的违约责任，并赔偿采购人因此造成的实际经济损失。</w:t>
      </w:r>
    </w:p>
    <w:p w14:paraId="3BD456EF">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10.2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79083BA7">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10.3投标人不能交付产品时，投标人向采购人偿付项目采购金额千分之二十（千分之十以上千分之二十以下）的违约金；造成严重后果的，根据《深圳经济特区政府采购条例》第五十七条第（二）款规定，由主管部门对中标人进行处罚。</w:t>
      </w:r>
    </w:p>
    <w:p w14:paraId="11F6FA34">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★11.其他商务要求：</w:t>
      </w:r>
    </w:p>
    <w:p w14:paraId="0DE58D3C">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11.1中标公司无条件配合医院SPD物流精细化管理服务，同时承诺支付每月管理服务费(不超当月供货总额的3%)，具体与医院签合同时按合同条款执行。</w:t>
      </w:r>
    </w:p>
    <w:p w14:paraId="5BD3D987">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11.2投标人的投标报价超过最高限价或最高支付上限的视为无效投标。报价应包括并不限于耗材试剂费、税费、运费、安装调试费、培训费等费用。</w:t>
      </w:r>
    </w:p>
    <w:p w14:paraId="7B5F7C6E">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11.3投标人须根据货物清单进行单项报价，且不得超过最小单位预算价格。最终以实际供货的数量×中标单价进行结算，年度结算总价不超过最高限价（最高支付上限）。</w:t>
      </w:r>
    </w:p>
    <w:p w14:paraId="08C3FFEB">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0A3F5595">
      <w:pPr>
        <w:rPr>
          <w:rFonts w:hint="eastAsia" w:asciiTheme="majorEastAsia" w:hAnsiTheme="majorEastAsia" w:eastAsiaTheme="majorEastAsia" w:cstheme="majorEastAsia"/>
          <w:kern w:val="2"/>
          <w:sz w:val="32"/>
          <w:szCs w:val="32"/>
          <w:lang w:val="en-US" w:eastAsia="zh-CN" w:bidi="ar-SA"/>
        </w:rPr>
      </w:pPr>
    </w:p>
    <w:p w14:paraId="6BC74C40">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1988"/>
      <w:bookmarkStart w:id="11" w:name="_Toc10794"/>
      <w:bookmarkStart w:id="12" w:name="_Toc24015563"/>
      <w:bookmarkStart w:id="13" w:name="_Toc15209"/>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谈判</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谈判</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谈判</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谈判</w:t>
            </w:r>
            <w:r>
              <w:rPr>
                <w:rFonts w:hint="eastAsia" w:ascii="宋体" w:hAnsi="宋体" w:eastAsia="宋体" w:cs="宋体"/>
                <w:sz w:val="21"/>
                <w:szCs w:val="21"/>
              </w:rPr>
              <w:t>需求不能接受的条件</w:t>
            </w:r>
          </w:p>
        </w:tc>
      </w:tr>
      <w:tr w14:paraId="696B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1E79084F">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4D38B7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619B9638">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20C3ED56">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1F998CB9">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开标时，由采购人党委办公室工作人员检查投标文件的密封情况；经确认无误后，由采购人工作人员当众拆封，宣布投标人名称、投标价格和谈判文件规定的需要宣布的其他内容。</w:t>
      </w:r>
    </w:p>
    <w:p w14:paraId="26ACA9AD">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533E4C4A">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谈判小组的组成</w:t>
      </w:r>
    </w:p>
    <w:p w14:paraId="37D6B069">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67C619BD">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02FB6B10">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542BB16E">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23CAEED7">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150E7F1E">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561C8556">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5577CEF1">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7B9BC99D">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74B7EB57">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审查、评价投标文件是否符合谈判文件的商务、技术等实质性要求；</w:t>
      </w:r>
    </w:p>
    <w:p w14:paraId="78A1EB1E">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1EDABF01">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60C16CB5">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1FD41E0A">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01E6DAA">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20AE602">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18D7DA7F">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76F2A36F">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谈判文件</w:t>
      </w:r>
      <w:r>
        <w:rPr>
          <w:rFonts w:hint="eastAsia" w:ascii="宋体" w:hAnsi="宋体" w:cs="宋体"/>
          <w:szCs w:val="21"/>
        </w:rPr>
        <w:t>的规定，对投标文件中的资格证明等进行审查，以确定投标供应商是否具备投标资格。符合性检查：依据</w:t>
      </w:r>
      <w:r>
        <w:rPr>
          <w:rFonts w:hint="eastAsia" w:ascii="宋体" w:hAnsi="宋体" w:cs="宋体"/>
          <w:szCs w:val="21"/>
          <w:lang w:eastAsia="zh-CN"/>
        </w:rPr>
        <w:t>谈判文件</w:t>
      </w:r>
      <w:r>
        <w:rPr>
          <w:rFonts w:hint="eastAsia" w:ascii="宋体" w:hAnsi="宋体" w:cs="宋体"/>
          <w:szCs w:val="21"/>
        </w:rPr>
        <w:t>的规定，从投标文件的有效性、完整性和对</w:t>
      </w:r>
      <w:r>
        <w:rPr>
          <w:rFonts w:hint="eastAsia" w:ascii="宋体" w:hAnsi="宋体" w:cs="宋体"/>
          <w:szCs w:val="21"/>
          <w:lang w:eastAsia="zh-CN"/>
        </w:rPr>
        <w:t>谈判文件</w:t>
      </w:r>
      <w:r>
        <w:rPr>
          <w:rFonts w:hint="eastAsia" w:ascii="宋体" w:hAnsi="宋体" w:cs="宋体"/>
          <w:szCs w:val="21"/>
        </w:rPr>
        <w:t>的响应程度进行审查，以确定是否对</w:t>
      </w:r>
      <w:r>
        <w:rPr>
          <w:rFonts w:hint="eastAsia" w:ascii="宋体" w:hAnsi="宋体" w:cs="宋体"/>
          <w:szCs w:val="21"/>
          <w:lang w:eastAsia="zh-CN"/>
        </w:rPr>
        <w:t>谈判文件</w:t>
      </w:r>
      <w:r>
        <w:rPr>
          <w:rFonts w:hint="eastAsia" w:ascii="宋体" w:hAnsi="宋体" w:cs="宋体"/>
          <w:szCs w:val="21"/>
        </w:rPr>
        <w:t>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谈判小组</w:t>
      </w:r>
      <w:r>
        <w:rPr>
          <w:rFonts w:hint="eastAsia" w:ascii="宋体" w:hAnsi="宋体" w:cs="宋体"/>
          <w:szCs w:val="21"/>
        </w:rPr>
        <w:t>按照</w:t>
      </w:r>
      <w:r>
        <w:rPr>
          <w:rFonts w:hint="eastAsia" w:ascii="宋体" w:hAnsi="宋体" w:cs="宋体"/>
          <w:szCs w:val="21"/>
          <w:lang w:eastAsia="zh-CN"/>
        </w:rPr>
        <w:t>谈判文件</w:t>
      </w:r>
      <w:r>
        <w:rPr>
          <w:rFonts w:hint="eastAsia" w:ascii="宋体" w:hAnsi="宋体" w:cs="宋体"/>
          <w:szCs w:val="21"/>
        </w:rPr>
        <w:t>规定的方式确定一个参加评审的投标人，</w:t>
      </w:r>
      <w:r>
        <w:rPr>
          <w:rFonts w:hint="eastAsia" w:ascii="宋体" w:hAnsi="宋体" w:cs="宋体"/>
          <w:szCs w:val="21"/>
          <w:lang w:eastAsia="zh-CN"/>
        </w:rPr>
        <w:t>谈判文件</w:t>
      </w:r>
      <w:r>
        <w:rPr>
          <w:rFonts w:hint="eastAsia" w:ascii="宋体" w:hAnsi="宋体" w:cs="宋体"/>
          <w:szCs w:val="21"/>
        </w:rPr>
        <w:t>未规定的采取随机抽取方式确定，其他投标无效。</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实质性要求，按照报价由低到高的顺序，依据</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中规定的数量或者比例推荐候选中标供应商。</w:t>
      </w:r>
    </w:p>
    <w:p w14:paraId="3B996B8D">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6EFC7327">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3BAE387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54DF4B23">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169CBD49">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71112480">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5CDF999E">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谈判小组</w:t>
      </w:r>
      <w:r>
        <w:rPr>
          <w:rFonts w:hint="eastAsia" w:ascii="宋体" w:hAnsi="宋体" w:eastAsiaTheme="minorEastAsia" w:cstheme="minorBidi"/>
          <w:color w:val="auto"/>
          <w:kern w:val="2"/>
          <w:sz w:val="21"/>
          <w:szCs w:val="21"/>
          <w:lang w:val="en-US" w:eastAsia="zh-CN" w:bidi="ar-SA"/>
        </w:rPr>
        <w:t>按</w:t>
      </w:r>
      <w:r>
        <w:rPr>
          <w:rFonts w:hint="eastAsia" w:ascii="宋体" w:hAnsi="宋体" w:cstheme="minorBidi"/>
          <w:color w:val="auto"/>
          <w:kern w:val="2"/>
          <w:sz w:val="21"/>
          <w:szCs w:val="21"/>
          <w:lang w:val="en-US" w:eastAsia="zh-CN" w:bidi="ar-SA"/>
        </w:rPr>
        <w:t>谈判文件</w:t>
      </w:r>
      <w:r>
        <w:rPr>
          <w:rFonts w:hint="eastAsia" w:ascii="宋体" w:hAnsi="宋体" w:eastAsiaTheme="minorEastAsia" w:cstheme="minorBidi"/>
          <w:color w:val="auto"/>
          <w:kern w:val="2"/>
          <w:sz w:val="21"/>
          <w:szCs w:val="21"/>
          <w:lang w:val="en-US" w:eastAsia="zh-CN" w:bidi="ar-SA"/>
        </w:rPr>
        <w:t>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谈判小组</w:t>
      </w:r>
      <w:r>
        <w:rPr>
          <w:rFonts w:hint="eastAsia" w:ascii="宋体" w:hAnsi="宋体" w:eastAsiaTheme="minorEastAsia" w:cstheme="minorBidi"/>
          <w:color w:val="auto"/>
          <w:kern w:val="2"/>
          <w:sz w:val="21"/>
          <w:szCs w:val="21"/>
          <w:lang w:val="en-US" w:eastAsia="zh-CN" w:bidi="ar-SA"/>
        </w:rPr>
        <w:t>成员对需要共同认定的事项存在争议的，应当按照少数服从多数的原则作出结论。持不同意见的</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谈判</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谈判文件</w:t>
      </w:r>
      <w:r>
        <w:rPr>
          <w:rFonts w:hint="eastAsia" w:ascii="宋体" w:hAnsi="宋体"/>
          <w:szCs w:val="21"/>
        </w:rPr>
        <w:t>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谈判文件</w:t>
      </w:r>
      <w:r>
        <w:rPr>
          <w:rFonts w:hint="eastAsia" w:ascii="宋体" w:hAnsi="宋体"/>
          <w:szCs w:val="21"/>
        </w:rPr>
        <w:t>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谈判文件</w:t>
      </w:r>
      <w:r>
        <w:rPr>
          <w:rFonts w:hint="eastAsia" w:ascii="宋体" w:hAnsi="宋体"/>
          <w:szCs w:val="21"/>
        </w:rPr>
        <w:t>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谈判文件</w:t>
      </w:r>
      <w:r>
        <w:rPr>
          <w:rFonts w:hint="eastAsia" w:ascii="宋体" w:hAnsi="宋体"/>
          <w:szCs w:val="21"/>
        </w:rPr>
        <w:t>规定的其他无效情形。</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6.2. </w:t>
      </w:r>
      <w:r>
        <w:rPr>
          <w:rFonts w:ascii="宋体" w:hAnsi="宋体"/>
          <w:szCs w:val="21"/>
        </w:rPr>
        <w:t>在</w:t>
      </w:r>
      <w:r>
        <w:rPr>
          <w:rFonts w:hint="eastAsia" w:ascii="宋体" w:hAnsi="宋体"/>
          <w:szCs w:val="21"/>
          <w:lang w:eastAsia="zh-CN"/>
        </w:rPr>
        <w:t>谈判</w:t>
      </w:r>
      <w:r>
        <w:rPr>
          <w:rFonts w:ascii="宋体" w:hAnsi="宋体"/>
          <w:szCs w:val="21"/>
        </w:rPr>
        <w:t>采购中，出现下列情形之一的，应予废标</w:t>
      </w:r>
      <w:r>
        <w:rPr>
          <w:rFonts w:hint="eastAsia" w:ascii="宋体" w:hAnsi="宋体"/>
          <w:szCs w:val="21"/>
          <w:lang w:eastAsia="zh-CN"/>
        </w:rPr>
        <w:t>：</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09AD85D9">
      <w:pPr>
        <w:pStyle w:val="30"/>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该项目中标候选供应商数量为一家。</w:t>
      </w:r>
    </w:p>
    <w:p w14:paraId="54B4AF37">
      <w:pPr>
        <w:pStyle w:val="30"/>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7.2. 本项目不安排现场踏勘。</w:t>
      </w:r>
    </w:p>
    <w:p w14:paraId="3F001B43">
      <w:pPr>
        <w:pStyle w:val="30"/>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7.3. 本项目不安排现场演示。</w:t>
      </w:r>
    </w:p>
    <w:p w14:paraId="26CC7918">
      <w:pPr>
        <w:pStyle w:val="30"/>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7.4. 本项目资金来源为自筹资金。</w:t>
      </w:r>
    </w:p>
    <w:p w14:paraId="1146D06E">
      <w:pPr>
        <w:pStyle w:val="30"/>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7.5. 本项目投标有效期从提交投标文件的截止之日起120日历日内有效。</w:t>
      </w:r>
    </w:p>
    <w:p w14:paraId="3CAB0B6D">
      <w:pPr>
        <w:pStyle w:val="30"/>
        <w:widowControl/>
        <w:numPr>
          <w:ilvl w:val="0"/>
          <w:numId w:val="0"/>
        </w:numPr>
        <w:spacing w:line="360" w:lineRule="auto"/>
        <w:ind w:leftChars="0"/>
        <w:jc w:val="left"/>
        <w:rPr>
          <w:rFonts w:hint="default" w:asciiTheme="minorEastAsia" w:hAnsiTheme="minorEastAsia"/>
          <w:szCs w:val="21"/>
          <w:lang w:val="en-US" w:eastAsia="zh-CN"/>
        </w:rPr>
      </w:pPr>
      <w:r>
        <w:rPr>
          <w:rFonts w:hint="eastAsia" w:cs="Arial" w:asciiTheme="minorEastAsia" w:hAnsiTheme="minorEastAsia"/>
          <w:bCs/>
          <w:kern w:val="0"/>
          <w:szCs w:val="21"/>
          <w:lang w:val="en-US" w:eastAsia="zh-CN"/>
        </w:rPr>
        <w:t>7.6. 本项目不允许提交备选方案或替代方案。</w:t>
      </w:r>
    </w:p>
    <w:p w14:paraId="5135212C">
      <w:pPr>
        <w:pStyle w:val="30"/>
        <w:widowControl/>
        <w:numPr>
          <w:ilvl w:val="0"/>
          <w:numId w:val="0"/>
        </w:numPr>
        <w:spacing w:line="360" w:lineRule="auto"/>
        <w:ind w:leftChars="0"/>
        <w:jc w:val="left"/>
        <w:rPr>
          <w:rFonts w:hint="default" w:asciiTheme="minorEastAsia" w:hAnsiTheme="minorEastAsia"/>
          <w:szCs w:val="21"/>
          <w:lang w:val="en-US" w:eastAsia="zh-CN"/>
        </w:rPr>
      </w:pPr>
      <w:r>
        <w:rPr>
          <w:rFonts w:hint="eastAsia" w:cs="Arial" w:asciiTheme="minorEastAsia" w:hAnsiTheme="minorEastAsia"/>
          <w:bCs/>
          <w:kern w:val="0"/>
          <w:szCs w:val="21"/>
          <w:lang w:val="en-US" w:eastAsia="zh-CN"/>
        </w:rPr>
        <w:t>7.7. 本项目评标方法为最低价法。</w:t>
      </w:r>
    </w:p>
    <w:p w14:paraId="5DAAFA88">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5AC2272">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16CC451">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99792C">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512776C6">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6758F89">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2602D7B">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428CAB2A">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7201D93">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DA20980">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56CFFBA">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FC13EA8">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E619B4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03A4207">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1F63429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9848A2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04291F22">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16" w:name="_Toc26388"/>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25542"/>
      <w:bookmarkStart w:id="18" w:name="_Toc6779"/>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1714"/>
      <w:bookmarkStart w:id="20" w:name="_Toc29213"/>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66D930A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C6BFAB5">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7815286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E3B643">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leftChars="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谈判</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2E295D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A1000A">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leftChars="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谈判</w:t>
            </w:r>
            <w:r>
              <w:rPr>
                <w:rFonts w:hint="eastAsia" w:ascii="宋体" w:hAnsi="宋体" w:eastAsia="宋体" w:cs="宋体"/>
                <w:sz w:val="21"/>
                <w:szCs w:val="21"/>
              </w:rPr>
              <w:t>文件要求报价的</w:t>
            </w:r>
          </w:p>
        </w:tc>
        <w:tc>
          <w:tcPr>
            <w:tcW w:w="1240" w:type="dxa"/>
            <w:vAlign w:val="center"/>
          </w:tcPr>
          <w:p w14:paraId="613CE2D2">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D9A558">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76377D0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8417F71">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50264F0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C313715">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w:t>
            </w:r>
            <w:r>
              <w:rPr>
                <w:rFonts w:hint="eastAsia" w:ascii="宋体" w:hAnsi="宋体" w:eastAsia="宋体" w:cs="宋体"/>
                <w:sz w:val="21"/>
                <w:szCs w:val="21"/>
              </w:rPr>
              <w:t>文件要求的</w:t>
            </w:r>
          </w:p>
        </w:tc>
        <w:tc>
          <w:tcPr>
            <w:tcW w:w="1240" w:type="dxa"/>
            <w:vAlign w:val="center"/>
          </w:tcPr>
          <w:p w14:paraId="789B0B2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193AA6E">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w:t>
            </w:r>
            <w:r>
              <w:rPr>
                <w:rFonts w:hint="eastAsia" w:ascii="宋体" w:hAnsi="宋体" w:eastAsia="宋体" w:cs="宋体"/>
                <w:sz w:val="21"/>
                <w:szCs w:val="21"/>
              </w:rPr>
              <w:t>文件中标注“★”的条款响应为负偏离的</w:t>
            </w:r>
          </w:p>
        </w:tc>
        <w:tc>
          <w:tcPr>
            <w:tcW w:w="1240" w:type="dxa"/>
            <w:vAlign w:val="center"/>
          </w:tcPr>
          <w:p w14:paraId="114B4E6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896B5B5">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648E85B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736779C">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未按</w:t>
            </w:r>
            <w:r>
              <w:rPr>
                <w:rFonts w:hint="eastAsia" w:ascii="宋体" w:hAnsi="宋体" w:eastAsia="宋体" w:cs="宋体"/>
                <w:sz w:val="21"/>
                <w:szCs w:val="21"/>
                <w:lang w:val="en-US" w:eastAsia="zh-CN"/>
              </w:rPr>
              <w:t>谈判</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w:t>
            </w:r>
          </w:p>
        </w:tc>
        <w:tc>
          <w:tcPr>
            <w:tcW w:w="1240" w:type="dxa"/>
            <w:vAlign w:val="center"/>
          </w:tcPr>
          <w:p w14:paraId="427B09D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518E103">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谈判</w:t>
            </w:r>
            <w:r>
              <w:rPr>
                <w:rFonts w:hint="eastAsia" w:ascii="宋体" w:hAnsi="宋体" w:eastAsia="宋体" w:cs="宋体"/>
                <w:sz w:val="21"/>
                <w:szCs w:val="21"/>
              </w:rPr>
              <w:t>需求不能接受的条件</w:t>
            </w:r>
          </w:p>
        </w:tc>
        <w:tc>
          <w:tcPr>
            <w:tcW w:w="1240" w:type="dxa"/>
            <w:vAlign w:val="center"/>
          </w:tcPr>
          <w:p w14:paraId="7D36714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7E5807">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8AA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829BD8F">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15ED3954">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法律法规规定的其他情形</w:t>
            </w:r>
          </w:p>
        </w:tc>
        <w:tc>
          <w:tcPr>
            <w:tcW w:w="1240" w:type="dxa"/>
            <w:vAlign w:val="center"/>
          </w:tcPr>
          <w:p w14:paraId="0737367E">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64665D">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13DA12">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20641"/>
      <w:bookmarkStart w:id="22" w:name="_Toc1526"/>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bookmarkStart w:id="23" w:name="_Toc15495"/>
      <w:bookmarkStart w:id="24" w:name="_Toc30883"/>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5508"/>
      <w:bookmarkStart w:id="26" w:name="_Toc31601"/>
      <w:r>
        <w:rPr>
          <w:rFonts w:hint="eastAsia" w:cs="宋体" w:asciiTheme="majorEastAsia" w:hAnsiTheme="majorEastAsia" w:eastAsiaTheme="majorEastAsia"/>
          <w:kern w:val="2"/>
          <w:sz w:val="30"/>
          <w:szCs w:val="30"/>
          <w:lang w:val="en-US" w:eastAsia="zh-CN" w:bidi="ar-SA"/>
        </w:rPr>
        <w:t>（五）诚信及信用信息证明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）的有效截图（深圳市政府采购监管网需含一般行政处罚和严重违法行为的查询截图）。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1CE2779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11281"/>
      <w:bookmarkStart w:id="28" w:name="_Toc2713"/>
      <w:bookmarkStart w:id="29" w:name="_Toc12322"/>
      <w:r>
        <w:rPr>
          <w:rFonts w:hint="eastAsia" w:cs="宋体" w:asciiTheme="majorEastAsia" w:hAnsiTheme="majorEastAsia" w:eastAsiaTheme="majorEastAsia"/>
          <w:kern w:val="2"/>
          <w:sz w:val="30"/>
          <w:szCs w:val="30"/>
          <w:lang w:val="en-US" w:eastAsia="zh-CN" w:bidi="ar-SA"/>
        </w:rPr>
        <w:t>（六）</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七</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谈判</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r>
        <w:rPr>
          <w:rFonts w:hint="eastAsia"/>
          <w:b/>
          <w:bCs/>
          <w:color w:val="auto"/>
          <w:lang w:eastAsia="zh-CN"/>
        </w:rPr>
        <w:t>谈判文件</w:t>
      </w:r>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谈判文件</w:t>
      </w:r>
      <w:r>
        <w:rPr>
          <w:rFonts w:hint="eastAsia"/>
          <w:b/>
          <w:bCs/>
          <w:color w:val="auto"/>
        </w:rPr>
        <w:t>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谈判文件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谈判文件</w:t>
      </w:r>
      <w:r>
        <w:rPr>
          <w:rFonts w:hint="eastAsia" w:ascii="宋体" w:hAnsi="宋体" w:eastAsia="宋体" w:cs="宋体"/>
          <w:b/>
          <w:bCs/>
          <w:color w:val="auto"/>
          <w:sz w:val="21"/>
          <w:szCs w:val="21"/>
        </w:rPr>
        <w:t>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60CB5D68">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2A1BFFEF">
      <w:pPr>
        <w:spacing w:line="360" w:lineRule="exact"/>
        <w:ind w:firstLine="424" w:firstLineChars="202"/>
        <w:outlineLvl w:val="9"/>
        <w:rPr>
          <w:rFonts w:hint="eastAsia" w:ascii="宋体" w:hAnsi="宋体"/>
          <w:color w:val="auto"/>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7"/>
        <w:tblW w:w="5617" w:type="pct"/>
        <w:jc w:val="center"/>
        <w:tblLayout w:type="autofit"/>
        <w:tblCellMar>
          <w:top w:w="0" w:type="dxa"/>
          <w:left w:w="108" w:type="dxa"/>
          <w:bottom w:w="0" w:type="dxa"/>
          <w:right w:w="108" w:type="dxa"/>
        </w:tblCellMar>
      </w:tblPr>
      <w:tblGrid>
        <w:gridCol w:w="2364"/>
        <w:gridCol w:w="1531"/>
        <w:gridCol w:w="790"/>
        <w:gridCol w:w="1259"/>
        <w:gridCol w:w="1907"/>
        <w:gridCol w:w="1595"/>
        <w:gridCol w:w="1109"/>
      </w:tblGrid>
      <w:tr w14:paraId="2767ADD0">
        <w:tblPrEx>
          <w:tblCellMar>
            <w:top w:w="0" w:type="dxa"/>
            <w:left w:w="108" w:type="dxa"/>
            <w:bottom w:w="0" w:type="dxa"/>
            <w:right w:w="108" w:type="dxa"/>
          </w:tblCellMar>
        </w:tblPrEx>
        <w:trPr>
          <w:trHeight w:val="640" w:hRule="exact"/>
          <w:jc w:val="center"/>
        </w:trPr>
        <w:tc>
          <w:tcPr>
            <w:tcW w:w="1119" w:type="pct"/>
            <w:tcBorders>
              <w:top w:val="single" w:color="auto" w:sz="4" w:space="0"/>
              <w:left w:val="nil"/>
              <w:bottom w:val="single" w:color="auto" w:sz="4" w:space="0"/>
              <w:right w:val="single" w:color="auto" w:sz="4" w:space="0"/>
            </w:tcBorders>
            <w:shd w:val="clear" w:color="auto" w:fill="auto"/>
            <w:vAlign w:val="center"/>
          </w:tcPr>
          <w:p w14:paraId="76B3C900">
            <w:pPr>
              <w:spacing w:line="2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4" w:type="pct"/>
            <w:tcBorders>
              <w:top w:val="single" w:color="auto" w:sz="4" w:space="0"/>
              <w:left w:val="nil"/>
              <w:bottom w:val="single" w:color="auto" w:sz="4" w:space="0"/>
              <w:right w:val="single" w:color="auto" w:sz="4" w:space="0"/>
            </w:tcBorders>
            <w:shd w:val="clear" w:color="auto" w:fill="auto"/>
            <w:vAlign w:val="center"/>
          </w:tcPr>
          <w:p w14:paraId="2D792FD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3" w:type="pct"/>
            <w:tcBorders>
              <w:top w:val="single" w:color="auto" w:sz="4" w:space="0"/>
              <w:left w:val="nil"/>
              <w:bottom w:val="single" w:color="auto" w:sz="4" w:space="0"/>
              <w:right w:val="single" w:color="auto" w:sz="4" w:space="0"/>
            </w:tcBorders>
            <w:shd w:val="clear" w:color="auto" w:fill="auto"/>
            <w:vAlign w:val="center"/>
          </w:tcPr>
          <w:p w14:paraId="7B929E8F">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5" w:type="pct"/>
            <w:tcBorders>
              <w:top w:val="single" w:color="auto" w:sz="4" w:space="0"/>
              <w:left w:val="nil"/>
              <w:bottom w:val="single" w:color="auto" w:sz="4" w:space="0"/>
              <w:right w:val="single" w:color="auto" w:sz="4" w:space="0"/>
            </w:tcBorders>
            <w:shd w:val="clear" w:color="auto" w:fill="auto"/>
            <w:vAlign w:val="center"/>
          </w:tcPr>
          <w:p w14:paraId="54E0E34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5" w:type="pct"/>
            <w:tcBorders>
              <w:top w:val="single" w:color="auto" w:sz="4" w:space="0"/>
              <w:left w:val="nil"/>
              <w:bottom w:val="single" w:color="auto" w:sz="4" w:space="0"/>
              <w:right w:val="nil"/>
            </w:tcBorders>
            <w:shd w:val="clear" w:color="auto" w:fill="auto"/>
            <w:vAlign w:val="center"/>
          </w:tcPr>
          <w:p w14:paraId="49A590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19" w:type="pct"/>
            <w:tcBorders>
              <w:top w:val="nil"/>
              <w:left w:val="nil"/>
              <w:bottom w:val="single" w:color="auto" w:sz="4" w:space="0"/>
              <w:right w:val="single" w:color="auto" w:sz="4" w:space="0"/>
            </w:tcBorders>
            <w:shd w:val="clear" w:color="auto" w:fill="auto"/>
            <w:vAlign w:val="center"/>
          </w:tcPr>
          <w:p w14:paraId="1E4A950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3F106C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3" w:type="pct"/>
            <w:tcBorders>
              <w:top w:val="nil"/>
              <w:left w:val="nil"/>
              <w:bottom w:val="single" w:color="auto" w:sz="4" w:space="0"/>
              <w:right w:val="single" w:color="auto" w:sz="4" w:space="0"/>
            </w:tcBorders>
            <w:shd w:val="clear" w:color="auto" w:fill="auto"/>
            <w:vAlign w:val="center"/>
          </w:tcPr>
          <w:p w14:paraId="49DAE89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5" w:type="pct"/>
            <w:tcBorders>
              <w:top w:val="nil"/>
              <w:left w:val="nil"/>
              <w:bottom w:val="single" w:color="auto" w:sz="4" w:space="0"/>
              <w:right w:val="single" w:color="auto" w:sz="4" w:space="0"/>
            </w:tcBorders>
            <w:shd w:val="clear" w:color="auto" w:fill="auto"/>
            <w:vAlign w:val="center"/>
          </w:tcPr>
          <w:p w14:paraId="06C20A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5" w:type="pct"/>
            <w:tcBorders>
              <w:top w:val="nil"/>
              <w:left w:val="nil"/>
              <w:bottom w:val="single" w:color="auto" w:sz="4" w:space="0"/>
              <w:right w:val="nil"/>
            </w:tcBorders>
            <w:shd w:val="clear" w:color="auto" w:fill="auto"/>
            <w:vAlign w:val="center"/>
          </w:tcPr>
          <w:p w14:paraId="4A581E9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1146CC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2E2F64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3" w:type="pct"/>
            <w:tcBorders>
              <w:top w:val="nil"/>
              <w:left w:val="nil"/>
              <w:bottom w:val="nil"/>
              <w:right w:val="single" w:color="auto" w:sz="4" w:space="0"/>
            </w:tcBorders>
            <w:shd w:val="clear" w:color="auto" w:fill="auto"/>
            <w:vAlign w:val="center"/>
          </w:tcPr>
          <w:p w14:paraId="52D205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6C341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5" w:type="pct"/>
            <w:tcBorders>
              <w:top w:val="nil"/>
              <w:left w:val="nil"/>
              <w:bottom w:val="nil"/>
              <w:right w:val="nil"/>
            </w:tcBorders>
            <w:shd w:val="clear" w:color="auto" w:fill="auto"/>
            <w:vAlign w:val="center"/>
          </w:tcPr>
          <w:p w14:paraId="0462CE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19" w:type="pct"/>
            <w:vMerge w:val="continue"/>
            <w:tcBorders>
              <w:top w:val="nil"/>
              <w:left w:val="nil"/>
              <w:bottom w:val="single" w:color="auto" w:sz="4" w:space="0"/>
              <w:right w:val="single" w:color="auto" w:sz="4" w:space="0"/>
            </w:tcBorders>
            <w:vAlign w:val="center"/>
          </w:tcPr>
          <w:p w14:paraId="2225C670">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17EEF3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3" w:type="pct"/>
            <w:tcBorders>
              <w:top w:val="nil"/>
              <w:left w:val="nil"/>
              <w:bottom w:val="single" w:color="auto" w:sz="4" w:space="0"/>
              <w:right w:val="single" w:color="auto" w:sz="4" w:space="0"/>
            </w:tcBorders>
            <w:shd w:val="clear" w:color="auto" w:fill="auto"/>
            <w:vAlign w:val="center"/>
          </w:tcPr>
          <w:p w14:paraId="72A1DC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5" w:type="pct"/>
            <w:tcBorders>
              <w:top w:val="nil"/>
              <w:left w:val="nil"/>
              <w:bottom w:val="single" w:color="auto" w:sz="4" w:space="0"/>
              <w:right w:val="single" w:color="auto" w:sz="4" w:space="0"/>
            </w:tcBorders>
            <w:shd w:val="clear" w:color="auto" w:fill="auto"/>
            <w:vAlign w:val="center"/>
          </w:tcPr>
          <w:p w14:paraId="31E39D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5" w:type="pct"/>
            <w:tcBorders>
              <w:top w:val="nil"/>
              <w:left w:val="nil"/>
              <w:bottom w:val="single" w:color="auto" w:sz="4" w:space="0"/>
              <w:right w:val="nil"/>
            </w:tcBorders>
            <w:shd w:val="clear" w:color="auto" w:fill="auto"/>
            <w:vAlign w:val="center"/>
          </w:tcPr>
          <w:p w14:paraId="2654F2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5A40ACF3">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nil"/>
              <w:right w:val="single" w:color="auto" w:sz="4" w:space="0"/>
            </w:tcBorders>
            <w:shd w:val="clear" w:color="auto" w:fill="auto"/>
            <w:vAlign w:val="center"/>
          </w:tcPr>
          <w:p w14:paraId="36388E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3" w:type="pct"/>
            <w:tcBorders>
              <w:top w:val="nil"/>
              <w:left w:val="nil"/>
              <w:bottom w:val="nil"/>
              <w:right w:val="single" w:color="auto" w:sz="4" w:space="0"/>
            </w:tcBorders>
            <w:shd w:val="clear" w:color="auto" w:fill="auto"/>
            <w:vAlign w:val="center"/>
          </w:tcPr>
          <w:p w14:paraId="3013A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5" w:type="pct"/>
            <w:tcBorders>
              <w:top w:val="nil"/>
              <w:left w:val="nil"/>
              <w:bottom w:val="nil"/>
              <w:right w:val="single" w:color="auto" w:sz="4" w:space="0"/>
            </w:tcBorders>
            <w:shd w:val="clear" w:color="auto" w:fill="auto"/>
            <w:vAlign w:val="center"/>
          </w:tcPr>
          <w:p w14:paraId="293566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5" w:type="pct"/>
            <w:tcBorders>
              <w:top w:val="nil"/>
              <w:left w:val="nil"/>
              <w:bottom w:val="nil"/>
              <w:right w:val="nil"/>
            </w:tcBorders>
            <w:shd w:val="clear" w:color="auto" w:fill="auto"/>
            <w:vAlign w:val="center"/>
          </w:tcPr>
          <w:p w14:paraId="0FD620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7" w:hRule="exact"/>
          <w:jc w:val="center"/>
        </w:trPr>
        <w:tc>
          <w:tcPr>
            <w:tcW w:w="1119" w:type="pct"/>
            <w:vMerge w:val="continue"/>
            <w:tcBorders>
              <w:top w:val="nil"/>
              <w:left w:val="nil"/>
              <w:bottom w:val="single" w:color="auto" w:sz="4" w:space="0"/>
              <w:right w:val="single" w:color="auto" w:sz="4" w:space="0"/>
            </w:tcBorders>
            <w:vAlign w:val="center"/>
          </w:tcPr>
          <w:p w14:paraId="0A93CBF2">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4" w:type="pct"/>
            <w:tcBorders>
              <w:top w:val="nil"/>
              <w:left w:val="nil"/>
              <w:bottom w:val="single" w:color="auto" w:sz="4" w:space="0"/>
              <w:right w:val="single" w:color="auto" w:sz="4" w:space="0"/>
            </w:tcBorders>
            <w:shd w:val="clear" w:color="auto" w:fill="auto"/>
            <w:vAlign w:val="center"/>
          </w:tcPr>
          <w:p w14:paraId="3186C9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3" w:type="pct"/>
            <w:tcBorders>
              <w:top w:val="nil"/>
              <w:left w:val="nil"/>
              <w:bottom w:val="single" w:color="auto" w:sz="4" w:space="0"/>
              <w:right w:val="single" w:color="auto" w:sz="4" w:space="0"/>
            </w:tcBorders>
            <w:shd w:val="clear" w:color="auto" w:fill="auto"/>
            <w:vAlign w:val="center"/>
          </w:tcPr>
          <w:p w14:paraId="401598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5" w:type="pct"/>
            <w:tcBorders>
              <w:top w:val="nil"/>
              <w:left w:val="nil"/>
              <w:bottom w:val="single" w:color="auto" w:sz="4" w:space="0"/>
              <w:right w:val="single" w:color="auto" w:sz="4" w:space="0"/>
            </w:tcBorders>
            <w:shd w:val="clear" w:color="auto" w:fill="auto"/>
            <w:vAlign w:val="center"/>
          </w:tcPr>
          <w:p w14:paraId="0CE7EB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5" w:type="pct"/>
            <w:tcBorders>
              <w:top w:val="nil"/>
              <w:left w:val="nil"/>
              <w:bottom w:val="single" w:color="auto" w:sz="4" w:space="0"/>
              <w:right w:val="nil"/>
            </w:tcBorders>
            <w:shd w:val="clear" w:color="auto" w:fill="auto"/>
            <w:vAlign w:val="center"/>
          </w:tcPr>
          <w:p w14:paraId="405E6D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0D85AEEC">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6ECFAC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3" w:type="pct"/>
            <w:tcBorders>
              <w:top w:val="nil"/>
              <w:left w:val="nil"/>
              <w:bottom w:val="nil"/>
              <w:right w:val="single" w:color="auto" w:sz="4" w:space="0"/>
            </w:tcBorders>
            <w:shd w:val="clear" w:color="auto" w:fill="auto"/>
            <w:vAlign w:val="center"/>
          </w:tcPr>
          <w:p w14:paraId="42828F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5" w:type="pct"/>
            <w:tcBorders>
              <w:top w:val="nil"/>
              <w:left w:val="nil"/>
              <w:bottom w:val="nil"/>
              <w:right w:val="single" w:color="auto" w:sz="4" w:space="0"/>
            </w:tcBorders>
            <w:shd w:val="clear" w:color="auto" w:fill="auto"/>
            <w:vAlign w:val="center"/>
          </w:tcPr>
          <w:p w14:paraId="7465D5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5" w:type="pct"/>
            <w:tcBorders>
              <w:top w:val="nil"/>
              <w:left w:val="nil"/>
              <w:bottom w:val="nil"/>
              <w:right w:val="nil"/>
            </w:tcBorders>
            <w:shd w:val="clear" w:color="auto" w:fill="auto"/>
            <w:vAlign w:val="center"/>
          </w:tcPr>
          <w:p w14:paraId="1881E0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6" w:hRule="exact"/>
          <w:jc w:val="center"/>
        </w:trPr>
        <w:tc>
          <w:tcPr>
            <w:tcW w:w="1119" w:type="pct"/>
            <w:vMerge w:val="continue"/>
            <w:tcBorders>
              <w:top w:val="nil"/>
              <w:left w:val="nil"/>
              <w:bottom w:val="single" w:color="auto" w:sz="4" w:space="0"/>
              <w:right w:val="single" w:color="auto" w:sz="4" w:space="0"/>
            </w:tcBorders>
            <w:vAlign w:val="center"/>
          </w:tcPr>
          <w:p w14:paraId="6D57115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783233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3" w:type="pct"/>
            <w:tcBorders>
              <w:top w:val="nil"/>
              <w:left w:val="nil"/>
              <w:bottom w:val="single" w:color="auto" w:sz="4" w:space="0"/>
              <w:right w:val="single" w:color="auto" w:sz="4" w:space="0"/>
            </w:tcBorders>
            <w:shd w:val="clear" w:color="auto" w:fill="auto"/>
            <w:vAlign w:val="center"/>
          </w:tcPr>
          <w:p w14:paraId="62206B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5" w:type="pct"/>
            <w:tcBorders>
              <w:top w:val="nil"/>
              <w:left w:val="nil"/>
              <w:bottom w:val="single" w:color="auto" w:sz="4" w:space="0"/>
              <w:right w:val="single" w:color="auto" w:sz="4" w:space="0"/>
            </w:tcBorders>
            <w:shd w:val="clear" w:color="auto" w:fill="auto"/>
            <w:vAlign w:val="center"/>
          </w:tcPr>
          <w:p w14:paraId="742BD7B1">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5" w:type="pct"/>
            <w:tcBorders>
              <w:top w:val="nil"/>
              <w:left w:val="nil"/>
              <w:bottom w:val="single" w:color="auto" w:sz="4" w:space="0"/>
              <w:right w:val="nil"/>
            </w:tcBorders>
            <w:shd w:val="clear" w:color="auto" w:fill="auto"/>
            <w:vAlign w:val="center"/>
          </w:tcPr>
          <w:p w14:paraId="745B09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4AC9CBDF">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43362D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7B6599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5" w:type="pct"/>
            <w:tcBorders>
              <w:top w:val="nil"/>
              <w:left w:val="nil"/>
              <w:bottom w:val="nil"/>
              <w:right w:val="single" w:color="auto" w:sz="4" w:space="0"/>
            </w:tcBorders>
            <w:shd w:val="clear" w:color="auto" w:fill="auto"/>
            <w:vAlign w:val="center"/>
          </w:tcPr>
          <w:p w14:paraId="1BF265D8">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5" w:type="pct"/>
            <w:tcBorders>
              <w:top w:val="nil"/>
              <w:left w:val="nil"/>
              <w:bottom w:val="nil"/>
              <w:right w:val="nil"/>
            </w:tcBorders>
            <w:shd w:val="clear" w:color="auto" w:fill="auto"/>
            <w:vAlign w:val="center"/>
          </w:tcPr>
          <w:p w14:paraId="5520E2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19" w:type="pct"/>
            <w:vMerge w:val="continue"/>
            <w:tcBorders>
              <w:top w:val="nil"/>
              <w:left w:val="nil"/>
              <w:bottom w:val="single" w:color="auto" w:sz="4" w:space="0"/>
              <w:right w:val="single" w:color="auto" w:sz="4" w:space="0"/>
            </w:tcBorders>
            <w:vAlign w:val="center"/>
          </w:tcPr>
          <w:p w14:paraId="060058A5">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2ABA93A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3" w:type="pct"/>
            <w:tcBorders>
              <w:top w:val="nil"/>
              <w:left w:val="nil"/>
              <w:bottom w:val="single" w:color="auto" w:sz="4" w:space="0"/>
              <w:right w:val="single" w:color="auto" w:sz="4" w:space="0"/>
            </w:tcBorders>
            <w:shd w:val="clear" w:color="auto" w:fill="auto"/>
            <w:vAlign w:val="center"/>
          </w:tcPr>
          <w:p w14:paraId="1BB0E91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5" w:type="pct"/>
            <w:tcBorders>
              <w:top w:val="nil"/>
              <w:left w:val="nil"/>
              <w:bottom w:val="single" w:color="auto" w:sz="4" w:space="0"/>
              <w:right w:val="single" w:color="auto" w:sz="4" w:space="0"/>
            </w:tcBorders>
            <w:shd w:val="clear" w:color="auto" w:fill="auto"/>
            <w:vAlign w:val="center"/>
          </w:tcPr>
          <w:p w14:paraId="313C9A45">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5" w:type="pct"/>
            <w:tcBorders>
              <w:top w:val="nil"/>
              <w:left w:val="nil"/>
              <w:bottom w:val="single" w:color="auto" w:sz="4" w:space="0"/>
              <w:right w:val="nil"/>
            </w:tcBorders>
            <w:shd w:val="clear" w:color="auto" w:fill="auto"/>
            <w:vAlign w:val="center"/>
          </w:tcPr>
          <w:p w14:paraId="37400E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70E4F0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36A861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3" w:type="pct"/>
            <w:tcBorders>
              <w:top w:val="nil"/>
              <w:left w:val="nil"/>
              <w:bottom w:val="nil"/>
              <w:right w:val="single" w:color="auto" w:sz="4" w:space="0"/>
            </w:tcBorders>
            <w:shd w:val="clear" w:color="auto" w:fill="auto"/>
            <w:vAlign w:val="center"/>
          </w:tcPr>
          <w:p w14:paraId="14104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7B8D0C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5" w:type="pct"/>
            <w:tcBorders>
              <w:top w:val="nil"/>
              <w:left w:val="nil"/>
              <w:bottom w:val="nil"/>
              <w:right w:val="nil"/>
            </w:tcBorders>
            <w:shd w:val="clear" w:color="auto" w:fill="auto"/>
            <w:vAlign w:val="center"/>
          </w:tcPr>
          <w:p w14:paraId="2420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6" w:hRule="exact"/>
          <w:jc w:val="center"/>
        </w:trPr>
        <w:tc>
          <w:tcPr>
            <w:tcW w:w="1119" w:type="pct"/>
            <w:vMerge w:val="continue"/>
            <w:tcBorders>
              <w:top w:val="nil"/>
              <w:left w:val="nil"/>
              <w:bottom w:val="single" w:color="auto" w:sz="4" w:space="0"/>
              <w:right w:val="single" w:color="auto" w:sz="4" w:space="0"/>
            </w:tcBorders>
            <w:vAlign w:val="center"/>
          </w:tcPr>
          <w:p w14:paraId="7477D18D">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6343E8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3" w:type="pct"/>
            <w:tcBorders>
              <w:top w:val="nil"/>
              <w:left w:val="nil"/>
              <w:bottom w:val="single" w:color="auto" w:sz="4" w:space="0"/>
              <w:right w:val="single" w:color="auto" w:sz="4" w:space="0"/>
            </w:tcBorders>
            <w:shd w:val="clear" w:color="auto" w:fill="auto"/>
            <w:vAlign w:val="center"/>
          </w:tcPr>
          <w:p w14:paraId="517AA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5" w:type="pct"/>
            <w:tcBorders>
              <w:top w:val="nil"/>
              <w:left w:val="nil"/>
              <w:bottom w:val="single" w:color="auto" w:sz="4" w:space="0"/>
              <w:right w:val="single" w:color="auto" w:sz="4" w:space="0"/>
            </w:tcBorders>
            <w:shd w:val="clear" w:color="auto" w:fill="auto"/>
            <w:vAlign w:val="center"/>
          </w:tcPr>
          <w:p w14:paraId="2C3F1D5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5" w:type="pct"/>
            <w:tcBorders>
              <w:top w:val="nil"/>
              <w:left w:val="nil"/>
              <w:bottom w:val="single" w:color="auto" w:sz="4" w:space="0"/>
              <w:right w:val="nil"/>
            </w:tcBorders>
            <w:shd w:val="clear" w:color="auto" w:fill="auto"/>
            <w:vAlign w:val="center"/>
          </w:tcPr>
          <w:p w14:paraId="3307341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28D2762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56D878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3" w:type="pct"/>
            <w:tcBorders>
              <w:top w:val="nil"/>
              <w:left w:val="nil"/>
              <w:bottom w:val="nil"/>
              <w:right w:val="single" w:color="auto" w:sz="4" w:space="0"/>
            </w:tcBorders>
            <w:shd w:val="clear" w:color="auto" w:fill="auto"/>
            <w:vAlign w:val="center"/>
          </w:tcPr>
          <w:p w14:paraId="0B4BE9FA">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5" w:type="pct"/>
            <w:tcBorders>
              <w:top w:val="nil"/>
              <w:left w:val="nil"/>
              <w:bottom w:val="nil"/>
              <w:right w:val="single" w:color="auto" w:sz="4" w:space="0"/>
            </w:tcBorders>
            <w:shd w:val="clear" w:color="auto" w:fill="auto"/>
            <w:vAlign w:val="center"/>
          </w:tcPr>
          <w:p w14:paraId="666BCF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5" w:type="pct"/>
            <w:tcBorders>
              <w:top w:val="nil"/>
              <w:left w:val="nil"/>
              <w:bottom w:val="nil"/>
              <w:right w:val="nil"/>
            </w:tcBorders>
            <w:shd w:val="clear" w:color="auto" w:fill="auto"/>
            <w:vAlign w:val="center"/>
          </w:tcPr>
          <w:p w14:paraId="7597B9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7" w:hRule="exact"/>
          <w:jc w:val="center"/>
        </w:trPr>
        <w:tc>
          <w:tcPr>
            <w:tcW w:w="1119" w:type="pct"/>
            <w:vMerge w:val="continue"/>
            <w:tcBorders>
              <w:top w:val="nil"/>
              <w:left w:val="nil"/>
              <w:bottom w:val="single" w:color="auto" w:sz="4" w:space="0"/>
              <w:right w:val="single" w:color="auto" w:sz="4" w:space="0"/>
            </w:tcBorders>
            <w:vAlign w:val="center"/>
          </w:tcPr>
          <w:p w14:paraId="73446885">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628C6A5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3" w:type="pct"/>
            <w:tcBorders>
              <w:top w:val="nil"/>
              <w:left w:val="nil"/>
              <w:bottom w:val="single" w:color="auto" w:sz="4" w:space="0"/>
              <w:right w:val="single" w:color="auto" w:sz="4" w:space="0"/>
            </w:tcBorders>
            <w:shd w:val="clear" w:color="auto" w:fill="auto"/>
            <w:vAlign w:val="center"/>
          </w:tcPr>
          <w:p w14:paraId="428400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5" w:type="pct"/>
            <w:tcBorders>
              <w:top w:val="nil"/>
              <w:left w:val="nil"/>
              <w:bottom w:val="single" w:color="auto" w:sz="4" w:space="0"/>
              <w:right w:val="single" w:color="auto" w:sz="4" w:space="0"/>
            </w:tcBorders>
            <w:shd w:val="clear" w:color="auto" w:fill="auto"/>
            <w:vAlign w:val="center"/>
          </w:tcPr>
          <w:p w14:paraId="6420DF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5" w:type="pct"/>
            <w:tcBorders>
              <w:top w:val="nil"/>
              <w:left w:val="nil"/>
              <w:bottom w:val="single" w:color="auto" w:sz="4" w:space="0"/>
              <w:right w:val="nil"/>
            </w:tcBorders>
            <w:shd w:val="clear" w:color="auto" w:fill="auto"/>
            <w:vAlign w:val="center"/>
          </w:tcPr>
          <w:p w14:paraId="709E9C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7EE4284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032A06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3" w:type="pct"/>
            <w:tcBorders>
              <w:top w:val="nil"/>
              <w:left w:val="nil"/>
              <w:bottom w:val="nil"/>
              <w:right w:val="single" w:color="auto" w:sz="4" w:space="0"/>
            </w:tcBorders>
            <w:shd w:val="clear" w:color="auto" w:fill="auto"/>
            <w:vAlign w:val="center"/>
          </w:tcPr>
          <w:p w14:paraId="5D9AE6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4099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5" w:type="pct"/>
            <w:tcBorders>
              <w:top w:val="nil"/>
              <w:left w:val="nil"/>
              <w:bottom w:val="nil"/>
              <w:right w:val="nil"/>
            </w:tcBorders>
            <w:shd w:val="clear" w:color="auto" w:fill="auto"/>
            <w:vAlign w:val="center"/>
          </w:tcPr>
          <w:p w14:paraId="3BE341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0" w:hRule="exact"/>
          <w:jc w:val="center"/>
        </w:trPr>
        <w:tc>
          <w:tcPr>
            <w:tcW w:w="1119" w:type="pct"/>
            <w:vMerge w:val="continue"/>
            <w:tcBorders>
              <w:top w:val="nil"/>
              <w:left w:val="nil"/>
              <w:bottom w:val="single" w:color="auto" w:sz="4" w:space="0"/>
              <w:right w:val="single" w:color="auto" w:sz="4" w:space="0"/>
            </w:tcBorders>
            <w:vAlign w:val="center"/>
          </w:tcPr>
          <w:p w14:paraId="3C63DDD2">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78B35C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3" w:type="pct"/>
            <w:tcBorders>
              <w:top w:val="nil"/>
              <w:left w:val="nil"/>
              <w:bottom w:val="single" w:color="auto" w:sz="4" w:space="0"/>
              <w:right w:val="single" w:color="auto" w:sz="4" w:space="0"/>
            </w:tcBorders>
            <w:shd w:val="clear" w:color="auto" w:fill="auto"/>
            <w:vAlign w:val="center"/>
          </w:tcPr>
          <w:p w14:paraId="11ECCF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5" w:type="pct"/>
            <w:tcBorders>
              <w:top w:val="nil"/>
              <w:left w:val="nil"/>
              <w:bottom w:val="single" w:color="auto" w:sz="4" w:space="0"/>
              <w:right w:val="single" w:color="auto" w:sz="4" w:space="0"/>
            </w:tcBorders>
            <w:shd w:val="clear" w:color="auto" w:fill="auto"/>
            <w:vAlign w:val="center"/>
          </w:tcPr>
          <w:p w14:paraId="18E8C6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5" w:type="pct"/>
            <w:tcBorders>
              <w:top w:val="nil"/>
              <w:left w:val="nil"/>
              <w:bottom w:val="single" w:color="auto" w:sz="4" w:space="0"/>
              <w:right w:val="nil"/>
            </w:tcBorders>
            <w:shd w:val="clear" w:color="auto" w:fill="auto"/>
            <w:vAlign w:val="center"/>
          </w:tcPr>
          <w:p w14:paraId="1F1D51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698BA48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4079B1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6887D39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6CDEC9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19DA3F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19" w:type="pct"/>
            <w:vMerge w:val="continue"/>
            <w:tcBorders>
              <w:top w:val="nil"/>
              <w:left w:val="nil"/>
              <w:bottom w:val="single" w:color="auto" w:sz="4" w:space="0"/>
              <w:right w:val="single" w:color="auto" w:sz="4" w:space="0"/>
            </w:tcBorders>
            <w:vAlign w:val="center"/>
          </w:tcPr>
          <w:p w14:paraId="255F1EC9">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2CCCB7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3" w:type="pct"/>
            <w:tcBorders>
              <w:top w:val="nil"/>
              <w:left w:val="nil"/>
              <w:bottom w:val="single" w:color="auto" w:sz="4" w:space="0"/>
              <w:right w:val="single" w:color="auto" w:sz="4" w:space="0"/>
            </w:tcBorders>
            <w:shd w:val="clear" w:color="auto" w:fill="auto"/>
            <w:vAlign w:val="center"/>
          </w:tcPr>
          <w:p w14:paraId="3424A8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5" w:type="pct"/>
            <w:tcBorders>
              <w:top w:val="nil"/>
              <w:left w:val="nil"/>
              <w:bottom w:val="single" w:color="auto" w:sz="4" w:space="0"/>
              <w:right w:val="single" w:color="auto" w:sz="4" w:space="0"/>
            </w:tcBorders>
            <w:shd w:val="clear" w:color="auto" w:fill="auto"/>
            <w:vAlign w:val="center"/>
          </w:tcPr>
          <w:p w14:paraId="7B5473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5" w:type="pct"/>
            <w:tcBorders>
              <w:top w:val="nil"/>
              <w:left w:val="nil"/>
              <w:bottom w:val="single" w:color="auto" w:sz="4" w:space="0"/>
              <w:right w:val="nil"/>
            </w:tcBorders>
            <w:shd w:val="clear" w:color="auto" w:fill="auto"/>
            <w:vAlign w:val="center"/>
          </w:tcPr>
          <w:p w14:paraId="14F0D4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0F165C7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28D30E5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523F73F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170A3D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73046A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6" w:hRule="exact"/>
          <w:jc w:val="center"/>
        </w:trPr>
        <w:tc>
          <w:tcPr>
            <w:tcW w:w="1119" w:type="pct"/>
            <w:vMerge w:val="continue"/>
            <w:tcBorders>
              <w:top w:val="nil"/>
              <w:left w:val="nil"/>
              <w:bottom w:val="single" w:color="auto" w:sz="4" w:space="0"/>
              <w:right w:val="single" w:color="auto" w:sz="4" w:space="0"/>
            </w:tcBorders>
            <w:vAlign w:val="center"/>
          </w:tcPr>
          <w:p w14:paraId="031C078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4DD96C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3" w:type="pct"/>
            <w:tcBorders>
              <w:top w:val="nil"/>
              <w:left w:val="nil"/>
              <w:bottom w:val="single" w:color="auto" w:sz="4" w:space="0"/>
              <w:right w:val="single" w:color="auto" w:sz="4" w:space="0"/>
            </w:tcBorders>
            <w:shd w:val="clear" w:color="auto" w:fill="auto"/>
            <w:vAlign w:val="center"/>
          </w:tcPr>
          <w:p w14:paraId="225256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5" w:type="pct"/>
            <w:tcBorders>
              <w:top w:val="nil"/>
              <w:left w:val="nil"/>
              <w:bottom w:val="single" w:color="auto" w:sz="4" w:space="0"/>
              <w:right w:val="single" w:color="auto" w:sz="4" w:space="0"/>
            </w:tcBorders>
            <w:shd w:val="clear" w:color="auto" w:fill="auto"/>
            <w:vAlign w:val="center"/>
          </w:tcPr>
          <w:p w14:paraId="4C7950F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5" w:type="pct"/>
            <w:tcBorders>
              <w:top w:val="nil"/>
              <w:left w:val="nil"/>
              <w:bottom w:val="single" w:color="auto" w:sz="4" w:space="0"/>
              <w:right w:val="nil"/>
            </w:tcBorders>
            <w:shd w:val="clear" w:color="auto" w:fill="auto"/>
            <w:vAlign w:val="center"/>
          </w:tcPr>
          <w:p w14:paraId="5C28BE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6226AA4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6ED433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3" w:type="pct"/>
            <w:tcBorders>
              <w:top w:val="nil"/>
              <w:left w:val="nil"/>
              <w:bottom w:val="nil"/>
              <w:right w:val="single" w:color="auto" w:sz="4" w:space="0"/>
            </w:tcBorders>
            <w:shd w:val="clear" w:color="auto" w:fill="auto"/>
            <w:vAlign w:val="center"/>
          </w:tcPr>
          <w:p w14:paraId="197F2C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5" w:type="pct"/>
            <w:tcBorders>
              <w:top w:val="nil"/>
              <w:left w:val="nil"/>
              <w:bottom w:val="nil"/>
              <w:right w:val="single" w:color="auto" w:sz="4" w:space="0"/>
            </w:tcBorders>
            <w:shd w:val="clear" w:color="auto" w:fill="auto"/>
            <w:vAlign w:val="center"/>
          </w:tcPr>
          <w:p w14:paraId="5F082A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355494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19" w:type="pct"/>
            <w:vMerge w:val="continue"/>
            <w:tcBorders>
              <w:top w:val="nil"/>
              <w:left w:val="nil"/>
              <w:bottom w:val="single" w:color="auto" w:sz="4" w:space="0"/>
              <w:right w:val="single" w:color="auto" w:sz="4" w:space="0"/>
            </w:tcBorders>
            <w:vAlign w:val="center"/>
          </w:tcPr>
          <w:p w14:paraId="628CFDA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1382F9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3" w:type="pct"/>
            <w:tcBorders>
              <w:top w:val="nil"/>
              <w:left w:val="nil"/>
              <w:bottom w:val="single" w:color="auto" w:sz="4" w:space="0"/>
              <w:right w:val="single" w:color="auto" w:sz="4" w:space="0"/>
            </w:tcBorders>
            <w:shd w:val="clear" w:color="auto" w:fill="auto"/>
            <w:vAlign w:val="center"/>
          </w:tcPr>
          <w:p w14:paraId="3317A5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5" w:type="pct"/>
            <w:tcBorders>
              <w:top w:val="nil"/>
              <w:left w:val="nil"/>
              <w:bottom w:val="single" w:color="auto" w:sz="4" w:space="0"/>
              <w:right w:val="single" w:color="auto" w:sz="4" w:space="0"/>
            </w:tcBorders>
            <w:shd w:val="clear" w:color="auto" w:fill="auto"/>
            <w:vAlign w:val="center"/>
          </w:tcPr>
          <w:p w14:paraId="0F1A4F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5" w:type="pct"/>
            <w:tcBorders>
              <w:top w:val="nil"/>
              <w:left w:val="nil"/>
              <w:bottom w:val="single" w:color="auto" w:sz="4" w:space="0"/>
              <w:right w:val="nil"/>
            </w:tcBorders>
            <w:shd w:val="clear" w:color="auto" w:fill="auto"/>
            <w:vAlign w:val="center"/>
          </w:tcPr>
          <w:p w14:paraId="7F5996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48" w:hRule="exact"/>
          <w:jc w:val="center"/>
        </w:trPr>
        <w:tc>
          <w:tcPr>
            <w:tcW w:w="1119" w:type="pct"/>
            <w:vMerge w:val="restart"/>
            <w:tcBorders>
              <w:top w:val="single" w:color="auto" w:sz="4" w:space="0"/>
              <w:left w:val="nil"/>
              <w:bottom w:val="single" w:color="auto" w:sz="4" w:space="0"/>
              <w:right w:val="single" w:color="auto" w:sz="4" w:space="0"/>
            </w:tcBorders>
            <w:shd w:val="clear" w:color="auto" w:fill="auto"/>
            <w:vAlign w:val="center"/>
          </w:tcPr>
          <w:p w14:paraId="45B417F5">
            <w:pPr>
              <w:spacing w:line="240" w:lineRule="exact"/>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697AD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51D17C8C">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02891E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0E5586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2" w:hRule="exact"/>
          <w:jc w:val="center"/>
        </w:trPr>
        <w:tc>
          <w:tcPr>
            <w:tcW w:w="1119" w:type="pct"/>
            <w:vMerge w:val="continue"/>
            <w:tcBorders>
              <w:top w:val="single" w:color="auto" w:sz="4" w:space="0"/>
              <w:left w:val="nil"/>
              <w:bottom w:val="single" w:color="auto" w:sz="4" w:space="0"/>
              <w:right w:val="single" w:color="auto" w:sz="4" w:space="0"/>
            </w:tcBorders>
            <w:vAlign w:val="center"/>
          </w:tcPr>
          <w:p w14:paraId="61B7FD76">
            <w:pPr>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46C8D6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3" w:type="pct"/>
            <w:tcBorders>
              <w:top w:val="nil"/>
              <w:left w:val="nil"/>
              <w:bottom w:val="single" w:color="auto" w:sz="4" w:space="0"/>
              <w:right w:val="single" w:color="auto" w:sz="4" w:space="0"/>
            </w:tcBorders>
            <w:shd w:val="clear" w:color="auto" w:fill="auto"/>
            <w:vAlign w:val="center"/>
          </w:tcPr>
          <w:p w14:paraId="29C41C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5" w:type="pct"/>
            <w:tcBorders>
              <w:top w:val="nil"/>
              <w:left w:val="nil"/>
              <w:bottom w:val="single" w:color="auto" w:sz="4" w:space="0"/>
              <w:right w:val="single" w:color="auto" w:sz="4" w:space="0"/>
            </w:tcBorders>
            <w:shd w:val="clear" w:color="auto" w:fill="auto"/>
            <w:vAlign w:val="center"/>
          </w:tcPr>
          <w:p w14:paraId="30D596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5" w:type="pct"/>
            <w:tcBorders>
              <w:top w:val="nil"/>
              <w:left w:val="nil"/>
              <w:bottom w:val="single" w:color="auto" w:sz="4" w:space="0"/>
              <w:right w:val="nil"/>
            </w:tcBorders>
            <w:shd w:val="clear" w:color="auto" w:fill="auto"/>
            <w:vAlign w:val="center"/>
          </w:tcPr>
          <w:p w14:paraId="3AD7B85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1"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481C872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nil"/>
              <w:right w:val="single" w:color="auto" w:sz="4" w:space="0"/>
            </w:tcBorders>
            <w:shd w:val="clear" w:color="auto" w:fill="auto"/>
            <w:vAlign w:val="center"/>
          </w:tcPr>
          <w:p w14:paraId="57584D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3" w:type="pct"/>
            <w:tcBorders>
              <w:top w:val="nil"/>
              <w:left w:val="nil"/>
              <w:bottom w:val="nil"/>
              <w:right w:val="single" w:color="auto" w:sz="4" w:space="0"/>
            </w:tcBorders>
            <w:shd w:val="clear" w:color="auto" w:fill="auto"/>
            <w:vAlign w:val="center"/>
          </w:tcPr>
          <w:p w14:paraId="1CF8A8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5" w:type="pct"/>
            <w:tcBorders>
              <w:top w:val="nil"/>
              <w:left w:val="nil"/>
              <w:bottom w:val="nil"/>
              <w:right w:val="single" w:color="auto" w:sz="4" w:space="0"/>
            </w:tcBorders>
            <w:shd w:val="clear" w:color="auto" w:fill="auto"/>
            <w:vAlign w:val="center"/>
          </w:tcPr>
          <w:p w14:paraId="110E57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5" w:type="pct"/>
            <w:tcBorders>
              <w:top w:val="nil"/>
              <w:left w:val="nil"/>
              <w:bottom w:val="nil"/>
              <w:right w:val="nil"/>
            </w:tcBorders>
            <w:shd w:val="clear" w:color="auto" w:fill="auto"/>
            <w:vAlign w:val="center"/>
          </w:tcPr>
          <w:p w14:paraId="775C60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2" w:hRule="exact"/>
          <w:jc w:val="center"/>
        </w:trPr>
        <w:tc>
          <w:tcPr>
            <w:tcW w:w="1119" w:type="pct"/>
            <w:vMerge w:val="continue"/>
            <w:tcBorders>
              <w:top w:val="nil"/>
              <w:left w:val="nil"/>
              <w:bottom w:val="single" w:color="auto" w:sz="4" w:space="0"/>
              <w:right w:val="single" w:color="auto" w:sz="4" w:space="0"/>
            </w:tcBorders>
            <w:vAlign w:val="center"/>
          </w:tcPr>
          <w:p w14:paraId="7318124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4" w:type="pct"/>
            <w:tcBorders>
              <w:top w:val="nil"/>
              <w:left w:val="nil"/>
              <w:bottom w:val="single" w:color="auto" w:sz="4" w:space="0"/>
              <w:right w:val="single" w:color="auto" w:sz="4" w:space="0"/>
            </w:tcBorders>
            <w:shd w:val="clear" w:color="auto" w:fill="auto"/>
            <w:vAlign w:val="center"/>
          </w:tcPr>
          <w:p w14:paraId="403637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3" w:type="pct"/>
            <w:tcBorders>
              <w:top w:val="nil"/>
              <w:left w:val="nil"/>
              <w:bottom w:val="single" w:color="auto" w:sz="4" w:space="0"/>
              <w:right w:val="single" w:color="auto" w:sz="4" w:space="0"/>
            </w:tcBorders>
            <w:shd w:val="clear" w:color="auto" w:fill="auto"/>
            <w:vAlign w:val="center"/>
          </w:tcPr>
          <w:p w14:paraId="33E1CA9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5" w:type="pct"/>
            <w:tcBorders>
              <w:top w:val="nil"/>
              <w:left w:val="nil"/>
              <w:bottom w:val="single" w:color="auto" w:sz="4" w:space="0"/>
              <w:right w:val="single" w:color="auto" w:sz="4" w:space="0"/>
            </w:tcBorders>
            <w:shd w:val="clear" w:color="auto" w:fill="auto"/>
            <w:vAlign w:val="center"/>
          </w:tcPr>
          <w:p w14:paraId="6E2F923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5" w:type="pct"/>
            <w:tcBorders>
              <w:top w:val="nil"/>
              <w:left w:val="nil"/>
              <w:bottom w:val="single" w:color="auto" w:sz="4" w:space="0"/>
              <w:right w:val="nil"/>
            </w:tcBorders>
            <w:shd w:val="clear" w:color="auto" w:fill="auto"/>
            <w:vAlign w:val="center"/>
          </w:tcPr>
          <w:p w14:paraId="0AA13F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48"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04FE9FA7">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539C3C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3" w:type="pct"/>
            <w:tcBorders>
              <w:top w:val="nil"/>
              <w:left w:val="nil"/>
              <w:bottom w:val="nil"/>
              <w:right w:val="single" w:color="auto" w:sz="4" w:space="0"/>
            </w:tcBorders>
            <w:shd w:val="clear" w:color="auto" w:fill="auto"/>
            <w:vAlign w:val="center"/>
          </w:tcPr>
          <w:p w14:paraId="4FC65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727C29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5" w:type="pct"/>
            <w:tcBorders>
              <w:top w:val="nil"/>
              <w:left w:val="nil"/>
              <w:bottom w:val="nil"/>
              <w:right w:val="nil"/>
            </w:tcBorders>
            <w:shd w:val="clear" w:color="auto" w:fill="auto"/>
            <w:vAlign w:val="center"/>
          </w:tcPr>
          <w:p w14:paraId="14AE39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2" w:hRule="exact"/>
          <w:jc w:val="center"/>
        </w:trPr>
        <w:tc>
          <w:tcPr>
            <w:tcW w:w="1119" w:type="pct"/>
            <w:vMerge w:val="continue"/>
            <w:tcBorders>
              <w:top w:val="nil"/>
              <w:left w:val="nil"/>
              <w:bottom w:val="single" w:color="auto" w:sz="4" w:space="0"/>
              <w:right w:val="single" w:color="auto" w:sz="4" w:space="0"/>
            </w:tcBorders>
            <w:vAlign w:val="center"/>
          </w:tcPr>
          <w:p w14:paraId="1A68BC5E">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51610F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3" w:type="pct"/>
            <w:tcBorders>
              <w:top w:val="nil"/>
              <w:left w:val="nil"/>
              <w:bottom w:val="single" w:color="auto" w:sz="4" w:space="0"/>
              <w:right w:val="single" w:color="auto" w:sz="4" w:space="0"/>
            </w:tcBorders>
            <w:shd w:val="clear" w:color="auto" w:fill="auto"/>
            <w:vAlign w:val="center"/>
          </w:tcPr>
          <w:p w14:paraId="37E7E745">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5" w:type="pct"/>
            <w:tcBorders>
              <w:top w:val="nil"/>
              <w:left w:val="nil"/>
              <w:bottom w:val="single" w:color="auto" w:sz="4" w:space="0"/>
              <w:right w:val="single" w:color="auto" w:sz="4" w:space="0"/>
            </w:tcBorders>
            <w:shd w:val="clear" w:color="auto" w:fill="auto"/>
            <w:vAlign w:val="center"/>
          </w:tcPr>
          <w:p w14:paraId="4731D9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5" w:type="pct"/>
            <w:tcBorders>
              <w:top w:val="nil"/>
              <w:left w:val="nil"/>
              <w:bottom w:val="single" w:color="auto" w:sz="4" w:space="0"/>
              <w:right w:val="nil"/>
            </w:tcBorders>
            <w:shd w:val="clear" w:color="auto" w:fill="auto"/>
            <w:vAlign w:val="center"/>
          </w:tcPr>
          <w:p w14:paraId="29AC61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48"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27199F9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1C35B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32D65003">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4818E2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643E36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09" w:hRule="exact"/>
          <w:jc w:val="center"/>
        </w:trPr>
        <w:tc>
          <w:tcPr>
            <w:tcW w:w="1119" w:type="pct"/>
            <w:vMerge w:val="continue"/>
            <w:tcBorders>
              <w:top w:val="nil"/>
              <w:left w:val="nil"/>
              <w:bottom w:val="single" w:color="auto" w:sz="4" w:space="0"/>
              <w:right w:val="single" w:color="auto" w:sz="4" w:space="0"/>
            </w:tcBorders>
            <w:vAlign w:val="center"/>
          </w:tcPr>
          <w:p w14:paraId="52835203">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4" w:type="pct"/>
            <w:tcBorders>
              <w:top w:val="nil"/>
              <w:left w:val="nil"/>
              <w:bottom w:val="single" w:color="auto" w:sz="4" w:space="0"/>
              <w:right w:val="single" w:color="auto" w:sz="4" w:space="0"/>
            </w:tcBorders>
            <w:shd w:val="clear" w:color="auto" w:fill="auto"/>
            <w:vAlign w:val="center"/>
          </w:tcPr>
          <w:p w14:paraId="175AB9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3" w:type="pct"/>
            <w:tcBorders>
              <w:top w:val="nil"/>
              <w:left w:val="nil"/>
              <w:bottom w:val="single" w:color="auto" w:sz="4" w:space="0"/>
              <w:right w:val="single" w:color="auto" w:sz="4" w:space="0"/>
            </w:tcBorders>
            <w:shd w:val="clear" w:color="auto" w:fill="auto"/>
            <w:vAlign w:val="center"/>
          </w:tcPr>
          <w:p w14:paraId="3A78E3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5" w:type="pct"/>
            <w:tcBorders>
              <w:top w:val="nil"/>
              <w:left w:val="nil"/>
              <w:bottom w:val="single" w:color="auto" w:sz="4" w:space="0"/>
              <w:right w:val="single" w:color="auto" w:sz="4" w:space="0"/>
            </w:tcBorders>
            <w:shd w:val="clear" w:color="auto" w:fill="auto"/>
            <w:vAlign w:val="center"/>
          </w:tcPr>
          <w:p w14:paraId="2B6A71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5" w:type="pct"/>
            <w:tcBorders>
              <w:top w:val="nil"/>
              <w:left w:val="nil"/>
              <w:bottom w:val="single" w:color="auto" w:sz="4" w:space="0"/>
              <w:right w:val="nil"/>
            </w:tcBorders>
            <w:shd w:val="clear" w:color="auto" w:fill="auto"/>
            <w:vAlign w:val="center"/>
          </w:tcPr>
          <w:p w14:paraId="47A346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38" w:hRule="exact"/>
          <w:jc w:val="center"/>
        </w:trPr>
        <w:tc>
          <w:tcPr>
            <w:tcW w:w="1119" w:type="pct"/>
            <w:tcBorders>
              <w:top w:val="nil"/>
              <w:left w:val="nil"/>
              <w:bottom w:val="single" w:color="auto" w:sz="4" w:space="0"/>
              <w:right w:val="single" w:color="auto" w:sz="4" w:space="0"/>
            </w:tcBorders>
            <w:shd w:val="clear" w:color="auto" w:fill="auto"/>
            <w:vAlign w:val="center"/>
          </w:tcPr>
          <w:p w14:paraId="5684BF9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single" w:color="auto" w:sz="4" w:space="0"/>
              <w:right w:val="single" w:color="auto" w:sz="4" w:space="0"/>
            </w:tcBorders>
            <w:shd w:val="clear" w:color="auto" w:fill="auto"/>
            <w:vAlign w:val="center"/>
          </w:tcPr>
          <w:p w14:paraId="27854E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single" w:color="auto" w:sz="4" w:space="0"/>
              <w:right w:val="single" w:color="auto" w:sz="4" w:space="0"/>
            </w:tcBorders>
            <w:shd w:val="clear" w:color="auto" w:fill="auto"/>
            <w:vAlign w:val="center"/>
          </w:tcPr>
          <w:p w14:paraId="0C1E1D9E">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single" w:color="auto" w:sz="4" w:space="0"/>
              <w:right w:val="single" w:color="auto" w:sz="4" w:space="0"/>
            </w:tcBorders>
            <w:shd w:val="clear" w:color="auto" w:fill="auto"/>
            <w:vAlign w:val="center"/>
          </w:tcPr>
          <w:p w14:paraId="6BCAF4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single" w:color="auto" w:sz="4" w:space="0"/>
              <w:right w:val="nil"/>
            </w:tcBorders>
            <w:shd w:val="clear" w:color="auto" w:fill="auto"/>
            <w:vAlign w:val="center"/>
          </w:tcPr>
          <w:p w14:paraId="10286C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3EC967E5">
      <w:pPr>
        <w:spacing w:after="60" w:line="360" w:lineRule="exact"/>
        <w:jc w:val="center"/>
        <w:outlineLvl w:val="9"/>
        <w:rPr>
          <w:rFonts w:hint="eastAsia"/>
          <w:b/>
          <w:color w:val="auto"/>
        </w:rPr>
      </w:pPr>
      <w:r>
        <w:rPr>
          <w:rFonts w:hint="eastAsia"/>
          <w:b/>
          <w:color w:val="auto"/>
          <w:lang w:val="en-US" w:eastAsia="zh-CN"/>
        </w:rPr>
        <w:t>4、国务院办公厅关于在政府采购中实施本国产品标准及相关政策的通知</w:t>
      </w:r>
    </w:p>
    <w:p w14:paraId="3E25EC7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3BB0CA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7F1D20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CA2FEE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一、本国产品标准</w:t>
      </w:r>
    </w:p>
    <w:p w14:paraId="6B24DD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684E35B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40A5B9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985CB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03209A5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FFD6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0A005A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4A46BF8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652308A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34F82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384934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2478B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5C2874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DF20A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214A73D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5443CCE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B8CF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二、本国产品标准的适用范围</w:t>
      </w:r>
    </w:p>
    <w:p w14:paraId="6B400CA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78E4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三、对本国产品的支持政策</w:t>
      </w:r>
    </w:p>
    <w:p w14:paraId="67DB71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3DAEF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44DC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四、政策执行要求</w:t>
      </w:r>
    </w:p>
    <w:p w14:paraId="52C9A4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17EE071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E1FC8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75ADC64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C933C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79ACD1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五、争议处理</w:t>
      </w:r>
    </w:p>
    <w:p w14:paraId="1564B6D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DA9C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5DBA55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DFE65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54ADF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6864A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95146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9EC3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31B13A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2CA3B2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0251C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6815239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67A3F2C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09B693C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0FB82014">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0C9EC6B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33999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0580C4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2C1924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2D2FB6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0189DB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35759AA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14AE681F">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6A7AA6A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9CDCD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2"/>
          <w:rFonts w:hint="eastAsia" w:ascii="宋体" w:hAnsi="宋体" w:eastAsia="宋体" w:cs="宋体"/>
          <w:i w:val="0"/>
          <w:iCs w:val="0"/>
          <w:caps w:val="0"/>
          <w:color w:val="333333"/>
          <w:spacing w:val="0"/>
          <w:sz w:val="21"/>
          <w:szCs w:val="21"/>
          <w:shd w:val="clear" w:color="auto" w:fill="FFFFFF"/>
        </w:rPr>
        <w:t>（产品名称1）</w:t>
      </w:r>
      <w:r>
        <w:rPr>
          <w:rStyle w:val="22"/>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Style w:val="22"/>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Style w:val="22"/>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Style w:val="22"/>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Style w:val="22"/>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0737F27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46D39C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634C5A5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9FF48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FCFEA32">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453AE30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731C9ED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07258FC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5BC5C19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7493273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13A5D0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2333556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21D4C74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59CBE71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46ECB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2A4416A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30A4684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7BFF7E1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7D3AE6D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1DF503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2FD48A4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504DFD64">
      <w:pPr>
        <w:pStyle w:val="6"/>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17146F7E">
      <w:pPr>
        <w:pStyle w:val="6"/>
        <w:numPr>
          <w:ilvl w:val="0"/>
          <w:numId w:val="0"/>
        </w:numPr>
        <w:spacing w:after="120"/>
        <w:rPr>
          <w:rFonts w:hint="eastAsia" w:ascii="宋体" w:hAnsi="宋体" w:eastAsia="宋体" w:cs="宋体"/>
          <w:i w:val="0"/>
          <w:iCs w:val="0"/>
          <w:caps w:val="0"/>
          <w:color w:val="333333"/>
          <w:spacing w:val="0"/>
          <w:sz w:val="21"/>
          <w:szCs w:val="21"/>
          <w:shd w:val="clear" w:fill="FFFFFF"/>
        </w:rPr>
      </w:pPr>
    </w:p>
    <w:p w14:paraId="3085CC0C">
      <w:pPr>
        <w:pStyle w:val="6"/>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 xml:space="preserve">                          </w:t>
      </w:r>
    </w:p>
    <w:p w14:paraId="1D29C215">
      <w:pPr>
        <w:jc w:val="center"/>
        <w:rPr>
          <w:rFonts w:hint="eastAsia" w:asciiTheme="minorEastAsia" w:hAnsiTheme="minorEastAsia" w:cstheme="minorEastAsia"/>
          <w:b/>
          <w:bCs/>
          <w:sz w:val="28"/>
          <w:szCs w:val="28"/>
          <w:lang w:eastAsia="zh-CN"/>
        </w:rPr>
      </w:pPr>
    </w:p>
    <w:p w14:paraId="5BE22A57">
      <w:pPr>
        <w:jc w:val="center"/>
        <w:rPr>
          <w:rFonts w:hint="eastAsia" w:asciiTheme="minorEastAsia" w:hAnsiTheme="minorEastAsia" w:cstheme="minorEastAsia"/>
          <w:b/>
          <w:bCs/>
          <w:sz w:val="28"/>
          <w:szCs w:val="28"/>
          <w:lang w:eastAsia="zh-CN"/>
        </w:rPr>
      </w:pPr>
    </w:p>
    <w:p w14:paraId="6E6FCFC3">
      <w:pPr>
        <w:jc w:val="center"/>
        <w:rPr>
          <w:rFonts w:hint="eastAsia" w:cs="宋体" w:asciiTheme="majorEastAsia" w:hAnsiTheme="majorEastAsia" w:eastAsiaTheme="majorEastAsia"/>
          <w:kern w:val="2"/>
          <w:sz w:val="30"/>
          <w:szCs w:val="30"/>
          <w:lang w:val="en-US" w:eastAsia="zh-CN" w:bidi="ar-SA"/>
        </w:rPr>
      </w:pPr>
    </w:p>
    <w:p w14:paraId="4DFE56D0">
      <w:pPr>
        <w:jc w:val="center"/>
        <w:rPr>
          <w:rFonts w:hint="eastAsia" w:cs="宋体" w:asciiTheme="majorEastAsia" w:hAnsiTheme="majorEastAsia" w:eastAsiaTheme="majorEastAsia"/>
          <w:kern w:val="2"/>
          <w:sz w:val="30"/>
          <w:szCs w:val="30"/>
          <w:lang w:val="en-US" w:eastAsia="zh-CN" w:bidi="ar-SA"/>
        </w:rPr>
      </w:pPr>
    </w:p>
    <w:p w14:paraId="577661CB">
      <w:pPr>
        <w:jc w:val="center"/>
        <w:rPr>
          <w:rFonts w:hint="eastAsia" w:cs="宋体" w:asciiTheme="majorEastAsia" w:hAnsiTheme="majorEastAsia" w:eastAsiaTheme="majorEastAsia"/>
          <w:kern w:val="2"/>
          <w:sz w:val="30"/>
          <w:szCs w:val="30"/>
          <w:lang w:val="en-US" w:eastAsia="zh-CN" w:bidi="ar-SA"/>
        </w:rPr>
      </w:pPr>
    </w:p>
    <w:p w14:paraId="36F30EFA">
      <w:pPr>
        <w:jc w:val="center"/>
        <w:rPr>
          <w:rFonts w:hint="eastAsia" w:cs="宋体" w:asciiTheme="majorEastAsia" w:hAnsiTheme="majorEastAsia" w:eastAsiaTheme="majorEastAsia"/>
          <w:kern w:val="2"/>
          <w:sz w:val="30"/>
          <w:szCs w:val="30"/>
          <w:lang w:val="en-US" w:eastAsia="zh-CN" w:bidi="ar-SA"/>
        </w:rPr>
      </w:pPr>
    </w:p>
    <w:p w14:paraId="5E0A56C1">
      <w:pPr>
        <w:jc w:val="center"/>
        <w:rPr>
          <w:rFonts w:hint="eastAsia" w:cs="宋体" w:asciiTheme="majorEastAsia" w:hAnsiTheme="majorEastAsia" w:eastAsiaTheme="majorEastAsia"/>
          <w:kern w:val="2"/>
          <w:sz w:val="30"/>
          <w:szCs w:val="30"/>
          <w:lang w:val="en-US" w:eastAsia="zh-CN" w:bidi="ar-SA"/>
        </w:rPr>
      </w:pPr>
    </w:p>
    <w:p w14:paraId="5F45496F">
      <w:pPr>
        <w:jc w:val="center"/>
        <w:rPr>
          <w:rFonts w:hint="eastAsia" w:cs="宋体" w:asciiTheme="majorEastAsia" w:hAnsiTheme="majorEastAsia" w:eastAsiaTheme="majorEastAsia"/>
          <w:kern w:val="2"/>
          <w:sz w:val="30"/>
          <w:szCs w:val="30"/>
          <w:lang w:val="en-US" w:eastAsia="zh-CN" w:bidi="ar-SA"/>
        </w:rPr>
      </w:pPr>
    </w:p>
    <w:p w14:paraId="770773E4">
      <w:pPr>
        <w:jc w:val="center"/>
        <w:rPr>
          <w:rFonts w:hint="eastAsia" w:cs="宋体" w:asciiTheme="majorEastAsia" w:hAnsiTheme="majorEastAsia" w:eastAsiaTheme="majorEastAsia"/>
          <w:kern w:val="2"/>
          <w:sz w:val="30"/>
          <w:szCs w:val="30"/>
          <w:lang w:val="en-US" w:eastAsia="zh-CN" w:bidi="ar-SA"/>
        </w:rPr>
      </w:pPr>
    </w:p>
    <w:p w14:paraId="43F79933">
      <w:pPr>
        <w:jc w:val="center"/>
        <w:rPr>
          <w:rFonts w:hint="eastAsia" w:cs="宋体" w:asciiTheme="majorEastAsia" w:hAnsiTheme="majorEastAsia" w:eastAsiaTheme="majorEastAsia"/>
          <w:kern w:val="2"/>
          <w:sz w:val="30"/>
          <w:szCs w:val="30"/>
          <w:lang w:val="en-US" w:eastAsia="zh-CN" w:bidi="ar-SA"/>
        </w:rPr>
      </w:pPr>
    </w:p>
    <w:p w14:paraId="5FF718F7">
      <w:pPr>
        <w:jc w:val="center"/>
        <w:outlineLvl w:val="0"/>
        <w:rPr>
          <w:rFonts w:hint="default" w:cs="宋体" w:asciiTheme="majorEastAsia" w:hAnsiTheme="majorEastAsia" w:eastAsiaTheme="majorEastAsia"/>
          <w:kern w:val="2"/>
          <w:sz w:val="30"/>
          <w:szCs w:val="30"/>
          <w:lang w:val="en-US" w:eastAsia="zh-CN" w:bidi="ar-SA"/>
        </w:rPr>
      </w:pPr>
      <w:bookmarkStart w:id="31" w:name="_Toc29547"/>
      <w:r>
        <w:rPr>
          <w:rFonts w:hint="eastAsia" w:cs="宋体" w:asciiTheme="majorEastAsia" w:hAnsiTheme="majorEastAsia" w:eastAsiaTheme="majorEastAsia"/>
          <w:kern w:val="2"/>
          <w:sz w:val="30"/>
          <w:szCs w:val="30"/>
          <w:lang w:val="en-US" w:eastAsia="zh-CN" w:bidi="ar-SA"/>
        </w:rPr>
        <w:t>（八）福田区第二人民医院</w:t>
      </w:r>
      <w:bookmarkEnd w:id="31"/>
      <w:r>
        <w:rPr>
          <w:rFonts w:hint="eastAsia" w:cs="宋体" w:asciiTheme="majorEastAsia" w:hAnsiTheme="majorEastAsia" w:eastAsiaTheme="majorEastAsia"/>
          <w:kern w:val="2"/>
          <w:sz w:val="30"/>
          <w:szCs w:val="30"/>
          <w:lang w:val="en-US" w:eastAsia="zh-CN" w:bidi="ar-SA"/>
        </w:rPr>
        <w:t>开标一栏表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739D0585">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 xml:space="preserve">投标人签字：                     </w:t>
      </w:r>
    </w:p>
    <w:p w14:paraId="48EF567C">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 xml:space="preserve">投标人单位名称：                             </w:t>
      </w:r>
    </w:p>
    <w:p w14:paraId="74918F9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（此处加盖投标人单位公章）</w:t>
      </w:r>
    </w:p>
    <w:p w14:paraId="0497A76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日期：       年     月    日</w:t>
      </w:r>
    </w:p>
    <w:p w14:paraId="7AD87F0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 xml:space="preserve"> </w:t>
      </w:r>
    </w:p>
    <w:p w14:paraId="723F501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备注：</w:t>
      </w:r>
    </w:p>
    <w:p w14:paraId="7FFE6126">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除谈判文件另有规定外，投标文件内不得含有任何对本报价进行价格折扣的说明或资料，否则为无效投标。</w:t>
      </w:r>
    </w:p>
    <w:p w14:paraId="6BB05E55">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投标报价不得超过用户需求书的最小单位预算价格，否则为无效投标。</w:t>
      </w:r>
    </w:p>
    <w:p w14:paraId="579FB6BF">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投标人须按要求填写所有信息，不得随意更改本表格式。</w:t>
      </w:r>
    </w:p>
    <w:p w14:paraId="5A9E8E80">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此表是投标文件的必要文件，是投标文件的组成部分，封装在一个信封中，作为唱标之用。</w:t>
      </w:r>
    </w:p>
    <w:p w14:paraId="601DB282">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政府采购货物和服务谈判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14:paraId="1F60E132">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详细填写所投货物的制造商名称；若所投产品属于定制类的非量产货物或无具体品牌型号的货物，可以不填写品牌、型号等信息，但应当标注投标产品为定制产品。谈判文件已要求提供核心产品的，供应商必须明确所投核心产品的品牌。</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15F15449">
      <w:pPr>
        <w:spacing w:afterLines="25" w:line="300" w:lineRule="auto"/>
        <w:jc w:val="both"/>
        <w:rPr>
          <w:rFonts w:hint="eastAsia" w:ascii="宋体" w:hAnsi="宋体" w:cs="Arial"/>
          <w:b/>
          <w:color w:val="000000"/>
          <w:sz w:val="28"/>
          <w:szCs w:val="28"/>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2" w:name="_Toc1891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2"/>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谈判技术要求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谈判文件</w:t>
      </w:r>
      <w:r>
        <w:rPr>
          <w:rFonts w:hint="eastAsia" w:ascii="宋体" w:hAnsi="宋体"/>
          <w:szCs w:val="21"/>
        </w:rPr>
        <w:t>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0871B20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970BA39">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51E94B8">
      <w:pPr>
        <w:spacing w:after="60"/>
        <w:ind w:firstLine="2100" w:firstLineChars="1000"/>
        <w:jc w:val="both"/>
        <w:rPr>
          <w:rFonts w:hint="eastAsia" w:cs="Arial"/>
          <w:b/>
          <w:color w:val="000000"/>
          <w:sz w:val="28"/>
          <w:szCs w:val="28"/>
        </w:rPr>
      </w:pPr>
      <w:r>
        <w:rPr>
          <w:rFonts w:hint="eastAsia" w:ascii="宋体" w:hAnsi="宋体" w:cs="宋体"/>
          <w:color w:val="000000" w:themeColor="text1"/>
          <w:szCs w:val="21"/>
          <w14:textFill>
            <w14:solidFill>
              <w14:schemeClr w14:val="tx1"/>
            </w14:solidFill>
          </w14:textFill>
        </w:rPr>
        <w:t xml:space="preserve">  </w:t>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3" w:name="_Toc29077"/>
      <w:bookmarkStart w:id="34" w:name="_Toc275865605"/>
      <w:bookmarkStart w:id="35" w:name="_Toc435514854"/>
      <w:bookmarkStart w:id="36" w:name="_Toc9447"/>
      <w:bookmarkStart w:id="37" w:name="_Toc435515294"/>
      <w:bookmarkStart w:id="38" w:name="_Toc24434"/>
      <w:bookmarkStart w:id="39" w:name="_Toc1762"/>
      <w:bookmarkStart w:id="40" w:name="_Toc20322_WPSOffice_Level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3"/>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谈判</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谈判</w:t>
      </w:r>
      <w:r>
        <w:rPr>
          <w:rFonts w:hint="eastAsia" w:ascii="宋体" w:hAnsi="宋体"/>
          <w:szCs w:val="21"/>
        </w:rPr>
        <w:t>商务要求”，详细填写自身响应情况，而不能不合理照搬照抄</w:t>
      </w:r>
      <w:r>
        <w:rPr>
          <w:rFonts w:hint="eastAsia" w:ascii="宋体" w:hAnsi="宋体"/>
          <w:szCs w:val="21"/>
          <w:lang w:eastAsia="zh-CN"/>
        </w:rPr>
        <w:t>谈判文件</w:t>
      </w:r>
      <w:r>
        <w:rPr>
          <w:rFonts w:hint="eastAsia" w:ascii="宋体" w:hAnsi="宋体"/>
          <w:szCs w:val="21"/>
        </w:rPr>
        <w:t>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谈判</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谈判</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谈判</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谈判</w:t>
      </w:r>
      <w:r>
        <w:rPr>
          <w:rFonts w:hint="eastAsia" w:ascii="宋体" w:hAnsi="宋体"/>
          <w:szCs w:val="21"/>
        </w:rPr>
        <w:t>商务要求”存在响应不全（包括未响应整项</w:t>
      </w:r>
      <w:r>
        <w:rPr>
          <w:rFonts w:hint="eastAsia" w:ascii="宋体" w:hAnsi="宋体"/>
          <w:szCs w:val="21"/>
          <w:lang w:eastAsia="zh-CN"/>
        </w:rPr>
        <w:t>谈判</w:t>
      </w:r>
      <w:r>
        <w:rPr>
          <w:rFonts w:hint="eastAsia" w:ascii="宋体" w:hAnsi="宋体"/>
          <w:szCs w:val="21"/>
        </w:rPr>
        <w:t>商务要求或者未响应一项</w:t>
      </w:r>
      <w:r>
        <w:rPr>
          <w:rFonts w:hint="eastAsia" w:ascii="宋体" w:hAnsi="宋体"/>
          <w:szCs w:val="21"/>
          <w:lang w:eastAsia="zh-CN"/>
        </w:rPr>
        <w:t>谈判</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1" w:name="_Toc28894"/>
      <w:r>
        <w:rPr>
          <w:rFonts w:hint="eastAsia" w:cs="宋体" w:asciiTheme="majorEastAsia" w:hAnsiTheme="majorEastAsia" w:eastAsiaTheme="majorEastAsia"/>
          <w:b w:val="0"/>
          <w:kern w:val="2"/>
          <w:sz w:val="30"/>
          <w:szCs w:val="30"/>
          <w:lang w:val="en-US" w:eastAsia="zh-CN" w:bidi="ar-SA"/>
        </w:rPr>
        <w:t>（十一）投标函</w:t>
      </w:r>
      <w:bookmarkEnd w:id="34"/>
      <w:bookmarkEnd w:id="35"/>
      <w:bookmarkEnd w:id="36"/>
      <w:bookmarkEnd w:id="37"/>
      <w:bookmarkEnd w:id="38"/>
      <w:bookmarkEnd w:id="39"/>
      <w:bookmarkEnd w:id="40"/>
      <w:bookmarkEnd w:id="41"/>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谈判文件</w:t>
      </w:r>
      <w:r>
        <w:rPr>
          <w:rFonts w:hint="eastAsia" w:ascii="宋体" w:hAnsi="宋体"/>
        </w:rPr>
        <w:t>（项目编号：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谈判文件</w:t>
      </w:r>
      <w:r>
        <w:rPr>
          <w:rFonts w:hint="eastAsia" w:ascii="宋体" w:hAnsi="宋体"/>
          <w:b/>
        </w:rPr>
        <w:t>的各项规定，自愿参加投标，并已清楚</w:t>
      </w:r>
      <w:r>
        <w:rPr>
          <w:rFonts w:hint="eastAsia" w:ascii="宋体" w:hAnsi="宋体"/>
          <w:b/>
          <w:lang w:eastAsia="zh-CN"/>
        </w:rPr>
        <w:t>谈判文件</w:t>
      </w:r>
      <w:r>
        <w:rPr>
          <w:rFonts w:hint="eastAsia" w:ascii="宋体" w:hAnsi="宋体"/>
          <w:b/>
        </w:rPr>
        <w:t>的要求及有关文件规定，并严格按照</w:t>
      </w:r>
      <w:r>
        <w:rPr>
          <w:rFonts w:hint="eastAsia" w:ascii="宋体" w:hAnsi="宋体"/>
          <w:b/>
          <w:lang w:eastAsia="zh-CN"/>
        </w:rPr>
        <w:t>谈判文件</w:t>
      </w:r>
      <w:r>
        <w:rPr>
          <w:rFonts w:hint="eastAsia" w:ascii="宋体" w:hAnsi="宋体"/>
          <w:b/>
        </w:rPr>
        <w:t>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谈判文件</w:t>
      </w:r>
      <w:r>
        <w:rPr>
          <w:rFonts w:hint="eastAsia" w:ascii="宋体" w:hAnsi="宋体"/>
          <w:b/>
        </w:rPr>
        <w:t>及附件，包括澄清（如有）及参考文件，我单位完全理解本</w:t>
      </w:r>
      <w:r>
        <w:rPr>
          <w:rFonts w:hint="eastAsia" w:ascii="宋体" w:hAnsi="宋体"/>
          <w:b/>
          <w:lang w:eastAsia="zh-CN"/>
        </w:rPr>
        <w:t>谈判文件</w:t>
      </w:r>
      <w:r>
        <w:rPr>
          <w:rFonts w:hint="eastAsia" w:ascii="宋体" w:hAnsi="宋体"/>
          <w:b/>
        </w:rPr>
        <w:t>的要求，</w:t>
      </w:r>
      <w:r>
        <w:rPr>
          <w:rFonts w:hint="eastAsia" w:ascii="宋体"/>
          <w:b/>
        </w:rPr>
        <w:t>我单位同意放弃对</w:t>
      </w:r>
      <w:r>
        <w:rPr>
          <w:rFonts w:hint="eastAsia" w:ascii="宋体"/>
          <w:b/>
          <w:lang w:eastAsia="zh-CN"/>
        </w:rPr>
        <w:t>谈判文件</w:t>
      </w:r>
      <w:r>
        <w:rPr>
          <w:rFonts w:hint="eastAsia" w:ascii="宋体"/>
          <w:b/>
        </w:rPr>
        <w:t>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谈判文件</w:t>
      </w:r>
      <w:r>
        <w:rPr>
          <w:rFonts w:hint="eastAsia" w:ascii="宋体" w:hAnsi="宋体"/>
          <w:b/>
        </w:rPr>
        <w:t xml:space="preserve">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谈判文件</w:t>
      </w:r>
      <w:r>
        <w:rPr>
          <w:rFonts w:hint="eastAsia" w:ascii="宋体" w:hAnsi="宋体"/>
          <w:b/>
        </w:rPr>
        <w:t>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2" w:name="_Toc4649"/>
      <w:bookmarkStart w:id="43" w:name="_Toc435514855"/>
      <w:bookmarkStart w:id="44" w:name="_Toc435515295"/>
      <w:bookmarkStart w:id="45" w:name="_Toc7805"/>
      <w:bookmarkStart w:id="46" w:name="_Toc24650"/>
      <w:bookmarkStart w:id="47" w:name="_Toc275865606"/>
      <w:bookmarkStart w:id="48" w:name="_Toc26831"/>
      <w:r>
        <w:rPr>
          <w:rFonts w:hint="eastAsia" w:cs="宋体" w:asciiTheme="majorEastAsia" w:hAnsiTheme="majorEastAsia" w:eastAsiaTheme="majorEastAsia"/>
          <w:kern w:val="2"/>
          <w:sz w:val="30"/>
          <w:szCs w:val="30"/>
          <w:lang w:val="en-US" w:eastAsia="zh-CN" w:bidi="ar-SA"/>
        </w:rPr>
        <w:t>（十二）</w:t>
      </w:r>
      <w:r>
        <w:rPr>
          <w:rFonts w:hint="eastAsia" w:asciiTheme="majorEastAsia" w:hAnsiTheme="majorEastAsia" w:eastAsiaTheme="majorEastAsia"/>
          <w:sz w:val="30"/>
          <w:szCs w:val="30"/>
        </w:rPr>
        <w:t>投标人资格声明函</w:t>
      </w:r>
      <w:bookmarkEnd w:id="42"/>
      <w:bookmarkEnd w:id="43"/>
      <w:bookmarkEnd w:id="44"/>
      <w:bookmarkEnd w:id="45"/>
      <w:bookmarkEnd w:id="46"/>
      <w:bookmarkEnd w:id="47"/>
      <w:bookmarkEnd w:id="48"/>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谈判</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谈判</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谈判文件</w:t>
      </w:r>
      <w:r>
        <w:rPr>
          <w:rFonts w:hint="eastAsia" w:ascii="宋体" w:hAnsi="宋体"/>
          <w:color w:val="auto"/>
          <w:szCs w:val="21"/>
          <w:highlight w:val="none"/>
        </w:rPr>
        <w:t>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谈判</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谈判</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谈判</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9" w:name="_承诺函"/>
      <w:bookmarkEnd w:id="49"/>
      <w:bookmarkStart w:id="50" w:name="_Toc21707"/>
      <w:bookmarkStart w:id="51" w:name="_Toc32186"/>
      <w:bookmarkStart w:id="52" w:name="_Toc435515299"/>
      <w:bookmarkStart w:id="53" w:name="_Toc50736477"/>
      <w:bookmarkStart w:id="54" w:name="_Toc275865607"/>
      <w:bookmarkStart w:id="55" w:name="_Toc24149"/>
      <w:bookmarkStart w:id="56" w:name="_Toc435514859"/>
      <w:bookmarkStart w:id="57" w:name="_Toc52165081"/>
      <w:bookmarkStart w:id="58" w:name="_Toc27672"/>
      <w:bookmarkStart w:id="59" w:name="_Toc50737297"/>
      <w:bookmarkStart w:id="60" w:name="_Toc50737329"/>
      <w:bookmarkStart w:id="61" w:name="_Toc50737296"/>
      <w:bookmarkStart w:id="62" w:name="_Toc50737328"/>
      <w:bookmarkStart w:id="63" w:name="_Toc50736476"/>
      <w:bookmarkStart w:id="64" w:name="_Toc50691034"/>
      <w:bookmarkStart w:id="65" w:name="_Toc52165080"/>
      <w:r>
        <w:rPr>
          <w:rFonts w:hint="eastAsia" w:cs="宋体" w:asciiTheme="majorEastAsia" w:hAnsiTheme="majorEastAsia" w:eastAsiaTheme="majorEastAsia"/>
          <w:kern w:val="2"/>
          <w:sz w:val="30"/>
          <w:szCs w:val="30"/>
          <w:lang w:val="en-US" w:eastAsia="zh-CN" w:bidi="ar-SA"/>
        </w:rPr>
        <w:t>（十三）政府采购违法行为风险知悉确认书</w:t>
      </w:r>
      <w:bookmarkEnd w:id="50"/>
      <w:bookmarkEnd w:id="51"/>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6" w:name="_Toc13791"/>
      <w:bookmarkStart w:id="67" w:name="_Toc24374"/>
      <w:r>
        <w:rPr>
          <w:rFonts w:hint="eastAsia" w:cs="宋体" w:asciiTheme="majorEastAsia" w:hAnsiTheme="majorEastAsia" w:eastAsiaTheme="majorEastAsia"/>
          <w:kern w:val="2"/>
          <w:sz w:val="30"/>
          <w:szCs w:val="30"/>
          <w:lang w:val="en-US" w:eastAsia="zh-CN" w:bidi="ar-SA"/>
        </w:rPr>
        <w:t>（十四）</w:t>
      </w:r>
      <w:r>
        <w:rPr>
          <w:rFonts w:hint="eastAsia" w:asciiTheme="majorEastAsia" w:hAnsiTheme="majorEastAsia" w:eastAsiaTheme="majorEastAsia"/>
          <w:sz w:val="30"/>
          <w:szCs w:val="30"/>
        </w:rPr>
        <w:t>法定代表人授权委托书</w:t>
      </w:r>
      <w:bookmarkEnd w:id="52"/>
      <w:bookmarkEnd w:id="53"/>
      <w:bookmarkEnd w:id="54"/>
      <w:bookmarkEnd w:id="55"/>
      <w:bookmarkEnd w:id="56"/>
      <w:bookmarkEnd w:id="57"/>
      <w:bookmarkEnd w:id="58"/>
      <w:bookmarkEnd w:id="59"/>
      <w:bookmarkEnd w:id="60"/>
      <w:bookmarkEnd w:id="66"/>
      <w:bookmarkEnd w:id="67"/>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8" w:name="_Toc435515300"/>
      <w:bookmarkStart w:id="69" w:name="_Toc275865608"/>
      <w:bookmarkStart w:id="70" w:name="_Toc14289"/>
      <w:bookmarkStart w:id="71"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1"/>
    <w:bookmarkEnd w:id="62"/>
    <w:bookmarkEnd w:id="63"/>
    <w:bookmarkEnd w:id="64"/>
    <w:bookmarkEnd w:id="65"/>
    <w:bookmarkEnd w:id="68"/>
    <w:bookmarkEnd w:id="69"/>
    <w:bookmarkEnd w:id="70"/>
    <w:bookmarkEnd w:id="71"/>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2" w:name="_Toc571"/>
      <w:bookmarkStart w:id="73" w:name="_Toc6666"/>
      <w:bookmarkStart w:id="74" w:name="_Toc21402"/>
      <w:bookmarkStart w:id="75" w:name="_Toc7067"/>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2"/>
      <w:bookmarkEnd w:id="73"/>
      <w:bookmarkEnd w:id="74"/>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6" w:name="_Toc29263"/>
      <w:bookmarkStart w:id="77" w:name="_Toc24233"/>
      <w:bookmarkStart w:id="78" w:name="_Toc10390"/>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法定代表人证明书</w:t>
      </w:r>
      <w:bookmarkEnd w:id="75"/>
      <w:bookmarkEnd w:id="76"/>
      <w:bookmarkEnd w:id="77"/>
      <w:bookmarkEnd w:id="78"/>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9" w:name="_Toc24644"/>
      <w:bookmarkStart w:id="80" w:name="_Toc30412"/>
      <w:bookmarkStart w:id="81" w:name="_Toc23830"/>
      <w:r>
        <w:rPr>
          <w:rFonts w:hint="eastAsia" w:ascii="宋体" w:hAnsi="宋体" w:eastAsia="宋体" w:cs="宋体"/>
          <w:kern w:val="2"/>
          <w:sz w:val="30"/>
          <w:szCs w:val="30"/>
          <w:lang w:val="en-US" w:eastAsia="zh-CN" w:bidi="ar-SA"/>
        </w:rPr>
        <w:t>（十七）</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9"/>
      <w:bookmarkEnd w:id="80"/>
      <w:bookmarkEnd w:id="81"/>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2" w:name="_Toc2305"/>
      <w:bookmarkStart w:id="83" w:name="_Toc777"/>
      <w:bookmarkStart w:id="84" w:name="_Toc1903"/>
      <w:bookmarkStart w:id="85" w:name="_Toc25910"/>
      <w:bookmarkStart w:id="86" w:name="_Toc15871"/>
      <w:bookmarkStart w:id="87" w:name="_Toc11352"/>
      <w:bookmarkStart w:id="88" w:name="_Toc11926"/>
      <w:bookmarkStart w:id="89" w:name="_Toc7126"/>
      <w:r>
        <w:rPr>
          <w:rFonts w:hint="eastAsia" w:ascii="宋体" w:hAnsi="宋体" w:eastAsia="宋体" w:cs="宋体"/>
          <w:color w:val="auto"/>
          <w:kern w:val="2"/>
          <w:sz w:val="30"/>
          <w:szCs w:val="30"/>
          <w:lang w:val="en-US" w:eastAsia="zh-CN" w:bidi="ar-SA"/>
        </w:rPr>
        <w:t>（十八）</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2"/>
      <w:bookmarkEnd w:id="83"/>
      <w:bookmarkEnd w:id="84"/>
      <w:bookmarkEnd w:id="85"/>
      <w:bookmarkEnd w:id="86"/>
      <w:bookmarkEnd w:id="87"/>
      <w:bookmarkEnd w:id="88"/>
      <w:bookmarkEnd w:id="89"/>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0" w:name="_Toc23208"/>
      <w:bookmarkStart w:id="91" w:name="_Toc11555"/>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十九</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0"/>
      <w:bookmarkEnd w:id="91"/>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谈判</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2" w:name="_Toc7852"/>
      <w:bookmarkStart w:id="93" w:name="_Toc12169"/>
      <w:r>
        <w:rPr>
          <w:rFonts w:hint="eastAsia" w:cs="宋体" w:asciiTheme="majorEastAsia" w:hAnsiTheme="majorEastAsia" w:eastAsiaTheme="majorEastAsia"/>
          <w:kern w:val="2"/>
          <w:sz w:val="30"/>
          <w:szCs w:val="30"/>
          <w:lang w:val="en-US" w:eastAsia="zh-CN" w:bidi="ar-SA"/>
        </w:rPr>
        <w:t>（二十）福田区第二人民医院医用耗材产品质量及货源保证书</w:t>
      </w:r>
      <w:bookmarkEnd w:id="92"/>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谈判</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谈判</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4" w:name="_Toc9651"/>
      <w:r>
        <w:rPr>
          <w:rFonts w:hint="eastAsia" w:cs="宋体" w:asciiTheme="majorEastAsia" w:hAnsiTheme="majorEastAsia" w:eastAsiaTheme="majorEastAsia"/>
          <w:kern w:val="2"/>
          <w:sz w:val="30"/>
          <w:szCs w:val="30"/>
          <w:lang w:val="en-US" w:eastAsia="zh-CN" w:bidi="ar-SA"/>
        </w:rPr>
        <w:t>（二十一）</w:t>
      </w:r>
      <w:bookmarkEnd w:id="93"/>
      <w:r>
        <w:rPr>
          <w:rFonts w:hint="eastAsia" w:cs="宋体" w:asciiTheme="majorEastAsia" w:hAnsiTheme="majorEastAsia" w:eastAsiaTheme="majorEastAsia"/>
          <w:kern w:val="2"/>
          <w:sz w:val="30"/>
          <w:szCs w:val="30"/>
          <w:lang w:val="en-US" w:eastAsia="zh-CN" w:bidi="ar-SA"/>
        </w:rPr>
        <w:t>配送方案</w:t>
      </w:r>
      <w:bookmarkEnd w:id="94"/>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5"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二十二</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5"/>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谈判文件</w:t>
      </w:r>
      <w:r>
        <w:rPr>
          <w:rFonts w:hint="eastAsia" w:asciiTheme="minorEastAsia" w:hAnsiTheme="minorEastAsia" w:eastAsiaTheme="minorEastAsia" w:cstheme="minorEastAsia"/>
          <w:color w:val="auto"/>
          <w:kern w:val="0"/>
          <w:szCs w:val="21"/>
          <w:highlight w:val="none"/>
          <w:lang w:val="en-US" w:eastAsia="zh-CN"/>
        </w:rPr>
        <w:t>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6"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6"/>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7" w:name="_Toc17243"/>
      <w:r>
        <w:rPr>
          <w:rFonts w:hint="eastAsia" w:asciiTheme="majorEastAsia" w:hAnsiTheme="majorEastAsia" w:eastAsiaTheme="majorEastAsia"/>
          <w:sz w:val="30"/>
          <w:szCs w:val="30"/>
          <w:lang w:val="en-US" w:eastAsia="zh-CN"/>
        </w:rPr>
        <w:t>（二十四）履约评价</w:t>
      </w:r>
      <w:bookmarkEnd w:id="97"/>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27595"/>
      <w:r>
        <w:rPr>
          <w:rFonts w:hint="eastAsia" w:asciiTheme="majorEastAsia" w:hAnsiTheme="majorEastAsia" w:eastAsiaTheme="majorEastAsia"/>
          <w:sz w:val="30"/>
          <w:szCs w:val="30"/>
          <w:lang w:val="en-US" w:eastAsia="zh-CN"/>
        </w:rPr>
        <w:t>（二十五）仓储、运输能力</w:t>
      </w:r>
      <w:bookmarkEnd w:id="98"/>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23393"/>
      <w:r>
        <w:rPr>
          <w:rFonts w:hint="eastAsia" w:asciiTheme="majorEastAsia" w:hAnsiTheme="majorEastAsia" w:eastAsiaTheme="majorEastAsia"/>
          <w:sz w:val="30"/>
          <w:szCs w:val="30"/>
          <w:lang w:val="en-US" w:eastAsia="zh-CN"/>
        </w:rPr>
        <w:t>（二十六）</w:t>
      </w:r>
      <w:r>
        <w:rPr>
          <w:rFonts w:hint="eastAsia" w:hAnsi="宋体" w:cs="Times New Roman" w:eastAsiaTheme="majorEastAsia"/>
          <w:sz w:val="30"/>
          <w:szCs w:val="30"/>
          <w:lang w:val="en-US" w:eastAsia="zh-CN"/>
        </w:rPr>
        <w:t>谈判文件要求的其他内容及投标人认为需要加以说明其他内容</w:t>
      </w:r>
      <w:bookmarkEnd w:id="99"/>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0" w:name="_Toc435516650"/>
      <w:bookmarkStart w:id="101" w:name="_Toc11652"/>
      <w:bookmarkStart w:id="102" w:name="_Toc14580"/>
      <w:bookmarkStart w:id="103" w:name="_Toc1658"/>
      <w:bookmarkStart w:id="104" w:name="_Toc438223136"/>
      <w:bookmarkStart w:id="105" w:name="_Toc435174933"/>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06" w:name="_Toc30434"/>
      <w:r>
        <w:rPr>
          <w:rFonts w:asciiTheme="majorEastAsia" w:hAnsiTheme="majorEastAsia" w:eastAsiaTheme="majorEastAsia"/>
          <w:sz w:val="32"/>
          <w:szCs w:val="32"/>
          <w:lang w:eastAsia="zh-TW"/>
        </w:rPr>
        <w:t>说 明</w:t>
      </w:r>
      <w:bookmarkEnd w:id="100"/>
      <w:bookmarkEnd w:id="101"/>
      <w:bookmarkEnd w:id="102"/>
      <w:bookmarkEnd w:id="103"/>
      <w:bookmarkEnd w:id="104"/>
      <w:bookmarkEnd w:id="105"/>
      <w:bookmarkEnd w:id="106"/>
      <w:bookmarkStart w:id="107" w:name="_Toc292267791"/>
    </w:p>
    <w:bookmarkEnd w:id="107"/>
    <w:p w14:paraId="2BEFE422">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0"/>
          <w:szCs w:val="30"/>
        </w:rPr>
      </w:pPr>
      <w:bookmarkStart w:id="108" w:name="_Toc109889663"/>
      <w:bookmarkStart w:id="109" w:name="_Toc532"/>
      <w:bookmarkStart w:id="110" w:name="_Toc374439153"/>
      <w:bookmarkStart w:id="111" w:name="_Toc128037689"/>
      <w:bookmarkStart w:id="112" w:name="_Toc318878971"/>
      <w:r>
        <w:rPr>
          <w:rFonts w:hint="eastAsia" w:ascii="宋体" w:hAnsi="宋体" w:eastAsia="宋体" w:cs="宋体"/>
          <w:kern w:val="2"/>
          <w:sz w:val="30"/>
          <w:szCs w:val="30"/>
          <w:lang w:val="en-US" w:eastAsia="zh-CN" w:bidi="ar"/>
        </w:rPr>
        <w:t>总则</w:t>
      </w:r>
    </w:p>
    <w:p w14:paraId="0E0F6391">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25" w:right="0" w:hanging="425"/>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适用范围</w:t>
      </w:r>
    </w:p>
    <w:p w14:paraId="6ABDE5BA">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Times New Roman"/>
          <w:b/>
          <w:bCs/>
          <w:kern w:val="2"/>
          <w:sz w:val="21"/>
          <w:szCs w:val="21"/>
        </w:rPr>
      </w:pPr>
      <w:r>
        <w:rPr>
          <w:rFonts w:hint="eastAsia" w:ascii="宋体" w:hAnsi="宋体" w:eastAsia="宋体" w:cs="宋体"/>
          <w:kern w:val="2"/>
          <w:sz w:val="21"/>
          <w:szCs w:val="21"/>
          <w:lang w:val="en-US" w:eastAsia="zh-CN" w:bidi="ar"/>
        </w:rPr>
        <w:t>1.1.本谈判文件适用于本投标邀请中所述采购项目。</w:t>
      </w:r>
    </w:p>
    <w:p w14:paraId="3A12B9B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1.2.本项目参照《深圳经济特区政府采购条例》《深圳经济特区政府采购条例实施细则》的规定，并参考有关法规、政策、规章、规定，通过公开谈判择优选定供应商。</w:t>
      </w:r>
    </w:p>
    <w:p w14:paraId="4C803534">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Times New Roman"/>
          <w:b/>
          <w:bCs/>
          <w:kern w:val="2"/>
          <w:sz w:val="21"/>
          <w:szCs w:val="21"/>
        </w:rPr>
      </w:pPr>
      <w:r>
        <w:rPr>
          <w:rFonts w:hint="eastAsia" w:ascii="宋体" w:hAnsi="宋体" w:eastAsia="宋体" w:cs="宋体"/>
          <w:kern w:val="2"/>
          <w:sz w:val="21"/>
          <w:szCs w:val="21"/>
          <w:lang w:val="en-US" w:eastAsia="zh-CN" w:bidi="ar"/>
        </w:rPr>
        <w:t>1.3.本谈判文件适用于货物采购项目。</w:t>
      </w:r>
    </w:p>
    <w:p w14:paraId="11596B22">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strike/>
          <w:dstrike w:val="0"/>
          <w:kern w:val="2"/>
          <w:sz w:val="21"/>
          <w:szCs w:val="21"/>
        </w:rPr>
      </w:pPr>
      <w:r>
        <w:rPr>
          <w:rFonts w:hint="eastAsia" w:ascii="宋体" w:hAnsi="宋体" w:eastAsia="宋体" w:cs="宋体"/>
          <w:b/>
          <w:bCs w:val="0"/>
          <w:kern w:val="2"/>
          <w:sz w:val="21"/>
          <w:szCs w:val="21"/>
          <w:lang w:val="en-US" w:eastAsia="zh-CN" w:bidi="ar"/>
        </w:rPr>
        <w:t>定义</w:t>
      </w:r>
    </w:p>
    <w:p w14:paraId="1BF425D2">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2.1.采购人是指各级国家机关、事业单位和团体组织。采购人已拥有一笔财政性资金或资金来源已落实。采购人计划将一部分或全部资金用于支付本次采购后所签订合同项下的款项。</w:t>
      </w:r>
    </w:p>
    <w:p w14:paraId="5A6F046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2.2.供应商是指向采购人提供货物、工程或者服务的法人、其他组织或者自然人。</w:t>
      </w:r>
    </w:p>
    <w:p w14:paraId="12364A9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2.3.评标委员会是指专门负责本项目评标工作的临时性机构。</w:t>
      </w:r>
    </w:p>
    <w:p w14:paraId="2D97D9B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2.4.投标人是指响应谈判、参加投标竞争的法人、其他组织或者自然人。</w:t>
      </w:r>
    </w:p>
    <w:p w14:paraId="281C71C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2.5.中标人是指经法定程序确定并授予合同的投标人。</w:t>
      </w:r>
    </w:p>
    <w:p w14:paraId="532FA5B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2.6.合同是指由本次谈判所产生的合同或合约文件。</w:t>
      </w:r>
    </w:p>
    <w:p w14:paraId="2BB5BCFC">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2.7.纸质投标文件是指根据本谈判文件模板的要求规范填写，打印输出并盖有单位公章的投标文件原件。</w:t>
      </w:r>
    </w:p>
    <w:p w14:paraId="45003C0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2.8.现场投标是指在规定时间内直接向我院提交纸质投标文件。</w:t>
      </w:r>
    </w:p>
    <w:p w14:paraId="4C4C597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2.9.谈判文件中的标题或题名仅起引导作用，而不应视为对谈判文件内容的理解和解释。</w:t>
      </w:r>
    </w:p>
    <w:p w14:paraId="4E42DFF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2.10.日期是指公历日。</w:t>
      </w:r>
    </w:p>
    <w:p w14:paraId="011158C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2.11.谈判文件中的标题或题名仅起引导作用，而不应视为对谈判文件内容的理解和解释。</w:t>
      </w:r>
    </w:p>
    <w:p w14:paraId="37E1E534">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合格的货物和服务</w:t>
      </w:r>
    </w:p>
    <w:p w14:paraId="2F68A61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3.1.货物是指投标人制造或组织符合谈判文件要求的货物等。投标的货物必须是其合法生产、合法来源的符合国家有关标准要求的货物，并满足谈判文件规定的规格、参数、质量、价格、有效期、售后服务等要求。</w:t>
      </w:r>
    </w:p>
    <w:p w14:paraId="098AE98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3.2.服务是指除货物和工程以外的其他政府采购对象，其中包括：投标人须承担的运输、安装、技术支持、培训以及谈判文件规定的其它服务。</w:t>
      </w:r>
    </w:p>
    <w:p w14:paraId="2D75D64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3.3.国产的货物及其有关服务必须符合中华人民共和国的设计、制造生产标准及行业标准。谈判公告有其他要求的，亦应符合其要求。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14:paraId="5A89C141">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3.4.关于进口产品：根据财政部《政府采购进口产品管理办法》（财库〔2007〕119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2BAF3F7">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3.5.若所投产品属于政府强制采购节能产品的，则投标人必须提供该产品国家强制性节能产品进行响应，并提供强制性节能产品认证证书，否则视为无效投标。</w:t>
      </w:r>
    </w:p>
    <w:p w14:paraId="3013FE2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3.6.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1C1E1D08">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3.7.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37082E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3.8.工期要求：投标人在投标时对其所投项目应提交交货进度、交货计划等，在合同规定的时间内完成项目实施工作。</w:t>
      </w:r>
    </w:p>
    <w:p w14:paraId="0FD888FD">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3.9.投标人必须承担的设备运输、安装调试、验收检测和提供设备操作说明书、图纸等其他相关及类似的义务。</w:t>
      </w:r>
    </w:p>
    <w:p w14:paraId="230DF34C">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其他</w:t>
      </w:r>
    </w:p>
    <w:p w14:paraId="417E9A33">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4.1.所有时间均为24小时制北京时间，所有货币单位均为人民币元，所使用的计量单位均以《中华人民共和国法定计量单位》为准（特别注明除外）。</w:t>
      </w:r>
    </w:p>
    <w:p w14:paraId="0D54AED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4.2.供应商（投标人）向我院咨询的有关项目事项，一切以法律法规的规定和本院书面答复为准，其他一切形式均为个人意见，不代表本院的意见。</w:t>
      </w:r>
    </w:p>
    <w:p w14:paraId="047DF251">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kern w:val="2"/>
          <w:sz w:val="21"/>
          <w:szCs w:val="21"/>
          <w:lang w:val="en-US" w:eastAsia="zh-CN" w:bidi="ar"/>
        </w:rPr>
        <w:t>4.3.对列入失信“黑名单”的供应商限制参与政府采购。</w:t>
      </w:r>
      <w:r>
        <w:rPr>
          <w:rFonts w:hint="eastAsia" w:ascii="宋体" w:hAnsi="宋体" w:eastAsia="宋体" w:cs="宋体"/>
          <w:bCs/>
          <w:kern w:val="2"/>
          <w:sz w:val="21"/>
          <w:szCs w:val="21"/>
          <w:lang w:val="en-US" w:eastAsia="zh-CN" w:bidi="ar"/>
        </w:rPr>
        <w:t>供应商诚信查询方式：</w:t>
      </w:r>
      <w:r>
        <w:rPr>
          <w:rFonts w:hint="eastAsia" w:ascii="宋体" w:hAnsi="宋体" w:eastAsia="宋体" w:cs="宋体"/>
          <w:kern w:val="2"/>
          <w:sz w:val="21"/>
          <w:szCs w:val="21"/>
          <w:lang w:val="en-US" w:eastAsia="zh-CN" w:bidi="ar"/>
        </w:rPr>
        <w:t>“信用中国”网站(www.creditchina.gov.cn)没有以下任意记录名单之一：①记录失信被执行人；②税收违法黑名单；中国政府采购网</w:t>
      </w:r>
      <w:r>
        <w:rPr>
          <w:rFonts w:hint="eastAsia" w:ascii="宋体" w:hAnsi="宋体" w:eastAsia="宋体" w:cs="Times New Roman"/>
          <w:kern w:val="2"/>
          <w:sz w:val="21"/>
          <w:szCs w:val="21"/>
          <w:lang w:val="en-US" w:eastAsia="zh-CN" w:bidi="ar"/>
        </w:rPr>
        <w:t>(www.ccgp.gov.cn)不处于“政府采购严重违法失信行为信息记录”中的禁止参加政府采购活动期间</w:t>
      </w:r>
      <w:r>
        <w:rPr>
          <w:rFonts w:hint="eastAsia" w:ascii="宋体" w:hAnsi="宋体" w:eastAsia="宋体" w:cs="宋体"/>
          <w:kern w:val="2"/>
          <w:sz w:val="21"/>
          <w:szCs w:val="21"/>
          <w:lang w:val="en-US" w:eastAsia="zh-CN" w:bidi="ar"/>
        </w:rPr>
        <w:t>；在深圳信用网（</w:t>
      </w:r>
      <w:r>
        <w:rPr>
          <w:rFonts w:hint="eastAsia" w:ascii="宋体" w:hAnsi="宋体" w:eastAsia="宋体" w:cs="Times New Roman"/>
          <w:kern w:val="2"/>
          <w:sz w:val="21"/>
          <w:szCs w:val="21"/>
          <w:lang w:val="en-US" w:eastAsia="zh-CN" w:bidi="ar"/>
        </w:rPr>
        <w:t>https://www.szcredit.com.cn</w:t>
      </w:r>
      <w:r>
        <w:rPr>
          <w:rFonts w:hint="eastAsia" w:ascii="宋体" w:hAnsi="宋体" w:eastAsia="宋体" w:cs="宋体"/>
          <w:kern w:val="2"/>
          <w:sz w:val="21"/>
          <w:szCs w:val="21"/>
          <w:lang w:val="en-US" w:eastAsia="zh-CN" w:bidi="ar"/>
        </w:rPr>
        <w:t>）、</w:t>
      </w:r>
      <w:r>
        <w:rPr>
          <w:rFonts w:hint="eastAsia" w:ascii="宋体" w:hAnsi="宋体" w:eastAsia="宋体" w:cs="宋体"/>
          <w:bCs/>
          <w:kern w:val="2"/>
          <w:sz w:val="21"/>
          <w:szCs w:val="21"/>
          <w:lang w:val="en-US" w:eastAsia="zh-CN" w:bidi="ar"/>
        </w:rPr>
        <w:t>深圳市政府采购监管网（zfcg.sz.gov.cn）查询相关主体信用记录，对不符合《中华人民共和国政府采购法》第二十二条规定条件的供应商限制参与政府采购。</w:t>
      </w:r>
      <w:r>
        <w:rPr>
          <w:rFonts w:hint="eastAsia" w:ascii="宋体" w:hAnsi="宋体" w:eastAsia="宋体" w:cs="宋体"/>
          <w:kern w:val="2"/>
          <w:sz w:val="21"/>
          <w:szCs w:val="21"/>
          <w:lang w:val="en-US" w:eastAsia="zh-CN" w:bidi="ar"/>
        </w:rPr>
        <w:t>联合体投标的，对所有联合体成员进行信用记录查询，联合体成员存在不良信用记录的，视同联合体存在不良信用记录。</w:t>
      </w:r>
      <w:r>
        <w:rPr>
          <w:rFonts w:hint="eastAsia" w:ascii="宋体" w:hAnsi="宋体" w:eastAsia="宋体" w:cs="宋体"/>
          <w:bCs/>
          <w:kern w:val="2"/>
          <w:sz w:val="21"/>
          <w:szCs w:val="21"/>
          <w:lang w:val="en-US" w:eastAsia="zh-CN" w:bidi="ar"/>
        </w:rPr>
        <w:t>如在上述网站查询结果均显示没有相关记录，视为不存在上述不良信用记录。由采购人工作人员对信用信息查询记录和证据截图或下载存档，</w:t>
      </w:r>
      <w:r>
        <w:rPr>
          <w:rFonts w:hint="eastAsia" w:ascii="宋体" w:hAnsi="宋体" w:eastAsia="宋体" w:cs="宋体"/>
          <w:kern w:val="2"/>
          <w:sz w:val="21"/>
          <w:szCs w:val="21"/>
          <w:lang w:val="en-US" w:eastAsia="zh-CN" w:bidi="ar"/>
        </w:rPr>
        <w:t>相关信息以开标当日的查询结果为准。信用信息查询记录应当作为项目档案材料一并保存。</w:t>
      </w:r>
    </w:p>
    <w:p w14:paraId="3A44972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 xml:space="preserve"> </w:t>
      </w:r>
    </w:p>
    <w:p w14:paraId="623D4FAD">
      <w:pPr>
        <w:keepNext w:val="0"/>
        <w:keepLines w:val="0"/>
        <w:widowControl w:val="0"/>
        <w:suppressLineNumbers w:val="0"/>
        <w:adjustRightInd w:val="0"/>
        <w:snapToGrid w:val="0"/>
        <w:spacing w:before="0" w:beforeAutospacing="0" w:after="0" w:afterAutospacing="0" w:line="360" w:lineRule="auto"/>
        <w:ind w:left="0" w:leftChars="0" w:right="0"/>
        <w:jc w:val="center"/>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谈判文件</w:t>
      </w:r>
    </w:p>
    <w:p w14:paraId="2BD777B7">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谈判文件注意事项</w:t>
      </w:r>
    </w:p>
    <w:p w14:paraId="3C4CE49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5.1.投标人获得谈判文件后，应仔细检查谈判文件的所有内容，如有残缺应在投标截止时间1个工作日前向我院提出，否则，由此引起的投标损失自负；投标人同时应认真审阅谈判文件所有的事项、格式、条款和规范要求等，如果投标人的投标文件没有按谈判文件要求提交全部资料或者投标文件没有对谈判文件做出实质性响应，其风险应由投标人自行承担，并根据有关条款规定，其投标有可能被拒绝。</w:t>
      </w:r>
    </w:p>
    <w:p w14:paraId="3EED0243">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bCs/>
          <w:kern w:val="2"/>
          <w:sz w:val="21"/>
          <w:szCs w:val="21"/>
          <w:lang w:val="en-US" w:eastAsia="zh-CN" w:bidi="ar"/>
        </w:rPr>
        <w:t>5.2.任何人或任何组织向投标人提交的任何书面或口头资料，未经我院在网上发布或书面通知，均作无效处理，不得作为谈判文件的组成部分。我院对投标人由此而做出的推论、理解和结论概不负责。</w:t>
      </w:r>
    </w:p>
    <w:p w14:paraId="3B808E0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5.3.谈判文件澄清的目的是澄清、解答投标人在查阅谈判文件后或现场踏勘中可能提出的与投标有关的疑问或询问。谈判文件的修改性文件，如补充、澄清文件或谈判文件修订说明同样具有法律效力。</w:t>
      </w:r>
    </w:p>
    <w:p w14:paraId="4DEC470C">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5.4.对谈判文件进行澄清或者对谈判文件有限制性、倾向性条款提出谈判答疑的投标人，均应于“谈判公告”中所述投标截止时间1个工作日前书面通知我院。我院对规定时间内收到的对谈判文件的澄清或者质疑，视情况予以答复。</w:t>
      </w:r>
    </w:p>
    <w:p w14:paraId="3B27277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5.5.不论是我院根据需要主动对谈判文件进行必要的澄清或是根据投标人的要求对谈判文件做出澄清，我院都将在投标截止日期前以书面形式（包括网站发布方式）答复或发送给所有投标人。答复内容是谈判文件的组成部分，对投标人起约束作用。</w:t>
      </w:r>
    </w:p>
    <w:p w14:paraId="02F67BD4">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5.6.谈判文件发出后，在投标截止日期前任何时候，确需要变更谈判内容的，我院可主动地或在解答投标人提出的澄清问题时对谈判文件进行修改。</w:t>
      </w:r>
    </w:p>
    <w:p w14:paraId="0B60A5B4">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5.7.谈判文件的修改均在指定网站（医院官网）以网上公告形式发布，并对投标人具有约束力，在项目开标前，投标人有义务上网查看，公告一经上网发布，即视为送达。</w:t>
      </w:r>
    </w:p>
    <w:p w14:paraId="4B43CFE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5.8.谈判文件、谈判文件澄清（答疑）纪要、谈判文件修改补充通知内容均以书面明确的内容为准。当谈判文件、修改补充通知、澄清（答疑）纪要内容相互矛盾时，以最后发出的通知（或纪要）或修改文件为准。</w:t>
      </w:r>
    </w:p>
    <w:p w14:paraId="425D2759">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5.9.我院保证谈判文件澄清（答疑）纪要和谈判文件修改补充通知在投标截止时间前以网站公开发布形式或书面形式发送给所有投标人。为使投标人在编写投标文件时有充分时间对谈判文件的修改部分进行研究，我院可以酌情延长递交投标文件的截止日期，具体时间将在修改补充通知中明确。</w:t>
      </w:r>
    </w:p>
    <w:p w14:paraId="3E0A9DCE">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5.10.谈判文件由深圳市福田区第二人民医院负责解释。</w:t>
      </w:r>
    </w:p>
    <w:p w14:paraId="3DB7068F">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bCs/>
          <w:kern w:val="2"/>
          <w:sz w:val="21"/>
          <w:szCs w:val="21"/>
          <w:lang w:val="en-US" w:eastAsia="zh-CN" w:bidi="ar"/>
        </w:rPr>
        <w:t>5.11.</w:t>
      </w:r>
      <w:r>
        <w:rPr>
          <w:rFonts w:hint="eastAsia" w:ascii="宋体" w:hAnsi="宋体" w:eastAsia="宋体" w:cs="宋体"/>
          <w:kern w:val="2"/>
          <w:sz w:val="21"/>
          <w:szCs w:val="21"/>
          <w:lang w:val="en-US" w:eastAsia="zh-CN" w:bidi="ar"/>
        </w:rPr>
        <w:t>本次招投标的最终解释权归</w:t>
      </w:r>
      <w:r>
        <w:rPr>
          <w:rFonts w:hint="eastAsia" w:ascii="宋体" w:hAnsi="宋体" w:eastAsia="宋体" w:cs="宋体"/>
          <w:bCs/>
          <w:kern w:val="2"/>
          <w:sz w:val="21"/>
          <w:szCs w:val="21"/>
          <w:lang w:val="en-US" w:eastAsia="zh-CN" w:bidi="ar"/>
        </w:rPr>
        <w:t>深圳市福田区第二人民医院</w:t>
      </w:r>
      <w:r>
        <w:rPr>
          <w:rFonts w:hint="eastAsia" w:ascii="宋体" w:hAnsi="宋体" w:eastAsia="宋体" w:cs="宋体"/>
          <w:kern w:val="2"/>
          <w:sz w:val="21"/>
          <w:szCs w:val="21"/>
          <w:lang w:val="en-US" w:eastAsia="zh-CN" w:bidi="ar"/>
        </w:rPr>
        <w:t>所有。本文件未作须知明示，而又有相关法律、法规规定的，</w:t>
      </w:r>
      <w:r>
        <w:rPr>
          <w:rFonts w:hint="eastAsia" w:ascii="宋体" w:hAnsi="宋体" w:eastAsia="宋体" w:cs="宋体"/>
          <w:bCs/>
          <w:kern w:val="2"/>
          <w:sz w:val="21"/>
          <w:szCs w:val="21"/>
          <w:lang w:val="en-US" w:eastAsia="zh-CN" w:bidi="ar"/>
        </w:rPr>
        <w:t>深圳市福田区第二人民医院</w:t>
      </w:r>
      <w:r>
        <w:rPr>
          <w:rFonts w:hint="eastAsia" w:ascii="宋体" w:hAnsi="宋体" w:eastAsia="宋体" w:cs="宋体"/>
          <w:kern w:val="2"/>
          <w:sz w:val="21"/>
          <w:szCs w:val="21"/>
          <w:lang w:val="en-US" w:eastAsia="zh-CN" w:bidi="ar"/>
        </w:rPr>
        <w:t>将对此解释为依据有关法律、法规的规定。</w:t>
      </w:r>
    </w:p>
    <w:p w14:paraId="440AE51F">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 xml:space="preserve"> </w:t>
      </w:r>
    </w:p>
    <w:p w14:paraId="31559E6C">
      <w:pPr>
        <w:pStyle w:val="3"/>
        <w:widowControl/>
        <w:ind w:left="420" w:leftChars="0" w:hanging="420" w:firstLineChars="0"/>
        <w:jc w:val="center"/>
        <w:outlineLvl w:val="0"/>
        <w:rPr>
          <w:rFonts w:hint="eastAsia" w:ascii="宋体" w:hAnsi="宋体" w:eastAsia="宋体" w:cs="宋体"/>
          <w:kern w:val="2"/>
          <w:sz w:val="30"/>
          <w:szCs w:val="30"/>
        </w:rPr>
      </w:pPr>
      <w:r>
        <w:rPr>
          <w:rFonts w:hint="eastAsia" w:ascii="宋体" w:hAnsi="宋体" w:eastAsia="宋体" w:cs="宋体"/>
          <w:kern w:val="2"/>
          <w:sz w:val="30"/>
          <w:szCs w:val="30"/>
        </w:rPr>
        <w:t>投标文件的编制</w:t>
      </w:r>
    </w:p>
    <w:p w14:paraId="204F4035">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投标的语言及度量单位</w:t>
      </w:r>
    </w:p>
    <w:p w14:paraId="6D6FAD0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6.1.投标人提交的投标文件以及投标人与采购人就有关投标的所有来往函电均应使用中文书写。投标人提交的支持文件或印刷的资料可以用另一种语言，但相应内容应附有中文翻译本，由翻译机构盖章或者翻译人员签名。两种语言不一致时以中文翻译本为准。</w:t>
      </w:r>
    </w:p>
    <w:p w14:paraId="7A98054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6.2.除技术规范另有规定外，投标文件使用的度量单位，均采用中华人民共和国法定计量单位。</w:t>
      </w:r>
    </w:p>
    <w:p w14:paraId="44A828F4">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投标文件的构成</w:t>
      </w:r>
    </w:p>
    <w:p w14:paraId="6CC0E2F7">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7.1.投标人编写的投标文件应包括资格性文件、符合性文件、技术文件、商务文件等，编排顺序参见投标文件格式。</w:t>
      </w:r>
    </w:p>
    <w:p w14:paraId="0C642C33">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7.2.投标文件的构成应符合法律法规及谈判文件的要求。</w:t>
      </w:r>
    </w:p>
    <w:p w14:paraId="2B3B7762">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投标文件的编写</w:t>
      </w:r>
    </w:p>
    <w:p w14:paraId="239B2D91">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8.1.投标人对谈判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5D899A2C">
      <w:pPr>
        <w:keepNext w:val="0"/>
        <w:keepLines w:val="0"/>
        <w:widowControl w:val="0"/>
        <w:suppressLineNumbers w:val="0"/>
        <w:tabs>
          <w:tab w:val="left" w:pos="709"/>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8.2.投标人必须对投标文件所提供的全部资料的真实性承担法律责任，并无条件接受采购人或者政府采购监督管理部门对其中任何资料进行核实的要求。</w:t>
      </w:r>
    </w:p>
    <w:p w14:paraId="6157B23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8.3.如果因为投标人的投标文件只填写和提供了本谈判文件要求的部分内容和附件，或没有提供谈判文件中所要求的资料及数据，由此造成的后果和责任由投标人承担。</w:t>
      </w:r>
    </w:p>
    <w:p w14:paraId="1691DAA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投标人应认真阅读、并充分理解谈判文件的全部内容（包括所有的补充、修改内容重要事项、格式、条款和技术规范、参数及要求等）。投标人没有按照谈判文件要求提交资料，或者投标文件没有对谈判文件在各方面都作出实质性响应是投标人的风险，有可能导致其投标被认定为无效投标或被确定为投标无效。</w:t>
      </w:r>
    </w:p>
    <w:p w14:paraId="3E2D64AA">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8.5.如谈判文件提供了投标文件格式，则投标人提交的投标文件必须毫无例外地使用谈判文件所提供的相应格式（表格可以按同样格式扩展）。</w:t>
      </w:r>
    </w:p>
    <w:p w14:paraId="465813C0">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投标报价</w:t>
      </w:r>
    </w:p>
    <w:p w14:paraId="600A4B1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9.1.投标人应按照“用户需求书”中采购项目技术规格、参数及要求规定的内容、责任范围进行报价。并按《开标一览表(报价表)》及《投标分项报价表》（如适用）的要求报出总价和分项价格。</w:t>
      </w:r>
    </w:p>
    <w:p w14:paraId="7728061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9.2.投标分项报价应包含：</w:t>
      </w:r>
    </w:p>
    <w:p w14:paraId="770CE1F7">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9.2.1.按谈判文件的要求全部货物及服务内容所需的所有费用，包括但不限于项目的全部产品价格、服务价格、应向中华人民共和国政府缴纳的增值税和其它税等全部税费、运输、保险、安装、伴随服务、标准附件价、备品备件及专用工具价(如有)、以及履行合同所需的费用、所有风险、责任等其他一切隐含及不可预见的费用。如是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20E6C740">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9.2.2.对于报价免费的内容须标明“免费”。</w:t>
      </w:r>
    </w:p>
    <w:p w14:paraId="2660739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9.3.除投标资料表中另有规定，投标人所报的投标价在合同执行过程中是固定不变的，不得以任何理由予以变更。任何包含价格调整要求的投标被认为是非实质性响应投标而予以拒绝。</w:t>
      </w:r>
    </w:p>
    <w:p w14:paraId="30822C3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9.4.除投标资料表中允许有备选方案外，本次谈判不接受选择性报价，否则将被视为无效投标。</w:t>
      </w:r>
    </w:p>
    <w:p w14:paraId="43EDBB74">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9.5.除投标资料表另有规定外，本次谈判不接受具有附加条件的报价，否则将被视为无效投标。</w:t>
      </w:r>
    </w:p>
    <w:p w14:paraId="49761AAB">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投标货币</w:t>
      </w:r>
    </w:p>
    <w:p w14:paraId="6C35452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投标人所提供的货物和服务均应以人民币报价。</w:t>
      </w:r>
    </w:p>
    <w:p w14:paraId="6C314207">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联合体投标</w:t>
      </w:r>
    </w:p>
    <w:p w14:paraId="6DD65058">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除</w:t>
      </w:r>
      <w:r>
        <w:rPr>
          <w:rFonts w:hint="eastAsia" w:ascii="宋体" w:hAnsi="宋体" w:eastAsia="宋体" w:cs="宋体"/>
          <w:bCs/>
          <w:kern w:val="2"/>
          <w:sz w:val="21"/>
          <w:szCs w:val="21"/>
          <w:lang w:val="en-US" w:eastAsia="zh-CN" w:bidi="ar"/>
        </w:rPr>
        <w:t>非投标邀请中另有规定</w:t>
      </w:r>
      <w:r>
        <w:rPr>
          <w:rFonts w:hint="eastAsia" w:ascii="宋体" w:hAnsi="宋体" w:eastAsia="宋体" w:cs="宋体"/>
          <w:kern w:val="2"/>
          <w:sz w:val="21"/>
          <w:szCs w:val="21"/>
          <w:lang w:val="en-US" w:eastAsia="zh-CN" w:bidi="ar"/>
        </w:rPr>
        <w:t>，不接受联合体投标。如果投标邀请中规定允许联合体投标的，则必须满足：</w:t>
      </w:r>
    </w:p>
    <w:p w14:paraId="1083F69A">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11.1.1.以联合体形式参加投标的，联合体各方均必须符合联合体各方均必须符合</w:t>
      </w:r>
      <w:r>
        <w:rPr>
          <w:rFonts w:hint="eastAsia" w:ascii="宋体" w:hAnsi="宋体" w:eastAsia="宋体" w:cs="宋体"/>
          <w:bCs/>
          <w:kern w:val="2"/>
          <w:sz w:val="21"/>
          <w:szCs w:val="21"/>
          <w:lang w:val="en-US" w:eastAsia="zh-CN" w:bidi="ar"/>
        </w:rPr>
        <w:t>《中华人民共和国政府采购法》第二十二条第（一）至（六）项规定。</w:t>
      </w:r>
    </w:p>
    <w:p w14:paraId="1BC735AD">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11.1.2.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43ABEEF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11.1.3.联合体中有同类资质的供应商按照联合体分工承担相同工作的，应当按照资质等级较低的供应商确定资质等级。</w:t>
      </w:r>
    </w:p>
    <w:p w14:paraId="323756B8">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11.1.4.联合体中标的，联合体各方应当共同与采购人签订合同。</w:t>
      </w:r>
    </w:p>
    <w:p w14:paraId="78D37672">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证明投标人合格和资格的文件</w:t>
      </w:r>
    </w:p>
    <w:p w14:paraId="51685047">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应提交证明其有资格参加投标和中标后有能力履行合同的文件，并作为其投标文件的一部分。如果投标人为联合体，应提交联合体各方的资格证明文件、联合投标协议并注明主体方及各方拟承担的工作和责任。否则，将导致其投标无效。</w:t>
      </w:r>
    </w:p>
    <w:p w14:paraId="4F83F64E">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投标人提交的资格证明文件应证明其满足</w:t>
      </w:r>
      <w:r>
        <w:rPr>
          <w:rFonts w:hint="eastAsia" w:ascii="宋体" w:hAnsi="宋体" w:eastAsia="宋体" w:cs="宋体"/>
          <w:bCs/>
          <w:kern w:val="2"/>
          <w:sz w:val="21"/>
          <w:szCs w:val="21"/>
          <w:lang w:val="en-US" w:eastAsia="zh-CN" w:bidi="ar"/>
        </w:rPr>
        <w:t>投标人的资格要求</w:t>
      </w:r>
      <w:r>
        <w:rPr>
          <w:rFonts w:hint="eastAsia" w:ascii="宋体" w:hAnsi="宋体" w:eastAsia="宋体" w:cs="宋体"/>
          <w:kern w:val="2"/>
          <w:sz w:val="21"/>
          <w:szCs w:val="21"/>
          <w:lang w:val="en-US" w:eastAsia="zh-CN" w:bidi="ar"/>
        </w:rPr>
        <w:t>。</w:t>
      </w:r>
    </w:p>
    <w:p w14:paraId="6F2238CB">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证明投标标的的合格性和符合谈判文件规定的文件</w:t>
      </w:r>
    </w:p>
    <w:p w14:paraId="0114574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投标人应提交证明文件，证明其拟投标的货物和服务的合格性符合谈判文件规定。该证明文件作为投标文件的一部分。</w:t>
      </w:r>
    </w:p>
    <w:p w14:paraId="0FBCA582">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货物和服务合格性的证明文件应包括投标分项报价表中对货物和服务原产地的说明。</w:t>
      </w:r>
    </w:p>
    <w:p w14:paraId="4FA29D92">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strike/>
          <w:dstrike w:val="0"/>
          <w:kern w:val="2"/>
          <w:sz w:val="21"/>
          <w:szCs w:val="21"/>
        </w:rPr>
      </w:pPr>
      <w:r>
        <w:rPr>
          <w:rFonts w:hint="eastAsia" w:ascii="宋体" w:hAnsi="宋体" w:eastAsia="宋体" w:cs="宋体"/>
          <w:kern w:val="2"/>
          <w:sz w:val="21"/>
          <w:szCs w:val="21"/>
          <w:lang w:val="en-US" w:eastAsia="zh-CN" w:bidi="ar"/>
        </w:rPr>
        <w:t>证明货物和服务与谈判文件的要求相一致的文件，可以是文字资料、图纸和数据。</w:t>
      </w:r>
    </w:p>
    <w:p w14:paraId="5BF4BFA3">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投标文件的式样和签署、密封</w:t>
      </w:r>
    </w:p>
    <w:p w14:paraId="7A712F41">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文件的式样：投标人应准备纸质投标文件一份正本、电子文件和谈判须知中规定数目的纸质副本。投标文件的副本可采用正本的复印件。每套投标文件须清楚地标明“正本”或“副本”。若副本与正本不符，以正本为准。</w:t>
      </w:r>
    </w:p>
    <w:p w14:paraId="09E660FE">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电子文件：是指将按谈判文件要求签署、盖章后的正本投标文件扫描成PDF格式后拷贝至无病毒无密码的U盘或光盘。电子文件与开标一览表一同密封，若电子文件与正本不符，以正本为准。</w:t>
      </w:r>
    </w:p>
    <w:p w14:paraId="156B7360">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投标文件的签署：</w:t>
      </w:r>
      <w:r>
        <w:rPr>
          <w:rFonts w:hint="eastAsia" w:ascii="宋体" w:hAnsi="宋体" w:eastAsia="宋体" w:cs="黑体"/>
          <w:b/>
          <w:bCs/>
          <w:kern w:val="2"/>
          <w:sz w:val="21"/>
          <w:szCs w:val="21"/>
          <w:lang w:val="en-US" w:eastAsia="zh-CN" w:bidi="ar"/>
        </w:rPr>
        <w:t xml:space="preserve"> </w:t>
      </w:r>
    </w:p>
    <w:p w14:paraId="041960D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14.3.1.投标文件的正本需打印或用不褪色墨水书写，且谈判文件要求签名的由法定代表人或经其正式授权的代表签字或盖章，以及谈判文件中明示盖公章处及要求提供的证明材料应盖投标人公章，副本可以用正本复印，与正本具有同等法律效力。授权代表须将以书面形式出具的《法定代表人授权委托书》附在投标文件中。</w:t>
      </w:r>
    </w:p>
    <w:p w14:paraId="677159CC">
      <w:pPr>
        <w:keepNext w:val="0"/>
        <w:keepLines w:val="0"/>
        <w:widowControl w:val="0"/>
        <w:numPr>
          <w:ilvl w:val="2"/>
          <w:numId w:val="17"/>
        </w:numPr>
        <w:suppressLineNumbers w:val="0"/>
        <w:tabs>
          <w:tab w:val="left" w:pos="851"/>
        </w:tabs>
        <w:autoSpaceDE w:val="0"/>
        <w:autoSpaceDN w:val="0"/>
        <w:adjustRightInd w:val="0"/>
        <w:snapToGrid w:val="0"/>
        <w:spacing w:before="0" w:beforeAutospacing="0" w:after="0" w:afterAutospacing="0" w:line="360" w:lineRule="auto"/>
        <w:ind w:left="851" w:right="0" w:hanging="851"/>
        <w:jc w:val="both"/>
        <w:rPr>
          <w:rFonts w:hint="eastAsia" w:ascii="宋体" w:hAnsi="宋体" w:eastAsia="宋体" w:cs="宋体"/>
          <w:b w:val="0"/>
          <w:bCs w:val="0"/>
          <w:kern w:val="2"/>
          <w:sz w:val="21"/>
          <w:szCs w:val="21"/>
        </w:rPr>
      </w:pPr>
      <w:r>
        <w:rPr>
          <w:rFonts w:hint="eastAsia" w:ascii="宋体" w:hAnsi="宋体" w:eastAsia="宋体" w:cs="宋体"/>
          <w:kern w:val="2"/>
          <w:sz w:val="21"/>
          <w:szCs w:val="21"/>
          <w:lang w:val="en-US" w:eastAsia="zh-CN" w:bidi="ar"/>
        </w:rPr>
        <w:t>投标文件中的任何重要的插字、涂改和增删，必须由法定代表人或经其正式授权的</w:t>
      </w:r>
      <w:r>
        <w:rPr>
          <w:rFonts w:hint="eastAsia" w:ascii="宋体" w:hAnsi="宋体" w:eastAsia="宋体" w:cs="宋体"/>
          <w:b w:val="0"/>
          <w:bCs w:val="0"/>
          <w:kern w:val="2"/>
          <w:sz w:val="21"/>
          <w:szCs w:val="21"/>
          <w:lang w:val="en-US" w:eastAsia="zh-CN" w:bidi="ar"/>
        </w:rPr>
        <w:t>代表在旁边签章或签字或盖投标人公章才有效。</w:t>
      </w:r>
    </w:p>
    <w:p w14:paraId="350933F6">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 w:val="0"/>
          <w:bCs w:val="0"/>
          <w:kern w:val="2"/>
          <w:sz w:val="21"/>
          <w:szCs w:val="21"/>
        </w:rPr>
      </w:pPr>
      <w:r>
        <w:rPr>
          <w:rFonts w:hint="eastAsia" w:ascii="宋体" w:hAnsi="宋体" w:eastAsia="宋体" w:cs="宋体"/>
          <w:b w:val="0"/>
          <w:bCs w:val="0"/>
          <w:kern w:val="2"/>
          <w:sz w:val="21"/>
          <w:szCs w:val="21"/>
          <w:lang w:val="en-US" w:eastAsia="zh-CN" w:bidi="ar"/>
        </w:rPr>
        <w:t>投标文件必须密封：</w:t>
      </w:r>
    </w:p>
    <w:p w14:paraId="78645C21">
      <w:pPr>
        <w:keepNext w:val="0"/>
        <w:keepLines w:val="0"/>
        <w:widowControl w:val="0"/>
        <w:numPr>
          <w:ilvl w:val="2"/>
          <w:numId w:val="17"/>
        </w:numPr>
        <w:suppressLineNumbers w:val="0"/>
        <w:tabs>
          <w:tab w:val="left" w:pos="851"/>
          <w:tab w:val="clear" w:pos="567"/>
        </w:tabs>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信封或外包装上应当清楚写明投标人名称、项目名称、项目编号、包组号（如有）和“在(谈判文件中规定的开标日期和时间)之前不得启封”的字样。</w:t>
      </w:r>
    </w:p>
    <w:p w14:paraId="07D61B3F">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8F0C29">
      <w:pPr>
        <w:pStyle w:val="3"/>
        <w:widowControl/>
        <w:ind w:left="420" w:leftChars="0" w:hanging="420" w:firstLineChars="0"/>
        <w:jc w:val="center"/>
        <w:rPr>
          <w:rFonts w:hint="eastAsia" w:ascii="宋体" w:hAnsi="宋体" w:eastAsia="宋体" w:cs="宋体"/>
          <w:kern w:val="2"/>
          <w:sz w:val="30"/>
          <w:szCs w:val="30"/>
        </w:rPr>
      </w:pPr>
      <w:r>
        <w:rPr>
          <w:rFonts w:hint="eastAsia" w:ascii="宋体" w:hAnsi="宋体" w:eastAsia="宋体" w:cs="宋体"/>
          <w:kern w:val="2"/>
          <w:sz w:val="30"/>
          <w:szCs w:val="30"/>
        </w:rPr>
        <w:t>投标文件的递交</w:t>
      </w:r>
    </w:p>
    <w:p w14:paraId="04E82AED">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投标文件递交</w:t>
      </w:r>
    </w:p>
    <w:p w14:paraId="7C7C127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投标人的投标文件应在本项目投标截止时间前送达开标地点。</w:t>
      </w:r>
    </w:p>
    <w:p w14:paraId="681B488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逾期送达或者未按照谈判文件要求密封的投标文件，采购人应当拒收。</w:t>
      </w:r>
    </w:p>
    <w:p w14:paraId="68C9C850">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1F25D06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投标文件正本、所有的副本应统一封装在一个信封中，信封密封封口处须加盖投标单位公章（或信封密封封口处粘贴封条并加盖投标单位公章）。</w:t>
      </w:r>
    </w:p>
    <w:p w14:paraId="313FA4D5">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密封包上应注明所规定的开标时间（指谈判公告中规定的开标时间）前不准启封的字样。</w:t>
      </w:r>
    </w:p>
    <w:p w14:paraId="4C2E61AE">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我院将拒绝并原封退回在其规定的投标截止期后收到的任何投标文件。</w:t>
      </w:r>
    </w:p>
    <w:p w14:paraId="138DA225">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投标文件的修改和撤回、撤销</w:t>
      </w:r>
    </w:p>
    <w:p w14:paraId="6C84F556">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在投标截止时间前，可以对所递交的投标文件进行补充、修改或者撤回。补充、修改的内容应当按谈判文件要求签署、盖章、密封后，并作为投标文件的组成部分。在投标截止时间之后，投标人不得对其投标文件做任何修改和补充。</w:t>
      </w:r>
    </w:p>
    <w:p w14:paraId="7C82F76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strike/>
          <w:dstrike w:val="0"/>
          <w:kern w:val="2"/>
          <w:sz w:val="21"/>
          <w:szCs w:val="21"/>
        </w:rPr>
      </w:pPr>
      <w:r>
        <w:rPr>
          <w:rFonts w:hint="eastAsia" w:ascii="宋体" w:hAnsi="宋体" w:eastAsia="宋体" w:cs="宋体"/>
          <w:bCs/>
          <w:kern w:val="2"/>
          <w:sz w:val="21"/>
          <w:szCs w:val="21"/>
          <w:lang w:val="en-US" w:eastAsia="zh-CN" w:bidi="ar"/>
        </w:rPr>
        <w:t>投标人在投标截止后或在谈判文件中规定的投标有效期内不可撤销其投标。</w:t>
      </w:r>
      <w:r>
        <w:rPr>
          <w:rFonts w:hint="eastAsia" w:ascii="宋体" w:hAnsi="宋体" w:eastAsia="宋体" w:cs="宋体"/>
          <w:kern w:val="2"/>
          <w:sz w:val="21"/>
          <w:szCs w:val="21"/>
          <w:lang w:val="en-US" w:eastAsia="zh-CN" w:bidi="ar"/>
        </w:rPr>
        <w:t>投标人所提交的投标文件在本项目投标截止时间后均不予退还。</w:t>
      </w:r>
    </w:p>
    <w:p w14:paraId="1BF08A58">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黑体"/>
          <w:bCs/>
          <w:kern w:val="2"/>
          <w:sz w:val="21"/>
          <w:szCs w:val="21"/>
        </w:rPr>
      </w:pPr>
      <w:r>
        <w:rPr>
          <w:rFonts w:hint="eastAsia" w:ascii="宋体" w:hAnsi="宋体" w:eastAsia="宋体" w:cs="宋体"/>
          <w:b/>
          <w:bCs/>
          <w:kern w:val="2"/>
          <w:sz w:val="21"/>
          <w:szCs w:val="21"/>
          <w:lang w:val="en-US" w:eastAsia="zh-CN" w:bidi="ar"/>
        </w:rPr>
        <w:t>质疑</w:t>
      </w:r>
    </w:p>
    <w:p w14:paraId="30495DFD">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质疑期限：</w:t>
      </w:r>
    </w:p>
    <w:p w14:paraId="3C3769C4">
      <w:pPr>
        <w:keepNext w:val="0"/>
        <w:keepLines w:val="0"/>
        <w:widowControl w:val="0"/>
        <w:suppressLineNumbers w:val="0"/>
        <w:tabs>
          <w:tab w:val="left" w:pos="1078"/>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17.1.1.供应商认为采购文件的内容损害其权益的，应在采购文件公布之日起七个工作日内。</w:t>
      </w:r>
    </w:p>
    <w:p w14:paraId="65B63717">
      <w:pPr>
        <w:keepNext w:val="0"/>
        <w:keepLines w:val="0"/>
        <w:widowControl w:val="0"/>
        <w:suppressLineNumbers w:val="0"/>
        <w:tabs>
          <w:tab w:val="left" w:pos="1078"/>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17.1.2.供应商认为采购过程损害其权益的，应在各采购程序环节结束之日起七个工作日内。</w:t>
      </w:r>
    </w:p>
    <w:p w14:paraId="558CF59C">
      <w:pPr>
        <w:keepNext w:val="0"/>
        <w:keepLines w:val="0"/>
        <w:widowControl w:val="0"/>
        <w:suppressLineNumbers w:val="0"/>
        <w:tabs>
          <w:tab w:val="left" w:pos="1078"/>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17.1.3.供应商认为中标或者成交结果以及评标委员会、谈判小组、竞价小组组成人员损害其权益的，应在中标或者成交结果公示之日起七个工作日内。</w:t>
      </w:r>
    </w:p>
    <w:p w14:paraId="37FAAFF7">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提交要求：</w:t>
      </w:r>
    </w:p>
    <w:p w14:paraId="0DC6E72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17.2.1.以书面形式向采购人</w:t>
      </w:r>
      <w:r>
        <w:rPr>
          <w:rFonts w:hint="eastAsia" w:ascii="宋体" w:hAnsi="宋体" w:eastAsia="宋体" w:cs="宋体"/>
          <w:kern w:val="2"/>
          <w:sz w:val="21"/>
          <w:szCs w:val="21"/>
          <w:lang w:val="en-US" w:eastAsia="zh-CN" w:bidi="ar"/>
        </w:rPr>
        <w:t>一次性提出针对同一采购程序环节的</w:t>
      </w:r>
      <w:r>
        <w:rPr>
          <w:rFonts w:hint="eastAsia" w:ascii="宋体" w:hAnsi="宋体" w:eastAsia="宋体" w:cs="宋体"/>
          <w:bCs/>
          <w:kern w:val="2"/>
          <w:sz w:val="21"/>
          <w:szCs w:val="21"/>
          <w:lang w:val="en-US" w:eastAsia="zh-CN" w:bidi="ar"/>
        </w:rPr>
        <w:t>质疑。</w:t>
      </w:r>
    </w:p>
    <w:p w14:paraId="142A326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17.2.2.以联合体形式参加政府采购活动的，其质疑应当由组成联合体的所有供应商共同提出。</w:t>
      </w:r>
    </w:p>
    <w:p w14:paraId="5C29C88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17.2.3.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51DA09E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default" w:ascii="Calibri" w:hAnsi="宋体" w:eastAsia="宋体" w:cs="Times New Roman"/>
          <w:kern w:val="2"/>
          <w:sz w:val="21"/>
          <w:szCs w:val="21"/>
        </w:rPr>
      </w:pPr>
      <w:r>
        <w:rPr>
          <w:rFonts w:hint="eastAsia" w:ascii="宋体" w:hAnsi="宋体" w:eastAsia="宋体" w:cs="宋体"/>
          <w:kern w:val="2"/>
          <w:sz w:val="21"/>
          <w:szCs w:val="21"/>
          <w:lang w:val="en-US" w:eastAsia="zh-CN" w:bidi="ar"/>
        </w:rPr>
        <w:t>17.2.4.供应商捏造事实、提供虚假材料或者以非法手段取得证明材料不能作为质疑的证明材料。</w:t>
      </w:r>
    </w:p>
    <w:p w14:paraId="6C2F30D2">
      <w:pPr>
        <w:keepNext w:val="0"/>
        <w:keepLines w:val="0"/>
        <w:widowControl w:val="0"/>
        <w:suppressLineNumbers w:val="0"/>
        <w:tabs>
          <w:tab w:val="left" w:pos="1134"/>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kern w:val="2"/>
          <w:sz w:val="21"/>
          <w:szCs w:val="21"/>
          <w:lang w:val="en-US" w:eastAsia="zh-CN" w:bidi="ar"/>
        </w:rPr>
        <w:t>17.2.5.采购人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314981">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17.2.6.采购人接收以书面形式递交的质疑函，接收质疑函的联系人、联系方式和通讯地址见谈判公告。</w:t>
      </w:r>
    </w:p>
    <w:p w14:paraId="3B6D6DE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17.2.7.提出质疑的供应商应当是参与所质疑项目采购活动的供应商。</w:t>
      </w:r>
    </w:p>
    <w:p w14:paraId="2D0DD1A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17.2.8.供应商质疑不成立，或者成立但未对中标、成交结果构成影响的，继续开展采购活动。</w:t>
      </w:r>
    </w:p>
    <w:p w14:paraId="75E0416C">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17.2.9.供应商质疑成立且影响或者可能影响中标、成交结果的，按照下列情况处理：</w:t>
      </w:r>
    </w:p>
    <w:p w14:paraId="195A8896">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17.2.10.对采购文件提出的质疑，依法通过澄清或者修改可以继续开展采购活动的，澄清或者修改采购文件后继续开展采购活动；否则应当修改采购文件后重新开展采购活动。</w:t>
      </w:r>
    </w:p>
    <w:p w14:paraId="4E091E78">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违约责任</w:t>
      </w:r>
    </w:p>
    <w:p w14:paraId="49A6DE2C">
      <w:pPr>
        <w:keepNext w:val="0"/>
        <w:keepLines w:val="0"/>
        <w:widowControl w:val="0"/>
        <w:numPr>
          <w:ilvl w:val="1"/>
          <w:numId w:val="17"/>
        </w:numPr>
        <w:suppressLineNumbers w:val="0"/>
        <w:snapToGrid w:val="0"/>
        <w:spacing w:before="0" w:beforeAutospacing="0" w:after="0" w:afterAutospacing="0" w:line="360" w:lineRule="auto"/>
        <w:ind w:left="567" w:leftChars="0" w:right="0" w:hanging="567" w:firstLineChars="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供应商若在政府采购活动存在下列违法行为，给采购人造成损失的，应当承担赔偿责任。</w:t>
      </w:r>
    </w:p>
    <w:p w14:paraId="4721F0EB">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）未按照规定签订、履行采购合同；</w:t>
      </w:r>
    </w:p>
    <w:p w14:paraId="1068B3D9">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）提供虚假材料谋取中标、成交的；</w:t>
      </w:r>
    </w:p>
    <w:p w14:paraId="0E578ED0">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3</w:t>
      </w:r>
      <w:r>
        <w:rPr>
          <w:rFonts w:hint="eastAsia" w:ascii="宋体" w:hAnsi="宋体" w:eastAsia="宋体" w:cs="宋体"/>
          <w:kern w:val="2"/>
          <w:sz w:val="21"/>
          <w:szCs w:val="21"/>
          <w:lang w:val="en-US" w:eastAsia="zh-CN" w:bidi="ar"/>
        </w:rPr>
        <w:t>）采取不正当手段诋毁、排挤其他供应商的；</w:t>
      </w:r>
    </w:p>
    <w:p w14:paraId="14D2E0A5">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4</w:t>
      </w:r>
      <w:r>
        <w:rPr>
          <w:rFonts w:hint="eastAsia" w:ascii="宋体" w:hAnsi="宋体" w:eastAsia="宋体" w:cs="宋体"/>
          <w:kern w:val="2"/>
          <w:sz w:val="21"/>
          <w:szCs w:val="21"/>
          <w:lang w:val="en-US" w:eastAsia="zh-CN" w:bidi="ar"/>
        </w:rPr>
        <w:t>）与其他供应商恶意串通的；</w:t>
      </w:r>
    </w:p>
    <w:p w14:paraId="77006808">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5</w:t>
      </w:r>
      <w:r>
        <w:rPr>
          <w:rFonts w:hint="eastAsia" w:ascii="宋体" w:hAnsi="宋体" w:eastAsia="宋体" w:cs="宋体"/>
          <w:kern w:val="2"/>
          <w:sz w:val="21"/>
          <w:szCs w:val="21"/>
          <w:lang w:val="en-US" w:eastAsia="zh-CN" w:bidi="ar"/>
        </w:rPr>
        <w:t>）拒绝有关部门监督检查或者提供虚假情况的；</w:t>
      </w:r>
    </w:p>
    <w:p w14:paraId="2C6F11D9">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6</w:t>
      </w:r>
      <w:r>
        <w:rPr>
          <w:rFonts w:hint="eastAsia" w:ascii="宋体" w:hAnsi="宋体" w:eastAsia="宋体" w:cs="宋体"/>
          <w:kern w:val="2"/>
          <w:sz w:val="21"/>
          <w:szCs w:val="21"/>
          <w:lang w:val="en-US" w:eastAsia="zh-CN" w:bidi="ar"/>
        </w:rPr>
        <w:t>）经主管部门认定的其他违法采购相关法律法规的行为。</w:t>
      </w:r>
    </w:p>
    <w:p w14:paraId="6F587694">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中标通知书</w:t>
      </w:r>
    </w:p>
    <w:p w14:paraId="406D7823">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中标人确定后，采购人将在发布采购信息公告的媒体上发布中标公告，并向中标人发出《中标通知书》，其中《中标通知书》对中标人和采购人具有同等法律效力。</w:t>
      </w:r>
    </w:p>
    <w:p w14:paraId="0118053D">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《中标通知书》将作为授予合同资格的合法依据，是合同的一个组成部分。</w:t>
      </w:r>
    </w:p>
    <w:p w14:paraId="5D381682">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黑体"/>
          <w:b/>
          <w:bCs/>
          <w:kern w:val="2"/>
          <w:sz w:val="21"/>
          <w:szCs w:val="21"/>
          <w:lang w:val="en-US" w:eastAsia="zh-CN" w:bidi="ar"/>
        </w:rPr>
        <w:t xml:space="preserve"> </w:t>
      </w:r>
    </w:p>
    <w:p w14:paraId="0C2D852F">
      <w:pPr>
        <w:pStyle w:val="3"/>
        <w:widowControl/>
        <w:ind w:left="420" w:leftChars="0" w:hanging="420" w:firstLineChars="0"/>
        <w:jc w:val="center"/>
        <w:outlineLvl w:val="0"/>
        <w:rPr>
          <w:rFonts w:hint="eastAsia" w:ascii="宋体" w:hAnsi="宋体" w:eastAsia="宋体" w:cs="宋体"/>
          <w:kern w:val="2"/>
          <w:sz w:val="30"/>
          <w:szCs w:val="30"/>
        </w:rPr>
      </w:pPr>
      <w:r>
        <w:rPr>
          <w:rFonts w:hint="eastAsia" w:ascii="宋体" w:hAnsi="宋体" w:eastAsia="宋体" w:cs="宋体"/>
          <w:kern w:val="2"/>
          <w:sz w:val="30"/>
          <w:szCs w:val="30"/>
        </w:rPr>
        <w:t>授予合同</w:t>
      </w:r>
    </w:p>
    <w:p w14:paraId="22F9A3A1">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合同的订立</w:t>
      </w:r>
    </w:p>
    <w:p w14:paraId="7CAD7296">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采购人应当自中标通知书发出之日起十个工作日内，按照谈判文件和中标人投标文件的约定，与中标人签订书面合同。所签订的合同不得对谈判文件和中标人投标文件作实质性修改。</w:t>
      </w:r>
    </w:p>
    <w:p w14:paraId="38B0934A">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采购人不得向中标人提出任何不合理的要求，作为签订合同的条件，不得与中标人私下订立背离合同实质性内容的协议。 </w:t>
      </w:r>
    </w:p>
    <w:p w14:paraId="5B2E0F1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自政府采购合同签订之日起2个工作日内，采购人应将政府采购合同在指定的渠道公告，但政府采购合同中涉及国家秘密、商业秘密的内容除外。</w:t>
      </w:r>
    </w:p>
    <w:p w14:paraId="7FC0C4D1">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政府采购合同签订之日起10日内，采购人应将政府采购合同副本报同级监管部门备案和有关部门备案。</w:t>
      </w:r>
    </w:p>
    <w:p w14:paraId="3AFE9303">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合同的履行</w:t>
      </w:r>
    </w:p>
    <w:p w14:paraId="16A92A3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671D711A">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政府采购合同履行中，采购人需追加与合同标的相同的货物、工程或者服务的，在不改变合同其他条款的前提下，可以与供应商签订补充合同，但所补充合同的采购金额不得超过原合同采购金额的百分之十。签订补充合同的必须按规定备案。</w:t>
      </w:r>
    </w:p>
    <w:p w14:paraId="615B973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48C4E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7248690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B898BB3">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CBF7D85">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258DB6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3E946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83CBE3">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56B876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F81C82">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5D9CE235">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4346C6B">
      <w:pPr>
        <w:rPr>
          <w:rFonts w:hint="eastAsia" w:ascii="黑体" w:hAnsi="宋体" w:eastAsia="黑体" w:cs="黑体"/>
          <w:b/>
          <w:bCs/>
          <w:kern w:val="44"/>
          <w:sz w:val="44"/>
          <w:szCs w:val="44"/>
        </w:rPr>
      </w:pPr>
    </w:p>
    <w:p w14:paraId="23B00D8C">
      <w:pPr>
        <w:rPr>
          <w:rFonts w:hint="eastAsia" w:ascii="黑体" w:hAnsi="宋体" w:eastAsia="黑体" w:cs="黑体"/>
          <w:b/>
          <w:bCs/>
          <w:kern w:val="44"/>
          <w:sz w:val="44"/>
          <w:szCs w:val="44"/>
        </w:rPr>
      </w:pPr>
    </w:p>
    <w:p w14:paraId="6AA3AC31">
      <w:pPr>
        <w:rPr>
          <w:rFonts w:hint="eastAsia" w:ascii="黑体" w:hAnsi="宋体" w:eastAsia="黑体" w:cs="黑体"/>
          <w:b/>
          <w:bCs/>
          <w:kern w:val="44"/>
          <w:sz w:val="44"/>
          <w:szCs w:val="44"/>
        </w:rPr>
      </w:pPr>
    </w:p>
    <w:p w14:paraId="34E4D9F9">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71676545">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3" w:name="_Toc13149_WPSOffice_Level1"/>
      <w:r>
        <w:rPr>
          <w:rFonts w:hint="eastAsia" w:ascii="仿宋_GB2312" w:hAnsi="仿宋_GB2312" w:eastAsia="仿宋_GB2312" w:cs="仿宋_GB2312"/>
          <w:b/>
          <w:color w:val="auto"/>
          <w:sz w:val="28"/>
          <w:szCs w:val="28"/>
          <w:highlight w:val="none"/>
        </w:rPr>
        <w:t>第一条  合同标的</w:t>
      </w:r>
      <w:bookmarkEnd w:id="113"/>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4" w:name="_Toc663_WPSOffice_Level1"/>
      <w:r>
        <w:rPr>
          <w:rFonts w:hint="eastAsia" w:ascii="仿宋_GB2312" w:hAnsi="仿宋_GB2312" w:eastAsia="仿宋_GB2312" w:cs="仿宋_GB2312"/>
          <w:b/>
          <w:color w:val="auto"/>
          <w:sz w:val="28"/>
          <w:szCs w:val="28"/>
          <w:highlight w:val="none"/>
        </w:rPr>
        <w:t>第二条  合同价款</w:t>
      </w:r>
      <w:bookmarkEnd w:id="114"/>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5"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5"/>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6" w:name="_Toc2412_WPSOffice_Level1"/>
      <w:r>
        <w:rPr>
          <w:rFonts w:hint="eastAsia" w:ascii="仿宋_GB2312" w:hAnsi="仿宋_GB2312" w:eastAsia="仿宋_GB2312" w:cs="仿宋_GB2312"/>
          <w:b/>
          <w:color w:val="auto"/>
          <w:sz w:val="28"/>
          <w:szCs w:val="28"/>
          <w:highlight w:val="none"/>
        </w:rPr>
        <w:t>第九条 质量保证及售后服务</w:t>
      </w:r>
      <w:bookmarkEnd w:id="116"/>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7"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7"/>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8"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18"/>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19"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19"/>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0" w:name="_Toc12695_WPSOffice_Level1"/>
      <w:r>
        <w:rPr>
          <w:rFonts w:hint="eastAsia" w:ascii="仿宋_GB2312" w:hAnsi="仿宋_GB2312" w:eastAsia="仿宋_GB2312" w:cs="仿宋_GB2312"/>
          <w:b/>
          <w:color w:val="auto"/>
          <w:sz w:val="28"/>
          <w:szCs w:val="28"/>
          <w:highlight w:val="none"/>
        </w:rPr>
        <w:t>附则</w:t>
      </w:r>
      <w:bookmarkEnd w:id="120"/>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1"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1"/>
      <w:bookmarkStart w:id="122"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2"/>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3" w:name="_Toc28445_WPSOffice_Level1"/>
      <w:r>
        <w:rPr>
          <w:rFonts w:hint="eastAsia" w:ascii="仿宋_GB2312" w:hAnsi="仿宋_GB2312" w:eastAsia="仿宋_GB2312" w:cs="仿宋_GB2312"/>
          <w:color w:val="auto"/>
          <w:sz w:val="28"/>
          <w:szCs w:val="28"/>
          <w:highlight w:val="none"/>
        </w:rPr>
        <w:t>附件三：廉洁从业承诺书（员工承诺</w:t>
      </w:r>
      <w:bookmarkEnd w:id="123"/>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08"/>
      <w:bookmarkEnd w:id="109"/>
      <w:bookmarkEnd w:id="110"/>
      <w:bookmarkEnd w:id="111"/>
      <w:bookmarkEnd w:id="112"/>
    </w:p>
    <w:p w14:paraId="26098853">
      <w:pPr>
        <w:bidi w:val="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82AF40-CF6D-49C8-BB9A-E465C870E12A}"/>
  </w:font>
  <w:font w:name="黑体">
    <w:panose1 w:val="02010609060101010101"/>
    <w:charset w:val="86"/>
    <w:family w:val="auto"/>
    <w:pitch w:val="default"/>
    <w:sig w:usb0="800002BF" w:usb1="38CF7CFA" w:usb2="00000016" w:usb3="00000000" w:csb0="00040001" w:csb1="00000000"/>
    <w:embedRegular r:id="rId2" w:fontKey="{E078C6C4-25F2-4B83-B2F7-0908880CEB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8E9DFB5-A4FE-486D-97A9-413BF150C4EC}"/>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B34626A3-C085-44EF-B619-51FCA69AB0CB}"/>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5" w:fontKey="{B245BDF6-FE2C-41F9-8C32-54B340680B80}"/>
  </w:font>
  <w:font w:name="Wingdings 2">
    <w:panose1 w:val="05020102010507070707"/>
    <w:charset w:val="00"/>
    <w:family w:val="auto"/>
    <w:pitch w:val="default"/>
    <w:sig w:usb0="00000000" w:usb1="00000000" w:usb2="00000000" w:usb3="00000000" w:csb0="80000000" w:csb1="00000000"/>
    <w:embedRegular r:id="rId6" w:fontKey="{60663E1E-48F9-4C59-A9C2-E049B90FF2CE}"/>
  </w:font>
  <w:font w:name="方正仿宋_GBK">
    <w:altName w:val="微软雅黑"/>
    <w:panose1 w:val="00000000000000000000"/>
    <w:charset w:val="86"/>
    <w:family w:val="auto"/>
    <w:pitch w:val="default"/>
    <w:sig w:usb0="00000000" w:usb1="00000000" w:usb2="00000000" w:usb3="00000000" w:csb0="00040000" w:csb1="00000000"/>
    <w:embedRegular r:id="rId7" w:fontKey="{71C7FF74-F074-4D19-B420-20A6DDA9602F}"/>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embedRegular r:id="rId8" w:fontKey="{6260BFCC-4013-4564-BD08-234C437B1A48}"/>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9" w:fontKey="{DB827A34-D774-46BB-86C4-1C0CDC924E42}"/>
  </w:font>
  <w:font w:name="方正小标宋_GBK">
    <w:panose1 w:val="02000000000000000000"/>
    <w:charset w:val="86"/>
    <w:family w:val="script"/>
    <w:pitch w:val="default"/>
    <w:sig w:usb0="A00002BF" w:usb1="38CF7CFA" w:usb2="00082016" w:usb3="00000000" w:csb0="00040001" w:csb1="00000000"/>
    <w:embedRegular r:id="rId10" w:fontKey="{7DFBC228-1CC0-4E13-AA55-C2679371C0E0}"/>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A0330"/>
    <w:multiLevelType w:val="multilevel"/>
    <w:tmpl w:val="B91A0330"/>
    <w:lvl w:ilvl="0" w:tentative="0">
      <w:start w:val="2"/>
      <w:numFmt w:val="decimal"/>
      <w:lvlText w:val="(%1)"/>
      <w:lvlJc w:val="left"/>
      <w:pPr>
        <w:tabs>
          <w:tab w:val="left" w:pos="1200"/>
        </w:tabs>
        <w:ind w:left="1200" w:hanging="360"/>
      </w:pPr>
      <w:rPr>
        <w:rFonts w:hint="default" w:ascii="Times New Roman" w:hAnsi="Times New Roman" w:cs="Times New Roman"/>
      </w:rPr>
    </w:lvl>
    <w:lvl w:ilvl="1" w:tentative="0">
      <w:start w:val="1"/>
      <w:numFmt w:val="decimal"/>
      <w:lvlText w:val="%2．"/>
      <w:lvlJc w:val="left"/>
      <w:pPr>
        <w:tabs>
          <w:tab w:val="left" w:pos="1620"/>
        </w:tabs>
        <w:ind w:left="1620" w:hanging="360"/>
      </w:pPr>
      <w:rPr>
        <w:rFonts w:hint="eastAsia" w:ascii="宋体" w:hAnsi="宋体" w:eastAsia="宋体" w:cs="宋体"/>
      </w:rPr>
    </w:lvl>
    <w:lvl w:ilvl="2" w:tentative="0">
      <w:start w:val="1"/>
      <w:numFmt w:val="lowerRoman"/>
      <w:lvlText w:val="%3."/>
      <w:lvlJc w:val="right"/>
      <w:pPr>
        <w:tabs>
          <w:tab w:val="left" w:pos="2100"/>
        </w:tabs>
        <w:ind w:left="2100" w:hanging="42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FAB9DA19"/>
    <w:multiLevelType w:val="multilevel"/>
    <w:tmpl w:val="FAB9DA19"/>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FD88630E"/>
    <w:multiLevelType w:val="multilevel"/>
    <w:tmpl w:val="FD88630E"/>
    <w:lvl w:ilvl="0" w:tentative="0">
      <w:start w:val="1"/>
      <w:numFmt w:val="decimal"/>
      <w:lvlText w:val="%1"/>
      <w:lvlJc w:val="left"/>
      <w:pPr>
        <w:tabs>
          <w:tab w:val="left" w:pos="425"/>
        </w:tabs>
        <w:ind w:left="425" w:hanging="425"/>
      </w:pPr>
      <w:rPr>
        <w:rFonts w:hint="eastAsia" w:ascii="宋体" w:hAnsi="宋体" w:eastAsia="宋体" w:cs="宋体"/>
      </w:rPr>
    </w:lvl>
    <w:lvl w:ilvl="1" w:tentative="0">
      <w:start w:val="1"/>
      <w:numFmt w:val="decimal"/>
      <w:lvlText w:val="%1.%2."/>
      <w:lvlJc w:val="left"/>
      <w:pPr>
        <w:tabs>
          <w:tab w:val="left" w:pos="567"/>
        </w:tabs>
        <w:ind w:left="567" w:hanging="567"/>
      </w:pPr>
      <w:rPr>
        <w:rFonts w:hint="eastAsia" w:ascii="宋体" w:hAnsi="宋体" w:eastAsia="宋体" w:cs="宋体"/>
        <w:b w:val="0"/>
        <w:sz w:val="21"/>
        <w:szCs w:val="21"/>
      </w:rPr>
    </w:lvl>
    <w:lvl w:ilvl="2" w:tentative="0">
      <w:start w:val="1"/>
      <w:numFmt w:val="decimal"/>
      <w:lvlText w:val="%1.%2.%3."/>
      <w:lvlJc w:val="left"/>
      <w:pPr>
        <w:tabs>
          <w:tab w:val="left" w:pos="567"/>
        </w:tabs>
        <w:ind w:left="567" w:hanging="567"/>
      </w:pPr>
      <w:rPr>
        <w:rFonts w:hint="eastAsia" w:ascii="宋体" w:hAnsi="宋体" w:eastAsia="宋体" w:cs="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cs="宋体"/>
      </w:rPr>
    </w:lvl>
    <w:lvl w:ilvl="4" w:tentative="0">
      <w:start w:val="1"/>
      <w:numFmt w:val="decimal"/>
      <w:lvlText w:val="%1.%2.%3.%4.%5."/>
      <w:lvlJc w:val="left"/>
      <w:pPr>
        <w:tabs>
          <w:tab w:val="left" w:pos="992"/>
        </w:tabs>
        <w:ind w:left="992" w:hanging="992"/>
      </w:pPr>
      <w:rPr>
        <w:rFonts w:hint="eastAsia" w:ascii="宋体" w:hAnsi="宋体" w:eastAsia="宋体" w:cs="宋体"/>
      </w:rPr>
    </w:lvl>
    <w:lvl w:ilvl="5" w:tentative="0">
      <w:start w:val="1"/>
      <w:numFmt w:val="decimal"/>
      <w:lvlText w:val="%1.%2.%3.%4.%5.%6."/>
      <w:lvlJc w:val="left"/>
      <w:pPr>
        <w:tabs>
          <w:tab w:val="left" w:pos="1134"/>
        </w:tabs>
        <w:ind w:left="1134" w:hanging="1134"/>
      </w:pPr>
      <w:rPr>
        <w:rFonts w:hint="eastAsia" w:ascii="宋体" w:hAnsi="宋体" w:eastAsia="宋体" w:cs="宋体"/>
      </w:rPr>
    </w:lvl>
    <w:lvl w:ilvl="6" w:tentative="0">
      <w:start w:val="1"/>
      <w:numFmt w:val="decimal"/>
      <w:lvlText w:val="%1.%2.%3.%4.%5.%6.%7."/>
      <w:lvlJc w:val="left"/>
      <w:pPr>
        <w:tabs>
          <w:tab w:val="left" w:pos="1276"/>
        </w:tabs>
        <w:ind w:left="1276" w:hanging="1276"/>
      </w:pPr>
      <w:rPr>
        <w:rFonts w:hint="eastAsia" w:ascii="宋体" w:hAnsi="宋体" w:eastAsia="宋体" w:cs="宋体"/>
      </w:rPr>
    </w:lvl>
    <w:lvl w:ilvl="7" w:tentative="0">
      <w:start w:val="1"/>
      <w:numFmt w:val="decimal"/>
      <w:lvlText w:val="%1.%2.%3.%4.%5.%6.%7.%8."/>
      <w:lvlJc w:val="left"/>
      <w:pPr>
        <w:tabs>
          <w:tab w:val="left" w:pos="1418"/>
        </w:tabs>
        <w:ind w:left="1418" w:hanging="1418"/>
      </w:pPr>
      <w:rPr>
        <w:rFonts w:hint="eastAsia" w:ascii="宋体" w:hAnsi="宋体" w:eastAsia="宋体" w:cs="宋体"/>
      </w:rPr>
    </w:lvl>
    <w:lvl w:ilvl="8" w:tentative="0">
      <w:start w:val="1"/>
      <w:numFmt w:val="decimal"/>
      <w:lvlText w:val="%1.%2.%3.%4.%5.%6.%7.%8.%9."/>
      <w:lvlJc w:val="left"/>
      <w:pPr>
        <w:tabs>
          <w:tab w:val="left" w:pos="1559"/>
        </w:tabs>
        <w:ind w:left="1559" w:hanging="1559"/>
      </w:pPr>
      <w:rPr>
        <w:rFonts w:hint="eastAsia" w:ascii="宋体" w:hAnsi="宋体" w:eastAsia="宋体" w:cs="宋体"/>
      </w:rPr>
    </w:lvl>
  </w:abstractNum>
  <w:abstractNum w:abstractNumId="5">
    <w:nsid w:val="0B8F3126"/>
    <w:multiLevelType w:val="singleLevel"/>
    <w:tmpl w:val="0B8F3126"/>
    <w:lvl w:ilvl="0" w:tentative="0">
      <w:start w:val="3"/>
      <w:numFmt w:val="chineseCounting"/>
      <w:suff w:val="nothing"/>
      <w:lvlText w:val="%1、"/>
      <w:lvlJc w:val="left"/>
      <w:rPr>
        <w:rFonts w:hint="eastAsia"/>
      </w:rPr>
    </w:lvl>
  </w:abstractNum>
  <w:abstractNum w:abstractNumId="6">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0EC10D5"/>
    <w:multiLevelType w:val="singleLevel"/>
    <w:tmpl w:val="40EC10D5"/>
    <w:lvl w:ilvl="0" w:tentative="0">
      <w:start w:val="1"/>
      <w:numFmt w:val="chineseCounting"/>
      <w:suff w:val="space"/>
      <w:lvlText w:val="第%1章"/>
      <w:lvlJc w:val="left"/>
      <w:rPr>
        <w:rFonts w:hint="eastAsia"/>
      </w:rPr>
    </w:lvl>
  </w:abstractNum>
  <w:abstractNum w:abstractNumId="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0FD0FAC"/>
    <w:multiLevelType w:val="singleLevel"/>
    <w:tmpl w:val="70FD0FAC"/>
    <w:lvl w:ilvl="0" w:tentative="0">
      <w:start w:val="5"/>
      <w:numFmt w:val="chineseCounting"/>
      <w:suff w:val="space"/>
      <w:lvlText w:val="第%1章"/>
      <w:lvlJc w:val="left"/>
      <w:rPr>
        <w:rFonts w:hint="eastAsia"/>
      </w:r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8"/>
  </w:num>
  <w:num w:numId="7">
    <w:abstractNumId w:val="6"/>
  </w:num>
  <w:num w:numId="8">
    <w:abstractNumId w:val="3"/>
  </w:num>
  <w:num w:numId="9">
    <w:abstractNumId w:val="13"/>
  </w:num>
  <w:num w:numId="10">
    <w:abstractNumId w:val="1"/>
  </w:num>
  <w:num w:numId="11">
    <w:abstractNumId w:val="10"/>
  </w:num>
  <w:num w:numId="12">
    <w:abstractNumId w:val="2"/>
  </w:num>
  <w:num w:numId="13">
    <w:abstractNumId w:val="0"/>
  </w:num>
  <w:num w:numId="14">
    <w:abstractNumId w:val="16"/>
  </w:num>
  <w:num w:numId="15">
    <w:abstractNumId w:val="12"/>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A10A62"/>
    <w:rsid w:val="01FD42EF"/>
    <w:rsid w:val="02515E13"/>
    <w:rsid w:val="035666D0"/>
    <w:rsid w:val="03824295"/>
    <w:rsid w:val="03CA1333"/>
    <w:rsid w:val="03D86CBB"/>
    <w:rsid w:val="04753845"/>
    <w:rsid w:val="04A41E29"/>
    <w:rsid w:val="05042D98"/>
    <w:rsid w:val="0586171E"/>
    <w:rsid w:val="062A1835"/>
    <w:rsid w:val="06F2019A"/>
    <w:rsid w:val="07D60EE8"/>
    <w:rsid w:val="07FC05F5"/>
    <w:rsid w:val="093B7E0B"/>
    <w:rsid w:val="0BC07420"/>
    <w:rsid w:val="0C3E7C27"/>
    <w:rsid w:val="0C831895"/>
    <w:rsid w:val="0E1B2C35"/>
    <w:rsid w:val="0F847DFE"/>
    <w:rsid w:val="0F8A1C07"/>
    <w:rsid w:val="0FAC2570"/>
    <w:rsid w:val="10437371"/>
    <w:rsid w:val="13272F7A"/>
    <w:rsid w:val="136E6202"/>
    <w:rsid w:val="139223C6"/>
    <w:rsid w:val="13CA0FD2"/>
    <w:rsid w:val="14DA7639"/>
    <w:rsid w:val="167968A8"/>
    <w:rsid w:val="168261AD"/>
    <w:rsid w:val="19F0685E"/>
    <w:rsid w:val="1A0F0637"/>
    <w:rsid w:val="1AC75CBA"/>
    <w:rsid w:val="1ACD08AB"/>
    <w:rsid w:val="1D740F3F"/>
    <w:rsid w:val="1FC04AB6"/>
    <w:rsid w:val="20857E4D"/>
    <w:rsid w:val="2110276B"/>
    <w:rsid w:val="217A1947"/>
    <w:rsid w:val="21D77A37"/>
    <w:rsid w:val="22DA20BB"/>
    <w:rsid w:val="234801C4"/>
    <w:rsid w:val="244E0D93"/>
    <w:rsid w:val="24CC6443"/>
    <w:rsid w:val="25D61528"/>
    <w:rsid w:val="27A32756"/>
    <w:rsid w:val="28774BB2"/>
    <w:rsid w:val="292F0982"/>
    <w:rsid w:val="2AD85138"/>
    <w:rsid w:val="2B5F71BD"/>
    <w:rsid w:val="2BC25ADE"/>
    <w:rsid w:val="2BEF1BE2"/>
    <w:rsid w:val="2C2F1E92"/>
    <w:rsid w:val="2CAA6F1D"/>
    <w:rsid w:val="2DAB715E"/>
    <w:rsid w:val="2F746B39"/>
    <w:rsid w:val="2FEF24C1"/>
    <w:rsid w:val="3298398E"/>
    <w:rsid w:val="32A7178F"/>
    <w:rsid w:val="348C0A37"/>
    <w:rsid w:val="34D04DC8"/>
    <w:rsid w:val="34D95BA1"/>
    <w:rsid w:val="369D19AA"/>
    <w:rsid w:val="36F16FEE"/>
    <w:rsid w:val="37436ACA"/>
    <w:rsid w:val="38312021"/>
    <w:rsid w:val="38404012"/>
    <w:rsid w:val="388B2D46"/>
    <w:rsid w:val="3A4F4F44"/>
    <w:rsid w:val="3B9E3EEA"/>
    <w:rsid w:val="3CC12B7D"/>
    <w:rsid w:val="3CFF2687"/>
    <w:rsid w:val="3D691D61"/>
    <w:rsid w:val="3FF83425"/>
    <w:rsid w:val="40E65943"/>
    <w:rsid w:val="41894625"/>
    <w:rsid w:val="42961172"/>
    <w:rsid w:val="44B33DBE"/>
    <w:rsid w:val="44ED4447"/>
    <w:rsid w:val="46062A6F"/>
    <w:rsid w:val="466C27DB"/>
    <w:rsid w:val="466F1003"/>
    <w:rsid w:val="46E84D7E"/>
    <w:rsid w:val="474D4A8F"/>
    <w:rsid w:val="47507FEA"/>
    <w:rsid w:val="482338C1"/>
    <w:rsid w:val="49871B07"/>
    <w:rsid w:val="49BE56DF"/>
    <w:rsid w:val="4A0517DE"/>
    <w:rsid w:val="4ADC64F5"/>
    <w:rsid w:val="4C0810BA"/>
    <w:rsid w:val="4D0313CC"/>
    <w:rsid w:val="4DAD7DEB"/>
    <w:rsid w:val="4E8100AD"/>
    <w:rsid w:val="4E8E5256"/>
    <w:rsid w:val="4F0F12CA"/>
    <w:rsid w:val="4F560168"/>
    <w:rsid w:val="4F7E70FA"/>
    <w:rsid w:val="511864D9"/>
    <w:rsid w:val="51D63AF4"/>
    <w:rsid w:val="521F3077"/>
    <w:rsid w:val="541C0FA7"/>
    <w:rsid w:val="558214CD"/>
    <w:rsid w:val="56E36785"/>
    <w:rsid w:val="575431DF"/>
    <w:rsid w:val="580B4B95"/>
    <w:rsid w:val="58AF7528"/>
    <w:rsid w:val="58C53577"/>
    <w:rsid w:val="5A2F6381"/>
    <w:rsid w:val="5B4A22D1"/>
    <w:rsid w:val="5BC7458E"/>
    <w:rsid w:val="5C9B365E"/>
    <w:rsid w:val="5CAC08DD"/>
    <w:rsid w:val="5CEC7157"/>
    <w:rsid w:val="5D045FFD"/>
    <w:rsid w:val="5DDF117C"/>
    <w:rsid w:val="5F1D24CE"/>
    <w:rsid w:val="5F630463"/>
    <w:rsid w:val="64EA16D9"/>
    <w:rsid w:val="65265113"/>
    <w:rsid w:val="65E57895"/>
    <w:rsid w:val="6602326A"/>
    <w:rsid w:val="68A23D9A"/>
    <w:rsid w:val="69E7776E"/>
    <w:rsid w:val="6A72506D"/>
    <w:rsid w:val="6AA14535"/>
    <w:rsid w:val="6ABA2F28"/>
    <w:rsid w:val="6ACC2680"/>
    <w:rsid w:val="6B80006E"/>
    <w:rsid w:val="6BB74550"/>
    <w:rsid w:val="6CF30DA6"/>
    <w:rsid w:val="6DD15131"/>
    <w:rsid w:val="6F7E48AF"/>
    <w:rsid w:val="6FFA0406"/>
    <w:rsid w:val="705F4DE4"/>
    <w:rsid w:val="71BC6B08"/>
    <w:rsid w:val="7266072A"/>
    <w:rsid w:val="72AC65F9"/>
    <w:rsid w:val="72AF5315"/>
    <w:rsid w:val="730B15A2"/>
    <w:rsid w:val="73A17F9D"/>
    <w:rsid w:val="73EA2AA9"/>
    <w:rsid w:val="74055651"/>
    <w:rsid w:val="75B8118B"/>
    <w:rsid w:val="774A4416"/>
    <w:rsid w:val="7B49325B"/>
    <w:rsid w:val="7BFC15FE"/>
    <w:rsid w:val="7C4E5B9F"/>
    <w:rsid w:val="7D44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 w:type="character" w:customStyle="1" w:styleId="36">
    <w:name w:val="10"/>
    <w:basedOn w:val="19"/>
    <w:qFormat/>
    <w:uiPriority w:val="0"/>
    <w:rPr>
      <w:rFonts w:hint="default" w:ascii="Times New Roman" w:hAnsi="Times New Roman" w:cs="Times New Roman"/>
    </w:rPr>
  </w:style>
  <w:style w:type="character" w:customStyle="1" w:styleId="37">
    <w:name w:val="15"/>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4930</Words>
  <Characters>5284</Characters>
  <Lines>1</Lines>
  <Paragraphs>1</Paragraphs>
  <TotalTime>52</TotalTime>
  <ScaleCrop>false</ScaleCrop>
  <LinksUpToDate>false</LinksUpToDate>
  <CharactersWithSpaces>5317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2026-04-20T08:23:37Z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09EE715383394EBCB978F122C67985CC_13</vt:lpwstr>
  </property>
  <property fmtid="{D5CDD505-2E9C-101B-9397-08002B2CF9AE}" pid="4" name="KSOTemplateDocerSaveRecord">
    <vt:lpwstr>eyJoZGlkIjoiM2EyNDYyYmQ1ZDA0NDE2ZWMxMTVjMTBjNjZlNGMxZWMiLCJ1c2VySWQiOiIxOTQ5NzkyNTQifQ==</vt:lpwstr>
  </property>
</Properties>
</file>