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D56A7B">
      <w:pPr>
        <w:jc w:val="center"/>
        <w:rPr>
          <w:rFonts w:hint="eastAsia" w:asciiTheme="minorEastAsia" w:hAnsiTheme="minorEastAsia" w:eastAsiaTheme="minorEastAsia" w:cstheme="minorEastAsia"/>
          <w:b/>
          <w:bCs/>
          <w:sz w:val="30"/>
          <w:szCs w:val="30"/>
          <w:lang w:eastAsia="zh-CN"/>
        </w:rPr>
      </w:pPr>
      <w:r>
        <w:rPr>
          <w:rFonts w:hint="eastAsia" w:asciiTheme="minorEastAsia" w:hAnsiTheme="minorEastAsia" w:cstheme="minorEastAsia"/>
          <w:b/>
          <w:bCs/>
          <w:sz w:val="30"/>
          <w:szCs w:val="30"/>
        </w:rPr>
        <w:t>福田区第二人民医院</w:t>
      </w:r>
      <w:r>
        <w:rPr>
          <w:rFonts w:hint="eastAsia" w:asciiTheme="minorEastAsia" w:hAnsiTheme="minorEastAsia" w:cstheme="minorEastAsia"/>
          <w:b/>
          <w:bCs/>
          <w:sz w:val="30"/>
          <w:szCs w:val="30"/>
          <w:lang w:val="en-US" w:eastAsia="zh-CN"/>
        </w:rPr>
        <w:t>医用</w:t>
      </w:r>
      <w:r>
        <w:rPr>
          <w:rFonts w:hint="eastAsia" w:asciiTheme="minorEastAsia" w:hAnsiTheme="minorEastAsia" w:cstheme="minorEastAsia"/>
          <w:b/>
          <w:bCs/>
          <w:sz w:val="30"/>
          <w:szCs w:val="30"/>
        </w:rPr>
        <w:t>耗材投标单位须知</w:t>
      </w:r>
      <w:r>
        <w:rPr>
          <w:rFonts w:hint="eastAsia" w:asciiTheme="minorEastAsia" w:hAnsiTheme="minorEastAsia" w:cstheme="minorEastAsia"/>
          <w:b/>
          <w:bCs/>
          <w:sz w:val="30"/>
          <w:szCs w:val="30"/>
          <w:lang w:eastAsia="zh-CN"/>
        </w:rPr>
        <w:t>（含谈判文件）</w:t>
      </w:r>
    </w:p>
    <w:p w14:paraId="7BD398E4">
      <w:pPr>
        <w:jc w:val="center"/>
        <w:rPr>
          <w:rFonts w:asciiTheme="minorEastAsia" w:hAnsiTheme="minorEastAsia" w:cstheme="minorEastAsia"/>
          <w:b/>
          <w:bCs/>
          <w:sz w:val="24"/>
          <w:szCs w:val="24"/>
        </w:rPr>
      </w:pPr>
    </w:p>
    <w:p w14:paraId="31C454CB">
      <w:pPr>
        <w:keepNext w:val="0"/>
        <w:keepLines w:val="0"/>
        <w:widowControl w:val="0"/>
        <w:suppressLineNumbers w:val="0"/>
        <w:autoSpaceDE w:val="0"/>
        <w:autoSpaceDN/>
        <w:spacing w:before="0" w:beforeAutospacing="0" w:after="0" w:afterAutospacing="0"/>
        <w:ind w:left="0" w:right="0" w:firstLine="280" w:firstLineChars="100"/>
        <w:jc w:val="both"/>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 xml:space="preserve">1、深圳市福田区第二人民医院对本单位部分医用耗材进行单一来源采购。欢迎各经营企业或生产企业参加投标。 </w:t>
      </w:r>
    </w:p>
    <w:p w14:paraId="62D595AE">
      <w:pPr>
        <w:keepNext w:val="0"/>
        <w:keepLines w:val="0"/>
        <w:widowControl w:val="0"/>
        <w:suppressLineNumbers w:val="0"/>
        <w:autoSpaceDE w:val="0"/>
        <w:autoSpaceDN/>
        <w:spacing w:before="0" w:beforeAutospacing="0" w:after="0" w:afterAutospacing="0"/>
        <w:ind w:left="0" w:right="0" w:firstLine="280" w:firstLineChars="100"/>
        <w:jc w:val="both"/>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2、供应商可根据自身的经营情况，选择投一个或多个采购条目，但不允许将一个采购条目流水</w:t>
      </w:r>
      <w:r>
        <w:rPr>
          <w:rFonts w:hint="eastAsia" w:ascii="宋体" w:hAnsi="宋体" w:eastAsia="宋体" w:cs="宋体"/>
          <w:color w:val="000000"/>
          <w:kern w:val="2"/>
          <w:sz w:val="28"/>
          <w:szCs w:val="28"/>
          <w:lang w:val="en-US" w:eastAsia="zh-CN" w:bidi="ar"/>
        </w:rPr>
        <w:t>号的内容拆散投标</w:t>
      </w:r>
      <w:r>
        <w:rPr>
          <w:rFonts w:hint="eastAsia" w:ascii="宋体" w:hAnsi="宋体" w:eastAsia="宋体" w:cs="宋体"/>
          <w:kern w:val="2"/>
          <w:sz w:val="28"/>
          <w:szCs w:val="28"/>
          <w:lang w:val="en-US" w:eastAsia="zh-CN" w:bidi="ar"/>
        </w:rPr>
        <w:t>。</w:t>
      </w:r>
      <w:r>
        <w:rPr>
          <w:rFonts w:hint="eastAsia" w:ascii="宋体" w:hAnsi="宋体" w:eastAsia="宋体" w:cs="宋体"/>
          <w:b/>
          <w:bCs/>
          <w:kern w:val="2"/>
          <w:sz w:val="28"/>
          <w:szCs w:val="28"/>
          <w:lang w:val="en-US" w:eastAsia="zh-CN" w:bidi="ar"/>
        </w:rPr>
        <w:t>请准备投标文件四份</w:t>
      </w:r>
      <w:r>
        <w:rPr>
          <w:rFonts w:hint="eastAsia" w:ascii="宋体" w:hAnsi="宋体" w:eastAsia="宋体" w:cs="宋体"/>
          <w:kern w:val="2"/>
          <w:sz w:val="28"/>
          <w:szCs w:val="28"/>
          <w:lang w:val="en-US" w:eastAsia="zh-CN" w:bidi="ar"/>
        </w:rPr>
        <w:t>（</w:t>
      </w:r>
      <w:r>
        <w:rPr>
          <w:rFonts w:hint="eastAsia" w:ascii="宋体" w:hAnsi="宋体" w:eastAsia="宋体" w:cs="宋体"/>
          <w:color w:val="FF0000"/>
          <w:kern w:val="2"/>
          <w:sz w:val="28"/>
          <w:szCs w:val="28"/>
          <w:lang w:val="en-US" w:eastAsia="zh-CN" w:bidi="ar"/>
        </w:rPr>
        <w:t>一份正本三份副本，开标一览表需单独密封，电子文件拷贝到U盘存放于开标一览表密封袋内。</w:t>
      </w:r>
      <w:r>
        <w:rPr>
          <w:rFonts w:hint="eastAsia" w:ascii="宋体" w:hAnsi="宋体" w:eastAsia="宋体" w:cs="宋体"/>
          <w:kern w:val="2"/>
          <w:sz w:val="28"/>
          <w:szCs w:val="28"/>
          <w:lang w:val="en-US" w:eastAsia="zh-CN" w:bidi="ar"/>
        </w:rPr>
        <w:t>电子文件内容应与纸质投标文件正本内容一致，如有差异以纸质投标文件正本为准，正副本如有差异以正本为准；开标时唱标用的开标一览表内容应与投标文件中的开标一览表内容一致，如有差异以唱标用的开标一览表内容为准。表格应按谈判文件要求签署并加盖公章。）</w:t>
      </w:r>
    </w:p>
    <w:p w14:paraId="22E937E4">
      <w:pPr>
        <w:keepNext w:val="0"/>
        <w:keepLines w:val="0"/>
        <w:widowControl w:val="0"/>
        <w:suppressLineNumbers w:val="0"/>
        <w:spacing w:before="0" w:beforeAutospacing="0" w:after="0" w:afterAutospacing="0"/>
        <w:ind w:left="0" w:right="0" w:firstLine="280" w:firstLineChars="100"/>
        <w:jc w:val="both"/>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 xml:space="preserve">3、企业参加投标，即表示接受本次谈判的各项要求。 </w:t>
      </w:r>
    </w:p>
    <w:p w14:paraId="080FA326">
      <w:pPr>
        <w:keepNext w:val="0"/>
        <w:keepLines w:val="0"/>
        <w:widowControl w:val="0"/>
        <w:suppressLineNumbers w:val="0"/>
        <w:spacing w:before="0" w:beforeAutospacing="0" w:after="0" w:afterAutospacing="0"/>
        <w:ind w:left="0" w:right="0" w:firstLine="280" w:firstLineChars="100"/>
        <w:jc w:val="both"/>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 xml:space="preserve">4、谈判活动的最终解释权属于深圳市福田区第二人民医院。 </w:t>
      </w:r>
    </w:p>
    <w:p w14:paraId="01B1F165">
      <w:pPr>
        <w:rPr>
          <w:rFonts w:hint="eastAsia"/>
          <w:lang w:eastAsia="zh-CN"/>
        </w:rPr>
      </w:pPr>
    </w:p>
    <w:p w14:paraId="708A9130">
      <w:pPr>
        <w:rPr>
          <w:rFonts w:hint="eastAsia" w:asciiTheme="minorEastAsia" w:hAnsiTheme="minorEastAsia" w:cstheme="minorEastAsia"/>
          <w:sz w:val="24"/>
          <w:szCs w:val="24"/>
          <w:lang w:eastAsia="zh-CN"/>
        </w:rPr>
      </w:pPr>
    </w:p>
    <w:p w14:paraId="4FB5BD99">
      <w:pPr>
        <w:jc w:val="both"/>
        <w:outlineLvl w:val="9"/>
        <w:rPr>
          <w:rFonts w:hint="eastAsia" w:ascii="宋体" w:hAnsi="宋体" w:eastAsia="宋体" w:cs="宋体"/>
          <w:b/>
          <w:bCs/>
          <w:color w:val="FF0000"/>
          <w:kern w:val="44"/>
          <w:sz w:val="44"/>
          <w:szCs w:val="44"/>
          <w:highlight w:val="none"/>
          <w:lang w:eastAsia="zh-CN"/>
        </w:rPr>
      </w:pPr>
      <w:bookmarkStart w:id="0" w:name="_Toc3689"/>
      <w:bookmarkStart w:id="1" w:name="_Toc29098"/>
    </w:p>
    <w:p w14:paraId="61849867">
      <w:pPr>
        <w:jc w:val="both"/>
        <w:outlineLvl w:val="9"/>
        <w:rPr>
          <w:rFonts w:hint="eastAsia" w:ascii="宋体" w:hAnsi="宋体" w:eastAsia="宋体" w:cs="宋体"/>
          <w:b/>
          <w:bCs/>
          <w:color w:val="FF0000"/>
          <w:kern w:val="44"/>
          <w:sz w:val="44"/>
          <w:szCs w:val="44"/>
          <w:highlight w:val="none"/>
          <w:lang w:eastAsia="zh-CN"/>
        </w:rPr>
      </w:pPr>
    </w:p>
    <w:p w14:paraId="6FBED514">
      <w:pPr>
        <w:jc w:val="both"/>
        <w:outlineLvl w:val="9"/>
        <w:rPr>
          <w:rFonts w:hint="eastAsia" w:ascii="宋体" w:hAnsi="宋体" w:eastAsia="宋体" w:cs="宋体"/>
          <w:b/>
          <w:bCs/>
          <w:color w:val="FF0000"/>
          <w:kern w:val="44"/>
          <w:sz w:val="44"/>
          <w:szCs w:val="44"/>
          <w:highlight w:val="none"/>
          <w:lang w:eastAsia="zh-CN"/>
        </w:rPr>
      </w:pPr>
    </w:p>
    <w:p w14:paraId="731069E5">
      <w:pPr>
        <w:jc w:val="both"/>
        <w:outlineLvl w:val="9"/>
        <w:rPr>
          <w:rFonts w:hint="eastAsia" w:ascii="宋体" w:hAnsi="宋体" w:eastAsia="宋体" w:cs="宋体"/>
          <w:b/>
          <w:bCs/>
          <w:color w:val="FF0000"/>
          <w:kern w:val="44"/>
          <w:sz w:val="44"/>
          <w:szCs w:val="44"/>
          <w:highlight w:val="none"/>
          <w:lang w:eastAsia="zh-CN"/>
        </w:rPr>
      </w:pPr>
    </w:p>
    <w:p w14:paraId="5AFBE37B">
      <w:pPr>
        <w:jc w:val="both"/>
        <w:outlineLvl w:val="9"/>
        <w:rPr>
          <w:rFonts w:hint="eastAsia" w:ascii="宋体" w:hAnsi="宋体" w:eastAsia="宋体" w:cs="宋体"/>
          <w:b/>
          <w:bCs/>
          <w:color w:val="FF0000"/>
          <w:kern w:val="44"/>
          <w:sz w:val="44"/>
          <w:szCs w:val="44"/>
          <w:highlight w:val="none"/>
          <w:lang w:eastAsia="zh-CN"/>
        </w:rPr>
      </w:pPr>
    </w:p>
    <w:p w14:paraId="44ACACBE">
      <w:pPr>
        <w:jc w:val="both"/>
        <w:outlineLvl w:val="9"/>
        <w:rPr>
          <w:rFonts w:hint="eastAsia" w:ascii="宋体" w:hAnsi="宋体" w:eastAsia="宋体" w:cs="宋体"/>
          <w:b/>
          <w:bCs/>
          <w:color w:val="FF0000"/>
          <w:kern w:val="44"/>
          <w:sz w:val="44"/>
          <w:szCs w:val="44"/>
          <w:highlight w:val="none"/>
          <w:lang w:eastAsia="zh-CN"/>
        </w:rPr>
      </w:pPr>
    </w:p>
    <w:p w14:paraId="1FBFDD91">
      <w:pPr>
        <w:jc w:val="both"/>
        <w:outlineLvl w:val="9"/>
        <w:rPr>
          <w:rFonts w:hint="eastAsia" w:ascii="宋体" w:hAnsi="宋体" w:eastAsia="宋体" w:cs="宋体"/>
          <w:b/>
          <w:bCs/>
          <w:color w:val="FF0000"/>
          <w:kern w:val="44"/>
          <w:sz w:val="44"/>
          <w:szCs w:val="44"/>
          <w:highlight w:val="none"/>
          <w:lang w:eastAsia="zh-CN"/>
        </w:rPr>
      </w:pPr>
    </w:p>
    <w:p w14:paraId="426302E2">
      <w:pPr>
        <w:jc w:val="both"/>
        <w:outlineLvl w:val="9"/>
        <w:rPr>
          <w:rFonts w:hint="eastAsia" w:ascii="宋体" w:hAnsi="宋体" w:eastAsia="宋体" w:cs="宋体"/>
          <w:b/>
          <w:bCs/>
          <w:color w:val="FF0000"/>
          <w:kern w:val="44"/>
          <w:sz w:val="44"/>
          <w:szCs w:val="44"/>
          <w:highlight w:val="none"/>
          <w:lang w:eastAsia="zh-CN"/>
        </w:rPr>
      </w:pPr>
    </w:p>
    <w:p w14:paraId="1638F651">
      <w:pPr>
        <w:jc w:val="both"/>
        <w:outlineLvl w:val="9"/>
        <w:rPr>
          <w:rFonts w:hint="eastAsia" w:ascii="宋体" w:hAnsi="宋体" w:eastAsia="宋体" w:cs="宋体"/>
          <w:b/>
          <w:bCs/>
          <w:color w:val="FF0000"/>
          <w:kern w:val="44"/>
          <w:sz w:val="44"/>
          <w:szCs w:val="44"/>
          <w:highlight w:val="none"/>
          <w:lang w:eastAsia="zh-CN"/>
        </w:rPr>
      </w:pPr>
    </w:p>
    <w:p w14:paraId="4E47FF13">
      <w:pPr>
        <w:jc w:val="center"/>
        <w:outlineLvl w:val="9"/>
        <w:rPr>
          <w:rFonts w:hint="eastAsia" w:ascii="宋体" w:hAnsi="宋体" w:eastAsia="宋体" w:cs="宋体"/>
          <w:b/>
          <w:bCs/>
          <w:color w:val="FF0000"/>
          <w:sz w:val="28"/>
          <w:szCs w:val="28"/>
          <w:highlight w:val="none"/>
          <w:lang w:val="en-US" w:eastAsia="zh-CN"/>
        </w:rPr>
      </w:pPr>
      <w:r>
        <w:rPr>
          <w:rFonts w:hint="eastAsia" w:ascii="宋体" w:hAnsi="宋体" w:eastAsia="宋体" w:cs="宋体"/>
          <w:b/>
          <w:bCs/>
          <w:color w:val="FF0000"/>
          <w:kern w:val="44"/>
          <w:sz w:val="44"/>
          <w:szCs w:val="44"/>
          <w:highlight w:val="none"/>
          <w:lang w:eastAsia="zh-CN"/>
        </w:rPr>
        <w:t>特别</w:t>
      </w:r>
      <w:r>
        <w:rPr>
          <w:rFonts w:hint="eastAsia" w:ascii="宋体" w:hAnsi="宋体" w:eastAsia="宋体" w:cs="宋体"/>
          <w:b/>
          <w:bCs/>
          <w:color w:val="FF0000"/>
          <w:kern w:val="44"/>
          <w:sz w:val="44"/>
          <w:szCs w:val="44"/>
          <w:highlight w:val="none"/>
        </w:rPr>
        <w:t>警示条款</w:t>
      </w:r>
      <w:bookmarkEnd w:id="0"/>
      <w:bookmarkEnd w:id="1"/>
    </w:p>
    <w:p w14:paraId="6BD7F2C5">
      <w:pPr>
        <w:keepNext w:val="0"/>
        <w:keepLines w:val="0"/>
        <w:pageBreakBefore w:val="0"/>
        <w:widowControl w:val="0"/>
        <w:kinsoku/>
        <w:wordWrap/>
        <w:overflowPunct/>
        <w:topLinePunct w:val="0"/>
        <w:autoSpaceDE/>
        <w:autoSpaceDN/>
        <w:bidi w:val="0"/>
        <w:adjustRightInd/>
        <w:snapToGrid/>
        <w:spacing w:after="313" w:afterLines="100" w:line="400" w:lineRule="exact"/>
        <w:ind w:firstLine="562" w:firstLineChars="200"/>
        <w:jc w:val="both"/>
        <w:textAlignment w:val="auto"/>
        <w:rPr>
          <w:rFonts w:hint="eastAsia" w:ascii="宋体" w:hAnsi="宋体" w:eastAsia="宋体" w:cs="宋体"/>
          <w:b/>
          <w:bCs/>
          <w:color w:val="FF0000"/>
          <w:sz w:val="28"/>
          <w:szCs w:val="28"/>
          <w:highlight w:val="none"/>
          <w:lang w:val="en-US" w:eastAsia="zh-CN"/>
        </w:rPr>
      </w:pPr>
      <w:r>
        <w:rPr>
          <w:rFonts w:hint="eastAsia" w:ascii="宋体" w:hAnsi="宋体" w:eastAsia="宋体" w:cs="宋体"/>
          <w:b/>
          <w:bCs/>
          <w:color w:val="FF0000"/>
          <w:sz w:val="28"/>
          <w:szCs w:val="28"/>
          <w:highlight w:val="none"/>
          <w:lang w:val="en-US" w:eastAsia="zh-CN"/>
        </w:rPr>
        <w:t>参与本项目采购活动的供应商应认真阅读以下特别警示条款，不得存在以下所列禁止情形，一旦发现，将被处以记入供应商诚信档案、取消参与项目采购资格等处罚；构成犯罪的，依法追究刑事责任。</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5"/>
        <w:gridCol w:w="7711"/>
      </w:tblGrid>
      <w:tr w14:paraId="11D06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155" w:type="dxa"/>
            <w:noWrap w:val="0"/>
            <w:vAlign w:val="center"/>
          </w:tcPr>
          <w:p w14:paraId="6D5726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b/>
                <w:bCs/>
                <w:color w:val="FF0000"/>
                <w:sz w:val="30"/>
                <w:szCs w:val="30"/>
                <w:highlight w:val="none"/>
                <w:lang w:val="en-US" w:eastAsia="zh-CN"/>
              </w:rPr>
              <w:t>序号</w:t>
            </w:r>
          </w:p>
        </w:tc>
        <w:tc>
          <w:tcPr>
            <w:tcW w:w="7711" w:type="dxa"/>
            <w:noWrap w:val="0"/>
            <w:vAlign w:val="center"/>
          </w:tcPr>
          <w:p w14:paraId="1E90D7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b/>
                <w:bCs/>
                <w:color w:val="FF0000"/>
                <w:sz w:val="30"/>
                <w:szCs w:val="30"/>
                <w:highlight w:val="none"/>
                <w:lang w:val="en-US" w:eastAsia="zh-CN"/>
              </w:rPr>
              <w:t>供应商参与投标禁止情形</w:t>
            </w:r>
          </w:p>
        </w:tc>
      </w:tr>
      <w:tr w14:paraId="4DAFB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5" w:type="dxa"/>
            <w:noWrap w:val="0"/>
            <w:vAlign w:val="center"/>
          </w:tcPr>
          <w:p w14:paraId="49C245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1</w:t>
            </w:r>
          </w:p>
        </w:tc>
        <w:tc>
          <w:tcPr>
            <w:tcW w:w="7711" w:type="dxa"/>
            <w:noWrap w:val="0"/>
            <w:vAlign w:val="center"/>
          </w:tcPr>
          <w:p w14:paraId="0025E2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FF0000"/>
                <w:sz w:val="28"/>
                <w:szCs w:val="28"/>
                <w:highlight w:val="none"/>
                <w:lang w:val="en-US" w:eastAsia="zh-CN"/>
              </w:rPr>
              <w:t>同一人、属同一单位或者在同一单位缴纳社会保险</w:t>
            </w:r>
            <w:r>
              <w:rPr>
                <w:rFonts w:hint="eastAsia" w:ascii="宋体" w:hAnsi="宋体" w:eastAsia="宋体" w:cs="宋体"/>
                <w:color w:val="FF0000"/>
                <w:sz w:val="28"/>
                <w:szCs w:val="28"/>
                <w:highlight w:val="none"/>
                <w:lang w:val="en-US" w:eastAsia="zh-CN"/>
              </w:rPr>
              <w:t>。</w:t>
            </w:r>
          </w:p>
        </w:tc>
      </w:tr>
      <w:tr w14:paraId="03DED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55" w:type="dxa"/>
            <w:noWrap w:val="0"/>
            <w:vAlign w:val="center"/>
          </w:tcPr>
          <w:p w14:paraId="621A64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2</w:t>
            </w:r>
          </w:p>
        </w:tc>
        <w:tc>
          <w:tcPr>
            <w:tcW w:w="7711" w:type="dxa"/>
            <w:noWrap w:val="0"/>
            <w:vAlign w:val="center"/>
          </w:tcPr>
          <w:p w14:paraId="1B184D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参与本项目采购活动时，与其他投标供应商存在单位负责人为</w:t>
            </w:r>
            <w:r>
              <w:rPr>
                <w:rFonts w:hint="eastAsia" w:ascii="宋体" w:hAnsi="宋体" w:eastAsia="宋体" w:cs="宋体"/>
                <w:b/>
                <w:bCs/>
                <w:color w:val="FF0000"/>
                <w:sz w:val="28"/>
                <w:szCs w:val="28"/>
                <w:highlight w:val="none"/>
                <w:lang w:val="en-US" w:eastAsia="zh-CN"/>
              </w:rPr>
              <w:t>同一人或直接控股、管理关系</w:t>
            </w:r>
            <w:r>
              <w:rPr>
                <w:rFonts w:hint="eastAsia" w:ascii="宋体" w:hAnsi="宋体" w:eastAsia="宋体" w:cs="宋体"/>
                <w:color w:val="FF0000"/>
                <w:sz w:val="28"/>
                <w:szCs w:val="28"/>
                <w:highlight w:val="none"/>
                <w:lang w:val="en-US" w:eastAsia="zh-CN"/>
              </w:rPr>
              <w:t>。</w:t>
            </w:r>
          </w:p>
        </w:tc>
      </w:tr>
      <w:tr w14:paraId="16F69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5" w:type="dxa"/>
            <w:noWrap w:val="0"/>
            <w:vAlign w:val="center"/>
          </w:tcPr>
          <w:p w14:paraId="53F4B0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3</w:t>
            </w:r>
          </w:p>
        </w:tc>
        <w:tc>
          <w:tcPr>
            <w:tcW w:w="7711" w:type="dxa"/>
            <w:noWrap w:val="0"/>
            <w:vAlign w:val="center"/>
          </w:tcPr>
          <w:p w14:paraId="75A13C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与其他投标供应商的投标文件或部分投标文件</w:t>
            </w:r>
            <w:r>
              <w:rPr>
                <w:rFonts w:hint="eastAsia" w:ascii="宋体" w:hAnsi="宋体" w:eastAsia="宋体" w:cs="宋体"/>
                <w:b/>
                <w:bCs/>
                <w:color w:val="FF0000"/>
                <w:sz w:val="28"/>
                <w:szCs w:val="28"/>
                <w:highlight w:val="none"/>
                <w:lang w:val="en-US" w:eastAsia="zh-CN"/>
              </w:rPr>
              <w:t>相互混装或存在非正常一致</w:t>
            </w:r>
            <w:r>
              <w:rPr>
                <w:rFonts w:hint="eastAsia" w:ascii="宋体" w:hAnsi="宋体" w:eastAsia="宋体" w:cs="宋体"/>
                <w:color w:val="FF0000"/>
                <w:sz w:val="28"/>
                <w:szCs w:val="28"/>
                <w:highlight w:val="none"/>
                <w:lang w:val="en-US" w:eastAsia="zh-CN"/>
              </w:rPr>
              <w:t>。</w:t>
            </w:r>
          </w:p>
        </w:tc>
      </w:tr>
      <w:tr w14:paraId="1E50F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1155" w:type="dxa"/>
            <w:noWrap w:val="0"/>
            <w:vAlign w:val="center"/>
          </w:tcPr>
          <w:p w14:paraId="2A394B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4</w:t>
            </w:r>
          </w:p>
        </w:tc>
        <w:tc>
          <w:tcPr>
            <w:tcW w:w="7711" w:type="dxa"/>
            <w:noWrap w:val="0"/>
            <w:vAlign w:val="center"/>
          </w:tcPr>
          <w:p w14:paraId="581C5C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kern w:val="2"/>
                <w:sz w:val="28"/>
                <w:szCs w:val="28"/>
                <w:highlight w:val="none"/>
                <w:lang w:val="en-US" w:eastAsia="zh-CN" w:bidi="ar-SA"/>
              </w:rPr>
            </w:pPr>
            <w:r>
              <w:rPr>
                <w:rFonts w:hint="eastAsia" w:ascii="宋体" w:hAnsi="宋体" w:eastAsia="宋体" w:cs="宋体"/>
                <w:color w:val="FF0000"/>
                <w:sz w:val="28"/>
                <w:szCs w:val="28"/>
                <w:highlight w:val="none"/>
                <w:lang w:val="en-US" w:eastAsia="zh-CN"/>
              </w:rPr>
              <w:t>与其他投标供应商的投标文件由</w:t>
            </w:r>
            <w:r>
              <w:rPr>
                <w:rFonts w:hint="eastAsia" w:ascii="宋体" w:hAnsi="宋体" w:eastAsia="宋体" w:cs="宋体"/>
                <w:b/>
                <w:bCs/>
                <w:color w:val="FF0000"/>
                <w:sz w:val="28"/>
                <w:szCs w:val="28"/>
                <w:highlight w:val="none"/>
                <w:lang w:val="en-US" w:eastAsia="zh-CN"/>
              </w:rPr>
              <w:t>同一单位或者同一人编制</w:t>
            </w:r>
            <w:r>
              <w:rPr>
                <w:rFonts w:hint="eastAsia" w:ascii="宋体" w:hAnsi="宋体" w:eastAsia="宋体" w:cs="宋体"/>
                <w:color w:val="FF0000"/>
                <w:sz w:val="28"/>
                <w:szCs w:val="28"/>
                <w:highlight w:val="none"/>
                <w:lang w:val="en-US" w:eastAsia="zh-CN"/>
              </w:rPr>
              <w:t>，或者使用</w:t>
            </w:r>
            <w:r>
              <w:rPr>
                <w:rFonts w:hint="eastAsia" w:ascii="宋体" w:hAnsi="宋体" w:eastAsia="宋体" w:cs="宋体"/>
                <w:b/>
                <w:bCs/>
                <w:color w:val="FF0000"/>
                <w:sz w:val="28"/>
                <w:szCs w:val="28"/>
                <w:highlight w:val="none"/>
                <w:lang w:val="en-US" w:eastAsia="zh-CN"/>
              </w:rPr>
              <w:t>同一设备编制</w:t>
            </w:r>
            <w:r>
              <w:rPr>
                <w:rFonts w:hint="eastAsia" w:ascii="宋体" w:hAnsi="宋体" w:eastAsia="宋体" w:cs="宋体"/>
                <w:color w:val="FF0000"/>
                <w:sz w:val="28"/>
                <w:szCs w:val="28"/>
                <w:highlight w:val="none"/>
                <w:lang w:val="en-US" w:eastAsia="zh-CN"/>
              </w:rPr>
              <w:t>（“文件制作机器码”“文件创建标识码”一致）。</w:t>
            </w:r>
          </w:p>
        </w:tc>
      </w:tr>
      <w:tr w14:paraId="13D81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1155" w:type="dxa"/>
            <w:noWrap w:val="0"/>
            <w:vAlign w:val="center"/>
          </w:tcPr>
          <w:p w14:paraId="26C153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5</w:t>
            </w:r>
          </w:p>
        </w:tc>
        <w:tc>
          <w:tcPr>
            <w:tcW w:w="7711" w:type="dxa"/>
            <w:noWrap w:val="0"/>
            <w:vAlign w:val="center"/>
          </w:tcPr>
          <w:p w14:paraId="403AF6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提供</w:t>
            </w:r>
            <w:r>
              <w:rPr>
                <w:rFonts w:hint="eastAsia" w:ascii="宋体" w:hAnsi="宋体" w:eastAsia="宋体" w:cs="宋体"/>
                <w:b/>
                <w:bCs/>
                <w:color w:val="FF0000"/>
                <w:sz w:val="28"/>
                <w:szCs w:val="28"/>
                <w:highlight w:val="none"/>
                <w:lang w:val="en-US" w:eastAsia="zh-CN"/>
              </w:rPr>
              <w:t>未经出具机构核实</w:t>
            </w:r>
            <w:r>
              <w:rPr>
                <w:rFonts w:hint="eastAsia" w:ascii="宋体" w:hAnsi="宋体" w:eastAsia="宋体" w:cs="宋体"/>
                <w:color w:val="FF0000"/>
                <w:sz w:val="28"/>
                <w:szCs w:val="28"/>
                <w:highlight w:val="none"/>
                <w:lang w:val="en-US" w:eastAsia="zh-CN"/>
              </w:rPr>
              <w:t>的虚假的检验检测报告、业绩材料、社保缴纳证明、学历学位证书、职称认证证书等材料。</w:t>
            </w:r>
          </w:p>
        </w:tc>
      </w:tr>
      <w:tr w14:paraId="585DF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155" w:type="dxa"/>
            <w:noWrap w:val="0"/>
            <w:vAlign w:val="center"/>
          </w:tcPr>
          <w:p w14:paraId="520788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6</w:t>
            </w:r>
          </w:p>
        </w:tc>
        <w:tc>
          <w:tcPr>
            <w:tcW w:w="7711" w:type="dxa"/>
            <w:noWrap w:val="0"/>
            <w:vAlign w:val="center"/>
          </w:tcPr>
          <w:p w14:paraId="4B0D6C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kern w:val="2"/>
                <w:sz w:val="28"/>
                <w:szCs w:val="28"/>
                <w:highlight w:val="none"/>
                <w:lang w:val="en-US" w:eastAsia="zh-CN" w:bidi="ar-SA"/>
              </w:rPr>
            </w:pPr>
            <w:r>
              <w:rPr>
                <w:rFonts w:hint="eastAsia" w:ascii="宋体" w:hAnsi="宋体" w:eastAsia="宋体" w:cs="宋体"/>
                <w:color w:val="FF0000"/>
                <w:sz w:val="28"/>
                <w:szCs w:val="28"/>
                <w:highlight w:val="none"/>
                <w:lang w:val="en-US" w:eastAsia="zh-CN"/>
              </w:rPr>
              <w:t>擅自将投标密钥</w:t>
            </w:r>
            <w:r>
              <w:rPr>
                <w:rFonts w:hint="eastAsia" w:ascii="宋体" w:hAnsi="宋体" w:eastAsia="宋体" w:cs="宋体"/>
                <w:color w:val="FF0000"/>
                <w:sz w:val="28"/>
                <w:szCs w:val="28"/>
                <w:highlight w:val="none"/>
                <w:lang w:eastAsia="zh-CN"/>
              </w:rPr>
              <w:t>或</w:t>
            </w:r>
            <w:r>
              <w:rPr>
                <w:rFonts w:hint="eastAsia" w:ascii="宋体" w:hAnsi="宋体" w:eastAsia="宋体" w:cs="宋体"/>
                <w:color w:val="FF0000"/>
                <w:sz w:val="28"/>
                <w:szCs w:val="28"/>
                <w:highlight w:val="none"/>
                <w:lang w:val="en-US" w:eastAsia="zh-CN"/>
              </w:rPr>
              <w:t>电子营业执照出借他人使用或未妥善保管。</w:t>
            </w:r>
          </w:p>
        </w:tc>
      </w:tr>
    </w:tbl>
    <w:p w14:paraId="7FD0EBF2">
      <w:pPr>
        <w:ind w:firstLine="723" w:firstLineChars="200"/>
        <w:jc w:val="center"/>
        <w:outlineLvl w:val="9"/>
        <w:rPr>
          <w:rFonts w:hint="eastAsia" w:ascii="宋体" w:hAnsi="宋体" w:eastAsia="宋体" w:cs="宋体"/>
          <w:b/>
          <w:bCs/>
          <w:color w:val="FF0000"/>
          <w:sz w:val="36"/>
          <w:szCs w:val="36"/>
          <w:highlight w:val="none"/>
          <w:lang w:val="en-US" w:eastAsia="zh-CN"/>
        </w:rPr>
      </w:pPr>
    </w:p>
    <w:p w14:paraId="10CE5CE2">
      <w:pPr>
        <w:ind w:firstLine="723" w:firstLineChars="200"/>
        <w:jc w:val="center"/>
        <w:outlineLvl w:val="9"/>
        <w:rPr>
          <w:rFonts w:hint="eastAsia" w:ascii="宋体" w:hAnsi="宋体" w:eastAsia="宋体" w:cs="宋体"/>
          <w:b/>
          <w:bCs/>
          <w:color w:val="FF0000"/>
          <w:sz w:val="36"/>
          <w:szCs w:val="36"/>
          <w:highlight w:val="none"/>
          <w:lang w:val="en-US" w:eastAsia="zh-CN"/>
        </w:rPr>
      </w:pPr>
    </w:p>
    <w:p w14:paraId="52033465">
      <w:pPr>
        <w:ind w:firstLine="723" w:firstLineChars="200"/>
        <w:jc w:val="center"/>
        <w:outlineLvl w:val="9"/>
        <w:rPr>
          <w:rFonts w:hint="eastAsia" w:ascii="宋体" w:hAnsi="宋体" w:eastAsia="宋体" w:cs="宋体"/>
          <w:b/>
          <w:bCs/>
          <w:color w:val="FF0000"/>
          <w:sz w:val="36"/>
          <w:szCs w:val="36"/>
          <w:highlight w:val="none"/>
          <w:lang w:val="en-US" w:eastAsia="zh-CN"/>
        </w:rPr>
      </w:pPr>
    </w:p>
    <w:p w14:paraId="468E9C33">
      <w:pPr>
        <w:ind w:firstLine="723" w:firstLineChars="200"/>
        <w:jc w:val="center"/>
        <w:outlineLvl w:val="9"/>
        <w:rPr>
          <w:rFonts w:hint="eastAsia" w:ascii="宋体" w:hAnsi="宋体" w:eastAsia="宋体" w:cs="宋体"/>
          <w:b/>
          <w:bCs/>
          <w:color w:val="FF0000"/>
          <w:sz w:val="36"/>
          <w:szCs w:val="36"/>
          <w:highlight w:val="none"/>
          <w:lang w:val="en-US" w:eastAsia="zh-CN"/>
        </w:rPr>
      </w:pPr>
    </w:p>
    <w:p w14:paraId="6326C15B">
      <w:pPr>
        <w:ind w:firstLine="723" w:firstLineChars="200"/>
        <w:jc w:val="center"/>
        <w:outlineLvl w:val="9"/>
        <w:rPr>
          <w:rFonts w:hint="eastAsia" w:ascii="宋体" w:hAnsi="宋体" w:eastAsia="宋体" w:cs="宋体"/>
          <w:b/>
          <w:bCs/>
          <w:color w:val="FF0000"/>
          <w:sz w:val="36"/>
          <w:szCs w:val="36"/>
          <w:highlight w:val="none"/>
          <w:lang w:val="en-US" w:eastAsia="zh-CN"/>
        </w:rPr>
      </w:pPr>
    </w:p>
    <w:p w14:paraId="6BB03164">
      <w:pPr>
        <w:ind w:firstLine="723" w:firstLineChars="200"/>
        <w:jc w:val="center"/>
        <w:outlineLvl w:val="9"/>
        <w:rPr>
          <w:rFonts w:hint="eastAsia" w:ascii="宋体" w:hAnsi="宋体" w:eastAsia="宋体" w:cs="宋体"/>
          <w:b/>
          <w:bCs/>
          <w:color w:val="FF0000"/>
          <w:sz w:val="36"/>
          <w:szCs w:val="36"/>
          <w:highlight w:val="none"/>
          <w:lang w:val="en-US" w:eastAsia="zh-CN"/>
        </w:rPr>
      </w:pPr>
    </w:p>
    <w:p w14:paraId="75752CCB">
      <w:pPr>
        <w:ind w:firstLine="723" w:firstLineChars="200"/>
        <w:jc w:val="center"/>
        <w:outlineLvl w:val="9"/>
        <w:rPr>
          <w:rFonts w:hint="eastAsia" w:ascii="宋体" w:hAnsi="宋体" w:eastAsia="宋体" w:cs="宋体"/>
          <w:b/>
          <w:bCs/>
          <w:color w:val="FF0000"/>
          <w:sz w:val="36"/>
          <w:szCs w:val="36"/>
          <w:highlight w:val="none"/>
          <w:lang w:val="en-US" w:eastAsia="zh-CN"/>
        </w:rPr>
      </w:pPr>
    </w:p>
    <w:p w14:paraId="4BF359AC">
      <w:pPr>
        <w:ind w:firstLine="723" w:firstLineChars="200"/>
        <w:jc w:val="center"/>
        <w:outlineLvl w:val="9"/>
        <w:rPr>
          <w:rFonts w:hint="eastAsia" w:ascii="宋体" w:hAnsi="宋体" w:eastAsia="宋体" w:cs="宋体"/>
          <w:b/>
          <w:bCs/>
          <w:color w:val="FF0000"/>
          <w:sz w:val="36"/>
          <w:szCs w:val="36"/>
          <w:highlight w:val="none"/>
          <w:lang w:val="en-US" w:eastAsia="zh-CN"/>
        </w:rPr>
      </w:pPr>
    </w:p>
    <w:p w14:paraId="0E97F3C4">
      <w:pPr>
        <w:jc w:val="both"/>
        <w:outlineLvl w:val="9"/>
        <w:rPr>
          <w:rFonts w:hint="eastAsia" w:ascii="宋体" w:hAnsi="宋体" w:eastAsia="宋体" w:cs="宋体"/>
          <w:b/>
          <w:bCs/>
          <w:color w:val="FF0000"/>
          <w:sz w:val="36"/>
          <w:szCs w:val="36"/>
          <w:highlight w:val="none"/>
          <w:lang w:val="en-US" w:eastAsia="zh-CN"/>
        </w:rPr>
      </w:pPr>
    </w:p>
    <w:p w14:paraId="448581D6">
      <w:pPr>
        <w:ind w:firstLine="723" w:firstLineChars="200"/>
        <w:jc w:val="center"/>
        <w:outlineLvl w:val="9"/>
        <w:rPr>
          <w:rFonts w:hint="eastAsia" w:ascii="宋体" w:hAnsi="宋体" w:eastAsia="宋体" w:cs="宋体"/>
          <w:b/>
          <w:bCs/>
          <w:color w:val="FF0000"/>
          <w:sz w:val="36"/>
          <w:szCs w:val="36"/>
          <w:highlight w:val="none"/>
          <w:lang w:val="en-US" w:eastAsia="zh-CN"/>
        </w:rPr>
      </w:pPr>
      <w:r>
        <w:rPr>
          <w:rFonts w:hint="eastAsia" w:ascii="宋体" w:hAnsi="宋体" w:eastAsia="宋体" w:cs="宋体"/>
          <w:b/>
          <w:bCs/>
          <w:color w:val="FF0000"/>
          <w:sz w:val="36"/>
          <w:szCs w:val="36"/>
          <w:highlight w:val="none"/>
          <w:lang w:val="en-US" w:eastAsia="zh-CN"/>
        </w:rPr>
        <w:t>警示条款</w:t>
      </w:r>
    </w:p>
    <w:p w14:paraId="474C1D07">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一、《深圳经济特区政府采购条例》第五十七条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2316AF09">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（一）在采购活动中应当回避而未回避的；</w:t>
      </w:r>
    </w:p>
    <w:p w14:paraId="37EEE270">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（二）未按本条例规定签订、履行采购合同，造成严重后果的；</w:t>
      </w:r>
    </w:p>
    <w:p w14:paraId="4808C232">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（三）隐瞒真实情况，提供虚假资料的；</w:t>
      </w:r>
    </w:p>
    <w:p w14:paraId="5345B83E">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（四）以非法手段排斥其他供应商参与竞争的；</w:t>
      </w:r>
    </w:p>
    <w:p w14:paraId="3340A433">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（五）与其他采购参加人串通投标的；</w:t>
      </w:r>
    </w:p>
    <w:p w14:paraId="0136FED1">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（六）恶意投诉的；</w:t>
      </w:r>
    </w:p>
    <w:p w14:paraId="59253FC5">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（七）向采购项目相关人行贿或者提供其他不当利益的；</w:t>
      </w:r>
    </w:p>
    <w:p w14:paraId="1F389C19">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（八）阻碍、抗拒主管部门监督检查的；</w:t>
      </w:r>
    </w:p>
    <w:p w14:paraId="02FF8D10">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（九）其他违反本条例规定的行为。</w:t>
      </w:r>
    </w:p>
    <w:p w14:paraId="51EEDF7A">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二、《深圳经济特区政府采购条例实施细则》第七十五条 供应商有下列情形的，属于采购条例所称的串通投标行为，按照采购条例第五十七条有关规定处理：</w:t>
      </w:r>
    </w:p>
    <w:p w14:paraId="2ADCC08D">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（一）投标供应商之间相互约定给予未中标的供应商利益补偿；</w:t>
      </w:r>
    </w:p>
    <w:p w14:paraId="55ED5229">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（二）不同投标供应商的法定代表人、主要经营负责人、项目投标授权代表人、项目负责人、主要技术人员为同一人、属同一单位或者在同一单位缴纳社会保险；</w:t>
      </w:r>
    </w:p>
    <w:p w14:paraId="78F14F4A">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（三）不同投标供应商的投标文件由同一单位或者同一人编制，或者由同一人分阶段参与编制的；</w:t>
      </w:r>
    </w:p>
    <w:p w14:paraId="16658C61">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（四）不同投标供应商的投标文件或部分投标文件相互混装；</w:t>
      </w:r>
    </w:p>
    <w:p w14:paraId="51962992">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（五）不同投标供应商的投标文件内容存在非正常一致；</w:t>
      </w:r>
    </w:p>
    <w:p w14:paraId="434F021A">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（六）由同一单位工作人员为两家以上（含两家）供应商进行同一项投标活动的；</w:t>
      </w:r>
    </w:p>
    <w:p w14:paraId="4A398EC5">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（七）主管部门依照法律、法规认定的其他情形。</w:t>
      </w:r>
    </w:p>
    <w:p w14:paraId="79CD4B54">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三、《深圳经济特区政府采购条例实施细则》第七十七条 供应商有下列情形之一的，属于隐瞒真实情况，提供虚假资料，按照采购条例第五十七的有关规定处理：</w:t>
      </w:r>
    </w:p>
    <w:p w14:paraId="741CCB3A">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（一）通过转让或者租借等方式从其他单位获取资格或者资质证书投标的；</w:t>
      </w:r>
    </w:p>
    <w:p w14:paraId="596ABDAF">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（二）由其他单位或者其他单位负责人在投标供应商编制的投标文件上加盖印章或者签字的；</w:t>
      </w:r>
    </w:p>
    <w:p w14:paraId="34B94082">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（三）项目负责人或者主要技术人员不是本单位人员的；</w:t>
      </w:r>
    </w:p>
    <w:p w14:paraId="17A63479">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（四）投标保证金不是从投标供应商基本账户转出的；</w:t>
      </w:r>
    </w:p>
    <w:p w14:paraId="52EF6864">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（五）其他隐瞒真实情况、提供虚假资料的行为。</w:t>
      </w:r>
    </w:p>
    <w:p w14:paraId="06D64191">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投标供应商不能提供项目负责人或者主要技术人员的劳动合同、社会保险等劳动关系证明材料的，视为存在前款第（三）项规定的情形。</w:t>
      </w:r>
    </w:p>
    <w:p w14:paraId="53B57CC3">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四、请投标供应商阅读《政府采购违法行为风险知悉确认书》，并经各投标供应商负责人或投标授权代表签字并加盖单位公章后，扫描上传至投标文件一并提交。</w:t>
      </w:r>
    </w:p>
    <w:p w14:paraId="70767587">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注：该风险知悉确认书用于对供应商违法行为的警示，不作为供应商资格性审查及符合性审查条件。</w:t>
      </w:r>
    </w:p>
    <w:p w14:paraId="13255A44">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五、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秘密钥。</w:t>
      </w:r>
    </w:p>
    <w:p w14:paraId="2C569DFF">
      <w:pPr>
        <w:jc w:val="center"/>
        <w:rPr>
          <w:rFonts w:hint="eastAsia" w:ascii="宋体" w:hAnsi="宋体" w:eastAsia="宋体" w:cs="宋体"/>
          <w:b/>
          <w:sz w:val="32"/>
          <w:szCs w:val="32"/>
          <w:highlight w:val="none"/>
        </w:rPr>
        <w:sectPr>
          <w:footerReference r:id="rId3" w:type="default"/>
          <w:pgSz w:w="11906" w:h="16838"/>
          <w:pgMar w:top="1134" w:right="1134" w:bottom="1134" w:left="1134"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7480CE01">
      <w:pPr>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温 馨 提 示</w:t>
      </w:r>
    </w:p>
    <w:p w14:paraId="0D27806F">
      <w:pPr>
        <w:spacing w:line="360" w:lineRule="auto"/>
        <w:rPr>
          <w:rFonts w:hint="eastAsia" w:ascii="宋体" w:hAnsi="宋体" w:eastAsia="宋体" w:cs="宋体"/>
          <w:szCs w:val="21"/>
          <w:highlight w:val="none"/>
        </w:rPr>
      </w:pPr>
    </w:p>
    <w:p w14:paraId="3621BD62">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如无另行说明，投标文件递交时间为</w:t>
      </w:r>
      <w:r>
        <w:rPr>
          <w:rFonts w:hint="eastAsia" w:ascii="宋体" w:hAnsi="宋体" w:eastAsia="宋体" w:cs="宋体"/>
          <w:b/>
          <w:bCs/>
          <w:szCs w:val="21"/>
          <w:highlight w:val="none"/>
          <w:u w:val="single"/>
          <w:lang w:val="en-US" w:eastAsia="zh-CN"/>
        </w:rPr>
        <w:t>开标</w:t>
      </w:r>
      <w:r>
        <w:rPr>
          <w:rFonts w:hint="eastAsia" w:ascii="宋体" w:hAnsi="宋体" w:eastAsia="宋体" w:cs="宋体"/>
          <w:b/>
          <w:bCs/>
          <w:szCs w:val="21"/>
          <w:highlight w:val="none"/>
          <w:u w:val="single"/>
        </w:rPr>
        <w:t>截止</w:t>
      </w:r>
      <w:r>
        <w:rPr>
          <w:rFonts w:hint="eastAsia" w:ascii="宋体" w:hAnsi="宋体" w:eastAsia="宋体" w:cs="宋体"/>
          <w:b/>
          <w:szCs w:val="21"/>
          <w:highlight w:val="none"/>
          <w:u w:val="single"/>
        </w:rPr>
        <w:t>时间之前30分</w:t>
      </w:r>
      <w:r>
        <w:rPr>
          <w:rFonts w:hint="eastAsia" w:ascii="宋体" w:hAnsi="宋体" w:eastAsia="宋体" w:cs="宋体"/>
          <w:b/>
          <w:bCs w:val="0"/>
          <w:szCs w:val="21"/>
          <w:highlight w:val="none"/>
          <w:u w:val="single"/>
        </w:rPr>
        <w:t>钟内</w:t>
      </w:r>
      <w:r>
        <w:rPr>
          <w:rFonts w:hint="eastAsia" w:ascii="宋体" w:hAnsi="宋体" w:eastAsia="宋体" w:cs="宋体"/>
          <w:szCs w:val="21"/>
          <w:highlight w:val="none"/>
        </w:rPr>
        <w:t>。</w:t>
      </w:r>
    </w:p>
    <w:p w14:paraId="3DBA86A7">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为避免因迟到而失去投标资格，请</w:t>
      </w:r>
      <w:r>
        <w:rPr>
          <w:rFonts w:hint="eastAsia" w:ascii="宋体" w:hAnsi="宋体" w:eastAsia="宋体" w:cs="宋体"/>
          <w:b/>
          <w:szCs w:val="21"/>
          <w:highlight w:val="none"/>
          <w:u w:val="single"/>
        </w:rPr>
        <w:t>适当提前到达</w:t>
      </w:r>
      <w:r>
        <w:rPr>
          <w:rFonts w:hint="eastAsia" w:ascii="宋体" w:hAnsi="宋体" w:eastAsia="宋体" w:cs="宋体"/>
          <w:szCs w:val="21"/>
          <w:highlight w:val="none"/>
        </w:rPr>
        <w:t>。</w:t>
      </w:r>
    </w:p>
    <w:p w14:paraId="462579F1">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投标文件</w:t>
      </w:r>
      <w:r>
        <w:rPr>
          <w:rFonts w:hint="eastAsia" w:ascii="宋体" w:hAnsi="宋体" w:eastAsia="宋体" w:cs="宋体"/>
          <w:b/>
          <w:bCs/>
          <w:szCs w:val="21"/>
          <w:highlight w:val="none"/>
          <w:u w:val="single"/>
        </w:rPr>
        <w:t>应</w:t>
      </w:r>
      <w:r>
        <w:rPr>
          <w:rFonts w:hint="eastAsia" w:ascii="宋体" w:hAnsi="宋体" w:eastAsia="宋体" w:cs="宋体"/>
          <w:b/>
          <w:bCs/>
          <w:szCs w:val="21"/>
          <w:highlight w:val="none"/>
          <w:u w:val="single"/>
          <w:lang w:val="en-US" w:eastAsia="zh-CN"/>
        </w:rPr>
        <w:t>有目录并</w:t>
      </w:r>
      <w:r>
        <w:rPr>
          <w:rFonts w:hint="eastAsia" w:ascii="宋体" w:hAnsi="宋体" w:eastAsia="宋体" w:cs="宋体"/>
          <w:b/>
          <w:bCs/>
          <w:szCs w:val="21"/>
          <w:highlight w:val="none"/>
          <w:u w:val="single"/>
        </w:rPr>
        <w:t>按顺序编</w:t>
      </w:r>
      <w:r>
        <w:rPr>
          <w:rFonts w:hint="eastAsia" w:ascii="宋体" w:hAnsi="宋体" w:eastAsia="宋体" w:cs="宋体"/>
          <w:b/>
          <w:szCs w:val="21"/>
          <w:highlight w:val="none"/>
          <w:u w:val="single"/>
        </w:rPr>
        <w:t>制页码</w:t>
      </w:r>
      <w:r>
        <w:rPr>
          <w:rFonts w:hint="eastAsia" w:ascii="宋体" w:hAnsi="宋体" w:eastAsia="宋体" w:cs="宋体"/>
          <w:szCs w:val="21"/>
          <w:highlight w:val="none"/>
        </w:rPr>
        <w:t>。</w:t>
      </w:r>
    </w:p>
    <w:p w14:paraId="14FE4251">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请仔细检查投标文件是否已按</w:t>
      </w:r>
      <w:r>
        <w:rPr>
          <w:rFonts w:hint="eastAsia" w:ascii="宋体" w:hAnsi="宋体" w:eastAsia="宋体" w:cs="宋体"/>
          <w:szCs w:val="21"/>
          <w:highlight w:val="none"/>
          <w:lang w:eastAsia="zh-CN"/>
        </w:rPr>
        <w:t>谈判文件</w:t>
      </w:r>
      <w:r>
        <w:rPr>
          <w:rFonts w:hint="eastAsia" w:ascii="宋体" w:hAnsi="宋体" w:eastAsia="宋体" w:cs="宋体"/>
          <w:szCs w:val="21"/>
          <w:highlight w:val="none"/>
        </w:rPr>
        <w:t>要求</w:t>
      </w:r>
      <w:r>
        <w:rPr>
          <w:rFonts w:hint="eastAsia" w:ascii="宋体" w:hAnsi="宋体" w:eastAsia="宋体" w:cs="宋体"/>
          <w:b/>
          <w:szCs w:val="21"/>
          <w:highlight w:val="none"/>
          <w:u w:val="single"/>
        </w:rPr>
        <w:t>盖章、签名及密封</w:t>
      </w:r>
      <w:r>
        <w:rPr>
          <w:rFonts w:hint="eastAsia" w:ascii="宋体" w:hAnsi="宋体" w:eastAsia="宋体" w:cs="宋体"/>
          <w:szCs w:val="21"/>
          <w:highlight w:val="none"/>
        </w:rPr>
        <w:t>。</w:t>
      </w:r>
    </w:p>
    <w:p w14:paraId="0F349339">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请正确填写《开标一览表》，封装在单独的唱标信封当中</w:t>
      </w:r>
      <w:r>
        <w:rPr>
          <w:rFonts w:hint="eastAsia" w:ascii="宋体" w:hAnsi="宋体" w:eastAsia="宋体" w:cs="宋体"/>
          <w:szCs w:val="21"/>
          <w:highlight w:val="none"/>
          <w:lang w:eastAsia="zh-CN"/>
        </w:rPr>
        <w:t>，</w:t>
      </w:r>
      <w:r>
        <w:rPr>
          <w:rFonts w:hint="eastAsia" w:ascii="宋体" w:hAnsi="宋体" w:eastAsia="宋体" w:cs="宋体"/>
          <w:b/>
          <w:szCs w:val="21"/>
          <w:highlight w:val="none"/>
          <w:u w:val="single"/>
        </w:rPr>
        <w:t>多包项目请每包单独封装</w:t>
      </w:r>
      <w:r>
        <w:rPr>
          <w:rFonts w:hint="eastAsia" w:ascii="宋体" w:hAnsi="宋体" w:eastAsia="宋体" w:cs="宋体"/>
          <w:szCs w:val="21"/>
          <w:highlight w:val="none"/>
        </w:rPr>
        <w:t>，并请仔细检查包号，包号与包名称必须对应。</w:t>
      </w:r>
    </w:p>
    <w:p w14:paraId="58F21969">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lang w:eastAsia="zh-CN"/>
        </w:rPr>
        <w:t>谈判</w:t>
      </w:r>
      <w:r>
        <w:rPr>
          <w:rFonts w:hint="eastAsia" w:ascii="宋体" w:hAnsi="宋体" w:eastAsia="宋体" w:cs="宋体"/>
          <w:szCs w:val="21"/>
          <w:highlight w:val="none"/>
        </w:rPr>
        <w:t>项目内或所投包号内有多项报价内容的，</w:t>
      </w:r>
      <w:r>
        <w:rPr>
          <w:rFonts w:hint="eastAsia" w:ascii="宋体" w:hAnsi="宋体" w:eastAsia="宋体" w:cs="宋体"/>
          <w:b/>
          <w:szCs w:val="21"/>
          <w:highlight w:val="none"/>
          <w:u w:val="single"/>
        </w:rPr>
        <w:t>应加总后报总价</w:t>
      </w:r>
      <w:r>
        <w:rPr>
          <w:rFonts w:hint="eastAsia" w:ascii="宋体" w:hAnsi="宋体" w:eastAsia="宋体" w:cs="宋体"/>
          <w:szCs w:val="21"/>
          <w:highlight w:val="none"/>
        </w:rPr>
        <w:t>。</w:t>
      </w:r>
    </w:p>
    <w:p w14:paraId="63565041">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如投标人以非独立法人注册的分公司名义代表总公司盖章和签署文件的，须提供总公司的营业执照副本复印件及总公司针对本项目投标的授权书原件。</w:t>
      </w:r>
    </w:p>
    <w:p w14:paraId="2FC136FF">
      <w:pPr>
        <w:tabs>
          <w:tab w:val="left" w:pos="851"/>
        </w:tabs>
        <w:spacing w:line="360" w:lineRule="auto"/>
        <w:ind w:left="850" w:hanging="850" w:hangingChars="405"/>
        <w:rPr>
          <w:rFonts w:hint="eastAsia" w:ascii="宋体" w:hAnsi="宋体" w:eastAsia="宋体" w:cs="宋体"/>
          <w:szCs w:val="21"/>
          <w:highlight w:val="none"/>
        </w:rPr>
      </w:pPr>
      <w:r>
        <w:rPr>
          <w:rFonts w:hint="eastAsia" w:ascii="宋体" w:hAnsi="宋体" w:eastAsia="宋体" w:cs="宋体"/>
          <w:szCs w:val="21"/>
          <w:highlight w:val="none"/>
        </w:rPr>
        <w:tab/>
      </w:r>
      <w:r>
        <w:rPr>
          <w:rFonts w:hint="eastAsia" w:ascii="宋体" w:hAnsi="宋体" w:eastAsia="宋体" w:cs="宋体"/>
          <w:szCs w:val="21"/>
          <w:highlight w:val="none"/>
        </w:rPr>
        <w:t>（以上提示内容仅仅一般项提醒，如与实际</w:t>
      </w:r>
      <w:r>
        <w:rPr>
          <w:rFonts w:hint="eastAsia" w:ascii="宋体" w:hAnsi="宋体" w:eastAsia="宋体" w:cs="宋体"/>
          <w:szCs w:val="21"/>
          <w:highlight w:val="none"/>
          <w:lang w:eastAsia="zh-CN"/>
        </w:rPr>
        <w:t>谈判</w:t>
      </w:r>
      <w:r>
        <w:rPr>
          <w:rFonts w:hint="eastAsia" w:ascii="宋体" w:hAnsi="宋体" w:eastAsia="宋体" w:cs="宋体"/>
          <w:szCs w:val="21"/>
          <w:highlight w:val="none"/>
        </w:rPr>
        <w:t>项目要求有不一致，以</w:t>
      </w:r>
      <w:r>
        <w:rPr>
          <w:rFonts w:hint="eastAsia" w:ascii="宋体" w:hAnsi="宋体" w:eastAsia="宋体" w:cs="宋体"/>
          <w:szCs w:val="21"/>
          <w:highlight w:val="none"/>
          <w:lang w:eastAsia="zh-CN"/>
        </w:rPr>
        <w:t>谈判文件</w:t>
      </w:r>
      <w:r>
        <w:rPr>
          <w:rFonts w:hint="eastAsia" w:ascii="宋体" w:hAnsi="宋体" w:eastAsia="宋体" w:cs="宋体"/>
          <w:szCs w:val="21"/>
          <w:highlight w:val="none"/>
        </w:rPr>
        <w:t>为准）</w:t>
      </w:r>
    </w:p>
    <w:p w14:paraId="16CAAC3F">
      <w:pPr>
        <w:rPr>
          <w:rFonts w:hint="eastAsia" w:asciiTheme="minorEastAsia" w:hAnsiTheme="minorEastAsia" w:cstheme="minorEastAsia"/>
          <w:szCs w:val="21"/>
        </w:rPr>
      </w:pPr>
    </w:p>
    <w:p w14:paraId="5DBC7F84">
      <w:pPr>
        <w:rPr>
          <w:rFonts w:hint="eastAsia" w:asciiTheme="minorEastAsia" w:hAnsiTheme="minorEastAsia" w:cstheme="minorEastAsia"/>
          <w:b/>
          <w:bCs/>
          <w:sz w:val="28"/>
          <w:szCs w:val="28"/>
          <w:lang w:eastAsia="zh-CN"/>
        </w:rPr>
      </w:pPr>
    </w:p>
    <w:p w14:paraId="01EB65D9">
      <w:pPr>
        <w:rPr>
          <w:rFonts w:hint="eastAsia" w:asciiTheme="minorEastAsia" w:hAnsiTheme="minorEastAsia" w:cstheme="minorEastAsia"/>
          <w:b/>
          <w:bCs/>
          <w:sz w:val="28"/>
          <w:szCs w:val="28"/>
          <w:lang w:eastAsia="zh-CN"/>
        </w:rPr>
      </w:pPr>
    </w:p>
    <w:p w14:paraId="77F281EC">
      <w:pPr>
        <w:rPr>
          <w:rFonts w:hint="eastAsia" w:asciiTheme="minorEastAsia" w:hAnsiTheme="minorEastAsia" w:cstheme="minorEastAsia"/>
          <w:b/>
          <w:bCs/>
          <w:sz w:val="28"/>
          <w:szCs w:val="28"/>
          <w:lang w:eastAsia="zh-CN"/>
        </w:rPr>
      </w:pPr>
    </w:p>
    <w:p w14:paraId="3A3BFB18">
      <w:pPr>
        <w:rPr>
          <w:rFonts w:hint="eastAsia" w:asciiTheme="minorEastAsia" w:hAnsiTheme="minorEastAsia" w:cstheme="minorEastAsia"/>
          <w:b/>
          <w:bCs/>
          <w:sz w:val="28"/>
          <w:szCs w:val="28"/>
          <w:lang w:eastAsia="zh-CN"/>
        </w:rPr>
      </w:pPr>
    </w:p>
    <w:p w14:paraId="2D2B848F">
      <w:pPr>
        <w:rPr>
          <w:rFonts w:hint="eastAsia" w:asciiTheme="minorEastAsia" w:hAnsiTheme="minorEastAsia" w:cstheme="minorEastAsia"/>
          <w:b/>
          <w:bCs/>
          <w:sz w:val="28"/>
          <w:szCs w:val="28"/>
          <w:lang w:eastAsia="zh-CN"/>
        </w:rPr>
      </w:pPr>
    </w:p>
    <w:p w14:paraId="1D345081">
      <w:pPr>
        <w:rPr>
          <w:rFonts w:hint="eastAsia" w:asciiTheme="minorEastAsia" w:hAnsiTheme="minorEastAsia" w:cstheme="minorEastAsia"/>
          <w:b/>
          <w:bCs/>
          <w:sz w:val="28"/>
          <w:szCs w:val="28"/>
          <w:lang w:eastAsia="zh-CN"/>
        </w:rPr>
      </w:pPr>
    </w:p>
    <w:p w14:paraId="23064BB5">
      <w:pPr>
        <w:rPr>
          <w:rFonts w:hint="eastAsia" w:asciiTheme="minorEastAsia" w:hAnsiTheme="minorEastAsia" w:cstheme="minorEastAsia"/>
          <w:b/>
          <w:bCs/>
          <w:sz w:val="28"/>
          <w:szCs w:val="28"/>
          <w:lang w:eastAsia="zh-CN"/>
        </w:rPr>
      </w:pPr>
    </w:p>
    <w:p w14:paraId="06C79F49">
      <w:pPr>
        <w:rPr>
          <w:rFonts w:hint="eastAsia" w:asciiTheme="minorEastAsia" w:hAnsiTheme="minorEastAsia" w:cstheme="minorEastAsia"/>
          <w:b/>
          <w:bCs/>
          <w:sz w:val="28"/>
          <w:szCs w:val="28"/>
          <w:lang w:eastAsia="zh-CN"/>
        </w:rPr>
      </w:pPr>
    </w:p>
    <w:p w14:paraId="4634AAD6">
      <w:pPr>
        <w:rPr>
          <w:rFonts w:hint="eastAsia" w:asciiTheme="minorEastAsia" w:hAnsiTheme="minorEastAsia" w:cstheme="minorEastAsia"/>
          <w:b/>
          <w:bCs/>
          <w:sz w:val="28"/>
          <w:szCs w:val="28"/>
          <w:lang w:eastAsia="zh-CN"/>
        </w:rPr>
      </w:pPr>
    </w:p>
    <w:p w14:paraId="031E49A4">
      <w:pPr>
        <w:rPr>
          <w:rFonts w:hint="eastAsia" w:asciiTheme="minorEastAsia" w:hAnsiTheme="minorEastAsia" w:cstheme="minorEastAsia"/>
          <w:b/>
          <w:bCs/>
          <w:sz w:val="28"/>
          <w:szCs w:val="28"/>
          <w:lang w:eastAsia="zh-CN"/>
        </w:rPr>
      </w:pPr>
    </w:p>
    <w:p w14:paraId="31AED3E0">
      <w:pPr>
        <w:rPr>
          <w:rFonts w:hint="eastAsia" w:asciiTheme="minorEastAsia" w:hAnsiTheme="minorEastAsia" w:cstheme="minorEastAsia"/>
          <w:b/>
          <w:bCs/>
          <w:sz w:val="28"/>
          <w:szCs w:val="28"/>
          <w:lang w:eastAsia="zh-CN"/>
        </w:rPr>
      </w:pPr>
    </w:p>
    <w:p w14:paraId="5651AF19">
      <w:pPr>
        <w:rPr>
          <w:rFonts w:hint="eastAsia" w:asciiTheme="minorEastAsia" w:hAnsiTheme="minorEastAsia" w:cstheme="minorEastAsia"/>
          <w:b/>
          <w:bCs/>
          <w:sz w:val="28"/>
          <w:szCs w:val="28"/>
          <w:lang w:eastAsia="zh-CN"/>
        </w:rPr>
      </w:pPr>
    </w:p>
    <w:p w14:paraId="49152C6C">
      <w:pPr>
        <w:rPr>
          <w:rFonts w:hint="eastAsia" w:asciiTheme="minorEastAsia" w:hAnsiTheme="minorEastAsia" w:eastAsiaTheme="minorEastAsia" w:cstheme="minorEastAsia"/>
          <w:bCs/>
          <w:kern w:val="2"/>
          <w:sz w:val="21"/>
          <w:szCs w:val="28"/>
          <w:lang w:val="en-US" w:eastAsia="zh-CN" w:bidi="ar-SA"/>
        </w:rPr>
      </w:pPr>
    </w:p>
    <w:sdt>
      <w:sdtPr>
        <w:rPr>
          <w:rFonts w:ascii="宋体" w:hAnsi="宋体" w:eastAsia="宋体" w:cstheme="minorBidi"/>
          <w:kern w:val="2"/>
          <w:sz w:val="21"/>
          <w:szCs w:val="24"/>
          <w:lang w:val="en-US" w:eastAsia="zh-CN" w:bidi="ar-SA"/>
        </w:rPr>
        <w:id w:val="147453461"/>
        <w15:color w:val="DBDBDB"/>
        <w:docPartObj>
          <w:docPartGallery w:val="Table of Contents"/>
          <w:docPartUnique/>
        </w:docPartObj>
      </w:sdtPr>
      <w:sdtEndPr>
        <w:rPr>
          <w:rFonts w:hint="eastAsia" w:asciiTheme="minorEastAsia" w:hAnsiTheme="minorEastAsia" w:eastAsiaTheme="minorEastAsia" w:cstheme="minorEastAsia"/>
          <w:bCs/>
          <w:kern w:val="2"/>
          <w:sz w:val="21"/>
          <w:szCs w:val="28"/>
          <w:lang w:val="en-US" w:eastAsia="zh-CN" w:bidi="ar-SA"/>
        </w:rPr>
      </w:sdtEndPr>
      <w:sdtContent>
        <w:p w14:paraId="0A9FF65E">
          <w:pPr>
            <w:spacing w:before="0" w:beforeLines="0" w:after="0" w:afterLines="0" w:line="240" w:lineRule="auto"/>
            <w:ind w:left="0" w:leftChars="0" w:right="0" w:rightChars="0" w:firstLine="0" w:firstLineChars="0"/>
            <w:jc w:val="center"/>
            <w:rPr>
              <w:rFonts w:ascii="宋体" w:hAnsi="宋体" w:eastAsia="宋体" w:cstheme="minorBidi"/>
              <w:kern w:val="2"/>
              <w:sz w:val="21"/>
              <w:szCs w:val="24"/>
              <w:lang w:val="en-US" w:eastAsia="zh-CN" w:bidi="ar-SA"/>
            </w:rPr>
          </w:pPr>
        </w:p>
        <w:p w14:paraId="37CCAAA0">
          <w:pPr>
            <w:spacing w:before="0" w:beforeLines="0" w:after="0" w:afterLines="0" w:line="240" w:lineRule="auto"/>
            <w:ind w:left="0" w:leftChars="0" w:right="0" w:rightChars="0" w:firstLine="0" w:firstLineChars="0"/>
            <w:jc w:val="center"/>
            <w:rPr>
              <w:sz w:val="48"/>
              <w:szCs w:val="56"/>
            </w:rPr>
          </w:pPr>
          <w:r>
            <w:rPr>
              <w:rFonts w:ascii="宋体" w:hAnsi="宋体" w:eastAsia="宋体"/>
              <w:sz w:val="48"/>
              <w:szCs w:val="56"/>
            </w:rPr>
            <w:t>目</w:t>
          </w:r>
          <w:r>
            <w:rPr>
              <w:rFonts w:hint="eastAsia" w:ascii="宋体" w:hAnsi="宋体" w:eastAsia="宋体"/>
              <w:sz w:val="48"/>
              <w:szCs w:val="56"/>
              <w:lang w:val="en-US" w:eastAsia="zh-CN"/>
            </w:rPr>
            <w:t xml:space="preserve"> </w:t>
          </w:r>
          <w:r>
            <w:rPr>
              <w:rFonts w:ascii="宋体" w:hAnsi="宋体" w:eastAsia="宋体"/>
              <w:sz w:val="48"/>
              <w:szCs w:val="56"/>
            </w:rPr>
            <w:t>录</w:t>
          </w:r>
        </w:p>
        <w:p w14:paraId="4646880C">
          <w:pPr>
            <w:pStyle w:val="13"/>
            <w:tabs>
              <w:tab w:val="right" w:leader="dot" w:pos="9180"/>
            </w:tabs>
            <w:rPr>
              <w:sz w:val="36"/>
              <w:szCs w:val="44"/>
            </w:rPr>
          </w:pPr>
          <w:r>
            <w:rPr>
              <w:rFonts w:hint="eastAsia" w:asciiTheme="minorEastAsia" w:hAnsiTheme="minorEastAsia" w:eastAsiaTheme="minorEastAsia" w:cstheme="minorEastAsia"/>
              <w:bCs/>
              <w:kern w:val="2"/>
              <w:sz w:val="21"/>
              <w:szCs w:val="28"/>
              <w:lang w:val="en-US" w:eastAsia="zh-CN" w:bidi="ar-SA"/>
            </w:rPr>
            <w:fldChar w:fldCharType="begin"/>
          </w:r>
          <w:r>
            <w:rPr>
              <w:rFonts w:hint="eastAsia" w:asciiTheme="minorEastAsia" w:hAnsiTheme="minorEastAsia" w:eastAsiaTheme="minorEastAsia" w:cstheme="minorEastAsia"/>
              <w:bCs/>
              <w:kern w:val="2"/>
              <w:sz w:val="21"/>
              <w:szCs w:val="28"/>
              <w:lang w:val="en-US" w:eastAsia="zh-CN" w:bidi="ar-SA"/>
            </w:rPr>
            <w:instrText xml:space="preserve">TOC \o "1-3" \h \u </w:instrText>
          </w:r>
          <w:r>
            <w:rPr>
              <w:rFonts w:hint="eastAsia" w:asciiTheme="minorEastAsia" w:hAnsiTheme="minorEastAsia" w:eastAsiaTheme="minorEastAsia" w:cstheme="minorEastAsia"/>
              <w:bCs/>
              <w:kern w:val="2"/>
              <w:sz w:val="21"/>
              <w:szCs w:val="28"/>
              <w:lang w:val="en-US" w:eastAsia="zh-CN" w:bidi="ar-SA"/>
            </w:rPr>
            <w:fldChar w:fldCharType="separate"/>
          </w:r>
          <w:r>
            <w:rPr>
              <w:rFonts w:hint="eastAsia" w:asciiTheme="minorEastAsia" w:hAnsiTheme="minorEastAsia" w:eastAsiaTheme="minorEastAsia" w:cstheme="minorEastAsia"/>
              <w:bCs/>
              <w:kern w:val="2"/>
              <w:sz w:val="36"/>
              <w:szCs w:val="48"/>
              <w:lang w:val="en-US" w:eastAsia="zh-CN" w:bidi="ar-SA"/>
            </w:rPr>
            <w:fldChar w:fldCharType="begin"/>
          </w:r>
          <w:r>
            <w:rPr>
              <w:rFonts w:hint="eastAsia" w:asciiTheme="minorEastAsia" w:hAnsiTheme="minorEastAsia" w:eastAsiaTheme="minorEastAsia" w:cstheme="minorEastAsia"/>
              <w:bCs/>
              <w:kern w:val="2"/>
              <w:sz w:val="36"/>
              <w:szCs w:val="48"/>
              <w:lang w:val="en-US" w:eastAsia="zh-CN" w:bidi="ar-SA"/>
            </w:rPr>
            <w:instrText xml:space="preserve"> HYPERLINK \l _Toc11375 </w:instrText>
          </w:r>
          <w:r>
            <w:rPr>
              <w:rFonts w:hint="eastAsia" w:asciiTheme="minorEastAsia" w:hAnsiTheme="minorEastAsia" w:eastAsiaTheme="minorEastAsia" w:cstheme="minorEastAsia"/>
              <w:bCs/>
              <w:kern w:val="2"/>
              <w:sz w:val="36"/>
              <w:szCs w:val="48"/>
              <w:lang w:val="en-US" w:eastAsia="zh-CN" w:bidi="ar-SA"/>
            </w:rPr>
            <w:fldChar w:fldCharType="separate"/>
          </w:r>
          <w:r>
            <w:rPr>
              <w:rFonts w:hint="eastAsia" w:asciiTheme="majorEastAsia" w:hAnsiTheme="majorEastAsia" w:eastAsiaTheme="majorEastAsia"/>
              <w:sz w:val="36"/>
              <w:szCs w:val="52"/>
              <w:lang w:val="en-US" w:eastAsia="zh-CN"/>
            </w:rPr>
            <w:t>第一章 谈判公告</w:t>
          </w:r>
          <w:r>
            <w:rPr>
              <w:sz w:val="36"/>
              <w:szCs w:val="44"/>
            </w:rPr>
            <w:tab/>
          </w:r>
          <w:r>
            <w:rPr>
              <w:sz w:val="36"/>
              <w:szCs w:val="44"/>
            </w:rPr>
            <w:fldChar w:fldCharType="begin"/>
          </w:r>
          <w:r>
            <w:rPr>
              <w:sz w:val="36"/>
              <w:szCs w:val="44"/>
            </w:rPr>
            <w:instrText xml:space="preserve"> PAGEREF _Toc11375 \h </w:instrText>
          </w:r>
          <w:r>
            <w:rPr>
              <w:sz w:val="36"/>
              <w:szCs w:val="44"/>
            </w:rPr>
            <w:fldChar w:fldCharType="separate"/>
          </w:r>
          <w:r>
            <w:rPr>
              <w:sz w:val="36"/>
              <w:szCs w:val="44"/>
            </w:rPr>
            <w:t>6</w:t>
          </w:r>
          <w:r>
            <w:rPr>
              <w:sz w:val="36"/>
              <w:szCs w:val="44"/>
            </w:rPr>
            <w:fldChar w:fldCharType="end"/>
          </w:r>
          <w:r>
            <w:rPr>
              <w:rFonts w:hint="eastAsia" w:asciiTheme="minorEastAsia" w:hAnsiTheme="minorEastAsia" w:eastAsiaTheme="minorEastAsia" w:cstheme="minorEastAsia"/>
              <w:bCs/>
              <w:kern w:val="2"/>
              <w:sz w:val="36"/>
              <w:szCs w:val="48"/>
              <w:lang w:val="en-US" w:eastAsia="zh-CN" w:bidi="ar-SA"/>
            </w:rPr>
            <w:fldChar w:fldCharType="end"/>
          </w:r>
        </w:p>
        <w:p w14:paraId="7D1AC779">
          <w:pPr>
            <w:pStyle w:val="13"/>
            <w:tabs>
              <w:tab w:val="right" w:leader="dot" w:pos="9180"/>
            </w:tabs>
            <w:rPr>
              <w:sz w:val="36"/>
              <w:szCs w:val="44"/>
            </w:rPr>
          </w:pPr>
          <w:r>
            <w:rPr>
              <w:rFonts w:hint="eastAsia" w:asciiTheme="minorEastAsia" w:hAnsiTheme="minorEastAsia" w:eastAsiaTheme="minorEastAsia" w:cstheme="minorEastAsia"/>
              <w:bCs/>
              <w:kern w:val="2"/>
              <w:sz w:val="36"/>
              <w:szCs w:val="48"/>
              <w:lang w:val="en-US" w:eastAsia="zh-CN" w:bidi="ar-SA"/>
            </w:rPr>
            <w:fldChar w:fldCharType="begin"/>
          </w:r>
          <w:r>
            <w:rPr>
              <w:rFonts w:hint="eastAsia" w:asciiTheme="minorEastAsia" w:hAnsiTheme="minorEastAsia" w:eastAsiaTheme="minorEastAsia" w:cstheme="minorEastAsia"/>
              <w:bCs/>
              <w:kern w:val="2"/>
              <w:sz w:val="36"/>
              <w:szCs w:val="48"/>
              <w:lang w:val="en-US" w:eastAsia="zh-CN" w:bidi="ar-SA"/>
            </w:rPr>
            <w:instrText xml:space="preserve"> HYPERLINK \l _Toc24468 </w:instrText>
          </w:r>
          <w:r>
            <w:rPr>
              <w:rFonts w:hint="eastAsia" w:asciiTheme="minorEastAsia" w:hAnsiTheme="minorEastAsia" w:eastAsiaTheme="minorEastAsia" w:cstheme="minorEastAsia"/>
              <w:bCs/>
              <w:kern w:val="2"/>
              <w:sz w:val="36"/>
              <w:szCs w:val="48"/>
              <w:lang w:val="en-US" w:eastAsia="zh-CN" w:bidi="ar-SA"/>
            </w:rPr>
            <w:fldChar w:fldCharType="separate"/>
          </w:r>
          <w:r>
            <w:rPr>
              <w:rFonts w:hint="eastAsia" w:asciiTheme="majorEastAsia" w:hAnsiTheme="majorEastAsia" w:eastAsiaTheme="majorEastAsia"/>
              <w:sz w:val="36"/>
              <w:szCs w:val="52"/>
              <w:lang w:val="en-US" w:eastAsia="zh-CN"/>
            </w:rPr>
            <w:t>第二章 用户需求书</w:t>
          </w:r>
          <w:r>
            <w:rPr>
              <w:sz w:val="36"/>
              <w:szCs w:val="44"/>
            </w:rPr>
            <w:tab/>
          </w:r>
          <w:r>
            <w:rPr>
              <w:sz w:val="36"/>
              <w:szCs w:val="44"/>
            </w:rPr>
            <w:fldChar w:fldCharType="begin"/>
          </w:r>
          <w:r>
            <w:rPr>
              <w:sz w:val="36"/>
              <w:szCs w:val="44"/>
            </w:rPr>
            <w:instrText xml:space="preserve"> PAGEREF _Toc24468 \h </w:instrText>
          </w:r>
          <w:r>
            <w:rPr>
              <w:sz w:val="36"/>
              <w:szCs w:val="44"/>
            </w:rPr>
            <w:fldChar w:fldCharType="separate"/>
          </w:r>
          <w:r>
            <w:rPr>
              <w:sz w:val="36"/>
              <w:szCs w:val="44"/>
            </w:rPr>
            <w:t>10</w:t>
          </w:r>
          <w:r>
            <w:rPr>
              <w:sz w:val="36"/>
              <w:szCs w:val="44"/>
            </w:rPr>
            <w:fldChar w:fldCharType="end"/>
          </w:r>
          <w:r>
            <w:rPr>
              <w:rFonts w:hint="eastAsia" w:asciiTheme="minorEastAsia" w:hAnsiTheme="minorEastAsia" w:eastAsiaTheme="minorEastAsia" w:cstheme="minorEastAsia"/>
              <w:bCs/>
              <w:kern w:val="2"/>
              <w:sz w:val="36"/>
              <w:szCs w:val="48"/>
              <w:lang w:val="en-US" w:eastAsia="zh-CN" w:bidi="ar-SA"/>
            </w:rPr>
            <w:fldChar w:fldCharType="end"/>
          </w:r>
        </w:p>
        <w:p w14:paraId="6A6F29F6">
          <w:pPr>
            <w:pStyle w:val="13"/>
            <w:tabs>
              <w:tab w:val="right" w:leader="dot" w:pos="9180"/>
            </w:tabs>
            <w:rPr>
              <w:sz w:val="36"/>
              <w:szCs w:val="44"/>
            </w:rPr>
          </w:pPr>
          <w:r>
            <w:rPr>
              <w:rFonts w:hint="eastAsia" w:asciiTheme="minorEastAsia" w:hAnsiTheme="minorEastAsia" w:eastAsiaTheme="minorEastAsia" w:cstheme="minorEastAsia"/>
              <w:bCs/>
              <w:kern w:val="2"/>
              <w:sz w:val="36"/>
              <w:szCs w:val="48"/>
              <w:lang w:val="en-US" w:eastAsia="zh-CN" w:bidi="ar-SA"/>
            </w:rPr>
            <w:fldChar w:fldCharType="begin"/>
          </w:r>
          <w:r>
            <w:rPr>
              <w:rFonts w:hint="eastAsia" w:asciiTheme="minorEastAsia" w:hAnsiTheme="minorEastAsia" w:eastAsiaTheme="minorEastAsia" w:cstheme="minorEastAsia"/>
              <w:bCs/>
              <w:kern w:val="2"/>
              <w:sz w:val="36"/>
              <w:szCs w:val="48"/>
              <w:lang w:val="en-US" w:eastAsia="zh-CN" w:bidi="ar-SA"/>
            </w:rPr>
            <w:instrText xml:space="preserve"> HYPERLINK \l _Toc16150 </w:instrText>
          </w:r>
          <w:r>
            <w:rPr>
              <w:rFonts w:hint="eastAsia" w:asciiTheme="minorEastAsia" w:hAnsiTheme="minorEastAsia" w:eastAsiaTheme="minorEastAsia" w:cstheme="minorEastAsia"/>
              <w:bCs/>
              <w:kern w:val="2"/>
              <w:sz w:val="36"/>
              <w:szCs w:val="48"/>
              <w:lang w:val="en-US" w:eastAsia="zh-CN" w:bidi="ar-SA"/>
            </w:rPr>
            <w:fldChar w:fldCharType="separate"/>
          </w:r>
          <w:r>
            <w:rPr>
              <w:rFonts w:hint="eastAsia" w:asciiTheme="majorEastAsia" w:hAnsiTheme="majorEastAsia" w:eastAsiaTheme="majorEastAsia" w:cstheme="majorEastAsia"/>
              <w:kern w:val="2"/>
              <w:sz w:val="36"/>
              <w:szCs w:val="52"/>
              <w:lang w:val="en-US" w:eastAsia="zh-CN" w:bidi="ar-SA"/>
            </w:rPr>
            <w:t xml:space="preserve">第三章 </w:t>
          </w:r>
          <w:r>
            <w:rPr>
              <w:rFonts w:hint="eastAsia" w:asciiTheme="majorEastAsia" w:hAnsiTheme="majorEastAsia" w:eastAsiaTheme="majorEastAsia" w:cstheme="majorEastAsia"/>
              <w:sz w:val="36"/>
              <w:szCs w:val="52"/>
            </w:rPr>
            <w:t>开标、评标、定标</w:t>
          </w:r>
          <w:r>
            <w:rPr>
              <w:sz w:val="36"/>
              <w:szCs w:val="44"/>
            </w:rPr>
            <w:tab/>
          </w:r>
          <w:r>
            <w:rPr>
              <w:sz w:val="36"/>
              <w:szCs w:val="44"/>
            </w:rPr>
            <w:fldChar w:fldCharType="begin"/>
          </w:r>
          <w:r>
            <w:rPr>
              <w:sz w:val="36"/>
              <w:szCs w:val="44"/>
            </w:rPr>
            <w:instrText xml:space="preserve"> PAGEREF _Toc16150 \h </w:instrText>
          </w:r>
          <w:r>
            <w:rPr>
              <w:sz w:val="36"/>
              <w:szCs w:val="44"/>
            </w:rPr>
            <w:fldChar w:fldCharType="separate"/>
          </w:r>
          <w:r>
            <w:rPr>
              <w:sz w:val="36"/>
              <w:szCs w:val="44"/>
            </w:rPr>
            <w:t>15</w:t>
          </w:r>
          <w:r>
            <w:rPr>
              <w:sz w:val="36"/>
              <w:szCs w:val="44"/>
            </w:rPr>
            <w:fldChar w:fldCharType="end"/>
          </w:r>
          <w:r>
            <w:rPr>
              <w:rFonts w:hint="eastAsia" w:asciiTheme="minorEastAsia" w:hAnsiTheme="minorEastAsia" w:eastAsiaTheme="minorEastAsia" w:cstheme="minorEastAsia"/>
              <w:bCs/>
              <w:kern w:val="2"/>
              <w:sz w:val="36"/>
              <w:szCs w:val="48"/>
              <w:lang w:val="en-US" w:eastAsia="zh-CN" w:bidi="ar-SA"/>
            </w:rPr>
            <w:fldChar w:fldCharType="end"/>
          </w:r>
        </w:p>
        <w:p w14:paraId="476DE052">
          <w:pPr>
            <w:pStyle w:val="13"/>
            <w:tabs>
              <w:tab w:val="right" w:leader="dot" w:pos="9180"/>
            </w:tabs>
            <w:rPr>
              <w:sz w:val="36"/>
              <w:szCs w:val="44"/>
            </w:rPr>
          </w:pPr>
          <w:r>
            <w:rPr>
              <w:rFonts w:hint="eastAsia" w:asciiTheme="minorEastAsia" w:hAnsiTheme="minorEastAsia" w:eastAsiaTheme="minorEastAsia" w:cstheme="minorEastAsia"/>
              <w:bCs/>
              <w:kern w:val="2"/>
              <w:sz w:val="36"/>
              <w:szCs w:val="48"/>
              <w:lang w:val="en-US" w:eastAsia="zh-CN" w:bidi="ar-SA"/>
            </w:rPr>
            <w:fldChar w:fldCharType="begin"/>
          </w:r>
          <w:r>
            <w:rPr>
              <w:rFonts w:hint="eastAsia" w:asciiTheme="minorEastAsia" w:hAnsiTheme="minorEastAsia" w:eastAsiaTheme="minorEastAsia" w:cstheme="minorEastAsia"/>
              <w:bCs/>
              <w:kern w:val="2"/>
              <w:sz w:val="36"/>
              <w:szCs w:val="48"/>
              <w:lang w:val="en-US" w:eastAsia="zh-CN" w:bidi="ar-SA"/>
            </w:rPr>
            <w:instrText xml:space="preserve"> HYPERLINK \l _Toc26388 </w:instrText>
          </w:r>
          <w:r>
            <w:rPr>
              <w:rFonts w:hint="eastAsia" w:asciiTheme="minorEastAsia" w:hAnsiTheme="minorEastAsia" w:eastAsiaTheme="minorEastAsia" w:cstheme="minorEastAsia"/>
              <w:bCs/>
              <w:kern w:val="2"/>
              <w:sz w:val="36"/>
              <w:szCs w:val="48"/>
              <w:lang w:val="en-US" w:eastAsia="zh-CN" w:bidi="ar-SA"/>
            </w:rPr>
            <w:fldChar w:fldCharType="separate"/>
          </w:r>
          <w:r>
            <w:rPr>
              <w:rFonts w:hint="eastAsia" w:asciiTheme="majorEastAsia" w:hAnsiTheme="majorEastAsia" w:eastAsiaTheme="majorEastAsia"/>
              <w:sz w:val="36"/>
              <w:szCs w:val="52"/>
              <w:lang w:val="en-US" w:eastAsia="zh-CN"/>
            </w:rPr>
            <w:t xml:space="preserve">第四章 </w:t>
          </w:r>
          <w:r>
            <w:rPr>
              <w:rFonts w:hint="eastAsia" w:asciiTheme="majorEastAsia" w:hAnsiTheme="majorEastAsia" w:eastAsiaTheme="majorEastAsia"/>
              <w:sz w:val="36"/>
              <w:szCs w:val="52"/>
            </w:rPr>
            <w:t>投标文件</w:t>
          </w:r>
          <w:r>
            <w:rPr>
              <w:rFonts w:hint="eastAsia" w:asciiTheme="majorEastAsia" w:hAnsiTheme="majorEastAsia" w:eastAsiaTheme="majorEastAsia"/>
              <w:sz w:val="36"/>
              <w:szCs w:val="52"/>
              <w:lang w:eastAsia="zh-CN"/>
            </w:rPr>
            <w:t>（</w:t>
          </w:r>
          <w:r>
            <w:rPr>
              <w:rFonts w:hint="eastAsia" w:asciiTheme="majorEastAsia" w:hAnsiTheme="majorEastAsia" w:eastAsiaTheme="majorEastAsia"/>
              <w:sz w:val="36"/>
              <w:szCs w:val="52"/>
              <w:lang w:val="en-US" w:eastAsia="zh-CN"/>
            </w:rPr>
            <w:t>编制</w:t>
          </w:r>
          <w:r>
            <w:rPr>
              <w:rFonts w:hint="eastAsia" w:asciiTheme="majorEastAsia" w:hAnsiTheme="majorEastAsia" w:eastAsiaTheme="majorEastAsia"/>
              <w:sz w:val="36"/>
              <w:szCs w:val="52"/>
            </w:rPr>
            <w:t>参考</w:t>
          </w:r>
          <w:r>
            <w:rPr>
              <w:rFonts w:hint="eastAsia" w:asciiTheme="majorEastAsia" w:hAnsiTheme="majorEastAsia" w:eastAsiaTheme="majorEastAsia"/>
              <w:sz w:val="36"/>
              <w:szCs w:val="52"/>
              <w:lang w:val="en-US" w:eastAsia="zh-CN"/>
            </w:rPr>
            <w:t>模板</w:t>
          </w:r>
          <w:r>
            <w:rPr>
              <w:rFonts w:hint="eastAsia" w:asciiTheme="majorEastAsia" w:hAnsiTheme="majorEastAsia" w:eastAsiaTheme="majorEastAsia"/>
              <w:sz w:val="36"/>
              <w:szCs w:val="52"/>
              <w:lang w:eastAsia="zh-CN"/>
            </w:rPr>
            <w:t>）</w:t>
          </w:r>
          <w:r>
            <w:rPr>
              <w:sz w:val="36"/>
              <w:szCs w:val="44"/>
            </w:rPr>
            <w:tab/>
          </w:r>
          <w:r>
            <w:rPr>
              <w:sz w:val="36"/>
              <w:szCs w:val="44"/>
            </w:rPr>
            <w:fldChar w:fldCharType="begin"/>
          </w:r>
          <w:r>
            <w:rPr>
              <w:sz w:val="36"/>
              <w:szCs w:val="44"/>
            </w:rPr>
            <w:instrText xml:space="preserve"> PAGEREF _Toc26388 \h </w:instrText>
          </w:r>
          <w:r>
            <w:rPr>
              <w:sz w:val="36"/>
              <w:szCs w:val="44"/>
            </w:rPr>
            <w:fldChar w:fldCharType="separate"/>
          </w:r>
          <w:r>
            <w:rPr>
              <w:sz w:val="36"/>
              <w:szCs w:val="44"/>
            </w:rPr>
            <w:t>21</w:t>
          </w:r>
          <w:r>
            <w:rPr>
              <w:sz w:val="36"/>
              <w:szCs w:val="44"/>
            </w:rPr>
            <w:fldChar w:fldCharType="end"/>
          </w:r>
          <w:r>
            <w:rPr>
              <w:rFonts w:hint="eastAsia" w:asciiTheme="minorEastAsia" w:hAnsiTheme="minorEastAsia" w:eastAsiaTheme="minorEastAsia" w:cstheme="minorEastAsia"/>
              <w:bCs/>
              <w:kern w:val="2"/>
              <w:sz w:val="36"/>
              <w:szCs w:val="48"/>
              <w:lang w:val="en-US" w:eastAsia="zh-CN" w:bidi="ar-SA"/>
            </w:rPr>
            <w:fldChar w:fldCharType="end"/>
          </w:r>
        </w:p>
        <w:p w14:paraId="233514D0">
          <w:pPr>
            <w:pStyle w:val="13"/>
            <w:tabs>
              <w:tab w:val="right" w:leader="dot" w:pos="9180"/>
            </w:tabs>
            <w:rPr>
              <w:sz w:val="36"/>
              <w:szCs w:val="44"/>
            </w:rPr>
          </w:pPr>
          <w:r>
            <w:rPr>
              <w:rFonts w:hint="eastAsia" w:asciiTheme="minorEastAsia" w:hAnsiTheme="minorEastAsia" w:eastAsiaTheme="minorEastAsia" w:cstheme="minorEastAsia"/>
              <w:bCs/>
              <w:kern w:val="2"/>
              <w:sz w:val="36"/>
              <w:szCs w:val="48"/>
              <w:lang w:val="en-US" w:eastAsia="zh-CN" w:bidi="ar-SA"/>
            </w:rPr>
            <w:fldChar w:fldCharType="begin"/>
          </w:r>
          <w:r>
            <w:rPr>
              <w:rFonts w:hint="eastAsia" w:asciiTheme="minorEastAsia" w:hAnsiTheme="minorEastAsia" w:eastAsiaTheme="minorEastAsia" w:cstheme="minorEastAsia"/>
              <w:bCs/>
              <w:kern w:val="2"/>
              <w:sz w:val="36"/>
              <w:szCs w:val="48"/>
              <w:lang w:val="en-US" w:eastAsia="zh-CN" w:bidi="ar-SA"/>
            </w:rPr>
            <w:instrText xml:space="preserve"> HYPERLINK \l _Toc30434 </w:instrText>
          </w:r>
          <w:r>
            <w:rPr>
              <w:rFonts w:hint="eastAsia" w:asciiTheme="minorEastAsia" w:hAnsiTheme="minorEastAsia" w:eastAsiaTheme="minorEastAsia" w:cstheme="minorEastAsia"/>
              <w:bCs/>
              <w:kern w:val="2"/>
              <w:sz w:val="36"/>
              <w:szCs w:val="48"/>
              <w:lang w:val="en-US" w:eastAsia="zh-CN" w:bidi="ar-SA"/>
            </w:rPr>
            <w:fldChar w:fldCharType="separate"/>
          </w:r>
          <w:r>
            <w:rPr>
              <w:rFonts w:hint="eastAsia" w:asciiTheme="majorEastAsia" w:hAnsiTheme="majorEastAsia" w:eastAsiaTheme="majorEastAsia"/>
              <w:sz w:val="36"/>
              <w:szCs w:val="52"/>
              <w:lang w:val="en-US" w:eastAsia="zh-CN"/>
            </w:rPr>
            <w:t xml:space="preserve">第五章 </w:t>
          </w:r>
          <w:r>
            <w:rPr>
              <w:rFonts w:asciiTheme="majorEastAsia" w:hAnsiTheme="majorEastAsia" w:eastAsiaTheme="majorEastAsia"/>
              <w:sz w:val="36"/>
              <w:szCs w:val="52"/>
              <w:lang w:eastAsia="zh-TW"/>
            </w:rPr>
            <w:t>说 明</w:t>
          </w:r>
          <w:r>
            <w:rPr>
              <w:sz w:val="36"/>
              <w:szCs w:val="44"/>
            </w:rPr>
            <w:tab/>
          </w:r>
          <w:r>
            <w:rPr>
              <w:sz w:val="36"/>
              <w:szCs w:val="44"/>
            </w:rPr>
            <w:fldChar w:fldCharType="begin"/>
          </w:r>
          <w:r>
            <w:rPr>
              <w:sz w:val="36"/>
              <w:szCs w:val="44"/>
            </w:rPr>
            <w:instrText xml:space="preserve"> PAGEREF _Toc30434 \h </w:instrText>
          </w:r>
          <w:r>
            <w:rPr>
              <w:sz w:val="36"/>
              <w:szCs w:val="44"/>
            </w:rPr>
            <w:fldChar w:fldCharType="separate"/>
          </w:r>
          <w:r>
            <w:rPr>
              <w:sz w:val="36"/>
              <w:szCs w:val="44"/>
            </w:rPr>
            <w:t>59</w:t>
          </w:r>
          <w:r>
            <w:rPr>
              <w:sz w:val="36"/>
              <w:szCs w:val="44"/>
            </w:rPr>
            <w:fldChar w:fldCharType="end"/>
          </w:r>
          <w:r>
            <w:rPr>
              <w:rFonts w:hint="eastAsia" w:asciiTheme="minorEastAsia" w:hAnsiTheme="minorEastAsia" w:eastAsiaTheme="minorEastAsia" w:cstheme="minorEastAsia"/>
              <w:bCs/>
              <w:kern w:val="2"/>
              <w:sz w:val="36"/>
              <w:szCs w:val="48"/>
              <w:lang w:val="en-US" w:eastAsia="zh-CN" w:bidi="ar-SA"/>
            </w:rPr>
            <w:fldChar w:fldCharType="end"/>
          </w:r>
        </w:p>
        <w:p w14:paraId="39B5DC3E">
          <w:pPr>
            <w:rPr>
              <w:rFonts w:hint="eastAsia" w:asciiTheme="minorEastAsia" w:hAnsiTheme="minorEastAsia" w:eastAsiaTheme="minorEastAsia" w:cstheme="minorEastAsia"/>
              <w:bCs/>
              <w:kern w:val="2"/>
              <w:sz w:val="21"/>
              <w:szCs w:val="28"/>
              <w:lang w:val="en-US" w:eastAsia="zh-CN" w:bidi="ar-SA"/>
            </w:rPr>
          </w:pPr>
          <w:r>
            <w:rPr>
              <w:rFonts w:hint="eastAsia" w:asciiTheme="minorEastAsia" w:hAnsiTheme="minorEastAsia" w:eastAsiaTheme="minorEastAsia" w:cstheme="minorEastAsia"/>
              <w:bCs/>
              <w:kern w:val="2"/>
              <w:szCs w:val="28"/>
              <w:lang w:val="en-US" w:eastAsia="zh-CN" w:bidi="ar-SA"/>
            </w:rPr>
            <w:fldChar w:fldCharType="end"/>
          </w:r>
        </w:p>
      </w:sdtContent>
    </w:sdt>
    <w:p w14:paraId="21CE26D5">
      <w:pPr>
        <w:rPr>
          <w:rFonts w:hint="eastAsia" w:asciiTheme="minorEastAsia" w:hAnsiTheme="minorEastAsia" w:eastAsiaTheme="minorEastAsia" w:cstheme="minorEastAsia"/>
          <w:bCs/>
          <w:kern w:val="2"/>
          <w:sz w:val="21"/>
          <w:szCs w:val="28"/>
          <w:lang w:val="en-US" w:eastAsia="zh-CN" w:bidi="ar-SA"/>
        </w:rPr>
      </w:pPr>
    </w:p>
    <w:p w14:paraId="6DB285D6">
      <w:pPr>
        <w:rPr>
          <w:rFonts w:hint="eastAsia" w:asciiTheme="minorEastAsia" w:hAnsiTheme="minorEastAsia" w:cstheme="minorEastAsia"/>
          <w:b/>
          <w:bCs/>
          <w:sz w:val="28"/>
          <w:szCs w:val="28"/>
          <w:lang w:eastAsia="zh-CN"/>
        </w:rPr>
      </w:pPr>
    </w:p>
    <w:p w14:paraId="09E4A1F6">
      <w:pPr>
        <w:rPr>
          <w:rFonts w:hint="eastAsia" w:asciiTheme="minorEastAsia" w:hAnsiTheme="minorEastAsia" w:cstheme="minorEastAsia"/>
          <w:b/>
          <w:bCs/>
          <w:sz w:val="28"/>
          <w:szCs w:val="28"/>
          <w:lang w:eastAsia="zh-CN"/>
        </w:rPr>
      </w:pPr>
    </w:p>
    <w:p w14:paraId="0D53B954">
      <w:pPr>
        <w:rPr>
          <w:rFonts w:hint="eastAsia" w:asciiTheme="minorEastAsia" w:hAnsiTheme="minorEastAsia" w:cstheme="minorEastAsia"/>
          <w:b/>
          <w:bCs/>
          <w:sz w:val="28"/>
          <w:szCs w:val="28"/>
          <w:lang w:eastAsia="zh-CN"/>
        </w:rPr>
      </w:pPr>
      <w:bookmarkStart w:id="124" w:name="_GoBack"/>
      <w:bookmarkEnd w:id="124"/>
    </w:p>
    <w:p w14:paraId="430D7F23">
      <w:pPr>
        <w:rPr>
          <w:rFonts w:hint="eastAsia" w:asciiTheme="minorEastAsia" w:hAnsiTheme="minorEastAsia" w:cstheme="minorEastAsia"/>
          <w:b/>
          <w:bCs/>
          <w:sz w:val="28"/>
          <w:szCs w:val="28"/>
          <w:lang w:eastAsia="zh-CN"/>
        </w:rPr>
      </w:pPr>
    </w:p>
    <w:p w14:paraId="39FDD5C8">
      <w:pPr>
        <w:rPr>
          <w:rFonts w:hint="eastAsia" w:asciiTheme="minorEastAsia" w:hAnsiTheme="minorEastAsia" w:cstheme="minorEastAsia"/>
          <w:b/>
          <w:bCs/>
          <w:sz w:val="28"/>
          <w:szCs w:val="28"/>
          <w:lang w:eastAsia="zh-CN"/>
        </w:rPr>
      </w:pPr>
    </w:p>
    <w:p w14:paraId="4AB34194">
      <w:pPr>
        <w:rPr>
          <w:rFonts w:hint="eastAsia" w:asciiTheme="minorEastAsia" w:hAnsiTheme="minorEastAsia" w:cstheme="minorEastAsia"/>
          <w:b/>
          <w:bCs/>
          <w:sz w:val="28"/>
          <w:szCs w:val="28"/>
          <w:lang w:eastAsia="zh-CN"/>
        </w:rPr>
      </w:pPr>
    </w:p>
    <w:p w14:paraId="0B1A1DA1">
      <w:pPr>
        <w:rPr>
          <w:rFonts w:hint="eastAsia" w:asciiTheme="minorEastAsia" w:hAnsiTheme="minorEastAsia" w:cstheme="minorEastAsia"/>
          <w:b/>
          <w:bCs/>
          <w:sz w:val="28"/>
          <w:szCs w:val="28"/>
          <w:lang w:eastAsia="zh-CN"/>
        </w:rPr>
      </w:pPr>
    </w:p>
    <w:p w14:paraId="4A0796DC">
      <w:pPr>
        <w:rPr>
          <w:rFonts w:hint="eastAsia" w:asciiTheme="minorEastAsia" w:hAnsiTheme="minorEastAsia" w:cstheme="minorEastAsia"/>
          <w:b/>
          <w:bCs/>
          <w:sz w:val="28"/>
          <w:szCs w:val="28"/>
          <w:lang w:eastAsia="zh-CN"/>
        </w:rPr>
      </w:pPr>
    </w:p>
    <w:p w14:paraId="2B27EE69">
      <w:pPr>
        <w:rPr>
          <w:rFonts w:hint="eastAsia" w:asciiTheme="minorEastAsia" w:hAnsiTheme="minorEastAsia" w:cstheme="minorEastAsia"/>
          <w:b/>
          <w:bCs/>
          <w:sz w:val="28"/>
          <w:szCs w:val="28"/>
          <w:lang w:eastAsia="zh-CN"/>
        </w:rPr>
      </w:pPr>
    </w:p>
    <w:p w14:paraId="4AD4D8CF">
      <w:pPr>
        <w:widowControl w:val="0"/>
        <w:numPr>
          <w:ilvl w:val="0"/>
          <w:numId w:val="0"/>
        </w:numPr>
        <w:tabs>
          <w:tab w:val="left" w:pos="567"/>
        </w:tabs>
        <w:spacing w:line="360" w:lineRule="auto"/>
        <w:jc w:val="both"/>
        <w:rPr>
          <w:rFonts w:hint="eastAsia" w:ascii="宋体" w:hAnsi="宋体" w:cs="宋体"/>
          <w:szCs w:val="21"/>
          <w:lang w:bidi="ar"/>
        </w:rPr>
      </w:pPr>
    </w:p>
    <w:p w14:paraId="7D3AF6E1">
      <w:pPr>
        <w:widowControl w:val="0"/>
        <w:numPr>
          <w:ilvl w:val="0"/>
          <w:numId w:val="0"/>
        </w:numPr>
        <w:tabs>
          <w:tab w:val="left" w:pos="567"/>
        </w:tabs>
        <w:spacing w:line="360" w:lineRule="auto"/>
        <w:jc w:val="both"/>
        <w:rPr>
          <w:rFonts w:hint="eastAsia" w:ascii="宋体" w:hAnsi="宋体" w:cs="宋体"/>
          <w:szCs w:val="21"/>
          <w:lang w:bidi="ar"/>
        </w:rPr>
      </w:pPr>
    </w:p>
    <w:p w14:paraId="7D7822F5">
      <w:pPr>
        <w:widowControl w:val="0"/>
        <w:numPr>
          <w:ilvl w:val="0"/>
          <w:numId w:val="0"/>
        </w:numPr>
        <w:tabs>
          <w:tab w:val="left" w:pos="567"/>
        </w:tabs>
        <w:spacing w:line="360" w:lineRule="auto"/>
        <w:jc w:val="both"/>
        <w:rPr>
          <w:rFonts w:hint="eastAsia" w:ascii="宋体" w:hAnsi="宋体" w:cs="宋体"/>
          <w:szCs w:val="21"/>
          <w:lang w:bidi="ar"/>
        </w:rPr>
      </w:pPr>
    </w:p>
    <w:p w14:paraId="217EECD4">
      <w:pPr>
        <w:widowControl w:val="0"/>
        <w:numPr>
          <w:ilvl w:val="0"/>
          <w:numId w:val="0"/>
        </w:numPr>
        <w:tabs>
          <w:tab w:val="left" w:pos="567"/>
        </w:tabs>
        <w:spacing w:line="360" w:lineRule="auto"/>
        <w:jc w:val="both"/>
        <w:rPr>
          <w:rFonts w:hint="eastAsia" w:ascii="宋体" w:hAnsi="宋体" w:cs="宋体"/>
          <w:szCs w:val="21"/>
          <w:lang w:bidi="ar"/>
        </w:rPr>
      </w:pPr>
    </w:p>
    <w:p w14:paraId="6446377F">
      <w:pPr>
        <w:widowControl w:val="0"/>
        <w:numPr>
          <w:ilvl w:val="0"/>
          <w:numId w:val="0"/>
        </w:numPr>
        <w:tabs>
          <w:tab w:val="left" w:pos="567"/>
        </w:tabs>
        <w:spacing w:line="360" w:lineRule="auto"/>
        <w:jc w:val="both"/>
        <w:rPr>
          <w:rFonts w:hint="eastAsia" w:ascii="宋体" w:hAnsi="宋体" w:cs="宋体"/>
          <w:szCs w:val="21"/>
          <w:lang w:bidi="ar"/>
        </w:rPr>
      </w:pPr>
    </w:p>
    <w:p w14:paraId="05B40DEC">
      <w:pPr>
        <w:widowControl w:val="0"/>
        <w:numPr>
          <w:ilvl w:val="0"/>
          <w:numId w:val="0"/>
        </w:numPr>
        <w:tabs>
          <w:tab w:val="left" w:pos="567"/>
        </w:tabs>
        <w:spacing w:line="360" w:lineRule="auto"/>
        <w:jc w:val="both"/>
        <w:rPr>
          <w:rFonts w:hint="eastAsia" w:ascii="宋体" w:hAnsi="宋体" w:cs="宋体"/>
          <w:szCs w:val="21"/>
          <w:lang w:bidi="ar"/>
        </w:rPr>
      </w:pPr>
    </w:p>
    <w:p w14:paraId="04E3E066">
      <w:pPr>
        <w:widowControl w:val="0"/>
        <w:numPr>
          <w:ilvl w:val="0"/>
          <w:numId w:val="0"/>
        </w:numPr>
        <w:tabs>
          <w:tab w:val="left" w:pos="567"/>
        </w:tabs>
        <w:spacing w:line="360" w:lineRule="auto"/>
        <w:jc w:val="both"/>
        <w:rPr>
          <w:rFonts w:hint="eastAsia" w:ascii="宋体" w:hAnsi="宋体" w:cs="宋体"/>
          <w:szCs w:val="21"/>
          <w:lang w:bidi="ar"/>
        </w:rPr>
      </w:pPr>
    </w:p>
    <w:p w14:paraId="692C3E51">
      <w:pPr>
        <w:numPr>
          <w:ilvl w:val="0"/>
          <w:numId w:val="2"/>
        </w:numPr>
        <w:jc w:val="center"/>
        <w:outlineLvl w:val="0"/>
        <w:rPr>
          <w:rFonts w:hint="eastAsia" w:asciiTheme="majorEastAsia" w:hAnsiTheme="majorEastAsia" w:eastAsiaTheme="majorEastAsia"/>
          <w:sz w:val="32"/>
          <w:szCs w:val="32"/>
          <w:lang w:val="en-US" w:eastAsia="zh-CN"/>
        </w:rPr>
      </w:pPr>
      <w:bookmarkStart w:id="2" w:name="_Toc11375"/>
      <w:r>
        <w:rPr>
          <w:rFonts w:hint="eastAsia" w:asciiTheme="majorEastAsia" w:hAnsiTheme="majorEastAsia" w:eastAsiaTheme="majorEastAsia"/>
          <w:sz w:val="32"/>
          <w:szCs w:val="32"/>
          <w:lang w:val="en-US" w:eastAsia="zh-CN"/>
        </w:rPr>
        <w:t>谈判公告</w:t>
      </w:r>
      <w:bookmarkEnd w:id="2"/>
    </w:p>
    <w:p w14:paraId="37A5CB8D">
      <w:pPr>
        <w:pStyle w:val="3"/>
        <w:spacing w:before="0" w:after="0" w:line="240" w:lineRule="auto"/>
        <w:jc w:val="both"/>
        <w:outlineLvl w:val="9"/>
      </w:pPr>
    </w:p>
    <w:p w14:paraId="6E7EA3BB">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szCs w:val="28"/>
        </w:rPr>
      </w:pPr>
      <w:bookmarkStart w:id="3" w:name="OLE_LINK3"/>
      <w:bookmarkStart w:id="4" w:name="OLE_LINK1"/>
      <w:r>
        <w:rPr>
          <w:rFonts w:hint="eastAsia" w:ascii="宋体" w:hAnsi="宋体"/>
          <w:szCs w:val="28"/>
        </w:rPr>
        <w:t>项目概况</w:t>
      </w:r>
    </w:p>
    <w:p w14:paraId="6AAB3004">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szCs w:val="28"/>
        </w:rPr>
      </w:pPr>
      <w:r>
        <w:rPr>
          <w:rFonts w:hint="eastAsia" w:ascii="宋体" w:hAnsi="宋体"/>
          <w:szCs w:val="28"/>
          <w:u w:val="single"/>
          <w:lang w:val="en-US" w:eastAsia="zh-CN"/>
        </w:rPr>
        <w:t>口腔耗材B包</w:t>
      </w:r>
      <w:r>
        <w:rPr>
          <w:rFonts w:hint="eastAsia" w:ascii="宋体" w:hAnsi="宋体"/>
          <w:szCs w:val="28"/>
          <w:lang w:eastAsia="zh-CN"/>
        </w:rPr>
        <w:t>谈判</w:t>
      </w:r>
      <w:r>
        <w:rPr>
          <w:rFonts w:hint="eastAsia" w:ascii="宋体" w:hAnsi="宋体"/>
          <w:szCs w:val="28"/>
        </w:rPr>
        <w:t>项目的潜在投标人应在</w:t>
      </w:r>
      <w:r>
        <w:rPr>
          <w:rFonts w:hint="eastAsia" w:ascii="宋体" w:hAnsi="宋体"/>
          <w:szCs w:val="28"/>
          <w:lang w:val="en-US" w:eastAsia="zh-CN"/>
        </w:rPr>
        <w:t>深圳市福田区第二人民医院</w:t>
      </w:r>
      <w:r>
        <w:rPr>
          <w:rFonts w:hint="eastAsia" w:ascii="宋体" w:hAnsi="宋体"/>
          <w:szCs w:val="28"/>
        </w:rPr>
        <w:t>获取</w:t>
      </w:r>
      <w:r>
        <w:rPr>
          <w:rFonts w:hint="eastAsia" w:ascii="宋体" w:hAnsi="宋体"/>
          <w:szCs w:val="28"/>
          <w:lang w:eastAsia="zh-CN"/>
        </w:rPr>
        <w:t>谈判文件</w:t>
      </w:r>
      <w:r>
        <w:rPr>
          <w:rFonts w:hint="eastAsia" w:ascii="宋体" w:hAnsi="宋体"/>
          <w:szCs w:val="28"/>
        </w:rPr>
        <w:t>，并</w:t>
      </w:r>
      <w:r>
        <w:rPr>
          <w:rFonts w:hint="eastAsia" w:ascii="宋体" w:hAnsi="宋体"/>
          <w:szCs w:val="28"/>
          <w:highlight w:val="none"/>
        </w:rPr>
        <w:t>于</w:t>
      </w:r>
      <w:r>
        <w:rPr>
          <w:rFonts w:hint="eastAsia" w:ascii="宋体" w:hAnsi="宋体"/>
          <w:szCs w:val="28"/>
          <w:highlight w:val="none"/>
          <w:u w:val="single"/>
        </w:rPr>
        <w:t>202</w:t>
      </w:r>
      <w:r>
        <w:rPr>
          <w:rFonts w:hint="eastAsia" w:ascii="宋体" w:hAnsi="宋体"/>
          <w:szCs w:val="28"/>
          <w:highlight w:val="none"/>
          <w:u w:val="single"/>
          <w:lang w:val="en-US" w:eastAsia="zh-CN"/>
        </w:rPr>
        <w:t>6</w:t>
      </w:r>
      <w:r>
        <w:rPr>
          <w:rFonts w:hint="eastAsia" w:ascii="宋体" w:hAnsi="宋体"/>
          <w:bCs/>
          <w:szCs w:val="28"/>
          <w:highlight w:val="none"/>
          <w:u w:val="single"/>
        </w:rPr>
        <w:t>年</w:t>
      </w:r>
      <w:r>
        <w:rPr>
          <w:rFonts w:hint="eastAsia" w:ascii="宋体" w:hAnsi="宋体"/>
          <w:bCs/>
          <w:szCs w:val="28"/>
          <w:highlight w:val="none"/>
          <w:u w:val="single"/>
          <w:lang w:val="en-US" w:eastAsia="zh-CN"/>
        </w:rPr>
        <w:t>4</w:t>
      </w:r>
      <w:r>
        <w:rPr>
          <w:rFonts w:hint="eastAsia" w:ascii="宋体" w:hAnsi="宋体"/>
          <w:bCs/>
          <w:szCs w:val="28"/>
          <w:highlight w:val="none"/>
          <w:u w:val="single"/>
        </w:rPr>
        <w:t>月</w:t>
      </w:r>
      <w:r>
        <w:rPr>
          <w:rFonts w:hint="eastAsia" w:ascii="宋体" w:hAnsi="宋体"/>
          <w:bCs/>
          <w:szCs w:val="28"/>
          <w:highlight w:val="none"/>
          <w:u w:val="single"/>
          <w:lang w:val="en-US" w:eastAsia="zh-CN"/>
        </w:rPr>
        <w:t>27</w:t>
      </w:r>
      <w:r>
        <w:rPr>
          <w:rFonts w:hint="eastAsia" w:ascii="宋体" w:hAnsi="宋体"/>
          <w:bCs/>
          <w:szCs w:val="28"/>
          <w:highlight w:val="none"/>
          <w:u w:val="single"/>
        </w:rPr>
        <w:t>日</w:t>
      </w:r>
      <w:r>
        <w:rPr>
          <w:rFonts w:hint="eastAsia" w:ascii="宋体" w:hAnsi="宋体"/>
          <w:bCs/>
          <w:szCs w:val="28"/>
          <w:highlight w:val="none"/>
          <w:u w:val="single"/>
          <w:lang w:val="en-US" w:eastAsia="zh-CN"/>
        </w:rPr>
        <w:t>14</w:t>
      </w:r>
      <w:r>
        <w:rPr>
          <w:rFonts w:hint="eastAsia" w:ascii="宋体" w:hAnsi="宋体"/>
          <w:bCs/>
          <w:szCs w:val="28"/>
          <w:highlight w:val="none"/>
          <w:u w:val="single"/>
        </w:rPr>
        <w:t>点30分</w:t>
      </w:r>
      <w:r>
        <w:rPr>
          <w:rFonts w:hint="eastAsia" w:ascii="宋体" w:hAnsi="宋体"/>
          <w:bCs/>
          <w:szCs w:val="28"/>
          <w:highlight w:val="none"/>
          <w:u w:val="none"/>
        </w:rPr>
        <w:t>（</w:t>
      </w:r>
      <w:r>
        <w:rPr>
          <w:rFonts w:hint="eastAsia" w:ascii="宋体" w:hAnsi="宋体"/>
          <w:bCs/>
          <w:szCs w:val="28"/>
          <w:highlight w:val="none"/>
        </w:rPr>
        <w:t>北</w:t>
      </w:r>
      <w:r>
        <w:rPr>
          <w:rFonts w:hint="eastAsia" w:ascii="宋体" w:hAnsi="宋体"/>
          <w:bCs/>
          <w:szCs w:val="28"/>
        </w:rPr>
        <w:t>京时间）前递交投标</w:t>
      </w:r>
      <w:r>
        <w:rPr>
          <w:rFonts w:ascii="宋体" w:hAnsi="宋体"/>
          <w:bCs/>
          <w:szCs w:val="28"/>
        </w:rPr>
        <w:t>文件</w:t>
      </w:r>
      <w:r>
        <w:rPr>
          <w:rFonts w:hint="eastAsia" w:ascii="宋体" w:hAnsi="宋体"/>
          <w:szCs w:val="28"/>
        </w:rPr>
        <w:t>。</w:t>
      </w:r>
    </w:p>
    <w:p w14:paraId="75F49FC0">
      <w:pPr>
        <w:spacing w:line="360" w:lineRule="auto"/>
        <w:rPr>
          <w:rFonts w:hint="eastAsia" w:ascii="宋体" w:hAnsi="宋体"/>
        </w:rPr>
      </w:pPr>
      <w:bookmarkStart w:id="5" w:name="OLE_LINK2"/>
    </w:p>
    <w:p w14:paraId="445E017D">
      <w:pPr>
        <w:spacing w:line="360" w:lineRule="auto"/>
        <w:ind w:firstLine="420" w:firstLineChars="200"/>
        <w:outlineLvl w:val="9"/>
        <w:rPr>
          <w:rFonts w:ascii="宋体" w:hAnsi="宋体"/>
          <w:b/>
        </w:rPr>
      </w:pPr>
      <w:r>
        <w:rPr>
          <w:rFonts w:hint="eastAsia" w:ascii="宋体" w:hAnsi="宋体"/>
        </w:rPr>
        <w:t>一、项目基本情况</w:t>
      </w:r>
    </w:p>
    <w:p w14:paraId="2C46AC76">
      <w:pPr>
        <w:spacing w:line="360" w:lineRule="auto"/>
        <w:ind w:firstLine="420" w:firstLineChars="200"/>
        <w:rPr>
          <w:rFonts w:hint="default" w:ascii="宋体" w:hAnsi="宋体"/>
          <w:lang w:val="en-US"/>
        </w:rPr>
      </w:pPr>
      <w:r>
        <w:rPr>
          <w:rFonts w:hint="eastAsia" w:ascii="宋体" w:hAnsi="宋体"/>
        </w:rPr>
        <w:t>项目编号：</w:t>
      </w:r>
      <w:r>
        <w:rPr>
          <w:rFonts w:hint="eastAsia" w:ascii="宋体" w:hAnsi="宋体"/>
          <w:szCs w:val="28"/>
          <w:u w:val="none"/>
          <w:lang w:val="en-US" w:eastAsia="zh-CN"/>
        </w:rPr>
        <w:t>FTEY-FYC-010C</w:t>
      </w:r>
    </w:p>
    <w:p w14:paraId="4C536290">
      <w:pPr>
        <w:spacing w:line="360" w:lineRule="auto"/>
        <w:ind w:firstLine="420" w:firstLineChars="200"/>
        <w:rPr>
          <w:rFonts w:ascii="宋体" w:hAnsi="宋体"/>
        </w:rPr>
      </w:pPr>
      <w:r>
        <w:rPr>
          <w:rFonts w:hint="eastAsia" w:ascii="宋体" w:hAnsi="宋体"/>
        </w:rPr>
        <w:t>项目名称：</w:t>
      </w:r>
      <w:r>
        <w:rPr>
          <w:rFonts w:hint="eastAsia" w:ascii="宋体" w:hAnsi="宋体"/>
          <w:szCs w:val="28"/>
          <w:u w:val="none"/>
          <w:lang w:val="en-US" w:eastAsia="zh-CN"/>
        </w:rPr>
        <w:t>口腔耗材B包</w:t>
      </w:r>
    </w:p>
    <w:p w14:paraId="6B8796DB">
      <w:pPr>
        <w:spacing w:line="360" w:lineRule="auto"/>
        <w:ind w:firstLine="420" w:firstLineChars="200"/>
        <w:rPr>
          <w:rFonts w:hint="eastAsia" w:ascii="宋体" w:hAnsi="宋体"/>
          <w:szCs w:val="21"/>
        </w:rPr>
      </w:pPr>
      <w:r>
        <w:rPr>
          <w:rFonts w:hint="eastAsia" w:ascii="宋体" w:hAnsi="宋体"/>
        </w:rPr>
        <w:t>预算金额（支付上限）：</w:t>
      </w:r>
      <w:r>
        <w:rPr>
          <w:rFonts w:hint="eastAsia" w:ascii="宋体" w:hAnsi="宋体"/>
          <w:szCs w:val="28"/>
          <w:u w:val="none"/>
          <w:lang w:val="en-US" w:eastAsia="zh-CN"/>
        </w:rPr>
        <w:t>人民币陆万捌仟叁佰柒拾贰元壹角捌分（¥68372.18元）</w:t>
      </w:r>
    </w:p>
    <w:p w14:paraId="24B35A0B">
      <w:pPr>
        <w:spacing w:line="360" w:lineRule="auto"/>
        <w:ind w:firstLine="420" w:firstLineChars="200"/>
        <w:rPr>
          <w:rFonts w:hint="eastAsia" w:ascii="宋体" w:hAnsi="宋体"/>
          <w:szCs w:val="21"/>
          <w:lang w:val="en-US" w:eastAsia="zh-CN"/>
        </w:rPr>
      </w:pPr>
      <w:r>
        <w:rPr>
          <w:rFonts w:hint="eastAsia" w:ascii="宋体" w:hAnsi="宋体"/>
          <w:szCs w:val="21"/>
          <w:lang w:val="en-US" w:eastAsia="zh-CN"/>
        </w:rPr>
        <w:t>采购方式：单一来源采购</w:t>
      </w:r>
    </w:p>
    <w:p w14:paraId="2FA96857">
      <w:pPr>
        <w:spacing w:line="360" w:lineRule="auto"/>
        <w:ind w:left="420" w:leftChars="200" w:firstLine="0" w:firstLineChars="0"/>
        <w:rPr>
          <w:rFonts w:hint="default" w:ascii="宋体" w:hAnsi="宋体"/>
          <w:szCs w:val="21"/>
          <w:lang w:val="en-US" w:eastAsia="zh-CN"/>
        </w:rPr>
      </w:pPr>
      <w:r>
        <w:rPr>
          <w:rFonts w:hint="default" w:ascii="宋体" w:hAnsi="宋体"/>
          <w:szCs w:val="21"/>
          <w:lang w:val="en-US" w:eastAsia="zh-CN"/>
        </w:rPr>
        <w:t>单一来源采购方式理由</w:t>
      </w:r>
      <w:r>
        <w:rPr>
          <w:rFonts w:hint="eastAsia" w:ascii="宋体" w:hAnsi="宋体"/>
          <w:szCs w:val="21"/>
          <w:lang w:val="en-US" w:eastAsia="zh-CN"/>
        </w:rPr>
        <w:t>：该项目已挂网三次，仅一家供应商实际响应，</w:t>
      </w:r>
      <w:r>
        <w:rPr>
          <w:rFonts w:hint="default" w:ascii="宋体" w:hAnsi="宋体"/>
          <w:szCs w:val="21"/>
          <w:lang w:val="en-US" w:eastAsia="zh-CN"/>
        </w:rPr>
        <w:t>只能从唯一供应商处采购</w:t>
      </w:r>
      <w:r>
        <w:rPr>
          <w:rFonts w:hint="eastAsia" w:ascii="宋体" w:hAnsi="宋体"/>
          <w:szCs w:val="21"/>
          <w:lang w:val="en-US" w:eastAsia="zh-CN"/>
        </w:rPr>
        <w:t>。</w:t>
      </w:r>
    </w:p>
    <w:p w14:paraId="53438E1E">
      <w:pPr>
        <w:spacing w:line="360" w:lineRule="auto"/>
        <w:ind w:firstLine="420" w:firstLineChars="200"/>
        <w:rPr>
          <w:rFonts w:hint="eastAsia" w:ascii="宋体" w:hAnsi="宋体" w:eastAsiaTheme="minorEastAsia"/>
          <w:u w:val="single"/>
          <w:lang w:eastAsia="zh-CN"/>
        </w:rPr>
      </w:pPr>
      <w:r>
        <w:rPr>
          <w:rFonts w:hint="eastAsia" w:ascii="宋体" w:hAnsi="宋体"/>
        </w:rPr>
        <w:t>采购需求：详见</w:t>
      </w:r>
      <w:r>
        <w:rPr>
          <w:rFonts w:hint="eastAsia" w:ascii="宋体" w:hAnsi="宋体"/>
          <w:lang w:eastAsia="zh-CN"/>
        </w:rPr>
        <w:t>谈判文件</w:t>
      </w:r>
    </w:p>
    <w:p w14:paraId="7CF96533">
      <w:pPr>
        <w:spacing w:line="360" w:lineRule="auto"/>
        <w:ind w:firstLine="420" w:firstLineChars="200"/>
        <w:rPr>
          <w:rFonts w:hint="eastAsia" w:ascii="宋体" w:hAnsi="宋体"/>
          <w:lang w:eastAsia="zh-CN"/>
        </w:rPr>
      </w:pPr>
      <w:r>
        <w:rPr>
          <w:rFonts w:hint="eastAsia" w:ascii="宋体" w:hAnsi="宋体"/>
        </w:rPr>
        <w:t>合同履行期限：详见</w:t>
      </w:r>
      <w:r>
        <w:rPr>
          <w:rFonts w:hint="eastAsia" w:ascii="宋体" w:hAnsi="宋体"/>
          <w:lang w:eastAsia="zh-CN"/>
        </w:rPr>
        <w:t>谈判文件</w:t>
      </w:r>
    </w:p>
    <w:p w14:paraId="0EA90B9A">
      <w:pPr>
        <w:spacing w:line="360" w:lineRule="auto"/>
        <w:ind w:firstLine="420" w:firstLineChars="200"/>
        <w:rPr>
          <w:rFonts w:hint="eastAsia" w:ascii="宋体" w:hAnsi="宋体"/>
        </w:rPr>
      </w:pPr>
      <w:r>
        <w:rPr>
          <w:rFonts w:hint="eastAsia" w:ascii="宋体" w:hAnsi="宋体"/>
        </w:rPr>
        <w:t>本项目不接受联合体投标</w:t>
      </w:r>
    </w:p>
    <w:p w14:paraId="119088AC">
      <w:pPr>
        <w:spacing w:line="360" w:lineRule="auto"/>
        <w:ind w:firstLine="420" w:firstLineChars="200"/>
        <w:rPr>
          <w:rFonts w:hint="eastAsia" w:ascii="宋体" w:hAnsi="宋体"/>
          <w:lang w:val="en-US" w:eastAsia="zh-CN"/>
        </w:rPr>
      </w:pPr>
      <w:r>
        <w:rPr>
          <w:rFonts w:hint="eastAsia" w:ascii="宋体" w:hAnsi="宋体"/>
          <w:lang w:val="en-US" w:eastAsia="zh-CN"/>
        </w:rPr>
        <w:t>拟定的唯一供应商名称、地址：</w:t>
      </w:r>
    </w:p>
    <w:p w14:paraId="59D9FF89">
      <w:pPr>
        <w:spacing w:line="360" w:lineRule="auto"/>
        <w:ind w:firstLine="420" w:firstLineChars="200"/>
        <w:rPr>
          <w:rFonts w:hint="eastAsia" w:ascii="宋体" w:hAnsi="宋体"/>
          <w:lang w:val="en-US" w:eastAsia="zh-CN"/>
        </w:rPr>
      </w:pPr>
      <w:r>
        <w:rPr>
          <w:rFonts w:hint="eastAsia" w:ascii="宋体" w:hAnsi="宋体"/>
          <w:lang w:val="en-US" w:eastAsia="zh-CN"/>
        </w:rPr>
        <w:t>供应商名称：深圳市开心医疗器械有限公司</w:t>
      </w:r>
    </w:p>
    <w:p w14:paraId="2264CBE2">
      <w:pPr>
        <w:spacing w:line="360" w:lineRule="auto"/>
        <w:ind w:left="420" w:leftChars="200" w:firstLine="0" w:firstLineChars="0"/>
        <w:rPr>
          <w:rFonts w:hint="eastAsia" w:ascii="宋体" w:hAnsi="宋体"/>
          <w:lang w:val="en-US" w:eastAsia="zh-CN"/>
        </w:rPr>
      </w:pPr>
      <w:r>
        <w:rPr>
          <w:rFonts w:hint="eastAsia" w:ascii="宋体" w:hAnsi="宋体"/>
          <w:lang w:val="en-US" w:eastAsia="zh-CN"/>
        </w:rPr>
        <w:t>供应商地址：深圳市罗湖区东门街道城东社区中兴路239号外贸集团大厦2801-2805、2809-2810、2701-2702</w:t>
      </w:r>
    </w:p>
    <w:p w14:paraId="31587BF2">
      <w:pPr>
        <w:spacing w:line="360" w:lineRule="auto"/>
        <w:ind w:firstLine="420" w:firstLineChars="200"/>
        <w:rPr>
          <w:rFonts w:hint="default" w:ascii="宋体" w:hAnsi="宋体"/>
          <w:lang w:val="en-US" w:eastAsia="zh-CN"/>
        </w:rPr>
      </w:pPr>
    </w:p>
    <w:p w14:paraId="1FCF967D">
      <w:pPr>
        <w:spacing w:line="360" w:lineRule="auto"/>
        <w:ind w:firstLine="420" w:firstLineChars="200"/>
        <w:outlineLvl w:val="9"/>
        <w:rPr>
          <w:rFonts w:ascii="宋体" w:hAnsi="宋体"/>
          <w:b/>
        </w:rPr>
      </w:pPr>
      <w:r>
        <w:rPr>
          <w:rFonts w:hint="eastAsia" w:ascii="宋体" w:hAnsi="宋体"/>
        </w:rPr>
        <w:t>二、申请人的资格要求：</w:t>
      </w:r>
    </w:p>
    <w:p w14:paraId="79CCFECA">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both"/>
        <w:textAlignment w:val="auto"/>
        <w:outlineLvl w:val="9"/>
        <w:rPr>
          <w:rFonts w:hint="eastAsia" w:ascii="宋体" w:hAnsi="宋体" w:eastAsiaTheme="minorEastAsia" w:cstheme="minorBidi"/>
          <w:kern w:val="2"/>
          <w:sz w:val="21"/>
          <w:szCs w:val="24"/>
          <w:lang w:val="en-US" w:eastAsia="zh-CN" w:bidi="ar-SA"/>
        </w:rPr>
      </w:pPr>
      <w:bookmarkStart w:id="6" w:name="_Toc27076"/>
      <w:r>
        <w:rPr>
          <w:rFonts w:hint="eastAsia" w:ascii="宋体" w:hAnsi="宋体" w:eastAsiaTheme="minorEastAsia" w:cstheme="minorBidi"/>
          <w:kern w:val="2"/>
          <w:sz w:val="21"/>
          <w:szCs w:val="24"/>
          <w:lang w:val="en-US" w:eastAsia="zh-CN" w:bidi="ar-SA"/>
        </w:rPr>
        <w:t>1、满足《中华人民共和国政府采购法》第二十二条规定（由供应商在《投标人资格声明函及履约承诺函》中作出声明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谈判文件</w:t>
      </w:r>
      <w:r>
        <w:rPr>
          <w:rFonts w:hint="eastAsia" w:ascii="宋体" w:hAnsi="宋体" w:eastAsiaTheme="minorEastAsia" w:cstheme="minorBidi"/>
          <w:kern w:val="2"/>
          <w:sz w:val="21"/>
          <w:szCs w:val="24"/>
          <w:lang w:val="en-US" w:eastAsia="zh-CN" w:bidi="ar-SA"/>
        </w:rPr>
        <w:t>第</w:t>
      </w:r>
      <w:r>
        <w:rPr>
          <w:rFonts w:hint="eastAsia" w:ascii="宋体" w:hAnsi="宋体" w:cstheme="minorBidi"/>
          <w:kern w:val="2"/>
          <w:sz w:val="21"/>
          <w:szCs w:val="24"/>
          <w:lang w:val="en-US" w:eastAsia="zh-CN" w:bidi="ar-SA"/>
        </w:rPr>
        <w:t>四</w:t>
      </w:r>
      <w:r>
        <w:rPr>
          <w:rFonts w:hint="eastAsia" w:ascii="宋体" w:hAnsi="宋体" w:eastAsiaTheme="minorEastAsia" w:cstheme="minorBidi"/>
          <w:kern w:val="2"/>
          <w:sz w:val="21"/>
          <w:szCs w:val="24"/>
          <w:lang w:val="en-US" w:eastAsia="zh-CN" w:bidi="ar-SA"/>
        </w:rPr>
        <w:t>章 投标文件（编制参考模板）的第十</w:t>
      </w:r>
      <w:r>
        <w:rPr>
          <w:rFonts w:hint="eastAsia" w:ascii="宋体" w:hAnsi="宋体" w:cstheme="minorBidi"/>
          <w:kern w:val="2"/>
          <w:sz w:val="21"/>
          <w:szCs w:val="24"/>
          <w:lang w:val="en-US" w:eastAsia="zh-CN" w:bidi="ar-SA"/>
        </w:rPr>
        <w:t>二</w:t>
      </w:r>
      <w:r>
        <w:rPr>
          <w:rFonts w:hint="eastAsia" w:ascii="宋体" w:hAnsi="宋体" w:eastAsiaTheme="minorEastAsia" w:cstheme="minorBidi"/>
          <w:kern w:val="2"/>
          <w:sz w:val="21"/>
          <w:szCs w:val="24"/>
          <w:lang w:val="en-US" w:eastAsia="zh-CN" w:bidi="ar-SA"/>
        </w:rPr>
        <w:t>和第十</w:t>
      </w:r>
      <w:r>
        <w:rPr>
          <w:rFonts w:hint="eastAsia" w:ascii="宋体" w:hAnsi="宋体" w:cstheme="minorBidi"/>
          <w:kern w:val="2"/>
          <w:sz w:val="21"/>
          <w:szCs w:val="24"/>
          <w:lang w:val="en-US" w:eastAsia="zh-CN" w:bidi="ar-SA"/>
        </w:rPr>
        <w:t>九</w:t>
      </w:r>
      <w:r>
        <w:rPr>
          <w:rFonts w:hint="eastAsia" w:ascii="宋体" w:hAnsi="宋体" w:eastAsiaTheme="minorEastAsia" w:cstheme="minorBidi"/>
          <w:kern w:val="2"/>
          <w:sz w:val="21"/>
          <w:szCs w:val="24"/>
          <w:lang w:val="en-US" w:eastAsia="zh-CN" w:bidi="ar-SA"/>
        </w:rPr>
        <w:t>）；</w:t>
      </w:r>
      <w:bookmarkEnd w:id="6"/>
    </w:p>
    <w:p w14:paraId="4857933A">
      <w:pPr>
        <w:spacing w:line="360" w:lineRule="auto"/>
        <w:ind w:firstLine="420" w:firstLineChars="200"/>
        <w:rPr>
          <w:rFonts w:hint="eastAsia" w:ascii="宋体" w:hAnsi="宋体"/>
          <w:lang w:eastAsia="zh-CN"/>
        </w:rPr>
      </w:pPr>
      <w:r>
        <w:rPr>
          <w:rFonts w:hint="eastAsia" w:ascii="宋体" w:hAnsi="宋体"/>
        </w:rPr>
        <w:t>2、投标人具有独立法人资格或独立承担民事责任能力的其他组织（提供营业执照或事业单位法人证等法人证明复印件加盖投标人公章，原件备查）</w:t>
      </w:r>
      <w:r>
        <w:rPr>
          <w:rFonts w:hint="eastAsia" w:ascii="宋体" w:hAnsi="宋体"/>
          <w:lang w:eastAsia="zh-CN"/>
        </w:rPr>
        <w:t>；</w:t>
      </w:r>
    </w:p>
    <w:p w14:paraId="4D702BE4">
      <w:pPr>
        <w:spacing w:line="360" w:lineRule="auto"/>
        <w:ind w:firstLine="420" w:firstLineChars="200"/>
        <w:rPr>
          <w:rFonts w:hint="eastAsia" w:ascii="宋体" w:hAnsi="宋体"/>
        </w:rPr>
      </w:pPr>
      <w:r>
        <w:rPr>
          <w:rFonts w:hint="eastAsia" w:ascii="宋体" w:hAnsi="宋体"/>
          <w:lang w:val="en-US" w:eastAsia="zh-CN"/>
        </w:rPr>
        <w:t>3、</w:t>
      </w:r>
      <w:r>
        <w:rPr>
          <w:rFonts w:hint="eastAsia" w:ascii="宋体" w:hAnsi="宋体"/>
        </w:rPr>
        <w:t>投标人的医疗器械生产/经营资格：</w:t>
      </w:r>
    </w:p>
    <w:p w14:paraId="0CFEC3E0">
      <w:pPr>
        <w:spacing w:line="360" w:lineRule="auto"/>
        <w:ind w:firstLine="420" w:firstLineChars="200"/>
        <w:rPr>
          <w:rFonts w:hint="eastAsia" w:ascii="宋体" w:hAnsi="宋体"/>
        </w:rPr>
      </w:pPr>
      <w:r>
        <w:rPr>
          <w:rFonts w:hint="eastAsia" w:ascii="宋体" w:hAnsi="宋体"/>
          <w:lang w:val="en-US" w:eastAsia="zh-CN"/>
        </w:rPr>
        <w:t>①</w:t>
      </w:r>
      <w:r>
        <w:rPr>
          <w:rFonts w:hint="eastAsia" w:ascii="宋体" w:hAnsi="宋体"/>
        </w:rPr>
        <w:t>若投标人若为生产企业（指所投医疗器械的注册人或备案人）：所投产品为第一类医疗器械的，提供监督管理部门签发的涵盖所投医疗器械的有效《第一类医疗器械生产备案凭证》或备案证明文件；所投产品为第二、三类医疗器械的，提供监督管理部门签发的涵盖所投医疗器械的有效《医疗器械生产许可证》。（提供相关证明材料复印件加盖投标人公章）</w:t>
      </w:r>
    </w:p>
    <w:p w14:paraId="3BF5B2CB">
      <w:pPr>
        <w:spacing w:line="360" w:lineRule="auto"/>
        <w:ind w:firstLine="420" w:firstLineChars="200"/>
        <w:rPr>
          <w:rFonts w:hint="eastAsia" w:ascii="宋体" w:hAnsi="宋体"/>
        </w:rPr>
      </w:pPr>
      <w:r>
        <w:rPr>
          <w:rFonts w:hint="eastAsia" w:ascii="宋体" w:hAnsi="宋体"/>
          <w:lang w:val="en-US" w:eastAsia="zh-CN"/>
        </w:rPr>
        <w:t>②</w:t>
      </w:r>
      <w:r>
        <w:rPr>
          <w:rFonts w:hint="eastAsia" w:ascii="宋体" w:hAnsi="宋体"/>
        </w:rPr>
        <w:t>若投标人若为经营企业：所投产品为第二类医疗器械的，提供监督管理部门签发的涵盖所投医疗器械的有效《医疗器械经营备案凭证》（属于监督管理部门公布的免于经营备案的医疗器械除外）；所投产品为第三类医疗器械的，提供监督管理部门签发的涵盖所投医疗器械的有效《医疗器械经营许可证》。（提供相关证明材料复印件加盖投标人公章）</w:t>
      </w:r>
    </w:p>
    <w:p w14:paraId="782A4BC2">
      <w:pPr>
        <w:spacing w:line="360" w:lineRule="auto"/>
        <w:ind w:firstLine="420" w:firstLineChars="200"/>
        <w:rPr>
          <w:rFonts w:ascii="宋体" w:hAnsi="宋体"/>
        </w:rPr>
      </w:pPr>
      <w:bookmarkStart w:id="7" w:name="_Toc27695"/>
      <w:r>
        <w:rPr>
          <w:rFonts w:hint="eastAsia" w:ascii="宋体" w:hAnsi="宋体"/>
          <w:lang w:val="en-US" w:eastAsia="zh-CN"/>
        </w:rPr>
        <w:t>4</w:t>
      </w:r>
      <w:r>
        <w:rPr>
          <w:rFonts w:hint="eastAsia" w:ascii="宋体" w:hAnsi="宋体"/>
        </w:rPr>
        <w:t>、本项目</w:t>
      </w:r>
      <w:r>
        <w:rPr>
          <w:rFonts w:hint="eastAsia" w:ascii="宋体" w:hAnsi="宋体"/>
          <w:lang w:val="en-US" w:eastAsia="zh-CN"/>
        </w:rPr>
        <w:t>部分耗材</w:t>
      </w:r>
      <w:r>
        <w:rPr>
          <w:rFonts w:hint="eastAsia" w:ascii="宋体" w:hAnsi="宋体"/>
          <w:b/>
        </w:rPr>
        <w:t>接受</w:t>
      </w:r>
      <w:r>
        <w:rPr>
          <w:rFonts w:hint="eastAsia" w:ascii="宋体" w:hAnsi="宋体"/>
        </w:rPr>
        <w:t>供应商选用进口产品参与投标（进口产品是指通过中国海关报关验收进入中国境内且产自境外的产品）；</w:t>
      </w:r>
    </w:p>
    <w:p w14:paraId="4799F45E">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both"/>
        <w:textAlignment w:val="auto"/>
        <w:outlineLvl w:val="9"/>
        <w:rPr>
          <w:rFonts w:ascii="宋体" w:hAnsi="宋体"/>
        </w:rPr>
      </w:pPr>
      <w:r>
        <w:rPr>
          <w:rFonts w:hint="eastAsia" w:ascii="宋体" w:hAnsi="宋体"/>
          <w:lang w:val="en-US" w:eastAsia="zh-CN"/>
        </w:rPr>
        <w:t>5</w:t>
      </w:r>
      <w:r>
        <w:rPr>
          <w:rFonts w:hint="eastAsia" w:ascii="宋体" w:hAnsi="宋体"/>
        </w:rPr>
        <w:t>、参与本项目投标前三年内，在经营活动中没有重大违法记录</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谈判文件</w:t>
      </w:r>
      <w:r>
        <w:rPr>
          <w:rFonts w:hint="eastAsia" w:ascii="宋体" w:hAnsi="宋体" w:eastAsiaTheme="minorEastAsia" w:cstheme="minorBidi"/>
          <w:kern w:val="2"/>
          <w:sz w:val="21"/>
          <w:szCs w:val="24"/>
          <w:lang w:val="en-US" w:eastAsia="zh-CN" w:bidi="ar-SA"/>
        </w:rPr>
        <w:t>第</w:t>
      </w:r>
      <w:r>
        <w:rPr>
          <w:rFonts w:hint="eastAsia" w:ascii="宋体" w:hAnsi="宋体" w:cstheme="minorBidi"/>
          <w:kern w:val="2"/>
          <w:sz w:val="21"/>
          <w:szCs w:val="24"/>
          <w:lang w:val="en-US" w:eastAsia="zh-CN" w:bidi="ar-SA"/>
        </w:rPr>
        <w:t>四</w:t>
      </w:r>
      <w:r>
        <w:rPr>
          <w:rFonts w:hint="eastAsia" w:ascii="宋体" w:hAnsi="宋体" w:eastAsiaTheme="minorEastAsia" w:cstheme="minorBidi"/>
          <w:kern w:val="2"/>
          <w:sz w:val="21"/>
          <w:szCs w:val="24"/>
          <w:lang w:val="en-US" w:eastAsia="zh-CN" w:bidi="ar-SA"/>
        </w:rPr>
        <w:t>章 投标文件（编制参考模板）的第十</w:t>
      </w:r>
      <w:r>
        <w:rPr>
          <w:rFonts w:hint="eastAsia" w:ascii="宋体" w:hAnsi="宋体" w:cstheme="minorBidi"/>
          <w:kern w:val="2"/>
          <w:sz w:val="21"/>
          <w:szCs w:val="24"/>
          <w:lang w:val="en-US" w:eastAsia="zh-CN" w:bidi="ar-SA"/>
        </w:rPr>
        <w:t>二</w:t>
      </w:r>
      <w:r>
        <w:rPr>
          <w:rFonts w:hint="eastAsia" w:ascii="宋体" w:hAnsi="宋体" w:eastAsiaTheme="minorEastAsia" w:cstheme="minorBidi"/>
          <w:kern w:val="2"/>
          <w:sz w:val="21"/>
          <w:szCs w:val="24"/>
          <w:lang w:val="en-US" w:eastAsia="zh-CN" w:bidi="ar-SA"/>
        </w:rPr>
        <w:t>和第十</w:t>
      </w:r>
      <w:r>
        <w:rPr>
          <w:rFonts w:hint="eastAsia" w:ascii="宋体" w:hAnsi="宋体" w:cstheme="minorBidi"/>
          <w:kern w:val="2"/>
          <w:sz w:val="21"/>
          <w:szCs w:val="24"/>
          <w:lang w:val="en-US" w:eastAsia="zh-CN" w:bidi="ar-SA"/>
        </w:rPr>
        <w:t>九</w:t>
      </w:r>
      <w:r>
        <w:rPr>
          <w:rFonts w:hint="eastAsia" w:ascii="宋体" w:hAnsi="宋体" w:eastAsiaTheme="minorEastAsia" w:cstheme="minorBidi"/>
          <w:kern w:val="2"/>
          <w:sz w:val="21"/>
          <w:szCs w:val="24"/>
          <w:lang w:val="en-US" w:eastAsia="zh-CN" w:bidi="ar-SA"/>
        </w:rPr>
        <w:t>）；</w:t>
      </w:r>
      <w:bookmarkEnd w:id="7"/>
    </w:p>
    <w:p w14:paraId="7875783B">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lang w:val="en-US" w:eastAsia="zh-CN"/>
        </w:rPr>
        <w:t>6</w:t>
      </w:r>
      <w:r>
        <w:rPr>
          <w:rFonts w:hint="eastAsia" w:ascii="宋体" w:hAnsi="宋体"/>
        </w:rPr>
        <w:t>、参与本项目政府采购活动时不存在被有关部门禁止参与政府采购活动且在有效期内的情况</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谈判文件</w:t>
      </w:r>
      <w:r>
        <w:rPr>
          <w:rFonts w:hint="eastAsia" w:ascii="宋体" w:hAnsi="宋体" w:eastAsiaTheme="minorEastAsia" w:cstheme="minorBidi"/>
          <w:kern w:val="2"/>
          <w:sz w:val="21"/>
          <w:szCs w:val="24"/>
          <w:lang w:val="en-US" w:eastAsia="zh-CN" w:bidi="ar-SA"/>
        </w:rPr>
        <w:t>第</w:t>
      </w:r>
      <w:r>
        <w:rPr>
          <w:rFonts w:hint="eastAsia" w:ascii="宋体" w:hAnsi="宋体" w:cstheme="minorBidi"/>
          <w:kern w:val="2"/>
          <w:sz w:val="21"/>
          <w:szCs w:val="24"/>
          <w:lang w:val="en-US" w:eastAsia="zh-CN" w:bidi="ar-SA"/>
        </w:rPr>
        <w:t>四</w:t>
      </w:r>
      <w:r>
        <w:rPr>
          <w:rFonts w:hint="eastAsia" w:ascii="宋体" w:hAnsi="宋体" w:eastAsiaTheme="minorEastAsia" w:cstheme="minorBidi"/>
          <w:kern w:val="2"/>
          <w:sz w:val="21"/>
          <w:szCs w:val="24"/>
          <w:lang w:val="en-US" w:eastAsia="zh-CN" w:bidi="ar-SA"/>
        </w:rPr>
        <w:t>章 投标文件（编制参考模板）的第十</w:t>
      </w:r>
      <w:r>
        <w:rPr>
          <w:rFonts w:hint="eastAsia" w:ascii="宋体" w:hAnsi="宋体" w:cstheme="minorBidi"/>
          <w:kern w:val="2"/>
          <w:sz w:val="21"/>
          <w:szCs w:val="24"/>
          <w:lang w:val="en-US" w:eastAsia="zh-CN" w:bidi="ar-SA"/>
        </w:rPr>
        <w:t>二</w:t>
      </w:r>
      <w:r>
        <w:rPr>
          <w:rFonts w:hint="eastAsia" w:ascii="宋体" w:hAnsi="宋体" w:eastAsiaTheme="minorEastAsia" w:cstheme="minorBidi"/>
          <w:kern w:val="2"/>
          <w:sz w:val="21"/>
          <w:szCs w:val="24"/>
          <w:lang w:val="en-US" w:eastAsia="zh-CN" w:bidi="ar-SA"/>
        </w:rPr>
        <w:t>和第十</w:t>
      </w:r>
      <w:r>
        <w:rPr>
          <w:rFonts w:hint="eastAsia" w:ascii="宋体" w:hAnsi="宋体" w:cstheme="minorBidi"/>
          <w:kern w:val="2"/>
          <w:sz w:val="21"/>
          <w:szCs w:val="24"/>
          <w:lang w:val="en-US" w:eastAsia="zh-CN" w:bidi="ar-SA"/>
        </w:rPr>
        <w:t>九</w:t>
      </w:r>
      <w:r>
        <w:rPr>
          <w:rFonts w:hint="eastAsia" w:ascii="宋体" w:hAnsi="宋体" w:eastAsiaTheme="minorEastAsia" w:cstheme="minorBidi"/>
          <w:kern w:val="2"/>
          <w:sz w:val="21"/>
          <w:szCs w:val="24"/>
          <w:lang w:val="en-US" w:eastAsia="zh-CN" w:bidi="ar-SA"/>
        </w:rPr>
        <w:t>）；</w:t>
      </w:r>
    </w:p>
    <w:p w14:paraId="5396B01A">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lang w:val="en-US" w:eastAsia="zh-CN"/>
        </w:rPr>
        <w:t>7</w:t>
      </w:r>
      <w:r>
        <w:rPr>
          <w:rFonts w:hint="eastAsia" w:ascii="宋体" w:hAnsi="宋体"/>
        </w:rPr>
        <w:t>、供应商未被列入失信被执行人、重大税收违法案件当事人名单、政府采购严重违法失信行为记录名单，不存在《深圳市财政局政府采购供应商信用信息管理办法》（深财规〔2023〕3 号）列明的严重违法失信行为</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谈判文件</w:t>
      </w:r>
      <w:r>
        <w:rPr>
          <w:rFonts w:hint="eastAsia" w:ascii="宋体" w:hAnsi="宋体" w:eastAsiaTheme="minorEastAsia" w:cstheme="minorBidi"/>
          <w:kern w:val="2"/>
          <w:sz w:val="21"/>
          <w:szCs w:val="24"/>
          <w:lang w:val="en-US" w:eastAsia="zh-CN" w:bidi="ar-SA"/>
        </w:rPr>
        <w:t>第</w:t>
      </w:r>
      <w:r>
        <w:rPr>
          <w:rFonts w:hint="eastAsia" w:ascii="宋体" w:hAnsi="宋体" w:cstheme="minorBidi"/>
          <w:kern w:val="2"/>
          <w:sz w:val="21"/>
          <w:szCs w:val="24"/>
          <w:lang w:val="en-US" w:eastAsia="zh-CN" w:bidi="ar-SA"/>
        </w:rPr>
        <w:t>四</w:t>
      </w:r>
      <w:r>
        <w:rPr>
          <w:rFonts w:hint="eastAsia" w:ascii="宋体" w:hAnsi="宋体" w:eastAsiaTheme="minorEastAsia" w:cstheme="minorBidi"/>
          <w:kern w:val="2"/>
          <w:sz w:val="21"/>
          <w:szCs w:val="24"/>
          <w:lang w:val="en-US" w:eastAsia="zh-CN" w:bidi="ar-SA"/>
        </w:rPr>
        <w:t>章 投标文件（编制参考模板）的第十</w:t>
      </w:r>
      <w:r>
        <w:rPr>
          <w:rFonts w:hint="eastAsia" w:ascii="宋体" w:hAnsi="宋体" w:cstheme="minorBidi"/>
          <w:kern w:val="2"/>
          <w:sz w:val="21"/>
          <w:szCs w:val="24"/>
          <w:lang w:val="en-US" w:eastAsia="zh-CN" w:bidi="ar-SA"/>
        </w:rPr>
        <w:t>二</w:t>
      </w:r>
      <w:r>
        <w:rPr>
          <w:rFonts w:hint="eastAsia" w:ascii="宋体" w:hAnsi="宋体" w:eastAsiaTheme="minorEastAsia" w:cstheme="minorBidi"/>
          <w:kern w:val="2"/>
          <w:sz w:val="21"/>
          <w:szCs w:val="24"/>
          <w:lang w:val="en-US" w:eastAsia="zh-CN" w:bidi="ar-SA"/>
        </w:rPr>
        <w:t>和第十</w:t>
      </w:r>
      <w:r>
        <w:rPr>
          <w:rFonts w:hint="eastAsia" w:ascii="宋体" w:hAnsi="宋体" w:cstheme="minorBidi"/>
          <w:kern w:val="2"/>
          <w:sz w:val="21"/>
          <w:szCs w:val="24"/>
          <w:lang w:val="en-US" w:eastAsia="zh-CN" w:bidi="ar-SA"/>
        </w:rPr>
        <w:t>九</w:t>
      </w:r>
      <w:r>
        <w:rPr>
          <w:rFonts w:hint="eastAsia" w:ascii="宋体" w:hAnsi="宋体" w:eastAsiaTheme="minorEastAsia" w:cstheme="minorBidi"/>
          <w:kern w:val="2"/>
          <w:sz w:val="21"/>
          <w:szCs w:val="24"/>
          <w:lang w:val="en-US" w:eastAsia="zh-CN" w:bidi="ar-SA"/>
        </w:rPr>
        <w:t>）；</w:t>
      </w:r>
    </w:p>
    <w:p w14:paraId="763DD6D8">
      <w:pPr>
        <w:spacing w:line="360" w:lineRule="auto"/>
        <w:ind w:firstLine="420" w:firstLineChars="200"/>
        <w:rPr>
          <w:rFonts w:ascii="宋体" w:hAnsi="宋体"/>
        </w:rPr>
      </w:pPr>
      <w:r>
        <w:rPr>
          <w:rFonts w:hint="eastAsia" w:ascii="宋体" w:hAnsi="宋体"/>
          <w:lang w:val="en-US" w:eastAsia="zh-CN"/>
        </w:rPr>
        <w:t>8</w:t>
      </w:r>
      <w:r>
        <w:rPr>
          <w:rFonts w:hint="eastAsia" w:ascii="宋体" w:hAnsi="宋体"/>
        </w:rPr>
        <w:t>、本项目不接受联合体投标，不允许分包、转包。</w:t>
      </w:r>
    </w:p>
    <w:p w14:paraId="47C6FE71">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lang w:val="en-US" w:eastAsia="zh-CN"/>
        </w:rPr>
        <w:t>9</w:t>
      </w:r>
      <w:r>
        <w:rPr>
          <w:rFonts w:hint="eastAsia" w:ascii="宋体" w:hAnsi="宋体"/>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谈判文件</w:t>
      </w:r>
      <w:r>
        <w:rPr>
          <w:rFonts w:hint="eastAsia" w:ascii="宋体" w:hAnsi="宋体" w:eastAsiaTheme="minorEastAsia" w:cstheme="minorBidi"/>
          <w:kern w:val="2"/>
          <w:sz w:val="21"/>
          <w:szCs w:val="24"/>
          <w:lang w:val="en-US" w:eastAsia="zh-CN" w:bidi="ar-SA"/>
        </w:rPr>
        <w:t>第</w:t>
      </w:r>
      <w:r>
        <w:rPr>
          <w:rFonts w:hint="eastAsia" w:ascii="宋体" w:hAnsi="宋体" w:cstheme="minorBidi"/>
          <w:kern w:val="2"/>
          <w:sz w:val="21"/>
          <w:szCs w:val="24"/>
          <w:lang w:val="en-US" w:eastAsia="zh-CN" w:bidi="ar-SA"/>
        </w:rPr>
        <w:t>四</w:t>
      </w:r>
      <w:r>
        <w:rPr>
          <w:rFonts w:hint="eastAsia" w:ascii="宋体" w:hAnsi="宋体" w:eastAsiaTheme="minorEastAsia" w:cstheme="minorBidi"/>
          <w:kern w:val="2"/>
          <w:sz w:val="21"/>
          <w:szCs w:val="24"/>
          <w:lang w:val="en-US" w:eastAsia="zh-CN" w:bidi="ar-SA"/>
        </w:rPr>
        <w:t>章 投标文件（编制参考模板）的第十</w:t>
      </w:r>
      <w:r>
        <w:rPr>
          <w:rFonts w:hint="eastAsia" w:ascii="宋体" w:hAnsi="宋体" w:cstheme="minorBidi"/>
          <w:kern w:val="2"/>
          <w:sz w:val="21"/>
          <w:szCs w:val="24"/>
          <w:lang w:val="en-US" w:eastAsia="zh-CN" w:bidi="ar-SA"/>
        </w:rPr>
        <w:t>二</w:t>
      </w:r>
      <w:r>
        <w:rPr>
          <w:rFonts w:hint="eastAsia" w:ascii="宋体" w:hAnsi="宋体" w:eastAsiaTheme="minorEastAsia" w:cstheme="minorBidi"/>
          <w:kern w:val="2"/>
          <w:sz w:val="21"/>
          <w:szCs w:val="24"/>
          <w:lang w:val="en-US" w:eastAsia="zh-CN" w:bidi="ar-SA"/>
        </w:rPr>
        <w:t>和第十</w:t>
      </w:r>
      <w:r>
        <w:rPr>
          <w:rFonts w:hint="eastAsia" w:ascii="宋体" w:hAnsi="宋体" w:cstheme="minorBidi"/>
          <w:kern w:val="2"/>
          <w:sz w:val="21"/>
          <w:szCs w:val="24"/>
          <w:lang w:val="en-US" w:eastAsia="zh-CN" w:bidi="ar-SA"/>
        </w:rPr>
        <w:t>九</w:t>
      </w:r>
      <w:r>
        <w:rPr>
          <w:rFonts w:hint="eastAsia" w:ascii="宋体" w:hAnsi="宋体" w:eastAsiaTheme="minorEastAsia" w:cstheme="minorBidi"/>
          <w:kern w:val="2"/>
          <w:sz w:val="21"/>
          <w:szCs w:val="24"/>
          <w:lang w:val="en-US" w:eastAsia="zh-CN" w:bidi="ar-SA"/>
        </w:rPr>
        <w:t>）；</w:t>
      </w:r>
    </w:p>
    <w:p w14:paraId="5E1264F4">
      <w:pPr>
        <w:spacing w:line="360" w:lineRule="auto"/>
        <w:ind w:firstLine="420" w:firstLineChars="200"/>
        <w:rPr>
          <w:rFonts w:ascii="宋体" w:hAnsi="宋体"/>
        </w:rPr>
      </w:pPr>
      <w:r>
        <w:rPr>
          <w:rFonts w:hint="eastAsia" w:ascii="宋体" w:hAnsi="宋体"/>
          <w:lang w:val="en-US" w:eastAsia="zh-CN"/>
        </w:rPr>
        <w:t>10</w:t>
      </w:r>
      <w:r>
        <w:rPr>
          <w:rFonts w:hint="eastAsia" w:ascii="宋体" w:hAnsi="宋体"/>
        </w:rPr>
        <w:t>、本项目是（否）专门面向中小企业采购：否。</w:t>
      </w:r>
    </w:p>
    <w:p w14:paraId="066F3206">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rPr>
        <w:t>1</w:t>
      </w:r>
      <w:r>
        <w:rPr>
          <w:rFonts w:hint="eastAsia" w:ascii="宋体" w:hAnsi="宋体"/>
          <w:lang w:val="en-US" w:eastAsia="zh-CN"/>
        </w:rPr>
        <w:t>1</w:t>
      </w:r>
      <w:r>
        <w:rPr>
          <w:rFonts w:hint="eastAsia" w:ascii="宋体" w:hAnsi="宋体"/>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谈判文件</w:t>
      </w:r>
      <w:r>
        <w:rPr>
          <w:rFonts w:hint="eastAsia" w:ascii="宋体" w:hAnsi="宋体" w:eastAsiaTheme="minorEastAsia" w:cstheme="minorBidi"/>
          <w:kern w:val="2"/>
          <w:sz w:val="21"/>
          <w:szCs w:val="24"/>
          <w:lang w:val="en-US" w:eastAsia="zh-CN" w:bidi="ar-SA"/>
        </w:rPr>
        <w:t>第</w:t>
      </w:r>
      <w:r>
        <w:rPr>
          <w:rFonts w:hint="eastAsia" w:ascii="宋体" w:hAnsi="宋体" w:cstheme="minorBidi"/>
          <w:kern w:val="2"/>
          <w:sz w:val="21"/>
          <w:szCs w:val="24"/>
          <w:lang w:val="en-US" w:eastAsia="zh-CN" w:bidi="ar-SA"/>
        </w:rPr>
        <w:t>四</w:t>
      </w:r>
      <w:r>
        <w:rPr>
          <w:rFonts w:hint="eastAsia" w:ascii="宋体" w:hAnsi="宋体" w:eastAsiaTheme="minorEastAsia" w:cstheme="minorBidi"/>
          <w:kern w:val="2"/>
          <w:sz w:val="21"/>
          <w:szCs w:val="24"/>
          <w:lang w:val="en-US" w:eastAsia="zh-CN" w:bidi="ar-SA"/>
        </w:rPr>
        <w:t>章 投标文件（编制参考模板）的第十</w:t>
      </w:r>
      <w:r>
        <w:rPr>
          <w:rFonts w:hint="eastAsia" w:ascii="宋体" w:hAnsi="宋体" w:cstheme="minorBidi"/>
          <w:kern w:val="2"/>
          <w:sz w:val="21"/>
          <w:szCs w:val="24"/>
          <w:lang w:val="en-US" w:eastAsia="zh-CN" w:bidi="ar-SA"/>
        </w:rPr>
        <w:t>二</w:t>
      </w:r>
      <w:r>
        <w:rPr>
          <w:rFonts w:hint="eastAsia" w:ascii="宋体" w:hAnsi="宋体" w:eastAsiaTheme="minorEastAsia" w:cstheme="minorBidi"/>
          <w:kern w:val="2"/>
          <w:sz w:val="21"/>
          <w:szCs w:val="24"/>
          <w:lang w:val="en-US" w:eastAsia="zh-CN" w:bidi="ar-SA"/>
        </w:rPr>
        <w:t>和第十</w:t>
      </w:r>
      <w:r>
        <w:rPr>
          <w:rFonts w:hint="eastAsia" w:ascii="宋体" w:hAnsi="宋体" w:cstheme="minorBidi"/>
          <w:kern w:val="2"/>
          <w:sz w:val="21"/>
          <w:szCs w:val="24"/>
          <w:lang w:val="en-US" w:eastAsia="zh-CN" w:bidi="ar-SA"/>
        </w:rPr>
        <w:t>九</w:t>
      </w:r>
      <w:r>
        <w:rPr>
          <w:rFonts w:hint="eastAsia" w:ascii="宋体" w:hAnsi="宋体" w:eastAsiaTheme="minorEastAsia" w:cstheme="minorBidi"/>
          <w:kern w:val="2"/>
          <w:sz w:val="21"/>
          <w:szCs w:val="24"/>
          <w:lang w:val="en-US" w:eastAsia="zh-CN" w:bidi="ar-SA"/>
        </w:rPr>
        <w:t>）；</w:t>
      </w:r>
    </w:p>
    <w:p w14:paraId="02B7BA36">
      <w:pPr>
        <w:spacing w:line="360" w:lineRule="auto"/>
        <w:ind w:firstLine="420" w:firstLineChars="200"/>
        <w:rPr>
          <w:rFonts w:ascii="宋体" w:hAnsi="宋体"/>
        </w:rPr>
      </w:pPr>
      <w:r>
        <w:rPr>
          <w:rFonts w:hint="eastAsia" w:ascii="宋体" w:hAnsi="宋体"/>
        </w:rPr>
        <w:t>注：（1）“信用中国”（www.creditchina.gov.cn）、“中国政府采购网”（www.ccgp.gov.cn）、“深圳市政府采购监管网”（http://zfcg.sz.gov.cn）以及市、区财政部门认定的其他渠道为供应商信用信息的查询渠道，相关信息以</w:t>
      </w:r>
      <w:r>
        <w:rPr>
          <w:rFonts w:hint="eastAsia" w:ascii="宋体" w:hAnsi="宋体"/>
          <w:lang w:val="en-US" w:eastAsia="zh-CN"/>
        </w:rPr>
        <w:t>采购人</w:t>
      </w:r>
      <w:r>
        <w:rPr>
          <w:rFonts w:hint="eastAsia" w:ascii="宋体" w:hAnsi="宋体"/>
        </w:rPr>
        <w:t>开标当日的查询结果为准。</w:t>
      </w:r>
    </w:p>
    <w:p w14:paraId="54EF219F">
      <w:pPr>
        <w:numPr>
          <w:ilvl w:val="0"/>
          <w:numId w:val="3"/>
        </w:numPr>
        <w:spacing w:line="360" w:lineRule="auto"/>
        <w:ind w:firstLine="420" w:firstLineChars="200"/>
        <w:rPr>
          <w:rFonts w:hint="eastAsia" w:ascii="宋体" w:hAnsi="宋体"/>
        </w:rPr>
      </w:pPr>
      <w:r>
        <w:rPr>
          <w:rFonts w:hint="eastAsia" w:ascii="宋体" w:hAnsi="宋体"/>
        </w:rPr>
        <w:t>供应商之间单位负责人是否为同一人或者是否存在直接控股、管理关系，以国家企业信用信息公示系统（https://www.gsxt.gov.cn/index.html）、机关赋码和事业单位登记管理网（http://www.gjsy.gov.cn/sydwfrxxcx/）、全国社会组织信用信息公示平台（https://xxgs.chinanpo.mca.gov.cn/gsxt/newList）等网站的查询结果为准。</w:t>
      </w:r>
    </w:p>
    <w:p w14:paraId="0D24330A">
      <w:pPr>
        <w:spacing w:line="360" w:lineRule="auto"/>
        <w:ind w:firstLine="420" w:firstLineChars="200"/>
        <w:rPr>
          <w:rFonts w:hint="eastAsia" w:ascii="宋体" w:hAnsi="宋体"/>
          <w:lang w:val="en-US" w:eastAsia="zh-CN"/>
        </w:rPr>
      </w:pPr>
    </w:p>
    <w:p w14:paraId="77EE1078">
      <w:pPr>
        <w:numPr>
          <w:ilvl w:val="0"/>
          <w:numId w:val="4"/>
        </w:numPr>
        <w:spacing w:line="360" w:lineRule="auto"/>
        <w:ind w:firstLine="420" w:firstLineChars="200"/>
        <w:outlineLvl w:val="9"/>
        <w:rPr>
          <w:rFonts w:hint="eastAsia" w:ascii="宋体" w:hAnsi="宋体" w:eastAsiaTheme="minorEastAsia" w:cstheme="minorBidi"/>
          <w:bCs/>
          <w:kern w:val="2"/>
          <w:sz w:val="21"/>
          <w:szCs w:val="24"/>
          <w:lang w:val="en-US" w:eastAsia="zh-CN" w:bidi="ar-SA"/>
        </w:rPr>
      </w:pPr>
      <w:r>
        <w:rPr>
          <w:rFonts w:hint="eastAsia" w:ascii="宋体" w:hAnsi="宋体"/>
          <w:lang w:val="en-US" w:eastAsia="zh-CN"/>
        </w:rPr>
        <w:t>相关招投标时间及地点信息</w:t>
      </w:r>
    </w:p>
    <w:p w14:paraId="71B33D27">
      <w:pPr>
        <w:numPr>
          <w:ilvl w:val="0"/>
          <w:numId w:val="0"/>
        </w:numPr>
        <w:spacing w:line="360" w:lineRule="auto"/>
        <w:ind w:firstLine="420" w:firstLineChars="200"/>
        <w:outlineLvl w:val="9"/>
        <w:rPr>
          <w:rFonts w:hint="eastAsia" w:ascii="宋体" w:hAnsi="宋体" w:eastAsiaTheme="minorEastAsia" w:cstheme="minorBidi"/>
          <w:bCs/>
          <w:kern w:val="2"/>
          <w:sz w:val="21"/>
          <w:szCs w:val="24"/>
          <w:highlight w:val="none"/>
          <w:lang w:val="en-US" w:eastAsia="zh-CN" w:bidi="ar-SA"/>
        </w:rPr>
      </w:pPr>
      <w:r>
        <w:rPr>
          <w:rFonts w:hint="eastAsia" w:ascii="宋体" w:hAnsi="宋体" w:eastAsiaTheme="minorEastAsia" w:cstheme="minorBidi"/>
          <w:bCs/>
          <w:kern w:val="2"/>
          <w:sz w:val="21"/>
          <w:szCs w:val="24"/>
          <w:highlight w:val="none"/>
          <w:lang w:val="en-US" w:eastAsia="zh-CN" w:bidi="ar-SA"/>
        </w:rPr>
        <w:t>1、</w:t>
      </w:r>
      <w:r>
        <w:rPr>
          <w:rFonts w:hint="eastAsia" w:ascii="宋体" w:hAnsi="宋体" w:eastAsia="宋体" w:cs="宋体"/>
          <w:i w:val="0"/>
          <w:iCs w:val="0"/>
          <w:caps w:val="0"/>
          <w:strike w:val="0"/>
          <w:dstrike w:val="0"/>
          <w:color w:val="000000" w:themeColor="text1"/>
          <w:spacing w:val="0"/>
          <w:kern w:val="0"/>
          <w:sz w:val="21"/>
          <w:szCs w:val="21"/>
          <w:highlight w:val="none"/>
          <w:shd w:val="clear" w:fill="FFFFFF"/>
          <w:lang w:val="en-US" w:eastAsia="zh-CN" w:bidi="ar"/>
          <w14:textFill>
            <w14:solidFill>
              <w14:schemeClr w14:val="tx1"/>
            </w14:solidFill>
          </w14:textFill>
        </w:rPr>
        <w:t>报名时间：2026年4月21日8时00分至2026年4月23日17时00分止</w:t>
      </w:r>
    </w:p>
    <w:p w14:paraId="17D4E8FF">
      <w:pPr>
        <w:spacing w:line="360" w:lineRule="auto"/>
        <w:ind w:firstLine="420" w:firstLineChars="200"/>
        <w:rPr>
          <w:rFonts w:hint="eastAsia" w:ascii="宋体" w:hAnsi="宋体" w:eastAsiaTheme="minorEastAsia"/>
          <w:bCs/>
          <w:highlight w:val="none"/>
          <w:lang w:eastAsia="zh-CN"/>
        </w:rPr>
      </w:pPr>
      <w:r>
        <w:rPr>
          <w:rFonts w:hint="eastAsia" w:ascii="宋体" w:hAnsi="宋体"/>
          <w:bCs/>
          <w:highlight w:val="none"/>
          <w:lang w:val="en-US" w:eastAsia="zh-CN"/>
        </w:rPr>
        <w:t>2</w:t>
      </w:r>
      <w:r>
        <w:rPr>
          <w:rFonts w:hint="eastAsia" w:ascii="宋体" w:hAnsi="宋体"/>
          <w:bCs/>
          <w:highlight w:val="none"/>
        </w:rPr>
        <w:t>、投标文件递交时间：</w:t>
      </w:r>
      <w:r>
        <w:rPr>
          <w:rFonts w:hint="eastAsia" w:ascii="宋体" w:hAnsi="宋体"/>
          <w:highlight w:val="none"/>
        </w:rPr>
        <w:t>202</w:t>
      </w:r>
      <w:r>
        <w:rPr>
          <w:rFonts w:hint="eastAsia" w:ascii="宋体" w:hAnsi="宋体"/>
          <w:highlight w:val="none"/>
          <w:lang w:val="en-US" w:eastAsia="zh-CN"/>
        </w:rPr>
        <w:t>6</w:t>
      </w:r>
      <w:r>
        <w:rPr>
          <w:rFonts w:hint="eastAsia" w:ascii="宋体" w:hAnsi="宋体"/>
          <w:highlight w:val="none"/>
        </w:rPr>
        <w:t>年</w:t>
      </w:r>
      <w:r>
        <w:rPr>
          <w:rFonts w:hint="eastAsia" w:ascii="宋体" w:hAnsi="宋体"/>
          <w:highlight w:val="none"/>
          <w:lang w:val="en-US" w:eastAsia="zh-CN"/>
        </w:rPr>
        <w:t>4</w:t>
      </w:r>
      <w:r>
        <w:rPr>
          <w:rFonts w:hint="eastAsia" w:ascii="宋体" w:hAnsi="宋体"/>
          <w:highlight w:val="none"/>
        </w:rPr>
        <w:t>月</w:t>
      </w:r>
      <w:r>
        <w:rPr>
          <w:rFonts w:hint="eastAsia" w:ascii="宋体" w:hAnsi="宋体"/>
          <w:highlight w:val="none"/>
          <w:lang w:val="en-US" w:eastAsia="zh-CN"/>
        </w:rPr>
        <w:t>27</w:t>
      </w:r>
      <w:r>
        <w:rPr>
          <w:rFonts w:hint="eastAsia" w:ascii="宋体" w:hAnsi="宋体"/>
          <w:highlight w:val="none"/>
        </w:rPr>
        <w:t>日</w:t>
      </w:r>
      <w:r>
        <w:rPr>
          <w:rFonts w:hint="eastAsia" w:ascii="宋体" w:hAnsi="宋体"/>
          <w:bCs/>
          <w:highlight w:val="none"/>
          <w:lang w:val="en-US" w:eastAsia="zh-CN"/>
        </w:rPr>
        <w:t>14</w:t>
      </w:r>
      <w:r>
        <w:rPr>
          <w:rFonts w:hint="eastAsia" w:ascii="宋体" w:hAnsi="宋体"/>
          <w:bCs/>
          <w:highlight w:val="none"/>
        </w:rPr>
        <w:t>:00至</w:t>
      </w:r>
      <w:r>
        <w:rPr>
          <w:rFonts w:hint="eastAsia" w:ascii="宋体" w:hAnsi="宋体"/>
          <w:bCs/>
          <w:highlight w:val="none"/>
          <w:lang w:val="en-US" w:eastAsia="zh-CN"/>
        </w:rPr>
        <w:t>14</w:t>
      </w:r>
      <w:r>
        <w:rPr>
          <w:rFonts w:hint="eastAsia" w:ascii="宋体" w:hAnsi="宋体"/>
          <w:bCs/>
          <w:highlight w:val="none"/>
        </w:rPr>
        <w:t>:30（北京时间）</w:t>
      </w:r>
    </w:p>
    <w:p w14:paraId="78BAA079">
      <w:pPr>
        <w:spacing w:line="360" w:lineRule="auto"/>
        <w:ind w:firstLine="420" w:firstLineChars="200"/>
        <w:rPr>
          <w:rFonts w:hint="default" w:ascii="宋体" w:hAnsi="宋体"/>
          <w:bCs/>
          <w:highlight w:val="none"/>
          <w:lang w:val="en-US"/>
        </w:rPr>
      </w:pPr>
      <w:r>
        <w:rPr>
          <w:rFonts w:hint="eastAsia" w:ascii="宋体" w:hAnsi="宋体"/>
          <w:bCs/>
          <w:highlight w:val="none"/>
          <w:lang w:val="en-US" w:eastAsia="zh-CN"/>
        </w:rPr>
        <w:t>3</w:t>
      </w:r>
      <w:r>
        <w:rPr>
          <w:rFonts w:hint="eastAsia" w:ascii="宋体" w:hAnsi="宋体"/>
          <w:bCs/>
          <w:highlight w:val="none"/>
        </w:rPr>
        <w:t>、投标文件递交地点：</w:t>
      </w:r>
      <w:r>
        <w:rPr>
          <w:rFonts w:hint="eastAsia" w:ascii="宋体"/>
          <w:bCs/>
          <w:color w:val="auto"/>
          <w:szCs w:val="20"/>
          <w:highlight w:val="none"/>
          <w:lang w:val="en-US" w:eastAsia="zh-CN"/>
        </w:rPr>
        <w:t>深圳市福田区梅林街道中康路27号综合楼A栋501室</w:t>
      </w:r>
    </w:p>
    <w:p w14:paraId="482C806E">
      <w:pPr>
        <w:spacing w:line="360" w:lineRule="auto"/>
        <w:ind w:firstLine="420" w:firstLineChars="200"/>
        <w:rPr>
          <w:rFonts w:hint="eastAsia" w:ascii="宋体" w:hAnsi="宋体" w:eastAsiaTheme="minorEastAsia"/>
          <w:bCs/>
          <w:highlight w:val="none"/>
          <w:lang w:eastAsia="zh-CN"/>
        </w:rPr>
      </w:pPr>
      <w:r>
        <w:rPr>
          <w:rFonts w:hint="eastAsia" w:ascii="宋体" w:hAnsi="宋体"/>
          <w:bCs/>
          <w:highlight w:val="none"/>
          <w:lang w:val="en-US" w:eastAsia="zh-CN"/>
        </w:rPr>
        <w:t>4</w:t>
      </w:r>
      <w:r>
        <w:rPr>
          <w:rFonts w:hint="eastAsia" w:ascii="宋体" w:hAnsi="宋体"/>
          <w:bCs/>
          <w:highlight w:val="none"/>
        </w:rPr>
        <w:t>、递交投标文件截止时间：</w:t>
      </w:r>
      <w:r>
        <w:rPr>
          <w:rFonts w:hint="eastAsia" w:ascii="宋体" w:hAnsi="宋体"/>
          <w:highlight w:val="none"/>
        </w:rPr>
        <w:t>202</w:t>
      </w:r>
      <w:r>
        <w:rPr>
          <w:rFonts w:hint="eastAsia" w:ascii="宋体" w:hAnsi="宋体"/>
          <w:highlight w:val="none"/>
          <w:lang w:val="en-US" w:eastAsia="zh-CN"/>
        </w:rPr>
        <w:t>6</w:t>
      </w:r>
      <w:r>
        <w:rPr>
          <w:rFonts w:hint="eastAsia" w:ascii="宋体" w:hAnsi="宋体"/>
          <w:highlight w:val="none"/>
        </w:rPr>
        <w:t>年</w:t>
      </w:r>
      <w:r>
        <w:rPr>
          <w:rFonts w:hint="eastAsia" w:ascii="宋体" w:hAnsi="宋体"/>
          <w:highlight w:val="none"/>
          <w:lang w:val="en-US" w:eastAsia="zh-CN"/>
        </w:rPr>
        <w:t>4</w:t>
      </w:r>
      <w:r>
        <w:rPr>
          <w:rFonts w:hint="eastAsia" w:ascii="宋体" w:hAnsi="宋体"/>
          <w:highlight w:val="none"/>
        </w:rPr>
        <w:t>月</w:t>
      </w:r>
      <w:r>
        <w:rPr>
          <w:rFonts w:hint="eastAsia" w:ascii="宋体" w:hAnsi="宋体"/>
          <w:highlight w:val="none"/>
          <w:lang w:val="en-US" w:eastAsia="zh-CN"/>
        </w:rPr>
        <w:t>27</w:t>
      </w:r>
      <w:r>
        <w:rPr>
          <w:rFonts w:hint="eastAsia" w:ascii="宋体" w:hAnsi="宋体"/>
          <w:highlight w:val="none"/>
        </w:rPr>
        <w:t>日</w:t>
      </w:r>
      <w:r>
        <w:rPr>
          <w:rFonts w:hint="eastAsia" w:ascii="宋体" w:hAnsi="宋体"/>
          <w:highlight w:val="none"/>
          <w:lang w:val="en-US" w:eastAsia="zh-CN"/>
        </w:rPr>
        <w:t>14</w:t>
      </w:r>
      <w:r>
        <w:rPr>
          <w:rFonts w:hint="eastAsia" w:ascii="宋体" w:hAnsi="宋体"/>
          <w:bCs/>
          <w:highlight w:val="none"/>
        </w:rPr>
        <w:t>:30（北京时间）</w:t>
      </w:r>
      <w:r>
        <w:rPr>
          <w:rFonts w:hint="eastAsia" w:ascii="宋体" w:hAnsi="宋体"/>
          <w:bCs/>
          <w:highlight w:val="none"/>
          <w:lang w:eastAsia="zh-CN"/>
        </w:rPr>
        <w:t>，</w:t>
      </w:r>
      <w:r>
        <w:rPr>
          <w:rFonts w:hint="eastAsia" w:ascii="宋体" w:hAnsi="宋体"/>
          <w:bCs/>
          <w:highlight w:val="none"/>
        </w:rPr>
        <w:t>所有投标文件应于投标截止时间之前递交，迟交的投标文件将拒绝接收</w:t>
      </w:r>
    </w:p>
    <w:p w14:paraId="6367366C">
      <w:pPr>
        <w:spacing w:line="360" w:lineRule="auto"/>
        <w:ind w:firstLine="420" w:firstLineChars="200"/>
        <w:rPr>
          <w:rFonts w:ascii="宋体" w:hAnsi="宋体"/>
          <w:bCs/>
          <w:highlight w:val="none"/>
        </w:rPr>
      </w:pPr>
      <w:r>
        <w:rPr>
          <w:rFonts w:hint="eastAsia" w:ascii="宋体" w:hAnsi="宋体"/>
          <w:bCs/>
          <w:highlight w:val="none"/>
          <w:lang w:val="en-US" w:eastAsia="zh-CN"/>
        </w:rPr>
        <w:t>5</w:t>
      </w:r>
      <w:r>
        <w:rPr>
          <w:rFonts w:hint="eastAsia" w:ascii="宋体" w:hAnsi="宋体"/>
          <w:bCs/>
          <w:highlight w:val="none"/>
        </w:rPr>
        <w:t>、开标时间：</w:t>
      </w:r>
      <w:r>
        <w:rPr>
          <w:rFonts w:hint="eastAsia" w:ascii="宋体" w:hAnsi="宋体"/>
          <w:highlight w:val="none"/>
        </w:rPr>
        <w:t>202</w:t>
      </w:r>
      <w:r>
        <w:rPr>
          <w:rFonts w:hint="eastAsia" w:ascii="宋体" w:hAnsi="宋体"/>
          <w:highlight w:val="none"/>
          <w:lang w:val="en-US" w:eastAsia="zh-CN"/>
        </w:rPr>
        <w:t>6</w:t>
      </w:r>
      <w:r>
        <w:rPr>
          <w:rFonts w:hint="eastAsia" w:ascii="宋体" w:hAnsi="宋体"/>
          <w:highlight w:val="none"/>
        </w:rPr>
        <w:t>年</w:t>
      </w:r>
      <w:r>
        <w:rPr>
          <w:rFonts w:hint="eastAsia" w:ascii="宋体" w:hAnsi="宋体"/>
          <w:highlight w:val="none"/>
          <w:lang w:val="en-US" w:eastAsia="zh-CN"/>
        </w:rPr>
        <w:t>4</w:t>
      </w:r>
      <w:r>
        <w:rPr>
          <w:rFonts w:hint="eastAsia" w:ascii="宋体" w:hAnsi="宋体"/>
          <w:highlight w:val="none"/>
        </w:rPr>
        <w:t>月</w:t>
      </w:r>
      <w:r>
        <w:rPr>
          <w:rFonts w:hint="eastAsia" w:ascii="宋体" w:hAnsi="宋体"/>
          <w:highlight w:val="none"/>
          <w:lang w:val="en-US" w:eastAsia="zh-CN"/>
        </w:rPr>
        <w:t>27</w:t>
      </w:r>
      <w:r>
        <w:rPr>
          <w:rFonts w:hint="eastAsia" w:ascii="宋体" w:hAnsi="宋体"/>
          <w:highlight w:val="none"/>
        </w:rPr>
        <w:t>日</w:t>
      </w:r>
      <w:r>
        <w:rPr>
          <w:rFonts w:hint="eastAsia" w:ascii="宋体" w:hAnsi="宋体"/>
          <w:highlight w:val="none"/>
          <w:lang w:val="en-US" w:eastAsia="zh-CN"/>
        </w:rPr>
        <w:t>14</w:t>
      </w:r>
      <w:r>
        <w:rPr>
          <w:rFonts w:hint="eastAsia" w:ascii="宋体" w:hAnsi="宋体"/>
          <w:bCs/>
          <w:highlight w:val="none"/>
        </w:rPr>
        <w:t>:30（北京时间）</w:t>
      </w:r>
    </w:p>
    <w:p w14:paraId="5F335419">
      <w:pPr>
        <w:spacing w:line="360" w:lineRule="auto"/>
        <w:ind w:firstLine="420" w:firstLineChars="200"/>
        <w:rPr>
          <w:rFonts w:ascii="宋体" w:hAnsi="宋体"/>
          <w:bCs/>
        </w:rPr>
      </w:pPr>
      <w:r>
        <w:rPr>
          <w:rFonts w:hint="eastAsia" w:ascii="宋体" w:hAnsi="宋体"/>
          <w:bCs/>
          <w:lang w:val="en-US" w:eastAsia="zh-CN"/>
        </w:rPr>
        <w:t>6</w:t>
      </w:r>
      <w:r>
        <w:rPr>
          <w:rFonts w:hint="eastAsia" w:ascii="宋体" w:hAnsi="宋体"/>
          <w:bCs/>
        </w:rPr>
        <w:t>、开标地点：</w:t>
      </w:r>
      <w:r>
        <w:rPr>
          <w:rFonts w:hint="eastAsia" w:ascii="宋体"/>
          <w:bCs/>
          <w:color w:val="auto"/>
          <w:szCs w:val="20"/>
          <w:highlight w:val="none"/>
          <w:lang w:val="en-US" w:eastAsia="zh-CN"/>
        </w:rPr>
        <w:t>深圳市福田区梅林街道中康路27号综合楼A栋501室</w:t>
      </w:r>
    </w:p>
    <w:p w14:paraId="0FBAB5B0">
      <w:pPr>
        <w:spacing w:line="360" w:lineRule="auto"/>
        <w:ind w:firstLine="420" w:firstLineChars="200"/>
        <w:rPr>
          <w:rFonts w:hint="eastAsia" w:ascii="宋体" w:hAnsi="宋体"/>
          <w:lang w:val="en-US" w:eastAsia="zh-CN"/>
        </w:rPr>
      </w:pPr>
    </w:p>
    <w:p w14:paraId="3A925972">
      <w:pPr>
        <w:spacing w:line="360" w:lineRule="auto"/>
        <w:ind w:firstLine="420" w:firstLineChars="200"/>
        <w:outlineLvl w:val="9"/>
        <w:rPr>
          <w:rFonts w:ascii="宋体" w:hAnsi="宋体"/>
          <w:b/>
        </w:rPr>
      </w:pPr>
      <w:r>
        <w:rPr>
          <w:rFonts w:hint="eastAsia" w:ascii="宋体" w:hAnsi="宋体"/>
          <w:lang w:val="en-US" w:eastAsia="zh-CN"/>
        </w:rPr>
        <w:t>四</w:t>
      </w:r>
      <w:r>
        <w:rPr>
          <w:rFonts w:hint="eastAsia" w:ascii="宋体" w:hAnsi="宋体"/>
        </w:rPr>
        <w:t>、公告期限</w:t>
      </w:r>
    </w:p>
    <w:p w14:paraId="790F53A0">
      <w:pPr>
        <w:spacing w:line="360" w:lineRule="auto"/>
        <w:ind w:firstLine="420" w:firstLineChars="200"/>
        <w:rPr>
          <w:rFonts w:hint="eastAsia" w:ascii="宋体" w:hAnsi="宋体"/>
          <w:kern w:val="0"/>
        </w:rPr>
      </w:pPr>
      <w:r>
        <w:rPr>
          <w:rFonts w:hint="eastAsia" w:ascii="宋体" w:hAnsi="宋体"/>
          <w:kern w:val="0"/>
        </w:rPr>
        <w:t>自本公告发布之日起5日。</w:t>
      </w:r>
    </w:p>
    <w:p w14:paraId="783EA265">
      <w:pPr>
        <w:pStyle w:val="32"/>
        <w:rPr>
          <w:rFonts w:hint="eastAsia"/>
          <w:lang w:val="en-US" w:eastAsia="zh-CN"/>
        </w:rPr>
      </w:pPr>
    </w:p>
    <w:p w14:paraId="0972B18F">
      <w:pPr>
        <w:numPr>
          <w:ilvl w:val="0"/>
          <w:numId w:val="5"/>
        </w:numPr>
        <w:spacing w:line="360" w:lineRule="auto"/>
        <w:ind w:firstLine="420" w:firstLineChars="200"/>
        <w:outlineLvl w:val="9"/>
        <w:rPr>
          <w:rFonts w:hint="default" w:ascii="宋体" w:hAnsi="宋体"/>
          <w:lang w:val="en-US" w:eastAsia="zh-CN"/>
        </w:rPr>
      </w:pPr>
      <w:r>
        <w:rPr>
          <w:rFonts w:hint="eastAsia" w:ascii="宋体" w:hAnsi="宋体"/>
          <w:lang w:val="en-US" w:eastAsia="zh-CN"/>
        </w:rPr>
        <w:t>报名事宜</w:t>
      </w:r>
    </w:p>
    <w:p w14:paraId="5920D85F">
      <w:pPr>
        <w:numPr>
          <w:ilvl w:val="0"/>
          <w:numId w:val="0"/>
        </w:numPr>
        <w:spacing w:line="360" w:lineRule="auto"/>
        <w:ind w:firstLine="420" w:firstLineChars="200"/>
        <w:rPr>
          <w:rFonts w:hint="eastAsia" w:ascii="宋体" w:hAnsi="宋体"/>
          <w:lang w:val="en-US" w:eastAsia="zh-CN"/>
        </w:rPr>
      </w:pPr>
      <w:r>
        <w:rPr>
          <w:rFonts w:hint="eastAsia" w:ascii="宋体" w:hAnsi="宋体"/>
          <w:lang w:val="en-US" w:eastAsia="zh-CN"/>
        </w:rPr>
        <w:t>有意参与投标的供应商需将附件一.报名文件填写完毕并加盖公章后，发送至邮箱zbcgb@ft2yy.cn进行报名。</w:t>
      </w:r>
    </w:p>
    <w:p w14:paraId="6212F695">
      <w:pPr>
        <w:pStyle w:val="32"/>
        <w:rPr>
          <w:rFonts w:hint="default"/>
          <w:lang w:val="en-US" w:eastAsia="zh-CN"/>
        </w:rPr>
      </w:pPr>
    </w:p>
    <w:p w14:paraId="4F2DF4E0">
      <w:pPr>
        <w:numPr>
          <w:ilvl w:val="0"/>
          <w:numId w:val="5"/>
        </w:numPr>
        <w:spacing w:line="360" w:lineRule="auto"/>
        <w:ind w:firstLine="420" w:firstLineChars="200"/>
        <w:outlineLvl w:val="9"/>
        <w:rPr>
          <w:rFonts w:hint="eastAsia" w:ascii="宋体" w:hAnsi="宋体"/>
        </w:rPr>
      </w:pPr>
      <w:r>
        <w:rPr>
          <w:rFonts w:hint="eastAsia" w:ascii="宋体" w:hAnsi="宋体"/>
        </w:rPr>
        <w:t>其他补充事宜</w:t>
      </w:r>
    </w:p>
    <w:p w14:paraId="49A5F52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lang w:val="en-US" w:eastAsia="zh-CN"/>
        </w:rPr>
      </w:pPr>
      <w:r>
        <w:rPr>
          <w:rFonts w:hint="eastAsia" w:ascii="宋体" w:hAnsi="宋体"/>
          <w:lang w:val="en-US" w:eastAsia="zh-CN"/>
        </w:rPr>
        <w:t>1、报名的供应商若因任何原因无法应标，请在开标时间前1个日历日书面告知。若未告知，视为能够如期应标。如果出现未书面告知又没有如期应标的情况，我院将视情况，将违规公司列入不诚信名单。</w:t>
      </w:r>
    </w:p>
    <w:p w14:paraId="14DB6B97">
      <w:pPr>
        <w:numPr>
          <w:ilvl w:val="0"/>
          <w:numId w:val="0"/>
        </w:numPr>
        <w:spacing w:line="360" w:lineRule="auto"/>
        <w:ind w:firstLine="420" w:firstLineChars="200"/>
        <w:rPr>
          <w:rFonts w:hint="eastAsia" w:ascii="宋体" w:hAnsi="宋体"/>
          <w:lang w:val="en-US" w:eastAsia="zh-CN"/>
        </w:rPr>
      </w:pPr>
      <w:r>
        <w:rPr>
          <w:rFonts w:hint="eastAsia" w:ascii="宋体" w:hAnsi="宋体"/>
          <w:lang w:val="en-US" w:eastAsia="zh-CN"/>
        </w:rPr>
        <w:t>2、投标人有义务在谈判活动期间浏览深圳市福田区第二人民医院网站（https://www.ft2yy.cn/）。相关公告在上述媒体上公布之日即视为有效送达，不再另行通知。</w:t>
      </w:r>
    </w:p>
    <w:p w14:paraId="5499B73F">
      <w:pPr>
        <w:numPr>
          <w:ilvl w:val="0"/>
          <w:numId w:val="0"/>
        </w:numPr>
        <w:spacing w:line="360" w:lineRule="auto"/>
        <w:ind w:firstLine="420" w:firstLineChars="200"/>
        <w:rPr>
          <w:rFonts w:hint="eastAsia" w:ascii="宋体" w:hAnsi="宋体"/>
          <w:lang w:val="en-US" w:eastAsia="zh-CN"/>
        </w:rPr>
      </w:pPr>
    </w:p>
    <w:p w14:paraId="3019BE1D">
      <w:pPr>
        <w:numPr>
          <w:ilvl w:val="0"/>
          <w:numId w:val="0"/>
        </w:numPr>
        <w:spacing w:line="360" w:lineRule="auto"/>
        <w:ind w:firstLine="420" w:firstLineChars="200"/>
        <w:rPr>
          <w:rFonts w:hint="eastAsia" w:ascii="宋体" w:hAnsi="宋体"/>
          <w:lang w:val="en-US" w:eastAsia="zh-CN"/>
        </w:rPr>
      </w:pPr>
      <w:r>
        <w:rPr>
          <w:rFonts w:hint="eastAsia" w:ascii="宋体" w:hAnsi="宋体"/>
          <w:lang w:val="en-US" w:eastAsia="zh-CN"/>
        </w:rPr>
        <w:t>七、对本次谈判提出询问，请按以下方式联系。</w:t>
      </w:r>
    </w:p>
    <w:p w14:paraId="4F679AC3">
      <w:pPr>
        <w:numPr>
          <w:ilvl w:val="0"/>
          <w:numId w:val="0"/>
        </w:numPr>
        <w:spacing w:line="360" w:lineRule="auto"/>
        <w:ind w:firstLine="420" w:firstLineChars="200"/>
        <w:rPr>
          <w:rFonts w:hint="default" w:ascii="宋体" w:hAnsi="宋体"/>
          <w:lang w:val="en-US" w:eastAsia="zh-CN"/>
        </w:rPr>
      </w:pPr>
      <w:r>
        <w:rPr>
          <w:rFonts w:hint="eastAsia" w:ascii="宋体" w:hAnsi="宋体"/>
          <w:lang w:val="en-US" w:eastAsia="zh-CN"/>
        </w:rPr>
        <w:t>医学装备部联系人：曾老师 0755-83116181</w:t>
      </w:r>
    </w:p>
    <w:p w14:paraId="4B886C7A">
      <w:pPr>
        <w:numPr>
          <w:ilvl w:val="0"/>
          <w:numId w:val="0"/>
        </w:numPr>
        <w:spacing w:line="360" w:lineRule="auto"/>
        <w:ind w:firstLine="420" w:firstLineChars="200"/>
        <w:rPr>
          <w:rFonts w:ascii="宋体" w:hAnsi="宋体"/>
          <w:szCs w:val="21"/>
          <w:u w:val="single"/>
        </w:rPr>
      </w:pPr>
      <w:r>
        <w:rPr>
          <w:rFonts w:hint="eastAsia" w:ascii="宋体" w:hAnsi="宋体"/>
          <w:lang w:val="en-US" w:eastAsia="zh-CN"/>
        </w:rPr>
        <w:t>招标采购办联系人：吴老师 0755-83279817</w:t>
      </w:r>
    </w:p>
    <w:p w14:paraId="12B3098F">
      <w:pPr>
        <w:spacing w:line="400" w:lineRule="exact"/>
        <w:ind w:firstLine="420" w:firstLineChars="200"/>
        <w:jc w:val="right"/>
        <w:rPr>
          <w:rFonts w:hint="eastAsia" w:ascii="宋体" w:hAnsi="宋体"/>
          <w:szCs w:val="21"/>
          <w:highlight w:val="none"/>
          <w:lang w:val="en-US" w:eastAsia="zh-CN"/>
        </w:rPr>
      </w:pPr>
      <w:r>
        <w:rPr>
          <w:rFonts w:hint="eastAsia" w:ascii="宋体" w:hAnsi="宋体"/>
          <w:szCs w:val="21"/>
          <w:lang w:val="en-US" w:eastAsia="zh-CN"/>
        </w:rPr>
        <w:t>深圳市</w:t>
      </w:r>
      <w:r>
        <w:rPr>
          <w:rFonts w:hint="eastAsia" w:ascii="宋体" w:hAnsi="宋体"/>
          <w:szCs w:val="21"/>
          <w:highlight w:val="none"/>
          <w:lang w:val="en-US" w:eastAsia="zh-CN"/>
        </w:rPr>
        <w:t>福田区第二人民医院</w:t>
      </w:r>
    </w:p>
    <w:p w14:paraId="1B01E0D4">
      <w:pPr>
        <w:spacing w:line="400" w:lineRule="exact"/>
        <w:ind w:firstLine="420" w:firstLineChars="200"/>
        <w:jc w:val="right"/>
        <w:rPr>
          <w:rFonts w:hint="eastAsia" w:ascii="宋体" w:hAnsi="宋体"/>
          <w:highlight w:val="none"/>
        </w:rPr>
      </w:pPr>
      <w:r>
        <w:rPr>
          <w:rFonts w:hint="eastAsia" w:ascii="宋体" w:hAnsi="宋体"/>
          <w:highlight w:val="none"/>
        </w:rPr>
        <w:t>202</w:t>
      </w:r>
      <w:r>
        <w:rPr>
          <w:rFonts w:hint="eastAsia" w:ascii="宋体" w:hAnsi="宋体"/>
          <w:highlight w:val="none"/>
          <w:lang w:val="en-US" w:eastAsia="zh-CN"/>
        </w:rPr>
        <w:t>6</w:t>
      </w:r>
      <w:r>
        <w:rPr>
          <w:rFonts w:hint="eastAsia" w:ascii="宋体" w:hAnsi="宋体"/>
          <w:highlight w:val="none"/>
        </w:rPr>
        <w:t>年</w:t>
      </w:r>
      <w:r>
        <w:rPr>
          <w:rFonts w:hint="eastAsia" w:ascii="宋体" w:hAnsi="宋体"/>
          <w:highlight w:val="none"/>
          <w:lang w:val="en-US" w:eastAsia="zh-CN"/>
        </w:rPr>
        <w:t>4</w:t>
      </w:r>
      <w:r>
        <w:rPr>
          <w:rFonts w:hint="eastAsia" w:ascii="宋体" w:hAnsi="宋体"/>
          <w:highlight w:val="none"/>
        </w:rPr>
        <w:t>月</w:t>
      </w:r>
      <w:r>
        <w:rPr>
          <w:rFonts w:hint="eastAsia" w:ascii="宋体" w:hAnsi="宋体"/>
          <w:highlight w:val="none"/>
          <w:lang w:val="en-US" w:eastAsia="zh-CN"/>
        </w:rPr>
        <w:t>20</w:t>
      </w:r>
      <w:r>
        <w:rPr>
          <w:rFonts w:hint="eastAsia" w:ascii="宋体" w:hAnsi="宋体"/>
          <w:highlight w:val="none"/>
        </w:rPr>
        <w:t>日</w:t>
      </w:r>
      <w:bookmarkEnd w:id="3"/>
      <w:bookmarkEnd w:id="4"/>
      <w:bookmarkEnd w:id="5"/>
    </w:p>
    <w:p w14:paraId="7F2E5E0A">
      <w:pPr>
        <w:spacing w:line="400" w:lineRule="exact"/>
        <w:ind w:firstLine="420" w:firstLineChars="200"/>
        <w:jc w:val="right"/>
        <w:rPr>
          <w:rFonts w:hint="eastAsia" w:ascii="宋体" w:hAnsi="宋体"/>
          <w:highlight w:val="none"/>
        </w:rPr>
      </w:pPr>
    </w:p>
    <w:p w14:paraId="28FE820D">
      <w:pPr>
        <w:spacing w:line="400" w:lineRule="exact"/>
        <w:ind w:firstLine="420" w:firstLineChars="200"/>
        <w:jc w:val="right"/>
        <w:rPr>
          <w:rFonts w:hint="eastAsia" w:ascii="宋体" w:hAnsi="宋体"/>
        </w:rPr>
      </w:pPr>
    </w:p>
    <w:p w14:paraId="7B98A2E6">
      <w:pPr>
        <w:spacing w:line="400" w:lineRule="exact"/>
        <w:ind w:firstLine="420" w:firstLineChars="200"/>
        <w:jc w:val="right"/>
        <w:rPr>
          <w:rFonts w:hint="eastAsia" w:ascii="宋体" w:hAnsi="宋体"/>
        </w:rPr>
      </w:pPr>
    </w:p>
    <w:p w14:paraId="01C5B294">
      <w:pPr>
        <w:spacing w:line="400" w:lineRule="exact"/>
        <w:ind w:firstLine="420" w:firstLineChars="200"/>
        <w:jc w:val="right"/>
        <w:rPr>
          <w:rFonts w:hint="eastAsia" w:ascii="宋体" w:hAnsi="宋体"/>
        </w:rPr>
      </w:pPr>
    </w:p>
    <w:p w14:paraId="6F0686E3">
      <w:pPr>
        <w:spacing w:line="400" w:lineRule="exact"/>
        <w:ind w:firstLine="420" w:firstLineChars="200"/>
        <w:jc w:val="right"/>
        <w:rPr>
          <w:rFonts w:hint="eastAsia" w:ascii="宋体" w:hAnsi="宋体"/>
        </w:rPr>
      </w:pPr>
    </w:p>
    <w:p w14:paraId="671D8BDE">
      <w:pPr>
        <w:spacing w:line="400" w:lineRule="exact"/>
        <w:ind w:firstLine="420" w:firstLineChars="200"/>
        <w:jc w:val="right"/>
        <w:rPr>
          <w:rFonts w:hint="eastAsia" w:ascii="宋体" w:hAnsi="宋体"/>
        </w:rPr>
      </w:pPr>
    </w:p>
    <w:p w14:paraId="710B0E0D">
      <w:pPr>
        <w:spacing w:line="400" w:lineRule="exact"/>
        <w:ind w:firstLine="420" w:firstLineChars="200"/>
        <w:jc w:val="right"/>
        <w:rPr>
          <w:rFonts w:hint="eastAsia" w:ascii="宋体" w:hAnsi="宋体"/>
        </w:rPr>
      </w:pPr>
    </w:p>
    <w:p w14:paraId="693233D9">
      <w:pPr>
        <w:spacing w:line="400" w:lineRule="exact"/>
        <w:ind w:firstLine="420" w:firstLineChars="200"/>
        <w:jc w:val="right"/>
        <w:rPr>
          <w:rFonts w:hint="eastAsia" w:ascii="宋体" w:hAnsi="宋体"/>
        </w:rPr>
      </w:pPr>
    </w:p>
    <w:p w14:paraId="367A490C">
      <w:pPr>
        <w:spacing w:line="400" w:lineRule="exact"/>
        <w:ind w:firstLine="420" w:firstLineChars="200"/>
        <w:jc w:val="right"/>
        <w:rPr>
          <w:rFonts w:hint="eastAsia" w:ascii="宋体" w:hAnsi="宋体"/>
        </w:rPr>
      </w:pPr>
    </w:p>
    <w:p w14:paraId="151F1BBB">
      <w:pPr>
        <w:spacing w:line="400" w:lineRule="exact"/>
        <w:ind w:firstLine="420" w:firstLineChars="200"/>
        <w:jc w:val="right"/>
        <w:rPr>
          <w:rFonts w:hint="eastAsia" w:ascii="宋体" w:hAnsi="宋体"/>
        </w:rPr>
      </w:pPr>
    </w:p>
    <w:p w14:paraId="42C4CFAE">
      <w:pPr>
        <w:spacing w:line="400" w:lineRule="exact"/>
        <w:ind w:firstLine="420" w:firstLineChars="200"/>
        <w:jc w:val="right"/>
        <w:rPr>
          <w:rFonts w:hint="eastAsia" w:ascii="宋体" w:hAnsi="宋体"/>
        </w:rPr>
      </w:pPr>
    </w:p>
    <w:p w14:paraId="540771E4">
      <w:pPr>
        <w:spacing w:line="400" w:lineRule="exact"/>
        <w:ind w:firstLine="420" w:firstLineChars="200"/>
        <w:jc w:val="right"/>
        <w:rPr>
          <w:rFonts w:hint="eastAsia" w:ascii="宋体" w:hAnsi="宋体"/>
        </w:rPr>
      </w:pPr>
    </w:p>
    <w:p w14:paraId="2B430713">
      <w:pPr>
        <w:spacing w:line="400" w:lineRule="exact"/>
        <w:ind w:firstLine="420" w:firstLineChars="200"/>
        <w:jc w:val="right"/>
        <w:rPr>
          <w:rFonts w:hint="eastAsia" w:ascii="宋体" w:hAnsi="宋体"/>
        </w:rPr>
      </w:pPr>
    </w:p>
    <w:p w14:paraId="38F91C62">
      <w:pPr>
        <w:spacing w:line="400" w:lineRule="exact"/>
        <w:ind w:firstLine="420" w:firstLineChars="200"/>
        <w:jc w:val="right"/>
        <w:rPr>
          <w:rFonts w:hint="eastAsia" w:ascii="宋体" w:hAnsi="宋体"/>
        </w:rPr>
      </w:pPr>
    </w:p>
    <w:p w14:paraId="6AEC6D12">
      <w:pPr>
        <w:spacing w:line="400" w:lineRule="exact"/>
        <w:ind w:firstLine="420" w:firstLineChars="200"/>
        <w:jc w:val="right"/>
        <w:rPr>
          <w:rFonts w:hint="eastAsia" w:ascii="宋体" w:hAnsi="宋体"/>
        </w:rPr>
      </w:pPr>
    </w:p>
    <w:p w14:paraId="74716F70">
      <w:pPr>
        <w:spacing w:line="400" w:lineRule="exact"/>
        <w:ind w:firstLine="420" w:firstLineChars="200"/>
        <w:jc w:val="right"/>
        <w:rPr>
          <w:rFonts w:hint="eastAsia" w:ascii="宋体" w:hAnsi="宋体"/>
        </w:rPr>
      </w:pPr>
    </w:p>
    <w:p w14:paraId="1E5909DF">
      <w:pPr>
        <w:spacing w:line="400" w:lineRule="exact"/>
        <w:ind w:firstLine="420" w:firstLineChars="200"/>
        <w:jc w:val="right"/>
        <w:rPr>
          <w:rFonts w:hint="eastAsia" w:ascii="宋体" w:hAnsi="宋体"/>
        </w:rPr>
      </w:pPr>
    </w:p>
    <w:p w14:paraId="52A61FB5">
      <w:pPr>
        <w:spacing w:line="400" w:lineRule="exact"/>
        <w:ind w:firstLine="420" w:firstLineChars="200"/>
        <w:jc w:val="right"/>
        <w:rPr>
          <w:rFonts w:hint="eastAsia" w:ascii="宋体" w:hAnsi="宋体"/>
        </w:rPr>
      </w:pPr>
    </w:p>
    <w:p w14:paraId="53A61936">
      <w:pPr>
        <w:spacing w:line="400" w:lineRule="exact"/>
        <w:ind w:firstLine="420" w:firstLineChars="200"/>
        <w:jc w:val="right"/>
        <w:rPr>
          <w:rFonts w:hint="eastAsia" w:ascii="宋体" w:hAnsi="宋体"/>
        </w:rPr>
      </w:pPr>
    </w:p>
    <w:p w14:paraId="55CF4BA6">
      <w:pPr>
        <w:spacing w:line="400" w:lineRule="exact"/>
        <w:ind w:firstLine="420" w:firstLineChars="200"/>
        <w:jc w:val="right"/>
        <w:rPr>
          <w:rFonts w:hint="eastAsia" w:ascii="宋体" w:hAnsi="宋体"/>
        </w:rPr>
      </w:pPr>
    </w:p>
    <w:p w14:paraId="17F11F84">
      <w:pPr>
        <w:spacing w:line="400" w:lineRule="exact"/>
        <w:ind w:firstLine="420" w:firstLineChars="200"/>
        <w:jc w:val="right"/>
        <w:rPr>
          <w:rFonts w:hint="eastAsia" w:ascii="宋体" w:hAnsi="宋体"/>
        </w:rPr>
      </w:pPr>
    </w:p>
    <w:p w14:paraId="5898B3B2">
      <w:pPr>
        <w:spacing w:line="400" w:lineRule="exact"/>
        <w:ind w:firstLine="420" w:firstLineChars="200"/>
        <w:jc w:val="right"/>
        <w:rPr>
          <w:rFonts w:hint="eastAsia" w:ascii="宋体" w:hAnsi="宋体"/>
        </w:rPr>
      </w:pPr>
    </w:p>
    <w:p w14:paraId="59771B28">
      <w:pPr>
        <w:spacing w:line="400" w:lineRule="exact"/>
        <w:ind w:firstLine="420" w:firstLineChars="200"/>
        <w:jc w:val="right"/>
        <w:rPr>
          <w:rFonts w:hint="eastAsia" w:ascii="宋体" w:hAnsi="宋体"/>
        </w:rPr>
      </w:pPr>
    </w:p>
    <w:p w14:paraId="7BB6A93D">
      <w:pPr>
        <w:spacing w:line="400" w:lineRule="exact"/>
        <w:ind w:firstLine="420" w:firstLineChars="200"/>
        <w:jc w:val="right"/>
        <w:rPr>
          <w:rFonts w:hint="eastAsia" w:ascii="宋体" w:hAnsi="宋体"/>
        </w:rPr>
      </w:pPr>
    </w:p>
    <w:p w14:paraId="01B536D1">
      <w:pPr>
        <w:spacing w:line="400" w:lineRule="exact"/>
        <w:ind w:firstLine="420" w:firstLineChars="200"/>
        <w:jc w:val="right"/>
        <w:rPr>
          <w:rFonts w:hint="eastAsia" w:ascii="宋体" w:hAnsi="宋体"/>
        </w:rPr>
      </w:pPr>
    </w:p>
    <w:p w14:paraId="5B60410A">
      <w:pPr>
        <w:spacing w:line="400" w:lineRule="exact"/>
        <w:ind w:firstLine="420" w:firstLineChars="200"/>
        <w:jc w:val="right"/>
        <w:rPr>
          <w:rFonts w:hint="eastAsia" w:ascii="宋体" w:hAnsi="宋体"/>
        </w:rPr>
      </w:pPr>
    </w:p>
    <w:p w14:paraId="22694E02">
      <w:pPr>
        <w:spacing w:line="400" w:lineRule="exact"/>
        <w:ind w:firstLine="420" w:firstLineChars="200"/>
        <w:jc w:val="right"/>
        <w:rPr>
          <w:rFonts w:hint="eastAsia" w:ascii="宋体" w:hAnsi="宋体"/>
        </w:rPr>
      </w:pPr>
    </w:p>
    <w:p w14:paraId="22F58DF4">
      <w:pPr>
        <w:spacing w:line="400" w:lineRule="exact"/>
        <w:ind w:firstLine="420" w:firstLineChars="200"/>
        <w:jc w:val="right"/>
        <w:rPr>
          <w:rFonts w:hint="eastAsia" w:ascii="宋体" w:hAnsi="宋体"/>
        </w:rPr>
      </w:pPr>
    </w:p>
    <w:p w14:paraId="53876EEB">
      <w:pPr>
        <w:spacing w:line="400" w:lineRule="exact"/>
        <w:jc w:val="both"/>
        <w:rPr>
          <w:rFonts w:hint="eastAsia" w:ascii="宋体" w:hAnsi="宋体"/>
        </w:rPr>
      </w:pPr>
    </w:p>
    <w:p w14:paraId="4CED831E">
      <w:pPr>
        <w:spacing w:line="400" w:lineRule="exact"/>
        <w:jc w:val="both"/>
        <w:rPr>
          <w:rFonts w:hint="eastAsia" w:ascii="宋体" w:hAnsi="宋体"/>
        </w:rPr>
      </w:pPr>
    </w:p>
    <w:p w14:paraId="43F00514">
      <w:pPr>
        <w:spacing w:line="400" w:lineRule="exact"/>
        <w:jc w:val="both"/>
        <w:rPr>
          <w:rFonts w:hint="eastAsia" w:ascii="宋体" w:hAnsi="宋体"/>
        </w:rPr>
      </w:pPr>
    </w:p>
    <w:p w14:paraId="1BE84547">
      <w:pPr>
        <w:widowControl/>
        <w:numPr>
          <w:ilvl w:val="0"/>
          <w:numId w:val="2"/>
        </w:numPr>
        <w:ind w:left="0" w:leftChars="0" w:firstLine="0" w:firstLineChars="0"/>
        <w:jc w:val="center"/>
        <w:outlineLvl w:val="0"/>
        <w:rPr>
          <w:rFonts w:hint="eastAsia" w:asciiTheme="majorEastAsia" w:hAnsiTheme="majorEastAsia" w:eastAsiaTheme="majorEastAsia"/>
          <w:sz w:val="32"/>
          <w:szCs w:val="32"/>
          <w:lang w:val="en-US" w:eastAsia="zh-CN"/>
        </w:rPr>
      </w:pPr>
      <w:bookmarkStart w:id="8" w:name="_Toc24468"/>
      <w:r>
        <w:rPr>
          <w:rFonts w:hint="eastAsia" w:asciiTheme="majorEastAsia" w:hAnsiTheme="majorEastAsia" w:eastAsiaTheme="majorEastAsia"/>
          <w:sz w:val="32"/>
          <w:szCs w:val="32"/>
          <w:lang w:val="en-US" w:eastAsia="zh-CN"/>
        </w:rPr>
        <w:t>用户需求书</w:t>
      </w:r>
      <w:bookmarkEnd w:id="8"/>
    </w:p>
    <w:p w14:paraId="1A0964E7">
      <w:pPr>
        <w:snapToGrid w:val="0"/>
        <w:spacing w:line="360" w:lineRule="auto"/>
        <w:rPr>
          <w:rFonts w:ascii="宋体"/>
          <w:b/>
          <w:bCs/>
          <w:szCs w:val="20"/>
        </w:rPr>
      </w:pPr>
      <w:r>
        <w:rPr>
          <w:rFonts w:hint="eastAsia" w:ascii="宋体"/>
          <w:b/>
          <w:bCs/>
          <w:szCs w:val="20"/>
        </w:rPr>
        <w:t>说明：</w:t>
      </w:r>
    </w:p>
    <w:p w14:paraId="41B0864D">
      <w:pPr>
        <w:numPr>
          <w:ilvl w:val="0"/>
          <w:numId w:val="6"/>
        </w:numPr>
        <w:snapToGrid w:val="0"/>
        <w:spacing w:line="360" w:lineRule="auto"/>
        <w:ind w:left="422" w:hanging="422" w:hangingChars="200"/>
        <w:rPr>
          <w:rFonts w:ascii="宋体"/>
          <w:b/>
          <w:bCs/>
          <w:color w:val="auto"/>
          <w:szCs w:val="20"/>
        </w:rPr>
      </w:pPr>
      <w:r>
        <w:rPr>
          <w:rFonts w:hint="eastAsia" w:ascii="宋体"/>
          <w:b/>
          <w:bCs/>
          <w:szCs w:val="20"/>
        </w:rPr>
        <w:t>投标人</w:t>
      </w:r>
      <w:r>
        <w:rPr>
          <w:rFonts w:hint="eastAsia" w:ascii="宋体"/>
          <w:b/>
          <w:bCs/>
          <w:color w:val="auto"/>
          <w:szCs w:val="20"/>
        </w:rPr>
        <w:t>须对本项目的</w:t>
      </w:r>
      <w:r>
        <w:rPr>
          <w:rFonts w:hint="eastAsia" w:asciiTheme="minorEastAsia" w:hAnsiTheme="minorEastAsia" w:eastAsiaTheme="minorEastAsia"/>
          <w:b/>
          <w:bCs/>
          <w:color w:val="auto"/>
          <w:szCs w:val="21"/>
        </w:rPr>
        <w:t>采购标的或服务内容</w:t>
      </w:r>
      <w:r>
        <w:rPr>
          <w:rFonts w:hint="eastAsia" w:ascii="宋体"/>
          <w:b/>
          <w:bCs/>
          <w:color w:val="auto"/>
          <w:szCs w:val="20"/>
        </w:rPr>
        <w:t>进行整体响应，任何只对</w:t>
      </w:r>
      <w:r>
        <w:rPr>
          <w:rFonts w:hint="eastAsia" w:asciiTheme="minorEastAsia" w:hAnsiTheme="minorEastAsia" w:eastAsiaTheme="minorEastAsia"/>
          <w:b/>
          <w:bCs/>
          <w:color w:val="auto"/>
          <w:szCs w:val="21"/>
        </w:rPr>
        <w:t>采购标的或服务内容</w:t>
      </w:r>
      <w:r>
        <w:rPr>
          <w:rFonts w:hint="eastAsia" w:ascii="宋体"/>
          <w:b/>
          <w:bCs/>
          <w:color w:val="auto"/>
          <w:szCs w:val="20"/>
        </w:rPr>
        <w:t>其中一部分内容进行的响应都被视为无效投标。</w:t>
      </w:r>
    </w:p>
    <w:p w14:paraId="43676C16">
      <w:pPr>
        <w:numPr>
          <w:ilvl w:val="0"/>
          <w:numId w:val="6"/>
        </w:numPr>
        <w:snapToGrid w:val="0"/>
        <w:spacing w:line="360" w:lineRule="auto"/>
        <w:ind w:left="422" w:hanging="422" w:hangingChars="200"/>
        <w:rPr>
          <w:rFonts w:hint="eastAsia" w:asciiTheme="minorEastAsia" w:hAnsiTheme="minorEastAsia" w:eastAsiaTheme="minorEastAsia"/>
          <w:b/>
          <w:bCs/>
          <w:color w:val="auto"/>
          <w:szCs w:val="21"/>
        </w:rPr>
      </w:pPr>
      <w:r>
        <w:rPr>
          <w:rFonts w:hint="eastAsia" w:asciiTheme="minorEastAsia" w:hAnsiTheme="minorEastAsia" w:eastAsiaTheme="minorEastAsia"/>
          <w:b/>
          <w:bCs/>
          <w:color w:val="auto"/>
          <w:szCs w:val="21"/>
        </w:rPr>
        <w:t>用户需求书中打“★”号条款为实质性条款，有任何一条负偏离则导致无效投标。</w:t>
      </w:r>
    </w:p>
    <w:p w14:paraId="4D99824F">
      <w:pPr>
        <w:numPr>
          <w:ilvl w:val="0"/>
          <w:numId w:val="6"/>
        </w:numPr>
        <w:snapToGrid w:val="0"/>
        <w:spacing w:line="360" w:lineRule="auto"/>
        <w:ind w:left="422" w:hanging="422" w:hangingChars="200"/>
        <w:rPr>
          <w:rFonts w:hint="eastAsia" w:asciiTheme="minorEastAsia" w:hAnsiTheme="minorEastAsia" w:eastAsiaTheme="minorEastAsia"/>
          <w:b/>
          <w:bCs/>
          <w:color w:val="auto"/>
          <w:szCs w:val="21"/>
        </w:rPr>
      </w:pPr>
      <w:r>
        <w:rPr>
          <w:rFonts w:hint="eastAsia" w:asciiTheme="minorEastAsia" w:hAnsiTheme="minorEastAsia" w:eastAsiaTheme="minorEastAsia"/>
          <w:b/>
          <w:bCs/>
          <w:color w:val="auto"/>
          <w:szCs w:val="21"/>
        </w:rPr>
        <w:t>用户需求书中打“▲”号条款为重要技术参数，但不作为无效投标条款。</w:t>
      </w:r>
    </w:p>
    <w:p w14:paraId="2F8DF358">
      <w:pPr>
        <w:numPr>
          <w:ilvl w:val="0"/>
          <w:numId w:val="6"/>
        </w:numPr>
        <w:snapToGrid w:val="0"/>
        <w:spacing w:line="360" w:lineRule="auto"/>
        <w:ind w:left="422" w:hanging="422" w:hangingChars="200"/>
        <w:rPr>
          <w:rFonts w:ascii="宋体"/>
          <w:b/>
          <w:bCs/>
          <w:color w:val="auto"/>
          <w:szCs w:val="20"/>
        </w:rPr>
      </w:pPr>
      <w:r>
        <w:rPr>
          <w:rFonts w:hint="eastAsia" w:asciiTheme="minorEastAsia" w:hAnsiTheme="minorEastAsia" w:eastAsiaTheme="minorEastAsia"/>
          <w:b/>
          <w:bCs/>
          <w:color w:val="auto"/>
          <w:szCs w:val="21"/>
        </w:rPr>
        <w:t>用户需求书中打“●”号的为采购的核心产品，投标人应在《</w:t>
      </w:r>
      <w:r>
        <w:rPr>
          <w:rFonts w:hint="eastAsia" w:asciiTheme="minorEastAsia" w:hAnsiTheme="minorEastAsia" w:eastAsiaTheme="minorEastAsia"/>
          <w:b/>
          <w:bCs/>
          <w:color w:val="auto"/>
          <w:szCs w:val="21"/>
          <w:lang w:val="en-US" w:eastAsia="zh-CN"/>
        </w:rPr>
        <w:t>开标一栏表</w:t>
      </w:r>
      <w:r>
        <w:rPr>
          <w:rFonts w:hint="eastAsia" w:asciiTheme="minorEastAsia" w:hAnsiTheme="minorEastAsia" w:eastAsiaTheme="minorEastAsia"/>
          <w:b/>
          <w:bCs/>
          <w:color w:val="auto"/>
          <w:szCs w:val="21"/>
        </w:rPr>
        <w:t>》中清晰列明“产品名称、品牌”。</w:t>
      </w:r>
    </w:p>
    <w:p w14:paraId="5AAF2DBC">
      <w:pPr>
        <w:pStyle w:val="10"/>
        <w:numPr>
          <w:ilvl w:val="0"/>
          <w:numId w:val="7"/>
        </w:numPr>
        <w:tabs>
          <w:tab w:val="left" w:pos="540"/>
        </w:tabs>
        <w:adjustRightInd w:val="0"/>
        <w:snapToGrid w:val="0"/>
        <w:spacing w:line="360" w:lineRule="auto"/>
        <w:ind w:left="420" w:leftChars="0" w:hanging="420" w:firstLineChars="0"/>
        <w:outlineLvl w:val="9"/>
        <w:rPr>
          <w:color w:val="auto"/>
        </w:rPr>
      </w:pPr>
      <w:r>
        <w:rPr>
          <w:rFonts w:hint="eastAsia"/>
          <w:b/>
          <w:color w:val="auto"/>
          <w:szCs w:val="20"/>
        </w:rPr>
        <w:t>项目</w:t>
      </w:r>
      <w:r>
        <w:rPr>
          <w:rFonts w:hint="eastAsia"/>
          <w:b/>
          <w:color w:val="auto"/>
          <w:szCs w:val="20"/>
          <w:lang w:val="en-US" w:eastAsia="zh-CN"/>
        </w:rPr>
        <w:t>一览表</w:t>
      </w:r>
      <w:r>
        <w:rPr>
          <w:rFonts w:hint="eastAsia"/>
          <w:b/>
          <w:color w:val="auto"/>
          <w:szCs w:val="20"/>
        </w:rPr>
        <w:t>：</w:t>
      </w:r>
    </w:p>
    <w:tbl>
      <w:tblPr>
        <w:tblStyle w:val="17"/>
        <w:tblW w:w="99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0"/>
        <w:gridCol w:w="826"/>
        <w:gridCol w:w="1465"/>
        <w:gridCol w:w="2293"/>
        <w:gridCol w:w="2294"/>
        <w:gridCol w:w="1195"/>
      </w:tblGrid>
      <w:tr w14:paraId="2B671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1920" w:type="dxa"/>
            <w:shd w:val="clear" w:color="auto" w:fill="EEECE1"/>
            <w:vAlign w:val="center"/>
          </w:tcPr>
          <w:p w14:paraId="6BC8C088">
            <w:pPr>
              <w:keepNext w:val="0"/>
              <w:keepLines w:val="0"/>
              <w:suppressLineNumbers w:val="0"/>
              <w:spacing w:before="0" w:beforeAutospacing="0" w:after="0" w:afterAutospacing="0"/>
              <w:ind w:left="0" w:right="0"/>
              <w:jc w:val="center"/>
              <w:rPr>
                <w:rFonts w:hint="eastAsia" w:ascii="宋体" w:hAnsi="宋体" w:eastAsia="宋体" w:cs="宋体"/>
                <w:b/>
                <w:color w:val="auto"/>
                <w:szCs w:val="21"/>
              </w:rPr>
            </w:pPr>
            <w:r>
              <w:rPr>
                <w:rFonts w:hint="eastAsia" w:ascii="宋体" w:hAnsi="宋体" w:eastAsia="宋体" w:cs="宋体"/>
                <w:b/>
                <w:color w:val="auto"/>
                <w:szCs w:val="21"/>
                <w:highlight w:val="none"/>
              </w:rPr>
              <w:t>采购内容</w:t>
            </w:r>
          </w:p>
        </w:tc>
        <w:tc>
          <w:tcPr>
            <w:tcW w:w="826" w:type="dxa"/>
            <w:shd w:val="clear" w:color="auto" w:fill="EEECE1"/>
            <w:vAlign w:val="center"/>
          </w:tcPr>
          <w:p w14:paraId="0F593D38">
            <w:pPr>
              <w:keepNext w:val="0"/>
              <w:keepLines w:val="0"/>
              <w:suppressLineNumbers w:val="0"/>
              <w:spacing w:before="0" w:beforeAutospacing="0" w:after="0" w:afterAutospacing="0"/>
              <w:ind w:left="0" w:right="0"/>
              <w:jc w:val="center"/>
              <w:rPr>
                <w:rFonts w:hint="eastAsia" w:ascii="宋体" w:hAnsi="宋体" w:eastAsia="宋体" w:cs="宋体"/>
                <w:b/>
                <w:color w:val="auto"/>
                <w:szCs w:val="21"/>
              </w:rPr>
            </w:pPr>
            <w:r>
              <w:rPr>
                <w:rFonts w:hint="eastAsia" w:ascii="宋体" w:hAnsi="宋体" w:eastAsia="宋体" w:cs="宋体"/>
                <w:b/>
                <w:color w:val="auto"/>
                <w:szCs w:val="21"/>
                <w:highlight w:val="none"/>
              </w:rPr>
              <w:t>数量</w:t>
            </w:r>
          </w:p>
        </w:tc>
        <w:tc>
          <w:tcPr>
            <w:tcW w:w="1465" w:type="dxa"/>
            <w:shd w:val="clear" w:color="auto" w:fill="EEECE1"/>
            <w:vAlign w:val="center"/>
          </w:tcPr>
          <w:p w14:paraId="05842BA9">
            <w:pPr>
              <w:keepNext w:val="0"/>
              <w:keepLines w:val="0"/>
              <w:suppressLineNumbers w:val="0"/>
              <w:spacing w:before="0" w:beforeAutospacing="0" w:after="0" w:afterAutospacing="0"/>
              <w:ind w:left="0" w:right="0"/>
              <w:jc w:val="center"/>
              <w:rPr>
                <w:rFonts w:hint="default" w:ascii="宋体" w:hAnsi="宋体" w:eastAsia="宋体" w:cs="宋体"/>
                <w:b/>
                <w:color w:val="auto"/>
                <w:szCs w:val="21"/>
                <w:lang w:val="en-US" w:eastAsia="zh-CN"/>
              </w:rPr>
            </w:pPr>
            <w:r>
              <w:rPr>
                <w:rFonts w:hint="eastAsia" w:ascii="宋体" w:hAnsi="宋体" w:eastAsia="宋体" w:cs="宋体"/>
                <w:b/>
                <w:color w:val="auto"/>
                <w:szCs w:val="21"/>
                <w:lang w:val="en-US" w:eastAsia="zh-CN"/>
              </w:rPr>
              <w:t>合同履行  期限</w:t>
            </w:r>
          </w:p>
        </w:tc>
        <w:tc>
          <w:tcPr>
            <w:tcW w:w="2293" w:type="dxa"/>
            <w:shd w:val="clear" w:color="auto" w:fill="EEECE1"/>
            <w:vAlign w:val="center"/>
          </w:tcPr>
          <w:p w14:paraId="735AF6BC">
            <w:pPr>
              <w:keepNext w:val="0"/>
              <w:keepLines w:val="0"/>
              <w:suppressLineNumbers w:val="0"/>
              <w:spacing w:before="0" w:beforeAutospacing="0" w:after="0" w:afterAutospacing="0"/>
              <w:ind w:left="0" w:right="0"/>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预算金额</w:t>
            </w:r>
          </w:p>
        </w:tc>
        <w:tc>
          <w:tcPr>
            <w:tcW w:w="2294" w:type="dxa"/>
            <w:shd w:val="clear" w:color="auto" w:fill="EEECE1"/>
            <w:vAlign w:val="center"/>
          </w:tcPr>
          <w:p w14:paraId="4CEF088D">
            <w:pPr>
              <w:keepNext w:val="0"/>
              <w:keepLines w:val="0"/>
              <w:suppressLineNumbers w:val="0"/>
              <w:spacing w:before="0" w:beforeAutospacing="0" w:after="0" w:afterAutospacing="0"/>
              <w:ind w:left="0" w:right="0"/>
              <w:jc w:val="center"/>
              <w:rPr>
                <w:rFonts w:hint="eastAsia" w:ascii="宋体" w:hAnsi="宋体" w:eastAsia="宋体" w:cs="宋体"/>
                <w:b/>
                <w:color w:val="auto"/>
                <w:szCs w:val="21"/>
              </w:rPr>
            </w:pPr>
            <w:r>
              <w:rPr>
                <w:rFonts w:hint="eastAsia" w:ascii="宋体" w:hAnsi="宋体" w:eastAsia="宋体" w:cs="宋体"/>
                <w:b/>
                <w:color w:val="auto"/>
                <w:szCs w:val="21"/>
                <w:highlight w:val="none"/>
              </w:rPr>
              <w:t>最高限价</w:t>
            </w:r>
          </w:p>
        </w:tc>
        <w:tc>
          <w:tcPr>
            <w:tcW w:w="1195" w:type="dxa"/>
            <w:shd w:val="clear" w:color="auto" w:fill="EEECE1"/>
            <w:vAlign w:val="center"/>
          </w:tcPr>
          <w:p w14:paraId="13AF89FC">
            <w:pPr>
              <w:keepNext w:val="0"/>
              <w:keepLines w:val="0"/>
              <w:suppressLineNumbers w:val="0"/>
              <w:spacing w:before="0" w:beforeAutospacing="0" w:after="0" w:afterAutospacing="0"/>
              <w:ind w:left="0" w:right="0"/>
              <w:jc w:val="center"/>
              <w:rPr>
                <w:rFonts w:hint="eastAsia" w:ascii="宋体" w:hAnsi="宋体" w:eastAsia="宋体" w:cs="宋体"/>
                <w:b/>
                <w:color w:val="auto"/>
                <w:szCs w:val="21"/>
              </w:rPr>
            </w:pPr>
            <w:r>
              <w:rPr>
                <w:rFonts w:hint="eastAsia" w:ascii="宋体" w:hAnsi="宋体" w:eastAsia="宋体" w:cs="宋体"/>
                <w:b/>
                <w:color w:val="auto"/>
                <w:szCs w:val="21"/>
              </w:rPr>
              <w:t>所属行业</w:t>
            </w:r>
          </w:p>
        </w:tc>
      </w:tr>
      <w:tr w14:paraId="1385F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8" w:hRule="atLeast"/>
          <w:jc w:val="center"/>
        </w:trPr>
        <w:tc>
          <w:tcPr>
            <w:tcW w:w="1920" w:type="dxa"/>
            <w:vAlign w:val="center"/>
          </w:tcPr>
          <w:p w14:paraId="489D56A8">
            <w:pPr>
              <w:keepNext w:val="0"/>
              <w:keepLines w:val="0"/>
              <w:suppressLineNumbers w:val="0"/>
              <w:spacing w:before="0" w:beforeAutospacing="0" w:after="0" w:afterAutospacing="0"/>
              <w:ind w:left="0" w:right="0"/>
              <w:jc w:val="center"/>
              <w:rPr>
                <w:rFonts w:hint="default"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 xml:space="preserve">口腔耗材B包   </w:t>
            </w:r>
          </w:p>
        </w:tc>
        <w:tc>
          <w:tcPr>
            <w:tcW w:w="826" w:type="dxa"/>
            <w:vAlign w:val="center"/>
          </w:tcPr>
          <w:p w14:paraId="1611D57E">
            <w:pPr>
              <w:keepNext w:val="0"/>
              <w:keepLines w:val="0"/>
              <w:suppressLineNumbers w:val="0"/>
              <w:spacing w:before="0" w:beforeAutospacing="0" w:after="0" w:afterAutospacing="0"/>
              <w:ind w:left="0" w:right="0"/>
              <w:jc w:val="center"/>
              <w:rPr>
                <w:rFonts w:hint="default"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1批</w:t>
            </w:r>
          </w:p>
        </w:tc>
        <w:tc>
          <w:tcPr>
            <w:tcW w:w="1465" w:type="dxa"/>
            <w:vAlign w:val="center"/>
          </w:tcPr>
          <w:p w14:paraId="64A663D1">
            <w:pPr>
              <w:pStyle w:val="29"/>
              <w:keepLines w:val="0"/>
              <w:suppressLineNumbers w:val="0"/>
              <w:spacing w:beforeAutospacing="0" w:afterAutospacing="0" w:line="240" w:lineRule="auto"/>
              <w:ind w:left="0" w:right="0"/>
              <w:rPr>
                <w:rFonts w:hint="default"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24个月</w:t>
            </w:r>
          </w:p>
        </w:tc>
        <w:tc>
          <w:tcPr>
            <w:tcW w:w="2293" w:type="dxa"/>
            <w:vAlign w:val="center"/>
          </w:tcPr>
          <w:p w14:paraId="26A59F7D">
            <w:pPr>
              <w:pStyle w:val="29"/>
              <w:keepLines w:val="0"/>
              <w:suppressLineNumbers w:val="0"/>
              <w:spacing w:beforeAutospacing="0" w:afterAutospacing="0" w:line="240" w:lineRule="auto"/>
              <w:ind w:left="0" w:right="0"/>
              <w:rPr>
                <w:rFonts w:hint="default"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人民币68372.18元/年</w:t>
            </w:r>
          </w:p>
        </w:tc>
        <w:tc>
          <w:tcPr>
            <w:tcW w:w="2294" w:type="dxa"/>
            <w:vAlign w:val="center"/>
          </w:tcPr>
          <w:p w14:paraId="1C2A6908">
            <w:pPr>
              <w:pStyle w:val="29"/>
              <w:keepLines w:val="0"/>
              <w:suppressLineNumbers w:val="0"/>
              <w:spacing w:beforeAutospacing="0" w:afterAutospacing="0" w:line="240" w:lineRule="auto"/>
              <w:ind w:left="0" w:right="0"/>
              <w:rPr>
                <w:rFonts w:hint="default"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人民币68372.18元/年</w:t>
            </w:r>
          </w:p>
        </w:tc>
        <w:tc>
          <w:tcPr>
            <w:tcW w:w="1195" w:type="dxa"/>
            <w:vAlign w:val="center"/>
          </w:tcPr>
          <w:p w14:paraId="214360AD">
            <w:pPr>
              <w:pStyle w:val="29"/>
              <w:keepLines w:val="0"/>
              <w:suppressLineNumbers w:val="0"/>
              <w:spacing w:beforeAutospacing="0" w:afterAutospacing="0" w:line="240" w:lineRule="auto"/>
              <w:ind w:left="0" w:right="0"/>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工业</w:t>
            </w:r>
          </w:p>
        </w:tc>
      </w:tr>
    </w:tbl>
    <w:p w14:paraId="54E7C51C">
      <w:pPr>
        <w:pStyle w:val="10"/>
        <w:tabs>
          <w:tab w:val="left" w:pos="540"/>
        </w:tabs>
        <w:adjustRightInd w:val="0"/>
        <w:snapToGrid w:val="0"/>
        <w:spacing w:line="360" w:lineRule="auto"/>
        <w:rPr>
          <w:rFonts w:hAnsi="宋体"/>
          <w:b/>
          <w:color w:val="auto"/>
        </w:rPr>
      </w:pPr>
    </w:p>
    <w:p w14:paraId="705CA8FA">
      <w:pPr>
        <w:pStyle w:val="10"/>
        <w:numPr>
          <w:ilvl w:val="0"/>
          <w:numId w:val="7"/>
        </w:numPr>
        <w:tabs>
          <w:tab w:val="left" w:pos="540"/>
        </w:tabs>
        <w:adjustRightInd w:val="0"/>
        <w:snapToGrid w:val="0"/>
        <w:spacing w:line="360" w:lineRule="auto"/>
        <w:ind w:left="420" w:leftChars="0" w:hanging="420" w:firstLineChars="0"/>
        <w:outlineLvl w:val="9"/>
        <w:rPr>
          <w:rFonts w:hAnsi="宋体"/>
          <w:b/>
          <w:color w:val="auto"/>
        </w:rPr>
      </w:pPr>
      <w:r>
        <w:rPr>
          <w:rFonts w:hint="eastAsia" w:asciiTheme="minorEastAsia" w:hAnsiTheme="minorEastAsia" w:eastAsiaTheme="minorEastAsia"/>
          <w:b/>
          <w:bCs/>
          <w:color w:val="auto"/>
          <w:szCs w:val="21"/>
        </w:rPr>
        <w:t>★</w:t>
      </w:r>
      <w:r>
        <w:rPr>
          <w:rFonts w:hint="eastAsia" w:hAnsi="宋体"/>
          <w:b/>
          <w:color w:val="auto"/>
          <w:lang w:val="en-US" w:eastAsia="zh-CN"/>
        </w:rPr>
        <w:t>货品清单及</w:t>
      </w:r>
      <w:r>
        <w:rPr>
          <w:rFonts w:hint="eastAsia" w:hAnsi="宋体"/>
          <w:b/>
          <w:color w:val="auto"/>
        </w:rPr>
        <w:t>技术要求：</w:t>
      </w:r>
    </w:p>
    <w:tbl>
      <w:tblPr>
        <w:tblStyle w:val="17"/>
        <w:tblW w:w="11121"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1728"/>
        <w:gridCol w:w="2636"/>
        <w:gridCol w:w="1227"/>
        <w:gridCol w:w="996"/>
        <w:gridCol w:w="1281"/>
        <w:gridCol w:w="985"/>
        <w:gridCol w:w="1268"/>
        <w:gridCol w:w="1000"/>
      </w:tblGrid>
      <w:tr w14:paraId="3E07414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EEECE1" w:themeFill="background2"/>
            <w:vAlign w:val="center"/>
          </w:tcPr>
          <w:p w14:paraId="18CF53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货物名称</w:t>
            </w:r>
          </w:p>
        </w:tc>
        <w:tc>
          <w:tcPr>
            <w:tcW w:w="2636" w:type="dxa"/>
            <w:tcBorders>
              <w:tl2br w:val="nil"/>
              <w:tr2bl w:val="nil"/>
            </w:tcBorders>
            <w:shd w:val="clear" w:color="auto" w:fill="EEECE1" w:themeFill="background2"/>
            <w:vAlign w:val="center"/>
          </w:tcPr>
          <w:p w14:paraId="54A08DA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auto"/>
                <w:sz w:val="21"/>
                <w:szCs w:val="21"/>
                <w:u w:val="none"/>
                <w:lang w:val="en-US"/>
              </w:rPr>
            </w:pPr>
            <w:r>
              <w:rPr>
                <w:rFonts w:hint="eastAsia" w:ascii="宋体" w:hAnsi="宋体" w:eastAsia="宋体" w:cs="宋体"/>
                <w:b/>
                <w:bCs/>
                <w:i w:val="0"/>
                <w:iCs w:val="0"/>
                <w:color w:val="auto"/>
                <w:kern w:val="0"/>
                <w:sz w:val="21"/>
                <w:szCs w:val="21"/>
                <w:u w:val="none"/>
                <w:lang w:val="en-US" w:eastAsia="zh-CN" w:bidi="ar"/>
              </w:rPr>
              <w:t>技术要求/主要需求</w:t>
            </w:r>
          </w:p>
        </w:tc>
        <w:tc>
          <w:tcPr>
            <w:tcW w:w="1227" w:type="dxa"/>
            <w:tcBorders>
              <w:tl2br w:val="nil"/>
              <w:tr2bl w:val="nil"/>
            </w:tcBorders>
            <w:shd w:val="clear" w:color="auto" w:fill="EEECE1" w:themeFill="background2"/>
            <w:vAlign w:val="center"/>
          </w:tcPr>
          <w:p w14:paraId="503B9CF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规格</w:t>
            </w:r>
          </w:p>
        </w:tc>
        <w:tc>
          <w:tcPr>
            <w:tcW w:w="996" w:type="dxa"/>
            <w:tcBorders>
              <w:tl2br w:val="nil"/>
              <w:tr2bl w:val="nil"/>
            </w:tcBorders>
            <w:shd w:val="clear" w:color="auto" w:fill="EEECE1" w:themeFill="background2"/>
            <w:vAlign w:val="center"/>
          </w:tcPr>
          <w:p w14:paraId="2DD77F9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最小计量单位</w:t>
            </w:r>
          </w:p>
        </w:tc>
        <w:tc>
          <w:tcPr>
            <w:tcW w:w="1281" w:type="dxa"/>
            <w:tcBorders>
              <w:tl2br w:val="nil"/>
              <w:tr2bl w:val="nil"/>
            </w:tcBorders>
            <w:shd w:val="clear" w:color="auto" w:fill="EEECE1" w:themeFill="background2"/>
            <w:vAlign w:val="center"/>
          </w:tcPr>
          <w:p w14:paraId="50DE19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最小单位预算价格（元）</w:t>
            </w:r>
          </w:p>
        </w:tc>
        <w:tc>
          <w:tcPr>
            <w:tcW w:w="985" w:type="dxa"/>
            <w:tcBorders>
              <w:tl2br w:val="nil"/>
              <w:tr2bl w:val="nil"/>
            </w:tcBorders>
            <w:shd w:val="clear" w:color="auto" w:fill="EEECE1" w:themeFill="background2"/>
            <w:vAlign w:val="center"/>
          </w:tcPr>
          <w:p w14:paraId="1EAAE0F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预计年使用量</w:t>
            </w:r>
          </w:p>
        </w:tc>
        <w:tc>
          <w:tcPr>
            <w:tcW w:w="1268" w:type="dxa"/>
            <w:tcBorders>
              <w:tl2br w:val="nil"/>
              <w:tr2bl w:val="nil"/>
            </w:tcBorders>
            <w:shd w:val="clear" w:color="auto" w:fill="EEECE1" w:themeFill="background2"/>
            <w:vAlign w:val="center"/>
          </w:tcPr>
          <w:p w14:paraId="7F0ADE75">
            <w:pPr>
              <w:keepNext w:val="0"/>
              <w:keepLines w:val="0"/>
              <w:widowControl/>
              <w:suppressLineNumbers w:val="0"/>
              <w:spacing w:before="0" w:beforeAutospacing="0" w:after="0" w:afterAutospacing="0"/>
              <w:ind w:left="0" w:right="0"/>
              <w:jc w:val="center"/>
              <w:textAlignment w:val="center"/>
              <w:rPr>
                <w:rFonts w:hint="eastAsia" w:ascii="宋体" w:hAnsi="宋体" w:cs="宋体"/>
                <w:b/>
                <w:bCs/>
                <w:kern w:val="0"/>
                <w:szCs w:val="21"/>
              </w:rPr>
            </w:pPr>
            <w:r>
              <w:rPr>
                <w:rFonts w:hint="eastAsia" w:ascii="宋体" w:hAnsi="宋体" w:cs="宋体"/>
                <w:b/>
                <w:bCs/>
                <w:kern w:val="0"/>
                <w:szCs w:val="21"/>
              </w:rPr>
              <w:t>年</w:t>
            </w:r>
            <w:r>
              <w:rPr>
                <w:rFonts w:hint="eastAsia" w:ascii="宋体" w:hAnsi="宋体" w:cs="宋体"/>
                <w:b/>
                <w:bCs/>
                <w:kern w:val="0"/>
                <w:szCs w:val="21"/>
                <w:lang w:val="en-US" w:eastAsia="zh-CN"/>
              </w:rPr>
              <w:t>预计</w:t>
            </w:r>
            <w:r>
              <w:rPr>
                <w:rFonts w:hint="eastAsia" w:ascii="宋体" w:hAnsi="宋体" w:cs="宋体"/>
                <w:b/>
                <w:bCs/>
                <w:kern w:val="0"/>
                <w:szCs w:val="21"/>
              </w:rPr>
              <w:t>使用金额（元）</w:t>
            </w:r>
          </w:p>
        </w:tc>
        <w:tc>
          <w:tcPr>
            <w:tcW w:w="1000" w:type="dxa"/>
            <w:tcBorders>
              <w:tl2br w:val="nil"/>
              <w:tr2bl w:val="nil"/>
            </w:tcBorders>
            <w:shd w:val="clear" w:color="auto" w:fill="EEECE1" w:themeFill="background2"/>
            <w:vAlign w:val="center"/>
          </w:tcPr>
          <w:p w14:paraId="069AFFDC">
            <w:pPr>
              <w:keepNext w:val="0"/>
              <w:keepLines w:val="0"/>
              <w:widowControl/>
              <w:suppressLineNumbers w:val="0"/>
              <w:spacing w:before="0" w:beforeAutospacing="0" w:after="0" w:afterAutospacing="0"/>
              <w:ind w:left="0" w:right="0"/>
              <w:jc w:val="center"/>
              <w:textAlignment w:val="center"/>
              <w:rPr>
                <w:rFonts w:hint="eastAsia" w:ascii="宋体" w:hAnsi="宋体" w:cs="宋体" w:eastAsiaTheme="minorEastAsia"/>
                <w:b/>
                <w:bCs/>
                <w:kern w:val="0"/>
                <w:szCs w:val="21"/>
                <w:lang w:val="en-US" w:eastAsia="zh-CN"/>
              </w:rPr>
            </w:pPr>
            <w:r>
              <w:rPr>
                <w:rFonts w:hint="eastAsia" w:ascii="宋体" w:hAnsi="宋体" w:cs="宋体"/>
                <w:b/>
                <w:bCs/>
                <w:kern w:val="0"/>
                <w:szCs w:val="21"/>
                <w:lang w:val="en-US" w:eastAsia="zh-CN"/>
              </w:rPr>
              <w:t>是否接受进口</w:t>
            </w:r>
          </w:p>
        </w:tc>
      </w:tr>
      <w:tr w14:paraId="2AC587C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6A7C4B3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唇颊牵开器(口角拉钩)</w:t>
            </w:r>
          </w:p>
        </w:tc>
        <w:tc>
          <w:tcPr>
            <w:tcW w:w="2636" w:type="dxa"/>
            <w:tcBorders>
              <w:tl2br w:val="nil"/>
              <w:tr2bl w:val="nil"/>
            </w:tcBorders>
            <w:shd w:val="clear" w:color="auto" w:fill="auto"/>
            <w:vAlign w:val="center"/>
          </w:tcPr>
          <w:p w14:paraId="017F30F3">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用于口腔治疗操作中移开软组织，暴露视野。</w:t>
            </w:r>
          </w:p>
        </w:tc>
        <w:tc>
          <w:tcPr>
            <w:tcW w:w="1227" w:type="dxa"/>
            <w:tcBorders>
              <w:tl2br w:val="nil"/>
              <w:tr2bl w:val="nil"/>
            </w:tcBorders>
            <w:shd w:val="clear" w:color="auto" w:fill="auto"/>
            <w:vAlign w:val="center"/>
          </w:tcPr>
          <w:p w14:paraId="10F63E4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口角拉钩  大号</w:t>
            </w:r>
          </w:p>
        </w:tc>
        <w:tc>
          <w:tcPr>
            <w:tcW w:w="996" w:type="dxa"/>
            <w:tcBorders>
              <w:tl2br w:val="nil"/>
              <w:tr2bl w:val="nil"/>
            </w:tcBorders>
            <w:shd w:val="clear" w:color="auto" w:fill="auto"/>
            <w:vAlign w:val="center"/>
          </w:tcPr>
          <w:p w14:paraId="2A843BD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1281" w:type="dxa"/>
            <w:tcBorders>
              <w:tl2br w:val="nil"/>
              <w:tr2bl w:val="nil"/>
            </w:tcBorders>
            <w:shd w:val="clear" w:color="auto" w:fill="auto"/>
            <w:vAlign w:val="center"/>
          </w:tcPr>
          <w:p w14:paraId="59D50B1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17.4</w:t>
            </w:r>
          </w:p>
        </w:tc>
        <w:tc>
          <w:tcPr>
            <w:tcW w:w="985" w:type="dxa"/>
            <w:tcBorders>
              <w:tl2br w:val="nil"/>
              <w:tr2bl w:val="nil"/>
            </w:tcBorders>
            <w:shd w:val="clear" w:color="auto" w:fill="auto"/>
            <w:vAlign w:val="center"/>
          </w:tcPr>
          <w:p w14:paraId="6D45B05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268" w:type="dxa"/>
            <w:tcBorders>
              <w:tl2br w:val="nil"/>
              <w:tr2bl w:val="nil"/>
            </w:tcBorders>
            <w:shd w:val="clear" w:color="auto" w:fill="auto"/>
            <w:vAlign w:val="center"/>
          </w:tcPr>
          <w:p w14:paraId="77F25B3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000" w:type="dxa"/>
            <w:tcBorders>
              <w:tl2br w:val="nil"/>
              <w:tr2bl w:val="nil"/>
            </w:tcBorders>
            <w:shd w:val="clear" w:color="auto" w:fill="auto"/>
            <w:vAlign w:val="center"/>
          </w:tcPr>
          <w:p w14:paraId="606D829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67DF35B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2D4BAB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唇颊牵开器(口角拉钩)</w:t>
            </w:r>
          </w:p>
        </w:tc>
        <w:tc>
          <w:tcPr>
            <w:tcW w:w="2636" w:type="dxa"/>
            <w:tcBorders>
              <w:tl2br w:val="nil"/>
              <w:tr2bl w:val="nil"/>
            </w:tcBorders>
            <w:shd w:val="clear" w:color="auto" w:fill="auto"/>
            <w:vAlign w:val="center"/>
          </w:tcPr>
          <w:p w14:paraId="44288FF7">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用于口腔治疗操作中移开软组织，暴露视野。</w:t>
            </w:r>
          </w:p>
        </w:tc>
        <w:tc>
          <w:tcPr>
            <w:tcW w:w="1227" w:type="dxa"/>
            <w:tcBorders>
              <w:tl2br w:val="nil"/>
              <w:tr2bl w:val="nil"/>
            </w:tcBorders>
            <w:shd w:val="clear" w:color="auto" w:fill="auto"/>
            <w:vAlign w:val="center"/>
          </w:tcPr>
          <w:p w14:paraId="33248EC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口角拉钩  小号</w:t>
            </w:r>
          </w:p>
        </w:tc>
        <w:tc>
          <w:tcPr>
            <w:tcW w:w="996" w:type="dxa"/>
            <w:tcBorders>
              <w:tl2br w:val="nil"/>
              <w:tr2bl w:val="nil"/>
            </w:tcBorders>
            <w:shd w:val="clear" w:color="auto" w:fill="auto"/>
            <w:vAlign w:val="center"/>
          </w:tcPr>
          <w:p w14:paraId="7C5FD5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1281" w:type="dxa"/>
            <w:tcBorders>
              <w:tl2br w:val="nil"/>
              <w:tr2bl w:val="nil"/>
            </w:tcBorders>
            <w:shd w:val="clear" w:color="auto" w:fill="auto"/>
            <w:vAlign w:val="center"/>
          </w:tcPr>
          <w:p w14:paraId="1F9F62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16.8</w:t>
            </w:r>
          </w:p>
        </w:tc>
        <w:tc>
          <w:tcPr>
            <w:tcW w:w="985" w:type="dxa"/>
            <w:tcBorders>
              <w:tl2br w:val="nil"/>
              <w:tr2bl w:val="nil"/>
            </w:tcBorders>
            <w:shd w:val="clear" w:color="auto" w:fill="auto"/>
            <w:vAlign w:val="center"/>
          </w:tcPr>
          <w:p w14:paraId="7E124E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268" w:type="dxa"/>
            <w:tcBorders>
              <w:tl2br w:val="nil"/>
              <w:tr2bl w:val="nil"/>
            </w:tcBorders>
            <w:shd w:val="clear" w:color="auto" w:fill="auto"/>
            <w:vAlign w:val="center"/>
          </w:tcPr>
          <w:p w14:paraId="758239D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000" w:type="dxa"/>
            <w:tcBorders>
              <w:tl2br w:val="nil"/>
              <w:tr2bl w:val="nil"/>
            </w:tcBorders>
            <w:shd w:val="clear" w:color="auto" w:fill="auto"/>
            <w:vAlign w:val="center"/>
          </w:tcPr>
          <w:p w14:paraId="03DC43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7C96912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0D7BDE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唇颊牵开器(唇部拉钩)</w:t>
            </w:r>
          </w:p>
        </w:tc>
        <w:tc>
          <w:tcPr>
            <w:tcW w:w="2636" w:type="dxa"/>
            <w:tcBorders>
              <w:tl2br w:val="nil"/>
              <w:tr2bl w:val="nil"/>
            </w:tcBorders>
            <w:shd w:val="clear" w:color="auto" w:fill="auto"/>
            <w:vAlign w:val="center"/>
          </w:tcPr>
          <w:p w14:paraId="5FC500CA">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用于口腔治疗操作中移开软组织，暴露视野。</w:t>
            </w:r>
          </w:p>
        </w:tc>
        <w:tc>
          <w:tcPr>
            <w:tcW w:w="1227" w:type="dxa"/>
            <w:tcBorders>
              <w:tl2br w:val="nil"/>
              <w:tr2bl w:val="nil"/>
            </w:tcBorders>
            <w:shd w:val="clear" w:color="auto" w:fill="auto"/>
            <w:vAlign w:val="center"/>
          </w:tcPr>
          <w:p w14:paraId="0204C6D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0B9424F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1281" w:type="dxa"/>
            <w:tcBorders>
              <w:tl2br w:val="nil"/>
              <w:tr2bl w:val="nil"/>
            </w:tcBorders>
            <w:shd w:val="clear" w:color="auto" w:fill="auto"/>
            <w:vAlign w:val="center"/>
          </w:tcPr>
          <w:p w14:paraId="272028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63</w:t>
            </w:r>
          </w:p>
        </w:tc>
        <w:tc>
          <w:tcPr>
            <w:tcW w:w="985" w:type="dxa"/>
            <w:tcBorders>
              <w:tl2br w:val="nil"/>
              <w:tr2bl w:val="nil"/>
            </w:tcBorders>
            <w:shd w:val="clear" w:color="auto" w:fill="auto"/>
            <w:vAlign w:val="center"/>
          </w:tcPr>
          <w:p w14:paraId="1120FC0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268" w:type="dxa"/>
            <w:tcBorders>
              <w:tl2br w:val="nil"/>
              <w:tr2bl w:val="nil"/>
            </w:tcBorders>
            <w:shd w:val="clear" w:color="auto" w:fill="auto"/>
            <w:vAlign w:val="center"/>
          </w:tcPr>
          <w:p w14:paraId="50C4FD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000" w:type="dxa"/>
            <w:tcBorders>
              <w:tl2br w:val="nil"/>
              <w:tr2bl w:val="nil"/>
            </w:tcBorders>
            <w:shd w:val="clear" w:color="auto" w:fill="auto"/>
            <w:vAlign w:val="center"/>
          </w:tcPr>
          <w:p w14:paraId="62A137D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3BE6B9E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594DE0A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唇颊牵开器(口角拉钩)</w:t>
            </w:r>
          </w:p>
        </w:tc>
        <w:tc>
          <w:tcPr>
            <w:tcW w:w="2636" w:type="dxa"/>
            <w:tcBorders>
              <w:tl2br w:val="nil"/>
              <w:tr2bl w:val="nil"/>
            </w:tcBorders>
            <w:shd w:val="clear" w:color="auto" w:fill="auto"/>
            <w:vAlign w:val="center"/>
          </w:tcPr>
          <w:p w14:paraId="6FA3CA12">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用于口腔治疗操作中移开软组织，暴露视野。</w:t>
            </w:r>
          </w:p>
        </w:tc>
        <w:tc>
          <w:tcPr>
            <w:tcW w:w="1227" w:type="dxa"/>
            <w:tcBorders>
              <w:tl2br w:val="nil"/>
              <w:tr2bl w:val="nil"/>
            </w:tcBorders>
            <w:shd w:val="clear" w:color="auto" w:fill="auto"/>
            <w:vAlign w:val="center"/>
          </w:tcPr>
          <w:p w14:paraId="1B29A6C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口角拉钩  侧方</w:t>
            </w:r>
          </w:p>
        </w:tc>
        <w:tc>
          <w:tcPr>
            <w:tcW w:w="996" w:type="dxa"/>
            <w:tcBorders>
              <w:tl2br w:val="nil"/>
              <w:tr2bl w:val="nil"/>
            </w:tcBorders>
            <w:shd w:val="clear" w:color="auto" w:fill="auto"/>
            <w:vAlign w:val="center"/>
          </w:tcPr>
          <w:p w14:paraId="765E6B9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1281" w:type="dxa"/>
            <w:tcBorders>
              <w:tl2br w:val="nil"/>
              <w:tr2bl w:val="nil"/>
            </w:tcBorders>
            <w:shd w:val="clear" w:color="auto" w:fill="auto"/>
            <w:vAlign w:val="center"/>
          </w:tcPr>
          <w:p w14:paraId="2FA869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w:t>
            </w:r>
          </w:p>
        </w:tc>
        <w:tc>
          <w:tcPr>
            <w:tcW w:w="985" w:type="dxa"/>
            <w:tcBorders>
              <w:tl2br w:val="nil"/>
              <w:tr2bl w:val="nil"/>
            </w:tcBorders>
            <w:shd w:val="clear" w:color="auto" w:fill="auto"/>
            <w:vAlign w:val="center"/>
          </w:tcPr>
          <w:p w14:paraId="7AFD813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268" w:type="dxa"/>
            <w:tcBorders>
              <w:tl2br w:val="nil"/>
              <w:tr2bl w:val="nil"/>
            </w:tcBorders>
            <w:shd w:val="clear" w:color="auto" w:fill="auto"/>
            <w:vAlign w:val="center"/>
          </w:tcPr>
          <w:p w14:paraId="0E0C91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000" w:type="dxa"/>
            <w:tcBorders>
              <w:tl2br w:val="nil"/>
              <w:tr2bl w:val="nil"/>
            </w:tcBorders>
            <w:shd w:val="clear" w:color="auto" w:fill="auto"/>
            <w:vAlign w:val="center"/>
          </w:tcPr>
          <w:p w14:paraId="0F9435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15B534E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42E3CBA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唇颊牵开器(唇颊拉钩)</w:t>
            </w:r>
          </w:p>
        </w:tc>
        <w:tc>
          <w:tcPr>
            <w:tcW w:w="2636" w:type="dxa"/>
            <w:tcBorders>
              <w:tl2br w:val="nil"/>
              <w:tr2bl w:val="nil"/>
            </w:tcBorders>
            <w:shd w:val="clear" w:color="auto" w:fill="auto"/>
            <w:vAlign w:val="center"/>
          </w:tcPr>
          <w:p w14:paraId="0CBF7B2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用于口腔治疗操作中移开软组织，暴露视野。</w:t>
            </w:r>
          </w:p>
        </w:tc>
        <w:tc>
          <w:tcPr>
            <w:tcW w:w="1227" w:type="dxa"/>
            <w:tcBorders>
              <w:tl2br w:val="nil"/>
              <w:tr2bl w:val="nil"/>
            </w:tcBorders>
            <w:shd w:val="clear" w:color="auto" w:fill="auto"/>
            <w:vAlign w:val="center"/>
          </w:tcPr>
          <w:p w14:paraId="7EF1D9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69B5C7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1281" w:type="dxa"/>
            <w:tcBorders>
              <w:tl2br w:val="nil"/>
              <w:tr2bl w:val="nil"/>
            </w:tcBorders>
            <w:shd w:val="clear" w:color="auto" w:fill="auto"/>
            <w:vAlign w:val="center"/>
          </w:tcPr>
          <w:p w14:paraId="1E23C8B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288</w:t>
            </w:r>
          </w:p>
        </w:tc>
        <w:tc>
          <w:tcPr>
            <w:tcW w:w="985" w:type="dxa"/>
            <w:tcBorders>
              <w:tl2br w:val="nil"/>
              <w:tr2bl w:val="nil"/>
            </w:tcBorders>
            <w:shd w:val="clear" w:color="auto" w:fill="auto"/>
            <w:vAlign w:val="center"/>
          </w:tcPr>
          <w:p w14:paraId="6C4EDAF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268" w:type="dxa"/>
            <w:tcBorders>
              <w:tl2br w:val="nil"/>
              <w:tr2bl w:val="nil"/>
            </w:tcBorders>
            <w:shd w:val="clear" w:color="auto" w:fill="auto"/>
            <w:vAlign w:val="center"/>
          </w:tcPr>
          <w:p w14:paraId="2C0C78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000" w:type="dxa"/>
            <w:tcBorders>
              <w:tl2br w:val="nil"/>
              <w:tr2bl w:val="nil"/>
            </w:tcBorders>
            <w:shd w:val="clear" w:color="auto" w:fill="auto"/>
            <w:vAlign w:val="center"/>
          </w:tcPr>
          <w:p w14:paraId="6E056C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022CC52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459C17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口外正畸牵引装置(前方牵引器)</w:t>
            </w:r>
          </w:p>
        </w:tc>
        <w:tc>
          <w:tcPr>
            <w:tcW w:w="2636" w:type="dxa"/>
            <w:tcBorders>
              <w:tl2br w:val="nil"/>
              <w:tr2bl w:val="nil"/>
            </w:tcBorders>
            <w:shd w:val="clear" w:color="auto" w:fill="auto"/>
            <w:vAlign w:val="center"/>
          </w:tcPr>
          <w:p w14:paraId="54A4B54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产品供临床口腔正畸医师在对人体牙列矫正时作为辅助装置用。</w:t>
            </w:r>
          </w:p>
        </w:tc>
        <w:tc>
          <w:tcPr>
            <w:tcW w:w="1227" w:type="dxa"/>
            <w:tcBorders>
              <w:tl2br w:val="nil"/>
              <w:tr2bl w:val="nil"/>
            </w:tcBorders>
            <w:shd w:val="clear" w:color="auto" w:fill="auto"/>
            <w:vAlign w:val="center"/>
          </w:tcPr>
          <w:p w14:paraId="6F9A2B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132DBA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1281" w:type="dxa"/>
            <w:tcBorders>
              <w:tl2br w:val="nil"/>
              <w:tr2bl w:val="nil"/>
            </w:tcBorders>
            <w:shd w:val="clear" w:color="auto" w:fill="auto"/>
            <w:vAlign w:val="center"/>
          </w:tcPr>
          <w:p w14:paraId="08D46C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135</w:t>
            </w:r>
          </w:p>
        </w:tc>
        <w:tc>
          <w:tcPr>
            <w:tcW w:w="985" w:type="dxa"/>
            <w:tcBorders>
              <w:tl2br w:val="nil"/>
              <w:tr2bl w:val="nil"/>
            </w:tcBorders>
            <w:shd w:val="clear" w:color="auto" w:fill="auto"/>
            <w:vAlign w:val="center"/>
          </w:tcPr>
          <w:p w14:paraId="28605F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268" w:type="dxa"/>
            <w:tcBorders>
              <w:tl2br w:val="nil"/>
              <w:tr2bl w:val="nil"/>
            </w:tcBorders>
            <w:shd w:val="clear" w:color="auto" w:fill="auto"/>
            <w:vAlign w:val="center"/>
          </w:tcPr>
          <w:p w14:paraId="06DB76E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000" w:type="dxa"/>
            <w:tcBorders>
              <w:tl2br w:val="nil"/>
              <w:tr2bl w:val="nil"/>
            </w:tcBorders>
            <w:shd w:val="clear" w:color="auto" w:fill="auto"/>
            <w:vAlign w:val="center"/>
          </w:tcPr>
          <w:p w14:paraId="404AF4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4DAE7C9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556EFB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口腔正畸用反光镜</w:t>
            </w:r>
          </w:p>
        </w:tc>
        <w:tc>
          <w:tcPr>
            <w:tcW w:w="2636" w:type="dxa"/>
            <w:tcBorders>
              <w:tl2br w:val="nil"/>
              <w:tr2bl w:val="nil"/>
            </w:tcBorders>
            <w:shd w:val="clear" w:color="auto" w:fill="auto"/>
            <w:vAlign w:val="center"/>
          </w:tcPr>
          <w:p w14:paraId="1AED9F6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口腔正畸治疗辅助器械。一面为镜面。采用不锈钢材料制成。非无菌提供，可重复使用。</w:t>
            </w:r>
          </w:p>
        </w:tc>
        <w:tc>
          <w:tcPr>
            <w:tcW w:w="1227" w:type="dxa"/>
            <w:tcBorders>
              <w:tl2br w:val="nil"/>
              <w:tr2bl w:val="nil"/>
            </w:tcBorders>
            <w:shd w:val="clear" w:color="auto" w:fill="auto"/>
            <w:vAlign w:val="center"/>
          </w:tcPr>
          <w:p w14:paraId="25D06D5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6E96AF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块</w:t>
            </w:r>
          </w:p>
        </w:tc>
        <w:tc>
          <w:tcPr>
            <w:tcW w:w="1281" w:type="dxa"/>
            <w:tcBorders>
              <w:tl2br w:val="nil"/>
              <w:tr2bl w:val="nil"/>
            </w:tcBorders>
            <w:shd w:val="clear" w:color="auto" w:fill="auto"/>
            <w:vAlign w:val="center"/>
          </w:tcPr>
          <w:p w14:paraId="06A5292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180</w:t>
            </w:r>
          </w:p>
        </w:tc>
        <w:tc>
          <w:tcPr>
            <w:tcW w:w="985" w:type="dxa"/>
            <w:tcBorders>
              <w:tl2br w:val="nil"/>
              <w:tr2bl w:val="nil"/>
            </w:tcBorders>
            <w:shd w:val="clear" w:color="auto" w:fill="auto"/>
            <w:vAlign w:val="center"/>
          </w:tcPr>
          <w:p w14:paraId="2E3FDD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268" w:type="dxa"/>
            <w:tcBorders>
              <w:tl2br w:val="nil"/>
              <w:tr2bl w:val="nil"/>
            </w:tcBorders>
            <w:shd w:val="clear" w:color="auto" w:fill="auto"/>
            <w:vAlign w:val="center"/>
          </w:tcPr>
          <w:p w14:paraId="5E8FB42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000" w:type="dxa"/>
            <w:tcBorders>
              <w:tl2br w:val="nil"/>
              <w:tr2bl w:val="nil"/>
            </w:tcBorders>
            <w:shd w:val="clear" w:color="auto" w:fill="auto"/>
            <w:vAlign w:val="center"/>
          </w:tcPr>
          <w:p w14:paraId="789430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5C7BF17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7E2C04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正畸钳(末端切断钳)</w:t>
            </w:r>
          </w:p>
        </w:tc>
        <w:tc>
          <w:tcPr>
            <w:tcW w:w="2636" w:type="dxa"/>
            <w:tcBorders>
              <w:tl2br w:val="nil"/>
              <w:tr2bl w:val="nil"/>
            </w:tcBorders>
            <w:shd w:val="clear" w:color="auto" w:fill="auto"/>
            <w:vAlign w:val="center"/>
          </w:tcPr>
          <w:p w14:paraId="6F3B7D2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用于牙科临床中完成固定、止血、夹持、弯制、剪切和去除等操作。</w:t>
            </w:r>
          </w:p>
        </w:tc>
        <w:tc>
          <w:tcPr>
            <w:tcW w:w="1227" w:type="dxa"/>
            <w:tcBorders>
              <w:tl2br w:val="nil"/>
              <w:tr2bl w:val="nil"/>
            </w:tcBorders>
            <w:shd w:val="clear" w:color="auto" w:fill="auto"/>
            <w:vAlign w:val="center"/>
          </w:tcPr>
          <w:p w14:paraId="31CCF7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5B3A204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1281" w:type="dxa"/>
            <w:tcBorders>
              <w:tl2br w:val="nil"/>
              <w:tr2bl w:val="nil"/>
            </w:tcBorders>
            <w:shd w:val="clear" w:color="auto" w:fill="auto"/>
            <w:vAlign w:val="center"/>
          </w:tcPr>
          <w:p w14:paraId="408456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418.6</w:t>
            </w:r>
          </w:p>
        </w:tc>
        <w:tc>
          <w:tcPr>
            <w:tcW w:w="985" w:type="dxa"/>
            <w:tcBorders>
              <w:tl2br w:val="nil"/>
              <w:tr2bl w:val="nil"/>
            </w:tcBorders>
            <w:shd w:val="clear" w:color="auto" w:fill="auto"/>
            <w:vAlign w:val="center"/>
          </w:tcPr>
          <w:p w14:paraId="36FCEE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268" w:type="dxa"/>
            <w:tcBorders>
              <w:tl2br w:val="nil"/>
              <w:tr2bl w:val="nil"/>
            </w:tcBorders>
            <w:shd w:val="clear" w:color="auto" w:fill="auto"/>
            <w:vAlign w:val="center"/>
          </w:tcPr>
          <w:p w14:paraId="047D9ED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000" w:type="dxa"/>
            <w:tcBorders>
              <w:tl2br w:val="nil"/>
              <w:tr2bl w:val="nil"/>
            </w:tcBorders>
            <w:shd w:val="clear" w:color="auto" w:fill="auto"/>
            <w:vAlign w:val="center"/>
          </w:tcPr>
          <w:p w14:paraId="4867E0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16D4BA9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4E0176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正畸钳(托槽拆除钳)</w:t>
            </w:r>
          </w:p>
        </w:tc>
        <w:tc>
          <w:tcPr>
            <w:tcW w:w="2636" w:type="dxa"/>
            <w:tcBorders>
              <w:tl2br w:val="nil"/>
              <w:tr2bl w:val="nil"/>
            </w:tcBorders>
            <w:shd w:val="clear" w:color="auto" w:fill="auto"/>
            <w:vAlign w:val="center"/>
          </w:tcPr>
          <w:p w14:paraId="0D19095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用于牙科临床中完成固定、止血、夹持、弯制、剪切和去除等操作。</w:t>
            </w:r>
          </w:p>
        </w:tc>
        <w:tc>
          <w:tcPr>
            <w:tcW w:w="1227" w:type="dxa"/>
            <w:tcBorders>
              <w:tl2br w:val="nil"/>
              <w:tr2bl w:val="nil"/>
            </w:tcBorders>
            <w:shd w:val="clear" w:color="auto" w:fill="auto"/>
            <w:vAlign w:val="center"/>
          </w:tcPr>
          <w:p w14:paraId="58F9C87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697B096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1281" w:type="dxa"/>
            <w:tcBorders>
              <w:tl2br w:val="nil"/>
              <w:tr2bl w:val="nil"/>
            </w:tcBorders>
            <w:shd w:val="clear" w:color="auto" w:fill="auto"/>
            <w:vAlign w:val="center"/>
          </w:tcPr>
          <w:p w14:paraId="59BBE4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364</w:t>
            </w:r>
          </w:p>
        </w:tc>
        <w:tc>
          <w:tcPr>
            <w:tcW w:w="985" w:type="dxa"/>
            <w:tcBorders>
              <w:tl2br w:val="nil"/>
              <w:tr2bl w:val="nil"/>
            </w:tcBorders>
            <w:shd w:val="clear" w:color="auto" w:fill="auto"/>
            <w:vAlign w:val="center"/>
          </w:tcPr>
          <w:p w14:paraId="41488A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268" w:type="dxa"/>
            <w:tcBorders>
              <w:tl2br w:val="nil"/>
              <w:tr2bl w:val="nil"/>
            </w:tcBorders>
            <w:shd w:val="clear" w:color="auto" w:fill="auto"/>
            <w:vAlign w:val="center"/>
          </w:tcPr>
          <w:p w14:paraId="758007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000" w:type="dxa"/>
            <w:tcBorders>
              <w:tl2br w:val="nil"/>
              <w:tr2bl w:val="nil"/>
            </w:tcBorders>
            <w:shd w:val="clear" w:color="auto" w:fill="auto"/>
            <w:vAlign w:val="center"/>
          </w:tcPr>
          <w:p w14:paraId="7BCA62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6F45D4E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231FC5A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正畸钳(带环拆除钳)</w:t>
            </w:r>
          </w:p>
        </w:tc>
        <w:tc>
          <w:tcPr>
            <w:tcW w:w="2636" w:type="dxa"/>
            <w:tcBorders>
              <w:tl2br w:val="nil"/>
              <w:tr2bl w:val="nil"/>
            </w:tcBorders>
            <w:shd w:val="clear" w:color="auto" w:fill="auto"/>
            <w:vAlign w:val="center"/>
          </w:tcPr>
          <w:p w14:paraId="0A2CD5E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用于牙科临床中完成固定、止血、夹持、弯制、剪切和去除等操作。</w:t>
            </w:r>
          </w:p>
        </w:tc>
        <w:tc>
          <w:tcPr>
            <w:tcW w:w="1227" w:type="dxa"/>
            <w:tcBorders>
              <w:tl2br w:val="nil"/>
              <w:tr2bl w:val="nil"/>
            </w:tcBorders>
            <w:shd w:val="clear" w:color="auto" w:fill="auto"/>
            <w:vAlign w:val="center"/>
          </w:tcPr>
          <w:p w14:paraId="6BCD9E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69608F5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1281" w:type="dxa"/>
            <w:tcBorders>
              <w:tl2br w:val="nil"/>
              <w:tr2bl w:val="nil"/>
            </w:tcBorders>
            <w:shd w:val="clear" w:color="auto" w:fill="auto"/>
            <w:vAlign w:val="center"/>
          </w:tcPr>
          <w:p w14:paraId="6BA0CA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364</w:t>
            </w:r>
          </w:p>
        </w:tc>
        <w:tc>
          <w:tcPr>
            <w:tcW w:w="985" w:type="dxa"/>
            <w:tcBorders>
              <w:tl2br w:val="nil"/>
              <w:tr2bl w:val="nil"/>
            </w:tcBorders>
            <w:shd w:val="clear" w:color="auto" w:fill="auto"/>
            <w:vAlign w:val="center"/>
          </w:tcPr>
          <w:p w14:paraId="78F16F0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268" w:type="dxa"/>
            <w:tcBorders>
              <w:tl2br w:val="nil"/>
              <w:tr2bl w:val="nil"/>
            </w:tcBorders>
            <w:shd w:val="clear" w:color="auto" w:fill="auto"/>
            <w:vAlign w:val="center"/>
          </w:tcPr>
          <w:p w14:paraId="6BC74B1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000" w:type="dxa"/>
            <w:tcBorders>
              <w:tl2br w:val="nil"/>
              <w:tr2bl w:val="nil"/>
            </w:tcBorders>
            <w:shd w:val="clear" w:color="auto" w:fill="auto"/>
            <w:vAlign w:val="center"/>
          </w:tcPr>
          <w:p w14:paraId="406DE5D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2227314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49FAE7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正畸钳(颊面管顶盖去除钳)</w:t>
            </w:r>
          </w:p>
        </w:tc>
        <w:tc>
          <w:tcPr>
            <w:tcW w:w="2636" w:type="dxa"/>
            <w:tcBorders>
              <w:tl2br w:val="nil"/>
              <w:tr2bl w:val="nil"/>
            </w:tcBorders>
            <w:shd w:val="clear" w:color="auto" w:fill="auto"/>
            <w:vAlign w:val="center"/>
          </w:tcPr>
          <w:p w14:paraId="395F745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用于牙科临床中完成固定、止血、夹持、弯制、剪切和去除等操作。</w:t>
            </w:r>
          </w:p>
        </w:tc>
        <w:tc>
          <w:tcPr>
            <w:tcW w:w="1227" w:type="dxa"/>
            <w:tcBorders>
              <w:tl2br w:val="nil"/>
              <w:tr2bl w:val="nil"/>
            </w:tcBorders>
            <w:shd w:val="clear" w:color="auto" w:fill="auto"/>
            <w:vAlign w:val="center"/>
          </w:tcPr>
          <w:p w14:paraId="401177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4B440B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1281" w:type="dxa"/>
            <w:tcBorders>
              <w:tl2br w:val="nil"/>
              <w:tr2bl w:val="nil"/>
            </w:tcBorders>
            <w:shd w:val="clear" w:color="auto" w:fill="auto"/>
            <w:vAlign w:val="center"/>
          </w:tcPr>
          <w:p w14:paraId="76F8CB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488.6</w:t>
            </w:r>
          </w:p>
        </w:tc>
        <w:tc>
          <w:tcPr>
            <w:tcW w:w="985" w:type="dxa"/>
            <w:tcBorders>
              <w:tl2br w:val="nil"/>
              <w:tr2bl w:val="nil"/>
            </w:tcBorders>
            <w:shd w:val="clear" w:color="auto" w:fill="auto"/>
            <w:vAlign w:val="center"/>
          </w:tcPr>
          <w:p w14:paraId="0FFC364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268" w:type="dxa"/>
            <w:tcBorders>
              <w:tl2br w:val="nil"/>
              <w:tr2bl w:val="nil"/>
            </w:tcBorders>
            <w:shd w:val="clear" w:color="auto" w:fill="auto"/>
            <w:vAlign w:val="center"/>
          </w:tcPr>
          <w:p w14:paraId="30AD63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000" w:type="dxa"/>
            <w:tcBorders>
              <w:tl2br w:val="nil"/>
              <w:tr2bl w:val="nil"/>
            </w:tcBorders>
            <w:shd w:val="clear" w:color="auto" w:fill="auto"/>
            <w:vAlign w:val="center"/>
          </w:tcPr>
          <w:p w14:paraId="4A97D9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67707D5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2D9B70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正畸带环就位器(带环推)</w:t>
            </w:r>
          </w:p>
        </w:tc>
        <w:tc>
          <w:tcPr>
            <w:tcW w:w="2636" w:type="dxa"/>
            <w:tcBorders>
              <w:tl2br w:val="nil"/>
              <w:tr2bl w:val="nil"/>
            </w:tcBorders>
            <w:shd w:val="clear" w:color="auto" w:fill="auto"/>
            <w:vAlign w:val="center"/>
          </w:tcPr>
          <w:p w14:paraId="6F9A8F0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用于口腔正畸治疗时推压带环，使带环于牙冠的适当位置就位。</w:t>
            </w:r>
          </w:p>
        </w:tc>
        <w:tc>
          <w:tcPr>
            <w:tcW w:w="1227" w:type="dxa"/>
            <w:tcBorders>
              <w:tl2br w:val="nil"/>
              <w:tr2bl w:val="nil"/>
            </w:tcBorders>
            <w:shd w:val="clear" w:color="auto" w:fill="auto"/>
            <w:vAlign w:val="center"/>
          </w:tcPr>
          <w:p w14:paraId="64D43B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4DE00C6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1281" w:type="dxa"/>
            <w:tcBorders>
              <w:tl2br w:val="nil"/>
              <w:tr2bl w:val="nil"/>
            </w:tcBorders>
            <w:shd w:val="clear" w:color="auto" w:fill="auto"/>
            <w:vAlign w:val="center"/>
          </w:tcPr>
          <w:p w14:paraId="65B19C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50.4</w:t>
            </w:r>
          </w:p>
        </w:tc>
        <w:tc>
          <w:tcPr>
            <w:tcW w:w="985" w:type="dxa"/>
            <w:tcBorders>
              <w:tl2br w:val="nil"/>
              <w:tr2bl w:val="nil"/>
            </w:tcBorders>
            <w:shd w:val="clear" w:color="auto" w:fill="auto"/>
            <w:vAlign w:val="center"/>
          </w:tcPr>
          <w:p w14:paraId="2A4EF23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268" w:type="dxa"/>
            <w:tcBorders>
              <w:tl2br w:val="nil"/>
              <w:tr2bl w:val="nil"/>
            </w:tcBorders>
            <w:shd w:val="clear" w:color="auto" w:fill="auto"/>
            <w:vAlign w:val="center"/>
          </w:tcPr>
          <w:p w14:paraId="4BCD1E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000" w:type="dxa"/>
            <w:tcBorders>
              <w:tl2br w:val="nil"/>
              <w:tr2bl w:val="nil"/>
            </w:tcBorders>
            <w:shd w:val="clear" w:color="auto" w:fill="auto"/>
            <w:vAlign w:val="center"/>
          </w:tcPr>
          <w:p w14:paraId="3BA2C0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62889E2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4961DE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托槽定位器</w:t>
            </w:r>
          </w:p>
        </w:tc>
        <w:tc>
          <w:tcPr>
            <w:tcW w:w="2636" w:type="dxa"/>
            <w:tcBorders>
              <w:tl2br w:val="nil"/>
              <w:tr2bl w:val="nil"/>
            </w:tcBorders>
            <w:shd w:val="clear" w:color="auto" w:fill="auto"/>
            <w:vAlign w:val="center"/>
          </w:tcPr>
          <w:p w14:paraId="7CBA578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用于口腔正畸过程中粘贴托槽前进行定位。</w:t>
            </w:r>
          </w:p>
        </w:tc>
        <w:tc>
          <w:tcPr>
            <w:tcW w:w="1227" w:type="dxa"/>
            <w:tcBorders>
              <w:tl2br w:val="nil"/>
              <w:tr2bl w:val="nil"/>
            </w:tcBorders>
            <w:shd w:val="clear" w:color="auto" w:fill="auto"/>
            <w:vAlign w:val="center"/>
          </w:tcPr>
          <w:p w14:paraId="12DD37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042C63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1281" w:type="dxa"/>
            <w:tcBorders>
              <w:tl2br w:val="nil"/>
              <w:tr2bl w:val="nil"/>
            </w:tcBorders>
            <w:shd w:val="clear" w:color="auto" w:fill="auto"/>
            <w:vAlign w:val="center"/>
          </w:tcPr>
          <w:p w14:paraId="1ABD04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89.6</w:t>
            </w:r>
          </w:p>
        </w:tc>
        <w:tc>
          <w:tcPr>
            <w:tcW w:w="985" w:type="dxa"/>
            <w:tcBorders>
              <w:tl2br w:val="nil"/>
              <w:tr2bl w:val="nil"/>
            </w:tcBorders>
            <w:shd w:val="clear" w:color="auto" w:fill="auto"/>
            <w:vAlign w:val="center"/>
          </w:tcPr>
          <w:p w14:paraId="42FB44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268" w:type="dxa"/>
            <w:tcBorders>
              <w:tl2br w:val="nil"/>
              <w:tr2bl w:val="nil"/>
            </w:tcBorders>
            <w:shd w:val="clear" w:color="auto" w:fill="auto"/>
            <w:vAlign w:val="center"/>
          </w:tcPr>
          <w:p w14:paraId="750ED7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000" w:type="dxa"/>
            <w:tcBorders>
              <w:tl2br w:val="nil"/>
              <w:tr2bl w:val="nil"/>
            </w:tcBorders>
            <w:shd w:val="clear" w:color="auto" w:fill="auto"/>
            <w:vAlign w:val="center"/>
          </w:tcPr>
          <w:p w14:paraId="73F45A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450AE06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5252C5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方丝弓成型器</w:t>
            </w:r>
          </w:p>
        </w:tc>
        <w:tc>
          <w:tcPr>
            <w:tcW w:w="2636" w:type="dxa"/>
            <w:tcBorders>
              <w:tl2br w:val="nil"/>
              <w:tr2bl w:val="nil"/>
            </w:tcBorders>
            <w:shd w:val="clear" w:color="auto" w:fill="auto"/>
            <w:vAlign w:val="center"/>
          </w:tcPr>
          <w:p w14:paraId="3BC8B23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由压柄、槽柄、转轴、压针、卡环组成。压柄、槽柄表面为直槽、圈槽或网纹。采用不锈钢材料制成。非无菌提供，可重复使用。</w:t>
            </w:r>
          </w:p>
        </w:tc>
        <w:tc>
          <w:tcPr>
            <w:tcW w:w="1227" w:type="dxa"/>
            <w:tcBorders>
              <w:tl2br w:val="nil"/>
              <w:tr2bl w:val="nil"/>
            </w:tcBorders>
            <w:shd w:val="clear" w:color="auto" w:fill="auto"/>
            <w:vAlign w:val="center"/>
          </w:tcPr>
          <w:p w14:paraId="7060FC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5B27A7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1281" w:type="dxa"/>
            <w:tcBorders>
              <w:tl2br w:val="nil"/>
              <w:tr2bl w:val="nil"/>
            </w:tcBorders>
            <w:shd w:val="clear" w:color="auto" w:fill="auto"/>
            <w:vAlign w:val="center"/>
          </w:tcPr>
          <w:p w14:paraId="2C2BA5B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270</w:t>
            </w:r>
          </w:p>
        </w:tc>
        <w:tc>
          <w:tcPr>
            <w:tcW w:w="985" w:type="dxa"/>
            <w:tcBorders>
              <w:tl2br w:val="nil"/>
              <w:tr2bl w:val="nil"/>
            </w:tcBorders>
            <w:shd w:val="clear" w:color="auto" w:fill="auto"/>
            <w:vAlign w:val="center"/>
          </w:tcPr>
          <w:p w14:paraId="548199B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268" w:type="dxa"/>
            <w:tcBorders>
              <w:tl2br w:val="nil"/>
              <w:tr2bl w:val="nil"/>
            </w:tcBorders>
            <w:shd w:val="clear" w:color="auto" w:fill="auto"/>
            <w:vAlign w:val="center"/>
          </w:tcPr>
          <w:p w14:paraId="69E088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000" w:type="dxa"/>
            <w:tcBorders>
              <w:tl2br w:val="nil"/>
              <w:tr2bl w:val="nil"/>
            </w:tcBorders>
            <w:shd w:val="clear" w:color="auto" w:fill="auto"/>
            <w:vAlign w:val="center"/>
          </w:tcPr>
          <w:p w14:paraId="0E01BD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74C9F72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6671BC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牙用测力计</w:t>
            </w:r>
          </w:p>
        </w:tc>
        <w:tc>
          <w:tcPr>
            <w:tcW w:w="2636" w:type="dxa"/>
            <w:tcBorders>
              <w:tl2br w:val="nil"/>
              <w:tr2bl w:val="nil"/>
            </w:tcBorders>
            <w:shd w:val="clear" w:color="auto" w:fill="auto"/>
            <w:vAlign w:val="center"/>
          </w:tcPr>
          <w:p w14:paraId="12F3A10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用于测量口腔力度参数。</w:t>
            </w:r>
          </w:p>
        </w:tc>
        <w:tc>
          <w:tcPr>
            <w:tcW w:w="1227" w:type="dxa"/>
            <w:tcBorders>
              <w:tl2br w:val="nil"/>
              <w:tr2bl w:val="nil"/>
            </w:tcBorders>
            <w:shd w:val="clear" w:color="auto" w:fill="auto"/>
            <w:vAlign w:val="center"/>
          </w:tcPr>
          <w:p w14:paraId="017A6CD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测力范围0-500g</w:t>
            </w:r>
          </w:p>
        </w:tc>
        <w:tc>
          <w:tcPr>
            <w:tcW w:w="996" w:type="dxa"/>
            <w:tcBorders>
              <w:tl2br w:val="nil"/>
              <w:tr2bl w:val="nil"/>
            </w:tcBorders>
            <w:shd w:val="clear" w:color="auto" w:fill="auto"/>
            <w:vAlign w:val="center"/>
          </w:tcPr>
          <w:p w14:paraId="18CEED4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1281" w:type="dxa"/>
            <w:tcBorders>
              <w:tl2br w:val="nil"/>
              <w:tr2bl w:val="nil"/>
            </w:tcBorders>
            <w:shd w:val="clear" w:color="auto" w:fill="auto"/>
            <w:vAlign w:val="center"/>
          </w:tcPr>
          <w:p w14:paraId="2DBD78F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182</w:t>
            </w:r>
          </w:p>
        </w:tc>
        <w:tc>
          <w:tcPr>
            <w:tcW w:w="985" w:type="dxa"/>
            <w:tcBorders>
              <w:tl2br w:val="nil"/>
              <w:tr2bl w:val="nil"/>
            </w:tcBorders>
            <w:shd w:val="clear" w:color="auto" w:fill="auto"/>
            <w:vAlign w:val="center"/>
          </w:tcPr>
          <w:p w14:paraId="1E7953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268" w:type="dxa"/>
            <w:tcBorders>
              <w:tl2br w:val="nil"/>
              <w:tr2bl w:val="nil"/>
            </w:tcBorders>
            <w:shd w:val="clear" w:color="auto" w:fill="auto"/>
            <w:vAlign w:val="center"/>
          </w:tcPr>
          <w:p w14:paraId="679EB6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000" w:type="dxa"/>
            <w:tcBorders>
              <w:tl2br w:val="nil"/>
              <w:tr2bl w:val="nil"/>
            </w:tcBorders>
            <w:shd w:val="clear" w:color="auto" w:fill="auto"/>
            <w:vAlign w:val="center"/>
          </w:tcPr>
          <w:p w14:paraId="1B0D854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0FC9023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150BFBF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牙科测量尺</w:t>
            </w:r>
          </w:p>
        </w:tc>
        <w:tc>
          <w:tcPr>
            <w:tcW w:w="2636" w:type="dxa"/>
            <w:tcBorders>
              <w:tl2br w:val="nil"/>
              <w:tr2bl w:val="nil"/>
            </w:tcBorders>
            <w:shd w:val="clear" w:color="auto" w:fill="auto"/>
            <w:vAlign w:val="center"/>
          </w:tcPr>
          <w:p w14:paraId="405B97A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用于测量口腔中间隙、深度等参数。</w:t>
            </w:r>
          </w:p>
        </w:tc>
        <w:tc>
          <w:tcPr>
            <w:tcW w:w="1227" w:type="dxa"/>
            <w:tcBorders>
              <w:tl2br w:val="nil"/>
              <w:tr2bl w:val="nil"/>
            </w:tcBorders>
            <w:shd w:val="clear" w:color="auto" w:fill="auto"/>
            <w:vAlign w:val="center"/>
          </w:tcPr>
          <w:p w14:paraId="78F541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42EF07F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1281" w:type="dxa"/>
            <w:tcBorders>
              <w:tl2br w:val="nil"/>
              <w:tr2bl w:val="nil"/>
            </w:tcBorders>
            <w:shd w:val="clear" w:color="auto" w:fill="auto"/>
            <w:vAlign w:val="center"/>
          </w:tcPr>
          <w:p w14:paraId="61AEDD6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208.6</w:t>
            </w:r>
          </w:p>
        </w:tc>
        <w:tc>
          <w:tcPr>
            <w:tcW w:w="985" w:type="dxa"/>
            <w:tcBorders>
              <w:tl2br w:val="nil"/>
              <w:tr2bl w:val="nil"/>
            </w:tcBorders>
            <w:shd w:val="clear" w:color="auto" w:fill="auto"/>
            <w:vAlign w:val="center"/>
          </w:tcPr>
          <w:p w14:paraId="1639A95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268" w:type="dxa"/>
            <w:tcBorders>
              <w:tl2br w:val="nil"/>
              <w:tr2bl w:val="nil"/>
            </w:tcBorders>
            <w:shd w:val="clear" w:color="auto" w:fill="auto"/>
            <w:vAlign w:val="center"/>
          </w:tcPr>
          <w:p w14:paraId="379389F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000" w:type="dxa"/>
            <w:tcBorders>
              <w:tl2br w:val="nil"/>
              <w:tr2bl w:val="nil"/>
            </w:tcBorders>
            <w:shd w:val="clear" w:color="auto" w:fill="auto"/>
            <w:vAlign w:val="center"/>
          </w:tcPr>
          <w:p w14:paraId="0AF3D7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2416009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174798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牙科测量尺(牙间隙塞尺)</w:t>
            </w:r>
          </w:p>
        </w:tc>
        <w:tc>
          <w:tcPr>
            <w:tcW w:w="2636" w:type="dxa"/>
            <w:tcBorders>
              <w:tl2br w:val="nil"/>
              <w:tr2bl w:val="nil"/>
            </w:tcBorders>
            <w:shd w:val="clear" w:color="auto" w:fill="auto"/>
            <w:vAlign w:val="center"/>
          </w:tcPr>
          <w:p w14:paraId="6FC2EA1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用于测量口腔中间隙、深度等参数。</w:t>
            </w:r>
          </w:p>
        </w:tc>
        <w:tc>
          <w:tcPr>
            <w:tcW w:w="1227" w:type="dxa"/>
            <w:tcBorders>
              <w:tl2br w:val="nil"/>
              <w:tr2bl w:val="nil"/>
            </w:tcBorders>
            <w:shd w:val="clear" w:color="auto" w:fill="auto"/>
            <w:vAlign w:val="center"/>
          </w:tcPr>
          <w:p w14:paraId="7672A5A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683342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1281" w:type="dxa"/>
            <w:tcBorders>
              <w:tl2br w:val="nil"/>
              <w:tr2bl w:val="nil"/>
            </w:tcBorders>
            <w:shd w:val="clear" w:color="auto" w:fill="auto"/>
            <w:vAlign w:val="center"/>
          </w:tcPr>
          <w:p w14:paraId="426062F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w:t>
            </w:r>
          </w:p>
        </w:tc>
        <w:tc>
          <w:tcPr>
            <w:tcW w:w="985" w:type="dxa"/>
            <w:tcBorders>
              <w:tl2br w:val="nil"/>
              <w:tr2bl w:val="nil"/>
            </w:tcBorders>
            <w:shd w:val="clear" w:color="auto" w:fill="auto"/>
            <w:vAlign w:val="center"/>
          </w:tcPr>
          <w:p w14:paraId="360DC9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268" w:type="dxa"/>
            <w:tcBorders>
              <w:tl2br w:val="nil"/>
              <w:tr2bl w:val="nil"/>
            </w:tcBorders>
            <w:shd w:val="clear" w:color="auto" w:fill="auto"/>
            <w:vAlign w:val="center"/>
          </w:tcPr>
          <w:p w14:paraId="720C1E4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000" w:type="dxa"/>
            <w:tcBorders>
              <w:tl2br w:val="nil"/>
              <w:tr2bl w:val="nil"/>
            </w:tcBorders>
            <w:shd w:val="clear" w:color="auto" w:fill="auto"/>
            <w:vAlign w:val="center"/>
          </w:tcPr>
          <w:p w14:paraId="31529F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1327209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72BCAE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牙科测量尺(分规式测量尺)</w:t>
            </w:r>
          </w:p>
        </w:tc>
        <w:tc>
          <w:tcPr>
            <w:tcW w:w="2636" w:type="dxa"/>
            <w:tcBorders>
              <w:tl2br w:val="nil"/>
              <w:tr2bl w:val="nil"/>
            </w:tcBorders>
            <w:shd w:val="clear" w:color="auto" w:fill="auto"/>
            <w:vAlign w:val="center"/>
          </w:tcPr>
          <w:p w14:paraId="17CA8C8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用于测量口腔中间隙、深度等参数。</w:t>
            </w:r>
          </w:p>
        </w:tc>
        <w:tc>
          <w:tcPr>
            <w:tcW w:w="1227" w:type="dxa"/>
            <w:tcBorders>
              <w:tl2br w:val="nil"/>
              <w:tr2bl w:val="nil"/>
            </w:tcBorders>
            <w:shd w:val="clear" w:color="auto" w:fill="auto"/>
            <w:vAlign w:val="center"/>
          </w:tcPr>
          <w:p w14:paraId="731553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13FE13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1281" w:type="dxa"/>
            <w:tcBorders>
              <w:tl2br w:val="nil"/>
              <w:tr2bl w:val="nil"/>
            </w:tcBorders>
            <w:shd w:val="clear" w:color="auto" w:fill="auto"/>
            <w:vAlign w:val="center"/>
          </w:tcPr>
          <w:p w14:paraId="00FFD1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544</w:t>
            </w:r>
          </w:p>
        </w:tc>
        <w:tc>
          <w:tcPr>
            <w:tcW w:w="985" w:type="dxa"/>
            <w:tcBorders>
              <w:tl2br w:val="nil"/>
              <w:tr2bl w:val="nil"/>
            </w:tcBorders>
            <w:shd w:val="clear" w:color="auto" w:fill="auto"/>
            <w:vAlign w:val="center"/>
          </w:tcPr>
          <w:p w14:paraId="71AE15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268" w:type="dxa"/>
            <w:tcBorders>
              <w:tl2br w:val="nil"/>
              <w:tr2bl w:val="nil"/>
            </w:tcBorders>
            <w:shd w:val="clear" w:color="auto" w:fill="auto"/>
            <w:vAlign w:val="center"/>
          </w:tcPr>
          <w:p w14:paraId="49E108D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000" w:type="dxa"/>
            <w:tcBorders>
              <w:tl2br w:val="nil"/>
              <w:tr2bl w:val="nil"/>
            </w:tcBorders>
            <w:shd w:val="clear" w:color="auto" w:fill="auto"/>
            <w:vAlign w:val="center"/>
          </w:tcPr>
          <w:p w14:paraId="083291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46F4392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FFFFFF"/>
            <w:vAlign w:val="center"/>
          </w:tcPr>
          <w:p w14:paraId="7FED31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楔子(带孔塑料楔子)</w:t>
            </w:r>
          </w:p>
        </w:tc>
        <w:tc>
          <w:tcPr>
            <w:tcW w:w="2636" w:type="dxa"/>
            <w:tcBorders>
              <w:tl2br w:val="nil"/>
              <w:tr2bl w:val="nil"/>
            </w:tcBorders>
            <w:shd w:val="clear" w:color="auto" w:fill="FFFFFF"/>
            <w:vAlign w:val="center"/>
          </w:tcPr>
          <w:p w14:paraId="748D62E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口腔治疗时起隔离作用或辅助修复体成形作用。</w:t>
            </w:r>
          </w:p>
        </w:tc>
        <w:tc>
          <w:tcPr>
            <w:tcW w:w="1227" w:type="dxa"/>
            <w:tcBorders>
              <w:tl2br w:val="nil"/>
              <w:tr2bl w:val="nil"/>
            </w:tcBorders>
            <w:shd w:val="clear" w:color="auto" w:fill="FFFFFF"/>
            <w:vAlign w:val="center"/>
          </w:tcPr>
          <w:p w14:paraId="70E55E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FFFFFF"/>
            <w:vAlign w:val="center"/>
          </w:tcPr>
          <w:p w14:paraId="0EED7F0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1281" w:type="dxa"/>
            <w:tcBorders>
              <w:tl2br w:val="nil"/>
              <w:tr2bl w:val="nil"/>
            </w:tcBorders>
            <w:shd w:val="clear" w:color="auto" w:fill="FFFFFF"/>
            <w:vAlign w:val="center"/>
          </w:tcPr>
          <w:p w14:paraId="0318118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0.18</w:t>
            </w:r>
          </w:p>
        </w:tc>
        <w:tc>
          <w:tcPr>
            <w:tcW w:w="985" w:type="dxa"/>
            <w:tcBorders>
              <w:tl2br w:val="nil"/>
              <w:tr2bl w:val="nil"/>
            </w:tcBorders>
            <w:shd w:val="clear" w:color="auto" w:fill="FFFFFF"/>
            <w:vAlign w:val="center"/>
          </w:tcPr>
          <w:p w14:paraId="450191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3400</w:t>
            </w:r>
          </w:p>
        </w:tc>
        <w:tc>
          <w:tcPr>
            <w:tcW w:w="1268" w:type="dxa"/>
            <w:tcBorders>
              <w:tl2br w:val="nil"/>
              <w:tr2bl w:val="nil"/>
            </w:tcBorders>
            <w:shd w:val="clear" w:color="auto" w:fill="auto"/>
            <w:vAlign w:val="center"/>
          </w:tcPr>
          <w:p w14:paraId="6723F47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612</w:t>
            </w:r>
          </w:p>
        </w:tc>
        <w:tc>
          <w:tcPr>
            <w:tcW w:w="1000" w:type="dxa"/>
            <w:tcBorders>
              <w:tl2br w:val="nil"/>
              <w:tr2bl w:val="nil"/>
            </w:tcBorders>
            <w:shd w:val="clear" w:color="auto" w:fill="FFFFFF"/>
            <w:vAlign w:val="center"/>
          </w:tcPr>
          <w:p w14:paraId="4B827C1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0E2D65D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FFFFFF"/>
            <w:vAlign w:val="center"/>
          </w:tcPr>
          <w:p w14:paraId="68EE6D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楔子(普通塑料楔子)</w:t>
            </w:r>
          </w:p>
        </w:tc>
        <w:tc>
          <w:tcPr>
            <w:tcW w:w="2636" w:type="dxa"/>
            <w:tcBorders>
              <w:tl2br w:val="nil"/>
              <w:tr2bl w:val="nil"/>
            </w:tcBorders>
            <w:shd w:val="clear" w:color="auto" w:fill="FFFFFF"/>
            <w:vAlign w:val="center"/>
          </w:tcPr>
          <w:p w14:paraId="02CBBC0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口腔治疗时起隔离作用或辅助修复体成形作用。</w:t>
            </w:r>
          </w:p>
        </w:tc>
        <w:tc>
          <w:tcPr>
            <w:tcW w:w="1227" w:type="dxa"/>
            <w:tcBorders>
              <w:tl2br w:val="nil"/>
              <w:tr2bl w:val="nil"/>
            </w:tcBorders>
            <w:shd w:val="clear" w:color="auto" w:fill="FFFFFF"/>
            <w:vAlign w:val="center"/>
          </w:tcPr>
          <w:p w14:paraId="0EF1EB4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FFFFFF"/>
            <w:vAlign w:val="center"/>
          </w:tcPr>
          <w:p w14:paraId="49B689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1281" w:type="dxa"/>
            <w:tcBorders>
              <w:tl2br w:val="nil"/>
              <w:tr2bl w:val="nil"/>
            </w:tcBorders>
            <w:shd w:val="clear" w:color="auto" w:fill="FFFFFF"/>
            <w:vAlign w:val="center"/>
          </w:tcPr>
          <w:p w14:paraId="2D852A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0.16</w:t>
            </w:r>
          </w:p>
        </w:tc>
        <w:tc>
          <w:tcPr>
            <w:tcW w:w="985" w:type="dxa"/>
            <w:tcBorders>
              <w:tl2br w:val="nil"/>
              <w:tr2bl w:val="nil"/>
            </w:tcBorders>
            <w:shd w:val="clear" w:color="auto" w:fill="FFFFFF"/>
            <w:vAlign w:val="center"/>
          </w:tcPr>
          <w:p w14:paraId="5F4D520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200</w:t>
            </w:r>
          </w:p>
        </w:tc>
        <w:tc>
          <w:tcPr>
            <w:tcW w:w="1268" w:type="dxa"/>
            <w:tcBorders>
              <w:tl2br w:val="nil"/>
              <w:tr2bl w:val="nil"/>
            </w:tcBorders>
            <w:shd w:val="clear" w:color="auto" w:fill="auto"/>
            <w:vAlign w:val="center"/>
          </w:tcPr>
          <w:p w14:paraId="302A58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1000" w:type="dxa"/>
            <w:tcBorders>
              <w:tl2br w:val="nil"/>
              <w:tr2bl w:val="nil"/>
            </w:tcBorders>
            <w:shd w:val="clear" w:color="auto" w:fill="FFFFFF"/>
            <w:vAlign w:val="center"/>
          </w:tcPr>
          <w:p w14:paraId="72431F7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596B902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FFFFFF"/>
            <w:vAlign w:val="center"/>
          </w:tcPr>
          <w:p w14:paraId="72EF1C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橡皮障支架(面弓)</w:t>
            </w:r>
          </w:p>
        </w:tc>
        <w:tc>
          <w:tcPr>
            <w:tcW w:w="2636" w:type="dxa"/>
            <w:tcBorders>
              <w:tl2br w:val="nil"/>
              <w:tr2bl w:val="nil"/>
            </w:tcBorders>
            <w:shd w:val="clear" w:color="auto" w:fill="FFFFFF"/>
            <w:vAlign w:val="center"/>
          </w:tcPr>
          <w:p w14:paraId="5F3120C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安装橡皮障的基础架。</w:t>
            </w:r>
          </w:p>
        </w:tc>
        <w:tc>
          <w:tcPr>
            <w:tcW w:w="1227" w:type="dxa"/>
            <w:tcBorders>
              <w:tl2br w:val="nil"/>
              <w:tr2bl w:val="nil"/>
            </w:tcBorders>
            <w:shd w:val="clear" w:color="auto" w:fill="FFFFFF"/>
            <w:vAlign w:val="center"/>
          </w:tcPr>
          <w:p w14:paraId="499C3F2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FFFFFF"/>
            <w:vAlign w:val="center"/>
          </w:tcPr>
          <w:p w14:paraId="61278F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1281" w:type="dxa"/>
            <w:tcBorders>
              <w:tl2br w:val="nil"/>
              <w:tr2bl w:val="nil"/>
            </w:tcBorders>
            <w:shd w:val="clear" w:color="auto" w:fill="FFFFFF"/>
            <w:vAlign w:val="center"/>
          </w:tcPr>
          <w:p w14:paraId="00E688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220</w:t>
            </w:r>
          </w:p>
        </w:tc>
        <w:tc>
          <w:tcPr>
            <w:tcW w:w="985" w:type="dxa"/>
            <w:tcBorders>
              <w:tl2br w:val="nil"/>
              <w:tr2bl w:val="nil"/>
            </w:tcBorders>
            <w:shd w:val="clear" w:color="auto" w:fill="FFFFFF"/>
            <w:vAlign w:val="center"/>
          </w:tcPr>
          <w:p w14:paraId="3B94940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268" w:type="dxa"/>
            <w:tcBorders>
              <w:tl2br w:val="nil"/>
              <w:tr2bl w:val="nil"/>
            </w:tcBorders>
            <w:shd w:val="clear" w:color="auto" w:fill="auto"/>
            <w:vAlign w:val="center"/>
          </w:tcPr>
          <w:p w14:paraId="3439898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220</w:t>
            </w:r>
          </w:p>
        </w:tc>
        <w:tc>
          <w:tcPr>
            <w:tcW w:w="1000" w:type="dxa"/>
            <w:tcBorders>
              <w:tl2br w:val="nil"/>
              <w:tr2bl w:val="nil"/>
            </w:tcBorders>
            <w:shd w:val="clear" w:color="auto" w:fill="FFFFFF"/>
            <w:vAlign w:val="center"/>
          </w:tcPr>
          <w:p w14:paraId="5C49E75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是</w:t>
            </w:r>
          </w:p>
        </w:tc>
      </w:tr>
      <w:tr w14:paraId="1B7D237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1E007E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橡皮障夹(蝴蝶夹)</w:t>
            </w:r>
          </w:p>
        </w:tc>
        <w:tc>
          <w:tcPr>
            <w:tcW w:w="2636" w:type="dxa"/>
            <w:tcBorders>
              <w:tl2br w:val="nil"/>
              <w:tr2bl w:val="nil"/>
            </w:tcBorders>
            <w:shd w:val="clear" w:color="auto" w:fill="auto"/>
            <w:vAlign w:val="center"/>
          </w:tcPr>
          <w:p w14:paraId="232AAB8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前磨牙和下颌切牙夹。</w:t>
            </w:r>
          </w:p>
        </w:tc>
        <w:tc>
          <w:tcPr>
            <w:tcW w:w="1227" w:type="dxa"/>
            <w:tcBorders>
              <w:tl2br w:val="nil"/>
              <w:tr2bl w:val="nil"/>
            </w:tcBorders>
            <w:shd w:val="clear" w:color="auto" w:fill="auto"/>
            <w:vAlign w:val="center"/>
          </w:tcPr>
          <w:p w14:paraId="069E36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747E5E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1281" w:type="dxa"/>
            <w:tcBorders>
              <w:tl2br w:val="nil"/>
              <w:tr2bl w:val="nil"/>
            </w:tcBorders>
            <w:shd w:val="clear" w:color="auto" w:fill="auto"/>
            <w:vAlign w:val="center"/>
          </w:tcPr>
          <w:p w14:paraId="05F68C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108</w:t>
            </w:r>
          </w:p>
        </w:tc>
        <w:tc>
          <w:tcPr>
            <w:tcW w:w="985" w:type="dxa"/>
            <w:tcBorders>
              <w:tl2br w:val="nil"/>
              <w:tr2bl w:val="nil"/>
            </w:tcBorders>
            <w:shd w:val="clear" w:color="auto" w:fill="auto"/>
            <w:vAlign w:val="center"/>
          </w:tcPr>
          <w:p w14:paraId="7A6E4A7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w:t>
            </w:r>
          </w:p>
        </w:tc>
        <w:tc>
          <w:tcPr>
            <w:tcW w:w="1268" w:type="dxa"/>
            <w:tcBorders>
              <w:tl2br w:val="nil"/>
              <w:tr2bl w:val="nil"/>
            </w:tcBorders>
            <w:shd w:val="clear" w:color="auto" w:fill="auto"/>
            <w:vAlign w:val="center"/>
          </w:tcPr>
          <w:p w14:paraId="195926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2052</w:t>
            </w:r>
          </w:p>
        </w:tc>
        <w:tc>
          <w:tcPr>
            <w:tcW w:w="1000" w:type="dxa"/>
            <w:tcBorders>
              <w:tl2br w:val="nil"/>
              <w:tr2bl w:val="nil"/>
            </w:tcBorders>
            <w:shd w:val="clear" w:color="auto" w:fill="auto"/>
            <w:vAlign w:val="center"/>
          </w:tcPr>
          <w:p w14:paraId="7E45CAE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是</w:t>
            </w:r>
          </w:p>
        </w:tc>
      </w:tr>
      <w:tr w14:paraId="7C26DDD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09B55C7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牙科橡皮障楔线</w:t>
            </w:r>
          </w:p>
        </w:tc>
        <w:tc>
          <w:tcPr>
            <w:tcW w:w="2636" w:type="dxa"/>
            <w:tcBorders>
              <w:tl2br w:val="nil"/>
              <w:tr2bl w:val="nil"/>
            </w:tcBorders>
            <w:shd w:val="clear" w:color="auto" w:fill="auto"/>
            <w:vAlign w:val="center"/>
          </w:tcPr>
          <w:p w14:paraId="1D106FD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固定橡皮障夹。</w:t>
            </w:r>
          </w:p>
        </w:tc>
        <w:tc>
          <w:tcPr>
            <w:tcW w:w="1227" w:type="dxa"/>
            <w:tcBorders>
              <w:tl2br w:val="nil"/>
              <w:tr2bl w:val="nil"/>
            </w:tcBorders>
            <w:shd w:val="clear" w:color="auto" w:fill="auto"/>
            <w:vAlign w:val="center"/>
          </w:tcPr>
          <w:p w14:paraId="75D9F7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7EF94A2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1281" w:type="dxa"/>
            <w:tcBorders>
              <w:tl2br w:val="nil"/>
              <w:tr2bl w:val="nil"/>
            </w:tcBorders>
            <w:shd w:val="clear" w:color="auto" w:fill="auto"/>
            <w:vAlign w:val="center"/>
          </w:tcPr>
          <w:p w14:paraId="0F283A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155</w:t>
            </w:r>
          </w:p>
        </w:tc>
        <w:tc>
          <w:tcPr>
            <w:tcW w:w="985" w:type="dxa"/>
            <w:tcBorders>
              <w:tl2br w:val="nil"/>
              <w:tr2bl w:val="nil"/>
            </w:tcBorders>
            <w:shd w:val="clear" w:color="auto" w:fill="auto"/>
            <w:vAlign w:val="center"/>
          </w:tcPr>
          <w:p w14:paraId="05DAA0D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268" w:type="dxa"/>
            <w:tcBorders>
              <w:tl2br w:val="nil"/>
              <w:tr2bl w:val="nil"/>
            </w:tcBorders>
            <w:shd w:val="clear" w:color="auto" w:fill="auto"/>
            <w:vAlign w:val="center"/>
          </w:tcPr>
          <w:p w14:paraId="45B9548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155</w:t>
            </w:r>
          </w:p>
        </w:tc>
        <w:tc>
          <w:tcPr>
            <w:tcW w:w="1000" w:type="dxa"/>
            <w:tcBorders>
              <w:tl2br w:val="nil"/>
              <w:tr2bl w:val="nil"/>
            </w:tcBorders>
            <w:shd w:val="clear" w:color="auto" w:fill="auto"/>
            <w:vAlign w:val="center"/>
          </w:tcPr>
          <w:p w14:paraId="779501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是</w:t>
            </w:r>
          </w:p>
        </w:tc>
      </w:tr>
      <w:tr w14:paraId="642BD77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2863FF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橡皮障夹钳(撑开钳)</w:t>
            </w:r>
          </w:p>
        </w:tc>
        <w:tc>
          <w:tcPr>
            <w:tcW w:w="2636" w:type="dxa"/>
            <w:tcBorders>
              <w:tl2br w:val="nil"/>
              <w:tr2bl w:val="nil"/>
            </w:tcBorders>
            <w:shd w:val="clear" w:color="auto" w:fill="auto"/>
            <w:vAlign w:val="center"/>
          </w:tcPr>
          <w:p w14:paraId="37D77CF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用于装戴橡皮障夹。</w:t>
            </w:r>
          </w:p>
        </w:tc>
        <w:tc>
          <w:tcPr>
            <w:tcW w:w="1227" w:type="dxa"/>
            <w:tcBorders>
              <w:tl2br w:val="nil"/>
              <w:tr2bl w:val="nil"/>
            </w:tcBorders>
            <w:shd w:val="clear" w:color="auto" w:fill="auto"/>
            <w:vAlign w:val="center"/>
          </w:tcPr>
          <w:p w14:paraId="447388D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4A25DB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1281" w:type="dxa"/>
            <w:tcBorders>
              <w:tl2br w:val="nil"/>
              <w:tr2bl w:val="nil"/>
            </w:tcBorders>
            <w:shd w:val="clear" w:color="auto" w:fill="auto"/>
            <w:vAlign w:val="center"/>
          </w:tcPr>
          <w:p w14:paraId="7A603E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625</w:t>
            </w:r>
          </w:p>
        </w:tc>
        <w:tc>
          <w:tcPr>
            <w:tcW w:w="985" w:type="dxa"/>
            <w:tcBorders>
              <w:tl2br w:val="nil"/>
              <w:tr2bl w:val="nil"/>
            </w:tcBorders>
            <w:shd w:val="clear" w:color="auto" w:fill="auto"/>
            <w:vAlign w:val="center"/>
          </w:tcPr>
          <w:p w14:paraId="3A3641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268" w:type="dxa"/>
            <w:tcBorders>
              <w:tl2br w:val="nil"/>
              <w:tr2bl w:val="nil"/>
            </w:tcBorders>
            <w:shd w:val="clear" w:color="auto" w:fill="auto"/>
            <w:vAlign w:val="center"/>
          </w:tcPr>
          <w:p w14:paraId="3B1634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000" w:type="dxa"/>
            <w:tcBorders>
              <w:tl2br w:val="nil"/>
              <w:tr2bl w:val="nil"/>
            </w:tcBorders>
            <w:shd w:val="clear" w:color="auto" w:fill="auto"/>
            <w:vAlign w:val="center"/>
          </w:tcPr>
          <w:p w14:paraId="08D508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是</w:t>
            </w:r>
          </w:p>
        </w:tc>
      </w:tr>
      <w:tr w14:paraId="7A32B97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07D55B7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一次性使用口腔涂药棒(一次性涂药棒)</w:t>
            </w:r>
          </w:p>
        </w:tc>
        <w:tc>
          <w:tcPr>
            <w:tcW w:w="2636" w:type="dxa"/>
            <w:tcBorders>
              <w:tl2br w:val="nil"/>
              <w:tr2bl w:val="nil"/>
            </w:tcBorders>
            <w:shd w:val="clear" w:color="auto" w:fill="auto"/>
            <w:vAlign w:val="center"/>
          </w:tcPr>
          <w:p w14:paraId="48946CB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用于口腔治疗时，牙科医师清洁牙齿内污垢，并将酸蚀剂、粘结剂、洞衬、氟保护漆、窝沟封闭剂涂敷到牙齿患处。</w:t>
            </w:r>
          </w:p>
        </w:tc>
        <w:tc>
          <w:tcPr>
            <w:tcW w:w="1227" w:type="dxa"/>
            <w:tcBorders>
              <w:tl2br w:val="nil"/>
              <w:tr2bl w:val="nil"/>
            </w:tcBorders>
            <w:shd w:val="clear" w:color="auto" w:fill="auto"/>
            <w:vAlign w:val="center"/>
          </w:tcPr>
          <w:p w14:paraId="41FC58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19CB344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支</w:t>
            </w:r>
          </w:p>
        </w:tc>
        <w:tc>
          <w:tcPr>
            <w:tcW w:w="1281" w:type="dxa"/>
            <w:tcBorders>
              <w:tl2br w:val="nil"/>
              <w:tr2bl w:val="nil"/>
            </w:tcBorders>
            <w:shd w:val="clear" w:color="auto" w:fill="auto"/>
            <w:vAlign w:val="center"/>
          </w:tcPr>
          <w:p w14:paraId="2260BC9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w:t>
            </w:r>
          </w:p>
        </w:tc>
        <w:tc>
          <w:tcPr>
            <w:tcW w:w="985" w:type="dxa"/>
            <w:tcBorders>
              <w:tl2br w:val="nil"/>
              <w:tr2bl w:val="nil"/>
            </w:tcBorders>
            <w:shd w:val="clear" w:color="auto" w:fill="auto"/>
            <w:vAlign w:val="center"/>
          </w:tcPr>
          <w:p w14:paraId="28B9AF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31600</w:t>
            </w:r>
          </w:p>
        </w:tc>
        <w:tc>
          <w:tcPr>
            <w:tcW w:w="1268" w:type="dxa"/>
            <w:tcBorders>
              <w:tl2br w:val="nil"/>
              <w:tr2bl w:val="nil"/>
            </w:tcBorders>
            <w:shd w:val="clear" w:color="auto" w:fill="auto"/>
            <w:vAlign w:val="center"/>
          </w:tcPr>
          <w:p w14:paraId="060CA6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9480</w:t>
            </w:r>
          </w:p>
        </w:tc>
        <w:tc>
          <w:tcPr>
            <w:tcW w:w="1000" w:type="dxa"/>
            <w:tcBorders>
              <w:tl2br w:val="nil"/>
              <w:tr2bl w:val="nil"/>
            </w:tcBorders>
            <w:shd w:val="clear" w:color="auto" w:fill="auto"/>
            <w:vAlign w:val="center"/>
          </w:tcPr>
          <w:p w14:paraId="2163C9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1D0D5DC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52D8AC7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成型片(豆瓣成形片)</w:t>
            </w:r>
          </w:p>
        </w:tc>
        <w:tc>
          <w:tcPr>
            <w:tcW w:w="2636" w:type="dxa"/>
            <w:tcBorders>
              <w:tl2br w:val="nil"/>
              <w:tr2bl w:val="nil"/>
            </w:tcBorders>
            <w:shd w:val="clear" w:color="auto" w:fill="auto"/>
            <w:vAlign w:val="center"/>
          </w:tcPr>
          <w:p w14:paraId="366C8D5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口腔治疗时的起隔离作用或者辅助修复体成形作用。</w:t>
            </w:r>
          </w:p>
        </w:tc>
        <w:tc>
          <w:tcPr>
            <w:tcW w:w="1227" w:type="dxa"/>
            <w:tcBorders>
              <w:tl2br w:val="nil"/>
              <w:tr2bl w:val="nil"/>
            </w:tcBorders>
            <w:shd w:val="clear" w:color="auto" w:fill="auto"/>
            <w:vAlign w:val="center"/>
          </w:tcPr>
          <w:p w14:paraId="3710BF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78B2D9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1281" w:type="dxa"/>
            <w:tcBorders>
              <w:tl2br w:val="nil"/>
              <w:tr2bl w:val="nil"/>
            </w:tcBorders>
            <w:shd w:val="clear" w:color="auto" w:fill="auto"/>
            <w:vAlign w:val="center"/>
          </w:tcPr>
          <w:p w14:paraId="1640B9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985" w:type="dxa"/>
            <w:tcBorders>
              <w:tl2br w:val="nil"/>
              <w:tr2bl w:val="nil"/>
            </w:tcBorders>
            <w:shd w:val="clear" w:color="auto" w:fill="auto"/>
            <w:vAlign w:val="center"/>
          </w:tcPr>
          <w:p w14:paraId="5EB75CA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5850</w:t>
            </w:r>
          </w:p>
        </w:tc>
        <w:tc>
          <w:tcPr>
            <w:tcW w:w="1268" w:type="dxa"/>
            <w:tcBorders>
              <w:tl2br w:val="nil"/>
              <w:tr2bl w:val="nil"/>
            </w:tcBorders>
            <w:shd w:val="clear" w:color="auto" w:fill="auto"/>
            <w:vAlign w:val="center"/>
          </w:tcPr>
          <w:p w14:paraId="536EE2B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17550</w:t>
            </w:r>
          </w:p>
        </w:tc>
        <w:tc>
          <w:tcPr>
            <w:tcW w:w="1000" w:type="dxa"/>
            <w:tcBorders>
              <w:tl2br w:val="nil"/>
              <w:tr2bl w:val="nil"/>
            </w:tcBorders>
            <w:shd w:val="clear" w:color="auto" w:fill="auto"/>
            <w:vAlign w:val="center"/>
          </w:tcPr>
          <w:p w14:paraId="406D27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0159DAC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559B95F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成型片(龈下豆瓣成形片)</w:t>
            </w:r>
          </w:p>
        </w:tc>
        <w:tc>
          <w:tcPr>
            <w:tcW w:w="2636" w:type="dxa"/>
            <w:tcBorders>
              <w:tl2br w:val="nil"/>
              <w:tr2bl w:val="nil"/>
            </w:tcBorders>
            <w:shd w:val="clear" w:color="auto" w:fill="auto"/>
            <w:vAlign w:val="center"/>
          </w:tcPr>
          <w:p w14:paraId="40AC2EC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口腔治疗时的起隔离作用或者辅助修复体成形作用。</w:t>
            </w:r>
          </w:p>
        </w:tc>
        <w:tc>
          <w:tcPr>
            <w:tcW w:w="1227" w:type="dxa"/>
            <w:tcBorders>
              <w:tl2br w:val="nil"/>
              <w:tr2bl w:val="nil"/>
            </w:tcBorders>
            <w:shd w:val="clear" w:color="auto" w:fill="auto"/>
            <w:vAlign w:val="center"/>
          </w:tcPr>
          <w:p w14:paraId="7879A4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2B6A26E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1281" w:type="dxa"/>
            <w:tcBorders>
              <w:tl2br w:val="nil"/>
              <w:tr2bl w:val="nil"/>
            </w:tcBorders>
            <w:shd w:val="clear" w:color="auto" w:fill="auto"/>
            <w:vAlign w:val="center"/>
          </w:tcPr>
          <w:p w14:paraId="09DBF8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985" w:type="dxa"/>
            <w:tcBorders>
              <w:tl2br w:val="nil"/>
              <w:tr2bl w:val="nil"/>
            </w:tcBorders>
            <w:shd w:val="clear" w:color="auto" w:fill="auto"/>
            <w:vAlign w:val="center"/>
          </w:tcPr>
          <w:p w14:paraId="4FAB3ED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150</w:t>
            </w:r>
          </w:p>
        </w:tc>
        <w:tc>
          <w:tcPr>
            <w:tcW w:w="1268" w:type="dxa"/>
            <w:tcBorders>
              <w:tl2br w:val="nil"/>
              <w:tr2bl w:val="nil"/>
            </w:tcBorders>
            <w:shd w:val="clear" w:color="auto" w:fill="auto"/>
            <w:vAlign w:val="center"/>
          </w:tcPr>
          <w:p w14:paraId="34DC08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450</w:t>
            </w:r>
          </w:p>
        </w:tc>
        <w:tc>
          <w:tcPr>
            <w:tcW w:w="1000" w:type="dxa"/>
            <w:tcBorders>
              <w:tl2br w:val="nil"/>
              <w:tr2bl w:val="nil"/>
            </w:tcBorders>
            <w:shd w:val="clear" w:color="auto" w:fill="auto"/>
            <w:vAlign w:val="center"/>
          </w:tcPr>
          <w:p w14:paraId="5B3A69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14EAFEA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4EB37D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成形片夹(钳式)</w:t>
            </w:r>
          </w:p>
        </w:tc>
        <w:tc>
          <w:tcPr>
            <w:tcW w:w="2636" w:type="dxa"/>
            <w:tcBorders>
              <w:tl2br w:val="nil"/>
              <w:tr2bl w:val="nil"/>
            </w:tcBorders>
            <w:shd w:val="clear" w:color="auto" w:fill="auto"/>
            <w:vAlign w:val="center"/>
          </w:tcPr>
          <w:p w14:paraId="2AEC855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固定牙科材料，为牙科修复做准备。</w:t>
            </w:r>
          </w:p>
        </w:tc>
        <w:tc>
          <w:tcPr>
            <w:tcW w:w="1227" w:type="dxa"/>
            <w:tcBorders>
              <w:tl2br w:val="nil"/>
              <w:tr2bl w:val="nil"/>
            </w:tcBorders>
            <w:shd w:val="clear" w:color="auto" w:fill="auto"/>
            <w:vAlign w:val="center"/>
          </w:tcPr>
          <w:p w14:paraId="521C08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钳式</w:t>
            </w:r>
          </w:p>
        </w:tc>
        <w:tc>
          <w:tcPr>
            <w:tcW w:w="996" w:type="dxa"/>
            <w:tcBorders>
              <w:tl2br w:val="nil"/>
              <w:tr2bl w:val="nil"/>
            </w:tcBorders>
            <w:shd w:val="clear" w:color="auto" w:fill="auto"/>
            <w:vAlign w:val="center"/>
          </w:tcPr>
          <w:p w14:paraId="635465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1281" w:type="dxa"/>
            <w:tcBorders>
              <w:tl2br w:val="nil"/>
              <w:tr2bl w:val="nil"/>
            </w:tcBorders>
            <w:shd w:val="clear" w:color="auto" w:fill="auto"/>
            <w:vAlign w:val="center"/>
          </w:tcPr>
          <w:p w14:paraId="7B413F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52.2</w:t>
            </w:r>
          </w:p>
        </w:tc>
        <w:tc>
          <w:tcPr>
            <w:tcW w:w="985" w:type="dxa"/>
            <w:tcBorders>
              <w:tl2br w:val="nil"/>
              <w:tr2bl w:val="nil"/>
            </w:tcBorders>
            <w:shd w:val="clear" w:color="auto" w:fill="auto"/>
            <w:vAlign w:val="center"/>
          </w:tcPr>
          <w:p w14:paraId="4B0032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1268" w:type="dxa"/>
            <w:tcBorders>
              <w:tl2br w:val="nil"/>
              <w:tr2bl w:val="nil"/>
            </w:tcBorders>
            <w:shd w:val="clear" w:color="auto" w:fill="auto"/>
            <w:vAlign w:val="center"/>
          </w:tcPr>
          <w:p w14:paraId="6BCE86B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1044</w:t>
            </w:r>
          </w:p>
        </w:tc>
        <w:tc>
          <w:tcPr>
            <w:tcW w:w="1000" w:type="dxa"/>
            <w:tcBorders>
              <w:tl2br w:val="nil"/>
              <w:tr2bl w:val="nil"/>
            </w:tcBorders>
            <w:shd w:val="clear" w:color="auto" w:fill="auto"/>
            <w:vAlign w:val="center"/>
          </w:tcPr>
          <w:p w14:paraId="0D4D27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07B13B4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11CB9A3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牙科输送器</w:t>
            </w:r>
          </w:p>
        </w:tc>
        <w:tc>
          <w:tcPr>
            <w:tcW w:w="2636" w:type="dxa"/>
            <w:tcBorders>
              <w:tl2br w:val="nil"/>
              <w:tr2bl w:val="nil"/>
            </w:tcBorders>
            <w:shd w:val="clear" w:color="auto" w:fill="auto"/>
            <w:vAlign w:val="center"/>
          </w:tcPr>
          <w:p w14:paraId="5A9292F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用于将填充材料送至目标位置。</w:t>
            </w:r>
          </w:p>
        </w:tc>
        <w:tc>
          <w:tcPr>
            <w:tcW w:w="1227" w:type="dxa"/>
            <w:tcBorders>
              <w:tl2br w:val="nil"/>
              <w:tr2bl w:val="nil"/>
            </w:tcBorders>
            <w:shd w:val="clear" w:color="auto" w:fill="auto"/>
            <w:vAlign w:val="center"/>
          </w:tcPr>
          <w:p w14:paraId="0D7925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临时冠枪</w:t>
            </w:r>
          </w:p>
        </w:tc>
        <w:tc>
          <w:tcPr>
            <w:tcW w:w="996" w:type="dxa"/>
            <w:tcBorders>
              <w:tl2br w:val="nil"/>
              <w:tr2bl w:val="nil"/>
            </w:tcBorders>
            <w:shd w:val="clear" w:color="auto" w:fill="auto"/>
            <w:vAlign w:val="center"/>
          </w:tcPr>
          <w:p w14:paraId="7FEDABC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1281" w:type="dxa"/>
            <w:tcBorders>
              <w:tl2br w:val="nil"/>
              <w:tr2bl w:val="nil"/>
            </w:tcBorders>
            <w:shd w:val="clear" w:color="auto" w:fill="auto"/>
            <w:vAlign w:val="center"/>
          </w:tcPr>
          <w:p w14:paraId="50A79C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120</w:t>
            </w:r>
          </w:p>
        </w:tc>
        <w:tc>
          <w:tcPr>
            <w:tcW w:w="985" w:type="dxa"/>
            <w:tcBorders>
              <w:tl2br w:val="nil"/>
              <w:tr2bl w:val="nil"/>
            </w:tcBorders>
            <w:shd w:val="clear" w:color="auto" w:fill="auto"/>
            <w:vAlign w:val="center"/>
          </w:tcPr>
          <w:p w14:paraId="15838D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268" w:type="dxa"/>
            <w:tcBorders>
              <w:tl2br w:val="nil"/>
              <w:tr2bl w:val="nil"/>
            </w:tcBorders>
            <w:shd w:val="clear" w:color="auto" w:fill="auto"/>
            <w:vAlign w:val="center"/>
          </w:tcPr>
          <w:p w14:paraId="5CFFC1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120</w:t>
            </w:r>
          </w:p>
        </w:tc>
        <w:tc>
          <w:tcPr>
            <w:tcW w:w="1000" w:type="dxa"/>
            <w:tcBorders>
              <w:tl2br w:val="nil"/>
              <w:tr2bl w:val="nil"/>
            </w:tcBorders>
            <w:shd w:val="clear" w:color="auto" w:fill="auto"/>
            <w:vAlign w:val="center"/>
          </w:tcPr>
          <w:p w14:paraId="730DFA4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4B3CAF9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5206A8B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牙科用镊</w:t>
            </w:r>
          </w:p>
        </w:tc>
        <w:tc>
          <w:tcPr>
            <w:tcW w:w="2636" w:type="dxa"/>
            <w:tcBorders>
              <w:tl2br w:val="nil"/>
              <w:tr2bl w:val="nil"/>
            </w:tcBorders>
            <w:shd w:val="clear" w:color="auto" w:fill="auto"/>
            <w:vAlign w:val="center"/>
          </w:tcPr>
          <w:p w14:paraId="3D875F3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用于口腔科检查和治疗时夹持。</w:t>
            </w:r>
          </w:p>
        </w:tc>
        <w:tc>
          <w:tcPr>
            <w:tcW w:w="1227" w:type="dxa"/>
            <w:tcBorders>
              <w:tl2br w:val="nil"/>
              <w:tr2bl w:val="nil"/>
            </w:tcBorders>
            <w:shd w:val="clear" w:color="auto" w:fill="auto"/>
            <w:vAlign w:val="center"/>
          </w:tcPr>
          <w:p w14:paraId="0011B3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700DEF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1281" w:type="dxa"/>
            <w:tcBorders>
              <w:tl2br w:val="nil"/>
              <w:tr2bl w:val="nil"/>
            </w:tcBorders>
            <w:shd w:val="clear" w:color="auto" w:fill="auto"/>
            <w:vAlign w:val="center"/>
          </w:tcPr>
          <w:p w14:paraId="0ABFE2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22.5</w:t>
            </w:r>
          </w:p>
        </w:tc>
        <w:tc>
          <w:tcPr>
            <w:tcW w:w="985" w:type="dxa"/>
            <w:tcBorders>
              <w:tl2br w:val="nil"/>
              <w:tr2bl w:val="nil"/>
            </w:tcBorders>
            <w:shd w:val="clear" w:color="auto" w:fill="auto"/>
            <w:vAlign w:val="center"/>
          </w:tcPr>
          <w:p w14:paraId="005C032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1268" w:type="dxa"/>
            <w:tcBorders>
              <w:tl2br w:val="nil"/>
              <w:tr2bl w:val="nil"/>
            </w:tcBorders>
            <w:shd w:val="clear" w:color="auto" w:fill="auto"/>
            <w:vAlign w:val="center"/>
          </w:tcPr>
          <w:p w14:paraId="7BAE8C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450</w:t>
            </w:r>
          </w:p>
        </w:tc>
        <w:tc>
          <w:tcPr>
            <w:tcW w:w="1000" w:type="dxa"/>
            <w:tcBorders>
              <w:tl2br w:val="nil"/>
              <w:tr2bl w:val="nil"/>
            </w:tcBorders>
            <w:shd w:val="clear" w:color="auto" w:fill="auto"/>
            <w:vAlign w:val="center"/>
          </w:tcPr>
          <w:p w14:paraId="11A318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7B83C6A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4F9E96F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银汞雕刻刀</w:t>
            </w:r>
          </w:p>
        </w:tc>
        <w:tc>
          <w:tcPr>
            <w:tcW w:w="2636" w:type="dxa"/>
            <w:tcBorders>
              <w:tl2br w:val="nil"/>
              <w:tr2bl w:val="nil"/>
            </w:tcBorders>
            <w:shd w:val="clear" w:color="auto" w:fill="auto"/>
            <w:vAlign w:val="center"/>
          </w:tcPr>
          <w:p w14:paraId="1CB1399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供牙科作银汞雕刻刀。</w:t>
            </w:r>
          </w:p>
        </w:tc>
        <w:tc>
          <w:tcPr>
            <w:tcW w:w="1227" w:type="dxa"/>
            <w:tcBorders>
              <w:tl2br w:val="nil"/>
              <w:tr2bl w:val="nil"/>
            </w:tcBorders>
            <w:shd w:val="clear" w:color="auto" w:fill="auto"/>
            <w:vAlign w:val="center"/>
          </w:tcPr>
          <w:p w14:paraId="39010D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3BF658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1281" w:type="dxa"/>
            <w:tcBorders>
              <w:tl2br w:val="nil"/>
              <w:tr2bl w:val="nil"/>
            </w:tcBorders>
            <w:shd w:val="clear" w:color="auto" w:fill="auto"/>
            <w:vAlign w:val="center"/>
          </w:tcPr>
          <w:p w14:paraId="2A1F87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31.5</w:t>
            </w:r>
          </w:p>
        </w:tc>
        <w:tc>
          <w:tcPr>
            <w:tcW w:w="985" w:type="dxa"/>
            <w:tcBorders>
              <w:tl2br w:val="nil"/>
              <w:tr2bl w:val="nil"/>
            </w:tcBorders>
            <w:shd w:val="clear" w:color="auto" w:fill="auto"/>
            <w:vAlign w:val="center"/>
          </w:tcPr>
          <w:p w14:paraId="0DDE92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268" w:type="dxa"/>
            <w:tcBorders>
              <w:tl2br w:val="nil"/>
              <w:tr2bl w:val="nil"/>
            </w:tcBorders>
            <w:shd w:val="clear" w:color="auto" w:fill="auto"/>
            <w:vAlign w:val="center"/>
          </w:tcPr>
          <w:p w14:paraId="04900D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000" w:type="dxa"/>
            <w:tcBorders>
              <w:tl2br w:val="nil"/>
              <w:tr2bl w:val="nil"/>
            </w:tcBorders>
            <w:shd w:val="clear" w:color="auto" w:fill="auto"/>
            <w:vAlign w:val="center"/>
          </w:tcPr>
          <w:p w14:paraId="329250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768A0F8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6C2D39E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剔挖器</w:t>
            </w:r>
          </w:p>
        </w:tc>
        <w:tc>
          <w:tcPr>
            <w:tcW w:w="2636" w:type="dxa"/>
            <w:tcBorders>
              <w:tl2br w:val="nil"/>
              <w:tr2bl w:val="nil"/>
            </w:tcBorders>
            <w:shd w:val="clear" w:color="auto" w:fill="auto"/>
            <w:vAlign w:val="center"/>
          </w:tcPr>
          <w:p w14:paraId="01424E0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用于治疗牙髓时挖除冠髓以及牙龈坏死部分。</w:t>
            </w:r>
          </w:p>
        </w:tc>
        <w:tc>
          <w:tcPr>
            <w:tcW w:w="1227" w:type="dxa"/>
            <w:tcBorders>
              <w:tl2br w:val="nil"/>
              <w:tr2bl w:val="nil"/>
            </w:tcBorders>
            <w:shd w:val="clear" w:color="auto" w:fill="auto"/>
            <w:vAlign w:val="center"/>
          </w:tcPr>
          <w:p w14:paraId="66FBBC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06C09C1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1281" w:type="dxa"/>
            <w:tcBorders>
              <w:tl2br w:val="nil"/>
              <w:tr2bl w:val="nil"/>
            </w:tcBorders>
            <w:shd w:val="clear" w:color="auto" w:fill="auto"/>
            <w:vAlign w:val="center"/>
          </w:tcPr>
          <w:p w14:paraId="1DF69A3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27</w:t>
            </w:r>
          </w:p>
        </w:tc>
        <w:tc>
          <w:tcPr>
            <w:tcW w:w="985" w:type="dxa"/>
            <w:tcBorders>
              <w:tl2br w:val="nil"/>
              <w:tr2bl w:val="nil"/>
            </w:tcBorders>
            <w:shd w:val="clear" w:color="auto" w:fill="auto"/>
            <w:vAlign w:val="center"/>
          </w:tcPr>
          <w:p w14:paraId="26A571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60</w:t>
            </w:r>
          </w:p>
        </w:tc>
        <w:tc>
          <w:tcPr>
            <w:tcW w:w="1268" w:type="dxa"/>
            <w:tcBorders>
              <w:tl2br w:val="nil"/>
              <w:tr2bl w:val="nil"/>
            </w:tcBorders>
            <w:shd w:val="clear" w:color="auto" w:fill="auto"/>
            <w:vAlign w:val="center"/>
          </w:tcPr>
          <w:p w14:paraId="5BDA4A7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1620</w:t>
            </w:r>
          </w:p>
        </w:tc>
        <w:tc>
          <w:tcPr>
            <w:tcW w:w="1000" w:type="dxa"/>
            <w:tcBorders>
              <w:tl2br w:val="nil"/>
              <w:tr2bl w:val="nil"/>
            </w:tcBorders>
            <w:shd w:val="clear" w:color="auto" w:fill="auto"/>
            <w:vAlign w:val="center"/>
          </w:tcPr>
          <w:p w14:paraId="6EAC360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7870E80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652D38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牙科去冠器</w:t>
            </w:r>
          </w:p>
        </w:tc>
        <w:tc>
          <w:tcPr>
            <w:tcW w:w="2636" w:type="dxa"/>
            <w:tcBorders>
              <w:tl2br w:val="nil"/>
              <w:tr2bl w:val="nil"/>
            </w:tcBorders>
            <w:shd w:val="clear" w:color="auto" w:fill="auto"/>
            <w:vAlign w:val="center"/>
          </w:tcPr>
          <w:p w14:paraId="70E2311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用于去除牙齿上的金属冠。</w:t>
            </w:r>
          </w:p>
        </w:tc>
        <w:tc>
          <w:tcPr>
            <w:tcW w:w="1227" w:type="dxa"/>
            <w:tcBorders>
              <w:tl2br w:val="nil"/>
              <w:tr2bl w:val="nil"/>
            </w:tcBorders>
            <w:shd w:val="clear" w:color="auto" w:fill="auto"/>
            <w:vAlign w:val="center"/>
          </w:tcPr>
          <w:p w14:paraId="75E08A4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309869F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1281" w:type="dxa"/>
            <w:tcBorders>
              <w:tl2br w:val="nil"/>
              <w:tr2bl w:val="nil"/>
            </w:tcBorders>
            <w:shd w:val="clear" w:color="auto" w:fill="auto"/>
            <w:vAlign w:val="center"/>
          </w:tcPr>
          <w:p w14:paraId="3FD312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115.2</w:t>
            </w:r>
          </w:p>
        </w:tc>
        <w:tc>
          <w:tcPr>
            <w:tcW w:w="985" w:type="dxa"/>
            <w:tcBorders>
              <w:tl2br w:val="nil"/>
              <w:tr2bl w:val="nil"/>
            </w:tcBorders>
            <w:shd w:val="clear" w:color="auto" w:fill="auto"/>
            <w:vAlign w:val="center"/>
          </w:tcPr>
          <w:p w14:paraId="28B958D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268" w:type="dxa"/>
            <w:tcBorders>
              <w:tl2br w:val="nil"/>
              <w:tr2bl w:val="nil"/>
            </w:tcBorders>
            <w:shd w:val="clear" w:color="auto" w:fill="auto"/>
            <w:vAlign w:val="center"/>
          </w:tcPr>
          <w:p w14:paraId="41CAD5D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345.6</w:t>
            </w:r>
          </w:p>
        </w:tc>
        <w:tc>
          <w:tcPr>
            <w:tcW w:w="1000" w:type="dxa"/>
            <w:tcBorders>
              <w:tl2br w:val="nil"/>
              <w:tr2bl w:val="nil"/>
            </w:tcBorders>
            <w:shd w:val="clear" w:color="auto" w:fill="auto"/>
            <w:vAlign w:val="center"/>
          </w:tcPr>
          <w:p w14:paraId="5A5122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46685FD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279DFFB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金冠剪</w:t>
            </w:r>
          </w:p>
        </w:tc>
        <w:tc>
          <w:tcPr>
            <w:tcW w:w="2636" w:type="dxa"/>
            <w:tcBorders>
              <w:tl2br w:val="nil"/>
              <w:tr2bl w:val="nil"/>
            </w:tcBorders>
            <w:shd w:val="clear" w:color="auto" w:fill="auto"/>
            <w:vAlign w:val="center"/>
          </w:tcPr>
          <w:p w14:paraId="5CDA9C4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用于牙科手术中剪切口腔组织或修复体。</w:t>
            </w:r>
          </w:p>
        </w:tc>
        <w:tc>
          <w:tcPr>
            <w:tcW w:w="1227" w:type="dxa"/>
            <w:tcBorders>
              <w:tl2br w:val="nil"/>
              <w:tr2bl w:val="nil"/>
            </w:tcBorders>
            <w:shd w:val="clear" w:color="auto" w:fill="auto"/>
            <w:vAlign w:val="center"/>
          </w:tcPr>
          <w:p w14:paraId="5900E17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4D2D98F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1281" w:type="dxa"/>
            <w:tcBorders>
              <w:tl2br w:val="nil"/>
              <w:tr2bl w:val="nil"/>
            </w:tcBorders>
            <w:shd w:val="clear" w:color="auto" w:fill="auto"/>
            <w:vAlign w:val="center"/>
          </w:tcPr>
          <w:p w14:paraId="5682B19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44.1</w:t>
            </w:r>
          </w:p>
        </w:tc>
        <w:tc>
          <w:tcPr>
            <w:tcW w:w="985" w:type="dxa"/>
            <w:tcBorders>
              <w:tl2br w:val="nil"/>
              <w:tr2bl w:val="nil"/>
            </w:tcBorders>
            <w:shd w:val="clear" w:color="auto" w:fill="auto"/>
            <w:vAlign w:val="center"/>
          </w:tcPr>
          <w:p w14:paraId="61E05D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268" w:type="dxa"/>
            <w:tcBorders>
              <w:tl2br w:val="nil"/>
              <w:tr2bl w:val="nil"/>
            </w:tcBorders>
            <w:shd w:val="clear" w:color="auto" w:fill="auto"/>
            <w:vAlign w:val="center"/>
          </w:tcPr>
          <w:p w14:paraId="7BA9BA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88.2</w:t>
            </w:r>
          </w:p>
        </w:tc>
        <w:tc>
          <w:tcPr>
            <w:tcW w:w="1000" w:type="dxa"/>
            <w:tcBorders>
              <w:tl2br w:val="nil"/>
              <w:tr2bl w:val="nil"/>
            </w:tcBorders>
            <w:shd w:val="clear" w:color="auto" w:fill="auto"/>
            <w:vAlign w:val="center"/>
          </w:tcPr>
          <w:p w14:paraId="3D1CEE5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7CCB68F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6081FD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研光器</w:t>
            </w:r>
          </w:p>
        </w:tc>
        <w:tc>
          <w:tcPr>
            <w:tcW w:w="2636" w:type="dxa"/>
            <w:tcBorders>
              <w:tl2br w:val="nil"/>
              <w:tr2bl w:val="nil"/>
            </w:tcBorders>
            <w:shd w:val="clear" w:color="auto" w:fill="auto"/>
            <w:vAlign w:val="center"/>
          </w:tcPr>
          <w:p w14:paraId="283049A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用于平滑口腔修复体的粗糙表面。</w:t>
            </w:r>
          </w:p>
        </w:tc>
        <w:tc>
          <w:tcPr>
            <w:tcW w:w="1227" w:type="dxa"/>
            <w:tcBorders>
              <w:tl2br w:val="nil"/>
              <w:tr2bl w:val="nil"/>
            </w:tcBorders>
            <w:shd w:val="clear" w:color="auto" w:fill="auto"/>
            <w:vAlign w:val="center"/>
          </w:tcPr>
          <w:p w14:paraId="3C792F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研磨杯</w:t>
            </w:r>
          </w:p>
        </w:tc>
        <w:tc>
          <w:tcPr>
            <w:tcW w:w="996" w:type="dxa"/>
            <w:tcBorders>
              <w:tl2br w:val="nil"/>
              <w:tr2bl w:val="nil"/>
            </w:tcBorders>
            <w:shd w:val="clear" w:color="auto" w:fill="auto"/>
            <w:vAlign w:val="center"/>
          </w:tcPr>
          <w:p w14:paraId="26A990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1281" w:type="dxa"/>
            <w:tcBorders>
              <w:tl2br w:val="nil"/>
              <w:tr2bl w:val="nil"/>
            </w:tcBorders>
            <w:shd w:val="clear" w:color="auto" w:fill="auto"/>
            <w:vAlign w:val="center"/>
          </w:tcPr>
          <w:p w14:paraId="1CE940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11.66</w:t>
            </w:r>
          </w:p>
        </w:tc>
        <w:tc>
          <w:tcPr>
            <w:tcW w:w="985" w:type="dxa"/>
            <w:tcBorders>
              <w:tl2br w:val="nil"/>
              <w:tr2bl w:val="nil"/>
            </w:tcBorders>
            <w:shd w:val="clear" w:color="auto" w:fill="auto"/>
            <w:vAlign w:val="center"/>
          </w:tcPr>
          <w:p w14:paraId="27214FE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268" w:type="dxa"/>
            <w:tcBorders>
              <w:tl2br w:val="nil"/>
              <w:tr2bl w:val="nil"/>
            </w:tcBorders>
            <w:shd w:val="clear" w:color="auto" w:fill="auto"/>
            <w:vAlign w:val="center"/>
          </w:tcPr>
          <w:p w14:paraId="7D99BB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000" w:type="dxa"/>
            <w:tcBorders>
              <w:tl2br w:val="nil"/>
              <w:tr2bl w:val="nil"/>
            </w:tcBorders>
            <w:shd w:val="clear" w:color="auto" w:fill="auto"/>
            <w:vAlign w:val="center"/>
          </w:tcPr>
          <w:p w14:paraId="3B7CC9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是</w:t>
            </w:r>
          </w:p>
        </w:tc>
      </w:tr>
      <w:tr w14:paraId="19F2B55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3FBAB0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根管锉(镍钛根扩-手用)</w:t>
            </w:r>
          </w:p>
        </w:tc>
        <w:tc>
          <w:tcPr>
            <w:tcW w:w="2636" w:type="dxa"/>
            <w:tcBorders>
              <w:tl2br w:val="nil"/>
              <w:tr2bl w:val="nil"/>
            </w:tcBorders>
            <w:shd w:val="clear" w:color="auto" w:fill="auto"/>
            <w:vAlign w:val="center"/>
          </w:tcPr>
          <w:p w14:paraId="01495B9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用于牙科治疗中对根管进行切削、平整、清洁、塑形。</w:t>
            </w:r>
          </w:p>
        </w:tc>
        <w:tc>
          <w:tcPr>
            <w:tcW w:w="1227" w:type="dxa"/>
            <w:tcBorders>
              <w:tl2br w:val="nil"/>
              <w:tr2bl w:val="nil"/>
            </w:tcBorders>
            <w:shd w:val="clear" w:color="auto" w:fill="auto"/>
            <w:vAlign w:val="center"/>
          </w:tcPr>
          <w:p w14:paraId="31A6263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727133F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支</w:t>
            </w:r>
          </w:p>
        </w:tc>
        <w:tc>
          <w:tcPr>
            <w:tcW w:w="1281" w:type="dxa"/>
            <w:tcBorders>
              <w:tl2br w:val="nil"/>
              <w:tr2bl w:val="nil"/>
            </w:tcBorders>
            <w:shd w:val="clear" w:color="auto" w:fill="auto"/>
            <w:vAlign w:val="center"/>
          </w:tcPr>
          <w:p w14:paraId="291EEA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58.33</w:t>
            </w:r>
          </w:p>
        </w:tc>
        <w:tc>
          <w:tcPr>
            <w:tcW w:w="985" w:type="dxa"/>
            <w:tcBorders>
              <w:tl2br w:val="nil"/>
              <w:tr2bl w:val="nil"/>
            </w:tcBorders>
            <w:shd w:val="clear" w:color="auto" w:fill="auto"/>
            <w:vAlign w:val="center"/>
          </w:tcPr>
          <w:p w14:paraId="0A1F694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1268" w:type="dxa"/>
            <w:tcBorders>
              <w:tl2br w:val="nil"/>
              <w:tr2bl w:val="nil"/>
            </w:tcBorders>
            <w:shd w:val="clear" w:color="auto" w:fill="auto"/>
            <w:vAlign w:val="center"/>
          </w:tcPr>
          <w:p w14:paraId="68830C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349.98</w:t>
            </w:r>
          </w:p>
        </w:tc>
        <w:tc>
          <w:tcPr>
            <w:tcW w:w="1000" w:type="dxa"/>
            <w:tcBorders>
              <w:tl2br w:val="nil"/>
              <w:tr2bl w:val="nil"/>
            </w:tcBorders>
            <w:shd w:val="clear" w:color="auto" w:fill="auto"/>
            <w:vAlign w:val="center"/>
          </w:tcPr>
          <w:p w14:paraId="69B4CF9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是</w:t>
            </w:r>
          </w:p>
        </w:tc>
      </w:tr>
      <w:tr w14:paraId="486859C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04C577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Theme="minorEastAsia" w:hAnsiTheme="minorEastAsia" w:eastAsiaTheme="minorEastAsia"/>
                <w:b/>
                <w:bCs/>
                <w:color w:val="auto"/>
                <w:szCs w:val="21"/>
              </w:rPr>
              <w:t>●</w:t>
            </w:r>
            <w:r>
              <w:rPr>
                <w:rFonts w:hint="eastAsia" w:ascii="宋体" w:hAnsi="宋体" w:eastAsia="宋体" w:cs="宋体"/>
                <w:i w:val="0"/>
                <w:iCs w:val="0"/>
                <w:color w:val="000000"/>
                <w:kern w:val="0"/>
                <w:sz w:val="18"/>
                <w:szCs w:val="18"/>
                <w:u w:val="none"/>
                <w:lang w:val="en-US" w:eastAsia="zh-CN" w:bidi="ar"/>
              </w:rPr>
              <w:t>根管锉(H锉)</w:t>
            </w:r>
          </w:p>
        </w:tc>
        <w:tc>
          <w:tcPr>
            <w:tcW w:w="2636" w:type="dxa"/>
            <w:tcBorders>
              <w:tl2br w:val="nil"/>
              <w:tr2bl w:val="nil"/>
            </w:tcBorders>
            <w:shd w:val="clear" w:color="auto" w:fill="auto"/>
            <w:vAlign w:val="center"/>
          </w:tcPr>
          <w:p w14:paraId="7184B1C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用于牙科治疗中对根管进行平整、塑形。</w:t>
            </w:r>
          </w:p>
        </w:tc>
        <w:tc>
          <w:tcPr>
            <w:tcW w:w="1227" w:type="dxa"/>
            <w:tcBorders>
              <w:tl2br w:val="nil"/>
              <w:tr2bl w:val="nil"/>
            </w:tcBorders>
            <w:shd w:val="clear" w:color="auto" w:fill="auto"/>
            <w:vAlign w:val="center"/>
          </w:tcPr>
          <w:p w14:paraId="4A63B4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0F49D0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支</w:t>
            </w:r>
          </w:p>
        </w:tc>
        <w:tc>
          <w:tcPr>
            <w:tcW w:w="1281" w:type="dxa"/>
            <w:tcBorders>
              <w:tl2br w:val="nil"/>
              <w:tr2bl w:val="nil"/>
            </w:tcBorders>
            <w:shd w:val="clear" w:color="auto" w:fill="auto"/>
            <w:vAlign w:val="center"/>
          </w:tcPr>
          <w:p w14:paraId="4F636D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4.5</w:t>
            </w:r>
          </w:p>
        </w:tc>
        <w:tc>
          <w:tcPr>
            <w:tcW w:w="985" w:type="dxa"/>
            <w:tcBorders>
              <w:tl2br w:val="nil"/>
              <w:tr2bl w:val="nil"/>
            </w:tcBorders>
            <w:shd w:val="clear" w:color="auto" w:fill="auto"/>
            <w:vAlign w:val="center"/>
          </w:tcPr>
          <w:p w14:paraId="3DF17D6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4626</w:t>
            </w:r>
          </w:p>
        </w:tc>
        <w:tc>
          <w:tcPr>
            <w:tcW w:w="1268" w:type="dxa"/>
            <w:tcBorders>
              <w:tl2br w:val="nil"/>
              <w:tr2bl w:val="nil"/>
            </w:tcBorders>
            <w:shd w:val="clear" w:color="auto" w:fill="auto"/>
            <w:vAlign w:val="center"/>
          </w:tcPr>
          <w:p w14:paraId="7C6D52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20817</w:t>
            </w:r>
          </w:p>
        </w:tc>
        <w:tc>
          <w:tcPr>
            <w:tcW w:w="1000" w:type="dxa"/>
            <w:tcBorders>
              <w:tl2br w:val="nil"/>
              <w:tr2bl w:val="nil"/>
            </w:tcBorders>
            <w:shd w:val="clear" w:color="auto" w:fill="auto"/>
            <w:vAlign w:val="center"/>
          </w:tcPr>
          <w:p w14:paraId="2BFC19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是</w:t>
            </w:r>
          </w:p>
        </w:tc>
      </w:tr>
      <w:tr w14:paraId="4D6777E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785C74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根管扩大针</w:t>
            </w:r>
          </w:p>
        </w:tc>
        <w:tc>
          <w:tcPr>
            <w:tcW w:w="2636" w:type="dxa"/>
            <w:tcBorders>
              <w:tl2br w:val="nil"/>
              <w:tr2bl w:val="nil"/>
            </w:tcBorders>
            <w:shd w:val="clear" w:color="auto" w:fill="auto"/>
            <w:vAlign w:val="center"/>
          </w:tcPr>
          <w:p w14:paraId="415B242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用于口腔科扩大根管。</w:t>
            </w:r>
          </w:p>
        </w:tc>
        <w:tc>
          <w:tcPr>
            <w:tcW w:w="1227" w:type="dxa"/>
            <w:tcBorders>
              <w:tl2br w:val="nil"/>
              <w:tr2bl w:val="nil"/>
            </w:tcBorders>
            <w:shd w:val="clear" w:color="auto" w:fill="auto"/>
            <w:vAlign w:val="center"/>
          </w:tcPr>
          <w:p w14:paraId="720F5F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5D48FFE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支</w:t>
            </w:r>
          </w:p>
        </w:tc>
        <w:tc>
          <w:tcPr>
            <w:tcW w:w="1281" w:type="dxa"/>
            <w:tcBorders>
              <w:tl2br w:val="nil"/>
              <w:tr2bl w:val="nil"/>
            </w:tcBorders>
            <w:shd w:val="clear" w:color="auto" w:fill="auto"/>
            <w:vAlign w:val="center"/>
          </w:tcPr>
          <w:p w14:paraId="475B5C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985" w:type="dxa"/>
            <w:tcBorders>
              <w:tl2br w:val="nil"/>
              <w:tr2bl w:val="nil"/>
            </w:tcBorders>
            <w:shd w:val="clear" w:color="auto" w:fill="auto"/>
            <w:vAlign w:val="center"/>
          </w:tcPr>
          <w:p w14:paraId="1ED29D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384</w:t>
            </w:r>
          </w:p>
        </w:tc>
        <w:tc>
          <w:tcPr>
            <w:tcW w:w="1268" w:type="dxa"/>
            <w:tcBorders>
              <w:tl2br w:val="nil"/>
              <w:tr2bl w:val="nil"/>
            </w:tcBorders>
            <w:shd w:val="clear" w:color="auto" w:fill="auto"/>
            <w:vAlign w:val="center"/>
          </w:tcPr>
          <w:p w14:paraId="74FAB6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1920</w:t>
            </w:r>
          </w:p>
        </w:tc>
        <w:tc>
          <w:tcPr>
            <w:tcW w:w="1000" w:type="dxa"/>
            <w:tcBorders>
              <w:tl2br w:val="nil"/>
              <w:tr2bl w:val="nil"/>
            </w:tcBorders>
            <w:shd w:val="clear" w:color="auto" w:fill="auto"/>
            <w:vAlign w:val="center"/>
          </w:tcPr>
          <w:p w14:paraId="7F5A78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是</w:t>
            </w:r>
          </w:p>
        </w:tc>
      </w:tr>
      <w:tr w14:paraId="46BD259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39A9CAC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根管扩大器（G钻)</w:t>
            </w:r>
          </w:p>
        </w:tc>
        <w:tc>
          <w:tcPr>
            <w:tcW w:w="2636" w:type="dxa"/>
            <w:tcBorders>
              <w:tl2br w:val="nil"/>
              <w:tr2bl w:val="nil"/>
            </w:tcBorders>
            <w:shd w:val="clear" w:color="auto" w:fill="auto"/>
            <w:vAlign w:val="center"/>
          </w:tcPr>
          <w:p w14:paraId="2A3CFC5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用于根管治疗时，扩大根管入口。</w:t>
            </w:r>
          </w:p>
        </w:tc>
        <w:tc>
          <w:tcPr>
            <w:tcW w:w="1227" w:type="dxa"/>
            <w:tcBorders>
              <w:tl2br w:val="nil"/>
              <w:tr2bl w:val="nil"/>
            </w:tcBorders>
            <w:shd w:val="clear" w:color="auto" w:fill="auto"/>
            <w:vAlign w:val="center"/>
          </w:tcPr>
          <w:p w14:paraId="3F38389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024D53C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支</w:t>
            </w:r>
          </w:p>
        </w:tc>
        <w:tc>
          <w:tcPr>
            <w:tcW w:w="1281" w:type="dxa"/>
            <w:tcBorders>
              <w:tl2br w:val="nil"/>
              <w:tr2bl w:val="nil"/>
            </w:tcBorders>
            <w:shd w:val="clear" w:color="auto" w:fill="auto"/>
            <w:vAlign w:val="center"/>
          </w:tcPr>
          <w:p w14:paraId="40BA5B7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9.33</w:t>
            </w:r>
          </w:p>
        </w:tc>
        <w:tc>
          <w:tcPr>
            <w:tcW w:w="985" w:type="dxa"/>
            <w:tcBorders>
              <w:tl2br w:val="nil"/>
              <w:tr2bl w:val="nil"/>
            </w:tcBorders>
            <w:shd w:val="clear" w:color="auto" w:fill="auto"/>
            <w:vAlign w:val="center"/>
          </w:tcPr>
          <w:p w14:paraId="684C1EB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268" w:type="dxa"/>
            <w:tcBorders>
              <w:tl2br w:val="nil"/>
              <w:tr2bl w:val="nil"/>
            </w:tcBorders>
            <w:shd w:val="clear" w:color="auto" w:fill="auto"/>
            <w:vAlign w:val="center"/>
          </w:tcPr>
          <w:p w14:paraId="3704B74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000" w:type="dxa"/>
            <w:tcBorders>
              <w:tl2br w:val="nil"/>
              <w:tr2bl w:val="nil"/>
            </w:tcBorders>
            <w:shd w:val="clear" w:color="auto" w:fill="auto"/>
            <w:vAlign w:val="center"/>
          </w:tcPr>
          <w:p w14:paraId="115997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336DA26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77AB6C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根管扩大器(P钻)</w:t>
            </w:r>
          </w:p>
        </w:tc>
        <w:tc>
          <w:tcPr>
            <w:tcW w:w="2636" w:type="dxa"/>
            <w:tcBorders>
              <w:tl2br w:val="nil"/>
              <w:tr2bl w:val="nil"/>
            </w:tcBorders>
            <w:shd w:val="clear" w:color="auto" w:fill="auto"/>
            <w:vAlign w:val="center"/>
          </w:tcPr>
          <w:p w14:paraId="4E93A87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用于根管治疗时，扩大根管入口。</w:t>
            </w:r>
          </w:p>
        </w:tc>
        <w:tc>
          <w:tcPr>
            <w:tcW w:w="1227" w:type="dxa"/>
            <w:tcBorders>
              <w:tl2br w:val="nil"/>
              <w:tr2bl w:val="nil"/>
            </w:tcBorders>
            <w:shd w:val="clear" w:color="auto" w:fill="auto"/>
            <w:vAlign w:val="center"/>
          </w:tcPr>
          <w:p w14:paraId="42AB29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298FE6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支</w:t>
            </w:r>
          </w:p>
        </w:tc>
        <w:tc>
          <w:tcPr>
            <w:tcW w:w="1281" w:type="dxa"/>
            <w:tcBorders>
              <w:tl2br w:val="nil"/>
              <w:tr2bl w:val="nil"/>
            </w:tcBorders>
            <w:shd w:val="clear" w:color="auto" w:fill="auto"/>
            <w:vAlign w:val="center"/>
          </w:tcPr>
          <w:p w14:paraId="5D2C36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9.33</w:t>
            </w:r>
          </w:p>
        </w:tc>
        <w:tc>
          <w:tcPr>
            <w:tcW w:w="985" w:type="dxa"/>
            <w:tcBorders>
              <w:tl2br w:val="nil"/>
              <w:tr2bl w:val="nil"/>
            </w:tcBorders>
            <w:shd w:val="clear" w:color="auto" w:fill="auto"/>
            <w:vAlign w:val="center"/>
          </w:tcPr>
          <w:p w14:paraId="47700C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268" w:type="dxa"/>
            <w:tcBorders>
              <w:tl2br w:val="nil"/>
              <w:tr2bl w:val="nil"/>
            </w:tcBorders>
            <w:shd w:val="clear" w:color="auto" w:fill="auto"/>
            <w:vAlign w:val="center"/>
          </w:tcPr>
          <w:p w14:paraId="1166B6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000" w:type="dxa"/>
            <w:tcBorders>
              <w:tl2br w:val="nil"/>
              <w:tr2bl w:val="nil"/>
            </w:tcBorders>
            <w:shd w:val="clear" w:color="auto" w:fill="auto"/>
            <w:vAlign w:val="center"/>
          </w:tcPr>
          <w:p w14:paraId="733728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3D3766C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72EEE9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根管充填器(手动垂直加压)</w:t>
            </w:r>
          </w:p>
        </w:tc>
        <w:tc>
          <w:tcPr>
            <w:tcW w:w="2636" w:type="dxa"/>
            <w:tcBorders>
              <w:tl2br w:val="nil"/>
              <w:tr2bl w:val="nil"/>
            </w:tcBorders>
            <w:shd w:val="clear" w:color="auto" w:fill="auto"/>
            <w:vAlign w:val="center"/>
          </w:tcPr>
          <w:p w14:paraId="7496815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用于将充填材料压入目标位置。</w:t>
            </w:r>
          </w:p>
        </w:tc>
        <w:tc>
          <w:tcPr>
            <w:tcW w:w="1227" w:type="dxa"/>
            <w:tcBorders>
              <w:tl2br w:val="nil"/>
              <w:tr2bl w:val="nil"/>
            </w:tcBorders>
            <w:shd w:val="clear" w:color="auto" w:fill="auto"/>
            <w:vAlign w:val="center"/>
          </w:tcPr>
          <w:p w14:paraId="2CAE46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033179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1281" w:type="dxa"/>
            <w:tcBorders>
              <w:tl2br w:val="nil"/>
              <w:tr2bl w:val="nil"/>
            </w:tcBorders>
            <w:shd w:val="clear" w:color="auto" w:fill="auto"/>
            <w:vAlign w:val="center"/>
          </w:tcPr>
          <w:p w14:paraId="0E9C64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480</w:t>
            </w:r>
          </w:p>
        </w:tc>
        <w:tc>
          <w:tcPr>
            <w:tcW w:w="985" w:type="dxa"/>
            <w:tcBorders>
              <w:tl2br w:val="nil"/>
              <w:tr2bl w:val="nil"/>
            </w:tcBorders>
            <w:shd w:val="clear" w:color="auto" w:fill="auto"/>
            <w:vAlign w:val="center"/>
          </w:tcPr>
          <w:p w14:paraId="03762CF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268" w:type="dxa"/>
            <w:tcBorders>
              <w:tl2br w:val="nil"/>
              <w:tr2bl w:val="nil"/>
            </w:tcBorders>
            <w:shd w:val="clear" w:color="auto" w:fill="auto"/>
            <w:vAlign w:val="center"/>
          </w:tcPr>
          <w:p w14:paraId="0A6632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1440</w:t>
            </w:r>
          </w:p>
        </w:tc>
        <w:tc>
          <w:tcPr>
            <w:tcW w:w="1000" w:type="dxa"/>
            <w:tcBorders>
              <w:tl2br w:val="nil"/>
              <w:tr2bl w:val="nil"/>
            </w:tcBorders>
            <w:shd w:val="clear" w:color="auto" w:fill="auto"/>
            <w:vAlign w:val="center"/>
          </w:tcPr>
          <w:p w14:paraId="276770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是</w:t>
            </w:r>
          </w:p>
        </w:tc>
      </w:tr>
      <w:tr w14:paraId="28DE4B1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7B2E42F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根管充填器</w:t>
            </w:r>
          </w:p>
        </w:tc>
        <w:tc>
          <w:tcPr>
            <w:tcW w:w="2636" w:type="dxa"/>
            <w:tcBorders>
              <w:tl2br w:val="nil"/>
              <w:tr2bl w:val="nil"/>
            </w:tcBorders>
            <w:shd w:val="clear" w:color="auto" w:fill="auto"/>
            <w:vAlign w:val="center"/>
          </w:tcPr>
          <w:p w14:paraId="75CCFAB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用于将充填材料输送、填入至目标位置。</w:t>
            </w:r>
          </w:p>
        </w:tc>
        <w:tc>
          <w:tcPr>
            <w:tcW w:w="1227" w:type="dxa"/>
            <w:tcBorders>
              <w:tl2br w:val="nil"/>
              <w:tr2bl w:val="nil"/>
            </w:tcBorders>
            <w:shd w:val="clear" w:color="auto" w:fill="auto"/>
            <w:vAlign w:val="center"/>
          </w:tcPr>
          <w:p w14:paraId="684AACF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1F9FF0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1281" w:type="dxa"/>
            <w:tcBorders>
              <w:tl2br w:val="nil"/>
              <w:tr2bl w:val="nil"/>
            </w:tcBorders>
            <w:shd w:val="clear" w:color="auto" w:fill="auto"/>
            <w:vAlign w:val="center"/>
          </w:tcPr>
          <w:p w14:paraId="71FF0A4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19.8</w:t>
            </w:r>
          </w:p>
        </w:tc>
        <w:tc>
          <w:tcPr>
            <w:tcW w:w="985" w:type="dxa"/>
            <w:tcBorders>
              <w:tl2br w:val="nil"/>
              <w:tr2bl w:val="nil"/>
            </w:tcBorders>
            <w:shd w:val="clear" w:color="auto" w:fill="auto"/>
            <w:vAlign w:val="center"/>
          </w:tcPr>
          <w:p w14:paraId="7E3D887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268" w:type="dxa"/>
            <w:tcBorders>
              <w:tl2br w:val="nil"/>
              <w:tr2bl w:val="nil"/>
            </w:tcBorders>
            <w:shd w:val="clear" w:color="auto" w:fill="auto"/>
            <w:vAlign w:val="center"/>
          </w:tcPr>
          <w:p w14:paraId="6E6401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000" w:type="dxa"/>
            <w:tcBorders>
              <w:tl2br w:val="nil"/>
              <w:tr2bl w:val="nil"/>
            </w:tcBorders>
            <w:shd w:val="clear" w:color="auto" w:fill="auto"/>
            <w:vAlign w:val="center"/>
          </w:tcPr>
          <w:p w14:paraId="60DA61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6F465EC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14D8CD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根管充填器(侧压器)</w:t>
            </w:r>
          </w:p>
        </w:tc>
        <w:tc>
          <w:tcPr>
            <w:tcW w:w="2636" w:type="dxa"/>
            <w:tcBorders>
              <w:tl2br w:val="nil"/>
              <w:tr2bl w:val="nil"/>
            </w:tcBorders>
            <w:shd w:val="clear" w:color="auto" w:fill="auto"/>
            <w:vAlign w:val="center"/>
          </w:tcPr>
          <w:p w14:paraId="5988D7A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用于将充填材料输送、填入至目标位置。</w:t>
            </w:r>
          </w:p>
        </w:tc>
        <w:tc>
          <w:tcPr>
            <w:tcW w:w="1227" w:type="dxa"/>
            <w:tcBorders>
              <w:tl2br w:val="nil"/>
              <w:tr2bl w:val="nil"/>
            </w:tcBorders>
            <w:shd w:val="clear" w:color="auto" w:fill="auto"/>
            <w:vAlign w:val="center"/>
          </w:tcPr>
          <w:p w14:paraId="4C4461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179D57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1281" w:type="dxa"/>
            <w:tcBorders>
              <w:tl2br w:val="nil"/>
              <w:tr2bl w:val="nil"/>
            </w:tcBorders>
            <w:shd w:val="clear" w:color="auto" w:fill="auto"/>
            <w:vAlign w:val="center"/>
          </w:tcPr>
          <w:p w14:paraId="1DFA013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46.8</w:t>
            </w:r>
          </w:p>
        </w:tc>
        <w:tc>
          <w:tcPr>
            <w:tcW w:w="985" w:type="dxa"/>
            <w:tcBorders>
              <w:tl2br w:val="nil"/>
              <w:tr2bl w:val="nil"/>
            </w:tcBorders>
            <w:shd w:val="clear" w:color="auto" w:fill="auto"/>
            <w:vAlign w:val="center"/>
          </w:tcPr>
          <w:p w14:paraId="53BBC21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268" w:type="dxa"/>
            <w:tcBorders>
              <w:tl2br w:val="nil"/>
              <w:tr2bl w:val="nil"/>
            </w:tcBorders>
            <w:shd w:val="clear" w:color="auto" w:fill="auto"/>
            <w:vAlign w:val="center"/>
          </w:tcPr>
          <w:p w14:paraId="21F2BD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93.6</w:t>
            </w:r>
          </w:p>
        </w:tc>
        <w:tc>
          <w:tcPr>
            <w:tcW w:w="1000" w:type="dxa"/>
            <w:tcBorders>
              <w:tl2br w:val="nil"/>
              <w:tr2bl w:val="nil"/>
            </w:tcBorders>
            <w:shd w:val="clear" w:color="auto" w:fill="auto"/>
            <w:vAlign w:val="center"/>
          </w:tcPr>
          <w:p w14:paraId="3D324B6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69DD387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04DE127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根管充填器(垂直加压器-双头)</w:t>
            </w:r>
          </w:p>
        </w:tc>
        <w:tc>
          <w:tcPr>
            <w:tcW w:w="2636" w:type="dxa"/>
            <w:tcBorders>
              <w:tl2br w:val="nil"/>
              <w:tr2bl w:val="nil"/>
            </w:tcBorders>
            <w:shd w:val="clear" w:color="auto" w:fill="auto"/>
            <w:vAlign w:val="center"/>
          </w:tcPr>
          <w:p w14:paraId="1D50BEE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用于将充填材料输送、填入至目标位置。</w:t>
            </w:r>
          </w:p>
        </w:tc>
        <w:tc>
          <w:tcPr>
            <w:tcW w:w="1227" w:type="dxa"/>
            <w:tcBorders>
              <w:tl2br w:val="nil"/>
              <w:tr2bl w:val="nil"/>
            </w:tcBorders>
            <w:shd w:val="clear" w:color="auto" w:fill="auto"/>
            <w:vAlign w:val="center"/>
          </w:tcPr>
          <w:p w14:paraId="3896CDE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78BF8FF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1281" w:type="dxa"/>
            <w:tcBorders>
              <w:tl2br w:val="nil"/>
              <w:tr2bl w:val="nil"/>
            </w:tcBorders>
            <w:shd w:val="clear" w:color="auto" w:fill="auto"/>
            <w:vAlign w:val="center"/>
          </w:tcPr>
          <w:p w14:paraId="750D12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61.2</w:t>
            </w:r>
          </w:p>
        </w:tc>
        <w:tc>
          <w:tcPr>
            <w:tcW w:w="985" w:type="dxa"/>
            <w:tcBorders>
              <w:tl2br w:val="nil"/>
              <w:tr2bl w:val="nil"/>
            </w:tcBorders>
            <w:shd w:val="clear" w:color="auto" w:fill="auto"/>
            <w:vAlign w:val="center"/>
          </w:tcPr>
          <w:p w14:paraId="172CB5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1268" w:type="dxa"/>
            <w:tcBorders>
              <w:tl2br w:val="nil"/>
              <w:tr2bl w:val="nil"/>
            </w:tcBorders>
            <w:shd w:val="clear" w:color="auto" w:fill="auto"/>
            <w:vAlign w:val="center"/>
          </w:tcPr>
          <w:p w14:paraId="7CBA6FB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244.8</w:t>
            </w:r>
          </w:p>
        </w:tc>
        <w:tc>
          <w:tcPr>
            <w:tcW w:w="1000" w:type="dxa"/>
            <w:tcBorders>
              <w:tl2br w:val="nil"/>
              <w:tr2bl w:val="nil"/>
            </w:tcBorders>
            <w:shd w:val="clear" w:color="auto" w:fill="auto"/>
            <w:vAlign w:val="center"/>
          </w:tcPr>
          <w:p w14:paraId="1C211B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178226A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2FF57FD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牙科树脂充填器(树脂修整器)</w:t>
            </w:r>
          </w:p>
        </w:tc>
        <w:tc>
          <w:tcPr>
            <w:tcW w:w="2636" w:type="dxa"/>
            <w:tcBorders>
              <w:tl2br w:val="nil"/>
              <w:tr2bl w:val="nil"/>
            </w:tcBorders>
            <w:shd w:val="clear" w:color="auto" w:fill="auto"/>
            <w:vAlign w:val="center"/>
          </w:tcPr>
          <w:p w14:paraId="616FB55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用于将充填材料压入目标位置。</w:t>
            </w:r>
          </w:p>
        </w:tc>
        <w:tc>
          <w:tcPr>
            <w:tcW w:w="1227" w:type="dxa"/>
            <w:tcBorders>
              <w:tl2br w:val="nil"/>
              <w:tr2bl w:val="nil"/>
            </w:tcBorders>
            <w:shd w:val="clear" w:color="auto" w:fill="auto"/>
            <w:vAlign w:val="center"/>
          </w:tcPr>
          <w:p w14:paraId="7C32917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双头</w:t>
            </w:r>
          </w:p>
        </w:tc>
        <w:tc>
          <w:tcPr>
            <w:tcW w:w="996" w:type="dxa"/>
            <w:tcBorders>
              <w:tl2br w:val="nil"/>
              <w:tr2bl w:val="nil"/>
            </w:tcBorders>
            <w:shd w:val="clear" w:color="auto" w:fill="auto"/>
            <w:vAlign w:val="center"/>
          </w:tcPr>
          <w:p w14:paraId="7357FF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1281" w:type="dxa"/>
            <w:tcBorders>
              <w:tl2br w:val="nil"/>
              <w:tr2bl w:val="nil"/>
            </w:tcBorders>
            <w:shd w:val="clear" w:color="auto" w:fill="auto"/>
            <w:vAlign w:val="center"/>
          </w:tcPr>
          <w:p w14:paraId="54725C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36</w:t>
            </w:r>
          </w:p>
        </w:tc>
        <w:tc>
          <w:tcPr>
            <w:tcW w:w="985" w:type="dxa"/>
            <w:tcBorders>
              <w:tl2br w:val="nil"/>
              <w:tr2bl w:val="nil"/>
            </w:tcBorders>
            <w:shd w:val="clear" w:color="auto" w:fill="auto"/>
            <w:vAlign w:val="center"/>
          </w:tcPr>
          <w:p w14:paraId="3ED984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w:t>
            </w:r>
          </w:p>
        </w:tc>
        <w:tc>
          <w:tcPr>
            <w:tcW w:w="1268" w:type="dxa"/>
            <w:tcBorders>
              <w:tl2br w:val="nil"/>
              <w:tr2bl w:val="nil"/>
            </w:tcBorders>
            <w:shd w:val="clear" w:color="auto" w:fill="auto"/>
            <w:vAlign w:val="center"/>
          </w:tcPr>
          <w:p w14:paraId="71EC9D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612</w:t>
            </w:r>
          </w:p>
        </w:tc>
        <w:tc>
          <w:tcPr>
            <w:tcW w:w="1000" w:type="dxa"/>
            <w:tcBorders>
              <w:tl2br w:val="nil"/>
              <w:tr2bl w:val="nil"/>
            </w:tcBorders>
            <w:shd w:val="clear" w:color="auto" w:fill="auto"/>
            <w:vAlign w:val="center"/>
          </w:tcPr>
          <w:p w14:paraId="431F0C1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24009EC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3AD2AA4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水门汀充填器</w:t>
            </w:r>
          </w:p>
        </w:tc>
        <w:tc>
          <w:tcPr>
            <w:tcW w:w="2636" w:type="dxa"/>
            <w:tcBorders>
              <w:tl2br w:val="nil"/>
              <w:tr2bl w:val="nil"/>
            </w:tcBorders>
            <w:shd w:val="clear" w:color="auto" w:fill="auto"/>
            <w:vAlign w:val="center"/>
          </w:tcPr>
          <w:p w14:paraId="4D12A16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用于将充填材料压入目标位置。</w:t>
            </w:r>
          </w:p>
        </w:tc>
        <w:tc>
          <w:tcPr>
            <w:tcW w:w="1227" w:type="dxa"/>
            <w:tcBorders>
              <w:tl2br w:val="nil"/>
              <w:tr2bl w:val="nil"/>
            </w:tcBorders>
            <w:shd w:val="clear" w:color="auto" w:fill="auto"/>
            <w:vAlign w:val="center"/>
          </w:tcPr>
          <w:p w14:paraId="45E6223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406626B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1281" w:type="dxa"/>
            <w:tcBorders>
              <w:tl2br w:val="nil"/>
              <w:tr2bl w:val="nil"/>
            </w:tcBorders>
            <w:shd w:val="clear" w:color="auto" w:fill="auto"/>
            <w:vAlign w:val="center"/>
          </w:tcPr>
          <w:p w14:paraId="58BCA70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31.5</w:t>
            </w:r>
          </w:p>
        </w:tc>
        <w:tc>
          <w:tcPr>
            <w:tcW w:w="985" w:type="dxa"/>
            <w:tcBorders>
              <w:tl2br w:val="nil"/>
              <w:tr2bl w:val="nil"/>
            </w:tcBorders>
            <w:shd w:val="clear" w:color="auto" w:fill="auto"/>
            <w:vAlign w:val="center"/>
          </w:tcPr>
          <w:p w14:paraId="0177CC6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w:t>
            </w:r>
          </w:p>
        </w:tc>
        <w:tc>
          <w:tcPr>
            <w:tcW w:w="1268" w:type="dxa"/>
            <w:tcBorders>
              <w:tl2br w:val="nil"/>
              <w:tr2bl w:val="nil"/>
            </w:tcBorders>
            <w:shd w:val="clear" w:color="auto" w:fill="auto"/>
            <w:vAlign w:val="center"/>
          </w:tcPr>
          <w:p w14:paraId="2719D3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1260</w:t>
            </w:r>
          </w:p>
        </w:tc>
        <w:tc>
          <w:tcPr>
            <w:tcW w:w="1000" w:type="dxa"/>
            <w:tcBorders>
              <w:tl2br w:val="nil"/>
              <w:tr2bl w:val="nil"/>
            </w:tcBorders>
            <w:shd w:val="clear" w:color="auto" w:fill="auto"/>
            <w:vAlign w:val="center"/>
          </w:tcPr>
          <w:p w14:paraId="7E5D05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4859342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1DAF95D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牙科抛光条(金属打磨条)</w:t>
            </w:r>
          </w:p>
        </w:tc>
        <w:tc>
          <w:tcPr>
            <w:tcW w:w="2636" w:type="dxa"/>
            <w:tcBorders>
              <w:tl2br w:val="nil"/>
              <w:tr2bl w:val="nil"/>
            </w:tcBorders>
            <w:shd w:val="clear" w:color="auto" w:fill="auto"/>
            <w:vAlign w:val="center"/>
          </w:tcPr>
          <w:p w14:paraId="7CE9AA8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用于各种充填材料的修整、打磨、抛光。</w:t>
            </w:r>
          </w:p>
        </w:tc>
        <w:tc>
          <w:tcPr>
            <w:tcW w:w="1227" w:type="dxa"/>
            <w:tcBorders>
              <w:tl2br w:val="nil"/>
              <w:tr2bl w:val="nil"/>
            </w:tcBorders>
            <w:shd w:val="clear" w:color="auto" w:fill="auto"/>
            <w:vAlign w:val="center"/>
          </w:tcPr>
          <w:p w14:paraId="3967FC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442E4EE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条</w:t>
            </w:r>
          </w:p>
        </w:tc>
        <w:tc>
          <w:tcPr>
            <w:tcW w:w="1281" w:type="dxa"/>
            <w:tcBorders>
              <w:tl2br w:val="nil"/>
              <w:tr2bl w:val="nil"/>
            </w:tcBorders>
            <w:shd w:val="clear" w:color="auto" w:fill="auto"/>
            <w:vAlign w:val="center"/>
          </w:tcPr>
          <w:p w14:paraId="10FABD9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45</w:t>
            </w:r>
          </w:p>
        </w:tc>
        <w:tc>
          <w:tcPr>
            <w:tcW w:w="985" w:type="dxa"/>
            <w:tcBorders>
              <w:tl2br w:val="nil"/>
              <w:tr2bl w:val="nil"/>
            </w:tcBorders>
            <w:shd w:val="clear" w:color="auto" w:fill="auto"/>
            <w:vAlign w:val="center"/>
          </w:tcPr>
          <w:p w14:paraId="793B3E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w:t>
            </w:r>
          </w:p>
        </w:tc>
        <w:tc>
          <w:tcPr>
            <w:tcW w:w="1268" w:type="dxa"/>
            <w:tcBorders>
              <w:tl2br w:val="nil"/>
              <w:tr2bl w:val="nil"/>
            </w:tcBorders>
            <w:shd w:val="clear" w:color="auto" w:fill="auto"/>
            <w:vAlign w:val="center"/>
          </w:tcPr>
          <w:p w14:paraId="09A1C4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1080</w:t>
            </w:r>
          </w:p>
        </w:tc>
        <w:tc>
          <w:tcPr>
            <w:tcW w:w="1000" w:type="dxa"/>
            <w:tcBorders>
              <w:tl2br w:val="nil"/>
              <w:tr2bl w:val="nil"/>
            </w:tcBorders>
            <w:shd w:val="clear" w:color="auto" w:fill="auto"/>
            <w:vAlign w:val="center"/>
          </w:tcPr>
          <w:p w14:paraId="5DD56F8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是</w:t>
            </w:r>
          </w:p>
        </w:tc>
      </w:tr>
      <w:tr w14:paraId="5AB4CFC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5FF5FF1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热牙胶充填机(β-银针)</w:t>
            </w:r>
          </w:p>
        </w:tc>
        <w:tc>
          <w:tcPr>
            <w:tcW w:w="2636" w:type="dxa"/>
            <w:tcBorders>
              <w:tl2br w:val="nil"/>
              <w:tr2bl w:val="nil"/>
            </w:tcBorders>
            <w:shd w:val="clear" w:color="auto" w:fill="auto"/>
            <w:vAlign w:val="center"/>
          </w:tcPr>
          <w:p w14:paraId="3EC5ADD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本产品用于加热牙胶，并将热牙胶充填入已预备好的牙齿根管内，以快速完全地封闭根管。</w:t>
            </w:r>
          </w:p>
        </w:tc>
        <w:tc>
          <w:tcPr>
            <w:tcW w:w="1227" w:type="dxa"/>
            <w:tcBorders>
              <w:tl2br w:val="nil"/>
              <w:tr2bl w:val="nil"/>
            </w:tcBorders>
            <w:shd w:val="clear" w:color="auto" w:fill="auto"/>
            <w:vAlign w:val="center"/>
          </w:tcPr>
          <w:p w14:paraId="691B80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3818CF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只</w:t>
            </w:r>
          </w:p>
        </w:tc>
        <w:tc>
          <w:tcPr>
            <w:tcW w:w="1281" w:type="dxa"/>
            <w:tcBorders>
              <w:tl2br w:val="nil"/>
              <w:tr2bl w:val="nil"/>
            </w:tcBorders>
            <w:shd w:val="clear" w:color="auto" w:fill="auto"/>
            <w:vAlign w:val="center"/>
          </w:tcPr>
          <w:p w14:paraId="34B9EE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105</w:t>
            </w:r>
          </w:p>
        </w:tc>
        <w:tc>
          <w:tcPr>
            <w:tcW w:w="985" w:type="dxa"/>
            <w:tcBorders>
              <w:tl2br w:val="nil"/>
              <w:tr2bl w:val="nil"/>
            </w:tcBorders>
            <w:shd w:val="clear" w:color="auto" w:fill="auto"/>
            <w:vAlign w:val="center"/>
          </w:tcPr>
          <w:p w14:paraId="25140D8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268" w:type="dxa"/>
            <w:tcBorders>
              <w:tl2br w:val="nil"/>
              <w:tr2bl w:val="nil"/>
            </w:tcBorders>
            <w:shd w:val="clear" w:color="auto" w:fill="auto"/>
            <w:vAlign w:val="center"/>
          </w:tcPr>
          <w:p w14:paraId="00D516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000" w:type="dxa"/>
            <w:tcBorders>
              <w:tl2br w:val="nil"/>
              <w:tr2bl w:val="nil"/>
            </w:tcBorders>
            <w:shd w:val="clear" w:color="auto" w:fill="auto"/>
            <w:vAlign w:val="center"/>
          </w:tcPr>
          <w:p w14:paraId="05ABE3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是</w:t>
            </w:r>
          </w:p>
        </w:tc>
      </w:tr>
      <w:tr w14:paraId="29E6B94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1B8860D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拔髓针</w:t>
            </w:r>
          </w:p>
        </w:tc>
        <w:tc>
          <w:tcPr>
            <w:tcW w:w="2636" w:type="dxa"/>
            <w:tcBorders>
              <w:tl2br w:val="nil"/>
              <w:tr2bl w:val="nil"/>
            </w:tcBorders>
            <w:shd w:val="clear" w:color="auto" w:fill="auto"/>
            <w:vAlign w:val="center"/>
          </w:tcPr>
          <w:p w14:paraId="18563DF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用于根管治疗中拔除牙髓神经。</w:t>
            </w:r>
          </w:p>
        </w:tc>
        <w:tc>
          <w:tcPr>
            <w:tcW w:w="1227" w:type="dxa"/>
            <w:tcBorders>
              <w:tl2br w:val="nil"/>
              <w:tr2bl w:val="nil"/>
            </w:tcBorders>
            <w:shd w:val="clear" w:color="auto" w:fill="auto"/>
            <w:vAlign w:val="center"/>
          </w:tcPr>
          <w:p w14:paraId="35C916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7BF294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支</w:t>
            </w:r>
          </w:p>
        </w:tc>
        <w:tc>
          <w:tcPr>
            <w:tcW w:w="1281" w:type="dxa"/>
            <w:tcBorders>
              <w:tl2br w:val="nil"/>
              <w:tr2bl w:val="nil"/>
            </w:tcBorders>
            <w:shd w:val="clear" w:color="auto" w:fill="auto"/>
            <w:vAlign w:val="center"/>
          </w:tcPr>
          <w:p w14:paraId="36CD602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985" w:type="dxa"/>
            <w:tcBorders>
              <w:tl2br w:val="nil"/>
              <w:tr2bl w:val="nil"/>
            </w:tcBorders>
            <w:shd w:val="clear" w:color="auto" w:fill="auto"/>
            <w:vAlign w:val="center"/>
          </w:tcPr>
          <w:p w14:paraId="11E6CB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1584</w:t>
            </w:r>
          </w:p>
        </w:tc>
        <w:tc>
          <w:tcPr>
            <w:tcW w:w="1268" w:type="dxa"/>
            <w:tcBorders>
              <w:tl2br w:val="nil"/>
              <w:tr2bl w:val="nil"/>
            </w:tcBorders>
            <w:shd w:val="clear" w:color="auto" w:fill="auto"/>
            <w:vAlign w:val="center"/>
          </w:tcPr>
          <w:p w14:paraId="6FAF0E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6336</w:t>
            </w:r>
          </w:p>
        </w:tc>
        <w:tc>
          <w:tcPr>
            <w:tcW w:w="1000" w:type="dxa"/>
            <w:tcBorders>
              <w:tl2br w:val="nil"/>
              <w:tr2bl w:val="nil"/>
            </w:tcBorders>
            <w:shd w:val="clear" w:color="auto" w:fill="auto"/>
            <w:vAlign w:val="center"/>
          </w:tcPr>
          <w:p w14:paraId="096A667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是</w:t>
            </w:r>
          </w:p>
        </w:tc>
      </w:tr>
    </w:tbl>
    <w:p w14:paraId="69AF1F0C">
      <w:pPr>
        <w:pStyle w:val="10"/>
        <w:tabs>
          <w:tab w:val="left" w:pos="420"/>
          <w:tab w:val="left" w:pos="540"/>
        </w:tabs>
        <w:adjustRightInd w:val="0"/>
        <w:snapToGrid w:val="0"/>
        <w:spacing w:line="360" w:lineRule="auto"/>
        <w:rPr>
          <w:rFonts w:hAnsi="宋体"/>
          <w:b/>
          <w:color w:val="auto"/>
        </w:rPr>
      </w:pPr>
    </w:p>
    <w:p w14:paraId="7C2FC4C4">
      <w:pPr>
        <w:pStyle w:val="10"/>
        <w:numPr>
          <w:ilvl w:val="0"/>
          <w:numId w:val="7"/>
        </w:numPr>
        <w:tabs>
          <w:tab w:val="left" w:pos="540"/>
        </w:tabs>
        <w:adjustRightInd w:val="0"/>
        <w:snapToGrid w:val="0"/>
        <w:spacing w:line="360" w:lineRule="auto"/>
        <w:ind w:left="420" w:leftChars="0" w:hanging="420" w:firstLineChars="0"/>
        <w:outlineLvl w:val="9"/>
        <w:rPr>
          <w:rFonts w:hAnsi="宋体"/>
          <w:b/>
          <w:color w:val="auto"/>
        </w:rPr>
      </w:pPr>
      <w:r>
        <w:rPr>
          <w:rFonts w:hint="eastAsia" w:hAnsi="宋体"/>
          <w:b/>
          <w:color w:val="auto"/>
        </w:rPr>
        <w:t>商务要求：</w:t>
      </w:r>
    </w:p>
    <w:p w14:paraId="26BD2C03">
      <w:pPr>
        <w:keepNext w:val="0"/>
        <w:keepLines w:val="0"/>
        <w:widowControl w:val="0"/>
        <w:numPr>
          <w:ilvl w:val="0"/>
          <w:numId w:val="8"/>
        </w:numPr>
        <w:suppressLineNumbers w:val="0"/>
        <w:tabs>
          <w:tab w:val="left" w:pos="0"/>
          <w:tab w:val="left" w:pos="220"/>
        </w:tabs>
        <w:wordWrap w:val="0"/>
        <w:autoSpaceDE w:val="0"/>
        <w:autoSpaceDN/>
        <w:adjustRightInd w:val="0"/>
        <w:snapToGrid w:val="0"/>
        <w:spacing w:before="0" w:beforeAutospacing="0" w:after="0" w:afterAutospacing="0"/>
        <w:ind w:left="0" w:right="0"/>
        <w:jc w:val="left"/>
        <w:rPr>
          <w:rFonts w:hint="eastAsia" w:ascii="Calibri" w:hAnsi="Calibri" w:eastAsia="宋体" w:cs="Times New Roman"/>
          <w:kern w:val="2"/>
          <w:sz w:val="21"/>
          <w:szCs w:val="21"/>
        </w:rPr>
      </w:pPr>
      <w:r>
        <w:rPr>
          <w:rFonts w:hint="eastAsia" w:ascii="宋体" w:hAnsi="宋体" w:eastAsia="宋体" w:cs="宋体"/>
          <w:b/>
          <w:bCs/>
          <w:kern w:val="2"/>
          <w:sz w:val="21"/>
          <w:szCs w:val="21"/>
          <w:lang w:val="en-US" w:eastAsia="zh-CN" w:bidi="ar"/>
        </w:rPr>
        <w:t>合同履行期限：</w:t>
      </w:r>
      <w:r>
        <w:rPr>
          <w:rFonts w:hint="default" w:ascii="Calibri" w:hAnsi="Calibri" w:eastAsia="宋体" w:cs="Calibri"/>
          <w:kern w:val="2"/>
          <w:sz w:val="21"/>
          <w:szCs w:val="21"/>
          <w:lang w:val="en-US" w:eastAsia="zh-CN" w:bidi="ar"/>
        </w:rPr>
        <w:t>24</w:t>
      </w:r>
      <w:r>
        <w:rPr>
          <w:rFonts w:hint="eastAsia" w:ascii="宋体" w:hAnsi="宋体" w:eastAsia="宋体" w:cs="宋体"/>
          <w:kern w:val="2"/>
          <w:sz w:val="21"/>
          <w:szCs w:val="21"/>
          <w:lang w:val="en-US" w:eastAsia="zh-CN" w:bidi="ar"/>
        </w:rPr>
        <w:t>个月。</w:t>
      </w:r>
    </w:p>
    <w:p w14:paraId="3401BFF5">
      <w:pPr>
        <w:keepNext w:val="0"/>
        <w:keepLines w:val="0"/>
        <w:widowControl w:val="0"/>
        <w:numPr>
          <w:ilvl w:val="0"/>
          <w:numId w:val="8"/>
        </w:numPr>
        <w:suppressLineNumbers w:val="0"/>
        <w:tabs>
          <w:tab w:val="left" w:pos="0"/>
          <w:tab w:val="left" w:pos="220"/>
        </w:tabs>
        <w:autoSpaceDE w:val="0"/>
        <w:autoSpaceDN/>
        <w:spacing w:before="0" w:beforeAutospacing="0" w:after="0" w:afterAutospacing="0"/>
        <w:ind w:left="0" w:leftChars="0" w:right="0" w:firstLine="0" w:firstLineChars="0"/>
        <w:jc w:val="left"/>
        <w:rPr>
          <w:rFonts w:hint="eastAsia" w:ascii="宋体" w:hAnsi="宋体" w:eastAsia="宋体" w:cs="宋体"/>
          <w:b w:val="0"/>
          <w:bCs w:val="0"/>
          <w:kern w:val="2"/>
          <w:sz w:val="21"/>
          <w:szCs w:val="21"/>
        </w:rPr>
      </w:pPr>
      <w:r>
        <w:rPr>
          <w:rFonts w:hint="eastAsia" w:ascii="宋体" w:hAnsi="宋体" w:eastAsia="宋体" w:cs="宋体"/>
          <w:b/>
          <w:bCs/>
          <w:kern w:val="2"/>
          <w:sz w:val="21"/>
          <w:szCs w:val="21"/>
          <w:lang w:val="en-US" w:eastAsia="zh-CN" w:bidi="ar"/>
        </w:rPr>
        <w:t>交货时间：</w:t>
      </w:r>
      <w:r>
        <w:rPr>
          <w:rFonts w:hint="eastAsia" w:ascii="宋体" w:hAnsi="宋体" w:eastAsia="宋体" w:cs="宋体"/>
          <w:b w:val="0"/>
          <w:bCs w:val="0"/>
          <w:kern w:val="2"/>
          <w:sz w:val="21"/>
          <w:szCs w:val="21"/>
          <w:lang w:val="en-US" w:eastAsia="zh-CN" w:bidi="ar"/>
        </w:rPr>
        <w:t>中标人收到采购人的需求清单后2天内交货。</w:t>
      </w:r>
    </w:p>
    <w:p w14:paraId="32534ACE">
      <w:pPr>
        <w:keepNext w:val="0"/>
        <w:keepLines w:val="0"/>
        <w:widowControl w:val="0"/>
        <w:suppressLineNumbers w:val="0"/>
        <w:tabs>
          <w:tab w:val="left" w:pos="0"/>
          <w:tab w:val="left" w:pos="220"/>
        </w:tabs>
        <w:autoSpaceDE w:val="0"/>
        <w:autoSpaceDN/>
        <w:spacing w:before="0" w:beforeAutospacing="0" w:after="0" w:afterAutospacing="0"/>
        <w:ind w:left="0" w:right="0"/>
        <w:jc w:val="left"/>
        <w:rPr>
          <w:rFonts w:hint="eastAsia" w:ascii="宋体" w:hAnsi="宋体" w:eastAsia="宋体" w:cs="宋体"/>
          <w:b/>
          <w:bCs/>
          <w:kern w:val="2"/>
          <w:sz w:val="21"/>
          <w:szCs w:val="21"/>
        </w:rPr>
      </w:pPr>
      <w:r>
        <w:rPr>
          <w:rFonts w:hint="eastAsia" w:ascii="宋体" w:hAnsi="宋体" w:eastAsia="宋体" w:cs="宋体"/>
          <w:b/>
          <w:bCs/>
          <w:kern w:val="2"/>
          <w:sz w:val="21"/>
          <w:szCs w:val="21"/>
          <w:lang w:val="en-US" w:eastAsia="zh-CN" w:bidi="ar"/>
        </w:rPr>
        <w:t>3.报价方式：</w:t>
      </w:r>
    </w:p>
    <w:p w14:paraId="3DD54695">
      <w:pPr>
        <w:keepNext w:val="0"/>
        <w:keepLines w:val="0"/>
        <w:widowControl w:val="0"/>
        <w:suppressLineNumbers w:val="0"/>
        <w:tabs>
          <w:tab w:val="left" w:pos="0"/>
          <w:tab w:val="left" w:pos="420"/>
        </w:tabs>
        <w:autoSpaceDE w:val="0"/>
        <w:autoSpaceDN/>
        <w:spacing w:before="0" w:beforeAutospacing="0" w:after="0" w:afterAutospacing="0"/>
        <w:ind w:left="0" w:right="0" w:firstLine="210" w:firstLineChars="100"/>
        <w:jc w:val="left"/>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3.1报价使用货币及单位：人民币（元），报价精确到元。</w:t>
      </w:r>
    </w:p>
    <w:p w14:paraId="6D2E9B30">
      <w:pPr>
        <w:keepNext w:val="0"/>
        <w:keepLines w:val="0"/>
        <w:widowControl w:val="0"/>
        <w:suppressLineNumbers w:val="0"/>
        <w:tabs>
          <w:tab w:val="left" w:pos="0"/>
          <w:tab w:val="left" w:pos="420"/>
        </w:tabs>
        <w:autoSpaceDE w:val="0"/>
        <w:autoSpaceDN/>
        <w:spacing w:before="0" w:beforeAutospacing="0" w:after="0" w:afterAutospacing="0"/>
        <w:ind w:left="0" w:right="0" w:firstLine="210" w:firstLineChars="100"/>
        <w:jc w:val="left"/>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3.2投标人所报价格为含税、配送商费用等的全包价。</w:t>
      </w:r>
    </w:p>
    <w:p w14:paraId="3D24E112">
      <w:pPr>
        <w:keepNext w:val="0"/>
        <w:keepLines w:val="0"/>
        <w:widowControl w:val="0"/>
        <w:suppressLineNumbers w:val="0"/>
        <w:tabs>
          <w:tab w:val="left" w:pos="0"/>
          <w:tab w:val="left" w:pos="420"/>
        </w:tabs>
        <w:autoSpaceDE w:val="0"/>
        <w:autoSpaceDN/>
        <w:spacing w:before="0" w:beforeAutospacing="0" w:after="0" w:afterAutospacing="0"/>
        <w:ind w:left="0" w:right="0" w:firstLine="210" w:firstLineChars="100"/>
        <w:jc w:val="left"/>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3.3投标人的投标报价不得高于深圳市最低成交价。</w:t>
      </w:r>
    </w:p>
    <w:p w14:paraId="0424A42D">
      <w:pPr>
        <w:keepNext w:val="0"/>
        <w:keepLines w:val="0"/>
        <w:widowControl w:val="0"/>
        <w:suppressLineNumbers w:val="0"/>
        <w:tabs>
          <w:tab w:val="left" w:pos="0"/>
          <w:tab w:val="left" w:pos="420"/>
        </w:tabs>
        <w:autoSpaceDE w:val="0"/>
        <w:autoSpaceDN/>
        <w:spacing w:before="0" w:beforeAutospacing="0" w:after="0" w:afterAutospacing="0"/>
        <w:ind w:left="0" w:right="0" w:firstLine="210" w:firstLineChars="100"/>
        <w:jc w:val="left"/>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3.4投标人不得以低于自身成本的报价投标：当评标委员会认为其报价低于成本价时，评标委员会有权要求其对成本构成进行介绍，并要求投标方用书面的形式进行低价说明（在保证质量的前提下，能够大幅节省经费的手段或原因）；如投标人没有合理的理由或不按要求提供低价说明，可视为不被接受的有风险的报价。</w:t>
      </w:r>
    </w:p>
    <w:p w14:paraId="20292913">
      <w:pPr>
        <w:keepNext w:val="0"/>
        <w:keepLines w:val="0"/>
        <w:widowControl w:val="0"/>
        <w:suppressLineNumbers w:val="0"/>
        <w:tabs>
          <w:tab w:val="left" w:pos="0"/>
          <w:tab w:val="left" w:pos="220"/>
        </w:tabs>
        <w:autoSpaceDE w:val="0"/>
        <w:autoSpaceDN/>
        <w:spacing w:before="0" w:beforeAutospacing="0" w:after="0" w:afterAutospacing="0"/>
        <w:ind w:left="0" w:right="0"/>
        <w:jc w:val="left"/>
        <w:rPr>
          <w:rFonts w:hint="eastAsia" w:ascii="宋体" w:hAnsi="宋体" w:eastAsia="宋体" w:cs="宋体"/>
          <w:b/>
          <w:bCs/>
          <w:kern w:val="2"/>
          <w:sz w:val="21"/>
          <w:szCs w:val="21"/>
        </w:rPr>
      </w:pPr>
      <w:r>
        <w:rPr>
          <w:rFonts w:hint="eastAsia" w:ascii="宋体" w:hAnsi="宋体" w:eastAsia="宋体" w:cs="宋体"/>
          <w:b/>
          <w:bCs/>
          <w:kern w:val="2"/>
          <w:sz w:val="21"/>
          <w:szCs w:val="21"/>
          <w:lang w:val="en-US" w:eastAsia="zh-CN" w:bidi="ar"/>
        </w:rPr>
        <w:t>4.付款方式：</w:t>
      </w:r>
    </w:p>
    <w:p w14:paraId="24AA688B">
      <w:pPr>
        <w:keepNext w:val="0"/>
        <w:keepLines w:val="0"/>
        <w:widowControl w:val="0"/>
        <w:suppressLineNumbers w:val="0"/>
        <w:tabs>
          <w:tab w:val="left" w:pos="0"/>
          <w:tab w:val="left" w:pos="420"/>
        </w:tabs>
        <w:autoSpaceDE w:val="0"/>
        <w:autoSpaceDN/>
        <w:spacing w:before="0" w:beforeAutospacing="0" w:after="0" w:afterAutospacing="0"/>
        <w:ind w:left="0" w:right="0" w:firstLine="420" w:firstLineChars="200"/>
        <w:jc w:val="left"/>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本项目是按月据实结算，投标人在中标后，每月根据采购人的采购订货单、货物验收签到表以及开具购买对应耗材的发票金额，向采购人申请支付费用结算。</w:t>
      </w:r>
    </w:p>
    <w:p w14:paraId="43CBADEF">
      <w:pPr>
        <w:keepNext w:val="0"/>
        <w:keepLines w:val="0"/>
        <w:widowControl w:val="0"/>
        <w:suppressLineNumbers w:val="0"/>
        <w:tabs>
          <w:tab w:val="left" w:pos="0"/>
          <w:tab w:val="left" w:pos="220"/>
        </w:tabs>
        <w:autoSpaceDE w:val="0"/>
        <w:autoSpaceDN/>
        <w:spacing w:before="0" w:beforeAutospacing="0" w:after="0" w:afterAutospacing="0"/>
        <w:ind w:left="0" w:right="0"/>
        <w:jc w:val="left"/>
        <w:rPr>
          <w:rFonts w:hint="eastAsia" w:ascii="宋体" w:hAnsi="宋体" w:eastAsia="宋体" w:cs="宋体"/>
          <w:b/>
          <w:bCs/>
          <w:kern w:val="2"/>
          <w:sz w:val="21"/>
          <w:szCs w:val="21"/>
        </w:rPr>
      </w:pPr>
      <w:r>
        <w:rPr>
          <w:rFonts w:hint="eastAsia" w:ascii="宋体" w:hAnsi="宋体" w:eastAsia="宋体" w:cs="宋体"/>
          <w:b/>
          <w:bCs/>
          <w:kern w:val="2"/>
          <w:sz w:val="21"/>
          <w:szCs w:val="21"/>
          <w:lang w:val="en-US" w:eastAsia="zh-CN" w:bidi="ar"/>
        </w:rPr>
        <w:t>5.质量保证：</w:t>
      </w:r>
    </w:p>
    <w:p w14:paraId="0A87B37F">
      <w:pPr>
        <w:keepNext w:val="0"/>
        <w:keepLines w:val="0"/>
        <w:widowControl w:val="0"/>
        <w:suppressLineNumbers w:val="0"/>
        <w:tabs>
          <w:tab w:val="left" w:pos="0"/>
          <w:tab w:val="left" w:pos="420"/>
        </w:tabs>
        <w:autoSpaceDE w:val="0"/>
        <w:autoSpaceDN/>
        <w:adjustRightInd w:val="0"/>
        <w:snapToGrid w:val="0"/>
        <w:spacing w:before="0" w:beforeAutospacing="0" w:after="0" w:afterAutospacing="0"/>
        <w:ind w:left="0" w:leftChars="0" w:right="0" w:firstLine="420" w:firstLineChars="200"/>
        <w:jc w:val="left"/>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5.1中标人需按国家相关标准进行耗材包装，耗材的包装均需有良好的防湿、防锈、防潮、防雨、防腐及防碰撞的措施，并适宜深圳的气候条件。凡由于包装不良造成的损失和由此产生的费用均由中标人承担。</w:t>
      </w:r>
    </w:p>
    <w:p w14:paraId="60B386DC">
      <w:pPr>
        <w:keepNext w:val="0"/>
        <w:keepLines w:val="0"/>
        <w:widowControl w:val="0"/>
        <w:suppressLineNumbers w:val="0"/>
        <w:tabs>
          <w:tab w:val="left" w:pos="0"/>
          <w:tab w:val="left" w:pos="420"/>
        </w:tabs>
        <w:wordWrap w:val="0"/>
        <w:autoSpaceDE w:val="0"/>
        <w:autoSpaceDN/>
        <w:adjustRightInd w:val="0"/>
        <w:snapToGrid w:val="0"/>
        <w:spacing w:before="0" w:beforeAutospacing="0" w:after="0" w:afterAutospacing="0"/>
        <w:ind w:left="0" w:leftChars="0" w:right="0" w:firstLine="420" w:firstLineChars="200"/>
        <w:jc w:val="left"/>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5.2中标人应提供完整的技术资料，包括但不限于产品说明书、质量保证文件、服务指南等，所有外文资料需提供中文译本。文件应随货物一并交付至采购人指定地点。</w:t>
      </w:r>
    </w:p>
    <w:p w14:paraId="2E34608A">
      <w:pPr>
        <w:keepNext w:val="0"/>
        <w:keepLines w:val="0"/>
        <w:widowControl w:val="0"/>
        <w:suppressLineNumbers w:val="0"/>
        <w:tabs>
          <w:tab w:val="left" w:pos="1260"/>
        </w:tabs>
        <w:wordWrap w:val="0"/>
        <w:autoSpaceDE w:val="0"/>
        <w:autoSpaceDN/>
        <w:adjustRightInd w:val="0"/>
        <w:snapToGrid w:val="0"/>
        <w:spacing w:before="0" w:beforeAutospacing="0" w:after="0" w:afterAutospacing="0"/>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5.3在临床使用中出现不良事件，要求中标人接到通知后半小时内响应，两小时内赶到现场。经国家相关质量监察部门鉴定后，确实属于产品质量问题的，由中标人承担全部责任。</w:t>
      </w:r>
    </w:p>
    <w:p w14:paraId="52FFEA40">
      <w:pPr>
        <w:pStyle w:val="15"/>
        <w:keepNext w:val="0"/>
        <w:keepLines w:val="0"/>
        <w:widowControl w:val="0"/>
        <w:suppressLineNumbers w:val="0"/>
        <w:autoSpaceDE w:val="0"/>
        <w:autoSpaceDN/>
        <w:adjustRightInd w:val="0"/>
        <w:snapToGrid w:val="0"/>
        <w:spacing w:before="0" w:beforeAutospacing="0" w:after="0" w:afterAutospacing="0"/>
        <w:ind w:left="0" w:leftChars="0" w:right="0" w:firstLine="420" w:firstLineChars="200"/>
        <w:jc w:val="both"/>
        <w:rPr>
          <w:rFonts w:hint="eastAsia" w:ascii="宋体" w:hAnsi="宋体" w:eastAsia="宋体" w:cs="宋体"/>
          <w:kern w:val="0"/>
          <w:sz w:val="21"/>
          <w:szCs w:val="21"/>
        </w:rPr>
      </w:pPr>
      <w:r>
        <w:rPr>
          <w:rFonts w:hint="eastAsia" w:ascii="宋体" w:hAnsi="宋体" w:eastAsia="宋体" w:cs="宋体"/>
          <w:kern w:val="2"/>
          <w:sz w:val="21"/>
          <w:szCs w:val="21"/>
          <w:lang w:val="en-US" w:eastAsia="zh-CN" w:bidi="ar"/>
        </w:rPr>
        <w:t>5.4</w:t>
      </w:r>
      <w:r>
        <w:rPr>
          <w:rFonts w:hint="eastAsia" w:ascii="宋体" w:hAnsi="宋体" w:eastAsia="宋体" w:cs="宋体"/>
          <w:kern w:val="0"/>
          <w:sz w:val="21"/>
          <w:szCs w:val="21"/>
          <w:lang w:val="en-US" w:eastAsia="zh-CN" w:bidi="ar"/>
        </w:rPr>
        <w:t>货物有效期不低于</w:t>
      </w:r>
      <w:r>
        <w:rPr>
          <w:rFonts w:hint="eastAsia" w:ascii="宋体" w:hAnsi="宋体" w:eastAsia="宋体" w:cs="宋体"/>
          <w:b/>
          <w:bCs/>
          <w:color w:val="FF0000"/>
          <w:kern w:val="0"/>
          <w:sz w:val="21"/>
          <w:szCs w:val="21"/>
          <w:u w:val="single"/>
          <w:lang w:val="en-US" w:eastAsia="zh-CN" w:bidi="ar"/>
        </w:rPr>
        <w:t>产品有效期的三分之二</w:t>
      </w:r>
      <w:r>
        <w:rPr>
          <w:rFonts w:hint="eastAsia" w:ascii="宋体" w:hAnsi="宋体" w:eastAsia="宋体" w:cs="宋体"/>
          <w:kern w:val="0"/>
          <w:sz w:val="21"/>
          <w:szCs w:val="21"/>
          <w:lang w:val="en-US" w:eastAsia="zh-CN" w:bidi="ar"/>
        </w:rPr>
        <w:t>，有效期内有任何产品质量问题，中标人需免费进行更换。</w:t>
      </w:r>
    </w:p>
    <w:p w14:paraId="0CA623B2">
      <w:pPr>
        <w:keepNext w:val="0"/>
        <w:keepLines w:val="0"/>
        <w:widowControl w:val="0"/>
        <w:suppressLineNumbers w:val="0"/>
        <w:tabs>
          <w:tab w:val="left" w:pos="0"/>
          <w:tab w:val="left" w:pos="220"/>
        </w:tabs>
        <w:autoSpaceDE w:val="0"/>
        <w:autoSpaceDN/>
        <w:spacing w:before="0" w:beforeAutospacing="0" w:after="0" w:afterAutospacing="0"/>
        <w:ind w:left="0" w:right="0"/>
        <w:jc w:val="left"/>
        <w:rPr>
          <w:rFonts w:hint="eastAsia" w:ascii="宋体" w:hAnsi="宋体" w:eastAsia="宋体" w:cs="宋体"/>
          <w:b/>
          <w:bCs/>
          <w:kern w:val="2"/>
          <w:sz w:val="21"/>
          <w:szCs w:val="21"/>
        </w:rPr>
      </w:pPr>
      <w:r>
        <w:rPr>
          <w:rFonts w:hint="eastAsia" w:ascii="宋体" w:hAnsi="宋体" w:eastAsia="宋体" w:cs="宋体"/>
          <w:b/>
          <w:bCs/>
          <w:kern w:val="2"/>
          <w:sz w:val="21"/>
          <w:szCs w:val="21"/>
          <w:lang w:val="en-US" w:eastAsia="zh-CN" w:bidi="ar"/>
        </w:rPr>
        <w:t>6.售后服务要求：</w:t>
      </w:r>
    </w:p>
    <w:p w14:paraId="590459F5">
      <w:pPr>
        <w:keepNext w:val="0"/>
        <w:keepLines w:val="0"/>
        <w:widowControl w:val="0"/>
        <w:suppressLineNumbers w:val="0"/>
        <w:tabs>
          <w:tab w:val="left" w:pos="0"/>
          <w:tab w:val="left" w:pos="420"/>
        </w:tabs>
        <w:wordWrap w:val="0"/>
        <w:autoSpaceDE w:val="0"/>
        <w:autoSpaceDN/>
        <w:adjustRightInd w:val="0"/>
        <w:snapToGrid w:val="0"/>
        <w:spacing w:before="0" w:beforeAutospacing="0" w:after="0" w:afterAutospacing="0"/>
        <w:ind w:left="420" w:leftChars="200" w:right="0"/>
        <w:jc w:val="left"/>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6.1耗材出现问题时，要求中标人能在半小时内响应，两小时内赶到现场。</w:t>
      </w:r>
    </w:p>
    <w:p w14:paraId="43F1E94B">
      <w:pPr>
        <w:keepNext w:val="0"/>
        <w:keepLines w:val="0"/>
        <w:widowControl w:val="0"/>
        <w:suppressLineNumbers w:val="0"/>
        <w:tabs>
          <w:tab w:val="left" w:pos="0"/>
          <w:tab w:val="left" w:pos="420"/>
        </w:tabs>
        <w:wordWrap w:val="0"/>
        <w:autoSpaceDE w:val="0"/>
        <w:autoSpaceDN/>
        <w:adjustRightInd w:val="0"/>
        <w:snapToGrid w:val="0"/>
        <w:spacing w:before="0" w:beforeAutospacing="0" w:after="0" w:afterAutospacing="0"/>
        <w:ind w:left="420" w:leftChars="200" w:right="0"/>
        <w:jc w:val="left"/>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6.2自采购人订单发出之时起要求中标人耗材配送时限一般不超过48小时。若采购人要求紧急配送，中标人需保证所有耗材在4小时内送达。采购人订单发出时间包含节假日，中标人应留置值班人员以满足采购人订货需求。</w:t>
      </w:r>
    </w:p>
    <w:p w14:paraId="0FB82F95">
      <w:pPr>
        <w:keepNext w:val="0"/>
        <w:keepLines w:val="0"/>
        <w:widowControl w:val="0"/>
        <w:suppressLineNumbers w:val="0"/>
        <w:tabs>
          <w:tab w:val="left" w:pos="0"/>
          <w:tab w:val="left" w:pos="420"/>
        </w:tabs>
        <w:autoSpaceDE w:val="0"/>
        <w:autoSpaceDN/>
        <w:spacing w:before="0" w:beforeAutospacing="0" w:after="0" w:afterAutospacing="0"/>
        <w:ind w:left="420" w:leftChars="200" w:right="0"/>
        <w:jc w:val="left"/>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6.3投标人应按其投标文件中的承诺，进行其他售后服务工作。</w:t>
      </w:r>
    </w:p>
    <w:p w14:paraId="27810223">
      <w:pPr>
        <w:keepNext w:val="0"/>
        <w:keepLines w:val="0"/>
        <w:widowControl w:val="0"/>
        <w:suppressLineNumbers w:val="0"/>
        <w:tabs>
          <w:tab w:val="left" w:pos="0"/>
          <w:tab w:val="left" w:pos="220"/>
        </w:tabs>
        <w:autoSpaceDE w:val="0"/>
        <w:autoSpaceDN/>
        <w:spacing w:before="0" w:beforeAutospacing="0" w:after="0" w:afterAutospacing="0"/>
        <w:ind w:left="0" w:right="0"/>
        <w:jc w:val="left"/>
        <w:rPr>
          <w:rFonts w:hint="eastAsia" w:ascii="宋体" w:hAnsi="宋体" w:eastAsia="宋体" w:cs="宋体"/>
          <w:b/>
          <w:bCs/>
          <w:kern w:val="2"/>
          <w:sz w:val="21"/>
          <w:szCs w:val="21"/>
        </w:rPr>
      </w:pPr>
      <w:r>
        <w:rPr>
          <w:rFonts w:hint="eastAsia" w:ascii="宋体" w:hAnsi="宋体" w:eastAsia="宋体" w:cs="宋体"/>
          <w:b/>
          <w:bCs/>
          <w:kern w:val="2"/>
          <w:sz w:val="21"/>
          <w:szCs w:val="21"/>
          <w:lang w:val="en-US" w:eastAsia="zh-CN" w:bidi="ar"/>
        </w:rPr>
        <w:t>7.验收及相关技术文件、资料：</w:t>
      </w:r>
    </w:p>
    <w:p w14:paraId="2723ABE7">
      <w:pPr>
        <w:keepNext w:val="0"/>
        <w:keepLines w:val="0"/>
        <w:widowControl w:val="0"/>
        <w:suppressLineNumbers w:val="0"/>
        <w:tabs>
          <w:tab w:val="left" w:pos="1260"/>
        </w:tabs>
        <w:wordWrap w:val="0"/>
        <w:autoSpaceDE w:val="0"/>
        <w:autoSpaceDN/>
        <w:adjustRightInd w:val="0"/>
        <w:snapToGrid w:val="0"/>
        <w:spacing w:before="0" w:beforeAutospacing="0" w:after="0" w:afterAutospacing="0"/>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7.1投标人提供的耗材应符合国家承认的相应标准。满足采购要求。</w:t>
      </w:r>
    </w:p>
    <w:p w14:paraId="1AF748A8">
      <w:pPr>
        <w:keepNext w:val="0"/>
        <w:keepLines w:val="0"/>
        <w:widowControl w:val="0"/>
        <w:suppressLineNumbers w:val="0"/>
        <w:tabs>
          <w:tab w:val="left" w:pos="1260"/>
        </w:tabs>
        <w:wordWrap w:val="0"/>
        <w:autoSpaceDE w:val="0"/>
        <w:autoSpaceDN/>
        <w:adjustRightInd w:val="0"/>
        <w:snapToGrid w:val="0"/>
        <w:spacing w:before="0" w:beforeAutospacing="0" w:after="0" w:afterAutospacing="0"/>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7.2投标人所提供的应是其合法生产或代理的合格耗材，并能够按照耗材成交确认合同规定的商标、产地、质量、价格、有效期及时供货。</w:t>
      </w:r>
    </w:p>
    <w:p w14:paraId="0E9A3D1D">
      <w:pPr>
        <w:keepNext w:val="0"/>
        <w:keepLines w:val="0"/>
        <w:widowControl w:val="0"/>
        <w:suppressLineNumbers w:val="0"/>
        <w:tabs>
          <w:tab w:val="left" w:pos="0"/>
          <w:tab w:val="left" w:pos="420"/>
        </w:tabs>
        <w:wordWrap w:val="0"/>
        <w:autoSpaceDE w:val="0"/>
        <w:autoSpaceDN/>
        <w:adjustRightInd w:val="0"/>
        <w:snapToGrid w:val="0"/>
        <w:spacing w:before="0" w:beforeAutospacing="0" w:after="0" w:afterAutospacing="0"/>
        <w:ind w:left="0" w:leftChars="0" w:right="0" w:firstLine="420" w:firstLineChars="200"/>
        <w:jc w:val="left"/>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7.3耗材外观清洁，产品包装上（包括大包装、小包装等）需附有以下所列各项国家规定的中文标识：</w:t>
      </w:r>
    </w:p>
    <w:p w14:paraId="6D8CC0B5">
      <w:pPr>
        <w:keepNext w:val="0"/>
        <w:keepLines w:val="0"/>
        <w:widowControl w:val="0"/>
        <w:suppressLineNumbers w:val="0"/>
        <w:tabs>
          <w:tab w:val="left" w:pos="0"/>
          <w:tab w:val="left" w:pos="420"/>
        </w:tabs>
        <w:wordWrap w:val="0"/>
        <w:autoSpaceDE w:val="0"/>
        <w:autoSpaceDN/>
        <w:adjustRightInd w:val="0"/>
        <w:snapToGrid w:val="0"/>
        <w:spacing w:before="0" w:beforeAutospacing="0" w:after="0" w:afterAutospacing="0"/>
        <w:ind w:left="0" w:right="0" w:firstLine="420" w:firstLineChars="200"/>
        <w:jc w:val="left"/>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（1）耗材名称、型号、规格；</w:t>
      </w:r>
    </w:p>
    <w:p w14:paraId="611EC2BE">
      <w:pPr>
        <w:keepNext w:val="0"/>
        <w:keepLines w:val="0"/>
        <w:widowControl w:val="0"/>
        <w:suppressLineNumbers w:val="0"/>
        <w:tabs>
          <w:tab w:val="left" w:pos="0"/>
          <w:tab w:val="left" w:pos="420"/>
        </w:tabs>
        <w:wordWrap w:val="0"/>
        <w:autoSpaceDE w:val="0"/>
        <w:autoSpaceDN/>
        <w:adjustRightInd w:val="0"/>
        <w:snapToGrid w:val="0"/>
        <w:spacing w:before="0" w:beforeAutospacing="0" w:after="0" w:afterAutospacing="0"/>
        <w:ind w:left="0" w:right="0" w:firstLine="420" w:firstLineChars="200"/>
        <w:jc w:val="left"/>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（2）生产企业名称、注册地址、生产地址、联系方式；</w:t>
      </w:r>
    </w:p>
    <w:p w14:paraId="4BE37601">
      <w:pPr>
        <w:keepNext w:val="0"/>
        <w:keepLines w:val="0"/>
        <w:widowControl w:val="0"/>
        <w:suppressLineNumbers w:val="0"/>
        <w:tabs>
          <w:tab w:val="left" w:pos="0"/>
          <w:tab w:val="left" w:pos="420"/>
        </w:tabs>
        <w:wordWrap w:val="0"/>
        <w:autoSpaceDE w:val="0"/>
        <w:autoSpaceDN/>
        <w:adjustRightInd w:val="0"/>
        <w:snapToGrid w:val="0"/>
        <w:spacing w:before="0" w:beforeAutospacing="0" w:after="0" w:afterAutospacing="0"/>
        <w:ind w:left="0" w:right="0" w:firstLine="420" w:firstLineChars="200"/>
        <w:jc w:val="left"/>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（3）耗材生产日期或批（编）号、有效期限。</w:t>
      </w:r>
    </w:p>
    <w:p w14:paraId="18A27574">
      <w:pPr>
        <w:keepNext w:val="0"/>
        <w:keepLines w:val="0"/>
        <w:widowControl w:val="0"/>
        <w:suppressLineNumbers w:val="0"/>
        <w:tabs>
          <w:tab w:val="left" w:pos="0"/>
          <w:tab w:val="left" w:pos="420"/>
        </w:tabs>
        <w:wordWrap w:val="0"/>
        <w:autoSpaceDE w:val="0"/>
        <w:autoSpaceDN/>
        <w:adjustRightInd w:val="0"/>
        <w:snapToGrid w:val="0"/>
        <w:spacing w:before="0" w:beforeAutospacing="0" w:after="0" w:afterAutospacing="0"/>
        <w:ind w:left="0" w:leftChars="0" w:right="0" w:firstLine="420" w:firstLineChars="200"/>
        <w:jc w:val="left"/>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7.4所有耗材在开封检验时应完好，无破损，配置与说明书相符。如有破损，应无条件退换。</w:t>
      </w:r>
    </w:p>
    <w:p w14:paraId="24F40575">
      <w:pPr>
        <w:keepNext w:val="0"/>
        <w:keepLines w:val="0"/>
        <w:widowControl w:val="0"/>
        <w:suppressLineNumbers w:val="0"/>
        <w:tabs>
          <w:tab w:val="left" w:pos="0"/>
          <w:tab w:val="left" w:pos="420"/>
        </w:tabs>
        <w:wordWrap w:val="0"/>
        <w:autoSpaceDE w:val="0"/>
        <w:autoSpaceDN/>
        <w:adjustRightInd w:val="0"/>
        <w:snapToGrid w:val="0"/>
        <w:spacing w:before="0" w:beforeAutospacing="0" w:after="0" w:afterAutospacing="0"/>
        <w:ind w:left="0" w:leftChars="0" w:right="0" w:firstLine="420" w:firstLineChars="200"/>
        <w:jc w:val="left"/>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7.5耗材符合谈判文件技术要求，具备产品合格证，性能满足要求。</w:t>
      </w:r>
    </w:p>
    <w:p w14:paraId="003BB05E">
      <w:pPr>
        <w:keepNext w:val="0"/>
        <w:keepLines w:val="0"/>
        <w:widowControl w:val="0"/>
        <w:suppressLineNumbers w:val="0"/>
        <w:tabs>
          <w:tab w:val="left" w:pos="1260"/>
        </w:tabs>
        <w:wordWrap w:val="0"/>
        <w:autoSpaceDE w:val="0"/>
        <w:autoSpaceDN/>
        <w:adjustRightInd w:val="0"/>
        <w:snapToGrid w:val="0"/>
        <w:spacing w:before="0" w:beforeAutospacing="0" w:after="0" w:afterAutospacing="0"/>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7.6采购人接受货物后若有疑义或使用前发现不宜使用的现象，中标人需提供退换货服务，不额外收费。</w:t>
      </w:r>
    </w:p>
    <w:p w14:paraId="7BBC420B">
      <w:pPr>
        <w:keepNext w:val="0"/>
        <w:keepLines w:val="0"/>
        <w:widowControl w:val="0"/>
        <w:suppressLineNumbers w:val="0"/>
        <w:tabs>
          <w:tab w:val="left" w:pos="0"/>
          <w:tab w:val="left" w:pos="220"/>
        </w:tabs>
        <w:autoSpaceDE w:val="0"/>
        <w:autoSpaceDN/>
        <w:spacing w:before="0" w:beforeAutospacing="0" w:after="0" w:afterAutospacing="0"/>
        <w:ind w:left="0" w:right="0"/>
        <w:jc w:val="left"/>
        <w:rPr>
          <w:rFonts w:hint="eastAsia" w:ascii="宋体" w:hAnsi="宋体" w:eastAsia="宋体" w:cs="宋体"/>
          <w:color w:val="FF0000"/>
          <w:kern w:val="2"/>
          <w:sz w:val="21"/>
          <w:szCs w:val="21"/>
        </w:rPr>
      </w:pPr>
      <w:r>
        <w:rPr>
          <w:rFonts w:hint="eastAsia" w:ascii="宋体" w:hAnsi="宋体" w:eastAsia="宋体" w:cs="宋体"/>
          <w:b/>
          <w:bCs/>
          <w:kern w:val="2"/>
          <w:sz w:val="21"/>
          <w:szCs w:val="21"/>
          <w:lang w:val="en-US" w:eastAsia="zh-CN" w:bidi="ar"/>
        </w:rPr>
        <w:t>8.运输要求：</w:t>
      </w:r>
      <w:r>
        <w:rPr>
          <w:rFonts w:hint="eastAsia" w:ascii="宋体" w:hAnsi="宋体" w:eastAsia="宋体" w:cs="宋体"/>
          <w:kern w:val="2"/>
          <w:sz w:val="21"/>
          <w:szCs w:val="21"/>
          <w:lang w:val="en-US" w:eastAsia="zh-CN" w:bidi="ar"/>
        </w:rPr>
        <w:t>中标人负责将耗材安全无损运抵采购人指定地点，并承担包装、运输、保险、装卸、关税、增值税等费用。</w:t>
      </w:r>
    </w:p>
    <w:p w14:paraId="58747A4A">
      <w:pPr>
        <w:keepNext w:val="0"/>
        <w:keepLines w:val="0"/>
        <w:widowControl w:val="0"/>
        <w:suppressLineNumbers w:val="0"/>
        <w:tabs>
          <w:tab w:val="left" w:pos="0"/>
          <w:tab w:val="left" w:pos="220"/>
        </w:tabs>
        <w:autoSpaceDE w:val="0"/>
        <w:autoSpaceDN/>
        <w:spacing w:before="0" w:beforeAutospacing="0" w:after="0" w:afterAutospacing="0"/>
        <w:ind w:left="0" w:right="0"/>
        <w:jc w:val="left"/>
        <w:rPr>
          <w:rFonts w:hint="eastAsia" w:ascii="宋体" w:hAnsi="宋体" w:eastAsia="宋体" w:cs="宋体"/>
          <w:kern w:val="2"/>
          <w:sz w:val="21"/>
          <w:szCs w:val="21"/>
        </w:rPr>
      </w:pPr>
      <w:r>
        <w:rPr>
          <w:rFonts w:hint="eastAsia" w:ascii="宋体" w:hAnsi="宋体" w:eastAsia="宋体" w:cs="宋体"/>
          <w:b/>
          <w:bCs/>
          <w:kern w:val="2"/>
          <w:sz w:val="21"/>
          <w:szCs w:val="21"/>
          <w:lang w:val="en-US" w:eastAsia="zh-CN" w:bidi="ar"/>
        </w:rPr>
        <w:t>9.质量及知识产权要求：</w:t>
      </w:r>
    </w:p>
    <w:p w14:paraId="2C7EB83E">
      <w:pPr>
        <w:keepNext w:val="0"/>
        <w:keepLines w:val="0"/>
        <w:widowControl w:val="0"/>
        <w:suppressLineNumbers w:val="0"/>
        <w:tabs>
          <w:tab w:val="left" w:pos="0"/>
          <w:tab w:val="left" w:pos="220"/>
        </w:tabs>
        <w:autoSpaceDE w:val="0"/>
        <w:autoSpaceDN/>
        <w:spacing w:before="0" w:beforeAutospacing="0" w:after="0" w:afterAutospacing="0"/>
        <w:ind w:left="0" w:right="0" w:firstLine="420" w:firstLineChars="200"/>
        <w:jc w:val="left"/>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9.1投标人应保证采购人在使用该货物或其任何一部分时，免受第三方提出的侵犯其专利权、商标权、著作权或其它知识产权的起诉。投标人保证所提供软件的合法性，所发生的任何知识产权纠纷与采购人无关。</w:t>
      </w:r>
    </w:p>
    <w:p w14:paraId="5D97AC5F">
      <w:pPr>
        <w:keepNext w:val="0"/>
        <w:keepLines w:val="0"/>
        <w:widowControl w:val="0"/>
        <w:suppressLineNumbers w:val="0"/>
        <w:tabs>
          <w:tab w:val="left" w:pos="0"/>
          <w:tab w:val="left" w:pos="420"/>
        </w:tabs>
        <w:autoSpaceDE w:val="0"/>
        <w:autoSpaceDN/>
        <w:spacing w:before="0" w:beforeAutospacing="0" w:after="0" w:afterAutospacing="0"/>
        <w:ind w:left="0" w:right="0" w:firstLine="420" w:firstLineChars="200"/>
        <w:jc w:val="left"/>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9.2采购人购买产品后，有权对该产品与其他设备进行配套、整合或适当改进，而免受侵犯专利权的起诉。</w:t>
      </w:r>
    </w:p>
    <w:p w14:paraId="3D6537FB">
      <w:pPr>
        <w:keepNext w:val="0"/>
        <w:keepLines w:val="0"/>
        <w:widowControl w:val="0"/>
        <w:suppressLineNumbers w:val="0"/>
        <w:tabs>
          <w:tab w:val="left" w:pos="0"/>
          <w:tab w:val="left" w:pos="220"/>
        </w:tabs>
        <w:autoSpaceDE w:val="0"/>
        <w:autoSpaceDN/>
        <w:spacing w:before="0" w:beforeAutospacing="0" w:after="0" w:afterAutospacing="0"/>
        <w:ind w:left="0" w:right="0"/>
        <w:jc w:val="left"/>
        <w:rPr>
          <w:rFonts w:hint="eastAsia" w:ascii="宋体" w:hAnsi="宋体" w:eastAsia="宋体" w:cs="宋体"/>
          <w:b/>
          <w:bCs/>
          <w:kern w:val="2"/>
          <w:sz w:val="21"/>
          <w:szCs w:val="21"/>
        </w:rPr>
      </w:pPr>
      <w:r>
        <w:rPr>
          <w:rFonts w:hint="eastAsia" w:ascii="宋体" w:hAnsi="宋体" w:eastAsia="宋体" w:cs="宋体"/>
          <w:b/>
          <w:bCs/>
          <w:kern w:val="2"/>
          <w:sz w:val="21"/>
          <w:szCs w:val="21"/>
          <w:lang w:val="en-US" w:eastAsia="zh-CN" w:bidi="ar"/>
        </w:rPr>
        <w:t>10.违约责任：</w:t>
      </w:r>
    </w:p>
    <w:p w14:paraId="0B201552">
      <w:pPr>
        <w:keepNext w:val="0"/>
        <w:keepLines w:val="0"/>
        <w:widowControl w:val="0"/>
        <w:suppressLineNumbers w:val="0"/>
        <w:tabs>
          <w:tab w:val="left" w:pos="0"/>
          <w:tab w:val="left" w:pos="420"/>
        </w:tabs>
        <w:autoSpaceDE w:val="0"/>
        <w:autoSpaceDN/>
        <w:spacing w:before="0" w:beforeAutospacing="0" w:after="0" w:afterAutospacing="0"/>
        <w:ind w:left="0" w:right="0" w:firstLine="420" w:firstLineChars="200"/>
        <w:jc w:val="left"/>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10.1如投标人未按照投标文件中承诺的时间交货或提供服务，投标人应承担延期交货和延期服务的违约责任，并赔偿采购人因此造成的实际经济损失。</w:t>
      </w:r>
    </w:p>
    <w:p w14:paraId="3BD456EF">
      <w:pPr>
        <w:keepNext w:val="0"/>
        <w:keepLines w:val="0"/>
        <w:widowControl w:val="0"/>
        <w:suppressLineNumbers w:val="0"/>
        <w:tabs>
          <w:tab w:val="left" w:pos="0"/>
          <w:tab w:val="left" w:pos="420"/>
        </w:tabs>
        <w:autoSpaceDE w:val="0"/>
        <w:autoSpaceDN/>
        <w:spacing w:before="0" w:beforeAutospacing="0" w:after="0" w:afterAutospacing="0"/>
        <w:ind w:left="0" w:right="0" w:firstLine="420" w:firstLineChars="200"/>
        <w:jc w:val="left"/>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10.2投标人所提供检测试剂的品种、型号、规格、质量、技术参数等方面不能实质性满足遴选文件要约的，采购人有权拒绝收货，投标人向采购人偿付项目采购金额千分之十（千分之十以上千分之二十以下）的违约金；造成严重后果的，根据《深圳经济特区政府采购条例》第五十七条第（二）款规定，由主管部门对中标人进行处罚。</w:t>
      </w:r>
    </w:p>
    <w:p w14:paraId="79083BA7">
      <w:pPr>
        <w:keepNext w:val="0"/>
        <w:keepLines w:val="0"/>
        <w:widowControl w:val="0"/>
        <w:suppressLineNumbers w:val="0"/>
        <w:tabs>
          <w:tab w:val="left" w:pos="0"/>
          <w:tab w:val="left" w:pos="420"/>
        </w:tabs>
        <w:autoSpaceDE w:val="0"/>
        <w:autoSpaceDN/>
        <w:spacing w:before="0" w:beforeAutospacing="0" w:after="0" w:afterAutospacing="0"/>
        <w:ind w:left="0" w:right="0" w:firstLine="420" w:firstLineChars="200"/>
        <w:jc w:val="left"/>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10.3投标人不能交付产品时，投标人向采购人偿付项目采购金额千分之二十（千分之十以上千分之二十以下）的违约金；造成严重后果的，根据《深圳经济特区政府采购条例》第五十七条第（二）款规定，由主管部门对中标人进行处罚。</w:t>
      </w:r>
    </w:p>
    <w:p w14:paraId="11F6FA34">
      <w:pPr>
        <w:keepNext w:val="0"/>
        <w:keepLines w:val="0"/>
        <w:widowControl w:val="0"/>
        <w:suppressLineNumbers w:val="0"/>
        <w:tabs>
          <w:tab w:val="left" w:pos="0"/>
          <w:tab w:val="left" w:pos="220"/>
        </w:tabs>
        <w:autoSpaceDE w:val="0"/>
        <w:autoSpaceDN/>
        <w:spacing w:before="0" w:beforeAutospacing="0" w:after="0" w:afterAutospacing="0"/>
        <w:ind w:left="0" w:right="0"/>
        <w:jc w:val="left"/>
        <w:rPr>
          <w:rFonts w:hint="eastAsia" w:ascii="宋体" w:hAnsi="宋体" w:eastAsia="宋体" w:cs="宋体"/>
          <w:b/>
          <w:bCs/>
          <w:kern w:val="2"/>
          <w:sz w:val="21"/>
          <w:szCs w:val="21"/>
        </w:rPr>
      </w:pPr>
      <w:r>
        <w:rPr>
          <w:rFonts w:hint="eastAsia" w:ascii="宋体" w:hAnsi="宋体" w:eastAsia="宋体" w:cs="宋体"/>
          <w:b/>
          <w:bCs/>
          <w:kern w:val="2"/>
          <w:sz w:val="21"/>
          <w:szCs w:val="21"/>
          <w:lang w:val="en-US" w:eastAsia="zh-CN" w:bidi="ar"/>
        </w:rPr>
        <w:t>★11.其他商务要求：</w:t>
      </w:r>
    </w:p>
    <w:p w14:paraId="0DE58D3C">
      <w:pPr>
        <w:keepNext w:val="0"/>
        <w:keepLines w:val="0"/>
        <w:widowControl w:val="0"/>
        <w:suppressLineNumbers w:val="0"/>
        <w:spacing w:before="0" w:beforeAutospacing="0" w:after="0" w:afterAutospacing="0"/>
        <w:ind w:left="0" w:right="0" w:firstLine="420" w:firstLineChars="200"/>
        <w:jc w:val="left"/>
        <w:rPr>
          <w:rFonts w:hint="eastAsia" w:ascii="宋体" w:hAnsi="宋体" w:eastAsia="宋体" w:cs="宋体"/>
          <w:spacing w:val="0"/>
          <w:kern w:val="2"/>
          <w:sz w:val="21"/>
          <w:szCs w:val="21"/>
        </w:rPr>
      </w:pPr>
      <w:r>
        <w:rPr>
          <w:rFonts w:hint="eastAsia" w:ascii="宋体" w:hAnsi="宋体" w:eastAsia="宋体" w:cs="宋体"/>
          <w:spacing w:val="0"/>
          <w:kern w:val="2"/>
          <w:sz w:val="21"/>
          <w:szCs w:val="21"/>
          <w:lang w:val="en-US" w:eastAsia="zh-CN" w:bidi="ar"/>
        </w:rPr>
        <w:t>11.1中标公司无条件配合医院SPD物流精细化管理服务，同时承诺支付每月管理服务费(不超当月供货总额的3%)，具体与医院签合同时按合同条款执行。</w:t>
      </w:r>
    </w:p>
    <w:p w14:paraId="5BD3D987">
      <w:pPr>
        <w:keepNext w:val="0"/>
        <w:keepLines w:val="0"/>
        <w:suppressLineNumbers w:val="0"/>
        <w:spacing w:before="0" w:beforeAutospacing="0" w:after="0" w:afterAutospacing="0"/>
        <w:ind w:left="0" w:right="0" w:firstLine="420" w:firstLineChars="200"/>
        <w:jc w:val="left"/>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11.2投标人的投标报价超过最高限价或最高支付上限的视为无效投标。报价应包括并不限于耗材试剂费、税费、运费、安装调试费、培训费等费用。</w:t>
      </w:r>
    </w:p>
    <w:p w14:paraId="7B5F7C6E">
      <w:pPr>
        <w:keepNext w:val="0"/>
        <w:keepLines w:val="0"/>
        <w:suppressLineNumbers w:val="0"/>
        <w:spacing w:before="0" w:beforeAutospacing="0" w:after="0" w:afterAutospacing="0"/>
        <w:ind w:left="0" w:right="0" w:firstLine="420" w:firstLineChars="200"/>
        <w:jc w:val="left"/>
        <w:rPr>
          <w:rFonts w:hint="default"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11.3投标人须根据货物清单进行单项报价，且不得超过最小单位预算价格。最终以实际供货的数量×中标单价进行结算，年度结算总价不超过最高限价（最高支付上限）。</w:t>
      </w:r>
    </w:p>
    <w:p w14:paraId="08C3FFEB">
      <w:pPr>
        <w:widowControl/>
        <w:numPr>
          <w:ilvl w:val="0"/>
          <w:numId w:val="0"/>
        </w:numPr>
        <w:ind w:leftChars="0"/>
        <w:jc w:val="both"/>
        <w:outlineLvl w:val="9"/>
        <w:rPr>
          <w:rFonts w:hint="eastAsia" w:asciiTheme="majorEastAsia" w:hAnsiTheme="majorEastAsia" w:eastAsiaTheme="majorEastAsia"/>
          <w:sz w:val="32"/>
          <w:szCs w:val="32"/>
          <w:lang w:val="en-US" w:eastAsia="zh-CN"/>
        </w:rPr>
      </w:pPr>
    </w:p>
    <w:p w14:paraId="76271AEF">
      <w:pPr>
        <w:widowControl/>
        <w:numPr>
          <w:ilvl w:val="0"/>
          <w:numId w:val="0"/>
        </w:numPr>
        <w:ind w:leftChars="0"/>
        <w:jc w:val="both"/>
        <w:outlineLvl w:val="9"/>
        <w:rPr>
          <w:rFonts w:hint="eastAsia" w:asciiTheme="majorEastAsia" w:hAnsiTheme="majorEastAsia" w:eastAsiaTheme="majorEastAsia"/>
          <w:sz w:val="32"/>
          <w:szCs w:val="32"/>
          <w:lang w:val="en-US" w:eastAsia="zh-CN"/>
        </w:rPr>
      </w:pPr>
    </w:p>
    <w:p w14:paraId="76F7597F">
      <w:pPr>
        <w:widowControl/>
        <w:numPr>
          <w:ilvl w:val="0"/>
          <w:numId w:val="0"/>
        </w:numPr>
        <w:ind w:leftChars="0"/>
        <w:jc w:val="both"/>
        <w:outlineLvl w:val="9"/>
        <w:rPr>
          <w:rFonts w:hint="eastAsia" w:asciiTheme="majorEastAsia" w:hAnsiTheme="majorEastAsia" w:eastAsiaTheme="majorEastAsia"/>
          <w:sz w:val="32"/>
          <w:szCs w:val="32"/>
          <w:lang w:val="en-US" w:eastAsia="zh-CN"/>
        </w:rPr>
      </w:pPr>
    </w:p>
    <w:p w14:paraId="200CBE54">
      <w:pPr>
        <w:widowControl/>
        <w:numPr>
          <w:ilvl w:val="0"/>
          <w:numId w:val="0"/>
        </w:numPr>
        <w:ind w:leftChars="0"/>
        <w:jc w:val="both"/>
        <w:outlineLvl w:val="9"/>
        <w:rPr>
          <w:rFonts w:hint="eastAsia" w:asciiTheme="majorEastAsia" w:hAnsiTheme="majorEastAsia" w:eastAsiaTheme="majorEastAsia"/>
          <w:sz w:val="32"/>
          <w:szCs w:val="32"/>
          <w:lang w:val="en-US" w:eastAsia="zh-CN"/>
        </w:rPr>
      </w:pPr>
    </w:p>
    <w:p w14:paraId="7C9F282B">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cstheme="majorEastAsia"/>
          <w:kern w:val="2"/>
          <w:sz w:val="32"/>
          <w:szCs w:val="32"/>
          <w:lang w:val="en-US" w:eastAsia="zh-CN" w:bidi="ar-SA"/>
        </w:rPr>
      </w:pPr>
      <w:bookmarkStart w:id="9" w:name="_Toc16150"/>
    </w:p>
    <w:p w14:paraId="0A3F5595">
      <w:pPr>
        <w:rPr>
          <w:rFonts w:hint="eastAsia" w:asciiTheme="majorEastAsia" w:hAnsiTheme="majorEastAsia" w:eastAsiaTheme="majorEastAsia" w:cstheme="majorEastAsia"/>
          <w:kern w:val="2"/>
          <w:sz w:val="32"/>
          <w:szCs w:val="32"/>
          <w:lang w:val="en-US" w:eastAsia="zh-CN" w:bidi="ar-SA"/>
        </w:rPr>
      </w:pPr>
    </w:p>
    <w:p w14:paraId="780CC832">
      <w:pPr>
        <w:rPr>
          <w:rFonts w:hint="eastAsia" w:asciiTheme="majorEastAsia" w:hAnsiTheme="majorEastAsia" w:eastAsiaTheme="majorEastAsia" w:cstheme="majorEastAsia"/>
          <w:kern w:val="2"/>
          <w:sz w:val="32"/>
          <w:szCs w:val="32"/>
          <w:lang w:val="en-US" w:eastAsia="zh-CN" w:bidi="ar-SA"/>
        </w:rPr>
      </w:pPr>
    </w:p>
    <w:p w14:paraId="0839D6D6">
      <w:pPr>
        <w:rPr>
          <w:rFonts w:hint="eastAsia" w:asciiTheme="majorEastAsia" w:hAnsiTheme="majorEastAsia" w:eastAsiaTheme="majorEastAsia" w:cstheme="majorEastAsia"/>
          <w:kern w:val="2"/>
          <w:sz w:val="32"/>
          <w:szCs w:val="32"/>
          <w:lang w:val="en-US" w:eastAsia="zh-CN" w:bidi="ar-SA"/>
        </w:rPr>
      </w:pPr>
    </w:p>
    <w:p w14:paraId="6BC74C40">
      <w:pPr>
        <w:rPr>
          <w:rFonts w:hint="eastAsia" w:asciiTheme="majorEastAsia" w:hAnsiTheme="majorEastAsia" w:eastAsiaTheme="majorEastAsia" w:cstheme="majorEastAsia"/>
          <w:kern w:val="2"/>
          <w:sz w:val="32"/>
          <w:szCs w:val="32"/>
          <w:lang w:val="en-US" w:eastAsia="zh-CN" w:bidi="ar-SA"/>
        </w:rPr>
      </w:pPr>
    </w:p>
    <w:p w14:paraId="36EB70C4">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kern w:val="2"/>
          <w:sz w:val="32"/>
          <w:szCs w:val="32"/>
          <w:lang w:val="en-US" w:eastAsia="zh-CN" w:bidi="ar-SA"/>
        </w:rPr>
        <w:t xml:space="preserve">第三章 </w:t>
      </w:r>
      <w:r>
        <w:rPr>
          <w:rFonts w:hint="eastAsia" w:asciiTheme="majorEastAsia" w:hAnsiTheme="majorEastAsia" w:eastAsiaTheme="majorEastAsia" w:cstheme="majorEastAsia"/>
          <w:sz w:val="32"/>
          <w:szCs w:val="32"/>
        </w:rPr>
        <w:t>开标、评标、定标</w:t>
      </w:r>
      <w:bookmarkEnd w:id="9"/>
    </w:p>
    <w:p w14:paraId="3B4C8BEE">
      <w:pPr>
        <w:pStyle w:val="3"/>
        <w:numPr>
          <w:ilvl w:val="0"/>
          <w:numId w:val="9"/>
        </w:numPr>
        <w:spacing w:line="240" w:lineRule="auto"/>
        <w:ind w:left="-420" w:leftChars="-200" w:firstLine="4" w:firstLineChars="0"/>
        <w:jc w:val="left"/>
        <w:outlineLvl w:val="0"/>
        <w:rPr>
          <w:rFonts w:hint="eastAsia" w:ascii="宋体" w:hAnsi="宋体" w:cs="宋体" w:eastAsiaTheme="minorEastAsia"/>
          <w:kern w:val="2"/>
          <w:sz w:val="21"/>
          <w:szCs w:val="21"/>
          <w:lang w:val="en-US" w:eastAsia="zh-CN" w:bidi="ar-SA"/>
        </w:rPr>
      </w:pPr>
      <w:bookmarkStart w:id="10" w:name="_Toc24015563"/>
      <w:bookmarkStart w:id="11" w:name="_Toc15209"/>
      <w:bookmarkStart w:id="12" w:name="_Toc1988"/>
      <w:bookmarkStart w:id="13" w:name="_Toc10794"/>
      <w:r>
        <w:rPr>
          <w:rFonts w:hint="eastAsia" w:ascii="宋体" w:hAnsi="宋体" w:cs="宋体" w:eastAsiaTheme="minorEastAsia"/>
          <w:kern w:val="2"/>
          <w:sz w:val="21"/>
          <w:szCs w:val="21"/>
          <w:lang w:val="en-US" w:eastAsia="zh-CN" w:bidi="ar-SA"/>
        </w:rPr>
        <w:t>资格性审查表</w:t>
      </w:r>
      <w:bookmarkEnd w:id="10"/>
      <w:bookmarkEnd w:id="11"/>
      <w:bookmarkEnd w:id="12"/>
      <w:bookmarkEnd w:id="13"/>
    </w:p>
    <w:tbl>
      <w:tblPr>
        <w:tblStyle w:val="17"/>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9286"/>
      </w:tblGrid>
      <w:tr w14:paraId="14485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3" w:type="dxa"/>
            <w:noWrap w:val="0"/>
            <w:vAlign w:val="center"/>
          </w:tcPr>
          <w:p w14:paraId="5F38D1B1">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bookmarkStart w:id="14" w:name="_Toc15975"/>
            <w:r>
              <w:rPr>
                <w:rFonts w:hint="eastAsia" w:ascii="宋体" w:hAnsi="宋体" w:eastAsia="宋体" w:cs="宋体"/>
                <w:b/>
                <w:bCs/>
                <w:color w:val="000000"/>
                <w:sz w:val="21"/>
                <w:szCs w:val="21"/>
              </w:rPr>
              <w:t>序号</w:t>
            </w:r>
          </w:p>
        </w:tc>
        <w:tc>
          <w:tcPr>
            <w:tcW w:w="9286" w:type="dxa"/>
            <w:noWrap w:val="0"/>
            <w:vAlign w:val="center"/>
          </w:tcPr>
          <w:p w14:paraId="71E426C9">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lang w:val="en-US" w:eastAsia="zh-CN"/>
              </w:rPr>
              <w:t>资格性审查内容</w:t>
            </w:r>
          </w:p>
        </w:tc>
      </w:tr>
      <w:tr w14:paraId="6DCC3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693" w:type="dxa"/>
            <w:noWrap w:val="0"/>
            <w:vAlign w:val="center"/>
          </w:tcPr>
          <w:p w14:paraId="15C2584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9286" w:type="dxa"/>
            <w:noWrap w:val="0"/>
            <w:vAlign w:val="center"/>
          </w:tcPr>
          <w:p w14:paraId="5DCC1074">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不具备资质要求，或未提交相应资格证明材料（详见采购公告或采购邀请函中的资质要求，其中未列示的资质要求不得导致投标无效）</w:t>
            </w:r>
          </w:p>
        </w:tc>
      </w:tr>
      <w:tr w14:paraId="1086B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693" w:type="dxa"/>
            <w:noWrap w:val="0"/>
            <w:vAlign w:val="center"/>
          </w:tcPr>
          <w:p w14:paraId="697C9092">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9286" w:type="dxa"/>
            <w:noWrap w:val="0"/>
            <w:vAlign w:val="center"/>
          </w:tcPr>
          <w:p w14:paraId="187AA579">
            <w:pPr>
              <w:keepNext w:val="0"/>
              <w:keepLines w:val="0"/>
              <w:suppressLineNumbers w:val="0"/>
              <w:spacing w:before="0" w:beforeAutospacing="0" w:after="0" w:afterAutospacing="0"/>
              <w:ind w:left="0" w:right="0"/>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未按采购公告（或采购邀请函）要求完成投标报名的</w:t>
            </w:r>
          </w:p>
        </w:tc>
      </w:tr>
    </w:tbl>
    <w:p w14:paraId="218A01EB">
      <w:pPr>
        <w:adjustRightInd w:val="0"/>
        <w:snapToGrid w:val="0"/>
        <w:spacing w:line="360" w:lineRule="auto"/>
        <w:jc w:val="left"/>
        <w:outlineLvl w:val="9"/>
        <w:rPr>
          <w:rFonts w:ascii="宋体" w:hAnsi="宋体"/>
          <w:color w:val="auto"/>
          <w:highlight w:val="none"/>
        </w:rPr>
      </w:pPr>
      <w:r>
        <w:rPr>
          <w:rFonts w:hint="eastAsia" w:ascii="宋体" w:hAnsi="宋体" w:cs="宋体"/>
        </w:rPr>
        <w:t>说明：</w:t>
      </w:r>
      <w:r>
        <w:rPr>
          <w:rFonts w:hint="eastAsia" w:ascii="宋体" w:hAnsi="宋体"/>
        </w:rPr>
        <w:t>投标人必须严格按照《资格性审查表》的评审内容的要求如实提供证明材料</w:t>
      </w:r>
      <w:r>
        <w:rPr>
          <w:rFonts w:hint="eastAsia" w:ascii="宋体" w:hAnsi="宋体"/>
          <w:bCs/>
        </w:rPr>
        <w:t>并应加盖投标人公章,</w:t>
      </w:r>
      <w:r>
        <w:rPr>
          <w:rFonts w:hint="eastAsia" w:ascii="宋体" w:hAnsi="宋体"/>
        </w:rPr>
        <w:t>对缺漏或不符合项将直接导致无</w:t>
      </w:r>
      <w:r>
        <w:rPr>
          <w:rFonts w:hint="eastAsia" w:ascii="宋体" w:hAnsi="宋体"/>
          <w:color w:val="auto"/>
          <w:highlight w:val="none"/>
        </w:rPr>
        <w:t>效投标</w:t>
      </w:r>
      <w:r>
        <w:rPr>
          <w:rFonts w:hint="eastAsia" w:ascii="宋体" w:cs="宋体"/>
          <w:color w:val="auto"/>
          <w:szCs w:val="21"/>
          <w:highlight w:val="none"/>
        </w:rPr>
        <w:t>。</w:t>
      </w:r>
      <w:bookmarkEnd w:id="14"/>
    </w:p>
    <w:p w14:paraId="41BA4C69">
      <w:pPr>
        <w:pStyle w:val="3"/>
        <w:numPr>
          <w:ilvl w:val="0"/>
          <w:numId w:val="9"/>
        </w:numPr>
        <w:spacing w:line="240" w:lineRule="auto"/>
        <w:ind w:left="-420" w:leftChars="-200" w:firstLine="4" w:firstLineChars="0"/>
        <w:jc w:val="left"/>
        <w:outlineLvl w:val="0"/>
        <w:rPr>
          <w:rFonts w:hint="eastAsia" w:ascii="宋体" w:hAnsi="宋体" w:cs="宋体" w:eastAsiaTheme="minorEastAsia"/>
          <w:kern w:val="2"/>
          <w:sz w:val="21"/>
          <w:szCs w:val="21"/>
          <w:lang w:val="en-US" w:eastAsia="zh-CN" w:bidi="ar-SA"/>
        </w:rPr>
      </w:pPr>
      <w:bookmarkStart w:id="15" w:name="_Toc11989"/>
      <w:r>
        <w:rPr>
          <w:rFonts w:hint="eastAsia" w:ascii="宋体" w:hAnsi="宋体" w:cs="宋体"/>
          <w:kern w:val="2"/>
          <w:sz w:val="21"/>
          <w:szCs w:val="21"/>
          <w:lang w:val="en-US" w:eastAsia="zh-CN" w:bidi="ar-SA"/>
        </w:rPr>
        <w:t>符合</w:t>
      </w:r>
      <w:r>
        <w:rPr>
          <w:rFonts w:hint="eastAsia" w:ascii="宋体" w:hAnsi="宋体" w:cs="宋体" w:eastAsiaTheme="minorEastAsia"/>
          <w:kern w:val="2"/>
          <w:sz w:val="21"/>
          <w:szCs w:val="21"/>
          <w:lang w:val="en-US" w:eastAsia="zh-CN" w:bidi="ar-SA"/>
        </w:rPr>
        <w:t>性审查表</w:t>
      </w:r>
      <w:bookmarkEnd w:id="15"/>
    </w:p>
    <w:tbl>
      <w:tblPr>
        <w:tblStyle w:val="17"/>
        <w:tblW w:w="10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9319"/>
      </w:tblGrid>
      <w:tr w14:paraId="36ACC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noWrap w:val="0"/>
            <w:vAlign w:val="center"/>
          </w:tcPr>
          <w:p w14:paraId="0EED1B4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b/>
                <w:color w:val="000000"/>
                <w:sz w:val="21"/>
                <w:szCs w:val="21"/>
              </w:rPr>
              <w:t>序号</w:t>
            </w:r>
          </w:p>
        </w:tc>
        <w:tc>
          <w:tcPr>
            <w:tcW w:w="9319" w:type="dxa"/>
            <w:noWrap w:val="0"/>
            <w:vAlign w:val="center"/>
          </w:tcPr>
          <w:p w14:paraId="0D35C544">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sz w:val="21"/>
                <w:szCs w:val="21"/>
              </w:rPr>
            </w:pPr>
            <w:r>
              <w:rPr>
                <w:rFonts w:hint="eastAsia" w:ascii="宋体" w:hAnsi="宋体" w:eastAsia="宋体" w:cs="宋体"/>
                <w:b/>
                <w:color w:val="000000"/>
                <w:sz w:val="21"/>
                <w:szCs w:val="21"/>
              </w:rPr>
              <w:t>符合性</w:t>
            </w:r>
            <w:r>
              <w:rPr>
                <w:rFonts w:hint="eastAsia" w:ascii="宋体" w:hAnsi="宋体" w:eastAsia="宋体" w:cs="宋体"/>
                <w:b/>
                <w:color w:val="000000"/>
                <w:sz w:val="21"/>
                <w:szCs w:val="21"/>
                <w:lang w:val="en-US" w:eastAsia="zh-CN"/>
              </w:rPr>
              <w:t>审查内容</w:t>
            </w:r>
          </w:p>
        </w:tc>
      </w:tr>
      <w:tr w14:paraId="6851F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85" w:type="dxa"/>
            <w:shd w:val="clear" w:color="auto" w:fill="auto"/>
            <w:noWrap w:val="0"/>
            <w:vAlign w:val="center"/>
          </w:tcPr>
          <w:p w14:paraId="02E74DBF">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1</w:t>
            </w:r>
          </w:p>
        </w:tc>
        <w:tc>
          <w:tcPr>
            <w:tcW w:w="9319" w:type="dxa"/>
            <w:shd w:val="clear" w:color="auto" w:fill="auto"/>
            <w:noWrap w:val="0"/>
            <w:vAlign w:val="center"/>
          </w:tcPr>
          <w:p w14:paraId="66D5BC09">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将一个包中的内容拆开投标</w:t>
            </w:r>
          </w:p>
        </w:tc>
      </w:tr>
      <w:tr w14:paraId="6CE7F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685" w:type="dxa"/>
            <w:shd w:val="clear" w:color="auto" w:fill="auto"/>
            <w:noWrap w:val="0"/>
            <w:vAlign w:val="center"/>
          </w:tcPr>
          <w:p w14:paraId="3684B3EC">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2</w:t>
            </w:r>
          </w:p>
        </w:tc>
        <w:tc>
          <w:tcPr>
            <w:tcW w:w="9319" w:type="dxa"/>
            <w:shd w:val="clear" w:color="auto" w:fill="auto"/>
            <w:noWrap w:val="0"/>
            <w:vAlign w:val="center"/>
          </w:tcPr>
          <w:p w14:paraId="5094F6E0">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文件未按规定密封、签字、盖章</w:t>
            </w:r>
          </w:p>
        </w:tc>
      </w:tr>
      <w:tr w14:paraId="4C9A4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685" w:type="dxa"/>
            <w:shd w:val="clear" w:color="auto" w:fill="auto"/>
            <w:noWrap w:val="0"/>
            <w:vAlign w:val="center"/>
          </w:tcPr>
          <w:p w14:paraId="29F5E7CB">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3</w:t>
            </w:r>
          </w:p>
        </w:tc>
        <w:tc>
          <w:tcPr>
            <w:tcW w:w="9319" w:type="dxa"/>
            <w:shd w:val="clear" w:color="auto" w:fill="auto"/>
            <w:noWrap w:val="0"/>
            <w:vAlign w:val="center"/>
          </w:tcPr>
          <w:p w14:paraId="2FA4074E">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谈判</w:t>
            </w:r>
            <w:r>
              <w:rPr>
                <w:rFonts w:hint="eastAsia" w:ascii="宋体" w:hAnsi="宋体" w:eastAsia="宋体" w:cs="宋体"/>
                <w:sz w:val="21"/>
                <w:szCs w:val="21"/>
              </w:rPr>
              <w:t>文件未规定允许有替代方案时，对同一项目投标时，同时提供两套或两套以上的投标方案</w:t>
            </w:r>
          </w:p>
        </w:tc>
      </w:tr>
      <w:tr w14:paraId="07C15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85" w:type="dxa"/>
            <w:shd w:val="clear" w:color="auto" w:fill="auto"/>
            <w:noWrap w:val="0"/>
            <w:vAlign w:val="center"/>
          </w:tcPr>
          <w:p w14:paraId="15D79638">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4</w:t>
            </w:r>
          </w:p>
        </w:tc>
        <w:tc>
          <w:tcPr>
            <w:tcW w:w="9319" w:type="dxa"/>
            <w:shd w:val="clear" w:color="auto" w:fill="auto"/>
            <w:noWrap w:val="0"/>
            <w:vAlign w:val="center"/>
          </w:tcPr>
          <w:p w14:paraId="50C53FF3">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分项报价或投标总价高于预算金额（最高投标限价）的，或未按</w:t>
            </w:r>
            <w:r>
              <w:rPr>
                <w:rFonts w:hint="eastAsia" w:ascii="宋体" w:hAnsi="宋体" w:eastAsia="宋体" w:cs="宋体"/>
                <w:sz w:val="21"/>
                <w:szCs w:val="21"/>
                <w:lang w:val="en-US" w:eastAsia="zh-CN"/>
              </w:rPr>
              <w:t>谈判</w:t>
            </w:r>
            <w:r>
              <w:rPr>
                <w:rFonts w:hint="eastAsia" w:ascii="宋体" w:hAnsi="宋体" w:eastAsia="宋体" w:cs="宋体"/>
                <w:sz w:val="21"/>
                <w:szCs w:val="21"/>
              </w:rPr>
              <w:t>文件要求报价的</w:t>
            </w:r>
          </w:p>
        </w:tc>
      </w:tr>
      <w:tr w14:paraId="2903A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85" w:type="dxa"/>
            <w:shd w:val="clear" w:color="auto" w:fill="auto"/>
            <w:noWrap w:val="0"/>
            <w:vAlign w:val="center"/>
          </w:tcPr>
          <w:p w14:paraId="54B0DFA4">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5</w:t>
            </w:r>
          </w:p>
        </w:tc>
        <w:tc>
          <w:tcPr>
            <w:tcW w:w="9319" w:type="dxa"/>
            <w:shd w:val="clear" w:color="auto" w:fill="auto"/>
            <w:noWrap w:val="0"/>
            <w:vAlign w:val="center"/>
          </w:tcPr>
          <w:p w14:paraId="6012D7A7">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同一项目出现两个及以上报价，按规定又无法确定哪个是有效报价</w:t>
            </w:r>
          </w:p>
        </w:tc>
      </w:tr>
      <w:tr w14:paraId="0944F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jc w:val="center"/>
        </w:trPr>
        <w:tc>
          <w:tcPr>
            <w:tcW w:w="685" w:type="dxa"/>
            <w:shd w:val="clear" w:color="auto" w:fill="auto"/>
            <w:noWrap w:val="0"/>
            <w:vAlign w:val="center"/>
          </w:tcPr>
          <w:p w14:paraId="3B2F8E97">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6</w:t>
            </w:r>
          </w:p>
        </w:tc>
        <w:tc>
          <w:tcPr>
            <w:tcW w:w="9319" w:type="dxa"/>
            <w:shd w:val="clear" w:color="auto" w:fill="auto"/>
            <w:noWrap w:val="0"/>
            <w:vAlign w:val="center"/>
          </w:tcPr>
          <w:p w14:paraId="615E946B">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供应商投标(响应)报价触发异常低价投标(响应)审查程序后，供应商不能提供或未在采购文件规定时间内提供项目具体成本测算等与报价合理性相关的书面说明及必要的证明材料，包括但不限于原材料成本、人工成本、制造费用等，或者提供的书面说明、证明材料不能证明其报价合理性的（若评审委员会成员对投标人提供的书面说明、证明材料是否采纳或是否能证明其报价合理性的等判断不一致的，按照“少数服从多数”的原则确定评审委员会的意见）</w:t>
            </w:r>
          </w:p>
        </w:tc>
      </w:tr>
      <w:tr w14:paraId="5F895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685" w:type="dxa"/>
            <w:shd w:val="clear" w:color="auto" w:fill="auto"/>
            <w:noWrap w:val="0"/>
            <w:vAlign w:val="center"/>
          </w:tcPr>
          <w:p w14:paraId="2CBFECB3">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7</w:t>
            </w:r>
          </w:p>
        </w:tc>
        <w:tc>
          <w:tcPr>
            <w:tcW w:w="9319" w:type="dxa"/>
            <w:shd w:val="clear" w:color="auto" w:fill="auto"/>
            <w:noWrap w:val="0"/>
            <w:vAlign w:val="center"/>
          </w:tcPr>
          <w:p w14:paraId="07E171B0">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所投货物、服务在技术、商务等方面没有实质性满足</w:t>
            </w:r>
            <w:r>
              <w:rPr>
                <w:rFonts w:hint="eastAsia" w:ascii="宋体" w:hAnsi="宋体" w:eastAsia="宋体" w:cs="宋体"/>
                <w:sz w:val="21"/>
                <w:szCs w:val="21"/>
                <w:lang w:eastAsia="zh-CN"/>
              </w:rPr>
              <w:t>谈判</w:t>
            </w:r>
            <w:r>
              <w:rPr>
                <w:rFonts w:hint="eastAsia" w:ascii="宋体" w:hAnsi="宋体" w:eastAsia="宋体" w:cs="宋体"/>
                <w:sz w:val="21"/>
                <w:szCs w:val="21"/>
              </w:rPr>
              <w:t>文件要求的</w:t>
            </w:r>
          </w:p>
        </w:tc>
      </w:tr>
      <w:tr w14:paraId="78D26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85" w:type="dxa"/>
            <w:shd w:val="clear" w:color="auto" w:fill="auto"/>
            <w:noWrap w:val="0"/>
            <w:vAlign w:val="center"/>
          </w:tcPr>
          <w:p w14:paraId="584C9650">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8</w:t>
            </w:r>
          </w:p>
        </w:tc>
        <w:tc>
          <w:tcPr>
            <w:tcW w:w="9319" w:type="dxa"/>
            <w:shd w:val="clear" w:color="auto" w:fill="auto"/>
            <w:noWrap w:val="0"/>
            <w:vAlign w:val="center"/>
          </w:tcPr>
          <w:p w14:paraId="0ECC4208">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文件对</w:t>
            </w:r>
            <w:r>
              <w:rPr>
                <w:rFonts w:hint="eastAsia" w:ascii="宋体" w:hAnsi="宋体" w:eastAsia="宋体" w:cs="宋体"/>
                <w:sz w:val="21"/>
                <w:szCs w:val="21"/>
                <w:lang w:val="en-US" w:eastAsia="zh-CN"/>
              </w:rPr>
              <w:t>谈判</w:t>
            </w:r>
            <w:r>
              <w:rPr>
                <w:rFonts w:hint="eastAsia" w:ascii="宋体" w:hAnsi="宋体" w:eastAsia="宋体" w:cs="宋体"/>
                <w:sz w:val="21"/>
                <w:szCs w:val="21"/>
              </w:rPr>
              <w:t>文件中标注“★”的条款响应为负偏离的</w:t>
            </w:r>
          </w:p>
        </w:tc>
      </w:tr>
      <w:tr w14:paraId="5B35D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685" w:type="dxa"/>
            <w:shd w:val="clear" w:color="auto" w:fill="auto"/>
            <w:noWrap w:val="0"/>
            <w:vAlign w:val="center"/>
          </w:tcPr>
          <w:p w14:paraId="41899103">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9</w:t>
            </w:r>
          </w:p>
        </w:tc>
        <w:tc>
          <w:tcPr>
            <w:tcW w:w="9319" w:type="dxa"/>
            <w:shd w:val="clear" w:color="auto" w:fill="auto"/>
            <w:noWrap w:val="0"/>
            <w:vAlign w:val="center"/>
          </w:tcPr>
          <w:p w14:paraId="4504AFE9">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文件对采购标的响应不全（响应不全情形包括：投标报价有缺漏项，对</w:t>
            </w:r>
            <w:r>
              <w:rPr>
                <w:rFonts w:hint="eastAsia" w:ascii="宋体" w:hAnsi="宋体" w:eastAsia="宋体" w:cs="宋体"/>
                <w:sz w:val="21"/>
                <w:szCs w:val="21"/>
                <w:lang w:val="en-US" w:eastAsia="zh-CN"/>
              </w:rPr>
              <w:t>谈判</w:t>
            </w:r>
            <w:r>
              <w:rPr>
                <w:rFonts w:hint="eastAsia" w:ascii="宋体" w:hAnsi="宋体" w:eastAsia="宋体" w:cs="宋体"/>
                <w:sz w:val="21"/>
                <w:szCs w:val="21"/>
              </w:rPr>
              <w:t>文件规定的项目需求内容或者需求数量进行修改，未填写所投货物的品牌、规格、型号、制造商、原产地）</w:t>
            </w:r>
          </w:p>
        </w:tc>
      </w:tr>
      <w:tr w14:paraId="7E2BD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85" w:type="dxa"/>
            <w:shd w:val="clear" w:color="auto" w:fill="auto"/>
            <w:noWrap w:val="0"/>
            <w:vAlign w:val="center"/>
          </w:tcPr>
          <w:p w14:paraId="0EF1F89F">
            <w:pPr>
              <w:keepNext w:val="0"/>
              <w:keepLines w:val="0"/>
              <w:suppressLineNumbers w:val="0"/>
              <w:spacing w:before="0" w:beforeAutospacing="0" w:after="0" w:afterAutospacing="0"/>
              <w:ind w:left="0" w:leftChars="0" w:right="0" w:rightChars="0"/>
              <w:jc w:val="center"/>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10</w:t>
            </w:r>
          </w:p>
        </w:tc>
        <w:tc>
          <w:tcPr>
            <w:tcW w:w="9319" w:type="dxa"/>
            <w:shd w:val="clear" w:color="auto" w:fill="auto"/>
            <w:noWrap w:val="0"/>
            <w:vAlign w:val="center"/>
          </w:tcPr>
          <w:p w14:paraId="55DC8266">
            <w:pPr>
              <w:keepNext w:val="0"/>
              <w:keepLines w:val="0"/>
              <w:suppressLineNumbers w:val="0"/>
              <w:spacing w:before="0" w:beforeAutospacing="0" w:after="0" w:afterAutospacing="0"/>
              <w:ind w:left="0" w:leftChars="0" w:right="0" w:rightChars="0"/>
              <w:rPr>
                <w:rFonts w:hint="default" w:ascii="宋体" w:hAnsi="宋体" w:eastAsia="宋体" w:cs="宋体"/>
                <w:kern w:val="2"/>
                <w:sz w:val="21"/>
                <w:szCs w:val="21"/>
                <w:lang w:val="en-US" w:eastAsia="zh-CN" w:bidi="ar-SA"/>
              </w:rPr>
            </w:pPr>
            <w:r>
              <w:rPr>
                <w:rFonts w:hint="eastAsia" w:ascii="宋体" w:hAnsi="宋体" w:eastAsia="宋体" w:cs="宋体"/>
                <w:sz w:val="21"/>
                <w:szCs w:val="21"/>
              </w:rPr>
              <w:t>未按</w:t>
            </w:r>
            <w:r>
              <w:rPr>
                <w:rFonts w:hint="eastAsia" w:ascii="宋体" w:hAnsi="宋体" w:eastAsia="宋体" w:cs="宋体"/>
                <w:sz w:val="21"/>
                <w:szCs w:val="21"/>
                <w:lang w:val="en-US" w:eastAsia="zh-CN"/>
              </w:rPr>
              <w:t>谈判</w:t>
            </w:r>
            <w:r>
              <w:rPr>
                <w:rFonts w:hint="eastAsia" w:ascii="宋体" w:hAnsi="宋体" w:eastAsia="宋体" w:cs="宋体"/>
                <w:sz w:val="21"/>
                <w:szCs w:val="21"/>
              </w:rPr>
              <w:t>文件附件所提供的样式和要求完整填写“投标函及履约承诺函”，或投标文件组成部分不符合</w:t>
            </w:r>
            <w:r>
              <w:rPr>
                <w:rFonts w:hint="eastAsia" w:ascii="宋体" w:hAnsi="宋体" w:eastAsia="宋体" w:cs="宋体"/>
                <w:sz w:val="21"/>
                <w:szCs w:val="21"/>
                <w:lang w:val="en-US" w:eastAsia="zh-CN"/>
              </w:rPr>
              <w:t>谈判文件</w:t>
            </w:r>
            <w:r>
              <w:rPr>
                <w:rFonts w:hint="eastAsia" w:ascii="宋体" w:hAnsi="宋体" w:eastAsia="宋体" w:cs="宋体"/>
                <w:sz w:val="21"/>
                <w:szCs w:val="21"/>
              </w:rPr>
              <w:t>规定的</w:t>
            </w:r>
          </w:p>
        </w:tc>
      </w:tr>
      <w:tr w14:paraId="10E3F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85" w:type="dxa"/>
            <w:shd w:val="clear" w:color="auto" w:fill="auto"/>
            <w:noWrap w:val="0"/>
            <w:vAlign w:val="center"/>
          </w:tcPr>
          <w:p w14:paraId="77071F0B">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11</w:t>
            </w:r>
          </w:p>
        </w:tc>
        <w:tc>
          <w:tcPr>
            <w:tcW w:w="9319" w:type="dxa"/>
            <w:shd w:val="clear" w:color="auto" w:fill="auto"/>
            <w:noWrap w:val="0"/>
            <w:vAlign w:val="center"/>
          </w:tcPr>
          <w:p w14:paraId="659C8E57">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投标文件附有采购人或</w:t>
            </w:r>
            <w:r>
              <w:rPr>
                <w:rFonts w:hint="eastAsia" w:ascii="宋体" w:hAnsi="宋体" w:eastAsia="宋体" w:cs="宋体"/>
                <w:sz w:val="21"/>
                <w:szCs w:val="21"/>
                <w:lang w:eastAsia="zh-CN"/>
              </w:rPr>
              <w:t>谈判</w:t>
            </w:r>
            <w:r>
              <w:rPr>
                <w:rFonts w:hint="eastAsia" w:ascii="宋体" w:hAnsi="宋体" w:eastAsia="宋体" w:cs="宋体"/>
                <w:sz w:val="21"/>
                <w:szCs w:val="21"/>
              </w:rPr>
              <w:t>需求不能接受的条件</w:t>
            </w:r>
          </w:p>
        </w:tc>
      </w:tr>
      <w:tr w14:paraId="696BE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85" w:type="dxa"/>
            <w:shd w:val="clear" w:color="auto" w:fill="auto"/>
            <w:noWrap w:val="0"/>
            <w:vAlign w:val="center"/>
          </w:tcPr>
          <w:p w14:paraId="1E79084F">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1</w:t>
            </w:r>
            <w:r>
              <w:rPr>
                <w:rFonts w:hint="eastAsia" w:ascii="宋体" w:hAnsi="宋体" w:eastAsia="宋体" w:cs="宋体"/>
                <w:sz w:val="21"/>
                <w:szCs w:val="21"/>
                <w:lang w:val="en-US" w:eastAsia="zh-CN"/>
              </w:rPr>
              <w:t>2</w:t>
            </w:r>
          </w:p>
        </w:tc>
        <w:tc>
          <w:tcPr>
            <w:tcW w:w="9319" w:type="dxa"/>
            <w:shd w:val="clear" w:color="auto" w:fill="auto"/>
            <w:noWrap w:val="0"/>
            <w:vAlign w:val="center"/>
          </w:tcPr>
          <w:p w14:paraId="4D38B757">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法律法规规定的其他情形</w:t>
            </w:r>
          </w:p>
        </w:tc>
      </w:tr>
    </w:tbl>
    <w:p w14:paraId="619B9638">
      <w:pPr>
        <w:tabs>
          <w:tab w:val="left" w:pos="420"/>
          <w:tab w:val="left" w:pos="630"/>
        </w:tabs>
        <w:autoSpaceDE w:val="0"/>
        <w:autoSpaceDN w:val="0"/>
        <w:adjustRightInd w:val="0"/>
        <w:spacing w:line="360" w:lineRule="auto"/>
        <w:rPr>
          <w:rFonts w:hint="eastAsia" w:ascii="宋体" w:cs="宋体"/>
          <w:szCs w:val="21"/>
        </w:rPr>
      </w:pPr>
      <w:r>
        <w:rPr>
          <w:rFonts w:hint="eastAsia" w:ascii="宋体" w:hAnsi="宋体"/>
          <w:szCs w:val="21"/>
        </w:rPr>
        <w:t>说明：</w:t>
      </w:r>
      <w:r>
        <w:rPr>
          <w:rFonts w:hint="eastAsia" w:ascii="宋体" w:hAnsi="宋体"/>
        </w:rPr>
        <w:t>投标人必须严格按照《符合性审查表》的评审内容的要求如实提供证明材料</w:t>
      </w:r>
      <w:r>
        <w:rPr>
          <w:rFonts w:hint="eastAsia" w:ascii="宋体" w:hAnsi="宋体"/>
          <w:bCs/>
        </w:rPr>
        <w:t>并应加盖投标人公章,</w:t>
      </w:r>
      <w:r>
        <w:rPr>
          <w:rFonts w:hint="eastAsia" w:ascii="宋体" w:hAnsi="宋体"/>
        </w:rPr>
        <w:t>对缺漏或不符合项将直接导致无效投标</w:t>
      </w:r>
      <w:r>
        <w:rPr>
          <w:rFonts w:hint="eastAsia" w:ascii="宋体" w:cs="宋体"/>
          <w:szCs w:val="21"/>
        </w:rPr>
        <w:t>。</w:t>
      </w:r>
    </w:p>
    <w:p w14:paraId="58D1A2AD">
      <w:pPr>
        <w:pStyle w:val="5"/>
        <w:numPr>
          <w:ilvl w:val="0"/>
          <w:numId w:val="10"/>
        </w:numPr>
        <w:ind w:left="0" w:leftChars="0" w:firstLine="0" w:firstLineChars="0"/>
        <w:jc w:val="left"/>
        <w:outlineLvl w:val="0"/>
        <w:rPr>
          <w:color w:val="auto"/>
        </w:rPr>
      </w:pPr>
      <w:r>
        <w:rPr>
          <w:rFonts w:hint="eastAsia" w:ascii="宋体" w:hAnsi="宋体" w:cs="宋体" w:eastAsiaTheme="minorEastAsia"/>
          <w:kern w:val="2"/>
          <w:sz w:val="21"/>
          <w:szCs w:val="21"/>
          <w:lang w:val="en-US" w:eastAsia="zh-CN" w:bidi="ar-SA"/>
        </w:rPr>
        <w:t>福田区自行采购供应商资格审查表</w:t>
      </w:r>
    </w:p>
    <w:tbl>
      <w:tblPr>
        <w:tblStyle w:val="18"/>
        <w:tblW w:w="112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2146"/>
        <w:gridCol w:w="3257"/>
        <w:gridCol w:w="1150"/>
        <w:gridCol w:w="1150"/>
        <w:gridCol w:w="1150"/>
        <w:gridCol w:w="1644"/>
      </w:tblGrid>
      <w:tr w14:paraId="6FD99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68" w:type="dxa"/>
            <w:noWrap w:val="0"/>
            <w:vAlign w:val="center"/>
          </w:tcPr>
          <w:p w14:paraId="32D01AB9">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序号</w:t>
            </w:r>
          </w:p>
        </w:tc>
        <w:tc>
          <w:tcPr>
            <w:tcW w:w="2146" w:type="dxa"/>
            <w:noWrap w:val="0"/>
            <w:vAlign w:val="center"/>
          </w:tcPr>
          <w:p w14:paraId="059D0031">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审查内容</w:t>
            </w:r>
          </w:p>
        </w:tc>
        <w:tc>
          <w:tcPr>
            <w:tcW w:w="3257" w:type="dxa"/>
            <w:noWrap w:val="0"/>
            <w:vAlign w:val="center"/>
          </w:tcPr>
          <w:p w14:paraId="2F9C71D5">
            <w:pPr>
              <w:keepNext w:val="0"/>
              <w:keepLines w:val="0"/>
              <w:widowControl/>
              <w:suppressLineNumbers w:val="0"/>
              <w:spacing w:before="0" w:beforeLines="0" w:beforeAutospacing="0" w:after="0" w:afterLines="0" w:afterAutospacing="0" w:line="380" w:lineRule="exact"/>
              <w:ind w:left="0" w:right="0"/>
              <w:jc w:val="center"/>
              <w:rPr>
                <w:rFonts w:hint="default" w:ascii="黑体" w:hAnsi="黑体" w:eastAsia="黑体" w:cs="仿宋_GB2312"/>
                <w:color w:val="auto"/>
                <w:sz w:val="21"/>
                <w:szCs w:val="21"/>
                <w:highlight w:val="none"/>
                <w:u w:val="none"/>
                <w:vertAlign w:val="baseline"/>
                <w:lang w:val="en-US" w:eastAsia="zh-CN"/>
              </w:rPr>
            </w:pPr>
            <w:r>
              <w:rPr>
                <w:rFonts w:hint="eastAsia" w:ascii="黑体" w:hAnsi="黑体" w:eastAsia="黑体" w:cs="仿宋_GB2312"/>
                <w:color w:val="auto"/>
                <w:sz w:val="21"/>
                <w:szCs w:val="21"/>
                <w:highlight w:val="none"/>
                <w:u w:val="none"/>
                <w:vertAlign w:val="baseline"/>
                <w:lang w:eastAsia="zh-CN"/>
              </w:rPr>
              <w:t>审查方式</w:t>
            </w:r>
            <w:r>
              <w:rPr>
                <w:rFonts w:hint="eastAsia" w:ascii="黑体" w:hAnsi="黑体" w:eastAsia="黑体" w:cs="仿宋_GB2312"/>
                <w:color w:val="auto"/>
                <w:sz w:val="21"/>
                <w:szCs w:val="21"/>
                <w:highlight w:val="none"/>
                <w:u w:val="none"/>
                <w:vertAlign w:val="baseline"/>
                <w:lang w:val="en-US" w:eastAsia="zh-CN"/>
              </w:rPr>
              <w:t>/查询途径</w:t>
            </w:r>
          </w:p>
        </w:tc>
        <w:tc>
          <w:tcPr>
            <w:tcW w:w="1150" w:type="dxa"/>
            <w:noWrap w:val="0"/>
            <w:vAlign w:val="center"/>
          </w:tcPr>
          <w:p w14:paraId="47502B16">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val="en-US" w:eastAsia="zh-CN"/>
              </w:rPr>
            </w:pPr>
            <w:r>
              <w:rPr>
                <w:rFonts w:hint="eastAsia" w:ascii="黑体" w:hAnsi="黑体" w:eastAsia="黑体" w:cs="仿宋_GB2312"/>
                <w:color w:val="auto"/>
                <w:sz w:val="21"/>
                <w:szCs w:val="21"/>
                <w:highlight w:val="none"/>
                <w:u w:val="none"/>
                <w:vertAlign w:val="baseline"/>
                <w:lang w:val="en-US" w:eastAsia="zh-CN"/>
              </w:rPr>
              <w:t>XX公司</w:t>
            </w:r>
          </w:p>
          <w:p w14:paraId="1B574F36">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审查结果</w:t>
            </w:r>
          </w:p>
        </w:tc>
        <w:tc>
          <w:tcPr>
            <w:tcW w:w="1150" w:type="dxa"/>
            <w:noWrap w:val="0"/>
            <w:vAlign w:val="center"/>
          </w:tcPr>
          <w:p w14:paraId="5CD13CEC">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val="en-US" w:eastAsia="zh-CN"/>
              </w:rPr>
            </w:pPr>
            <w:r>
              <w:rPr>
                <w:rFonts w:hint="eastAsia" w:ascii="黑体" w:hAnsi="黑体" w:eastAsia="黑体" w:cs="仿宋_GB2312"/>
                <w:color w:val="auto"/>
                <w:sz w:val="21"/>
                <w:szCs w:val="21"/>
                <w:highlight w:val="none"/>
                <w:u w:val="none"/>
                <w:vertAlign w:val="baseline"/>
                <w:lang w:val="en-US" w:eastAsia="zh-CN"/>
              </w:rPr>
              <w:t>XX公司</w:t>
            </w:r>
          </w:p>
          <w:p w14:paraId="4D1C1DC1">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审查结果</w:t>
            </w:r>
          </w:p>
        </w:tc>
        <w:tc>
          <w:tcPr>
            <w:tcW w:w="1150" w:type="dxa"/>
            <w:noWrap w:val="0"/>
            <w:vAlign w:val="center"/>
          </w:tcPr>
          <w:p w14:paraId="377759A0">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val="en-US" w:eastAsia="zh-CN"/>
              </w:rPr>
              <w:t>……</w:t>
            </w:r>
          </w:p>
        </w:tc>
        <w:tc>
          <w:tcPr>
            <w:tcW w:w="1644" w:type="dxa"/>
            <w:noWrap w:val="0"/>
            <w:vAlign w:val="center"/>
          </w:tcPr>
          <w:p w14:paraId="466F1B24">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备注</w:t>
            </w:r>
          </w:p>
        </w:tc>
      </w:tr>
      <w:tr w14:paraId="01F9A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66E81D1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1</w:t>
            </w:r>
          </w:p>
        </w:tc>
        <w:tc>
          <w:tcPr>
            <w:tcW w:w="2146" w:type="dxa"/>
            <w:noWrap w:val="0"/>
            <w:vAlign w:val="center"/>
          </w:tcPr>
          <w:p w14:paraId="5DBA137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rPr>
            </w:pPr>
            <w:r>
              <w:rPr>
                <w:rFonts w:hint="eastAsia" w:ascii="仿宋_GB2312" w:hAnsi="仿宋_GB2312" w:eastAsia="仿宋_GB2312" w:cs="仿宋_GB2312"/>
                <w:color w:val="auto"/>
                <w:spacing w:val="-11"/>
                <w:sz w:val="21"/>
                <w:szCs w:val="21"/>
                <w:highlight w:val="none"/>
                <w:u w:val="none"/>
                <w:lang w:eastAsia="zh-CN"/>
              </w:rPr>
              <w:t>资质</w:t>
            </w:r>
            <w:r>
              <w:rPr>
                <w:rFonts w:hint="eastAsia" w:ascii="仿宋_GB2312" w:hAnsi="仿宋_GB2312" w:eastAsia="仿宋_GB2312" w:cs="仿宋_GB2312"/>
                <w:color w:val="auto"/>
                <w:spacing w:val="-11"/>
                <w:sz w:val="21"/>
                <w:szCs w:val="21"/>
                <w:highlight w:val="none"/>
                <w:u w:val="none"/>
              </w:rPr>
              <w:t>条件</w:t>
            </w:r>
          </w:p>
        </w:tc>
        <w:tc>
          <w:tcPr>
            <w:tcW w:w="3257" w:type="dxa"/>
            <w:noWrap w:val="0"/>
            <w:vAlign w:val="center"/>
          </w:tcPr>
          <w:p w14:paraId="55589E4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rPr>
            </w:pPr>
            <w:r>
              <w:rPr>
                <w:rFonts w:hint="eastAsia" w:ascii="仿宋_GB2312" w:hAnsi="仿宋_GB2312" w:eastAsia="仿宋_GB2312" w:cs="仿宋_GB2312"/>
                <w:color w:val="auto"/>
                <w:spacing w:val="-11"/>
                <w:sz w:val="21"/>
                <w:szCs w:val="21"/>
                <w:highlight w:val="none"/>
                <w:u w:val="none"/>
                <w:vertAlign w:val="baseline"/>
                <w:lang w:eastAsia="zh-CN"/>
              </w:rPr>
              <w:t>根据采购文件的规定，要求供应商提供资质证明材料或采购人自行通过公开渠道查询</w:t>
            </w:r>
          </w:p>
        </w:tc>
        <w:tc>
          <w:tcPr>
            <w:tcW w:w="1150" w:type="dxa"/>
            <w:noWrap w:val="0"/>
            <w:vAlign w:val="center"/>
          </w:tcPr>
          <w:p w14:paraId="19582C5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6DD0C31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6A6A97F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0B50EF1E">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684C8CE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sym w:font="Wingdings 2" w:char="00A3"/>
            </w:r>
            <w:r>
              <w:rPr>
                <w:rFonts w:hint="eastAsia" w:ascii="仿宋_GB2312" w:hAnsi="仿宋_GB2312" w:eastAsia="仿宋_GB2312" w:cs="仿宋_GB2312"/>
                <w:color w:val="auto"/>
                <w:spacing w:val="-11"/>
                <w:sz w:val="21"/>
                <w:szCs w:val="21"/>
                <w:highlight w:val="none"/>
                <w:u w:val="none"/>
                <w:lang w:eastAsia="zh-CN"/>
              </w:rPr>
              <w:t>通过</w:t>
            </w:r>
          </w:p>
          <w:p w14:paraId="739018D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644" w:type="dxa"/>
            <w:noWrap w:val="0"/>
            <w:vAlign w:val="center"/>
          </w:tcPr>
          <w:p w14:paraId="65F56D5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采购人应当在采购文件事先明确具体的审查方式</w:t>
            </w:r>
          </w:p>
        </w:tc>
      </w:tr>
      <w:tr w14:paraId="22667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294A446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2</w:t>
            </w:r>
          </w:p>
        </w:tc>
        <w:tc>
          <w:tcPr>
            <w:tcW w:w="2146" w:type="dxa"/>
            <w:noWrap w:val="0"/>
            <w:vAlign w:val="center"/>
          </w:tcPr>
          <w:p w14:paraId="29BAD37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rPr>
              <w:t>是否存在</w:t>
            </w:r>
            <w:r>
              <w:rPr>
                <w:rFonts w:hint="eastAsia" w:ascii="仿宋_GB2312" w:hAnsi="仿宋_GB2312" w:eastAsia="仿宋_GB2312" w:cs="仿宋_GB2312"/>
                <w:color w:val="auto"/>
                <w:spacing w:val="-11"/>
                <w:sz w:val="21"/>
                <w:szCs w:val="21"/>
                <w:highlight w:val="none"/>
                <w:u w:val="none"/>
                <w:lang w:eastAsia="zh-CN"/>
              </w:rPr>
              <w:t>因</w:t>
            </w:r>
            <w:r>
              <w:rPr>
                <w:rFonts w:hint="eastAsia" w:ascii="仿宋_GB2312" w:hAnsi="仿宋_GB2312" w:eastAsia="仿宋_GB2312" w:cs="仿宋_GB2312"/>
                <w:color w:val="auto"/>
                <w:spacing w:val="-11"/>
                <w:sz w:val="21"/>
                <w:szCs w:val="21"/>
                <w:highlight w:val="none"/>
                <w:u w:val="none"/>
              </w:rPr>
              <w:t>违法行为</w:t>
            </w:r>
            <w:r>
              <w:rPr>
                <w:rFonts w:hint="eastAsia" w:ascii="仿宋_GB2312" w:hAnsi="仿宋_GB2312" w:eastAsia="仿宋_GB2312" w:cs="仿宋_GB2312"/>
                <w:color w:val="auto"/>
                <w:spacing w:val="-11"/>
                <w:sz w:val="21"/>
                <w:szCs w:val="21"/>
                <w:highlight w:val="none"/>
                <w:u w:val="none"/>
                <w:lang w:eastAsia="zh-CN"/>
              </w:rPr>
              <w:t>而</w:t>
            </w:r>
            <w:r>
              <w:rPr>
                <w:rFonts w:hint="eastAsia" w:ascii="仿宋_GB2312" w:hAnsi="仿宋_GB2312" w:eastAsia="仿宋_GB2312" w:cs="仿宋_GB2312"/>
                <w:color w:val="auto"/>
                <w:spacing w:val="-11"/>
                <w:sz w:val="21"/>
                <w:szCs w:val="21"/>
                <w:highlight w:val="none"/>
                <w:u w:val="none"/>
              </w:rPr>
              <w:t>被禁止参加</w:t>
            </w:r>
            <w:r>
              <w:rPr>
                <w:rFonts w:hint="eastAsia" w:ascii="仿宋_GB2312" w:hAnsi="仿宋_GB2312" w:eastAsia="仿宋_GB2312" w:cs="仿宋_GB2312"/>
                <w:color w:val="auto"/>
                <w:spacing w:val="-11"/>
                <w:sz w:val="21"/>
                <w:szCs w:val="21"/>
                <w:highlight w:val="none"/>
                <w:u w:val="none"/>
                <w:lang w:eastAsia="zh-CN"/>
              </w:rPr>
              <w:t>本市</w:t>
            </w:r>
            <w:r>
              <w:rPr>
                <w:rFonts w:hint="eastAsia" w:ascii="仿宋_GB2312" w:hAnsi="仿宋_GB2312" w:eastAsia="仿宋_GB2312" w:cs="仿宋_GB2312"/>
                <w:color w:val="auto"/>
                <w:spacing w:val="-11"/>
                <w:sz w:val="21"/>
                <w:szCs w:val="21"/>
                <w:highlight w:val="none"/>
                <w:u w:val="none"/>
              </w:rPr>
              <w:t>政府采购活动</w:t>
            </w:r>
            <w:r>
              <w:rPr>
                <w:rFonts w:hint="eastAsia" w:ascii="仿宋_GB2312" w:hAnsi="仿宋_GB2312" w:eastAsia="仿宋_GB2312" w:cs="仿宋_GB2312"/>
                <w:color w:val="auto"/>
                <w:spacing w:val="-11"/>
                <w:sz w:val="21"/>
                <w:szCs w:val="21"/>
                <w:highlight w:val="none"/>
                <w:u w:val="none"/>
                <w:lang w:eastAsia="zh-CN"/>
              </w:rPr>
              <w:t>的情形</w:t>
            </w:r>
          </w:p>
        </w:tc>
        <w:tc>
          <w:tcPr>
            <w:tcW w:w="3257" w:type="dxa"/>
            <w:noWrap w:val="0"/>
            <w:vAlign w:val="center"/>
          </w:tcPr>
          <w:p w14:paraId="4B1C3D5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pP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中国政府采购网（</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"http://www.ccgp.gov.cn/search/cr/"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http://www.ccgp.gov.cn/search/cr/</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w:t>
            </w:r>
          </w:p>
          <w:p w14:paraId="70163EAC">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bidi="ar"/>
              </w:rPr>
            </w:pP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深圳市政府采购监管网（</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"http://zfcg.sz.gov.cn/cgjg/cxda/index.html"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http://zfcg.sz.gov.cn/cgjg/cxda/index.html</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w:t>
            </w:r>
          </w:p>
        </w:tc>
        <w:tc>
          <w:tcPr>
            <w:tcW w:w="1150" w:type="dxa"/>
            <w:noWrap w:val="0"/>
            <w:vAlign w:val="center"/>
          </w:tcPr>
          <w:p w14:paraId="740F6577">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eastAsia="zh-CN" w:bidi="ar"/>
              </w:rPr>
              <w:t>□是</w:t>
            </w:r>
          </w:p>
          <w:p w14:paraId="0F7AA86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bidi="ar"/>
              </w:rPr>
              <w:t>□</w:t>
            </w:r>
            <w:r>
              <w:rPr>
                <w:rFonts w:hint="eastAsia" w:ascii="仿宋_GB2312" w:hAnsi="仿宋_GB2312" w:eastAsia="仿宋_GB2312" w:cs="仿宋_GB2312"/>
                <w:color w:val="auto"/>
                <w:spacing w:val="-11"/>
                <w:sz w:val="21"/>
                <w:szCs w:val="21"/>
                <w:highlight w:val="none"/>
                <w:u w:val="none"/>
                <w:lang w:eastAsia="zh-CN" w:bidi="ar"/>
              </w:rPr>
              <w:t>否</w:t>
            </w:r>
          </w:p>
        </w:tc>
        <w:tc>
          <w:tcPr>
            <w:tcW w:w="1150" w:type="dxa"/>
            <w:noWrap w:val="0"/>
            <w:vAlign w:val="center"/>
          </w:tcPr>
          <w:p w14:paraId="551C558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eastAsia="zh-CN" w:bidi="ar"/>
              </w:rPr>
              <w:t>□是</w:t>
            </w:r>
          </w:p>
          <w:p w14:paraId="20A79B0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lang w:bidi="ar"/>
              </w:rPr>
              <w:t>□</w:t>
            </w:r>
            <w:r>
              <w:rPr>
                <w:rFonts w:hint="eastAsia" w:ascii="仿宋_GB2312" w:hAnsi="仿宋_GB2312" w:eastAsia="仿宋_GB2312" w:cs="仿宋_GB2312"/>
                <w:color w:val="auto"/>
                <w:spacing w:val="-11"/>
                <w:sz w:val="21"/>
                <w:szCs w:val="21"/>
                <w:highlight w:val="none"/>
                <w:u w:val="none"/>
                <w:lang w:eastAsia="zh-CN" w:bidi="ar"/>
              </w:rPr>
              <w:t>否</w:t>
            </w:r>
          </w:p>
        </w:tc>
        <w:tc>
          <w:tcPr>
            <w:tcW w:w="1150" w:type="dxa"/>
            <w:noWrap w:val="0"/>
            <w:vAlign w:val="center"/>
          </w:tcPr>
          <w:p w14:paraId="1F3DF35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eastAsia="zh-CN" w:bidi="ar"/>
              </w:rPr>
              <w:t>□是</w:t>
            </w:r>
          </w:p>
          <w:p w14:paraId="2A1D88E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lang w:bidi="ar"/>
              </w:rPr>
              <w:t>□</w:t>
            </w:r>
            <w:r>
              <w:rPr>
                <w:rFonts w:hint="eastAsia" w:ascii="仿宋_GB2312" w:hAnsi="仿宋_GB2312" w:eastAsia="仿宋_GB2312" w:cs="仿宋_GB2312"/>
                <w:color w:val="auto"/>
                <w:spacing w:val="-11"/>
                <w:sz w:val="21"/>
                <w:szCs w:val="21"/>
                <w:highlight w:val="none"/>
                <w:u w:val="none"/>
                <w:lang w:eastAsia="zh-CN" w:bidi="ar"/>
              </w:rPr>
              <w:t>否</w:t>
            </w:r>
          </w:p>
        </w:tc>
        <w:tc>
          <w:tcPr>
            <w:tcW w:w="1644" w:type="dxa"/>
            <w:noWrap w:val="0"/>
            <w:vAlign w:val="center"/>
          </w:tcPr>
          <w:p w14:paraId="57C93CD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kern w:val="2"/>
                <w:sz w:val="21"/>
                <w:szCs w:val="21"/>
                <w:highlight w:val="none"/>
                <w:u w:val="none"/>
                <w:lang w:val="en-US" w:eastAsia="zh-CN" w:bidi="ar-SA"/>
              </w:rPr>
              <w:t>若选择“是”，则属于审查不通过。</w:t>
            </w:r>
          </w:p>
        </w:tc>
      </w:tr>
      <w:tr w14:paraId="03056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11FFD6D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3</w:t>
            </w:r>
          </w:p>
        </w:tc>
        <w:tc>
          <w:tcPr>
            <w:tcW w:w="2146" w:type="dxa"/>
            <w:noWrap w:val="0"/>
            <w:vAlign w:val="center"/>
          </w:tcPr>
          <w:p w14:paraId="0CECC22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不同投标供应商的法定代表人、主要经营负责人、投标授权代表人、项目负责人、主要技术人员是否为同一人、属同一单位或者在同一单位缴纳社会保险</w:t>
            </w:r>
          </w:p>
        </w:tc>
        <w:tc>
          <w:tcPr>
            <w:tcW w:w="3257" w:type="dxa"/>
            <w:noWrap w:val="0"/>
            <w:vAlign w:val="center"/>
          </w:tcPr>
          <w:p w14:paraId="432EA16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pPr>
            <w:r>
              <w:rPr>
                <w:rFonts w:hint="eastAsia" w:ascii="仿宋_GB2312" w:hAnsi="仿宋_GB2312" w:eastAsia="仿宋_GB2312" w:cs="仿宋_GB2312"/>
                <w:color w:val="auto"/>
                <w:spacing w:val="-11"/>
                <w:sz w:val="21"/>
                <w:szCs w:val="21"/>
                <w:highlight w:val="none"/>
                <w:u w:val="none"/>
                <w:shd w:val="clear" w:color="auto" w:fill="auto"/>
                <w:lang w:eastAsia="zh-CN" w:bidi="ar"/>
              </w:rPr>
              <w:t>供应商提供的</w:t>
            </w:r>
            <w:r>
              <w:rPr>
                <w:rFonts w:hint="eastAsia" w:ascii="仿宋_GB2312" w:hAnsi="仿宋_GB2312" w:eastAsia="仿宋_GB2312" w:cs="仿宋_GB2312"/>
                <w:color w:val="auto"/>
                <w:spacing w:val="-11"/>
                <w:sz w:val="21"/>
                <w:szCs w:val="21"/>
                <w:highlight w:val="none"/>
                <w:u w:val="none"/>
                <w:shd w:val="clear" w:color="auto" w:fill="auto"/>
                <w:lang w:bidi="ar"/>
              </w:rPr>
              <w:t>《供应商基本情况表》</w:t>
            </w:r>
            <w:r>
              <w:rPr>
                <w:rFonts w:hint="eastAsia" w:ascii="仿宋_GB2312" w:hAnsi="仿宋_GB2312" w:eastAsia="仿宋_GB2312" w:cs="仿宋_GB2312"/>
                <w:color w:val="auto"/>
                <w:spacing w:val="-11"/>
                <w:sz w:val="21"/>
                <w:szCs w:val="21"/>
                <w:highlight w:val="none"/>
                <w:u w:val="none"/>
                <w:shd w:val="clear" w:color="auto" w:fill="auto"/>
                <w:lang w:eastAsia="zh-CN" w:bidi="ar"/>
              </w:rPr>
              <w:t>；</w:t>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供应商提供的社保缴纳证明材料（如有）</w:t>
            </w:r>
          </w:p>
        </w:tc>
        <w:tc>
          <w:tcPr>
            <w:tcW w:w="1150" w:type="dxa"/>
            <w:noWrap w:val="0"/>
            <w:vAlign w:val="center"/>
          </w:tcPr>
          <w:p w14:paraId="0FF9F6C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0CECA60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254A2EC3">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46E4875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48B6B91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0432BE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644" w:type="dxa"/>
            <w:noWrap w:val="0"/>
            <w:vAlign w:val="center"/>
          </w:tcPr>
          <w:p w14:paraId="78577DB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eastAsia="zh-CN" w:bidi="ar"/>
              </w:rPr>
              <w:t>若为</w:t>
            </w:r>
            <w:r>
              <w:rPr>
                <w:rFonts w:hint="eastAsia" w:ascii="仿宋_GB2312" w:hAnsi="仿宋_GB2312" w:eastAsia="仿宋_GB2312" w:cs="仿宋_GB2312"/>
                <w:color w:val="auto"/>
                <w:spacing w:val="-11"/>
                <w:sz w:val="21"/>
                <w:szCs w:val="21"/>
                <w:highlight w:val="none"/>
                <w:u w:val="none"/>
                <w:lang w:bidi="ar"/>
              </w:rPr>
              <w:t>同一人、属同一单位或者在同一单位缴纳社会保险</w:t>
            </w:r>
            <w:r>
              <w:rPr>
                <w:rFonts w:hint="eastAsia" w:ascii="仿宋_GB2312" w:hAnsi="仿宋_GB2312" w:eastAsia="仿宋_GB2312" w:cs="仿宋_GB2312"/>
                <w:color w:val="auto"/>
                <w:spacing w:val="-11"/>
                <w:kern w:val="2"/>
                <w:sz w:val="21"/>
                <w:szCs w:val="21"/>
                <w:highlight w:val="none"/>
                <w:u w:val="none"/>
                <w:lang w:eastAsia="zh-CN" w:bidi="ar"/>
              </w:rPr>
              <w:t>，则该几家供应商不得</w:t>
            </w:r>
            <w:r>
              <w:rPr>
                <w:rFonts w:hint="eastAsia" w:ascii="仿宋_GB2312" w:hAnsi="仿宋_GB2312" w:eastAsia="仿宋_GB2312" w:cs="仿宋_GB2312"/>
                <w:color w:val="auto"/>
                <w:spacing w:val="-11"/>
                <w:kern w:val="2"/>
                <w:sz w:val="21"/>
                <w:szCs w:val="21"/>
                <w:highlight w:val="none"/>
                <w:u w:val="none"/>
                <w:lang w:bidi="ar"/>
              </w:rPr>
              <w:t>参加同一合同项下的政府采购活动</w:t>
            </w:r>
          </w:p>
        </w:tc>
      </w:tr>
      <w:tr w14:paraId="40B02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4056122C">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4</w:t>
            </w:r>
          </w:p>
        </w:tc>
        <w:tc>
          <w:tcPr>
            <w:tcW w:w="2146" w:type="dxa"/>
            <w:noWrap w:val="0"/>
            <w:vAlign w:val="center"/>
          </w:tcPr>
          <w:p w14:paraId="36A6586F">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不同供应商的单位负责人是否为同一人</w:t>
            </w:r>
          </w:p>
        </w:tc>
        <w:tc>
          <w:tcPr>
            <w:tcW w:w="3257" w:type="dxa"/>
            <w:noWrap w:val="0"/>
            <w:vAlign w:val="center"/>
          </w:tcPr>
          <w:p w14:paraId="33A5D27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2834" w:right="0" w:hanging="2444" w:hangingChars="130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bidi="ar"/>
              </w:rPr>
            </w:pPr>
            <w:r>
              <w:rPr>
                <w:rFonts w:hint="eastAsia" w:ascii="仿宋_GB2312" w:hAnsi="仿宋_GB2312" w:eastAsia="仿宋_GB2312" w:cs="仿宋_GB2312"/>
                <w:color w:val="auto"/>
                <w:spacing w:val="-11"/>
                <w:sz w:val="21"/>
                <w:szCs w:val="21"/>
                <w:highlight w:val="none"/>
                <w:u w:val="none"/>
                <w:vertAlign w:val="baseline"/>
                <w:lang w:eastAsia="zh-CN" w:bidi="ar"/>
              </w:rPr>
              <w:t>国家企业信用信息公示系统</w:t>
            </w:r>
          </w:p>
          <w:p w14:paraId="280D599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vertAlign w:val="baseline"/>
                <w:lang w:eastAsia="zh-CN" w:bidi="ar"/>
              </w:rPr>
              <w:t>（https://www.gsxt.gov.cn/index.html）、机关赋码和事业单位登记管理网（http://www.gjsy.gov.</w:t>
            </w:r>
            <w:r>
              <w:rPr>
                <w:rFonts w:hint="eastAsia" w:ascii="仿宋_GB2312" w:hAnsi="仿宋_GB2312" w:eastAsia="仿宋_GB2312" w:cs="仿宋_GB2312"/>
                <w:color w:val="auto"/>
                <w:spacing w:val="-11"/>
                <w:sz w:val="21"/>
                <w:szCs w:val="21"/>
                <w:highlight w:val="none"/>
                <w:u w:val="none"/>
                <w:vertAlign w:val="baseline"/>
                <w:lang w:val="en-US" w:eastAsia="zh-CN" w:bidi="ar"/>
              </w:rPr>
              <w:t>c</w:t>
            </w:r>
            <w:r>
              <w:rPr>
                <w:rFonts w:hint="eastAsia" w:ascii="仿宋_GB2312" w:hAnsi="仿宋_GB2312" w:eastAsia="仿宋_GB2312" w:cs="仿宋_GB2312"/>
                <w:color w:val="auto"/>
                <w:spacing w:val="-11"/>
                <w:sz w:val="21"/>
                <w:szCs w:val="21"/>
                <w:highlight w:val="none"/>
                <w:u w:val="none"/>
                <w:vertAlign w:val="baseline"/>
                <w:lang w:eastAsia="zh-CN" w:bidi="ar"/>
              </w:rPr>
              <w:t>n/sydwfrxxcx/）、</w:t>
            </w:r>
            <w:r>
              <w:rPr>
                <w:rFonts w:hint="eastAsia" w:ascii="仿宋_GB2312" w:hAnsi="仿宋_GB2312" w:eastAsia="仿宋_GB2312" w:cs="仿宋_GB2312"/>
                <w:color w:val="auto"/>
                <w:spacing w:val="-11"/>
                <w:sz w:val="21"/>
                <w:szCs w:val="21"/>
                <w:highlight w:val="none"/>
                <w:u w:val="none"/>
                <w:vertAlign w:val="baseline"/>
                <w:lang w:val="en-US" w:eastAsia="zh-CN" w:bidi="ar"/>
              </w:rPr>
              <w:t>全国社会组织信用信息公示平台（</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"https://xxgs.chinanpo.mca.gov.cn/gsxt/newList"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https://xxgs.chinanpo.mca.gov.cn/gsxt/newList</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color w:val="auto"/>
                <w:spacing w:val="-11"/>
                <w:sz w:val="21"/>
                <w:szCs w:val="21"/>
                <w:highlight w:val="none"/>
                <w:u w:val="none"/>
                <w:vertAlign w:val="baseline"/>
                <w:lang w:val="en-US" w:eastAsia="zh-CN" w:bidi="ar"/>
              </w:rPr>
              <w:t>）</w:t>
            </w:r>
            <w:r>
              <w:rPr>
                <w:rFonts w:hint="eastAsia" w:ascii="仿宋_GB2312" w:hAnsi="仿宋_GB2312" w:eastAsia="仿宋_GB2312" w:cs="仿宋_GB2312"/>
                <w:color w:val="auto"/>
                <w:spacing w:val="-11"/>
                <w:sz w:val="21"/>
                <w:szCs w:val="21"/>
                <w:highlight w:val="none"/>
                <w:u w:val="none"/>
                <w:vertAlign w:val="baseline"/>
                <w:lang w:eastAsia="zh-CN" w:bidi="ar"/>
              </w:rPr>
              <w:t>等网站；</w:t>
            </w:r>
            <w:r>
              <w:rPr>
                <w:rFonts w:hint="eastAsia" w:ascii="仿宋_GB2312" w:hAnsi="仿宋_GB2312" w:eastAsia="仿宋_GB2312" w:cs="仿宋_GB2312"/>
                <w:color w:val="auto"/>
                <w:spacing w:val="-11"/>
                <w:sz w:val="21"/>
                <w:szCs w:val="21"/>
                <w:highlight w:val="none"/>
                <w:u w:val="none"/>
                <w:shd w:val="clear" w:color="auto" w:fill="auto"/>
                <w:lang w:eastAsia="zh-CN" w:bidi="ar"/>
              </w:rPr>
              <w:t>供应商提供的</w:t>
            </w:r>
            <w:r>
              <w:rPr>
                <w:rFonts w:hint="eastAsia" w:ascii="仿宋_GB2312" w:hAnsi="仿宋_GB2312" w:eastAsia="仿宋_GB2312" w:cs="仿宋_GB2312"/>
                <w:color w:val="auto"/>
                <w:spacing w:val="-11"/>
                <w:sz w:val="21"/>
                <w:szCs w:val="21"/>
                <w:highlight w:val="none"/>
                <w:u w:val="none"/>
                <w:shd w:val="clear" w:color="auto" w:fill="auto"/>
                <w:lang w:bidi="ar"/>
              </w:rPr>
              <w:t>《供应商基本情况表》</w:t>
            </w:r>
            <w:r>
              <w:rPr>
                <w:rFonts w:hint="eastAsia" w:ascii="仿宋_GB2312" w:hAnsi="仿宋_GB2312" w:eastAsia="仿宋_GB2312" w:cs="仿宋_GB2312"/>
                <w:color w:val="auto"/>
                <w:spacing w:val="-11"/>
                <w:sz w:val="21"/>
                <w:szCs w:val="21"/>
                <w:highlight w:val="none"/>
                <w:u w:val="none"/>
                <w:shd w:val="clear" w:color="auto" w:fill="auto"/>
                <w:lang w:eastAsia="zh-CN" w:bidi="ar"/>
              </w:rPr>
              <w:t>；</w:t>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供应商提供的</w:t>
            </w:r>
            <w:r>
              <w:rPr>
                <w:rFonts w:hint="eastAsia" w:ascii="仿宋_GB2312" w:hAnsi="仿宋_GB2312" w:eastAsia="仿宋_GB2312" w:cs="仿宋_GB2312"/>
                <w:color w:val="auto"/>
                <w:spacing w:val="-11"/>
                <w:sz w:val="21"/>
                <w:szCs w:val="21"/>
                <w:highlight w:val="none"/>
                <w:u w:val="none"/>
                <w:vertAlign w:val="baseline"/>
                <w:lang w:eastAsia="zh-CN" w:bidi="ar"/>
              </w:rPr>
              <w:t>企业股权关系证明（如有）</w:t>
            </w:r>
          </w:p>
        </w:tc>
        <w:tc>
          <w:tcPr>
            <w:tcW w:w="1150" w:type="dxa"/>
            <w:noWrap w:val="0"/>
            <w:vAlign w:val="center"/>
          </w:tcPr>
          <w:p w14:paraId="6EF748F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232D4B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4201583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152B4E0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4817FE1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9E16C6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644" w:type="dxa"/>
            <w:noWrap w:val="0"/>
            <w:vAlign w:val="center"/>
          </w:tcPr>
          <w:p w14:paraId="1692427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eastAsia="zh-CN" w:bidi="ar"/>
              </w:rPr>
              <w:t>若为同一人，则该几家供应商不得</w:t>
            </w:r>
            <w:r>
              <w:rPr>
                <w:rFonts w:hint="eastAsia" w:ascii="仿宋_GB2312" w:hAnsi="仿宋_GB2312" w:eastAsia="仿宋_GB2312" w:cs="仿宋_GB2312"/>
                <w:color w:val="auto"/>
                <w:spacing w:val="-11"/>
                <w:kern w:val="2"/>
                <w:sz w:val="21"/>
                <w:szCs w:val="21"/>
                <w:highlight w:val="none"/>
                <w:u w:val="none"/>
                <w:lang w:bidi="ar"/>
              </w:rPr>
              <w:t>参加同一合同项下的政府采购活动</w:t>
            </w:r>
          </w:p>
        </w:tc>
      </w:tr>
      <w:tr w14:paraId="3FB97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4" w:hRule="atLeast"/>
          <w:jc w:val="center"/>
        </w:trPr>
        <w:tc>
          <w:tcPr>
            <w:tcW w:w="768" w:type="dxa"/>
            <w:noWrap w:val="0"/>
            <w:vAlign w:val="center"/>
          </w:tcPr>
          <w:p w14:paraId="52018E1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5</w:t>
            </w:r>
          </w:p>
        </w:tc>
        <w:tc>
          <w:tcPr>
            <w:tcW w:w="2146" w:type="dxa"/>
            <w:noWrap w:val="0"/>
            <w:vAlign w:val="center"/>
          </w:tcPr>
          <w:p w14:paraId="7A6BF929">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kern w:val="2"/>
                <w:sz w:val="21"/>
                <w:szCs w:val="21"/>
                <w:highlight w:val="none"/>
                <w:u w:val="none"/>
                <w:lang w:eastAsia="zh-CN" w:bidi="ar"/>
              </w:rPr>
              <w:t>不同供应商之间是否</w:t>
            </w:r>
            <w:r>
              <w:rPr>
                <w:rFonts w:hint="eastAsia" w:ascii="仿宋_GB2312" w:hAnsi="仿宋_GB2312" w:eastAsia="仿宋_GB2312" w:cs="仿宋_GB2312"/>
                <w:color w:val="auto"/>
                <w:spacing w:val="-11"/>
                <w:kern w:val="2"/>
                <w:sz w:val="21"/>
                <w:szCs w:val="21"/>
                <w:highlight w:val="none"/>
                <w:u w:val="none"/>
                <w:lang w:bidi="ar"/>
              </w:rPr>
              <w:t>存在直接控股、管理关系</w:t>
            </w:r>
          </w:p>
        </w:tc>
        <w:tc>
          <w:tcPr>
            <w:tcW w:w="3257" w:type="dxa"/>
            <w:noWrap w:val="0"/>
            <w:vAlign w:val="center"/>
          </w:tcPr>
          <w:p w14:paraId="5FA73D87">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bidi="ar"/>
              </w:rPr>
            </w:pPr>
            <w:r>
              <w:rPr>
                <w:rFonts w:hint="eastAsia" w:ascii="仿宋_GB2312" w:hAnsi="仿宋_GB2312" w:eastAsia="仿宋_GB2312" w:cs="仿宋_GB2312"/>
                <w:color w:val="auto"/>
                <w:spacing w:val="-11"/>
                <w:sz w:val="21"/>
                <w:szCs w:val="21"/>
                <w:highlight w:val="none"/>
                <w:u w:val="none"/>
                <w:vertAlign w:val="baseline"/>
                <w:lang w:eastAsia="zh-CN" w:bidi="ar"/>
              </w:rPr>
              <w:t>国家企业信用信息公示系统</w:t>
            </w:r>
          </w:p>
          <w:p w14:paraId="7A3E488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rPr>
            </w:pPr>
            <w:r>
              <w:rPr>
                <w:rFonts w:hint="eastAsia" w:ascii="仿宋_GB2312" w:hAnsi="仿宋_GB2312" w:eastAsia="仿宋_GB2312" w:cs="仿宋_GB2312"/>
                <w:color w:val="auto"/>
                <w:spacing w:val="-11"/>
                <w:sz w:val="21"/>
                <w:szCs w:val="21"/>
                <w:highlight w:val="none"/>
                <w:u w:val="none"/>
                <w:vertAlign w:val="baseline"/>
                <w:lang w:eastAsia="zh-CN" w:bidi="ar"/>
              </w:rPr>
              <w:t>（https://www.gsxt.gov.cn/index.html）、机关赋码和事业单位登记管理网（http://www.gjsy.gov.cn/sydwfrxxcx/）、</w:t>
            </w:r>
            <w:r>
              <w:rPr>
                <w:rFonts w:hint="eastAsia" w:ascii="仿宋_GB2312" w:hAnsi="仿宋_GB2312" w:eastAsia="仿宋_GB2312" w:cs="仿宋_GB2312"/>
                <w:color w:val="auto"/>
                <w:spacing w:val="-11"/>
                <w:sz w:val="21"/>
                <w:szCs w:val="21"/>
                <w:highlight w:val="none"/>
                <w:u w:val="none"/>
                <w:vertAlign w:val="baseline"/>
                <w:lang w:val="en-US" w:eastAsia="zh-CN" w:bidi="ar"/>
              </w:rPr>
              <w:t>全国社会组织信用信息公示平台（</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"https://xxgs.chinanpo.mca.gov.cn/gsxt/newList"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https://xxgs.chinanpo.mca.gov.cn/gsxt/newList</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color w:val="auto"/>
                <w:spacing w:val="-11"/>
                <w:sz w:val="21"/>
                <w:szCs w:val="21"/>
                <w:highlight w:val="none"/>
                <w:u w:val="none"/>
                <w:vertAlign w:val="baseline"/>
                <w:lang w:val="en-US" w:eastAsia="zh-CN" w:bidi="ar"/>
              </w:rPr>
              <w:t>）</w:t>
            </w:r>
            <w:r>
              <w:rPr>
                <w:rFonts w:hint="eastAsia" w:ascii="仿宋_GB2312" w:hAnsi="仿宋_GB2312" w:eastAsia="仿宋_GB2312" w:cs="仿宋_GB2312"/>
                <w:color w:val="auto"/>
                <w:spacing w:val="-11"/>
                <w:sz w:val="21"/>
                <w:szCs w:val="21"/>
                <w:highlight w:val="none"/>
                <w:u w:val="none"/>
                <w:vertAlign w:val="baseline"/>
                <w:lang w:eastAsia="zh-CN" w:bidi="ar"/>
              </w:rPr>
              <w:t>等网站；</w:t>
            </w:r>
            <w:r>
              <w:rPr>
                <w:rFonts w:hint="eastAsia" w:ascii="仿宋_GB2312" w:hAnsi="仿宋_GB2312" w:eastAsia="仿宋_GB2312" w:cs="仿宋_GB2312"/>
                <w:color w:val="auto"/>
                <w:spacing w:val="-11"/>
                <w:sz w:val="21"/>
                <w:szCs w:val="21"/>
                <w:highlight w:val="none"/>
                <w:u w:val="none"/>
                <w:shd w:val="clear" w:color="auto" w:fill="auto"/>
                <w:lang w:eastAsia="zh-CN" w:bidi="ar"/>
              </w:rPr>
              <w:t>供应商提供的</w:t>
            </w:r>
            <w:r>
              <w:rPr>
                <w:rFonts w:hint="eastAsia" w:ascii="仿宋_GB2312" w:hAnsi="仿宋_GB2312" w:eastAsia="仿宋_GB2312" w:cs="仿宋_GB2312"/>
                <w:color w:val="auto"/>
                <w:spacing w:val="-11"/>
                <w:sz w:val="21"/>
                <w:szCs w:val="21"/>
                <w:highlight w:val="none"/>
                <w:u w:val="none"/>
                <w:shd w:val="clear" w:color="auto" w:fill="auto"/>
                <w:lang w:bidi="ar"/>
              </w:rPr>
              <w:t>《供应商基本情况表》</w:t>
            </w:r>
            <w:r>
              <w:rPr>
                <w:rFonts w:hint="eastAsia" w:ascii="仿宋_GB2312" w:hAnsi="仿宋_GB2312" w:eastAsia="仿宋_GB2312" w:cs="仿宋_GB2312"/>
                <w:color w:val="auto"/>
                <w:spacing w:val="-11"/>
                <w:sz w:val="21"/>
                <w:szCs w:val="21"/>
                <w:highlight w:val="none"/>
                <w:u w:val="none"/>
                <w:shd w:val="clear" w:color="auto" w:fill="auto"/>
                <w:lang w:eastAsia="zh-CN" w:bidi="ar"/>
              </w:rPr>
              <w:t>；</w:t>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供应商提供的</w:t>
            </w:r>
            <w:r>
              <w:rPr>
                <w:rFonts w:hint="eastAsia" w:ascii="仿宋_GB2312" w:hAnsi="仿宋_GB2312" w:eastAsia="仿宋_GB2312" w:cs="仿宋_GB2312"/>
                <w:color w:val="auto"/>
                <w:spacing w:val="-11"/>
                <w:sz w:val="21"/>
                <w:szCs w:val="21"/>
                <w:highlight w:val="none"/>
                <w:u w:val="none"/>
                <w:vertAlign w:val="baseline"/>
                <w:lang w:eastAsia="zh-CN" w:bidi="ar"/>
              </w:rPr>
              <w:t>企业股权关系证明（如有）</w:t>
            </w:r>
          </w:p>
        </w:tc>
        <w:tc>
          <w:tcPr>
            <w:tcW w:w="1150" w:type="dxa"/>
            <w:noWrap w:val="0"/>
            <w:vAlign w:val="center"/>
          </w:tcPr>
          <w:p w14:paraId="7170A9B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4057252E">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5AA5CBE3">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0E4C5E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032A482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6D5E3DA9">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644" w:type="dxa"/>
            <w:noWrap w:val="0"/>
            <w:vAlign w:val="center"/>
          </w:tcPr>
          <w:p w14:paraId="5819F7E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kern w:val="2"/>
                <w:sz w:val="21"/>
                <w:szCs w:val="21"/>
                <w:highlight w:val="none"/>
                <w:u w:val="none"/>
                <w:lang w:eastAsia="zh-CN" w:bidi="ar"/>
              </w:rPr>
              <w:t>若存在直接控股、管理关系，则该几家供应商不得</w:t>
            </w:r>
            <w:r>
              <w:rPr>
                <w:rFonts w:hint="eastAsia" w:ascii="仿宋_GB2312" w:hAnsi="仿宋_GB2312" w:eastAsia="仿宋_GB2312" w:cs="仿宋_GB2312"/>
                <w:color w:val="auto"/>
                <w:spacing w:val="-11"/>
                <w:kern w:val="2"/>
                <w:sz w:val="21"/>
                <w:szCs w:val="21"/>
                <w:highlight w:val="none"/>
                <w:u w:val="none"/>
                <w:lang w:bidi="ar"/>
              </w:rPr>
              <w:t>参加同一合同项下的政府采购活动</w:t>
            </w:r>
          </w:p>
        </w:tc>
      </w:tr>
      <w:tr w14:paraId="3636B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27A7D7C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6</w:t>
            </w:r>
          </w:p>
        </w:tc>
        <w:tc>
          <w:tcPr>
            <w:tcW w:w="2146" w:type="dxa"/>
            <w:noWrap w:val="0"/>
            <w:vAlign w:val="center"/>
          </w:tcPr>
          <w:p w14:paraId="5FC973B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kern w:val="2"/>
                <w:sz w:val="21"/>
                <w:szCs w:val="21"/>
                <w:highlight w:val="none"/>
                <w:u w:val="none"/>
                <w:lang w:bidi="ar"/>
              </w:rPr>
              <w:t>为采购项目提供整体设计、规范编制或者项目管理、监理、检测等服务的供应商，</w:t>
            </w:r>
            <w:r>
              <w:rPr>
                <w:rFonts w:hint="eastAsia" w:ascii="仿宋_GB2312" w:hAnsi="仿宋_GB2312" w:eastAsia="仿宋_GB2312" w:cs="仿宋_GB2312"/>
                <w:color w:val="auto"/>
                <w:spacing w:val="-11"/>
                <w:kern w:val="2"/>
                <w:sz w:val="21"/>
                <w:szCs w:val="21"/>
                <w:highlight w:val="none"/>
                <w:u w:val="none"/>
                <w:lang w:eastAsia="zh-CN" w:bidi="ar"/>
              </w:rPr>
              <w:t>是否</w:t>
            </w:r>
            <w:r>
              <w:rPr>
                <w:rFonts w:hint="eastAsia" w:ascii="仿宋_GB2312" w:hAnsi="仿宋_GB2312" w:eastAsia="仿宋_GB2312" w:cs="仿宋_GB2312"/>
                <w:color w:val="auto"/>
                <w:spacing w:val="-11"/>
                <w:kern w:val="2"/>
                <w:sz w:val="21"/>
                <w:szCs w:val="21"/>
                <w:highlight w:val="none"/>
                <w:u w:val="none"/>
                <w:lang w:bidi="ar"/>
              </w:rPr>
              <w:t>参加</w:t>
            </w:r>
            <w:r>
              <w:rPr>
                <w:rFonts w:hint="eastAsia" w:ascii="仿宋_GB2312" w:hAnsi="仿宋_GB2312" w:eastAsia="仿宋_GB2312" w:cs="仿宋_GB2312"/>
                <w:color w:val="auto"/>
                <w:spacing w:val="-11"/>
                <w:kern w:val="2"/>
                <w:sz w:val="21"/>
                <w:szCs w:val="21"/>
                <w:highlight w:val="none"/>
                <w:u w:val="none"/>
                <w:lang w:eastAsia="zh-CN" w:bidi="ar"/>
              </w:rPr>
              <w:t>了</w:t>
            </w:r>
            <w:r>
              <w:rPr>
                <w:rFonts w:hint="eastAsia" w:ascii="仿宋_GB2312" w:hAnsi="仿宋_GB2312" w:eastAsia="仿宋_GB2312" w:cs="仿宋_GB2312"/>
                <w:color w:val="auto"/>
                <w:spacing w:val="-11"/>
                <w:kern w:val="2"/>
                <w:sz w:val="21"/>
                <w:szCs w:val="21"/>
                <w:highlight w:val="none"/>
                <w:u w:val="none"/>
                <w:lang w:bidi="ar"/>
              </w:rPr>
              <w:t>该采购项目的其他采购活动</w:t>
            </w:r>
          </w:p>
        </w:tc>
        <w:tc>
          <w:tcPr>
            <w:tcW w:w="3257" w:type="dxa"/>
            <w:noWrap w:val="0"/>
            <w:vAlign w:val="center"/>
          </w:tcPr>
          <w:p w14:paraId="676FF01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vertAlign w:val="baseline"/>
                <w:lang w:eastAsia="zh-CN" w:bidi="ar"/>
              </w:rPr>
              <w:t>采购人内部排查</w:t>
            </w:r>
          </w:p>
        </w:tc>
        <w:tc>
          <w:tcPr>
            <w:tcW w:w="1150" w:type="dxa"/>
            <w:noWrap w:val="0"/>
            <w:vAlign w:val="center"/>
          </w:tcPr>
          <w:p w14:paraId="6F23824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lang w:eastAsia="zh-CN"/>
              </w:rPr>
              <w:t>□是</w:t>
            </w:r>
          </w:p>
          <w:p w14:paraId="4D74A80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否</w:t>
            </w:r>
          </w:p>
        </w:tc>
        <w:tc>
          <w:tcPr>
            <w:tcW w:w="1150" w:type="dxa"/>
            <w:noWrap w:val="0"/>
            <w:vAlign w:val="center"/>
          </w:tcPr>
          <w:p w14:paraId="043129EF">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lang w:eastAsia="zh-CN"/>
              </w:rPr>
              <w:t>□是</w:t>
            </w:r>
          </w:p>
          <w:p w14:paraId="031FD49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否</w:t>
            </w:r>
          </w:p>
        </w:tc>
        <w:tc>
          <w:tcPr>
            <w:tcW w:w="1150" w:type="dxa"/>
            <w:noWrap w:val="0"/>
            <w:vAlign w:val="center"/>
          </w:tcPr>
          <w:p w14:paraId="422557FF">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lang w:eastAsia="zh-CN"/>
              </w:rPr>
              <w:t>□是</w:t>
            </w:r>
          </w:p>
          <w:p w14:paraId="6A4BBA2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否</w:t>
            </w:r>
          </w:p>
        </w:tc>
        <w:tc>
          <w:tcPr>
            <w:tcW w:w="1644" w:type="dxa"/>
            <w:noWrap w:val="0"/>
            <w:vAlign w:val="center"/>
          </w:tcPr>
          <w:p w14:paraId="17249EC9">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采用单一来源方式的除外。若选择“是”，则属于审查不通过。</w:t>
            </w:r>
          </w:p>
        </w:tc>
      </w:tr>
      <w:tr w14:paraId="578B5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1" w:type="dxa"/>
            <w:gridSpan w:val="3"/>
            <w:noWrap w:val="0"/>
            <w:vAlign w:val="center"/>
          </w:tcPr>
          <w:p w14:paraId="3625CB7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bidi="ar"/>
              </w:rPr>
            </w:pPr>
            <w:r>
              <w:rPr>
                <w:rFonts w:hint="eastAsia" w:ascii="仿宋_GB2312" w:hAnsi="仿宋_GB2312" w:eastAsia="仿宋_GB2312" w:cs="仿宋_GB2312"/>
                <w:color w:val="auto"/>
                <w:spacing w:val="-11"/>
                <w:sz w:val="21"/>
                <w:szCs w:val="21"/>
                <w:highlight w:val="none"/>
                <w:u w:val="none"/>
                <w:vertAlign w:val="baseline"/>
                <w:lang w:eastAsia="zh-CN" w:bidi="ar"/>
              </w:rPr>
              <w:t>审查结论</w:t>
            </w:r>
          </w:p>
        </w:tc>
        <w:tc>
          <w:tcPr>
            <w:tcW w:w="1150" w:type="dxa"/>
            <w:noWrap w:val="0"/>
            <w:vAlign w:val="center"/>
          </w:tcPr>
          <w:p w14:paraId="3CFEB5A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3737A61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6D013D0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500EBCF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0AA0131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3FC3B507">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644" w:type="dxa"/>
            <w:noWrap w:val="0"/>
            <w:vAlign w:val="center"/>
          </w:tcPr>
          <w:p w14:paraId="3EAFADB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w:t>
            </w:r>
          </w:p>
        </w:tc>
      </w:tr>
      <w:tr w14:paraId="1C745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1265" w:type="dxa"/>
            <w:gridSpan w:val="7"/>
            <w:noWrap w:val="0"/>
            <w:vAlign w:val="center"/>
          </w:tcPr>
          <w:p w14:paraId="6CAA1B8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firstLine="564" w:firstLineChars="30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审查人员签名：                                          审查日期：</w:t>
            </w:r>
          </w:p>
        </w:tc>
      </w:tr>
    </w:tbl>
    <w:p w14:paraId="1C6C0329">
      <w:pPr>
        <w:tabs>
          <w:tab w:val="left" w:pos="420"/>
          <w:tab w:val="left" w:pos="630"/>
        </w:tabs>
        <w:autoSpaceDE w:val="0"/>
        <w:autoSpaceDN w:val="0"/>
        <w:adjustRightInd w:val="0"/>
        <w:spacing w:line="360" w:lineRule="auto"/>
        <w:rPr>
          <w:rFonts w:hint="eastAsia" w:ascii="宋体" w:cs="宋体"/>
          <w:szCs w:val="21"/>
          <w:lang w:val="en-US" w:eastAsia="zh-CN"/>
        </w:rPr>
      </w:pPr>
    </w:p>
    <w:p w14:paraId="46EE8D27">
      <w:pPr>
        <w:pStyle w:val="30"/>
        <w:widowControl/>
        <w:numPr>
          <w:ilvl w:val="0"/>
          <w:numId w:val="11"/>
        </w:numPr>
        <w:spacing w:line="360" w:lineRule="auto"/>
        <w:ind w:left="0" w:leftChars="0" w:firstLine="0" w:firstLineChars="0"/>
        <w:jc w:val="left"/>
        <w:outlineLvl w:val="1"/>
        <w:rPr>
          <w:rFonts w:hAnsi="宋体"/>
          <w:b/>
          <w:bCs/>
        </w:rPr>
      </w:pPr>
      <w:r>
        <w:rPr>
          <w:rFonts w:hint="eastAsia" w:hAnsi="宋体"/>
          <w:b/>
          <w:bCs/>
          <w:lang w:val="en-US" w:eastAsia="zh-CN"/>
        </w:rPr>
        <w:t xml:space="preserve"> </w:t>
      </w:r>
      <w:r>
        <w:rPr>
          <w:rFonts w:hint="eastAsia" w:hAnsi="宋体"/>
          <w:b/>
          <w:bCs/>
        </w:rPr>
        <w:t>开标</w:t>
      </w:r>
    </w:p>
    <w:p w14:paraId="20C3ED56">
      <w:pPr>
        <w:pStyle w:val="30"/>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1.1. 应在规定的日期、时间和地点组织公开开标。开标时邀请所有投标人代表参加。参加开标的代表应签名报到以证明其出席。</w:t>
      </w:r>
    </w:p>
    <w:p w14:paraId="1F998CB9">
      <w:pPr>
        <w:pStyle w:val="30"/>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1.2. 开标时，由采购人党委办公室工作人员检查投标文件的密封情况；经确认无误后，由采购人工作人员当众拆封，宣布投标人名称、投标价格和谈判文件规定的需要宣布的其他内容。</w:t>
      </w:r>
    </w:p>
    <w:p w14:paraId="26ACA9AD">
      <w:pPr>
        <w:pStyle w:val="30"/>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1.3. 投标人代表对开标过程和开标记录有疑义，以及认为采购人相关工作人员有需要回避的情形的，应当场提出询问或者回避申请。采购人对投标人代表提出的询问或者回避申请应当及时处理。</w:t>
      </w:r>
    </w:p>
    <w:p w14:paraId="533E4C4A">
      <w:pPr>
        <w:pStyle w:val="30"/>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1.4. 投标人未参加开标的，视同认可开标结果。</w:t>
      </w:r>
    </w:p>
    <w:p w14:paraId="15660E1E">
      <w:pPr>
        <w:pStyle w:val="30"/>
        <w:widowControl/>
        <w:numPr>
          <w:ilvl w:val="0"/>
          <w:numId w:val="0"/>
        </w:numPr>
        <w:spacing w:line="360" w:lineRule="auto"/>
        <w:ind w:leftChars="0"/>
        <w:jc w:val="left"/>
        <w:outlineLvl w:val="1"/>
        <w:rPr>
          <w:rFonts w:hint="eastAsia" w:ascii="宋体" w:hAnsi="宋体" w:cs="宋体"/>
          <w:szCs w:val="21"/>
        </w:rPr>
      </w:pPr>
      <w:r>
        <w:rPr>
          <w:rFonts w:hint="eastAsia" w:hAnsi="宋体"/>
          <w:b/>
          <w:lang w:val="en-US" w:eastAsia="zh-CN"/>
        </w:rPr>
        <w:t>2.  谈判小组的组成</w:t>
      </w:r>
    </w:p>
    <w:p w14:paraId="37D6B069">
      <w:pPr>
        <w:pStyle w:val="30"/>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2.1. 评标委员会依法组建，由3人或以上单数组成。</w:t>
      </w:r>
    </w:p>
    <w:p w14:paraId="67C619BD">
      <w:pPr>
        <w:pStyle w:val="30"/>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2.2. 评标委员会成员名单在评标结果公告前应当保密。评审专家有下列情形之一的，受到邀请应主动提出回避，采购当事人也可以要求该评审专家回避：</w:t>
      </w:r>
    </w:p>
    <w:p w14:paraId="02FB6B10">
      <w:pPr>
        <w:pStyle w:val="30"/>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（1） 参加采购活动前3年内与供应商存在劳动关系；</w:t>
      </w:r>
    </w:p>
    <w:p w14:paraId="542BB16E">
      <w:pPr>
        <w:pStyle w:val="30"/>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 参加采购活动前3年内担任供应商的董事、监事；</w:t>
      </w:r>
    </w:p>
    <w:p w14:paraId="23CAEED7">
      <w:pPr>
        <w:pStyle w:val="30"/>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（3） 参加采购活动前3年内是供应商的控股股东或者实际控制人；</w:t>
      </w:r>
    </w:p>
    <w:p w14:paraId="150E7F1E">
      <w:pPr>
        <w:pStyle w:val="30"/>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（4） 与供应商的法定代表人或者负责人有夫妻、直系血亲、三代以内旁系血亲或者近姻亲关系；</w:t>
      </w:r>
    </w:p>
    <w:p w14:paraId="561C8556">
      <w:pPr>
        <w:pStyle w:val="30"/>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（5） 与供应商有其他可能影响采购活动公平、公正进行的关系。</w:t>
      </w:r>
    </w:p>
    <w:p w14:paraId="5577CEF1">
      <w:pPr>
        <w:pStyle w:val="30"/>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2.3. 评标委员会和有关工作人员不得透露对投标文件的评审和比较以及与评标有关的其他情况。</w:t>
      </w:r>
    </w:p>
    <w:p w14:paraId="7B9BC99D">
      <w:pPr>
        <w:pStyle w:val="30"/>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2.4. 评标委员会负责具体评标事务，并独立履行下列职责：</w:t>
      </w:r>
    </w:p>
    <w:p w14:paraId="74B7EB57">
      <w:pPr>
        <w:pStyle w:val="30"/>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（1） 审查、评价投标文件是否符合谈判文件的商务、技术等实质性要求；</w:t>
      </w:r>
    </w:p>
    <w:p w14:paraId="78A1EB1E">
      <w:pPr>
        <w:pStyle w:val="30"/>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 要求投标人对投标文件有关事项作出澄清或者说明；</w:t>
      </w:r>
    </w:p>
    <w:p w14:paraId="1EDABF01">
      <w:pPr>
        <w:pStyle w:val="30"/>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（3） 对投标文件进行比较和评价；</w:t>
      </w:r>
    </w:p>
    <w:p w14:paraId="60C16CB5">
      <w:pPr>
        <w:pStyle w:val="30"/>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（4） 确定中标候选人名单；</w:t>
      </w:r>
    </w:p>
    <w:p w14:paraId="1FD41E0A">
      <w:pPr>
        <w:pStyle w:val="30"/>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2.5. 对于投标文件中含义不明确、同类问题表述不一致或者有明显文字和计算错误的内容，评标委员会应当以书面形式要求投标人作出必要的澄清、说明或者补正。</w:t>
      </w:r>
    </w:p>
    <w:p w14:paraId="501E6DAA">
      <w:pPr>
        <w:pStyle w:val="30"/>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2.6. 投标人的澄清、说明或者补正应当采用书面形式，并加盖公章，或者由法定代表人或其授权的代表签字。投标人的澄清、说明或者补正不得超出投标文件的范围或者改变投标文件的实质性内容。投标人的澄清文件是其投标文件的组成部分。</w:t>
      </w:r>
    </w:p>
    <w:p w14:paraId="420AE602">
      <w:pPr>
        <w:pStyle w:val="30"/>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2.7. 评标委员会决定投标的响应性只根据投标文件中提供的材料内容，而不依据外部的材料证据。</w:t>
      </w:r>
    </w:p>
    <w:p w14:paraId="18D7DA7F">
      <w:pPr>
        <w:pStyle w:val="30"/>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2.8.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若评标委员会成员对是否须由投标人作出报价合理性说明，以及书面说明是否采纳等判断不一致的，按照“少数服从多数”的原则确定评标委员会的意见。</w:t>
      </w:r>
    </w:p>
    <w:p w14:paraId="76F2A36F">
      <w:pPr>
        <w:pStyle w:val="30"/>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2.9. 评标委员会成员对需要共同认定的事项存在争议的，应当按照少数服从多数的原则作出结论。持不同意见的评标委员会成员应当在评标报告上签署不同意见及理由，否则视为同意评标报告。</w:t>
      </w:r>
    </w:p>
    <w:p w14:paraId="2D7705E9">
      <w:pPr>
        <w:pStyle w:val="30"/>
        <w:widowControl/>
        <w:numPr>
          <w:ilvl w:val="0"/>
          <w:numId w:val="0"/>
        </w:numPr>
        <w:spacing w:line="360" w:lineRule="auto"/>
        <w:ind w:leftChars="0"/>
        <w:jc w:val="left"/>
        <w:outlineLvl w:val="1"/>
        <w:rPr>
          <w:rFonts w:hAnsi="宋体"/>
          <w:b/>
        </w:rPr>
      </w:pPr>
      <w:r>
        <w:rPr>
          <w:rFonts w:hint="eastAsia" w:hAnsi="宋体"/>
          <w:b/>
          <w:lang w:val="en-US" w:eastAsia="zh-CN"/>
        </w:rPr>
        <w:t>3.  投标文件初审</w:t>
      </w:r>
    </w:p>
    <w:p w14:paraId="4FF5934B">
      <w:pPr>
        <w:pStyle w:val="30"/>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3.1. </w:t>
      </w:r>
      <w:r>
        <w:rPr>
          <w:rFonts w:hint="eastAsia" w:ascii="宋体" w:hAnsi="宋体" w:cs="宋体"/>
          <w:szCs w:val="21"/>
        </w:rPr>
        <w:t>投标文件初审包括资格性检查和符合性检查。资格性检查：依据法律法规和</w:t>
      </w:r>
      <w:r>
        <w:rPr>
          <w:rFonts w:hint="eastAsia" w:ascii="宋体" w:hAnsi="宋体" w:cs="宋体"/>
          <w:szCs w:val="21"/>
          <w:lang w:eastAsia="zh-CN"/>
        </w:rPr>
        <w:t>谈判文件</w:t>
      </w:r>
      <w:r>
        <w:rPr>
          <w:rFonts w:hint="eastAsia" w:ascii="宋体" w:hAnsi="宋体" w:cs="宋体"/>
          <w:szCs w:val="21"/>
        </w:rPr>
        <w:t>的规定，对投标文件中的资格证明等进行审查，以确定投标供应商是否具备投标资格。符合性检查：依据</w:t>
      </w:r>
      <w:r>
        <w:rPr>
          <w:rFonts w:hint="eastAsia" w:ascii="宋体" w:hAnsi="宋体" w:cs="宋体"/>
          <w:szCs w:val="21"/>
          <w:lang w:eastAsia="zh-CN"/>
        </w:rPr>
        <w:t>谈判文件</w:t>
      </w:r>
      <w:r>
        <w:rPr>
          <w:rFonts w:hint="eastAsia" w:ascii="宋体" w:hAnsi="宋体" w:cs="宋体"/>
          <w:szCs w:val="21"/>
        </w:rPr>
        <w:t>的规定，从投标文件的有效性、完整性和对</w:t>
      </w:r>
      <w:r>
        <w:rPr>
          <w:rFonts w:hint="eastAsia" w:ascii="宋体" w:hAnsi="宋体" w:cs="宋体"/>
          <w:szCs w:val="21"/>
          <w:lang w:eastAsia="zh-CN"/>
        </w:rPr>
        <w:t>谈判文件</w:t>
      </w:r>
      <w:r>
        <w:rPr>
          <w:rFonts w:hint="eastAsia" w:ascii="宋体" w:hAnsi="宋体" w:cs="宋体"/>
          <w:szCs w:val="21"/>
        </w:rPr>
        <w:t>的响应程度进行审查，以确定是否对</w:t>
      </w:r>
      <w:r>
        <w:rPr>
          <w:rFonts w:hint="eastAsia" w:ascii="宋体" w:hAnsi="宋体" w:cs="宋体"/>
          <w:szCs w:val="21"/>
          <w:lang w:eastAsia="zh-CN"/>
        </w:rPr>
        <w:t>谈判文件</w:t>
      </w:r>
      <w:r>
        <w:rPr>
          <w:rFonts w:hint="eastAsia" w:ascii="宋体" w:hAnsi="宋体" w:cs="宋体"/>
          <w:szCs w:val="21"/>
        </w:rPr>
        <w:t>的实质性要求作出响应。</w:t>
      </w:r>
    </w:p>
    <w:p w14:paraId="5F6A3FC9">
      <w:pPr>
        <w:pStyle w:val="30"/>
        <w:widowControl/>
        <w:numPr>
          <w:ilvl w:val="0"/>
          <w:numId w:val="0"/>
        </w:numPr>
        <w:spacing w:line="360" w:lineRule="auto"/>
        <w:ind w:leftChars="0"/>
        <w:jc w:val="left"/>
        <w:rPr>
          <w:rFonts w:hint="eastAsia" w:ascii="宋体" w:hAnsi="宋体" w:cs="宋体"/>
          <w:szCs w:val="21"/>
        </w:rPr>
      </w:pPr>
      <w:r>
        <w:rPr>
          <w:rFonts w:hint="eastAsia" w:ascii="宋体" w:hAnsi="宋体" w:cs="宋体"/>
          <w:szCs w:val="21"/>
          <w:lang w:val="en-US" w:eastAsia="zh-CN"/>
        </w:rPr>
        <w:t xml:space="preserve">3.2. </w:t>
      </w:r>
      <w:r>
        <w:rPr>
          <w:rFonts w:hint="eastAsia" w:ascii="宋体" w:hAnsi="宋体" w:cs="宋体"/>
          <w:szCs w:val="21"/>
        </w:rPr>
        <w:t>投标文件初审中关于供应商家数的计算:</w:t>
      </w:r>
    </w:p>
    <w:p w14:paraId="1A11FC07">
      <w:pPr>
        <w:pStyle w:val="30"/>
        <w:widowControl/>
        <w:numPr>
          <w:ilvl w:val="0"/>
          <w:numId w:val="0"/>
        </w:numPr>
        <w:spacing w:line="360" w:lineRule="auto"/>
        <w:ind w:leftChars="0"/>
        <w:jc w:val="left"/>
        <w:rPr>
          <w:rFonts w:hint="eastAsia" w:ascii="宋体" w:hAnsi="宋体" w:cs="宋体"/>
          <w:szCs w:val="21"/>
        </w:rPr>
      </w:pPr>
      <w:r>
        <w:rPr>
          <w:rFonts w:hint="eastAsia" w:ascii="宋体" w:hAnsi="宋体" w:cs="宋体"/>
          <w:szCs w:val="21"/>
          <w:lang w:val="en-US" w:eastAsia="zh-CN"/>
        </w:rPr>
        <w:t xml:space="preserve">（1） </w:t>
      </w:r>
      <w:r>
        <w:rPr>
          <w:rFonts w:hint="eastAsia" w:ascii="宋体" w:hAnsi="宋体" w:cs="宋体"/>
          <w:szCs w:val="21"/>
        </w:rPr>
        <w:t>采用最低价法的采购项目，提供相同品牌产品的不同投标人参加同一合同项下投标的，以其中通过资格审查、符合性审查且报价最低的参加评标；报价相同的，由采购人或者采购人委托</w:t>
      </w:r>
      <w:r>
        <w:rPr>
          <w:rFonts w:hint="eastAsia" w:ascii="宋体" w:hAnsi="宋体" w:cs="宋体"/>
          <w:szCs w:val="21"/>
          <w:lang w:eastAsia="zh-CN"/>
        </w:rPr>
        <w:t>谈判小组</w:t>
      </w:r>
      <w:r>
        <w:rPr>
          <w:rFonts w:hint="eastAsia" w:ascii="宋体" w:hAnsi="宋体" w:cs="宋体"/>
          <w:szCs w:val="21"/>
        </w:rPr>
        <w:t>按照</w:t>
      </w:r>
      <w:r>
        <w:rPr>
          <w:rFonts w:hint="eastAsia" w:ascii="宋体" w:hAnsi="宋体" w:cs="宋体"/>
          <w:szCs w:val="21"/>
          <w:lang w:eastAsia="zh-CN"/>
        </w:rPr>
        <w:t>谈判文件</w:t>
      </w:r>
      <w:r>
        <w:rPr>
          <w:rFonts w:hint="eastAsia" w:ascii="宋体" w:hAnsi="宋体" w:cs="宋体"/>
          <w:szCs w:val="21"/>
        </w:rPr>
        <w:t>规定的方式确定一个参加评审的投标人，</w:t>
      </w:r>
      <w:r>
        <w:rPr>
          <w:rFonts w:hint="eastAsia" w:ascii="宋体" w:hAnsi="宋体" w:cs="宋体"/>
          <w:szCs w:val="21"/>
          <w:lang w:eastAsia="zh-CN"/>
        </w:rPr>
        <w:t>谈判文件</w:t>
      </w:r>
      <w:r>
        <w:rPr>
          <w:rFonts w:hint="eastAsia" w:ascii="宋体" w:hAnsi="宋体" w:cs="宋体"/>
          <w:szCs w:val="21"/>
        </w:rPr>
        <w:t>未规定的采取随机抽取方式确定，其他投标无效。</w:t>
      </w:r>
    </w:p>
    <w:p w14:paraId="43B1EC83">
      <w:pPr>
        <w:pStyle w:val="30"/>
        <w:widowControl/>
        <w:numPr>
          <w:ilvl w:val="0"/>
          <w:numId w:val="0"/>
        </w:numPr>
        <w:spacing w:line="360" w:lineRule="auto"/>
        <w:ind w:leftChars="0"/>
        <w:jc w:val="left"/>
        <w:outlineLvl w:val="1"/>
        <w:rPr>
          <w:rFonts w:hint="eastAsia" w:hAnsi="宋体"/>
          <w:b/>
          <w:lang w:val="en-US" w:eastAsia="zh-CN"/>
        </w:rPr>
      </w:pPr>
      <w:r>
        <w:rPr>
          <w:rFonts w:hint="eastAsia" w:hAnsi="宋体"/>
          <w:b/>
          <w:lang w:val="en-US" w:eastAsia="zh-CN"/>
        </w:rPr>
        <w:t xml:space="preserve">4.  </w:t>
      </w:r>
      <w:r>
        <w:rPr>
          <w:rFonts w:hint="eastAsia" w:hAnsi="宋体"/>
          <w:b/>
        </w:rPr>
        <w:t>评标</w:t>
      </w:r>
      <w:r>
        <w:rPr>
          <w:rFonts w:hint="eastAsia" w:hAnsi="宋体"/>
          <w:b/>
          <w:lang w:val="en-US" w:eastAsia="zh-CN"/>
        </w:rPr>
        <w:t>方法</w:t>
      </w:r>
    </w:p>
    <w:p w14:paraId="4EFCC9BF">
      <w:pPr>
        <w:pStyle w:val="30"/>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4.1. 评标方法分为最低价法。</w:t>
      </w:r>
    </w:p>
    <w:p w14:paraId="41233814">
      <w:pPr>
        <w:pStyle w:val="27"/>
        <w:widowControl/>
        <w:numPr>
          <w:ilvl w:val="0"/>
          <w:numId w:val="0"/>
        </w:numPr>
        <w:spacing w:line="360" w:lineRule="auto"/>
        <w:ind w:leftChars="0"/>
        <w:jc w:val="left"/>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 xml:space="preserve">4.1.1 </w:t>
      </w:r>
      <w:r>
        <w:rPr>
          <w:rFonts w:hint="eastAsia" w:ascii="宋体" w:hAnsi="宋体" w:cs="宋体" w:eastAsiaTheme="minorEastAsia"/>
          <w:kern w:val="2"/>
          <w:sz w:val="21"/>
          <w:szCs w:val="21"/>
          <w:lang w:val="en-US" w:eastAsia="zh-CN" w:bidi="ar-SA"/>
        </w:rPr>
        <w:t>最低价法，是指完全满足</w:t>
      </w:r>
      <w:r>
        <w:rPr>
          <w:rFonts w:hint="eastAsia" w:ascii="宋体" w:hAnsi="宋体" w:cs="宋体"/>
          <w:kern w:val="2"/>
          <w:sz w:val="21"/>
          <w:szCs w:val="21"/>
          <w:lang w:val="en-US" w:eastAsia="zh-CN" w:bidi="ar-SA"/>
        </w:rPr>
        <w:t>谈判文件</w:t>
      </w:r>
      <w:r>
        <w:rPr>
          <w:rFonts w:hint="eastAsia" w:ascii="宋体" w:hAnsi="宋体" w:cs="宋体" w:eastAsiaTheme="minorEastAsia"/>
          <w:kern w:val="2"/>
          <w:sz w:val="21"/>
          <w:szCs w:val="21"/>
          <w:lang w:val="en-US" w:eastAsia="zh-CN" w:bidi="ar-SA"/>
        </w:rPr>
        <w:t>实质性要求，按照报价由低到高的顺序，依据</w:t>
      </w:r>
      <w:r>
        <w:rPr>
          <w:rFonts w:hint="eastAsia" w:ascii="宋体" w:hAnsi="宋体" w:cs="宋体"/>
          <w:kern w:val="2"/>
          <w:sz w:val="21"/>
          <w:szCs w:val="21"/>
          <w:lang w:val="en-US" w:eastAsia="zh-CN" w:bidi="ar-SA"/>
        </w:rPr>
        <w:t>谈判文件</w:t>
      </w:r>
      <w:r>
        <w:rPr>
          <w:rFonts w:hint="eastAsia" w:ascii="宋体" w:hAnsi="宋体" w:cs="宋体" w:eastAsiaTheme="minorEastAsia"/>
          <w:kern w:val="2"/>
          <w:sz w:val="21"/>
          <w:szCs w:val="21"/>
          <w:lang w:val="en-US" w:eastAsia="zh-CN" w:bidi="ar-SA"/>
        </w:rPr>
        <w:t>中规定的数量或者比例推荐候选中标供应商。</w:t>
      </w:r>
    </w:p>
    <w:p w14:paraId="3B996B8D">
      <w:pPr>
        <w:pStyle w:val="27"/>
        <w:widowControl/>
        <w:numPr>
          <w:ilvl w:val="0"/>
          <w:numId w:val="0"/>
        </w:numPr>
        <w:spacing w:line="360" w:lineRule="auto"/>
        <w:ind w:leftChars="0"/>
        <w:jc w:val="left"/>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4.2. 重新评审的情形：</w:t>
      </w:r>
    </w:p>
    <w:p w14:paraId="6EFC7327">
      <w:pPr>
        <w:pStyle w:val="27"/>
        <w:widowControl/>
        <w:numPr>
          <w:ilvl w:val="0"/>
          <w:numId w:val="0"/>
        </w:numPr>
        <w:spacing w:line="360" w:lineRule="auto"/>
        <w:ind w:leftChars="0"/>
        <w:jc w:val="left"/>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（1） 分值汇总计算错误的；</w:t>
      </w:r>
    </w:p>
    <w:p w14:paraId="3BAE3874">
      <w:pPr>
        <w:pStyle w:val="27"/>
        <w:widowControl/>
        <w:numPr>
          <w:ilvl w:val="0"/>
          <w:numId w:val="0"/>
        </w:numPr>
        <w:spacing w:line="360" w:lineRule="auto"/>
        <w:ind w:leftChars="0"/>
        <w:jc w:val="left"/>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（2） 分项评分超出评分标准范围的；</w:t>
      </w:r>
    </w:p>
    <w:p w14:paraId="54DF4B23">
      <w:pPr>
        <w:pStyle w:val="27"/>
        <w:widowControl/>
        <w:numPr>
          <w:ilvl w:val="0"/>
          <w:numId w:val="0"/>
        </w:numPr>
        <w:spacing w:line="360" w:lineRule="auto"/>
        <w:ind w:leftChars="0"/>
        <w:jc w:val="left"/>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（3） 评标委员会成员对客观评审因素评分不一致的；</w:t>
      </w:r>
    </w:p>
    <w:p w14:paraId="169CBD49">
      <w:pPr>
        <w:pStyle w:val="27"/>
        <w:widowControl/>
        <w:numPr>
          <w:ilvl w:val="0"/>
          <w:numId w:val="0"/>
        </w:numPr>
        <w:spacing w:line="360" w:lineRule="auto"/>
        <w:ind w:leftChars="0"/>
        <w:jc w:val="left"/>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 经评标委员会认定评分畸高、畸低的。</w:t>
      </w:r>
    </w:p>
    <w:p w14:paraId="71112480">
      <w:pPr>
        <w:pStyle w:val="27"/>
        <w:widowControl/>
        <w:numPr>
          <w:ilvl w:val="0"/>
          <w:numId w:val="0"/>
        </w:numPr>
        <w:spacing w:line="360" w:lineRule="auto"/>
        <w:ind w:leftChars="0"/>
        <w:jc w:val="left"/>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4.3. 评标报告签署前，经复核发现存在以上情形之一的，评标委员会应当当场修改评审结果，并进行书面记载；评标报告签署后，采购人发现存在以上情形之一的，应当组织原评标委员会进行重新评审，重新评审改变评审结果的，书面报告采购人的采购主管部门。</w:t>
      </w:r>
    </w:p>
    <w:p w14:paraId="5CDF999E">
      <w:pPr>
        <w:pStyle w:val="27"/>
        <w:widowControl/>
        <w:numPr>
          <w:ilvl w:val="0"/>
          <w:numId w:val="0"/>
        </w:numPr>
        <w:spacing w:line="360" w:lineRule="auto"/>
        <w:ind w:leftChars="0"/>
        <w:jc w:val="left"/>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4.4. 投标人对本条第一款情形提出质疑的，采购人可以组织原评标委员会进行重新评审，重新评审改变评审结果的，应当书面报告采购人的采购主管部门。</w:t>
      </w:r>
    </w:p>
    <w:p w14:paraId="70185EF8">
      <w:pPr>
        <w:pStyle w:val="27"/>
        <w:widowControl/>
        <w:numPr>
          <w:ilvl w:val="0"/>
          <w:numId w:val="0"/>
        </w:numPr>
        <w:spacing w:line="360" w:lineRule="auto"/>
        <w:ind w:leftChars="0"/>
        <w:jc w:val="left"/>
        <w:outlineLvl w:val="1"/>
        <w:rPr>
          <w:rFonts w:ascii="宋体" w:hAnsi="宋体"/>
          <w:b/>
          <w:szCs w:val="21"/>
        </w:rPr>
      </w:pPr>
      <w:r>
        <w:rPr>
          <w:rFonts w:hint="eastAsia" w:ascii="宋体" w:hAnsi="宋体"/>
          <w:b/>
          <w:szCs w:val="21"/>
          <w:lang w:val="en-US" w:eastAsia="zh-CN"/>
        </w:rPr>
        <w:t xml:space="preserve">5.  </w:t>
      </w:r>
      <w:r>
        <w:rPr>
          <w:rFonts w:hint="eastAsia" w:ascii="宋体" w:hAnsi="宋体"/>
          <w:b/>
          <w:szCs w:val="21"/>
        </w:rPr>
        <w:t>定标</w:t>
      </w:r>
    </w:p>
    <w:p w14:paraId="6BD4B064">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5.1. 谈判小组</w:t>
      </w:r>
      <w:r>
        <w:rPr>
          <w:rFonts w:hint="eastAsia" w:ascii="宋体" w:hAnsi="宋体" w:eastAsiaTheme="minorEastAsia" w:cstheme="minorBidi"/>
          <w:color w:val="auto"/>
          <w:kern w:val="2"/>
          <w:sz w:val="21"/>
          <w:szCs w:val="21"/>
          <w:lang w:val="en-US" w:eastAsia="zh-CN" w:bidi="ar-SA"/>
        </w:rPr>
        <w:t>按</w:t>
      </w:r>
      <w:r>
        <w:rPr>
          <w:rFonts w:hint="eastAsia" w:ascii="宋体" w:hAnsi="宋体" w:cstheme="minorBidi"/>
          <w:color w:val="auto"/>
          <w:kern w:val="2"/>
          <w:sz w:val="21"/>
          <w:szCs w:val="21"/>
          <w:lang w:val="en-US" w:eastAsia="zh-CN" w:bidi="ar-SA"/>
        </w:rPr>
        <w:t>谈判文件</w:t>
      </w:r>
      <w:r>
        <w:rPr>
          <w:rFonts w:hint="eastAsia" w:ascii="宋体" w:hAnsi="宋体" w:eastAsiaTheme="minorEastAsia" w:cstheme="minorBidi"/>
          <w:color w:val="auto"/>
          <w:kern w:val="2"/>
          <w:sz w:val="21"/>
          <w:szCs w:val="21"/>
          <w:lang w:val="en-US" w:eastAsia="zh-CN" w:bidi="ar-SA"/>
        </w:rPr>
        <w:t>中规定的评标方法和标准，对资格性检查和符合性检查合格且报价不超过预算控制金额的投标文件进行商务和技术评审，综合比较与评价。</w:t>
      </w:r>
    </w:p>
    <w:p w14:paraId="52D57BCD">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5.2. 谈判小组</w:t>
      </w:r>
      <w:r>
        <w:rPr>
          <w:rFonts w:hint="eastAsia" w:ascii="宋体" w:hAnsi="宋体" w:eastAsiaTheme="minorEastAsia" w:cstheme="minorBidi"/>
          <w:color w:val="auto"/>
          <w:kern w:val="2"/>
          <w:sz w:val="21"/>
          <w:szCs w:val="21"/>
          <w:lang w:val="en-US" w:eastAsia="zh-CN" w:bidi="ar-SA"/>
        </w:rPr>
        <w:t>成员对需要共同认定的事项存在争议的，应当按照少数服从多数的原则作出结论。持不同意见的</w:t>
      </w:r>
      <w:r>
        <w:rPr>
          <w:rFonts w:hint="eastAsia" w:ascii="宋体" w:hAnsi="宋体" w:cstheme="minorBidi"/>
          <w:color w:val="auto"/>
          <w:kern w:val="2"/>
          <w:sz w:val="21"/>
          <w:szCs w:val="21"/>
          <w:lang w:val="en-US" w:eastAsia="zh-CN" w:bidi="ar-SA"/>
        </w:rPr>
        <w:t>谈判小组</w:t>
      </w:r>
      <w:r>
        <w:rPr>
          <w:rFonts w:hint="eastAsia" w:ascii="宋体" w:hAnsi="宋体" w:eastAsiaTheme="minorEastAsia" w:cstheme="minorBidi"/>
          <w:color w:val="auto"/>
          <w:kern w:val="2"/>
          <w:sz w:val="21"/>
          <w:szCs w:val="21"/>
          <w:lang w:val="en-US" w:eastAsia="zh-CN" w:bidi="ar-SA"/>
        </w:rPr>
        <w:t>成员应当书面作出说明，否则视为无异议。</w:t>
      </w:r>
    </w:p>
    <w:p w14:paraId="699B21F8">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 xml:space="preserve">5.3. </w:t>
      </w:r>
      <w:r>
        <w:rPr>
          <w:rFonts w:hint="eastAsia" w:ascii="宋体" w:hAnsi="宋体" w:eastAsiaTheme="minorEastAsia" w:cstheme="minorBidi"/>
          <w:color w:val="auto"/>
          <w:kern w:val="2"/>
          <w:sz w:val="21"/>
          <w:szCs w:val="21"/>
          <w:lang w:val="en-US" w:eastAsia="zh-CN" w:bidi="ar-SA"/>
        </w:rPr>
        <w:t>在评</w:t>
      </w:r>
      <w:r>
        <w:rPr>
          <w:rFonts w:hint="eastAsia" w:ascii="宋体" w:hAnsi="宋体" w:cstheme="minorBidi"/>
          <w:color w:val="auto"/>
          <w:kern w:val="2"/>
          <w:sz w:val="21"/>
          <w:szCs w:val="21"/>
          <w:lang w:val="en-US" w:eastAsia="zh-CN" w:bidi="ar-SA"/>
        </w:rPr>
        <w:t>标</w:t>
      </w:r>
      <w:r>
        <w:rPr>
          <w:rFonts w:hint="eastAsia" w:ascii="宋体" w:hAnsi="宋体" w:eastAsiaTheme="minorEastAsia" w:cstheme="minorBidi"/>
          <w:color w:val="auto"/>
          <w:kern w:val="2"/>
          <w:sz w:val="21"/>
          <w:szCs w:val="21"/>
          <w:lang w:val="en-US" w:eastAsia="zh-CN" w:bidi="ar-SA"/>
        </w:rPr>
        <w:t>过程中，</w:t>
      </w:r>
      <w:r>
        <w:rPr>
          <w:rFonts w:hint="eastAsia" w:ascii="宋体" w:hAnsi="宋体" w:cstheme="minorBidi"/>
          <w:color w:val="auto"/>
          <w:kern w:val="2"/>
          <w:sz w:val="21"/>
          <w:szCs w:val="21"/>
          <w:lang w:val="en-US" w:eastAsia="zh-CN" w:bidi="ar-SA"/>
        </w:rPr>
        <w:t>谈判小组</w:t>
      </w:r>
      <w:r>
        <w:rPr>
          <w:rFonts w:hint="eastAsia" w:ascii="宋体" w:hAnsi="宋体" w:eastAsiaTheme="minorEastAsia" w:cstheme="minorBidi"/>
          <w:color w:val="auto"/>
          <w:kern w:val="2"/>
          <w:sz w:val="21"/>
          <w:szCs w:val="21"/>
          <w:lang w:val="en-US" w:eastAsia="zh-CN" w:bidi="ar-SA"/>
        </w:rPr>
        <w:t>有权决定是否对本项目投标人进行实地考察或资料查验（原件）。投标人应随时做好接受实地考察或资料查验的准备。</w:t>
      </w:r>
    </w:p>
    <w:p w14:paraId="792D8501">
      <w:pPr>
        <w:pStyle w:val="27"/>
        <w:widowControl/>
        <w:numPr>
          <w:ilvl w:val="0"/>
          <w:numId w:val="0"/>
        </w:numPr>
        <w:spacing w:line="360" w:lineRule="auto"/>
        <w:ind w:leftChars="0"/>
        <w:jc w:val="left"/>
        <w:rPr>
          <w:rFonts w:ascii="宋体" w:hAnsi="宋体"/>
          <w:szCs w:val="21"/>
        </w:rPr>
      </w:pPr>
      <w:r>
        <w:rPr>
          <w:rFonts w:hint="eastAsia" w:ascii="宋体" w:hAnsi="宋体"/>
          <w:szCs w:val="21"/>
          <w:lang w:val="en-US" w:eastAsia="zh-CN"/>
        </w:rPr>
        <w:t xml:space="preserve">5.4. </w:t>
      </w:r>
      <w:r>
        <w:rPr>
          <w:rFonts w:hint="eastAsia" w:ascii="宋体" w:hAnsi="宋体"/>
          <w:szCs w:val="21"/>
        </w:rPr>
        <w:t>按照评标报告中推荐的中标候选人确定中标人，确认后将在刊登本项目</w:t>
      </w:r>
      <w:r>
        <w:rPr>
          <w:rFonts w:hint="eastAsia" w:ascii="宋体" w:hAnsi="宋体"/>
          <w:szCs w:val="21"/>
          <w:lang w:eastAsia="zh-CN"/>
        </w:rPr>
        <w:t>谈判</w:t>
      </w:r>
      <w:r>
        <w:rPr>
          <w:rFonts w:hint="eastAsia" w:ascii="宋体" w:hAnsi="宋体"/>
          <w:szCs w:val="21"/>
        </w:rPr>
        <w:t>公告的法定媒体上</w:t>
      </w:r>
      <w:r>
        <w:rPr>
          <w:rFonts w:ascii="宋体" w:hAnsi="宋体"/>
          <w:szCs w:val="21"/>
        </w:rPr>
        <w:t>发</w:t>
      </w:r>
      <w:r>
        <w:rPr>
          <w:rFonts w:hint="eastAsia" w:ascii="宋体" w:hAnsi="宋体"/>
          <w:szCs w:val="21"/>
        </w:rPr>
        <w:t>布中标公告。</w:t>
      </w:r>
    </w:p>
    <w:p w14:paraId="5056C576">
      <w:pPr>
        <w:pStyle w:val="27"/>
        <w:widowControl/>
        <w:numPr>
          <w:ilvl w:val="0"/>
          <w:numId w:val="0"/>
        </w:numPr>
        <w:spacing w:line="360" w:lineRule="auto"/>
        <w:ind w:leftChars="0"/>
        <w:jc w:val="left"/>
        <w:rPr>
          <w:rFonts w:ascii="宋体" w:hAnsi="宋体"/>
          <w:szCs w:val="21"/>
        </w:rPr>
      </w:pPr>
      <w:r>
        <w:rPr>
          <w:rFonts w:hint="eastAsia" w:ascii="宋体" w:hAnsi="宋体"/>
          <w:szCs w:val="21"/>
          <w:lang w:val="en-US" w:eastAsia="zh-CN"/>
        </w:rPr>
        <w:t xml:space="preserve">5.5. </w:t>
      </w:r>
      <w:r>
        <w:rPr>
          <w:rFonts w:hint="eastAsia" w:ascii="宋体" w:hAnsi="宋体"/>
          <w:szCs w:val="21"/>
        </w:rPr>
        <w:t>中标人拒绝与采购人签订合同的，可以重新开展政府采购活动。</w:t>
      </w:r>
    </w:p>
    <w:p w14:paraId="09C6C2D6">
      <w:pPr>
        <w:pStyle w:val="30"/>
        <w:widowControl/>
        <w:numPr>
          <w:ilvl w:val="0"/>
          <w:numId w:val="0"/>
        </w:numPr>
        <w:spacing w:line="360" w:lineRule="auto"/>
        <w:ind w:leftChars="0"/>
        <w:jc w:val="left"/>
        <w:outlineLvl w:val="1"/>
        <w:rPr>
          <w:rFonts w:ascii="宋体" w:hAnsi="宋体"/>
          <w:b/>
          <w:szCs w:val="21"/>
        </w:rPr>
      </w:pPr>
      <w:r>
        <w:rPr>
          <w:rFonts w:hint="eastAsia" w:ascii="宋体" w:hAnsi="宋体"/>
          <w:b/>
          <w:szCs w:val="21"/>
          <w:lang w:val="en-US" w:eastAsia="zh-CN"/>
        </w:rPr>
        <w:t xml:space="preserve">6.  </w:t>
      </w:r>
      <w:r>
        <w:rPr>
          <w:rFonts w:ascii="宋体" w:hAnsi="宋体"/>
          <w:b/>
          <w:szCs w:val="21"/>
        </w:rPr>
        <w:t>特别说明</w:t>
      </w:r>
    </w:p>
    <w:p w14:paraId="5823CF4D">
      <w:pPr>
        <w:pStyle w:val="30"/>
        <w:widowControl/>
        <w:numPr>
          <w:ilvl w:val="0"/>
          <w:numId w:val="0"/>
        </w:numPr>
        <w:spacing w:line="360" w:lineRule="auto"/>
        <w:ind w:leftChars="0"/>
        <w:jc w:val="left"/>
        <w:outlineLvl w:val="2"/>
        <w:rPr>
          <w:rFonts w:ascii="宋体" w:hAnsi="宋体"/>
          <w:szCs w:val="21"/>
        </w:rPr>
      </w:pPr>
      <w:r>
        <w:rPr>
          <w:rFonts w:hint="eastAsia" w:ascii="宋体" w:hAnsi="宋体"/>
          <w:szCs w:val="21"/>
          <w:lang w:val="en-US" w:eastAsia="zh-CN"/>
        </w:rPr>
        <w:t xml:space="preserve">6.1. </w:t>
      </w:r>
      <w:r>
        <w:rPr>
          <w:rFonts w:hint="eastAsia" w:ascii="宋体" w:hAnsi="宋体"/>
          <w:szCs w:val="21"/>
        </w:rPr>
        <w:t>投标人存在下列情况之一的，投标无效：</w:t>
      </w:r>
    </w:p>
    <w:p w14:paraId="23B61DA4">
      <w:pPr>
        <w:pStyle w:val="30"/>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1</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投标文件未按</w:t>
      </w:r>
      <w:r>
        <w:rPr>
          <w:rFonts w:hint="eastAsia" w:ascii="宋体" w:hAnsi="宋体"/>
          <w:szCs w:val="21"/>
          <w:lang w:eastAsia="zh-CN"/>
        </w:rPr>
        <w:t>谈判文件</w:t>
      </w:r>
      <w:r>
        <w:rPr>
          <w:rFonts w:hint="eastAsia" w:ascii="宋体" w:hAnsi="宋体"/>
          <w:szCs w:val="21"/>
        </w:rPr>
        <w:t>要求签署、盖章的；</w:t>
      </w:r>
    </w:p>
    <w:p w14:paraId="6450B8AF">
      <w:pPr>
        <w:pStyle w:val="30"/>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不具备</w:t>
      </w:r>
      <w:r>
        <w:rPr>
          <w:rFonts w:hint="eastAsia" w:ascii="宋体" w:hAnsi="宋体"/>
          <w:szCs w:val="21"/>
          <w:lang w:eastAsia="zh-CN"/>
        </w:rPr>
        <w:t>谈判文件</w:t>
      </w:r>
      <w:r>
        <w:rPr>
          <w:rFonts w:hint="eastAsia" w:ascii="宋体" w:hAnsi="宋体"/>
          <w:szCs w:val="21"/>
        </w:rPr>
        <w:t>中规定的资格要求的；</w:t>
      </w:r>
    </w:p>
    <w:p w14:paraId="597D92E1">
      <w:pPr>
        <w:pStyle w:val="30"/>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3</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报价超过</w:t>
      </w:r>
      <w:r>
        <w:rPr>
          <w:rFonts w:hint="eastAsia" w:ascii="宋体" w:hAnsi="宋体"/>
          <w:szCs w:val="21"/>
          <w:lang w:eastAsia="zh-CN"/>
        </w:rPr>
        <w:t>谈判文件</w:t>
      </w:r>
      <w:r>
        <w:rPr>
          <w:rFonts w:hint="eastAsia" w:ascii="宋体" w:hAnsi="宋体"/>
          <w:szCs w:val="21"/>
        </w:rPr>
        <w:t>中规定的预算金额或者最高限价的；</w:t>
      </w:r>
    </w:p>
    <w:p w14:paraId="02B07588">
      <w:pPr>
        <w:pStyle w:val="30"/>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4</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投标文件含有采购人不能接受的附加条件的;</w:t>
      </w:r>
    </w:p>
    <w:p w14:paraId="55F4A46C">
      <w:pPr>
        <w:pStyle w:val="30"/>
        <w:widowControl/>
        <w:numPr>
          <w:ilvl w:val="0"/>
          <w:numId w:val="0"/>
        </w:numPr>
        <w:spacing w:line="360" w:lineRule="auto"/>
        <w:ind w:leftChars="0"/>
        <w:jc w:val="left"/>
        <w:rPr>
          <w:rFonts w:hint="eastAsia" w:ascii="宋体" w:hAnsi="宋体"/>
          <w:szCs w:val="21"/>
        </w:rPr>
      </w:pPr>
      <w:r>
        <w:rPr>
          <w:rFonts w:hint="eastAsia" w:ascii="宋体" w:hAnsi="宋体"/>
          <w:szCs w:val="21"/>
          <w:lang w:eastAsia="zh-CN"/>
        </w:rPr>
        <w:t>（</w:t>
      </w:r>
      <w:r>
        <w:rPr>
          <w:rFonts w:hint="eastAsia" w:ascii="宋体" w:hAnsi="宋体"/>
          <w:szCs w:val="21"/>
          <w:lang w:val="en-US" w:eastAsia="zh-CN"/>
        </w:rPr>
        <w:t>5</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法律、法规和</w:t>
      </w:r>
      <w:r>
        <w:rPr>
          <w:rFonts w:hint="eastAsia" w:ascii="宋体" w:hAnsi="宋体"/>
          <w:szCs w:val="21"/>
          <w:lang w:eastAsia="zh-CN"/>
        </w:rPr>
        <w:t>谈判文件</w:t>
      </w:r>
      <w:r>
        <w:rPr>
          <w:rFonts w:hint="eastAsia" w:ascii="宋体" w:hAnsi="宋体"/>
          <w:szCs w:val="21"/>
        </w:rPr>
        <w:t>规定的其他无效情形。</w:t>
      </w:r>
    </w:p>
    <w:p w14:paraId="3AFC5530">
      <w:pPr>
        <w:pStyle w:val="30"/>
        <w:widowControl/>
        <w:numPr>
          <w:ilvl w:val="0"/>
          <w:numId w:val="0"/>
        </w:numPr>
        <w:spacing w:line="360" w:lineRule="auto"/>
        <w:ind w:leftChars="0"/>
        <w:jc w:val="left"/>
        <w:rPr>
          <w:rFonts w:ascii="宋体" w:hAnsi="宋体"/>
          <w:szCs w:val="21"/>
        </w:rPr>
      </w:pPr>
      <w:r>
        <w:rPr>
          <w:rFonts w:hint="eastAsia" w:ascii="宋体" w:hAnsi="宋体"/>
          <w:szCs w:val="21"/>
          <w:lang w:val="en-US" w:eastAsia="zh-CN"/>
        </w:rPr>
        <w:t xml:space="preserve">6.2. </w:t>
      </w:r>
      <w:r>
        <w:rPr>
          <w:rFonts w:ascii="宋体" w:hAnsi="宋体"/>
          <w:szCs w:val="21"/>
        </w:rPr>
        <w:t>在</w:t>
      </w:r>
      <w:r>
        <w:rPr>
          <w:rFonts w:hint="eastAsia" w:ascii="宋体" w:hAnsi="宋体"/>
          <w:szCs w:val="21"/>
          <w:lang w:eastAsia="zh-CN"/>
        </w:rPr>
        <w:t>谈判</w:t>
      </w:r>
      <w:r>
        <w:rPr>
          <w:rFonts w:ascii="宋体" w:hAnsi="宋体"/>
          <w:szCs w:val="21"/>
        </w:rPr>
        <w:t>采购中，出现下列情形之一的，应予废标</w:t>
      </w:r>
      <w:r>
        <w:rPr>
          <w:rFonts w:hint="eastAsia" w:ascii="宋体" w:hAnsi="宋体"/>
          <w:szCs w:val="21"/>
          <w:lang w:eastAsia="zh-CN"/>
        </w:rPr>
        <w:t>：</w:t>
      </w:r>
    </w:p>
    <w:p w14:paraId="495F6BE3">
      <w:pPr>
        <w:pStyle w:val="30"/>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1</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出现影响采购公正的违法、违规行为的；</w:t>
      </w:r>
    </w:p>
    <w:p w14:paraId="667992D1">
      <w:pPr>
        <w:pStyle w:val="30"/>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投标人的报价均超过了采购预算，采购人不能支付的；</w:t>
      </w:r>
    </w:p>
    <w:p w14:paraId="6CE66FC1">
      <w:pPr>
        <w:pStyle w:val="30"/>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3</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因重大变故，采购任务取消的</w:t>
      </w:r>
      <w:r>
        <w:rPr>
          <w:rFonts w:hint="eastAsia" w:ascii="宋体" w:hAnsi="宋体"/>
          <w:szCs w:val="21"/>
        </w:rPr>
        <w:t>。</w:t>
      </w:r>
    </w:p>
    <w:p w14:paraId="18F78CE6">
      <w:pPr>
        <w:pStyle w:val="30"/>
        <w:widowControl/>
        <w:numPr>
          <w:ilvl w:val="0"/>
          <w:numId w:val="0"/>
        </w:numPr>
        <w:spacing w:line="360" w:lineRule="auto"/>
        <w:ind w:leftChars="0"/>
        <w:jc w:val="left"/>
        <w:outlineLvl w:val="1"/>
        <w:rPr>
          <w:rFonts w:hint="default" w:ascii="宋体" w:hAnsi="宋体" w:eastAsiaTheme="minorEastAsia"/>
          <w:b/>
          <w:bCs/>
          <w:szCs w:val="21"/>
          <w:lang w:val="en-US" w:eastAsia="zh-CN"/>
        </w:rPr>
      </w:pPr>
      <w:r>
        <w:rPr>
          <w:rFonts w:hint="eastAsia" w:ascii="宋体" w:hAnsi="宋体"/>
          <w:b/>
          <w:bCs/>
          <w:szCs w:val="21"/>
          <w:lang w:val="en-US" w:eastAsia="zh-CN"/>
        </w:rPr>
        <w:t>7.  其他事宜说明</w:t>
      </w:r>
    </w:p>
    <w:p w14:paraId="09AD85D9">
      <w:pPr>
        <w:pStyle w:val="30"/>
        <w:widowControl/>
        <w:numPr>
          <w:ilvl w:val="0"/>
          <w:numId w:val="0"/>
        </w:numPr>
        <w:spacing w:line="360" w:lineRule="auto"/>
        <w:ind w:leftChars="0"/>
        <w:jc w:val="left"/>
        <w:rPr>
          <w:rFonts w:hint="eastAsia" w:ascii="宋体" w:hAnsi="宋体"/>
          <w:szCs w:val="21"/>
          <w:lang w:val="en-US" w:eastAsia="zh-CN"/>
        </w:rPr>
      </w:pPr>
      <w:r>
        <w:rPr>
          <w:rFonts w:hint="eastAsia" w:ascii="宋体" w:hAnsi="宋体"/>
          <w:szCs w:val="21"/>
          <w:lang w:val="en-US" w:eastAsia="zh-CN"/>
        </w:rPr>
        <w:t>7.1. 该项目中标候选供应商数量为一家。</w:t>
      </w:r>
    </w:p>
    <w:p w14:paraId="54B4AF37">
      <w:pPr>
        <w:pStyle w:val="30"/>
        <w:widowControl/>
        <w:numPr>
          <w:ilvl w:val="0"/>
          <w:numId w:val="0"/>
        </w:numPr>
        <w:spacing w:line="360" w:lineRule="auto"/>
        <w:ind w:leftChars="0"/>
        <w:jc w:val="left"/>
        <w:rPr>
          <w:rFonts w:hint="eastAsia" w:cs="Arial" w:asciiTheme="minorEastAsia" w:hAnsiTheme="minorEastAsia"/>
          <w:bCs/>
          <w:kern w:val="0"/>
          <w:szCs w:val="21"/>
          <w:lang w:val="en-US" w:eastAsia="zh-CN"/>
        </w:rPr>
      </w:pPr>
      <w:r>
        <w:rPr>
          <w:rFonts w:hint="eastAsia" w:cs="Arial" w:asciiTheme="minorEastAsia" w:hAnsiTheme="minorEastAsia"/>
          <w:bCs/>
          <w:kern w:val="0"/>
          <w:szCs w:val="21"/>
          <w:lang w:val="en-US" w:eastAsia="zh-CN"/>
        </w:rPr>
        <w:t>7.2. 本项目不安排现场踏勘。</w:t>
      </w:r>
    </w:p>
    <w:p w14:paraId="3F001B43">
      <w:pPr>
        <w:pStyle w:val="30"/>
        <w:widowControl/>
        <w:numPr>
          <w:ilvl w:val="0"/>
          <w:numId w:val="0"/>
        </w:numPr>
        <w:spacing w:line="360" w:lineRule="auto"/>
        <w:ind w:leftChars="0"/>
        <w:jc w:val="left"/>
        <w:rPr>
          <w:rFonts w:hint="eastAsia" w:cs="Arial" w:asciiTheme="minorEastAsia" w:hAnsiTheme="minorEastAsia"/>
          <w:bCs/>
          <w:kern w:val="0"/>
          <w:szCs w:val="21"/>
          <w:lang w:val="en-US" w:eastAsia="zh-CN"/>
        </w:rPr>
      </w:pPr>
      <w:r>
        <w:rPr>
          <w:rFonts w:hint="eastAsia" w:cs="Arial" w:asciiTheme="minorEastAsia" w:hAnsiTheme="minorEastAsia"/>
          <w:bCs/>
          <w:kern w:val="0"/>
          <w:szCs w:val="21"/>
          <w:lang w:val="en-US" w:eastAsia="zh-CN"/>
        </w:rPr>
        <w:t>7.3. 本项目不安排现场演示。</w:t>
      </w:r>
    </w:p>
    <w:p w14:paraId="26CC7918">
      <w:pPr>
        <w:pStyle w:val="30"/>
        <w:widowControl/>
        <w:numPr>
          <w:ilvl w:val="0"/>
          <w:numId w:val="0"/>
        </w:numPr>
        <w:spacing w:line="360" w:lineRule="auto"/>
        <w:ind w:leftChars="0"/>
        <w:jc w:val="left"/>
        <w:rPr>
          <w:rFonts w:hint="eastAsia" w:cs="Arial" w:asciiTheme="minorEastAsia" w:hAnsiTheme="minorEastAsia"/>
          <w:bCs/>
          <w:kern w:val="0"/>
          <w:szCs w:val="21"/>
          <w:lang w:val="en-US" w:eastAsia="zh-CN"/>
        </w:rPr>
      </w:pPr>
      <w:r>
        <w:rPr>
          <w:rFonts w:hint="eastAsia" w:cs="Arial" w:asciiTheme="minorEastAsia" w:hAnsiTheme="minorEastAsia"/>
          <w:bCs/>
          <w:kern w:val="0"/>
          <w:szCs w:val="21"/>
          <w:lang w:val="en-US" w:eastAsia="zh-CN"/>
        </w:rPr>
        <w:t>7.4. 本项目资金来源为自筹资金。</w:t>
      </w:r>
    </w:p>
    <w:p w14:paraId="1146D06E">
      <w:pPr>
        <w:pStyle w:val="30"/>
        <w:widowControl/>
        <w:numPr>
          <w:ilvl w:val="0"/>
          <w:numId w:val="0"/>
        </w:numPr>
        <w:spacing w:line="360" w:lineRule="auto"/>
        <w:ind w:leftChars="0"/>
        <w:jc w:val="left"/>
        <w:rPr>
          <w:rFonts w:hint="eastAsia" w:cs="Arial" w:asciiTheme="minorEastAsia" w:hAnsiTheme="minorEastAsia"/>
          <w:bCs/>
          <w:kern w:val="0"/>
          <w:szCs w:val="21"/>
          <w:lang w:val="en-US" w:eastAsia="zh-CN"/>
        </w:rPr>
      </w:pPr>
      <w:r>
        <w:rPr>
          <w:rFonts w:hint="eastAsia" w:cs="Arial" w:asciiTheme="minorEastAsia" w:hAnsiTheme="minorEastAsia"/>
          <w:bCs/>
          <w:kern w:val="0"/>
          <w:szCs w:val="21"/>
          <w:lang w:val="en-US" w:eastAsia="zh-CN"/>
        </w:rPr>
        <w:t>7.5. 本项目投标有效期从提交投标文件的截止之日起120日历日内有效。</w:t>
      </w:r>
    </w:p>
    <w:p w14:paraId="3CAB0B6D">
      <w:pPr>
        <w:pStyle w:val="30"/>
        <w:widowControl/>
        <w:numPr>
          <w:ilvl w:val="0"/>
          <w:numId w:val="0"/>
        </w:numPr>
        <w:spacing w:line="360" w:lineRule="auto"/>
        <w:ind w:leftChars="0"/>
        <w:jc w:val="left"/>
        <w:rPr>
          <w:rFonts w:hint="default" w:asciiTheme="minorEastAsia" w:hAnsiTheme="minorEastAsia"/>
          <w:szCs w:val="21"/>
          <w:lang w:val="en-US" w:eastAsia="zh-CN"/>
        </w:rPr>
      </w:pPr>
      <w:r>
        <w:rPr>
          <w:rFonts w:hint="eastAsia" w:cs="Arial" w:asciiTheme="minorEastAsia" w:hAnsiTheme="minorEastAsia"/>
          <w:bCs/>
          <w:kern w:val="0"/>
          <w:szCs w:val="21"/>
          <w:lang w:val="en-US" w:eastAsia="zh-CN"/>
        </w:rPr>
        <w:t>7.6. 本项目不允许提交备选方案或替代方案。</w:t>
      </w:r>
    </w:p>
    <w:p w14:paraId="5135212C">
      <w:pPr>
        <w:pStyle w:val="30"/>
        <w:widowControl/>
        <w:numPr>
          <w:ilvl w:val="0"/>
          <w:numId w:val="0"/>
        </w:numPr>
        <w:spacing w:line="360" w:lineRule="auto"/>
        <w:ind w:leftChars="0"/>
        <w:jc w:val="left"/>
        <w:rPr>
          <w:rFonts w:hint="default" w:asciiTheme="minorEastAsia" w:hAnsiTheme="minorEastAsia"/>
          <w:szCs w:val="21"/>
          <w:lang w:val="en-US" w:eastAsia="zh-CN"/>
        </w:rPr>
      </w:pPr>
      <w:r>
        <w:rPr>
          <w:rFonts w:hint="eastAsia" w:cs="Arial" w:asciiTheme="minorEastAsia" w:hAnsiTheme="minorEastAsia"/>
          <w:bCs/>
          <w:kern w:val="0"/>
          <w:szCs w:val="21"/>
          <w:lang w:val="en-US" w:eastAsia="zh-CN"/>
        </w:rPr>
        <w:t>7.7. 本项目评标方法为最低价法。</w:t>
      </w:r>
    </w:p>
    <w:p w14:paraId="5DAAFA88">
      <w:pPr>
        <w:widowControl/>
        <w:numPr>
          <w:ilvl w:val="0"/>
          <w:numId w:val="0"/>
        </w:numPr>
        <w:ind w:leftChars="0"/>
        <w:jc w:val="both"/>
        <w:outlineLvl w:val="9"/>
        <w:rPr>
          <w:rFonts w:hint="eastAsia" w:asciiTheme="majorEastAsia" w:hAnsiTheme="majorEastAsia" w:eastAsiaTheme="majorEastAsia"/>
          <w:sz w:val="32"/>
          <w:szCs w:val="32"/>
          <w:lang w:val="en-US" w:eastAsia="zh-CN"/>
        </w:rPr>
      </w:pPr>
    </w:p>
    <w:p w14:paraId="35AC2272">
      <w:pPr>
        <w:widowControl/>
        <w:numPr>
          <w:ilvl w:val="0"/>
          <w:numId w:val="0"/>
        </w:numPr>
        <w:ind w:leftChars="0"/>
        <w:jc w:val="both"/>
        <w:outlineLvl w:val="9"/>
        <w:rPr>
          <w:rFonts w:hint="eastAsia" w:asciiTheme="majorEastAsia" w:hAnsiTheme="majorEastAsia" w:eastAsiaTheme="majorEastAsia"/>
          <w:sz w:val="32"/>
          <w:szCs w:val="32"/>
          <w:lang w:val="en-US" w:eastAsia="zh-CN"/>
        </w:rPr>
      </w:pPr>
    </w:p>
    <w:p w14:paraId="316CC451">
      <w:pPr>
        <w:widowControl/>
        <w:numPr>
          <w:ilvl w:val="0"/>
          <w:numId w:val="0"/>
        </w:numPr>
        <w:ind w:leftChars="0"/>
        <w:jc w:val="both"/>
        <w:outlineLvl w:val="9"/>
        <w:rPr>
          <w:rFonts w:hint="eastAsia" w:asciiTheme="majorEastAsia" w:hAnsiTheme="majorEastAsia" w:eastAsiaTheme="majorEastAsia"/>
          <w:sz w:val="32"/>
          <w:szCs w:val="32"/>
          <w:lang w:val="en-US" w:eastAsia="zh-CN"/>
        </w:rPr>
      </w:pPr>
    </w:p>
    <w:p w14:paraId="7699792C">
      <w:pPr>
        <w:widowControl/>
        <w:numPr>
          <w:ilvl w:val="0"/>
          <w:numId w:val="0"/>
        </w:numPr>
        <w:ind w:leftChars="0"/>
        <w:jc w:val="both"/>
        <w:outlineLvl w:val="9"/>
        <w:rPr>
          <w:rFonts w:hint="eastAsia" w:asciiTheme="majorEastAsia" w:hAnsiTheme="majorEastAsia" w:eastAsiaTheme="majorEastAsia"/>
          <w:sz w:val="32"/>
          <w:szCs w:val="32"/>
          <w:lang w:val="en-US" w:eastAsia="zh-CN"/>
        </w:rPr>
      </w:pPr>
    </w:p>
    <w:p w14:paraId="512776C6">
      <w:pPr>
        <w:widowControl/>
        <w:numPr>
          <w:ilvl w:val="0"/>
          <w:numId w:val="0"/>
        </w:numPr>
        <w:ind w:leftChars="0"/>
        <w:jc w:val="both"/>
        <w:outlineLvl w:val="9"/>
        <w:rPr>
          <w:rFonts w:hint="eastAsia" w:asciiTheme="majorEastAsia" w:hAnsiTheme="majorEastAsia" w:eastAsiaTheme="majorEastAsia"/>
          <w:sz w:val="32"/>
          <w:szCs w:val="32"/>
          <w:lang w:val="en-US" w:eastAsia="zh-CN"/>
        </w:rPr>
      </w:pPr>
    </w:p>
    <w:p w14:paraId="26758F89">
      <w:pPr>
        <w:widowControl/>
        <w:numPr>
          <w:ilvl w:val="0"/>
          <w:numId w:val="0"/>
        </w:numPr>
        <w:ind w:leftChars="0"/>
        <w:jc w:val="both"/>
        <w:outlineLvl w:val="9"/>
        <w:rPr>
          <w:rFonts w:hint="eastAsia" w:asciiTheme="majorEastAsia" w:hAnsiTheme="majorEastAsia" w:eastAsiaTheme="majorEastAsia"/>
          <w:sz w:val="32"/>
          <w:szCs w:val="32"/>
          <w:lang w:val="en-US" w:eastAsia="zh-CN"/>
        </w:rPr>
      </w:pPr>
    </w:p>
    <w:p w14:paraId="22602D7B">
      <w:pPr>
        <w:widowControl/>
        <w:numPr>
          <w:ilvl w:val="0"/>
          <w:numId w:val="0"/>
        </w:numPr>
        <w:ind w:leftChars="0"/>
        <w:jc w:val="both"/>
        <w:outlineLvl w:val="9"/>
        <w:rPr>
          <w:rFonts w:hint="eastAsia" w:asciiTheme="majorEastAsia" w:hAnsiTheme="majorEastAsia" w:eastAsiaTheme="majorEastAsia"/>
          <w:sz w:val="32"/>
          <w:szCs w:val="32"/>
          <w:lang w:val="en-US" w:eastAsia="zh-CN"/>
        </w:rPr>
      </w:pPr>
    </w:p>
    <w:p w14:paraId="428CAB2A">
      <w:pPr>
        <w:widowControl/>
        <w:numPr>
          <w:ilvl w:val="0"/>
          <w:numId w:val="0"/>
        </w:numPr>
        <w:ind w:leftChars="0"/>
        <w:jc w:val="both"/>
        <w:outlineLvl w:val="9"/>
        <w:rPr>
          <w:rFonts w:hint="eastAsia" w:asciiTheme="majorEastAsia" w:hAnsiTheme="majorEastAsia" w:eastAsiaTheme="majorEastAsia"/>
          <w:sz w:val="32"/>
          <w:szCs w:val="32"/>
          <w:lang w:val="en-US" w:eastAsia="zh-CN"/>
        </w:rPr>
      </w:pPr>
    </w:p>
    <w:p w14:paraId="77201D93">
      <w:pPr>
        <w:widowControl/>
        <w:numPr>
          <w:ilvl w:val="0"/>
          <w:numId w:val="0"/>
        </w:numPr>
        <w:ind w:leftChars="0"/>
        <w:jc w:val="both"/>
        <w:outlineLvl w:val="9"/>
        <w:rPr>
          <w:rFonts w:hint="eastAsia" w:asciiTheme="majorEastAsia" w:hAnsiTheme="majorEastAsia" w:eastAsiaTheme="majorEastAsia"/>
          <w:sz w:val="32"/>
          <w:szCs w:val="32"/>
          <w:lang w:val="en-US" w:eastAsia="zh-CN"/>
        </w:rPr>
      </w:pPr>
    </w:p>
    <w:p w14:paraId="6DA20980">
      <w:pPr>
        <w:widowControl/>
        <w:numPr>
          <w:ilvl w:val="0"/>
          <w:numId w:val="0"/>
        </w:numPr>
        <w:ind w:leftChars="0"/>
        <w:jc w:val="both"/>
        <w:outlineLvl w:val="9"/>
        <w:rPr>
          <w:rFonts w:hint="eastAsia" w:asciiTheme="majorEastAsia" w:hAnsiTheme="majorEastAsia" w:eastAsiaTheme="majorEastAsia"/>
          <w:sz w:val="32"/>
          <w:szCs w:val="32"/>
          <w:lang w:val="en-US" w:eastAsia="zh-CN"/>
        </w:rPr>
      </w:pPr>
    </w:p>
    <w:p w14:paraId="256CFFBA">
      <w:pPr>
        <w:widowControl/>
        <w:numPr>
          <w:ilvl w:val="0"/>
          <w:numId w:val="0"/>
        </w:numPr>
        <w:ind w:leftChars="0"/>
        <w:jc w:val="both"/>
        <w:outlineLvl w:val="9"/>
        <w:rPr>
          <w:rFonts w:hint="eastAsia" w:asciiTheme="majorEastAsia" w:hAnsiTheme="majorEastAsia" w:eastAsiaTheme="majorEastAsia"/>
          <w:sz w:val="32"/>
          <w:szCs w:val="32"/>
          <w:lang w:val="en-US" w:eastAsia="zh-CN"/>
        </w:rPr>
      </w:pPr>
    </w:p>
    <w:p w14:paraId="6FC13EA8">
      <w:pPr>
        <w:widowControl/>
        <w:numPr>
          <w:ilvl w:val="0"/>
          <w:numId w:val="0"/>
        </w:numPr>
        <w:ind w:leftChars="0"/>
        <w:jc w:val="both"/>
        <w:outlineLvl w:val="9"/>
        <w:rPr>
          <w:rFonts w:hint="eastAsia" w:asciiTheme="majorEastAsia" w:hAnsiTheme="majorEastAsia" w:eastAsiaTheme="majorEastAsia"/>
          <w:sz w:val="32"/>
          <w:szCs w:val="32"/>
          <w:lang w:val="en-US" w:eastAsia="zh-CN"/>
        </w:rPr>
      </w:pPr>
    </w:p>
    <w:p w14:paraId="6E619B4F">
      <w:pPr>
        <w:widowControl/>
        <w:numPr>
          <w:ilvl w:val="0"/>
          <w:numId w:val="0"/>
        </w:numPr>
        <w:ind w:leftChars="0"/>
        <w:jc w:val="both"/>
        <w:outlineLvl w:val="9"/>
        <w:rPr>
          <w:rFonts w:hint="eastAsia" w:asciiTheme="majorEastAsia" w:hAnsiTheme="majorEastAsia" w:eastAsiaTheme="majorEastAsia"/>
          <w:sz w:val="32"/>
          <w:szCs w:val="32"/>
          <w:lang w:val="en-US" w:eastAsia="zh-CN"/>
        </w:rPr>
      </w:pPr>
    </w:p>
    <w:p w14:paraId="603A4207">
      <w:pPr>
        <w:widowControl/>
        <w:numPr>
          <w:ilvl w:val="0"/>
          <w:numId w:val="0"/>
        </w:numPr>
        <w:ind w:leftChars="0"/>
        <w:jc w:val="both"/>
        <w:outlineLvl w:val="9"/>
        <w:rPr>
          <w:rFonts w:hint="eastAsia" w:asciiTheme="majorEastAsia" w:hAnsiTheme="majorEastAsia" w:eastAsiaTheme="majorEastAsia"/>
          <w:sz w:val="32"/>
          <w:szCs w:val="32"/>
          <w:lang w:val="en-US" w:eastAsia="zh-CN"/>
        </w:rPr>
      </w:pPr>
    </w:p>
    <w:p w14:paraId="1F63429F">
      <w:pPr>
        <w:widowControl/>
        <w:numPr>
          <w:ilvl w:val="0"/>
          <w:numId w:val="0"/>
        </w:numPr>
        <w:ind w:leftChars="0"/>
        <w:jc w:val="both"/>
        <w:outlineLvl w:val="9"/>
        <w:rPr>
          <w:rFonts w:hint="eastAsia" w:asciiTheme="majorEastAsia" w:hAnsiTheme="majorEastAsia" w:eastAsiaTheme="majorEastAsia"/>
          <w:sz w:val="32"/>
          <w:szCs w:val="32"/>
          <w:lang w:val="en-US" w:eastAsia="zh-CN"/>
        </w:rPr>
      </w:pPr>
    </w:p>
    <w:p w14:paraId="79848A25">
      <w:pPr>
        <w:widowControl/>
        <w:numPr>
          <w:ilvl w:val="0"/>
          <w:numId w:val="0"/>
        </w:numPr>
        <w:ind w:leftChars="0"/>
        <w:jc w:val="both"/>
        <w:outlineLvl w:val="9"/>
        <w:rPr>
          <w:rFonts w:hint="eastAsia" w:asciiTheme="majorEastAsia" w:hAnsiTheme="majorEastAsia" w:eastAsiaTheme="majorEastAsia"/>
          <w:sz w:val="32"/>
          <w:szCs w:val="32"/>
          <w:lang w:val="en-US" w:eastAsia="zh-CN"/>
        </w:rPr>
      </w:pPr>
    </w:p>
    <w:p w14:paraId="04291F22">
      <w:pPr>
        <w:widowControl/>
        <w:numPr>
          <w:ilvl w:val="0"/>
          <w:numId w:val="0"/>
        </w:numPr>
        <w:ind w:leftChars="0"/>
        <w:jc w:val="both"/>
        <w:outlineLvl w:val="9"/>
        <w:rPr>
          <w:rFonts w:hint="eastAsia" w:asciiTheme="majorEastAsia" w:hAnsiTheme="majorEastAsia" w:eastAsiaTheme="majorEastAsia"/>
          <w:sz w:val="32"/>
          <w:szCs w:val="32"/>
          <w:lang w:val="en-US" w:eastAsia="zh-CN"/>
        </w:rPr>
      </w:pPr>
    </w:p>
    <w:p w14:paraId="3C89600C">
      <w:pPr>
        <w:widowControl/>
        <w:numPr>
          <w:ilvl w:val="0"/>
          <w:numId w:val="0"/>
        </w:numPr>
        <w:ind w:leftChars="0"/>
        <w:jc w:val="center"/>
        <w:outlineLvl w:val="0"/>
        <w:rPr>
          <w:rFonts w:hint="eastAsia" w:asciiTheme="minorEastAsia" w:hAnsiTheme="minorEastAsia" w:cstheme="minorEastAsia"/>
          <w:b/>
          <w:bCs/>
          <w:sz w:val="28"/>
          <w:szCs w:val="28"/>
          <w:lang w:eastAsia="zh-CN"/>
        </w:rPr>
      </w:pPr>
      <w:bookmarkStart w:id="16" w:name="_Toc26388"/>
      <w:r>
        <w:rPr>
          <w:rFonts w:hint="eastAsia" w:asciiTheme="majorEastAsia" w:hAnsiTheme="majorEastAsia" w:eastAsiaTheme="majorEastAsia"/>
          <w:sz w:val="32"/>
          <w:szCs w:val="32"/>
          <w:lang w:val="en-US" w:eastAsia="zh-CN"/>
        </w:rPr>
        <w:t xml:space="preserve">第四章 </w:t>
      </w:r>
      <w:r>
        <w:rPr>
          <w:rFonts w:hint="eastAsia" w:asciiTheme="majorEastAsia" w:hAnsiTheme="majorEastAsia" w:eastAsiaTheme="majorEastAsia"/>
          <w:sz w:val="32"/>
          <w:szCs w:val="32"/>
        </w:rPr>
        <w:t>投标文件</w:t>
      </w:r>
      <w:r>
        <w:rPr>
          <w:rFonts w:hint="eastAsia" w:asciiTheme="majorEastAsia" w:hAnsiTheme="majorEastAsia" w:eastAsiaTheme="majorEastAsia"/>
          <w:sz w:val="32"/>
          <w:szCs w:val="32"/>
          <w:lang w:eastAsia="zh-CN"/>
        </w:rPr>
        <w:t>（</w:t>
      </w:r>
      <w:r>
        <w:rPr>
          <w:rFonts w:hint="eastAsia" w:asciiTheme="majorEastAsia" w:hAnsiTheme="majorEastAsia" w:eastAsiaTheme="majorEastAsia"/>
          <w:sz w:val="32"/>
          <w:szCs w:val="32"/>
          <w:lang w:val="en-US" w:eastAsia="zh-CN"/>
        </w:rPr>
        <w:t>编制</w:t>
      </w:r>
      <w:r>
        <w:rPr>
          <w:rFonts w:hint="eastAsia" w:asciiTheme="majorEastAsia" w:hAnsiTheme="majorEastAsia" w:eastAsiaTheme="majorEastAsia"/>
          <w:sz w:val="32"/>
          <w:szCs w:val="32"/>
        </w:rPr>
        <w:t>参考</w:t>
      </w:r>
      <w:r>
        <w:rPr>
          <w:rFonts w:hint="eastAsia" w:asciiTheme="majorEastAsia" w:hAnsiTheme="majorEastAsia" w:eastAsiaTheme="majorEastAsia"/>
          <w:sz w:val="32"/>
          <w:szCs w:val="32"/>
          <w:lang w:val="en-US" w:eastAsia="zh-CN"/>
        </w:rPr>
        <w:t>模板</w:t>
      </w:r>
      <w:r>
        <w:rPr>
          <w:rFonts w:hint="eastAsia" w:asciiTheme="majorEastAsia" w:hAnsiTheme="majorEastAsia" w:eastAsiaTheme="majorEastAsia"/>
          <w:sz w:val="32"/>
          <w:szCs w:val="32"/>
          <w:lang w:eastAsia="zh-CN"/>
        </w:rPr>
        <w:t>）</w:t>
      </w:r>
      <w:bookmarkEnd w:id="16"/>
    </w:p>
    <w:tbl>
      <w:tblPr>
        <w:tblStyle w:val="17"/>
        <w:tblW w:w="90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8"/>
      </w:tblGrid>
      <w:tr w14:paraId="062E8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7" w:hRule="atLeast"/>
          <w:jc w:val="center"/>
        </w:trPr>
        <w:tc>
          <w:tcPr>
            <w:tcW w:w="9018" w:type="dxa"/>
            <w:vAlign w:val="center"/>
          </w:tcPr>
          <w:p w14:paraId="0168BCD2">
            <w:pPr>
              <w:pStyle w:val="6"/>
              <w:spacing w:line="360" w:lineRule="auto"/>
              <w:ind w:firstLine="482" w:firstLineChars="150"/>
              <w:rPr>
                <w:rFonts w:ascii="仿宋_GB2312" w:eastAsia="仿宋_GB2312"/>
                <w:b/>
                <w:sz w:val="32"/>
              </w:rPr>
            </w:pPr>
          </w:p>
          <w:p w14:paraId="5DD66652">
            <w:pPr>
              <w:pStyle w:val="6"/>
              <w:spacing w:line="360" w:lineRule="auto"/>
              <w:ind w:firstLine="482" w:firstLineChars="150"/>
              <w:rPr>
                <w:rFonts w:ascii="仿宋_GB2312" w:eastAsia="仿宋_GB2312"/>
                <w:b/>
                <w:sz w:val="32"/>
              </w:rPr>
            </w:pPr>
          </w:p>
          <w:p w14:paraId="4F96A7D5">
            <w:pPr>
              <w:pStyle w:val="6"/>
              <w:spacing w:line="360" w:lineRule="auto"/>
              <w:ind w:firstLine="482" w:firstLineChars="150"/>
              <w:rPr>
                <w:rFonts w:ascii="仿宋_GB2312" w:eastAsia="仿宋_GB2312"/>
                <w:b/>
                <w:sz w:val="32"/>
              </w:rPr>
            </w:pPr>
          </w:p>
          <w:p w14:paraId="24E0C28B">
            <w:pPr>
              <w:pStyle w:val="6"/>
              <w:spacing w:line="360" w:lineRule="auto"/>
              <w:jc w:val="center"/>
              <w:rPr>
                <w:rFonts w:ascii="黑体" w:eastAsia="黑体"/>
                <w:b/>
                <w:sz w:val="72"/>
                <w:szCs w:val="72"/>
              </w:rPr>
            </w:pPr>
            <w:r>
              <w:rPr>
                <w:rFonts w:hint="eastAsia" w:ascii="黑体" w:eastAsia="黑体"/>
                <w:b/>
                <w:sz w:val="72"/>
                <w:szCs w:val="72"/>
              </w:rPr>
              <w:t>投 标 文 件</w:t>
            </w:r>
          </w:p>
          <w:p w14:paraId="056E2451">
            <w:pPr>
              <w:pStyle w:val="6"/>
              <w:spacing w:line="360" w:lineRule="auto"/>
              <w:ind w:firstLine="3398" w:firstLineChars="651"/>
              <w:rPr>
                <w:rFonts w:ascii="黑体" w:eastAsia="黑体"/>
                <w:b/>
                <w:sz w:val="32"/>
              </w:rPr>
            </w:pPr>
            <w:r>
              <w:rPr>
                <w:rFonts w:hint="eastAsia" w:ascii="黑体" w:eastAsia="黑体"/>
                <w:b/>
                <w:sz w:val="52"/>
                <w:szCs w:val="52"/>
              </w:rPr>
              <w:t xml:space="preserve">口 </w:t>
            </w:r>
            <w:r>
              <w:rPr>
                <w:rFonts w:hint="eastAsia" w:ascii="黑体" w:eastAsia="黑体"/>
                <w:b/>
                <w:sz w:val="32"/>
              </w:rPr>
              <w:t>正本</w:t>
            </w:r>
          </w:p>
          <w:p w14:paraId="68FD3430">
            <w:pPr>
              <w:pStyle w:val="6"/>
              <w:spacing w:line="360" w:lineRule="auto"/>
              <w:ind w:firstLine="3398" w:firstLineChars="651"/>
              <w:rPr>
                <w:rFonts w:ascii="黑体" w:eastAsia="黑体"/>
                <w:b/>
                <w:sz w:val="32"/>
              </w:rPr>
            </w:pPr>
            <w:r>
              <w:rPr>
                <w:rFonts w:hint="eastAsia" w:ascii="黑体" w:eastAsia="黑体"/>
                <w:b/>
                <w:sz w:val="52"/>
                <w:szCs w:val="52"/>
              </w:rPr>
              <w:t xml:space="preserve">口 </w:t>
            </w:r>
            <w:r>
              <w:rPr>
                <w:rFonts w:hint="eastAsia" w:ascii="黑体" w:eastAsia="黑体"/>
                <w:b/>
                <w:sz w:val="32"/>
              </w:rPr>
              <w:t>副本</w:t>
            </w:r>
          </w:p>
          <w:p w14:paraId="327486C6">
            <w:pPr>
              <w:pStyle w:val="6"/>
              <w:spacing w:line="360" w:lineRule="auto"/>
              <w:rPr>
                <w:rFonts w:ascii="仿宋_GB2312" w:eastAsia="仿宋_GB2312"/>
                <w:b/>
                <w:sz w:val="32"/>
              </w:rPr>
            </w:pPr>
          </w:p>
          <w:p w14:paraId="408DEE70">
            <w:pPr>
              <w:pStyle w:val="6"/>
              <w:spacing w:line="360" w:lineRule="auto"/>
              <w:rPr>
                <w:rFonts w:ascii="仿宋_GB2312" w:eastAsia="仿宋_GB2312"/>
                <w:b/>
                <w:sz w:val="32"/>
              </w:rPr>
            </w:pPr>
          </w:p>
          <w:p w14:paraId="1F535991">
            <w:pPr>
              <w:pStyle w:val="6"/>
              <w:spacing w:line="360" w:lineRule="auto"/>
              <w:rPr>
                <w:rFonts w:ascii="仿宋_GB2312" w:eastAsia="仿宋_GB2312"/>
                <w:b/>
                <w:sz w:val="32"/>
              </w:rPr>
            </w:pPr>
          </w:p>
          <w:p w14:paraId="18F76FDC">
            <w:pPr>
              <w:pStyle w:val="6"/>
              <w:spacing w:line="400" w:lineRule="exact"/>
              <w:ind w:firstLine="843" w:firstLineChars="300"/>
              <w:rPr>
                <w:rFonts w:hint="eastAsia" w:ascii="仿宋_GB2312" w:eastAsia="仿宋_GB2312"/>
                <w:b/>
                <w:sz w:val="28"/>
                <w:szCs w:val="28"/>
                <w:lang w:eastAsia="zh-CN"/>
              </w:rPr>
            </w:pPr>
            <w:r>
              <w:rPr>
                <w:rFonts w:hint="eastAsia" w:ascii="仿宋_GB2312" w:eastAsia="仿宋_GB2312"/>
                <w:b/>
                <w:sz w:val="28"/>
                <w:szCs w:val="28"/>
              </w:rPr>
              <w:t>项</w:t>
            </w:r>
            <w:r>
              <w:rPr>
                <w:rFonts w:hint="eastAsia" w:ascii="仿宋_GB2312" w:eastAsia="仿宋_GB2312"/>
                <w:b/>
                <w:color w:val="auto"/>
                <w:sz w:val="28"/>
                <w:szCs w:val="28"/>
              </w:rPr>
              <w:t>目编号：</w:t>
            </w:r>
          </w:p>
          <w:p w14:paraId="5FE98AF9">
            <w:pPr>
              <w:pStyle w:val="6"/>
              <w:spacing w:line="400" w:lineRule="exact"/>
              <w:ind w:firstLine="843" w:firstLineChars="300"/>
              <w:rPr>
                <w:rFonts w:hint="eastAsia" w:ascii="仿宋_GB2312" w:eastAsia="仿宋_GB2312"/>
                <w:b/>
                <w:sz w:val="28"/>
                <w:szCs w:val="28"/>
                <w:lang w:eastAsia="zh-CN"/>
              </w:rPr>
            </w:pPr>
            <w:r>
              <w:rPr>
                <w:rFonts w:hint="eastAsia" w:ascii="仿宋_GB2312" w:eastAsia="仿宋_GB2312"/>
                <w:b/>
                <w:sz w:val="28"/>
                <w:szCs w:val="28"/>
              </w:rPr>
              <w:t>项目名称：</w:t>
            </w:r>
          </w:p>
          <w:p w14:paraId="4900056A">
            <w:pPr>
              <w:pStyle w:val="6"/>
              <w:spacing w:line="400" w:lineRule="exact"/>
              <w:ind w:firstLine="843" w:firstLineChars="300"/>
              <w:rPr>
                <w:rFonts w:ascii="仿宋_GB2312" w:eastAsia="仿宋_GB2312"/>
                <w:b/>
                <w:sz w:val="28"/>
                <w:szCs w:val="28"/>
              </w:rPr>
            </w:pPr>
            <w:r>
              <w:rPr>
                <w:rFonts w:hint="eastAsia" w:ascii="仿宋_GB2312" w:eastAsia="仿宋_GB2312"/>
                <w:b/>
                <w:sz w:val="28"/>
                <w:szCs w:val="28"/>
              </w:rPr>
              <w:t>投标人名称：</w:t>
            </w:r>
          </w:p>
          <w:p w14:paraId="3E773E6D">
            <w:pPr>
              <w:pStyle w:val="6"/>
              <w:spacing w:line="400" w:lineRule="exact"/>
              <w:ind w:firstLine="843" w:firstLineChars="300"/>
              <w:rPr>
                <w:rFonts w:ascii="仿宋_GB2312" w:eastAsia="仿宋_GB2312"/>
                <w:b/>
                <w:sz w:val="28"/>
                <w:szCs w:val="28"/>
              </w:rPr>
            </w:pPr>
            <w:r>
              <w:rPr>
                <w:rFonts w:hint="eastAsia" w:ascii="仿宋_GB2312" w:eastAsia="仿宋_GB2312"/>
                <w:b/>
                <w:sz w:val="28"/>
                <w:szCs w:val="28"/>
              </w:rPr>
              <w:t>投标人地址：</w:t>
            </w:r>
          </w:p>
          <w:p w14:paraId="578B5057">
            <w:pPr>
              <w:tabs>
                <w:tab w:val="left" w:pos="851"/>
              </w:tabs>
              <w:autoSpaceDE w:val="0"/>
              <w:autoSpaceDN w:val="0"/>
              <w:adjustRightInd w:val="0"/>
              <w:snapToGrid w:val="0"/>
              <w:spacing w:line="420" w:lineRule="auto"/>
              <w:ind w:firstLine="843" w:firstLineChars="300"/>
              <w:jc w:val="both"/>
              <w:rPr>
                <w:rFonts w:hint="default" w:ascii="仿宋_GB2312" w:eastAsia="仿宋_GB2312" w:hAnsiTheme="minorHAnsi" w:cstheme="minorBidi"/>
                <w:b/>
                <w:color w:val="auto"/>
                <w:kern w:val="2"/>
                <w:sz w:val="28"/>
                <w:szCs w:val="28"/>
                <w:lang w:val="en-US" w:eastAsia="zh-CN" w:bidi="ar-SA"/>
              </w:rPr>
            </w:pPr>
            <w:r>
              <w:rPr>
                <w:rFonts w:hint="eastAsia" w:ascii="仿宋_GB2312" w:eastAsia="仿宋_GB2312" w:cstheme="minorBidi"/>
                <w:b/>
                <w:color w:val="auto"/>
                <w:kern w:val="2"/>
                <w:sz w:val="28"/>
                <w:szCs w:val="28"/>
                <w:lang w:val="en-US" w:eastAsia="zh-CN" w:bidi="ar-SA"/>
              </w:rPr>
              <w:t>联系人及联系电话：</w:t>
            </w:r>
          </w:p>
          <w:p w14:paraId="41FDBA62">
            <w:pPr>
              <w:tabs>
                <w:tab w:val="left" w:pos="851"/>
              </w:tabs>
              <w:autoSpaceDE w:val="0"/>
              <w:autoSpaceDN w:val="0"/>
              <w:adjustRightInd w:val="0"/>
              <w:snapToGrid w:val="0"/>
              <w:spacing w:line="420" w:lineRule="auto"/>
              <w:ind w:firstLine="829" w:firstLineChars="295"/>
              <w:rPr>
                <w:rFonts w:hint="eastAsia" w:ascii="仿宋_GB2312" w:eastAsia="仿宋_GB2312"/>
                <w:b/>
                <w:sz w:val="28"/>
                <w:szCs w:val="28"/>
              </w:rPr>
            </w:pPr>
          </w:p>
          <w:p w14:paraId="29748A16">
            <w:pPr>
              <w:tabs>
                <w:tab w:val="left" w:pos="851"/>
              </w:tabs>
              <w:autoSpaceDE w:val="0"/>
              <w:autoSpaceDN w:val="0"/>
              <w:adjustRightInd w:val="0"/>
              <w:snapToGrid w:val="0"/>
              <w:spacing w:line="420" w:lineRule="auto"/>
              <w:ind w:firstLine="829" w:firstLineChars="295"/>
              <w:rPr>
                <w:rFonts w:ascii="仿宋_GB2312" w:eastAsia="仿宋_GB2312"/>
                <w:b/>
                <w:sz w:val="32"/>
              </w:rPr>
            </w:pPr>
            <w:r>
              <w:rPr>
                <w:rFonts w:hint="eastAsia" w:ascii="仿宋_GB2312" w:eastAsia="仿宋_GB2312"/>
                <w:b/>
                <w:sz w:val="28"/>
                <w:szCs w:val="28"/>
              </w:rPr>
              <w:t>开标之前不得启封</w:t>
            </w:r>
          </w:p>
        </w:tc>
      </w:tr>
    </w:tbl>
    <w:p w14:paraId="60FA2FDE">
      <w:pPr>
        <w:jc w:val="both"/>
        <w:rPr>
          <w:rFonts w:hint="eastAsia" w:asciiTheme="minorEastAsia" w:hAnsiTheme="minorEastAsia" w:cstheme="minorEastAsia"/>
          <w:b/>
          <w:bCs/>
          <w:sz w:val="28"/>
          <w:szCs w:val="28"/>
          <w:lang w:eastAsia="zh-CN"/>
        </w:rPr>
      </w:pPr>
    </w:p>
    <w:p w14:paraId="5B3C692F">
      <w:pPr>
        <w:pStyle w:val="3"/>
        <w:numPr>
          <w:ilvl w:val="0"/>
          <w:numId w:val="12"/>
        </w:numPr>
        <w:spacing w:line="240" w:lineRule="auto"/>
        <w:ind w:left="420" w:leftChars="0" w:hanging="420" w:firstLineChars="0"/>
        <w:jc w:val="center"/>
        <w:outlineLvl w:val="0"/>
        <w:rPr>
          <w:rFonts w:hint="eastAsia" w:cs="宋体" w:asciiTheme="majorEastAsia" w:hAnsiTheme="majorEastAsia" w:eastAsiaTheme="majorEastAsia"/>
          <w:kern w:val="2"/>
          <w:sz w:val="30"/>
          <w:szCs w:val="30"/>
          <w:lang w:val="en-US" w:eastAsia="zh-CN" w:bidi="ar-SA"/>
        </w:rPr>
      </w:pPr>
      <w:bookmarkStart w:id="17" w:name="_Toc25542"/>
      <w:bookmarkStart w:id="18" w:name="_Toc6779"/>
      <w:r>
        <w:rPr>
          <w:rFonts w:hint="eastAsia" w:cs="宋体" w:asciiTheme="majorEastAsia" w:hAnsiTheme="majorEastAsia" w:eastAsiaTheme="majorEastAsia"/>
          <w:kern w:val="2"/>
          <w:sz w:val="30"/>
          <w:szCs w:val="30"/>
          <w:lang w:val="en-US" w:eastAsia="zh-CN" w:bidi="ar-SA"/>
        </w:rPr>
        <w:t>资格性自查表</w:t>
      </w:r>
      <w:bookmarkEnd w:id="17"/>
      <w:bookmarkEnd w:id="18"/>
    </w:p>
    <w:tbl>
      <w:tblPr>
        <w:tblStyle w:val="17"/>
        <w:tblW w:w="104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6518"/>
        <w:gridCol w:w="1244"/>
        <w:gridCol w:w="1982"/>
      </w:tblGrid>
      <w:tr w14:paraId="235BB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87" w:type="dxa"/>
            <w:vAlign w:val="center"/>
          </w:tcPr>
          <w:p w14:paraId="2C0AE172">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lang w:eastAsia="zh-CN"/>
              </w:rPr>
            </w:pPr>
            <w:r>
              <w:rPr>
                <w:rFonts w:hint="eastAsia" w:ascii="宋体" w:hAnsi="宋体" w:eastAsia="宋体" w:cs="宋体"/>
                <w:b/>
                <w:bCs/>
                <w:szCs w:val="21"/>
                <w:highlight w:val="none"/>
                <w:lang w:val="en-US" w:eastAsia="zh-CN"/>
              </w:rPr>
              <w:t>序号</w:t>
            </w:r>
          </w:p>
        </w:tc>
        <w:tc>
          <w:tcPr>
            <w:tcW w:w="6518" w:type="dxa"/>
            <w:vAlign w:val="center"/>
          </w:tcPr>
          <w:p w14:paraId="47B927D3">
            <w:pPr>
              <w:keepNext w:val="0"/>
              <w:keepLines w:val="0"/>
              <w:suppressLineNumbers w:val="0"/>
              <w:spacing w:before="0" w:beforeAutospacing="0" w:after="0" w:afterAutospacing="0"/>
              <w:ind w:left="0" w:right="0" w:firstLine="19" w:firstLineChars="9"/>
              <w:jc w:val="center"/>
              <w:rPr>
                <w:rFonts w:hint="eastAsia" w:ascii="宋体" w:hAnsi="宋体" w:eastAsia="宋体" w:cs="宋体"/>
                <w:b/>
                <w:bCs/>
                <w:szCs w:val="21"/>
                <w:highlight w:val="none"/>
              </w:rPr>
            </w:pPr>
            <w:r>
              <w:rPr>
                <w:rFonts w:hint="eastAsia" w:ascii="宋体" w:hAnsi="宋体" w:eastAsia="宋体" w:cs="宋体"/>
                <w:b/>
                <w:bCs/>
                <w:szCs w:val="21"/>
                <w:highlight w:val="none"/>
                <w:lang w:eastAsia="zh-CN"/>
              </w:rPr>
              <w:t>谈判文件</w:t>
            </w:r>
            <w:r>
              <w:rPr>
                <w:rFonts w:hint="eastAsia" w:ascii="宋体" w:hAnsi="宋体" w:eastAsia="宋体" w:cs="宋体"/>
                <w:b/>
                <w:bCs/>
                <w:szCs w:val="21"/>
                <w:highlight w:val="none"/>
              </w:rPr>
              <w:t>要求</w:t>
            </w:r>
          </w:p>
        </w:tc>
        <w:tc>
          <w:tcPr>
            <w:tcW w:w="1244" w:type="dxa"/>
            <w:vAlign w:val="center"/>
          </w:tcPr>
          <w:p w14:paraId="605A4924">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rPr>
            </w:pPr>
            <w:r>
              <w:rPr>
                <w:rFonts w:hint="eastAsia" w:ascii="宋体" w:hAnsi="宋体" w:eastAsia="宋体" w:cs="宋体"/>
                <w:b/>
                <w:bCs/>
                <w:szCs w:val="21"/>
                <w:highlight w:val="none"/>
              </w:rPr>
              <w:t>自查结论</w:t>
            </w:r>
          </w:p>
        </w:tc>
        <w:tc>
          <w:tcPr>
            <w:tcW w:w="1982" w:type="dxa"/>
            <w:vAlign w:val="center"/>
          </w:tcPr>
          <w:p w14:paraId="74725D66">
            <w:pPr>
              <w:keepNext w:val="0"/>
              <w:keepLines w:val="0"/>
              <w:suppressLineNumbers w:val="0"/>
              <w:spacing w:before="0" w:beforeAutospacing="0" w:after="0" w:afterAutospacing="0"/>
              <w:ind w:left="0" w:right="-178" w:rightChars="-85"/>
              <w:jc w:val="center"/>
              <w:rPr>
                <w:rFonts w:hint="eastAsia" w:ascii="宋体" w:hAnsi="宋体" w:eastAsia="宋体" w:cs="宋体"/>
                <w:b/>
                <w:bCs/>
                <w:szCs w:val="21"/>
                <w:highlight w:val="none"/>
              </w:rPr>
            </w:pPr>
            <w:r>
              <w:rPr>
                <w:rFonts w:hint="eastAsia" w:ascii="宋体" w:hAnsi="宋体" w:eastAsia="宋体" w:cs="宋体"/>
                <w:b/>
                <w:bCs/>
                <w:szCs w:val="21"/>
                <w:highlight w:val="none"/>
              </w:rPr>
              <w:t>证明资料</w:t>
            </w:r>
          </w:p>
        </w:tc>
      </w:tr>
      <w:tr w14:paraId="2B4A8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6E45F667">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rPr>
            </w:pPr>
            <w:r>
              <w:rPr>
                <w:rFonts w:hint="eastAsia" w:ascii="宋体" w:hAnsi="宋体" w:eastAsia="宋体" w:cs="宋体"/>
                <w:szCs w:val="21"/>
                <w:highlight w:val="none"/>
              </w:rPr>
              <w:t>1</w:t>
            </w:r>
          </w:p>
        </w:tc>
        <w:tc>
          <w:tcPr>
            <w:tcW w:w="6518" w:type="dxa"/>
            <w:vAlign w:val="center"/>
          </w:tcPr>
          <w:p w14:paraId="315DD27B">
            <w:pPr>
              <w:keepNext w:val="0"/>
              <w:keepLines w:val="0"/>
              <w:suppressLineNumbers w:val="0"/>
              <w:spacing w:before="0" w:beforeAutospacing="0" w:after="0" w:afterAutospacing="0"/>
              <w:ind w:left="0" w:leftChars="0" w:right="0" w:rightChars="0"/>
              <w:jc w:val="left"/>
              <w:rPr>
                <w:rFonts w:hint="eastAsia" w:ascii="宋体" w:hAnsi="宋体" w:eastAsia="宋体" w:cs="宋体"/>
                <w:szCs w:val="21"/>
                <w:highlight w:val="none"/>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不具备资质要求，或未提交相应资格证明材料（详见采购公告或采购邀请函中的资质要求，其中未列示的资质要求不得导致投标无效）</w:t>
            </w:r>
          </w:p>
        </w:tc>
        <w:tc>
          <w:tcPr>
            <w:tcW w:w="1244" w:type="dxa"/>
            <w:vAlign w:val="center"/>
          </w:tcPr>
          <w:p w14:paraId="59AC65E9">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5BE44F54">
            <w:pPr>
              <w:keepNext w:val="0"/>
              <w:keepLines w:val="0"/>
              <w:suppressLineNumbers w:val="0"/>
              <w:spacing w:before="0" w:beforeAutospacing="0" w:after="0" w:afterAutospacing="0"/>
              <w:ind w:left="36" w:leftChars="17" w:right="0"/>
              <w:jc w:val="center"/>
              <w:rPr>
                <w:rFonts w:hint="eastAsia" w:ascii="宋体" w:hAnsi="宋体" w:eastAsia="宋体" w:cs="宋体"/>
                <w:b/>
                <w:bCs/>
                <w:szCs w:val="21"/>
                <w:highlight w:val="none"/>
                <w:lang w:eastAsia="zh-CN"/>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1982" w:type="dxa"/>
            <w:vAlign w:val="center"/>
          </w:tcPr>
          <w:p w14:paraId="490ABC9D">
            <w:pPr>
              <w:keepNext w:val="0"/>
              <w:keepLines w:val="0"/>
              <w:suppressLineNumbers w:val="0"/>
              <w:spacing w:before="0" w:beforeAutospacing="0" w:after="0" w:afterAutospacing="0"/>
              <w:ind w:left="0" w:right="-178" w:rightChars="-85"/>
              <w:jc w:val="left"/>
              <w:rPr>
                <w:rFonts w:hint="eastAsia" w:ascii="宋体" w:hAnsi="宋体" w:eastAsia="宋体" w:cs="宋体"/>
                <w:b/>
                <w:bCs/>
                <w:szCs w:val="21"/>
                <w:highlight w:val="none"/>
              </w:rPr>
            </w:pPr>
            <w:r>
              <w:rPr>
                <w:rFonts w:hint="eastAsia" w:ascii="宋体" w:hAnsi="宋体" w:eastAsia="宋体" w:cs="宋体"/>
                <w:szCs w:val="21"/>
                <w:highlight w:val="none"/>
              </w:rPr>
              <w:t>见投标文件第( )页</w:t>
            </w:r>
          </w:p>
        </w:tc>
      </w:tr>
      <w:tr w14:paraId="5B610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7" w:type="dxa"/>
            <w:vAlign w:val="center"/>
          </w:tcPr>
          <w:p w14:paraId="35253ECC">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2</w:t>
            </w:r>
          </w:p>
        </w:tc>
        <w:tc>
          <w:tcPr>
            <w:tcW w:w="6518" w:type="dxa"/>
            <w:vAlign w:val="center"/>
          </w:tcPr>
          <w:p w14:paraId="5CF0CCAF">
            <w:pPr>
              <w:keepNext w:val="0"/>
              <w:keepLines w:val="0"/>
              <w:suppressLineNumbers w:val="0"/>
              <w:spacing w:before="0" w:beforeAutospacing="0" w:after="0" w:afterAutospacing="0"/>
              <w:ind w:left="0" w:leftChars="0" w:right="0" w:rightChars="0"/>
              <w:jc w:val="left"/>
              <w:rPr>
                <w:rFonts w:hint="eastAsia" w:ascii="宋体" w:hAnsi="宋体" w:eastAsia="宋体" w:cs="宋体"/>
                <w:szCs w:val="21"/>
                <w:highlight w:val="none"/>
                <w:lang w:val="zh-CN"/>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未按采购公告（或采购邀请函）要求完成投标报名的</w:t>
            </w:r>
          </w:p>
        </w:tc>
        <w:tc>
          <w:tcPr>
            <w:tcW w:w="1244" w:type="dxa"/>
            <w:vAlign w:val="center"/>
          </w:tcPr>
          <w:p w14:paraId="2E3F75E3">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72C543A6">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1982" w:type="dxa"/>
            <w:vAlign w:val="center"/>
          </w:tcPr>
          <w:p w14:paraId="550052FD">
            <w:pPr>
              <w:keepNext w:val="0"/>
              <w:keepLines w:val="0"/>
              <w:suppressLineNumbers w:val="0"/>
              <w:spacing w:before="0" w:beforeAutospacing="0" w:after="0" w:afterAutospacing="0"/>
              <w:ind w:left="0" w:right="-178" w:rightChars="-85"/>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bl>
    <w:p w14:paraId="66A005CD">
      <w:pPr>
        <w:adjustRightInd w:val="0"/>
        <w:snapToGrid w:val="0"/>
        <w:spacing w:line="360" w:lineRule="auto"/>
        <w:jc w:val="left"/>
        <w:outlineLvl w:val="9"/>
        <w:rPr>
          <w:rFonts w:ascii="宋体" w:hAnsi="宋体"/>
          <w:color w:val="auto"/>
          <w:highlight w:val="none"/>
        </w:rPr>
      </w:pPr>
      <w:r>
        <w:rPr>
          <w:rFonts w:hint="eastAsia" w:ascii="宋体" w:hAnsi="宋体" w:cs="宋体"/>
        </w:rPr>
        <w:t>说明：</w:t>
      </w:r>
      <w:r>
        <w:rPr>
          <w:rFonts w:hint="eastAsia" w:ascii="宋体" w:hAnsi="宋体"/>
        </w:rPr>
        <w:t>投标人必须严格按照《资格性</w:t>
      </w:r>
      <w:r>
        <w:rPr>
          <w:rFonts w:hint="eastAsia" w:ascii="宋体" w:hAnsi="宋体"/>
          <w:lang w:val="en-US" w:eastAsia="zh-CN"/>
        </w:rPr>
        <w:t>自查</w:t>
      </w:r>
      <w:r>
        <w:rPr>
          <w:rFonts w:hint="eastAsia" w:ascii="宋体" w:hAnsi="宋体"/>
        </w:rPr>
        <w:t>表》的评审内容的要求如实提供证明材料</w:t>
      </w:r>
      <w:r>
        <w:rPr>
          <w:rFonts w:hint="eastAsia" w:ascii="宋体" w:hAnsi="宋体"/>
          <w:bCs/>
        </w:rPr>
        <w:t>并应加盖投标人公章,</w:t>
      </w:r>
      <w:r>
        <w:rPr>
          <w:rFonts w:hint="eastAsia" w:ascii="宋体" w:hAnsi="宋体"/>
        </w:rPr>
        <w:t>对缺漏或不符合项将直接导致无</w:t>
      </w:r>
      <w:r>
        <w:rPr>
          <w:rFonts w:hint="eastAsia" w:ascii="宋体" w:hAnsi="宋体"/>
          <w:color w:val="auto"/>
          <w:highlight w:val="none"/>
        </w:rPr>
        <w:t>效投标</w:t>
      </w:r>
      <w:r>
        <w:rPr>
          <w:rFonts w:hint="eastAsia" w:ascii="宋体" w:cs="宋体"/>
          <w:color w:val="auto"/>
          <w:szCs w:val="21"/>
          <w:highlight w:val="none"/>
        </w:rPr>
        <w:t>。</w:t>
      </w:r>
    </w:p>
    <w:p w14:paraId="1599D583">
      <w:pPr>
        <w:widowControl w:val="0"/>
        <w:numPr>
          <w:ilvl w:val="0"/>
          <w:numId w:val="12"/>
        </w:numPr>
        <w:ind w:left="420" w:leftChars="0" w:hanging="420" w:firstLineChars="0"/>
        <w:jc w:val="center"/>
        <w:outlineLvl w:val="0"/>
        <w:rPr>
          <w:rFonts w:hint="eastAsia" w:cs="宋体" w:asciiTheme="majorEastAsia" w:hAnsiTheme="majorEastAsia" w:eastAsiaTheme="majorEastAsia"/>
          <w:kern w:val="2"/>
          <w:sz w:val="30"/>
          <w:szCs w:val="30"/>
          <w:lang w:val="en-US" w:eastAsia="zh-CN" w:bidi="ar-SA"/>
        </w:rPr>
      </w:pPr>
      <w:bookmarkStart w:id="19" w:name="_Toc29213"/>
      <w:bookmarkStart w:id="20" w:name="_Toc21714"/>
      <w:r>
        <w:rPr>
          <w:rFonts w:hint="eastAsia" w:cs="宋体" w:asciiTheme="majorEastAsia" w:hAnsiTheme="majorEastAsia" w:eastAsiaTheme="majorEastAsia"/>
          <w:kern w:val="2"/>
          <w:sz w:val="30"/>
          <w:szCs w:val="30"/>
          <w:lang w:val="en-US" w:eastAsia="zh-CN" w:bidi="ar-SA"/>
        </w:rPr>
        <w:t>符合性自查表</w:t>
      </w:r>
      <w:bookmarkEnd w:id="19"/>
      <w:bookmarkEnd w:id="20"/>
    </w:p>
    <w:tbl>
      <w:tblPr>
        <w:tblStyle w:val="17"/>
        <w:tblW w:w="104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6519"/>
        <w:gridCol w:w="1240"/>
        <w:gridCol w:w="2004"/>
      </w:tblGrid>
      <w:tr w14:paraId="2E1B1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6BDD0664">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lang w:eastAsia="zh-CN"/>
              </w:rPr>
            </w:pPr>
            <w:r>
              <w:rPr>
                <w:rFonts w:hint="eastAsia" w:ascii="宋体" w:hAnsi="宋体" w:eastAsia="宋体" w:cs="宋体"/>
                <w:b/>
                <w:bCs/>
                <w:szCs w:val="21"/>
                <w:highlight w:val="none"/>
                <w:lang w:val="en-US" w:eastAsia="zh-CN"/>
              </w:rPr>
              <w:t>序号</w:t>
            </w:r>
          </w:p>
        </w:tc>
        <w:tc>
          <w:tcPr>
            <w:tcW w:w="6519" w:type="dxa"/>
            <w:vAlign w:val="center"/>
          </w:tcPr>
          <w:p w14:paraId="47A7A07B">
            <w:pPr>
              <w:keepNext w:val="0"/>
              <w:keepLines w:val="0"/>
              <w:suppressLineNumbers w:val="0"/>
              <w:spacing w:before="0" w:beforeAutospacing="0" w:after="0" w:afterAutospacing="0"/>
              <w:ind w:left="0" w:right="0" w:firstLine="19" w:firstLineChars="9"/>
              <w:jc w:val="center"/>
              <w:rPr>
                <w:rFonts w:hint="eastAsia" w:ascii="宋体" w:hAnsi="宋体" w:eastAsia="宋体" w:cs="宋体"/>
                <w:b/>
                <w:bCs/>
                <w:szCs w:val="21"/>
                <w:highlight w:val="none"/>
              </w:rPr>
            </w:pPr>
            <w:r>
              <w:rPr>
                <w:rFonts w:hint="eastAsia" w:ascii="宋体" w:hAnsi="宋体" w:eastAsia="宋体" w:cs="宋体"/>
                <w:b/>
                <w:bCs/>
                <w:szCs w:val="21"/>
                <w:highlight w:val="none"/>
                <w:lang w:eastAsia="zh-CN"/>
              </w:rPr>
              <w:t>谈判文件</w:t>
            </w:r>
            <w:r>
              <w:rPr>
                <w:rFonts w:hint="eastAsia" w:ascii="宋体" w:hAnsi="宋体" w:eastAsia="宋体" w:cs="宋体"/>
                <w:b/>
                <w:bCs/>
                <w:szCs w:val="21"/>
                <w:highlight w:val="none"/>
              </w:rPr>
              <w:t>要求</w:t>
            </w:r>
          </w:p>
        </w:tc>
        <w:tc>
          <w:tcPr>
            <w:tcW w:w="1240" w:type="dxa"/>
            <w:vAlign w:val="center"/>
          </w:tcPr>
          <w:p w14:paraId="77891499">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rPr>
            </w:pPr>
            <w:r>
              <w:rPr>
                <w:rFonts w:hint="eastAsia" w:ascii="宋体" w:hAnsi="宋体" w:eastAsia="宋体" w:cs="宋体"/>
                <w:b/>
                <w:bCs/>
                <w:szCs w:val="21"/>
                <w:highlight w:val="none"/>
              </w:rPr>
              <w:t>自查结论</w:t>
            </w:r>
          </w:p>
        </w:tc>
        <w:tc>
          <w:tcPr>
            <w:tcW w:w="2004" w:type="dxa"/>
            <w:vAlign w:val="center"/>
          </w:tcPr>
          <w:p w14:paraId="799F1D15">
            <w:pPr>
              <w:keepNext w:val="0"/>
              <w:keepLines w:val="0"/>
              <w:suppressLineNumbers w:val="0"/>
              <w:spacing w:before="0" w:beforeAutospacing="0" w:after="0" w:afterAutospacing="0"/>
              <w:ind w:left="0" w:right="-178" w:rightChars="-85"/>
              <w:jc w:val="center"/>
              <w:rPr>
                <w:rFonts w:hint="eastAsia" w:ascii="宋体" w:hAnsi="宋体" w:eastAsia="宋体" w:cs="宋体"/>
                <w:b/>
                <w:bCs/>
                <w:szCs w:val="21"/>
                <w:highlight w:val="none"/>
              </w:rPr>
            </w:pPr>
            <w:r>
              <w:rPr>
                <w:rFonts w:hint="eastAsia" w:ascii="宋体" w:hAnsi="宋体" w:eastAsia="宋体" w:cs="宋体"/>
                <w:b/>
                <w:bCs/>
                <w:szCs w:val="21"/>
                <w:highlight w:val="none"/>
              </w:rPr>
              <w:t>证明资料</w:t>
            </w:r>
          </w:p>
        </w:tc>
      </w:tr>
      <w:tr w14:paraId="72313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8" w:type="dxa"/>
            <w:vAlign w:val="center"/>
          </w:tcPr>
          <w:p w14:paraId="75862572">
            <w:pPr>
              <w:keepNext w:val="0"/>
              <w:keepLines w:val="0"/>
              <w:suppressLineNumbers w:val="0"/>
              <w:spacing w:before="0" w:beforeAutospacing="0" w:after="0" w:afterAutospacing="0"/>
              <w:ind w:left="0" w:leftChars="0" w:right="0" w:rightChars="0"/>
              <w:jc w:val="center"/>
              <w:rPr>
                <w:rFonts w:hint="eastAsia" w:ascii="宋体" w:hAnsi="宋体" w:eastAsia="宋体" w:cs="宋体"/>
                <w:szCs w:val="21"/>
                <w:highlight w:val="none"/>
              </w:rPr>
            </w:pPr>
            <w:r>
              <w:rPr>
                <w:rFonts w:hint="eastAsia" w:ascii="宋体" w:hAnsi="宋体" w:eastAsia="宋体" w:cs="宋体"/>
                <w:szCs w:val="21"/>
                <w:highlight w:val="none"/>
              </w:rPr>
              <w:t>1</w:t>
            </w:r>
          </w:p>
        </w:tc>
        <w:tc>
          <w:tcPr>
            <w:tcW w:w="6519" w:type="dxa"/>
            <w:shd w:val="clear" w:color="auto" w:fill="auto"/>
            <w:vAlign w:val="center"/>
          </w:tcPr>
          <w:p w14:paraId="505738C8">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将一个包中的内容拆开投标</w:t>
            </w:r>
          </w:p>
        </w:tc>
        <w:tc>
          <w:tcPr>
            <w:tcW w:w="1240" w:type="dxa"/>
            <w:vAlign w:val="center"/>
          </w:tcPr>
          <w:p w14:paraId="66D930A8">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1C6BFAB5">
            <w:pPr>
              <w:keepNext w:val="0"/>
              <w:keepLines w:val="0"/>
              <w:suppressLineNumbers w:val="0"/>
              <w:spacing w:before="0" w:beforeAutospacing="0" w:after="120" w:afterAutospacing="0"/>
              <w:ind w:left="36" w:leftChars="17" w:right="0" w:rightChars="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0029CF0A">
            <w:pPr>
              <w:keepNext w:val="0"/>
              <w:keepLines w:val="0"/>
              <w:suppressLineNumbers w:val="0"/>
              <w:spacing w:before="0" w:beforeAutospacing="0" w:after="120" w:afterAutospacing="0"/>
              <w:ind w:left="0" w:leftChars="0" w:right="0" w:rightChars="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604C1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0219854E">
            <w:pPr>
              <w:keepNext w:val="0"/>
              <w:keepLines w:val="0"/>
              <w:suppressLineNumbers w:val="0"/>
              <w:spacing w:before="0" w:beforeAutospacing="0" w:after="0" w:afterAutospacing="0"/>
              <w:ind w:left="0" w:leftChars="0" w:right="0" w:rightChars="0"/>
              <w:jc w:val="center"/>
              <w:rPr>
                <w:rFonts w:hint="eastAsia" w:ascii="宋体" w:hAnsi="宋体" w:eastAsia="宋体" w:cs="宋体"/>
                <w:szCs w:val="21"/>
                <w:highlight w:val="none"/>
              </w:rPr>
            </w:pPr>
            <w:r>
              <w:rPr>
                <w:rFonts w:hint="eastAsia" w:ascii="宋体" w:hAnsi="宋体" w:eastAsia="宋体" w:cs="宋体"/>
                <w:szCs w:val="21"/>
                <w:highlight w:val="none"/>
              </w:rPr>
              <w:t>2</w:t>
            </w:r>
          </w:p>
        </w:tc>
        <w:tc>
          <w:tcPr>
            <w:tcW w:w="6519" w:type="dxa"/>
            <w:shd w:val="clear" w:color="auto" w:fill="auto"/>
            <w:vAlign w:val="center"/>
          </w:tcPr>
          <w:p w14:paraId="39608BB3">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文件未按规定密封、签字、盖章</w:t>
            </w:r>
          </w:p>
        </w:tc>
        <w:tc>
          <w:tcPr>
            <w:tcW w:w="1240" w:type="dxa"/>
            <w:vAlign w:val="center"/>
          </w:tcPr>
          <w:p w14:paraId="78152865">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62E3B643">
            <w:pPr>
              <w:keepNext w:val="0"/>
              <w:keepLines w:val="0"/>
              <w:suppressLineNumbers w:val="0"/>
              <w:spacing w:before="0" w:beforeAutospacing="0" w:after="0" w:afterAutospacing="0"/>
              <w:ind w:left="36" w:leftChars="17" w:right="0" w:rightChars="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7EFBCF20">
            <w:pPr>
              <w:keepNext w:val="0"/>
              <w:keepLines w:val="0"/>
              <w:suppressLineNumbers w:val="0"/>
              <w:spacing w:before="0" w:beforeAutospacing="0" w:after="0" w:afterAutospacing="0"/>
              <w:ind w:left="0" w:leftChars="0" w:right="-178" w:rightChars="-85"/>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0FCCF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381DCB45">
            <w:pPr>
              <w:keepNext w:val="0"/>
              <w:keepLines w:val="0"/>
              <w:suppressLineNumbers w:val="0"/>
              <w:spacing w:before="0" w:beforeAutospacing="0" w:after="0" w:afterAutospacing="0"/>
              <w:ind w:left="0" w:leftChars="0" w:right="0" w:rightChars="0"/>
              <w:jc w:val="center"/>
              <w:rPr>
                <w:rFonts w:hint="eastAsia" w:ascii="宋体" w:hAnsi="宋体" w:eastAsia="宋体" w:cs="宋体"/>
                <w:szCs w:val="21"/>
                <w:highlight w:val="none"/>
              </w:rPr>
            </w:pPr>
            <w:r>
              <w:rPr>
                <w:rFonts w:hint="eastAsia" w:ascii="宋体" w:hAnsi="宋体" w:eastAsia="宋体" w:cs="宋体"/>
                <w:szCs w:val="21"/>
                <w:highlight w:val="none"/>
              </w:rPr>
              <w:t>3</w:t>
            </w:r>
          </w:p>
        </w:tc>
        <w:tc>
          <w:tcPr>
            <w:tcW w:w="6519" w:type="dxa"/>
            <w:shd w:val="clear" w:color="auto" w:fill="auto"/>
            <w:vAlign w:val="center"/>
          </w:tcPr>
          <w:p w14:paraId="76657869">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谈判</w:t>
            </w:r>
            <w:r>
              <w:rPr>
                <w:rFonts w:hint="eastAsia" w:ascii="宋体" w:hAnsi="宋体" w:eastAsia="宋体" w:cs="宋体"/>
                <w:sz w:val="21"/>
                <w:szCs w:val="21"/>
              </w:rPr>
              <w:t>文件未规定允许有替代方案时，对同一项目投标时，同时提供两套或两套以上的投标方案</w:t>
            </w:r>
          </w:p>
        </w:tc>
        <w:tc>
          <w:tcPr>
            <w:tcW w:w="1240" w:type="dxa"/>
            <w:vAlign w:val="center"/>
          </w:tcPr>
          <w:p w14:paraId="02E295DB">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2CA1000A">
            <w:pPr>
              <w:keepNext w:val="0"/>
              <w:keepLines w:val="0"/>
              <w:suppressLineNumbers w:val="0"/>
              <w:spacing w:before="0" w:beforeAutospacing="0" w:after="0" w:afterAutospacing="0"/>
              <w:ind w:left="36" w:leftChars="17" w:right="0" w:rightChars="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2A451F83">
            <w:pPr>
              <w:keepNext w:val="0"/>
              <w:keepLines w:val="0"/>
              <w:suppressLineNumbers w:val="0"/>
              <w:spacing w:before="0" w:beforeAutospacing="0" w:after="0" w:afterAutospacing="0"/>
              <w:ind w:left="0" w:leftChars="0" w:right="-178" w:rightChars="-85"/>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3E96F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129DC0A8">
            <w:pPr>
              <w:keepNext w:val="0"/>
              <w:keepLines w:val="0"/>
              <w:suppressLineNumbers w:val="0"/>
              <w:spacing w:before="0" w:beforeAutospacing="0" w:after="0" w:afterAutospacing="0"/>
              <w:ind w:left="0" w:leftChars="0" w:right="0" w:rightChars="0"/>
              <w:jc w:val="center"/>
              <w:rPr>
                <w:rFonts w:hint="eastAsia" w:ascii="宋体" w:hAnsi="宋体" w:eastAsia="宋体" w:cs="宋体"/>
                <w:szCs w:val="21"/>
                <w:highlight w:val="none"/>
              </w:rPr>
            </w:pPr>
            <w:r>
              <w:rPr>
                <w:rFonts w:hint="eastAsia" w:ascii="宋体" w:hAnsi="宋体" w:eastAsia="宋体" w:cs="宋体"/>
                <w:szCs w:val="21"/>
                <w:highlight w:val="none"/>
              </w:rPr>
              <w:t>4</w:t>
            </w:r>
          </w:p>
        </w:tc>
        <w:tc>
          <w:tcPr>
            <w:tcW w:w="6519" w:type="dxa"/>
            <w:shd w:val="clear" w:color="auto" w:fill="auto"/>
            <w:vAlign w:val="center"/>
          </w:tcPr>
          <w:p w14:paraId="71A26AAE">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分项报价或投标总价高于预算金额（最高投标限价）的，或未按</w:t>
            </w:r>
            <w:r>
              <w:rPr>
                <w:rFonts w:hint="eastAsia" w:ascii="宋体" w:hAnsi="宋体" w:eastAsia="宋体" w:cs="宋体"/>
                <w:sz w:val="21"/>
                <w:szCs w:val="21"/>
                <w:lang w:val="en-US" w:eastAsia="zh-CN"/>
              </w:rPr>
              <w:t>谈判</w:t>
            </w:r>
            <w:r>
              <w:rPr>
                <w:rFonts w:hint="eastAsia" w:ascii="宋体" w:hAnsi="宋体" w:eastAsia="宋体" w:cs="宋体"/>
                <w:sz w:val="21"/>
                <w:szCs w:val="21"/>
              </w:rPr>
              <w:t>文件要求报价的</w:t>
            </w:r>
          </w:p>
        </w:tc>
        <w:tc>
          <w:tcPr>
            <w:tcW w:w="1240" w:type="dxa"/>
            <w:vAlign w:val="center"/>
          </w:tcPr>
          <w:p w14:paraId="613CE2D2">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01D9A558">
            <w:pPr>
              <w:keepNext w:val="0"/>
              <w:keepLines w:val="0"/>
              <w:suppressLineNumbers w:val="0"/>
              <w:spacing w:before="0" w:beforeAutospacing="0" w:after="120" w:afterAutospacing="0"/>
              <w:ind w:left="36" w:leftChars="17" w:right="0" w:rightChars="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2BF002AF">
            <w:pPr>
              <w:keepNext w:val="0"/>
              <w:keepLines w:val="0"/>
              <w:suppressLineNumbers w:val="0"/>
              <w:spacing w:before="0" w:beforeAutospacing="0" w:after="120" w:afterAutospacing="0"/>
              <w:ind w:left="0" w:leftChars="0" w:right="0" w:rightChars="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7059F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62B4EEDC">
            <w:pPr>
              <w:keepNext w:val="0"/>
              <w:keepLines w:val="0"/>
              <w:suppressLineNumbers w:val="0"/>
              <w:spacing w:before="0" w:beforeAutospacing="0" w:after="0" w:afterAutospacing="0"/>
              <w:ind w:left="0" w:leftChars="0" w:right="0" w:rightChars="0"/>
              <w:jc w:val="center"/>
              <w:rPr>
                <w:rFonts w:hint="eastAsia" w:ascii="宋体" w:hAnsi="宋体" w:eastAsia="宋体" w:cs="宋体"/>
                <w:szCs w:val="21"/>
                <w:highlight w:val="none"/>
              </w:rPr>
            </w:pPr>
            <w:r>
              <w:rPr>
                <w:rFonts w:hint="eastAsia" w:ascii="宋体" w:hAnsi="宋体" w:eastAsia="宋体" w:cs="宋体"/>
                <w:szCs w:val="21"/>
                <w:highlight w:val="none"/>
              </w:rPr>
              <w:t>5</w:t>
            </w:r>
          </w:p>
        </w:tc>
        <w:tc>
          <w:tcPr>
            <w:tcW w:w="6519" w:type="dxa"/>
            <w:shd w:val="clear" w:color="auto" w:fill="auto"/>
            <w:vAlign w:val="center"/>
          </w:tcPr>
          <w:p w14:paraId="323DD3FE">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同一项目出现两个及以上报价，按规定又无法确定哪个是有效报价</w:t>
            </w:r>
          </w:p>
        </w:tc>
        <w:tc>
          <w:tcPr>
            <w:tcW w:w="1240" w:type="dxa"/>
            <w:vAlign w:val="center"/>
          </w:tcPr>
          <w:p w14:paraId="76377D00">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48417F71">
            <w:pPr>
              <w:keepNext w:val="0"/>
              <w:keepLines w:val="0"/>
              <w:suppressLineNumbers w:val="0"/>
              <w:spacing w:before="0" w:beforeAutospacing="0" w:after="120" w:afterAutospacing="0"/>
              <w:ind w:left="36" w:leftChars="17" w:right="0" w:rightChars="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60403B95">
            <w:pPr>
              <w:keepNext w:val="0"/>
              <w:keepLines w:val="0"/>
              <w:suppressLineNumbers w:val="0"/>
              <w:spacing w:before="0" w:beforeAutospacing="0" w:after="120" w:afterAutospacing="0"/>
              <w:ind w:left="0" w:leftChars="0" w:right="0" w:rightChars="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16464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678" w:type="dxa"/>
            <w:vAlign w:val="center"/>
          </w:tcPr>
          <w:p w14:paraId="097844EB">
            <w:pPr>
              <w:keepNext w:val="0"/>
              <w:keepLines w:val="0"/>
              <w:suppressLineNumbers w:val="0"/>
              <w:spacing w:before="0" w:beforeAutospacing="0" w:after="0" w:afterAutospacing="0"/>
              <w:ind w:left="0" w:leftChars="0" w:right="0" w:rightChars="0"/>
              <w:jc w:val="center"/>
              <w:rPr>
                <w:rFonts w:hint="eastAsia" w:ascii="宋体" w:hAnsi="宋体" w:eastAsia="宋体" w:cs="宋体"/>
                <w:szCs w:val="21"/>
                <w:highlight w:val="none"/>
              </w:rPr>
            </w:pPr>
            <w:r>
              <w:rPr>
                <w:rFonts w:hint="eastAsia" w:ascii="宋体" w:hAnsi="宋体" w:eastAsia="宋体" w:cs="宋体"/>
                <w:szCs w:val="21"/>
                <w:highlight w:val="none"/>
              </w:rPr>
              <w:t>6</w:t>
            </w:r>
          </w:p>
        </w:tc>
        <w:tc>
          <w:tcPr>
            <w:tcW w:w="6519" w:type="dxa"/>
            <w:shd w:val="clear" w:color="auto" w:fill="auto"/>
            <w:vAlign w:val="center"/>
          </w:tcPr>
          <w:p w14:paraId="455E1F0C">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供应商投标(响应)报价触发异常低价投标(响应)审查程序后，供应商不能提供或未在采购文件规定时间内提供项目具体成本测算等与报价合理性相关的书面说明及必要的证明材料，包括但不限于原材料成本、人工成本、制造费用等，或者提供的书面说明、证明材料不能证明其报价合理性的（若评审委员会成员对投标人提供的书面说明、证明材料是否采纳或是否能证明其报价合理性的等判断不一致的，按照“少数服从多数”的原则确定评审委员会的意见）</w:t>
            </w:r>
          </w:p>
        </w:tc>
        <w:tc>
          <w:tcPr>
            <w:tcW w:w="1240" w:type="dxa"/>
            <w:vAlign w:val="center"/>
          </w:tcPr>
          <w:p w14:paraId="50264F05">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0C313715">
            <w:pPr>
              <w:keepNext w:val="0"/>
              <w:keepLines w:val="0"/>
              <w:suppressLineNumbers w:val="0"/>
              <w:spacing w:before="0" w:beforeAutospacing="0" w:after="120" w:afterAutospacing="0"/>
              <w:ind w:left="36" w:leftChars="17" w:right="0" w:rightChars="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0FCEFD01">
            <w:pPr>
              <w:keepNext w:val="0"/>
              <w:keepLines w:val="0"/>
              <w:suppressLineNumbers w:val="0"/>
              <w:spacing w:before="0" w:beforeAutospacing="0" w:after="120" w:afterAutospacing="0"/>
              <w:ind w:left="0" w:leftChars="0" w:right="0" w:rightChars="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672B4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2E8BCCFB">
            <w:pPr>
              <w:keepNext w:val="0"/>
              <w:keepLines w:val="0"/>
              <w:suppressLineNumbers w:val="0"/>
              <w:spacing w:before="0" w:beforeAutospacing="0" w:after="0" w:afterAutospacing="0"/>
              <w:ind w:left="0" w:leftChars="0" w:right="0" w:rightChars="0"/>
              <w:jc w:val="center"/>
              <w:rPr>
                <w:rFonts w:hint="eastAsia" w:ascii="宋体" w:hAnsi="宋体" w:eastAsia="宋体" w:cs="宋体"/>
                <w:szCs w:val="21"/>
                <w:highlight w:val="none"/>
              </w:rPr>
            </w:pPr>
            <w:r>
              <w:rPr>
                <w:rFonts w:hint="eastAsia" w:ascii="宋体" w:hAnsi="宋体" w:eastAsia="宋体" w:cs="宋体"/>
                <w:szCs w:val="21"/>
                <w:highlight w:val="none"/>
              </w:rPr>
              <w:t>7</w:t>
            </w:r>
          </w:p>
        </w:tc>
        <w:tc>
          <w:tcPr>
            <w:tcW w:w="6519" w:type="dxa"/>
            <w:shd w:val="clear" w:color="auto" w:fill="auto"/>
            <w:vAlign w:val="center"/>
          </w:tcPr>
          <w:p w14:paraId="12DE7337">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所投货物、服务在技术、商务等方面没有实质性满足</w:t>
            </w:r>
            <w:r>
              <w:rPr>
                <w:rFonts w:hint="eastAsia" w:ascii="宋体" w:hAnsi="宋体" w:eastAsia="宋体" w:cs="宋体"/>
                <w:sz w:val="21"/>
                <w:szCs w:val="21"/>
                <w:lang w:eastAsia="zh-CN"/>
              </w:rPr>
              <w:t>谈判</w:t>
            </w:r>
            <w:r>
              <w:rPr>
                <w:rFonts w:hint="eastAsia" w:ascii="宋体" w:hAnsi="宋体" w:eastAsia="宋体" w:cs="宋体"/>
                <w:sz w:val="21"/>
                <w:szCs w:val="21"/>
              </w:rPr>
              <w:t>文件要求的</w:t>
            </w:r>
          </w:p>
        </w:tc>
        <w:tc>
          <w:tcPr>
            <w:tcW w:w="1240" w:type="dxa"/>
            <w:vAlign w:val="center"/>
          </w:tcPr>
          <w:p w14:paraId="789B0B2F">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7193AA6E">
            <w:pPr>
              <w:keepNext w:val="0"/>
              <w:keepLines w:val="0"/>
              <w:suppressLineNumbers w:val="0"/>
              <w:spacing w:before="0" w:beforeAutospacing="0" w:after="120" w:afterAutospacing="0"/>
              <w:ind w:left="36" w:leftChars="17" w:right="0" w:rightChars="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7BA5D885">
            <w:pPr>
              <w:keepNext w:val="0"/>
              <w:keepLines w:val="0"/>
              <w:suppressLineNumbers w:val="0"/>
              <w:spacing w:before="0" w:beforeAutospacing="0" w:after="120" w:afterAutospacing="0"/>
              <w:ind w:left="0" w:leftChars="0" w:right="0" w:rightChars="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55E74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8" w:type="dxa"/>
            <w:vAlign w:val="center"/>
          </w:tcPr>
          <w:p w14:paraId="67D4A6A3">
            <w:pPr>
              <w:keepNext w:val="0"/>
              <w:keepLines w:val="0"/>
              <w:suppressLineNumbers w:val="0"/>
              <w:spacing w:before="0" w:beforeAutospacing="0" w:after="0" w:afterAutospacing="0"/>
              <w:ind w:left="0" w:leftChars="0" w:right="0" w:rightChars="0"/>
              <w:jc w:val="center"/>
              <w:rPr>
                <w:rFonts w:hint="eastAsia" w:ascii="宋体" w:hAnsi="宋体" w:eastAsia="宋体" w:cs="宋体"/>
                <w:szCs w:val="21"/>
                <w:highlight w:val="none"/>
              </w:rPr>
            </w:pPr>
            <w:r>
              <w:rPr>
                <w:rFonts w:hint="eastAsia" w:ascii="宋体" w:hAnsi="宋体" w:eastAsia="宋体" w:cs="宋体"/>
                <w:szCs w:val="21"/>
                <w:highlight w:val="none"/>
              </w:rPr>
              <w:t>8</w:t>
            </w:r>
          </w:p>
        </w:tc>
        <w:tc>
          <w:tcPr>
            <w:tcW w:w="6519" w:type="dxa"/>
            <w:shd w:val="clear" w:color="auto" w:fill="auto"/>
            <w:vAlign w:val="center"/>
          </w:tcPr>
          <w:p w14:paraId="47FBAF7D">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文件对</w:t>
            </w:r>
            <w:r>
              <w:rPr>
                <w:rFonts w:hint="eastAsia" w:ascii="宋体" w:hAnsi="宋体" w:eastAsia="宋体" w:cs="宋体"/>
                <w:sz w:val="21"/>
                <w:szCs w:val="21"/>
                <w:lang w:val="en-US" w:eastAsia="zh-CN"/>
              </w:rPr>
              <w:t>谈判</w:t>
            </w:r>
            <w:r>
              <w:rPr>
                <w:rFonts w:hint="eastAsia" w:ascii="宋体" w:hAnsi="宋体" w:eastAsia="宋体" w:cs="宋体"/>
                <w:sz w:val="21"/>
                <w:szCs w:val="21"/>
              </w:rPr>
              <w:t>文件中标注“★”的条款响应为负偏离的</w:t>
            </w:r>
          </w:p>
        </w:tc>
        <w:tc>
          <w:tcPr>
            <w:tcW w:w="1240" w:type="dxa"/>
            <w:vAlign w:val="center"/>
          </w:tcPr>
          <w:p w14:paraId="114B4E6F">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7896B5B5">
            <w:pPr>
              <w:keepNext w:val="0"/>
              <w:keepLines w:val="0"/>
              <w:suppressLineNumbers w:val="0"/>
              <w:spacing w:before="0" w:beforeAutospacing="0" w:after="120" w:afterAutospacing="0"/>
              <w:ind w:left="36" w:leftChars="17" w:right="0" w:rightChars="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3BE4E5A5">
            <w:pPr>
              <w:keepNext w:val="0"/>
              <w:keepLines w:val="0"/>
              <w:suppressLineNumbers w:val="0"/>
              <w:spacing w:before="0" w:beforeAutospacing="0" w:after="120" w:afterAutospacing="0"/>
              <w:ind w:left="0" w:leftChars="0" w:right="0" w:rightChars="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02061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0E869902">
            <w:pPr>
              <w:keepNext w:val="0"/>
              <w:keepLines w:val="0"/>
              <w:suppressLineNumbers w:val="0"/>
              <w:spacing w:before="0" w:beforeAutospacing="0" w:after="0" w:afterAutospacing="0"/>
              <w:ind w:left="0" w:leftChars="0" w:right="0" w:rightChars="0"/>
              <w:jc w:val="center"/>
              <w:rPr>
                <w:rFonts w:hint="eastAsia" w:ascii="宋体" w:hAnsi="宋体" w:eastAsia="宋体" w:cs="宋体"/>
                <w:szCs w:val="21"/>
                <w:highlight w:val="none"/>
              </w:rPr>
            </w:pPr>
            <w:r>
              <w:rPr>
                <w:rFonts w:hint="eastAsia" w:ascii="宋体" w:hAnsi="宋体" w:eastAsia="宋体" w:cs="宋体"/>
                <w:szCs w:val="21"/>
                <w:highlight w:val="none"/>
              </w:rPr>
              <w:t>9</w:t>
            </w:r>
          </w:p>
        </w:tc>
        <w:tc>
          <w:tcPr>
            <w:tcW w:w="6519" w:type="dxa"/>
            <w:shd w:val="clear" w:color="auto" w:fill="auto"/>
            <w:vAlign w:val="center"/>
          </w:tcPr>
          <w:p w14:paraId="07262038">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文件对采购标的响应不全（响应不全情形包括：投标报价有缺漏项，对</w:t>
            </w:r>
            <w:r>
              <w:rPr>
                <w:rFonts w:hint="eastAsia" w:ascii="宋体" w:hAnsi="宋体" w:eastAsia="宋体" w:cs="宋体"/>
                <w:sz w:val="21"/>
                <w:szCs w:val="21"/>
                <w:lang w:val="en-US" w:eastAsia="zh-CN"/>
              </w:rPr>
              <w:t>谈判</w:t>
            </w:r>
            <w:r>
              <w:rPr>
                <w:rFonts w:hint="eastAsia" w:ascii="宋体" w:hAnsi="宋体" w:eastAsia="宋体" w:cs="宋体"/>
                <w:sz w:val="21"/>
                <w:szCs w:val="21"/>
              </w:rPr>
              <w:t>文件规定的项目需求内容或者需求数量进行修改，未填写所投货物的品牌、规格、型号、制造商、原产地）</w:t>
            </w:r>
          </w:p>
        </w:tc>
        <w:tc>
          <w:tcPr>
            <w:tcW w:w="1240" w:type="dxa"/>
            <w:vAlign w:val="center"/>
          </w:tcPr>
          <w:p w14:paraId="648E85B4">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7736779C">
            <w:pPr>
              <w:keepNext w:val="0"/>
              <w:keepLines w:val="0"/>
              <w:suppressLineNumbers w:val="0"/>
              <w:spacing w:before="0" w:beforeAutospacing="0" w:after="120" w:afterAutospacing="0"/>
              <w:ind w:left="36" w:leftChars="17" w:right="0" w:rightChars="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0B2F3620">
            <w:pPr>
              <w:keepNext w:val="0"/>
              <w:keepLines w:val="0"/>
              <w:suppressLineNumbers w:val="0"/>
              <w:spacing w:before="0" w:beforeAutospacing="0" w:after="120" w:afterAutospacing="0"/>
              <w:ind w:left="0" w:leftChars="0" w:right="0" w:rightChars="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0F194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4BF9E474">
            <w:pPr>
              <w:keepNext w:val="0"/>
              <w:keepLines w:val="0"/>
              <w:suppressLineNumbers w:val="0"/>
              <w:spacing w:before="0" w:beforeAutospacing="0" w:after="0" w:afterAutospacing="0"/>
              <w:ind w:left="0" w:leftChars="0" w:right="0" w:rightChars="0"/>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10</w:t>
            </w:r>
          </w:p>
        </w:tc>
        <w:tc>
          <w:tcPr>
            <w:tcW w:w="6519" w:type="dxa"/>
            <w:shd w:val="clear" w:color="auto" w:fill="auto"/>
            <w:vAlign w:val="center"/>
          </w:tcPr>
          <w:p w14:paraId="2BC975CF">
            <w:pPr>
              <w:keepNext w:val="0"/>
              <w:keepLines w:val="0"/>
              <w:suppressLineNumbers w:val="0"/>
              <w:spacing w:before="0" w:beforeAutospacing="0" w:after="0" w:afterAutospacing="0"/>
              <w:ind w:left="0" w:leftChars="0" w:right="0" w:rightChars="0"/>
              <w:rPr>
                <w:rFonts w:hint="eastAsia" w:ascii="宋体" w:hAnsi="宋体" w:eastAsia="宋体" w:cs="宋体"/>
                <w:sz w:val="21"/>
                <w:szCs w:val="21"/>
              </w:rPr>
            </w:pPr>
            <w:r>
              <w:rPr>
                <w:rFonts w:hint="eastAsia" w:ascii="宋体" w:hAnsi="宋体" w:eastAsia="宋体" w:cs="宋体"/>
                <w:sz w:val="21"/>
                <w:szCs w:val="21"/>
              </w:rPr>
              <w:t>未按</w:t>
            </w:r>
            <w:r>
              <w:rPr>
                <w:rFonts w:hint="eastAsia" w:ascii="宋体" w:hAnsi="宋体" w:eastAsia="宋体" w:cs="宋体"/>
                <w:sz w:val="21"/>
                <w:szCs w:val="21"/>
                <w:lang w:val="en-US" w:eastAsia="zh-CN"/>
              </w:rPr>
              <w:t>谈判</w:t>
            </w:r>
            <w:r>
              <w:rPr>
                <w:rFonts w:hint="eastAsia" w:ascii="宋体" w:hAnsi="宋体" w:eastAsia="宋体" w:cs="宋体"/>
                <w:sz w:val="21"/>
                <w:szCs w:val="21"/>
              </w:rPr>
              <w:t>文件附件所提供的样式和要求完整填写“投标函及履约承诺函”，或投标文件组成部分不符合</w:t>
            </w:r>
            <w:r>
              <w:rPr>
                <w:rFonts w:hint="eastAsia" w:ascii="宋体" w:hAnsi="宋体" w:eastAsia="宋体" w:cs="宋体"/>
                <w:sz w:val="21"/>
                <w:szCs w:val="21"/>
                <w:lang w:val="en-US" w:eastAsia="zh-CN"/>
              </w:rPr>
              <w:t>谈判文件</w:t>
            </w:r>
            <w:r>
              <w:rPr>
                <w:rFonts w:hint="eastAsia" w:ascii="宋体" w:hAnsi="宋体" w:eastAsia="宋体" w:cs="宋体"/>
                <w:sz w:val="21"/>
                <w:szCs w:val="21"/>
              </w:rPr>
              <w:t>规定的</w:t>
            </w:r>
          </w:p>
        </w:tc>
        <w:tc>
          <w:tcPr>
            <w:tcW w:w="1240" w:type="dxa"/>
            <w:vAlign w:val="center"/>
          </w:tcPr>
          <w:p w14:paraId="427B09D4">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7518E103">
            <w:pPr>
              <w:keepNext w:val="0"/>
              <w:keepLines w:val="0"/>
              <w:suppressLineNumbers w:val="0"/>
              <w:spacing w:before="0" w:beforeAutospacing="0" w:after="120" w:afterAutospacing="0"/>
              <w:ind w:left="36" w:leftChars="17" w:right="0" w:rightChars="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43061E27">
            <w:pPr>
              <w:keepNext w:val="0"/>
              <w:keepLines w:val="0"/>
              <w:suppressLineNumbers w:val="0"/>
              <w:spacing w:before="0" w:beforeAutospacing="0" w:after="120" w:afterAutospacing="0"/>
              <w:ind w:left="0" w:leftChars="0" w:right="0" w:rightChars="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59BB7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1451AC4C">
            <w:pPr>
              <w:keepNext w:val="0"/>
              <w:keepLines w:val="0"/>
              <w:suppressLineNumbers w:val="0"/>
              <w:spacing w:before="0" w:beforeAutospacing="0" w:after="0" w:afterAutospacing="0"/>
              <w:ind w:left="0" w:leftChars="0" w:right="0" w:rightChars="0"/>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1</w:t>
            </w:r>
            <w:r>
              <w:rPr>
                <w:rFonts w:hint="eastAsia" w:ascii="宋体" w:hAnsi="宋体" w:eastAsia="宋体" w:cs="宋体"/>
                <w:szCs w:val="21"/>
                <w:highlight w:val="none"/>
                <w:lang w:val="en-US" w:eastAsia="zh-CN"/>
              </w:rPr>
              <w:t>1</w:t>
            </w:r>
          </w:p>
        </w:tc>
        <w:tc>
          <w:tcPr>
            <w:tcW w:w="6519" w:type="dxa"/>
            <w:shd w:val="clear" w:color="auto" w:fill="auto"/>
            <w:vAlign w:val="center"/>
          </w:tcPr>
          <w:p w14:paraId="37030BEA">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投标文件附有采购人或</w:t>
            </w:r>
            <w:r>
              <w:rPr>
                <w:rFonts w:hint="eastAsia" w:ascii="宋体" w:hAnsi="宋体" w:eastAsia="宋体" w:cs="宋体"/>
                <w:sz w:val="21"/>
                <w:szCs w:val="21"/>
                <w:lang w:eastAsia="zh-CN"/>
              </w:rPr>
              <w:t>谈判</w:t>
            </w:r>
            <w:r>
              <w:rPr>
                <w:rFonts w:hint="eastAsia" w:ascii="宋体" w:hAnsi="宋体" w:eastAsia="宋体" w:cs="宋体"/>
                <w:sz w:val="21"/>
                <w:szCs w:val="21"/>
              </w:rPr>
              <w:t>需求不能接受的条件</w:t>
            </w:r>
          </w:p>
        </w:tc>
        <w:tc>
          <w:tcPr>
            <w:tcW w:w="1240" w:type="dxa"/>
            <w:vAlign w:val="center"/>
          </w:tcPr>
          <w:p w14:paraId="7D36714A">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747E5807">
            <w:pPr>
              <w:keepNext w:val="0"/>
              <w:keepLines w:val="0"/>
              <w:suppressLineNumbers w:val="0"/>
              <w:spacing w:before="0" w:beforeAutospacing="0" w:after="120" w:afterAutospacing="0"/>
              <w:ind w:left="36" w:leftChars="17" w:right="0" w:rightChars="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358E75A7">
            <w:pPr>
              <w:keepNext w:val="0"/>
              <w:keepLines w:val="0"/>
              <w:suppressLineNumbers w:val="0"/>
              <w:spacing w:before="0" w:beforeAutospacing="0" w:after="120" w:afterAutospacing="0"/>
              <w:ind w:left="0" w:leftChars="0" w:right="0" w:rightChars="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58AA4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2829BD8F">
            <w:pPr>
              <w:keepNext w:val="0"/>
              <w:keepLines w:val="0"/>
              <w:suppressLineNumbers w:val="0"/>
              <w:spacing w:before="0" w:beforeAutospacing="0" w:after="0" w:afterAutospacing="0"/>
              <w:ind w:left="0" w:leftChars="0" w:right="0" w:rightChars="0"/>
              <w:jc w:val="center"/>
              <w:rPr>
                <w:rFonts w:hint="eastAsia" w:ascii="宋体" w:hAnsi="宋体" w:eastAsia="宋体" w:cs="宋体"/>
                <w:szCs w:val="21"/>
                <w:highlight w:val="none"/>
              </w:rPr>
            </w:pPr>
            <w:r>
              <w:rPr>
                <w:rFonts w:hint="eastAsia" w:ascii="宋体" w:hAnsi="宋体" w:eastAsia="宋体" w:cs="宋体"/>
                <w:szCs w:val="21"/>
                <w:highlight w:val="none"/>
                <w:lang w:val="en-US" w:eastAsia="zh-CN"/>
              </w:rPr>
              <w:t>12</w:t>
            </w:r>
          </w:p>
        </w:tc>
        <w:tc>
          <w:tcPr>
            <w:tcW w:w="6519" w:type="dxa"/>
            <w:shd w:val="clear" w:color="auto" w:fill="auto"/>
            <w:vAlign w:val="center"/>
          </w:tcPr>
          <w:p w14:paraId="15ED3954">
            <w:pPr>
              <w:keepNext w:val="0"/>
              <w:keepLines w:val="0"/>
              <w:suppressLineNumbers w:val="0"/>
              <w:spacing w:before="0" w:beforeAutospacing="0" w:after="0" w:afterAutospacing="0"/>
              <w:ind w:left="0" w:leftChars="0" w:right="0" w:rightChars="0"/>
              <w:rPr>
                <w:rFonts w:hint="eastAsia" w:ascii="宋体" w:hAnsi="宋体" w:eastAsia="宋体" w:cs="宋体"/>
                <w:sz w:val="21"/>
                <w:szCs w:val="21"/>
              </w:rPr>
            </w:pPr>
            <w:r>
              <w:rPr>
                <w:rFonts w:hint="eastAsia" w:ascii="宋体" w:hAnsi="宋体" w:eastAsia="宋体" w:cs="宋体"/>
                <w:sz w:val="21"/>
                <w:szCs w:val="21"/>
              </w:rPr>
              <w:t>法律法规规定的其他情形</w:t>
            </w:r>
          </w:p>
        </w:tc>
        <w:tc>
          <w:tcPr>
            <w:tcW w:w="1240" w:type="dxa"/>
            <w:vAlign w:val="center"/>
          </w:tcPr>
          <w:p w14:paraId="0737367E">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6264665D">
            <w:pPr>
              <w:keepNext w:val="0"/>
              <w:keepLines w:val="0"/>
              <w:suppressLineNumbers w:val="0"/>
              <w:spacing w:before="0" w:beforeAutospacing="0" w:after="120" w:afterAutospacing="0"/>
              <w:ind w:left="36" w:leftChars="17" w:right="0" w:rightChars="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7B13DA12">
            <w:pPr>
              <w:keepNext w:val="0"/>
              <w:keepLines w:val="0"/>
              <w:suppressLineNumbers w:val="0"/>
              <w:spacing w:before="0" w:beforeAutospacing="0" w:after="120" w:afterAutospacing="0"/>
              <w:ind w:left="0" w:leftChars="0" w:right="0" w:rightChars="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bl>
    <w:p w14:paraId="681EFBA4">
      <w:pPr>
        <w:adjustRightInd w:val="0"/>
        <w:snapToGrid w:val="0"/>
        <w:spacing w:line="360" w:lineRule="auto"/>
        <w:jc w:val="left"/>
        <w:outlineLvl w:val="9"/>
        <w:rPr>
          <w:rFonts w:ascii="宋体" w:hAnsi="宋体"/>
          <w:color w:val="auto"/>
          <w:highlight w:val="none"/>
        </w:rPr>
      </w:pPr>
      <w:r>
        <w:rPr>
          <w:rFonts w:hint="eastAsia" w:ascii="宋体" w:hAnsi="宋体" w:cs="宋体"/>
        </w:rPr>
        <w:t>说明：</w:t>
      </w:r>
      <w:r>
        <w:rPr>
          <w:rFonts w:hint="eastAsia" w:ascii="宋体" w:hAnsi="宋体"/>
        </w:rPr>
        <w:t>投标人必须严格按照《</w:t>
      </w:r>
      <w:r>
        <w:rPr>
          <w:rFonts w:hint="eastAsia" w:ascii="宋体" w:hAnsi="宋体"/>
          <w:lang w:val="en-US" w:eastAsia="zh-CN"/>
        </w:rPr>
        <w:t>符合</w:t>
      </w:r>
      <w:r>
        <w:rPr>
          <w:rFonts w:hint="eastAsia" w:ascii="宋体" w:hAnsi="宋体"/>
        </w:rPr>
        <w:t>性</w:t>
      </w:r>
      <w:r>
        <w:rPr>
          <w:rFonts w:hint="eastAsia" w:ascii="宋体" w:hAnsi="宋体"/>
          <w:lang w:val="en-US" w:eastAsia="zh-CN"/>
        </w:rPr>
        <w:t>自查</w:t>
      </w:r>
      <w:r>
        <w:rPr>
          <w:rFonts w:hint="eastAsia" w:ascii="宋体" w:hAnsi="宋体"/>
        </w:rPr>
        <w:t>表》的评审内容的要求如实提供证明材料</w:t>
      </w:r>
      <w:r>
        <w:rPr>
          <w:rFonts w:hint="eastAsia" w:ascii="宋体" w:hAnsi="宋体"/>
          <w:bCs/>
        </w:rPr>
        <w:t>并应加盖投标人公章,</w:t>
      </w:r>
      <w:r>
        <w:rPr>
          <w:rFonts w:hint="eastAsia" w:ascii="宋体" w:hAnsi="宋体"/>
        </w:rPr>
        <w:t>对缺漏或不符合项将直接导致无</w:t>
      </w:r>
      <w:r>
        <w:rPr>
          <w:rFonts w:hint="eastAsia" w:ascii="宋体" w:hAnsi="宋体"/>
          <w:color w:val="auto"/>
          <w:highlight w:val="none"/>
        </w:rPr>
        <w:t>效投标</w:t>
      </w:r>
      <w:r>
        <w:rPr>
          <w:rFonts w:hint="eastAsia" w:ascii="宋体" w:cs="宋体"/>
          <w:color w:val="auto"/>
          <w:szCs w:val="21"/>
          <w:highlight w:val="none"/>
        </w:rPr>
        <w:t>。</w:t>
      </w:r>
    </w:p>
    <w:p w14:paraId="7837DDEC">
      <w:pPr>
        <w:widowControl w:val="0"/>
        <w:numPr>
          <w:ilvl w:val="0"/>
          <w:numId w:val="0"/>
        </w:numPr>
        <w:ind w:leftChars="0"/>
        <w:jc w:val="both"/>
        <w:rPr>
          <w:rFonts w:hint="eastAsia" w:cs="宋体" w:asciiTheme="majorEastAsia" w:hAnsiTheme="majorEastAsia" w:eastAsiaTheme="majorEastAsia"/>
          <w:kern w:val="2"/>
          <w:sz w:val="30"/>
          <w:szCs w:val="30"/>
          <w:lang w:val="en-US" w:eastAsia="zh-CN" w:bidi="ar-SA"/>
        </w:rPr>
        <w:sectPr>
          <w:headerReference r:id="rId4" w:type="default"/>
          <w:footerReference r:id="rId5" w:type="default"/>
          <w:pgSz w:w="11906" w:h="16838"/>
          <w:pgMar w:top="1440" w:right="1286" w:bottom="1440"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399D0F2C">
      <w:pPr>
        <w:widowControl w:val="0"/>
        <w:numPr>
          <w:ilvl w:val="0"/>
          <w:numId w:val="0"/>
        </w:numPr>
        <w:ind w:left="0" w:leftChars="0" w:firstLine="0" w:firstLineChars="0"/>
        <w:jc w:val="center"/>
        <w:outlineLvl w:val="0"/>
        <w:rPr>
          <w:rFonts w:hint="eastAsia" w:cs="宋体" w:asciiTheme="majorEastAsia" w:hAnsiTheme="majorEastAsia" w:eastAsiaTheme="majorEastAsia"/>
          <w:kern w:val="2"/>
          <w:sz w:val="30"/>
          <w:szCs w:val="30"/>
          <w:lang w:val="en-US" w:eastAsia="zh-CN" w:bidi="ar-SA"/>
        </w:rPr>
      </w:pPr>
      <w:bookmarkStart w:id="21" w:name="_Toc20641"/>
      <w:bookmarkStart w:id="22" w:name="_Toc1526"/>
      <w:r>
        <w:rPr>
          <w:rFonts w:hint="eastAsia" w:cs="宋体" w:asciiTheme="majorEastAsia" w:hAnsiTheme="majorEastAsia" w:eastAsiaTheme="majorEastAsia"/>
          <w:kern w:val="2"/>
          <w:sz w:val="30"/>
          <w:szCs w:val="30"/>
          <w:lang w:val="en-US" w:eastAsia="zh-CN" w:bidi="ar-SA"/>
        </w:rPr>
        <w:t>（三）警示情形自查确认表</w:t>
      </w:r>
      <w:bookmarkEnd w:id="21"/>
      <w:bookmarkEnd w:id="22"/>
    </w:p>
    <w:tbl>
      <w:tblPr>
        <w:tblStyle w:val="17"/>
        <w:tblW w:w="137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0"/>
        <w:gridCol w:w="744"/>
        <w:gridCol w:w="11002"/>
        <w:gridCol w:w="692"/>
        <w:gridCol w:w="693"/>
      </w:tblGrid>
      <w:tr w14:paraId="2ECE2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60" w:type="dxa"/>
            <w:tcBorders>
              <w:tl2br w:val="nil"/>
              <w:tr2bl w:val="nil"/>
            </w:tcBorders>
            <w:noWrap/>
            <w:vAlign w:val="center"/>
          </w:tcPr>
          <w:p w14:paraId="64DA0D58">
            <w:pPr>
              <w:spacing w:line="240" w:lineRule="auto"/>
              <w:jc w:val="both"/>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序号</w:t>
            </w:r>
          </w:p>
        </w:tc>
        <w:tc>
          <w:tcPr>
            <w:tcW w:w="744" w:type="dxa"/>
            <w:tcBorders>
              <w:tl2br w:val="nil"/>
              <w:tr2bl w:val="nil"/>
            </w:tcBorders>
            <w:noWrap/>
            <w:vAlign w:val="center"/>
          </w:tcPr>
          <w:p w14:paraId="73B5F9F9">
            <w:pPr>
              <w:spacing w:line="240" w:lineRule="auto"/>
              <w:jc w:val="center"/>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类别</w:t>
            </w:r>
          </w:p>
        </w:tc>
        <w:tc>
          <w:tcPr>
            <w:tcW w:w="11002" w:type="dxa"/>
            <w:tcBorders>
              <w:tl2br w:val="nil"/>
              <w:tr2bl w:val="nil"/>
            </w:tcBorders>
            <w:noWrap w:val="0"/>
            <w:vAlign w:val="center"/>
          </w:tcPr>
          <w:p w14:paraId="4C356927">
            <w:pPr>
              <w:spacing w:line="240" w:lineRule="auto"/>
              <w:jc w:val="center"/>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内容</w:t>
            </w:r>
          </w:p>
        </w:tc>
        <w:tc>
          <w:tcPr>
            <w:tcW w:w="1385" w:type="dxa"/>
            <w:gridSpan w:val="2"/>
            <w:tcBorders>
              <w:tl2br w:val="nil"/>
              <w:tr2bl w:val="nil"/>
            </w:tcBorders>
            <w:noWrap/>
            <w:vAlign w:val="center"/>
          </w:tcPr>
          <w:p w14:paraId="2B6DE1F5">
            <w:pPr>
              <w:spacing w:line="240" w:lineRule="auto"/>
              <w:jc w:val="center"/>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选项</w:t>
            </w:r>
          </w:p>
        </w:tc>
      </w:tr>
      <w:tr w14:paraId="710B03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700F22F1">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1</w:t>
            </w:r>
          </w:p>
        </w:tc>
        <w:tc>
          <w:tcPr>
            <w:tcW w:w="744" w:type="dxa"/>
            <w:vMerge w:val="restart"/>
            <w:tcBorders>
              <w:tl2br w:val="nil"/>
              <w:tr2bl w:val="nil"/>
            </w:tcBorders>
            <w:noWrap w:val="0"/>
            <w:vAlign w:val="center"/>
          </w:tcPr>
          <w:p w14:paraId="6C4C3F4E">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串通投标</w:t>
            </w:r>
          </w:p>
        </w:tc>
        <w:tc>
          <w:tcPr>
            <w:tcW w:w="11002" w:type="dxa"/>
            <w:tcBorders>
              <w:tl2br w:val="nil"/>
              <w:tr2bl w:val="nil"/>
            </w:tcBorders>
            <w:noWrap w:val="0"/>
            <w:vAlign w:val="center"/>
          </w:tcPr>
          <w:p w14:paraId="2C3AA7B3">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我单位不存在与其他投标供应商的法定代表人、主要经营负责人、项目投标授权代表人、项目负责人、主要技术人员为同一人、属同一单位或者在同一单位缴纳社会保险的“串通投标”违法行为。</w:t>
            </w:r>
          </w:p>
        </w:tc>
        <w:tc>
          <w:tcPr>
            <w:tcW w:w="692" w:type="dxa"/>
            <w:tcBorders>
              <w:tl2br w:val="nil"/>
              <w:tr2bl w:val="nil"/>
            </w:tcBorders>
            <w:noWrap/>
            <w:vAlign w:val="center"/>
          </w:tcPr>
          <w:p w14:paraId="51C7AFE0">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29011641">
            <w:pPr>
              <w:spacing w:line="240" w:lineRule="auto"/>
              <w:rPr>
                <w:rFonts w:hint="eastAsia" w:ascii="宋体" w:hAnsi="宋体" w:eastAsia="宋体" w:cs="宋体"/>
                <w:color w:val="auto"/>
                <w:sz w:val="22"/>
                <w:szCs w:val="28"/>
                <w:highlight w:val="none"/>
                <w:lang w:eastAsia="zh-CN"/>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1703B5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38D4AE1">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2</w:t>
            </w:r>
          </w:p>
        </w:tc>
        <w:tc>
          <w:tcPr>
            <w:tcW w:w="744" w:type="dxa"/>
            <w:vMerge w:val="continue"/>
            <w:tcBorders>
              <w:tl2br w:val="nil"/>
              <w:tr2bl w:val="nil"/>
            </w:tcBorders>
            <w:noWrap w:val="0"/>
            <w:vAlign w:val="center"/>
          </w:tcPr>
          <w:p w14:paraId="513C1BB2">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6BB8385C">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我单位不存在与其他投标供应商的投标文件由同一单位或者同一人编制的“串通投标”违法行为。</w:t>
            </w:r>
          </w:p>
        </w:tc>
        <w:tc>
          <w:tcPr>
            <w:tcW w:w="692" w:type="dxa"/>
            <w:tcBorders>
              <w:tl2br w:val="nil"/>
              <w:tr2bl w:val="nil"/>
            </w:tcBorders>
            <w:noWrap/>
            <w:vAlign w:val="center"/>
          </w:tcPr>
          <w:p w14:paraId="4E345C2A">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2A4F318">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4F87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72554FF">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3</w:t>
            </w:r>
          </w:p>
        </w:tc>
        <w:tc>
          <w:tcPr>
            <w:tcW w:w="744" w:type="dxa"/>
            <w:vMerge w:val="continue"/>
            <w:tcBorders>
              <w:tl2br w:val="nil"/>
              <w:tr2bl w:val="nil"/>
            </w:tcBorders>
            <w:noWrap w:val="0"/>
            <w:vAlign w:val="center"/>
          </w:tcPr>
          <w:p w14:paraId="067B5233">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209EF03C">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我单位不存在与其他投标供应商的投标文件或部分投标文件相互混装的“串通投标”违法行为。</w:t>
            </w:r>
          </w:p>
        </w:tc>
        <w:tc>
          <w:tcPr>
            <w:tcW w:w="692" w:type="dxa"/>
            <w:tcBorders>
              <w:tl2br w:val="nil"/>
              <w:tr2bl w:val="nil"/>
            </w:tcBorders>
            <w:noWrap/>
            <w:vAlign w:val="center"/>
          </w:tcPr>
          <w:p w14:paraId="47999F21">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690B307">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2C0CB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7C19A343">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4</w:t>
            </w:r>
          </w:p>
        </w:tc>
        <w:tc>
          <w:tcPr>
            <w:tcW w:w="744" w:type="dxa"/>
            <w:vMerge w:val="continue"/>
            <w:tcBorders>
              <w:tl2br w:val="nil"/>
              <w:tr2bl w:val="nil"/>
            </w:tcBorders>
            <w:noWrap w:val="0"/>
            <w:vAlign w:val="center"/>
          </w:tcPr>
          <w:p w14:paraId="0516BB88">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00E487E8">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我单位不存在与其他投标供应商的投标文件内容非正常一致的“串通投标”违法行为。</w:t>
            </w:r>
          </w:p>
        </w:tc>
        <w:tc>
          <w:tcPr>
            <w:tcW w:w="692" w:type="dxa"/>
            <w:tcBorders>
              <w:tl2br w:val="nil"/>
              <w:tr2bl w:val="nil"/>
            </w:tcBorders>
            <w:noWrap/>
            <w:vAlign w:val="center"/>
          </w:tcPr>
          <w:p w14:paraId="11E9C8D1">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00B8E5F0">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4BF5F5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32BAE7DD">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5</w:t>
            </w:r>
          </w:p>
        </w:tc>
        <w:tc>
          <w:tcPr>
            <w:tcW w:w="744" w:type="dxa"/>
            <w:vMerge w:val="continue"/>
            <w:tcBorders>
              <w:tl2br w:val="nil"/>
              <w:tr2bl w:val="nil"/>
            </w:tcBorders>
            <w:noWrap w:val="0"/>
            <w:vAlign w:val="center"/>
          </w:tcPr>
          <w:p w14:paraId="5F7825F6">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5E0A89C2">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我单位不存在由同一单位工作人员为两家（含）以上供应商进行同一项投标活动的“串通投标”违法行为。</w:t>
            </w:r>
          </w:p>
        </w:tc>
        <w:tc>
          <w:tcPr>
            <w:tcW w:w="692" w:type="dxa"/>
            <w:tcBorders>
              <w:tl2br w:val="nil"/>
              <w:tr2bl w:val="nil"/>
            </w:tcBorders>
            <w:noWrap/>
            <w:vAlign w:val="center"/>
          </w:tcPr>
          <w:p w14:paraId="0AFDB94A">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020EF22C">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437A02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4A2D8FAF">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6</w:t>
            </w:r>
          </w:p>
        </w:tc>
        <w:tc>
          <w:tcPr>
            <w:tcW w:w="744" w:type="dxa"/>
            <w:vMerge w:val="continue"/>
            <w:tcBorders>
              <w:tl2br w:val="nil"/>
              <w:tr2bl w:val="nil"/>
            </w:tcBorders>
            <w:noWrap w:val="0"/>
            <w:vAlign w:val="center"/>
          </w:tcPr>
          <w:p w14:paraId="4104D380">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29F6C461">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我单位不存在与其他投标供应商相互约定给予未中标供应商利益补偿的“串通投标”违法行为。</w:t>
            </w:r>
          </w:p>
        </w:tc>
        <w:tc>
          <w:tcPr>
            <w:tcW w:w="692" w:type="dxa"/>
            <w:tcBorders>
              <w:tl2br w:val="nil"/>
              <w:tr2bl w:val="nil"/>
            </w:tcBorders>
            <w:noWrap/>
            <w:vAlign w:val="center"/>
          </w:tcPr>
          <w:p w14:paraId="420A642D">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DCFB6C8">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06DD08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6BCFE4B">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7</w:t>
            </w:r>
          </w:p>
        </w:tc>
        <w:tc>
          <w:tcPr>
            <w:tcW w:w="744" w:type="dxa"/>
            <w:vMerge w:val="restart"/>
            <w:tcBorders>
              <w:tl2br w:val="nil"/>
              <w:tr2bl w:val="nil"/>
            </w:tcBorders>
            <w:noWrap w:val="0"/>
            <w:vAlign w:val="center"/>
          </w:tcPr>
          <w:p w14:paraId="220FF6C1">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虚假材料</w:t>
            </w:r>
          </w:p>
        </w:tc>
        <w:tc>
          <w:tcPr>
            <w:tcW w:w="11002" w:type="dxa"/>
            <w:tcBorders>
              <w:tl2br w:val="nil"/>
              <w:tr2bl w:val="nil"/>
            </w:tcBorders>
            <w:noWrap w:val="0"/>
            <w:vAlign w:val="center"/>
          </w:tcPr>
          <w:p w14:paraId="3F3353E7">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我单位已认真核查了投标文件的全部内容，</w:t>
            </w:r>
            <w:r>
              <w:rPr>
                <w:rFonts w:hint="eastAsia" w:ascii="宋体" w:hAnsi="宋体" w:eastAsia="宋体" w:cs="宋体"/>
                <w:b/>
                <w:bCs/>
                <w:color w:val="auto"/>
                <w:sz w:val="22"/>
                <w:szCs w:val="28"/>
                <w:highlight w:val="none"/>
                <w:lang w:val="en-US" w:eastAsia="zh-CN"/>
              </w:rPr>
              <w:t>所有资料（包括但不限于人员学历证书、职称证书、合同、履约验收材料或从其他单位取得的检验检测报告、证书、证明等材料）</w:t>
            </w:r>
            <w:r>
              <w:rPr>
                <w:rFonts w:hint="eastAsia" w:ascii="宋体" w:hAnsi="宋体" w:eastAsia="宋体" w:cs="宋体"/>
                <w:color w:val="auto"/>
                <w:sz w:val="22"/>
                <w:szCs w:val="28"/>
                <w:highlight w:val="none"/>
                <w:lang w:val="en-US" w:eastAsia="zh-CN"/>
              </w:rPr>
              <w:t>均为真实资料，</w:t>
            </w:r>
            <w:r>
              <w:rPr>
                <w:rFonts w:hint="eastAsia" w:ascii="宋体" w:hAnsi="宋体" w:eastAsia="宋体" w:cs="宋体"/>
                <w:color w:val="auto"/>
                <w:sz w:val="22"/>
                <w:szCs w:val="28"/>
                <w:highlight w:val="none"/>
                <w:shd w:val="clear" w:color="auto" w:fill="auto"/>
                <w:lang w:val="en-US" w:eastAsia="zh-CN"/>
              </w:rPr>
              <w:t>已</w:t>
            </w:r>
            <w:r>
              <w:rPr>
                <w:rFonts w:hint="eastAsia" w:ascii="宋体" w:hAnsi="宋体" w:eastAsia="宋体" w:cs="宋体"/>
                <w:b/>
                <w:bCs/>
                <w:color w:val="auto"/>
                <w:sz w:val="22"/>
                <w:szCs w:val="28"/>
                <w:highlight w:val="none"/>
                <w:shd w:val="clear" w:color="auto" w:fill="auto"/>
                <w:lang w:val="en-US" w:eastAsia="zh-CN"/>
              </w:rPr>
              <w:t>通过出具机构或全国认证认可信息公共服务平台（认e云平台）等官方渠道核实材料内容的真实性</w:t>
            </w:r>
            <w:r>
              <w:rPr>
                <w:rFonts w:hint="eastAsia" w:ascii="宋体" w:hAnsi="宋体" w:eastAsia="宋体" w:cs="宋体"/>
                <w:color w:val="auto"/>
                <w:sz w:val="22"/>
                <w:szCs w:val="28"/>
                <w:highlight w:val="none"/>
                <w:shd w:val="clear" w:color="auto" w:fill="auto"/>
                <w:lang w:val="en-US" w:eastAsia="zh-CN"/>
              </w:rPr>
              <w:t>。</w:t>
            </w:r>
            <w:r>
              <w:rPr>
                <w:rFonts w:hint="eastAsia" w:ascii="宋体" w:hAnsi="宋体" w:eastAsia="宋体" w:cs="宋体"/>
                <w:color w:val="auto"/>
                <w:sz w:val="22"/>
                <w:szCs w:val="28"/>
                <w:highlight w:val="none"/>
                <w:lang w:val="en-US" w:eastAsia="zh-CN"/>
              </w:rPr>
              <w:t>我单位对投标文件中全部投标资料的真实性负责。</w:t>
            </w:r>
          </w:p>
        </w:tc>
        <w:tc>
          <w:tcPr>
            <w:tcW w:w="692" w:type="dxa"/>
            <w:tcBorders>
              <w:tl2br w:val="nil"/>
              <w:tr2bl w:val="nil"/>
            </w:tcBorders>
            <w:noWrap/>
            <w:vAlign w:val="center"/>
          </w:tcPr>
          <w:p w14:paraId="7363C632">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48C0408">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1EB5B9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533E4D51">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8</w:t>
            </w:r>
          </w:p>
        </w:tc>
        <w:tc>
          <w:tcPr>
            <w:tcW w:w="744" w:type="dxa"/>
            <w:vMerge w:val="continue"/>
            <w:tcBorders>
              <w:tl2br w:val="nil"/>
              <w:tr2bl w:val="nil"/>
            </w:tcBorders>
            <w:noWrap w:val="0"/>
            <w:vAlign w:val="center"/>
          </w:tcPr>
          <w:p w14:paraId="5FA2B271">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771B746D">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我单位不存在通过转让或者租借等方式从其他单位获取资格或者资质证书投标的“提供虚假资料”违法行为。</w:t>
            </w:r>
          </w:p>
        </w:tc>
        <w:tc>
          <w:tcPr>
            <w:tcW w:w="692" w:type="dxa"/>
            <w:tcBorders>
              <w:tl2br w:val="nil"/>
              <w:tr2bl w:val="nil"/>
            </w:tcBorders>
            <w:noWrap/>
            <w:vAlign w:val="center"/>
          </w:tcPr>
          <w:p w14:paraId="1D7CB14A">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6AD2F004">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546FC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7891439">
            <w:pPr>
              <w:spacing w:line="240" w:lineRule="auto"/>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9</w:t>
            </w:r>
          </w:p>
        </w:tc>
        <w:tc>
          <w:tcPr>
            <w:tcW w:w="744" w:type="dxa"/>
            <w:vMerge w:val="continue"/>
            <w:tcBorders>
              <w:tl2br w:val="nil"/>
              <w:tr2bl w:val="nil"/>
            </w:tcBorders>
            <w:noWrap w:val="0"/>
            <w:vAlign w:val="center"/>
          </w:tcPr>
          <w:p w14:paraId="36720B8A">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019CC44F">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我单位不存在由其他单位或者其他单位负责人在我单位投标文件上加盖印章或者签字的“提供虚假资料”违法行为。</w:t>
            </w:r>
          </w:p>
        </w:tc>
        <w:tc>
          <w:tcPr>
            <w:tcW w:w="692" w:type="dxa"/>
            <w:tcBorders>
              <w:tl2br w:val="nil"/>
              <w:tr2bl w:val="nil"/>
            </w:tcBorders>
            <w:noWrap/>
            <w:vAlign w:val="center"/>
          </w:tcPr>
          <w:p w14:paraId="2AD88F23">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2550BC43">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9530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4DE35141">
            <w:pPr>
              <w:spacing w:line="240" w:lineRule="auto"/>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10</w:t>
            </w:r>
          </w:p>
        </w:tc>
        <w:tc>
          <w:tcPr>
            <w:tcW w:w="744" w:type="dxa"/>
            <w:vMerge w:val="continue"/>
            <w:tcBorders>
              <w:tl2br w:val="nil"/>
              <w:tr2bl w:val="nil"/>
            </w:tcBorders>
            <w:noWrap w:val="0"/>
            <w:vAlign w:val="center"/>
          </w:tcPr>
          <w:p w14:paraId="2A968384">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6D6A9775">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我单位不存在项目负责人或者主要技术人员不是本单位人员的“提供虚假资料”违法行为。</w:t>
            </w:r>
          </w:p>
        </w:tc>
        <w:tc>
          <w:tcPr>
            <w:tcW w:w="692" w:type="dxa"/>
            <w:tcBorders>
              <w:tl2br w:val="nil"/>
              <w:tr2bl w:val="nil"/>
            </w:tcBorders>
            <w:noWrap/>
            <w:vAlign w:val="center"/>
          </w:tcPr>
          <w:p w14:paraId="65F60E18">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4B168349">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0B9FE5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1135B6DB">
            <w:pPr>
              <w:spacing w:line="240" w:lineRule="auto"/>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11</w:t>
            </w:r>
          </w:p>
        </w:tc>
        <w:tc>
          <w:tcPr>
            <w:tcW w:w="744" w:type="dxa"/>
            <w:vMerge w:val="continue"/>
            <w:tcBorders>
              <w:tl2br w:val="nil"/>
              <w:tr2bl w:val="nil"/>
            </w:tcBorders>
            <w:noWrap w:val="0"/>
            <w:vAlign w:val="center"/>
          </w:tcPr>
          <w:p w14:paraId="1B33D2FE">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1FD23307">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我单位不存在投标保证金（根据采购文件要求提交）不是从我单位基本账户转出的“提供虚假资料”违法行为。</w:t>
            </w:r>
          </w:p>
        </w:tc>
        <w:tc>
          <w:tcPr>
            <w:tcW w:w="692" w:type="dxa"/>
            <w:tcBorders>
              <w:tl2br w:val="nil"/>
              <w:tr2bl w:val="nil"/>
            </w:tcBorders>
            <w:noWrap/>
            <w:vAlign w:val="center"/>
          </w:tcPr>
          <w:p w14:paraId="672F8122">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691C8B37">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A31CD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5866316E">
            <w:pPr>
              <w:spacing w:line="240" w:lineRule="auto"/>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12</w:t>
            </w:r>
          </w:p>
        </w:tc>
        <w:tc>
          <w:tcPr>
            <w:tcW w:w="744" w:type="dxa"/>
            <w:vMerge w:val="restart"/>
            <w:tcBorders>
              <w:tl2br w:val="nil"/>
              <w:tr2bl w:val="nil"/>
            </w:tcBorders>
            <w:noWrap w:val="0"/>
            <w:vAlign w:val="center"/>
          </w:tcPr>
          <w:p w14:paraId="615C333E">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关联关系及其他情形</w:t>
            </w:r>
          </w:p>
        </w:tc>
        <w:tc>
          <w:tcPr>
            <w:tcW w:w="11002" w:type="dxa"/>
            <w:tcBorders>
              <w:tl2br w:val="nil"/>
              <w:tr2bl w:val="nil"/>
            </w:tcBorders>
            <w:noWrap w:val="0"/>
            <w:vAlign w:val="center"/>
          </w:tcPr>
          <w:p w14:paraId="714141C1">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我单位严格管理本单位的电子秘钥及电子营业执照，不委托或出借给第三方（人）使用和管理。</w:t>
            </w:r>
          </w:p>
        </w:tc>
        <w:tc>
          <w:tcPr>
            <w:tcW w:w="692" w:type="dxa"/>
            <w:tcBorders>
              <w:tl2br w:val="nil"/>
              <w:tr2bl w:val="nil"/>
            </w:tcBorders>
            <w:noWrap/>
            <w:vAlign w:val="center"/>
          </w:tcPr>
          <w:p w14:paraId="57BE2267">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745A77C3">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600CF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56564F28">
            <w:pPr>
              <w:spacing w:line="240" w:lineRule="auto"/>
              <w:jc w:val="center"/>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13</w:t>
            </w:r>
          </w:p>
        </w:tc>
        <w:tc>
          <w:tcPr>
            <w:tcW w:w="744" w:type="dxa"/>
            <w:vMerge w:val="continue"/>
            <w:tcBorders>
              <w:tl2br w:val="nil"/>
              <w:tr2bl w:val="nil"/>
            </w:tcBorders>
            <w:noWrap w:val="0"/>
            <w:vAlign w:val="center"/>
          </w:tcPr>
          <w:p w14:paraId="7D49EC6D">
            <w:pPr>
              <w:spacing w:line="240" w:lineRule="auto"/>
              <w:jc w:val="center"/>
              <w:rPr>
                <w:rFonts w:hint="eastAsia" w:ascii="宋体" w:hAnsi="宋体" w:eastAsia="宋体" w:cs="宋体"/>
                <w:color w:val="auto"/>
                <w:sz w:val="22"/>
                <w:szCs w:val="28"/>
                <w:highlight w:val="none"/>
                <w:lang w:val="en-US" w:eastAsia="zh-CN"/>
              </w:rPr>
            </w:pPr>
          </w:p>
        </w:tc>
        <w:tc>
          <w:tcPr>
            <w:tcW w:w="11002" w:type="dxa"/>
            <w:tcBorders>
              <w:tl2br w:val="nil"/>
              <w:tr2bl w:val="nil"/>
            </w:tcBorders>
            <w:noWrap w:val="0"/>
            <w:vAlign w:val="center"/>
          </w:tcPr>
          <w:p w14:paraId="5F2C3E4A">
            <w:pPr>
              <w:spacing w:line="240" w:lineRule="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我单位不使用公共电脑设备或公共网络编制、上传投标文件。</w:t>
            </w:r>
          </w:p>
        </w:tc>
        <w:tc>
          <w:tcPr>
            <w:tcW w:w="692" w:type="dxa"/>
            <w:tcBorders>
              <w:tl2br w:val="nil"/>
              <w:tr2bl w:val="nil"/>
            </w:tcBorders>
            <w:noWrap/>
            <w:vAlign w:val="center"/>
          </w:tcPr>
          <w:p w14:paraId="36B45C5E">
            <w:pPr>
              <w:spacing w:line="240" w:lineRule="auto"/>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41901711">
            <w:pPr>
              <w:spacing w:line="240" w:lineRule="auto"/>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1F4068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64669741">
            <w:pPr>
              <w:spacing w:line="240" w:lineRule="auto"/>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14</w:t>
            </w:r>
          </w:p>
        </w:tc>
        <w:tc>
          <w:tcPr>
            <w:tcW w:w="744" w:type="dxa"/>
            <w:vMerge w:val="continue"/>
            <w:tcBorders>
              <w:tl2br w:val="nil"/>
              <w:tr2bl w:val="nil"/>
            </w:tcBorders>
            <w:noWrap w:val="0"/>
            <w:vAlign w:val="center"/>
          </w:tcPr>
          <w:p w14:paraId="31F008BF">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68DB313F">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我单位与其他投标供应商在参与本项目时，不存在单位负责人为同一人或直接控股、管理关系的行为。</w:t>
            </w:r>
          </w:p>
        </w:tc>
        <w:tc>
          <w:tcPr>
            <w:tcW w:w="692" w:type="dxa"/>
            <w:tcBorders>
              <w:tl2br w:val="nil"/>
              <w:tr2bl w:val="nil"/>
            </w:tcBorders>
            <w:noWrap/>
            <w:vAlign w:val="center"/>
          </w:tcPr>
          <w:p w14:paraId="406A98C6">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7E025D63">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bl>
    <w:p w14:paraId="005DAF95">
      <w:pPr>
        <w:widowControl w:val="0"/>
        <w:numPr>
          <w:ilvl w:val="0"/>
          <w:numId w:val="0"/>
        </w:numPr>
        <w:ind w:leftChars="0"/>
        <w:jc w:val="both"/>
        <w:rPr>
          <w:rFonts w:hint="eastAsia" w:cs="宋体" w:asciiTheme="majorEastAsia" w:hAnsiTheme="majorEastAsia" w:eastAsiaTheme="majorEastAsia"/>
          <w:kern w:val="2"/>
          <w:sz w:val="30"/>
          <w:szCs w:val="30"/>
          <w:lang w:val="en-US" w:eastAsia="zh-CN" w:bidi="ar-SA"/>
        </w:rPr>
        <w:sectPr>
          <w:pgSz w:w="16838" w:h="11906" w:orient="landscape"/>
          <w:pgMar w:top="1440" w:right="1440" w:bottom="1286"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tbl>
      <w:tblPr>
        <w:tblStyle w:val="17"/>
        <w:tblW w:w="137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0"/>
        <w:gridCol w:w="744"/>
        <w:gridCol w:w="11002"/>
        <w:gridCol w:w="692"/>
        <w:gridCol w:w="693"/>
      </w:tblGrid>
      <w:tr w14:paraId="51B4F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8" w:hRule="atLeast"/>
        </w:trPr>
        <w:tc>
          <w:tcPr>
            <w:tcW w:w="660" w:type="dxa"/>
            <w:tcBorders>
              <w:tl2br w:val="nil"/>
              <w:tr2bl w:val="nil"/>
            </w:tcBorders>
            <w:noWrap/>
            <w:vAlign w:val="center"/>
          </w:tcPr>
          <w:p w14:paraId="55206D20">
            <w:pPr>
              <w:spacing w:line="240" w:lineRule="auto"/>
              <w:jc w:val="center"/>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15</w:t>
            </w:r>
          </w:p>
        </w:tc>
        <w:tc>
          <w:tcPr>
            <w:tcW w:w="744" w:type="dxa"/>
            <w:vMerge w:val="restart"/>
            <w:tcBorders>
              <w:tl2br w:val="nil"/>
              <w:tr2bl w:val="nil"/>
            </w:tcBorders>
            <w:noWrap w:val="0"/>
            <w:vAlign w:val="center"/>
          </w:tcPr>
          <w:p w14:paraId="58124DE1">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22868A9F">
            <w:pPr>
              <w:spacing w:line="240" w:lineRule="auto"/>
              <w:rPr>
                <w:rFonts w:hint="eastAsia" w:ascii="宋体" w:hAnsi="宋体" w:eastAsia="宋体" w:cs="宋体"/>
                <w:color w:val="auto"/>
                <w:sz w:val="22"/>
                <w:szCs w:val="28"/>
                <w:highlight w:val="none"/>
              </w:rPr>
            </w:pPr>
            <w:r>
              <w:rPr>
                <w:rFonts w:hint="eastAsia" w:ascii="宋体" w:hAnsi="宋体" w:eastAsia="宋体" w:cs="宋体"/>
                <w:b w:val="0"/>
                <w:bCs w:val="0"/>
                <w:color w:val="auto"/>
                <w:sz w:val="22"/>
                <w:szCs w:val="28"/>
                <w:highlight w:val="none"/>
                <w:lang w:val="en-US" w:eastAsia="zh-CN"/>
              </w:rPr>
              <w:t>我单位在参与本项目（单一来源采购项目除外）时，不存在同时为本项目提供整体设计、规范编制或者项目管理、监理、检测等服务的行为。</w:t>
            </w:r>
          </w:p>
        </w:tc>
        <w:tc>
          <w:tcPr>
            <w:tcW w:w="692" w:type="dxa"/>
            <w:tcBorders>
              <w:tl2br w:val="nil"/>
              <w:tr2bl w:val="nil"/>
            </w:tcBorders>
            <w:noWrap/>
            <w:vAlign w:val="center"/>
          </w:tcPr>
          <w:p w14:paraId="7E281193">
            <w:pPr>
              <w:spacing w:line="240" w:lineRule="auto"/>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7CE3FDA6">
            <w:pPr>
              <w:spacing w:line="240" w:lineRule="auto"/>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2300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6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7E5FB06">
            <w:pPr>
              <w:spacing w:line="240" w:lineRule="auto"/>
              <w:jc w:val="center"/>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16</w:t>
            </w:r>
          </w:p>
        </w:tc>
        <w:tc>
          <w:tcPr>
            <w:tcW w:w="744" w:type="dxa"/>
            <w:vMerge w:val="continue"/>
            <w:tcBorders>
              <w:left w:val="single" w:color="000000" w:sz="4" w:space="0"/>
              <w:bottom w:val="nil"/>
              <w:right w:val="single" w:color="000000" w:sz="4" w:space="0"/>
              <w:tl2br w:val="nil"/>
              <w:tr2bl w:val="nil"/>
            </w:tcBorders>
            <w:noWrap w:val="0"/>
            <w:vAlign w:val="center"/>
          </w:tcPr>
          <w:p w14:paraId="5FA702B7">
            <w:pPr>
              <w:spacing w:line="240" w:lineRule="auto"/>
              <w:rPr>
                <w:rFonts w:hint="eastAsia" w:ascii="宋体" w:hAnsi="宋体" w:eastAsia="宋体" w:cs="宋体"/>
                <w:color w:val="auto"/>
                <w:sz w:val="22"/>
                <w:szCs w:val="28"/>
                <w:highlight w:val="none"/>
              </w:rPr>
            </w:pPr>
          </w:p>
        </w:tc>
        <w:tc>
          <w:tcPr>
            <w:tcW w:w="110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D6054A">
            <w:pPr>
              <w:spacing w:line="240" w:lineRule="auto"/>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b w:val="0"/>
                <w:bCs w:val="0"/>
                <w:color w:val="auto"/>
                <w:sz w:val="22"/>
                <w:szCs w:val="28"/>
                <w:highlight w:val="none"/>
                <w:lang w:val="en-US" w:eastAsia="zh-CN"/>
              </w:rPr>
              <w:t>我单位在本项目中，□是□否 委托第三方（人）代为办理或从生产厂家、代理商等第三方（人）间接取得投标文件涉及的检验检测报告、证书、证明等材料。</w:t>
            </w:r>
          </w:p>
        </w:tc>
        <w:tc>
          <w:tcPr>
            <w:tcW w:w="69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B3087A1">
            <w:pPr>
              <w:spacing w:line="240" w:lineRule="auto"/>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A6203BB">
            <w:pPr>
              <w:spacing w:line="240" w:lineRule="auto"/>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3DE09F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791" w:type="dxa"/>
            <w:gridSpan w:val="5"/>
            <w:tcBorders>
              <w:tl2br w:val="nil"/>
              <w:tr2bl w:val="nil"/>
            </w:tcBorders>
            <w:noWrap/>
            <w:vAlign w:val="center"/>
          </w:tcPr>
          <w:p w14:paraId="4B8359C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若第16项选择“是”，则投标供应商需要填写：</w:t>
            </w:r>
          </w:p>
          <w:p w14:paraId="1BA4A93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①</w:t>
            </w:r>
            <w:r>
              <w:rPr>
                <w:rFonts w:hint="eastAsia" w:ascii="宋体" w:hAnsi="宋体" w:eastAsia="宋体" w:cs="宋体"/>
                <w:b w:val="0"/>
                <w:bCs w:val="0"/>
                <w:color w:val="auto"/>
                <w:sz w:val="22"/>
                <w:szCs w:val="28"/>
                <w:highlight w:val="none"/>
                <w:lang w:val="en-US" w:eastAsia="zh-CN"/>
              </w:rPr>
              <w:t>相关</w:t>
            </w:r>
            <w:r>
              <w:rPr>
                <w:rFonts w:hint="eastAsia" w:ascii="宋体" w:hAnsi="宋体" w:eastAsia="宋体" w:cs="宋体"/>
                <w:color w:val="auto"/>
                <w:sz w:val="22"/>
                <w:szCs w:val="28"/>
                <w:highlight w:val="none"/>
                <w:lang w:val="en-US" w:eastAsia="zh-CN"/>
              </w:rPr>
              <w:t>材料类型（必填）（包括检验检测报告、学历证书、职称证书、社保证明、合同业绩、其他等，以下拉列表显示）；</w:t>
            </w:r>
          </w:p>
          <w:p w14:paraId="1763443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b w:val="0"/>
                <w:bCs w:val="0"/>
                <w:color w:val="auto"/>
                <w:sz w:val="22"/>
                <w:szCs w:val="28"/>
                <w:highlight w:val="none"/>
                <w:lang w:val="en-US" w:eastAsia="zh-CN"/>
              </w:rPr>
              <w:t>②相关材料的名称（必填）（按材料类型填写，不同类型的需分别填写）；</w:t>
            </w:r>
          </w:p>
          <w:p w14:paraId="04339F0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③相关材料出具单位（必填）（</w:t>
            </w:r>
            <w:r>
              <w:rPr>
                <w:rFonts w:hint="eastAsia" w:ascii="宋体" w:hAnsi="宋体" w:eastAsia="宋体" w:cs="宋体"/>
                <w:b w:val="0"/>
                <w:bCs w:val="0"/>
                <w:color w:val="auto"/>
                <w:sz w:val="22"/>
                <w:szCs w:val="28"/>
                <w:highlight w:val="none"/>
                <w:lang w:val="en-US" w:eastAsia="zh-CN"/>
              </w:rPr>
              <w:t>按材料类型填写，出具单位即为相关</w:t>
            </w:r>
            <w:r>
              <w:rPr>
                <w:rFonts w:hint="eastAsia" w:ascii="宋体" w:hAnsi="宋体" w:eastAsia="宋体" w:cs="宋体"/>
                <w:color w:val="auto"/>
                <w:sz w:val="22"/>
                <w:szCs w:val="28"/>
                <w:highlight w:val="none"/>
                <w:lang w:val="en-US" w:eastAsia="zh-CN"/>
              </w:rPr>
              <w:t>材料的落款单位）；</w:t>
            </w:r>
          </w:p>
          <w:p w14:paraId="49536C5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④是否向材料出具单位核实材料真实性（必填）（</w:t>
            </w:r>
            <w:r>
              <w:rPr>
                <w:rFonts w:hint="eastAsia" w:ascii="宋体" w:hAnsi="宋体" w:eastAsia="宋体" w:cs="宋体"/>
                <w:b w:val="0"/>
                <w:bCs w:val="0"/>
                <w:color w:val="auto"/>
                <w:sz w:val="22"/>
                <w:szCs w:val="28"/>
                <w:highlight w:val="none"/>
                <w:lang w:val="en-US" w:eastAsia="zh-CN"/>
              </w:rPr>
              <w:t>按材料类型填写，</w:t>
            </w:r>
            <w:r>
              <w:rPr>
                <w:rFonts w:hint="eastAsia" w:ascii="宋体" w:hAnsi="宋体" w:eastAsia="宋体" w:cs="宋体"/>
                <w:color w:val="auto"/>
                <w:sz w:val="22"/>
                <w:szCs w:val="28"/>
                <w:highlight w:val="none"/>
                <w:lang w:val="en-US" w:eastAsia="zh-CN"/>
              </w:rPr>
              <w:t>以下拉列表显示“是”和“否”）；</w:t>
            </w:r>
          </w:p>
          <w:p w14:paraId="0D4B9073">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⑤第三方（人）的基本信息（必填），（</w:t>
            </w:r>
            <w:r>
              <w:rPr>
                <w:rFonts w:hint="eastAsia" w:ascii="宋体" w:hAnsi="宋体" w:eastAsia="宋体" w:cs="宋体"/>
                <w:b w:val="0"/>
                <w:bCs w:val="0"/>
                <w:color w:val="auto"/>
                <w:sz w:val="22"/>
                <w:szCs w:val="28"/>
                <w:highlight w:val="none"/>
                <w:lang w:val="en-US" w:eastAsia="zh-CN"/>
              </w:rPr>
              <w:t>按材料类型填写，</w:t>
            </w:r>
            <w:r>
              <w:rPr>
                <w:rFonts w:hint="eastAsia" w:ascii="宋体" w:hAnsi="宋体" w:eastAsia="宋体" w:cs="宋体"/>
                <w:color w:val="auto"/>
                <w:sz w:val="22"/>
                <w:szCs w:val="28"/>
                <w:highlight w:val="none"/>
                <w:lang w:val="en-US" w:eastAsia="zh-CN"/>
              </w:rPr>
              <w:t>以下拉列表显示“单位”和“个人”，其中，“单位”需填写单位全称、统一社会信用代码、联系人及电话，“</w:t>
            </w:r>
            <w:r>
              <w:rPr>
                <w:rFonts w:hint="eastAsia" w:ascii="宋体" w:hAnsi="宋体" w:eastAsia="宋体" w:cs="宋体"/>
                <w:b w:val="0"/>
                <w:bCs w:val="0"/>
                <w:color w:val="auto"/>
                <w:sz w:val="22"/>
                <w:szCs w:val="28"/>
                <w:highlight w:val="none"/>
                <w:lang w:val="en-US" w:eastAsia="zh-CN"/>
              </w:rPr>
              <w:t>个人”需填写个人姓名、联系方式）；</w:t>
            </w:r>
          </w:p>
          <w:p w14:paraId="5C88110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⑥相关材料的编号（选填）（</w:t>
            </w:r>
            <w:r>
              <w:rPr>
                <w:rFonts w:hint="eastAsia" w:ascii="宋体" w:hAnsi="宋体" w:eastAsia="宋体" w:cs="宋体"/>
                <w:b w:val="0"/>
                <w:bCs w:val="0"/>
                <w:color w:val="auto"/>
                <w:sz w:val="22"/>
                <w:szCs w:val="28"/>
                <w:highlight w:val="none"/>
                <w:lang w:val="en-US" w:eastAsia="zh-CN"/>
              </w:rPr>
              <w:t>按材料类型填写）；</w:t>
            </w:r>
          </w:p>
          <w:p w14:paraId="606ECE7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2"/>
                <w:szCs w:val="28"/>
                <w:highlight w:val="none"/>
                <w:lang w:eastAsia="zh-CN"/>
              </w:rPr>
            </w:pPr>
            <w:r>
              <w:rPr>
                <w:rFonts w:hint="eastAsia" w:ascii="宋体" w:hAnsi="宋体" w:eastAsia="宋体" w:cs="宋体"/>
                <w:color w:val="auto"/>
                <w:sz w:val="22"/>
                <w:szCs w:val="28"/>
                <w:highlight w:val="none"/>
                <w:lang w:val="en-US" w:eastAsia="zh-CN"/>
              </w:rPr>
              <w:t>⑦相关材料出具时间（选填）（</w:t>
            </w:r>
            <w:r>
              <w:rPr>
                <w:rFonts w:hint="eastAsia" w:ascii="宋体" w:hAnsi="宋体" w:eastAsia="宋体" w:cs="宋体"/>
                <w:b w:val="0"/>
                <w:bCs w:val="0"/>
                <w:color w:val="auto"/>
                <w:sz w:val="22"/>
                <w:szCs w:val="28"/>
                <w:highlight w:val="none"/>
                <w:lang w:val="en-US" w:eastAsia="zh-CN"/>
              </w:rPr>
              <w:t>按材料类型填写）</w:t>
            </w:r>
            <w:r>
              <w:rPr>
                <w:rFonts w:hint="eastAsia" w:ascii="宋体" w:hAnsi="宋体" w:eastAsia="宋体" w:cs="宋体"/>
                <w:color w:val="auto"/>
                <w:sz w:val="22"/>
                <w:szCs w:val="28"/>
                <w:highlight w:val="none"/>
                <w:lang w:val="en-US" w:eastAsia="zh-CN"/>
              </w:rPr>
              <w:t>。</w:t>
            </w:r>
          </w:p>
        </w:tc>
      </w:tr>
    </w:tbl>
    <w:p w14:paraId="46B81160">
      <w:pPr>
        <w:rPr>
          <w:rFonts w:hint="eastAsia"/>
        </w:rPr>
        <w:sectPr>
          <w:pgSz w:w="16838" w:h="11906" w:orient="landscape"/>
          <w:pgMar w:top="1440" w:right="1440" w:bottom="1286"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44C12BA8">
      <w:pPr>
        <w:pStyle w:val="3"/>
        <w:numPr>
          <w:ilvl w:val="0"/>
          <w:numId w:val="10"/>
        </w:numPr>
        <w:spacing w:line="240" w:lineRule="auto"/>
        <w:ind w:left="0" w:leftChars="0" w:firstLine="0" w:firstLineChars="0"/>
        <w:jc w:val="center"/>
        <w:outlineLvl w:val="0"/>
        <w:rPr>
          <w:rFonts w:hint="eastAsia" w:asciiTheme="majorEastAsia" w:hAnsiTheme="majorEastAsia" w:eastAsiaTheme="majorEastAsia"/>
          <w:sz w:val="30"/>
          <w:szCs w:val="30"/>
        </w:rPr>
      </w:pPr>
      <w:bookmarkStart w:id="23" w:name="_Toc30883"/>
      <w:bookmarkStart w:id="24" w:name="_Toc15495"/>
      <w:r>
        <w:rPr>
          <w:rFonts w:hint="eastAsia" w:asciiTheme="majorEastAsia" w:hAnsiTheme="majorEastAsia" w:eastAsiaTheme="majorEastAsia"/>
          <w:sz w:val="30"/>
          <w:szCs w:val="30"/>
        </w:rPr>
        <w:t>营业</w:t>
      </w:r>
      <w:r>
        <w:rPr>
          <w:rFonts w:hint="eastAsia" w:cs="宋体" w:asciiTheme="majorEastAsia" w:hAnsiTheme="majorEastAsia" w:eastAsiaTheme="majorEastAsia"/>
          <w:sz w:val="30"/>
          <w:szCs w:val="30"/>
        </w:rPr>
        <w:t>执照</w:t>
      </w:r>
      <w:r>
        <w:rPr>
          <w:rFonts w:hint="eastAsia" w:cs="宋体" w:asciiTheme="majorEastAsia" w:hAnsiTheme="majorEastAsia" w:eastAsiaTheme="majorEastAsia"/>
          <w:sz w:val="30"/>
          <w:szCs w:val="30"/>
          <w:lang w:eastAsia="zh-CN"/>
        </w:rPr>
        <w:t>、</w:t>
      </w:r>
      <w:r>
        <w:rPr>
          <w:rFonts w:hint="eastAsia" w:cs="宋体" w:asciiTheme="majorEastAsia" w:hAnsiTheme="majorEastAsia" w:eastAsiaTheme="majorEastAsia"/>
          <w:sz w:val="30"/>
          <w:szCs w:val="30"/>
        </w:rPr>
        <w:t>经营许可证</w:t>
      </w:r>
      <w:r>
        <w:rPr>
          <w:rFonts w:hint="eastAsia" w:cs="宋体" w:asciiTheme="majorEastAsia" w:hAnsiTheme="majorEastAsia" w:eastAsiaTheme="majorEastAsia"/>
          <w:sz w:val="30"/>
          <w:szCs w:val="30"/>
          <w:lang w:eastAsia="zh-CN"/>
        </w:rPr>
        <w:t>、</w:t>
      </w:r>
      <w:r>
        <w:rPr>
          <w:rFonts w:hint="eastAsia" w:cs="宋体" w:asciiTheme="majorEastAsia" w:hAnsiTheme="majorEastAsia" w:eastAsiaTheme="majorEastAsia"/>
          <w:sz w:val="30"/>
          <w:szCs w:val="30"/>
          <w:lang w:val="en-US" w:eastAsia="zh-CN"/>
        </w:rPr>
        <w:t>授权书、注册证</w:t>
      </w:r>
      <w:r>
        <w:rPr>
          <w:rFonts w:hint="eastAsia" w:cs="宋体" w:asciiTheme="majorEastAsia" w:hAnsiTheme="majorEastAsia" w:eastAsiaTheme="majorEastAsia"/>
          <w:sz w:val="30"/>
          <w:szCs w:val="30"/>
        </w:rPr>
        <w:t>等</w:t>
      </w:r>
      <w:r>
        <w:rPr>
          <w:rFonts w:hint="eastAsia" w:asciiTheme="majorEastAsia" w:hAnsiTheme="majorEastAsia" w:eastAsiaTheme="majorEastAsia"/>
          <w:sz w:val="30"/>
          <w:szCs w:val="30"/>
        </w:rPr>
        <w:t>资质文件</w:t>
      </w:r>
      <w:bookmarkEnd w:id="23"/>
      <w:bookmarkEnd w:id="24"/>
    </w:p>
    <w:p w14:paraId="26AAB422">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2CFFBC5">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7E7F175">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2A742CC">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6833E0FB">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0360B77C">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1F55108B">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1AC643E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21FE17F">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77B185E2">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77C91DC7">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4B81486">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6F8624B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E8BBDEC">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51B00AFA">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75365A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49C1257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E2676F7">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18B630BF">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13D883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002A6B77">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FCECDCD">
      <w:pPr>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auto"/>
        <w:ind w:left="420" w:leftChars="0" w:hanging="420" w:firstLineChars="0"/>
        <w:jc w:val="center"/>
        <w:textAlignment w:val="auto"/>
        <w:outlineLvl w:val="0"/>
        <w:rPr>
          <w:rFonts w:hint="eastAsia" w:cs="宋体" w:asciiTheme="majorEastAsia" w:hAnsiTheme="majorEastAsia" w:eastAsiaTheme="majorEastAsia"/>
          <w:kern w:val="2"/>
          <w:sz w:val="30"/>
          <w:szCs w:val="30"/>
          <w:lang w:val="en-US" w:eastAsia="zh-CN" w:bidi="ar-SA"/>
        </w:rPr>
      </w:pPr>
      <w:bookmarkStart w:id="25" w:name="_Toc31601"/>
      <w:bookmarkStart w:id="26" w:name="_Toc5508"/>
      <w:r>
        <w:rPr>
          <w:rFonts w:hint="eastAsia" w:cs="宋体" w:asciiTheme="majorEastAsia" w:hAnsiTheme="majorEastAsia" w:eastAsiaTheme="majorEastAsia"/>
          <w:kern w:val="2"/>
          <w:sz w:val="30"/>
          <w:szCs w:val="30"/>
          <w:lang w:val="en-US" w:eastAsia="zh-CN" w:bidi="ar-SA"/>
        </w:rPr>
        <w:t>（五）诚信及信用信息证明</w:t>
      </w:r>
      <w:bookmarkEnd w:id="25"/>
      <w:bookmarkEnd w:id="26"/>
    </w:p>
    <w:p w14:paraId="31958063">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8"/>
          <w:szCs w:val="28"/>
          <w:lang w:val="en-US" w:eastAsia="zh-CN" w:bidi="ar-SA"/>
        </w:rPr>
      </w:pPr>
      <w:r>
        <w:rPr>
          <w:rFonts w:hint="eastAsia" w:cs="宋体" w:asciiTheme="majorEastAsia" w:hAnsiTheme="majorEastAsia" w:eastAsiaTheme="majorEastAsia"/>
          <w:kern w:val="2"/>
          <w:sz w:val="28"/>
          <w:szCs w:val="28"/>
          <w:lang w:val="en-US" w:eastAsia="zh-CN" w:bidi="ar-SA"/>
        </w:rPr>
        <w:t>1.投标方需提供中国政府采购网（</w:t>
      </w:r>
      <w:r>
        <w:rPr>
          <w:rFonts w:hint="eastAsia" w:cs="宋体" w:asciiTheme="majorEastAsia" w:hAnsiTheme="majorEastAsia" w:eastAsiaTheme="majorEastAsia"/>
          <w:kern w:val="2"/>
          <w:sz w:val="28"/>
          <w:szCs w:val="28"/>
          <w:lang w:val="en-US" w:eastAsia="zh-CN" w:bidi="ar-SA"/>
        </w:rPr>
        <w:fldChar w:fldCharType="begin"/>
      </w:r>
      <w:r>
        <w:rPr>
          <w:rFonts w:hint="eastAsia" w:cs="宋体" w:asciiTheme="majorEastAsia" w:hAnsiTheme="majorEastAsia" w:eastAsiaTheme="majorEastAsia"/>
          <w:kern w:val="2"/>
          <w:sz w:val="28"/>
          <w:szCs w:val="28"/>
          <w:lang w:val="en-US" w:eastAsia="zh-CN" w:bidi="ar-SA"/>
        </w:rPr>
        <w:instrText xml:space="preserve"> HYPERLINK "http://www.ccgp.gov.cn/search/cr/" </w:instrText>
      </w:r>
      <w:r>
        <w:rPr>
          <w:rFonts w:hint="eastAsia" w:cs="宋体" w:asciiTheme="majorEastAsia" w:hAnsiTheme="majorEastAsia" w:eastAsiaTheme="majorEastAsia"/>
          <w:kern w:val="2"/>
          <w:sz w:val="28"/>
          <w:szCs w:val="28"/>
          <w:lang w:val="en-US" w:eastAsia="zh-CN" w:bidi="ar-SA"/>
        </w:rPr>
        <w:fldChar w:fldCharType="separate"/>
      </w:r>
      <w:r>
        <w:rPr>
          <w:rFonts w:hint="eastAsia" w:cs="宋体" w:asciiTheme="majorEastAsia" w:hAnsiTheme="majorEastAsia" w:eastAsiaTheme="majorEastAsia"/>
          <w:kern w:val="2"/>
          <w:sz w:val="28"/>
          <w:szCs w:val="28"/>
          <w:lang w:val="en-US" w:eastAsia="zh-CN" w:bidi="ar-SA"/>
        </w:rPr>
        <w:t>http://www.ccgp.gov.cn/search/cr/</w:t>
      </w:r>
      <w:r>
        <w:rPr>
          <w:rFonts w:hint="eastAsia" w:cs="宋体" w:asciiTheme="majorEastAsia" w:hAnsiTheme="majorEastAsia" w:eastAsiaTheme="majorEastAsia"/>
          <w:kern w:val="2"/>
          <w:sz w:val="28"/>
          <w:szCs w:val="28"/>
          <w:lang w:val="en-US" w:eastAsia="zh-CN" w:bidi="ar-SA"/>
        </w:rPr>
        <w:fldChar w:fldCharType="end"/>
      </w:r>
      <w:r>
        <w:rPr>
          <w:rFonts w:hint="eastAsia" w:cs="宋体" w:asciiTheme="majorEastAsia" w:hAnsiTheme="majorEastAsia" w:eastAsiaTheme="majorEastAsia"/>
          <w:kern w:val="2"/>
          <w:sz w:val="28"/>
          <w:szCs w:val="28"/>
          <w:lang w:val="en-US" w:eastAsia="zh-CN" w:bidi="ar-SA"/>
        </w:rPr>
        <w:t>）、深圳市政府采购监管网（</w:t>
      </w:r>
      <w:r>
        <w:rPr>
          <w:rFonts w:hint="eastAsia" w:cs="宋体" w:asciiTheme="majorEastAsia" w:hAnsiTheme="majorEastAsia" w:eastAsiaTheme="majorEastAsia"/>
          <w:kern w:val="2"/>
          <w:sz w:val="28"/>
          <w:szCs w:val="28"/>
          <w:lang w:val="en-US" w:eastAsia="zh-CN" w:bidi="ar-SA"/>
        </w:rPr>
        <w:fldChar w:fldCharType="begin"/>
      </w:r>
      <w:r>
        <w:rPr>
          <w:rFonts w:hint="eastAsia" w:cs="宋体" w:asciiTheme="majorEastAsia" w:hAnsiTheme="majorEastAsia" w:eastAsiaTheme="majorEastAsia"/>
          <w:kern w:val="2"/>
          <w:sz w:val="28"/>
          <w:szCs w:val="28"/>
          <w:lang w:val="en-US" w:eastAsia="zh-CN" w:bidi="ar-SA"/>
        </w:rPr>
        <w:instrText xml:space="preserve"> HYPERLINK "http://zfcg.sz.gov.cn/cgjg/cxda/index.html" </w:instrText>
      </w:r>
      <w:r>
        <w:rPr>
          <w:rFonts w:hint="eastAsia" w:cs="宋体" w:asciiTheme="majorEastAsia" w:hAnsiTheme="majorEastAsia" w:eastAsiaTheme="majorEastAsia"/>
          <w:kern w:val="2"/>
          <w:sz w:val="28"/>
          <w:szCs w:val="28"/>
          <w:lang w:val="en-US" w:eastAsia="zh-CN" w:bidi="ar-SA"/>
        </w:rPr>
        <w:fldChar w:fldCharType="separate"/>
      </w:r>
      <w:r>
        <w:rPr>
          <w:rFonts w:hint="eastAsia" w:cs="宋体" w:asciiTheme="majorEastAsia" w:hAnsiTheme="majorEastAsia" w:eastAsiaTheme="majorEastAsia"/>
          <w:kern w:val="2"/>
          <w:sz w:val="28"/>
          <w:szCs w:val="28"/>
          <w:lang w:val="en-US" w:eastAsia="zh-CN" w:bidi="ar-SA"/>
        </w:rPr>
        <w:t>http://zfcg.sz.gov.cn/cgjg/cxda/index.html</w:t>
      </w:r>
      <w:r>
        <w:rPr>
          <w:rFonts w:hint="eastAsia" w:cs="宋体" w:asciiTheme="majorEastAsia" w:hAnsiTheme="majorEastAsia" w:eastAsiaTheme="majorEastAsia"/>
          <w:kern w:val="2"/>
          <w:sz w:val="28"/>
          <w:szCs w:val="28"/>
          <w:lang w:val="en-US" w:eastAsia="zh-CN" w:bidi="ar-SA"/>
        </w:rPr>
        <w:fldChar w:fldCharType="end"/>
      </w:r>
      <w:r>
        <w:rPr>
          <w:rFonts w:hint="eastAsia" w:cs="宋体" w:asciiTheme="majorEastAsia" w:hAnsiTheme="majorEastAsia" w:eastAsiaTheme="majorEastAsia"/>
          <w:kern w:val="2"/>
          <w:sz w:val="28"/>
          <w:szCs w:val="28"/>
          <w:lang w:val="en-US" w:eastAsia="zh-CN" w:bidi="ar-SA"/>
        </w:rPr>
        <w:t>）的有效截图（深圳市政府采购监管网需含一般行政处罚和严重违法行为的查询截图）。</w:t>
      </w:r>
    </w:p>
    <w:p w14:paraId="7D5212A9">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8"/>
          <w:szCs w:val="28"/>
          <w:lang w:val="en-US" w:eastAsia="zh-CN" w:bidi="ar-SA"/>
        </w:rPr>
      </w:pPr>
      <w:r>
        <w:rPr>
          <w:rFonts w:hint="eastAsia" w:cs="宋体" w:asciiTheme="majorEastAsia" w:hAnsiTheme="majorEastAsia" w:eastAsiaTheme="majorEastAsia"/>
          <w:kern w:val="2"/>
          <w:sz w:val="28"/>
          <w:szCs w:val="28"/>
          <w:lang w:val="en-US" w:eastAsia="zh-CN" w:bidi="ar-SA"/>
        </w:rPr>
        <w:t>2.投标方需提供国家企业信用信息公示系统（https://www.gsxt.gov.cn/index.html）、机关赋码和事业单位登记管理网（如有）（http://www.gjsy.gov.cn/sydwfrxxcx/）、全国社会组织信用信息公示平台（如有）（https://xxgs.chinanpo.mca.gov.cn/gsxt/newList）的有效截图</w:t>
      </w:r>
    </w:p>
    <w:p w14:paraId="1149DDCE">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default" w:cs="宋体" w:asciiTheme="majorEastAsia" w:hAnsiTheme="majorEastAsia" w:eastAsiaTheme="majorEastAsia"/>
          <w:kern w:val="2"/>
          <w:sz w:val="28"/>
          <w:szCs w:val="28"/>
          <w:lang w:val="en-US" w:eastAsia="zh-CN" w:bidi="ar-SA"/>
        </w:rPr>
      </w:pPr>
      <w:r>
        <w:rPr>
          <w:rFonts w:hint="eastAsia" w:cs="宋体" w:asciiTheme="majorEastAsia" w:hAnsiTheme="majorEastAsia" w:eastAsiaTheme="majorEastAsia"/>
          <w:kern w:val="2"/>
          <w:sz w:val="28"/>
          <w:szCs w:val="28"/>
          <w:lang w:val="en-US" w:eastAsia="zh-CN" w:bidi="ar-SA"/>
        </w:rPr>
        <w:t>3.投标方需提供股权关系证明材料:通过国家企业信用信息公示系统(https://www.gsxt.gov.cn/index.html)、或机关赋码和事业单位登记管理网（如有）(http://gjsy.gov.cn/sydwfrxxcx/)、或全国社会组织信用信息公示平台（如有）(https://xxgs.chinanpo.mca.gov.cn/gsxt/newList 等网站查询的最新股权(或管理)关系截图)</w:t>
      </w:r>
    </w:p>
    <w:p w14:paraId="1CE2779B">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default" w:cs="宋体" w:asciiTheme="majorEastAsia" w:hAnsiTheme="majorEastAsia" w:eastAsiaTheme="majorEastAsia"/>
          <w:kern w:val="2"/>
          <w:sz w:val="28"/>
          <w:szCs w:val="28"/>
          <w:lang w:val="en-US" w:eastAsia="zh-CN" w:bidi="ar-SA"/>
        </w:rPr>
      </w:pPr>
    </w:p>
    <w:p w14:paraId="2AEEF612">
      <w:pPr>
        <w:rPr>
          <w:rFonts w:asciiTheme="majorEastAsia" w:hAnsiTheme="majorEastAsia" w:eastAsiaTheme="majorEastAsia"/>
          <w:sz w:val="28"/>
          <w:szCs w:val="28"/>
        </w:rPr>
      </w:pPr>
      <w:r>
        <w:rPr>
          <w:rFonts w:hint="eastAsia" w:asciiTheme="majorEastAsia" w:hAnsiTheme="majorEastAsia" w:eastAsiaTheme="majorEastAsia"/>
          <w:sz w:val="28"/>
          <w:szCs w:val="28"/>
        </w:rPr>
        <w:br w:type="page"/>
      </w:r>
    </w:p>
    <w:p w14:paraId="7CC4A323">
      <w:pPr>
        <w:pStyle w:val="3"/>
        <w:numPr>
          <w:ilvl w:val="0"/>
          <w:numId w:val="0"/>
        </w:numPr>
        <w:spacing w:line="240" w:lineRule="auto"/>
        <w:ind w:left="420" w:leftChars="0" w:hanging="420" w:firstLineChars="0"/>
        <w:jc w:val="center"/>
        <w:outlineLvl w:val="0"/>
        <w:rPr>
          <w:rFonts w:hint="eastAsia" w:asciiTheme="majorEastAsia" w:hAnsiTheme="majorEastAsia" w:eastAsiaTheme="majorEastAsia"/>
          <w:sz w:val="30"/>
          <w:szCs w:val="30"/>
        </w:rPr>
      </w:pPr>
      <w:bookmarkStart w:id="27" w:name="_Toc2713"/>
      <w:bookmarkStart w:id="28" w:name="_Toc12322"/>
      <w:bookmarkStart w:id="29" w:name="_Toc11281"/>
      <w:r>
        <w:rPr>
          <w:rFonts w:hint="eastAsia" w:cs="宋体" w:asciiTheme="majorEastAsia" w:hAnsiTheme="majorEastAsia" w:eastAsiaTheme="majorEastAsia"/>
          <w:kern w:val="2"/>
          <w:sz w:val="30"/>
          <w:szCs w:val="30"/>
          <w:lang w:val="en-US" w:eastAsia="zh-CN" w:bidi="ar-SA"/>
        </w:rPr>
        <w:t>（六）</w:t>
      </w:r>
      <w:r>
        <w:rPr>
          <w:rFonts w:hint="eastAsia" w:asciiTheme="majorEastAsia" w:hAnsiTheme="majorEastAsia" w:eastAsiaTheme="majorEastAsia"/>
          <w:sz w:val="30"/>
          <w:szCs w:val="30"/>
        </w:rPr>
        <w:t>供应商基本情况表</w:t>
      </w:r>
      <w:bookmarkEnd w:id="27"/>
      <w:bookmarkEnd w:id="28"/>
      <w:bookmarkEnd w:id="29"/>
    </w:p>
    <w:p w14:paraId="16EF2219">
      <w:pPr>
        <w:bidi w:val="0"/>
        <w:rPr>
          <w:rFonts w:hint="default" w:eastAsia="宋体"/>
          <w:u w:val="single"/>
          <w:lang w:val="en-US" w:eastAsia="zh-CN"/>
        </w:rPr>
      </w:pPr>
      <w:r>
        <w:rPr>
          <w:rFonts w:hint="eastAsia"/>
          <w:lang w:val="en-US" w:eastAsia="zh-CN"/>
        </w:rPr>
        <w:t>填表单位：</w:t>
      </w:r>
      <w:r>
        <w:rPr>
          <w:rFonts w:hint="eastAsia"/>
          <w:u w:val="single"/>
          <w:lang w:val="en-US" w:eastAsia="zh-CN"/>
        </w:rPr>
        <w:t xml:space="preserve">           </w:t>
      </w:r>
      <w:r>
        <w:rPr>
          <w:rFonts w:hint="eastAsia"/>
          <w:u w:val="none"/>
          <w:lang w:val="en-US" w:eastAsia="zh-CN"/>
        </w:rPr>
        <w:t xml:space="preserve"> （加盖单位公章）                       填表日期：      年  月  日</w:t>
      </w:r>
    </w:p>
    <w:tbl>
      <w:tblPr>
        <w:tblStyle w:val="18"/>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2"/>
        <w:gridCol w:w="1957"/>
        <w:gridCol w:w="1429"/>
        <w:gridCol w:w="1583"/>
        <w:gridCol w:w="1583"/>
        <w:gridCol w:w="1583"/>
      </w:tblGrid>
      <w:tr w14:paraId="53CBFC73">
        <w:tblPrEx>
          <w:tblCellMar>
            <w:top w:w="0" w:type="dxa"/>
            <w:left w:w="108" w:type="dxa"/>
            <w:bottom w:w="0" w:type="dxa"/>
            <w:right w:w="108" w:type="dxa"/>
          </w:tblCellMar>
        </w:tblPrEx>
        <w:trPr>
          <w:trHeight w:val="650" w:hRule="atLeast"/>
          <w:jc w:val="center"/>
        </w:trPr>
        <w:tc>
          <w:tcPr>
            <w:tcW w:w="1362" w:type="dxa"/>
            <w:vAlign w:val="center"/>
          </w:tcPr>
          <w:p w14:paraId="0E9E01A3">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采购人</w:t>
            </w:r>
          </w:p>
        </w:tc>
        <w:tc>
          <w:tcPr>
            <w:tcW w:w="3386" w:type="dxa"/>
            <w:gridSpan w:val="2"/>
            <w:vAlign w:val="center"/>
          </w:tcPr>
          <w:p w14:paraId="64471A8B">
            <w:pPr>
              <w:bidi w:val="0"/>
              <w:spacing w:line="360" w:lineRule="auto"/>
              <w:jc w:val="center"/>
              <w:rPr>
                <w:rFonts w:hint="eastAsia" w:ascii="宋体" w:hAnsi="宋体" w:eastAsia="宋体" w:cs="宋体"/>
                <w:sz w:val="21"/>
                <w:szCs w:val="21"/>
                <w:vertAlign w:val="baseline"/>
              </w:rPr>
            </w:pPr>
          </w:p>
        </w:tc>
        <w:tc>
          <w:tcPr>
            <w:tcW w:w="3166" w:type="dxa"/>
            <w:gridSpan w:val="2"/>
            <w:vAlign w:val="center"/>
          </w:tcPr>
          <w:p w14:paraId="45A0A5D0">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项目名称</w:t>
            </w:r>
          </w:p>
        </w:tc>
        <w:tc>
          <w:tcPr>
            <w:tcW w:w="1583" w:type="dxa"/>
            <w:vAlign w:val="center"/>
          </w:tcPr>
          <w:p w14:paraId="75601480">
            <w:pPr>
              <w:bidi w:val="0"/>
              <w:spacing w:line="360" w:lineRule="auto"/>
              <w:jc w:val="center"/>
              <w:rPr>
                <w:rFonts w:hint="eastAsia" w:ascii="宋体" w:hAnsi="宋体" w:eastAsia="宋体" w:cs="宋体"/>
                <w:sz w:val="21"/>
                <w:szCs w:val="21"/>
                <w:vertAlign w:val="baseline"/>
              </w:rPr>
            </w:pPr>
          </w:p>
        </w:tc>
      </w:tr>
      <w:tr w14:paraId="717A6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1362" w:type="dxa"/>
            <w:vAlign w:val="center"/>
          </w:tcPr>
          <w:p w14:paraId="45EC77DF">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投标（响应）供应商</w:t>
            </w:r>
          </w:p>
        </w:tc>
        <w:tc>
          <w:tcPr>
            <w:tcW w:w="3386" w:type="dxa"/>
            <w:gridSpan w:val="2"/>
            <w:vAlign w:val="center"/>
          </w:tcPr>
          <w:p w14:paraId="1AF41A8D">
            <w:pPr>
              <w:bidi w:val="0"/>
              <w:spacing w:line="360" w:lineRule="auto"/>
              <w:jc w:val="center"/>
              <w:rPr>
                <w:rFonts w:hint="eastAsia" w:ascii="宋体" w:hAnsi="宋体" w:eastAsia="宋体" w:cs="宋体"/>
                <w:sz w:val="21"/>
                <w:szCs w:val="21"/>
                <w:vertAlign w:val="baseline"/>
              </w:rPr>
            </w:pPr>
          </w:p>
        </w:tc>
        <w:tc>
          <w:tcPr>
            <w:tcW w:w="3166" w:type="dxa"/>
            <w:gridSpan w:val="2"/>
            <w:vAlign w:val="center"/>
          </w:tcPr>
          <w:p w14:paraId="1B42BE48">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供应商统一社会信用代码</w:t>
            </w:r>
          </w:p>
        </w:tc>
        <w:tc>
          <w:tcPr>
            <w:tcW w:w="1583" w:type="dxa"/>
            <w:vAlign w:val="center"/>
          </w:tcPr>
          <w:p w14:paraId="604DACCA">
            <w:pPr>
              <w:bidi w:val="0"/>
              <w:spacing w:line="360" w:lineRule="auto"/>
              <w:jc w:val="center"/>
              <w:rPr>
                <w:rFonts w:hint="eastAsia" w:ascii="宋体" w:hAnsi="宋体" w:eastAsia="宋体" w:cs="宋体"/>
                <w:sz w:val="21"/>
                <w:szCs w:val="21"/>
                <w:vertAlign w:val="baseline"/>
              </w:rPr>
            </w:pPr>
          </w:p>
        </w:tc>
      </w:tr>
      <w:tr w14:paraId="3DFFE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497" w:type="dxa"/>
            <w:gridSpan w:val="6"/>
            <w:vAlign w:val="center"/>
          </w:tcPr>
          <w:p w14:paraId="30E823A6">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投标（响应）供应商相关人员情况</w:t>
            </w:r>
          </w:p>
        </w:tc>
      </w:tr>
      <w:tr w14:paraId="463C0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14:paraId="373F25C3">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1957" w:type="dxa"/>
            <w:vAlign w:val="center"/>
          </w:tcPr>
          <w:p w14:paraId="346A53CE">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职务</w:t>
            </w:r>
          </w:p>
        </w:tc>
        <w:tc>
          <w:tcPr>
            <w:tcW w:w="1429" w:type="dxa"/>
            <w:vAlign w:val="center"/>
          </w:tcPr>
          <w:p w14:paraId="7C4C48BB">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姓名</w:t>
            </w:r>
          </w:p>
        </w:tc>
        <w:tc>
          <w:tcPr>
            <w:tcW w:w="1583" w:type="dxa"/>
            <w:vAlign w:val="center"/>
          </w:tcPr>
          <w:p w14:paraId="39702C57">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身份证号码</w:t>
            </w:r>
          </w:p>
        </w:tc>
        <w:tc>
          <w:tcPr>
            <w:tcW w:w="1583" w:type="dxa"/>
            <w:vAlign w:val="center"/>
          </w:tcPr>
          <w:p w14:paraId="3CAF3410">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劳动合同</w:t>
            </w:r>
          </w:p>
          <w:p w14:paraId="5B3B2D2E">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关系单位</w:t>
            </w:r>
          </w:p>
        </w:tc>
        <w:tc>
          <w:tcPr>
            <w:tcW w:w="1583" w:type="dxa"/>
            <w:vAlign w:val="center"/>
          </w:tcPr>
          <w:p w14:paraId="3629417E">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缴纳社会</w:t>
            </w:r>
          </w:p>
          <w:p w14:paraId="6DC40D51">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保险单位</w:t>
            </w:r>
          </w:p>
        </w:tc>
      </w:tr>
      <w:tr w14:paraId="3217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1362" w:type="dxa"/>
            <w:vAlign w:val="center"/>
          </w:tcPr>
          <w:p w14:paraId="5D405B29">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957" w:type="dxa"/>
            <w:vAlign w:val="center"/>
          </w:tcPr>
          <w:p w14:paraId="2A71D688">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法定代表人/单位负责人/主要经营负责人</w:t>
            </w:r>
          </w:p>
        </w:tc>
        <w:tc>
          <w:tcPr>
            <w:tcW w:w="1429" w:type="dxa"/>
            <w:vAlign w:val="center"/>
          </w:tcPr>
          <w:p w14:paraId="6E7A5BB8">
            <w:pPr>
              <w:bidi w:val="0"/>
              <w:spacing w:line="360" w:lineRule="auto"/>
              <w:jc w:val="center"/>
              <w:rPr>
                <w:rFonts w:hint="eastAsia" w:ascii="宋体" w:hAnsi="宋体" w:eastAsia="宋体" w:cs="宋体"/>
                <w:sz w:val="21"/>
                <w:szCs w:val="21"/>
                <w:vertAlign w:val="baseline"/>
              </w:rPr>
            </w:pPr>
          </w:p>
        </w:tc>
        <w:tc>
          <w:tcPr>
            <w:tcW w:w="1583" w:type="dxa"/>
            <w:vAlign w:val="center"/>
          </w:tcPr>
          <w:p w14:paraId="193FE523">
            <w:pPr>
              <w:bidi w:val="0"/>
              <w:spacing w:line="360" w:lineRule="auto"/>
              <w:jc w:val="center"/>
              <w:rPr>
                <w:rFonts w:hint="eastAsia" w:ascii="宋体" w:hAnsi="宋体" w:eastAsia="宋体" w:cs="宋体"/>
                <w:sz w:val="21"/>
                <w:szCs w:val="21"/>
                <w:vertAlign w:val="baseline"/>
              </w:rPr>
            </w:pPr>
          </w:p>
        </w:tc>
        <w:tc>
          <w:tcPr>
            <w:tcW w:w="1583" w:type="dxa"/>
            <w:vAlign w:val="center"/>
          </w:tcPr>
          <w:p w14:paraId="483A26E6">
            <w:pPr>
              <w:bidi w:val="0"/>
              <w:spacing w:line="360" w:lineRule="auto"/>
              <w:jc w:val="center"/>
              <w:rPr>
                <w:rFonts w:hint="eastAsia" w:ascii="宋体" w:hAnsi="宋体" w:eastAsia="宋体" w:cs="宋体"/>
                <w:sz w:val="21"/>
                <w:szCs w:val="21"/>
                <w:vertAlign w:val="baseline"/>
              </w:rPr>
            </w:pPr>
          </w:p>
        </w:tc>
        <w:tc>
          <w:tcPr>
            <w:tcW w:w="1583" w:type="dxa"/>
            <w:vAlign w:val="center"/>
          </w:tcPr>
          <w:p w14:paraId="65FD7B42">
            <w:pPr>
              <w:bidi w:val="0"/>
              <w:spacing w:line="360" w:lineRule="auto"/>
              <w:jc w:val="center"/>
              <w:rPr>
                <w:rFonts w:hint="eastAsia" w:ascii="宋体" w:hAnsi="宋体" w:eastAsia="宋体" w:cs="宋体"/>
                <w:sz w:val="21"/>
                <w:szCs w:val="21"/>
                <w:vertAlign w:val="baseline"/>
              </w:rPr>
            </w:pPr>
          </w:p>
        </w:tc>
      </w:tr>
      <w:tr w14:paraId="022AC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14:paraId="598D9931">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1957" w:type="dxa"/>
            <w:vAlign w:val="center"/>
          </w:tcPr>
          <w:p w14:paraId="7997FEF1">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项目投标授权代表人</w:t>
            </w:r>
          </w:p>
        </w:tc>
        <w:tc>
          <w:tcPr>
            <w:tcW w:w="1429" w:type="dxa"/>
            <w:vAlign w:val="center"/>
          </w:tcPr>
          <w:p w14:paraId="767793D4">
            <w:pPr>
              <w:bidi w:val="0"/>
              <w:spacing w:line="360" w:lineRule="auto"/>
              <w:jc w:val="center"/>
              <w:rPr>
                <w:rFonts w:hint="eastAsia" w:ascii="宋体" w:hAnsi="宋体" w:eastAsia="宋体" w:cs="宋体"/>
                <w:sz w:val="21"/>
                <w:szCs w:val="21"/>
                <w:vertAlign w:val="baseline"/>
              </w:rPr>
            </w:pPr>
          </w:p>
        </w:tc>
        <w:tc>
          <w:tcPr>
            <w:tcW w:w="1583" w:type="dxa"/>
            <w:vAlign w:val="center"/>
          </w:tcPr>
          <w:p w14:paraId="69F19B57">
            <w:pPr>
              <w:bidi w:val="0"/>
              <w:spacing w:line="360" w:lineRule="auto"/>
              <w:jc w:val="center"/>
              <w:rPr>
                <w:rFonts w:hint="eastAsia" w:ascii="宋体" w:hAnsi="宋体" w:eastAsia="宋体" w:cs="宋体"/>
                <w:sz w:val="21"/>
                <w:szCs w:val="21"/>
                <w:vertAlign w:val="baseline"/>
              </w:rPr>
            </w:pPr>
          </w:p>
        </w:tc>
        <w:tc>
          <w:tcPr>
            <w:tcW w:w="1583" w:type="dxa"/>
            <w:vAlign w:val="center"/>
          </w:tcPr>
          <w:p w14:paraId="2F47493C">
            <w:pPr>
              <w:bidi w:val="0"/>
              <w:spacing w:line="360" w:lineRule="auto"/>
              <w:jc w:val="center"/>
              <w:rPr>
                <w:rFonts w:hint="eastAsia" w:ascii="宋体" w:hAnsi="宋体" w:eastAsia="宋体" w:cs="宋体"/>
                <w:sz w:val="21"/>
                <w:szCs w:val="21"/>
                <w:vertAlign w:val="baseline"/>
              </w:rPr>
            </w:pPr>
          </w:p>
        </w:tc>
        <w:tc>
          <w:tcPr>
            <w:tcW w:w="1583" w:type="dxa"/>
            <w:vAlign w:val="center"/>
          </w:tcPr>
          <w:p w14:paraId="6D911DD1">
            <w:pPr>
              <w:bidi w:val="0"/>
              <w:spacing w:line="360" w:lineRule="auto"/>
              <w:jc w:val="center"/>
              <w:rPr>
                <w:rFonts w:hint="eastAsia" w:ascii="宋体" w:hAnsi="宋体" w:eastAsia="宋体" w:cs="宋体"/>
                <w:sz w:val="21"/>
                <w:szCs w:val="21"/>
                <w:vertAlign w:val="baseline"/>
              </w:rPr>
            </w:pPr>
          </w:p>
        </w:tc>
      </w:tr>
      <w:tr w14:paraId="4BE6B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18ED7805">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1957" w:type="dxa"/>
            <w:vAlign w:val="center"/>
          </w:tcPr>
          <w:p w14:paraId="593D6D8D">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项目负责人</w:t>
            </w:r>
          </w:p>
        </w:tc>
        <w:tc>
          <w:tcPr>
            <w:tcW w:w="1429" w:type="dxa"/>
            <w:vAlign w:val="center"/>
          </w:tcPr>
          <w:p w14:paraId="007C1172">
            <w:pPr>
              <w:bidi w:val="0"/>
              <w:spacing w:line="360" w:lineRule="auto"/>
              <w:jc w:val="center"/>
              <w:rPr>
                <w:rFonts w:hint="eastAsia" w:ascii="宋体" w:hAnsi="宋体" w:eastAsia="宋体" w:cs="宋体"/>
                <w:sz w:val="21"/>
                <w:szCs w:val="21"/>
                <w:vertAlign w:val="baseline"/>
              </w:rPr>
            </w:pPr>
          </w:p>
        </w:tc>
        <w:tc>
          <w:tcPr>
            <w:tcW w:w="1583" w:type="dxa"/>
            <w:vAlign w:val="center"/>
          </w:tcPr>
          <w:p w14:paraId="6C0051F4">
            <w:pPr>
              <w:bidi w:val="0"/>
              <w:spacing w:line="360" w:lineRule="auto"/>
              <w:jc w:val="center"/>
              <w:rPr>
                <w:rFonts w:hint="eastAsia" w:ascii="宋体" w:hAnsi="宋体" w:eastAsia="宋体" w:cs="宋体"/>
                <w:sz w:val="21"/>
                <w:szCs w:val="21"/>
                <w:vertAlign w:val="baseline"/>
              </w:rPr>
            </w:pPr>
          </w:p>
        </w:tc>
        <w:tc>
          <w:tcPr>
            <w:tcW w:w="1583" w:type="dxa"/>
            <w:vAlign w:val="center"/>
          </w:tcPr>
          <w:p w14:paraId="148729EF">
            <w:pPr>
              <w:bidi w:val="0"/>
              <w:spacing w:line="360" w:lineRule="auto"/>
              <w:jc w:val="center"/>
              <w:rPr>
                <w:rFonts w:hint="eastAsia" w:ascii="宋体" w:hAnsi="宋体" w:eastAsia="宋体" w:cs="宋体"/>
                <w:sz w:val="21"/>
                <w:szCs w:val="21"/>
                <w:vertAlign w:val="baseline"/>
              </w:rPr>
            </w:pPr>
          </w:p>
        </w:tc>
        <w:tc>
          <w:tcPr>
            <w:tcW w:w="1583" w:type="dxa"/>
            <w:vAlign w:val="center"/>
          </w:tcPr>
          <w:p w14:paraId="69FE0359">
            <w:pPr>
              <w:bidi w:val="0"/>
              <w:spacing w:line="360" w:lineRule="auto"/>
              <w:jc w:val="center"/>
              <w:rPr>
                <w:rFonts w:hint="eastAsia" w:ascii="宋体" w:hAnsi="宋体" w:eastAsia="宋体" w:cs="宋体"/>
                <w:sz w:val="21"/>
                <w:szCs w:val="21"/>
                <w:vertAlign w:val="baseline"/>
              </w:rPr>
            </w:pPr>
          </w:p>
        </w:tc>
      </w:tr>
      <w:tr w14:paraId="41018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362" w:type="dxa"/>
            <w:vAlign w:val="center"/>
          </w:tcPr>
          <w:p w14:paraId="7732C98C">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1957" w:type="dxa"/>
            <w:vAlign w:val="center"/>
          </w:tcPr>
          <w:p w14:paraId="223622D8">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主要技术人员</w:t>
            </w:r>
          </w:p>
        </w:tc>
        <w:tc>
          <w:tcPr>
            <w:tcW w:w="1429" w:type="dxa"/>
            <w:vAlign w:val="center"/>
          </w:tcPr>
          <w:p w14:paraId="17DEDBF0">
            <w:pPr>
              <w:bidi w:val="0"/>
              <w:spacing w:line="360" w:lineRule="auto"/>
              <w:jc w:val="center"/>
              <w:rPr>
                <w:rFonts w:hint="eastAsia" w:ascii="宋体" w:hAnsi="宋体" w:eastAsia="宋体" w:cs="宋体"/>
                <w:sz w:val="21"/>
                <w:szCs w:val="21"/>
                <w:vertAlign w:val="baseline"/>
              </w:rPr>
            </w:pPr>
          </w:p>
        </w:tc>
        <w:tc>
          <w:tcPr>
            <w:tcW w:w="1583" w:type="dxa"/>
            <w:vAlign w:val="center"/>
          </w:tcPr>
          <w:p w14:paraId="7D102E78">
            <w:pPr>
              <w:bidi w:val="0"/>
              <w:spacing w:line="360" w:lineRule="auto"/>
              <w:jc w:val="center"/>
              <w:rPr>
                <w:rFonts w:hint="eastAsia" w:ascii="宋体" w:hAnsi="宋体" w:eastAsia="宋体" w:cs="宋体"/>
                <w:sz w:val="21"/>
                <w:szCs w:val="21"/>
                <w:vertAlign w:val="baseline"/>
              </w:rPr>
            </w:pPr>
          </w:p>
        </w:tc>
        <w:tc>
          <w:tcPr>
            <w:tcW w:w="1583" w:type="dxa"/>
            <w:vAlign w:val="center"/>
          </w:tcPr>
          <w:p w14:paraId="75A708A7">
            <w:pPr>
              <w:bidi w:val="0"/>
              <w:spacing w:line="360" w:lineRule="auto"/>
              <w:jc w:val="center"/>
              <w:rPr>
                <w:rFonts w:hint="eastAsia" w:ascii="宋体" w:hAnsi="宋体" w:eastAsia="宋体" w:cs="宋体"/>
                <w:sz w:val="21"/>
                <w:szCs w:val="21"/>
                <w:vertAlign w:val="baseline"/>
              </w:rPr>
            </w:pPr>
          </w:p>
        </w:tc>
        <w:tc>
          <w:tcPr>
            <w:tcW w:w="1583" w:type="dxa"/>
            <w:vAlign w:val="center"/>
          </w:tcPr>
          <w:p w14:paraId="450CDBC5">
            <w:pPr>
              <w:bidi w:val="0"/>
              <w:spacing w:line="360" w:lineRule="auto"/>
              <w:jc w:val="center"/>
              <w:rPr>
                <w:rFonts w:hint="eastAsia" w:ascii="宋体" w:hAnsi="宋体" w:eastAsia="宋体" w:cs="宋体"/>
                <w:sz w:val="21"/>
                <w:szCs w:val="21"/>
                <w:vertAlign w:val="baseline"/>
              </w:rPr>
            </w:pPr>
          </w:p>
        </w:tc>
      </w:tr>
      <w:tr w14:paraId="2C184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14:paraId="77676A10">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w:t>
            </w:r>
          </w:p>
        </w:tc>
        <w:tc>
          <w:tcPr>
            <w:tcW w:w="1957" w:type="dxa"/>
            <w:vAlign w:val="center"/>
          </w:tcPr>
          <w:p w14:paraId="5C3EEB06">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投标文件编制人员</w:t>
            </w:r>
          </w:p>
        </w:tc>
        <w:tc>
          <w:tcPr>
            <w:tcW w:w="1429" w:type="dxa"/>
            <w:vAlign w:val="center"/>
          </w:tcPr>
          <w:p w14:paraId="7C3B831F">
            <w:pPr>
              <w:bidi w:val="0"/>
              <w:spacing w:line="360" w:lineRule="auto"/>
              <w:jc w:val="center"/>
              <w:rPr>
                <w:rFonts w:hint="eastAsia" w:ascii="宋体" w:hAnsi="宋体" w:eastAsia="宋体" w:cs="宋体"/>
                <w:sz w:val="21"/>
                <w:szCs w:val="21"/>
                <w:vertAlign w:val="baseline"/>
              </w:rPr>
            </w:pPr>
          </w:p>
        </w:tc>
        <w:tc>
          <w:tcPr>
            <w:tcW w:w="1583" w:type="dxa"/>
            <w:vAlign w:val="center"/>
          </w:tcPr>
          <w:p w14:paraId="39CE7BCD">
            <w:pPr>
              <w:bidi w:val="0"/>
              <w:spacing w:line="360" w:lineRule="auto"/>
              <w:jc w:val="center"/>
              <w:rPr>
                <w:rFonts w:hint="eastAsia" w:ascii="宋体" w:hAnsi="宋体" w:eastAsia="宋体" w:cs="宋体"/>
                <w:sz w:val="21"/>
                <w:szCs w:val="21"/>
                <w:vertAlign w:val="baseline"/>
              </w:rPr>
            </w:pPr>
          </w:p>
        </w:tc>
        <w:tc>
          <w:tcPr>
            <w:tcW w:w="1583" w:type="dxa"/>
            <w:vAlign w:val="center"/>
          </w:tcPr>
          <w:p w14:paraId="6B629900">
            <w:pPr>
              <w:bidi w:val="0"/>
              <w:spacing w:line="360" w:lineRule="auto"/>
              <w:jc w:val="center"/>
              <w:rPr>
                <w:rFonts w:hint="eastAsia" w:ascii="宋体" w:hAnsi="宋体" w:eastAsia="宋体" w:cs="宋体"/>
                <w:sz w:val="21"/>
                <w:szCs w:val="21"/>
                <w:vertAlign w:val="baseline"/>
              </w:rPr>
            </w:pPr>
          </w:p>
        </w:tc>
        <w:tc>
          <w:tcPr>
            <w:tcW w:w="1583" w:type="dxa"/>
            <w:vAlign w:val="center"/>
          </w:tcPr>
          <w:p w14:paraId="4BC94FC8">
            <w:pPr>
              <w:bidi w:val="0"/>
              <w:spacing w:line="360" w:lineRule="auto"/>
              <w:jc w:val="center"/>
              <w:rPr>
                <w:rFonts w:hint="eastAsia" w:ascii="宋体" w:hAnsi="宋体" w:eastAsia="宋体" w:cs="宋体"/>
                <w:sz w:val="21"/>
                <w:szCs w:val="21"/>
                <w:vertAlign w:val="baseline"/>
              </w:rPr>
            </w:pPr>
          </w:p>
        </w:tc>
      </w:tr>
      <w:tr w14:paraId="43572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97" w:type="dxa"/>
            <w:gridSpan w:val="6"/>
            <w:vAlign w:val="center"/>
          </w:tcPr>
          <w:p w14:paraId="69A32B79">
            <w:pPr>
              <w:bidi w:val="0"/>
              <w:spacing w:line="360" w:lineRule="auto"/>
              <w:jc w:val="left"/>
              <w:rPr>
                <w:rFonts w:hint="eastAsia" w:ascii="宋体" w:hAnsi="宋体" w:eastAsia="宋体" w:cs="宋体"/>
                <w:sz w:val="21"/>
                <w:szCs w:val="21"/>
                <w:vertAlign w:val="baseline"/>
              </w:rPr>
            </w:pPr>
            <w:r>
              <w:rPr>
                <w:rFonts w:hint="eastAsia" w:ascii="宋体" w:hAnsi="宋体" w:eastAsia="宋体" w:cs="宋体"/>
                <w:b/>
                <w:bCs/>
                <w:sz w:val="21"/>
                <w:szCs w:val="21"/>
                <w:vertAlign w:val="baseline"/>
              </w:rPr>
              <w:t>说明：同一职务有多人担任（如主要技术人员），应分行填写。</w:t>
            </w:r>
          </w:p>
        </w:tc>
      </w:tr>
      <w:tr w14:paraId="26AC9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97" w:type="dxa"/>
            <w:gridSpan w:val="6"/>
            <w:vAlign w:val="center"/>
          </w:tcPr>
          <w:p w14:paraId="6746E5D2">
            <w:pPr>
              <w:bidi w:val="0"/>
              <w:spacing w:line="360" w:lineRule="auto"/>
              <w:jc w:val="center"/>
              <w:rPr>
                <w:rFonts w:hint="eastAsia" w:ascii="宋体" w:hAnsi="宋体" w:eastAsia="宋体" w:cs="宋体"/>
                <w:sz w:val="21"/>
                <w:szCs w:val="21"/>
                <w:vertAlign w:val="baseline"/>
              </w:rPr>
            </w:pPr>
            <w:r>
              <w:rPr>
                <w:rFonts w:hint="eastAsia" w:ascii="宋体" w:hAnsi="宋体" w:eastAsia="宋体" w:cs="宋体"/>
                <w:b/>
                <w:bCs/>
                <w:sz w:val="21"/>
                <w:szCs w:val="21"/>
                <w:vertAlign w:val="baseline"/>
              </w:rPr>
              <w:t>投标（响应）供应商关联关系情况</w:t>
            </w:r>
          </w:p>
        </w:tc>
      </w:tr>
      <w:tr w14:paraId="4A44C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75341A74">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3386" w:type="dxa"/>
            <w:gridSpan w:val="2"/>
            <w:vAlign w:val="center"/>
          </w:tcPr>
          <w:p w14:paraId="56B9B2CF">
            <w:pPr>
              <w:bidi w:val="0"/>
              <w:spacing w:line="36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关联关系类型</w:t>
            </w:r>
          </w:p>
        </w:tc>
        <w:tc>
          <w:tcPr>
            <w:tcW w:w="1583" w:type="dxa"/>
            <w:vAlign w:val="center"/>
          </w:tcPr>
          <w:p w14:paraId="46A24EFC">
            <w:pPr>
              <w:bidi w:val="0"/>
              <w:spacing w:line="36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关联主体名称</w:t>
            </w:r>
          </w:p>
        </w:tc>
        <w:tc>
          <w:tcPr>
            <w:tcW w:w="3166" w:type="dxa"/>
            <w:gridSpan w:val="2"/>
            <w:vAlign w:val="center"/>
          </w:tcPr>
          <w:p w14:paraId="5E2022A6">
            <w:pPr>
              <w:bidi w:val="0"/>
              <w:spacing w:line="36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备注</w:t>
            </w:r>
          </w:p>
        </w:tc>
      </w:tr>
      <w:tr w14:paraId="75732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600701E1">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3386" w:type="dxa"/>
            <w:gridSpan w:val="2"/>
            <w:vAlign w:val="center"/>
          </w:tcPr>
          <w:p w14:paraId="566EF645">
            <w:pPr>
              <w:bidi w:val="0"/>
              <w:spacing w:line="36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控股股东</w:t>
            </w:r>
          </w:p>
        </w:tc>
        <w:tc>
          <w:tcPr>
            <w:tcW w:w="1583" w:type="dxa"/>
            <w:vAlign w:val="center"/>
          </w:tcPr>
          <w:p w14:paraId="6992A4CF">
            <w:pPr>
              <w:bidi w:val="0"/>
              <w:spacing w:line="360" w:lineRule="auto"/>
              <w:jc w:val="center"/>
              <w:rPr>
                <w:rFonts w:hint="eastAsia" w:ascii="宋体" w:hAnsi="宋体" w:eastAsia="宋体" w:cs="宋体"/>
                <w:sz w:val="21"/>
                <w:szCs w:val="21"/>
                <w:vertAlign w:val="baseline"/>
              </w:rPr>
            </w:pPr>
          </w:p>
        </w:tc>
        <w:tc>
          <w:tcPr>
            <w:tcW w:w="3166" w:type="dxa"/>
            <w:gridSpan w:val="2"/>
            <w:vAlign w:val="center"/>
          </w:tcPr>
          <w:p w14:paraId="6B2E6F38">
            <w:pPr>
              <w:bidi w:val="0"/>
              <w:spacing w:line="36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指出资额（或持有股份）占投标（响应）供应商资 本总额（或股本总额）50%以上的股东，以及出资额 （或持有股份）的比例虽然不足 50%，但依其出资  额（或持有股份）所享有的表决权已足以对投标（响 应）供应商股东会（或股东大会）的决议产生重要 影响的股东。</w:t>
            </w:r>
          </w:p>
        </w:tc>
      </w:tr>
      <w:tr w14:paraId="2A445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0304A5E9">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3386" w:type="dxa"/>
            <w:gridSpan w:val="2"/>
            <w:vAlign w:val="center"/>
          </w:tcPr>
          <w:p w14:paraId="4A83AFC2">
            <w:pPr>
              <w:bidi w:val="0"/>
              <w:spacing w:line="36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管理关系</w:t>
            </w:r>
          </w:p>
        </w:tc>
        <w:tc>
          <w:tcPr>
            <w:tcW w:w="1583" w:type="dxa"/>
            <w:vAlign w:val="center"/>
          </w:tcPr>
          <w:p w14:paraId="50071E40">
            <w:pPr>
              <w:bidi w:val="0"/>
              <w:spacing w:line="360" w:lineRule="auto"/>
              <w:jc w:val="center"/>
              <w:rPr>
                <w:rFonts w:hint="eastAsia" w:ascii="宋体" w:hAnsi="宋体" w:eastAsia="宋体" w:cs="宋体"/>
                <w:sz w:val="21"/>
                <w:szCs w:val="21"/>
                <w:vertAlign w:val="baseline"/>
              </w:rPr>
            </w:pPr>
          </w:p>
        </w:tc>
        <w:tc>
          <w:tcPr>
            <w:tcW w:w="3166" w:type="dxa"/>
            <w:gridSpan w:val="2"/>
            <w:vAlign w:val="center"/>
          </w:tcPr>
          <w:p w14:paraId="2A7418A5">
            <w:pPr>
              <w:bidi w:val="0"/>
              <w:spacing w:line="360" w:lineRule="auto"/>
              <w:jc w:val="center"/>
              <w:rPr>
                <w:rFonts w:hint="eastAsia" w:ascii="宋体" w:hAnsi="宋体" w:eastAsia="宋体" w:cs="宋体"/>
                <w:sz w:val="21"/>
                <w:szCs w:val="21"/>
                <w:vertAlign w:val="baseline"/>
              </w:rPr>
            </w:pPr>
            <w:r>
              <w:rPr>
                <w:rFonts w:hint="eastAsia" w:cs="方正仿宋_GBK" w:asciiTheme="minorEastAsia" w:hAnsiTheme="minorEastAsia" w:eastAsiaTheme="minorEastAsia"/>
                <w:szCs w:val="21"/>
              </w:rPr>
              <w:t>指对投标（响应）供应商不具有出资持股关系，但对其存在管理关系的主体。</w:t>
            </w:r>
          </w:p>
        </w:tc>
      </w:tr>
      <w:tr w14:paraId="0F6F4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9497" w:type="dxa"/>
            <w:gridSpan w:val="6"/>
            <w:vAlign w:val="center"/>
          </w:tcPr>
          <w:p w14:paraId="257A4A10">
            <w:pPr>
              <w:bidi w:val="0"/>
              <w:spacing w:line="360" w:lineRule="auto"/>
              <w:jc w:val="left"/>
              <w:rPr>
                <w:rFonts w:hint="eastAsia" w:ascii="宋体" w:hAnsi="宋体" w:eastAsia="宋体" w:cs="宋体"/>
                <w:sz w:val="21"/>
                <w:szCs w:val="21"/>
                <w:vertAlign w:val="baseline"/>
              </w:rPr>
            </w:pPr>
            <w:r>
              <w:rPr>
                <w:rFonts w:hint="eastAsia" w:ascii="宋体" w:hAnsi="宋体" w:eastAsia="宋体" w:cs="宋体"/>
                <w:b/>
                <w:bCs/>
                <w:sz w:val="21"/>
                <w:szCs w:val="21"/>
                <w:vertAlign w:val="baseline"/>
              </w:rPr>
              <w:t>说明：同一关联关系类型有多个主体的，应分行填写。</w:t>
            </w:r>
          </w:p>
        </w:tc>
      </w:tr>
    </w:tbl>
    <w:p w14:paraId="1BEFE362">
      <w:pPr>
        <w:jc w:val="center"/>
        <w:rPr>
          <w:rFonts w:hint="eastAsia" w:asciiTheme="minorEastAsia" w:hAnsiTheme="minorEastAsia" w:cstheme="minorEastAsia"/>
          <w:b/>
          <w:bCs/>
          <w:sz w:val="28"/>
          <w:szCs w:val="28"/>
          <w:lang w:eastAsia="zh-CN"/>
        </w:rPr>
      </w:pPr>
    </w:p>
    <w:p w14:paraId="743CBD1F">
      <w:pPr>
        <w:jc w:val="center"/>
        <w:rPr>
          <w:rFonts w:hint="eastAsia" w:asciiTheme="minorEastAsia" w:hAnsiTheme="minorEastAsia" w:cstheme="minorEastAsia"/>
          <w:b/>
          <w:bCs/>
          <w:sz w:val="28"/>
          <w:szCs w:val="28"/>
          <w:lang w:eastAsia="zh-CN"/>
        </w:rPr>
      </w:pPr>
    </w:p>
    <w:p w14:paraId="447DED23">
      <w:pPr>
        <w:jc w:val="center"/>
        <w:rPr>
          <w:rFonts w:hint="eastAsia" w:asciiTheme="minorEastAsia" w:hAnsiTheme="minorEastAsia" w:cstheme="minorEastAsia"/>
          <w:b/>
          <w:bCs/>
          <w:sz w:val="28"/>
          <w:szCs w:val="28"/>
          <w:lang w:eastAsia="zh-CN"/>
        </w:rPr>
      </w:pPr>
    </w:p>
    <w:p w14:paraId="720840E8">
      <w:pPr>
        <w:jc w:val="center"/>
        <w:rPr>
          <w:rFonts w:hint="eastAsia" w:asciiTheme="minorEastAsia" w:hAnsiTheme="minorEastAsia" w:cstheme="minorEastAsia"/>
          <w:b/>
          <w:bCs/>
          <w:sz w:val="28"/>
          <w:szCs w:val="28"/>
          <w:lang w:eastAsia="zh-CN"/>
        </w:rPr>
      </w:pPr>
    </w:p>
    <w:p w14:paraId="00E2FEFB">
      <w:pPr>
        <w:jc w:val="center"/>
        <w:rPr>
          <w:rFonts w:hint="eastAsia" w:asciiTheme="minorEastAsia" w:hAnsiTheme="minorEastAsia" w:cstheme="minorEastAsia"/>
          <w:b/>
          <w:bCs/>
          <w:sz w:val="28"/>
          <w:szCs w:val="28"/>
          <w:lang w:eastAsia="zh-CN"/>
        </w:rPr>
      </w:pPr>
    </w:p>
    <w:p w14:paraId="010C2661">
      <w:pPr>
        <w:jc w:val="center"/>
        <w:rPr>
          <w:rFonts w:hint="eastAsia" w:asciiTheme="minorEastAsia" w:hAnsiTheme="minorEastAsia" w:cstheme="minorEastAsia"/>
          <w:b/>
          <w:bCs/>
          <w:sz w:val="28"/>
          <w:szCs w:val="28"/>
          <w:lang w:eastAsia="zh-CN"/>
        </w:rPr>
      </w:pPr>
    </w:p>
    <w:p w14:paraId="2E9B4DEC">
      <w:pPr>
        <w:jc w:val="center"/>
        <w:rPr>
          <w:rFonts w:hint="eastAsia" w:asciiTheme="minorEastAsia" w:hAnsiTheme="minorEastAsia" w:cstheme="minorEastAsia"/>
          <w:b/>
          <w:bCs/>
          <w:sz w:val="28"/>
          <w:szCs w:val="28"/>
          <w:lang w:eastAsia="zh-CN"/>
        </w:rPr>
      </w:pPr>
    </w:p>
    <w:p w14:paraId="3680AF06">
      <w:pPr>
        <w:jc w:val="center"/>
        <w:rPr>
          <w:rFonts w:hint="eastAsia" w:asciiTheme="minorEastAsia" w:hAnsiTheme="minorEastAsia" w:cstheme="minorEastAsia"/>
          <w:b/>
          <w:bCs/>
          <w:sz w:val="28"/>
          <w:szCs w:val="28"/>
          <w:lang w:eastAsia="zh-CN"/>
        </w:rPr>
      </w:pPr>
    </w:p>
    <w:p w14:paraId="21FE1135">
      <w:pPr>
        <w:jc w:val="center"/>
        <w:rPr>
          <w:rFonts w:hint="eastAsia" w:asciiTheme="minorEastAsia" w:hAnsiTheme="minorEastAsia" w:cstheme="minorEastAsia"/>
          <w:b/>
          <w:bCs/>
          <w:sz w:val="28"/>
          <w:szCs w:val="28"/>
          <w:lang w:eastAsia="zh-CN"/>
        </w:rPr>
      </w:pPr>
    </w:p>
    <w:p w14:paraId="090A3839">
      <w:pPr>
        <w:jc w:val="center"/>
        <w:rPr>
          <w:rFonts w:hint="eastAsia" w:asciiTheme="minorEastAsia" w:hAnsiTheme="minorEastAsia" w:cstheme="minorEastAsia"/>
          <w:b/>
          <w:bCs/>
          <w:sz w:val="28"/>
          <w:szCs w:val="28"/>
          <w:lang w:eastAsia="zh-CN"/>
        </w:rPr>
      </w:pPr>
    </w:p>
    <w:p w14:paraId="0981D0C8">
      <w:pPr>
        <w:jc w:val="center"/>
        <w:rPr>
          <w:rFonts w:hint="eastAsia" w:asciiTheme="minorEastAsia" w:hAnsiTheme="minorEastAsia" w:cstheme="minorEastAsia"/>
          <w:b/>
          <w:bCs/>
          <w:sz w:val="28"/>
          <w:szCs w:val="28"/>
          <w:lang w:eastAsia="zh-CN"/>
        </w:rPr>
      </w:pPr>
    </w:p>
    <w:p w14:paraId="23ED3C9B">
      <w:pPr>
        <w:jc w:val="center"/>
        <w:rPr>
          <w:rFonts w:hint="eastAsia" w:asciiTheme="minorEastAsia" w:hAnsiTheme="minorEastAsia" w:cstheme="minorEastAsia"/>
          <w:b/>
          <w:bCs/>
          <w:sz w:val="28"/>
          <w:szCs w:val="28"/>
          <w:lang w:eastAsia="zh-CN"/>
        </w:rPr>
      </w:pPr>
    </w:p>
    <w:p w14:paraId="21EDC35B">
      <w:pPr>
        <w:jc w:val="center"/>
        <w:rPr>
          <w:rFonts w:hint="eastAsia" w:asciiTheme="minorEastAsia" w:hAnsiTheme="minorEastAsia" w:cstheme="minorEastAsia"/>
          <w:b/>
          <w:bCs/>
          <w:sz w:val="28"/>
          <w:szCs w:val="28"/>
          <w:lang w:eastAsia="zh-CN"/>
        </w:rPr>
      </w:pPr>
    </w:p>
    <w:p w14:paraId="6D95A4B1">
      <w:pPr>
        <w:jc w:val="center"/>
        <w:rPr>
          <w:rFonts w:hint="eastAsia" w:asciiTheme="minorEastAsia" w:hAnsiTheme="minorEastAsia" w:cstheme="minorEastAsia"/>
          <w:b/>
          <w:bCs/>
          <w:sz w:val="28"/>
          <w:szCs w:val="28"/>
          <w:lang w:eastAsia="zh-CN"/>
        </w:rPr>
      </w:pPr>
    </w:p>
    <w:p w14:paraId="133C1CB5">
      <w:pPr>
        <w:jc w:val="center"/>
        <w:rPr>
          <w:rFonts w:hint="eastAsia" w:asciiTheme="minorEastAsia" w:hAnsiTheme="minorEastAsia" w:cstheme="minorEastAsia"/>
          <w:b/>
          <w:bCs/>
          <w:sz w:val="28"/>
          <w:szCs w:val="28"/>
          <w:lang w:eastAsia="zh-CN"/>
        </w:rPr>
      </w:pPr>
    </w:p>
    <w:p w14:paraId="6B35AE39">
      <w:pPr>
        <w:jc w:val="center"/>
        <w:rPr>
          <w:rFonts w:hint="eastAsia" w:asciiTheme="minorEastAsia" w:hAnsiTheme="minorEastAsia" w:cstheme="minorEastAsia"/>
          <w:b/>
          <w:bCs/>
          <w:sz w:val="28"/>
          <w:szCs w:val="28"/>
          <w:lang w:eastAsia="zh-CN"/>
        </w:rPr>
      </w:pPr>
    </w:p>
    <w:p w14:paraId="183A7A36">
      <w:pPr>
        <w:jc w:val="center"/>
        <w:rPr>
          <w:rFonts w:hint="eastAsia" w:asciiTheme="minorEastAsia" w:hAnsiTheme="minorEastAsia" w:cstheme="minorEastAsia"/>
          <w:b/>
          <w:bCs/>
          <w:sz w:val="28"/>
          <w:szCs w:val="28"/>
          <w:lang w:eastAsia="zh-CN"/>
        </w:rPr>
      </w:pPr>
    </w:p>
    <w:p w14:paraId="76C3BE37">
      <w:pPr>
        <w:pStyle w:val="3"/>
        <w:numPr>
          <w:ilvl w:val="0"/>
          <w:numId w:val="0"/>
        </w:numPr>
        <w:spacing w:line="240" w:lineRule="auto"/>
        <w:ind w:left="420" w:leftChars="0" w:hanging="420" w:firstLineChars="0"/>
        <w:jc w:val="center"/>
        <w:outlineLvl w:val="0"/>
        <w:rPr>
          <w:rFonts w:asciiTheme="majorEastAsia" w:hAnsiTheme="majorEastAsia" w:eastAsiaTheme="majorEastAsia"/>
          <w:color w:val="auto"/>
          <w:sz w:val="30"/>
          <w:szCs w:val="30"/>
        </w:rPr>
      </w:pPr>
      <w:bookmarkStart w:id="30" w:name="_Toc2271"/>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lang w:val="en-US" w:eastAsia="zh-CN"/>
        </w:rPr>
        <w:t>七</w:t>
      </w:r>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rPr>
        <w:t>符合政府采</w:t>
      </w:r>
      <w:r>
        <w:rPr>
          <w:rFonts w:hint="eastAsia" w:asciiTheme="majorEastAsia" w:hAnsiTheme="majorEastAsia" w:eastAsiaTheme="majorEastAsia"/>
          <w:color w:val="auto"/>
          <w:sz w:val="30"/>
          <w:szCs w:val="30"/>
        </w:rPr>
        <w:t>购优惠政策的证明材料</w:t>
      </w:r>
      <w:bookmarkEnd w:id="30"/>
    </w:p>
    <w:p w14:paraId="02229216">
      <w:pPr>
        <w:spacing w:line="360" w:lineRule="exact"/>
        <w:rPr>
          <w:b/>
          <w:bCs/>
          <w:color w:val="auto"/>
        </w:rPr>
      </w:pPr>
      <w:r>
        <w:rPr>
          <w:rFonts w:hint="eastAsia" w:ascii="黑体" w:hAnsi="宋体" w:eastAsia="黑体"/>
          <w:bCs/>
          <w:color w:val="auto"/>
          <w:szCs w:val="32"/>
        </w:rPr>
        <w:t>备注：该部分内容由供应商根据自身情况提供相关内容，不符合要求的供应商可以不提供。</w:t>
      </w:r>
    </w:p>
    <w:p w14:paraId="5C981CD0">
      <w:pPr>
        <w:pStyle w:val="35"/>
        <w:spacing w:before="120" w:after="120" w:line="276" w:lineRule="auto"/>
        <w:ind w:left="0" w:leftChars="0" w:firstLine="0" w:firstLineChars="0"/>
        <w:rPr>
          <w:rFonts w:hint="eastAsia"/>
          <w:b/>
          <w:color w:val="auto"/>
          <w:sz w:val="24"/>
        </w:rPr>
      </w:pPr>
    </w:p>
    <w:p w14:paraId="4B1D9CBC">
      <w:pPr>
        <w:pStyle w:val="35"/>
        <w:spacing w:before="120" w:after="120" w:line="276" w:lineRule="auto"/>
        <w:ind w:firstLine="482" w:firstLineChars="200"/>
        <w:outlineLvl w:val="9"/>
        <w:rPr>
          <w:rFonts w:hint="eastAsia" w:ascii="宋体" w:hAnsi="宋体" w:eastAsia="宋体" w:cs="宋体"/>
          <w:bCs/>
          <w:color w:val="auto"/>
          <w:kern w:val="0"/>
          <w:sz w:val="24"/>
          <w:szCs w:val="24"/>
          <w:highlight w:val="none"/>
        </w:rPr>
      </w:pPr>
      <w:r>
        <w:rPr>
          <w:rFonts w:hint="eastAsia"/>
          <w:b/>
          <w:color w:val="auto"/>
          <w:sz w:val="24"/>
        </w:rPr>
        <w:t>填写指引：</w:t>
      </w:r>
    </w:p>
    <w:p w14:paraId="7DBF2140">
      <w:pPr>
        <w:spacing w:after="0" w:afterLines="0" w:line="360" w:lineRule="exact"/>
        <w:ind w:right="420" w:rightChars="200" w:firstLine="420" w:firstLineChars="200"/>
        <w:outlineLvl w:val="9"/>
        <w:rPr>
          <w:rFonts w:hint="eastAsia"/>
          <w:color w:val="auto"/>
        </w:rPr>
      </w:pPr>
      <w:r>
        <w:rPr>
          <w:rFonts w:hint="eastAsia"/>
          <w:color w:val="auto"/>
        </w:rPr>
        <w:t>1、该部分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14:paraId="75617E08">
      <w:pPr>
        <w:ind w:right="420" w:rightChars="200" w:firstLine="420" w:firstLineChars="200"/>
        <w:outlineLvl w:val="9"/>
        <w:rPr>
          <w:rFonts w:hint="eastAsia"/>
          <w:color w:val="auto"/>
        </w:rPr>
      </w:pPr>
      <w:r>
        <w:rPr>
          <w:rFonts w:hint="eastAsia"/>
          <w:color w:val="auto"/>
        </w:rPr>
        <w:t>2、该部分内容填写需要参考的相关文件：</w:t>
      </w:r>
    </w:p>
    <w:p w14:paraId="64954CAC">
      <w:pPr>
        <w:ind w:right="420" w:rightChars="20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(1)财政部《政府采购促进中小企业发展管理办法》（财库〔2020〕46号）；</w:t>
      </w:r>
    </w:p>
    <w:p w14:paraId="6707DBC9">
      <w:pPr>
        <w:ind w:right="420" w:rightChars="20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(2)《工业和信息化部、国家统计局、国家发展和改革委员会、财政部关于印发中小企业划型标准规定的通知》（工信部联企业〔2011〕300 号，以下简称300号文）</w:t>
      </w:r>
      <w:r>
        <w:rPr>
          <w:rFonts w:hint="eastAsia" w:ascii="宋体" w:hAnsi="宋体" w:eastAsia="宋体" w:cs="宋体"/>
          <w:color w:val="auto"/>
          <w:sz w:val="21"/>
          <w:szCs w:val="21"/>
          <w:lang w:eastAsia="zh-CN"/>
        </w:rPr>
        <w:t>；</w:t>
      </w:r>
    </w:p>
    <w:p w14:paraId="694DC4B5">
      <w:pPr>
        <w:ind w:right="420" w:rightChars="20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(3)《统计上大中小微型企业划分办法(2017)》（国统字〔2017〕213 号）</w:t>
      </w:r>
      <w:r>
        <w:rPr>
          <w:rFonts w:hint="eastAsia" w:ascii="宋体" w:hAnsi="宋体" w:eastAsia="宋体" w:cs="宋体"/>
          <w:color w:val="auto"/>
          <w:sz w:val="21"/>
          <w:szCs w:val="21"/>
          <w:lang w:eastAsia="zh-CN"/>
        </w:rPr>
        <w:t>；</w:t>
      </w:r>
    </w:p>
    <w:p w14:paraId="2989B0D2">
      <w:pPr>
        <w:ind w:right="420" w:rightChars="20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(4)《关于促进残疾人就业政府采购政策的通知》（财库〔2017〕141号）</w:t>
      </w:r>
      <w:r>
        <w:rPr>
          <w:rFonts w:hint="eastAsia" w:ascii="宋体" w:hAnsi="宋体" w:eastAsia="宋体" w:cs="宋体"/>
          <w:color w:val="auto"/>
          <w:sz w:val="21"/>
          <w:szCs w:val="21"/>
          <w:lang w:eastAsia="zh-CN"/>
        </w:rPr>
        <w:t>；</w:t>
      </w:r>
    </w:p>
    <w:p w14:paraId="3C13DDC9">
      <w:pPr>
        <w:ind w:right="420" w:rightChars="20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(5)《关于政府采购支持监狱企业发展有关问题的通知》（财库〔2014〕68号）</w:t>
      </w:r>
      <w:r>
        <w:rPr>
          <w:rFonts w:hint="eastAsia" w:ascii="宋体" w:hAnsi="宋体" w:eastAsia="宋体" w:cs="宋体"/>
          <w:color w:val="auto"/>
          <w:sz w:val="21"/>
          <w:szCs w:val="21"/>
          <w:lang w:eastAsia="zh-CN"/>
        </w:rPr>
        <w:t>。</w:t>
      </w:r>
    </w:p>
    <w:p w14:paraId="66F6DBBB">
      <w:pPr>
        <w:spacing w:after="0" w:afterLines="0" w:line="360" w:lineRule="exact"/>
        <w:ind w:right="420" w:rightChars="200" w:firstLine="420" w:firstLineChars="200"/>
        <w:outlineLvl w:val="9"/>
        <w:rPr>
          <w:rFonts w:hint="eastAsia"/>
          <w:color w:val="auto"/>
        </w:rPr>
      </w:pPr>
      <w:r>
        <w:rPr>
          <w:rFonts w:hint="eastAsia"/>
          <w:color w:val="auto"/>
        </w:rPr>
        <w:t>3、请依照提供的格式和内容填写声明函，不要随意变更格式；满足多项优惠政策的投标人，不重复享受多项价格扣除政策。</w:t>
      </w:r>
    </w:p>
    <w:p w14:paraId="100CD60A">
      <w:pPr>
        <w:spacing w:after="0" w:afterLines="0" w:line="360" w:lineRule="exact"/>
        <w:ind w:right="420" w:rightChars="200" w:firstLine="420" w:firstLineChars="200"/>
        <w:outlineLvl w:val="9"/>
        <w:rPr>
          <w:rFonts w:hint="eastAsia"/>
          <w:color w:val="auto"/>
        </w:rPr>
      </w:pPr>
      <w:r>
        <w:rPr>
          <w:rFonts w:hint="eastAsia"/>
          <w:color w:val="auto"/>
        </w:rPr>
        <w:t>4、声明函具体填写要求：</w:t>
      </w:r>
    </w:p>
    <w:p w14:paraId="5AB7E822">
      <w:pPr>
        <w:spacing w:after="0" w:afterLines="0" w:line="360" w:lineRule="exact"/>
        <w:ind w:right="420" w:rightChars="200" w:firstLine="420" w:firstLineChars="200"/>
        <w:outlineLvl w:val="9"/>
        <w:rPr>
          <w:rFonts w:hint="eastAsia"/>
          <w:color w:val="auto"/>
        </w:rPr>
      </w:pPr>
      <w:r>
        <w:rPr>
          <w:rFonts w:hint="eastAsia"/>
          <w:color w:val="auto"/>
        </w:rPr>
        <w:t>（1）声明是中小企业须填写《中小企业声明函》的以下内容：</w:t>
      </w:r>
    </w:p>
    <w:p w14:paraId="7741FA94">
      <w:pPr>
        <w:spacing w:after="0" w:afterLines="0" w:line="360" w:lineRule="exact"/>
        <w:ind w:right="420" w:rightChars="200" w:firstLine="420" w:firstLineChars="200"/>
        <w:outlineLvl w:val="9"/>
        <w:rPr>
          <w:rFonts w:hint="eastAsia" w:eastAsiaTheme="minorEastAsia"/>
          <w:color w:val="auto"/>
          <w:lang w:eastAsia="zh-CN"/>
        </w:rPr>
      </w:pPr>
      <w:r>
        <w:rPr>
          <w:rFonts w:hint="eastAsia"/>
          <w:color w:val="auto"/>
        </w:rPr>
        <w:t>第一处，在</w:t>
      </w:r>
      <w:r>
        <w:rPr>
          <w:rFonts w:hint="eastAsia"/>
          <w:b/>
          <w:bCs/>
          <w:color w:val="auto"/>
        </w:rPr>
        <w:t>“单位名称”</w:t>
      </w:r>
      <w:r>
        <w:rPr>
          <w:rFonts w:hint="eastAsia"/>
          <w:color w:val="auto"/>
        </w:rPr>
        <w:t>下划线处如实填写</w:t>
      </w:r>
      <w:r>
        <w:rPr>
          <w:rFonts w:hint="eastAsia"/>
          <w:b/>
          <w:bCs/>
          <w:color w:val="auto"/>
        </w:rPr>
        <w:t>采购人名称</w:t>
      </w:r>
      <w:r>
        <w:rPr>
          <w:rFonts w:hint="eastAsia"/>
          <w:color w:val="auto"/>
        </w:rPr>
        <w:t>；</w:t>
      </w:r>
    </w:p>
    <w:p w14:paraId="40D70F64">
      <w:pPr>
        <w:spacing w:after="0" w:afterLines="0" w:line="360" w:lineRule="exact"/>
        <w:ind w:right="420" w:rightChars="200" w:firstLine="420" w:firstLineChars="200"/>
        <w:outlineLvl w:val="9"/>
        <w:rPr>
          <w:rFonts w:hint="eastAsia"/>
          <w:color w:val="auto"/>
        </w:rPr>
      </w:pPr>
      <w:r>
        <w:rPr>
          <w:rFonts w:hint="eastAsia"/>
          <w:color w:val="auto"/>
        </w:rPr>
        <w:t>第二处，在</w:t>
      </w:r>
      <w:r>
        <w:rPr>
          <w:rFonts w:hint="eastAsia"/>
          <w:b/>
          <w:bCs/>
          <w:color w:val="auto"/>
        </w:rPr>
        <w:t>“项目名称”</w:t>
      </w:r>
      <w:r>
        <w:rPr>
          <w:rFonts w:hint="eastAsia"/>
          <w:color w:val="auto"/>
        </w:rPr>
        <w:t>下划线处如实填写采购</w:t>
      </w:r>
      <w:r>
        <w:rPr>
          <w:rFonts w:hint="eastAsia"/>
          <w:b/>
          <w:bCs/>
          <w:color w:val="auto"/>
        </w:rPr>
        <w:t>项目名称（项目名称可在</w:t>
      </w:r>
      <w:r>
        <w:rPr>
          <w:rFonts w:hint="eastAsia"/>
          <w:b/>
          <w:bCs/>
          <w:color w:val="auto"/>
          <w:lang w:eastAsia="zh-CN"/>
        </w:rPr>
        <w:t>谈判</w:t>
      </w:r>
      <w:r>
        <w:rPr>
          <w:rFonts w:hint="eastAsia"/>
          <w:b/>
          <w:bCs/>
          <w:color w:val="auto"/>
        </w:rPr>
        <w:t>公告处查看）</w:t>
      </w:r>
      <w:r>
        <w:rPr>
          <w:rFonts w:hint="eastAsia"/>
          <w:color w:val="auto"/>
        </w:rPr>
        <w:t>；</w:t>
      </w:r>
    </w:p>
    <w:p w14:paraId="65BD23A0">
      <w:pPr>
        <w:spacing w:after="0" w:afterLines="0" w:line="360" w:lineRule="exact"/>
        <w:ind w:right="420" w:rightChars="200" w:firstLine="420" w:firstLineChars="200"/>
        <w:outlineLvl w:val="9"/>
        <w:rPr>
          <w:rFonts w:hint="eastAsia"/>
          <w:color w:val="auto"/>
        </w:rPr>
      </w:pPr>
      <w:r>
        <w:rPr>
          <w:rFonts w:hint="eastAsia"/>
          <w:color w:val="auto"/>
        </w:rPr>
        <w:t>第三处，在</w:t>
      </w:r>
      <w:r>
        <w:rPr>
          <w:rFonts w:hint="eastAsia"/>
          <w:b/>
          <w:bCs/>
          <w:color w:val="auto"/>
        </w:rPr>
        <w:t>“标的名称”</w:t>
      </w:r>
      <w:r>
        <w:rPr>
          <w:rFonts w:hint="eastAsia"/>
          <w:color w:val="auto"/>
        </w:rPr>
        <w:t>下划线处填写所采购</w:t>
      </w:r>
      <w:r>
        <w:rPr>
          <w:rFonts w:hint="eastAsia"/>
          <w:color w:val="auto"/>
          <w:lang w:val="en-US" w:eastAsia="zh-CN"/>
        </w:rPr>
        <w:t>货物</w:t>
      </w:r>
      <w:r>
        <w:rPr>
          <w:rFonts w:hint="eastAsia"/>
          <w:color w:val="auto"/>
        </w:rPr>
        <w:t>（标的）的具体名称（</w:t>
      </w:r>
      <w:r>
        <w:rPr>
          <w:rFonts w:hint="eastAsia"/>
          <w:b/>
          <w:bCs/>
          <w:color w:val="auto"/>
        </w:rPr>
        <w:t>以</w:t>
      </w:r>
      <w:r>
        <w:rPr>
          <w:rFonts w:hint="eastAsia"/>
          <w:b/>
          <w:bCs/>
          <w:color w:val="auto"/>
          <w:lang w:eastAsia="zh-CN"/>
        </w:rPr>
        <w:t>谈判文件</w:t>
      </w:r>
      <w:r>
        <w:rPr>
          <w:rFonts w:hint="eastAsia"/>
          <w:b/>
          <w:bCs/>
          <w:color w:val="auto"/>
          <w:lang w:val="en-US" w:eastAsia="zh-CN"/>
        </w:rPr>
        <w:t>中</w:t>
      </w:r>
      <w:r>
        <w:rPr>
          <w:rFonts w:hint="eastAsia" w:ascii="Times New Roman" w:hAnsi="Times New Roman" w:eastAsia="宋体" w:cs="Times New Roman"/>
          <w:b/>
          <w:bCs/>
          <w:color w:val="auto"/>
        </w:rPr>
        <w:t>的“货物名称”一栏为准</w:t>
      </w:r>
      <w:r>
        <w:rPr>
          <w:rFonts w:hint="eastAsia" w:ascii="Times New Roman" w:hAnsi="Times New Roman" w:eastAsia="宋体" w:cs="Times New Roman"/>
          <w:color w:val="auto"/>
        </w:rPr>
        <w:t>）</w:t>
      </w:r>
      <w:r>
        <w:rPr>
          <w:rFonts w:hint="eastAsia"/>
          <w:color w:val="auto"/>
        </w:rPr>
        <w:t>；如果涉及多</w:t>
      </w:r>
      <w:r>
        <w:rPr>
          <w:rFonts w:hint="eastAsia"/>
          <w:color w:val="auto"/>
          <w:lang w:val="en-US" w:eastAsia="zh-CN"/>
        </w:rPr>
        <w:t>项货物</w:t>
      </w:r>
      <w:r>
        <w:rPr>
          <w:rFonts w:hint="eastAsia"/>
          <w:color w:val="auto"/>
        </w:rPr>
        <w:t>（标的）由同一企业制造，“标的名称”下划线处可以如实填写多</w:t>
      </w:r>
      <w:r>
        <w:rPr>
          <w:rFonts w:hint="eastAsia"/>
          <w:color w:val="auto"/>
          <w:lang w:val="en-US" w:eastAsia="zh-CN"/>
        </w:rPr>
        <w:t>项货物</w:t>
      </w:r>
      <w:r>
        <w:rPr>
          <w:rFonts w:hint="eastAsia"/>
          <w:color w:val="auto"/>
        </w:rPr>
        <w:t>；</w:t>
      </w:r>
    </w:p>
    <w:p w14:paraId="10F85C46">
      <w:pPr>
        <w:spacing w:after="0" w:afterLines="0" w:line="360" w:lineRule="exact"/>
        <w:ind w:right="420" w:rightChars="200" w:firstLine="420" w:firstLineChars="200"/>
        <w:outlineLvl w:val="9"/>
        <w:rPr>
          <w:rFonts w:hint="eastAsia"/>
          <w:color w:val="auto"/>
        </w:rPr>
      </w:pPr>
      <w:r>
        <w:rPr>
          <w:rFonts w:hint="eastAsia"/>
          <w:color w:val="auto"/>
        </w:rPr>
        <w:t>第四处，在</w:t>
      </w:r>
      <w:r>
        <w:rPr>
          <w:rFonts w:hint="eastAsia"/>
          <w:b/>
          <w:bCs/>
          <w:color w:val="auto"/>
        </w:rPr>
        <w:t>“</w:t>
      </w:r>
      <w:r>
        <w:rPr>
          <w:rFonts w:hint="eastAsia"/>
          <w:b/>
          <w:bCs/>
          <w:color w:val="auto"/>
          <w:lang w:eastAsia="zh-CN"/>
        </w:rPr>
        <w:t>谈判文件</w:t>
      </w:r>
      <w:r>
        <w:rPr>
          <w:rFonts w:hint="eastAsia"/>
          <w:b/>
          <w:bCs/>
          <w:color w:val="auto"/>
        </w:rPr>
        <w:t>中明确的所属行业”</w:t>
      </w:r>
      <w:r>
        <w:rPr>
          <w:rFonts w:hint="eastAsia"/>
          <w:color w:val="auto"/>
        </w:rPr>
        <w:t>下划线处填写采购标的对应的中小企业划分标准所属行业（</w:t>
      </w:r>
      <w:r>
        <w:rPr>
          <w:rFonts w:hint="eastAsia"/>
          <w:b/>
          <w:bCs/>
          <w:color w:val="auto"/>
        </w:rPr>
        <w:t>所属行业可在</w:t>
      </w:r>
      <w:r>
        <w:rPr>
          <w:rFonts w:hint="eastAsia"/>
          <w:b/>
          <w:bCs/>
          <w:color w:val="auto"/>
          <w:lang w:eastAsia="zh-CN"/>
        </w:rPr>
        <w:t>谈判文件</w:t>
      </w:r>
      <w:r>
        <w:rPr>
          <w:rFonts w:hint="eastAsia"/>
          <w:b/>
          <w:bCs/>
          <w:color w:val="auto"/>
          <w:lang w:val="en-US" w:eastAsia="zh-CN"/>
        </w:rPr>
        <w:t>中</w:t>
      </w:r>
      <w:r>
        <w:rPr>
          <w:rFonts w:hint="eastAsia"/>
          <w:b/>
          <w:bCs/>
          <w:color w:val="auto"/>
        </w:rPr>
        <w:t>查看</w:t>
      </w:r>
      <w:r>
        <w:rPr>
          <w:rFonts w:hint="eastAsia"/>
          <w:color w:val="auto"/>
        </w:rPr>
        <w:t>）；</w:t>
      </w:r>
    </w:p>
    <w:p w14:paraId="117EB2AF">
      <w:pPr>
        <w:spacing w:after="0" w:afterLines="0" w:line="360" w:lineRule="exact"/>
        <w:ind w:right="420" w:rightChars="200" w:firstLine="420" w:firstLineChars="200"/>
        <w:outlineLvl w:val="9"/>
        <w:rPr>
          <w:rFonts w:hint="eastAsia"/>
          <w:color w:val="auto"/>
        </w:rPr>
      </w:pPr>
      <w:r>
        <w:rPr>
          <w:rFonts w:hint="eastAsia"/>
          <w:color w:val="auto"/>
        </w:rPr>
        <w:t>第五处，在</w:t>
      </w:r>
      <w:r>
        <w:rPr>
          <w:rFonts w:hint="eastAsia"/>
          <w:b/>
          <w:bCs/>
          <w:color w:val="auto"/>
        </w:rPr>
        <w:t>“企业名称”</w:t>
      </w:r>
      <w:r>
        <w:rPr>
          <w:rFonts w:hint="eastAsia"/>
          <w:color w:val="auto"/>
        </w:rPr>
        <w:t>下划线处如实填写</w:t>
      </w:r>
      <w:r>
        <w:rPr>
          <w:rFonts w:hint="eastAsia" w:ascii="Times New Roman" w:hAnsi="Times New Roman" w:eastAsia="宋体" w:cs="Times New Roman"/>
          <w:b/>
          <w:bCs/>
          <w:color w:val="auto"/>
          <w:kern w:val="2"/>
          <w:szCs w:val="22"/>
        </w:rPr>
        <w:t>制造商</w:t>
      </w:r>
      <w:r>
        <w:rPr>
          <w:rFonts w:hint="eastAsia"/>
          <w:b/>
          <w:bCs/>
          <w:color w:val="auto"/>
        </w:rPr>
        <w:t>名称</w:t>
      </w:r>
      <w:r>
        <w:rPr>
          <w:rFonts w:hint="eastAsia"/>
          <w:color w:val="auto"/>
        </w:rPr>
        <w:t>；在“从业人员”、“营业收入”、“资产总额”下划线处如实填写从业人员、营业收入、资产总额；在“中型企业、小型企业、微型企业”下划线处如实依照300号文填写相应的企业类型；</w:t>
      </w:r>
      <w:r>
        <w:rPr>
          <w:rFonts w:hint="eastAsia"/>
          <w:b/>
          <w:bCs/>
          <w:color w:val="auto"/>
        </w:rPr>
        <w:t>从业人员、营业收入、资产总额填报上一年度数据，无上一年度数据的新成立企业可以不填报。</w:t>
      </w:r>
      <w:r>
        <w:rPr>
          <w:rFonts w:hint="eastAsia" w:ascii="宋体" w:hAnsi="宋体" w:eastAsia="宋体" w:cs="宋体"/>
          <w:b/>
          <w:bCs/>
          <w:color w:val="auto"/>
          <w:sz w:val="21"/>
          <w:szCs w:val="21"/>
        </w:rPr>
        <w:t>《中小企业声明函》中制造商所属行业应当与</w:t>
      </w:r>
      <w:r>
        <w:rPr>
          <w:rFonts w:hint="eastAsia" w:ascii="宋体" w:hAnsi="宋体" w:eastAsia="宋体" w:cs="宋体"/>
          <w:b/>
          <w:bCs/>
          <w:color w:val="auto"/>
          <w:sz w:val="21"/>
          <w:szCs w:val="21"/>
          <w:lang w:eastAsia="zh-CN"/>
        </w:rPr>
        <w:t>谈判文件</w:t>
      </w:r>
      <w:r>
        <w:rPr>
          <w:rFonts w:hint="eastAsia" w:ascii="宋体" w:hAnsi="宋体" w:eastAsia="宋体" w:cs="宋体"/>
          <w:b/>
          <w:bCs/>
          <w:color w:val="auto"/>
          <w:sz w:val="21"/>
          <w:szCs w:val="21"/>
        </w:rPr>
        <w:t>要求的行业相一致，</w:t>
      </w:r>
      <w:r>
        <w:rPr>
          <w:rFonts w:hint="eastAsia" w:ascii="宋体" w:hAnsi="宋体" w:eastAsia="宋体" w:cs="宋体"/>
          <w:color w:val="auto"/>
          <w:sz w:val="21"/>
          <w:szCs w:val="21"/>
        </w:rPr>
        <w:t>供应商如有疑问，可根据《国民经济行业分类》（GB/T 4754-2017），结合《关于印发中小企业划型标准规定的通知》（工信部联企业〔2011〕300号）进行判断。事业单位、社会组织等非企业主体不享受中小企业扶持政策。但事业单位、社会组织等非企业主体提供全部由中小企业制造的货物参加货物采购项目的除外。</w:t>
      </w:r>
    </w:p>
    <w:p w14:paraId="653E128D">
      <w:pPr>
        <w:spacing w:after="0" w:afterLines="0" w:line="360" w:lineRule="exact"/>
        <w:ind w:right="420" w:rightChars="200" w:firstLine="420" w:firstLineChars="200"/>
        <w:outlineLvl w:val="9"/>
        <w:rPr>
          <w:rFonts w:hint="eastAsia"/>
          <w:color w:val="auto"/>
        </w:rPr>
      </w:pPr>
      <w:r>
        <w:rPr>
          <w:rFonts w:hint="eastAsia"/>
          <w:color w:val="auto"/>
        </w:rPr>
        <w:t>（2）声明是残疾人福利性单位须填写《残疾人福利性单位声明函》的相关内容（填写位置的字体已加粗），具体参照以上《中小企业声明函》填写要求执行。</w:t>
      </w:r>
    </w:p>
    <w:p w14:paraId="772E21B9">
      <w:pPr>
        <w:spacing w:after="0" w:afterLines="0" w:line="360" w:lineRule="exact"/>
        <w:ind w:right="420" w:rightChars="200" w:firstLine="420" w:firstLineChars="200"/>
        <w:outlineLvl w:val="9"/>
        <w:rPr>
          <w:rFonts w:hint="eastAsia"/>
          <w:color w:val="auto"/>
        </w:rPr>
      </w:pPr>
      <w:r>
        <w:rPr>
          <w:rFonts w:hint="eastAsia"/>
          <w:color w:val="auto"/>
        </w:rPr>
        <w:t>（3）声明是监狱企业须填写《监狱企业声明函》的相关内容（填写位置的字体已加粗），具体参照以上《中小企业声明函》填写要求执行。</w:t>
      </w:r>
    </w:p>
    <w:p w14:paraId="34F8C19F">
      <w:pPr>
        <w:snapToGrid/>
        <w:spacing w:after="0" w:afterLines="0" w:line="360" w:lineRule="exact"/>
        <w:ind w:right="420" w:rightChars="200" w:firstLine="420" w:firstLineChars="200"/>
        <w:rPr>
          <w:rFonts w:ascii="宋体" w:hAnsi="宋体"/>
          <w:color w:val="auto"/>
          <w:szCs w:val="21"/>
        </w:rPr>
      </w:pPr>
      <w:r>
        <w:rPr>
          <w:rFonts w:hint="eastAsia"/>
          <w:color w:val="auto"/>
        </w:rPr>
        <w:t>5、若本项目属于专门面向中小企业、残疾人福利性单位或监狱企业，则声明函有效性由采购人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04C31D22">
      <w:pPr>
        <w:pStyle w:val="6"/>
        <w:rPr>
          <w:color w:val="auto"/>
        </w:rPr>
      </w:pPr>
    </w:p>
    <w:p w14:paraId="04F8DE87">
      <w:pPr>
        <w:spacing w:after="60"/>
        <w:jc w:val="center"/>
        <w:outlineLvl w:val="9"/>
        <w:rPr>
          <w:b/>
          <w:color w:val="auto"/>
        </w:rPr>
      </w:pPr>
      <w:r>
        <w:rPr>
          <w:rFonts w:hint="eastAsia"/>
          <w:b/>
          <w:color w:val="auto"/>
        </w:rPr>
        <w:t>1、中小企业声明函</w:t>
      </w:r>
    </w:p>
    <w:p w14:paraId="260C3881">
      <w:pPr>
        <w:pStyle w:val="6"/>
        <w:spacing w:line="302" w:lineRule="auto"/>
        <w:ind w:right="-51" w:firstLine="412"/>
        <w:outlineLvl w:val="9"/>
        <w:rPr>
          <w:rFonts w:asciiTheme="minorEastAsia" w:hAnsiTheme="minorEastAsia"/>
          <w:color w:val="auto"/>
          <w:szCs w:val="21"/>
        </w:rPr>
      </w:pPr>
      <w:r>
        <w:rPr>
          <w:rFonts w:asciiTheme="minorEastAsia" w:hAnsiTheme="minorEastAsia"/>
          <w:color w:val="auto"/>
          <w:szCs w:val="21"/>
        </w:rPr>
        <w:t>本公司（联合体）郑重声明，根据《政府采购促进中小企业发展管理办法》（财库</w:t>
      </w:r>
      <w:r>
        <w:rPr>
          <w:rFonts w:hint="eastAsia" w:asciiTheme="minorEastAsia" w:hAnsiTheme="minorEastAsia"/>
          <w:color w:val="auto"/>
          <w:szCs w:val="21"/>
        </w:rPr>
        <w:t>﹝</w:t>
      </w:r>
      <w:r>
        <w:rPr>
          <w:rFonts w:asciiTheme="minorEastAsia" w:hAnsiTheme="minorEastAsia"/>
          <w:color w:val="auto"/>
          <w:szCs w:val="21"/>
        </w:rPr>
        <w:t>2020</w:t>
      </w:r>
      <w:r>
        <w:rPr>
          <w:rFonts w:hint="eastAsia" w:asciiTheme="minorEastAsia" w:hAnsiTheme="minorEastAsia"/>
          <w:color w:val="auto"/>
          <w:szCs w:val="21"/>
        </w:rPr>
        <w:t>﹞</w:t>
      </w:r>
      <w:r>
        <w:rPr>
          <w:rFonts w:asciiTheme="minorEastAsia" w:hAnsiTheme="minorEastAsia"/>
          <w:color w:val="auto"/>
          <w:szCs w:val="21"/>
        </w:rPr>
        <w:t>46 号）的规定，本公司（联合体）参加</w:t>
      </w:r>
      <w:r>
        <w:rPr>
          <w:rFonts w:asciiTheme="minorEastAsia" w:hAnsiTheme="minorEastAsia"/>
          <w:color w:val="auto"/>
          <w:szCs w:val="21"/>
          <w:u w:val="single"/>
        </w:rPr>
        <w:t>（单位名称）</w:t>
      </w:r>
      <w:r>
        <w:rPr>
          <w:rFonts w:asciiTheme="minorEastAsia" w:hAnsiTheme="minorEastAsia"/>
          <w:color w:val="auto"/>
          <w:szCs w:val="21"/>
        </w:rPr>
        <w:t>的</w:t>
      </w:r>
      <w:r>
        <w:rPr>
          <w:rFonts w:asciiTheme="minorEastAsia" w:hAnsiTheme="minorEastAsia"/>
          <w:color w:val="auto"/>
          <w:szCs w:val="21"/>
          <w:u w:val="single"/>
        </w:rPr>
        <w:t>（项目名称）</w:t>
      </w:r>
      <w:r>
        <w:rPr>
          <w:rFonts w:asciiTheme="minorEastAsia" w:hAnsiTheme="minorEastAsia"/>
          <w:color w:val="auto"/>
          <w:szCs w:val="21"/>
        </w:rPr>
        <w:t>采购活动，</w:t>
      </w:r>
      <w:r>
        <w:rPr>
          <w:rFonts w:hint="eastAsia" w:asciiTheme="minorEastAsia" w:hAnsiTheme="minorEastAsia"/>
          <w:color w:val="auto"/>
          <w:szCs w:val="21"/>
        </w:rPr>
        <w:t>提供的货物全部由符合政策要求的中小企业制造</w:t>
      </w:r>
      <w:r>
        <w:rPr>
          <w:rFonts w:asciiTheme="minorEastAsia" w:hAnsiTheme="minorEastAsia"/>
          <w:color w:val="auto"/>
          <w:szCs w:val="21"/>
        </w:rPr>
        <w:t>。相关企业（含联合体中的中小企业、签订分包意向协议的中小企业）的具体情况如下：</w:t>
      </w:r>
    </w:p>
    <w:p w14:paraId="2D1BF500">
      <w:pPr>
        <w:pStyle w:val="6"/>
        <w:spacing w:line="302" w:lineRule="auto"/>
        <w:ind w:right="-51" w:firstLine="412"/>
        <w:outlineLvl w:val="9"/>
        <w:rPr>
          <w:rFonts w:asciiTheme="minorEastAsia" w:hAnsiTheme="minorEastAsia"/>
          <w:color w:val="auto"/>
          <w:szCs w:val="21"/>
        </w:rPr>
      </w:pPr>
      <w:r>
        <w:rPr>
          <w:rFonts w:hint="eastAsia" w:asciiTheme="minorEastAsia" w:hAnsiTheme="minorEastAsia"/>
          <w:color w:val="auto"/>
          <w:szCs w:val="21"/>
        </w:rPr>
        <w:t xml:space="preserve">1. </w:t>
      </w:r>
      <w:r>
        <w:rPr>
          <w:rFonts w:asciiTheme="minorEastAsia" w:hAnsiTheme="minorEastAsia"/>
          <w:color w:val="auto"/>
          <w:szCs w:val="21"/>
          <w:u w:val="single"/>
        </w:rPr>
        <w:t>（标的名称）</w:t>
      </w:r>
      <w:r>
        <w:rPr>
          <w:rFonts w:asciiTheme="minorEastAsia" w:hAnsiTheme="minorEastAsia"/>
          <w:color w:val="auto"/>
          <w:szCs w:val="21"/>
        </w:rPr>
        <w:t>，属于</w:t>
      </w:r>
      <w:r>
        <w:rPr>
          <w:rFonts w:asciiTheme="minorEastAsia" w:hAnsiTheme="minorEastAsia"/>
          <w:color w:val="auto"/>
          <w:szCs w:val="21"/>
          <w:u w:val="single"/>
        </w:rPr>
        <w:t>（采购文件中明确的所属行业）</w:t>
      </w:r>
      <w:r>
        <w:rPr>
          <w:rFonts w:hint="eastAsia" w:asciiTheme="minorEastAsia" w:hAnsiTheme="minorEastAsia"/>
          <w:color w:val="auto"/>
          <w:szCs w:val="21"/>
        </w:rPr>
        <w:t>行业</w:t>
      </w:r>
      <w:r>
        <w:rPr>
          <w:rFonts w:asciiTheme="minorEastAsia" w:hAnsiTheme="minorEastAsia"/>
          <w:color w:val="auto"/>
          <w:szCs w:val="21"/>
        </w:rPr>
        <w:t>；</w:t>
      </w:r>
      <w:r>
        <w:rPr>
          <w:rFonts w:hint="eastAsia" w:asciiTheme="minorEastAsia" w:hAnsiTheme="minorEastAsia"/>
          <w:color w:val="auto"/>
          <w:szCs w:val="21"/>
        </w:rPr>
        <w:t>制造商</w:t>
      </w:r>
      <w:r>
        <w:rPr>
          <w:rFonts w:asciiTheme="minorEastAsia" w:hAnsiTheme="minorEastAsia"/>
          <w:color w:val="auto"/>
          <w:szCs w:val="21"/>
        </w:rPr>
        <w:t>为</w:t>
      </w:r>
      <w:r>
        <w:rPr>
          <w:rFonts w:asciiTheme="minorEastAsia" w:hAnsiTheme="minorEastAsia"/>
          <w:color w:val="auto"/>
          <w:szCs w:val="21"/>
          <w:u w:val="single"/>
        </w:rPr>
        <w:t>（企业名称）</w:t>
      </w:r>
      <w:r>
        <w:rPr>
          <w:rFonts w:asciiTheme="minorEastAsia" w:hAnsiTheme="minorEastAsia"/>
          <w:color w:val="auto"/>
          <w:szCs w:val="21"/>
        </w:rPr>
        <w:t>，从业人员</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asciiTheme="minorEastAsia" w:hAnsiTheme="minorEastAsia"/>
          <w:color w:val="auto"/>
          <w:szCs w:val="21"/>
        </w:rPr>
        <w:t>人，营业收入为</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hint="eastAsia" w:asciiTheme="minorEastAsia" w:hAnsiTheme="minorEastAsia"/>
          <w:color w:val="auto"/>
          <w:szCs w:val="21"/>
          <w:u w:val="single"/>
        </w:rPr>
        <w:t xml:space="preserve">  </w:t>
      </w:r>
      <w:r>
        <w:rPr>
          <w:rFonts w:asciiTheme="minorEastAsia" w:hAnsiTheme="minorEastAsia"/>
          <w:color w:val="auto"/>
          <w:szCs w:val="21"/>
        </w:rPr>
        <w:t>万元，资产总额为</w:t>
      </w:r>
      <w:r>
        <w:rPr>
          <w:rFonts w:hint="eastAsia" w:asciiTheme="minorEastAsia" w:hAnsiTheme="minorEastAsia"/>
          <w:color w:val="auto"/>
          <w:szCs w:val="21"/>
          <w:u w:val="single"/>
        </w:rPr>
        <w:t xml:space="preserve">     </w:t>
      </w:r>
      <w:r>
        <w:rPr>
          <w:rFonts w:asciiTheme="minorEastAsia" w:hAnsiTheme="minorEastAsia"/>
          <w:color w:val="auto"/>
          <w:szCs w:val="21"/>
        </w:rPr>
        <w:t>万元，属于</w:t>
      </w:r>
      <w:r>
        <w:rPr>
          <w:rFonts w:asciiTheme="minorEastAsia" w:hAnsiTheme="minorEastAsia"/>
          <w:color w:val="auto"/>
          <w:szCs w:val="21"/>
          <w:u w:val="single"/>
        </w:rPr>
        <w:t>（中型企业、小型企业、微型企业）</w:t>
      </w:r>
      <w:r>
        <w:rPr>
          <w:rFonts w:asciiTheme="minorEastAsia" w:hAnsiTheme="minorEastAsia"/>
          <w:color w:val="auto"/>
          <w:szCs w:val="21"/>
        </w:rPr>
        <w:t>；</w:t>
      </w:r>
    </w:p>
    <w:p w14:paraId="55E4E598">
      <w:pPr>
        <w:pStyle w:val="6"/>
        <w:spacing w:line="302" w:lineRule="auto"/>
        <w:ind w:right="-51" w:firstLine="412"/>
        <w:outlineLvl w:val="9"/>
        <w:rPr>
          <w:rFonts w:asciiTheme="minorEastAsia" w:hAnsiTheme="minorEastAsia"/>
          <w:color w:val="auto"/>
          <w:szCs w:val="21"/>
        </w:rPr>
      </w:pPr>
      <w:r>
        <w:rPr>
          <w:rFonts w:hint="eastAsia" w:asciiTheme="minorEastAsia" w:hAnsiTheme="minorEastAsia"/>
          <w:color w:val="auto"/>
          <w:szCs w:val="21"/>
        </w:rPr>
        <w:t xml:space="preserve">2. </w:t>
      </w:r>
      <w:r>
        <w:rPr>
          <w:rFonts w:asciiTheme="minorEastAsia" w:hAnsiTheme="minorEastAsia"/>
          <w:color w:val="auto"/>
          <w:szCs w:val="21"/>
          <w:u w:val="single"/>
        </w:rPr>
        <w:t>（标的名称）</w:t>
      </w:r>
      <w:r>
        <w:rPr>
          <w:rFonts w:asciiTheme="minorEastAsia" w:hAnsiTheme="minorEastAsia"/>
          <w:color w:val="auto"/>
          <w:szCs w:val="21"/>
        </w:rPr>
        <w:t>，属于</w:t>
      </w:r>
      <w:r>
        <w:rPr>
          <w:rFonts w:asciiTheme="minorEastAsia" w:hAnsiTheme="minorEastAsia"/>
          <w:color w:val="auto"/>
          <w:szCs w:val="21"/>
          <w:u w:val="single"/>
        </w:rPr>
        <w:t>（采购文件中明确的所属行业）</w:t>
      </w:r>
      <w:r>
        <w:rPr>
          <w:rFonts w:hint="eastAsia" w:asciiTheme="minorEastAsia" w:hAnsiTheme="minorEastAsia"/>
          <w:color w:val="auto"/>
          <w:szCs w:val="21"/>
        </w:rPr>
        <w:t>行业</w:t>
      </w:r>
      <w:r>
        <w:rPr>
          <w:rFonts w:asciiTheme="minorEastAsia" w:hAnsiTheme="minorEastAsia"/>
          <w:color w:val="auto"/>
          <w:szCs w:val="21"/>
        </w:rPr>
        <w:t>；</w:t>
      </w:r>
      <w:r>
        <w:rPr>
          <w:rFonts w:hint="eastAsia" w:asciiTheme="minorEastAsia" w:hAnsiTheme="minorEastAsia"/>
          <w:color w:val="auto"/>
          <w:szCs w:val="21"/>
        </w:rPr>
        <w:t>制造商</w:t>
      </w:r>
      <w:r>
        <w:rPr>
          <w:rFonts w:asciiTheme="minorEastAsia" w:hAnsiTheme="minorEastAsia"/>
          <w:color w:val="auto"/>
          <w:szCs w:val="21"/>
        </w:rPr>
        <w:t>为</w:t>
      </w:r>
      <w:r>
        <w:rPr>
          <w:rFonts w:asciiTheme="minorEastAsia" w:hAnsiTheme="minorEastAsia"/>
          <w:color w:val="auto"/>
          <w:szCs w:val="21"/>
          <w:u w:val="single"/>
        </w:rPr>
        <w:t>（企业名称）</w:t>
      </w:r>
      <w:r>
        <w:rPr>
          <w:rFonts w:asciiTheme="minorEastAsia" w:hAnsiTheme="minorEastAsia"/>
          <w:color w:val="auto"/>
          <w:szCs w:val="21"/>
        </w:rPr>
        <w:t>，从业人员</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asciiTheme="minorEastAsia" w:hAnsiTheme="minorEastAsia"/>
          <w:color w:val="auto"/>
          <w:szCs w:val="21"/>
        </w:rPr>
        <w:t>人，营业收入为</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hint="eastAsia" w:asciiTheme="minorEastAsia" w:hAnsiTheme="minorEastAsia"/>
          <w:color w:val="auto"/>
          <w:szCs w:val="21"/>
          <w:u w:val="single"/>
        </w:rPr>
        <w:t xml:space="preserve">  </w:t>
      </w:r>
      <w:r>
        <w:rPr>
          <w:rFonts w:asciiTheme="minorEastAsia" w:hAnsiTheme="minorEastAsia"/>
          <w:color w:val="auto"/>
          <w:szCs w:val="21"/>
        </w:rPr>
        <w:t>万元，资产总额为</w:t>
      </w:r>
      <w:r>
        <w:rPr>
          <w:rFonts w:hint="eastAsia" w:asciiTheme="minorEastAsia" w:hAnsiTheme="minorEastAsia"/>
          <w:color w:val="auto"/>
          <w:szCs w:val="21"/>
          <w:u w:val="single"/>
        </w:rPr>
        <w:t xml:space="preserve">     </w:t>
      </w:r>
      <w:r>
        <w:rPr>
          <w:rFonts w:asciiTheme="minorEastAsia" w:hAnsiTheme="minorEastAsia"/>
          <w:color w:val="auto"/>
          <w:szCs w:val="21"/>
        </w:rPr>
        <w:t>万元，属于</w:t>
      </w:r>
      <w:r>
        <w:rPr>
          <w:rFonts w:asciiTheme="minorEastAsia" w:hAnsiTheme="minorEastAsia"/>
          <w:color w:val="auto"/>
          <w:szCs w:val="21"/>
          <w:u w:val="single"/>
        </w:rPr>
        <w:t>（中型企业、小型企业、微型企业）</w:t>
      </w:r>
      <w:r>
        <w:rPr>
          <w:rFonts w:asciiTheme="minorEastAsia" w:hAnsiTheme="minorEastAsia"/>
          <w:color w:val="auto"/>
          <w:szCs w:val="21"/>
        </w:rPr>
        <w:t>；</w:t>
      </w:r>
    </w:p>
    <w:p w14:paraId="21CE4560">
      <w:pPr>
        <w:pStyle w:val="6"/>
        <w:spacing w:before="11"/>
        <w:ind w:right="-51" w:firstLine="424" w:firstLineChars="202"/>
        <w:outlineLvl w:val="9"/>
        <w:rPr>
          <w:rFonts w:asciiTheme="minorEastAsia" w:hAnsiTheme="minorEastAsia"/>
          <w:color w:val="auto"/>
          <w:szCs w:val="21"/>
        </w:rPr>
      </w:pPr>
      <w:r>
        <w:rPr>
          <w:rFonts w:asciiTheme="minorEastAsia" w:hAnsiTheme="minorEastAsia"/>
          <w:color w:val="auto"/>
          <w:szCs w:val="21"/>
        </w:rPr>
        <w:t>……</w:t>
      </w:r>
    </w:p>
    <w:p w14:paraId="0BA2A6F9">
      <w:pPr>
        <w:pStyle w:val="6"/>
        <w:spacing w:before="108" w:line="304" w:lineRule="auto"/>
        <w:ind w:right="-51" w:firstLine="408"/>
        <w:outlineLvl w:val="9"/>
        <w:rPr>
          <w:rFonts w:asciiTheme="minorEastAsia" w:hAnsiTheme="minorEastAsia"/>
          <w:color w:val="auto"/>
          <w:szCs w:val="21"/>
        </w:rPr>
      </w:pPr>
      <w:r>
        <w:rPr>
          <w:rFonts w:asciiTheme="minorEastAsia" w:hAnsiTheme="minorEastAsia"/>
          <w:color w:val="auto"/>
          <w:szCs w:val="21"/>
        </w:rPr>
        <w:t>以上企业，不属于大企业的分支机构，不存在控股股东为大企业的情形，也不存在与大企业的负责人为同一人的情形。</w:t>
      </w:r>
    </w:p>
    <w:p w14:paraId="3BE2077A">
      <w:pPr>
        <w:spacing w:line="360" w:lineRule="exact"/>
        <w:ind w:right="-51" w:firstLine="420" w:firstLineChars="200"/>
        <w:outlineLvl w:val="9"/>
        <w:rPr>
          <w:rFonts w:asciiTheme="minorEastAsia" w:hAnsiTheme="minorEastAsia"/>
          <w:color w:val="auto"/>
          <w:szCs w:val="21"/>
        </w:rPr>
      </w:pPr>
      <w:r>
        <w:rPr>
          <w:rFonts w:asciiTheme="minorEastAsia" w:hAnsiTheme="minorEastAsia"/>
          <w:color w:val="auto"/>
          <w:szCs w:val="21"/>
        </w:rPr>
        <w:t>本企业对上述声明内容的真实性负责。如有虚假，将依法承担相应责任</w:t>
      </w:r>
      <w:r>
        <w:rPr>
          <w:rFonts w:hint="eastAsia" w:asciiTheme="minorEastAsia" w:hAnsiTheme="minorEastAsia"/>
          <w:color w:val="auto"/>
          <w:szCs w:val="21"/>
        </w:rPr>
        <w:t>。</w:t>
      </w:r>
    </w:p>
    <w:p w14:paraId="7A5FADDD">
      <w:pPr>
        <w:spacing w:line="360" w:lineRule="exact"/>
        <w:ind w:right="-51" w:firstLine="420" w:firstLineChars="200"/>
        <w:outlineLvl w:val="9"/>
        <w:rPr>
          <w:rFonts w:asciiTheme="minorEastAsia" w:hAnsiTheme="minorEastAsia"/>
          <w:color w:val="auto"/>
          <w:szCs w:val="21"/>
        </w:rPr>
      </w:pPr>
      <w:r>
        <w:rPr>
          <w:rFonts w:hint="eastAsia" w:asciiTheme="minorEastAsia" w:hAnsiTheme="minorEastAsia"/>
          <w:color w:val="auto"/>
          <w:szCs w:val="21"/>
        </w:rPr>
        <w:t>本企业已知悉《政府采购促进中小企业发展管理办法》（财库〔2020〕46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14:paraId="5A4D99C7">
      <w:pPr>
        <w:spacing w:line="360" w:lineRule="exact"/>
        <w:ind w:firstLine="420" w:firstLineChars="200"/>
        <w:outlineLvl w:val="9"/>
        <w:rPr>
          <w:rFonts w:asciiTheme="minorEastAsia" w:hAnsiTheme="minorEastAsia"/>
          <w:color w:val="auto"/>
          <w:szCs w:val="21"/>
        </w:rPr>
      </w:pPr>
    </w:p>
    <w:p w14:paraId="16CC9DE2">
      <w:pPr>
        <w:spacing w:line="360" w:lineRule="exact"/>
        <w:jc w:val="right"/>
        <w:outlineLvl w:val="9"/>
        <w:rPr>
          <w:color w:val="auto"/>
        </w:rPr>
      </w:pPr>
      <w:r>
        <w:rPr>
          <w:rFonts w:hint="eastAsia"/>
          <w:color w:val="auto"/>
          <w:szCs w:val="21"/>
        </w:rPr>
        <w:t xml:space="preserve">                             投标人：</w:t>
      </w:r>
    </w:p>
    <w:p w14:paraId="79996728">
      <w:pPr>
        <w:spacing w:line="360" w:lineRule="exact"/>
        <w:jc w:val="right"/>
        <w:outlineLvl w:val="9"/>
        <w:rPr>
          <w:rFonts w:ascii="宋体" w:hAnsi="宋体"/>
          <w:color w:val="auto"/>
          <w:szCs w:val="21"/>
        </w:rPr>
      </w:pPr>
      <w:r>
        <w:rPr>
          <w:rFonts w:hint="eastAsia" w:ascii="宋体" w:hAnsi="宋体"/>
          <w:color w:val="auto"/>
          <w:szCs w:val="21"/>
        </w:rPr>
        <w:t xml:space="preserve">                                     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1FC5DFF0">
      <w:pPr>
        <w:spacing w:line="360" w:lineRule="exact"/>
        <w:ind w:firstLine="420" w:firstLineChars="200"/>
        <w:outlineLvl w:val="9"/>
        <w:rPr>
          <w:rFonts w:ascii="宋体" w:hAnsi="宋体"/>
          <w:color w:val="auto"/>
          <w:szCs w:val="21"/>
        </w:rPr>
      </w:pPr>
      <w:r>
        <w:rPr>
          <w:rFonts w:hint="eastAsia" w:ascii="宋体" w:hAnsi="宋体"/>
          <w:color w:val="auto"/>
          <w:szCs w:val="21"/>
        </w:rPr>
        <w:t>备注：</w:t>
      </w:r>
    </w:p>
    <w:p w14:paraId="27AD37D7">
      <w:pPr>
        <w:spacing w:line="360" w:lineRule="exact"/>
        <w:ind w:firstLine="420" w:firstLineChars="200"/>
        <w:outlineLvl w:val="9"/>
        <w:rPr>
          <w:rFonts w:ascii="宋体" w:hAnsi="宋体"/>
          <w:color w:val="auto"/>
          <w:szCs w:val="21"/>
        </w:rPr>
      </w:pPr>
      <w:r>
        <w:rPr>
          <w:rFonts w:hint="eastAsia" w:ascii="宋体" w:hAnsi="宋体"/>
          <w:color w:val="auto"/>
          <w:szCs w:val="21"/>
        </w:rPr>
        <w:t>1、填写前请认真阅读《工业和信息化部、国家统计局、国家发展和改革委员会、财政部关于印发中小企业划型标准规定的通知》</w:t>
      </w:r>
      <w:r>
        <w:rPr>
          <w:rFonts w:ascii="宋体" w:hAnsi="宋体"/>
          <w:color w:val="auto"/>
          <w:szCs w:val="21"/>
        </w:rPr>
        <w:t>(</w:t>
      </w:r>
      <w:r>
        <w:rPr>
          <w:rFonts w:hint="eastAsia" w:ascii="宋体" w:hAnsi="宋体"/>
          <w:color w:val="auto"/>
          <w:szCs w:val="21"/>
        </w:rPr>
        <w:t>工信部联企业〔</w:t>
      </w:r>
      <w:r>
        <w:rPr>
          <w:rFonts w:ascii="宋体" w:hAnsi="宋体"/>
          <w:color w:val="auto"/>
          <w:szCs w:val="21"/>
        </w:rPr>
        <w:t>2011</w:t>
      </w:r>
      <w:r>
        <w:rPr>
          <w:rFonts w:hint="eastAsia" w:ascii="宋体" w:hAnsi="宋体"/>
          <w:color w:val="auto"/>
          <w:szCs w:val="21"/>
        </w:rPr>
        <w:t>〕</w:t>
      </w:r>
      <w:r>
        <w:rPr>
          <w:rFonts w:ascii="宋体" w:hAnsi="宋体"/>
          <w:color w:val="auto"/>
          <w:szCs w:val="21"/>
        </w:rPr>
        <w:t>300</w:t>
      </w:r>
      <w:r>
        <w:rPr>
          <w:rFonts w:hint="eastAsia" w:ascii="宋体" w:hAnsi="宋体"/>
          <w:color w:val="auto"/>
          <w:szCs w:val="21"/>
        </w:rPr>
        <w:t>号</w:t>
      </w:r>
      <w:r>
        <w:rPr>
          <w:rFonts w:ascii="宋体" w:hAnsi="宋体"/>
          <w:color w:val="auto"/>
          <w:szCs w:val="21"/>
        </w:rPr>
        <w:t>)</w:t>
      </w:r>
      <w:r>
        <w:rPr>
          <w:rFonts w:hint="eastAsia" w:ascii="宋体" w:hAnsi="宋体"/>
          <w:color w:val="auto"/>
          <w:szCs w:val="21"/>
        </w:rPr>
        <w:t>和《财政部 工业和信息化部关于印发《政府采购促进中小企业发展管理办法》的通知》</w:t>
      </w:r>
      <w:r>
        <w:rPr>
          <w:rFonts w:ascii="宋体" w:hAnsi="宋体"/>
          <w:color w:val="auto"/>
          <w:szCs w:val="21"/>
        </w:rPr>
        <w:t>(</w:t>
      </w:r>
      <w:r>
        <w:rPr>
          <w:rFonts w:hint="eastAsia" w:ascii="宋体" w:hAnsi="宋体"/>
          <w:color w:val="auto"/>
          <w:szCs w:val="21"/>
        </w:rPr>
        <w:t>财库〔2020〕46号</w:t>
      </w:r>
      <w:r>
        <w:rPr>
          <w:rFonts w:ascii="宋体" w:hAnsi="宋体"/>
          <w:color w:val="auto"/>
          <w:szCs w:val="21"/>
        </w:rPr>
        <w:t>)</w:t>
      </w:r>
      <w:r>
        <w:rPr>
          <w:rFonts w:hint="eastAsia" w:ascii="宋体" w:hAnsi="宋体"/>
          <w:color w:val="auto"/>
          <w:szCs w:val="21"/>
        </w:rPr>
        <w:t>相关规定。如不符合前述相关规定所确定的</w:t>
      </w:r>
      <w:r>
        <w:rPr>
          <w:rFonts w:hint="eastAsia" w:ascii="宋体" w:hAnsi="宋体"/>
          <w:b/>
          <w:color w:val="auto"/>
          <w:szCs w:val="21"/>
        </w:rPr>
        <w:t>小型和微型企业</w:t>
      </w:r>
      <w:r>
        <w:rPr>
          <w:rFonts w:hint="eastAsia" w:ascii="宋体" w:hAnsi="宋体"/>
          <w:color w:val="auto"/>
          <w:szCs w:val="21"/>
        </w:rPr>
        <w:t>，则不需要在投标文件中提供本《中小企业声明函》；若符合前述相关规定所确定的小型和微型企业，在投标文件中没有提供本《中小企业声明函》，视为在本项目中放弃政府采购政策扶持，不进行价格扣除。</w:t>
      </w:r>
    </w:p>
    <w:p w14:paraId="185F43C9">
      <w:pPr>
        <w:spacing w:line="360" w:lineRule="exact"/>
        <w:ind w:firstLine="420" w:firstLineChars="200"/>
        <w:outlineLvl w:val="9"/>
        <w:rPr>
          <w:rFonts w:ascii="宋体" w:hAnsi="宋体"/>
          <w:color w:val="auto"/>
          <w:szCs w:val="21"/>
        </w:rPr>
      </w:pPr>
      <w:r>
        <w:rPr>
          <w:rFonts w:hint="eastAsia" w:ascii="宋体" w:hAnsi="宋体"/>
          <w:color w:val="auto"/>
          <w:szCs w:val="21"/>
        </w:rPr>
        <w:t>2、从业人员、营业收入、资产总额填报上一年度数据，无上一年度数据的新成立企业可不填报。</w:t>
      </w:r>
    </w:p>
    <w:p w14:paraId="57A7B0AD">
      <w:pPr>
        <w:spacing w:line="360" w:lineRule="exact"/>
        <w:ind w:firstLine="420" w:firstLineChars="200"/>
        <w:outlineLvl w:val="9"/>
        <w:rPr>
          <w:rFonts w:ascii="宋体" w:hAnsi="宋体"/>
          <w:color w:val="auto"/>
          <w:szCs w:val="21"/>
        </w:rPr>
      </w:pPr>
      <w:r>
        <w:rPr>
          <w:rFonts w:hint="eastAsia" w:ascii="宋体" w:hAnsi="宋体"/>
          <w:color w:val="auto"/>
          <w:szCs w:val="21"/>
        </w:rPr>
        <w:t>3、供应商提供的货物既有中小企业制造货物，也有大型企业制造货物的，不享受中小企业扶持政策。</w:t>
      </w:r>
    </w:p>
    <w:p w14:paraId="5CFDC2F7">
      <w:pPr>
        <w:spacing w:after="60" w:line="360" w:lineRule="exact"/>
        <w:jc w:val="center"/>
        <w:outlineLvl w:val="9"/>
        <w:rPr>
          <w:b/>
          <w:color w:val="auto"/>
        </w:rPr>
      </w:pPr>
      <w:r>
        <w:rPr>
          <w:rFonts w:hint="eastAsia"/>
          <w:b/>
          <w:color w:val="auto"/>
        </w:rPr>
        <w:t>2、监狱企业声明函</w:t>
      </w:r>
    </w:p>
    <w:p w14:paraId="5BCD263D">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本单位郑重声明，根据《关于政府采购支持监狱企业发展有关问题的通知》（财库〔</w:t>
      </w:r>
      <w:r>
        <w:rPr>
          <w:rFonts w:ascii="宋体" w:hAnsi="宋体"/>
          <w:color w:val="auto"/>
          <w:szCs w:val="21"/>
        </w:rPr>
        <w:t>2014</w:t>
      </w:r>
      <w:r>
        <w:rPr>
          <w:rFonts w:hint="eastAsia" w:ascii="宋体" w:hAnsi="宋体"/>
          <w:color w:val="auto"/>
          <w:szCs w:val="21"/>
        </w:rPr>
        <w:t>〕</w:t>
      </w:r>
      <w:r>
        <w:rPr>
          <w:rFonts w:ascii="宋体" w:hAnsi="宋体"/>
          <w:color w:val="auto"/>
          <w:szCs w:val="21"/>
        </w:rPr>
        <w:t>68</w:t>
      </w:r>
      <w:r>
        <w:rPr>
          <w:rFonts w:hint="eastAsia" w:ascii="宋体" w:hAnsi="宋体"/>
          <w:color w:val="auto"/>
          <w:szCs w:val="21"/>
        </w:rPr>
        <w:t>号）的规定，本单位为符合条件的监狱企业。</w:t>
      </w:r>
    </w:p>
    <w:p w14:paraId="06AEB3D5">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本单位对上述声明的真实性负责。如有虚假，将依法承担相应责任。</w:t>
      </w:r>
    </w:p>
    <w:p w14:paraId="4CB4EBE4">
      <w:pPr>
        <w:spacing w:line="360" w:lineRule="exact"/>
        <w:outlineLvl w:val="9"/>
        <w:rPr>
          <w:color w:val="auto"/>
        </w:rPr>
      </w:pPr>
      <w:r>
        <w:rPr>
          <w:rFonts w:hint="eastAsia"/>
          <w:color w:val="auto"/>
          <w:szCs w:val="21"/>
        </w:rPr>
        <w:t>投标人：</w:t>
      </w:r>
    </w:p>
    <w:p w14:paraId="50AE583F">
      <w:pPr>
        <w:spacing w:line="360" w:lineRule="exact"/>
        <w:outlineLvl w:val="9"/>
        <w:rPr>
          <w:rFonts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5D009A09">
      <w:pPr>
        <w:spacing w:line="360" w:lineRule="exact"/>
        <w:outlineLvl w:val="9"/>
        <w:rPr>
          <w:rFonts w:ascii="宋体"/>
          <w:b/>
          <w:color w:val="auto"/>
          <w:szCs w:val="21"/>
        </w:rPr>
      </w:pPr>
      <w:r>
        <w:rPr>
          <w:rFonts w:hint="eastAsia" w:ascii="宋体" w:hAnsi="宋体"/>
          <w:color w:val="auto"/>
          <w:szCs w:val="21"/>
        </w:rPr>
        <w:t xml:space="preserve">                                    </w:t>
      </w:r>
    </w:p>
    <w:p w14:paraId="674A5FF5">
      <w:pPr>
        <w:spacing w:after="60" w:line="360" w:lineRule="exact"/>
        <w:ind w:firstLine="422" w:firstLineChars="200"/>
        <w:outlineLvl w:val="9"/>
        <w:rPr>
          <w:rFonts w:ascii="宋体" w:hAnsi="宋体"/>
          <w:b/>
          <w:color w:val="auto"/>
          <w:szCs w:val="21"/>
        </w:rPr>
      </w:pPr>
      <w:r>
        <w:rPr>
          <w:rFonts w:hint="eastAsia" w:ascii="宋体" w:hAnsi="宋体"/>
          <w:b/>
          <w:color w:val="auto"/>
          <w:szCs w:val="21"/>
        </w:rPr>
        <w:t>附：省级以上监狱管理局、戒毒管理局（含新疆生产建设兵团）出具的监狱企业证明文件。</w:t>
      </w:r>
    </w:p>
    <w:p w14:paraId="3703EB32">
      <w:pPr>
        <w:spacing w:line="360" w:lineRule="exact"/>
        <w:ind w:firstLine="424" w:firstLineChars="202"/>
        <w:outlineLvl w:val="9"/>
        <w:rPr>
          <w:rFonts w:ascii="宋体" w:hAnsi="宋体"/>
          <w:color w:val="auto"/>
          <w:szCs w:val="21"/>
        </w:rPr>
      </w:pPr>
      <w:r>
        <w:rPr>
          <w:rFonts w:hint="eastAsia" w:ascii="宋体" w:hAnsi="宋体"/>
          <w:color w:val="auto"/>
          <w:szCs w:val="21"/>
        </w:rPr>
        <w:t>备注：填写前请认真阅读《财政部 司法部关于政府采购支持监狱企业发展有关问题的通知》（财库〔</w:t>
      </w:r>
      <w:r>
        <w:rPr>
          <w:rFonts w:ascii="宋体" w:hAnsi="宋体"/>
          <w:color w:val="auto"/>
          <w:szCs w:val="21"/>
        </w:rPr>
        <w:t>2014</w:t>
      </w:r>
      <w:r>
        <w:rPr>
          <w:rFonts w:hint="eastAsia" w:ascii="宋体" w:hAnsi="宋体"/>
          <w:color w:val="auto"/>
          <w:szCs w:val="21"/>
        </w:rPr>
        <w:t>〕</w:t>
      </w:r>
      <w:r>
        <w:rPr>
          <w:rFonts w:ascii="宋体" w:hAnsi="宋体"/>
          <w:color w:val="auto"/>
          <w:szCs w:val="21"/>
        </w:rPr>
        <w:t>68</w:t>
      </w:r>
      <w:r>
        <w:rPr>
          <w:rFonts w:hint="eastAsia" w:ascii="宋体" w:hAnsi="宋体"/>
          <w:color w:val="auto"/>
          <w:szCs w:val="21"/>
        </w:rPr>
        <w:t>号）相关规定。如不符合前述相关规定所确定的监狱企业，则不需要在投标文件中提供本《监狱企业声明函》；若符合前述相关规定所确定的监狱企业，除了提供本《监狱企业声明函》，还需提供由省级以上监狱管理局、戒毒管理局（含新疆生产建设兵团）出具的属于监狱企业的证明文件。否则视为在本项目中放弃政府采购政策扶持，不进行价格扣除。</w:t>
      </w:r>
    </w:p>
    <w:p w14:paraId="01353735">
      <w:pPr>
        <w:spacing w:after="60" w:line="360" w:lineRule="exact"/>
        <w:ind w:firstLine="420" w:firstLineChars="200"/>
        <w:outlineLvl w:val="9"/>
        <w:rPr>
          <w:rFonts w:ascii="宋体" w:hAnsi="宋体"/>
          <w:color w:val="auto"/>
          <w:szCs w:val="21"/>
        </w:rPr>
      </w:pPr>
      <w:r>
        <w:rPr>
          <w:rFonts w:hint="eastAsia" w:ascii="宋体" w:hAnsi="宋体"/>
          <w:color w:val="auto"/>
          <w:szCs w:val="21"/>
        </w:rPr>
        <w:t xml:space="preserve">                                     </w:t>
      </w:r>
    </w:p>
    <w:p w14:paraId="4B289F80">
      <w:pPr>
        <w:spacing w:after="60" w:line="360" w:lineRule="exact"/>
        <w:jc w:val="center"/>
        <w:outlineLvl w:val="9"/>
        <w:rPr>
          <w:b/>
          <w:bCs/>
          <w:color w:val="auto"/>
        </w:rPr>
      </w:pPr>
      <w:r>
        <w:rPr>
          <w:rFonts w:hint="eastAsia"/>
          <w:b/>
          <w:color w:val="auto"/>
        </w:rPr>
        <w:t>3、残疾人福利性单位声明函</w:t>
      </w:r>
    </w:p>
    <w:p w14:paraId="62A1F375">
      <w:pPr>
        <w:spacing w:line="360" w:lineRule="exact"/>
        <w:ind w:firstLine="420" w:firstLineChars="200"/>
        <w:outlineLvl w:val="9"/>
        <w:rPr>
          <w:rFonts w:ascii="宋体" w:hAnsi="宋体"/>
          <w:color w:val="auto"/>
          <w:szCs w:val="21"/>
        </w:rPr>
      </w:pPr>
      <w:r>
        <w:rPr>
          <w:rFonts w:hint="eastAsia" w:ascii="宋体" w:hAnsi="宋体"/>
          <w:color w:val="auto"/>
          <w:szCs w:val="21"/>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color w:val="auto"/>
          <w:szCs w:val="21"/>
          <w:u w:val="single"/>
        </w:rPr>
        <w:t xml:space="preserve">    </w:t>
      </w:r>
      <w:r>
        <w:rPr>
          <w:rFonts w:hint="eastAsia" w:ascii="宋体" w:hAnsi="宋体"/>
          <w:color w:val="auto"/>
          <w:szCs w:val="21"/>
        </w:rPr>
        <w:t>单位的</w:t>
      </w:r>
      <w:r>
        <w:rPr>
          <w:rFonts w:hint="eastAsia" w:ascii="宋体" w:hAnsi="宋体"/>
          <w:color w:val="auto"/>
          <w:szCs w:val="21"/>
          <w:u w:val="single"/>
        </w:rPr>
        <w:t xml:space="preserve">            </w:t>
      </w:r>
      <w:r>
        <w:rPr>
          <w:rFonts w:hint="eastAsia" w:ascii="宋体" w:hAnsi="宋体"/>
          <w:color w:val="auto"/>
          <w:szCs w:val="21"/>
        </w:rPr>
        <w:t>项目采购活动提供本单位制造的货物，或者提供其他残疾人福利性单位制造的货物（不包括使用非残疾人福利性单位注册商标的货物）。</w:t>
      </w:r>
    </w:p>
    <w:p w14:paraId="6298693E">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本单位对上述声明的真实性负责。如有虚假，将依法承担相应责任。</w:t>
      </w:r>
    </w:p>
    <w:p w14:paraId="00507B23">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本单位知悉《关于促进残疾人就业政府采购政策的通知》（财库〔2017〕141 号）的规定，承诺提供的声明函内容是真实的，如提供声明函内容不实，则依法追究相关法律责任。</w:t>
      </w:r>
    </w:p>
    <w:p w14:paraId="312D2F0C">
      <w:pPr>
        <w:spacing w:line="360" w:lineRule="exact"/>
        <w:outlineLvl w:val="9"/>
        <w:rPr>
          <w:color w:val="auto"/>
        </w:rPr>
      </w:pPr>
      <w:r>
        <w:rPr>
          <w:rFonts w:hint="eastAsia"/>
          <w:color w:val="auto"/>
          <w:szCs w:val="21"/>
        </w:rPr>
        <w:t>投标人：</w:t>
      </w:r>
    </w:p>
    <w:p w14:paraId="7EC4C1ED">
      <w:pPr>
        <w:spacing w:line="360" w:lineRule="exact"/>
        <w:outlineLvl w:val="9"/>
        <w:rPr>
          <w:rFonts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5E8CB70A">
      <w:pPr>
        <w:pStyle w:val="6"/>
        <w:outlineLvl w:val="9"/>
        <w:rPr>
          <w:color w:val="auto"/>
        </w:rPr>
      </w:pPr>
    </w:p>
    <w:p w14:paraId="60CB5D68">
      <w:pPr>
        <w:spacing w:line="360" w:lineRule="exact"/>
        <w:ind w:firstLine="424" w:firstLineChars="202"/>
        <w:outlineLvl w:val="9"/>
        <w:rPr>
          <w:rFonts w:hint="eastAsia" w:ascii="宋体" w:hAnsi="宋体"/>
          <w:color w:val="auto"/>
          <w:szCs w:val="21"/>
        </w:rPr>
      </w:pPr>
      <w:r>
        <w:rPr>
          <w:rFonts w:hint="eastAsia" w:ascii="宋体" w:hAnsi="宋体"/>
          <w:color w:val="auto"/>
          <w:szCs w:val="21"/>
        </w:rPr>
        <w:t>备注：填写前请认真阅读《财政部 民政部 中国残疾人联合会关于促进残疾人就业政府采购政策的通知》</w:t>
      </w:r>
      <w:r>
        <w:rPr>
          <w:rFonts w:ascii="宋体" w:hAnsi="宋体"/>
          <w:color w:val="auto"/>
          <w:szCs w:val="21"/>
        </w:rPr>
        <w:t>(</w:t>
      </w:r>
      <w:r>
        <w:rPr>
          <w:rFonts w:hint="eastAsia" w:ascii="宋体" w:hAnsi="宋体"/>
          <w:color w:val="auto"/>
          <w:szCs w:val="21"/>
        </w:rPr>
        <w:t>财库〔2017〕141号</w:t>
      </w:r>
      <w:r>
        <w:rPr>
          <w:rFonts w:ascii="宋体" w:hAnsi="宋体"/>
          <w:color w:val="auto"/>
          <w:szCs w:val="21"/>
        </w:rPr>
        <w:t>)</w:t>
      </w:r>
      <w:r>
        <w:rPr>
          <w:rFonts w:hint="eastAsia" w:ascii="宋体" w:hAnsi="宋体"/>
          <w:color w:val="auto"/>
          <w:szCs w:val="21"/>
        </w:rPr>
        <w:t xml:space="preserve">相关规定。如不符合前述相关规定所确定的残疾人福利性单位，则不需要在投标文件中提供本《残疾人福利性单位声明函》；若符合前述相关规定所确定的残疾人福利性单位，但在投标文件中没有提供本《残疾人福利性单位声明函》，视为在本项目中放弃政府采购政策扶持，不进行价格扣除。     </w:t>
      </w:r>
    </w:p>
    <w:p w14:paraId="2A1BFFEF">
      <w:pPr>
        <w:spacing w:line="360" w:lineRule="exact"/>
        <w:ind w:firstLine="424" w:firstLineChars="202"/>
        <w:outlineLvl w:val="9"/>
        <w:rPr>
          <w:rFonts w:hint="eastAsia" w:ascii="宋体" w:hAnsi="宋体"/>
          <w:color w:val="auto"/>
          <w:szCs w:val="21"/>
        </w:rPr>
      </w:pPr>
    </w:p>
    <w:p w14:paraId="0B227468">
      <w:pPr>
        <w:rPr>
          <w:rFonts w:ascii="宋体" w:hAnsi="宋体" w:eastAsia="宋体"/>
          <w:b/>
          <w:bCs/>
          <w:szCs w:val="21"/>
        </w:rPr>
      </w:pPr>
      <w:r>
        <w:rPr>
          <w:rFonts w:hint="eastAsia" w:ascii="宋体" w:hAnsi="宋体" w:eastAsia="宋体"/>
          <w:b/>
          <w:bCs/>
          <w:szCs w:val="21"/>
        </w:rPr>
        <w:t>附件1.统计上大中小微型企业划分标准</w:t>
      </w:r>
    </w:p>
    <w:p w14:paraId="03C689CE">
      <w:pPr>
        <w:rPr>
          <w:rFonts w:hint="eastAsia" w:ascii="宋体" w:hAnsi="宋体" w:eastAsia="宋体" w:cs="宋体"/>
          <w:sz w:val="21"/>
          <w:szCs w:val="21"/>
        </w:rPr>
      </w:pPr>
      <w:r>
        <w:rPr>
          <w:rFonts w:hint="eastAsia" w:ascii="宋体" w:hAnsi="宋体" w:eastAsia="宋体" w:cs="宋体"/>
          <w:sz w:val="21"/>
          <w:szCs w:val="21"/>
        </w:rPr>
        <w:t>来源：国家统计局关于印发《统计上大中小微型企业划分办法（2017）》的通知（国统字〔2017〕213 号）</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"https://www.stats.gov.cn/xxgk/tjbz/gjtjbz/202008/t20200811_1782335.html" </w:instrText>
      </w:r>
      <w:r>
        <w:rPr>
          <w:rFonts w:hint="eastAsia" w:ascii="宋体" w:hAnsi="宋体" w:eastAsia="宋体" w:cs="宋体"/>
          <w:sz w:val="21"/>
          <w:szCs w:val="21"/>
        </w:rPr>
        <w:fldChar w:fldCharType="separate"/>
      </w:r>
      <w:r>
        <w:rPr>
          <w:rFonts w:hint="eastAsia" w:ascii="宋体" w:hAnsi="宋体" w:eastAsia="宋体" w:cs="宋体"/>
          <w:sz w:val="21"/>
          <w:szCs w:val="21"/>
        </w:rPr>
        <w:t>https://www.stats.gov.cn/xxgk/tjbz/gjtjbz/202008/t20200811_1782335.html</w:t>
      </w:r>
      <w:r>
        <w:rPr>
          <w:rFonts w:hint="eastAsia" w:ascii="宋体" w:hAnsi="宋体" w:eastAsia="宋体" w:cs="宋体"/>
          <w:sz w:val="21"/>
          <w:szCs w:val="21"/>
        </w:rPr>
        <w:fldChar w:fldCharType="end"/>
      </w:r>
    </w:p>
    <w:tbl>
      <w:tblPr>
        <w:tblStyle w:val="17"/>
        <w:tblW w:w="5617" w:type="pct"/>
        <w:jc w:val="center"/>
        <w:tblLayout w:type="autofit"/>
        <w:tblCellMar>
          <w:top w:w="0" w:type="dxa"/>
          <w:left w:w="108" w:type="dxa"/>
          <w:bottom w:w="0" w:type="dxa"/>
          <w:right w:w="108" w:type="dxa"/>
        </w:tblCellMar>
      </w:tblPr>
      <w:tblGrid>
        <w:gridCol w:w="2364"/>
        <w:gridCol w:w="1531"/>
        <w:gridCol w:w="790"/>
        <w:gridCol w:w="1259"/>
        <w:gridCol w:w="1907"/>
        <w:gridCol w:w="1595"/>
        <w:gridCol w:w="1109"/>
      </w:tblGrid>
      <w:tr w14:paraId="2767ADD0">
        <w:tblPrEx>
          <w:tblCellMar>
            <w:top w:w="0" w:type="dxa"/>
            <w:left w:w="108" w:type="dxa"/>
            <w:bottom w:w="0" w:type="dxa"/>
            <w:right w:w="108" w:type="dxa"/>
          </w:tblCellMar>
        </w:tblPrEx>
        <w:trPr>
          <w:trHeight w:val="640" w:hRule="exact"/>
          <w:jc w:val="center"/>
        </w:trPr>
        <w:tc>
          <w:tcPr>
            <w:tcW w:w="1119" w:type="pct"/>
            <w:tcBorders>
              <w:top w:val="single" w:color="auto" w:sz="4" w:space="0"/>
              <w:left w:val="nil"/>
              <w:bottom w:val="single" w:color="auto" w:sz="4" w:space="0"/>
              <w:right w:val="single" w:color="auto" w:sz="4" w:space="0"/>
            </w:tcBorders>
            <w:shd w:val="clear" w:color="auto" w:fill="auto"/>
            <w:vAlign w:val="center"/>
          </w:tcPr>
          <w:p w14:paraId="76B3C900">
            <w:pPr>
              <w:spacing w:line="240" w:lineRule="exact"/>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行业名称</w:t>
            </w:r>
          </w:p>
        </w:tc>
        <w:tc>
          <w:tcPr>
            <w:tcW w:w="725" w:type="pct"/>
            <w:tcBorders>
              <w:top w:val="single" w:color="auto" w:sz="4" w:space="0"/>
              <w:left w:val="nil"/>
              <w:bottom w:val="single" w:color="auto" w:sz="4" w:space="0"/>
              <w:right w:val="single" w:color="auto" w:sz="4" w:space="0"/>
            </w:tcBorders>
            <w:shd w:val="clear" w:color="auto" w:fill="auto"/>
            <w:vAlign w:val="center"/>
          </w:tcPr>
          <w:p w14:paraId="363619D0">
            <w:pPr>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指标名称</w:t>
            </w:r>
          </w:p>
        </w:tc>
        <w:tc>
          <w:tcPr>
            <w:tcW w:w="374" w:type="pct"/>
            <w:tcBorders>
              <w:top w:val="single" w:color="auto" w:sz="4" w:space="0"/>
              <w:left w:val="nil"/>
              <w:bottom w:val="single" w:color="auto" w:sz="4" w:space="0"/>
              <w:right w:val="single" w:color="auto" w:sz="4" w:space="0"/>
            </w:tcBorders>
            <w:shd w:val="clear" w:color="auto" w:fill="auto"/>
            <w:vAlign w:val="center"/>
          </w:tcPr>
          <w:p w14:paraId="2D792FD8">
            <w:pPr>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计量</w:t>
            </w:r>
            <w:r>
              <w:rPr>
                <w:rFonts w:hint="eastAsia" w:ascii="宋体" w:hAnsi="宋体" w:eastAsia="宋体" w:cs="宋体"/>
                <w:b/>
                <w:bCs/>
                <w:color w:val="000000"/>
                <w:sz w:val="21"/>
                <w:szCs w:val="21"/>
              </w:rPr>
              <w:br w:type="textWrapping"/>
            </w:r>
            <w:r>
              <w:rPr>
                <w:rFonts w:hint="eastAsia" w:ascii="宋体" w:hAnsi="宋体" w:eastAsia="宋体" w:cs="宋体"/>
                <w:b/>
                <w:bCs/>
                <w:color w:val="000000"/>
                <w:sz w:val="21"/>
                <w:szCs w:val="21"/>
              </w:rPr>
              <w:t>单位</w:t>
            </w:r>
          </w:p>
        </w:tc>
        <w:tc>
          <w:tcPr>
            <w:tcW w:w="596" w:type="pct"/>
            <w:tcBorders>
              <w:top w:val="single" w:color="auto" w:sz="4" w:space="0"/>
              <w:left w:val="nil"/>
              <w:bottom w:val="single" w:color="auto" w:sz="4" w:space="0"/>
              <w:right w:val="single" w:color="auto" w:sz="4" w:space="0"/>
            </w:tcBorders>
            <w:shd w:val="clear" w:color="auto" w:fill="auto"/>
            <w:vAlign w:val="center"/>
          </w:tcPr>
          <w:p w14:paraId="7F08D2F5">
            <w:pPr>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大型</w:t>
            </w:r>
          </w:p>
        </w:tc>
        <w:tc>
          <w:tcPr>
            <w:tcW w:w="903" w:type="pct"/>
            <w:tcBorders>
              <w:top w:val="single" w:color="auto" w:sz="4" w:space="0"/>
              <w:left w:val="nil"/>
              <w:bottom w:val="single" w:color="auto" w:sz="4" w:space="0"/>
              <w:right w:val="single" w:color="auto" w:sz="4" w:space="0"/>
            </w:tcBorders>
            <w:shd w:val="clear" w:color="auto" w:fill="auto"/>
            <w:vAlign w:val="center"/>
          </w:tcPr>
          <w:p w14:paraId="7B929E8F">
            <w:pPr>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中型</w:t>
            </w:r>
          </w:p>
        </w:tc>
        <w:tc>
          <w:tcPr>
            <w:tcW w:w="755" w:type="pct"/>
            <w:tcBorders>
              <w:top w:val="single" w:color="auto" w:sz="4" w:space="0"/>
              <w:left w:val="nil"/>
              <w:bottom w:val="single" w:color="auto" w:sz="4" w:space="0"/>
              <w:right w:val="single" w:color="auto" w:sz="4" w:space="0"/>
            </w:tcBorders>
            <w:shd w:val="clear" w:color="auto" w:fill="auto"/>
            <w:vAlign w:val="center"/>
          </w:tcPr>
          <w:p w14:paraId="54E0E34A">
            <w:pPr>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小型</w:t>
            </w:r>
          </w:p>
        </w:tc>
        <w:tc>
          <w:tcPr>
            <w:tcW w:w="525" w:type="pct"/>
            <w:tcBorders>
              <w:top w:val="single" w:color="auto" w:sz="4" w:space="0"/>
              <w:left w:val="nil"/>
              <w:bottom w:val="single" w:color="auto" w:sz="4" w:space="0"/>
              <w:right w:val="nil"/>
            </w:tcBorders>
            <w:shd w:val="clear" w:color="auto" w:fill="auto"/>
            <w:vAlign w:val="center"/>
          </w:tcPr>
          <w:p w14:paraId="49A590F5">
            <w:pPr>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微型</w:t>
            </w:r>
          </w:p>
        </w:tc>
      </w:tr>
      <w:tr w14:paraId="06E67DC5">
        <w:tblPrEx>
          <w:tblCellMar>
            <w:top w:w="0" w:type="dxa"/>
            <w:left w:w="108" w:type="dxa"/>
            <w:bottom w:w="0" w:type="dxa"/>
            <w:right w:w="108" w:type="dxa"/>
          </w:tblCellMar>
        </w:tblPrEx>
        <w:trPr>
          <w:trHeight w:val="409" w:hRule="exact"/>
          <w:jc w:val="center"/>
        </w:trPr>
        <w:tc>
          <w:tcPr>
            <w:tcW w:w="1119" w:type="pct"/>
            <w:tcBorders>
              <w:top w:val="nil"/>
              <w:left w:val="nil"/>
              <w:bottom w:val="single" w:color="auto" w:sz="4" w:space="0"/>
              <w:right w:val="single" w:color="auto" w:sz="4" w:space="0"/>
            </w:tcBorders>
            <w:shd w:val="clear" w:color="auto" w:fill="auto"/>
            <w:vAlign w:val="center"/>
          </w:tcPr>
          <w:p w14:paraId="1E4A9504">
            <w:pPr>
              <w:spacing w:line="2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农、林、牧、渔业</w:t>
            </w:r>
          </w:p>
        </w:tc>
        <w:tc>
          <w:tcPr>
            <w:tcW w:w="725" w:type="pct"/>
            <w:tcBorders>
              <w:top w:val="nil"/>
              <w:left w:val="nil"/>
              <w:bottom w:val="single" w:color="auto" w:sz="4" w:space="0"/>
              <w:right w:val="single" w:color="auto" w:sz="4" w:space="0"/>
            </w:tcBorders>
            <w:shd w:val="clear" w:color="auto" w:fill="auto"/>
            <w:vAlign w:val="center"/>
          </w:tcPr>
          <w:p w14:paraId="58655A90">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4" w:type="pct"/>
            <w:tcBorders>
              <w:top w:val="nil"/>
              <w:left w:val="nil"/>
              <w:bottom w:val="single" w:color="auto" w:sz="4" w:space="0"/>
              <w:right w:val="single" w:color="auto" w:sz="4" w:space="0"/>
            </w:tcBorders>
            <w:shd w:val="clear" w:color="auto" w:fill="auto"/>
            <w:vAlign w:val="center"/>
          </w:tcPr>
          <w:p w14:paraId="3F106CD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1746A320">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Y≥20000</w:t>
            </w:r>
          </w:p>
        </w:tc>
        <w:tc>
          <w:tcPr>
            <w:tcW w:w="903" w:type="pct"/>
            <w:tcBorders>
              <w:top w:val="nil"/>
              <w:left w:val="nil"/>
              <w:bottom w:val="single" w:color="auto" w:sz="4" w:space="0"/>
              <w:right w:val="single" w:color="auto" w:sz="4" w:space="0"/>
            </w:tcBorders>
            <w:shd w:val="clear" w:color="auto" w:fill="auto"/>
            <w:vAlign w:val="center"/>
          </w:tcPr>
          <w:p w14:paraId="49DAE89B">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500≤Y＜20000</w:t>
            </w:r>
          </w:p>
        </w:tc>
        <w:tc>
          <w:tcPr>
            <w:tcW w:w="755" w:type="pct"/>
            <w:tcBorders>
              <w:top w:val="nil"/>
              <w:left w:val="nil"/>
              <w:bottom w:val="single" w:color="auto" w:sz="4" w:space="0"/>
              <w:right w:val="single" w:color="auto" w:sz="4" w:space="0"/>
            </w:tcBorders>
            <w:shd w:val="clear" w:color="auto" w:fill="auto"/>
            <w:vAlign w:val="center"/>
          </w:tcPr>
          <w:p w14:paraId="06C20ACB">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50≤Y＜500</w:t>
            </w:r>
          </w:p>
        </w:tc>
        <w:tc>
          <w:tcPr>
            <w:tcW w:w="525" w:type="pct"/>
            <w:tcBorders>
              <w:top w:val="nil"/>
              <w:left w:val="nil"/>
              <w:bottom w:val="single" w:color="auto" w:sz="4" w:space="0"/>
              <w:right w:val="nil"/>
            </w:tcBorders>
            <w:shd w:val="clear" w:color="auto" w:fill="auto"/>
            <w:vAlign w:val="center"/>
          </w:tcPr>
          <w:p w14:paraId="4A581E97">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Y＜50</w:t>
            </w:r>
          </w:p>
        </w:tc>
      </w:tr>
      <w:tr w14:paraId="37584D36">
        <w:tblPrEx>
          <w:tblCellMar>
            <w:top w:w="0" w:type="dxa"/>
            <w:left w:w="108" w:type="dxa"/>
            <w:bottom w:w="0" w:type="dxa"/>
            <w:right w:w="108" w:type="dxa"/>
          </w:tblCellMar>
        </w:tblPrEx>
        <w:trPr>
          <w:trHeight w:val="409" w:hRule="exact"/>
          <w:jc w:val="center"/>
        </w:trPr>
        <w:tc>
          <w:tcPr>
            <w:tcW w:w="1119" w:type="pct"/>
            <w:vMerge w:val="restart"/>
            <w:tcBorders>
              <w:top w:val="nil"/>
              <w:left w:val="nil"/>
              <w:bottom w:val="single" w:color="auto" w:sz="4" w:space="0"/>
              <w:right w:val="single" w:color="auto" w:sz="4" w:space="0"/>
            </w:tcBorders>
            <w:shd w:val="clear" w:color="auto" w:fill="auto"/>
            <w:vAlign w:val="center"/>
          </w:tcPr>
          <w:p w14:paraId="1146CCC8">
            <w:pPr>
              <w:spacing w:line="2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工业 *</w:t>
            </w:r>
          </w:p>
        </w:tc>
        <w:tc>
          <w:tcPr>
            <w:tcW w:w="725" w:type="pct"/>
            <w:tcBorders>
              <w:top w:val="nil"/>
              <w:left w:val="nil"/>
              <w:bottom w:val="nil"/>
              <w:right w:val="single" w:color="auto" w:sz="4" w:space="0"/>
            </w:tcBorders>
            <w:shd w:val="clear" w:color="auto" w:fill="auto"/>
            <w:vAlign w:val="center"/>
          </w:tcPr>
          <w:p w14:paraId="35C3A263">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4" w:type="pct"/>
            <w:tcBorders>
              <w:top w:val="nil"/>
              <w:left w:val="nil"/>
              <w:bottom w:val="nil"/>
              <w:right w:val="single" w:color="auto" w:sz="4" w:space="0"/>
            </w:tcBorders>
            <w:shd w:val="clear" w:color="auto" w:fill="auto"/>
            <w:vAlign w:val="center"/>
          </w:tcPr>
          <w:p w14:paraId="2E2F64DE">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7ADC0BFF">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X≥1000</w:t>
            </w:r>
          </w:p>
        </w:tc>
        <w:tc>
          <w:tcPr>
            <w:tcW w:w="903" w:type="pct"/>
            <w:tcBorders>
              <w:top w:val="nil"/>
              <w:left w:val="nil"/>
              <w:bottom w:val="nil"/>
              <w:right w:val="single" w:color="auto" w:sz="4" w:space="0"/>
            </w:tcBorders>
            <w:shd w:val="clear" w:color="auto" w:fill="auto"/>
            <w:vAlign w:val="center"/>
          </w:tcPr>
          <w:p w14:paraId="52D20569">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300≤X＜1000</w:t>
            </w:r>
          </w:p>
        </w:tc>
        <w:tc>
          <w:tcPr>
            <w:tcW w:w="755" w:type="pct"/>
            <w:tcBorders>
              <w:top w:val="nil"/>
              <w:left w:val="nil"/>
              <w:bottom w:val="nil"/>
              <w:right w:val="single" w:color="auto" w:sz="4" w:space="0"/>
            </w:tcBorders>
            <w:shd w:val="clear" w:color="auto" w:fill="auto"/>
            <w:vAlign w:val="center"/>
          </w:tcPr>
          <w:p w14:paraId="6C341320">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20≤X＜300</w:t>
            </w:r>
          </w:p>
        </w:tc>
        <w:tc>
          <w:tcPr>
            <w:tcW w:w="525" w:type="pct"/>
            <w:tcBorders>
              <w:top w:val="nil"/>
              <w:left w:val="nil"/>
              <w:bottom w:val="nil"/>
              <w:right w:val="nil"/>
            </w:tcBorders>
            <w:shd w:val="clear" w:color="auto" w:fill="auto"/>
            <w:vAlign w:val="center"/>
          </w:tcPr>
          <w:p w14:paraId="0462CE62">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w:t>
            </w:r>
          </w:p>
        </w:tc>
      </w:tr>
      <w:tr w14:paraId="3D51708A">
        <w:tblPrEx>
          <w:tblCellMar>
            <w:top w:w="0" w:type="dxa"/>
            <w:left w:w="108" w:type="dxa"/>
            <w:bottom w:w="0" w:type="dxa"/>
            <w:right w:w="108" w:type="dxa"/>
          </w:tblCellMar>
        </w:tblPrEx>
        <w:trPr>
          <w:trHeight w:val="529" w:hRule="exact"/>
          <w:jc w:val="center"/>
        </w:trPr>
        <w:tc>
          <w:tcPr>
            <w:tcW w:w="1119" w:type="pct"/>
            <w:vMerge w:val="continue"/>
            <w:tcBorders>
              <w:top w:val="nil"/>
              <w:left w:val="nil"/>
              <w:bottom w:val="single" w:color="auto" w:sz="4" w:space="0"/>
              <w:right w:val="single" w:color="auto" w:sz="4" w:space="0"/>
            </w:tcBorders>
            <w:vAlign w:val="center"/>
          </w:tcPr>
          <w:p w14:paraId="2225C670">
            <w:pPr>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73F00572">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4" w:type="pct"/>
            <w:tcBorders>
              <w:top w:val="nil"/>
              <w:left w:val="nil"/>
              <w:bottom w:val="single" w:color="auto" w:sz="4" w:space="0"/>
              <w:right w:val="single" w:color="auto" w:sz="4" w:space="0"/>
            </w:tcBorders>
            <w:shd w:val="clear" w:color="auto" w:fill="auto"/>
            <w:vAlign w:val="center"/>
          </w:tcPr>
          <w:p w14:paraId="17EEF3E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5634F7F1">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Y≥40000</w:t>
            </w:r>
          </w:p>
        </w:tc>
        <w:tc>
          <w:tcPr>
            <w:tcW w:w="903" w:type="pct"/>
            <w:tcBorders>
              <w:top w:val="nil"/>
              <w:left w:val="nil"/>
              <w:bottom w:val="single" w:color="auto" w:sz="4" w:space="0"/>
              <w:right w:val="single" w:color="auto" w:sz="4" w:space="0"/>
            </w:tcBorders>
            <w:shd w:val="clear" w:color="auto" w:fill="auto"/>
            <w:vAlign w:val="center"/>
          </w:tcPr>
          <w:p w14:paraId="72A1DCB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2000≤Y＜40000</w:t>
            </w:r>
          </w:p>
        </w:tc>
        <w:tc>
          <w:tcPr>
            <w:tcW w:w="755" w:type="pct"/>
            <w:tcBorders>
              <w:top w:val="nil"/>
              <w:left w:val="nil"/>
              <w:bottom w:val="single" w:color="auto" w:sz="4" w:space="0"/>
              <w:right w:val="single" w:color="auto" w:sz="4" w:space="0"/>
            </w:tcBorders>
            <w:shd w:val="clear" w:color="auto" w:fill="auto"/>
            <w:vAlign w:val="center"/>
          </w:tcPr>
          <w:p w14:paraId="31E39DA1">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300≤Y＜2000</w:t>
            </w:r>
          </w:p>
        </w:tc>
        <w:tc>
          <w:tcPr>
            <w:tcW w:w="525" w:type="pct"/>
            <w:tcBorders>
              <w:top w:val="nil"/>
              <w:left w:val="nil"/>
              <w:bottom w:val="single" w:color="auto" w:sz="4" w:space="0"/>
              <w:right w:val="nil"/>
            </w:tcBorders>
            <w:shd w:val="clear" w:color="auto" w:fill="auto"/>
            <w:vAlign w:val="center"/>
          </w:tcPr>
          <w:p w14:paraId="2654F2C9">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Y＜300</w:t>
            </w:r>
          </w:p>
        </w:tc>
      </w:tr>
      <w:tr w14:paraId="620FC4F5">
        <w:tblPrEx>
          <w:tblCellMar>
            <w:top w:w="0" w:type="dxa"/>
            <w:left w:w="108" w:type="dxa"/>
            <w:bottom w:w="0" w:type="dxa"/>
            <w:right w:w="108" w:type="dxa"/>
          </w:tblCellMar>
        </w:tblPrEx>
        <w:trPr>
          <w:trHeight w:val="479" w:hRule="exact"/>
          <w:jc w:val="center"/>
        </w:trPr>
        <w:tc>
          <w:tcPr>
            <w:tcW w:w="1119" w:type="pct"/>
            <w:vMerge w:val="restart"/>
            <w:tcBorders>
              <w:top w:val="nil"/>
              <w:left w:val="nil"/>
              <w:bottom w:val="single" w:color="auto" w:sz="4" w:space="0"/>
              <w:right w:val="single" w:color="auto" w:sz="4" w:space="0"/>
            </w:tcBorders>
            <w:shd w:val="clear" w:color="auto" w:fill="auto"/>
            <w:vAlign w:val="center"/>
          </w:tcPr>
          <w:p w14:paraId="5A40ACF3">
            <w:pPr>
              <w:spacing w:line="2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建筑业</w:t>
            </w:r>
          </w:p>
        </w:tc>
        <w:tc>
          <w:tcPr>
            <w:tcW w:w="725" w:type="pct"/>
            <w:tcBorders>
              <w:top w:val="nil"/>
              <w:left w:val="nil"/>
              <w:bottom w:val="nil"/>
              <w:right w:val="single" w:color="auto" w:sz="4" w:space="0"/>
            </w:tcBorders>
            <w:shd w:val="clear" w:color="auto" w:fill="auto"/>
            <w:vAlign w:val="center"/>
          </w:tcPr>
          <w:p w14:paraId="22C2432A">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4" w:type="pct"/>
            <w:tcBorders>
              <w:top w:val="nil"/>
              <w:left w:val="nil"/>
              <w:bottom w:val="nil"/>
              <w:right w:val="single" w:color="auto" w:sz="4" w:space="0"/>
            </w:tcBorders>
            <w:shd w:val="clear" w:color="auto" w:fill="auto"/>
            <w:vAlign w:val="center"/>
          </w:tcPr>
          <w:p w14:paraId="36388E8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nil"/>
              <w:right w:val="single" w:color="auto" w:sz="4" w:space="0"/>
            </w:tcBorders>
            <w:shd w:val="clear" w:color="auto" w:fill="auto"/>
            <w:vAlign w:val="center"/>
          </w:tcPr>
          <w:p w14:paraId="41EBCFBB">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Y≥80000</w:t>
            </w:r>
          </w:p>
        </w:tc>
        <w:tc>
          <w:tcPr>
            <w:tcW w:w="903" w:type="pct"/>
            <w:tcBorders>
              <w:top w:val="nil"/>
              <w:left w:val="nil"/>
              <w:bottom w:val="nil"/>
              <w:right w:val="single" w:color="auto" w:sz="4" w:space="0"/>
            </w:tcBorders>
            <w:shd w:val="clear" w:color="auto" w:fill="auto"/>
            <w:vAlign w:val="center"/>
          </w:tcPr>
          <w:p w14:paraId="3013AC3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6000≤Y＜80000</w:t>
            </w:r>
          </w:p>
        </w:tc>
        <w:tc>
          <w:tcPr>
            <w:tcW w:w="755" w:type="pct"/>
            <w:tcBorders>
              <w:top w:val="nil"/>
              <w:left w:val="nil"/>
              <w:bottom w:val="nil"/>
              <w:right w:val="single" w:color="auto" w:sz="4" w:space="0"/>
            </w:tcBorders>
            <w:shd w:val="clear" w:color="auto" w:fill="auto"/>
            <w:vAlign w:val="center"/>
          </w:tcPr>
          <w:p w14:paraId="293566D6">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300≤Y＜6000</w:t>
            </w:r>
          </w:p>
        </w:tc>
        <w:tc>
          <w:tcPr>
            <w:tcW w:w="525" w:type="pct"/>
            <w:tcBorders>
              <w:top w:val="nil"/>
              <w:left w:val="nil"/>
              <w:bottom w:val="nil"/>
              <w:right w:val="nil"/>
            </w:tcBorders>
            <w:shd w:val="clear" w:color="auto" w:fill="auto"/>
            <w:vAlign w:val="center"/>
          </w:tcPr>
          <w:p w14:paraId="0FD6207F">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Y＜300</w:t>
            </w:r>
          </w:p>
        </w:tc>
      </w:tr>
      <w:tr w14:paraId="26DD693E">
        <w:tblPrEx>
          <w:tblCellMar>
            <w:top w:w="0" w:type="dxa"/>
            <w:left w:w="108" w:type="dxa"/>
            <w:bottom w:w="0" w:type="dxa"/>
            <w:right w:w="108" w:type="dxa"/>
          </w:tblCellMar>
        </w:tblPrEx>
        <w:trPr>
          <w:trHeight w:val="497" w:hRule="exact"/>
          <w:jc w:val="center"/>
        </w:trPr>
        <w:tc>
          <w:tcPr>
            <w:tcW w:w="1119" w:type="pct"/>
            <w:vMerge w:val="continue"/>
            <w:tcBorders>
              <w:top w:val="nil"/>
              <w:left w:val="nil"/>
              <w:bottom w:val="single" w:color="auto" w:sz="4" w:space="0"/>
              <w:right w:val="single" w:color="auto" w:sz="4" w:space="0"/>
            </w:tcBorders>
            <w:vAlign w:val="center"/>
          </w:tcPr>
          <w:p w14:paraId="0A93CBF2">
            <w:pPr>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6115F845">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资产总额(Z)</w:t>
            </w:r>
          </w:p>
        </w:tc>
        <w:tc>
          <w:tcPr>
            <w:tcW w:w="374" w:type="pct"/>
            <w:tcBorders>
              <w:top w:val="nil"/>
              <w:left w:val="nil"/>
              <w:bottom w:val="single" w:color="auto" w:sz="4" w:space="0"/>
              <w:right w:val="single" w:color="auto" w:sz="4" w:space="0"/>
            </w:tcBorders>
            <w:shd w:val="clear" w:color="auto" w:fill="auto"/>
            <w:vAlign w:val="center"/>
          </w:tcPr>
          <w:p w14:paraId="3186C9EA">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3636EFCC">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Z≥80000</w:t>
            </w:r>
          </w:p>
        </w:tc>
        <w:tc>
          <w:tcPr>
            <w:tcW w:w="903" w:type="pct"/>
            <w:tcBorders>
              <w:top w:val="nil"/>
              <w:left w:val="nil"/>
              <w:bottom w:val="single" w:color="auto" w:sz="4" w:space="0"/>
              <w:right w:val="single" w:color="auto" w:sz="4" w:space="0"/>
            </w:tcBorders>
            <w:shd w:val="clear" w:color="auto" w:fill="auto"/>
            <w:vAlign w:val="center"/>
          </w:tcPr>
          <w:p w14:paraId="40159843">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5000≤Z＜80000</w:t>
            </w:r>
          </w:p>
        </w:tc>
        <w:tc>
          <w:tcPr>
            <w:tcW w:w="755" w:type="pct"/>
            <w:tcBorders>
              <w:top w:val="nil"/>
              <w:left w:val="nil"/>
              <w:bottom w:val="single" w:color="auto" w:sz="4" w:space="0"/>
              <w:right w:val="single" w:color="auto" w:sz="4" w:space="0"/>
            </w:tcBorders>
            <w:shd w:val="clear" w:color="auto" w:fill="auto"/>
            <w:vAlign w:val="center"/>
          </w:tcPr>
          <w:p w14:paraId="0CE7EB12">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300≤Z＜5000</w:t>
            </w:r>
          </w:p>
        </w:tc>
        <w:tc>
          <w:tcPr>
            <w:tcW w:w="525" w:type="pct"/>
            <w:tcBorders>
              <w:top w:val="nil"/>
              <w:left w:val="nil"/>
              <w:bottom w:val="single" w:color="auto" w:sz="4" w:space="0"/>
              <w:right w:val="nil"/>
            </w:tcBorders>
            <w:shd w:val="clear" w:color="auto" w:fill="auto"/>
            <w:vAlign w:val="center"/>
          </w:tcPr>
          <w:p w14:paraId="405E6DA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Z＜300</w:t>
            </w:r>
          </w:p>
        </w:tc>
      </w:tr>
      <w:tr w14:paraId="290EEEC2">
        <w:tblPrEx>
          <w:tblCellMar>
            <w:top w:w="0" w:type="dxa"/>
            <w:left w:w="108" w:type="dxa"/>
            <w:bottom w:w="0" w:type="dxa"/>
            <w:right w:w="108" w:type="dxa"/>
          </w:tblCellMar>
        </w:tblPrEx>
        <w:trPr>
          <w:trHeight w:val="409" w:hRule="exact"/>
          <w:jc w:val="center"/>
        </w:trPr>
        <w:tc>
          <w:tcPr>
            <w:tcW w:w="1119" w:type="pct"/>
            <w:vMerge w:val="restart"/>
            <w:tcBorders>
              <w:top w:val="nil"/>
              <w:left w:val="nil"/>
              <w:bottom w:val="single" w:color="auto" w:sz="4" w:space="0"/>
              <w:right w:val="single" w:color="auto" w:sz="4" w:space="0"/>
            </w:tcBorders>
            <w:shd w:val="clear" w:color="auto" w:fill="auto"/>
            <w:vAlign w:val="center"/>
          </w:tcPr>
          <w:p w14:paraId="0D85AEEC">
            <w:pPr>
              <w:spacing w:line="2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批发业</w:t>
            </w:r>
          </w:p>
        </w:tc>
        <w:tc>
          <w:tcPr>
            <w:tcW w:w="725" w:type="pct"/>
            <w:tcBorders>
              <w:top w:val="nil"/>
              <w:left w:val="nil"/>
              <w:bottom w:val="nil"/>
              <w:right w:val="single" w:color="auto" w:sz="4" w:space="0"/>
            </w:tcBorders>
            <w:shd w:val="clear" w:color="auto" w:fill="auto"/>
            <w:vAlign w:val="center"/>
          </w:tcPr>
          <w:p w14:paraId="1E12E71F">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4" w:type="pct"/>
            <w:tcBorders>
              <w:top w:val="nil"/>
              <w:left w:val="nil"/>
              <w:bottom w:val="nil"/>
              <w:right w:val="single" w:color="auto" w:sz="4" w:space="0"/>
            </w:tcBorders>
            <w:shd w:val="clear" w:color="auto" w:fill="auto"/>
            <w:vAlign w:val="center"/>
          </w:tcPr>
          <w:p w14:paraId="6ECFAC31">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037176DC">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X≥200</w:t>
            </w:r>
          </w:p>
        </w:tc>
        <w:tc>
          <w:tcPr>
            <w:tcW w:w="903" w:type="pct"/>
            <w:tcBorders>
              <w:top w:val="nil"/>
              <w:left w:val="nil"/>
              <w:bottom w:val="nil"/>
              <w:right w:val="single" w:color="auto" w:sz="4" w:space="0"/>
            </w:tcBorders>
            <w:shd w:val="clear" w:color="auto" w:fill="auto"/>
            <w:vAlign w:val="center"/>
          </w:tcPr>
          <w:p w14:paraId="42828F5C">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20≤X＜200</w:t>
            </w:r>
          </w:p>
        </w:tc>
        <w:tc>
          <w:tcPr>
            <w:tcW w:w="755" w:type="pct"/>
            <w:tcBorders>
              <w:top w:val="nil"/>
              <w:left w:val="nil"/>
              <w:bottom w:val="nil"/>
              <w:right w:val="single" w:color="auto" w:sz="4" w:space="0"/>
            </w:tcBorders>
            <w:shd w:val="clear" w:color="auto" w:fill="auto"/>
            <w:vAlign w:val="center"/>
          </w:tcPr>
          <w:p w14:paraId="7465D584">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5≤X＜20</w:t>
            </w:r>
          </w:p>
        </w:tc>
        <w:tc>
          <w:tcPr>
            <w:tcW w:w="525" w:type="pct"/>
            <w:tcBorders>
              <w:top w:val="nil"/>
              <w:left w:val="nil"/>
              <w:bottom w:val="nil"/>
              <w:right w:val="nil"/>
            </w:tcBorders>
            <w:shd w:val="clear" w:color="auto" w:fill="auto"/>
            <w:vAlign w:val="center"/>
          </w:tcPr>
          <w:p w14:paraId="1881E089">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X＜5</w:t>
            </w:r>
          </w:p>
        </w:tc>
      </w:tr>
      <w:tr w14:paraId="76A794D2">
        <w:tblPrEx>
          <w:tblCellMar>
            <w:top w:w="0" w:type="dxa"/>
            <w:left w:w="108" w:type="dxa"/>
            <w:bottom w:w="0" w:type="dxa"/>
            <w:right w:w="108" w:type="dxa"/>
          </w:tblCellMar>
        </w:tblPrEx>
        <w:trPr>
          <w:trHeight w:val="596" w:hRule="exact"/>
          <w:jc w:val="center"/>
        </w:trPr>
        <w:tc>
          <w:tcPr>
            <w:tcW w:w="1119" w:type="pct"/>
            <w:vMerge w:val="continue"/>
            <w:tcBorders>
              <w:top w:val="nil"/>
              <w:left w:val="nil"/>
              <w:bottom w:val="single" w:color="auto" w:sz="4" w:space="0"/>
              <w:right w:val="single" w:color="auto" w:sz="4" w:space="0"/>
            </w:tcBorders>
            <w:vAlign w:val="center"/>
          </w:tcPr>
          <w:p w14:paraId="6D57115B">
            <w:pPr>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2AAFF7C7">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4" w:type="pct"/>
            <w:tcBorders>
              <w:top w:val="nil"/>
              <w:left w:val="nil"/>
              <w:bottom w:val="single" w:color="auto" w:sz="4" w:space="0"/>
              <w:right w:val="single" w:color="auto" w:sz="4" w:space="0"/>
            </w:tcBorders>
            <w:shd w:val="clear" w:color="auto" w:fill="auto"/>
            <w:vAlign w:val="center"/>
          </w:tcPr>
          <w:p w14:paraId="78323389">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5D177DE6">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Y≥40000</w:t>
            </w:r>
          </w:p>
        </w:tc>
        <w:tc>
          <w:tcPr>
            <w:tcW w:w="903" w:type="pct"/>
            <w:tcBorders>
              <w:top w:val="nil"/>
              <w:left w:val="nil"/>
              <w:bottom w:val="single" w:color="auto" w:sz="4" w:space="0"/>
              <w:right w:val="single" w:color="auto" w:sz="4" w:space="0"/>
            </w:tcBorders>
            <w:shd w:val="clear" w:color="auto" w:fill="auto"/>
            <w:vAlign w:val="center"/>
          </w:tcPr>
          <w:p w14:paraId="62206B42">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5000≤Y＜40000</w:t>
            </w:r>
          </w:p>
        </w:tc>
        <w:tc>
          <w:tcPr>
            <w:tcW w:w="755" w:type="pct"/>
            <w:tcBorders>
              <w:top w:val="nil"/>
              <w:left w:val="nil"/>
              <w:bottom w:val="single" w:color="auto" w:sz="4" w:space="0"/>
              <w:right w:val="single" w:color="auto" w:sz="4" w:space="0"/>
            </w:tcBorders>
            <w:shd w:val="clear" w:color="auto" w:fill="auto"/>
            <w:vAlign w:val="center"/>
          </w:tcPr>
          <w:p w14:paraId="742BD7B1">
            <w:pPr>
              <w:ind w:left="-1" w:leftChars="-1" w:hanging="1"/>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1000≤Y＜5000</w:t>
            </w:r>
          </w:p>
        </w:tc>
        <w:tc>
          <w:tcPr>
            <w:tcW w:w="525" w:type="pct"/>
            <w:tcBorders>
              <w:top w:val="nil"/>
              <w:left w:val="nil"/>
              <w:bottom w:val="single" w:color="auto" w:sz="4" w:space="0"/>
              <w:right w:val="nil"/>
            </w:tcBorders>
            <w:shd w:val="clear" w:color="auto" w:fill="auto"/>
            <w:vAlign w:val="center"/>
          </w:tcPr>
          <w:p w14:paraId="745B092A">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Y＜1000</w:t>
            </w:r>
          </w:p>
        </w:tc>
      </w:tr>
      <w:tr w14:paraId="33337038">
        <w:tblPrEx>
          <w:tblCellMar>
            <w:top w:w="0" w:type="dxa"/>
            <w:left w:w="108" w:type="dxa"/>
            <w:bottom w:w="0" w:type="dxa"/>
            <w:right w:w="108" w:type="dxa"/>
          </w:tblCellMar>
        </w:tblPrEx>
        <w:trPr>
          <w:trHeight w:val="409" w:hRule="exact"/>
          <w:jc w:val="center"/>
        </w:trPr>
        <w:tc>
          <w:tcPr>
            <w:tcW w:w="1119" w:type="pct"/>
            <w:vMerge w:val="restart"/>
            <w:tcBorders>
              <w:top w:val="nil"/>
              <w:left w:val="nil"/>
              <w:bottom w:val="single" w:color="auto" w:sz="4" w:space="0"/>
              <w:right w:val="single" w:color="auto" w:sz="4" w:space="0"/>
            </w:tcBorders>
            <w:shd w:val="clear" w:color="auto" w:fill="auto"/>
            <w:vAlign w:val="center"/>
          </w:tcPr>
          <w:p w14:paraId="4AC9CBDF">
            <w:pPr>
              <w:spacing w:line="2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零售业</w:t>
            </w:r>
          </w:p>
        </w:tc>
        <w:tc>
          <w:tcPr>
            <w:tcW w:w="725" w:type="pct"/>
            <w:tcBorders>
              <w:top w:val="nil"/>
              <w:left w:val="nil"/>
              <w:bottom w:val="nil"/>
              <w:right w:val="single" w:color="auto" w:sz="4" w:space="0"/>
            </w:tcBorders>
            <w:shd w:val="clear" w:color="auto" w:fill="auto"/>
            <w:vAlign w:val="center"/>
          </w:tcPr>
          <w:p w14:paraId="3B913805">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4" w:type="pct"/>
            <w:tcBorders>
              <w:top w:val="nil"/>
              <w:left w:val="nil"/>
              <w:bottom w:val="nil"/>
              <w:right w:val="single" w:color="auto" w:sz="4" w:space="0"/>
            </w:tcBorders>
            <w:shd w:val="clear" w:color="auto" w:fill="auto"/>
            <w:vAlign w:val="center"/>
          </w:tcPr>
          <w:p w14:paraId="43362D40">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02C8F6F7">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X≥300</w:t>
            </w:r>
          </w:p>
        </w:tc>
        <w:tc>
          <w:tcPr>
            <w:tcW w:w="903" w:type="pct"/>
            <w:tcBorders>
              <w:top w:val="nil"/>
              <w:left w:val="nil"/>
              <w:bottom w:val="nil"/>
              <w:right w:val="single" w:color="auto" w:sz="4" w:space="0"/>
            </w:tcBorders>
            <w:shd w:val="clear" w:color="auto" w:fill="auto"/>
            <w:vAlign w:val="center"/>
          </w:tcPr>
          <w:p w14:paraId="7B6599CC">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50≤X＜300</w:t>
            </w:r>
          </w:p>
        </w:tc>
        <w:tc>
          <w:tcPr>
            <w:tcW w:w="755" w:type="pct"/>
            <w:tcBorders>
              <w:top w:val="nil"/>
              <w:left w:val="nil"/>
              <w:bottom w:val="nil"/>
              <w:right w:val="single" w:color="auto" w:sz="4" w:space="0"/>
            </w:tcBorders>
            <w:shd w:val="clear" w:color="auto" w:fill="auto"/>
            <w:vAlign w:val="center"/>
          </w:tcPr>
          <w:p w14:paraId="1BF265D8">
            <w:pPr>
              <w:ind w:left="-1" w:leftChars="-1" w:hanging="1"/>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10≤X＜50 </w:t>
            </w:r>
          </w:p>
        </w:tc>
        <w:tc>
          <w:tcPr>
            <w:tcW w:w="525" w:type="pct"/>
            <w:tcBorders>
              <w:top w:val="nil"/>
              <w:left w:val="nil"/>
              <w:bottom w:val="nil"/>
              <w:right w:val="nil"/>
            </w:tcBorders>
            <w:shd w:val="clear" w:color="auto" w:fill="auto"/>
            <w:vAlign w:val="center"/>
          </w:tcPr>
          <w:p w14:paraId="5520E240">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r w14:paraId="4511B9C1">
        <w:tblPrEx>
          <w:tblCellMar>
            <w:top w:w="0" w:type="dxa"/>
            <w:left w:w="108" w:type="dxa"/>
            <w:bottom w:w="0" w:type="dxa"/>
            <w:right w:w="108" w:type="dxa"/>
          </w:tblCellMar>
        </w:tblPrEx>
        <w:trPr>
          <w:trHeight w:val="409" w:hRule="exact"/>
          <w:jc w:val="center"/>
        </w:trPr>
        <w:tc>
          <w:tcPr>
            <w:tcW w:w="1119" w:type="pct"/>
            <w:vMerge w:val="continue"/>
            <w:tcBorders>
              <w:top w:val="nil"/>
              <w:left w:val="nil"/>
              <w:bottom w:val="single" w:color="auto" w:sz="4" w:space="0"/>
              <w:right w:val="single" w:color="auto" w:sz="4" w:space="0"/>
            </w:tcBorders>
            <w:vAlign w:val="center"/>
          </w:tcPr>
          <w:p w14:paraId="060058A5">
            <w:pPr>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2C10FEEE">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4" w:type="pct"/>
            <w:tcBorders>
              <w:top w:val="nil"/>
              <w:left w:val="nil"/>
              <w:bottom w:val="single" w:color="auto" w:sz="4" w:space="0"/>
              <w:right w:val="single" w:color="auto" w:sz="4" w:space="0"/>
            </w:tcBorders>
            <w:shd w:val="clear" w:color="auto" w:fill="auto"/>
            <w:vAlign w:val="center"/>
          </w:tcPr>
          <w:p w14:paraId="2ABA93A7">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32386385">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Y≥20000</w:t>
            </w:r>
          </w:p>
        </w:tc>
        <w:tc>
          <w:tcPr>
            <w:tcW w:w="903" w:type="pct"/>
            <w:tcBorders>
              <w:top w:val="nil"/>
              <w:left w:val="nil"/>
              <w:bottom w:val="single" w:color="auto" w:sz="4" w:space="0"/>
              <w:right w:val="single" w:color="auto" w:sz="4" w:space="0"/>
            </w:tcBorders>
            <w:shd w:val="clear" w:color="auto" w:fill="auto"/>
            <w:vAlign w:val="center"/>
          </w:tcPr>
          <w:p w14:paraId="1BB0E913">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500≤Y＜20000</w:t>
            </w:r>
          </w:p>
        </w:tc>
        <w:tc>
          <w:tcPr>
            <w:tcW w:w="755" w:type="pct"/>
            <w:tcBorders>
              <w:top w:val="nil"/>
              <w:left w:val="nil"/>
              <w:bottom w:val="single" w:color="auto" w:sz="4" w:space="0"/>
              <w:right w:val="single" w:color="auto" w:sz="4" w:space="0"/>
            </w:tcBorders>
            <w:shd w:val="clear" w:color="auto" w:fill="auto"/>
            <w:vAlign w:val="center"/>
          </w:tcPr>
          <w:p w14:paraId="313C9A45">
            <w:pPr>
              <w:ind w:left="-1" w:leftChars="-1" w:hanging="1"/>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100≤Y＜500 </w:t>
            </w:r>
          </w:p>
        </w:tc>
        <w:tc>
          <w:tcPr>
            <w:tcW w:w="525" w:type="pct"/>
            <w:tcBorders>
              <w:top w:val="nil"/>
              <w:left w:val="nil"/>
              <w:bottom w:val="single" w:color="auto" w:sz="4" w:space="0"/>
              <w:right w:val="nil"/>
            </w:tcBorders>
            <w:shd w:val="clear" w:color="auto" w:fill="auto"/>
            <w:vAlign w:val="center"/>
          </w:tcPr>
          <w:p w14:paraId="37400ECE">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6F159EC1">
        <w:tblPrEx>
          <w:tblCellMar>
            <w:top w:w="0" w:type="dxa"/>
            <w:left w:w="108" w:type="dxa"/>
            <w:bottom w:w="0" w:type="dxa"/>
            <w:right w:w="108" w:type="dxa"/>
          </w:tblCellMar>
        </w:tblPrEx>
        <w:trPr>
          <w:trHeight w:val="409" w:hRule="exact"/>
          <w:jc w:val="center"/>
        </w:trPr>
        <w:tc>
          <w:tcPr>
            <w:tcW w:w="1119" w:type="pct"/>
            <w:vMerge w:val="restart"/>
            <w:tcBorders>
              <w:top w:val="nil"/>
              <w:left w:val="nil"/>
              <w:bottom w:val="single" w:color="auto" w:sz="4" w:space="0"/>
              <w:right w:val="single" w:color="auto" w:sz="4" w:space="0"/>
            </w:tcBorders>
            <w:shd w:val="clear" w:color="auto" w:fill="auto"/>
            <w:vAlign w:val="center"/>
          </w:tcPr>
          <w:p w14:paraId="70E4F0C8">
            <w:pPr>
              <w:spacing w:line="2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交通运输业 *</w:t>
            </w:r>
          </w:p>
        </w:tc>
        <w:tc>
          <w:tcPr>
            <w:tcW w:w="725" w:type="pct"/>
            <w:tcBorders>
              <w:top w:val="nil"/>
              <w:left w:val="nil"/>
              <w:bottom w:val="nil"/>
              <w:right w:val="single" w:color="auto" w:sz="4" w:space="0"/>
            </w:tcBorders>
            <w:shd w:val="clear" w:color="auto" w:fill="auto"/>
            <w:vAlign w:val="center"/>
          </w:tcPr>
          <w:p w14:paraId="51F5DCC7">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4" w:type="pct"/>
            <w:tcBorders>
              <w:top w:val="nil"/>
              <w:left w:val="nil"/>
              <w:bottom w:val="nil"/>
              <w:right w:val="single" w:color="auto" w:sz="4" w:space="0"/>
            </w:tcBorders>
            <w:shd w:val="clear" w:color="auto" w:fill="auto"/>
            <w:vAlign w:val="center"/>
          </w:tcPr>
          <w:p w14:paraId="36A86115">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4E3CFC02">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X≥1000</w:t>
            </w:r>
          </w:p>
        </w:tc>
        <w:tc>
          <w:tcPr>
            <w:tcW w:w="903" w:type="pct"/>
            <w:tcBorders>
              <w:top w:val="nil"/>
              <w:left w:val="nil"/>
              <w:bottom w:val="nil"/>
              <w:right w:val="single" w:color="auto" w:sz="4" w:space="0"/>
            </w:tcBorders>
            <w:shd w:val="clear" w:color="auto" w:fill="auto"/>
            <w:vAlign w:val="center"/>
          </w:tcPr>
          <w:p w14:paraId="1410485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300≤X＜1000</w:t>
            </w:r>
          </w:p>
        </w:tc>
        <w:tc>
          <w:tcPr>
            <w:tcW w:w="755" w:type="pct"/>
            <w:tcBorders>
              <w:top w:val="nil"/>
              <w:left w:val="nil"/>
              <w:bottom w:val="nil"/>
              <w:right w:val="single" w:color="auto" w:sz="4" w:space="0"/>
            </w:tcBorders>
            <w:shd w:val="clear" w:color="auto" w:fill="auto"/>
            <w:vAlign w:val="center"/>
          </w:tcPr>
          <w:p w14:paraId="7B8D0C83">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20≤X＜300</w:t>
            </w:r>
          </w:p>
        </w:tc>
        <w:tc>
          <w:tcPr>
            <w:tcW w:w="525" w:type="pct"/>
            <w:tcBorders>
              <w:top w:val="nil"/>
              <w:left w:val="nil"/>
              <w:bottom w:val="nil"/>
              <w:right w:val="nil"/>
            </w:tcBorders>
            <w:shd w:val="clear" w:color="auto" w:fill="auto"/>
            <w:vAlign w:val="center"/>
          </w:tcPr>
          <w:p w14:paraId="2420F85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w:t>
            </w:r>
          </w:p>
        </w:tc>
      </w:tr>
      <w:tr w14:paraId="1791983B">
        <w:tblPrEx>
          <w:tblCellMar>
            <w:top w:w="0" w:type="dxa"/>
            <w:left w:w="108" w:type="dxa"/>
            <w:bottom w:w="0" w:type="dxa"/>
            <w:right w:w="108" w:type="dxa"/>
          </w:tblCellMar>
        </w:tblPrEx>
        <w:trPr>
          <w:trHeight w:val="496" w:hRule="exact"/>
          <w:jc w:val="center"/>
        </w:trPr>
        <w:tc>
          <w:tcPr>
            <w:tcW w:w="1119" w:type="pct"/>
            <w:vMerge w:val="continue"/>
            <w:tcBorders>
              <w:top w:val="nil"/>
              <w:left w:val="nil"/>
              <w:bottom w:val="single" w:color="auto" w:sz="4" w:space="0"/>
              <w:right w:val="single" w:color="auto" w:sz="4" w:space="0"/>
            </w:tcBorders>
            <w:vAlign w:val="center"/>
          </w:tcPr>
          <w:p w14:paraId="7477D18D">
            <w:pPr>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5B10CF71">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4" w:type="pct"/>
            <w:tcBorders>
              <w:top w:val="nil"/>
              <w:left w:val="nil"/>
              <w:bottom w:val="single" w:color="auto" w:sz="4" w:space="0"/>
              <w:right w:val="single" w:color="auto" w:sz="4" w:space="0"/>
            </w:tcBorders>
            <w:shd w:val="clear" w:color="auto" w:fill="auto"/>
            <w:vAlign w:val="center"/>
          </w:tcPr>
          <w:p w14:paraId="6343E839">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3C0472E3">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Y≥30000</w:t>
            </w:r>
          </w:p>
        </w:tc>
        <w:tc>
          <w:tcPr>
            <w:tcW w:w="903" w:type="pct"/>
            <w:tcBorders>
              <w:top w:val="nil"/>
              <w:left w:val="nil"/>
              <w:bottom w:val="single" w:color="auto" w:sz="4" w:space="0"/>
              <w:right w:val="single" w:color="auto" w:sz="4" w:space="0"/>
            </w:tcBorders>
            <w:shd w:val="clear" w:color="auto" w:fill="auto"/>
            <w:vAlign w:val="center"/>
          </w:tcPr>
          <w:p w14:paraId="517AA370">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3000≤Y＜30000</w:t>
            </w:r>
          </w:p>
        </w:tc>
        <w:tc>
          <w:tcPr>
            <w:tcW w:w="755" w:type="pct"/>
            <w:tcBorders>
              <w:top w:val="nil"/>
              <w:left w:val="nil"/>
              <w:bottom w:val="single" w:color="auto" w:sz="4" w:space="0"/>
              <w:right w:val="single" w:color="auto" w:sz="4" w:space="0"/>
            </w:tcBorders>
            <w:shd w:val="clear" w:color="auto" w:fill="auto"/>
            <w:vAlign w:val="center"/>
          </w:tcPr>
          <w:p w14:paraId="2C3F1D50">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200≤Y＜3000</w:t>
            </w:r>
          </w:p>
        </w:tc>
        <w:tc>
          <w:tcPr>
            <w:tcW w:w="525" w:type="pct"/>
            <w:tcBorders>
              <w:top w:val="nil"/>
              <w:left w:val="nil"/>
              <w:bottom w:val="single" w:color="auto" w:sz="4" w:space="0"/>
              <w:right w:val="nil"/>
            </w:tcBorders>
            <w:shd w:val="clear" w:color="auto" w:fill="auto"/>
            <w:vAlign w:val="center"/>
          </w:tcPr>
          <w:p w14:paraId="33073411">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Y＜200</w:t>
            </w:r>
          </w:p>
        </w:tc>
      </w:tr>
      <w:tr w14:paraId="7324CA13">
        <w:tblPrEx>
          <w:tblCellMar>
            <w:top w:w="0" w:type="dxa"/>
            <w:left w:w="108" w:type="dxa"/>
            <w:bottom w:w="0" w:type="dxa"/>
            <w:right w:w="108" w:type="dxa"/>
          </w:tblCellMar>
        </w:tblPrEx>
        <w:trPr>
          <w:trHeight w:val="409" w:hRule="exact"/>
          <w:jc w:val="center"/>
        </w:trPr>
        <w:tc>
          <w:tcPr>
            <w:tcW w:w="1119" w:type="pct"/>
            <w:vMerge w:val="restart"/>
            <w:tcBorders>
              <w:top w:val="nil"/>
              <w:left w:val="nil"/>
              <w:bottom w:val="single" w:color="auto" w:sz="4" w:space="0"/>
              <w:right w:val="single" w:color="auto" w:sz="4" w:space="0"/>
            </w:tcBorders>
            <w:shd w:val="clear" w:color="auto" w:fill="auto"/>
            <w:vAlign w:val="center"/>
          </w:tcPr>
          <w:p w14:paraId="28D27621">
            <w:pPr>
              <w:spacing w:line="2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仓储业*</w:t>
            </w:r>
          </w:p>
        </w:tc>
        <w:tc>
          <w:tcPr>
            <w:tcW w:w="725" w:type="pct"/>
            <w:tcBorders>
              <w:top w:val="nil"/>
              <w:left w:val="nil"/>
              <w:bottom w:val="nil"/>
              <w:right w:val="single" w:color="auto" w:sz="4" w:space="0"/>
            </w:tcBorders>
            <w:shd w:val="clear" w:color="auto" w:fill="auto"/>
            <w:vAlign w:val="center"/>
          </w:tcPr>
          <w:p w14:paraId="02B3C990">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4" w:type="pct"/>
            <w:tcBorders>
              <w:top w:val="nil"/>
              <w:left w:val="nil"/>
              <w:bottom w:val="nil"/>
              <w:right w:val="single" w:color="auto" w:sz="4" w:space="0"/>
            </w:tcBorders>
            <w:shd w:val="clear" w:color="auto" w:fill="auto"/>
            <w:vAlign w:val="center"/>
          </w:tcPr>
          <w:p w14:paraId="56D87801">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2C297907">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X≥200</w:t>
            </w:r>
          </w:p>
        </w:tc>
        <w:tc>
          <w:tcPr>
            <w:tcW w:w="903" w:type="pct"/>
            <w:tcBorders>
              <w:top w:val="nil"/>
              <w:left w:val="nil"/>
              <w:bottom w:val="nil"/>
              <w:right w:val="single" w:color="auto" w:sz="4" w:space="0"/>
            </w:tcBorders>
            <w:shd w:val="clear" w:color="auto" w:fill="auto"/>
            <w:vAlign w:val="center"/>
          </w:tcPr>
          <w:p w14:paraId="0B4BE9FA">
            <w:pPr>
              <w:ind w:left="19" w:leftChars="-51"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100≤X＜200</w:t>
            </w:r>
          </w:p>
        </w:tc>
        <w:tc>
          <w:tcPr>
            <w:tcW w:w="755" w:type="pct"/>
            <w:tcBorders>
              <w:top w:val="nil"/>
              <w:left w:val="nil"/>
              <w:bottom w:val="nil"/>
              <w:right w:val="single" w:color="auto" w:sz="4" w:space="0"/>
            </w:tcBorders>
            <w:shd w:val="clear" w:color="auto" w:fill="auto"/>
            <w:vAlign w:val="center"/>
          </w:tcPr>
          <w:p w14:paraId="666BCFA1">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20≤X＜100</w:t>
            </w:r>
          </w:p>
        </w:tc>
        <w:tc>
          <w:tcPr>
            <w:tcW w:w="525" w:type="pct"/>
            <w:tcBorders>
              <w:top w:val="nil"/>
              <w:left w:val="nil"/>
              <w:bottom w:val="nil"/>
              <w:right w:val="nil"/>
            </w:tcBorders>
            <w:shd w:val="clear" w:color="auto" w:fill="auto"/>
            <w:vAlign w:val="center"/>
          </w:tcPr>
          <w:p w14:paraId="7597B975">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w:t>
            </w:r>
          </w:p>
        </w:tc>
      </w:tr>
      <w:tr w14:paraId="3D0D7CD7">
        <w:tblPrEx>
          <w:tblCellMar>
            <w:top w:w="0" w:type="dxa"/>
            <w:left w:w="108" w:type="dxa"/>
            <w:bottom w:w="0" w:type="dxa"/>
            <w:right w:w="108" w:type="dxa"/>
          </w:tblCellMar>
        </w:tblPrEx>
        <w:trPr>
          <w:trHeight w:val="567" w:hRule="exact"/>
          <w:jc w:val="center"/>
        </w:trPr>
        <w:tc>
          <w:tcPr>
            <w:tcW w:w="1119" w:type="pct"/>
            <w:vMerge w:val="continue"/>
            <w:tcBorders>
              <w:top w:val="nil"/>
              <w:left w:val="nil"/>
              <w:bottom w:val="single" w:color="auto" w:sz="4" w:space="0"/>
              <w:right w:val="single" w:color="auto" w:sz="4" w:space="0"/>
            </w:tcBorders>
            <w:vAlign w:val="center"/>
          </w:tcPr>
          <w:p w14:paraId="73446885">
            <w:pPr>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13C32015">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4" w:type="pct"/>
            <w:tcBorders>
              <w:top w:val="nil"/>
              <w:left w:val="nil"/>
              <w:bottom w:val="single" w:color="auto" w:sz="4" w:space="0"/>
              <w:right w:val="single" w:color="auto" w:sz="4" w:space="0"/>
            </w:tcBorders>
            <w:shd w:val="clear" w:color="auto" w:fill="auto"/>
            <w:vAlign w:val="center"/>
          </w:tcPr>
          <w:p w14:paraId="628C6A53">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4261EDA3">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Y≥30000</w:t>
            </w:r>
          </w:p>
        </w:tc>
        <w:tc>
          <w:tcPr>
            <w:tcW w:w="903" w:type="pct"/>
            <w:tcBorders>
              <w:top w:val="nil"/>
              <w:left w:val="nil"/>
              <w:bottom w:val="single" w:color="auto" w:sz="4" w:space="0"/>
              <w:right w:val="single" w:color="auto" w:sz="4" w:space="0"/>
            </w:tcBorders>
            <w:shd w:val="clear" w:color="auto" w:fill="auto"/>
            <w:vAlign w:val="center"/>
          </w:tcPr>
          <w:p w14:paraId="428400A4">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1000≤Y＜30000</w:t>
            </w:r>
          </w:p>
        </w:tc>
        <w:tc>
          <w:tcPr>
            <w:tcW w:w="755" w:type="pct"/>
            <w:tcBorders>
              <w:top w:val="nil"/>
              <w:left w:val="nil"/>
              <w:bottom w:val="single" w:color="auto" w:sz="4" w:space="0"/>
              <w:right w:val="single" w:color="auto" w:sz="4" w:space="0"/>
            </w:tcBorders>
            <w:shd w:val="clear" w:color="auto" w:fill="auto"/>
            <w:vAlign w:val="center"/>
          </w:tcPr>
          <w:p w14:paraId="6420DF1D">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100≤Y＜1000</w:t>
            </w:r>
          </w:p>
        </w:tc>
        <w:tc>
          <w:tcPr>
            <w:tcW w:w="525" w:type="pct"/>
            <w:tcBorders>
              <w:top w:val="nil"/>
              <w:left w:val="nil"/>
              <w:bottom w:val="single" w:color="auto" w:sz="4" w:space="0"/>
              <w:right w:val="nil"/>
            </w:tcBorders>
            <w:shd w:val="clear" w:color="auto" w:fill="auto"/>
            <w:vAlign w:val="center"/>
          </w:tcPr>
          <w:p w14:paraId="709E9C2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5CCAEF01">
        <w:tblPrEx>
          <w:tblCellMar>
            <w:top w:w="0" w:type="dxa"/>
            <w:left w:w="108" w:type="dxa"/>
            <w:bottom w:w="0" w:type="dxa"/>
            <w:right w:w="108" w:type="dxa"/>
          </w:tblCellMar>
        </w:tblPrEx>
        <w:trPr>
          <w:trHeight w:val="409" w:hRule="exact"/>
          <w:jc w:val="center"/>
        </w:trPr>
        <w:tc>
          <w:tcPr>
            <w:tcW w:w="1119" w:type="pct"/>
            <w:vMerge w:val="restart"/>
            <w:tcBorders>
              <w:top w:val="nil"/>
              <w:left w:val="nil"/>
              <w:bottom w:val="single" w:color="auto" w:sz="4" w:space="0"/>
              <w:right w:val="single" w:color="auto" w:sz="4" w:space="0"/>
            </w:tcBorders>
            <w:shd w:val="clear" w:color="auto" w:fill="auto"/>
            <w:vAlign w:val="center"/>
          </w:tcPr>
          <w:p w14:paraId="7EE42844">
            <w:pPr>
              <w:spacing w:line="2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邮政业</w:t>
            </w:r>
          </w:p>
        </w:tc>
        <w:tc>
          <w:tcPr>
            <w:tcW w:w="725" w:type="pct"/>
            <w:tcBorders>
              <w:top w:val="nil"/>
              <w:left w:val="nil"/>
              <w:bottom w:val="nil"/>
              <w:right w:val="single" w:color="auto" w:sz="4" w:space="0"/>
            </w:tcBorders>
            <w:shd w:val="clear" w:color="auto" w:fill="auto"/>
            <w:vAlign w:val="center"/>
          </w:tcPr>
          <w:p w14:paraId="4C1DBF0B">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4" w:type="pct"/>
            <w:tcBorders>
              <w:top w:val="nil"/>
              <w:left w:val="nil"/>
              <w:bottom w:val="nil"/>
              <w:right w:val="single" w:color="auto" w:sz="4" w:space="0"/>
            </w:tcBorders>
            <w:shd w:val="clear" w:color="auto" w:fill="auto"/>
            <w:vAlign w:val="center"/>
          </w:tcPr>
          <w:p w14:paraId="032A06F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40DF5203">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X≥1000</w:t>
            </w:r>
          </w:p>
        </w:tc>
        <w:tc>
          <w:tcPr>
            <w:tcW w:w="903" w:type="pct"/>
            <w:tcBorders>
              <w:top w:val="nil"/>
              <w:left w:val="nil"/>
              <w:bottom w:val="nil"/>
              <w:right w:val="single" w:color="auto" w:sz="4" w:space="0"/>
            </w:tcBorders>
            <w:shd w:val="clear" w:color="auto" w:fill="auto"/>
            <w:vAlign w:val="center"/>
          </w:tcPr>
          <w:p w14:paraId="5D9AE6A2">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300≤X＜1000</w:t>
            </w:r>
          </w:p>
        </w:tc>
        <w:tc>
          <w:tcPr>
            <w:tcW w:w="755" w:type="pct"/>
            <w:tcBorders>
              <w:top w:val="nil"/>
              <w:left w:val="nil"/>
              <w:bottom w:val="nil"/>
              <w:right w:val="single" w:color="auto" w:sz="4" w:space="0"/>
            </w:tcBorders>
            <w:shd w:val="clear" w:color="auto" w:fill="auto"/>
            <w:vAlign w:val="center"/>
          </w:tcPr>
          <w:p w14:paraId="40994DFC">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20≤X＜300</w:t>
            </w:r>
          </w:p>
        </w:tc>
        <w:tc>
          <w:tcPr>
            <w:tcW w:w="525" w:type="pct"/>
            <w:tcBorders>
              <w:top w:val="nil"/>
              <w:left w:val="nil"/>
              <w:bottom w:val="nil"/>
              <w:right w:val="nil"/>
            </w:tcBorders>
            <w:shd w:val="clear" w:color="auto" w:fill="auto"/>
            <w:vAlign w:val="center"/>
          </w:tcPr>
          <w:p w14:paraId="3BE341CB">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w:t>
            </w:r>
          </w:p>
        </w:tc>
      </w:tr>
      <w:tr w14:paraId="20D8A9BA">
        <w:tblPrEx>
          <w:tblCellMar>
            <w:top w:w="0" w:type="dxa"/>
            <w:left w:w="108" w:type="dxa"/>
            <w:bottom w:w="0" w:type="dxa"/>
            <w:right w:w="108" w:type="dxa"/>
          </w:tblCellMar>
        </w:tblPrEx>
        <w:trPr>
          <w:trHeight w:val="610" w:hRule="exact"/>
          <w:jc w:val="center"/>
        </w:trPr>
        <w:tc>
          <w:tcPr>
            <w:tcW w:w="1119" w:type="pct"/>
            <w:vMerge w:val="continue"/>
            <w:tcBorders>
              <w:top w:val="nil"/>
              <w:left w:val="nil"/>
              <w:bottom w:val="single" w:color="auto" w:sz="4" w:space="0"/>
              <w:right w:val="single" w:color="auto" w:sz="4" w:space="0"/>
            </w:tcBorders>
            <w:vAlign w:val="center"/>
          </w:tcPr>
          <w:p w14:paraId="3C63DDD2">
            <w:pPr>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4D682616">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4" w:type="pct"/>
            <w:tcBorders>
              <w:top w:val="nil"/>
              <w:left w:val="nil"/>
              <w:bottom w:val="single" w:color="auto" w:sz="4" w:space="0"/>
              <w:right w:val="single" w:color="auto" w:sz="4" w:space="0"/>
            </w:tcBorders>
            <w:shd w:val="clear" w:color="auto" w:fill="auto"/>
            <w:vAlign w:val="center"/>
          </w:tcPr>
          <w:p w14:paraId="78B35CC4">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1E92DD3D">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Y≥30000</w:t>
            </w:r>
          </w:p>
        </w:tc>
        <w:tc>
          <w:tcPr>
            <w:tcW w:w="903" w:type="pct"/>
            <w:tcBorders>
              <w:top w:val="nil"/>
              <w:left w:val="nil"/>
              <w:bottom w:val="single" w:color="auto" w:sz="4" w:space="0"/>
              <w:right w:val="single" w:color="auto" w:sz="4" w:space="0"/>
            </w:tcBorders>
            <w:shd w:val="clear" w:color="auto" w:fill="auto"/>
            <w:vAlign w:val="center"/>
          </w:tcPr>
          <w:p w14:paraId="11ECCF76">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2000≤Y＜30000</w:t>
            </w:r>
          </w:p>
        </w:tc>
        <w:tc>
          <w:tcPr>
            <w:tcW w:w="755" w:type="pct"/>
            <w:tcBorders>
              <w:top w:val="nil"/>
              <w:left w:val="nil"/>
              <w:bottom w:val="single" w:color="auto" w:sz="4" w:space="0"/>
              <w:right w:val="single" w:color="auto" w:sz="4" w:space="0"/>
            </w:tcBorders>
            <w:shd w:val="clear" w:color="auto" w:fill="auto"/>
            <w:vAlign w:val="center"/>
          </w:tcPr>
          <w:p w14:paraId="18E8C66F">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100≤Y＜2000</w:t>
            </w:r>
          </w:p>
        </w:tc>
        <w:tc>
          <w:tcPr>
            <w:tcW w:w="525" w:type="pct"/>
            <w:tcBorders>
              <w:top w:val="nil"/>
              <w:left w:val="nil"/>
              <w:bottom w:val="single" w:color="auto" w:sz="4" w:space="0"/>
              <w:right w:val="nil"/>
            </w:tcBorders>
            <w:shd w:val="clear" w:color="auto" w:fill="auto"/>
            <w:vAlign w:val="center"/>
          </w:tcPr>
          <w:p w14:paraId="1F1D51B1">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3200705D">
        <w:tblPrEx>
          <w:tblCellMar>
            <w:top w:w="0" w:type="dxa"/>
            <w:left w:w="108" w:type="dxa"/>
            <w:bottom w:w="0" w:type="dxa"/>
            <w:right w:w="108" w:type="dxa"/>
          </w:tblCellMar>
        </w:tblPrEx>
        <w:trPr>
          <w:trHeight w:val="409" w:hRule="exact"/>
          <w:jc w:val="center"/>
        </w:trPr>
        <w:tc>
          <w:tcPr>
            <w:tcW w:w="1119" w:type="pct"/>
            <w:vMerge w:val="restart"/>
            <w:tcBorders>
              <w:top w:val="nil"/>
              <w:left w:val="nil"/>
              <w:bottom w:val="single" w:color="auto" w:sz="4" w:space="0"/>
              <w:right w:val="single" w:color="auto" w:sz="4" w:space="0"/>
            </w:tcBorders>
            <w:shd w:val="clear" w:color="auto" w:fill="auto"/>
            <w:vAlign w:val="center"/>
          </w:tcPr>
          <w:p w14:paraId="698BA488">
            <w:pPr>
              <w:spacing w:line="2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住宿业</w:t>
            </w:r>
          </w:p>
        </w:tc>
        <w:tc>
          <w:tcPr>
            <w:tcW w:w="725" w:type="pct"/>
            <w:tcBorders>
              <w:top w:val="nil"/>
              <w:left w:val="nil"/>
              <w:bottom w:val="nil"/>
              <w:right w:val="single" w:color="auto" w:sz="4" w:space="0"/>
            </w:tcBorders>
            <w:shd w:val="clear" w:color="auto" w:fill="auto"/>
            <w:vAlign w:val="center"/>
          </w:tcPr>
          <w:p w14:paraId="5C6EF85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4" w:type="pct"/>
            <w:tcBorders>
              <w:top w:val="nil"/>
              <w:left w:val="nil"/>
              <w:bottom w:val="nil"/>
              <w:right w:val="single" w:color="auto" w:sz="4" w:space="0"/>
            </w:tcBorders>
            <w:shd w:val="clear" w:color="auto" w:fill="auto"/>
            <w:vAlign w:val="center"/>
          </w:tcPr>
          <w:p w14:paraId="4079B1EB">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5BE7FA8D">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X≥300</w:t>
            </w:r>
          </w:p>
        </w:tc>
        <w:tc>
          <w:tcPr>
            <w:tcW w:w="903" w:type="pct"/>
            <w:tcBorders>
              <w:top w:val="nil"/>
              <w:left w:val="nil"/>
              <w:bottom w:val="nil"/>
              <w:right w:val="single" w:color="auto" w:sz="4" w:space="0"/>
            </w:tcBorders>
            <w:shd w:val="clear" w:color="auto" w:fill="auto"/>
            <w:vAlign w:val="center"/>
          </w:tcPr>
          <w:p w14:paraId="6887D398">
            <w:pPr>
              <w:ind w:left="19" w:leftChars="-51"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100≤X＜300 </w:t>
            </w:r>
          </w:p>
        </w:tc>
        <w:tc>
          <w:tcPr>
            <w:tcW w:w="755" w:type="pct"/>
            <w:tcBorders>
              <w:top w:val="nil"/>
              <w:left w:val="nil"/>
              <w:bottom w:val="nil"/>
              <w:right w:val="single" w:color="auto" w:sz="4" w:space="0"/>
            </w:tcBorders>
            <w:shd w:val="clear" w:color="auto" w:fill="auto"/>
            <w:vAlign w:val="center"/>
          </w:tcPr>
          <w:p w14:paraId="6CDEC9FD">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10≤X＜100</w:t>
            </w:r>
          </w:p>
        </w:tc>
        <w:tc>
          <w:tcPr>
            <w:tcW w:w="525" w:type="pct"/>
            <w:tcBorders>
              <w:top w:val="nil"/>
              <w:left w:val="nil"/>
              <w:bottom w:val="nil"/>
              <w:right w:val="nil"/>
            </w:tcBorders>
            <w:shd w:val="clear" w:color="auto" w:fill="auto"/>
            <w:vAlign w:val="center"/>
          </w:tcPr>
          <w:p w14:paraId="19DA3F95">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r w14:paraId="04394227">
        <w:tblPrEx>
          <w:tblCellMar>
            <w:top w:w="0" w:type="dxa"/>
            <w:left w:w="108" w:type="dxa"/>
            <w:bottom w:w="0" w:type="dxa"/>
            <w:right w:w="108" w:type="dxa"/>
          </w:tblCellMar>
        </w:tblPrEx>
        <w:trPr>
          <w:trHeight w:val="540" w:hRule="exact"/>
          <w:jc w:val="center"/>
        </w:trPr>
        <w:tc>
          <w:tcPr>
            <w:tcW w:w="1119" w:type="pct"/>
            <w:vMerge w:val="continue"/>
            <w:tcBorders>
              <w:top w:val="nil"/>
              <w:left w:val="nil"/>
              <w:bottom w:val="single" w:color="auto" w:sz="4" w:space="0"/>
              <w:right w:val="single" w:color="auto" w:sz="4" w:space="0"/>
            </w:tcBorders>
            <w:vAlign w:val="center"/>
          </w:tcPr>
          <w:p w14:paraId="255F1EC9">
            <w:pPr>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62C4C645">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4" w:type="pct"/>
            <w:tcBorders>
              <w:top w:val="nil"/>
              <w:left w:val="nil"/>
              <w:bottom w:val="single" w:color="auto" w:sz="4" w:space="0"/>
              <w:right w:val="single" w:color="auto" w:sz="4" w:space="0"/>
            </w:tcBorders>
            <w:shd w:val="clear" w:color="auto" w:fill="auto"/>
            <w:vAlign w:val="center"/>
          </w:tcPr>
          <w:p w14:paraId="2CCCB754">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4EF32161">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Y≥10000</w:t>
            </w:r>
          </w:p>
        </w:tc>
        <w:tc>
          <w:tcPr>
            <w:tcW w:w="903" w:type="pct"/>
            <w:tcBorders>
              <w:top w:val="nil"/>
              <w:left w:val="nil"/>
              <w:bottom w:val="single" w:color="auto" w:sz="4" w:space="0"/>
              <w:right w:val="single" w:color="auto" w:sz="4" w:space="0"/>
            </w:tcBorders>
            <w:shd w:val="clear" w:color="auto" w:fill="auto"/>
            <w:vAlign w:val="center"/>
          </w:tcPr>
          <w:p w14:paraId="3424A8F0">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2000≤Y＜10000</w:t>
            </w:r>
          </w:p>
        </w:tc>
        <w:tc>
          <w:tcPr>
            <w:tcW w:w="755" w:type="pct"/>
            <w:tcBorders>
              <w:top w:val="nil"/>
              <w:left w:val="nil"/>
              <w:bottom w:val="single" w:color="auto" w:sz="4" w:space="0"/>
              <w:right w:val="single" w:color="auto" w:sz="4" w:space="0"/>
            </w:tcBorders>
            <w:shd w:val="clear" w:color="auto" w:fill="auto"/>
            <w:vAlign w:val="center"/>
          </w:tcPr>
          <w:p w14:paraId="7B547346">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100≤Y＜2000</w:t>
            </w:r>
          </w:p>
        </w:tc>
        <w:tc>
          <w:tcPr>
            <w:tcW w:w="525" w:type="pct"/>
            <w:tcBorders>
              <w:top w:val="nil"/>
              <w:left w:val="nil"/>
              <w:bottom w:val="single" w:color="auto" w:sz="4" w:space="0"/>
              <w:right w:val="nil"/>
            </w:tcBorders>
            <w:shd w:val="clear" w:color="auto" w:fill="auto"/>
            <w:vAlign w:val="center"/>
          </w:tcPr>
          <w:p w14:paraId="14F0D4C6">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290E8FBC">
        <w:tblPrEx>
          <w:tblCellMar>
            <w:top w:w="0" w:type="dxa"/>
            <w:left w:w="108" w:type="dxa"/>
            <w:bottom w:w="0" w:type="dxa"/>
            <w:right w:w="108" w:type="dxa"/>
          </w:tblCellMar>
        </w:tblPrEx>
        <w:trPr>
          <w:trHeight w:val="409" w:hRule="exact"/>
          <w:jc w:val="center"/>
        </w:trPr>
        <w:tc>
          <w:tcPr>
            <w:tcW w:w="1119" w:type="pct"/>
            <w:vMerge w:val="restart"/>
            <w:tcBorders>
              <w:top w:val="nil"/>
              <w:left w:val="nil"/>
              <w:bottom w:val="single" w:color="auto" w:sz="4" w:space="0"/>
              <w:right w:val="single" w:color="auto" w:sz="4" w:space="0"/>
            </w:tcBorders>
            <w:shd w:val="clear" w:color="auto" w:fill="auto"/>
            <w:vAlign w:val="center"/>
          </w:tcPr>
          <w:p w14:paraId="0F165C71">
            <w:pPr>
              <w:spacing w:line="2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餐饮业</w:t>
            </w:r>
          </w:p>
        </w:tc>
        <w:tc>
          <w:tcPr>
            <w:tcW w:w="725" w:type="pct"/>
            <w:tcBorders>
              <w:top w:val="nil"/>
              <w:left w:val="nil"/>
              <w:bottom w:val="nil"/>
              <w:right w:val="single" w:color="auto" w:sz="4" w:space="0"/>
            </w:tcBorders>
            <w:shd w:val="clear" w:color="auto" w:fill="auto"/>
            <w:vAlign w:val="center"/>
          </w:tcPr>
          <w:p w14:paraId="66655994">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4" w:type="pct"/>
            <w:tcBorders>
              <w:top w:val="nil"/>
              <w:left w:val="nil"/>
              <w:bottom w:val="nil"/>
              <w:right w:val="single" w:color="auto" w:sz="4" w:space="0"/>
            </w:tcBorders>
            <w:shd w:val="clear" w:color="auto" w:fill="auto"/>
            <w:vAlign w:val="center"/>
          </w:tcPr>
          <w:p w14:paraId="28D30E5E">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563F27FC">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X≥300</w:t>
            </w:r>
          </w:p>
        </w:tc>
        <w:tc>
          <w:tcPr>
            <w:tcW w:w="903" w:type="pct"/>
            <w:tcBorders>
              <w:top w:val="nil"/>
              <w:left w:val="nil"/>
              <w:bottom w:val="nil"/>
              <w:right w:val="single" w:color="auto" w:sz="4" w:space="0"/>
            </w:tcBorders>
            <w:shd w:val="clear" w:color="auto" w:fill="auto"/>
            <w:vAlign w:val="center"/>
          </w:tcPr>
          <w:p w14:paraId="523F73F8">
            <w:pPr>
              <w:ind w:left="19" w:leftChars="-51"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100≤X＜300 </w:t>
            </w:r>
          </w:p>
        </w:tc>
        <w:tc>
          <w:tcPr>
            <w:tcW w:w="755" w:type="pct"/>
            <w:tcBorders>
              <w:top w:val="nil"/>
              <w:left w:val="nil"/>
              <w:bottom w:val="nil"/>
              <w:right w:val="single" w:color="auto" w:sz="4" w:space="0"/>
            </w:tcBorders>
            <w:shd w:val="clear" w:color="auto" w:fill="auto"/>
            <w:vAlign w:val="center"/>
          </w:tcPr>
          <w:p w14:paraId="170A3D4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10≤X＜100</w:t>
            </w:r>
          </w:p>
        </w:tc>
        <w:tc>
          <w:tcPr>
            <w:tcW w:w="525" w:type="pct"/>
            <w:tcBorders>
              <w:top w:val="nil"/>
              <w:left w:val="nil"/>
              <w:bottom w:val="nil"/>
              <w:right w:val="nil"/>
            </w:tcBorders>
            <w:shd w:val="clear" w:color="auto" w:fill="auto"/>
            <w:vAlign w:val="center"/>
          </w:tcPr>
          <w:p w14:paraId="73046A2A">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r w14:paraId="0E3EB01F">
        <w:tblPrEx>
          <w:tblCellMar>
            <w:top w:w="0" w:type="dxa"/>
            <w:left w:w="108" w:type="dxa"/>
            <w:bottom w:w="0" w:type="dxa"/>
            <w:right w:w="108" w:type="dxa"/>
          </w:tblCellMar>
        </w:tblPrEx>
        <w:trPr>
          <w:trHeight w:val="596" w:hRule="exact"/>
          <w:jc w:val="center"/>
        </w:trPr>
        <w:tc>
          <w:tcPr>
            <w:tcW w:w="1119" w:type="pct"/>
            <w:vMerge w:val="continue"/>
            <w:tcBorders>
              <w:top w:val="nil"/>
              <w:left w:val="nil"/>
              <w:bottom w:val="single" w:color="auto" w:sz="4" w:space="0"/>
              <w:right w:val="single" w:color="auto" w:sz="4" w:space="0"/>
            </w:tcBorders>
            <w:vAlign w:val="center"/>
          </w:tcPr>
          <w:p w14:paraId="031C078B">
            <w:pPr>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2284BD0F">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4" w:type="pct"/>
            <w:tcBorders>
              <w:top w:val="nil"/>
              <w:left w:val="nil"/>
              <w:bottom w:val="single" w:color="auto" w:sz="4" w:space="0"/>
              <w:right w:val="single" w:color="auto" w:sz="4" w:space="0"/>
            </w:tcBorders>
            <w:shd w:val="clear" w:color="auto" w:fill="auto"/>
            <w:vAlign w:val="center"/>
          </w:tcPr>
          <w:p w14:paraId="4DD96CA9">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1D59FA4B">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Y≥10000</w:t>
            </w:r>
          </w:p>
        </w:tc>
        <w:tc>
          <w:tcPr>
            <w:tcW w:w="903" w:type="pct"/>
            <w:tcBorders>
              <w:top w:val="nil"/>
              <w:left w:val="nil"/>
              <w:bottom w:val="single" w:color="auto" w:sz="4" w:space="0"/>
              <w:right w:val="single" w:color="auto" w:sz="4" w:space="0"/>
            </w:tcBorders>
            <w:shd w:val="clear" w:color="auto" w:fill="auto"/>
            <w:vAlign w:val="center"/>
          </w:tcPr>
          <w:p w14:paraId="22525643">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2000≤Y＜10000</w:t>
            </w:r>
          </w:p>
        </w:tc>
        <w:tc>
          <w:tcPr>
            <w:tcW w:w="755" w:type="pct"/>
            <w:tcBorders>
              <w:top w:val="nil"/>
              <w:left w:val="nil"/>
              <w:bottom w:val="single" w:color="auto" w:sz="4" w:space="0"/>
              <w:right w:val="single" w:color="auto" w:sz="4" w:space="0"/>
            </w:tcBorders>
            <w:shd w:val="clear" w:color="auto" w:fill="auto"/>
            <w:vAlign w:val="center"/>
          </w:tcPr>
          <w:p w14:paraId="4C7950FB">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100≤Y＜2000</w:t>
            </w:r>
          </w:p>
        </w:tc>
        <w:tc>
          <w:tcPr>
            <w:tcW w:w="525" w:type="pct"/>
            <w:tcBorders>
              <w:top w:val="nil"/>
              <w:left w:val="nil"/>
              <w:bottom w:val="single" w:color="auto" w:sz="4" w:space="0"/>
              <w:right w:val="nil"/>
            </w:tcBorders>
            <w:shd w:val="clear" w:color="auto" w:fill="auto"/>
            <w:vAlign w:val="center"/>
          </w:tcPr>
          <w:p w14:paraId="5C28BE29">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7575276C">
        <w:tblPrEx>
          <w:tblCellMar>
            <w:top w:w="0" w:type="dxa"/>
            <w:left w:w="108" w:type="dxa"/>
            <w:bottom w:w="0" w:type="dxa"/>
            <w:right w:w="108" w:type="dxa"/>
          </w:tblCellMar>
        </w:tblPrEx>
        <w:trPr>
          <w:trHeight w:val="409" w:hRule="exact"/>
          <w:jc w:val="center"/>
        </w:trPr>
        <w:tc>
          <w:tcPr>
            <w:tcW w:w="1119" w:type="pct"/>
            <w:vMerge w:val="restart"/>
            <w:tcBorders>
              <w:top w:val="nil"/>
              <w:left w:val="nil"/>
              <w:bottom w:val="single" w:color="auto" w:sz="4" w:space="0"/>
              <w:right w:val="single" w:color="auto" w:sz="4" w:space="0"/>
            </w:tcBorders>
            <w:shd w:val="clear" w:color="auto" w:fill="auto"/>
            <w:vAlign w:val="center"/>
          </w:tcPr>
          <w:p w14:paraId="6226AA49">
            <w:pPr>
              <w:spacing w:line="2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信息传输业 *</w:t>
            </w:r>
          </w:p>
        </w:tc>
        <w:tc>
          <w:tcPr>
            <w:tcW w:w="725" w:type="pct"/>
            <w:tcBorders>
              <w:top w:val="nil"/>
              <w:left w:val="nil"/>
              <w:bottom w:val="nil"/>
              <w:right w:val="single" w:color="auto" w:sz="4" w:space="0"/>
            </w:tcBorders>
            <w:shd w:val="clear" w:color="auto" w:fill="auto"/>
            <w:vAlign w:val="center"/>
          </w:tcPr>
          <w:p w14:paraId="25E2BA67">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4" w:type="pct"/>
            <w:tcBorders>
              <w:top w:val="nil"/>
              <w:left w:val="nil"/>
              <w:bottom w:val="nil"/>
              <w:right w:val="single" w:color="auto" w:sz="4" w:space="0"/>
            </w:tcBorders>
            <w:shd w:val="clear" w:color="auto" w:fill="auto"/>
            <w:vAlign w:val="center"/>
          </w:tcPr>
          <w:p w14:paraId="6ED43367">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00AB5C4D">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X≥2000</w:t>
            </w:r>
          </w:p>
        </w:tc>
        <w:tc>
          <w:tcPr>
            <w:tcW w:w="903" w:type="pct"/>
            <w:tcBorders>
              <w:top w:val="nil"/>
              <w:left w:val="nil"/>
              <w:bottom w:val="nil"/>
              <w:right w:val="single" w:color="auto" w:sz="4" w:space="0"/>
            </w:tcBorders>
            <w:shd w:val="clear" w:color="auto" w:fill="auto"/>
            <w:vAlign w:val="center"/>
          </w:tcPr>
          <w:p w14:paraId="197F2CE6">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100≤X＜2000</w:t>
            </w:r>
          </w:p>
        </w:tc>
        <w:tc>
          <w:tcPr>
            <w:tcW w:w="755" w:type="pct"/>
            <w:tcBorders>
              <w:top w:val="nil"/>
              <w:left w:val="nil"/>
              <w:bottom w:val="nil"/>
              <w:right w:val="single" w:color="auto" w:sz="4" w:space="0"/>
            </w:tcBorders>
            <w:shd w:val="clear" w:color="auto" w:fill="auto"/>
            <w:vAlign w:val="center"/>
          </w:tcPr>
          <w:p w14:paraId="5F082A7A">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10≤X＜100</w:t>
            </w:r>
          </w:p>
        </w:tc>
        <w:tc>
          <w:tcPr>
            <w:tcW w:w="525" w:type="pct"/>
            <w:tcBorders>
              <w:top w:val="nil"/>
              <w:left w:val="nil"/>
              <w:bottom w:val="nil"/>
              <w:right w:val="nil"/>
            </w:tcBorders>
            <w:shd w:val="clear" w:color="auto" w:fill="auto"/>
            <w:vAlign w:val="center"/>
          </w:tcPr>
          <w:p w14:paraId="35549423">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r w14:paraId="6E0BA73F">
        <w:tblPrEx>
          <w:tblCellMar>
            <w:top w:w="0" w:type="dxa"/>
            <w:left w:w="108" w:type="dxa"/>
            <w:bottom w:w="0" w:type="dxa"/>
            <w:right w:w="108" w:type="dxa"/>
          </w:tblCellMar>
        </w:tblPrEx>
        <w:trPr>
          <w:trHeight w:val="539" w:hRule="exact"/>
          <w:jc w:val="center"/>
        </w:trPr>
        <w:tc>
          <w:tcPr>
            <w:tcW w:w="1119" w:type="pct"/>
            <w:vMerge w:val="continue"/>
            <w:tcBorders>
              <w:top w:val="nil"/>
              <w:left w:val="nil"/>
              <w:bottom w:val="single" w:color="auto" w:sz="4" w:space="0"/>
              <w:right w:val="single" w:color="auto" w:sz="4" w:space="0"/>
            </w:tcBorders>
            <w:vAlign w:val="center"/>
          </w:tcPr>
          <w:p w14:paraId="628CFDAB">
            <w:pPr>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4698AF91">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4" w:type="pct"/>
            <w:tcBorders>
              <w:top w:val="nil"/>
              <w:left w:val="nil"/>
              <w:bottom w:val="single" w:color="auto" w:sz="4" w:space="0"/>
              <w:right w:val="single" w:color="auto" w:sz="4" w:space="0"/>
            </w:tcBorders>
            <w:shd w:val="clear" w:color="auto" w:fill="auto"/>
            <w:vAlign w:val="center"/>
          </w:tcPr>
          <w:p w14:paraId="1382F9D5">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6BE5A430">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Y≥100000</w:t>
            </w:r>
          </w:p>
        </w:tc>
        <w:tc>
          <w:tcPr>
            <w:tcW w:w="903" w:type="pct"/>
            <w:tcBorders>
              <w:top w:val="nil"/>
              <w:left w:val="nil"/>
              <w:bottom w:val="single" w:color="auto" w:sz="4" w:space="0"/>
              <w:right w:val="single" w:color="auto" w:sz="4" w:space="0"/>
            </w:tcBorders>
            <w:shd w:val="clear" w:color="auto" w:fill="auto"/>
            <w:vAlign w:val="center"/>
          </w:tcPr>
          <w:p w14:paraId="3317A58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1000≤Y＜100000</w:t>
            </w:r>
          </w:p>
        </w:tc>
        <w:tc>
          <w:tcPr>
            <w:tcW w:w="755" w:type="pct"/>
            <w:tcBorders>
              <w:top w:val="nil"/>
              <w:left w:val="nil"/>
              <w:bottom w:val="single" w:color="auto" w:sz="4" w:space="0"/>
              <w:right w:val="single" w:color="auto" w:sz="4" w:space="0"/>
            </w:tcBorders>
            <w:shd w:val="clear" w:color="auto" w:fill="auto"/>
            <w:vAlign w:val="center"/>
          </w:tcPr>
          <w:p w14:paraId="0F1A4FC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100≤Y＜1000</w:t>
            </w:r>
          </w:p>
        </w:tc>
        <w:tc>
          <w:tcPr>
            <w:tcW w:w="525" w:type="pct"/>
            <w:tcBorders>
              <w:top w:val="nil"/>
              <w:left w:val="nil"/>
              <w:bottom w:val="single" w:color="auto" w:sz="4" w:space="0"/>
              <w:right w:val="nil"/>
            </w:tcBorders>
            <w:shd w:val="clear" w:color="auto" w:fill="auto"/>
            <w:vAlign w:val="center"/>
          </w:tcPr>
          <w:p w14:paraId="7F5996BD">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77210C39">
        <w:tblPrEx>
          <w:tblCellMar>
            <w:top w:w="0" w:type="dxa"/>
            <w:left w:w="108" w:type="dxa"/>
            <w:bottom w:w="0" w:type="dxa"/>
            <w:right w:w="108" w:type="dxa"/>
          </w:tblCellMar>
        </w:tblPrEx>
        <w:trPr>
          <w:trHeight w:val="348" w:hRule="exact"/>
          <w:jc w:val="center"/>
        </w:trPr>
        <w:tc>
          <w:tcPr>
            <w:tcW w:w="1119" w:type="pct"/>
            <w:vMerge w:val="restart"/>
            <w:tcBorders>
              <w:top w:val="single" w:color="auto" w:sz="4" w:space="0"/>
              <w:left w:val="nil"/>
              <w:bottom w:val="single" w:color="auto" w:sz="4" w:space="0"/>
              <w:right w:val="single" w:color="auto" w:sz="4" w:space="0"/>
            </w:tcBorders>
            <w:shd w:val="clear" w:color="auto" w:fill="auto"/>
            <w:vAlign w:val="center"/>
          </w:tcPr>
          <w:p w14:paraId="45B417F5">
            <w:pPr>
              <w:spacing w:line="240" w:lineRule="exact"/>
              <w:rPr>
                <w:rFonts w:hint="eastAsia" w:ascii="宋体" w:hAnsi="宋体" w:eastAsia="宋体" w:cs="宋体"/>
                <w:color w:val="000000"/>
                <w:spacing w:val="-12"/>
                <w:sz w:val="21"/>
                <w:szCs w:val="21"/>
              </w:rPr>
            </w:pPr>
            <w:r>
              <w:rPr>
                <w:rFonts w:hint="eastAsia" w:ascii="宋体" w:hAnsi="宋体" w:eastAsia="宋体" w:cs="宋体"/>
                <w:color w:val="000000"/>
                <w:spacing w:val="-12"/>
                <w:sz w:val="21"/>
                <w:szCs w:val="21"/>
              </w:rPr>
              <w:t>软件和信息技术服</w:t>
            </w:r>
            <w:r>
              <w:rPr>
                <w:rFonts w:hint="eastAsia" w:ascii="宋体" w:hAnsi="宋体" w:eastAsia="宋体" w:cs="宋体"/>
                <w:color w:val="000000"/>
                <w:sz w:val="21"/>
                <w:szCs w:val="21"/>
              </w:rPr>
              <w:t>务业</w:t>
            </w:r>
          </w:p>
        </w:tc>
        <w:tc>
          <w:tcPr>
            <w:tcW w:w="725" w:type="pct"/>
            <w:tcBorders>
              <w:top w:val="nil"/>
              <w:left w:val="nil"/>
              <w:bottom w:val="nil"/>
              <w:right w:val="single" w:color="auto" w:sz="4" w:space="0"/>
            </w:tcBorders>
            <w:shd w:val="clear" w:color="auto" w:fill="auto"/>
            <w:vAlign w:val="center"/>
          </w:tcPr>
          <w:p w14:paraId="2D4225BB">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4" w:type="pct"/>
            <w:tcBorders>
              <w:top w:val="nil"/>
              <w:left w:val="nil"/>
              <w:bottom w:val="nil"/>
              <w:right w:val="single" w:color="auto" w:sz="4" w:space="0"/>
            </w:tcBorders>
            <w:shd w:val="clear" w:color="auto" w:fill="auto"/>
            <w:vAlign w:val="center"/>
          </w:tcPr>
          <w:p w14:paraId="697ADFEE">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0B1BCBEC">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X≥300</w:t>
            </w:r>
          </w:p>
        </w:tc>
        <w:tc>
          <w:tcPr>
            <w:tcW w:w="903" w:type="pct"/>
            <w:tcBorders>
              <w:top w:val="nil"/>
              <w:left w:val="nil"/>
              <w:bottom w:val="nil"/>
              <w:right w:val="single" w:color="auto" w:sz="4" w:space="0"/>
            </w:tcBorders>
            <w:shd w:val="clear" w:color="auto" w:fill="auto"/>
            <w:vAlign w:val="center"/>
          </w:tcPr>
          <w:p w14:paraId="51D17C8C">
            <w:pPr>
              <w:ind w:left="19" w:leftChars="-51"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100≤X＜300 </w:t>
            </w:r>
          </w:p>
        </w:tc>
        <w:tc>
          <w:tcPr>
            <w:tcW w:w="755" w:type="pct"/>
            <w:tcBorders>
              <w:top w:val="nil"/>
              <w:left w:val="nil"/>
              <w:bottom w:val="nil"/>
              <w:right w:val="single" w:color="auto" w:sz="4" w:space="0"/>
            </w:tcBorders>
            <w:shd w:val="clear" w:color="auto" w:fill="auto"/>
            <w:vAlign w:val="center"/>
          </w:tcPr>
          <w:p w14:paraId="02891EDB">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10≤X＜100</w:t>
            </w:r>
          </w:p>
        </w:tc>
        <w:tc>
          <w:tcPr>
            <w:tcW w:w="525" w:type="pct"/>
            <w:tcBorders>
              <w:top w:val="nil"/>
              <w:left w:val="nil"/>
              <w:bottom w:val="nil"/>
              <w:right w:val="nil"/>
            </w:tcBorders>
            <w:shd w:val="clear" w:color="auto" w:fill="auto"/>
            <w:vAlign w:val="center"/>
          </w:tcPr>
          <w:p w14:paraId="0E558612">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r w14:paraId="384D51DB">
        <w:tblPrEx>
          <w:tblCellMar>
            <w:top w:w="0" w:type="dxa"/>
            <w:left w:w="108" w:type="dxa"/>
            <w:bottom w:w="0" w:type="dxa"/>
            <w:right w:w="108" w:type="dxa"/>
          </w:tblCellMar>
        </w:tblPrEx>
        <w:trPr>
          <w:trHeight w:val="522" w:hRule="exact"/>
          <w:jc w:val="center"/>
        </w:trPr>
        <w:tc>
          <w:tcPr>
            <w:tcW w:w="1119" w:type="pct"/>
            <w:vMerge w:val="continue"/>
            <w:tcBorders>
              <w:top w:val="single" w:color="auto" w:sz="4" w:space="0"/>
              <w:left w:val="nil"/>
              <w:bottom w:val="single" w:color="auto" w:sz="4" w:space="0"/>
              <w:right w:val="single" w:color="auto" w:sz="4" w:space="0"/>
            </w:tcBorders>
            <w:vAlign w:val="center"/>
          </w:tcPr>
          <w:p w14:paraId="61B7FD76">
            <w:pPr>
              <w:rPr>
                <w:rFonts w:hint="eastAsia" w:ascii="宋体" w:hAnsi="宋体" w:eastAsia="宋体" w:cs="宋体"/>
                <w:color w:val="000000"/>
                <w:spacing w:val="-12"/>
                <w:sz w:val="21"/>
                <w:szCs w:val="21"/>
              </w:rPr>
            </w:pPr>
          </w:p>
        </w:tc>
        <w:tc>
          <w:tcPr>
            <w:tcW w:w="725" w:type="pct"/>
            <w:tcBorders>
              <w:top w:val="nil"/>
              <w:left w:val="nil"/>
              <w:bottom w:val="single" w:color="auto" w:sz="4" w:space="0"/>
              <w:right w:val="single" w:color="auto" w:sz="4" w:space="0"/>
            </w:tcBorders>
            <w:shd w:val="clear" w:color="auto" w:fill="auto"/>
            <w:vAlign w:val="center"/>
          </w:tcPr>
          <w:p w14:paraId="48F14E65">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4" w:type="pct"/>
            <w:tcBorders>
              <w:top w:val="nil"/>
              <w:left w:val="nil"/>
              <w:bottom w:val="single" w:color="auto" w:sz="4" w:space="0"/>
              <w:right w:val="single" w:color="auto" w:sz="4" w:space="0"/>
            </w:tcBorders>
            <w:shd w:val="clear" w:color="auto" w:fill="auto"/>
            <w:vAlign w:val="center"/>
          </w:tcPr>
          <w:p w14:paraId="46C8D6CC">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620E34CF">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Y≥10000</w:t>
            </w:r>
          </w:p>
        </w:tc>
        <w:tc>
          <w:tcPr>
            <w:tcW w:w="903" w:type="pct"/>
            <w:tcBorders>
              <w:top w:val="nil"/>
              <w:left w:val="nil"/>
              <w:bottom w:val="single" w:color="auto" w:sz="4" w:space="0"/>
              <w:right w:val="single" w:color="auto" w:sz="4" w:space="0"/>
            </w:tcBorders>
            <w:shd w:val="clear" w:color="auto" w:fill="auto"/>
            <w:vAlign w:val="center"/>
          </w:tcPr>
          <w:p w14:paraId="29C41C52">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1000≤Y＜10000</w:t>
            </w:r>
          </w:p>
        </w:tc>
        <w:tc>
          <w:tcPr>
            <w:tcW w:w="755" w:type="pct"/>
            <w:tcBorders>
              <w:top w:val="nil"/>
              <w:left w:val="nil"/>
              <w:bottom w:val="single" w:color="auto" w:sz="4" w:space="0"/>
              <w:right w:val="single" w:color="auto" w:sz="4" w:space="0"/>
            </w:tcBorders>
            <w:shd w:val="clear" w:color="auto" w:fill="auto"/>
            <w:vAlign w:val="center"/>
          </w:tcPr>
          <w:p w14:paraId="30D5967E">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50≤Y＜1000</w:t>
            </w:r>
          </w:p>
        </w:tc>
        <w:tc>
          <w:tcPr>
            <w:tcW w:w="525" w:type="pct"/>
            <w:tcBorders>
              <w:top w:val="nil"/>
              <w:left w:val="nil"/>
              <w:bottom w:val="single" w:color="auto" w:sz="4" w:space="0"/>
              <w:right w:val="nil"/>
            </w:tcBorders>
            <w:shd w:val="clear" w:color="auto" w:fill="auto"/>
            <w:vAlign w:val="center"/>
          </w:tcPr>
          <w:p w14:paraId="3AD7B855">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Y＜50</w:t>
            </w:r>
          </w:p>
        </w:tc>
      </w:tr>
      <w:tr w14:paraId="602EC54F">
        <w:tblPrEx>
          <w:tblCellMar>
            <w:top w:w="0" w:type="dxa"/>
            <w:left w:w="108" w:type="dxa"/>
            <w:bottom w:w="0" w:type="dxa"/>
            <w:right w:w="108" w:type="dxa"/>
          </w:tblCellMar>
        </w:tblPrEx>
        <w:trPr>
          <w:trHeight w:val="491" w:hRule="exact"/>
          <w:jc w:val="center"/>
        </w:trPr>
        <w:tc>
          <w:tcPr>
            <w:tcW w:w="1119" w:type="pct"/>
            <w:vMerge w:val="restart"/>
            <w:tcBorders>
              <w:top w:val="nil"/>
              <w:left w:val="nil"/>
              <w:bottom w:val="single" w:color="auto" w:sz="4" w:space="0"/>
              <w:right w:val="single" w:color="auto" w:sz="4" w:space="0"/>
            </w:tcBorders>
            <w:shd w:val="clear" w:color="auto" w:fill="auto"/>
            <w:vAlign w:val="center"/>
          </w:tcPr>
          <w:p w14:paraId="481C872B">
            <w:pPr>
              <w:spacing w:line="2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房地产开发经营</w:t>
            </w:r>
          </w:p>
        </w:tc>
        <w:tc>
          <w:tcPr>
            <w:tcW w:w="725" w:type="pct"/>
            <w:tcBorders>
              <w:top w:val="nil"/>
              <w:left w:val="nil"/>
              <w:bottom w:val="nil"/>
              <w:right w:val="single" w:color="auto" w:sz="4" w:space="0"/>
            </w:tcBorders>
            <w:shd w:val="clear" w:color="auto" w:fill="auto"/>
            <w:vAlign w:val="center"/>
          </w:tcPr>
          <w:p w14:paraId="45CCA4E3">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4" w:type="pct"/>
            <w:tcBorders>
              <w:top w:val="nil"/>
              <w:left w:val="nil"/>
              <w:bottom w:val="nil"/>
              <w:right w:val="single" w:color="auto" w:sz="4" w:space="0"/>
            </w:tcBorders>
            <w:shd w:val="clear" w:color="auto" w:fill="auto"/>
            <w:vAlign w:val="center"/>
          </w:tcPr>
          <w:p w14:paraId="57584D3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nil"/>
              <w:right w:val="single" w:color="auto" w:sz="4" w:space="0"/>
            </w:tcBorders>
            <w:shd w:val="clear" w:color="auto" w:fill="auto"/>
            <w:vAlign w:val="center"/>
          </w:tcPr>
          <w:p w14:paraId="22560B06">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Y≥200000</w:t>
            </w:r>
          </w:p>
        </w:tc>
        <w:tc>
          <w:tcPr>
            <w:tcW w:w="903" w:type="pct"/>
            <w:tcBorders>
              <w:top w:val="nil"/>
              <w:left w:val="nil"/>
              <w:bottom w:val="nil"/>
              <w:right w:val="single" w:color="auto" w:sz="4" w:space="0"/>
            </w:tcBorders>
            <w:shd w:val="clear" w:color="auto" w:fill="auto"/>
            <w:vAlign w:val="center"/>
          </w:tcPr>
          <w:p w14:paraId="1CF8A84A">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1000≤Y＜200000</w:t>
            </w:r>
          </w:p>
        </w:tc>
        <w:tc>
          <w:tcPr>
            <w:tcW w:w="755" w:type="pct"/>
            <w:tcBorders>
              <w:top w:val="nil"/>
              <w:left w:val="nil"/>
              <w:bottom w:val="nil"/>
              <w:right w:val="single" w:color="auto" w:sz="4" w:space="0"/>
            </w:tcBorders>
            <w:shd w:val="clear" w:color="auto" w:fill="auto"/>
            <w:vAlign w:val="center"/>
          </w:tcPr>
          <w:p w14:paraId="110E5735">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100≤Y＜1000</w:t>
            </w:r>
          </w:p>
        </w:tc>
        <w:tc>
          <w:tcPr>
            <w:tcW w:w="525" w:type="pct"/>
            <w:tcBorders>
              <w:top w:val="nil"/>
              <w:left w:val="nil"/>
              <w:bottom w:val="nil"/>
              <w:right w:val="nil"/>
            </w:tcBorders>
            <w:shd w:val="clear" w:color="auto" w:fill="auto"/>
            <w:vAlign w:val="center"/>
          </w:tcPr>
          <w:p w14:paraId="775C6027">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30A1D483">
        <w:tblPrEx>
          <w:tblCellMar>
            <w:top w:w="0" w:type="dxa"/>
            <w:left w:w="108" w:type="dxa"/>
            <w:bottom w:w="0" w:type="dxa"/>
            <w:right w:w="108" w:type="dxa"/>
          </w:tblCellMar>
        </w:tblPrEx>
        <w:trPr>
          <w:trHeight w:val="522" w:hRule="exact"/>
          <w:jc w:val="center"/>
        </w:trPr>
        <w:tc>
          <w:tcPr>
            <w:tcW w:w="1119" w:type="pct"/>
            <w:vMerge w:val="continue"/>
            <w:tcBorders>
              <w:top w:val="nil"/>
              <w:left w:val="nil"/>
              <w:bottom w:val="single" w:color="auto" w:sz="4" w:space="0"/>
              <w:right w:val="single" w:color="auto" w:sz="4" w:space="0"/>
            </w:tcBorders>
            <w:vAlign w:val="center"/>
          </w:tcPr>
          <w:p w14:paraId="7318124B">
            <w:pPr>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05C63367">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资产总额(Z)</w:t>
            </w:r>
          </w:p>
        </w:tc>
        <w:tc>
          <w:tcPr>
            <w:tcW w:w="374" w:type="pct"/>
            <w:tcBorders>
              <w:top w:val="nil"/>
              <w:left w:val="nil"/>
              <w:bottom w:val="single" w:color="auto" w:sz="4" w:space="0"/>
              <w:right w:val="single" w:color="auto" w:sz="4" w:space="0"/>
            </w:tcBorders>
            <w:shd w:val="clear" w:color="auto" w:fill="auto"/>
            <w:vAlign w:val="center"/>
          </w:tcPr>
          <w:p w14:paraId="4036377D">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7F8A5B46">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Z≥10000</w:t>
            </w:r>
          </w:p>
        </w:tc>
        <w:tc>
          <w:tcPr>
            <w:tcW w:w="903" w:type="pct"/>
            <w:tcBorders>
              <w:top w:val="nil"/>
              <w:left w:val="nil"/>
              <w:bottom w:val="single" w:color="auto" w:sz="4" w:space="0"/>
              <w:right w:val="single" w:color="auto" w:sz="4" w:space="0"/>
            </w:tcBorders>
            <w:shd w:val="clear" w:color="auto" w:fill="auto"/>
            <w:vAlign w:val="center"/>
          </w:tcPr>
          <w:p w14:paraId="33E1CA9A">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5000≤Z＜10000</w:t>
            </w:r>
          </w:p>
        </w:tc>
        <w:tc>
          <w:tcPr>
            <w:tcW w:w="755" w:type="pct"/>
            <w:tcBorders>
              <w:top w:val="nil"/>
              <w:left w:val="nil"/>
              <w:bottom w:val="single" w:color="auto" w:sz="4" w:space="0"/>
              <w:right w:val="single" w:color="auto" w:sz="4" w:space="0"/>
            </w:tcBorders>
            <w:shd w:val="clear" w:color="auto" w:fill="auto"/>
            <w:vAlign w:val="center"/>
          </w:tcPr>
          <w:p w14:paraId="6E2F9233">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2000≤Z＜5000</w:t>
            </w:r>
          </w:p>
        </w:tc>
        <w:tc>
          <w:tcPr>
            <w:tcW w:w="525" w:type="pct"/>
            <w:tcBorders>
              <w:top w:val="nil"/>
              <w:left w:val="nil"/>
              <w:bottom w:val="single" w:color="auto" w:sz="4" w:space="0"/>
              <w:right w:val="nil"/>
            </w:tcBorders>
            <w:shd w:val="clear" w:color="auto" w:fill="auto"/>
            <w:vAlign w:val="center"/>
          </w:tcPr>
          <w:p w14:paraId="0AA13F77">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Z＜2000</w:t>
            </w:r>
          </w:p>
        </w:tc>
      </w:tr>
      <w:tr w14:paraId="52DD8552">
        <w:tblPrEx>
          <w:tblCellMar>
            <w:top w:w="0" w:type="dxa"/>
            <w:left w:w="108" w:type="dxa"/>
            <w:bottom w:w="0" w:type="dxa"/>
            <w:right w:w="108" w:type="dxa"/>
          </w:tblCellMar>
        </w:tblPrEx>
        <w:trPr>
          <w:trHeight w:val="348" w:hRule="exact"/>
          <w:jc w:val="center"/>
        </w:trPr>
        <w:tc>
          <w:tcPr>
            <w:tcW w:w="1119" w:type="pct"/>
            <w:vMerge w:val="restart"/>
            <w:tcBorders>
              <w:top w:val="nil"/>
              <w:left w:val="nil"/>
              <w:bottom w:val="single" w:color="auto" w:sz="4" w:space="0"/>
              <w:right w:val="single" w:color="auto" w:sz="4" w:space="0"/>
            </w:tcBorders>
            <w:shd w:val="clear" w:color="auto" w:fill="auto"/>
            <w:vAlign w:val="center"/>
          </w:tcPr>
          <w:p w14:paraId="04FE9FA7">
            <w:pPr>
              <w:spacing w:line="2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物业管理</w:t>
            </w:r>
          </w:p>
        </w:tc>
        <w:tc>
          <w:tcPr>
            <w:tcW w:w="725" w:type="pct"/>
            <w:tcBorders>
              <w:top w:val="nil"/>
              <w:left w:val="nil"/>
              <w:bottom w:val="nil"/>
              <w:right w:val="single" w:color="auto" w:sz="4" w:space="0"/>
            </w:tcBorders>
            <w:shd w:val="clear" w:color="auto" w:fill="auto"/>
            <w:vAlign w:val="center"/>
          </w:tcPr>
          <w:p w14:paraId="7630060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4" w:type="pct"/>
            <w:tcBorders>
              <w:top w:val="nil"/>
              <w:left w:val="nil"/>
              <w:bottom w:val="nil"/>
              <w:right w:val="single" w:color="auto" w:sz="4" w:space="0"/>
            </w:tcBorders>
            <w:shd w:val="clear" w:color="auto" w:fill="auto"/>
            <w:vAlign w:val="center"/>
          </w:tcPr>
          <w:p w14:paraId="539C3CA1">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0910EF2D">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X≥1000</w:t>
            </w:r>
          </w:p>
        </w:tc>
        <w:tc>
          <w:tcPr>
            <w:tcW w:w="903" w:type="pct"/>
            <w:tcBorders>
              <w:top w:val="nil"/>
              <w:left w:val="nil"/>
              <w:bottom w:val="nil"/>
              <w:right w:val="single" w:color="auto" w:sz="4" w:space="0"/>
            </w:tcBorders>
            <w:shd w:val="clear" w:color="auto" w:fill="auto"/>
            <w:vAlign w:val="center"/>
          </w:tcPr>
          <w:p w14:paraId="4FC6582E">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300≤X＜1000</w:t>
            </w:r>
          </w:p>
        </w:tc>
        <w:tc>
          <w:tcPr>
            <w:tcW w:w="755" w:type="pct"/>
            <w:tcBorders>
              <w:top w:val="nil"/>
              <w:left w:val="nil"/>
              <w:bottom w:val="nil"/>
              <w:right w:val="single" w:color="auto" w:sz="4" w:space="0"/>
            </w:tcBorders>
            <w:shd w:val="clear" w:color="auto" w:fill="auto"/>
            <w:vAlign w:val="center"/>
          </w:tcPr>
          <w:p w14:paraId="727C2942">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100≤X＜300 </w:t>
            </w:r>
          </w:p>
        </w:tc>
        <w:tc>
          <w:tcPr>
            <w:tcW w:w="525" w:type="pct"/>
            <w:tcBorders>
              <w:top w:val="nil"/>
              <w:left w:val="nil"/>
              <w:bottom w:val="nil"/>
              <w:right w:val="nil"/>
            </w:tcBorders>
            <w:shd w:val="clear" w:color="auto" w:fill="auto"/>
            <w:vAlign w:val="center"/>
          </w:tcPr>
          <w:p w14:paraId="14AE39AC">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X＜100</w:t>
            </w:r>
          </w:p>
        </w:tc>
      </w:tr>
      <w:tr w14:paraId="13B76433">
        <w:tblPrEx>
          <w:tblCellMar>
            <w:top w:w="0" w:type="dxa"/>
            <w:left w:w="108" w:type="dxa"/>
            <w:bottom w:w="0" w:type="dxa"/>
            <w:right w:w="108" w:type="dxa"/>
          </w:tblCellMar>
        </w:tblPrEx>
        <w:trPr>
          <w:trHeight w:val="522" w:hRule="exact"/>
          <w:jc w:val="center"/>
        </w:trPr>
        <w:tc>
          <w:tcPr>
            <w:tcW w:w="1119" w:type="pct"/>
            <w:vMerge w:val="continue"/>
            <w:tcBorders>
              <w:top w:val="nil"/>
              <w:left w:val="nil"/>
              <w:bottom w:val="single" w:color="auto" w:sz="4" w:space="0"/>
              <w:right w:val="single" w:color="auto" w:sz="4" w:space="0"/>
            </w:tcBorders>
            <w:vAlign w:val="center"/>
          </w:tcPr>
          <w:p w14:paraId="1A68BC5E">
            <w:pPr>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16BA7C3E">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4" w:type="pct"/>
            <w:tcBorders>
              <w:top w:val="nil"/>
              <w:left w:val="nil"/>
              <w:bottom w:val="single" w:color="auto" w:sz="4" w:space="0"/>
              <w:right w:val="single" w:color="auto" w:sz="4" w:space="0"/>
            </w:tcBorders>
            <w:shd w:val="clear" w:color="auto" w:fill="auto"/>
            <w:vAlign w:val="center"/>
          </w:tcPr>
          <w:p w14:paraId="51610F99">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799D96ED">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Y≥5000</w:t>
            </w:r>
          </w:p>
        </w:tc>
        <w:tc>
          <w:tcPr>
            <w:tcW w:w="903" w:type="pct"/>
            <w:tcBorders>
              <w:top w:val="nil"/>
              <w:left w:val="nil"/>
              <w:bottom w:val="single" w:color="auto" w:sz="4" w:space="0"/>
              <w:right w:val="single" w:color="auto" w:sz="4" w:space="0"/>
            </w:tcBorders>
            <w:shd w:val="clear" w:color="auto" w:fill="auto"/>
            <w:vAlign w:val="center"/>
          </w:tcPr>
          <w:p w14:paraId="37E7E745">
            <w:pPr>
              <w:ind w:left="19" w:leftChars="-51"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1000≤Y＜5000 </w:t>
            </w:r>
          </w:p>
        </w:tc>
        <w:tc>
          <w:tcPr>
            <w:tcW w:w="755" w:type="pct"/>
            <w:tcBorders>
              <w:top w:val="nil"/>
              <w:left w:val="nil"/>
              <w:bottom w:val="single" w:color="auto" w:sz="4" w:space="0"/>
              <w:right w:val="single" w:color="auto" w:sz="4" w:space="0"/>
            </w:tcBorders>
            <w:shd w:val="clear" w:color="auto" w:fill="auto"/>
            <w:vAlign w:val="center"/>
          </w:tcPr>
          <w:p w14:paraId="4731D9D1">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500≤Y＜1000</w:t>
            </w:r>
          </w:p>
        </w:tc>
        <w:tc>
          <w:tcPr>
            <w:tcW w:w="525" w:type="pct"/>
            <w:tcBorders>
              <w:top w:val="nil"/>
              <w:left w:val="nil"/>
              <w:bottom w:val="single" w:color="auto" w:sz="4" w:space="0"/>
              <w:right w:val="nil"/>
            </w:tcBorders>
            <w:shd w:val="clear" w:color="auto" w:fill="auto"/>
            <w:vAlign w:val="center"/>
          </w:tcPr>
          <w:p w14:paraId="29AC6199">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Y＜500</w:t>
            </w:r>
          </w:p>
        </w:tc>
      </w:tr>
      <w:tr w14:paraId="3BA7E760">
        <w:tblPrEx>
          <w:tblCellMar>
            <w:top w:w="0" w:type="dxa"/>
            <w:left w:w="108" w:type="dxa"/>
            <w:bottom w:w="0" w:type="dxa"/>
            <w:right w:w="108" w:type="dxa"/>
          </w:tblCellMar>
        </w:tblPrEx>
        <w:trPr>
          <w:trHeight w:val="348" w:hRule="exact"/>
          <w:jc w:val="center"/>
        </w:trPr>
        <w:tc>
          <w:tcPr>
            <w:tcW w:w="1119" w:type="pct"/>
            <w:vMerge w:val="restart"/>
            <w:tcBorders>
              <w:top w:val="nil"/>
              <w:left w:val="nil"/>
              <w:bottom w:val="single" w:color="auto" w:sz="4" w:space="0"/>
              <w:right w:val="single" w:color="auto" w:sz="4" w:space="0"/>
            </w:tcBorders>
            <w:shd w:val="clear" w:color="auto" w:fill="auto"/>
            <w:vAlign w:val="center"/>
          </w:tcPr>
          <w:p w14:paraId="27199F9B">
            <w:pPr>
              <w:spacing w:line="2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租赁和商务服务业</w:t>
            </w:r>
          </w:p>
        </w:tc>
        <w:tc>
          <w:tcPr>
            <w:tcW w:w="725" w:type="pct"/>
            <w:tcBorders>
              <w:top w:val="nil"/>
              <w:left w:val="nil"/>
              <w:bottom w:val="nil"/>
              <w:right w:val="single" w:color="auto" w:sz="4" w:space="0"/>
            </w:tcBorders>
            <w:shd w:val="clear" w:color="auto" w:fill="auto"/>
            <w:vAlign w:val="center"/>
          </w:tcPr>
          <w:p w14:paraId="463D482E">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4" w:type="pct"/>
            <w:tcBorders>
              <w:top w:val="nil"/>
              <w:left w:val="nil"/>
              <w:bottom w:val="nil"/>
              <w:right w:val="single" w:color="auto" w:sz="4" w:space="0"/>
            </w:tcBorders>
            <w:shd w:val="clear" w:color="auto" w:fill="auto"/>
            <w:vAlign w:val="center"/>
          </w:tcPr>
          <w:p w14:paraId="1C35B237">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2F820C7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X≥300</w:t>
            </w:r>
          </w:p>
        </w:tc>
        <w:tc>
          <w:tcPr>
            <w:tcW w:w="903" w:type="pct"/>
            <w:tcBorders>
              <w:top w:val="nil"/>
              <w:left w:val="nil"/>
              <w:bottom w:val="nil"/>
              <w:right w:val="single" w:color="auto" w:sz="4" w:space="0"/>
            </w:tcBorders>
            <w:shd w:val="clear" w:color="auto" w:fill="auto"/>
            <w:vAlign w:val="center"/>
          </w:tcPr>
          <w:p w14:paraId="32D65003">
            <w:pPr>
              <w:ind w:left="19" w:leftChars="-51"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100≤X＜300 </w:t>
            </w:r>
          </w:p>
        </w:tc>
        <w:tc>
          <w:tcPr>
            <w:tcW w:w="755" w:type="pct"/>
            <w:tcBorders>
              <w:top w:val="nil"/>
              <w:left w:val="nil"/>
              <w:bottom w:val="nil"/>
              <w:right w:val="single" w:color="auto" w:sz="4" w:space="0"/>
            </w:tcBorders>
            <w:shd w:val="clear" w:color="auto" w:fill="auto"/>
            <w:vAlign w:val="center"/>
          </w:tcPr>
          <w:p w14:paraId="4818E200">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10≤X＜100</w:t>
            </w:r>
          </w:p>
        </w:tc>
        <w:tc>
          <w:tcPr>
            <w:tcW w:w="525" w:type="pct"/>
            <w:tcBorders>
              <w:top w:val="nil"/>
              <w:left w:val="nil"/>
              <w:bottom w:val="nil"/>
              <w:right w:val="nil"/>
            </w:tcBorders>
            <w:shd w:val="clear" w:color="auto" w:fill="auto"/>
            <w:vAlign w:val="center"/>
          </w:tcPr>
          <w:p w14:paraId="643E3680">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r w14:paraId="3B226B3D">
        <w:tblPrEx>
          <w:tblCellMar>
            <w:top w:w="0" w:type="dxa"/>
            <w:left w:w="108" w:type="dxa"/>
            <w:bottom w:w="0" w:type="dxa"/>
            <w:right w:w="108" w:type="dxa"/>
          </w:tblCellMar>
        </w:tblPrEx>
        <w:trPr>
          <w:trHeight w:val="509" w:hRule="exact"/>
          <w:jc w:val="center"/>
        </w:trPr>
        <w:tc>
          <w:tcPr>
            <w:tcW w:w="1119" w:type="pct"/>
            <w:vMerge w:val="continue"/>
            <w:tcBorders>
              <w:top w:val="nil"/>
              <w:left w:val="nil"/>
              <w:bottom w:val="single" w:color="auto" w:sz="4" w:space="0"/>
              <w:right w:val="single" w:color="auto" w:sz="4" w:space="0"/>
            </w:tcBorders>
            <w:vAlign w:val="center"/>
          </w:tcPr>
          <w:p w14:paraId="52835203">
            <w:pPr>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21344161">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资产总额(Z)</w:t>
            </w:r>
          </w:p>
        </w:tc>
        <w:tc>
          <w:tcPr>
            <w:tcW w:w="374" w:type="pct"/>
            <w:tcBorders>
              <w:top w:val="nil"/>
              <w:left w:val="nil"/>
              <w:bottom w:val="single" w:color="auto" w:sz="4" w:space="0"/>
              <w:right w:val="single" w:color="auto" w:sz="4" w:space="0"/>
            </w:tcBorders>
            <w:shd w:val="clear" w:color="auto" w:fill="auto"/>
            <w:vAlign w:val="center"/>
          </w:tcPr>
          <w:p w14:paraId="175AB979">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6297D50E">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Z≥120000</w:t>
            </w:r>
          </w:p>
        </w:tc>
        <w:tc>
          <w:tcPr>
            <w:tcW w:w="903" w:type="pct"/>
            <w:tcBorders>
              <w:top w:val="nil"/>
              <w:left w:val="nil"/>
              <w:bottom w:val="single" w:color="auto" w:sz="4" w:space="0"/>
              <w:right w:val="single" w:color="auto" w:sz="4" w:space="0"/>
            </w:tcBorders>
            <w:shd w:val="clear" w:color="auto" w:fill="auto"/>
            <w:vAlign w:val="center"/>
          </w:tcPr>
          <w:p w14:paraId="3A78E3EC">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8000≤Z＜120000</w:t>
            </w:r>
          </w:p>
        </w:tc>
        <w:tc>
          <w:tcPr>
            <w:tcW w:w="755" w:type="pct"/>
            <w:tcBorders>
              <w:top w:val="nil"/>
              <w:left w:val="nil"/>
              <w:bottom w:val="single" w:color="auto" w:sz="4" w:space="0"/>
              <w:right w:val="single" w:color="auto" w:sz="4" w:space="0"/>
            </w:tcBorders>
            <w:shd w:val="clear" w:color="auto" w:fill="auto"/>
            <w:vAlign w:val="center"/>
          </w:tcPr>
          <w:p w14:paraId="2B6A7140">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100≤Z＜8000</w:t>
            </w:r>
          </w:p>
        </w:tc>
        <w:tc>
          <w:tcPr>
            <w:tcW w:w="525" w:type="pct"/>
            <w:tcBorders>
              <w:top w:val="nil"/>
              <w:left w:val="nil"/>
              <w:bottom w:val="single" w:color="auto" w:sz="4" w:space="0"/>
              <w:right w:val="nil"/>
            </w:tcBorders>
            <w:shd w:val="clear" w:color="auto" w:fill="auto"/>
            <w:vAlign w:val="center"/>
          </w:tcPr>
          <w:p w14:paraId="47A34667">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Z＜100</w:t>
            </w:r>
          </w:p>
        </w:tc>
      </w:tr>
      <w:tr w14:paraId="2C1E9CB7">
        <w:tblPrEx>
          <w:tblCellMar>
            <w:top w:w="0" w:type="dxa"/>
            <w:left w:w="108" w:type="dxa"/>
            <w:bottom w:w="0" w:type="dxa"/>
            <w:right w:w="108" w:type="dxa"/>
          </w:tblCellMar>
        </w:tblPrEx>
        <w:trPr>
          <w:trHeight w:val="738" w:hRule="exact"/>
          <w:jc w:val="center"/>
        </w:trPr>
        <w:tc>
          <w:tcPr>
            <w:tcW w:w="1119" w:type="pct"/>
            <w:tcBorders>
              <w:top w:val="nil"/>
              <w:left w:val="nil"/>
              <w:bottom w:val="single" w:color="auto" w:sz="4" w:space="0"/>
              <w:right w:val="single" w:color="auto" w:sz="4" w:space="0"/>
            </w:tcBorders>
            <w:shd w:val="clear" w:color="auto" w:fill="auto"/>
            <w:vAlign w:val="center"/>
          </w:tcPr>
          <w:p w14:paraId="5684BF98">
            <w:pPr>
              <w:spacing w:line="2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其他未列明行业 *</w:t>
            </w:r>
          </w:p>
        </w:tc>
        <w:tc>
          <w:tcPr>
            <w:tcW w:w="725" w:type="pct"/>
            <w:tcBorders>
              <w:top w:val="nil"/>
              <w:left w:val="nil"/>
              <w:bottom w:val="single" w:color="auto" w:sz="4" w:space="0"/>
              <w:right w:val="single" w:color="auto" w:sz="4" w:space="0"/>
            </w:tcBorders>
            <w:shd w:val="clear" w:color="auto" w:fill="auto"/>
            <w:vAlign w:val="center"/>
          </w:tcPr>
          <w:p w14:paraId="2BE19690">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4" w:type="pct"/>
            <w:tcBorders>
              <w:top w:val="nil"/>
              <w:left w:val="nil"/>
              <w:bottom w:val="single" w:color="auto" w:sz="4" w:space="0"/>
              <w:right w:val="single" w:color="auto" w:sz="4" w:space="0"/>
            </w:tcBorders>
            <w:shd w:val="clear" w:color="auto" w:fill="auto"/>
            <w:vAlign w:val="center"/>
          </w:tcPr>
          <w:p w14:paraId="27854EA0">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single" w:color="auto" w:sz="4" w:space="0"/>
              <w:right w:val="single" w:color="auto" w:sz="4" w:space="0"/>
            </w:tcBorders>
            <w:shd w:val="clear" w:color="auto" w:fill="auto"/>
            <w:vAlign w:val="center"/>
          </w:tcPr>
          <w:p w14:paraId="3D5F8631">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X≥300</w:t>
            </w:r>
          </w:p>
        </w:tc>
        <w:tc>
          <w:tcPr>
            <w:tcW w:w="903" w:type="pct"/>
            <w:tcBorders>
              <w:top w:val="nil"/>
              <w:left w:val="nil"/>
              <w:bottom w:val="single" w:color="auto" w:sz="4" w:space="0"/>
              <w:right w:val="single" w:color="auto" w:sz="4" w:space="0"/>
            </w:tcBorders>
            <w:shd w:val="clear" w:color="auto" w:fill="auto"/>
            <w:vAlign w:val="center"/>
          </w:tcPr>
          <w:p w14:paraId="0C1E1D9E">
            <w:pPr>
              <w:ind w:left="19" w:leftChars="-51"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100≤X＜300 </w:t>
            </w:r>
          </w:p>
        </w:tc>
        <w:tc>
          <w:tcPr>
            <w:tcW w:w="755" w:type="pct"/>
            <w:tcBorders>
              <w:top w:val="nil"/>
              <w:left w:val="nil"/>
              <w:bottom w:val="single" w:color="auto" w:sz="4" w:space="0"/>
              <w:right w:val="single" w:color="auto" w:sz="4" w:space="0"/>
            </w:tcBorders>
            <w:shd w:val="clear" w:color="auto" w:fill="auto"/>
            <w:vAlign w:val="center"/>
          </w:tcPr>
          <w:p w14:paraId="6BCAF469">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10≤X＜100</w:t>
            </w:r>
          </w:p>
        </w:tc>
        <w:tc>
          <w:tcPr>
            <w:tcW w:w="525" w:type="pct"/>
            <w:tcBorders>
              <w:top w:val="nil"/>
              <w:left w:val="nil"/>
              <w:bottom w:val="single" w:color="auto" w:sz="4" w:space="0"/>
              <w:right w:val="nil"/>
            </w:tcBorders>
            <w:shd w:val="clear" w:color="auto" w:fill="auto"/>
            <w:vAlign w:val="center"/>
          </w:tcPr>
          <w:p w14:paraId="10286CB3">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bl>
    <w:p w14:paraId="3EA04559">
      <w:pPr>
        <w:spacing w:line="2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说明：</w:t>
      </w:r>
    </w:p>
    <w:p w14:paraId="1466E79E">
      <w:pPr>
        <w:spacing w:line="24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1.大型、中型和小型企业须同时满足所列指标的下限，否则下划一档；微型企业只须满足所列指标中的一项即可。</w:t>
      </w:r>
    </w:p>
    <w:p w14:paraId="40C76877">
      <w:pPr>
        <w:spacing w:line="24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0F33104E">
      <w:pPr>
        <w:spacing w:line="24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0FCBB8AC">
      <w:pPr>
        <w:spacing w:line="240" w:lineRule="exact"/>
        <w:ind w:firstLine="360" w:firstLineChars="200"/>
        <w:rPr>
          <w:rFonts w:hint="eastAsia" w:ascii="宋体" w:hAnsi="宋体" w:cs="宋体"/>
          <w:color w:val="000000"/>
          <w:sz w:val="18"/>
          <w:szCs w:val="18"/>
          <w:lang w:val="en-US" w:eastAsia="zh-CN"/>
        </w:rPr>
      </w:pPr>
    </w:p>
    <w:p w14:paraId="3EC967E5">
      <w:pPr>
        <w:spacing w:after="60" w:line="360" w:lineRule="exact"/>
        <w:jc w:val="center"/>
        <w:outlineLvl w:val="9"/>
        <w:rPr>
          <w:rFonts w:hint="eastAsia"/>
          <w:b/>
          <w:color w:val="auto"/>
        </w:rPr>
      </w:pPr>
      <w:r>
        <w:rPr>
          <w:rFonts w:hint="eastAsia"/>
          <w:b/>
          <w:color w:val="auto"/>
          <w:lang w:val="en-US" w:eastAsia="zh-CN"/>
        </w:rPr>
        <w:t>4、国务院办公厅关于在政府采购中实施本国产品标准及相关政策的通知</w:t>
      </w:r>
    </w:p>
    <w:p w14:paraId="3E25EC72">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jc w:val="right"/>
        <w:rPr>
          <w:rFonts w:hint="eastAsia" w:ascii="宋体" w:hAnsi="宋体" w:eastAsia="宋体" w:cs="宋体"/>
          <w:i w:val="0"/>
          <w:iCs w:val="0"/>
          <w:caps w:val="0"/>
          <w:color w:val="333333"/>
          <w:spacing w:val="0"/>
          <w:sz w:val="21"/>
          <w:szCs w:val="21"/>
          <w:shd w:val="clear" w:color="auto" w:fill="FFFFFF"/>
        </w:rPr>
      </w:pPr>
      <w:r>
        <w:rPr>
          <w:rFonts w:ascii="楷体_GB2312" w:hAnsi="楷体_GB2312" w:eastAsia="楷体_GB2312" w:cs="楷体_GB2312"/>
          <w:i w:val="0"/>
          <w:iCs w:val="0"/>
          <w:caps w:val="0"/>
          <w:color w:val="333333"/>
          <w:spacing w:val="0"/>
          <w:sz w:val="21"/>
          <w:szCs w:val="21"/>
          <w:shd w:val="clear" w:color="auto" w:fill="FFFFFF"/>
        </w:rPr>
        <w:t>国办发〔2025〕34号</w:t>
      </w:r>
      <w:r>
        <w:rPr>
          <w:rFonts w:hint="eastAsia" w:ascii="宋体" w:hAnsi="宋体" w:eastAsia="宋体" w:cs="宋体"/>
          <w:i w:val="0"/>
          <w:iCs w:val="0"/>
          <w:caps w:val="0"/>
          <w:color w:val="333333"/>
          <w:spacing w:val="0"/>
          <w:sz w:val="21"/>
          <w:szCs w:val="21"/>
          <w:shd w:val="clear" w:color="auto" w:fill="FFFFFF"/>
        </w:rPr>
        <w:t>  </w:t>
      </w:r>
    </w:p>
    <w:p w14:paraId="3BB0CA91">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各省、自治区、直辖市人民政府，国务院各部委、各直属机构：</w:t>
      </w:r>
    </w:p>
    <w:p w14:paraId="7F1D2014">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为构建统一开放、竞争有序的政府采购市场体系，完善政府采购制度，保障各类经营主体平等参与政府采购活动，根据《中华人民共和国政府采购法》、《中华人民共和国外商投资法》等有关法律法规规定，经国务院同意，现就在政府采购中实施本国产品标准及相关政策通知如下：</w:t>
      </w:r>
    </w:p>
    <w:p w14:paraId="3CA2FEEB">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Style w:val="20"/>
          <w:rFonts w:hint="eastAsia" w:ascii="宋体" w:hAnsi="宋体" w:eastAsia="宋体" w:cs="宋体"/>
          <w:i w:val="0"/>
          <w:iCs w:val="0"/>
          <w:caps w:val="0"/>
          <w:color w:val="333333"/>
          <w:spacing w:val="0"/>
          <w:sz w:val="21"/>
          <w:szCs w:val="21"/>
          <w:shd w:val="clear" w:color="auto" w:fill="FFFFFF"/>
        </w:rPr>
        <w:t>一、本国产品标准</w:t>
      </w:r>
    </w:p>
    <w:p w14:paraId="6B24DDCD">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本国产品应当符合以下条件：</w:t>
      </w:r>
    </w:p>
    <w:p w14:paraId="684E35BB">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（一）在中国境内生产</w:t>
      </w:r>
    </w:p>
    <w:p w14:paraId="40A5B9F1">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产品应当在中国境内生产，即在中华人民共和国关境内实现从原材料、组件到产品的属性改变。</w:t>
      </w:r>
    </w:p>
    <w:p w14:paraId="5985CB95">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属性改变是指经过制造、加工或者组装等工序，产生完全不同于原材料、组件的新产品，并具有新的名称和特征（用途）。属性改变不包括以下细微操作：</w:t>
      </w:r>
    </w:p>
    <w:p w14:paraId="03209A51">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1.为确保产品在运输或者储存期间保持某种状态而进行的操作；</w:t>
      </w:r>
    </w:p>
    <w:p w14:paraId="7CFFD646">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2.为产品运输或者销售进行的包装或者展示；</w:t>
      </w:r>
    </w:p>
    <w:p w14:paraId="0A005A45">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3.在产品或者其包装上粘贴或者印刷品牌、标志、标识以及其他用于区别的标记；</w:t>
      </w:r>
    </w:p>
    <w:p w14:paraId="4A46BF8C">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4.简单的上漆、磨光和分装；</w:t>
      </w:r>
    </w:p>
    <w:p w14:paraId="652308A6">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5.其他不属于属性改变的情形。</w:t>
      </w:r>
    </w:p>
    <w:p w14:paraId="134F82B4">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（二）在中国境内生产的组件成本占比达到规定比例</w:t>
      </w:r>
    </w:p>
    <w:p w14:paraId="384934F1">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产品在中国境内生产的组件成本占比应当达到规定比例，计算公式为：</w:t>
      </w:r>
    </w:p>
    <w:p w14:paraId="72478BE9">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drawing>
          <wp:inline distT="0" distB="0" distL="114300" distR="114300">
            <wp:extent cx="2733675" cy="390525"/>
            <wp:effectExtent l="0" t="0" r="9525" b="9525"/>
            <wp:docPr id="6" name="图片 1"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IMG_259"/>
                    <pic:cNvPicPr>
                      <a:picLocks noChangeAspect="1"/>
                    </pic:cNvPicPr>
                  </pic:nvPicPr>
                  <pic:blipFill>
                    <a:blip r:embed="rId7"/>
                    <a:stretch>
                      <a:fillRect/>
                    </a:stretch>
                  </pic:blipFill>
                  <pic:spPr>
                    <a:xfrm>
                      <a:off x="0" y="0"/>
                      <a:ext cx="2733675" cy="390525"/>
                    </a:xfrm>
                    <a:prstGeom prst="rect">
                      <a:avLst/>
                    </a:prstGeom>
                    <a:noFill/>
                    <a:ln>
                      <a:noFill/>
                    </a:ln>
                  </pic:spPr>
                </pic:pic>
              </a:graphicData>
            </a:graphic>
          </wp:inline>
        </w:drawing>
      </w:r>
    </w:p>
    <w:p w14:paraId="5C287447">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2DF20A4C">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（三）特定产品的关键组件、关键工序符合相关要求</w:t>
      </w:r>
    </w:p>
    <w:p w14:paraId="214A73D4">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对特定产品，在符合本通知第一条第（一）项和第（二）项条件的基础上，应当符合财政部会同有关行业主管部门确定的其关键组件、关键工序在中国境内生产、完成等要求。</w:t>
      </w:r>
    </w:p>
    <w:p w14:paraId="5443CCE2">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63B8CF26">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Style w:val="20"/>
          <w:rFonts w:hint="eastAsia" w:ascii="宋体" w:hAnsi="宋体" w:eastAsia="宋体" w:cs="宋体"/>
          <w:i w:val="0"/>
          <w:iCs w:val="0"/>
          <w:caps w:val="0"/>
          <w:color w:val="333333"/>
          <w:spacing w:val="0"/>
          <w:sz w:val="21"/>
          <w:szCs w:val="21"/>
          <w:shd w:val="clear" w:color="auto" w:fill="FFFFFF"/>
        </w:rPr>
        <w:t>二、本国产品标准的适用范围</w:t>
      </w:r>
    </w:p>
    <w:p w14:paraId="6B400CAD">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b/>
          <w:bCs/>
          <w:i w:val="0"/>
          <w:iCs w:val="0"/>
          <w:caps w:val="0"/>
          <w:color w:val="FF0000"/>
          <w:spacing w:val="0"/>
          <w:sz w:val="21"/>
          <w:szCs w:val="21"/>
          <w:shd w:val="clear" w:color="auto" w:fill="FFFFFF"/>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2878E44F">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Style w:val="20"/>
          <w:rFonts w:hint="eastAsia" w:ascii="宋体" w:hAnsi="宋体" w:eastAsia="宋体" w:cs="宋体"/>
          <w:i w:val="0"/>
          <w:iCs w:val="0"/>
          <w:caps w:val="0"/>
          <w:color w:val="333333"/>
          <w:spacing w:val="0"/>
          <w:sz w:val="21"/>
          <w:szCs w:val="21"/>
          <w:shd w:val="clear" w:color="auto" w:fill="FFFFFF"/>
        </w:rPr>
        <w:t>三、对本国产品的支持政策</w:t>
      </w:r>
    </w:p>
    <w:p w14:paraId="67DB716A">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政府采购活动中既有本国产品又有非本国产品参与竞争的，依法对本国产品给予价格评审优惠，对本国产品的报价给予20%的价格扣除，用扣除后的价格参与评审。</w:t>
      </w:r>
    </w:p>
    <w:p w14:paraId="63DAEFE3">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1E44DC2A">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Style w:val="20"/>
          <w:rFonts w:hint="eastAsia" w:ascii="宋体" w:hAnsi="宋体" w:eastAsia="宋体" w:cs="宋体"/>
          <w:i w:val="0"/>
          <w:iCs w:val="0"/>
          <w:caps w:val="0"/>
          <w:color w:val="333333"/>
          <w:spacing w:val="0"/>
          <w:sz w:val="21"/>
          <w:szCs w:val="21"/>
          <w:shd w:val="clear" w:color="auto" w:fill="FFFFFF"/>
        </w:rPr>
        <w:t>四、政策执行要求</w:t>
      </w:r>
    </w:p>
    <w:p w14:paraId="52C9A4E5">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（一）产品在中国境内生产的组件成本核算规则。产品在中国境内生产的组件成本，按照《中国境内生产的组件成本核算基本规则》（见附件1）计算。</w:t>
      </w:r>
    </w:p>
    <w:p w14:paraId="17EE0717">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二）有关证明文件。采购人、采购代理机构应当在采购文件中明确要求供应商对其提供的产品出具《关于符合本国产品标准的声明函》（样式见附件2，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2EE1FC8E">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采购人、采购代理机构应当随中标、成交结果同时公告中标、成交供应商提供的《声明函》或有关证明文件。</w:t>
      </w:r>
    </w:p>
    <w:p w14:paraId="75ADC649">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三）平等对待各类经营主体。国有企业、民营企业、外资企业等各类经营主体平等享受对本国产品的政府采购支持政策。采购人、采购代理机构在政府采购信息发布、供应商资格条件确定和资格审查、评审标准等方面，要对各类经营主体一视同仁、平等对待，切实保障各类经营主体公平竞争。各地区、各部门要加强统筹协调，不得出台违反本通知规定的政策措施，在政府采购活动中不得指定品牌或者限制品牌注册地、所有者，不得以所有制形式、组织形式、股权结构、投资者国别以及其他不合理条件对供应商实行差别待遇或者歧视待遇。</w:t>
      </w:r>
    </w:p>
    <w:p w14:paraId="6C933CDC">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（四）中华人民共和国缔结或者共同参加的国际条约、协定对政府采购中本国产品政策另有规定的，按照有关条约、协定执行。</w:t>
      </w:r>
    </w:p>
    <w:p w14:paraId="79ACD18B">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Style w:val="20"/>
          <w:rFonts w:hint="eastAsia" w:ascii="宋体" w:hAnsi="宋体" w:eastAsia="宋体" w:cs="宋体"/>
          <w:i w:val="0"/>
          <w:iCs w:val="0"/>
          <w:caps w:val="0"/>
          <w:color w:val="333333"/>
          <w:spacing w:val="0"/>
          <w:sz w:val="21"/>
          <w:szCs w:val="21"/>
          <w:shd w:val="clear" w:color="auto" w:fill="FFFFFF"/>
        </w:rPr>
        <w:t>五、争议处理</w:t>
      </w:r>
    </w:p>
    <w:p w14:paraId="1564B6D1">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财政部门在政府采购投诉处理、监督检查中，对涉及本国产品标准争议事项的处理，按照政府采购相关法律法规规定等执行，必要时由有关部门或者专业机构对相关事项予以核实。各有关部门、专业机构及其工作人员对政府采购投诉处理、监督检查中知悉的商业秘密负有保密义务。</w:t>
      </w:r>
    </w:p>
    <w:p w14:paraId="28DA9C92">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（一）政府采购投诉处理、监督检查中，对产品或组件是否在中国境内生产存在争议的，按照以下原则处理：</w:t>
      </w:r>
    </w:p>
    <w:p w14:paraId="5DBA5586">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1.对于组装类产品或组件，相关供应商及制造商应当提供产品或组件的采购合同，进货记录，制造、加工、组装记录以及其他证明材料。上述证明材料能够证明产品或组件在中国境内生产的，相关产品或组件即可视为在中国境内生产。</w:t>
      </w:r>
    </w:p>
    <w:p w14:paraId="0DFE654C">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2.对于由原材料直接制造、加工形成的产品或组件，如钢材、陶瓷制品、玻璃等，相关供应商及制造商应当提供产品或组件包装上依法标注的生产厂址等信息。生产厂址位于中华人民共和国关境内的，相关产品或组件即可视为在中国境内生产。</w:t>
      </w:r>
    </w:p>
    <w:p w14:paraId="354ADFC8">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二）政府采购投诉处理、监督检查中，对产品在中国境内生产的组件成本占比、采购项目或采购包中本国产品成本占比是否达到规定比例存在争议的，相关供应商及制造商应当提供组件或产品的会计核算数据、采购合同、进货记录等，财政部门按照中国境内生产的组件成本核算相关规则予以认定。</w:t>
      </w:r>
    </w:p>
    <w:p w14:paraId="56864A40">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三）政府采购投诉处理、监督检查中，对特定产品的关键组件是否在中国境内生产存在争议的，按照本通知第五条第（一）项规定的原则处理；对特定产品的关键工序是否在中国境内完成存在争议的，相关供应商及制造商应当提供关键工序在中国境内完成的记录等材料予以证明。</w:t>
      </w:r>
    </w:p>
    <w:p w14:paraId="095146FE">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1A9EC3ED">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本通知自2026年1月1日起施行。</w:t>
      </w:r>
    </w:p>
    <w:p w14:paraId="31B13A37">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附件：1.中国境内生产的组件成本核算基本规则</w:t>
      </w:r>
    </w:p>
    <w:p w14:paraId="2CA3B27D">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　　　2.关于符合本国产品标准的声明函</w:t>
      </w:r>
    </w:p>
    <w:p w14:paraId="0251C6F9">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jc w:val="right"/>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lang w:val="en-US" w:eastAsia="zh-CN"/>
        </w:rPr>
        <w:t xml:space="preserve">     </w:t>
      </w:r>
      <w:r>
        <w:rPr>
          <w:rFonts w:hint="eastAsia" w:ascii="宋体" w:hAnsi="宋体" w:eastAsia="宋体" w:cs="宋体"/>
          <w:i w:val="0"/>
          <w:iCs w:val="0"/>
          <w:caps w:val="0"/>
          <w:color w:val="333333"/>
          <w:spacing w:val="0"/>
          <w:sz w:val="21"/>
          <w:szCs w:val="21"/>
          <w:shd w:val="clear" w:color="auto" w:fill="FFFFFF"/>
        </w:rPr>
        <w:t>国务院办公厅         </w:t>
      </w:r>
    </w:p>
    <w:p w14:paraId="6815239E">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jc w:val="center"/>
        <w:rPr>
          <w:rFonts w:hint="eastAsia" w:ascii="宋体" w:hAnsi="宋体" w:eastAsia="宋体" w:cs="宋体"/>
        </w:rPr>
      </w:pPr>
      <w:r>
        <w:rPr>
          <w:rFonts w:hint="eastAsia" w:ascii="宋体" w:hAnsi="宋体" w:eastAsia="宋体" w:cs="宋体"/>
          <w:i w:val="0"/>
          <w:iCs w:val="0"/>
          <w:caps w:val="0"/>
          <w:color w:val="333333"/>
          <w:spacing w:val="0"/>
          <w:sz w:val="21"/>
          <w:szCs w:val="21"/>
          <w:shd w:val="clear" w:color="auto" w:fill="FFFFFF"/>
          <w:lang w:val="en-US" w:eastAsia="zh-CN"/>
        </w:rPr>
        <w:t xml:space="preserve">                                                               </w:t>
      </w:r>
      <w:r>
        <w:rPr>
          <w:rFonts w:hint="eastAsia" w:ascii="宋体" w:hAnsi="宋体" w:eastAsia="宋体" w:cs="宋体"/>
          <w:i w:val="0"/>
          <w:iCs w:val="0"/>
          <w:caps w:val="0"/>
          <w:color w:val="333333"/>
          <w:spacing w:val="0"/>
          <w:sz w:val="21"/>
          <w:szCs w:val="21"/>
          <w:shd w:val="clear" w:color="auto" w:fill="FFFFFF"/>
        </w:rPr>
        <w:t>2025年9月28日  </w:t>
      </w:r>
      <w:r>
        <w:rPr>
          <w:rFonts w:hint="eastAsia" w:ascii="宋体" w:hAnsi="宋体" w:eastAsia="宋体" w:cs="宋体"/>
          <w:i w:val="0"/>
          <w:iCs w:val="0"/>
          <w:caps w:val="0"/>
          <w:color w:val="333333"/>
          <w:spacing w:val="0"/>
          <w:sz w:val="24"/>
          <w:szCs w:val="24"/>
          <w:shd w:val="clear" w:color="auto" w:fill="FFFFFF"/>
        </w:rPr>
        <w:t>  </w:t>
      </w:r>
    </w:p>
    <w:p w14:paraId="67A3F2CC">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rPr>
      </w:pPr>
    </w:p>
    <w:p w14:paraId="09B693C0">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right="0"/>
      </w:pPr>
    </w:p>
    <w:p w14:paraId="0FB82014">
      <w:r>
        <w:rPr>
          <w:rFonts w:hint="eastAsia" w:ascii="宋体" w:hAnsi="宋体" w:eastAsia="宋体"/>
          <w:b/>
          <w:bCs/>
          <w:szCs w:val="21"/>
        </w:rPr>
        <w:t>附件</w:t>
      </w:r>
      <w:r>
        <w:rPr>
          <w:rFonts w:hint="eastAsia" w:ascii="宋体" w:hAnsi="宋体" w:eastAsia="宋体"/>
          <w:b/>
          <w:bCs/>
          <w:szCs w:val="21"/>
          <w:lang w:val="en-US" w:eastAsia="zh-CN"/>
        </w:rPr>
        <w:t>1.</w:t>
      </w:r>
      <w:r>
        <w:rPr>
          <w:rFonts w:hint="eastAsia" w:ascii="宋体" w:hAnsi="宋体" w:eastAsia="宋体"/>
          <w:b/>
          <w:bCs/>
          <w:szCs w:val="21"/>
        </w:rPr>
        <w:t>中国境内生产的组件成本核算基本规则</w:t>
      </w:r>
    </w:p>
    <w:p w14:paraId="0C9EC6B2">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43399953">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一、产品的一级组件是指直接组成产品的组件。产品的二级组件是指直接组成产品一级组件的组件。一级组件不可分解的，视同二级组件。</w:t>
      </w:r>
    </w:p>
    <w:p w14:paraId="0580C42A">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二、二级组件在中国境内生产的，其全部成本计入中国境内生产的组件成本；二级组件不在中国境内生产的，其成本不计入中国境内生产的组件成本。</w:t>
      </w:r>
    </w:p>
    <w:p w14:paraId="2C1924E9">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三、产品总成本和组件成本以相关会计核算数据、采购合同、进货记录等为基础进行计算。</w:t>
      </w:r>
    </w:p>
    <w:p w14:paraId="2D2FB640">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四、需要对成本核算规则予以进一步明确的其他有关事项，由财政部会同有关部门另行规定。</w:t>
      </w:r>
    </w:p>
    <w:p w14:paraId="0189DB91">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p>
    <w:p w14:paraId="35759AA0">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p>
    <w:p w14:paraId="14AE681F">
      <w:r>
        <w:rPr>
          <w:rFonts w:hint="eastAsia" w:ascii="宋体" w:hAnsi="宋体" w:eastAsia="宋体"/>
          <w:b/>
          <w:bCs/>
          <w:szCs w:val="21"/>
        </w:rPr>
        <w:t>附件</w:t>
      </w:r>
      <w:r>
        <w:rPr>
          <w:rFonts w:hint="eastAsia" w:ascii="宋体" w:hAnsi="宋体" w:eastAsia="宋体"/>
          <w:b/>
          <w:bCs/>
          <w:szCs w:val="21"/>
          <w:lang w:val="en-US" w:eastAsia="zh-CN"/>
        </w:rPr>
        <w:t>2.</w:t>
      </w:r>
      <w:r>
        <w:rPr>
          <w:rFonts w:hint="eastAsia" w:ascii="宋体" w:hAnsi="宋体" w:eastAsia="宋体"/>
          <w:b/>
          <w:bCs/>
          <w:szCs w:val="21"/>
        </w:rPr>
        <w:t>关于符合本国产品标准的声明函</w:t>
      </w:r>
      <w:r>
        <w:rPr>
          <w:rFonts w:hint="eastAsia" w:ascii="宋体" w:hAnsi="宋体" w:eastAsia="宋体"/>
          <w:b/>
          <w:bCs/>
          <w:szCs w:val="21"/>
          <w:lang w:eastAsia="zh-CN"/>
        </w:rPr>
        <w:t>（</w:t>
      </w:r>
      <w:r>
        <w:rPr>
          <w:rFonts w:hint="eastAsia" w:ascii="宋体" w:hAnsi="宋体" w:eastAsia="宋体"/>
          <w:b/>
          <w:bCs/>
          <w:szCs w:val="21"/>
          <w:lang w:val="en-US" w:eastAsia="zh-CN"/>
        </w:rPr>
        <w:t>请供应商根据实际情况填写此函</w:t>
      </w:r>
      <w:r>
        <w:rPr>
          <w:rFonts w:hint="eastAsia" w:ascii="宋体" w:hAnsi="宋体" w:eastAsia="宋体"/>
          <w:b/>
          <w:bCs/>
          <w:szCs w:val="21"/>
          <w:lang w:eastAsia="zh-CN"/>
        </w:rPr>
        <w:t>）</w:t>
      </w:r>
    </w:p>
    <w:p w14:paraId="6A7AA6A4">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09CDCD7D">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1.</w:t>
      </w:r>
      <w:r>
        <w:rPr>
          <w:rStyle w:val="22"/>
          <w:rFonts w:hint="eastAsia" w:ascii="宋体" w:hAnsi="宋体" w:eastAsia="宋体" w:cs="宋体"/>
          <w:i w:val="0"/>
          <w:iCs w:val="0"/>
          <w:caps w:val="0"/>
          <w:color w:val="333333"/>
          <w:spacing w:val="0"/>
          <w:sz w:val="21"/>
          <w:szCs w:val="21"/>
          <w:shd w:val="clear" w:color="auto" w:fill="FFFFFF"/>
        </w:rPr>
        <w:t>（产品名称1）</w:t>
      </w:r>
      <w:r>
        <w:rPr>
          <w:rStyle w:val="22"/>
          <w:rFonts w:hint="eastAsia" w:ascii="宋体" w:hAnsi="宋体" w:eastAsia="宋体" w:cs="宋体"/>
          <w:i w:val="0"/>
          <w:iCs w:val="0"/>
          <w:caps w:val="0"/>
          <w:color w:val="333333"/>
          <w:spacing w:val="0"/>
          <w:sz w:val="21"/>
          <w:szCs w:val="21"/>
          <w:shd w:val="clear" w:color="auto" w:fill="FFFFFF"/>
          <w:vertAlign w:val="superscript"/>
        </w:rPr>
        <w:t>1</w:t>
      </w:r>
      <w:r>
        <w:rPr>
          <w:rFonts w:hint="eastAsia" w:ascii="宋体" w:hAnsi="宋体" w:eastAsia="宋体" w:cs="宋体"/>
          <w:i w:val="0"/>
          <w:iCs w:val="0"/>
          <w:caps w:val="0"/>
          <w:color w:val="333333"/>
          <w:spacing w:val="0"/>
          <w:sz w:val="21"/>
          <w:szCs w:val="21"/>
          <w:shd w:val="clear" w:color="auto" w:fill="FFFFFF"/>
        </w:rPr>
        <w:t>，生产厂为</w:t>
      </w:r>
      <w:r>
        <w:rPr>
          <w:rStyle w:val="22"/>
          <w:rFonts w:hint="eastAsia" w:ascii="宋体" w:hAnsi="宋体" w:eastAsia="宋体" w:cs="宋体"/>
          <w:i w:val="0"/>
          <w:iCs w:val="0"/>
          <w:caps w:val="0"/>
          <w:color w:val="333333"/>
          <w:spacing w:val="0"/>
          <w:sz w:val="21"/>
          <w:szCs w:val="21"/>
          <w:shd w:val="clear" w:color="auto" w:fill="FFFFFF"/>
        </w:rPr>
        <w:t>（厂名）</w:t>
      </w:r>
      <w:r>
        <w:rPr>
          <w:rStyle w:val="22"/>
          <w:rFonts w:hint="eastAsia" w:ascii="宋体" w:hAnsi="宋体" w:eastAsia="宋体" w:cs="宋体"/>
          <w:i w:val="0"/>
          <w:iCs w:val="0"/>
          <w:caps w:val="0"/>
          <w:color w:val="333333"/>
          <w:spacing w:val="0"/>
          <w:sz w:val="21"/>
          <w:szCs w:val="21"/>
          <w:shd w:val="clear" w:color="auto" w:fill="FFFFFF"/>
          <w:vertAlign w:val="superscript"/>
        </w:rPr>
        <w:t>2</w:t>
      </w:r>
      <w:r>
        <w:rPr>
          <w:rFonts w:hint="eastAsia" w:ascii="宋体" w:hAnsi="宋体" w:eastAsia="宋体" w:cs="宋体"/>
          <w:i w:val="0"/>
          <w:iCs w:val="0"/>
          <w:caps w:val="0"/>
          <w:color w:val="333333"/>
          <w:spacing w:val="0"/>
          <w:sz w:val="21"/>
          <w:szCs w:val="21"/>
          <w:shd w:val="clear" w:color="auto" w:fill="FFFFFF"/>
        </w:rPr>
        <w:t>，厂址为</w:t>
      </w:r>
      <w:r>
        <w:rPr>
          <w:rStyle w:val="22"/>
          <w:rFonts w:hint="eastAsia" w:ascii="宋体" w:hAnsi="宋体" w:eastAsia="宋体" w:cs="宋体"/>
          <w:i w:val="0"/>
          <w:iCs w:val="0"/>
          <w:caps w:val="0"/>
          <w:color w:val="333333"/>
          <w:spacing w:val="0"/>
          <w:sz w:val="21"/>
          <w:szCs w:val="21"/>
          <w:shd w:val="clear" w:color="auto" w:fill="FFFFFF"/>
        </w:rPr>
        <w:t>（生产厂址）</w:t>
      </w:r>
      <w:r>
        <w:rPr>
          <w:rFonts w:hint="eastAsia" w:ascii="宋体" w:hAnsi="宋体" w:eastAsia="宋体" w:cs="宋体"/>
          <w:i w:val="0"/>
          <w:iCs w:val="0"/>
          <w:caps w:val="0"/>
          <w:color w:val="333333"/>
          <w:spacing w:val="0"/>
          <w:sz w:val="21"/>
          <w:szCs w:val="21"/>
          <w:shd w:val="clear" w:color="auto" w:fill="FFFFFF"/>
        </w:rPr>
        <w:t>。</w:t>
      </w:r>
      <w:r>
        <w:rPr>
          <w:rStyle w:val="22"/>
          <w:rFonts w:hint="eastAsia" w:ascii="宋体" w:hAnsi="宋体" w:eastAsia="宋体" w:cs="宋体"/>
          <w:i w:val="0"/>
          <w:iCs w:val="0"/>
          <w:caps w:val="0"/>
          <w:color w:val="333333"/>
          <w:spacing w:val="0"/>
          <w:sz w:val="21"/>
          <w:szCs w:val="21"/>
          <w:shd w:val="clear" w:color="auto" w:fill="FFFFFF"/>
        </w:rPr>
        <w:t>（产品名称1）</w:t>
      </w:r>
      <w:r>
        <w:rPr>
          <w:rFonts w:hint="eastAsia" w:ascii="宋体" w:hAnsi="宋体" w:eastAsia="宋体" w:cs="宋体"/>
          <w:i w:val="0"/>
          <w:iCs w:val="0"/>
          <w:caps w:val="0"/>
          <w:color w:val="333333"/>
          <w:spacing w:val="0"/>
          <w:sz w:val="21"/>
          <w:szCs w:val="21"/>
          <w:shd w:val="clear" w:color="auto" w:fill="FFFFFF"/>
        </w:rPr>
        <w:t>的中国境内生产的组件成本占比≥</w:t>
      </w:r>
      <w:r>
        <w:rPr>
          <w:rStyle w:val="22"/>
          <w:rFonts w:hint="eastAsia" w:ascii="宋体" w:hAnsi="宋体" w:eastAsia="宋体" w:cs="宋体"/>
          <w:i w:val="0"/>
          <w:iCs w:val="0"/>
          <w:caps w:val="0"/>
          <w:color w:val="333333"/>
          <w:spacing w:val="0"/>
          <w:sz w:val="21"/>
          <w:szCs w:val="21"/>
          <w:shd w:val="clear" w:color="auto" w:fill="FFFFFF"/>
        </w:rPr>
        <w:t>（规定比例）</w:t>
      </w:r>
      <w:r>
        <w:rPr>
          <w:rStyle w:val="22"/>
          <w:rFonts w:hint="eastAsia" w:ascii="宋体" w:hAnsi="宋体" w:eastAsia="宋体" w:cs="宋体"/>
          <w:i w:val="0"/>
          <w:iCs w:val="0"/>
          <w:caps w:val="0"/>
          <w:color w:val="333333"/>
          <w:spacing w:val="0"/>
          <w:sz w:val="21"/>
          <w:szCs w:val="21"/>
          <w:shd w:val="clear" w:color="auto" w:fill="FFFFFF"/>
          <w:vertAlign w:val="superscript"/>
        </w:rPr>
        <w:t>3</w:t>
      </w:r>
      <w:r>
        <w:rPr>
          <w:rFonts w:hint="eastAsia" w:ascii="宋体" w:hAnsi="宋体" w:eastAsia="宋体" w:cs="宋体"/>
          <w:i w:val="0"/>
          <w:iCs w:val="0"/>
          <w:caps w:val="0"/>
          <w:color w:val="333333"/>
          <w:spacing w:val="0"/>
          <w:sz w:val="21"/>
          <w:szCs w:val="21"/>
          <w:shd w:val="clear" w:color="auto" w:fill="FFFFFF"/>
        </w:rPr>
        <w:t>。</w:t>
      </w:r>
      <w:r>
        <w:rPr>
          <w:rStyle w:val="22"/>
          <w:rFonts w:hint="eastAsia" w:ascii="宋体" w:hAnsi="宋体" w:eastAsia="宋体" w:cs="宋体"/>
          <w:i w:val="0"/>
          <w:iCs w:val="0"/>
          <w:caps w:val="0"/>
          <w:color w:val="333333"/>
          <w:spacing w:val="0"/>
          <w:sz w:val="21"/>
          <w:szCs w:val="21"/>
          <w:shd w:val="clear" w:color="auto" w:fill="FFFFFF"/>
        </w:rPr>
        <w:t>（产品名称1）</w:t>
      </w:r>
      <w:r>
        <w:rPr>
          <w:rFonts w:hint="eastAsia" w:ascii="宋体" w:hAnsi="宋体" w:eastAsia="宋体" w:cs="宋体"/>
          <w:i w:val="0"/>
          <w:iCs w:val="0"/>
          <w:caps w:val="0"/>
          <w:color w:val="333333"/>
          <w:spacing w:val="0"/>
          <w:sz w:val="21"/>
          <w:szCs w:val="21"/>
          <w:shd w:val="clear" w:color="auto" w:fill="FFFFFF"/>
        </w:rPr>
        <w:t>的</w:t>
      </w:r>
      <w:r>
        <w:rPr>
          <w:rStyle w:val="22"/>
          <w:rFonts w:hint="eastAsia" w:ascii="宋体" w:hAnsi="宋体" w:eastAsia="宋体" w:cs="宋体"/>
          <w:i w:val="0"/>
          <w:iCs w:val="0"/>
          <w:caps w:val="0"/>
          <w:color w:val="333333"/>
          <w:spacing w:val="0"/>
          <w:sz w:val="21"/>
          <w:szCs w:val="21"/>
          <w:shd w:val="clear" w:color="auto" w:fill="FFFFFF"/>
        </w:rPr>
        <w:t>（关键组件）</w:t>
      </w:r>
      <w:r>
        <w:rPr>
          <w:rStyle w:val="22"/>
          <w:rFonts w:hint="eastAsia" w:ascii="宋体" w:hAnsi="宋体" w:eastAsia="宋体" w:cs="宋体"/>
          <w:i w:val="0"/>
          <w:iCs w:val="0"/>
          <w:caps w:val="0"/>
          <w:color w:val="333333"/>
          <w:spacing w:val="0"/>
          <w:sz w:val="21"/>
          <w:szCs w:val="21"/>
          <w:shd w:val="clear" w:color="auto" w:fill="FFFFFF"/>
          <w:vertAlign w:val="superscript"/>
        </w:rPr>
        <w:t>4</w:t>
      </w:r>
      <w:r>
        <w:rPr>
          <w:rFonts w:hint="eastAsia" w:ascii="宋体" w:hAnsi="宋体" w:eastAsia="宋体" w:cs="宋体"/>
          <w:i w:val="0"/>
          <w:iCs w:val="0"/>
          <w:caps w:val="0"/>
          <w:color w:val="333333"/>
          <w:spacing w:val="0"/>
          <w:sz w:val="21"/>
          <w:szCs w:val="21"/>
          <w:shd w:val="clear" w:color="auto" w:fill="FFFFFF"/>
        </w:rPr>
        <w:t>在中国境内生产。</w:t>
      </w:r>
      <w:r>
        <w:rPr>
          <w:rStyle w:val="22"/>
          <w:rFonts w:hint="eastAsia" w:ascii="宋体" w:hAnsi="宋体" w:eastAsia="宋体" w:cs="宋体"/>
          <w:i w:val="0"/>
          <w:iCs w:val="0"/>
          <w:caps w:val="0"/>
          <w:color w:val="333333"/>
          <w:spacing w:val="0"/>
          <w:sz w:val="21"/>
          <w:szCs w:val="21"/>
          <w:shd w:val="clear" w:color="auto" w:fill="FFFFFF"/>
        </w:rPr>
        <w:t>（产品名称1）</w:t>
      </w:r>
      <w:r>
        <w:rPr>
          <w:rFonts w:hint="eastAsia" w:ascii="宋体" w:hAnsi="宋体" w:eastAsia="宋体" w:cs="宋体"/>
          <w:i w:val="0"/>
          <w:iCs w:val="0"/>
          <w:caps w:val="0"/>
          <w:color w:val="333333"/>
          <w:spacing w:val="0"/>
          <w:sz w:val="21"/>
          <w:szCs w:val="21"/>
          <w:shd w:val="clear" w:color="auto" w:fill="FFFFFF"/>
        </w:rPr>
        <w:t>的</w:t>
      </w:r>
      <w:r>
        <w:rPr>
          <w:rStyle w:val="22"/>
          <w:rFonts w:hint="eastAsia" w:ascii="宋体" w:hAnsi="宋体" w:eastAsia="宋体" w:cs="宋体"/>
          <w:i w:val="0"/>
          <w:iCs w:val="0"/>
          <w:caps w:val="0"/>
          <w:color w:val="333333"/>
          <w:spacing w:val="0"/>
          <w:sz w:val="21"/>
          <w:szCs w:val="21"/>
          <w:shd w:val="clear" w:color="auto" w:fill="FFFFFF"/>
        </w:rPr>
        <w:t>（关键工序）</w:t>
      </w:r>
      <w:r>
        <w:rPr>
          <w:rStyle w:val="22"/>
          <w:rFonts w:hint="eastAsia" w:ascii="宋体" w:hAnsi="宋体" w:eastAsia="宋体" w:cs="宋体"/>
          <w:i w:val="0"/>
          <w:iCs w:val="0"/>
          <w:caps w:val="0"/>
          <w:color w:val="333333"/>
          <w:spacing w:val="0"/>
          <w:sz w:val="21"/>
          <w:szCs w:val="21"/>
          <w:shd w:val="clear" w:color="auto" w:fill="FFFFFF"/>
          <w:vertAlign w:val="superscript"/>
        </w:rPr>
        <w:t>5</w:t>
      </w:r>
      <w:r>
        <w:rPr>
          <w:rFonts w:hint="eastAsia" w:ascii="宋体" w:hAnsi="宋体" w:eastAsia="宋体" w:cs="宋体"/>
          <w:i w:val="0"/>
          <w:iCs w:val="0"/>
          <w:caps w:val="0"/>
          <w:color w:val="333333"/>
          <w:spacing w:val="0"/>
          <w:sz w:val="21"/>
          <w:szCs w:val="21"/>
          <w:shd w:val="clear" w:color="auto" w:fill="FFFFFF"/>
        </w:rPr>
        <w:t>在中国境内完成。</w:t>
      </w:r>
    </w:p>
    <w:p w14:paraId="0737F274">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2.</w:t>
      </w:r>
      <w:r>
        <w:rPr>
          <w:rStyle w:val="22"/>
          <w:rFonts w:hint="eastAsia" w:ascii="宋体" w:hAnsi="宋体" w:eastAsia="宋体" w:cs="宋体"/>
          <w:i w:val="0"/>
          <w:iCs w:val="0"/>
          <w:caps w:val="0"/>
          <w:color w:val="333333"/>
          <w:spacing w:val="0"/>
          <w:sz w:val="21"/>
          <w:szCs w:val="21"/>
          <w:shd w:val="clear" w:color="auto" w:fill="FFFFFF"/>
        </w:rPr>
        <w:t>（产品名称2）</w:t>
      </w:r>
      <w:r>
        <w:rPr>
          <w:rFonts w:hint="eastAsia" w:ascii="宋体" w:hAnsi="宋体" w:eastAsia="宋体" w:cs="宋体"/>
          <w:i w:val="0"/>
          <w:iCs w:val="0"/>
          <w:caps w:val="0"/>
          <w:color w:val="333333"/>
          <w:spacing w:val="0"/>
          <w:sz w:val="21"/>
          <w:szCs w:val="21"/>
          <w:shd w:val="clear" w:color="auto" w:fill="FFFFFF"/>
        </w:rPr>
        <w:t>，生产厂为</w:t>
      </w:r>
      <w:r>
        <w:rPr>
          <w:rStyle w:val="22"/>
          <w:rFonts w:hint="eastAsia" w:ascii="宋体" w:hAnsi="宋体" w:eastAsia="宋体" w:cs="宋体"/>
          <w:i w:val="0"/>
          <w:iCs w:val="0"/>
          <w:caps w:val="0"/>
          <w:color w:val="333333"/>
          <w:spacing w:val="0"/>
          <w:sz w:val="21"/>
          <w:szCs w:val="21"/>
          <w:shd w:val="clear" w:color="auto" w:fill="FFFFFF"/>
        </w:rPr>
        <w:t>（厂名）</w:t>
      </w:r>
      <w:r>
        <w:rPr>
          <w:rFonts w:hint="eastAsia" w:ascii="宋体" w:hAnsi="宋体" w:eastAsia="宋体" w:cs="宋体"/>
          <w:i w:val="0"/>
          <w:iCs w:val="0"/>
          <w:caps w:val="0"/>
          <w:color w:val="333333"/>
          <w:spacing w:val="0"/>
          <w:sz w:val="21"/>
          <w:szCs w:val="21"/>
          <w:shd w:val="clear" w:color="auto" w:fill="FFFFFF"/>
        </w:rPr>
        <w:t>，厂址为</w:t>
      </w:r>
      <w:r>
        <w:rPr>
          <w:rStyle w:val="22"/>
          <w:rFonts w:hint="eastAsia" w:ascii="宋体" w:hAnsi="宋体" w:eastAsia="宋体" w:cs="宋体"/>
          <w:i w:val="0"/>
          <w:iCs w:val="0"/>
          <w:caps w:val="0"/>
          <w:color w:val="333333"/>
          <w:spacing w:val="0"/>
          <w:sz w:val="21"/>
          <w:szCs w:val="21"/>
          <w:shd w:val="clear" w:color="auto" w:fill="FFFFFF"/>
        </w:rPr>
        <w:t>（生产厂址）</w:t>
      </w:r>
      <w:r>
        <w:rPr>
          <w:rFonts w:hint="eastAsia" w:ascii="宋体" w:hAnsi="宋体" w:eastAsia="宋体" w:cs="宋体"/>
          <w:i w:val="0"/>
          <w:iCs w:val="0"/>
          <w:caps w:val="0"/>
          <w:color w:val="333333"/>
          <w:spacing w:val="0"/>
          <w:sz w:val="21"/>
          <w:szCs w:val="21"/>
          <w:shd w:val="clear" w:color="auto" w:fill="FFFFFF"/>
        </w:rPr>
        <w:t>。</w:t>
      </w:r>
      <w:r>
        <w:rPr>
          <w:rStyle w:val="22"/>
          <w:rFonts w:hint="eastAsia" w:ascii="宋体" w:hAnsi="宋体" w:eastAsia="宋体" w:cs="宋体"/>
          <w:i w:val="0"/>
          <w:iCs w:val="0"/>
          <w:caps w:val="0"/>
          <w:color w:val="333333"/>
          <w:spacing w:val="0"/>
          <w:sz w:val="21"/>
          <w:szCs w:val="21"/>
          <w:shd w:val="clear" w:color="auto" w:fill="FFFFFF"/>
        </w:rPr>
        <w:t>（产品名称2）</w:t>
      </w:r>
      <w:r>
        <w:rPr>
          <w:rFonts w:hint="eastAsia" w:ascii="宋体" w:hAnsi="宋体" w:eastAsia="宋体" w:cs="宋体"/>
          <w:i w:val="0"/>
          <w:iCs w:val="0"/>
          <w:caps w:val="0"/>
          <w:color w:val="333333"/>
          <w:spacing w:val="0"/>
          <w:sz w:val="21"/>
          <w:szCs w:val="21"/>
          <w:shd w:val="clear" w:color="auto" w:fill="FFFFFF"/>
        </w:rPr>
        <w:t>的中国境内生产的组件成本占比≥</w:t>
      </w:r>
      <w:r>
        <w:rPr>
          <w:rStyle w:val="22"/>
          <w:rFonts w:hint="eastAsia" w:ascii="宋体" w:hAnsi="宋体" w:eastAsia="宋体" w:cs="宋体"/>
          <w:i w:val="0"/>
          <w:iCs w:val="0"/>
          <w:caps w:val="0"/>
          <w:color w:val="333333"/>
          <w:spacing w:val="0"/>
          <w:sz w:val="21"/>
          <w:szCs w:val="21"/>
          <w:shd w:val="clear" w:color="auto" w:fill="FFFFFF"/>
        </w:rPr>
        <w:t>（规定比例）</w:t>
      </w:r>
      <w:r>
        <w:rPr>
          <w:rFonts w:hint="eastAsia" w:ascii="宋体" w:hAnsi="宋体" w:eastAsia="宋体" w:cs="宋体"/>
          <w:i w:val="0"/>
          <w:iCs w:val="0"/>
          <w:caps w:val="0"/>
          <w:color w:val="333333"/>
          <w:spacing w:val="0"/>
          <w:sz w:val="21"/>
          <w:szCs w:val="21"/>
          <w:shd w:val="clear" w:color="auto" w:fill="FFFFFF"/>
        </w:rPr>
        <w:t>。</w:t>
      </w:r>
      <w:r>
        <w:rPr>
          <w:rStyle w:val="22"/>
          <w:rFonts w:hint="eastAsia" w:ascii="宋体" w:hAnsi="宋体" w:eastAsia="宋体" w:cs="宋体"/>
          <w:i w:val="0"/>
          <w:iCs w:val="0"/>
          <w:caps w:val="0"/>
          <w:color w:val="333333"/>
          <w:spacing w:val="0"/>
          <w:sz w:val="21"/>
          <w:szCs w:val="21"/>
          <w:shd w:val="clear" w:color="auto" w:fill="FFFFFF"/>
        </w:rPr>
        <w:t>（产品名称2）</w:t>
      </w:r>
      <w:r>
        <w:rPr>
          <w:rFonts w:hint="eastAsia" w:ascii="宋体" w:hAnsi="宋体" w:eastAsia="宋体" w:cs="宋体"/>
          <w:i w:val="0"/>
          <w:iCs w:val="0"/>
          <w:caps w:val="0"/>
          <w:color w:val="333333"/>
          <w:spacing w:val="0"/>
          <w:sz w:val="21"/>
          <w:szCs w:val="21"/>
          <w:shd w:val="clear" w:color="auto" w:fill="FFFFFF"/>
        </w:rPr>
        <w:t>的</w:t>
      </w:r>
      <w:r>
        <w:rPr>
          <w:rStyle w:val="22"/>
          <w:rFonts w:hint="eastAsia" w:ascii="宋体" w:hAnsi="宋体" w:eastAsia="宋体" w:cs="宋体"/>
          <w:i w:val="0"/>
          <w:iCs w:val="0"/>
          <w:caps w:val="0"/>
          <w:color w:val="333333"/>
          <w:spacing w:val="0"/>
          <w:sz w:val="21"/>
          <w:szCs w:val="21"/>
          <w:shd w:val="clear" w:color="auto" w:fill="FFFFFF"/>
        </w:rPr>
        <w:t>（关键组件）</w:t>
      </w:r>
      <w:r>
        <w:rPr>
          <w:rFonts w:hint="eastAsia" w:ascii="宋体" w:hAnsi="宋体" w:eastAsia="宋体" w:cs="宋体"/>
          <w:i w:val="0"/>
          <w:iCs w:val="0"/>
          <w:caps w:val="0"/>
          <w:color w:val="333333"/>
          <w:spacing w:val="0"/>
          <w:sz w:val="21"/>
          <w:szCs w:val="21"/>
          <w:shd w:val="clear" w:color="auto" w:fill="FFFFFF"/>
        </w:rPr>
        <w:t>在中国境内生产。</w:t>
      </w:r>
      <w:r>
        <w:rPr>
          <w:rStyle w:val="22"/>
          <w:rFonts w:hint="eastAsia" w:ascii="宋体" w:hAnsi="宋体" w:eastAsia="宋体" w:cs="宋体"/>
          <w:i w:val="0"/>
          <w:iCs w:val="0"/>
          <w:caps w:val="0"/>
          <w:color w:val="333333"/>
          <w:spacing w:val="0"/>
          <w:sz w:val="21"/>
          <w:szCs w:val="21"/>
          <w:shd w:val="clear" w:color="auto" w:fill="FFFFFF"/>
        </w:rPr>
        <w:t>（产品名称2）</w:t>
      </w:r>
      <w:r>
        <w:rPr>
          <w:rFonts w:hint="eastAsia" w:ascii="宋体" w:hAnsi="宋体" w:eastAsia="宋体" w:cs="宋体"/>
          <w:i w:val="0"/>
          <w:iCs w:val="0"/>
          <w:caps w:val="0"/>
          <w:color w:val="333333"/>
          <w:spacing w:val="0"/>
          <w:sz w:val="21"/>
          <w:szCs w:val="21"/>
          <w:shd w:val="clear" w:color="auto" w:fill="FFFFFF"/>
        </w:rPr>
        <w:t>的</w:t>
      </w:r>
      <w:r>
        <w:rPr>
          <w:rStyle w:val="22"/>
          <w:rFonts w:hint="eastAsia" w:ascii="宋体" w:hAnsi="宋体" w:eastAsia="宋体" w:cs="宋体"/>
          <w:i w:val="0"/>
          <w:iCs w:val="0"/>
          <w:caps w:val="0"/>
          <w:color w:val="333333"/>
          <w:spacing w:val="0"/>
          <w:sz w:val="21"/>
          <w:szCs w:val="21"/>
          <w:shd w:val="clear" w:color="auto" w:fill="FFFFFF"/>
        </w:rPr>
        <w:t>（关键工序）</w:t>
      </w:r>
      <w:r>
        <w:rPr>
          <w:rFonts w:hint="eastAsia" w:ascii="宋体" w:hAnsi="宋体" w:eastAsia="宋体" w:cs="宋体"/>
          <w:i w:val="0"/>
          <w:iCs w:val="0"/>
          <w:caps w:val="0"/>
          <w:color w:val="333333"/>
          <w:spacing w:val="0"/>
          <w:sz w:val="21"/>
          <w:szCs w:val="21"/>
          <w:shd w:val="clear" w:color="auto" w:fill="FFFFFF"/>
        </w:rPr>
        <w:t>在中国境内完成。</w:t>
      </w:r>
    </w:p>
    <w:p w14:paraId="46D39C46">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lang w:val="en-US" w:eastAsia="zh-CN"/>
        </w:rPr>
      </w:pPr>
      <w:r>
        <w:rPr>
          <w:rFonts w:hint="eastAsia" w:ascii="宋体" w:hAnsi="宋体" w:eastAsia="宋体" w:cs="宋体"/>
          <w:i w:val="0"/>
          <w:iCs w:val="0"/>
          <w:caps w:val="0"/>
          <w:color w:val="333333"/>
          <w:spacing w:val="0"/>
          <w:sz w:val="21"/>
          <w:szCs w:val="21"/>
          <w:shd w:val="clear" w:color="auto" w:fill="FFFFFF"/>
        </w:rPr>
        <w:t>……</w:t>
      </w:r>
    </w:p>
    <w:p w14:paraId="634C5A52">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lang w:val="en-US" w:eastAsia="zh-CN"/>
        </w:rPr>
      </w:pPr>
    </w:p>
    <w:p w14:paraId="49FF484C">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lang w:val="en-US" w:eastAsia="zh-CN"/>
        </w:rPr>
      </w:pPr>
      <w:r>
        <w:rPr>
          <w:rFonts w:hint="eastAsia" w:ascii="宋体" w:hAnsi="宋体" w:eastAsia="宋体" w:cs="宋体"/>
          <w:i w:val="0"/>
          <w:iCs w:val="0"/>
          <w:caps w:val="0"/>
          <w:color w:val="333333"/>
          <w:spacing w:val="0"/>
          <w:sz w:val="21"/>
          <w:szCs w:val="21"/>
          <w:shd w:val="clear" w:color="auto" w:fill="FFFFFF"/>
        </w:rPr>
        <w:t>本公司（单位）</w:t>
      </w:r>
      <w:r>
        <w:rPr>
          <w:rFonts w:hint="eastAsia" w:ascii="宋体" w:hAnsi="宋体" w:eastAsia="宋体" w:cs="宋体"/>
          <w:i w:val="0"/>
          <w:iCs w:val="0"/>
          <w:caps w:val="0"/>
          <w:color w:val="333333"/>
          <w:spacing w:val="0"/>
          <w:sz w:val="21"/>
          <w:szCs w:val="21"/>
          <w:shd w:val="clear" w:color="auto" w:fill="FFFFFF"/>
          <w:lang w:val="en-US" w:eastAsia="zh-CN"/>
        </w:rPr>
        <w:t>承诺：</w:t>
      </w:r>
    </w:p>
    <w:p w14:paraId="1FCFEA32">
      <w:pPr>
        <w:pStyle w:val="1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leftChars="0" w:right="0" w:rightChars="0" w:firstLine="420" w:firstLineChars="0"/>
        <w:rPr>
          <w:rFonts w:hint="eastAsia" w:ascii="宋体" w:hAnsi="宋体" w:eastAsia="宋体" w:cs="宋体"/>
          <w:b w:val="0"/>
          <w:bCs w:val="0"/>
          <w:i w:val="0"/>
          <w:iCs w:val="0"/>
          <w:caps w:val="0"/>
          <w:color w:val="auto"/>
          <w:spacing w:val="0"/>
          <w:sz w:val="21"/>
          <w:szCs w:val="21"/>
          <w:u w:val="none"/>
          <w:shd w:val="clear" w:color="auto" w:fill="FFFFFF"/>
          <w:lang w:val="en-US" w:eastAsia="zh-CN"/>
        </w:rPr>
      </w:pPr>
      <w:r>
        <w:rPr>
          <w:rFonts w:hint="eastAsia" w:ascii="宋体" w:hAnsi="宋体" w:eastAsia="宋体" w:cs="宋体"/>
          <w:b w:val="0"/>
          <w:bCs w:val="0"/>
          <w:i w:val="0"/>
          <w:iCs w:val="0"/>
          <w:caps w:val="0"/>
          <w:color w:val="auto"/>
          <w:spacing w:val="0"/>
          <w:kern w:val="0"/>
          <w:sz w:val="21"/>
          <w:szCs w:val="21"/>
          <w:shd w:val="clear" w:fill="FFFFFF"/>
          <w:lang w:val="en-US" w:eastAsia="zh-CN" w:bidi="ar"/>
        </w:rPr>
        <w:t>1.</w:t>
      </w:r>
      <w:r>
        <w:rPr>
          <w:rFonts w:hint="eastAsia" w:ascii="宋体" w:hAnsi="宋体" w:eastAsia="宋体" w:cs="宋体"/>
          <w:b w:val="0"/>
          <w:bCs w:val="0"/>
          <w:i w:val="0"/>
          <w:iCs w:val="0"/>
          <w:caps w:val="0"/>
          <w:color w:val="auto"/>
          <w:spacing w:val="0"/>
          <w:sz w:val="21"/>
          <w:szCs w:val="21"/>
          <w:shd w:val="clear" w:color="auto" w:fill="FFFFFF"/>
          <w:lang w:val="en-US" w:eastAsia="zh-CN"/>
        </w:rPr>
        <w:t>不适用本国产品标准的货物总报价为：</w:t>
      </w:r>
      <w:r>
        <w:rPr>
          <w:rFonts w:hint="eastAsia" w:ascii="宋体" w:hAnsi="宋体" w:eastAsia="宋体" w:cs="宋体"/>
          <w:b w:val="0"/>
          <w:bCs w:val="0"/>
          <w:i w:val="0"/>
          <w:iCs w:val="0"/>
          <w:caps w:val="0"/>
          <w:color w:val="FF0000"/>
          <w:spacing w:val="0"/>
          <w:sz w:val="21"/>
          <w:szCs w:val="21"/>
          <w:u w:val="single"/>
          <w:shd w:val="clear" w:color="auto" w:fill="FFFFFF"/>
          <w:lang w:val="en-US" w:eastAsia="zh-CN"/>
        </w:rPr>
        <w:t xml:space="preserve"> </w:t>
      </w:r>
      <w:r>
        <w:rPr>
          <w:rFonts w:hint="eastAsia" w:ascii="宋体" w:hAnsi="宋体" w:eastAsia="宋体" w:cs="宋体"/>
          <w:b/>
          <w:bCs/>
          <w:i w:val="0"/>
          <w:iCs w:val="0"/>
          <w:caps w:val="0"/>
          <w:color w:val="FF0000"/>
          <w:spacing w:val="0"/>
          <w:sz w:val="21"/>
          <w:szCs w:val="21"/>
          <w:u w:val="single"/>
          <w:shd w:val="clear" w:color="auto" w:fill="FFFFFF"/>
          <w:lang w:val="en-US" w:eastAsia="zh-CN"/>
        </w:rPr>
        <w:t xml:space="preserve">（填写小写金额） </w:t>
      </w:r>
      <w:r>
        <w:rPr>
          <w:rFonts w:hint="eastAsia" w:ascii="宋体" w:hAnsi="宋体" w:eastAsia="宋体" w:cs="宋体"/>
          <w:b w:val="0"/>
          <w:bCs w:val="0"/>
          <w:i w:val="0"/>
          <w:iCs w:val="0"/>
          <w:caps w:val="0"/>
          <w:color w:val="auto"/>
          <w:spacing w:val="0"/>
          <w:sz w:val="21"/>
          <w:szCs w:val="21"/>
          <w:u w:val="none"/>
          <w:shd w:val="clear" w:color="auto" w:fill="FFFFFF"/>
          <w:lang w:val="en-US" w:eastAsia="zh-CN"/>
        </w:rPr>
        <w:t>元；</w:t>
      </w:r>
    </w:p>
    <w:p w14:paraId="453AE305">
      <w:pPr>
        <w:pStyle w:val="1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leftChars="0" w:right="0" w:rightChars="0" w:firstLine="420" w:firstLineChars="0"/>
        <w:rPr>
          <w:rFonts w:hint="eastAsia" w:ascii="宋体" w:hAnsi="宋体" w:eastAsia="宋体" w:cs="宋体"/>
          <w:i w:val="0"/>
          <w:iCs w:val="0"/>
          <w:caps w:val="0"/>
          <w:color w:val="333333"/>
          <w:spacing w:val="0"/>
          <w:sz w:val="21"/>
          <w:szCs w:val="21"/>
          <w:u w:val="none"/>
          <w:shd w:val="clear" w:color="auto" w:fill="FFFFFF"/>
          <w:lang w:val="en-US" w:eastAsia="zh-CN"/>
        </w:rPr>
      </w:pPr>
      <w:r>
        <w:rPr>
          <w:rFonts w:hint="eastAsia" w:ascii="宋体" w:hAnsi="宋体" w:eastAsia="宋体" w:cs="宋体"/>
          <w:i w:val="0"/>
          <w:iCs w:val="0"/>
          <w:caps w:val="0"/>
          <w:color w:val="333333"/>
          <w:spacing w:val="0"/>
          <w:kern w:val="0"/>
          <w:sz w:val="21"/>
          <w:szCs w:val="21"/>
          <w:shd w:val="clear" w:fill="FFFFFF"/>
          <w:lang w:val="en-US" w:eastAsia="zh-CN" w:bidi="ar"/>
        </w:rPr>
        <w:t>2.</w:t>
      </w:r>
      <w:r>
        <w:rPr>
          <w:rFonts w:hint="eastAsia" w:ascii="宋体" w:hAnsi="宋体" w:eastAsia="宋体" w:cs="宋体"/>
          <w:b w:val="0"/>
          <w:bCs w:val="0"/>
          <w:i w:val="0"/>
          <w:iCs w:val="0"/>
          <w:caps w:val="0"/>
          <w:color w:val="auto"/>
          <w:spacing w:val="0"/>
          <w:sz w:val="21"/>
          <w:szCs w:val="21"/>
          <w:shd w:val="clear" w:color="auto" w:fill="FFFFFF"/>
          <w:lang w:val="en-US" w:eastAsia="zh-CN"/>
        </w:rPr>
        <w:t>适用本国产品标准的货物总报价</w:t>
      </w:r>
      <w:r>
        <w:rPr>
          <w:rFonts w:hint="eastAsia" w:ascii="宋体" w:hAnsi="宋体" w:eastAsia="宋体" w:cs="宋体"/>
          <w:i w:val="0"/>
          <w:iCs w:val="0"/>
          <w:caps w:val="0"/>
          <w:color w:val="333333"/>
          <w:spacing w:val="0"/>
          <w:sz w:val="21"/>
          <w:szCs w:val="21"/>
          <w:shd w:val="clear" w:color="auto" w:fill="FFFFFF"/>
          <w:lang w:val="en-US" w:eastAsia="zh-CN"/>
        </w:rPr>
        <w:t>为：</w:t>
      </w:r>
      <w:r>
        <w:rPr>
          <w:rFonts w:hint="eastAsia" w:ascii="宋体" w:hAnsi="宋体" w:eastAsia="宋体" w:cs="宋体"/>
          <w:i w:val="0"/>
          <w:iCs w:val="0"/>
          <w:caps w:val="0"/>
          <w:color w:val="FF0000"/>
          <w:spacing w:val="0"/>
          <w:sz w:val="21"/>
          <w:szCs w:val="21"/>
          <w:u w:val="single"/>
          <w:shd w:val="clear" w:color="auto" w:fill="FFFFFF"/>
          <w:lang w:val="en-US" w:eastAsia="zh-CN"/>
        </w:rPr>
        <w:t xml:space="preserve">   </w:t>
      </w:r>
      <w:r>
        <w:rPr>
          <w:rFonts w:hint="eastAsia" w:ascii="宋体" w:hAnsi="宋体" w:eastAsia="宋体" w:cs="宋体"/>
          <w:b/>
          <w:bCs/>
          <w:i w:val="0"/>
          <w:iCs w:val="0"/>
          <w:caps w:val="0"/>
          <w:color w:val="FF0000"/>
          <w:spacing w:val="0"/>
          <w:sz w:val="21"/>
          <w:szCs w:val="21"/>
          <w:u w:val="single"/>
          <w:shd w:val="clear" w:color="auto" w:fill="FFFFFF"/>
          <w:lang w:val="en-US" w:eastAsia="zh-CN"/>
        </w:rPr>
        <w:t>（填写小写金额）</w:t>
      </w:r>
      <w:r>
        <w:rPr>
          <w:rFonts w:hint="eastAsia" w:ascii="宋体" w:hAnsi="宋体" w:eastAsia="宋体" w:cs="宋体"/>
          <w:i w:val="0"/>
          <w:iCs w:val="0"/>
          <w:caps w:val="0"/>
          <w:color w:val="FF0000"/>
          <w:spacing w:val="0"/>
          <w:sz w:val="21"/>
          <w:szCs w:val="21"/>
          <w:u w:val="single"/>
          <w:shd w:val="clear" w:color="auto" w:fill="FFFFFF"/>
          <w:lang w:val="en-US" w:eastAsia="zh-CN"/>
        </w:rPr>
        <w:t xml:space="preserve"> </w:t>
      </w:r>
      <w:r>
        <w:rPr>
          <w:rFonts w:hint="eastAsia" w:ascii="宋体" w:hAnsi="宋体" w:eastAsia="宋体" w:cs="宋体"/>
          <w:i w:val="0"/>
          <w:iCs w:val="0"/>
          <w:caps w:val="0"/>
          <w:color w:val="333333"/>
          <w:spacing w:val="0"/>
          <w:sz w:val="21"/>
          <w:szCs w:val="21"/>
          <w:u w:val="none"/>
          <w:shd w:val="clear" w:color="auto" w:fill="FFFFFF"/>
          <w:lang w:val="en-US" w:eastAsia="zh-CN"/>
        </w:rPr>
        <w:t>元；</w:t>
      </w:r>
    </w:p>
    <w:p w14:paraId="731C9ED5">
      <w:pPr>
        <w:pStyle w:val="1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leftChars="0" w:right="0" w:rightChars="0" w:firstLine="420" w:firstLineChars="0"/>
        <w:rPr>
          <w:rFonts w:hint="eastAsia" w:ascii="宋体" w:hAnsi="宋体" w:eastAsia="宋体" w:cs="宋体"/>
          <w:i w:val="0"/>
          <w:iCs w:val="0"/>
          <w:caps w:val="0"/>
          <w:color w:val="333333"/>
          <w:spacing w:val="0"/>
          <w:sz w:val="21"/>
          <w:szCs w:val="21"/>
          <w:u w:val="single"/>
          <w:shd w:val="clear" w:color="auto" w:fill="FFFFFF"/>
          <w:lang w:val="en-US" w:eastAsia="zh-CN"/>
        </w:rPr>
      </w:pPr>
      <w:r>
        <w:rPr>
          <w:rFonts w:hint="eastAsia" w:ascii="宋体" w:hAnsi="宋体" w:eastAsia="宋体" w:cs="宋体"/>
          <w:i w:val="0"/>
          <w:iCs w:val="0"/>
          <w:caps w:val="0"/>
          <w:color w:val="333333"/>
          <w:spacing w:val="0"/>
          <w:sz w:val="21"/>
          <w:szCs w:val="21"/>
          <w:u w:val="none"/>
          <w:shd w:val="clear" w:color="auto" w:fill="FFFFFF"/>
          <w:lang w:val="en-US" w:eastAsia="zh-CN"/>
        </w:rPr>
        <w:t>3.本国产品成本之和占比全部产品成本之和</w:t>
      </w:r>
      <w:r>
        <w:rPr>
          <w:rFonts w:hint="eastAsia" w:ascii="宋体" w:hAnsi="宋体" w:eastAsia="宋体" w:cs="宋体"/>
          <w:b/>
          <w:bCs/>
          <w:i w:val="0"/>
          <w:iCs w:val="0"/>
          <w:caps w:val="0"/>
          <w:color w:val="FF0000"/>
          <w:spacing w:val="0"/>
          <w:sz w:val="21"/>
          <w:szCs w:val="21"/>
          <w:u w:val="single"/>
          <w:shd w:val="clear" w:color="auto" w:fill="FFFFFF"/>
          <w:lang w:val="en-US" w:eastAsia="zh-CN"/>
        </w:rPr>
        <w:t xml:space="preserve"> （选择填写“是”或“否”，二选一） </w:t>
      </w:r>
      <w:r>
        <w:rPr>
          <w:rFonts w:hint="eastAsia" w:ascii="宋体" w:hAnsi="宋体" w:eastAsia="宋体" w:cs="宋体"/>
          <w:i w:val="0"/>
          <w:iCs w:val="0"/>
          <w:caps w:val="0"/>
          <w:color w:val="333333"/>
          <w:spacing w:val="0"/>
          <w:sz w:val="21"/>
          <w:szCs w:val="21"/>
          <w:u w:val="none"/>
          <w:shd w:val="clear" w:color="auto" w:fill="FFFFFF"/>
          <w:lang w:val="en-US" w:eastAsia="zh-CN"/>
        </w:rPr>
        <w:t>≥80%。</w:t>
      </w:r>
    </w:p>
    <w:p w14:paraId="07258FC4">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p>
    <w:p w14:paraId="5BC5C19C">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color w:val="FF0000"/>
          <w:sz w:val="21"/>
          <w:szCs w:val="21"/>
          <w:lang w:val="en-US" w:eastAsia="zh-CN"/>
        </w:rPr>
      </w:pPr>
      <w:r>
        <w:rPr>
          <w:rFonts w:hint="eastAsia" w:ascii="宋体" w:hAnsi="宋体" w:eastAsia="宋体" w:cs="宋体"/>
          <w:color w:val="FF0000"/>
          <w:sz w:val="21"/>
          <w:szCs w:val="21"/>
          <w:lang w:val="en-US" w:eastAsia="zh-CN"/>
        </w:rPr>
        <w:t>注：</w:t>
      </w:r>
    </w:p>
    <w:p w14:paraId="74932731">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宋体" w:hAnsi="宋体" w:eastAsia="宋体" w:cs="宋体"/>
          <w:color w:val="FF0000"/>
          <w:sz w:val="21"/>
          <w:szCs w:val="21"/>
          <w:lang w:val="en-US" w:eastAsia="zh-CN"/>
        </w:rPr>
      </w:pPr>
      <w:r>
        <w:rPr>
          <w:rFonts w:hint="eastAsia" w:ascii="宋体" w:hAnsi="宋体" w:eastAsia="宋体" w:cs="宋体"/>
          <w:color w:val="FF0000"/>
          <w:sz w:val="21"/>
          <w:szCs w:val="21"/>
          <w:lang w:val="en-US" w:eastAsia="zh-CN"/>
        </w:rPr>
        <w:t>1.不适用本国产品标准的货物是指《政府采购品目分类目录》中的房屋和构筑物，文物和陈列品，图书和档案，特种动植物，农林牧渔业产品，矿与矿物，电力、城市燃气、蒸汽和热水、水，食品、饮料和烟草原料，无形资产。如无，则填写“0”；</w:t>
      </w:r>
    </w:p>
    <w:p w14:paraId="213A5D01">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宋体" w:hAnsi="宋体" w:eastAsia="宋体" w:cs="宋体"/>
          <w:color w:val="FF0000"/>
          <w:sz w:val="21"/>
          <w:szCs w:val="21"/>
          <w:lang w:val="en-US" w:eastAsia="zh-CN"/>
        </w:rPr>
      </w:pPr>
      <w:r>
        <w:rPr>
          <w:rFonts w:hint="eastAsia" w:ascii="宋体" w:hAnsi="宋体" w:eastAsia="宋体" w:cs="宋体"/>
          <w:color w:val="FF0000"/>
          <w:sz w:val="21"/>
          <w:szCs w:val="21"/>
          <w:lang w:val="en-US" w:eastAsia="zh-CN"/>
        </w:rPr>
        <w:t>2.适用本国产品标准的货物总报价=总报价-不适用本国产品标准的货物总报价</w:t>
      </w:r>
    </w:p>
    <w:p w14:paraId="23335569">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21"/>
          <w:szCs w:val="21"/>
          <w:lang w:val="en-US" w:eastAsia="zh-CN"/>
        </w:rPr>
      </w:pPr>
    </w:p>
    <w:p w14:paraId="21D4C745">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21"/>
          <w:szCs w:val="21"/>
          <w:lang w:val="en-US" w:eastAsia="zh-CN"/>
        </w:rPr>
      </w:pPr>
    </w:p>
    <w:p w14:paraId="59CBE718">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lang w:val="en-US" w:eastAsia="zh-CN"/>
        </w:rPr>
      </w:pPr>
      <w:r>
        <w:rPr>
          <w:rFonts w:hint="eastAsia" w:ascii="宋体" w:hAnsi="宋体" w:eastAsia="宋体" w:cs="宋体"/>
          <w:i w:val="0"/>
          <w:iCs w:val="0"/>
          <w:caps w:val="0"/>
          <w:color w:val="333333"/>
          <w:spacing w:val="0"/>
          <w:sz w:val="21"/>
          <w:szCs w:val="21"/>
          <w:shd w:val="clear" w:color="auto" w:fill="FFFFFF"/>
        </w:rPr>
        <w:t>本公司（单位）对上述声明内容的真实性负责。如有虚假，愿承担相应法律责任。</w:t>
      </w:r>
    </w:p>
    <w:p w14:paraId="46ECB6F9">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jc w:val="right"/>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公司（单位）名称（盖章）：      </w:t>
      </w:r>
    </w:p>
    <w:p w14:paraId="2A4416A1">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jc w:val="right"/>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日期：　　　　　年　　月　日    </w:t>
      </w:r>
    </w:p>
    <w:p w14:paraId="30A46842">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right="0"/>
        <w:rPr>
          <w:rFonts w:hint="eastAsia" w:ascii="宋体" w:hAnsi="宋体" w:eastAsia="宋体" w:cs="宋体"/>
          <w:sz w:val="21"/>
          <w:szCs w:val="21"/>
        </w:rPr>
      </w:pPr>
    </w:p>
    <w:p w14:paraId="7BFF7E1C">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1.产品如有型号，请在“产品名称”栏一并填写。</w:t>
      </w:r>
    </w:p>
    <w:p w14:paraId="7D3AE6DE">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2.生产厂名与厂址应与生产厂营业执照载明的相关信息保持一致。</w:t>
      </w:r>
    </w:p>
    <w:p w14:paraId="1DF5034F">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3.该产品的中国境内生产的组件成本占比相关要求实施前，“规定比例”栏可不填，下同。</w:t>
      </w:r>
    </w:p>
    <w:p w14:paraId="2FD48A4A">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4.该产品的关键组件要求实施前，“关键组件”栏可不填，下同。</w:t>
      </w:r>
    </w:p>
    <w:p w14:paraId="504DFD64">
      <w:pPr>
        <w:pStyle w:val="6"/>
        <w:numPr>
          <w:ilvl w:val="0"/>
          <w:numId w:val="0"/>
        </w:numPr>
        <w:spacing w:after="120"/>
        <w:ind w:firstLine="210" w:firstLineChars="100"/>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color="auto" w:fill="FFFFFF"/>
        </w:rPr>
        <w:t>5.该产品的关键工序要求实施前，“关键工序”栏可不填，下同。</w:t>
      </w:r>
    </w:p>
    <w:p w14:paraId="17146F7E">
      <w:pPr>
        <w:pStyle w:val="6"/>
        <w:numPr>
          <w:ilvl w:val="0"/>
          <w:numId w:val="0"/>
        </w:numPr>
        <w:spacing w:after="120"/>
        <w:rPr>
          <w:rFonts w:hint="eastAsia" w:ascii="宋体" w:hAnsi="宋体" w:eastAsia="宋体" w:cs="宋体"/>
          <w:i w:val="0"/>
          <w:iCs w:val="0"/>
          <w:caps w:val="0"/>
          <w:color w:val="333333"/>
          <w:spacing w:val="0"/>
          <w:sz w:val="21"/>
          <w:szCs w:val="21"/>
          <w:shd w:val="clear" w:fill="FFFFFF"/>
        </w:rPr>
      </w:pPr>
    </w:p>
    <w:p w14:paraId="3085CC0C">
      <w:pPr>
        <w:pStyle w:val="6"/>
        <w:ind w:firstLine="420" w:firstLineChars="200"/>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color="auto" w:fill="FFFFFF"/>
          <w:lang w:val="en-US" w:eastAsia="zh-CN"/>
        </w:rPr>
        <w:t>根据《深圳市财政局关于贯彻落实政府采购本国产品标准及相关政策的通知》（深财购〔2025〕69号）相关规定，评审中发现《声明函》内容含义不明确、同类事项与投标（响应）文件表述不一致或者有明显文字错误等情况的，应当以书面形式要求供应商作出必要的澄清、说明或者补正。经澄清、说明或者补正仍不符合要求的，供应商提供的相关产品视为不符合本国产品标准。</w:t>
      </w:r>
    </w:p>
    <w:p w14:paraId="0888B786">
      <w:pPr>
        <w:spacing w:line="360" w:lineRule="exact"/>
        <w:ind w:firstLine="424" w:firstLineChars="202"/>
        <w:outlineLvl w:val="9"/>
        <w:rPr>
          <w:rFonts w:ascii="宋体" w:hAnsi="宋体"/>
          <w:color w:val="auto"/>
          <w:szCs w:val="21"/>
        </w:rPr>
      </w:pPr>
      <w:r>
        <w:rPr>
          <w:rFonts w:hint="eastAsia" w:ascii="宋体" w:hAnsi="宋体"/>
          <w:color w:val="auto"/>
          <w:szCs w:val="21"/>
        </w:rPr>
        <w:t xml:space="preserve">                          </w:t>
      </w:r>
    </w:p>
    <w:p w14:paraId="1D29C215">
      <w:pPr>
        <w:jc w:val="center"/>
        <w:rPr>
          <w:rFonts w:hint="eastAsia" w:asciiTheme="minorEastAsia" w:hAnsiTheme="minorEastAsia" w:cstheme="minorEastAsia"/>
          <w:b/>
          <w:bCs/>
          <w:sz w:val="28"/>
          <w:szCs w:val="28"/>
          <w:lang w:eastAsia="zh-CN"/>
        </w:rPr>
      </w:pPr>
    </w:p>
    <w:p w14:paraId="5BE22A57">
      <w:pPr>
        <w:jc w:val="center"/>
        <w:rPr>
          <w:rFonts w:hint="eastAsia" w:asciiTheme="minorEastAsia" w:hAnsiTheme="minorEastAsia" w:cstheme="minorEastAsia"/>
          <w:b/>
          <w:bCs/>
          <w:sz w:val="28"/>
          <w:szCs w:val="28"/>
          <w:lang w:eastAsia="zh-CN"/>
        </w:rPr>
      </w:pPr>
    </w:p>
    <w:p w14:paraId="6E6FCFC3">
      <w:pPr>
        <w:jc w:val="center"/>
        <w:rPr>
          <w:rFonts w:hint="eastAsia" w:cs="宋体" w:asciiTheme="majorEastAsia" w:hAnsiTheme="majorEastAsia" w:eastAsiaTheme="majorEastAsia"/>
          <w:kern w:val="2"/>
          <w:sz w:val="30"/>
          <w:szCs w:val="30"/>
          <w:lang w:val="en-US" w:eastAsia="zh-CN" w:bidi="ar-SA"/>
        </w:rPr>
      </w:pPr>
    </w:p>
    <w:p w14:paraId="4DFE56D0">
      <w:pPr>
        <w:jc w:val="center"/>
        <w:rPr>
          <w:rFonts w:hint="eastAsia" w:cs="宋体" w:asciiTheme="majorEastAsia" w:hAnsiTheme="majorEastAsia" w:eastAsiaTheme="majorEastAsia"/>
          <w:kern w:val="2"/>
          <w:sz w:val="30"/>
          <w:szCs w:val="30"/>
          <w:lang w:val="en-US" w:eastAsia="zh-CN" w:bidi="ar-SA"/>
        </w:rPr>
      </w:pPr>
    </w:p>
    <w:p w14:paraId="577661CB">
      <w:pPr>
        <w:jc w:val="center"/>
        <w:rPr>
          <w:rFonts w:hint="eastAsia" w:cs="宋体" w:asciiTheme="majorEastAsia" w:hAnsiTheme="majorEastAsia" w:eastAsiaTheme="majorEastAsia"/>
          <w:kern w:val="2"/>
          <w:sz w:val="30"/>
          <w:szCs w:val="30"/>
          <w:lang w:val="en-US" w:eastAsia="zh-CN" w:bidi="ar-SA"/>
        </w:rPr>
      </w:pPr>
    </w:p>
    <w:p w14:paraId="36F30EFA">
      <w:pPr>
        <w:jc w:val="center"/>
        <w:rPr>
          <w:rFonts w:hint="eastAsia" w:cs="宋体" w:asciiTheme="majorEastAsia" w:hAnsiTheme="majorEastAsia" w:eastAsiaTheme="majorEastAsia"/>
          <w:kern w:val="2"/>
          <w:sz w:val="30"/>
          <w:szCs w:val="30"/>
          <w:lang w:val="en-US" w:eastAsia="zh-CN" w:bidi="ar-SA"/>
        </w:rPr>
      </w:pPr>
    </w:p>
    <w:p w14:paraId="5E0A56C1">
      <w:pPr>
        <w:jc w:val="center"/>
        <w:rPr>
          <w:rFonts w:hint="eastAsia" w:cs="宋体" w:asciiTheme="majorEastAsia" w:hAnsiTheme="majorEastAsia" w:eastAsiaTheme="majorEastAsia"/>
          <w:kern w:val="2"/>
          <w:sz w:val="30"/>
          <w:szCs w:val="30"/>
          <w:lang w:val="en-US" w:eastAsia="zh-CN" w:bidi="ar-SA"/>
        </w:rPr>
      </w:pPr>
    </w:p>
    <w:p w14:paraId="5F45496F">
      <w:pPr>
        <w:jc w:val="center"/>
        <w:rPr>
          <w:rFonts w:hint="eastAsia" w:cs="宋体" w:asciiTheme="majorEastAsia" w:hAnsiTheme="majorEastAsia" w:eastAsiaTheme="majorEastAsia"/>
          <w:kern w:val="2"/>
          <w:sz w:val="30"/>
          <w:szCs w:val="30"/>
          <w:lang w:val="en-US" w:eastAsia="zh-CN" w:bidi="ar-SA"/>
        </w:rPr>
      </w:pPr>
    </w:p>
    <w:p w14:paraId="770773E4">
      <w:pPr>
        <w:jc w:val="center"/>
        <w:rPr>
          <w:rFonts w:hint="eastAsia" w:cs="宋体" w:asciiTheme="majorEastAsia" w:hAnsiTheme="majorEastAsia" w:eastAsiaTheme="majorEastAsia"/>
          <w:kern w:val="2"/>
          <w:sz w:val="30"/>
          <w:szCs w:val="30"/>
          <w:lang w:val="en-US" w:eastAsia="zh-CN" w:bidi="ar-SA"/>
        </w:rPr>
      </w:pPr>
    </w:p>
    <w:p w14:paraId="43F79933">
      <w:pPr>
        <w:jc w:val="center"/>
        <w:rPr>
          <w:rFonts w:hint="eastAsia" w:cs="宋体" w:asciiTheme="majorEastAsia" w:hAnsiTheme="majorEastAsia" w:eastAsiaTheme="majorEastAsia"/>
          <w:kern w:val="2"/>
          <w:sz w:val="30"/>
          <w:szCs w:val="30"/>
          <w:lang w:val="en-US" w:eastAsia="zh-CN" w:bidi="ar-SA"/>
        </w:rPr>
      </w:pPr>
    </w:p>
    <w:p w14:paraId="5FF718F7">
      <w:pPr>
        <w:jc w:val="center"/>
        <w:outlineLvl w:val="0"/>
        <w:rPr>
          <w:rFonts w:hint="default" w:cs="宋体" w:asciiTheme="majorEastAsia" w:hAnsiTheme="majorEastAsia" w:eastAsiaTheme="majorEastAsia"/>
          <w:kern w:val="2"/>
          <w:sz w:val="30"/>
          <w:szCs w:val="30"/>
          <w:lang w:val="en-US" w:eastAsia="zh-CN" w:bidi="ar-SA"/>
        </w:rPr>
      </w:pPr>
      <w:bookmarkStart w:id="31" w:name="_Toc29547"/>
      <w:r>
        <w:rPr>
          <w:rFonts w:hint="eastAsia" w:cs="宋体" w:asciiTheme="majorEastAsia" w:hAnsiTheme="majorEastAsia" w:eastAsiaTheme="majorEastAsia"/>
          <w:kern w:val="2"/>
          <w:sz w:val="30"/>
          <w:szCs w:val="30"/>
          <w:lang w:val="en-US" w:eastAsia="zh-CN" w:bidi="ar-SA"/>
        </w:rPr>
        <w:t>（八）福田区第二人民医院</w:t>
      </w:r>
      <w:bookmarkEnd w:id="31"/>
      <w:r>
        <w:rPr>
          <w:rFonts w:hint="eastAsia" w:cs="宋体" w:asciiTheme="majorEastAsia" w:hAnsiTheme="majorEastAsia" w:eastAsiaTheme="majorEastAsia"/>
          <w:kern w:val="2"/>
          <w:sz w:val="30"/>
          <w:szCs w:val="30"/>
          <w:lang w:val="en-US" w:eastAsia="zh-CN" w:bidi="ar-SA"/>
        </w:rPr>
        <w:t>开标一栏表</w:t>
      </w:r>
    </w:p>
    <w:p w14:paraId="0F8F2EE2">
      <w:pPr>
        <w:rPr>
          <w:rFonts w:hint="eastAsia" w:ascii="宋体" w:hAnsi="宋体"/>
          <w:szCs w:val="21"/>
        </w:rPr>
      </w:pPr>
    </w:p>
    <w:p w14:paraId="453E124E">
      <w:pPr>
        <w:rPr>
          <w:rFonts w:asciiTheme="minorEastAsia" w:hAnsiTheme="minorEastAsia" w:cstheme="minorEastAsia"/>
          <w:szCs w:val="21"/>
        </w:rPr>
      </w:pPr>
      <w:r>
        <w:rPr>
          <w:rFonts w:hint="eastAsia" w:ascii="宋体" w:hAnsi="宋体"/>
          <w:szCs w:val="21"/>
        </w:rPr>
        <w:t xml:space="preserve">供应商名称：                                             </w:t>
      </w:r>
      <w:r>
        <w:rPr>
          <w:rFonts w:hint="eastAsia" w:asciiTheme="minorEastAsia" w:hAnsiTheme="minorEastAsia" w:cstheme="minorEastAsia"/>
          <w:szCs w:val="21"/>
        </w:rPr>
        <w:t>单位：人民币元</w:t>
      </w:r>
    </w:p>
    <w:tbl>
      <w:tblPr>
        <w:tblStyle w:val="17"/>
        <w:tblW w:w="10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675"/>
        <w:gridCol w:w="1380"/>
        <w:gridCol w:w="885"/>
        <w:gridCol w:w="1080"/>
        <w:gridCol w:w="675"/>
        <w:gridCol w:w="660"/>
        <w:gridCol w:w="645"/>
        <w:gridCol w:w="915"/>
        <w:gridCol w:w="1320"/>
        <w:gridCol w:w="1185"/>
        <w:gridCol w:w="570"/>
      </w:tblGrid>
      <w:tr w14:paraId="7C590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46" w:type="dxa"/>
            <w:tcBorders>
              <w:top w:val="single" w:color="auto" w:sz="4" w:space="0"/>
              <w:left w:val="single" w:color="auto" w:sz="4" w:space="0"/>
              <w:bottom w:val="single" w:color="auto" w:sz="4" w:space="0"/>
              <w:right w:val="single" w:color="auto" w:sz="4" w:space="0"/>
            </w:tcBorders>
            <w:vAlign w:val="center"/>
          </w:tcPr>
          <w:p w14:paraId="0B2C8F68">
            <w:pPr>
              <w:spacing w:line="400" w:lineRule="exact"/>
              <w:jc w:val="center"/>
              <w:rPr>
                <w:rFonts w:hint="eastAsia" w:ascii="宋体" w:hAnsi="宋体" w:eastAsia="宋体" w:cs="宋体"/>
                <w:b w:val="0"/>
                <w:bCs/>
                <w:szCs w:val="21"/>
                <w:highlight w:val="yellow"/>
              </w:rPr>
            </w:pPr>
            <w:r>
              <w:rPr>
                <w:rFonts w:hint="eastAsia" w:ascii="宋体" w:hAnsi="宋体" w:eastAsia="宋体" w:cs="宋体"/>
                <w:b w:val="0"/>
                <w:bCs/>
                <w:szCs w:val="21"/>
              </w:rPr>
              <w:t>序号</w:t>
            </w:r>
          </w:p>
        </w:tc>
        <w:tc>
          <w:tcPr>
            <w:tcW w:w="675" w:type="dxa"/>
            <w:tcBorders>
              <w:top w:val="single" w:color="auto" w:sz="4" w:space="0"/>
              <w:left w:val="single" w:color="auto" w:sz="4" w:space="0"/>
              <w:bottom w:val="single" w:color="auto" w:sz="4" w:space="0"/>
              <w:right w:val="single" w:color="auto" w:sz="4" w:space="0"/>
            </w:tcBorders>
            <w:vAlign w:val="center"/>
          </w:tcPr>
          <w:p w14:paraId="6A315424">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项目名称</w:t>
            </w:r>
          </w:p>
        </w:tc>
        <w:tc>
          <w:tcPr>
            <w:tcW w:w="1380" w:type="dxa"/>
            <w:tcBorders>
              <w:top w:val="single" w:color="auto" w:sz="4" w:space="0"/>
              <w:left w:val="single" w:color="auto" w:sz="4" w:space="0"/>
              <w:bottom w:val="single" w:color="auto" w:sz="4" w:space="0"/>
              <w:right w:val="single" w:color="auto" w:sz="4" w:space="0"/>
            </w:tcBorders>
            <w:vAlign w:val="center"/>
          </w:tcPr>
          <w:p w14:paraId="51757965">
            <w:pPr>
              <w:spacing w:line="400" w:lineRule="exact"/>
              <w:jc w:val="center"/>
              <w:rPr>
                <w:rFonts w:hint="eastAsia" w:ascii="宋体" w:hAnsi="宋体" w:eastAsia="宋体" w:cs="宋体"/>
                <w:b w:val="0"/>
                <w:bCs/>
                <w:szCs w:val="21"/>
                <w:highlight w:val="yellow"/>
              </w:rPr>
            </w:pPr>
            <w:r>
              <w:rPr>
                <w:rFonts w:hint="eastAsia" w:ascii="宋体" w:hAnsi="宋体" w:eastAsia="宋体" w:cs="宋体"/>
                <w:b w:val="0"/>
                <w:bCs/>
                <w:szCs w:val="21"/>
              </w:rPr>
              <w:t>产品名称（注册证名称）</w:t>
            </w:r>
          </w:p>
        </w:tc>
        <w:tc>
          <w:tcPr>
            <w:tcW w:w="885" w:type="dxa"/>
            <w:tcBorders>
              <w:top w:val="single" w:color="auto" w:sz="4" w:space="0"/>
              <w:left w:val="single" w:color="auto" w:sz="4" w:space="0"/>
              <w:bottom w:val="single" w:color="auto" w:sz="4" w:space="0"/>
              <w:right w:val="single" w:color="auto" w:sz="4" w:space="0"/>
            </w:tcBorders>
            <w:vAlign w:val="center"/>
          </w:tcPr>
          <w:p w14:paraId="05B1350F">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产品注册证号</w:t>
            </w:r>
          </w:p>
        </w:tc>
        <w:tc>
          <w:tcPr>
            <w:tcW w:w="1080" w:type="dxa"/>
            <w:tcBorders>
              <w:top w:val="single" w:color="auto" w:sz="4" w:space="0"/>
              <w:left w:val="single" w:color="auto" w:sz="4" w:space="0"/>
              <w:bottom w:val="single" w:color="auto" w:sz="4" w:space="0"/>
              <w:right w:val="single" w:color="auto" w:sz="4" w:space="0"/>
            </w:tcBorders>
            <w:vAlign w:val="center"/>
          </w:tcPr>
          <w:p w14:paraId="3826FE36">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品牌及规格型号</w:t>
            </w:r>
          </w:p>
        </w:tc>
        <w:tc>
          <w:tcPr>
            <w:tcW w:w="675" w:type="dxa"/>
            <w:tcBorders>
              <w:top w:val="single" w:color="auto" w:sz="4" w:space="0"/>
              <w:left w:val="single" w:color="auto" w:sz="4" w:space="0"/>
              <w:bottom w:val="single" w:color="auto" w:sz="4" w:space="0"/>
              <w:right w:val="single" w:color="auto" w:sz="4" w:space="0"/>
            </w:tcBorders>
            <w:vAlign w:val="center"/>
          </w:tcPr>
          <w:p w14:paraId="07105EEF">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包装规格</w:t>
            </w:r>
          </w:p>
        </w:tc>
        <w:tc>
          <w:tcPr>
            <w:tcW w:w="660" w:type="dxa"/>
            <w:tcBorders>
              <w:top w:val="single" w:color="auto" w:sz="4" w:space="0"/>
              <w:left w:val="single" w:color="auto" w:sz="4" w:space="0"/>
              <w:bottom w:val="single" w:color="auto" w:sz="4" w:space="0"/>
              <w:right w:val="single" w:color="auto" w:sz="4" w:space="0"/>
            </w:tcBorders>
            <w:vAlign w:val="center"/>
          </w:tcPr>
          <w:p w14:paraId="103027C1">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生产企业</w:t>
            </w:r>
          </w:p>
        </w:tc>
        <w:tc>
          <w:tcPr>
            <w:tcW w:w="645" w:type="dxa"/>
            <w:tcBorders>
              <w:top w:val="single" w:color="auto" w:sz="4" w:space="0"/>
              <w:left w:val="single" w:color="auto" w:sz="4" w:space="0"/>
              <w:bottom w:val="single" w:color="auto" w:sz="4" w:space="0"/>
              <w:right w:val="single" w:color="auto" w:sz="4" w:space="0"/>
            </w:tcBorders>
            <w:vAlign w:val="center"/>
          </w:tcPr>
          <w:p w14:paraId="78333A58">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报价单位</w:t>
            </w:r>
          </w:p>
        </w:tc>
        <w:tc>
          <w:tcPr>
            <w:tcW w:w="915" w:type="dxa"/>
            <w:tcBorders>
              <w:top w:val="single" w:color="auto" w:sz="4" w:space="0"/>
              <w:left w:val="single" w:color="auto" w:sz="4" w:space="0"/>
              <w:bottom w:val="single" w:color="auto" w:sz="4" w:space="0"/>
              <w:right w:val="single" w:color="auto" w:sz="4" w:space="0"/>
            </w:tcBorders>
            <w:vAlign w:val="center"/>
          </w:tcPr>
          <w:p w14:paraId="480FBE9D">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投标价（元）</w:t>
            </w:r>
          </w:p>
        </w:tc>
        <w:tc>
          <w:tcPr>
            <w:tcW w:w="1320" w:type="dxa"/>
            <w:tcBorders>
              <w:top w:val="single" w:color="auto" w:sz="4" w:space="0"/>
              <w:left w:val="single" w:color="auto" w:sz="4" w:space="0"/>
              <w:bottom w:val="single" w:color="auto" w:sz="4" w:space="0"/>
              <w:right w:val="single" w:color="auto" w:sz="4" w:space="0"/>
            </w:tcBorders>
            <w:vAlign w:val="center"/>
          </w:tcPr>
          <w:p w14:paraId="7CBF9A12">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目前在用二甲以上医院客户名单</w:t>
            </w:r>
          </w:p>
        </w:tc>
        <w:tc>
          <w:tcPr>
            <w:tcW w:w="1185" w:type="dxa"/>
            <w:tcBorders>
              <w:top w:val="single" w:color="auto" w:sz="4" w:space="0"/>
              <w:left w:val="single" w:color="auto" w:sz="4" w:space="0"/>
              <w:bottom w:val="single" w:color="auto" w:sz="4" w:space="0"/>
              <w:right w:val="single" w:color="auto" w:sz="4" w:space="0"/>
            </w:tcBorders>
            <w:vAlign w:val="center"/>
          </w:tcPr>
          <w:p w14:paraId="3262CC51">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二甲以上医院供货价格</w:t>
            </w:r>
          </w:p>
        </w:tc>
        <w:tc>
          <w:tcPr>
            <w:tcW w:w="570" w:type="dxa"/>
            <w:tcBorders>
              <w:top w:val="single" w:color="auto" w:sz="4" w:space="0"/>
              <w:left w:val="single" w:color="auto" w:sz="4" w:space="0"/>
              <w:bottom w:val="single" w:color="auto" w:sz="4" w:space="0"/>
              <w:right w:val="single" w:color="auto" w:sz="4" w:space="0"/>
            </w:tcBorders>
            <w:vAlign w:val="center"/>
          </w:tcPr>
          <w:p w14:paraId="49454E65">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备注</w:t>
            </w:r>
          </w:p>
        </w:tc>
      </w:tr>
      <w:tr w14:paraId="416C5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46" w:type="dxa"/>
            <w:tcBorders>
              <w:top w:val="single" w:color="auto" w:sz="4" w:space="0"/>
              <w:left w:val="single" w:color="auto" w:sz="4" w:space="0"/>
              <w:bottom w:val="single" w:color="auto" w:sz="4" w:space="0"/>
              <w:right w:val="single" w:color="auto" w:sz="4" w:space="0"/>
            </w:tcBorders>
            <w:vAlign w:val="center"/>
          </w:tcPr>
          <w:p w14:paraId="57709F06">
            <w:pPr>
              <w:spacing w:line="400" w:lineRule="exact"/>
              <w:jc w:val="center"/>
              <w:rPr>
                <w:rFonts w:ascii="宋体" w:hAnsi="宋体"/>
                <w:bCs/>
                <w:szCs w:val="21"/>
              </w:rPr>
            </w:pPr>
            <w:r>
              <w:rPr>
                <w:rFonts w:hint="eastAsia" w:ascii="宋体" w:hAnsi="宋体"/>
                <w:bCs/>
                <w:szCs w:val="21"/>
              </w:rPr>
              <w:t>1</w:t>
            </w:r>
          </w:p>
        </w:tc>
        <w:tc>
          <w:tcPr>
            <w:tcW w:w="675" w:type="dxa"/>
            <w:tcBorders>
              <w:top w:val="single" w:color="auto" w:sz="4" w:space="0"/>
              <w:left w:val="single" w:color="auto" w:sz="4" w:space="0"/>
              <w:bottom w:val="single" w:color="auto" w:sz="4" w:space="0"/>
              <w:right w:val="single" w:color="auto" w:sz="4" w:space="0"/>
            </w:tcBorders>
            <w:vAlign w:val="center"/>
          </w:tcPr>
          <w:p w14:paraId="2BBAD9A9">
            <w:pPr>
              <w:spacing w:line="400" w:lineRule="exact"/>
              <w:jc w:val="center"/>
              <w:rPr>
                <w:rFonts w:ascii="宋体" w:hAnsi="宋体"/>
                <w:sz w:val="18"/>
                <w:szCs w:val="18"/>
              </w:rPr>
            </w:pPr>
          </w:p>
        </w:tc>
        <w:tc>
          <w:tcPr>
            <w:tcW w:w="1380" w:type="dxa"/>
            <w:tcBorders>
              <w:top w:val="single" w:color="auto" w:sz="4" w:space="0"/>
              <w:left w:val="single" w:color="auto" w:sz="4" w:space="0"/>
              <w:bottom w:val="single" w:color="auto" w:sz="4" w:space="0"/>
              <w:right w:val="single" w:color="auto" w:sz="4" w:space="0"/>
            </w:tcBorders>
            <w:vAlign w:val="center"/>
          </w:tcPr>
          <w:p w14:paraId="578D0D0B">
            <w:pPr>
              <w:spacing w:line="400" w:lineRule="exact"/>
              <w:jc w:val="center"/>
              <w:rPr>
                <w:rFonts w:ascii="宋体" w:hAnsi="宋体"/>
                <w:sz w:val="18"/>
                <w:szCs w:val="18"/>
              </w:rPr>
            </w:pPr>
          </w:p>
        </w:tc>
        <w:tc>
          <w:tcPr>
            <w:tcW w:w="885" w:type="dxa"/>
            <w:tcBorders>
              <w:top w:val="single" w:color="auto" w:sz="4" w:space="0"/>
              <w:left w:val="single" w:color="auto" w:sz="4" w:space="0"/>
              <w:bottom w:val="single" w:color="auto" w:sz="4" w:space="0"/>
              <w:right w:val="single" w:color="auto" w:sz="4" w:space="0"/>
            </w:tcBorders>
            <w:vAlign w:val="center"/>
          </w:tcPr>
          <w:p w14:paraId="57ECADB6">
            <w:pPr>
              <w:spacing w:line="400" w:lineRule="exact"/>
              <w:jc w:val="center"/>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12C7424D">
            <w:pPr>
              <w:spacing w:line="400" w:lineRule="exact"/>
              <w:jc w:val="center"/>
              <w:rPr>
                <w:rFonts w:ascii="宋体" w:hAnsi="宋体"/>
                <w:sz w:val="18"/>
                <w:szCs w:val="18"/>
              </w:rPr>
            </w:pPr>
          </w:p>
        </w:tc>
        <w:tc>
          <w:tcPr>
            <w:tcW w:w="675" w:type="dxa"/>
            <w:tcBorders>
              <w:top w:val="single" w:color="auto" w:sz="4" w:space="0"/>
              <w:left w:val="single" w:color="auto" w:sz="4" w:space="0"/>
              <w:bottom w:val="single" w:color="auto" w:sz="4" w:space="0"/>
              <w:right w:val="single" w:color="auto" w:sz="4" w:space="0"/>
            </w:tcBorders>
            <w:vAlign w:val="center"/>
          </w:tcPr>
          <w:p w14:paraId="6B958EE8">
            <w:pPr>
              <w:spacing w:line="400" w:lineRule="exact"/>
              <w:jc w:val="center"/>
              <w:rPr>
                <w:rFonts w:ascii="宋体" w:hAnsi="宋体"/>
                <w:szCs w:val="21"/>
              </w:rPr>
            </w:pPr>
          </w:p>
        </w:tc>
        <w:tc>
          <w:tcPr>
            <w:tcW w:w="660" w:type="dxa"/>
            <w:tcBorders>
              <w:top w:val="single" w:color="auto" w:sz="4" w:space="0"/>
              <w:left w:val="single" w:color="auto" w:sz="4" w:space="0"/>
              <w:bottom w:val="single" w:color="auto" w:sz="4" w:space="0"/>
              <w:right w:val="single" w:color="auto" w:sz="4" w:space="0"/>
            </w:tcBorders>
            <w:vAlign w:val="center"/>
          </w:tcPr>
          <w:p w14:paraId="13C70B8F">
            <w:pPr>
              <w:spacing w:line="400" w:lineRule="exact"/>
              <w:jc w:val="center"/>
              <w:rPr>
                <w:rFonts w:ascii="宋体" w:hAnsi="宋体"/>
                <w:szCs w:val="21"/>
              </w:rPr>
            </w:pPr>
          </w:p>
        </w:tc>
        <w:tc>
          <w:tcPr>
            <w:tcW w:w="645" w:type="dxa"/>
            <w:tcBorders>
              <w:top w:val="single" w:color="auto" w:sz="4" w:space="0"/>
              <w:left w:val="single" w:color="auto" w:sz="4" w:space="0"/>
              <w:bottom w:val="single" w:color="auto" w:sz="4" w:space="0"/>
              <w:right w:val="single" w:color="auto" w:sz="4" w:space="0"/>
            </w:tcBorders>
            <w:vAlign w:val="center"/>
          </w:tcPr>
          <w:p w14:paraId="2A1A1375">
            <w:pPr>
              <w:spacing w:line="400" w:lineRule="exact"/>
              <w:jc w:val="center"/>
              <w:rPr>
                <w:rFonts w:ascii="宋体" w:hAnsi="宋体"/>
                <w:szCs w:val="21"/>
              </w:rPr>
            </w:pPr>
          </w:p>
        </w:tc>
        <w:tc>
          <w:tcPr>
            <w:tcW w:w="915" w:type="dxa"/>
            <w:tcBorders>
              <w:top w:val="single" w:color="auto" w:sz="4" w:space="0"/>
              <w:left w:val="single" w:color="auto" w:sz="4" w:space="0"/>
              <w:bottom w:val="single" w:color="auto" w:sz="4" w:space="0"/>
              <w:right w:val="single" w:color="auto" w:sz="4" w:space="0"/>
            </w:tcBorders>
            <w:vAlign w:val="center"/>
          </w:tcPr>
          <w:p w14:paraId="7D8D7398">
            <w:pPr>
              <w:spacing w:line="400" w:lineRule="exact"/>
              <w:jc w:val="center"/>
              <w:rPr>
                <w:rFonts w:ascii="宋体" w:hAnsi="宋体"/>
                <w:szCs w:val="21"/>
              </w:rPr>
            </w:pPr>
          </w:p>
        </w:tc>
        <w:tc>
          <w:tcPr>
            <w:tcW w:w="1320" w:type="dxa"/>
            <w:tcBorders>
              <w:top w:val="single" w:color="auto" w:sz="4" w:space="0"/>
              <w:left w:val="single" w:color="auto" w:sz="4" w:space="0"/>
              <w:bottom w:val="single" w:color="auto" w:sz="4" w:space="0"/>
              <w:right w:val="single" w:color="auto" w:sz="4" w:space="0"/>
            </w:tcBorders>
            <w:vAlign w:val="center"/>
          </w:tcPr>
          <w:p w14:paraId="7C29BA6E">
            <w:pPr>
              <w:spacing w:line="400" w:lineRule="exact"/>
              <w:jc w:val="center"/>
              <w:rPr>
                <w:rFonts w:ascii="宋体" w:hAnsi="宋体"/>
                <w:szCs w:val="21"/>
              </w:rPr>
            </w:pPr>
          </w:p>
        </w:tc>
        <w:tc>
          <w:tcPr>
            <w:tcW w:w="1185" w:type="dxa"/>
            <w:tcBorders>
              <w:top w:val="single" w:color="auto" w:sz="4" w:space="0"/>
              <w:left w:val="single" w:color="auto" w:sz="4" w:space="0"/>
              <w:bottom w:val="single" w:color="auto" w:sz="4" w:space="0"/>
              <w:right w:val="single" w:color="auto" w:sz="4" w:space="0"/>
            </w:tcBorders>
            <w:vAlign w:val="center"/>
          </w:tcPr>
          <w:p w14:paraId="7F2CF7EC">
            <w:pPr>
              <w:widowControl/>
              <w:jc w:val="center"/>
              <w:rPr>
                <w:rFonts w:ascii="宋体" w:hAnsi="宋体"/>
                <w:szCs w:val="21"/>
              </w:rPr>
            </w:pPr>
          </w:p>
        </w:tc>
        <w:tc>
          <w:tcPr>
            <w:tcW w:w="570" w:type="dxa"/>
            <w:tcBorders>
              <w:top w:val="single" w:color="auto" w:sz="4" w:space="0"/>
              <w:left w:val="single" w:color="auto" w:sz="4" w:space="0"/>
              <w:bottom w:val="single" w:color="auto" w:sz="4" w:space="0"/>
              <w:right w:val="single" w:color="auto" w:sz="4" w:space="0"/>
            </w:tcBorders>
            <w:vAlign w:val="center"/>
          </w:tcPr>
          <w:p w14:paraId="4EB1D4F6">
            <w:pPr>
              <w:widowControl/>
              <w:jc w:val="center"/>
              <w:rPr>
                <w:rFonts w:ascii="宋体" w:hAnsi="宋体"/>
                <w:sz w:val="18"/>
                <w:szCs w:val="18"/>
              </w:rPr>
            </w:pPr>
          </w:p>
        </w:tc>
      </w:tr>
      <w:tr w14:paraId="61EEF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14:paraId="4258B820">
            <w:pPr>
              <w:spacing w:line="400" w:lineRule="exact"/>
              <w:jc w:val="center"/>
              <w:rPr>
                <w:color w:val="000000"/>
              </w:rPr>
            </w:pPr>
            <w:r>
              <w:rPr>
                <w:color w:val="000000"/>
              </w:rPr>
              <w:t>2</w:t>
            </w:r>
          </w:p>
        </w:tc>
        <w:tc>
          <w:tcPr>
            <w:tcW w:w="675" w:type="dxa"/>
            <w:tcBorders>
              <w:top w:val="single" w:color="auto" w:sz="4" w:space="0"/>
              <w:left w:val="single" w:color="auto" w:sz="4" w:space="0"/>
              <w:bottom w:val="single" w:color="auto" w:sz="4" w:space="0"/>
              <w:right w:val="single" w:color="auto" w:sz="4" w:space="0"/>
            </w:tcBorders>
            <w:vAlign w:val="center"/>
          </w:tcPr>
          <w:p w14:paraId="14851A80">
            <w:pPr>
              <w:spacing w:line="400" w:lineRule="exact"/>
              <w:jc w:val="center"/>
              <w:rPr>
                <w:rFonts w:ascii="宋体" w:hAnsi="宋体"/>
                <w:szCs w:val="21"/>
              </w:rPr>
            </w:pPr>
          </w:p>
        </w:tc>
        <w:tc>
          <w:tcPr>
            <w:tcW w:w="1380" w:type="dxa"/>
            <w:tcBorders>
              <w:top w:val="single" w:color="auto" w:sz="4" w:space="0"/>
              <w:left w:val="single" w:color="auto" w:sz="4" w:space="0"/>
              <w:bottom w:val="single" w:color="auto" w:sz="4" w:space="0"/>
              <w:right w:val="single" w:color="auto" w:sz="4" w:space="0"/>
            </w:tcBorders>
            <w:vAlign w:val="center"/>
          </w:tcPr>
          <w:p w14:paraId="0F70BF10">
            <w:pPr>
              <w:spacing w:line="400" w:lineRule="exact"/>
              <w:jc w:val="center"/>
              <w:rPr>
                <w:rFonts w:ascii="宋体" w:hAnsi="宋体"/>
                <w:szCs w:val="21"/>
              </w:rPr>
            </w:pPr>
          </w:p>
        </w:tc>
        <w:tc>
          <w:tcPr>
            <w:tcW w:w="885" w:type="dxa"/>
            <w:tcBorders>
              <w:top w:val="single" w:color="auto" w:sz="4" w:space="0"/>
              <w:left w:val="single" w:color="auto" w:sz="4" w:space="0"/>
              <w:bottom w:val="single" w:color="auto" w:sz="4" w:space="0"/>
              <w:right w:val="single" w:color="auto" w:sz="4" w:space="0"/>
            </w:tcBorders>
            <w:vAlign w:val="center"/>
          </w:tcPr>
          <w:p w14:paraId="058FB756">
            <w:pPr>
              <w:spacing w:line="400" w:lineRule="exact"/>
              <w:jc w:val="center"/>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25060AEC">
            <w:pPr>
              <w:spacing w:line="400" w:lineRule="exact"/>
              <w:jc w:val="center"/>
              <w:rPr>
                <w:rFonts w:ascii="宋体" w:hAnsi="宋体"/>
                <w:sz w:val="18"/>
                <w:szCs w:val="18"/>
              </w:rPr>
            </w:pPr>
          </w:p>
        </w:tc>
        <w:tc>
          <w:tcPr>
            <w:tcW w:w="675" w:type="dxa"/>
            <w:tcBorders>
              <w:top w:val="single" w:color="auto" w:sz="4" w:space="0"/>
              <w:left w:val="single" w:color="auto" w:sz="4" w:space="0"/>
              <w:bottom w:val="single" w:color="auto" w:sz="4" w:space="0"/>
              <w:right w:val="single" w:color="auto" w:sz="4" w:space="0"/>
            </w:tcBorders>
            <w:vAlign w:val="center"/>
          </w:tcPr>
          <w:p w14:paraId="0651428A">
            <w:pPr>
              <w:spacing w:line="400" w:lineRule="exact"/>
              <w:jc w:val="center"/>
              <w:rPr>
                <w:rFonts w:ascii="宋体" w:hAnsi="宋体"/>
                <w:szCs w:val="21"/>
              </w:rPr>
            </w:pPr>
          </w:p>
        </w:tc>
        <w:tc>
          <w:tcPr>
            <w:tcW w:w="660" w:type="dxa"/>
            <w:tcBorders>
              <w:top w:val="single" w:color="auto" w:sz="4" w:space="0"/>
              <w:left w:val="single" w:color="auto" w:sz="4" w:space="0"/>
              <w:bottom w:val="single" w:color="auto" w:sz="4" w:space="0"/>
              <w:right w:val="single" w:color="auto" w:sz="4" w:space="0"/>
            </w:tcBorders>
            <w:vAlign w:val="center"/>
          </w:tcPr>
          <w:p w14:paraId="05BEE9F3">
            <w:pPr>
              <w:spacing w:line="400" w:lineRule="exact"/>
              <w:jc w:val="center"/>
              <w:rPr>
                <w:rFonts w:ascii="宋体" w:hAnsi="宋体"/>
                <w:szCs w:val="21"/>
              </w:rPr>
            </w:pPr>
          </w:p>
        </w:tc>
        <w:tc>
          <w:tcPr>
            <w:tcW w:w="645" w:type="dxa"/>
            <w:tcBorders>
              <w:top w:val="single" w:color="auto" w:sz="4" w:space="0"/>
              <w:left w:val="single" w:color="auto" w:sz="4" w:space="0"/>
              <w:bottom w:val="single" w:color="auto" w:sz="4" w:space="0"/>
              <w:right w:val="single" w:color="auto" w:sz="4" w:space="0"/>
            </w:tcBorders>
            <w:vAlign w:val="center"/>
          </w:tcPr>
          <w:p w14:paraId="72B09A68">
            <w:pPr>
              <w:spacing w:line="400" w:lineRule="exact"/>
              <w:jc w:val="center"/>
              <w:rPr>
                <w:rFonts w:ascii="宋体" w:hAnsi="宋体"/>
                <w:szCs w:val="21"/>
              </w:rPr>
            </w:pPr>
          </w:p>
        </w:tc>
        <w:tc>
          <w:tcPr>
            <w:tcW w:w="915" w:type="dxa"/>
            <w:tcBorders>
              <w:top w:val="single" w:color="auto" w:sz="4" w:space="0"/>
              <w:left w:val="single" w:color="auto" w:sz="4" w:space="0"/>
              <w:bottom w:val="single" w:color="auto" w:sz="4" w:space="0"/>
              <w:right w:val="single" w:color="auto" w:sz="4" w:space="0"/>
            </w:tcBorders>
            <w:vAlign w:val="center"/>
          </w:tcPr>
          <w:p w14:paraId="5A08E9E0">
            <w:pPr>
              <w:spacing w:line="400" w:lineRule="exact"/>
              <w:jc w:val="center"/>
              <w:rPr>
                <w:rFonts w:ascii="宋体" w:hAnsi="宋体"/>
                <w:szCs w:val="21"/>
              </w:rPr>
            </w:pPr>
          </w:p>
        </w:tc>
        <w:tc>
          <w:tcPr>
            <w:tcW w:w="1320" w:type="dxa"/>
            <w:tcBorders>
              <w:top w:val="single" w:color="auto" w:sz="4" w:space="0"/>
              <w:left w:val="single" w:color="auto" w:sz="4" w:space="0"/>
              <w:bottom w:val="single" w:color="auto" w:sz="4" w:space="0"/>
              <w:right w:val="single" w:color="auto" w:sz="4" w:space="0"/>
            </w:tcBorders>
            <w:vAlign w:val="center"/>
          </w:tcPr>
          <w:p w14:paraId="5B90957A">
            <w:pPr>
              <w:spacing w:line="400" w:lineRule="exact"/>
              <w:jc w:val="center"/>
              <w:rPr>
                <w:rFonts w:ascii="宋体" w:hAnsi="宋体"/>
                <w:szCs w:val="21"/>
              </w:rPr>
            </w:pPr>
          </w:p>
        </w:tc>
        <w:tc>
          <w:tcPr>
            <w:tcW w:w="1185" w:type="dxa"/>
            <w:tcBorders>
              <w:top w:val="single" w:color="auto" w:sz="4" w:space="0"/>
              <w:left w:val="single" w:color="auto" w:sz="4" w:space="0"/>
              <w:bottom w:val="single" w:color="auto" w:sz="4" w:space="0"/>
              <w:right w:val="single" w:color="auto" w:sz="4" w:space="0"/>
            </w:tcBorders>
            <w:vAlign w:val="center"/>
          </w:tcPr>
          <w:p w14:paraId="6D252DA2">
            <w:pPr>
              <w:widowControl/>
              <w:jc w:val="center"/>
              <w:rPr>
                <w:rFonts w:ascii="宋体" w:hAnsi="宋体"/>
                <w:szCs w:val="21"/>
              </w:rPr>
            </w:pPr>
          </w:p>
        </w:tc>
        <w:tc>
          <w:tcPr>
            <w:tcW w:w="570" w:type="dxa"/>
            <w:tcBorders>
              <w:top w:val="single" w:color="auto" w:sz="4" w:space="0"/>
              <w:left w:val="single" w:color="auto" w:sz="4" w:space="0"/>
              <w:bottom w:val="single" w:color="auto" w:sz="4" w:space="0"/>
              <w:right w:val="single" w:color="auto" w:sz="4" w:space="0"/>
            </w:tcBorders>
            <w:vAlign w:val="center"/>
          </w:tcPr>
          <w:p w14:paraId="453CA792">
            <w:pPr>
              <w:widowControl/>
              <w:jc w:val="center"/>
              <w:rPr>
                <w:rFonts w:ascii="宋体" w:hAnsi="宋体"/>
                <w:sz w:val="18"/>
                <w:szCs w:val="18"/>
              </w:rPr>
            </w:pPr>
          </w:p>
        </w:tc>
      </w:tr>
      <w:tr w14:paraId="1C5DF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46" w:type="dxa"/>
            <w:tcBorders>
              <w:top w:val="single" w:color="auto" w:sz="4" w:space="0"/>
              <w:left w:val="single" w:color="auto" w:sz="4" w:space="0"/>
              <w:bottom w:val="single" w:color="auto" w:sz="4" w:space="0"/>
              <w:right w:val="single" w:color="auto" w:sz="4" w:space="0"/>
            </w:tcBorders>
            <w:vAlign w:val="center"/>
          </w:tcPr>
          <w:p w14:paraId="37F6462D">
            <w:pPr>
              <w:spacing w:line="400" w:lineRule="exact"/>
              <w:jc w:val="center"/>
              <w:rPr>
                <w:rFonts w:ascii="宋体" w:hAnsi="宋体"/>
                <w:bCs/>
                <w:szCs w:val="21"/>
              </w:rPr>
            </w:pPr>
            <w:r>
              <w:rPr>
                <w:color w:val="000000"/>
              </w:rPr>
              <w:t>3</w:t>
            </w:r>
          </w:p>
        </w:tc>
        <w:tc>
          <w:tcPr>
            <w:tcW w:w="675" w:type="dxa"/>
            <w:tcBorders>
              <w:top w:val="single" w:color="auto" w:sz="4" w:space="0"/>
              <w:left w:val="single" w:color="auto" w:sz="4" w:space="0"/>
              <w:bottom w:val="single" w:color="auto" w:sz="4" w:space="0"/>
              <w:right w:val="single" w:color="auto" w:sz="4" w:space="0"/>
            </w:tcBorders>
            <w:vAlign w:val="center"/>
          </w:tcPr>
          <w:p w14:paraId="54199F7B">
            <w:pPr>
              <w:spacing w:line="400" w:lineRule="exact"/>
              <w:jc w:val="center"/>
              <w:rPr>
                <w:sz w:val="18"/>
                <w:szCs w:val="18"/>
              </w:rPr>
            </w:pPr>
          </w:p>
        </w:tc>
        <w:tc>
          <w:tcPr>
            <w:tcW w:w="1380" w:type="dxa"/>
            <w:tcBorders>
              <w:top w:val="single" w:color="auto" w:sz="4" w:space="0"/>
              <w:left w:val="single" w:color="auto" w:sz="4" w:space="0"/>
              <w:bottom w:val="single" w:color="auto" w:sz="4" w:space="0"/>
              <w:right w:val="single" w:color="auto" w:sz="4" w:space="0"/>
            </w:tcBorders>
            <w:vAlign w:val="center"/>
          </w:tcPr>
          <w:p w14:paraId="7F61DA20">
            <w:pPr>
              <w:spacing w:line="400" w:lineRule="exact"/>
              <w:jc w:val="center"/>
              <w:rPr>
                <w:rFonts w:ascii="宋体" w:hAnsi="宋体"/>
                <w:szCs w:val="21"/>
              </w:rPr>
            </w:pPr>
          </w:p>
        </w:tc>
        <w:tc>
          <w:tcPr>
            <w:tcW w:w="885" w:type="dxa"/>
            <w:tcBorders>
              <w:top w:val="single" w:color="auto" w:sz="4" w:space="0"/>
              <w:left w:val="single" w:color="auto" w:sz="4" w:space="0"/>
              <w:bottom w:val="single" w:color="auto" w:sz="4" w:space="0"/>
              <w:right w:val="single" w:color="auto" w:sz="4" w:space="0"/>
            </w:tcBorders>
            <w:vAlign w:val="center"/>
          </w:tcPr>
          <w:p w14:paraId="11598448">
            <w:pPr>
              <w:spacing w:line="400" w:lineRule="exact"/>
              <w:jc w:val="center"/>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292CC268">
            <w:pPr>
              <w:spacing w:line="400" w:lineRule="exact"/>
              <w:jc w:val="center"/>
              <w:rPr>
                <w:rFonts w:ascii="宋体" w:hAnsi="宋体"/>
                <w:sz w:val="18"/>
                <w:szCs w:val="18"/>
              </w:rPr>
            </w:pPr>
          </w:p>
        </w:tc>
        <w:tc>
          <w:tcPr>
            <w:tcW w:w="675" w:type="dxa"/>
            <w:tcBorders>
              <w:top w:val="single" w:color="auto" w:sz="4" w:space="0"/>
              <w:left w:val="single" w:color="auto" w:sz="4" w:space="0"/>
              <w:bottom w:val="single" w:color="auto" w:sz="4" w:space="0"/>
              <w:right w:val="single" w:color="auto" w:sz="4" w:space="0"/>
            </w:tcBorders>
            <w:vAlign w:val="center"/>
          </w:tcPr>
          <w:p w14:paraId="63C175DD">
            <w:pPr>
              <w:spacing w:line="400" w:lineRule="exact"/>
              <w:jc w:val="center"/>
              <w:rPr>
                <w:rFonts w:ascii="宋体" w:hAnsi="宋体"/>
                <w:szCs w:val="21"/>
              </w:rPr>
            </w:pPr>
          </w:p>
        </w:tc>
        <w:tc>
          <w:tcPr>
            <w:tcW w:w="660" w:type="dxa"/>
            <w:tcBorders>
              <w:top w:val="single" w:color="auto" w:sz="4" w:space="0"/>
              <w:left w:val="single" w:color="auto" w:sz="4" w:space="0"/>
              <w:bottom w:val="single" w:color="auto" w:sz="4" w:space="0"/>
              <w:right w:val="single" w:color="auto" w:sz="4" w:space="0"/>
            </w:tcBorders>
            <w:vAlign w:val="center"/>
          </w:tcPr>
          <w:p w14:paraId="2C620B93">
            <w:pPr>
              <w:spacing w:line="400" w:lineRule="exact"/>
              <w:jc w:val="center"/>
              <w:rPr>
                <w:rFonts w:ascii="宋体" w:hAnsi="宋体"/>
                <w:szCs w:val="21"/>
              </w:rPr>
            </w:pPr>
          </w:p>
        </w:tc>
        <w:tc>
          <w:tcPr>
            <w:tcW w:w="645" w:type="dxa"/>
            <w:tcBorders>
              <w:top w:val="single" w:color="auto" w:sz="4" w:space="0"/>
              <w:left w:val="single" w:color="auto" w:sz="4" w:space="0"/>
              <w:bottom w:val="single" w:color="auto" w:sz="4" w:space="0"/>
              <w:right w:val="single" w:color="auto" w:sz="4" w:space="0"/>
            </w:tcBorders>
            <w:vAlign w:val="center"/>
          </w:tcPr>
          <w:p w14:paraId="29292FD1">
            <w:pPr>
              <w:spacing w:line="400" w:lineRule="exact"/>
              <w:jc w:val="center"/>
              <w:rPr>
                <w:rFonts w:ascii="宋体" w:hAnsi="宋体"/>
                <w:szCs w:val="21"/>
              </w:rPr>
            </w:pPr>
          </w:p>
        </w:tc>
        <w:tc>
          <w:tcPr>
            <w:tcW w:w="915" w:type="dxa"/>
            <w:tcBorders>
              <w:top w:val="single" w:color="auto" w:sz="4" w:space="0"/>
              <w:left w:val="single" w:color="auto" w:sz="4" w:space="0"/>
              <w:bottom w:val="single" w:color="auto" w:sz="4" w:space="0"/>
              <w:right w:val="single" w:color="auto" w:sz="4" w:space="0"/>
            </w:tcBorders>
            <w:vAlign w:val="center"/>
          </w:tcPr>
          <w:p w14:paraId="6B0D1ECA">
            <w:pPr>
              <w:spacing w:line="400" w:lineRule="exact"/>
              <w:jc w:val="center"/>
              <w:rPr>
                <w:rFonts w:ascii="宋体" w:hAnsi="宋体"/>
                <w:szCs w:val="21"/>
              </w:rPr>
            </w:pPr>
          </w:p>
        </w:tc>
        <w:tc>
          <w:tcPr>
            <w:tcW w:w="1320" w:type="dxa"/>
            <w:tcBorders>
              <w:top w:val="single" w:color="auto" w:sz="4" w:space="0"/>
              <w:left w:val="single" w:color="auto" w:sz="4" w:space="0"/>
              <w:bottom w:val="single" w:color="auto" w:sz="4" w:space="0"/>
              <w:right w:val="single" w:color="auto" w:sz="4" w:space="0"/>
            </w:tcBorders>
            <w:vAlign w:val="center"/>
          </w:tcPr>
          <w:p w14:paraId="6C551E33">
            <w:pPr>
              <w:spacing w:line="400" w:lineRule="exact"/>
              <w:jc w:val="center"/>
              <w:rPr>
                <w:rFonts w:ascii="宋体" w:hAnsi="宋体"/>
                <w:szCs w:val="21"/>
              </w:rPr>
            </w:pPr>
          </w:p>
        </w:tc>
        <w:tc>
          <w:tcPr>
            <w:tcW w:w="1185" w:type="dxa"/>
            <w:tcBorders>
              <w:top w:val="single" w:color="auto" w:sz="4" w:space="0"/>
              <w:left w:val="single" w:color="auto" w:sz="4" w:space="0"/>
              <w:bottom w:val="single" w:color="auto" w:sz="4" w:space="0"/>
              <w:right w:val="single" w:color="auto" w:sz="4" w:space="0"/>
            </w:tcBorders>
            <w:vAlign w:val="center"/>
          </w:tcPr>
          <w:p w14:paraId="0352219C">
            <w:pPr>
              <w:widowControl/>
              <w:jc w:val="center"/>
              <w:rPr>
                <w:rFonts w:ascii="宋体" w:hAnsi="宋体"/>
                <w:szCs w:val="21"/>
              </w:rPr>
            </w:pPr>
          </w:p>
        </w:tc>
        <w:tc>
          <w:tcPr>
            <w:tcW w:w="570" w:type="dxa"/>
            <w:tcBorders>
              <w:top w:val="single" w:color="auto" w:sz="4" w:space="0"/>
              <w:left w:val="single" w:color="auto" w:sz="4" w:space="0"/>
              <w:bottom w:val="single" w:color="auto" w:sz="4" w:space="0"/>
              <w:right w:val="single" w:color="auto" w:sz="4" w:space="0"/>
            </w:tcBorders>
            <w:vAlign w:val="center"/>
          </w:tcPr>
          <w:p w14:paraId="0FB5C668">
            <w:pPr>
              <w:jc w:val="center"/>
            </w:pPr>
          </w:p>
        </w:tc>
      </w:tr>
      <w:tr w14:paraId="6C16E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46" w:type="dxa"/>
            <w:tcBorders>
              <w:top w:val="single" w:color="auto" w:sz="4" w:space="0"/>
              <w:left w:val="single" w:color="auto" w:sz="4" w:space="0"/>
              <w:bottom w:val="single" w:color="auto" w:sz="4" w:space="0"/>
              <w:right w:val="single" w:color="auto" w:sz="4" w:space="0"/>
            </w:tcBorders>
            <w:vAlign w:val="center"/>
          </w:tcPr>
          <w:p w14:paraId="22C5CC02">
            <w:pPr>
              <w:spacing w:line="400" w:lineRule="exact"/>
              <w:jc w:val="center"/>
              <w:rPr>
                <w:color w:val="000000"/>
              </w:rPr>
            </w:pPr>
            <w:r>
              <w:rPr>
                <w:rFonts w:hint="eastAsia"/>
                <w:szCs w:val="21"/>
              </w:rPr>
              <w:t>…</w:t>
            </w:r>
          </w:p>
        </w:tc>
        <w:tc>
          <w:tcPr>
            <w:tcW w:w="675" w:type="dxa"/>
            <w:tcBorders>
              <w:top w:val="single" w:color="auto" w:sz="4" w:space="0"/>
              <w:left w:val="single" w:color="auto" w:sz="4" w:space="0"/>
              <w:bottom w:val="single" w:color="auto" w:sz="4" w:space="0"/>
              <w:right w:val="single" w:color="auto" w:sz="4" w:space="0"/>
            </w:tcBorders>
            <w:vAlign w:val="center"/>
          </w:tcPr>
          <w:p w14:paraId="52B73993">
            <w:pPr>
              <w:spacing w:line="400" w:lineRule="exact"/>
              <w:jc w:val="center"/>
              <w:rPr>
                <w:sz w:val="18"/>
                <w:szCs w:val="18"/>
              </w:rPr>
            </w:pPr>
          </w:p>
        </w:tc>
        <w:tc>
          <w:tcPr>
            <w:tcW w:w="1380" w:type="dxa"/>
            <w:tcBorders>
              <w:top w:val="single" w:color="auto" w:sz="4" w:space="0"/>
              <w:left w:val="single" w:color="auto" w:sz="4" w:space="0"/>
              <w:bottom w:val="single" w:color="auto" w:sz="4" w:space="0"/>
              <w:right w:val="single" w:color="auto" w:sz="4" w:space="0"/>
            </w:tcBorders>
            <w:vAlign w:val="center"/>
          </w:tcPr>
          <w:p w14:paraId="4E2C5948">
            <w:pPr>
              <w:spacing w:line="400" w:lineRule="exact"/>
              <w:jc w:val="center"/>
              <w:rPr>
                <w:rFonts w:ascii="宋体" w:hAnsi="宋体"/>
                <w:szCs w:val="21"/>
              </w:rPr>
            </w:pPr>
          </w:p>
        </w:tc>
        <w:tc>
          <w:tcPr>
            <w:tcW w:w="885" w:type="dxa"/>
            <w:tcBorders>
              <w:top w:val="single" w:color="auto" w:sz="4" w:space="0"/>
              <w:left w:val="single" w:color="auto" w:sz="4" w:space="0"/>
              <w:bottom w:val="single" w:color="auto" w:sz="4" w:space="0"/>
              <w:right w:val="single" w:color="auto" w:sz="4" w:space="0"/>
            </w:tcBorders>
            <w:vAlign w:val="center"/>
          </w:tcPr>
          <w:p w14:paraId="38342B62">
            <w:pPr>
              <w:spacing w:line="400" w:lineRule="exact"/>
              <w:jc w:val="center"/>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4E34E398">
            <w:pPr>
              <w:spacing w:line="400" w:lineRule="exact"/>
              <w:jc w:val="center"/>
              <w:rPr>
                <w:rFonts w:ascii="宋体" w:hAnsi="宋体"/>
                <w:sz w:val="18"/>
                <w:szCs w:val="18"/>
              </w:rPr>
            </w:pPr>
          </w:p>
        </w:tc>
        <w:tc>
          <w:tcPr>
            <w:tcW w:w="675" w:type="dxa"/>
            <w:tcBorders>
              <w:top w:val="single" w:color="auto" w:sz="4" w:space="0"/>
              <w:left w:val="single" w:color="auto" w:sz="4" w:space="0"/>
              <w:bottom w:val="single" w:color="auto" w:sz="4" w:space="0"/>
              <w:right w:val="single" w:color="auto" w:sz="4" w:space="0"/>
            </w:tcBorders>
            <w:vAlign w:val="center"/>
          </w:tcPr>
          <w:p w14:paraId="2C4CEEEC">
            <w:pPr>
              <w:spacing w:line="400" w:lineRule="exact"/>
              <w:jc w:val="center"/>
              <w:rPr>
                <w:rFonts w:ascii="宋体" w:hAnsi="宋体"/>
                <w:szCs w:val="21"/>
              </w:rPr>
            </w:pPr>
          </w:p>
        </w:tc>
        <w:tc>
          <w:tcPr>
            <w:tcW w:w="660" w:type="dxa"/>
            <w:tcBorders>
              <w:top w:val="single" w:color="auto" w:sz="4" w:space="0"/>
              <w:left w:val="single" w:color="auto" w:sz="4" w:space="0"/>
              <w:bottom w:val="single" w:color="auto" w:sz="4" w:space="0"/>
              <w:right w:val="single" w:color="auto" w:sz="4" w:space="0"/>
            </w:tcBorders>
            <w:vAlign w:val="center"/>
          </w:tcPr>
          <w:p w14:paraId="1C8A196A">
            <w:pPr>
              <w:spacing w:line="400" w:lineRule="exact"/>
              <w:jc w:val="center"/>
              <w:rPr>
                <w:rFonts w:ascii="宋体" w:hAnsi="宋体"/>
                <w:szCs w:val="21"/>
              </w:rPr>
            </w:pPr>
          </w:p>
        </w:tc>
        <w:tc>
          <w:tcPr>
            <w:tcW w:w="645" w:type="dxa"/>
            <w:tcBorders>
              <w:top w:val="single" w:color="auto" w:sz="4" w:space="0"/>
              <w:left w:val="single" w:color="auto" w:sz="4" w:space="0"/>
              <w:bottom w:val="single" w:color="auto" w:sz="4" w:space="0"/>
              <w:right w:val="single" w:color="auto" w:sz="4" w:space="0"/>
            </w:tcBorders>
            <w:vAlign w:val="center"/>
          </w:tcPr>
          <w:p w14:paraId="6C7A4D0C">
            <w:pPr>
              <w:spacing w:line="400" w:lineRule="exact"/>
              <w:jc w:val="center"/>
              <w:rPr>
                <w:rFonts w:ascii="宋体" w:hAnsi="宋体"/>
                <w:szCs w:val="21"/>
              </w:rPr>
            </w:pPr>
          </w:p>
        </w:tc>
        <w:tc>
          <w:tcPr>
            <w:tcW w:w="915" w:type="dxa"/>
            <w:tcBorders>
              <w:top w:val="single" w:color="auto" w:sz="4" w:space="0"/>
              <w:left w:val="single" w:color="auto" w:sz="4" w:space="0"/>
              <w:bottom w:val="single" w:color="auto" w:sz="4" w:space="0"/>
              <w:right w:val="single" w:color="auto" w:sz="4" w:space="0"/>
            </w:tcBorders>
            <w:vAlign w:val="center"/>
          </w:tcPr>
          <w:p w14:paraId="348F97A5">
            <w:pPr>
              <w:spacing w:line="400" w:lineRule="exact"/>
              <w:jc w:val="center"/>
              <w:rPr>
                <w:rFonts w:ascii="宋体" w:hAnsi="宋体"/>
                <w:szCs w:val="21"/>
              </w:rPr>
            </w:pPr>
          </w:p>
        </w:tc>
        <w:tc>
          <w:tcPr>
            <w:tcW w:w="1320" w:type="dxa"/>
            <w:tcBorders>
              <w:top w:val="single" w:color="auto" w:sz="4" w:space="0"/>
              <w:left w:val="single" w:color="auto" w:sz="4" w:space="0"/>
              <w:bottom w:val="single" w:color="auto" w:sz="4" w:space="0"/>
              <w:right w:val="single" w:color="auto" w:sz="4" w:space="0"/>
            </w:tcBorders>
            <w:vAlign w:val="center"/>
          </w:tcPr>
          <w:p w14:paraId="03A688E0">
            <w:pPr>
              <w:spacing w:line="400" w:lineRule="exact"/>
              <w:jc w:val="center"/>
              <w:rPr>
                <w:rFonts w:ascii="宋体" w:hAnsi="宋体"/>
                <w:szCs w:val="21"/>
              </w:rPr>
            </w:pPr>
          </w:p>
        </w:tc>
        <w:tc>
          <w:tcPr>
            <w:tcW w:w="1185" w:type="dxa"/>
            <w:tcBorders>
              <w:top w:val="single" w:color="auto" w:sz="4" w:space="0"/>
              <w:left w:val="single" w:color="auto" w:sz="4" w:space="0"/>
              <w:bottom w:val="single" w:color="auto" w:sz="4" w:space="0"/>
              <w:right w:val="single" w:color="auto" w:sz="4" w:space="0"/>
            </w:tcBorders>
            <w:vAlign w:val="center"/>
          </w:tcPr>
          <w:p w14:paraId="6118AD4E">
            <w:pPr>
              <w:widowControl/>
              <w:jc w:val="center"/>
              <w:rPr>
                <w:rFonts w:ascii="宋体" w:hAnsi="宋体"/>
                <w:szCs w:val="21"/>
              </w:rPr>
            </w:pPr>
          </w:p>
        </w:tc>
        <w:tc>
          <w:tcPr>
            <w:tcW w:w="570" w:type="dxa"/>
            <w:tcBorders>
              <w:top w:val="single" w:color="auto" w:sz="4" w:space="0"/>
              <w:left w:val="single" w:color="auto" w:sz="4" w:space="0"/>
              <w:bottom w:val="single" w:color="auto" w:sz="4" w:space="0"/>
              <w:right w:val="single" w:color="auto" w:sz="4" w:space="0"/>
            </w:tcBorders>
            <w:vAlign w:val="center"/>
          </w:tcPr>
          <w:p w14:paraId="09045130">
            <w:pPr>
              <w:jc w:val="center"/>
            </w:pPr>
          </w:p>
        </w:tc>
      </w:tr>
    </w:tbl>
    <w:p w14:paraId="50FE53AD">
      <w:pPr>
        <w:spacing w:afterLines="25" w:line="300" w:lineRule="auto"/>
        <w:ind w:left="42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p>
    <w:p w14:paraId="739D0585">
      <w:pPr>
        <w:keepNext w:val="0"/>
        <w:keepLines w:val="0"/>
        <w:widowControl w:val="0"/>
        <w:suppressLineNumbers w:val="0"/>
        <w:spacing w:before="0" w:beforeAutospacing="0" w:after="0" w:afterAutospacing="0" w:line="400" w:lineRule="exact"/>
        <w:ind w:left="0" w:right="0"/>
        <w:jc w:val="left"/>
        <w:rPr>
          <w:rFonts w:hint="eastAsia" w:ascii="宋体" w:hAnsi="宋体" w:eastAsia="宋体" w:cs="宋体"/>
          <w:b w:val="0"/>
          <w:bCs/>
          <w:kern w:val="2"/>
          <w:sz w:val="21"/>
          <w:szCs w:val="21"/>
        </w:rPr>
      </w:pPr>
      <w:r>
        <w:rPr>
          <w:rFonts w:hint="eastAsia" w:ascii="宋体" w:hAnsi="宋体" w:eastAsia="宋体" w:cs="宋体"/>
          <w:b w:val="0"/>
          <w:bCs/>
          <w:kern w:val="2"/>
          <w:sz w:val="21"/>
          <w:szCs w:val="21"/>
          <w:lang w:val="en-US" w:eastAsia="zh-CN" w:bidi="ar"/>
        </w:rPr>
        <w:t xml:space="preserve">投标人签字：                     </w:t>
      </w:r>
    </w:p>
    <w:p w14:paraId="48EF567C">
      <w:pPr>
        <w:keepNext w:val="0"/>
        <w:keepLines w:val="0"/>
        <w:widowControl w:val="0"/>
        <w:suppressLineNumbers w:val="0"/>
        <w:spacing w:before="0" w:beforeAutospacing="0" w:after="0" w:afterAutospacing="0" w:line="400" w:lineRule="exact"/>
        <w:ind w:left="0" w:right="0"/>
        <w:jc w:val="left"/>
        <w:rPr>
          <w:rFonts w:hint="eastAsia" w:ascii="宋体" w:hAnsi="宋体" w:eastAsia="宋体" w:cs="宋体"/>
          <w:b w:val="0"/>
          <w:bCs/>
          <w:kern w:val="2"/>
          <w:sz w:val="21"/>
          <w:szCs w:val="21"/>
        </w:rPr>
      </w:pPr>
      <w:r>
        <w:rPr>
          <w:rFonts w:hint="eastAsia" w:ascii="宋体" w:hAnsi="宋体" w:eastAsia="宋体" w:cs="宋体"/>
          <w:b w:val="0"/>
          <w:bCs/>
          <w:kern w:val="2"/>
          <w:sz w:val="21"/>
          <w:szCs w:val="21"/>
          <w:lang w:val="en-US" w:eastAsia="zh-CN" w:bidi="ar"/>
        </w:rPr>
        <w:t xml:space="preserve">投标人单位名称：                             </w:t>
      </w:r>
    </w:p>
    <w:p w14:paraId="74918F9B">
      <w:pPr>
        <w:keepNext w:val="0"/>
        <w:keepLines w:val="0"/>
        <w:widowControl w:val="0"/>
        <w:suppressLineNumbers w:val="0"/>
        <w:spacing w:before="0" w:beforeAutospacing="0" w:after="0" w:afterAutospacing="0" w:line="400" w:lineRule="exact"/>
        <w:ind w:left="0" w:right="0"/>
        <w:jc w:val="left"/>
        <w:rPr>
          <w:rFonts w:hint="eastAsia" w:ascii="宋体" w:hAnsi="宋体" w:eastAsia="宋体" w:cs="宋体"/>
          <w:b w:val="0"/>
          <w:bCs/>
          <w:kern w:val="2"/>
          <w:sz w:val="21"/>
          <w:szCs w:val="21"/>
        </w:rPr>
      </w:pPr>
      <w:r>
        <w:rPr>
          <w:rFonts w:hint="eastAsia" w:ascii="宋体" w:hAnsi="宋体" w:eastAsia="宋体" w:cs="宋体"/>
          <w:b w:val="0"/>
          <w:bCs/>
          <w:kern w:val="2"/>
          <w:sz w:val="21"/>
          <w:szCs w:val="21"/>
          <w:lang w:val="en-US" w:eastAsia="zh-CN" w:bidi="ar"/>
        </w:rPr>
        <w:t>（此处加盖投标人单位公章）</w:t>
      </w:r>
    </w:p>
    <w:p w14:paraId="0497A761">
      <w:pPr>
        <w:keepNext w:val="0"/>
        <w:keepLines w:val="0"/>
        <w:widowControl w:val="0"/>
        <w:suppressLineNumbers w:val="0"/>
        <w:spacing w:before="0" w:beforeAutospacing="0" w:after="0" w:afterAutospacing="0" w:line="400" w:lineRule="exact"/>
        <w:ind w:left="0" w:right="0"/>
        <w:jc w:val="left"/>
        <w:rPr>
          <w:rFonts w:hint="eastAsia" w:ascii="宋体" w:hAnsi="宋体" w:eastAsia="宋体" w:cs="宋体"/>
          <w:b w:val="0"/>
          <w:bCs/>
          <w:kern w:val="2"/>
          <w:sz w:val="21"/>
          <w:szCs w:val="21"/>
        </w:rPr>
      </w:pPr>
      <w:r>
        <w:rPr>
          <w:rFonts w:hint="eastAsia" w:ascii="宋体" w:hAnsi="宋体" w:eastAsia="宋体" w:cs="宋体"/>
          <w:b w:val="0"/>
          <w:bCs/>
          <w:kern w:val="2"/>
          <w:sz w:val="21"/>
          <w:szCs w:val="21"/>
          <w:lang w:val="en-US" w:eastAsia="zh-CN" w:bidi="ar"/>
        </w:rPr>
        <w:t>日期：       年     月    日</w:t>
      </w:r>
    </w:p>
    <w:p w14:paraId="7AD87F0B">
      <w:pPr>
        <w:keepNext w:val="0"/>
        <w:keepLines w:val="0"/>
        <w:widowControl w:val="0"/>
        <w:suppressLineNumbers w:val="0"/>
        <w:spacing w:before="0" w:beforeAutospacing="0" w:after="0" w:afterAutospacing="0" w:line="400" w:lineRule="exact"/>
        <w:ind w:left="0" w:right="0"/>
        <w:jc w:val="left"/>
        <w:rPr>
          <w:rFonts w:hint="eastAsia" w:ascii="宋体" w:hAnsi="宋体" w:eastAsia="宋体" w:cs="宋体"/>
          <w:b w:val="0"/>
          <w:bCs/>
          <w:kern w:val="2"/>
          <w:sz w:val="21"/>
          <w:szCs w:val="21"/>
        </w:rPr>
      </w:pPr>
      <w:r>
        <w:rPr>
          <w:rFonts w:hint="eastAsia" w:ascii="宋体" w:hAnsi="宋体" w:eastAsia="宋体" w:cs="宋体"/>
          <w:b w:val="0"/>
          <w:bCs/>
          <w:kern w:val="2"/>
          <w:sz w:val="21"/>
          <w:szCs w:val="21"/>
          <w:lang w:val="en-US" w:eastAsia="zh-CN" w:bidi="ar"/>
        </w:rPr>
        <w:t xml:space="preserve"> </w:t>
      </w:r>
    </w:p>
    <w:p w14:paraId="723F501E">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备注：</w:t>
      </w:r>
    </w:p>
    <w:p w14:paraId="7FFE6126">
      <w:pPr>
        <w:keepNext w:val="0"/>
        <w:keepLines w:val="0"/>
        <w:widowControl w:val="0"/>
        <w:numPr>
          <w:ilvl w:val="1"/>
          <w:numId w:val="13"/>
        </w:numPr>
        <w:suppressLineNumbers w:val="0"/>
        <w:tabs>
          <w:tab w:val="left" w:pos="360"/>
          <w:tab w:val="left" w:pos="840"/>
        </w:tabs>
        <w:snapToGrid w:val="0"/>
        <w:spacing w:before="0" w:beforeAutospacing="0" w:after="0" w:afterAutospacing="0" w:line="360" w:lineRule="auto"/>
        <w:ind w:left="360" w:right="0" w:hanging="360"/>
        <w:jc w:val="both"/>
        <w:rPr>
          <w:rFonts w:hint="default" w:ascii="Calibri" w:hAnsi="Calibri" w:eastAsia="宋体" w:cs="Times New Roman"/>
          <w:kern w:val="2"/>
          <w:sz w:val="21"/>
          <w:szCs w:val="21"/>
        </w:rPr>
      </w:pPr>
      <w:r>
        <w:rPr>
          <w:rFonts w:hint="eastAsia" w:ascii="宋体" w:hAnsi="宋体" w:eastAsia="宋体" w:cs="宋体"/>
          <w:kern w:val="2"/>
          <w:sz w:val="21"/>
          <w:szCs w:val="21"/>
          <w:lang w:val="en-US" w:eastAsia="zh-CN" w:bidi="ar"/>
        </w:rPr>
        <w:t>除谈判文件另有规定外，投标文件内不得含有任何对本报价进行价格折扣的说明或资料，否则为无效投标。</w:t>
      </w:r>
    </w:p>
    <w:p w14:paraId="6BB05E55">
      <w:pPr>
        <w:keepNext w:val="0"/>
        <w:keepLines w:val="0"/>
        <w:widowControl w:val="0"/>
        <w:numPr>
          <w:ilvl w:val="1"/>
          <w:numId w:val="13"/>
        </w:numPr>
        <w:suppressLineNumbers w:val="0"/>
        <w:tabs>
          <w:tab w:val="left" w:pos="360"/>
          <w:tab w:val="left" w:pos="840"/>
        </w:tabs>
        <w:snapToGrid w:val="0"/>
        <w:spacing w:before="0" w:beforeAutospacing="0" w:after="0" w:afterAutospacing="0" w:line="360" w:lineRule="auto"/>
        <w:ind w:left="360" w:right="0" w:hanging="360"/>
        <w:jc w:val="both"/>
        <w:rPr>
          <w:rFonts w:hint="default" w:ascii="Calibri" w:hAnsi="Calibri" w:eastAsia="宋体" w:cs="Times New Roman"/>
          <w:kern w:val="2"/>
          <w:sz w:val="21"/>
          <w:szCs w:val="21"/>
        </w:rPr>
      </w:pPr>
      <w:r>
        <w:rPr>
          <w:rFonts w:hint="eastAsia" w:ascii="宋体" w:hAnsi="宋体" w:eastAsia="宋体" w:cs="宋体"/>
          <w:kern w:val="2"/>
          <w:sz w:val="21"/>
          <w:szCs w:val="21"/>
          <w:lang w:val="en-US" w:eastAsia="zh-CN" w:bidi="ar"/>
        </w:rPr>
        <w:t>投标报价不得超过用户需求书的最小单位预算价格，否则为无效投标。</w:t>
      </w:r>
    </w:p>
    <w:p w14:paraId="579FB6BF">
      <w:pPr>
        <w:keepNext w:val="0"/>
        <w:keepLines w:val="0"/>
        <w:widowControl w:val="0"/>
        <w:numPr>
          <w:ilvl w:val="1"/>
          <w:numId w:val="13"/>
        </w:numPr>
        <w:suppressLineNumbers w:val="0"/>
        <w:tabs>
          <w:tab w:val="left" w:pos="360"/>
          <w:tab w:val="left" w:pos="840"/>
        </w:tabs>
        <w:snapToGrid w:val="0"/>
        <w:spacing w:before="0" w:beforeAutospacing="0" w:after="0" w:afterAutospacing="0" w:line="360" w:lineRule="auto"/>
        <w:ind w:left="360" w:right="0" w:hanging="360"/>
        <w:jc w:val="both"/>
        <w:rPr>
          <w:rFonts w:hint="default" w:ascii="Calibri" w:hAnsi="Calibri" w:eastAsia="宋体" w:cs="Times New Roman"/>
          <w:kern w:val="2"/>
          <w:sz w:val="21"/>
          <w:szCs w:val="21"/>
        </w:rPr>
      </w:pPr>
      <w:r>
        <w:rPr>
          <w:rFonts w:hint="eastAsia" w:ascii="宋体" w:hAnsi="宋体" w:eastAsia="宋体" w:cs="宋体"/>
          <w:kern w:val="2"/>
          <w:sz w:val="21"/>
          <w:szCs w:val="21"/>
          <w:lang w:val="en-US" w:eastAsia="zh-CN" w:bidi="ar"/>
        </w:rPr>
        <w:t>投标人须按要求填写所有信息，不得随意更改本表格式。</w:t>
      </w:r>
    </w:p>
    <w:p w14:paraId="5A9E8E80">
      <w:pPr>
        <w:keepNext w:val="0"/>
        <w:keepLines w:val="0"/>
        <w:widowControl w:val="0"/>
        <w:numPr>
          <w:ilvl w:val="1"/>
          <w:numId w:val="13"/>
        </w:numPr>
        <w:suppressLineNumbers w:val="0"/>
        <w:tabs>
          <w:tab w:val="left" w:pos="360"/>
          <w:tab w:val="left" w:pos="840"/>
        </w:tabs>
        <w:snapToGrid w:val="0"/>
        <w:spacing w:before="0" w:beforeAutospacing="0" w:after="0" w:afterAutospacing="0" w:line="360" w:lineRule="auto"/>
        <w:ind w:left="360" w:right="0" w:hanging="360"/>
        <w:jc w:val="both"/>
        <w:rPr>
          <w:rFonts w:hint="default" w:ascii="Calibri" w:hAnsi="Calibri" w:eastAsia="宋体" w:cs="Times New Roman"/>
          <w:kern w:val="2"/>
          <w:sz w:val="21"/>
          <w:szCs w:val="21"/>
        </w:rPr>
      </w:pPr>
      <w:r>
        <w:rPr>
          <w:rFonts w:hint="eastAsia" w:ascii="宋体" w:hAnsi="宋体" w:eastAsia="宋体" w:cs="宋体"/>
          <w:kern w:val="2"/>
          <w:sz w:val="21"/>
          <w:szCs w:val="21"/>
          <w:lang w:val="en-US" w:eastAsia="zh-CN" w:bidi="ar"/>
        </w:rPr>
        <w:t>此表是投标文件的必要文件，是投标文件的组成部分，封装在一个信封中，作为唱标之用。</w:t>
      </w:r>
    </w:p>
    <w:p w14:paraId="601DB282">
      <w:pPr>
        <w:keepNext w:val="0"/>
        <w:keepLines w:val="0"/>
        <w:widowControl w:val="0"/>
        <w:numPr>
          <w:ilvl w:val="1"/>
          <w:numId w:val="13"/>
        </w:numPr>
        <w:suppressLineNumbers w:val="0"/>
        <w:tabs>
          <w:tab w:val="left" w:pos="360"/>
          <w:tab w:val="left" w:pos="840"/>
        </w:tabs>
        <w:snapToGrid w:val="0"/>
        <w:spacing w:before="0" w:beforeAutospacing="0" w:after="0" w:afterAutospacing="0" w:line="360" w:lineRule="auto"/>
        <w:ind w:left="360" w:right="0" w:hanging="36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根据《政府采购货物和服务谈判投标管理办法》（财政部令第87号）第六十条规定，投标人的报价明显低于其他通过符合性审查投标人的报价，有可能影响产品质量或者不能诚信履约的，评委会有权要求投标供应商在规定时间内提供书面说明以及必要的证明材料，并根据投标人的说明做相应处理。</w:t>
      </w:r>
    </w:p>
    <w:p w14:paraId="1F60E132">
      <w:pPr>
        <w:keepNext w:val="0"/>
        <w:keepLines w:val="0"/>
        <w:widowControl w:val="0"/>
        <w:numPr>
          <w:ilvl w:val="1"/>
          <w:numId w:val="13"/>
        </w:numPr>
        <w:suppressLineNumbers w:val="0"/>
        <w:tabs>
          <w:tab w:val="left" w:pos="360"/>
          <w:tab w:val="left" w:pos="840"/>
        </w:tabs>
        <w:snapToGrid w:val="0"/>
        <w:spacing w:before="0" w:beforeAutospacing="0" w:after="0" w:afterAutospacing="0" w:line="360" w:lineRule="auto"/>
        <w:ind w:left="360" w:right="0" w:hanging="36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详细填写所投货物的制造商名称；若所投产品属于定制类的非量产货物或无具体品牌型号的货物，可以不填写品牌、型号等信息，但应当标注投标产品为定制产品。谈判文件已要求提供核心产品的，供应商必须明确所投核心产品的品牌。</w:t>
      </w:r>
    </w:p>
    <w:p w14:paraId="5B267BE8">
      <w:pPr>
        <w:spacing w:afterLines="25" w:line="300" w:lineRule="auto"/>
        <w:ind w:left="420"/>
        <w:jc w:val="center"/>
        <w:rPr>
          <w:rFonts w:ascii="宋体" w:hAnsi="宋体" w:cs="宋体"/>
          <w:color w:val="000000" w:themeColor="text1"/>
          <w:szCs w:val="21"/>
          <w14:textFill>
            <w14:solidFill>
              <w14:schemeClr w14:val="tx1"/>
            </w14:solidFill>
          </w14:textFill>
        </w:rPr>
      </w:pPr>
    </w:p>
    <w:p w14:paraId="1F762CCB">
      <w:pPr>
        <w:spacing w:afterLines="25" w:line="300" w:lineRule="auto"/>
        <w:ind w:left="420"/>
        <w:jc w:val="center"/>
        <w:rPr>
          <w:rFonts w:ascii="宋体" w:hAnsi="宋体" w:cs="宋体"/>
          <w:color w:val="000000" w:themeColor="text1"/>
          <w:szCs w:val="21"/>
          <w14:textFill>
            <w14:solidFill>
              <w14:schemeClr w14:val="tx1"/>
            </w14:solidFill>
          </w14:textFill>
        </w:rPr>
      </w:pPr>
    </w:p>
    <w:p w14:paraId="15F15449">
      <w:pPr>
        <w:spacing w:afterLines="25" w:line="300" w:lineRule="auto"/>
        <w:jc w:val="both"/>
        <w:rPr>
          <w:rFonts w:hint="eastAsia" w:ascii="宋体" w:hAnsi="宋体" w:cs="Arial"/>
          <w:b/>
          <w:color w:val="000000"/>
          <w:sz w:val="28"/>
          <w:szCs w:val="28"/>
          <w:lang w:eastAsia="zh-CN"/>
        </w:rPr>
      </w:pPr>
    </w:p>
    <w:p w14:paraId="6F888131">
      <w:pPr>
        <w:pStyle w:val="3"/>
        <w:numPr>
          <w:ilvl w:val="0"/>
          <w:numId w:val="0"/>
        </w:numPr>
        <w:spacing w:line="240" w:lineRule="auto"/>
        <w:ind w:left="420" w:leftChars="0" w:hanging="420" w:firstLineChars="0"/>
        <w:jc w:val="center"/>
        <w:outlineLvl w:val="0"/>
        <w:rPr>
          <w:rFonts w:hint="eastAsia" w:asciiTheme="majorEastAsia" w:hAnsiTheme="majorEastAsia" w:eastAsiaTheme="majorEastAsia"/>
          <w:sz w:val="30"/>
          <w:szCs w:val="30"/>
        </w:rPr>
      </w:pPr>
      <w:bookmarkStart w:id="32" w:name="_Toc18915"/>
      <w:r>
        <w:rPr>
          <w:rFonts w:hint="eastAsia" w:cs="宋体" w:asciiTheme="majorEastAsia" w:hAnsiTheme="majorEastAsia" w:eastAsiaTheme="majorEastAsia"/>
          <w:kern w:val="2"/>
          <w:sz w:val="30"/>
          <w:szCs w:val="30"/>
          <w:lang w:val="en-US" w:eastAsia="zh-CN" w:bidi="ar-SA"/>
        </w:rPr>
        <w:t>（九）</w:t>
      </w:r>
      <w:r>
        <w:rPr>
          <w:rFonts w:hint="eastAsia" w:asciiTheme="majorEastAsia" w:hAnsiTheme="majorEastAsia" w:eastAsiaTheme="majorEastAsia"/>
          <w:sz w:val="30"/>
          <w:szCs w:val="30"/>
        </w:rPr>
        <w:t>技术规格</w:t>
      </w:r>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lang w:val="en-US" w:eastAsia="zh-CN"/>
        </w:rPr>
        <w:t>主要需求</w:t>
      </w:r>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rPr>
        <w:t>偏离表</w:t>
      </w:r>
      <w:bookmarkEnd w:id="32"/>
    </w:p>
    <w:p w14:paraId="4B516DB8">
      <w:pPr>
        <w:spacing w:line="400" w:lineRule="exact"/>
        <w:rPr>
          <w:rFonts w:ascii="宋体" w:hAnsi="宋体"/>
        </w:rPr>
      </w:pPr>
      <w:r>
        <w:rPr>
          <w:rFonts w:hint="eastAsia" w:ascii="宋体" w:hAnsi="宋体"/>
        </w:rPr>
        <w:t>说明：投标人必须对应</w:t>
      </w:r>
      <w:r>
        <w:rPr>
          <w:rFonts w:hint="eastAsia" w:ascii="宋体" w:hAnsi="宋体"/>
          <w:lang w:eastAsia="zh-CN"/>
        </w:rPr>
        <w:t>谈判文件</w:t>
      </w:r>
      <w:r>
        <w:rPr>
          <w:rFonts w:hint="eastAsia" w:ascii="宋体" w:hAnsi="宋体"/>
          <w:lang w:val="en-US" w:eastAsia="zh-CN"/>
        </w:rPr>
        <w:t>采购清单及技术规格中的</w:t>
      </w:r>
      <w:r>
        <w:rPr>
          <w:rFonts w:hint="eastAsia" w:ascii="宋体" w:hAnsi="宋体"/>
        </w:rPr>
        <w:t>条款逐条应答并按要求填写下表。</w:t>
      </w:r>
    </w:p>
    <w:tbl>
      <w:tblPr>
        <w:tblStyle w:val="17"/>
        <w:tblW w:w="988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0"/>
        <w:gridCol w:w="830"/>
        <w:gridCol w:w="2515"/>
        <w:gridCol w:w="2341"/>
        <w:gridCol w:w="1750"/>
        <w:gridCol w:w="1623"/>
      </w:tblGrid>
      <w:tr w14:paraId="5F40C9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830" w:type="dxa"/>
            <w:shd w:val="clear" w:color="auto" w:fill="EAF1DD" w:themeFill="accent3" w:themeFillTint="33"/>
            <w:vAlign w:val="center"/>
          </w:tcPr>
          <w:p w14:paraId="481DAB5C">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Bidi"/>
                <w:color w:val="auto"/>
                <w:kern w:val="2"/>
                <w:sz w:val="21"/>
                <w:szCs w:val="21"/>
                <w:lang w:val="en-US" w:eastAsia="zh-CN" w:bidi="ar-SA"/>
              </w:rPr>
            </w:pPr>
            <w:r>
              <w:rPr>
                <w:rFonts w:hint="eastAsia" w:asciiTheme="minorEastAsia" w:hAnsiTheme="minorEastAsia" w:eastAsiaTheme="minorEastAsia"/>
                <w:color w:val="auto"/>
                <w:szCs w:val="21"/>
              </w:rPr>
              <w:t>序号</w:t>
            </w:r>
          </w:p>
        </w:tc>
        <w:tc>
          <w:tcPr>
            <w:tcW w:w="830" w:type="dxa"/>
            <w:shd w:val="clear" w:color="auto" w:fill="EAF1DD" w:themeFill="accent3" w:themeFillTint="33"/>
            <w:vAlign w:val="center"/>
          </w:tcPr>
          <w:p w14:paraId="5FB9D4F7">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lang w:val="en-US" w:eastAsia="zh-CN"/>
              </w:rPr>
            </w:pPr>
            <w:r>
              <w:rPr>
                <w:rFonts w:hint="eastAsia" w:asciiTheme="minorEastAsia" w:hAnsiTheme="minorEastAsia"/>
                <w:color w:val="auto"/>
                <w:szCs w:val="21"/>
                <w:lang w:val="en-US" w:eastAsia="zh-CN"/>
              </w:rPr>
              <w:t>货品名称</w:t>
            </w:r>
          </w:p>
        </w:tc>
        <w:tc>
          <w:tcPr>
            <w:tcW w:w="2515" w:type="dxa"/>
            <w:shd w:val="clear" w:color="auto" w:fill="EAF1DD" w:themeFill="accent3" w:themeFillTint="33"/>
            <w:vAlign w:val="center"/>
          </w:tcPr>
          <w:p w14:paraId="2F5E61B4">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lang w:val="en-US"/>
              </w:rPr>
            </w:pPr>
            <w:r>
              <w:rPr>
                <w:rFonts w:hint="eastAsia" w:ascii="宋体" w:hAnsi="宋体"/>
                <w:szCs w:val="21"/>
                <w:lang w:val="en-US" w:eastAsia="zh-CN"/>
              </w:rPr>
              <w:t>谈判技术要求</w:t>
            </w:r>
          </w:p>
        </w:tc>
        <w:tc>
          <w:tcPr>
            <w:tcW w:w="2341" w:type="dxa"/>
            <w:shd w:val="clear" w:color="auto" w:fill="EAF1DD" w:themeFill="accent3" w:themeFillTint="33"/>
            <w:vAlign w:val="center"/>
          </w:tcPr>
          <w:p w14:paraId="63784FC1">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宋体" w:hAnsi="宋体"/>
                <w:szCs w:val="21"/>
              </w:rPr>
              <w:t>投标</w:t>
            </w:r>
            <w:r>
              <w:rPr>
                <w:rFonts w:hint="eastAsia" w:ascii="宋体" w:hAnsi="宋体"/>
                <w:szCs w:val="21"/>
                <w:lang w:val="en-US" w:eastAsia="zh-CN"/>
              </w:rPr>
              <w:t>技术</w:t>
            </w:r>
            <w:r>
              <w:rPr>
                <w:rFonts w:hint="eastAsia" w:ascii="宋体" w:hAnsi="宋体"/>
                <w:szCs w:val="21"/>
              </w:rPr>
              <w:t>响应</w:t>
            </w:r>
          </w:p>
        </w:tc>
        <w:tc>
          <w:tcPr>
            <w:tcW w:w="1750" w:type="dxa"/>
            <w:shd w:val="clear" w:color="auto" w:fill="EAF1DD" w:themeFill="accent3" w:themeFillTint="33"/>
            <w:vAlign w:val="center"/>
          </w:tcPr>
          <w:p w14:paraId="6680638F">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偏离情况（填写“正偏离、</w:t>
            </w:r>
            <w:r>
              <w:rPr>
                <w:rFonts w:hint="eastAsia" w:asciiTheme="minorEastAsia" w:hAnsiTheme="minorEastAsia"/>
                <w:color w:val="auto"/>
                <w:szCs w:val="21"/>
                <w:lang w:val="en-US" w:eastAsia="zh-CN"/>
              </w:rPr>
              <w:t>无偏离</w:t>
            </w:r>
            <w:r>
              <w:rPr>
                <w:rFonts w:hint="eastAsia" w:asciiTheme="minorEastAsia" w:hAnsiTheme="minorEastAsia" w:eastAsiaTheme="minorEastAsia"/>
                <w:color w:val="auto"/>
                <w:szCs w:val="21"/>
              </w:rPr>
              <w:t>或负偏离”）</w:t>
            </w:r>
          </w:p>
        </w:tc>
        <w:tc>
          <w:tcPr>
            <w:tcW w:w="1623" w:type="dxa"/>
            <w:shd w:val="clear" w:color="auto" w:fill="EAF1DD" w:themeFill="accent3" w:themeFillTint="33"/>
            <w:vAlign w:val="center"/>
          </w:tcPr>
          <w:p w14:paraId="5A931387">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证明文件</w:t>
            </w:r>
          </w:p>
        </w:tc>
      </w:tr>
      <w:tr w14:paraId="3459CF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30" w:type="dxa"/>
            <w:shd w:val="clear" w:color="auto" w:fill="auto"/>
            <w:vAlign w:val="center"/>
          </w:tcPr>
          <w:p w14:paraId="44414953">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Bidi"/>
                <w:kern w:val="2"/>
                <w:sz w:val="21"/>
                <w:szCs w:val="21"/>
                <w:lang w:val="en-US" w:eastAsia="zh-CN" w:bidi="ar-SA"/>
              </w:rPr>
            </w:pPr>
            <w:r>
              <w:rPr>
                <w:rFonts w:hint="eastAsia" w:asciiTheme="minorEastAsia" w:hAnsiTheme="minorEastAsia" w:eastAsiaTheme="minorEastAsia"/>
                <w:szCs w:val="21"/>
              </w:rPr>
              <w:t>1</w:t>
            </w:r>
          </w:p>
        </w:tc>
        <w:tc>
          <w:tcPr>
            <w:tcW w:w="830" w:type="dxa"/>
            <w:vAlign w:val="center"/>
          </w:tcPr>
          <w:p w14:paraId="51285671">
            <w:pPr>
              <w:keepNext w:val="0"/>
              <w:keepLines w:val="0"/>
              <w:suppressLineNumbers w:val="0"/>
              <w:spacing w:before="0" w:beforeAutospacing="0" w:after="0" w:afterAutospacing="0"/>
              <w:ind w:left="0" w:right="0"/>
              <w:rPr>
                <w:rFonts w:hint="eastAsia" w:asciiTheme="minorEastAsia" w:hAnsiTheme="minorEastAsia" w:eastAsiaTheme="minorEastAsia"/>
                <w:szCs w:val="21"/>
              </w:rPr>
            </w:pPr>
          </w:p>
        </w:tc>
        <w:tc>
          <w:tcPr>
            <w:tcW w:w="2515" w:type="dxa"/>
            <w:vAlign w:val="center"/>
          </w:tcPr>
          <w:p w14:paraId="2491D04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0A8C1FC9">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67964FF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shd w:val="clear" w:color="auto" w:fill="auto"/>
            <w:vAlign w:val="center"/>
          </w:tcPr>
          <w:p w14:paraId="11D6455C">
            <w:pPr>
              <w:keepNext w:val="0"/>
              <w:keepLines w:val="0"/>
              <w:suppressLineNumbers w:val="0"/>
              <w:adjustRightInd w:val="0"/>
              <w:snapToGrid w:val="0"/>
              <w:spacing w:before="0" w:beforeAutospacing="0" w:after="0" w:afterAutospacing="0" w:line="300" w:lineRule="auto"/>
              <w:ind w:left="0" w:leftChars="0" w:right="0" w:rightChars="0"/>
              <w:jc w:val="center"/>
              <w:rPr>
                <w:rFonts w:hint="default" w:ascii="宋体" w:hAnsi="宋体" w:eastAsiaTheme="minorEastAsia" w:cstheme="minorBidi"/>
                <w:kern w:val="2"/>
                <w:sz w:val="21"/>
                <w:szCs w:val="21"/>
                <w:lang w:val="en-US" w:eastAsia="zh-CN" w:bidi="ar-SA"/>
              </w:rPr>
            </w:pPr>
            <w:r>
              <w:rPr>
                <w:rFonts w:hint="eastAsia" w:ascii="宋体" w:hAnsi="宋体"/>
                <w:szCs w:val="21"/>
              </w:rPr>
              <w:t>见投标/响应文件第（）页</w:t>
            </w:r>
          </w:p>
        </w:tc>
      </w:tr>
      <w:tr w14:paraId="7B411A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30" w:type="dxa"/>
            <w:shd w:val="clear" w:color="auto" w:fill="auto"/>
            <w:vAlign w:val="center"/>
          </w:tcPr>
          <w:p w14:paraId="7CDBD0AC">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Bidi"/>
                <w:kern w:val="2"/>
                <w:sz w:val="21"/>
                <w:szCs w:val="21"/>
                <w:lang w:val="en-US" w:eastAsia="zh-CN" w:bidi="ar-SA"/>
              </w:rPr>
            </w:pPr>
            <w:r>
              <w:rPr>
                <w:rFonts w:hint="eastAsia" w:asciiTheme="minorEastAsia" w:hAnsiTheme="minorEastAsia" w:eastAsiaTheme="minorEastAsia"/>
                <w:szCs w:val="21"/>
              </w:rPr>
              <w:t>2</w:t>
            </w:r>
          </w:p>
        </w:tc>
        <w:tc>
          <w:tcPr>
            <w:tcW w:w="830" w:type="dxa"/>
            <w:vAlign w:val="center"/>
          </w:tcPr>
          <w:p w14:paraId="16343483">
            <w:pPr>
              <w:keepNext w:val="0"/>
              <w:keepLines w:val="0"/>
              <w:suppressLineNumbers w:val="0"/>
              <w:spacing w:before="0" w:beforeAutospacing="0" w:after="0" w:afterAutospacing="0"/>
              <w:ind w:left="0" w:right="0"/>
              <w:rPr>
                <w:rFonts w:hint="eastAsia" w:asciiTheme="minorEastAsia" w:hAnsiTheme="minorEastAsia" w:eastAsiaTheme="minorEastAsia"/>
                <w:szCs w:val="21"/>
              </w:rPr>
            </w:pPr>
          </w:p>
        </w:tc>
        <w:tc>
          <w:tcPr>
            <w:tcW w:w="2515" w:type="dxa"/>
            <w:vAlign w:val="center"/>
          </w:tcPr>
          <w:p w14:paraId="3E6648D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33EF56D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4FBF787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shd w:val="clear" w:color="auto" w:fill="auto"/>
            <w:vAlign w:val="center"/>
          </w:tcPr>
          <w:p w14:paraId="1DF9696A">
            <w:pPr>
              <w:keepNext w:val="0"/>
              <w:keepLines w:val="0"/>
              <w:suppressLineNumbers w:val="0"/>
              <w:adjustRightInd w:val="0"/>
              <w:snapToGrid w:val="0"/>
              <w:spacing w:before="0" w:beforeAutospacing="0" w:after="0" w:afterAutospacing="0" w:line="300" w:lineRule="auto"/>
              <w:ind w:left="0" w:leftChars="0" w:right="0" w:rightChars="0"/>
              <w:jc w:val="center"/>
              <w:rPr>
                <w:rFonts w:hint="default" w:ascii="宋体" w:hAnsi="宋体" w:eastAsiaTheme="minorEastAsia" w:cstheme="minorBidi"/>
                <w:kern w:val="2"/>
                <w:sz w:val="21"/>
                <w:szCs w:val="21"/>
                <w:lang w:val="en-US" w:eastAsia="zh-CN" w:bidi="ar-SA"/>
              </w:rPr>
            </w:pPr>
            <w:r>
              <w:rPr>
                <w:rFonts w:hint="eastAsia" w:ascii="宋体" w:hAnsi="宋体"/>
                <w:szCs w:val="21"/>
              </w:rPr>
              <w:t>见投标/响应文件第（）页</w:t>
            </w:r>
          </w:p>
        </w:tc>
      </w:tr>
      <w:tr w14:paraId="0FF0DC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30" w:type="dxa"/>
            <w:shd w:val="clear" w:color="auto" w:fill="auto"/>
            <w:vAlign w:val="center"/>
          </w:tcPr>
          <w:p w14:paraId="559E8867">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Bidi"/>
                <w:kern w:val="2"/>
                <w:sz w:val="21"/>
                <w:szCs w:val="21"/>
                <w:lang w:val="en-US" w:eastAsia="zh-CN" w:bidi="ar-SA"/>
              </w:rPr>
            </w:pPr>
            <w:r>
              <w:rPr>
                <w:rFonts w:hint="eastAsia" w:asciiTheme="minorEastAsia" w:hAnsiTheme="minorEastAsia"/>
                <w:szCs w:val="21"/>
                <w:lang w:val="en-US" w:eastAsia="zh-CN"/>
              </w:rPr>
              <w:t>3</w:t>
            </w:r>
          </w:p>
        </w:tc>
        <w:tc>
          <w:tcPr>
            <w:tcW w:w="830" w:type="dxa"/>
            <w:vAlign w:val="center"/>
          </w:tcPr>
          <w:p w14:paraId="778A6E0A">
            <w:pPr>
              <w:keepNext w:val="0"/>
              <w:keepLines w:val="0"/>
              <w:suppressLineNumbers w:val="0"/>
              <w:spacing w:before="0" w:beforeAutospacing="0" w:after="0" w:afterAutospacing="0"/>
              <w:ind w:left="0" w:right="0"/>
              <w:rPr>
                <w:rFonts w:hint="eastAsia" w:asciiTheme="minorEastAsia" w:hAnsiTheme="minorEastAsia"/>
                <w:szCs w:val="21"/>
                <w:lang w:val="en-US" w:eastAsia="zh-CN"/>
              </w:rPr>
            </w:pPr>
          </w:p>
        </w:tc>
        <w:tc>
          <w:tcPr>
            <w:tcW w:w="2515" w:type="dxa"/>
            <w:vAlign w:val="center"/>
          </w:tcPr>
          <w:p w14:paraId="4BAB58C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300B2E8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220D7B60">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shd w:val="clear" w:color="auto" w:fill="auto"/>
            <w:vAlign w:val="center"/>
          </w:tcPr>
          <w:p w14:paraId="2EFB38CE">
            <w:pPr>
              <w:keepNext w:val="0"/>
              <w:keepLines w:val="0"/>
              <w:suppressLineNumbers w:val="0"/>
              <w:adjustRightInd w:val="0"/>
              <w:snapToGrid w:val="0"/>
              <w:spacing w:before="0" w:beforeAutospacing="0" w:after="0" w:afterAutospacing="0" w:line="300" w:lineRule="auto"/>
              <w:ind w:left="0" w:leftChars="0" w:right="0" w:rightChars="0"/>
              <w:jc w:val="center"/>
              <w:rPr>
                <w:rFonts w:hint="default" w:ascii="宋体" w:hAnsi="宋体" w:eastAsiaTheme="minorEastAsia" w:cstheme="minorBidi"/>
                <w:kern w:val="2"/>
                <w:sz w:val="21"/>
                <w:szCs w:val="21"/>
                <w:lang w:val="en-US" w:eastAsia="zh-CN" w:bidi="ar-SA"/>
              </w:rPr>
            </w:pPr>
            <w:r>
              <w:rPr>
                <w:rFonts w:hint="eastAsia" w:ascii="宋体" w:hAnsi="宋体"/>
                <w:szCs w:val="21"/>
              </w:rPr>
              <w:t>见投标/响应文件第（）页</w:t>
            </w:r>
          </w:p>
        </w:tc>
      </w:tr>
      <w:tr w14:paraId="6180E3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30" w:type="dxa"/>
            <w:shd w:val="clear" w:color="auto" w:fill="auto"/>
            <w:vAlign w:val="center"/>
          </w:tcPr>
          <w:p w14:paraId="488C66C4">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Bidi"/>
                <w:kern w:val="2"/>
                <w:sz w:val="21"/>
                <w:szCs w:val="21"/>
                <w:lang w:val="en-US" w:eastAsia="zh-CN" w:bidi="ar-SA"/>
              </w:rPr>
            </w:pPr>
            <w:r>
              <w:rPr>
                <w:rFonts w:hint="eastAsia" w:asciiTheme="minorEastAsia" w:hAnsiTheme="minorEastAsia"/>
                <w:szCs w:val="21"/>
                <w:lang w:val="en-US" w:eastAsia="zh-CN"/>
              </w:rPr>
              <w:t>4</w:t>
            </w:r>
          </w:p>
        </w:tc>
        <w:tc>
          <w:tcPr>
            <w:tcW w:w="830" w:type="dxa"/>
            <w:vAlign w:val="center"/>
          </w:tcPr>
          <w:p w14:paraId="212791FA">
            <w:pPr>
              <w:keepNext w:val="0"/>
              <w:keepLines w:val="0"/>
              <w:suppressLineNumbers w:val="0"/>
              <w:spacing w:before="0" w:beforeAutospacing="0" w:after="0" w:afterAutospacing="0"/>
              <w:ind w:left="0" w:right="0"/>
              <w:rPr>
                <w:rFonts w:hint="eastAsia" w:asciiTheme="minorEastAsia" w:hAnsiTheme="minorEastAsia"/>
                <w:szCs w:val="21"/>
                <w:lang w:val="en-US" w:eastAsia="zh-CN"/>
              </w:rPr>
            </w:pPr>
          </w:p>
        </w:tc>
        <w:tc>
          <w:tcPr>
            <w:tcW w:w="2515" w:type="dxa"/>
            <w:vAlign w:val="center"/>
          </w:tcPr>
          <w:p w14:paraId="0997BCF5">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0EE077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48E82144">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shd w:val="clear" w:color="auto" w:fill="auto"/>
            <w:vAlign w:val="center"/>
          </w:tcPr>
          <w:p w14:paraId="3D4E48A8">
            <w:pPr>
              <w:keepNext w:val="0"/>
              <w:keepLines w:val="0"/>
              <w:suppressLineNumbers w:val="0"/>
              <w:adjustRightInd w:val="0"/>
              <w:snapToGrid w:val="0"/>
              <w:spacing w:before="0" w:beforeAutospacing="0" w:after="0" w:afterAutospacing="0" w:line="300" w:lineRule="auto"/>
              <w:ind w:left="0" w:leftChars="0" w:right="0" w:rightChars="0"/>
              <w:jc w:val="center"/>
              <w:rPr>
                <w:rFonts w:hint="default" w:ascii="宋体" w:hAnsi="宋体" w:eastAsiaTheme="minorEastAsia" w:cstheme="minorBidi"/>
                <w:kern w:val="2"/>
                <w:sz w:val="21"/>
                <w:szCs w:val="21"/>
                <w:lang w:val="en-US" w:eastAsia="zh-CN" w:bidi="ar-SA"/>
              </w:rPr>
            </w:pPr>
            <w:r>
              <w:rPr>
                <w:rFonts w:hint="eastAsia" w:ascii="宋体" w:hAnsi="宋体"/>
                <w:szCs w:val="21"/>
              </w:rPr>
              <w:t>见投标/响应文件第（）页</w:t>
            </w:r>
          </w:p>
        </w:tc>
      </w:tr>
      <w:tr w14:paraId="0D3CB3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30" w:type="dxa"/>
            <w:shd w:val="clear" w:color="auto" w:fill="auto"/>
            <w:vAlign w:val="center"/>
          </w:tcPr>
          <w:p w14:paraId="009DD5D4">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Bidi"/>
                <w:kern w:val="2"/>
                <w:sz w:val="21"/>
                <w:szCs w:val="21"/>
                <w:lang w:val="en-US" w:eastAsia="zh-CN" w:bidi="ar-SA"/>
              </w:rPr>
            </w:pPr>
            <w:r>
              <w:rPr>
                <w:rFonts w:hint="eastAsia" w:asciiTheme="minorEastAsia" w:hAnsiTheme="minorEastAsia"/>
                <w:szCs w:val="21"/>
                <w:lang w:val="en-US" w:eastAsia="zh-CN"/>
              </w:rPr>
              <w:t>5</w:t>
            </w:r>
          </w:p>
        </w:tc>
        <w:tc>
          <w:tcPr>
            <w:tcW w:w="830" w:type="dxa"/>
            <w:vAlign w:val="center"/>
          </w:tcPr>
          <w:p w14:paraId="77CEAF63">
            <w:pPr>
              <w:keepNext w:val="0"/>
              <w:keepLines w:val="0"/>
              <w:suppressLineNumbers w:val="0"/>
              <w:spacing w:before="0" w:beforeAutospacing="0" w:after="0" w:afterAutospacing="0"/>
              <w:ind w:left="0" w:right="0"/>
              <w:rPr>
                <w:rFonts w:hint="eastAsia" w:asciiTheme="minorEastAsia" w:hAnsiTheme="minorEastAsia"/>
                <w:szCs w:val="21"/>
                <w:lang w:val="en-US" w:eastAsia="zh-CN"/>
              </w:rPr>
            </w:pPr>
          </w:p>
        </w:tc>
        <w:tc>
          <w:tcPr>
            <w:tcW w:w="2515" w:type="dxa"/>
            <w:vAlign w:val="center"/>
          </w:tcPr>
          <w:p w14:paraId="1D058D3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D42660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4428964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shd w:val="clear" w:color="auto" w:fill="auto"/>
            <w:vAlign w:val="center"/>
          </w:tcPr>
          <w:p w14:paraId="015303AC">
            <w:pPr>
              <w:keepNext w:val="0"/>
              <w:keepLines w:val="0"/>
              <w:suppressLineNumbers w:val="0"/>
              <w:adjustRightInd w:val="0"/>
              <w:snapToGrid w:val="0"/>
              <w:spacing w:before="0" w:beforeAutospacing="0" w:after="0" w:afterAutospacing="0" w:line="300" w:lineRule="auto"/>
              <w:ind w:left="0" w:leftChars="0" w:right="0" w:rightChars="0"/>
              <w:jc w:val="center"/>
              <w:rPr>
                <w:rFonts w:hint="default" w:ascii="宋体" w:hAnsi="宋体" w:eastAsiaTheme="minorEastAsia" w:cstheme="minorBidi"/>
                <w:kern w:val="2"/>
                <w:sz w:val="21"/>
                <w:szCs w:val="21"/>
                <w:lang w:val="en-US" w:eastAsia="zh-CN" w:bidi="ar-SA"/>
              </w:rPr>
            </w:pPr>
            <w:r>
              <w:rPr>
                <w:rFonts w:hint="eastAsia" w:ascii="宋体" w:hAnsi="宋体"/>
                <w:szCs w:val="21"/>
              </w:rPr>
              <w:t>见投标/响应文件第（）页</w:t>
            </w:r>
          </w:p>
        </w:tc>
      </w:tr>
      <w:tr w14:paraId="275E98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30" w:type="dxa"/>
            <w:shd w:val="clear" w:color="auto" w:fill="auto"/>
            <w:vAlign w:val="center"/>
          </w:tcPr>
          <w:p w14:paraId="63127AB0">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Bidi"/>
                <w:kern w:val="2"/>
                <w:sz w:val="21"/>
                <w:szCs w:val="21"/>
                <w:lang w:val="en-US" w:eastAsia="zh-CN" w:bidi="ar-SA"/>
              </w:rPr>
            </w:pPr>
            <w:r>
              <w:rPr>
                <w:rFonts w:hint="eastAsia" w:asciiTheme="minorEastAsia" w:hAnsiTheme="minorEastAsia"/>
                <w:szCs w:val="21"/>
                <w:lang w:val="en-US" w:eastAsia="zh-CN"/>
              </w:rPr>
              <w:t>6</w:t>
            </w:r>
          </w:p>
        </w:tc>
        <w:tc>
          <w:tcPr>
            <w:tcW w:w="830" w:type="dxa"/>
            <w:vAlign w:val="center"/>
          </w:tcPr>
          <w:p w14:paraId="73B101DF">
            <w:pPr>
              <w:keepNext w:val="0"/>
              <w:keepLines w:val="0"/>
              <w:suppressLineNumbers w:val="0"/>
              <w:spacing w:before="0" w:beforeAutospacing="0" w:after="0" w:afterAutospacing="0"/>
              <w:ind w:left="0" w:right="0"/>
              <w:rPr>
                <w:rFonts w:hint="eastAsia" w:asciiTheme="minorEastAsia" w:hAnsiTheme="minorEastAsia"/>
                <w:szCs w:val="21"/>
                <w:lang w:val="en-US" w:eastAsia="zh-CN"/>
              </w:rPr>
            </w:pPr>
          </w:p>
        </w:tc>
        <w:tc>
          <w:tcPr>
            <w:tcW w:w="2515" w:type="dxa"/>
            <w:vAlign w:val="center"/>
          </w:tcPr>
          <w:p w14:paraId="69E7955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53128E0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1EE0E7B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shd w:val="clear" w:color="auto" w:fill="auto"/>
            <w:vAlign w:val="center"/>
          </w:tcPr>
          <w:p w14:paraId="67486C06">
            <w:pPr>
              <w:keepNext w:val="0"/>
              <w:keepLines w:val="0"/>
              <w:suppressLineNumbers w:val="0"/>
              <w:adjustRightInd w:val="0"/>
              <w:snapToGrid w:val="0"/>
              <w:spacing w:before="0" w:beforeAutospacing="0" w:after="0" w:afterAutospacing="0" w:line="300" w:lineRule="auto"/>
              <w:ind w:left="0" w:leftChars="0" w:right="0" w:rightChars="0"/>
              <w:jc w:val="center"/>
              <w:rPr>
                <w:rFonts w:hint="default" w:ascii="宋体" w:hAnsi="宋体" w:eastAsiaTheme="minorEastAsia" w:cstheme="minorBidi"/>
                <w:kern w:val="2"/>
                <w:sz w:val="21"/>
                <w:szCs w:val="21"/>
                <w:lang w:val="en-US" w:eastAsia="zh-CN" w:bidi="ar-SA"/>
              </w:rPr>
            </w:pPr>
            <w:r>
              <w:rPr>
                <w:rFonts w:hint="eastAsia" w:ascii="宋体" w:hAnsi="宋体"/>
                <w:szCs w:val="21"/>
              </w:rPr>
              <w:t>见投标/响应文件第（）页</w:t>
            </w:r>
          </w:p>
        </w:tc>
      </w:tr>
      <w:tr w14:paraId="7D6146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830" w:type="dxa"/>
            <w:shd w:val="clear" w:color="auto" w:fill="auto"/>
            <w:vAlign w:val="center"/>
          </w:tcPr>
          <w:p w14:paraId="3136F837">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Bidi"/>
                <w:kern w:val="2"/>
                <w:sz w:val="21"/>
                <w:szCs w:val="21"/>
                <w:lang w:val="en-US" w:eastAsia="zh-CN" w:bidi="ar-SA"/>
              </w:rPr>
            </w:pPr>
            <w:r>
              <w:rPr>
                <w:rFonts w:hint="eastAsia" w:asciiTheme="minorEastAsia" w:hAnsiTheme="minorEastAsia" w:eastAsiaTheme="minorEastAsia"/>
                <w:szCs w:val="21"/>
              </w:rPr>
              <w:t>……</w:t>
            </w:r>
          </w:p>
        </w:tc>
        <w:tc>
          <w:tcPr>
            <w:tcW w:w="830" w:type="dxa"/>
            <w:vAlign w:val="center"/>
          </w:tcPr>
          <w:p w14:paraId="44DBDA39">
            <w:pPr>
              <w:keepNext w:val="0"/>
              <w:keepLines w:val="0"/>
              <w:suppressLineNumbers w:val="0"/>
              <w:spacing w:before="0" w:beforeAutospacing="0" w:after="0" w:afterAutospacing="0"/>
              <w:ind w:left="0" w:right="0"/>
              <w:rPr>
                <w:rFonts w:hint="eastAsia" w:asciiTheme="minorEastAsia" w:hAnsiTheme="minorEastAsia" w:eastAsiaTheme="minorEastAsia"/>
                <w:szCs w:val="21"/>
              </w:rPr>
            </w:pPr>
          </w:p>
        </w:tc>
        <w:tc>
          <w:tcPr>
            <w:tcW w:w="2515" w:type="dxa"/>
            <w:vAlign w:val="center"/>
          </w:tcPr>
          <w:p w14:paraId="5E8BBAD4">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0BF324CD">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5AD49B8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shd w:val="clear" w:color="auto" w:fill="auto"/>
            <w:vAlign w:val="center"/>
          </w:tcPr>
          <w:p w14:paraId="247EF327">
            <w:pPr>
              <w:keepNext w:val="0"/>
              <w:keepLines w:val="0"/>
              <w:suppressLineNumbers w:val="0"/>
              <w:adjustRightInd w:val="0"/>
              <w:snapToGrid w:val="0"/>
              <w:spacing w:before="0" w:beforeAutospacing="0" w:after="0" w:afterAutospacing="0" w:line="300" w:lineRule="auto"/>
              <w:ind w:left="0" w:leftChars="0" w:right="0" w:rightChars="0"/>
              <w:jc w:val="center"/>
              <w:rPr>
                <w:rFonts w:hint="default" w:ascii="宋体" w:hAnsi="宋体" w:eastAsiaTheme="minorEastAsia" w:cstheme="minorBidi"/>
                <w:kern w:val="2"/>
                <w:sz w:val="21"/>
                <w:szCs w:val="21"/>
                <w:lang w:val="en-US" w:eastAsia="zh-CN" w:bidi="ar-SA"/>
              </w:rPr>
            </w:pPr>
            <w:r>
              <w:rPr>
                <w:rFonts w:hint="eastAsia" w:ascii="宋体" w:hAnsi="宋体"/>
                <w:szCs w:val="21"/>
              </w:rPr>
              <w:t>见投标/响应文件第（）页</w:t>
            </w:r>
          </w:p>
        </w:tc>
      </w:tr>
    </w:tbl>
    <w:p w14:paraId="50518E54">
      <w:pPr>
        <w:spacing w:line="360" w:lineRule="auto"/>
        <w:ind w:right="84" w:rightChars="40"/>
        <w:rPr>
          <w:rFonts w:ascii="宋体" w:hAnsi="宋体"/>
          <w:szCs w:val="21"/>
        </w:rPr>
      </w:pPr>
      <w:r>
        <w:rPr>
          <w:rFonts w:hint="eastAsia" w:ascii="宋体" w:hAnsi="宋体"/>
          <w:szCs w:val="21"/>
        </w:rPr>
        <w:t>备注：投标人必须按</w:t>
      </w:r>
      <w:r>
        <w:rPr>
          <w:rFonts w:hint="eastAsia" w:ascii="宋体" w:hAnsi="宋体"/>
          <w:szCs w:val="21"/>
          <w:lang w:eastAsia="zh-CN"/>
        </w:rPr>
        <w:t>谈判文件</w:t>
      </w:r>
      <w:r>
        <w:rPr>
          <w:rFonts w:hint="eastAsia" w:ascii="宋体" w:hAnsi="宋体"/>
          <w:szCs w:val="21"/>
        </w:rPr>
        <w:t>要求附相关证明文件，如未提供的视为负偏离。</w:t>
      </w:r>
    </w:p>
    <w:p w14:paraId="04071499">
      <w:pPr>
        <w:spacing w:line="360" w:lineRule="auto"/>
        <w:ind w:right="84" w:rightChars="40"/>
        <w:rPr>
          <w:rFonts w:hint="eastAsia" w:ascii="宋体" w:hAnsi="宋体"/>
          <w:szCs w:val="21"/>
        </w:rPr>
      </w:pPr>
      <w:r>
        <w:rPr>
          <w:rFonts w:hint="eastAsia" w:ascii="宋体" w:hAnsi="宋体"/>
          <w:szCs w:val="21"/>
        </w:rPr>
        <w:t>《</w:t>
      </w:r>
      <w:r>
        <w:rPr>
          <w:rFonts w:hint="eastAsia" w:ascii="宋体" w:hAnsi="宋体"/>
          <w:szCs w:val="21"/>
          <w:lang w:val="en-US" w:eastAsia="zh-CN"/>
        </w:rPr>
        <w:t>技术规格偏离表</w:t>
      </w:r>
      <w:r>
        <w:rPr>
          <w:rFonts w:hint="eastAsia" w:ascii="宋体" w:hAnsi="宋体"/>
          <w:szCs w:val="21"/>
        </w:rPr>
        <w:t>》编制指引：</w:t>
      </w:r>
    </w:p>
    <w:p w14:paraId="5FB2148D">
      <w:pPr>
        <w:spacing w:line="360" w:lineRule="auto"/>
        <w:ind w:right="84" w:rightChars="40"/>
        <w:rPr>
          <w:rFonts w:hint="eastAsia" w:ascii="宋体" w:hAnsi="宋体"/>
          <w:szCs w:val="21"/>
        </w:rPr>
      </w:pPr>
      <w:r>
        <w:rPr>
          <w:rFonts w:hint="eastAsia" w:ascii="宋体" w:hAnsi="宋体"/>
          <w:szCs w:val="21"/>
          <w:lang w:val="en-US" w:eastAsia="zh-CN"/>
        </w:rPr>
        <w:t>1</w:t>
      </w:r>
      <w:r>
        <w:rPr>
          <w:rFonts w:hint="eastAsia" w:ascii="宋体" w:hAnsi="宋体"/>
          <w:szCs w:val="21"/>
        </w:rPr>
        <w:t>、“投标</w:t>
      </w:r>
      <w:r>
        <w:rPr>
          <w:rFonts w:hint="eastAsia" w:ascii="宋体" w:hAnsi="宋体"/>
          <w:szCs w:val="21"/>
          <w:lang w:val="en-US" w:eastAsia="zh-CN"/>
        </w:rPr>
        <w:t>技术</w:t>
      </w:r>
      <w:r>
        <w:rPr>
          <w:rFonts w:hint="eastAsia" w:ascii="宋体" w:hAnsi="宋体"/>
          <w:szCs w:val="21"/>
        </w:rPr>
        <w:t>响应”一栏必须一一对照“</w:t>
      </w:r>
      <w:r>
        <w:rPr>
          <w:rFonts w:hint="eastAsia" w:ascii="宋体" w:hAnsi="宋体"/>
          <w:szCs w:val="21"/>
          <w:lang w:eastAsia="zh-CN"/>
        </w:rPr>
        <w:t>谈判</w:t>
      </w:r>
      <w:r>
        <w:rPr>
          <w:rFonts w:hint="eastAsia" w:ascii="宋体" w:hAnsi="宋体"/>
          <w:szCs w:val="21"/>
          <w:lang w:val="en-US" w:eastAsia="zh-CN"/>
        </w:rPr>
        <w:t>技术</w:t>
      </w:r>
      <w:r>
        <w:rPr>
          <w:rFonts w:hint="eastAsia" w:ascii="宋体" w:hAnsi="宋体"/>
          <w:szCs w:val="21"/>
        </w:rPr>
        <w:t>要求”，详细填写自身响应情况，而不能不合理照搬照抄</w:t>
      </w:r>
      <w:r>
        <w:rPr>
          <w:rFonts w:hint="eastAsia" w:ascii="宋体" w:hAnsi="宋体"/>
          <w:szCs w:val="21"/>
          <w:lang w:eastAsia="zh-CN"/>
        </w:rPr>
        <w:t>谈判文件</w:t>
      </w:r>
      <w:r>
        <w:rPr>
          <w:rFonts w:hint="eastAsia" w:ascii="宋体" w:hAnsi="宋体"/>
          <w:szCs w:val="21"/>
        </w:rPr>
        <w:t>的</w:t>
      </w:r>
      <w:r>
        <w:rPr>
          <w:rFonts w:hint="eastAsia" w:ascii="宋体" w:hAnsi="宋体"/>
          <w:szCs w:val="21"/>
          <w:lang w:val="en-US" w:eastAsia="zh-CN"/>
        </w:rPr>
        <w:t>技术</w:t>
      </w:r>
      <w:r>
        <w:rPr>
          <w:rFonts w:hint="eastAsia" w:ascii="宋体" w:hAnsi="宋体"/>
          <w:szCs w:val="21"/>
        </w:rPr>
        <w:t>要求，以体现具体响应情况。</w:t>
      </w:r>
    </w:p>
    <w:p w14:paraId="5E7709C8">
      <w:pPr>
        <w:spacing w:line="360" w:lineRule="auto"/>
        <w:ind w:right="84" w:rightChars="40"/>
        <w:rPr>
          <w:rFonts w:hint="eastAsia" w:ascii="宋体" w:hAnsi="宋体"/>
          <w:szCs w:val="21"/>
        </w:rPr>
      </w:pPr>
      <w:r>
        <w:rPr>
          <w:rFonts w:hint="eastAsia" w:ascii="宋体" w:hAnsi="宋体"/>
          <w:szCs w:val="21"/>
          <w:lang w:val="en-US" w:eastAsia="zh-CN"/>
        </w:rPr>
        <w:t>2</w:t>
      </w:r>
      <w:r>
        <w:rPr>
          <w:rFonts w:hint="eastAsia" w:ascii="宋体" w:hAnsi="宋体"/>
          <w:szCs w:val="21"/>
        </w:rPr>
        <w:t>、“偏离情况”一栏如实填写“正偏离”、“负偏离”或“无偏离”，其中：“正偏离”表示“投标</w:t>
      </w:r>
      <w:r>
        <w:rPr>
          <w:rFonts w:hint="eastAsia" w:ascii="宋体" w:hAnsi="宋体"/>
          <w:szCs w:val="21"/>
          <w:lang w:val="en-US" w:eastAsia="zh-CN"/>
        </w:rPr>
        <w:t>技术</w:t>
      </w:r>
      <w:r>
        <w:rPr>
          <w:rFonts w:hint="eastAsia" w:ascii="宋体" w:hAnsi="宋体"/>
          <w:szCs w:val="21"/>
        </w:rPr>
        <w:t>响应优于</w:t>
      </w:r>
      <w:r>
        <w:rPr>
          <w:rFonts w:hint="eastAsia" w:ascii="宋体" w:hAnsi="宋体"/>
          <w:szCs w:val="21"/>
          <w:lang w:eastAsia="zh-CN"/>
        </w:rPr>
        <w:t>谈判</w:t>
      </w:r>
      <w:r>
        <w:rPr>
          <w:rFonts w:hint="eastAsia" w:ascii="宋体" w:hAnsi="宋体"/>
          <w:szCs w:val="21"/>
          <w:lang w:val="en-US" w:eastAsia="zh-CN"/>
        </w:rPr>
        <w:t>技术</w:t>
      </w:r>
      <w:r>
        <w:rPr>
          <w:rFonts w:hint="eastAsia" w:ascii="宋体" w:hAnsi="宋体"/>
          <w:szCs w:val="21"/>
        </w:rPr>
        <w:t>要求”，“负偏离”表示“投标</w:t>
      </w:r>
      <w:r>
        <w:rPr>
          <w:rFonts w:hint="eastAsia" w:ascii="宋体" w:hAnsi="宋体"/>
          <w:szCs w:val="21"/>
          <w:lang w:val="en-US" w:eastAsia="zh-CN"/>
        </w:rPr>
        <w:t>技术</w:t>
      </w:r>
      <w:r>
        <w:rPr>
          <w:rFonts w:hint="eastAsia" w:ascii="宋体" w:hAnsi="宋体"/>
          <w:szCs w:val="21"/>
        </w:rPr>
        <w:t>响应不满足</w:t>
      </w:r>
      <w:r>
        <w:rPr>
          <w:rFonts w:hint="eastAsia" w:ascii="宋体" w:hAnsi="宋体"/>
          <w:szCs w:val="21"/>
          <w:lang w:eastAsia="zh-CN"/>
        </w:rPr>
        <w:t>谈判</w:t>
      </w:r>
      <w:r>
        <w:rPr>
          <w:rFonts w:hint="eastAsia" w:ascii="宋体" w:hAnsi="宋体"/>
          <w:szCs w:val="21"/>
          <w:lang w:val="en-US" w:eastAsia="zh-CN"/>
        </w:rPr>
        <w:t>技术</w:t>
      </w:r>
      <w:r>
        <w:rPr>
          <w:rFonts w:hint="eastAsia" w:ascii="宋体" w:hAnsi="宋体"/>
          <w:szCs w:val="21"/>
        </w:rPr>
        <w:t>要求”，“无偏离”表示“投标</w:t>
      </w:r>
      <w:r>
        <w:rPr>
          <w:rFonts w:hint="eastAsia" w:ascii="宋体" w:hAnsi="宋体"/>
          <w:szCs w:val="21"/>
          <w:lang w:val="en-US" w:eastAsia="zh-CN"/>
        </w:rPr>
        <w:t>技术</w:t>
      </w:r>
      <w:r>
        <w:rPr>
          <w:rFonts w:hint="eastAsia" w:ascii="宋体" w:hAnsi="宋体"/>
          <w:szCs w:val="21"/>
        </w:rPr>
        <w:t>响应与</w:t>
      </w:r>
      <w:r>
        <w:rPr>
          <w:rFonts w:hint="eastAsia" w:ascii="宋体" w:hAnsi="宋体"/>
          <w:szCs w:val="21"/>
          <w:lang w:eastAsia="zh-CN"/>
        </w:rPr>
        <w:t>谈判</w:t>
      </w:r>
      <w:r>
        <w:rPr>
          <w:rFonts w:hint="eastAsia" w:ascii="宋体" w:hAnsi="宋体"/>
          <w:szCs w:val="21"/>
          <w:lang w:val="en-US" w:eastAsia="zh-CN"/>
        </w:rPr>
        <w:t>技术</w:t>
      </w:r>
      <w:r>
        <w:rPr>
          <w:rFonts w:hint="eastAsia" w:ascii="宋体" w:hAnsi="宋体"/>
          <w:szCs w:val="21"/>
        </w:rPr>
        <w:t>要求一致”。</w:t>
      </w:r>
    </w:p>
    <w:p w14:paraId="01F5FBAF">
      <w:pPr>
        <w:spacing w:line="360" w:lineRule="auto"/>
        <w:ind w:right="84" w:rightChars="40"/>
        <w:rPr>
          <w:rFonts w:hint="eastAsia" w:ascii="宋体" w:hAnsi="宋体"/>
          <w:szCs w:val="21"/>
        </w:rPr>
      </w:pPr>
      <w:r>
        <w:rPr>
          <w:rFonts w:hint="eastAsia" w:ascii="宋体" w:hAnsi="宋体"/>
          <w:szCs w:val="21"/>
          <w:lang w:val="en-US" w:eastAsia="zh-CN"/>
        </w:rPr>
        <w:t>3</w:t>
      </w:r>
      <w:r>
        <w:rPr>
          <w:rFonts w:hint="eastAsia" w:ascii="宋体" w:hAnsi="宋体"/>
          <w:szCs w:val="21"/>
        </w:rPr>
        <w:t>、“投标</w:t>
      </w:r>
      <w:r>
        <w:rPr>
          <w:rFonts w:hint="eastAsia" w:ascii="宋体" w:hAnsi="宋体"/>
          <w:szCs w:val="21"/>
          <w:lang w:val="en-US" w:eastAsia="zh-CN"/>
        </w:rPr>
        <w:t>技术</w:t>
      </w:r>
      <w:r>
        <w:rPr>
          <w:rFonts w:hint="eastAsia" w:ascii="宋体" w:hAnsi="宋体"/>
          <w:szCs w:val="21"/>
        </w:rPr>
        <w:t>响应”对比“</w:t>
      </w:r>
      <w:r>
        <w:rPr>
          <w:rFonts w:hint="eastAsia" w:ascii="宋体" w:hAnsi="宋体"/>
          <w:szCs w:val="21"/>
          <w:lang w:eastAsia="zh-CN"/>
        </w:rPr>
        <w:t>谈判</w:t>
      </w:r>
      <w:r>
        <w:rPr>
          <w:rFonts w:hint="eastAsia" w:ascii="宋体" w:hAnsi="宋体"/>
          <w:szCs w:val="21"/>
          <w:lang w:val="en-US" w:eastAsia="zh-CN"/>
        </w:rPr>
        <w:t>技术</w:t>
      </w:r>
      <w:r>
        <w:rPr>
          <w:rFonts w:hint="eastAsia" w:ascii="宋体" w:hAnsi="宋体"/>
          <w:szCs w:val="21"/>
        </w:rPr>
        <w:t>要求”存在响应不全（包括未响应整项</w:t>
      </w:r>
      <w:r>
        <w:rPr>
          <w:rFonts w:hint="eastAsia" w:ascii="宋体" w:hAnsi="宋体"/>
          <w:szCs w:val="21"/>
          <w:lang w:eastAsia="zh-CN"/>
        </w:rPr>
        <w:t>谈判</w:t>
      </w:r>
      <w:r>
        <w:rPr>
          <w:rFonts w:hint="eastAsia" w:ascii="宋体" w:hAnsi="宋体"/>
          <w:szCs w:val="21"/>
          <w:lang w:val="en-US" w:eastAsia="zh-CN"/>
        </w:rPr>
        <w:t>技术</w:t>
      </w:r>
      <w:r>
        <w:rPr>
          <w:rFonts w:hint="eastAsia" w:ascii="宋体" w:hAnsi="宋体"/>
          <w:szCs w:val="21"/>
        </w:rPr>
        <w:t>要求或者未响应一项</w:t>
      </w:r>
      <w:r>
        <w:rPr>
          <w:rFonts w:hint="eastAsia" w:ascii="宋体" w:hAnsi="宋体"/>
          <w:szCs w:val="21"/>
          <w:lang w:eastAsia="zh-CN"/>
        </w:rPr>
        <w:t>谈判</w:t>
      </w:r>
      <w:r>
        <w:rPr>
          <w:rFonts w:hint="eastAsia" w:ascii="宋体" w:hAnsi="宋体"/>
          <w:szCs w:val="21"/>
          <w:lang w:val="en-US" w:eastAsia="zh-CN"/>
        </w:rPr>
        <w:t>技术</w:t>
      </w:r>
      <w:r>
        <w:rPr>
          <w:rFonts w:hint="eastAsia" w:ascii="宋体" w:hAnsi="宋体"/>
          <w:szCs w:val="21"/>
        </w:rPr>
        <w:t>要求的部分内容），均视为“负偏离”。</w:t>
      </w:r>
    </w:p>
    <w:p w14:paraId="5521E149">
      <w:pPr>
        <w:adjustRightInd w:val="0"/>
        <w:snapToGrid w:val="0"/>
        <w:spacing w:line="300" w:lineRule="auto"/>
        <w:rPr>
          <w:rFonts w:hint="eastAsia" w:ascii="宋体" w:hAnsi="宋体" w:eastAsia="宋体" w:cs="宋体"/>
          <w:sz w:val="24"/>
          <w:highlight w:val="none"/>
        </w:rPr>
      </w:pPr>
    </w:p>
    <w:p w14:paraId="2D7347C3">
      <w:pPr>
        <w:adjustRightInd w:val="0"/>
        <w:snapToGrid w:val="0"/>
        <w:spacing w:line="300" w:lineRule="auto"/>
        <w:ind w:firstLine="470" w:firstLineChars="224"/>
        <w:rPr>
          <w:rFonts w:hint="eastAsia" w:ascii="宋体" w:hAnsi="宋体" w:eastAsia="宋体" w:cs="宋体"/>
          <w:szCs w:val="21"/>
          <w:highlight w:val="none"/>
        </w:rPr>
      </w:pPr>
      <w:r>
        <w:rPr>
          <w:rFonts w:hint="eastAsia" w:ascii="宋体" w:hAnsi="宋体" w:eastAsia="宋体" w:cs="宋体"/>
          <w:szCs w:val="21"/>
          <w:highlight w:val="none"/>
        </w:rPr>
        <w:t>投标人法定代表人（或法定代表人授权代表）签字：</w:t>
      </w:r>
      <w:r>
        <w:rPr>
          <w:rFonts w:hint="eastAsia" w:ascii="宋体" w:hAnsi="宋体" w:eastAsia="宋体" w:cs="宋体"/>
          <w:szCs w:val="21"/>
          <w:highlight w:val="none"/>
          <w:u w:val="single"/>
        </w:rPr>
        <w:t xml:space="preserve">               </w:t>
      </w:r>
    </w:p>
    <w:p w14:paraId="2F36244A">
      <w:pPr>
        <w:adjustRightInd w:val="0"/>
        <w:snapToGrid w:val="0"/>
        <w:spacing w:line="300" w:lineRule="auto"/>
        <w:ind w:firstLine="470" w:firstLineChars="224"/>
        <w:rPr>
          <w:rFonts w:hint="eastAsia" w:ascii="宋体" w:hAnsi="宋体" w:eastAsia="宋体" w:cs="宋体"/>
          <w:szCs w:val="21"/>
          <w:highlight w:val="none"/>
          <w:u w:val="single"/>
        </w:rPr>
      </w:pPr>
      <w:r>
        <w:rPr>
          <w:rFonts w:hint="eastAsia" w:ascii="宋体" w:hAnsi="宋体" w:eastAsia="宋体" w:cs="宋体"/>
          <w:szCs w:val="21"/>
          <w:highlight w:val="none"/>
        </w:rPr>
        <w:t>投标人名称（加盖公章）：</w:t>
      </w:r>
      <w:r>
        <w:rPr>
          <w:rFonts w:hint="eastAsia" w:ascii="宋体" w:hAnsi="宋体" w:eastAsia="宋体" w:cs="宋体"/>
          <w:szCs w:val="21"/>
          <w:highlight w:val="none"/>
          <w:u w:val="single"/>
        </w:rPr>
        <w:t xml:space="preserve">                        </w:t>
      </w:r>
    </w:p>
    <w:p w14:paraId="4578E62C">
      <w:pPr>
        <w:ind w:left="2" w:firstLine="470" w:firstLineChars="224"/>
        <w:rPr>
          <w:rFonts w:ascii="Arial" w:hAnsi="Arial" w:eastAsia="黑体"/>
          <w:bCs/>
          <w:sz w:val="32"/>
          <w:szCs w:val="32"/>
        </w:rPr>
      </w:pPr>
      <w:r>
        <w:rPr>
          <w:rFonts w:hint="eastAsia" w:ascii="宋体" w:hAnsi="宋体" w:eastAsia="宋体" w:cs="宋体"/>
          <w:szCs w:val="21"/>
          <w:highlight w:val="none"/>
        </w:rPr>
        <w:t>日期：   年   月   日</w:t>
      </w:r>
    </w:p>
    <w:p w14:paraId="5A12BB44">
      <w:pPr>
        <w:rPr>
          <w:color w:val="000000"/>
        </w:rPr>
      </w:pPr>
    </w:p>
    <w:p w14:paraId="0871B203">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p>
    <w:p w14:paraId="2970BA39">
      <w:pPr>
        <w:spacing w:after="6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p>
    <w:p w14:paraId="551E94B8">
      <w:pPr>
        <w:spacing w:after="60"/>
        <w:ind w:firstLine="2100" w:firstLineChars="1000"/>
        <w:jc w:val="both"/>
        <w:rPr>
          <w:rFonts w:hint="eastAsia" w:cs="Arial"/>
          <w:b/>
          <w:color w:val="000000"/>
          <w:sz w:val="28"/>
          <w:szCs w:val="28"/>
        </w:rPr>
      </w:pPr>
      <w:r>
        <w:rPr>
          <w:rFonts w:hint="eastAsia" w:ascii="宋体" w:hAnsi="宋体" w:cs="宋体"/>
          <w:color w:val="000000" w:themeColor="text1"/>
          <w:szCs w:val="21"/>
          <w14:textFill>
            <w14:solidFill>
              <w14:schemeClr w14:val="tx1"/>
            </w14:solidFill>
          </w14:textFill>
        </w:rPr>
        <w:t xml:space="preserve">  </w:t>
      </w:r>
    </w:p>
    <w:p w14:paraId="26710D5F">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33" w:name="_Toc29077"/>
      <w:bookmarkStart w:id="34" w:name="_Toc9447"/>
      <w:bookmarkStart w:id="35" w:name="_Toc435514854"/>
      <w:bookmarkStart w:id="36" w:name="_Toc20322_WPSOffice_Level1"/>
      <w:bookmarkStart w:id="37" w:name="_Toc435515294"/>
      <w:bookmarkStart w:id="38" w:name="_Toc24434"/>
      <w:bookmarkStart w:id="39" w:name="_Toc275865605"/>
      <w:bookmarkStart w:id="40" w:name="_Toc1762"/>
      <w:r>
        <w:rPr>
          <w:rFonts w:hint="eastAsia" w:cs="宋体" w:asciiTheme="majorEastAsia" w:hAnsiTheme="majorEastAsia" w:eastAsiaTheme="majorEastAsia"/>
          <w:kern w:val="2"/>
          <w:sz w:val="30"/>
          <w:szCs w:val="30"/>
          <w:lang w:val="en-US" w:eastAsia="zh-CN" w:bidi="ar-SA"/>
        </w:rPr>
        <w:t>（十）</w:t>
      </w:r>
      <w:r>
        <w:rPr>
          <w:rFonts w:hint="eastAsia" w:asciiTheme="majorEastAsia" w:hAnsiTheme="majorEastAsia" w:eastAsiaTheme="majorEastAsia"/>
          <w:sz w:val="30"/>
          <w:szCs w:val="30"/>
          <w:lang w:val="en-US" w:eastAsia="zh-CN"/>
        </w:rPr>
        <w:t>商务</w:t>
      </w:r>
      <w:r>
        <w:rPr>
          <w:rFonts w:hint="eastAsia" w:asciiTheme="majorEastAsia" w:hAnsiTheme="majorEastAsia" w:eastAsiaTheme="majorEastAsia"/>
          <w:sz w:val="30"/>
          <w:szCs w:val="30"/>
        </w:rPr>
        <w:t>条款响应一览表</w:t>
      </w:r>
      <w:bookmarkEnd w:id="33"/>
    </w:p>
    <w:p w14:paraId="4F49A491">
      <w:pPr>
        <w:spacing w:line="400" w:lineRule="exact"/>
        <w:rPr>
          <w:rFonts w:ascii="宋体" w:hAnsi="宋体"/>
        </w:rPr>
      </w:pPr>
      <w:r>
        <w:rPr>
          <w:rFonts w:hint="eastAsia" w:ascii="宋体" w:hAnsi="宋体"/>
        </w:rPr>
        <w:t>说明：投标人必须对应</w:t>
      </w:r>
      <w:r>
        <w:rPr>
          <w:rFonts w:hint="eastAsia" w:ascii="宋体" w:hAnsi="宋体"/>
          <w:lang w:eastAsia="zh-CN"/>
        </w:rPr>
        <w:t>谈判文件</w:t>
      </w:r>
      <w:r>
        <w:rPr>
          <w:rFonts w:hint="eastAsia" w:ascii="宋体" w:hAnsi="宋体"/>
          <w:lang w:val="en-US" w:eastAsia="zh-CN"/>
        </w:rPr>
        <w:t>商务要求中的</w:t>
      </w:r>
      <w:r>
        <w:rPr>
          <w:rFonts w:hint="eastAsia" w:ascii="宋体" w:hAnsi="宋体"/>
        </w:rPr>
        <w:t>条款逐条应答并按要求填写下表。</w:t>
      </w:r>
    </w:p>
    <w:tbl>
      <w:tblPr>
        <w:tblStyle w:val="17"/>
        <w:tblW w:w="905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0"/>
        <w:gridCol w:w="2515"/>
        <w:gridCol w:w="2341"/>
        <w:gridCol w:w="1750"/>
        <w:gridCol w:w="1623"/>
      </w:tblGrid>
      <w:tr w14:paraId="11313A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830" w:type="dxa"/>
            <w:shd w:val="clear" w:color="auto" w:fill="EAF1DD" w:themeFill="accent3" w:themeFillTint="33"/>
            <w:vAlign w:val="center"/>
          </w:tcPr>
          <w:p w14:paraId="5D47DA55">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序号</w:t>
            </w:r>
          </w:p>
        </w:tc>
        <w:tc>
          <w:tcPr>
            <w:tcW w:w="2515" w:type="dxa"/>
            <w:shd w:val="clear" w:color="auto" w:fill="EAF1DD" w:themeFill="accent3" w:themeFillTint="33"/>
            <w:vAlign w:val="center"/>
          </w:tcPr>
          <w:p w14:paraId="076510C1">
            <w:pPr>
              <w:keepNext w:val="0"/>
              <w:keepLines w:val="0"/>
              <w:suppressLineNumbers w:val="0"/>
              <w:spacing w:before="0" w:beforeAutospacing="0" w:after="0" w:afterAutospacing="0"/>
              <w:ind w:left="0" w:right="0"/>
              <w:jc w:val="center"/>
              <w:rPr>
                <w:rFonts w:hint="eastAsia" w:asciiTheme="minorEastAsia" w:hAnsiTheme="minorEastAsia" w:eastAsiaTheme="minorEastAsia"/>
                <w:color w:val="auto"/>
                <w:szCs w:val="21"/>
                <w:lang w:val="en-US" w:eastAsia="zh-CN"/>
              </w:rPr>
            </w:pPr>
            <w:r>
              <w:rPr>
                <w:rFonts w:hint="eastAsia" w:ascii="宋体" w:hAnsi="宋体"/>
                <w:szCs w:val="21"/>
                <w:lang w:val="en-US" w:eastAsia="zh-CN"/>
              </w:rPr>
              <w:t>谈判</w:t>
            </w:r>
            <w:r>
              <w:rPr>
                <w:rFonts w:hint="eastAsia" w:ascii="宋体" w:hAnsi="宋体"/>
                <w:szCs w:val="21"/>
              </w:rPr>
              <w:t>商务</w:t>
            </w:r>
            <w:r>
              <w:rPr>
                <w:rFonts w:hint="eastAsia" w:ascii="宋体" w:hAnsi="宋体"/>
                <w:szCs w:val="21"/>
                <w:lang w:val="en-US" w:eastAsia="zh-CN"/>
              </w:rPr>
              <w:t>要求</w:t>
            </w:r>
          </w:p>
        </w:tc>
        <w:tc>
          <w:tcPr>
            <w:tcW w:w="2341" w:type="dxa"/>
            <w:shd w:val="clear" w:color="auto" w:fill="EAF1DD" w:themeFill="accent3" w:themeFillTint="33"/>
            <w:vAlign w:val="center"/>
          </w:tcPr>
          <w:p w14:paraId="5A5F691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宋体" w:hAnsi="宋体"/>
                <w:szCs w:val="21"/>
              </w:rPr>
              <w:t>投标商务响应</w:t>
            </w:r>
          </w:p>
        </w:tc>
        <w:tc>
          <w:tcPr>
            <w:tcW w:w="1750" w:type="dxa"/>
            <w:shd w:val="clear" w:color="auto" w:fill="EAF1DD" w:themeFill="accent3" w:themeFillTint="33"/>
            <w:vAlign w:val="center"/>
          </w:tcPr>
          <w:p w14:paraId="5EB892D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偏离情况（填写“正偏离、</w:t>
            </w:r>
            <w:r>
              <w:rPr>
                <w:rFonts w:hint="eastAsia" w:asciiTheme="minorEastAsia" w:hAnsiTheme="minorEastAsia"/>
                <w:color w:val="auto"/>
                <w:szCs w:val="21"/>
                <w:lang w:val="en-US" w:eastAsia="zh-CN"/>
              </w:rPr>
              <w:t>无偏离</w:t>
            </w:r>
            <w:r>
              <w:rPr>
                <w:rFonts w:hint="eastAsia" w:asciiTheme="minorEastAsia" w:hAnsiTheme="minorEastAsia" w:eastAsiaTheme="minorEastAsia"/>
                <w:color w:val="auto"/>
                <w:szCs w:val="21"/>
              </w:rPr>
              <w:t>或负偏离”）</w:t>
            </w:r>
          </w:p>
        </w:tc>
        <w:tc>
          <w:tcPr>
            <w:tcW w:w="1623" w:type="dxa"/>
            <w:shd w:val="clear" w:color="auto" w:fill="EAF1DD" w:themeFill="accent3" w:themeFillTint="33"/>
            <w:vAlign w:val="center"/>
          </w:tcPr>
          <w:p w14:paraId="174B985C">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说明</w:t>
            </w:r>
          </w:p>
        </w:tc>
      </w:tr>
      <w:tr w14:paraId="50CE99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9059" w:type="dxa"/>
            <w:gridSpan w:val="5"/>
            <w:vAlign w:val="center"/>
          </w:tcPr>
          <w:p w14:paraId="29324E30">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szCs w:val="21"/>
                <w:lang w:val="en-US" w:eastAsia="zh-CN"/>
              </w:rPr>
              <w:t>商务</w:t>
            </w:r>
            <w:r>
              <w:rPr>
                <w:rFonts w:hint="eastAsia" w:asciiTheme="minorEastAsia" w:hAnsiTheme="minorEastAsia" w:eastAsiaTheme="minorEastAsia"/>
                <w:szCs w:val="21"/>
              </w:rPr>
              <w:t>条款</w:t>
            </w:r>
          </w:p>
        </w:tc>
      </w:tr>
      <w:tr w14:paraId="77AD19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75F5768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1</w:t>
            </w:r>
          </w:p>
        </w:tc>
        <w:tc>
          <w:tcPr>
            <w:tcW w:w="2515" w:type="dxa"/>
            <w:vAlign w:val="center"/>
          </w:tcPr>
          <w:p w14:paraId="18A89F64">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1C7FE13">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6E3F4AE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534721E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525F71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75A57EE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2</w:t>
            </w:r>
          </w:p>
        </w:tc>
        <w:tc>
          <w:tcPr>
            <w:tcW w:w="2515" w:type="dxa"/>
            <w:vAlign w:val="center"/>
          </w:tcPr>
          <w:p w14:paraId="4D13A263">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391D2ADB">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04141B8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79B22E1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16C237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40DB666A">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3</w:t>
            </w:r>
          </w:p>
        </w:tc>
        <w:tc>
          <w:tcPr>
            <w:tcW w:w="2515" w:type="dxa"/>
            <w:vAlign w:val="center"/>
          </w:tcPr>
          <w:p w14:paraId="5609A78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7B37A5E3">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0CD5563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7173ACB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46EDF5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628F007B">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4</w:t>
            </w:r>
          </w:p>
        </w:tc>
        <w:tc>
          <w:tcPr>
            <w:tcW w:w="2515" w:type="dxa"/>
            <w:vAlign w:val="center"/>
          </w:tcPr>
          <w:p w14:paraId="39911D4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12D282E5">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5F34C41D">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2E07101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7A0B23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21405C05">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5</w:t>
            </w:r>
          </w:p>
        </w:tc>
        <w:tc>
          <w:tcPr>
            <w:tcW w:w="2515" w:type="dxa"/>
            <w:vAlign w:val="center"/>
          </w:tcPr>
          <w:p w14:paraId="14DE0EC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D95AB4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0D97C41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53FA1D5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41267E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52503923">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6</w:t>
            </w:r>
          </w:p>
        </w:tc>
        <w:tc>
          <w:tcPr>
            <w:tcW w:w="2515" w:type="dxa"/>
            <w:vAlign w:val="center"/>
          </w:tcPr>
          <w:p w14:paraId="3EB1FC95">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1DF40BB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3B51D46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3B65CDB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644EB1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30" w:type="dxa"/>
            <w:vAlign w:val="center"/>
          </w:tcPr>
          <w:p w14:paraId="0967485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w:t>
            </w:r>
          </w:p>
        </w:tc>
        <w:tc>
          <w:tcPr>
            <w:tcW w:w="2515" w:type="dxa"/>
            <w:vAlign w:val="center"/>
          </w:tcPr>
          <w:p w14:paraId="7CDB4A2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008BE62A">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60DFCF1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3AE040F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bl>
    <w:p w14:paraId="526C6290">
      <w:pPr>
        <w:spacing w:line="360" w:lineRule="auto"/>
        <w:ind w:right="84" w:rightChars="40"/>
        <w:rPr>
          <w:rFonts w:ascii="宋体" w:hAnsi="宋体"/>
          <w:szCs w:val="21"/>
        </w:rPr>
      </w:pPr>
      <w:r>
        <w:rPr>
          <w:rFonts w:hint="eastAsia" w:ascii="宋体" w:hAnsi="宋体"/>
          <w:szCs w:val="21"/>
        </w:rPr>
        <w:t>备注：投标人必须按</w:t>
      </w:r>
      <w:r>
        <w:rPr>
          <w:rFonts w:hint="eastAsia" w:ascii="宋体" w:hAnsi="宋体"/>
          <w:szCs w:val="21"/>
          <w:lang w:eastAsia="zh-CN"/>
        </w:rPr>
        <w:t>谈判文件</w:t>
      </w:r>
      <w:r>
        <w:rPr>
          <w:rFonts w:hint="eastAsia" w:ascii="宋体" w:hAnsi="宋体"/>
          <w:szCs w:val="21"/>
        </w:rPr>
        <w:t>要求附相关证明文件，如未提供的视为负偏离。</w:t>
      </w:r>
    </w:p>
    <w:p w14:paraId="1F5586D6">
      <w:pPr>
        <w:spacing w:line="360" w:lineRule="auto"/>
        <w:ind w:right="84" w:rightChars="40"/>
        <w:rPr>
          <w:rFonts w:hint="eastAsia" w:ascii="宋体" w:hAnsi="宋体"/>
          <w:szCs w:val="21"/>
        </w:rPr>
      </w:pPr>
      <w:r>
        <w:rPr>
          <w:rFonts w:hint="eastAsia" w:ascii="宋体" w:hAnsi="宋体"/>
          <w:szCs w:val="21"/>
        </w:rPr>
        <w:t>《商务条款响应</w:t>
      </w:r>
      <w:r>
        <w:rPr>
          <w:rFonts w:hint="eastAsia" w:ascii="宋体" w:hAnsi="宋体"/>
          <w:szCs w:val="21"/>
          <w:lang w:val="en-US" w:eastAsia="zh-CN"/>
        </w:rPr>
        <w:t>一栏表</w:t>
      </w:r>
      <w:r>
        <w:rPr>
          <w:rFonts w:hint="eastAsia" w:ascii="宋体" w:hAnsi="宋体"/>
          <w:szCs w:val="21"/>
        </w:rPr>
        <w:t>》编制指引：</w:t>
      </w:r>
    </w:p>
    <w:p w14:paraId="4E2607C5">
      <w:pPr>
        <w:spacing w:line="360" w:lineRule="auto"/>
        <w:ind w:right="84" w:rightChars="40"/>
        <w:rPr>
          <w:rFonts w:hint="eastAsia" w:ascii="宋体" w:hAnsi="宋体"/>
          <w:szCs w:val="21"/>
        </w:rPr>
      </w:pPr>
      <w:r>
        <w:rPr>
          <w:rFonts w:hint="eastAsia" w:ascii="宋体" w:hAnsi="宋体"/>
          <w:szCs w:val="21"/>
          <w:lang w:val="en-US" w:eastAsia="zh-CN"/>
        </w:rPr>
        <w:t>1</w:t>
      </w:r>
      <w:r>
        <w:rPr>
          <w:rFonts w:hint="eastAsia" w:ascii="宋体" w:hAnsi="宋体"/>
          <w:szCs w:val="21"/>
        </w:rPr>
        <w:t>、“投标商务响应”一栏必须一一对照“</w:t>
      </w:r>
      <w:r>
        <w:rPr>
          <w:rFonts w:hint="eastAsia" w:ascii="宋体" w:hAnsi="宋体"/>
          <w:szCs w:val="21"/>
          <w:lang w:eastAsia="zh-CN"/>
        </w:rPr>
        <w:t>谈判</w:t>
      </w:r>
      <w:r>
        <w:rPr>
          <w:rFonts w:hint="eastAsia" w:ascii="宋体" w:hAnsi="宋体"/>
          <w:szCs w:val="21"/>
        </w:rPr>
        <w:t>商务要求”，详细填写自身响应情况，而不能不合理照搬照抄</w:t>
      </w:r>
      <w:r>
        <w:rPr>
          <w:rFonts w:hint="eastAsia" w:ascii="宋体" w:hAnsi="宋体"/>
          <w:szCs w:val="21"/>
          <w:lang w:eastAsia="zh-CN"/>
        </w:rPr>
        <w:t>谈判文件</w:t>
      </w:r>
      <w:r>
        <w:rPr>
          <w:rFonts w:hint="eastAsia" w:ascii="宋体" w:hAnsi="宋体"/>
          <w:szCs w:val="21"/>
        </w:rPr>
        <w:t>的商务要求，以体现具体响应情况。</w:t>
      </w:r>
    </w:p>
    <w:p w14:paraId="401E1F14">
      <w:pPr>
        <w:spacing w:line="360" w:lineRule="auto"/>
        <w:ind w:right="84" w:rightChars="40"/>
        <w:rPr>
          <w:rFonts w:hint="eastAsia" w:ascii="宋体" w:hAnsi="宋体"/>
          <w:szCs w:val="21"/>
        </w:rPr>
      </w:pPr>
      <w:r>
        <w:rPr>
          <w:rFonts w:hint="eastAsia" w:ascii="宋体" w:hAnsi="宋体"/>
          <w:szCs w:val="21"/>
          <w:lang w:val="en-US" w:eastAsia="zh-CN"/>
        </w:rPr>
        <w:t>2</w:t>
      </w:r>
      <w:r>
        <w:rPr>
          <w:rFonts w:hint="eastAsia" w:ascii="宋体" w:hAnsi="宋体"/>
          <w:szCs w:val="21"/>
        </w:rPr>
        <w:t>、“偏离情况”一栏如实填写“正偏离”、“负偏离”或“无偏离”，其中：“正偏离”表示“投标</w:t>
      </w:r>
      <w:r>
        <w:rPr>
          <w:rFonts w:hint="eastAsia" w:ascii="宋体" w:hAnsi="宋体"/>
          <w:szCs w:val="21"/>
          <w:lang w:val="en-US" w:eastAsia="zh-CN"/>
        </w:rPr>
        <w:t>商务</w:t>
      </w:r>
      <w:r>
        <w:rPr>
          <w:rFonts w:hint="eastAsia" w:ascii="宋体" w:hAnsi="宋体"/>
          <w:szCs w:val="21"/>
        </w:rPr>
        <w:t>响应优于</w:t>
      </w:r>
      <w:r>
        <w:rPr>
          <w:rFonts w:hint="eastAsia" w:ascii="宋体" w:hAnsi="宋体"/>
          <w:szCs w:val="21"/>
          <w:lang w:eastAsia="zh-CN"/>
        </w:rPr>
        <w:t>谈判</w:t>
      </w:r>
      <w:r>
        <w:rPr>
          <w:rFonts w:hint="eastAsia" w:ascii="宋体" w:hAnsi="宋体"/>
          <w:szCs w:val="21"/>
        </w:rPr>
        <w:t>商务要求”，“负偏离”表示“投标</w:t>
      </w:r>
      <w:r>
        <w:rPr>
          <w:rFonts w:hint="eastAsia" w:ascii="宋体" w:hAnsi="宋体"/>
          <w:szCs w:val="21"/>
          <w:lang w:val="en-US" w:eastAsia="zh-CN"/>
        </w:rPr>
        <w:t>商务</w:t>
      </w:r>
      <w:r>
        <w:rPr>
          <w:rFonts w:hint="eastAsia" w:ascii="宋体" w:hAnsi="宋体"/>
          <w:szCs w:val="21"/>
        </w:rPr>
        <w:t>响应不满足</w:t>
      </w:r>
      <w:r>
        <w:rPr>
          <w:rFonts w:hint="eastAsia" w:ascii="宋体" w:hAnsi="宋体"/>
          <w:szCs w:val="21"/>
          <w:lang w:eastAsia="zh-CN"/>
        </w:rPr>
        <w:t>谈判</w:t>
      </w:r>
      <w:r>
        <w:rPr>
          <w:rFonts w:hint="eastAsia" w:ascii="宋体" w:hAnsi="宋体"/>
          <w:szCs w:val="21"/>
        </w:rPr>
        <w:t>商务要求”，“无偏离”表示“投标</w:t>
      </w:r>
      <w:r>
        <w:rPr>
          <w:rFonts w:hint="eastAsia" w:ascii="宋体" w:hAnsi="宋体"/>
          <w:szCs w:val="21"/>
          <w:lang w:val="en-US" w:eastAsia="zh-CN"/>
        </w:rPr>
        <w:t>商务</w:t>
      </w:r>
      <w:r>
        <w:rPr>
          <w:rFonts w:hint="eastAsia" w:ascii="宋体" w:hAnsi="宋体"/>
          <w:szCs w:val="21"/>
        </w:rPr>
        <w:t>响应与</w:t>
      </w:r>
      <w:r>
        <w:rPr>
          <w:rFonts w:hint="eastAsia" w:ascii="宋体" w:hAnsi="宋体"/>
          <w:szCs w:val="21"/>
          <w:lang w:eastAsia="zh-CN"/>
        </w:rPr>
        <w:t>谈判</w:t>
      </w:r>
      <w:r>
        <w:rPr>
          <w:rFonts w:hint="eastAsia" w:ascii="宋体" w:hAnsi="宋体"/>
          <w:szCs w:val="21"/>
        </w:rPr>
        <w:t>商务要求一致”。</w:t>
      </w:r>
    </w:p>
    <w:p w14:paraId="381E0A73">
      <w:pPr>
        <w:spacing w:line="360" w:lineRule="auto"/>
        <w:ind w:right="84" w:rightChars="40"/>
        <w:rPr>
          <w:rFonts w:hint="eastAsia" w:ascii="宋体" w:hAnsi="宋体"/>
          <w:szCs w:val="21"/>
        </w:rPr>
      </w:pPr>
      <w:r>
        <w:rPr>
          <w:rFonts w:hint="eastAsia" w:ascii="宋体" w:hAnsi="宋体"/>
          <w:szCs w:val="21"/>
          <w:lang w:val="en-US" w:eastAsia="zh-CN"/>
        </w:rPr>
        <w:t>3</w:t>
      </w:r>
      <w:r>
        <w:rPr>
          <w:rFonts w:hint="eastAsia" w:ascii="宋体" w:hAnsi="宋体"/>
          <w:szCs w:val="21"/>
        </w:rPr>
        <w:t>、“投标商务响应”对比“</w:t>
      </w:r>
      <w:r>
        <w:rPr>
          <w:rFonts w:hint="eastAsia" w:ascii="宋体" w:hAnsi="宋体"/>
          <w:szCs w:val="21"/>
          <w:lang w:eastAsia="zh-CN"/>
        </w:rPr>
        <w:t>谈判</w:t>
      </w:r>
      <w:r>
        <w:rPr>
          <w:rFonts w:hint="eastAsia" w:ascii="宋体" w:hAnsi="宋体"/>
          <w:szCs w:val="21"/>
        </w:rPr>
        <w:t>商务要求”存在响应不全（包括未响应整项</w:t>
      </w:r>
      <w:r>
        <w:rPr>
          <w:rFonts w:hint="eastAsia" w:ascii="宋体" w:hAnsi="宋体"/>
          <w:szCs w:val="21"/>
          <w:lang w:eastAsia="zh-CN"/>
        </w:rPr>
        <w:t>谈判</w:t>
      </w:r>
      <w:r>
        <w:rPr>
          <w:rFonts w:hint="eastAsia" w:ascii="宋体" w:hAnsi="宋体"/>
          <w:szCs w:val="21"/>
        </w:rPr>
        <w:t>商务要求或者未响应一项</w:t>
      </w:r>
      <w:r>
        <w:rPr>
          <w:rFonts w:hint="eastAsia" w:ascii="宋体" w:hAnsi="宋体"/>
          <w:szCs w:val="21"/>
          <w:lang w:eastAsia="zh-CN"/>
        </w:rPr>
        <w:t>谈判</w:t>
      </w:r>
      <w:r>
        <w:rPr>
          <w:rFonts w:hint="eastAsia" w:ascii="宋体" w:hAnsi="宋体"/>
          <w:szCs w:val="21"/>
        </w:rPr>
        <w:t>商务要求的部分内容），均视为“负偏离”。</w:t>
      </w:r>
    </w:p>
    <w:p w14:paraId="0D577773">
      <w:pPr>
        <w:adjustRightInd w:val="0"/>
        <w:snapToGrid w:val="0"/>
        <w:spacing w:line="300" w:lineRule="auto"/>
        <w:rPr>
          <w:rFonts w:hint="eastAsia" w:ascii="宋体" w:hAnsi="宋体" w:eastAsia="宋体" w:cs="宋体"/>
          <w:sz w:val="24"/>
          <w:highlight w:val="none"/>
        </w:rPr>
      </w:pPr>
    </w:p>
    <w:p w14:paraId="3DEAE6B1">
      <w:pPr>
        <w:adjustRightInd w:val="0"/>
        <w:snapToGrid w:val="0"/>
        <w:spacing w:line="300" w:lineRule="auto"/>
        <w:ind w:firstLine="470" w:firstLineChars="224"/>
        <w:rPr>
          <w:rFonts w:hint="eastAsia" w:ascii="宋体" w:hAnsi="宋体" w:eastAsia="宋体" w:cs="宋体"/>
          <w:szCs w:val="21"/>
          <w:highlight w:val="none"/>
        </w:rPr>
      </w:pPr>
      <w:r>
        <w:rPr>
          <w:rFonts w:hint="eastAsia" w:ascii="宋体" w:hAnsi="宋体" w:eastAsia="宋体" w:cs="宋体"/>
          <w:szCs w:val="21"/>
          <w:highlight w:val="none"/>
        </w:rPr>
        <w:t>投标人法定代表人（或法定代表人授权代表）签字：</w:t>
      </w:r>
      <w:r>
        <w:rPr>
          <w:rFonts w:hint="eastAsia" w:ascii="宋体" w:hAnsi="宋体" w:eastAsia="宋体" w:cs="宋体"/>
          <w:szCs w:val="21"/>
          <w:highlight w:val="none"/>
          <w:u w:val="single"/>
        </w:rPr>
        <w:t xml:space="preserve">               </w:t>
      </w:r>
    </w:p>
    <w:p w14:paraId="40FCA40A">
      <w:pPr>
        <w:adjustRightInd w:val="0"/>
        <w:snapToGrid w:val="0"/>
        <w:spacing w:line="300" w:lineRule="auto"/>
        <w:ind w:firstLine="470" w:firstLineChars="224"/>
        <w:rPr>
          <w:rFonts w:hint="eastAsia" w:ascii="宋体" w:hAnsi="宋体" w:eastAsia="宋体" w:cs="宋体"/>
          <w:szCs w:val="21"/>
          <w:highlight w:val="none"/>
          <w:u w:val="single"/>
        </w:rPr>
      </w:pPr>
      <w:r>
        <w:rPr>
          <w:rFonts w:hint="eastAsia" w:ascii="宋体" w:hAnsi="宋体" w:eastAsia="宋体" w:cs="宋体"/>
          <w:szCs w:val="21"/>
          <w:highlight w:val="none"/>
        </w:rPr>
        <w:t>投标人名称（加盖公章）：</w:t>
      </w:r>
      <w:r>
        <w:rPr>
          <w:rFonts w:hint="eastAsia" w:ascii="宋体" w:hAnsi="宋体" w:eastAsia="宋体" w:cs="宋体"/>
          <w:szCs w:val="21"/>
          <w:highlight w:val="none"/>
          <w:u w:val="single"/>
        </w:rPr>
        <w:t xml:space="preserve">                        </w:t>
      </w:r>
    </w:p>
    <w:p w14:paraId="453EC51C">
      <w:pPr>
        <w:ind w:left="2" w:firstLine="470" w:firstLineChars="224"/>
        <w:rPr>
          <w:rFonts w:ascii="Arial" w:hAnsi="Arial" w:eastAsia="黑体"/>
          <w:bCs/>
          <w:sz w:val="32"/>
          <w:szCs w:val="32"/>
        </w:rPr>
      </w:pPr>
      <w:r>
        <w:rPr>
          <w:rFonts w:hint="eastAsia" w:ascii="宋体" w:hAnsi="宋体" w:eastAsia="宋体" w:cs="宋体"/>
          <w:szCs w:val="21"/>
          <w:highlight w:val="none"/>
        </w:rPr>
        <w:t>日期：   年   月   日</w:t>
      </w:r>
    </w:p>
    <w:p w14:paraId="121E48A7">
      <w:pPr>
        <w:keepNext/>
        <w:keepLines/>
        <w:widowControl w:val="0"/>
        <w:numPr>
          <w:ilvl w:val="0"/>
          <w:numId w:val="0"/>
        </w:numPr>
        <w:spacing w:line="240" w:lineRule="auto"/>
        <w:jc w:val="center"/>
        <w:outlineLvl w:val="9"/>
        <w:rPr>
          <w:rFonts w:hint="eastAsia" w:asciiTheme="majorEastAsia" w:hAnsiTheme="majorEastAsia" w:eastAsiaTheme="majorEastAsia" w:cstheme="minorBidi"/>
          <w:b/>
          <w:kern w:val="44"/>
          <w:sz w:val="30"/>
          <w:szCs w:val="30"/>
          <w:lang w:val="en-US" w:eastAsia="zh-CN" w:bidi="ar-SA"/>
        </w:rPr>
      </w:pPr>
    </w:p>
    <w:p w14:paraId="14CAA0C3">
      <w:pPr>
        <w:rPr>
          <w:rFonts w:hint="eastAsia" w:asciiTheme="majorEastAsia" w:hAnsiTheme="majorEastAsia" w:eastAsiaTheme="majorEastAsia"/>
          <w:sz w:val="30"/>
          <w:szCs w:val="30"/>
          <w:lang w:eastAsia="zh-CN"/>
        </w:rPr>
      </w:pPr>
    </w:p>
    <w:p w14:paraId="27022725">
      <w:pPr>
        <w:rPr>
          <w:rFonts w:hint="eastAsia" w:asciiTheme="majorEastAsia" w:hAnsiTheme="majorEastAsia" w:eastAsiaTheme="majorEastAsia"/>
          <w:sz w:val="30"/>
          <w:szCs w:val="30"/>
          <w:lang w:eastAsia="zh-CN"/>
        </w:rPr>
      </w:pPr>
    </w:p>
    <w:p w14:paraId="6118258B">
      <w:pPr>
        <w:rPr>
          <w:rFonts w:hint="eastAsia"/>
          <w:lang w:eastAsia="zh-CN"/>
        </w:rPr>
      </w:pPr>
    </w:p>
    <w:p w14:paraId="51884ACB">
      <w:pPr>
        <w:pStyle w:val="2"/>
        <w:numPr>
          <w:ilvl w:val="0"/>
          <w:numId w:val="0"/>
        </w:numPr>
        <w:spacing w:line="240" w:lineRule="auto"/>
        <w:jc w:val="center"/>
        <w:rPr>
          <w:rFonts w:hint="eastAsia" w:cs="宋体" w:asciiTheme="majorEastAsia" w:hAnsiTheme="majorEastAsia" w:eastAsiaTheme="majorEastAsia"/>
          <w:b w:val="0"/>
          <w:kern w:val="2"/>
          <w:sz w:val="30"/>
          <w:szCs w:val="30"/>
          <w:lang w:val="en-US" w:eastAsia="zh-CN" w:bidi="ar-SA"/>
        </w:rPr>
      </w:pPr>
      <w:bookmarkStart w:id="41" w:name="_Toc28894"/>
      <w:r>
        <w:rPr>
          <w:rFonts w:hint="eastAsia" w:cs="宋体" w:asciiTheme="majorEastAsia" w:hAnsiTheme="majorEastAsia" w:eastAsiaTheme="majorEastAsia"/>
          <w:b w:val="0"/>
          <w:kern w:val="2"/>
          <w:sz w:val="30"/>
          <w:szCs w:val="30"/>
          <w:lang w:val="en-US" w:eastAsia="zh-CN" w:bidi="ar-SA"/>
        </w:rPr>
        <w:t>（十一）投标函</w:t>
      </w:r>
      <w:bookmarkEnd w:id="34"/>
      <w:bookmarkEnd w:id="35"/>
      <w:bookmarkEnd w:id="36"/>
      <w:bookmarkEnd w:id="37"/>
      <w:bookmarkEnd w:id="38"/>
      <w:bookmarkEnd w:id="39"/>
      <w:bookmarkEnd w:id="40"/>
      <w:bookmarkEnd w:id="41"/>
    </w:p>
    <w:p w14:paraId="4F6C8FF7">
      <w:pPr>
        <w:spacing w:line="360" w:lineRule="auto"/>
        <w:ind w:left="105" w:leftChars="50" w:firstLine="2"/>
        <w:rPr>
          <w:rFonts w:hint="default" w:ascii="宋体" w:hAnsi="宋体" w:eastAsiaTheme="minorEastAsia"/>
          <w:b/>
          <w:lang w:val="en-US" w:eastAsia="zh-CN"/>
        </w:rPr>
      </w:pPr>
      <w:r>
        <w:rPr>
          <w:rFonts w:hint="eastAsia" w:ascii="宋体" w:hAnsi="宋体"/>
          <w:b/>
        </w:rPr>
        <w:t>致：</w:t>
      </w:r>
      <w:r>
        <w:rPr>
          <w:rFonts w:hint="eastAsia" w:ascii="宋体" w:hAnsi="宋体"/>
          <w:b/>
          <w:lang w:val="en-US" w:eastAsia="zh-CN"/>
        </w:rPr>
        <w:t>深圳市福田区第二人民医院</w:t>
      </w:r>
    </w:p>
    <w:p w14:paraId="3D608F84">
      <w:pPr>
        <w:spacing w:line="360" w:lineRule="auto"/>
        <w:ind w:left="105" w:leftChars="50" w:firstLine="373" w:firstLineChars="178"/>
        <w:rPr>
          <w:rFonts w:ascii="宋体" w:hAnsi="宋体"/>
        </w:rPr>
      </w:pPr>
      <w:r>
        <w:rPr>
          <w:rFonts w:hint="eastAsia" w:ascii="宋体" w:hAnsi="宋体"/>
        </w:rPr>
        <w:t>我方确认收到贵方</w:t>
      </w:r>
      <w:r>
        <w:rPr>
          <w:rFonts w:hint="eastAsia" w:ascii="宋体" w:hAnsi="宋体"/>
          <w:kern w:val="28"/>
          <w:u w:val="single"/>
        </w:rPr>
        <w:t xml:space="preserve">                   </w:t>
      </w:r>
      <w:r>
        <w:rPr>
          <w:rFonts w:hint="eastAsia" w:ascii="宋体" w:hAnsi="宋体"/>
          <w:kern w:val="28"/>
        </w:rPr>
        <w:t>采购</w:t>
      </w:r>
      <w:r>
        <w:rPr>
          <w:rFonts w:hint="eastAsia" w:ascii="宋体" w:hAnsi="宋体"/>
        </w:rPr>
        <w:t>货物及相关服务的</w:t>
      </w:r>
      <w:r>
        <w:rPr>
          <w:rFonts w:hint="eastAsia" w:ascii="宋体" w:hAnsi="宋体"/>
          <w:lang w:eastAsia="zh-CN"/>
        </w:rPr>
        <w:t>谈判文件</w:t>
      </w:r>
      <w:r>
        <w:rPr>
          <w:rFonts w:hint="eastAsia" w:ascii="宋体" w:hAnsi="宋体"/>
        </w:rPr>
        <w:t>（项目编号：</w:t>
      </w:r>
      <w:r>
        <w:rPr>
          <w:rFonts w:hint="eastAsia" w:ascii="宋体" w:hAnsi="宋体"/>
          <w:lang w:val="en-US" w:eastAsia="zh-CN"/>
        </w:rPr>
        <w:t xml:space="preserve"> </w:t>
      </w:r>
      <w:r>
        <w:rPr>
          <w:rFonts w:hint="eastAsia" w:ascii="宋体" w:hAnsi="宋体"/>
          <w:u w:val="single"/>
          <w:lang w:val="en-US" w:eastAsia="zh-CN"/>
        </w:rPr>
        <w:t xml:space="preserve">                   </w:t>
      </w:r>
      <w:r>
        <w:rPr>
          <w:rFonts w:hint="eastAsia" w:ascii="宋体" w:hAnsi="宋体"/>
        </w:rPr>
        <w:t>），</w:t>
      </w:r>
      <w:r>
        <w:rPr>
          <w:rFonts w:hint="eastAsia" w:ascii="宋体" w:hAnsi="宋体"/>
          <w:u w:val="single"/>
        </w:rPr>
        <w:t xml:space="preserve"> (投标人名称、地址)</w:t>
      </w:r>
      <w:r>
        <w:rPr>
          <w:rFonts w:hint="eastAsia" w:ascii="宋体" w:hAnsi="宋体"/>
        </w:rPr>
        <w:t>作为投标人已正式授权</w:t>
      </w:r>
      <w:r>
        <w:rPr>
          <w:rFonts w:hint="eastAsia" w:ascii="宋体" w:hAnsi="宋体"/>
          <w:u w:val="single"/>
        </w:rPr>
        <w:t xml:space="preserve"> (被投标人授权代表全名、职务)</w:t>
      </w:r>
      <w:r>
        <w:rPr>
          <w:rFonts w:hint="eastAsia" w:ascii="宋体" w:hAnsi="宋体"/>
        </w:rPr>
        <w:t>为我方签名代表，签名代表在此声明并同意：</w:t>
      </w:r>
    </w:p>
    <w:p w14:paraId="72162EEE">
      <w:pPr>
        <w:numPr>
          <w:ilvl w:val="0"/>
          <w:numId w:val="14"/>
        </w:numPr>
        <w:tabs>
          <w:tab w:val="clear" w:pos="780"/>
        </w:tabs>
        <w:snapToGrid w:val="0"/>
        <w:spacing w:line="360" w:lineRule="auto"/>
        <w:ind w:left="426"/>
        <w:rPr>
          <w:rFonts w:ascii="宋体" w:hAnsi="宋体"/>
          <w:b/>
        </w:rPr>
      </w:pPr>
      <w:r>
        <w:rPr>
          <w:rFonts w:hint="eastAsia" w:ascii="宋体" w:hAnsi="宋体"/>
          <w:b/>
        </w:rPr>
        <w:t>我单位愿意遵守</w:t>
      </w:r>
      <w:r>
        <w:rPr>
          <w:rFonts w:hint="eastAsia" w:ascii="宋体" w:hAnsi="宋体"/>
          <w:b/>
          <w:lang w:eastAsia="zh-CN"/>
        </w:rPr>
        <w:t>谈判文件</w:t>
      </w:r>
      <w:r>
        <w:rPr>
          <w:rFonts w:hint="eastAsia" w:ascii="宋体" w:hAnsi="宋体"/>
          <w:b/>
        </w:rPr>
        <w:t>的各项规定，自愿参加投标，并已清楚</w:t>
      </w:r>
      <w:r>
        <w:rPr>
          <w:rFonts w:hint="eastAsia" w:ascii="宋体" w:hAnsi="宋体"/>
          <w:b/>
          <w:lang w:eastAsia="zh-CN"/>
        </w:rPr>
        <w:t>谈判文件</w:t>
      </w:r>
      <w:r>
        <w:rPr>
          <w:rFonts w:hint="eastAsia" w:ascii="宋体" w:hAnsi="宋体"/>
          <w:b/>
        </w:rPr>
        <w:t>的要求及有关文件规定，并严格按照</w:t>
      </w:r>
      <w:r>
        <w:rPr>
          <w:rFonts w:hint="eastAsia" w:ascii="宋体" w:hAnsi="宋体"/>
          <w:b/>
          <w:lang w:eastAsia="zh-CN"/>
        </w:rPr>
        <w:t>谈判文件</w:t>
      </w:r>
      <w:r>
        <w:rPr>
          <w:rFonts w:hint="eastAsia" w:ascii="宋体" w:hAnsi="宋体"/>
          <w:b/>
        </w:rPr>
        <w:t>的规定履行全部责任和义务。</w:t>
      </w:r>
    </w:p>
    <w:p w14:paraId="628A2847">
      <w:pPr>
        <w:numPr>
          <w:ilvl w:val="0"/>
          <w:numId w:val="14"/>
        </w:numPr>
        <w:tabs>
          <w:tab w:val="clear" w:pos="780"/>
        </w:tabs>
        <w:snapToGrid w:val="0"/>
        <w:spacing w:line="360" w:lineRule="auto"/>
        <w:ind w:left="426"/>
        <w:rPr>
          <w:rFonts w:ascii="宋体" w:hAnsi="宋体"/>
          <w:b/>
        </w:rPr>
      </w:pPr>
      <w:r>
        <w:rPr>
          <w:rFonts w:hint="eastAsia" w:ascii="宋体" w:hAnsi="宋体"/>
          <w:b/>
        </w:rPr>
        <w:t>我们同意本投标文件的投标有效期从提交投标文件的截止之日起</w:t>
      </w:r>
      <w:r>
        <w:rPr>
          <w:rFonts w:hint="eastAsia" w:ascii="宋体" w:hAnsi="宋体"/>
          <w:b/>
          <w:u w:val="single"/>
          <w:lang w:val="en-US" w:eastAsia="zh-CN"/>
        </w:rPr>
        <w:t>120</w:t>
      </w:r>
      <w:r>
        <w:rPr>
          <w:rFonts w:hint="eastAsia" w:ascii="宋体" w:hAnsi="宋体"/>
          <w:b/>
        </w:rPr>
        <w:t>日历日内有效。</w:t>
      </w:r>
    </w:p>
    <w:p w14:paraId="78A9D3C3">
      <w:pPr>
        <w:numPr>
          <w:ilvl w:val="0"/>
          <w:numId w:val="14"/>
        </w:numPr>
        <w:tabs>
          <w:tab w:val="clear" w:pos="780"/>
        </w:tabs>
        <w:snapToGrid w:val="0"/>
        <w:spacing w:line="360" w:lineRule="auto"/>
        <w:ind w:left="426"/>
        <w:rPr>
          <w:rFonts w:ascii="宋体" w:hAnsi="宋体"/>
          <w:b/>
        </w:rPr>
      </w:pPr>
      <w:r>
        <w:rPr>
          <w:rFonts w:hint="eastAsia" w:ascii="宋体" w:hAnsi="宋体"/>
          <w:b/>
        </w:rPr>
        <w:t>我们承诺从本项目投标截止时间起，本投标始终有效且不予撤销已递交的投标文件。</w:t>
      </w:r>
    </w:p>
    <w:p w14:paraId="539CB16A">
      <w:pPr>
        <w:numPr>
          <w:ilvl w:val="0"/>
          <w:numId w:val="14"/>
        </w:numPr>
        <w:tabs>
          <w:tab w:val="clear" w:pos="780"/>
        </w:tabs>
        <w:snapToGrid w:val="0"/>
        <w:spacing w:line="360" w:lineRule="auto"/>
        <w:ind w:left="426"/>
        <w:rPr>
          <w:rFonts w:ascii="宋体" w:hAnsi="宋体"/>
          <w:b/>
        </w:rPr>
      </w:pPr>
      <w:r>
        <w:rPr>
          <w:rFonts w:hint="eastAsia" w:ascii="宋体" w:hAnsi="宋体"/>
          <w:b/>
        </w:rPr>
        <w:t>我单位已经详细地阅读并完全明白了全部</w:t>
      </w:r>
      <w:r>
        <w:rPr>
          <w:rFonts w:hint="eastAsia" w:ascii="宋体" w:hAnsi="宋体"/>
          <w:b/>
          <w:lang w:eastAsia="zh-CN"/>
        </w:rPr>
        <w:t>谈判文件</w:t>
      </w:r>
      <w:r>
        <w:rPr>
          <w:rFonts w:hint="eastAsia" w:ascii="宋体" w:hAnsi="宋体"/>
          <w:b/>
        </w:rPr>
        <w:t>及附件，包括澄清（如有）及参考文件，我单位完全理解本</w:t>
      </w:r>
      <w:r>
        <w:rPr>
          <w:rFonts w:hint="eastAsia" w:ascii="宋体" w:hAnsi="宋体"/>
          <w:b/>
          <w:lang w:eastAsia="zh-CN"/>
        </w:rPr>
        <w:t>谈判文件</w:t>
      </w:r>
      <w:r>
        <w:rPr>
          <w:rFonts w:hint="eastAsia" w:ascii="宋体" w:hAnsi="宋体"/>
          <w:b/>
        </w:rPr>
        <w:t>的要求，</w:t>
      </w:r>
      <w:r>
        <w:rPr>
          <w:rFonts w:hint="eastAsia" w:ascii="宋体"/>
          <w:b/>
        </w:rPr>
        <w:t>我单位同意放弃对</w:t>
      </w:r>
      <w:r>
        <w:rPr>
          <w:rFonts w:hint="eastAsia" w:ascii="宋体"/>
          <w:b/>
          <w:lang w:eastAsia="zh-CN"/>
        </w:rPr>
        <w:t>谈判文件</w:t>
      </w:r>
      <w:r>
        <w:rPr>
          <w:rFonts w:hint="eastAsia" w:ascii="宋体"/>
          <w:b/>
        </w:rPr>
        <w:t>提出不明或误解的一切权力</w:t>
      </w:r>
      <w:r>
        <w:rPr>
          <w:rFonts w:hint="eastAsia" w:ascii="宋体" w:hAnsi="宋体"/>
          <w:b/>
        </w:rPr>
        <w:t>。</w:t>
      </w:r>
    </w:p>
    <w:p w14:paraId="6B072C5B">
      <w:pPr>
        <w:numPr>
          <w:ilvl w:val="0"/>
          <w:numId w:val="14"/>
        </w:numPr>
        <w:tabs>
          <w:tab w:val="clear" w:pos="780"/>
        </w:tabs>
        <w:snapToGrid w:val="0"/>
        <w:spacing w:line="360" w:lineRule="auto"/>
        <w:ind w:left="426"/>
        <w:rPr>
          <w:rFonts w:ascii="宋体" w:hAnsi="宋体"/>
          <w:b/>
        </w:rPr>
      </w:pPr>
      <w:r>
        <w:rPr>
          <w:rFonts w:hint="eastAsia" w:ascii="宋体" w:hAnsi="宋体"/>
          <w:b/>
        </w:rPr>
        <w:t>我单位同意提供</w:t>
      </w:r>
      <w:r>
        <w:rPr>
          <w:rFonts w:hint="eastAsia" w:ascii="宋体" w:hAnsi="宋体" w:cs="宋体"/>
          <w:b/>
          <w:szCs w:val="21"/>
        </w:rPr>
        <w:t>采购人</w:t>
      </w:r>
      <w:r>
        <w:rPr>
          <w:rFonts w:hint="eastAsia" w:ascii="宋体" w:hAnsi="宋体"/>
          <w:b/>
        </w:rPr>
        <w:t>与</w:t>
      </w:r>
      <w:r>
        <w:rPr>
          <w:rFonts w:hint="eastAsia" w:ascii="宋体" w:hAnsi="宋体"/>
          <w:b/>
          <w:lang w:eastAsia="zh-CN"/>
        </w:rPr>
        <w:t>谈判小组</w:t>
      </w:r>
      <w:r>
        <w:rPr>
          <w:rFonts w:hint="eastAsia" w:ascii="宋体" w:hAnsi="宋体"/>
          <w:b/>
        </w:rPr>
        <w:t>要求的有关投标的一切数据或资料。</w:t>
      </w:r>
    </w:p>
    <w:p w14:paraId="0FD5B310">
      <w:pPr>
        <w:numPr>
          <w:ilvl w:val="0"/>
          <w:numId w:val="14"/>
        </w:numPr>
        <w:tabs>
          <w:tab w:val="clear" w:pos="780"/>
        </w:tabs>
        <w:snapToGrid w:val="0"/>
        <w:spacing w:line="360" w:lineRule="auto"/>
        <w:ind w:left="426"/>
        <w:rPr>
          <w:rFonts w:ascii="宋体" w:hAnsi="宋体"/>
          <w:b/>
        </w:rPr>
      </w:pPr>
      <w:r>
        <w:rPr>
          <w:rFonts w:hint="eastAsia" w:ascii="宋体" w:hAnsi="宋体"/>
          <w:b/>
        </w:rPr>
        <w:t>我单位理解</w:t>
      </w:r>
      <w:r>
        <w:rPr>
          <w:rFonts w:hint="eastAsia" w:ascii="宋体" w:hAnsi="宋体" w:cs="宋体"/>
          <w:b/>
          <w:szCs w:val="21"/>
        </w:rPr>
        <w:t>采购人</w:t>
      </w:r>
      <w:r>
        <w:rPr>
          <w:rFonts w:hint="eastAsia" w:ascii="宋体" w:hAnsi="宋体"/>
          <w:b/>
        </w:rPr>
        <w:t>与</w:t>
      </w:r>
      <w:r>
        <w:rPr>
          <w:rFonts w:hint="eastAsia" w:ascii="宋体" w:hAnsi="宋体"/>
          <w:b/>
          <w:lang w:eastAsia="zh-CN"/>
        </w:rPr>
        <w:t>谈判小组</w:t>
      </w:r>
      <w:r>
        <w:rPr>
          <w:rFonts w:hint="eastAsia" w:ascii="宋体" w:hAnsi="宋体"/>
          <w:b/>
        </w:rPr>
        <w:t>并无义务必须接受最低报价的投标或其它任何投标，完全理解拒绝迟到的任何投标和最低投标报价不是被授予中标的唯一条件。</w:t>
      </w:r>
    </w:p>
    <w:p w14:paraId="2BDE4B1F">
      <w:pPr>
        <w:numPr>
          <w:ilvl w:val="0"/>
          <w:numId w:val="14"/>
        </w:numPr>
        <w:tabs>
          <w:tab w:val="clear" w:pos="780"/>
        </w:tabs>
        <w:snapToGrid w:val="0"/>
        <w:spacing w:line="360" w:lineRule="auto"/>
        <w:ind w:left="426"/>
        <w:rPr>
          <w:rFonts w:ascii="宋体" w:hAnsi="宋体"/>
          <w:b/>
        </w:rPr>
      </w:pPr>
      <w:r>
        <w:rPr>
          <w:rFonts w:hint="eastAsia" w:ascii="宋体" w:hAnsi="宋体"/>
          <w:b/>
        </w:rPr>
        <w:t>如果我单位未对</w:t>
      </w:r>
      <w:r>
        <w:rPr>
          <w:rFonts w:hint="eastAsia" w:ascii="宋体" w:hAnsi="宋体"/>
          <w:b/>
          <w:lang w:eastAsia="zh-CN"/>
        </w:rPr>
        <w:t>谈判文件</w:t>
      </w:r>
      <w:r>
        <w:rPr>
          <w:rFonts w:hint="eastAsia" w:ascii="宋体" w:hAnsi="宋体"/>
          <w:b/>
        </w:rPr>
        <w:t xml:space="preserve">全部要求作出实质性响应，则完全同意并接受按无效投标处理。 </w:t>
      </w:r>
    </w:p>
    <w:p w14:paraId="4E34F74F">
      <w:pPr>
        <w:numPr>
          <w:ilvl w:val="0"/>
          <w:numId w:val="14"/>
        </w:numPr>
        <w:tabs>
          <w:tab w:val="clear" w:pos="780"/>
        </w:tabs>
        <w:snapToGrid w:val="0"/>
        <w:spacing w:line="360" w:lineRule="auto"/>
        <w:ind w:left="426"/>
        <w:rPr>
          <w:rFonts w:ascii="宋体" w:hAnsi="宋体"/>
          <w:b/>
        </w:rPr>
      </w:pPr>
      <w:r>
        <w:rPr>
          <w:rFonts w:hint="eastAsia" w:ascii="宋体" w:hAnsi="宋体"/>
          <w:b/>
        </w:rPr>
        <w:t>我单位已认真核实了投标文件的全部资料，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239B7B50">
      <w:pPr>
        <w:numPr>
          <w:ilvl w:val="0"/>
          <w:numId w:val="14"/>
        </w:numPr>
        <w:tabs>
          <w:tab w:val="clear" w:pos="780"/>
        </w:tabs>
        <w:snapToGrid w:val="0"/>
        <w:spacing w:line="360" w:lineRule="auto"/>
        <w:ind w:left="426"/>
        <w:rPr>
          <w:rFonts w:ascii="宋体" w:hAnsi="宋体"/>
          <w:b/>
        </w:rPr>
      </w:pPr>
      <w:r>
        <w:rPr>
          <w:rFonts w:hint="eastAsia" w:ascii="宋体" w:hAnsi="宋体"/>
          <w:b/>
        </w:rPr>
        <w:t>如果我单位提供的声明或承诺不真实，则完全同意认定为我司提供虚假材料，并同意作相应处理。</w:t>
      </w:r>
    </w:p>
    <w:p w14:paraId="4C1AC611">
      <w:pPr>
        <w:numPr>
          <w:ilvl w:val="0"/>
          <w:numId w:val="14"/>
        </w:numPr>
        <w:tabs>
          <w:tab w:val="clear" w:pos="780"/>
        </w:tabs>
        <w:snapToGrid w:val="0"/>
        <w:spacing w:line="360" w:lineRule="auto"/>
        <w:ind w:left="426"/>
        <w:rPr>
          <w:rFonts w:ascii="宋体" w:hAnsi="宋体"/>
          <w:b/>
        </w:rPr>
      </w:pPr>
      <w:r>
        <w:rPr>
          <w:rFonts w:hint="eastAsia" w:ascii="宋体" w:hAnsi="宋体"/>
          <w:b/>
        </w:rPr>
        <w:t>我单位是依法注册的法人，在法律、财务及运作上完全独立于本项目采购人、用户单位（如有）。</w:t>
      </w:r>
    </w:p>
    <w:p w14:paraId="1F18F6C0">
      <w:pPr>
        <w:numPr>
          <w:ilvl w:val="0"/>
          <w:numId w:val="14"/>
        </w:numPr>
        <w:tabs>
          <w:tab w:val="clear" w:pos="780"/>
        </w:tabs>
        <w:snapToGrid w:val="0"/>
        <w:spacing w:line="360" w:lineRule="auto"/>
        <w:ind w:left="426"/>
        <w:outlineLvl w:val="9"/>
        <w:rPr>
          <w:rFonts w:ascii="宋体" w:hAnsi="宋体"/>
          <w:b/>
        </w:rPr>
      </w:pPr>
      <w:r>
        <w:rPr>
          <w:rFonts w:hint="eastAsia" w:ascii="宋体" w:hAnsi="宋体"/>
          <w:b/>
        </w:rPr>
        <w:t>所有有关本次投标的函电请寄：</w:t>
      </w:r>
      <w:r>
        <w:rPr>
          <w:rFonts w:hint="eastAsia" w:ascii="宋体" w:hAnsi="宋体"/>
          <w:b/>
          <w:u w:val="single"/>
        </w:rPr>
        <w:t xml:space="preserve">  （投标人地址）   </w:t>
      </w:r>
    </w:p>
    <w:p w14:paraId="47161A4E">
      <w:pPr>
        <w:numPr>
          <w:ilvl w:val="0"/>
          <w:numId w:val="0"/>
        </w:numPr>
        <w:snapToGrid w:val="0"/>
        <w:spacing w:line="360" w:lineRule="auto"/>
        <w:ind w:left="66" w:leftChars="0"/>
        <w:rPr>
          <w:rFonts w:hint="eastAsia" w:ascii="宋体" w:hAnsi="宋体"/>
          <w:b/>
        </w:rPr>
      </w:pPr>
    </w:p>
    <w:p w14:paraId="12626E67">
      <w:pPr>
        <w:numPr>
          <w:ilvl w:val="0"/>
          <w:numId w:val="0"/>
        </w:numPr>
        <w:snapToGrid w:val="0"/>
        <w:spacing w:line="360" w:lineRule="auto"/>
        <w:ind w:left="66" w:leftChars="0"/>
        <w:rPr>
          <w:rFonts w:hint="eastAsia" w:ascii="宋体" w:hAnsi="宋体"/>
          <w:b/>
        </w:rPr>
      </w:pPr>
      <w:r>
        <w:rPr>
          <w:rFonts w:hint="eastAsia" w:ascii="宋体" w:hAnsi="宋体"/>
          <w:b/>
        </w:rPr>
        <w:t>备注：</w:t>
      </w:r>
    </w:p>
    <w:p w14:paraId="117E2E10">
      <w:pPr>
        <w:numPr>
          <w:ilvl w:val="0"/>
          <w:numId w:val="0"/>
        </w:numPr>
        <w:snapToGrid w:val="0"/>
        <w:spacing w:line="360" w:lineRule="auto"/>
        <w:ind w:left="66" w:leftChars="0"/>
        <w:rPr>
          <w:rFonts w:hint="eastAsia" w:ascii="宋体" w:hAnsi="宋体"/>
          <w:b/>
        </w:rPr>
      </w:pPr>
      <w:r>
        <w:rPr>
          <w:rFonts w:hint="eastAsia" w:ascii="宋体" w:hAnsi="宋体"/>
          <w:b/>
        </w:rPr>
        <w:t>1、投标函中承诺的投标有效期应当不少于</w:t>
      </w:r>
      <w:r>
        <w:rPr>
          <w:rFonts w:hint="eastAsia" w:ascii="宋体" w:hAnsi="宋体"/>
          <w:b/>
          <w:lang w:eastAsia="zh-CN"/>
        </w:rPr>
        <w:t>谈判文件</w:t>
      </w:r>
      <w:r>
        <w:rPr>
          <w:rFonts w:hint="eastAsia" w:ascii="宋体" w:hAnsi="宋体"/>
          <w:b/>
        </w:rPr>
        <w:t>中载明的投标有效期，否则视为无效投标。</w:t>
      </w:r>
    </w:p>
    <w:p w14:paraId="681BA045">
      <w:pPr>
        <w:numPr>
          <w:ilvl w:val="0"/>
          <w:numId w:val="0"/>
        </w:numPr>
        <w:snapToGrid w:val="0"/>
        <w:spacing w:line="360" w:lineRule="auto"/>
        <w:ind w:left="66" w:leftChars="0"/>
        <w:rPr>
          <w:rFonts w:hint="eastAsia" w:ascii="宋体" w:hAnsi="宋体"/>
          <w:b/>
        </w:rPr>
      </w:pPr>
      <w:r>
        <w:rPr>
          <w:rFonts w:hint="eastAsia" w:ascii="宋体" w:hAnsi="宋体"/>
          <w:b/>
        </w:rPr>
        <w:t xml:space="preserve">2、除投标有效期承诺的时间外，本投标函内容不得擅自删改，否则视为无效投标。 </w:t>
      </w:r>
    </w:p>
    <w:p w14:paraId="25611BD8">
      <w:pPr>
        <w:autoSpaceDE w:val="0"/>
        <w:autoSpaceDN w:val="0"/>
        <w:adjustRightInd w:val="0"/>
        <w:spacing w:line="360" w:lineRule="auto"/>
        <w:rPr>
          <w:rFonts w:ascii="宋体" w:hAnsi="宋体"/>
          <w:b/>
        </w:rPr>
      </w:pPr>
    </w:p>
    <w:p w14:paraId="71C7008C">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p>
    <w:p w14:paraId="3A0C8083">
      <w:pPr>
        <w:spacing w:line="360" w:lineRule="auto"/>
        <w:rPr>
          <w:rFonts w:ascii="宋体" w:hAnsi="宋体"/>
          <w:b/>
          <w:bCs/>
          <w:sz w:val="24"/>
        </w:rPr>
      </w:pPr>
      <w:r>
        <w:rPr>
          <w:rFonts w:hint="eastAsia" w:ascii="宋体" w:hAnsi="宋体"/>
          <w:b/>
          <w:bCs/>
          <w:sz w:val="24"/>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54F1B277">
      <w:pPr>
        <w:spacing w:line="360" w:lineRule="auto"/>
        <w:outlineLvl w:val="9"/>
        <w:rPr>
          <w:sz w:val="24"/>
        </w:rPr>
      </w:pPr>
      <w:r>
        <w:rPr>
          <w:rFonts w:hint="eastAsia"/>
          <w:b/>
          <w:sz w:val="24"/>
        </w:rPr>
        <w:t>（此处加盖投标人单位公章）</w:t>
      </w:r>
    </w:p>
    <w:p w14:paraId="273868D5">
      <w:pPr>
        <w:adjustRightInd w:val="0"/>
        <w:snapToGrid w:val="0"/>
        <w:spacing w:line="360" w:lineRule="auto"/>
        <w:rPr>
          <w:rFonts w:ascii="黑体" w:eastAsia="黑体"/>
          <w:b/>
          <w:bCs/>
          <w:sz w:val="24"/>
        </w:rPr>
        <w:sectPr>
          <w:pgSz w:w="11906" w:h="16838"/>
          <w:pgMar w:top="1440" w:right="1286" w:bottom="144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4BC64CD1">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42" w:name="_Toc4649"/>
      <w:bookmarkStart w:id="43" w:name="_Toc24650"/>
      <w:bookmarkStart w:id="44" w:name="_Toc7805"/>
      <w:bookmarkStart w:id="45" w:name="_Toc275865606"/>
      <w:bookmarkStart w:id="46" w:name="_Toc26831"/>
      <w:bookmarkStart w:id="47" w:name="_Toc435514855"/>
      <w:bookmarkStart w:id="48" w:name="_Toc435515295"/>
      <w:r>
        <w:rPr>
          <w:rFonts w:hint="eastAsia" w:cs="宋体" w:asciiTheme="majorEastAsia" w:hAnsiTheme="majorEastAsia" w:eastAsiaTheme="majorEastAsia"/>
          <w:kern w:val="2"/>
          <w:sz w:val="30"/>
          <w:szCs w:val="30"/>
          <w:lang w:val="en-US" w:eastAsia="zh-CN" w:bidi="ar-SA"/>
        </w:rPr>
        <w:t>（十二）</w:t>
      </w:r>
      <w:r>
        <w:rPr>
          <w:rFonts w:hint="eastAsia" w:asciiTheme="majorEastAsia" w:hAnsiTheme="majorEastAsia" w:eastAsiaTheme="majorEastAsia"/>
          <w:sz w:val="30"/>
          <w:szCs w:val="30"/>
        </w:rPr>
        <w:t>投标人资格声明函</w:t>
      </w:r>
      <w:bookmarkEnd w:id="42"/>
      <w:bookmarkEnd w:id="43"/>
      <w:bookmarkEnd w:id="44"/>
      <w:bookmarkEnd w:id="45"/>
      <w:bookmarkEnd w:id="46"/>
      <w:bookmarkEnd w:id="47"/>
      <w:bookmarkEnd w:id="48"/>
    </w:p>
    <w:p w14:paraId="0438D9BD">
      <w:pPr>
        <w:spacing w:line="360" w:lineRule="auto"/>
        <w:rPr>
          <w:rFonts w:hint="default" w:ascii="宋体" w:hAnsi="宋体" w:eastAsiaTheme="minorEastAsia"/>
          <w:color w:val="auto"/>
          <w:szCs w:val="21"/>
          <w:highlight w:val="none"/>
          <w:lang w:val="en-US" w:eastAsia="zh-CN"/>
        </w:rPr>
      </w:pPr>
      <w:r>
        <w:rPr>
          <w:rFonts w:hint="eastAsia" w:ascii="宋体" w:hAnsi="宋体"/>
          <w:szCs w:val="21"/>
        </w:rPr>
        <w:t>致：</w:t>
      </w:r>
      <w:r>
        <w:rPr>
          <w:rFonts w:hint="eastAsia" w:ascii="宋体" w:hAnsi="宋体"/>
          <w:szCs w:val="21"/>
          <w:lang w:val="en-US" w:eastAsia="zh-CN"/>
        </w:rPr>
        <w:t>深圳市福田区第二人民医院</w:t>
      </w:r>
    </w:p>
    <w:p w14:paraId="4C254893">
      <w:pPr>
        <w:pStyle w:val="27"/>
        <w:snapToGrid w:val="0"/>
        <w:spacing w:before="156" w:beforeLines="50" w:line="360" w:lineRule="auto"/>
        <w:ind w:left="420" w:leftChars="200"/>
        <w:rPr>
          <w:rFonts w:ascii="宋体" w:hAnsi="宋体"/>
          <w:color w:val="auto"/>
          <w:highlight w:val="none"/>
        </w:rPr>
      </w:pPr>
      <w:r>
        <w:rPr>
          <w:rFonts w:hint="eastAsia" w:ascii="宋体" w:hAnsi="宋体"/>
          <w:color w:val="auto"/>
          <w:highlight w:val="none"/>
        </w:rPr>
        <w:t>关于贵</w:t>
      </w:r>
      <w:r>
        <w:rPr>
          <w:rFonts w:hint="eastAsia" w:ascii="宋体" w:hAnsi="宋体"/>
          <w:color w:val="auto"/>
          <w:highlight w:val="none"/>
          <w:lang w:val="en-US" w:eastAsia="zh-CN"/>
        </w:rPr>
        <w:t>单位</w:t>
      </w:r>
      <w:r>
        <w:rPr>
          <w:rFonts w:hint="eastAsia" w:ascii="宋体" w:hAnsi="宋体"/>
          <w:color w:val="auto"/>
          <w:highlight w:val="none"/>
          <w:u w:val="single"/>
          <w:lang w:val="en-US" w:eastAsia="zh-CN"/>
        </w:rPr>
        <w:t xml:space="preserve">               </w:t>
      </w:r>
      <w:r>
        <w:rPr>
          <w:rFonts w:hint="eastAsia" w:ascii="宋体" w:hAnsi="宋体"/>
          <w:color w:val="auto"/>
          <w:highlight w:val="none"/>
          <w:u w:val="single"/>
        </w:rPr>
        <w:t xml:space="preserve"> </w:t>
      </w:r>
      <w:r>
        <w:rPr>
          <w:rFonts w:hint="eastAsia" w:ascii="宋体" w:hAnsi="宋体"/>
          <w:color w:val="auto"/>
          <w:highlight w:val="none"/>
        </w:rPr>
        <w:t>项目（项目编号：</w:t>
      </w:r>
      <w:r>
        <w:rPr>
          <w:rFonts w:hint="eastAsia" w:ascii="宋体" w:hAnsi="宋体"/>
          <w:color w:val="auto"/>
          <w:highlight w:val="none"/>
          <w:u w:val="single"/>
          <w:lang w:val="en-US" w:eastAsia="zh-CN"/>
        </w:rPr>
        <w:t xml:space="preserve">                 </w:t>
      </w:r>
      <w:r>
        <w:rPr>
          <w:rFonts w:hint="eastAsia" w:ascii="宋体" w:hAnsi="宋体"/>
          <w:color w:val="auto"/>
          <w:highlight w:val="none"/>
        </w:rPr>
        <w:t>）</w:t>
      </w:r>
      <w:r>
        <w:rPr>
          <w:rFonts w:hint="eastAsia" w:ascii="宋体" w:hAnsi="宋体"/>
          <w:color w:val="auto"/>
          <w:highlight w:val="none"/>
          <w:lang w:eastAsia="zh-CN"/>
        </w:rPr>
        <w:t>谈判</w:t>
      </w:r>
      <w:r>
        <w:rPr>
          <w:rFonts w:hint="eastAsia" w:ascii="宋体" w:hAnsi="宋体"/>
          <w:color w:val="auto"/>
          <w:highlight w:val="none"/>
        </w:rPr>
        <w:t>，本公司（企业）愿意参加投标，并声明：</w:t>
      </w:r>
    </w:p>
    <w:p w14:paraId="179ACA93">
      <w:pPr>
        <w:numPr>
          <w:ilvl w:val="0"/>
          <w:numId w:val="15"/>
        </w:numPr>
        <w:spacing w:line="360" w:lineRule="auto"/>
        <w:ind w:right="-815" w:firstLineChars="200"/>
        <w:rPr>
          <w:rFonts w:ascii="宋体" w:hAnsi="宋体"/>
          <w:szCs w:val="21"/>
        </w:rPr>
      </w:pPr>
      <w:r>
        <w:rPr>
          <w:rFonts w:hint="eastAsia" w:ascii="宋体" w:hAnsi="宋体"/>
          <w:color w:val="auto"/>
          <w:szCs w:val="21"/>
          <w:highlight w:val="none"/>
        </w:rPr>
        <w:t>我公司</w:t>
      </w:r>
      <w:r>
        <w:rPr>
          <w:rFonts w:hint="eastAsia" w:asciiTheme="minorEastAsia" w:hAnsiTheme="minorEastAsia" w:eastAsiaTheme="minorEastAsia"/>
          <w:bCs/>
          <w:color w:val="auto"/>
          <w:szCs w:val="21"/>
          <w:highlight w:val="none"/>
        </w:rPr>
        <w:t>具备</w:t>
      </w:r>
      <w:r>
        <w:rPr>
          <w:rFonts w:hint="eastAsia" w:ascii="宋体" w:hAnsi="宋体"/>
          <w:bCs/>
          <w:color w:val="auto"/>
          <w:szCs w:val="20"/>
          <w:highlight w:val="none"/>
        </w:rPr>
        <w:t>《中华人民共和国政府</w:t>
      </w:r>
      <w:r>
        <w:rPr>
          <w:rFonts w:hint="eastAsia" w:ascii="宋体" w:hAnsi="宋体"/>
          <w:bCs/>
          <w:szCs w:val="20"/>
        </w:rPr>
        <w:t>采购法》</w:t>
      </w:r>
      <w:r>
        <w:rPr>
          <w:rFonts w:hint="eastAsia" w:asciiTheme="minorEastAsia" w:hAnsiTheme="minorEastAsia" w:eastAsiaTheme="minorEastAsia"/>
          <w:bCs/>
          <w:szCs w:val="21"/>
        </w:rPr>
        <w:t>第二十二条规定的条件：</w:t>
      </w:r>
    </w:p>
    <w:p w14:paraId="6871E880">
      <w:pPr>
        <w:spacing w:line="360" w:lineRule="auto"/>
        <w:ind w:firstLine="420" w:firstLineChars="200"/>
        <w:rPr>
          <w:rFonts w:ascii="宋体" w:hAnsi="宋体"/>
          <w:szCs w:val="21"/>
        </w:rPr>
      </w:pPr>
      <w:r>
        <w:rPr>
          <w:rFonts w:hint="eastAsia" w:ascii="宋体" w:hAnsi="宋体"/>
          <w:szCs w:val="21"/>
        </w:rPr>
        <w:t>1.具有独立承担民事责任的能力；</w:t>
      </w:r>
    </w:p>
    <w:p w14:paraId="4E1E005F">
      <w:pPr>
        <w:spacing w:line="360" w:lineRule="auto"/>
        <w:ind w:firstLine="420" w:firstLineChars="200"/>
        <w:rPr>
          <w:rFonts w:ascii="宋体" w:hAnsi="宋体"/>
          <w:szCs w:val="21"/>
        </w:rPr>
      </w:pPr>
      <w:r>
        <w:rPr>
          <w:rFonts w:hint="eastAsia" w:ascii="宋体" w:hAnsi="宋体"/>
          <w:szCs w:val="21"/>
        </w:rPr>
        <w:t>2.具有良好的商业信誉和健全的财务会计制度；</w:t>
      </w:r>
    </w:p>
    <w:p w14:paraId="752880AF">
      <w:pPr>
        <w:spacing w:line="360" w:lineRule="auto"/>
        <w:ind w:firstLine="420" w:firstLineChars="200"/>
        <w:rPr>
          <w:rFonts w:ascii="宋体" w:hAnsi="宋体"/>
          <w:szCs w:val="21"/>
        </w:rPr>
      </w:pPr>
      <w:r>
        <w:rPr>
          <w:rFonts w:hint="eastAsia" w:ascii="宋体" w:hAnsi="宋体"/>
          <w:szCs w:val="21"/>
        </w:rPr>
        <w:t>3.具有履行合同所必需的设备和专业技术能力；</w:t>
      </w:r>
    </w:p>
    <w:p w14:paraId="57028112">
      <w:pPr>
        <w:spacing w:line="360" w:lineRule="auto"/>
        <w:ind w:firstLine="420" w:firstLineChars="200"/>
        <w:rPr>
          <w:rFonts w:ascii="宋体" w:hAnsi="宋体"/>
          <w:szCs w:val="21"/>
        </w:rPr>
      </w:pPr>
      <w:r>
        <w:rPr>
          <w:rFonts w:hint="eastAsia" w:ascii="宋体" w:hAnsi="宋体"/>
          <w:szCs w:val="21"/>
        </w:rPr>
        <w:t>4.有依法缴纳税收和社会保障资金的良好记录；</w:t>
      </w:r>
    </w:p>
    <w:p w14:paraId="33F25E51">
      <w:pPr>
        <w:spacing w:line="360" w:lineRule="auto"/>
        <w:ind w:firstLine="420" w:firstLineChars="200"/>
        <w:rPr>
          <w:rFonts w:ascii="宋体" w:hAnsi="宋体"/>
          <w:szCs w:val="21"/>
        </w:rPr>
      </w:pPr>
      <w:r>
        <w:rPr>
          <w:rFonts w:hint="eastAsia" w:ascii="宋体" w:hAnsi="宋体"/>
          <w:szCs w:val="21"/>
        </w:rPr>
        <w:t>5.参加政府采购活动前三年内，在经营活动中没有重大违法记录；</w:t>
      </w:r>
    </w:p>
    <w:p w14:paraId="658056BA">
      <w:pPr>
        <w:spacing w:line="360" w:lineRule="auto"/>
        <w:ind w:firstLine="420" w:firstLineChars="200"/>
        <w:rPr>
          <w:rFonts w:ascii="宋体" w:hAnsi="宋体"/>
          <w:szCs w:val="21"/>
        </w:rPr>
      </w:pPr>
      <w:r>
        <w:rPr>
          <w:rFonts w:hint="eastAsia" w:ascii="宋体" w:hAnsi="宋体"/>
          <w:szCs w:val="21"/>
        </w:rPr>
        <w:t>6.法律、行政法规规定的其他条件。</w:t>
      </w:r>
    </w:p>
    <w:p w14:paraId="7C9E9009">
      <w:pPr>
        <w:numPr>
          <w:ilvl w:val="0"/>
          <w:numId w:val="15"/>
        </w:numPr>
        <w:spacing w:line="360" w:lineRule="auto"/>
        <w:ind w:right="-815" w:firstLineChars="200"/>
        <w:outlineLvl w:val="9"/>
        <w:rPr>
          <w:rFonts w:ascii="宋体" w:hAnsi="宋体"/>
          <w:szCs w:val="21"/>
        </w:rPr>
      </w:pPr>
      <w:r>
        <w:rPr>
          <w:rFonts w:hint="eastAsia" w:ascii="宋体" w:hAnsi="宋体"/>
          <w:szCs w:val="21"/>
        </w:rPr>
        <w:t>我公司对本</w:t>
      </w:r>
      <w:r>
        <w:rPr>
          <w:rFonts w:hint="eastAsia" w:ascii="宋体" w:hAnsi="宋体"/>
          <w:szCs w:val="21"/>
          <w:lang w:eastAsia="zh-CN"/>
        </w:rPr>
        <w:t>谈判</w:t>
      </w:r>
      <w:r>
        <w:rPr>
          <w:rFonts w:hint="eastAsia" w:ascii="宋体" w:hAnsi="宋体"/>
          <w:szCs w:val="21"/>
        </w:rPr>
        <w:t>项目所提供的货物或服务未侵犯知识产权。</w:t>
      </w:r>
    </w:p>
    <w:p w14:paraId="6CC207C4">
      <w:pPr>
        <w:numPr>
          <w:ilvl w:val="0"/>
          <w:numId w:val="15"/>
        </w:numPr>
        <w:spacing w:line="360" w:lineRule="auto"/>
        <w:ind w:right="-815" w:firstLineChars="200"/>
        <w:rPr>
          <w:rFonts w:ascii="宋体" w:hAnsi="宋体"/>
          <w:szCs w:val="21"/>
        </w:rPr>
      </w:pPr>
      <w:r>
        <w:rPr>
          <w:rFonts w:hint="eastAsia" w:ascii="宋体" w:hAnsi="宋体"/>
          <w:szCs w:val="21"/>
        </w:rPr>
        <w:t>我公司保证采购人拥有所投产品完整的所有权，不以保护知识产权或技术保密的名义对所有权和使用权进行任何限制。</w:t>
      </w:r>
    </w:p>
    <w:p w14:paraId="34D1D2EB">
      <w:pPr>
        <w:numPr>
          <w:ilvl w:val="0"/>
          <w:numId w:val="15"/>
        </w:numPr>
        <w:spacing w:line="360" w:lineRule="auto"/>
        <w:ind w:right="-815" w:firstLineChars="200"/>
        <w:rPr>
          <w:rFonts w:ascii="宋体" w:hAnsi="宋体"/>
          <w:color w:val="auto"/>
          <w:szCs w:val="21"/>
          <w:highlight w:val="none"/>
        </w:rPr>
      </w:pPr>
      <w:r>
        <w:rPr>
          <w:rFonts w:hint="eastAsia" w:ascii="宋体" w:hAnsi="宋体"/>
          <w:szCs w:val="21"/>
        </w:rPr>
        <w:t>我公司参与该项目投标，严格遵守政府采购相关法律，投标做到诚实，不造假，不围标、串标、陪标。我公司已清楚，如违反上述要求，其投标将作废，被列入不良记录名单并在网上曝光，同时将被提请政府采购</w:t>
      </w:r>
      <w:r>
        <w:rPr>
          <w:rFonts w:hint="eastAsia" w:ascii="宋体" w:hAnsi="宋体"/>
          <w:color w:val="auto"/>
          <w:szCs w:val="21"/>
          <w:highlight w:val="none"/>
        </w:rPr>
        <w:t>监督管理部门给予一定年限内禁止参与政府采购活动或其他处罚。</w:t>
      </w:r>
    </w:p>
    <w:p w14:paraId="403D998D">
      <w:pPr>
        <w:numPr>
          <w:ilvl w:val="0"/>
          <w:numId w:val="15"/>
        </w:numPr>
        <w:spacing w:line="360" w:lineRule="auto"/>
        <w:ind w:right="-815" w:firstLineChars="200"/>
        <w:rPr>
          <w:rFonts w:ascii="宋体" w:hAnsi="宋体"/>
          <w:color w:val="auto"/>
          <w:szCs w:val="21"/>
          <w:highlight w:val="none"/>
        </w:rPr>
      </w:pPr>
      <w:r>
        <w:rPr>
          <w:rFonts w:hint="eastAsia" w:ascii="宋体" w:hAnsi="宋体"/>
          <w:color w:val="auto"/>
          <w:szCs w:val="21"/>
          <w:highlight w:val="none"/>
        </w:rPr>
        <w:t>如果中标，做到守信，不偷工减料，依照本项目</w:t>
      </w:r>
      <w:r>
        <w:rPr>
          <w:rFonts w:hint="eastAsia" w:ascii="宋体" w:hAnsi="宋体"/>
          <w:color w:val="auto"/>
          <w:szCs w:val="21"/>
          <w:highlight w:val="none"/>
          <w:lang w:eastAsia="zh-CN"/>
        </w:rPr>
        <w:t>谈判文件</w:t>
      </w:r>
      <w:r>
        <w:rPr>
          <w:rFonts w:hint="eastAsia" w:ascii="宋体" w:hAnsi="宋体"/>
          <w:color w:val="auto"/>
          <w:szCs w:val="21"/>
          <w:highlight w:val="none"/>
        </w:rPr>
        <w:t>需求内容、签署的采购合同及本公司在投标中所作的一切承诺履约。项目验收达到全部指标合格，力争优良。</w:t>
      </w:r>
    </w:p>
    <w:p w14:paraId="30EADCCC">
      <w:pPr>
        <w:numPr>
          <w:ilvl w:val="0"/>
          <w:numId w:val="15"/>
        </w:numPr>
        <w:spacing w:line="360" w:lineRule="auto"/>
        <w:ind w:right="-815" w:firstLineChars="200"/>
        <w:rPr>
          <w:bCs/>
          <w:szCs w:val="21"/>
        </w:rPr>
      </w:pPr>
      <w:r>
        <w:rPr>
          <w:rFonts w:hint="eastAsia"/>
          <w:bCs/>
          <w:color w:val="auto"/>
          <w:szCs w:val="21"/>
          <w:highlight w:val="none"/>
        </w:rPr>
        <w:t>根据《</w:t>
      </w:r>
      <w:r>
        <w:rPr>
          <w:rFonts w:hint="eastAsia"/>
          <w:bCs/>
          <w:szCs w:val="21"/>
        </w:rPr>
        <w:t>中华人民共和国政府采购法实施条例》的规定，本公司（企业）如为采购项目（包组）提供整体设计、规范编制或者项目管理、监理、检测等服务的供应商，不再参加该采购项目的其他采购活动</w:t>
      </w:r>
    </w:p>
    <w:p w14:paraId="4101CCE1">
      <w:pPr>
        <w:numPr>
          <w:ilvl w:val="0"/>
          <w:numId w:val="15"/>
        </w:numPr>
        <w:spacing w:line="360" w:lineRule="auto"/>
        <w:ind w:right="-815" w:firstLineChars="200"/>
        <w:rPr>
          <w:rFonts w:ascii="宋体" w:hAnsi="宋体"/>
        </w:rPr>
      </w:pPr>
      <w:r>
        <w:rPr>
          <w:rFonts w:hint="eastAsia" w:ascii="宋体" w:hAnsi="宋体"/>
        </w:rPr>
        <w:t>本公司（企业）的法定代表人或单位负责人与本项目其他投标人的法定代表人或单位负责人不为同一人且与其他投标人之间不存在直接控股、管理关系。</w:t>
      </w:r>
    </w:p>
    <w:p w14:paraId="079C0FFE">
      <w:pPr>
        <w:numPr>
          <w:ilvl w:val="0"/>
          <w:numId w:val="15"/>
        </w:numPr>
        <w:spacing w:line="360" w:lineRule="auto"/>
        <w:ind w:right="-815" w:firstLineChars="200"/>
        <w:rPr>
          <w:rFonts w:ascii="宋体" w:hAnsi="宋体"/>
          <w:szCs w:val="21"/>
        </w:rPr>
      </w:pPr>
      <w:r>
        <w:rPr>
          <w:rFonts w:hint="eastAsia" w:ascii="宋体" w:hAnsi="宋体"/>
        </w:rPr>
        <w:t>本公司（企业）承诺在本次</w:t>
      </w:r>
      <w:r>
        <w:rPr>
          <w:rFonts w:hint="eastAsia" w:ascii="宋体" w:hAnsi="宋体"/>
          <w:lang w:eastAsia="zh-CN"/>
        </w:rPr>
        <w:t>谈判</w:t>
      </w:r>
      <w:r>
        <w:rPr>
          <w:rFonts w:hint="eastAsia" w:ascii="宋体" w:hAnsi="宋体"/>
        </w:rPr>
        <w:t>采购活动中，如有违法、违规、弄虚作假行为，所造成的损失、不良后果及法律责任，一律由我公司（企业）承担。</w:t>
      </w:r>
    </w:p>
    <w:p w14:paraId="776B9E12">
      <w:pPr>
        <w:numPr>
          <w:ilvl w:val="0"/>
          <w:numId w:val="15"/>
        </w:numPr>
        <w:spacing w:line="360" w:lineRule="auto"/>
        <w:ind w:right="-815" w:firstLineChars="200"/>
        <w:rPr>
          <w:rFonts w:ascii="宋体" w:hAnsi="宋体"/>
          <w:szCs w:val="21"/>
        </w:rPr>
      </w:pPr>
      <w:r>
        <w:rPr>
          <w:rFonts w:hint="eastAsia" w:ascii="宋体" w:hAnsi="宋体"/>
          <w:szCs w:val="21"/>
        </w:rPr>
        <w:t>在参与</w:t>
      </w:r>
      <w:r>
        <w:rPr>
          <w:rFonts w:hint="eastAsia" w:ascii="宋体" w:hAnsi="宋体"/>
        </w:rPr>
        <w:t>本次</w:t>
      </w:r>
      <w:r>
        <w:rPr>
          <w:rFonts w:hint="eastAsia" w:ascii="宋体" w:hAnsi="宋体"/>
          <w:lang w:eastAsia="zh-CN"/>
        </w:rPr>
        <w:t>谈判</w:t>
      </w:r>
      <w:r>
        <w:rPr>
          <w:rFonts w:hint="eastAsia" w:ascii="宋体" w:hAnsi="宋体"/>
        </w:rPr>
        <w:t>采购活动中</w:t>
      </w:r>
      <w:r>
        <w:rPr>
          <w:rFonts w:hint="eastAsia" w:ascii="宋体" w:hAnsi="宋体"/>
          <w:szCs w:val="21"/>
        </w:rPr>
        <w:t>投标截止日前三年内，在我公司的经营活动中没有存在重大违法记录，即我公司没有受到刑事处罚或者责令停产停业、吊销许可证或者执照、较大数额罚款等行政处罚。</w:t>
      </w:r>
    </w:p>
    <w:p w14:paraId="734A4238">
      <w:pPr>
        <w:numPr>
          <w:ilvl w:val="0"/>
          <w:numId w:val="15"/>
        </w:numPr>
        <w:spacing w:line="360" w:lineRule="auto"/>
        <w:ind w:right="-815" w:firstLineChars="200"/>
        <w:rPr>
          <w:rFonts w:ascii="宋体" w:hAnsi="宋体"/>
          <w:color w:val="auto"/>
          <w:szCs w:val="21"/>
        </w:rPr>
      </w:pPr>
      <w:r>
        <w:rPr>
          <w:rFonts w:hint="eastAsia"/>
          <w:szCs w:val="21"/>
        </w:rPr>
        <w:t>在参与</w:t>
      </w:r>
      <w:r>
        <w:rPr>
          <w:rFonts w:hint="eastAsia" w:ascii="宋体" w:hAnsi="宋体"/>
        </w:rPr>
        <w:t>本次</w:t>
      </w:r>
      <w:r>
        <w:rPr>
          <w:rFonts w:hint="eastAsia" w:ascii="宋体" w:hAnsi="宋体"/>
          <w:lang w:eastAsia="zh-CN"/>
        </w:rPr>
        <w:t>谈判</w:t>
      </w:r>
      <w:r>
        <w:rPr>
          <w:rFonts w:hint="eastAsia" w:ascii="宋体" w:hAnsi="宋体"/>
        </w:rPr>
        <w:t>采购活动中</w:t>
      </w:r>
      <w:r>
        <w:rPr>
          <w:rFonts w:hint="eastAsia"/>
          <w:szCs w:val="21"/>
        </w:rPr>
        <w:t>，我公司不存在被政府主管部门禁止参与政府采购活动的情形，即我公</w:t>
      </w:r>
      <w:r>
        <w:rPr>
          <w:rFonts w:hint="eastAsia"/>
          <w:color w:val="auto"/>
          <w:szCs w:val="21"/>
        </w:rPr>
        <w:t>司不存在还处于被禁止参与政府采购活动的期限内情形。</w:t>
      </w:r>
    </w:p>
    <w:p w14:paraId="0E0E3185">
      <w:pPr>
        <w:numPr>
          <w:ilvl w:val="0"/>
          <w:numId w:val="15"/>
        </w:numPr>
        <w:spacing w:line="360" w:lineRule="auto"/>
        <w:ind w:right="-815" w:firstLineChars="200"/>
        <w:rPr>
          <w:rFonts w:ascii="宋体" w:hAnsi="宋体"/>
          <w:color w:val="auto"/>
          <w:szCs w:val="21"/>
        </w:rPr>
      </w:pPr>
      <w:r>
        <w:rPr>
          <w:rFonts w:hint="eastAsia" w:ascii="宋体" w:hAnsi="宋体"/>
          <w:color w:val="auto"/>
          <w:szCs w:val="21"/>
        </w:rPr>
        <w:t>参与本项目采购活动时未被列入失信被执行人、税收违法黑名单、政府采购严重违法失信行为记录名单</w:t>
      </w:r>
    </w:p>
    <w:p w14:paraId="17840CCA">
      <w:pPr>
        <w:spacing w:line="360" w:lineRule="auto"/>
        <w:ind w:firstLine="420" w:firstLineChars="200"/>
        <w:rPr>
          <w:rFonts w:ascii="宋体" w:hAnsi="宋体"/>
          <w:color w:val="auto"/>
          <w:szCs w:val="21"/>
        </w:rPr>
      </w:pPr>
      <w:r>
        <w:rPr>
          <w:rFonts w:hint="eastAsia" w:ascii="宋体" w:hAnsi="宋体"/>
          <w:color w:val="auto"/>
          <w:szCs w:val="21"/>
        </w:rPr>
        <w:t>以上承诺，如有违反，愿依照国家相关法律处理，并承担由此给采购人带来的损失。</w:t>
      </w:r>
    </w:p>
    <w:p w14:paraId="2CE6399B">
      <w:pPr>
        <w:autoSpaceDE w:val="0"/>
        <w:autoSpaceDN w:val="0"/>
        <w:adjustRightInd w:val="0"/>
        <w:spacing w:line="360" w:lineRule="auto"/>
        <w:rPr>
          <w:rFonts w:ascii="宋体" w:hAnsi="宋体"/>
          <w:b/>
          <w:color w:val="auto"/>
          <w:sz w:val="24"/>
        </w:rPr>
      </w:pPr>
      <w:r>
        <w:rPr>
          <w:rFonts w:hint="eastAsia" w:ascii="宋体" w:hAnsi="宋体"/>
          <w:b/>
          <w:color w:val="auto"/>
          <w:sz w:val="24"/>
        </w:rPr>
        <w:t>备注：1.本声明函必须提供且内容不得擅自删改，否则视为无效投标。</w:t>
      </w:r>
    </w:p>
    <w:p w14:paraId="14801788">
      <w:pPr>
        <w:snapToGrid w:val="0"/>
        <w:spacing w:line="360" w:lineRule="auto"/>
        <w:ind w:firstLine="723" w:firstLineChars="300"/>
        <w:outlineLvl w:val="9"/>
        <w:rPr>
          <w:rFonts w:ascii="宋体" w:hAnsi="宋体"/>
          <w:b/>
          <w:sz w:val="24"/>
        </w:rPr>
      </w:pPr>
      <w:r>
        <w:rPr>
          <w:rFonts w:hint="eastAsia" w:ascii="宋体" w:hAnsi="宋体"/>
          <w:b/>
          <w:sz w:val="24"/>
        </w:rPr>
        <w:t>2. 本声明函如有虚假或与事实不符的，作无效投标处理。</w:t>
      </w:r>
    </w:p>
    <w:p w14:paraId="69DC41FE">
      <w:pPr>
        <w:spacing w:line="360" w:lineRule="auto"/>
        <w:ind w:firstLine="480" w:firstLineChars="200"/>
        <w:rPr>
          <w:rFonts w:ascii="宋体" w:hAnsi="宋体"/>
          <w:sz w:val="24"/>
        </w:rPr>
      </w:pPr>
    </w:p>
    <w:p w14:paraId="071D140E">
      <w:pPr>
        <w:spacing w:line="360" w:lineRule="auto"/>
        <w:ind w:firstLine="420"/>
        <w:rPr>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投标人单位名称：</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　　　　　　　</w:t>
      </w:r>
    </w:p>
    <w:p w14:paraId="275EBD85">
      <w:pPr>
        <w:spacing w:line="360" w:lineRule="auto"/>
        <w:ind w:firstLine="420"/>
        <w:rPr>
          <w:rFonts w:ascii="宋体" w:hAnsi="宋体"/>
          <w:b/>
          <w:bCs/>
          <w:sz w:val="24"/>
        </w:rPr>
      </w:pPr>
      <w:r>
        <w:rPr>
          <w:rFonts w:hint="eastAsia"/>
          <w:b/>
          <w:bCs/>
          <w:color w:val="000000" w:themeColor="text1"/>
          <w:sz w:val="24"/>
          <w14:textFill>
            <w14:solidFill>
              <w14:schemeClr w14:val="tx1"/>
            </w14:solidFill>
          </w14:textFill>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022C1E85">
      <w:pPr>
        <w:spacing w:line="360" w:lineRule="auto"/>
        <w:ind w:firstLine="241" w:firstLineChars="100"/>
        <w:outlineLvl w:val="9"/>
        <w:rPr>
          <w:b/>
          <w:sz w:val="24"/>
        </w:rPr>
      </w:pPr>
      <w:r>
        <w:rPr>
          <w:rFonts w:hint="eastAsia"/>
          <w:b/>
          <w:sz w:val="24"/>
        </w:rPr>
        <w:t>（此处加盖投标人单位公章）</w:t>
      </w:r>
    </w:p>
    <w:p w14:paraId="51C2D38A">
      <w:pPr>
        <w:widowControl/>
        <w:jc w:val="left"/>
        <w:rPr>
          <w:b/>
          <w:sz w:val="24"/>
        </w:rPr>
      </w:pPr>
      <w:r>
        <w:rPr>
          <w:b/>
          <w:sz w:val="24"/>
        </w:rPr>
        <w:br w:type="page"/>
      </w:r>
    </w:p>
    <w:p w14:paraId="04BEA813">
      <w:pPr>
        <w:keepNext w:val="0"/>
        <w:keepLines w:val="0"/>
        <w:widowControl/>
        <w:suppressLineNumbers w:val="0"/>
        <w:jc w:val="center"/>
        <w:outlineLvl w:val="0"/>
        <w:rPr>
          <w:rFonts w:hint="eastAsia" w:ascii="宋体" w:hAnsi="宋体" w:eastAsia="宋体" w:cs="宋体"/>
          <w:b/>
          <w:bCs/>
          <w:color w:val="auto"/>
          <w:sz w:val="36"/>
          <w:szCs w:val="36"/>
          <w:highlight w:val="none"/>
        </w:rPr>
      </w:pPr>
      <w:bookmarkStart w:id="49" w:name="_承诺函"/>
      <w:bookmarkEnd w:id="49"/>
      <w:bookmarkStart w:id="50" w:name="_Toc21707"/>
      <w:bookmarkStart w:id="51" w:name="_Toc32186"/>
      <w:bookmarkStart w:id="52" w:name="_Toc24149"/>
      <w:bookmarkStart w:id="53" w:name="_Toc50736477"/>
      <w:bookmarkStart w:id="54" w:name="_Toc52165081"/>
      <w:bookmarkStart w:id="55" w:name="_Toc275865607"/>
      <w:bookmarkStart w:id="56" w:name="_Toc435515299"/>
      <w:bookmarkStart w:id="57" w:name="_Toc27672"/>
      <w:bookmarkStart w:id="58" w:name="_Toc50737297"/>
      <w:bookmarkStart w:id="59" w:name="_Toc435514859"/>
      <w:bookmarkStart w:id="60" w:name="_Toc50737329"/>
      <w:bookmarkStart w:id="61" w:name="_Toc50736476"/>
      <w:bookmarkStart w:id="62" w:name="_Toc50737296"/>
      <w:bookmarkStart w:id="63" w:name="_Toc52165080"/>
      <w:bookmarkStart w:id="64" w:name="_Toc50691034"/>
      <w:bookmarkStart w:id="65" w:name="_Toc50737328"/>
      <w:r>
        <w:rPr>
          <w:rFonts w:hint="eastAsia" w:cs="宋体" w:asciiTheme="majorEastAsia" w:hAnsiTheme="majorEastAsia" w:eastAsiaTheme="majorEastAsia"/>
          <w:kern w:val="2"/>
          <w:sz w:val="30"/>
          <w:szCs w:val="30"/>
          <w:lang w:val="en-US" w:eastAsia="zh-CN" w:bidi="ar-SA"/>
        </w:rPr>
        <w:t>（十三）政府采购违法行为风险知悉确认书</w:t>
      </w:r>
      <w:bookmarkEnd w:id="50"/>
      <w:bookmarkEnd w:id="51"/>
    </w:p>
    <w:p w14:paraId="20E114A7">
      <w:pPr>
        <w:spacing w:before="0" w:beforeLines="0" w:after="157" w:afterLines="50" w:line="360" w:lineRule="exact"/>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eastAsia="zh-CN"/>
        </w:rPr>
        <w:t>我</w:t>
      </w:r>
      <w:r>
        <w:rPr>
          <w:rFonts w:hint="eastAsia" w:ascii="宋体" w:hAnsi="宋体" w:eastAsia="宋体" w:cs="宋体"/>
          <w:b/>
          <w:bCs/>
          <w:color w:val="auto"/>
          <w:sz w:val="24"/>
          <w:szCs w:val="24"/>
          <w:highlight w:val="none"/>
          <w:lang w:val="en-US" w:eastAsia="zh-CN"/>
        </w:rPr>
        <w:t>单位</w:t>
      </w:r>
      <w:r>
        <w:rPr>
          <w:rFonts w:hint="eastAsia" w:ascii="宋体" w:hAnsi="宋体" w:eastAsia="宋体" w:cs="宋体"/>
          <w:b/>
          <w:bCs/>
          <w:color w:val="auto"/>
          <w:sz w:val="24"/>
          <w:highlight w:val="none"/>
        </w:rPr>
        <w:t>在投标前已充分知悉以下情形为参与政府采购活动时的重大风险事项，并承诺已对下述风险提示事项重点排查，</w:t>
      </w:r>
      <w:r>
        <w:rPr>
          <w:rFonts w:hint="eastAsia" w:ascii="宋体" w:hAnsi="宋体" w:eastAsia="宋体" w:cs="宋体"/>
          <w:b/>
          <w:bCs/>
          <w:color w:val="auto"/>
          <w:sz w:val="24"/>
          <w:highlight w:val="none"/>
          <w:lang w:val="en-US" w:eastAsia="zh-CN"/>
        </w:rPr>
        <w:t>若存在下述情况，我单位愿意依法承担被记入供应商诚信档案、罚款、取消参与政府采购资格等处罚；构成犯罪的，依法承担刑事责任。</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7821"/>
      </w:tblGrid>
      <w:tr w14:paraId="3D833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711" w:type="dxa"/>
            <w:noWrap w:val="0"/>
            <w:vAlign w:val="top"/>
          </w:tcPr>
          <w:p w14:paraId="4BB5992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8085" w:type="dxa"/>
            <w:noWrap w:val="0"/>
            <w:vAlign w:val="top"/>
          </w:tcPr>
          <w:p w14:paraId="3C32FF9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供应商参与投标禁止情形</w:t>
            </w:r>
          </w:p>
        </w:tc>
      </w:tr>
      <w:tr w14:paraId="5BE77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5C259D3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8085" w:type="dxa"/>
            <w:noWrap w:val="0"/>
            <w:vAlign w:val="center"/>
          </w:tcPr>
          <w:p w14:paraId="3B0FAFA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auto"/>
                <w:sz w:val="24"/>
                <w:szCs w:val="24"/>
                <w:highlight w:val="none"/>
                <w:lang w:val="en-US" w:eastAsia="zh-CN"/>
              </w:rPr>
              <w:t>同一人、属同一单位或者在同一单位缴纳社会保险</w:t>
            </w:r>
            <w:r>
              <w:rPr>
                <w:rFonts w:hint="eastAsia" w:ascii="宋体" w:hAnsi="宋体" w:eastAsia="宋体" w:cs="宋体"/>
                <w:color w:val="auto"/>
                <w:sz w:val="24"/>
                <w:szCs w:val="24"/>
                <w:highlight w:val="none"/>
                <w:lang w:val="en-US" w:eastAsia="zh-CN"/>
              </w:rPr>
              <w:t>。</w:t>
            </w:r>
          </w:p>
        </w:tc>
      </w:tr>
      <w:tr w14:paraId="417A5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dxa"/>
            <w:noWrap w:val="0"/>
            <w:vAlign w:val="top"/>
          </w:tcPr>
          <w:p w14:paraId="1E0948E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8085" w:type="dxa"/>
            <w:noWrap w:val="0"/>
            <w:vAlign w:val="center"/>
          </w:tcPr>
          <w:p w14:paraId="6261DBA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参与本项目政府采购活动时，与其他投标供应商存在单位负责人为</w:t>
            </w:r>
            <w:r>
              <w:rPr>
                <w:rFonts w:hint="eastAsia" w:ascii="宋体" w:hAnsi="宋体" w:eastAsia="宋体" w:cs="宋体"/>
                <w:b/>
                <w:bCs/>
                <w:color w:val="auto"/>
                <w:sz w:val="24"/>
                <w:szCs w:val="24"/>
                <w:highlight w:val="none"/>
                <w:lang w:val="en-US" w:eastAsia="zh-CN"/>
              </w:rPr>
              <w:t>同一人或直接控股、管理关系</w:t>
            </w:r>
            <w:r>
              <w:rPr>
                <w:rFonts w:hint="eastAsia" w:ascii="宋体" w:hAnsi="宋体" w:eastAsia="宋体" w:cs="宋体"/>
                <w:color w:val="auto"/>
                <w:sz w:val="24"/>
                <w:szCs w:val="24"/>
                <w:highlight w:val="none"/>
                <w:lang w:val="en-US" w:eastAsia="zh-CN"/>
              </w:rPr>
              <w:t>。</w:t>
            </w:r>
          </w:p>
        </w:tc>
      </w:tr>
      <w:tr w14:paraId="7D5EE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141F786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8085" w:type="dxa"/>
            <w:noWrap w:val="0"/>
            <w:vAlign w:val="center"/>
          </w:tcPr>
          <w:p w14:paraId="3CDD8AD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与其他投标供应商的投标文件或部分投标文件</w:t>
            </w:r>
            <w:r>
              <w:rPr>
                <w:rFonts w:hint="eastAsia" w:ascii="宋体" w:hAnsi="宋体" w:eastAsia="宋体" w:cs="宋体"/>
                <w:b/>
                <w:bCs/>
                <w:color w:val="auto"/>
                <w:sz w:val="24"/>
                <w:szCs w:val="24"/>
                <w:highlight w:val="none"/>
                <w:lang w:val="en-US" w:eastAsia="zh-CN"/>
              </w:rPr>
              <w:t>相互混装或存在非正常一致</w:t>
            </w:r>
            <w:r>
              <w:rPr>
                <w:rFonts w:hint="eastAsia" w:ascii="宋体" w:hAnsi="宋体" w:eastAsia="宋体" w:cs="宋体"/>
                <w:color w:val="auto"/>
                <w:sz w:val="24"/>
                <w:szCs w:val="24"/>
                <w:highlight w:val="none"/>
                <w:lang w:val="en-US" w:eastAsia="zh-CN"/>
              </w:rPr>
              <w:t>。</w:t>
            </w:r>
          </w:p>
        </w:tc>
      </w:tr>
      <w:tr w14:paraId="1F938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7078102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8085" w:type="dxa"/>
            <w:noWrap w:val="0"/>
            <w:vAlign w:val="center"/>
          </w:tcPr>
          <w:p w14:paraId="15D6B5F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与其他投标供应商的投标文件由</w:t>
            </w:r>
            <w:r>
              <w:rPr>
                <w:rFonts w:hint="eastAsia" w:ascii="宋体" w:hAnsi="宋体" w:eastAsia="宋体" w:cs="宋体"/>
                <w:b/>
                <w:bCs/>
                <w:color w:val="auto"/>
                <w:sz w:val="24"/>
                <w:szCs w:val="24"/>
                <w:highlight w:val="none"/>
                <w:lang w:val="en-US" w:eastAsia="zh-CN"/>
              </w:rPr>
              <w:t>同一单位或者同一人编制</w:t>
            </w:r>
            <w:r>
              <w:rPr>
                <w:rFonts w:hint="eastAsia" w:ascii="宋体" w:hAnsi="宋体" w:eastAsia="宋体" w:cs="宋体"/>
                <w:color w:val="auto"/>
                <w:sz w:val="24"/>
                <w:szCs w:val="24"/>
                <w:highlight w:val="none"/>
                <w:lang w:val="en-US" w:eastAsia="zh-CN"/>
              </w:rPr>
              <w:t>，或者使用</w:t>
            </w:r>
            <w:r>
              <w:rPr>
                <w:rFonts w:hint="eastAsia" w:ascii="宋体" w:hAnsi="宋体" w:eastAsia="宋体" w:cs="宋体"/>
                <w:b/>
                <w:bCs/>
                <w:color w:val="auto"/>
                <w:sz w:val="24"/>
                <w:szCs w:val="24"/>
                <w:highlight w:val="none"/>
                <w:lang w:val="en-US" w:eastAsia="zh-CN"/>
              </w:rPr>
              <w:t>同一设备编制</w:t>
            </w:r>
            <w:r>
              <w:rPr>
                <w:rFonts w:hint="eastAsia" w:ascii="宋体" w:hAnsi="宋体" w:eastAsia="宋体" w:cs="宋体"/>
                <w:color w:val="auto"/>
                <w:sz w:val="24"/>
                <w:szCs w:val="24"/>
                <w:highlight w:val="none"/>
                <w:lang w:val="en-US" w:eastAsia="zh-CN"/>
              </w:rPr>
              <w:t>（“文件制作机器码”“文件创建标识码”一致）。</w:t>
            </w:r>
          </w:p>
        </w:tc>
      </w:tr>
      <w:tr w14:paraId="01531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dxa"/>
            <w:noWrap w:val="0"/>
            <w:vAlign w:val="top"/>
          </w:tcPr>
          <w:p w14:paraId="5395EF5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8085" w:type="dxa"/>
            <w:noWrap w:val="0"/>
            <w:vAlign w:val="center"/>
          </w:tcPr>
          <w:p w14:paraId="54725C9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w:t>
            </w:r>
            <w:r>
              <w:rPr>
                <w:rFonts w:hint="eastAsia" w:ascii="宋体" w:hAnsi="宋体" w:eastAsia="宋体" w:cs="宋体"/>
                <w:b/>
                <w:bCs/>
                <w:color w:val="auto"/>
                <w:sz w:val="24"/>
                <w:szCs w:val="24"/>
                <w:highlight w:val="none"/>
                <w:lang w:val="en-US" w:eastAsia="zh-CN"/>
              </w:rPr>
              <w:t>未经出具机构核实</w:t>
            </w:r>
            <w:r>
              <w:rPr>
                <w:rFonts w:hint="eastAsia" w:ascii="宋体" w:hAnsi="宋体" w:eastAsia="宋体" w:cs="宋体"/>
                <w:color w:val="auto"/>
                <w:sz w:val="24"/>
                <w:szCs w:val="24"/>
                <w:highlight w:val="none"/>
                <w:lang w:val="en-US" w:eastAsia="zh-CN"/>
              </w:rPr>
              <w:t>的虚假的检验检测报告、业绩材料、社保缴纳证明、学历学位证书、职称认证证书等材料。</w:t>
            </w:r>
          </w:p>
        </w:tc>
      </w:tr>
      <w:tr w14:paraId="1A110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157D3FA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8085" w:type="dxa"/>
            <w:noWrap w:val="0"/>
            <w:vAlign w:val="center"/>
          </w:tcPr>
          <w:p w14:paraId="720EBC4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擅自将投标密钥或电子营业执照出借他人使用或未妥善保管。</w:t>
            </w:r>
          </w:p>
        </w:tc>
      </w:tr>
    </w:tbl>
    <w:p w14:paraId="5947B219">
      <w:pPr>
        <w:spacing w:before="157" w:beforeLines="50" w:line="380" w:lineRule="exact"/>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一、</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已充分知悉“隐瞒真实情况，提供虚假资料”的法定情形，包括但不限于：</w:t>
      </w:r>
    </w:p>
    <w:p w14:paraId="7228650E">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（一）通过转让或者租借等方式从其他单位获取资格或者资质证书投标的。</w:t>
      </w:r>
    </w:p>
    <w:p w14:paraId="17D34ED0">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（二）由其他单位或者其他单位负责人在投标供应商编制的投标文件上加盖印章或者签字的。</w:t>
      </w:r>
    </w:p>
    <w:p w14:paraId="69668DEE">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（三）项目负责人或者主要技术人员不是本单位人员的。</w:t>
      </w:r>
    </w:p>
    <w:p w14:paraId="598519CE">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（四）投标保证金不是从投标供应商基本账户转出的。</w:t>
      </w:r>
    </w:p>
    <w:p w14:paraId="1F469B7D">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（五）其他隐瞒真实情况、提供虚假资料的行为。</w:t>
      </w:r>
    </w:p>
    <w:p w14:paraId="357F0084">
      <w:pPr>
        <w:spacing w:beforeLines="0" w:line="380" w:lineRule="exact"/>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二、</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已充分知悉“与其他采购参加人串通投标”的法定情形，包括但不限于：</w:t>
      </w:r>
    </w:p>
    <w:p w14:paraId="49D8EFC2">
      <w:pPr>
        <w:spacing w:beforeLines="0" w:line="3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（一）投标供应商之间相互约定给予未中标的供应商利益补偿。</w:t>
      </w:r>
    </w:p>
    <w:p w14:paraId="21A233C2">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（二）不同投标供应商的法定代表人、主要经营负责人、项目投标授权代表人、项目负责人、主要技术人员为同一人、属同一单位或者在同一单位缴纳社会保险。</w:t>
      </w:r>
    </w:p>
    <w:p w14:paraId="7818E9A2">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（三）不同投标供应商的投标文件由同一单位或者同一人编制，或者由同一人分阶段参与编制的。</w:t>
      </w:r>
    </w:p>
    <w:p w14:paraId="0786DCD3">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（四）不同投标供应商的投标文件或部分投标文件相互混装。</w:t>
      </w:r>
    </w:p>
    <w:p w14:paraId="7BDDC56B">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（五）不同投标供应商的投标文件内容存在非正常一致。</w:t>
      </w:r>
    </w:p>
    <w:p w14:paraId="3213BA6B">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（六）由同一单位工作人员为两家以上（含两家）供应商进行同一项投标活动的。</w:t>
      </w:r>
    </w:p>
    <w:p w14:paraId="2D578AD8">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（七）不同投标人的投标报价呈规律性差异。</w:t>
      </w:r>
    </w:p>
    <w:p w14:paraId="1B067A2A">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（八）不同投标人的投标保证金从同一单位或者个人的账户转出。</w:t>
      </w:r>
    </w:p>
    <w:p w14:paraId="38137543">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（九）主管部门依照法律、法规认定的其他情形。</w:t>
      </w:r>
    </w:p>
    <w:p w14:paraId="30797EF1">
      <w:pPr>
        <w:spacing w:beforeLines="0" w:line="340" w:lineRule="exact"/>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三、</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已充分知悉下列情形</w:t>
      </w:r>
      <w:r>
        <w:rPr>
          <w:rFonts w:hint="eastAsia" w:ascii="宋体" w:hAnsi="宋体" w:eastAsia="宋体" w:cs="宋体"/>
          <w:b/>
          <w:color w:val="auto"/>
          <w:highlight w:val="none"/>
          <w:lang w:eastAsia="zh-CN"/>
        </w:rPr>
        <w:t>存在</w:t>
      </w:r>
      <w:r>
        <w:rPr>
          <w:rFonts w:hint="eastAsia" w:ascii="宋体" w:hAnsi="宋体" w:eastAsia="宋体" w:cs="宋体"/>
          <w:b/>
          <w:color w:val="auto"/>
          <w:highlight w:val="none"/>
        </w:rPr>
        <w:t>法律风险，在投标前已对相关风险事项进行排查。</w:t>
      </w:r>
    </w:p>
    <w:p w14:paraId="0E381613">
      <w:pPr>
        <w:spacing w:beforeLines="0" w:line="340" w:lineRule="exact"/>
        <w:ind w:firstLine="420" w:firstLineChars="200"/>
        <w:rPr>
          <w:rFonts w:hint="eastAsia" w:ascii="宋体" w:hAnsi="宋体" w:eastAsia="宋体" w:cs="宋体"/>
          <w:b/>
          <w:color w:val="auto"/>
          <w:highlight w:val="none"/>
        </w:rPr>
      </w:pPr>
      <w:r>
        <w:rPr>
          <w:rFonts w:hint="eastAsia" w:ascii="宋体" w:hAnsi="宋体" w:eastAsia="宋体" w:cs="宋体"/>
          <w:color w:val="auto"/>
          <w:highlight w:val="none"/>
        </w:rPr>
        <w:t>（一）对于从其他主体获取的投标资料，</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应审慎核查，确保</w:t>
      </w:r>
      <w:r>
        <w:rPr>
          <w:rFonts w:hint="eastAsia" w:ascii="宋体" w:hAnsi="宋体" w:eastAsia="宋体" w:cs="宋体"/>
          <w:color w:val="auto"/>
          <w:highlight w:val="none"/>
          <w:lang w:eastAsia="zh-CN"/>
        </w:rPr>
        <w:t>其</w:t>
      </w:r>
      <w:r>
        <w:rPr>
          <w:rFonts w:hint="eastAsia" w:ascii="宋体" w:hAnsi="宋体" w:eastAsia="宋体" w:cs="宋体"/>
          <w:color w:val="auto"/>
          <w:highlight w:val="none"/>
        </w:rPr>
        <w:t>真实性。</w:t>
      </w:r>
      <w:r>
        <w:rPr>
          <w:rFonts w:hint="eastAsia" w:ascii="宋体" w:hAnsi="宋体" w:eastAsia="宋体" w:cs="宋体"/>
          <w:b/>
          <w:color w:val="auto"/>
          <w:highlight w:val="none"/>
        </w:rPr>
        <w:t>如主管部门查实投标文件中存在虚假资料的，无论相关资料是否由第三方或本公司员工提供，均不影响主管部门对供应商存在“隐瞒真实情况，提供虚假资料”违法行为的认定。</w:t>
      </w:r>
    </w:p>
    <w:p w14:paraId="09BD4587">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（二）对于涉及国家机关出具的公文、证件、证明材料等文件，一旦涉嫌虚假，经查实，主管部门将依法从严处理，并移送有关部门追究法律责任；涉嫌犯罪的，移送司法机关</w:t>
      </w:r>
      <w:r>
        <w:rPr>
          <w:rFonts w:hint="eastAsia" w:ascii="宋体" w:hAnsi="宋体" w:eastAsia="宋体" w:cs="宋体"/>
          <w:color w:val="auto"/>
          <w:highlight w:val="none"/>
          <w:lang w:eastAsia="zh-CN"/>
        </w:rPr>
        <w:t>处理</w:t>
      </w:r>
      <w:r>
        <w:rPr>
          <w:rFonts w:hint="eastAsia" w:ascii="宋体" w:hAnsi="宋体" w:eastAsia="宋体" w:cs="宋体"/>
          <w:color w:val="auto"/>
          <w:highlight w:val="none"/>
        </w:rPr>
        <w:t>。</w:t>
      </w:r>
    </w:p>
    <w:p w14:paraId="419A2B43">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eastAsia="zh-CN"/>
        </w:rPr>
        <w:t>三</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对投标电子密钥</w:t>
      </w:r>
      <w:r>
        <w:rPr>
          <w:rFonts w:hint="eastAsia" w:ascii="宋体" w:hAnsi="宋体" w:eastAsia="宋体" w:cs="宋体"/>
          <w:color w:val="auto"/>
          <w:highlight w:val="none"/>
          <w:lang w:eastAsia="zh-CN"/>
        </w:rPr>
        <w:t>或</w:t>
      </w:r>
      <w:r>
        <w:rPr>
          <w:rFonts w:hint="eastAsia" w:ascii="宋体" w:hAnsi="宋体" w:eastAsia="宋体" w:cs="宋体"/>
          <w:color w:val="auto"/>
          <w:highlight w:val="none"/>
          <w:lang w:val="en-US" w:eastAsia="zh-CN"/>
        </w:rPr>
        <w:t>电子营业执照</w:t>
      </w:r>
      <w:r>
        <w:rPr>
          <w:rFonts w:hint="eastAsia" w:ascii="宋体" w:hAnsi="宋体" w:eastAsia="宋体" w:cs="宋体"/>
          <w:color w:val="auto"/>
          <w:highlight w:val="none"/>
        </w:rPr>
        <w:t>负有妥善保管、及时变更和续期等主体责任</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使用电子密钥</w:t>
      </w:r>
      <w:r>
        <w:rPr>
          <w:rFonts w:hint="eastAsia" w:ascii="宋体" w:hAnsi="宋体" w:eastAsia="宋体" w:cs="宋体"/>
          <w:color w:val="auto"/>
          <w:highlight w:val="none"/>
          <w:lang w:eastAsia="zh-CN"/>
        </w:rPr>
        <w:t>或</w:t>
      </w:r>
      <w:r>
        <w:rPr>
          <w:rFonts w:hint="eastAsia" w:ascii="宋体" w:hAnsi="宋体" w:eastAsia="宋体" w:cs="宋体"/>
          <w:color w:val="auto"/>
          <w:highlight w:val="none"/>
          <w:lang w:val="en-US" w:eastAsia="zh-CN"/>
        </w:rPr>
        <w:t>电子营业执照</w:t>
      </w:r>
      <w:r>
        <w:rPr>
          <w:rFonts w:hint="eastAsia" w:ascii="宋体" w:hAnsi="宋体" w:eastAsia="宋体" w:cs="宋体"/>
          <w:color w:val="auto"/>
          <w:highlight w:val="none"/>
        </w:rPr>
        <w:t>在深圳政府采购网站进行的活动，均具有法律效力，须承担相应的法律后果。</w:t>
      </w:r>
      <w:r>
        <w:rPr>
          <w:rFonts w:hint="eastAsia" w:ascii="宋体" w:hAnsi="宋体" w:eastAsia="宋体" w:cs="宋体"/>
          <w:color w:val="auto"/>
          <w:highlight w:val="none"/>
          <w:lang w:eastAsia="zh-CN"/>
        </w:rPr>
        <w:t>若</w:t>
      </w:r>
      <w:r>
        <w:rPr>
          <w:rFonts w:hint="eastAsia" w:ascii="宋体" w:hAnsi="宋体" w:eastAsia="宋体" w:cs="宋体"/>
          <w:b/>
          <w:bCs/>
          <w:color w:val="auto"/>
          <w:highlight w:val="none"/>
        </w:rPr>
        <w:t>擅自将投标密钥</w:t>
      </w:r>
      <w:r>
        <w:rPr>
          <w:rFonts w:hint="eastAsia" w:ascii="宋体" w:hAnsi="宋体" w:eastAsia="宋体" w:cs="宋体"/>
          <w:b/>
          <w:bCs/>
          <w:color w:val="auto"/>
          <w:highlight w:val="none"/>
          <w:lang w:eastAsia="zh-CN"/>
        </w:rPr>
        <w:t>或</w:t>
      </w:r>
      <w:r>
        <w:rPr>
          <w:rFonts w:hint="eastAsia" w:ascii="宋体" w:hAnsi="宋体" w:eastAsia="宋体" w:cs="宋体"/>
          <w:b/>
          <w:bCs/>
          <w:color w:val="auto"/>
          <w:highlight w:val="none"/>
          <w:lang w:val="en-US" w:eastAsia="zh-CN"/>
        </w:rPr>
        <w:t>电子营业执照</w:t>
      </w:r>
      <w:r>
        <w:rPr>
          <w:rFonts w:hint="eastAsia" w:ascii="宋体" w:hAnsi="宋体" w:eastAsia="宋体" w:cs="宋体"/>
          <w:b/>
          <w:bCs/>
          <w:color w:val="auto"/>
          <w:highlight w:val="none"/>
        </w:rPr>
        <w:t>出借他人使用所造成的法律后果，由</w:t>
      </w:r>
      <w:r>
        <w:rPr>
          <w:rFonts w:hint="eastAsia" w:ascii="宋体" w:hAnsi="宋体" w:eastAsia="宋体" w:cs="宋体"/>
          <w:b/>
          <w:bCs/>
          <w:color w:val="auto"/>
          <w:highlight w:val="none"/>
          <w:lang w:eastAsia="zh-CN"/>
        </w:rPr>
        <w:t>我</w:t>
      </w:r>
      <w:r>
        <w:rPr>
          <w:rFonts w:hint="eastAsia" w:ascii="宋体" w:hAnsi="宋体" w:eastAsia="宋体" w:cs="宋体"/>
          <w:b/>
          <w:bCs/>
          <w:color w:val="auto"/>
          <w:highlight w:val="none"/>
          <w:lang w:val="en-US" w:eastAsia="zh-CN"/>
        </w:rPr>
        <w:t>单位</w:t>
      </w:r>
      <w:r>
        <w:rPr>
          <w:rFonts w:hint="eastAsia" w:ascii="宋体" w:hAnsi="宋体" w:eastAsia="宋体" w:cs="宋体"/>
          <w:b/>
          <w:bCs/>
          <w:color w:val="auto"/>
          <w:highlight w:val="none"/>
        </w:rPr>
        <w:t>自行承担</w:t>
      </w:r>
      <w:r>
        <w:rPr>
          <w:rFonts w:hint="eastAsia" w:ascii="宋体" w:hAnsi="宋体" w:eastAsia="宋体" w:cs="宋体"/>
          <w:color w:val="auto"/>
          <w:highlight w:val="none"/>
        </w:rPr>
        <w:t>。</w:t>
      </w:r>
    </w:p>
    <w:p w14:paraId="7A943B34">
      <w:pPr>
        <w:spacing w:beforeLines="0" w:line="340" w:lineRule="exact"/>
        <w:ind w:firstLine="422" w:firstLineChars="200"/>
        <w:outlineLvl w:val="9"/>
        <w:rPr>
          <w:rFonts w:hint="eastAsia" w:ascii="宋体" w:hAnsi="宋体" w:eastAsia="宋体" w:cs="宋体"/>
          <w:b/>
          <w:color w:val="auto"/>
          <w:highlight w:val="none"/>
        </w:rPr>
      </w:pPr>
      <w:r>
        <w:rPr>
          <w:rFonts w:hint="eastAsia" w:ascii="宋体" w:hAnsi="宋体" w:eastAsia="宋体" w:cs="宋体"/>
          <w:b/>
          <w:color w:val="auto"/>
          <w:highlight w:val="none"/>
        </w:rPr>
        <w:t>四、</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已充分知悉政府采购违法、违规行为的法律后果。</w:t>
      </w:r>
    </w:p>
    <w:p w14:paraId="6B9D35C5">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经查实，若</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43606CC4">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以下文字请投标供应商抄写并确认：“</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已仔细阅读《政府采购违法行为风险知悉确认书》，充分知悉违法行为的法律后果，并承诺将严谨、诚信、依法依规参与政府采购活动”。</w:t>
      </w:r>
    </w:p>
    <w:tbl>
      <w:tblPr>
        <w:tblStyle w:val="28"/>
        <w:tblW w:w="8529" w:type="dxa"/>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5059F224">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8529" w:type="dxa"/>
            <w:tcBorders>
              <w:top w:val="nil"/>
              <w:left w:val="nil"/>
              <w:bottom w:val="single" w:color="000000" w:sz="8" w:space="0"/>
              <w:right w:val="nil"/>
            </w:tcBorders>
            <w:noWrap w:val="0"/>
            <w:vAlign w:val="top"/>
          </w:tcPr>
          <w:p w14:paraId="51BCFE1D">
            <w:pPr>
              <w:autoSpaceDE w:val="0"/>
              <w:autoSpaceDN w:val="0"/>
              <w:spacing w:beforeLines="0" w:line="340" w:lineRule="exact"/>
              <w:ind w:firstLine="1866"/>
              <w:jc w:val="both"/>
              <w:rPr>
                <w:rFonts w:hint="eastAsia" w:ascii="宋体" w:hAnsi="宋体" w:eastAsia="宋体" w:cs="宋体"/>
                <w:color w:val="auto"/>
                <w:spacing w:val="-4"/>
                <w:kern w:val="0"/>
                <w:szCs w:val="21"/>
                <w:highlight w:val="none"/>
              </w:rPr>
            </w:pPr>
          </w:p>
        </w:tc>
      </w:tr>
      <w:tr w14:paraId="1583ECA3">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29" w:type="dxa"/>
            <w:tcBorders>
              <w:top w:val="single" w:color="000000" w:sz="8" w:space="0"/>
              <w:left w:val="nil"/>
              <w:bottom w:val="single" w:color="000000" w:sz="8" w:space="0"/>
              <w:right w:val="nil"/>
            </w:tcBorders>
            <w:noWrap w:val="0"/>
            <w:vAlign w:val="top"/>
          </w:tcPr>
          <w:p w14:paraId="16EF46E3">
            <w:pPr>
              <w:autoSpaceDE w:val="0"/>
              <w:autoSpaceDN w:val="0"/>
              <w:spacing w:beforeLines="0" w:line="340" w:lineRule="exact"/>
              <w:ind w:firstLine="1866"/>
              <w:jc w:val="both"/>
              <w:rPr>
                <w:rFonts w:hint="eastAsia" w:ascii="宋体" w:hAnsi="宋体" w:eastAsia="宋体" w:cs="宋体"/>
                <w:color w:val="auto"/>
                <w:spacing w:val="-4"/>
                <w:kern w:val="0"/>
                <w:szCs w:val="21"/>
                <w:highlight w:val="none"/>
              </w:rPr>
            </w:pPr>
          </w:p>
        </w:tc>
      </w:tr>
      <w:tr w14:paraId="39A2AE37">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29" w:type="dxa"/>
            <w:tcBorders>
              <w:top w:val="single" w:color="000000" w:sz="8" w:space="0"/>
              <w:left w:val="nil"/>
              <w:bottom w:val="single" w:color="000000" w:sz="8" w:space="0"/>
              <w:right w:val="nil"/>
            </w:tcBorders>
            <w:noWrap w:val="0"/>
            <w:vAlign w:val="top"/>
          </w:tcPr>
          <w:p w14:paraId="662C21C4">
            <w:pPr>
              <w:autoSpaceDE w:val="0"/>
              <w:autoSpaceDN w:val="0"/>
              <w:spacing w:beforeLines="0" w:line="340" w:lineRule="exact"/>
              <w:ind w:firstLine="1866"/>
              <w:jc w:val="both"/>
              <w:rPr>
                <w:rFonts w:hint="eastAsia" w:ascii="宋体" w:hAnsi="宋体" w:eastAsia="宋体" w:cs="宋体"/>
                <w:color w:val="auto"/>
                <w:spacing w:val="-4"/>
                <w:kern w:val="0"/>
                <w:szCs w:val="21"/>
                <w:highlight w:val="none"/>
              </w:rPr>
            </w:pPr>
          </w:p>
        </w:tc>
      </w:tr>
      <w:tr w14:paraId="50033A5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29" w:type="dxa"/>
            <w:tcBorders>
              <w:top w:val="single" w:color="000000" w:sz="8" w:space="0"/>
              <w:left w:val="nil"/>
              <w:bottom w:val="single" w:color="auto" w:sz="8" w:space="0"/>
              <w:right w:val="nil"/>
            </w:tcBorders>
            <w:noWrap w:val="0"/>
            <w:vAlign w:val="top"/>
          </w:tcPr>
          <w:p w14:paraId="63B196E4">
            <w:pPr>
              <w:autoSpaceDE w:val="0"/>
              <w:autoSpaceDN w:val="0"/>
              <w:spacing w:beforeLines="0" w:line="340" w:lineRule="exact"/>
              <w:ind w:firstLine="1866"/>
              <w:jc w:val="both"/>
              <w:rPr>
                <w:rFonts w:hint="eastAsia" w:ascii="宋体" w:hAnsi="宋体" w:eastAsia="宋体" w:cs="宋体"/>
                <w:color w:val="auto"/>
                <w:spacing w:val="-4"/>
                <w:kern w:val="0"/>
                <w:szCs w:val="21"/>
                <w:highlight w:val="none"/>
              </w:rPr>
            </w:pPr>
          </w:p>
        </w:tc>
      </w:tr>
    </w:tbl>
    <w:p w14:paraId="3C2B44B7">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highlight w:val="none"/>
        </w:rPr>
      </w:pPr>
    </w:p>
    <w:p w14:paraId="01B014E9">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highlight w:val="none"/>
          <w:u w:val="single"/>
        </w:rPr>
      </w:pPr>
      <w:r>
        <w:rPr>
          <w:rFonts w:hint="eastAsia" w:ascii="宋体" w:hAnsi="宋体" w:eastAsia="宋体" w:cs="宋体"/>
          <w:color w:val="auto"/>
          <w:spacing w:val="-4"/>
          <w:kern w:val="0"/>
          <w:szCs w:val="21"/>
          <w:highlight w:val="none"/>
          <w:lang w:eastAsia="zh-CN"/>
        </w:rPr>
        <w:t>单位</w:t>
      </w:r>
      <w:r>
        <w:rPr>
          <w:rFonts w:hint="eastAsia" w:ascii="宋体" w:hAnsi="宋体" w:eastAsia="宋体" w:cs="宋体"/>
          <w:color w:val="auto"/>
          <w:spacing w:val="-4"/>
          <w:kern w:val="0"/>
          <w:szCs w:val="21"/>
          <w:highlight w:val="none"/>
        </w:rPr>
        <w:t>负责人签名：</w:t>
      </w:r>
      <w:r>
        <w:rPr>
          <w:rFonts w:hint="eastAsia" w:ascii="宋体" w:hAnsi="宋体" w:eastAsia="宋体" w:cs="宋体"/>
          <w:color w:val="auto"/>
          <w:spacing w:val="-4"/>
          <w:kern w:val="0"/>
          <w:szCs w:val="21"/>
          <w:highlight w:val="none"/>
          <w:u w:val="single"/>
        </w:rPr>
        <w:t xml:space="preserve">              </w:t>
      </w:r>
    </w:p>
    <w:p w14:paraId="6E788663">
      <w:pPr>
        <w:widowControl/>
        <w:wordWrap w:val="0"/>
        <w:autoSpaceDE w:val="0"/>
        <w:autoSpaceDN w:val="0"/>
        <w:spacing w:beforeLines="0" w:line="340" w:lineRule="exact"/>
        <w:ind w:right="808" w:firstLine="404" w:firstLineChars="200"/>
        <w:jc w:val="center"/>
        <w:rPr>
          <w:rFonts w:hint="eastAsia" w:ascii="宋体" w:hAnsi="宋体" w:eastAsia="宋体" w:cs="宋体"/>
          <w:color w:val="auto"/>
          <w:spacing w:val="-4"/>
          <w:kern w:val="0"/>
          <w:szCs w:val="21"/>
          <w:highlight w:val="none"/>
          <w:u w:val="single"/>
        </w:rPr>
      </w:pPr>
      <w:r>
        <w:rPr>
          <w:rFonts w:hint="eastAsia" w:ascii="宋体" w:hAnsi="宋体" w:eastAsia="宋体" w:cs="宋体"/>
          <w:color w:val="auto"/>
          <w:spacing w:val="-4"/>
          <w:kern w:val="0"/>
          <w:szCs w:val="21"/>
          <w:highlight w:val="none"/>
          <w:lang w:val="en-US" w:eastAsia="zh-CN"/>
        </w:rPr>
        <w:t xml:space="preserve">                                 </w:t>
      </w:r>
      <w:r>
        <w:rPr>
          <w:rFonts w:hint="eastAsia" w:ascii="宋体" w:hAnsi="宋体" w:eastAsia="宋体" w:cs="宋体"/>
          <w:color w:val="auto"/>
          <w:spacing w:val="-4"/>
          <w:kern w:val="0"/>
          <w:szCs w:val="21"/>
          <w:highlight w:val="none"/>
          <w:lang w:eastAsia="zh-CN"/>
        </w:rPr>
        <w:t>（加盖</w:t>
      </w:r>
      <w:r>
        <w:rPr>
          <w:rFonts w:hint="eastAsia" w:ascii="宋体" w:hAnsi="宋体" w:eastAsia="宋体" w:cs="宋体"/>
          <w:color w:val="auto"/>
          <w:spacing w:val="-4"/>
          <w:kern w:val="0"/>
          <w:szCs w:val="21"/>
          <w:highlight w:val="none"/>
        </w:rPr>
        <w:t>公章</w:t>
      </w:r>
      <w:r>
        <w:rPr>
          <w:rFonts w:hint="eastAsia" w:ascii="宋体" w:hAnsi="宋体" w:eastAsia="宋体" w:cs="宋体"/>
          <w:color w:val="auto"/>
          <w:spacing w:val="-4"/>
          <w:kern w:val="0"/>
          <w:szCs w:val="21"/>
          <w:highlight w:val="none"/>
          <w:lang w:eastAsia="zh-CN"/>
        </w:rPr>
        <w:t>）</w:t>
      </w:r>
    </w:p>
    <w:p w14:paraId="1301C0DE">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highlight w:val="none"/>
          <w:u w:val="single"/>
        </w:rPr>
      </w:pPr>
      <w:r>
        <w:rPr>
          <w:rFonts w:hint="eastAsia" w:ascii="宋体" w:hAnsi="宋体" w:eastAsia="宋体" w:cs="宋体"/>
          <w:color w:val="auto"/>
          <w:spacing w:val="-4"/>
          <w:kern w:val="0"/>
          <w:szCs w:val="21"/>
          <w:highlight w:val="none"/>
        </w:rPr>
        <w:t xml:space="preserve">     日期：</w:t>
      </w:r>
      <w:r>
        <w:rPr>
          <w:rFonts w:hint="eastAsia" w:ascii="宋体" w:hAnsi="宋体" w:eastAsia="宋体" w:cs="宋体"/>
          <w:color w:val="auto"/>
          <w:spacing w:val="-4"/>
          <w:kern w:val="0"/>
          <w:szCs w:val="21"/>
          <w:highlight w:val="none"/>
          <w:u w:val="single"/>
        </w:rPr>
        <w:t xml:space="preserve">              </w:t>
      </w:r>
    </w:p>
    <w:p w14:paraId="3DDFD0BC">
      <w:pPr>
        <w:widowControl/>
        <w:autoSpaceDE w:val="0"/>
        <w:autoSpaceDN w:val="0"/>
        <w:spacing w:beforeLines="0" w:line="340" w:lineRule="exact"/>
        <w:ind w:firstLine="406" w:firstLineChars="200"/>
        <w:jc w:val="left"/>
        <w:rPr>
          <w:rFonts w:hint="eastAsia" w:ascii="宋体" w:hAnsi="宋体" w:eastAsia="宋体" w:cs="宋体"/>
          <w:b/>
          <w:bCs/>
          <w:color w:val="auto"/>
          <w:spacing w:val="-4"/>
          <w:kern w:val="0"/>
          <w:szCs w:val="21"/>
          <w:highlight w:val="none"/>
        </w:rPr>
      </w:pPr>
    </w:p>
    <w:p w14:paraId="6BA3BBB0">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29A78199">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7F5C7DD1">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06E1805">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C06AD5B">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B1E7BB1">
      <w:pPr>
        <w:pStyle w:val="3"/>
        <w:numPr>
          <w:ilvl w:val="0"/>
          <w:numId w:val="0"/>
        </w:numPr>
        <w:spacing w:line="240" w:lineRule="auto"/>
        <w:jc w:val="both"/>
        <w:outlineLvl w:val="9"/>
        <w:rPr>
          <w:rFonts w:hint="eastAsia" w:cs="宋体" w:asciiTheme="majorEastAsia" w:hAnsiTheme="majorEastAsia" w:eastAsiaTheme="majorEastAsia"/>
          <w:kern w:val="2"/>
          <w:sz w:val="30"/>
          <w:szCs w:val="30"/>
          <w:lang w:val="en-US" w:eastAsia="zh-CN" w:bidi="ar-SA"/>
        </w:rPr>
      </w:pPr>
    </w:p>
    <w:p w14:paraId="62FCFEB3">
      <w:pPr>
        <w:pStyle w:val="3"/>
        <w:numPr>
          <w:ilvl w:val="0"/>
          <w:numId w:val="0"/>
        </w:numPr>
        <w:spacing w:line="240" w:lineRule="auto"/>
        <w:ind w:left="0" w:leftChars="0" w:firstLine="0" w:firstLineChars="0"/>
        <w:jc w:val="center"/>
        <w:outlineLvl w:val="0"/>
        <w:rPr>
          <w:rFonts w:asciiTheme="majorEastAsia" w:hAnsiTheme="majorEastAsia" w:eastAsiaTheme="majorEastAsia"/>
          <w:sz w:val="30"/>
          <w:szCs w:val="30"/>
        </w:rPr>
      </w:pPr>
      <w:bookmarkStart w:id="66" w:name="_Toc13791"/>
      <w:bookmarkStart w:id="67" w:name="_Toc24374"/>
      <w:r>
        <w:rPr>
          <w:rFonts w:hint="eastAsia" w:cs="宋体" w:asciiTheme="majorEastAsia" w:hAnsiTheme="majorEastAsia" w:eastAsiaTheme="majorEastAsia"/>
          <w:kern w:val="2"/>
          <w:sz w:val="30"/>
          <w:szCs w:val="30"/>
          <w:lang w:val="en-US" w:eastAsia="zh-CN" w:bidi="ar-SA"/>
        </w:rPr>
        <w:t>（十四）</w:t>
      </w:r>
      <w:r>
        <w:rPr>
          <w:rFonts w:hint="eastAsia" w:asciiTheme="majorEastAsia" w:hAnsiTheme="majorEastAsia" w:eastAsiaTheme="majorEastAsia"/>
          <w:sz w:val="30"/>
          <w:szCs w:val="30"/>
        </w:rPr>
        <w:t>法定代表人授权委托书</w:t>
      </w:r>
      <w:bookmarkEnd w:id="52"/>
      <w:bookmarkEnd w:id="53"/>
      <w:bookmarkEnd w:id="54"/>
      <w:bookmarkEnd w:id="55"/>
      <w:bookmarkEnd w:id="56"/>
      <w:bookmarkEnd w:id="57"/>
      <w:bookmarkEnd w:id="58"/>
      <w:bookmarkEnd w:id="59"/>
      <w:bookmarkEnd w:id="60"/>
      <w:bookmarkEnd w:id="66"/>
      <w:bookmarkEnd w:id="67"/>
    </w:p>
    <w:p w14:paraId="232C51C3">
      <w:pPr>
        <w:pStyle w:val="10"/>
        <w:spacing w:line="360" w:lineRule="auto"/>
        <w:ind w:firstLine="420" w:firstLineChars="200"/>
      </w:pPr>
      <w:r>
        <w:rPr>
          <w:rFonts w:hint="eastAsia"/>
        </w:rPr>
        <w:t>本授权委托书声明：注册于</w:t>
      </w:r>
      <w:r>
        <w:rPr>
          <w:rFonts w:hint="eastAsia"/>
          <w:u w:val="single"/>
        </w:rPr>
        <w:t xml:space="preserve"> （投标人地址）  </w:t>
      </w:r>
      <w:r>
        <w:rPr>
          <w:rFonts w:hint="eastAsia"/>
        </w:rPr>
        <w:t>的</w:t>
      </w:r>
      <w:r>
        <w:rPr>
          <w:rFonts w:hint="eastAsia"/>
          <w:u w:val="single"/>
        </w:rPr>
        <w:t xml:space="preserve">  （投标人名称）    </w:t>
      </w:r>
      <w:r>
        <w:rPr>
          <w:rFonts w:hint="eastAsia"/>
        </w:rPr>
        <w:t>由</w:t>
      </w:r>
      <w:r>
        <w:rPr>
          <w:rFonts w:hint="eastAsia"/>
          <w:u w:val="single"/>
        </w:rPr>
        <w:t>（法定代表人姓名、职务）</w:t>
      </w:r>
      <w:r>
        <w:rPr>
          <w:rFonts w:hint="eastAsia"/>
        </w:rPr>
        <w:t>在此授权</w:t>
      </w:r>
      <w:r>
        <w:rPr>
          <w:rFonts w:hint="eastAsia"/>
          <w:u w:val="single"/>
        </w:rPr>
        <w:t>（被授权人姓名、职务、联系电话）</w:t>
      </w:r>
      <w:r>
        <w:rPr>
          <w:rFonts w:hint="eastAsia"/>
        </w:rPr>
        <w:t>作为我公司的合法代理人，就</w:t>
      </w:r>
      <w:r>
        <w:rPr>
          <w:rFonts w:hint="eastAsia"/>
          <w:u w:val="single"/>
        </w:rPr>
        <w:t>（项目名称、项目编号</w:t>
      </w:r>
      <w:r>
        <w:rPr>
          <w:rFonts w:hint="eastAsia"/>
        </w:rPr>
        <w:t>）的招投标活动，采购合同的签订、执行、完成和售后服务，作为投标人代表以我方的名义处理一切与之有关的事务。</w:t>
      </w:r>
    </w:p>
    <w:p w14:paraId="25C88E70">
      <w:pPr>
        <w:pStyle w:val="10"/>
        <w:spacing w:line="360" w:lineRule="auto"/>
        <w:ind w:firstLine="420" w:firstLineChars="200"/>
      </w:pPr>
      <w:r>
        <w:rPr>
          <w:rFonts w:hint="eastAsia"/>
        </w:rPr>
        <w:t>被授权人（投标人授权代表）无转委托权限。</w:t>
      </w:r>
    </w:p>
    <w:p w14:paraId="6EBC4722">
      <w:pPr>
        <w:spacing w:line="360" w:lineRule="auto"/>
        <w:ind w:firstLine="420" w:firstLineChars="200"/>
        <w:rPr>
          <w:rFonts w:ascii="宋体"/>
        </w:rPr>
      </w:pPr>
      <w:r>
        <w:rPr>
          <w:rFonts w:hint="eastAsia" w:ascii="宋体"/>
        </w:rPr>
        <w:t>本授权书自盖章之日起生效，特此声明。</w:t>
      </w:r>
    </w:p>
    <w:p w14:paraId="065678EB">
      <w:pPr>
        <w:spacing w:line="360" w:lineRule="auto"/>
        <w:rPr>
          <w:rFonts w:ascii="宋体"/>
          <w:b/>
        </w:rPr>
      </w:pPr>
      <w:r>
        <w:rPr>
          <w:rFonts w:hint="eastAsia" w:ascii="宋体"/>
          <w:b/>
        </w:rPr>
        <w:t>随附《法定代表人证明书》</w:t>
      </w:r>
    </w:p>
    <w:p w14:paraId="215C7755">
      <w:pPr>
        <w:spacing w:line="360" w:lineRule="auto"/>
        <w:rPr>
          <w:rFonts w:ascii="宋体"/>
        </w:rPr>
      </w:pPr>
    </w:p>
    <w:p w14:paraId="74EAEBC6">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r>
        <w:rPr>
          <w:rFonts w:hint="eastAsia"/>
          <w:b/>
          <w:sz w:val="24"/>
        </w:rPr>
        <w:t>（此处加盖投标人单位公章）</w:t>
      </w:r>
    </w:p>
    <w:p w14:paraId="2AEA9980">
      <w:pPr>
        <w:spacing w:line="360" w:lineRule="auto"/>
        <w:rPr>
          <w:rFonts w:ascii="宋体" w:hAnsi="宋体"/>
          <w:b/>
          <w:bCs/>
          <w:sz w:val="24"/>
        </w:rPr>
      </w:pPr>
    </w:p>
    <w:p w14:paraId="28B3133D">
      <w:pPr>
        <w:spacing w:line="360" w:lineRule="auto"/>
        <w:outlineLvl w:val="9"/>
        <w:rPr>
          <w:rFonts w:ascii="宋体" w:hAnsi="宋体"/>
          <w:b/>
          <w:bCs/>
          <w:sz w:val="24"/>
          <w:u w:val="single"/>
        </w:rPr>
      </w:pPr>
      <w:r>
        <w:rPr>
          <w:rFonts w:hint="eastAsia" w:ascii="宋体" w:hAnsi="宋体"/>
          <w:b/>
          <w:bCs/>
          <w:sz w:val="24"/>
        </w:rPr>
        <w:t>法定代表人：</w:t>
      </w:r>
      <w:r>
        <w:rPr>
          <w:rFonts w:hint="eastAsia" w:ascii="宋体" w:hAnsi="宋体"/>
          <w:b/>
          <w:bCs/>
          <w:sz w:val="24"/>
          <w:u w:val="single"/>
        </w:rPr>
        <w:t xml:space="preserve"> </w:t>
      </w:r>
      <w:r>
        <w:rPr>
          <w:rFonts w:ascii="宋体" w:hAnsi="宋体"/>
          <w:b/>
          <w:bCs/>
          <w:sz w:val="24"/>
          <w:u w:val="single"/>
        </w:rPr>
        <w:t xml:space="preserve">               </w:t>
      </w:r>
      <w:r>
        <w:rPr>
          <w:rFonts w:hint="eastAsia" w:ascii="宋体" w:hAnsi="宋体"/>
          <w:b/>
          <w:bCs/>
          <w:sz w:val="24"/>
        </w:rPr>
        <w:t>（签字或盖法人章）</w:t>
      </w:r>
    </w:p>
    <w:p w14:paraId="3E70759A">
      <w:pPr>
        <w:spacing w:line="360" w:lineRule="auto"/>
        <w:rPr>
          <w:rFonts w:ascii="宋体" w:hAnsi="宋体"/>
          <w:b/>
          <w:bCs/>
          <w:sz w:val="24"/>
        </w:rPr>
      </w:pPr>
    </w:p>
    <w:p w14:paraId="2B182CAD">
      <w:pPr>
        <w:spacing w:line="360" w:lineRule="auto"/>
        <w:rPr>
          <w:rFonts w:ascii="宋体" w:hAnsi="宋体"/>
          <w:b/>
          <w:bCs/>
          <w:sz w:val="24"/>
        </w:rPr>
      </w:pPr>
      <w:r>
        <w:rPr>
          <w:rFonts w:hint="eastAsia" w:ascii="宋体" w:hAnsi="宋体"/>
          <w:b/>
          <w:bCs/>
          <w:sz w:val="24"/>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5ED0D45E">
      <w:pPr>
        <w:spacing w:line="360" w:lineRule="auto"/>
        <w:rPr>
          <w:sz w:val="24"/>
        </w:rPr>
      </w:pPr>
    </w:p>
    <w:p w14:paraId="1F81D656">
      <w:pPr>
        <w:tabs>
          <w:tab w:val="left" w:pos="3780"/>
        </w:tabs>
        <w:spacing w:line="360" w:lineRule="auto"/>
        <w:rPr>
          <w:rFonts w:ascii="宋体" w:hAnsi="宋体"/>
          <w:b/>
          <w:bCs/>
          <w:sz w:val="24"/>
        </w:rPr>
      </w:pPr>
    </w:p>
    <w:p w14:paraId="392B2581">
      <w:pPr>
        <w:tabs>
          <w:tab w:val="left" w:pos="3780"/>
        </w:tabs>
        <w:spacing w:line="360" w:lineRule="auto"/>
        <w:rPr>
          <w:rFonts w:ascii="宋体" w:hAnsi="宋体"/>
          <w:b/>
          <w:bCs/>
          <w:sz w:val="24"/>
        </w:rPr>
      </w:pPr>
      <w:r>
        <w:rPr>
          <w:rFonts w:hint="eastAsia" w:ascii="宋体" w:hAnsi="宋体"/>
          <w:b/>
          <w:bCs/>
          <w:sz w:val="24"/>
        </w:rPr>
        <w:t>提供被授权人（授权代表）居民身份证（正反面）复印件：</w:t>
      </w:r>
    </w:p>
    <w:p w14:paraId="501B6EE5">
      <w:pPr>
        <w:pStyle w:val="6"/>
        <w:rPr>
          <w:rFonts w:ascii="宋体" w:hAnsi="宋体"/>
          <w:b/>
          <w:bCs/>
          <w:sz w:val="24"/>
        </w:rPr>
      </w:pPr>
    </w:p>
    <w:p w14:paraId="4A32CAAD">
      <w:pPr>
        <w:spacing w:line="360" w:lineRule="auto"/>
        <w:ind w:left="1159" w:leftChars="552" w:firstLine="2261"/>
        <w:rPr>
          <w:rFonts w:ascii="宋体"/>
        </w:rPr>
      </w:pPr>
    </w:p>
    <w:p w14:paraId="1D7F7654">
      <w:pPr>
        <w:rPr>
          <w:rFonts w:hint="eastAsia" w:asciiTheme="majorEastAsia" w:hAnsiTheme="majorEastAsia" w:eastAsiaTheme="majorEastAsia"/>
          <w:sz w:val="30"/>
          <w:szCs w:val="30"/>
        </w:rPr>
      </w:pPr>
      <w:bookmarkStart w:id="68" w:name="_Toc435514860"/>
      <w:bookmarkStart w:id="69" w:name="_Toc435515300"/>
      <w:bookmarkStart w:id="70" w:name="_Toc275865608"/>
      <w:bookmarkStart w:id="71" w:name="_Toc14289"/>
    </w:p>
    <w:p w14:paraId="5C6720B5">
      <w:pPr>
        <w:rPr>
          <w:rFonts w:hint="eastAsia" w:asciiTheme="majorEastAsia" w:hAnsiTheme="majorEastAsia" w:eastAsiaTheme="majorEastAsia"/>
          <w:sz w:val="30"/>
          <w:szCs w:val="30"/>
        </w:rPr>
      </w:pPr>
    </w:p>
    <w:p w14:paraId="087A530D">
      <w:pPr>
        <w:rPr>
          <w:rFonts w:hint="eastAsia" w:asciiTheme="majorEastAsia" w:hAnsiTheme="majorEastAsia" w:eastAsiaTheme="majorEastAsia"/>
          <w:sz w:val="30"/>
          <w:szCs w:val="30"/>
        </w:rPr>
      </w:pPr>
    </w:p>
    <w:p w14:paraId="61D0EFB9">
      <w:pPr>
        <w:rPr>
          <w:rFonts w:asciiTheme="majorEastAsia" w:hAnsiTheme="majorEastAsia" w:eastAsiaTheme="majorEastAsia"/>
          <w:sz w:val="30"/>
          <w:szCs w:val="30"/>
        </w:rPr>
      </w:pPr>
      <w:r>
        <w:rPr>
          <w:rFonts w:hint="eastAsia" w:ascii="宋体" w:hAnsi="宋体"/>
          <w:color w:val="auto"/>
          <w:szCs w:val="21"/>
          <w:highlight w:val="none"/>
          <w:lang w:val="en-US" w:eastAsia="zh-CN"/>
        </w:rPr>
        <w:t>备注：如参加开标时需另外单独提供法定代表人证明书或者法人代表授权委托书。</w:t>
      </w:r>
      <w:r>
        <w:rPr>
          <w:rFonts w:hint="eastAsia" w:asciiTheme="majorEastAsia" w:hAnsiTheme="majorEastAsia" w:eastAsiaTheme="majorEastAsia"/>
          <w:sz w:val="30"/>
          <w:szCs w:val="30"/>
        </w:rPr>
        <w:br w:type="page"/>
      </w:r>
    </w:p>
    <w:bookmarkEnd w:id="61"/>
    <w:bookmarkEnd w:id="62"/>
    <w:bookmarkEnd w:id="63"/>
    <w:bookmarkEnd w:id="64"/>
    <w:bookmarkEnd w:id="65"/>
    <w:bookmarkEnd w:id="68"/>
    <w:bookmarkEnd w:id="69"/>
    <w:bookmarkEnd w:id="70"/>
    <w:bookmarkEnd w:id="71"/>
    <w:p w14:paraId="0DE7F095">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72" w:name="_Toc571"/>
      <w:bookmarkStart w:id="73" w:name="_Toc21402"/>
      <w:bookmarkStart w:id="74" w:name="_Toc6666"/>
      <w:bookmarkStart w:id="75" w:name="_Toc7067"/>
      <w:r>
        <w:rPr>
          <w:rFonts w:hint="eastAsia" w:cs="宋体" w:asciiTheme="majorEastAsia" w:hAnsiTheme="majorEastAsia" w:eastAsiaTheme="majorEastAsia"/>
          <w:kern w:val="2"/>
          <w:sz w:val="30"/>
          <w:szCs w:val="30"/>
          <w:lang w:val="en-US" w:eastAsia="zh-CN" w:bidi="ar-SA"/>
        </w:rPr>
        <w:t>（十五）</w:t>
      </w:r>
      <w:r>
        <w:rPr>
          <w:rFonts w:hint="eastAsia" w:asciiTheme="majorEastAsia" w:hAnsiTheme="majorEastAsia" w:eastAsiaTheme="majorEastAsia"/>
          <w:sz w:val="30"/>
          <w:szCs w:val="30"/>
        </w:rPr>
        <w:t>提供被授权人（授权代表）的近</w:t>
      </w:r>
      <w:r>
        <w:rPr>
          <w:rFonts w:hint="eastAsia" w:asciiTheme="majorEastAsia" w:hAnsiTheme="majorEastAsia" w:eastAsiaTheme="majorEastAsia"/>
          <w:sz w:val="30"/>
          <w:szCs w:val="30"/>
          <w:lang w:val="en-US" w:eastAsia="zh-CN"/>
        </w:rPr>
        <w:t>一</w:t>
      </w:r>
      <w:r>
        <w:rPr>
          <w:rFonts w:hint="eastAsia" w:asciiTheme="majorEastAsia" w:hAnsiTheme="majorEastAsia" w:eastAsiaTheme="majorEastAsia"/>
          <w:sz w:val="30"/>
          <w:szCs w:val="30"/>
        </w:rPr>
        <w:t>个月社保证明</w:t>
      </w:r>
      <w:bookmarkEnd w:id="72"/>
      <w:bookmarkEnd w:id="73"/>
      <w:bookmarkEnd w:id="74"/>
    </w:p>
    <w:p w14:paraId="183B5364">
      <w:pPr>
        <w:spacing w:line="360" w:lineRule="auto"/>
        <w:ind w:firstLine="422" w:firstLineChars="200"/>
        <w:rPr>
          <w:rFonts w:hint="eastAsia" w:ascii="宋体" w:hAnsi="宋体" w:eastAsia="宋体" w:cs="宋体"/>
          <w:b/>
          <w:bCs w:val="0"/>
          <w:color w:val="auto"/>
          <w:kern w:val="0"/>
          <w:sz w:val="21"/>
          <w:szCs w:val="21"/>
          <w:highlight w:val="none"/>
          <w:lang w:eastAsia="zh-CN"/>
        </w:rPr>
      </w:pPr>
      <w:r>
        <w:rPr>
          <w:rFonts w:hint="eastAsia" w:ascii="宋体" w:hAnsi="宋体" w:eastAsia="宋体" w:cs="宋体"/>
          <w:b/>
          <w:bCs w:val="0"/>
          <w:kern w:val="0"/>
          <w:sz w:val="21"/>
          <w:szCs w:val="21"/>
          <w:highlight w:val="none"/>
          <w:lang w:val="en-US" w:eastAsia="zh-CN"/>
        </w:rPr>
        <w:t>1、</w:t>
      </w:r>
      <w:r>
        <w:rPr>
          <w:rFonts w:hint="eastAsia" w:ascii="宋体" w:hAnsi="宋体" w:eastAsia="宋体" w:cs="宋体"/>
          <w:b/>
          <w:bCs w:val="0"/>
          <w:kern w:val="0"/>
          <w:sz w:val="21"/>
          <w:szCs w:val="21"/>
          <w:highlight w:val="none"/>
        </w:rPr>
        <w:t>须提供被授权人（授权代表）</w:t>
      </w:r>
      <w:r>
        <w:rPr>
          <w:rFonts w:hint="eastAsia" w:ascii="宋体" w:hAnsi="宋体" w:eastAsia="宋体" w:cs="宋体"/>
          <w:b/>
          <w:bCs w:val="0"/>
          <w:kern w:val="0"/>
          <w:sz w:val="21"/>
          <w:szCs w:val="21"/>
          <w:highlight w:val="none"/>
          <w:lang w:val="en-US" w:eastAsia="zh-CN"/>
        </w:rPr>
        <w:t>投标截止前近一个月（由于社保部门原因最近一个月的社保证明无法提供的可往前顺延一个月）的社保证明；如投标人为新成立企</w:t>
      </w:r>
      <w:r>
        <w:rPr>
          <w:rFonts w:hint="eastAsia" w:ascii="宋体" w:hAnsi="宋体" w:eastAsia="宋体" w:cs="宋体"/>
          <w:b/>
          <w:bCs w:val="0"/>
          <w:color w:val="auto"/>
          <w:kern w:val="0"/>
          <w:sz w:val="21"/>
          <w:szCs w:val="21"/>
          <w:highlight w:val="none"/>
          <w:lang w:val="en-US" w:eastAsia="zh-CN"/>
        </w:rPr>
        <w:t>业且成立时间不足一个月可提供加盖公章的情况说明或者证明材料亦视为符合（格式自拟）</w:t>
      </w:r>
      <w:r>
        <w:rPr>
          <w:rFonts w:hint="eastAsia" w:ascii="宋体" w:hAnsi="宋体" w:eastAsia="宋体" w:cs="宋体"/>
          <w:b/>
          <w:bCs w:val="0"/>
          <w:color w:val="auto"/>
          <w:kern w:val="0"/>
          <w:sz w:val="21"/>
          <w:szCs w:val="21"/>
          <w:highlight w:val="none"/>
        </w:rPr>
        <w:t>。如依法不需要缴纳社会保险费的，应提供相应文件证明其依法不需要缴纳社会保险费</w:t>
      </w:r>
      <w:r>
        <w:rPr>
          <w:rFonts w:hint="eastAsia" w:ascii="宋体" w:hAnsi="宋体" w:eastAsia="宋体" w:cs="宋体"/>
          <w:b/>
          <w:bCs w:val="0"/>
          <w:color w:val="auto"/>
          <w:kern w:val="0"/>
          <w:sz w:val="21"/>
          <w:szCs w:val="21"/>
          <w:highlight w:val="none"/>
          <w:lang w:eastAsia="zh-CN"/>
        </w:rPr>
        <w:t>。</w:t>
      </w:r>
    </w:p>
    <w:p w14:paraId="502F8DD2">
      <w:pPr>
        <w:spacing w:line="360" w:lineRule="auto"/>
        <w:ind w:firstLine="422" w:firstLineChars="200"/>
        <w:rPr>
          <w:rFonts w:hint="eastAsia" w:ascii="宋体" w:hAnsi="宋体" w:eastAsia="宋体" w:cs="宋体"/>
          <w:b/>
          <w:bCs w:val="0"/>
          <w:kern w:val="0"/>
          <w:sz w:val="21"/>
          <w:szCs w:val="21"/>
          <w:highlight w:val="none"/>
          <w:lang w:val="en-US" w:eastAsia="zh-CN"/>
        </w:rPr>
      </w:pPr>
      <w:r>
        <w:rPr>
          <w:rFonts w:hint="eastAsia" w:ascii="宋体" w:hAnsi="宋体" w:eastAsia="宋体" w:cs="宋体"/>
          <w:b/>
          <w:bCs w:val="0"/>
          <w:kern w:val="0"/>
          <w:sz w:val="21"/>
          <w:szCs w:val="21"/>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2E63DD1E">
      <w:pPr>
        <w:spacing w:line="360" w:lineRule="auto"/>
        <w:ind w:firstLine="422" w:firstLineChars="200"/>
        <w:rPr>
          <w:rFonts w:hint="eastAsia" w:ascii="宋体" w:hAnsi="宋体" w:eastAsia="宋体" w:cs="宋体"/>
          <w:b/>
          <w:bCs w:val="0"/>
          <w:color w:val="auto"/>
          <w:kern w:val="0"/>
          <w:sz w:val="21"/>
          <w:szCs w:val="21"/>
          <w:highlight w:val="none"/>
          <w:lang w:eastAsia="zh-CN"/>
        </w:rPr>
      </w:pPr>
    </w:p>
    <w:p w14:paraId="08A4F398">
      <w:pPr>
        <w:spacing w:line="360" w:lineRule="auto"/>
        <w:jc w:val="center"/>
        <w:rPr>
          <w:rFonts w:hint="eastAsia" w:ascii="宋体" w:hAnsi="宋体" w:eastAsia="宋体" w:cs="宋体"/>
          <w:bCs/>
          <w:color w:val="auto"/>
          <w:sz w:val="21"/>
          <w:szCs w:val="21"/>
        </w:rPr>
      </w:pPr>
    </w:p>
    <w:p w14:paraId="08E7BD5D">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ascii="宋体" w:hAnsi="宋体" w:eastAsia="宋体" w:cs="宋体"/>
          <w:b/>
          <w:bCs w:val="0"/>
          <w:kern w:val="0"/>
          <w:sz w:val="21"/>
          <w:szCs w:val="21"/>
          <w:highlight w:val="none"/>
          <w:lang w:val="en-US" w:eastAsia="zh-CN"/>
        </w:rPr>
        <w:t>（说明：法定代表人、投标授权代表人社保证明文件仅做为核查供应商是否存在《深圳经济特区政府采购条例实施细则》第七十五条规定的“不同投标供应商的法定代表人、主要经营负责人、项目投标授权代表人、项目负责人、主要技术人员为同一人、属同一单位或者在同一单位缴纳社会保险”的情形，该证明文件不做为废标条款。投标供应商应知悉《深圳经济特区政府采购条例实施细则》第七十五条的规定，如供应商未提供法定代表人、投标授权代表人社保证明文件，且出现“法定代表人、投标授权代表人在同一单位或者在同一单位缴纳社会保险”情形的，投标供应商应承担相应的法律责任。）</w:t>
      </w:r>
      <w:r>
        <w:br w:type="page"/>
      </w:r>
    </w:p>
    <w:p w14:paraId="7B3B6895">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76" w:name="_Toc10390"/>
      <w:bookmarkStart w:id="77" w:name="_Toc29263"/>
      <w:bookmarkStart w:id="78" w:name="_Toc24233"/>
      <w:r>
        <w:rPr>
          <w:rFonts w:hint="eastAsia" w:cs="宋体" w:asciiTheme="majorEastAsia" w:hAnsiTheme="majorEastAsia" w:eastAsiaTheme="majorEastAsia"/>
          <w:kern w:val="2"/>
          <w:sz w:val="30"/>
          <w:szCs w:val="30"/>
          <w:lang w:val="en-US" w:eastAsia="zh-CN" w:bidi="ar-SA"/>
        </w:rPr>
        <w:t>（十六）</w:t>
      </w:r>
      <w:r>
        <w:rPr>
          <w:rFonts w:hint="eastAsia" w:asciiTheme="majorEastAsia" w:hAnsiTheme="majorEastAsia" w:eastAsiaTheme="majorEastAsia"/>
          <w:sz w:val="30"/>
          <w:szCs w:val="30"/>
        </w:rPr>
        <w:t>法定代表人证明书</w:t>
      </w:r>
      <w:bookmarkEnd w:id="75"/>
      <w:bookmarkEnd w:id="76"/>
      <w:bookmarkEnd w:id="77"/>
      <w:bookmarkEnd w:id="78"/>
    </w:p>
    <w:p w14:paraId="4A383F38">
      <w:pPr>
        <w:tabs>
          <w:tab w:val="left" w:pos="900"/>
        </w:tabs>
        <w:spacing w:line="480" w:lineRule="auto"/>
        <w:ind w:firstLine="945" w:firstLineChars="450"/>
        <w:rPr>
          <w:rFonts w:ascii="宋体" w:hAnsi="宋体"/>
        </w:rPr>
      </w:pPr>
      <w:r>
        <w:rPr>
          <w:rFonts w:hint="eastAsia" w:ascii="宋体" w:hAnsi="宋体"/>
        </w:rPr>
        <w:t>______________同志，现任我单位</w:t>
      </w:r>
      <w:r>
        <w:rPr>
          <w:rFonts w:hint="eastAsia" w:ascii="宋体" w:hAnsi="宋体"/>
          <w:u w:val="single"/>
        </w:rPr>
        <w:t xml:space="preserve">       </w:t>
      </w:r>
      <w:r>
        <w:rPr>
          <w:rFonts w:hint="eastAsia" w:ascii="宋体" w:hAnsi="宋体"/>
        </w:rPr>
        <w:t>职务，为法定代表人，特此证明。</w:t>
      </w:r>
    </w:p>
    <w:p w14:paraId="1F483407">
      <w:pPr>
        <w:spacing w:line="360" w:lineRule="auto"/>
        <w:ind w:firstLine="420" w:firstLineChars="200"/>
        <w:rPr>
          <w:rFonts w:ascii="宋体" w:hAnsi="宋体"/>
        </w:rPr>
      </w:pPr>
      <w:r>
        <w:rPr>
          <w:rFonts w:hint="eastAsia" w:ascii="宋体"/>
        </w:rPr>
        <w:t>本证明书自签发之日起生效，</w:t>
      </w:r>
      <w:r>
        <w:rPr>
          <w:rFonts w:hint="eastAsia" w:ascii="宋体" w:hAnsi="宋体"/>
        </w:rPr>
        <w:t>有效期与本公司投标文件中标注的投标有效期相同。</w:t>
      </w:r>
    </w:p>
    <w:p w14:paraId="0B227F57">
      <w:pPr>
        <w:spacing w:line="480" w:lineRule="auto"/>
        <w:ind w:firstLine="420" w:firstLineChars="200"/>
        <w:rPr>
          <w:rFonts w:ascii="宋体" w:hAnsi="宋体"/>
        </w:rPr>
      </w:pPr>
      <w:r>
        <w:rPr>
          <w:rFonts w:hint="eastAsia" w:ascii="宋体" w:hAnsi="宋体"/>
        </w:rPr>
        <w:t>附：</w:t>
      </w:r>
    </w:p>
    <w:p w14:paraId="42F5B5B6">
      <w:pPr>
        <w:spacing w:line="480" w:lineRule="auto"/>
        <w:ind w:firstLine="840" w:firstLineChars="400"/>
        <w:rPr>
          <w:rFonts w:ascii="宋体" w:hAnsi="宋体"/>
        </w:rPr>
      </w:pPr>
      <w:r>
        <w:rPr>
          <w:rFonts w:hint="eastAsia" w:ascii="宋体" w:hAnsi="宋体"/>
        </w:rPr>
        <w:t>经济性质：</w:t>
      </w:r>
    </w:p>
    <w:p w14:paraId="43BB9386">
      <w:pPr>
        <w:spacing w:line="480" w:lineRule="auto"/>
        <w:ind w:firstLine="840" w:firstLineChars="400"/>
        <w:rPr>
          <w:rFonts w:ascii="宋体" w:hAnsi="宋体"/>
        </w:rPr>
      </w:pPr>
      <w:r>
        <w:rPr>
          <w:rFonts w:hint="eastAsia" w:ascii="宋体" w:hAnsi="宋体"/>
        </w:rPr>
        <w:t>主营（产）：</w:t>
      </w:r>
    </w:p>
    <w:p w14:paraId="35263D64">
      <w:pPr>
        <w:spacing w:line="480" w:lineRule="auto"/>
        <w:ind w:firstLine="840" w:firstLineChars="400"/>
        <w:rPr>
          <w:rFonts w:ascii="宋体" w:hAnsi="宋体"/>
        </w:rPr>
      </w:pPr>
      <w:r>
        <w:rPr>
          <w:rFonts w:hint="eastAsia" w:ascii="宋体" w:hAnsi="宋体"/>
        </w:rPr>
        <w:t>兼营（产）：</w:t>
      </w:r>
    </w:p>
    <w:p w14:paraId="4953BF97">
      <w:pPr>
        <w:spacing w:line="500" w:lineRule="exact"/>
        <w:rPr>
          <w:rFonts w:ascii="宋体"/>
          <w:b/>
          <w:bCs/>
        </w:rPr>
      </w:pPr>
    </w:p>
    <w:p w14:paraId="60988389">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p>
    <w:p w14:paraId="30EA6209">
      <w:pPr>
        <w:spacing w:line="360" w:lineRule="auto"/>
        <w:rPr>
          <w:rFonts w:ascii="宋体" w:hAnsi="宋体"/>
          <w:b/>
          <w:bCs/>
          <w:sz w:val="24"/>
        </w:rPr>
      </w:pPr>
      <w:r>
        <w:rPr>
          <w:rFonts w:hint="eastAsia" w:ascii="宋体" w:hAnsi="宋体"/>
          <w:b/>
          <w:bCs/>
          <w:sz w:val="24"/>
        </w:rPr>
        <w:t>签发日期：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7E6D32CB">
      <w:pPr>
        <w:spacing w:line="360" w:lineRule="auto"/>
        <w:outlineLvl w:val="9"/>
        <w:rPr>
          <w:sz w:val="24"/>
        </w:rPr>
      </w:pPr>
      <w:r>
        <w:rPr>
          <w:rFonts w:hint="eastAsia"/>
          <w:b/>
          <w:sz w:val="24"/>
        </w:rPr>
        <w:t>（此处加盖投标人单位公章）</w:t>
      </w:r>
    </w:p>
    <w:p w14:paraId="465D750C">
      <w:pPr>
        <w:spacing w:line="500" w:lineRule="exact"/>
        <w:rPr>
          <w:rFonts w:ascii="宋体" w:hAnsi="宋体"/>
        </w:rPr>
      </w:pPr>
    </w:p>
    <w:p w14:paraId="7AB77908">
      <w:pPr>
        <w:spacing w:line="360" w:lineRule="auto"/>
        <w:rPr>
          <w:b/>
          <w:sz w:val="24"/>
        </w:rPr>
      </w:pPr>
      <w:r>
        <w:rPr>
          <w:rFonts w:hint="eastAsia"/>
          <w:b/>
          <w:sz w:val="24"/>
        </w:rPr>
        <w:t>提供法定代表人居民身份证（正反面）复印件：</w:t>
      </w:r>
    </w:p>
    <w:p w14:paraId="1D682404">
      <w:pPr>
        <w:spacing w:line="500" w:lineRule="exact"/>
        <w:rPr>
          <w:rFonts w:hint="eastAsia" w:ascii="宋体" w:hAnsi="宋体"/>
        </w:rPr>
      </w:pPr>
    </w:p>
    <w:p w14:paraId="208C415E">
      <w:pPr>
        <w:spacing w:line="500" w:lineRule="exact"/>
        <w:rPr>
          <w:rFonts w:hint="eastAsia" w:ascii="宋体" w:hAnsi="宋体"/>
        </w:rPr>
      </w:pPr>
    </w:p>
    <w:p w14:paraId="7B4511A0">
      <w:pPr>
        <w:spacing w:line="500" w:lineRule="exact"/>
        <w:rPr>
          <w:rFonts w:hint="eastAsia" w:ascii="宋体" w:hAnsi="宋体"/>
        </w:rPr>
      </w:pPr>
    </w:p>
    <w:p w14:paraId="16B17A75">
      <w:pPr>
        <w:spacing w:line="500" w:lineRule="exact"/>
        <w:rPr>
          <w:rFonts w:hint="eastAsia" w:ascii="宋体" w:hAnsi="宋体"/>
        </w:rPr>
      </w:pPr>
    </w:p>
    <w:p w14:paraId="39439C03">
      <w:pPr>
        <w:spacing w:line="500" w:lineRule="exact"/>
        <w:rPr>
          <w:rFonts w:hint="eastAsia" w:ascii="宋体" w:hAnsi="宋体"/>
        </w:rPr>
      </w:pPr>
    </w:p>
    <w:p w14:paraId="2911D273">
      <w:pPr>
        <w:spacing w:line="500" w:lineRule="exac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备注：如参加开标时需另外单独提供法定代表人证明书或者法人代表授权委托书。</w:t>
      </w:r>
    </w:p>
    <w:p w14:paraId="7F986E39">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br w:type="page"/>
      </w:r>
    </w:p>
    <w:p w14:paraId="249326D2">
      <w:pPr>
        <w:pStyle w:val="3"/>
        <w:numPr>
          <w:ilvl w:val="0"/>
          <w:numId w:val="0"/>
        </w:numPr>
        <w:spacing w:line="240" w:lineRule="auto"/>
        <w:ind w:left="420" w:leftChars="0" w:hanging="420" w:firstLineChars="0"/>
        <w:jc w:val="center"/>
        <w:outlineLvl w:val="0"/>
        <w:rPr>
          <w:rFonts w:ascii="宋体" w:hAnsi="宋体" w:eastAsia="宋体"/>
          <w:sz w:val="30"/>
          <w:szCs w:val="30"/>
        </w:rPr>
      </w:pPr>
      <w:bookmarkStart w:id="79" w:name="_Toc24644"/>
      <w:bookmarkStart w:id="80" w:name="_Toc23830"/>
      <w:bookmarkStart w:id="81" w:name="_Toc30412"/>
      <w:r>
        <w:rPr>
          <w:rFonts w:hint="eastAsia" w:ascii="宋体" w:hAnsi="宋体" w:eastAsia="宋体" w:cs="宋体"/>
          <w:kern w:val="2"/>
          <w:sz w:val="30"/>
          <w:szCs w:val="30"/>
          <w:lang w:val="en-US" w:eastAsia="zh-CN" w:bidi="ar-SA"/>
        </w:rPr>
        <w:t>（十七）</w:t>
      </w:r>
      <w:r>
        <w:rPr>
          <w:rFonts w:hint="eastAsia" w:ascii="宋体" w:hAnsi="宋体" w:eastAsia="宋体"/>
          <w:color w:val="auto"/>
          <w:sz w:val="30"/>
          <w:szCs w:val="30"/>
        </w:rPr>
        <w:t>提供</w:t>
      </w:r>
      <w:r>
        <w:rPr>
          <w:rFonts w:hint="eastAsia" w:asciiTheme="majorEastAsia" w:hAnsiTheme="majorEastAsia" w:eastAsiaTheme="majorEastAsia"/>
          <w:color w:val="auto"/>
          <w:sz w:val="30"/>
          <w:szCs w:val="30"/>
        </w:rPr>
        <w:t>法定代表人</w:t>
      </w:r>
      <w:r>
        <w:rPr>
          <w:rFonts w:hint="eastAsia" w:ascii="宋体" w:hAnsi="宋体" w:eastAsia="宋体"/>
          <w:color w:val="auto"/>
          <w:sz w:val="30"/>
          <w:szCs w:val="30"/>
          <w:lang w:val="en-US" w:eastAsia="zh-CN"/>
        </w:rPr>
        <w:t>近一个月</w:t>
      </w:r>
      <w:r>
        <w:rPr>
          <w:rFonts w:hint="eastAsia" w:ascii="宋体" w:hAnsi="宋体" w:eastAsia="宋体"/>
          <w:color w:val="auto"/>
          <w:sz w:val="30"/>
          <w:szCs w:val="30"/>
        </w:rPr>
        <w:t>的社会保险</w:t>
      </w:r>
      <w:r>
        <w:rPr>
          <w:rFonts w:hint="eastAsia" w:ascii="宋体" w:hAnsi="宋体" w:eastAsia="宋体"/>
          <w:sz w:val="30"/>
          <w:szCs w:val="30"/>
        </w:rPr>
        <w:t>证明</w:t>
      </w:r>
      <w:bookmarkEnd w:id="79"/>
      <w:bookmarkEnd w:id="80"/>
      <w:bookmarkEnd w:id="81"/>
    </w:p>
    <w:p w14:paraId="16E0E90C">
      <w:pPr>
        <w:rPr>
          <w:rFonts w:hint="eastAsia" w:ascii="宋体" w:hAnsi="宋体"/>
        </w:rPr>
      </w:pPr>
      <w:r>
        <w:rPr>
          <w:rFonts w:hint="eastAsia" w:ascii="宋体" w:hAnsi="宋体"/>
        </w:rPr>
        <w:t>注：如新成立公司或退休人员无法提供社保证明的，应提供说明函（格式自拟），说明相关情况。若因为社保部门原因无法提供的，需提供劳动合同及社保部门官方通知证明(或官网公告截图)。</w:t>
      </w:r>
    </w:p>
    <w:p w14:paraId="6CF6A4A8">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4E6988C2">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br w:type="page"/>
      </w:r>
    </w:p>
    <w:p w14:paraId="6C6A5DD0">
      <w:pPr>
        <w:pStyle w:val="3"/>
        <w:numPr>
          <w:ilvl w:val="0"/>
          <w:numId w:val="0"/>
        </w:numPr>
        <w:spacing w:line="240" w:lineRule="auto"/>
        <w:ind w:left="420" w:leftChars="0" w:hanging="420" w:firstLineChars="0"/>
        <w:jc w:val="center"/>
        <w:outlineLvl w:val="0"/>
        <w:rPr>
          <w:rFonts w:ascii="宋体" w:hAnsi="宋体" w:eastAsia="宋体"/>
          <w:color w:val="auto"/>
          <w:sz w:val="30"/>
          <w:szCs w:val="30"/>
        </w:rPr>
      </w:pPr>
      <w:bookmarkStart w:id="82" w:name="_Toc2305"/>
      <w:bookmarkStart w:id="83" w:name="_Toc11352"/>
      <w:bookmarkStart w:id="84" w:name="_Toc11926"/>
      <w:bookmarkStart w:id="85" w:name="_Toc777"/>
      <w:bookmarkStart w:id="86" w:name="_Toc1903"/>
      <w:bookmarkStart w:id="87" w:name="_Toc25910"/>
      <w:bookmarkStart w:id="88" w:name="_Toc7126"/>
      <w:bookmarkStart w:id="89" w:name="_Toc15871"/>
      <w:r>
        <w:rPr>
          <w:rFonts w:hint="eastAsia" w:ascii="宋体" w:hAnsi="宋体" w:eastAsia="宋体" w:cs="宋体"/>
          <w:color w:val="auto"/>
          <w:kern w:val="2"/>
          <w:sz w:val="30"/>
          <w:szCs w:val="30"/>
          <w:lang w:val="en-US" w:eastAsia="zh-CN" w:bidi="ar-SA"/>
        </w:rPr>
        <w:t>（十八）</w:t>
      </w:r>
      <w:r>
        <w:rPr>
          <w:rFonts w:hint="eastAsia" w:ascii="宋体" w:hAnsi="宋体" w:eastAsia="宋体"/>
          <w:sz w:val="30"/>
          <w:szCs w:val="30"/>
        </w:rPr>
        <w:t>提供主要经营负责人</w:t>
      </w:r>
      <w:r>
        <w:rPr>
          <w:rFonts w:hint="eastAsia" w:ascii="宋体" w:hAnsi="宋体" w:eastAsia="宋体"/>
          <w:color w:val="auto"/>
          <w:sz w:val="30"/>
          <w:szCs w:val="30"/>
        </w:rPr>
        <w:t>、项目负责人、主要技术人员</w:t>
      </w:r>
      <w:r>
        <w:rPr>
          <w:rFonts w:hint="eastAsia" w:ascii="宋体" w:hAnsi="宋体" w:eastAsia="宋体"/>
          <w:color w:val="auto"/>
          <w:sz w:val="30"/>
          <w:szCs w:val="30"/>
          <w:lang w:val="en-US" w:eastAsia="zh-CN"/>
        </w:rPr>
        <w:t>近一个月</w:t>
      </w:r>
      <w:r>
        <w:rPr>
          <w:rFonts w:hint="eastAsia" w:ascii="宋体" w:hAnsi="宋体" w:eastAsia="宋体"/>
          <w:color w:val="auto"/>
          <w:sz w:val="30"/>
          <w:szCs w:val="30"/>
        </w:rPr>
        <w:t>的社会保险证明</w:t>
      </w:r>
      <w:bookmarkEnd w:id="82"/>
      <w:bookmarkEnd w:id="83"/>
      <w:bookmarkEnd w:id="84"/>
      <w:bookmarkEnd w:id="85"/>
      <w:bookmarkEnd w:id="86"/>
      <w:bookmarkEnd w:id="87"/>
      <w:bookmarkEnd w:id="88"/>
      <w:bookmarkEnd w:id="89"/>
    </w:p>
    <w:p w14:paraId="08F7380F">
      <w:pPr>
        <w:spacing w:line="500" w:lineRule="exact"/>
        <w:rPr>
          <w:rFonts w:ascii="宋体" w:hAnsi="宋体"/>
          <w:color w:val="auto"/>
        </w:rPr>
      </w:pPr>
    </w:p>
    <w:p w14:paraId="46EA680B">
      <w:pPr>
        <w:rPr>
          <w:rFonts w:ascii="宋体" w:hAnsi="宋体"/>
          <w:b/>
          <w:bCs/>
          <w:color w:val="auto"/>
          <w:sz w:val="24"/>
        </w:rPr>
      </w:pPr>
      <w:r>
        <w:rPr>
          <w:rFonts w:hint="eastAsia" w:ascii="宋体" w:hAnsi="宋体"/>
          <w:b/>
          <w:bCs/>
          <w:color w:val="auto"/>
          <w:sz w:val="24"/>
        </w:rPr>
        <w:t>提供</w:t>
      </w:r>
      <w:r>
        <w:rPr>
          <w:rFonts w:hint="eastAsia"/>
          <w:b/>
          <w:color w:val="auto"/>
          <w:sz w:val="24"/>
        </w:rPr>
        <w:t>主要经营负责</w:t>
      </w:r>
      <w:r>
        <w:rPr>
          <w:rFonts w:hint="eastAsia" w:ascii="宋体" w:hAnsi="宋体"/>
          <w:b/>
          <w:bCs/>
          <w:color w:val="auto"/>
          <w:sz w:val="24"/>
        </w:rPr>
        <w:t>人近一个月的社保证明：</w:t>
      </w:r>
    </w:p>
    <w:p w14:paraId="6675E697">
      <w:pPr>
        <w:rPr>
          <w:rFonts w:ascii="宋体" w:hAnsi="宋体"/>
          <w:b/>
          <w:bCs/>
          <w:color w:val="auto"/>
          <w:sz w:val="24"/>
        </w:rPr>
      </w:pPr>
    </w:p>
    <w:p w14:paraId="4A27208D">
      <w:pPr>
        <w:rPr>
          <w:rFonts w:hint="default" w:ascii="宋体" w:hAnsi="宋体" w:eastAsiaTheme="minorEastAsia"/>
          <w:b/>
          <w:bCs/>
          <w:color w:val="auto"/>
          <w:sz w:val="24"/>
          <w:lang w:val="en-US" w:eastAsia="zh-CN"/>
        </w:rPr>
      </w:pPr>
    </w:p>
    <w:p w14:paraId="3D26AD5A">
      <w:pPr>
        <w:rPr>
          <w:rFonts w:hint="default" w:ascii="宋体" w:hAnsi="宋体" w:eastAsiaTheme="minorEastAsia"/>
          <w:b/>
          <w:bCs/>
          <w:color w:val="auto"/>
          <w:sz w:val="24"/>
          <w:lang w:val="en-US" w:eastAsia="zh-CN"/>
        </w:rPr>
      </w:pPr>
    </w:p>
    <w:p w14:paraId="68D36F64">
      <w:pPr>
        <w:rPr>
          <w:rFonts w:hint="default" w:ascii="宋体" w:hAnsi="宋体" w:eastAsiaTheme="minorEastAsia"/>
          <w:b/>
          <w:bCs/>
          <w:color w:val="auto"/>
          <w:sz w:val="24"/>
          <w:lang w:val="en-US" w:eastAsia="zh-CN"/>
        </w:rPr>
      </w:pPr>
    </w:p>
    <w:p w14:paraId="1C61B072">
      <w:pPr>
        <w:rPr>
          <w:rFonts w:hint="default" w:ascii="宋体" w:hAnsi="宋体" w:eastAsiaTheme="minorEastAsia"/>
          <w:b/>
          <w:bCs/>
          <w:color w:val="auto"/>
          <w:sz w:val="24"/>
          <w:lang w:val="en-US" w:eastAsia="zh-CN"/>
        </w:rPr>
      </w:pPr>
    </w:p>
    <w:p w14:paraId="7DED4F92">
      <w:pPr>
        <w:rPr>
          <w:rFonts w:hint="default" w:ascii="宋体" w:hAnsi="宋体" w:eastAsiaTheme="minorEastAsia"/>
          <w:b/>
          <w:bCs/>
          <w:color w:val="auto"/>
          <w:sz w:val="24"/>
          <w:lang w:val="en-US" w:eastAsia="zh-CN"/>
        </w:rPr>
      </w:pPr>
    </w:p>
    <w:p w14:paraId="2D944E21">
      <w:pPr>
        <w:rPr>
          <w:rFonts w:ascii="宋体" w:hAnsi="宋体"/>
          <w:b/>
          <w:bCs/>
          <w:color w:val="auto"/>
          <w:sz w:val="24"/>
        </w:rPr>
      </w:pPr>
    </w:p>
    <w:p w14:paraId="262F899B">
      <w:pPr>
        <w:rPr>
          <w:rFonts w:ascii="宋体" w:hAnsi="宋体"/>
          <w:b/>
          <w:bCs/>
          <w:color w:val="auto"/>
          <w:sz w:val="24"/>
        </w:rPr>
      </w:pPr>
      <w:r>
        <w:rPr>
          <w:rFonts w:hint="eastAsia" w:ascii="宋体" w:hAnsi="宋体"/>
          <w:b/>
          <w:bCs/>
          <w:color w:val="auto"/>
          <w:sz w:val="24"/>
        </w:rPr>
        <w:t>提供项目负责人近一个月的社保证明（如有）：</w:t>
      </w:r>
    </w:p>
    <w:p w14:paraId="70313BD8">
      <w:pPr>
        <w:spacing w:line="500" w:lineRule="exact"/>
        <w:rPr>
          <w:rFonts w:ascii="宋体" w:hAnsi="宋体"/>
          <w:color w:val="auto"/>
        </w:rPr>
      </w:pPr>
    </w:p>
    <w:p w14:paraId="3C259EF8">
      <w:pPr>
        <w:spacing w:line="500" w:lineRule="exact"/>
        <w:rPr>
          <w:rFonts w:ascii="宋体" w:hAnsi="宋体"/>
          <w:color w:val="auto"/>
        </w:rPr>
      </w:pPr>
    </w:p>
    <w:p w14:paraId="1F074AE8">
      <w:pPr>
        <w:spacing w:line="500" w:lineRule="exact"/>
        <w:rPr>
          <w:rFonts w:ascii="宋体" w:hAnsi="宋体"/>
          <w:color w:val="auto"/>
        </w:rPr>
      </w:pPr>
    </w:p>
    <w:p w14:paraId="125868D8">
      <w:pPr>
        <w:spacing w:line="500" w:lineRule="exact"/>
        <w:rPr>
          <w:rFonts w:ascii="宋体" w:hAnsi="宋体"/>
          <w:color w:val="auto"/>
        </w:rPr>
      </w:pPr>
    </w:p>
    <w:p w14:paraId="01262934">
      <w:pPr>
        <w:spacing w:line="500" w:lineRule="exact"/>
        <w:rPr>
          <w:rFonts w:ascii="宋体" w:hAnsi="宋体"/>
          <w:color w:val="auto"/>
        </w:rPr>
      </w:pPr>
    </w:p>
    <w:p w14:paraId="5794AF27">
      <w:pPr>
        <w:rPr>
          <w:color w:val="auto"/>
        </w:rPr>
      </w:pPr>
      <w:r>
        <w:rPr>
          <w:rFonts w:hint="eastAsia" w:ascii="宋体" w:hAnsi="宋体"/>
          <w:b/>
          <w:bCs/>
          <w:color w:val="auto"/>
          <w:sz w:val="24"/>
        </w:rPr>
        <w:t>提供主要技术人员近一个月的社保证明（如有）：</w:t>
      </w:r>
    </w:p>
    <w:p w14:paraId="4A18806C">
      <w:pPr>
        <w:spacing w:line="500" w:lineRule="exact"/>
        <w:rPr>
          <w:rFonts w:ascii="宋体" w:hAnsi="宋体"/>
        </w:rPr>
      </w:pPr>
    </w:p>
    <w:p w14:paraId="5A093BAC">
      <w:pPr>
        <w:spacing w:line="500" w:lineRule="exact"/>
        <w:rPr>
          <w:rFonts w:ascii="宋体" w:hAnsi="宋体"/>
        </w:rPr>
      </w:pPr>
    </w:p>
    <w:p w14:paraId="325C72B5">
      <w:pPr>
        <w:spacing w:line="500" w:lineRule="exact"/>
        <w:rPr>
          <w:rFonts w:ascii="宋体" w:hAnsi="宋体"/>
        </w:rPr>
      </w:pPr>
    </w:p>
    <w:p w14:paraId="42F919D5">
      <w:pPr>
        <w:spacing w:line="500" w:lineRule="exact"/>
        <w:rPr>
          <w:rFonts w:ascii="宋体" w:hAnsi="宋体"/>
        </w:rPr>
      </w:pPr>
    </w:p>
    <w:p w14:paraId="1C60B558">
      <w:pPr>
        <w:pStyle w:val="6"/>
        <w:rPr>
          <w:rFonts w:hint="eastAsia" w:ascii="宋体" w:hAnsi="宋体"/>
        </w:rPr>
      </w:pPr>
      <w:r>
        <w:rPr>
          <w:rFonts w:hint="eastAsia" w:ascii="宋体" w:hAnsi="宋体"/>
        </w:rPr>
        <w:t>注：如新成立公司或退休人员无法提供社保证明的，应提供说明函（格式自拟），说明相关情况。若因为社保部门原因无法提供的，需提供劳动合同及社保部门官方通知证明(或官网公告截图)。如本项目未安排项目投标授权代表人、项目负责人、主要技术人员的，无需提供项目投标授权代表人、项目负责人、主要技术人员的社保。</w:t>
      </w:r>
    </w:p>
    <w:p w14:paraId="5E66CA1E">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0601E95E">
      <w:pPr>
        <w:spacing w:line="500" w:lineRule="exact"/>
        <w:rPr>
          <w:rFonts w:ascii="宋体" w:hAnsi="宋体"/>
        </w:rPr>
      </w:pPr>
    </w:p>
    <w:p w14:paraId="0B1E9164">
      <w:pPr>
        <w:rPr>
          <w:rFonts w:hint="eastAsia" w:asciiTheme="majorEastAsia" w:hAnsiTheme="majorEastAsia" w:eastAsiaTheme="majorEastAsia"/>
          <w:sz w:val="30"/>
          <w:szCs w:val="30"/>
        </w:rPr>
      </w:pPr>
      <w:r>
        <w:rPr>
          <w:rFonts w:hint="eastAsia" w:asciiTheme="majorEastAsia" w:hAnsiTheme="majorEastAsia" w:eastAsiaTheme="majorEastAsia"/>
          <w:sz w:val="30"/>
          <w:szCs w:val="30"/>
        </w:rPr>
        <w:br w:type="page"/>
      </w:r>
    </w:p>
    <w:p w14:paraId="16B3BBAB">
      <w:pPr>
        <w:pStyle w:val="3"/>
        <w:numPr>
          <w:ilvl w:val="0"/>
          <w:numId w:val="0"/>
        </w:numPr>
        <w:ind w:left="0" w:leftChars="0" w:firstLine="0" w:firstLineChars="0"/>
        <w:jc w:val="center"/>
        <w:outlineLvl w:val="0"/>
        <w:rPr>
          <w:rFonts w:ascii="宋体" w:hAnsi="宋体"/>
          <w:sz w:val="30"/>
          <w:szCs w:val="30"/>
        </w:rPr>
      </w:pPr>
      <w:bookmarkStart w:id="90" w:name="_Toc23208"/>
      <w:bookmarkStart w:id="91" w:name="_Toc11555"/>
      <w:r>
        <w:rPr>
          <w:rFonts w:hint="eastAsia" w:ascii="宋体" w:hAnsi="宋体" w:cs="宋体" w:eastAsiaTheme="minorEastAsia"/>
          <w:kern w:val="2"/>
          <w:sz w:val="30"/>
          <w:szCs w:val="30"/>
          <w:lang w:val="en-US" w:eastAsia="zh-CN" w:bidi="ar-SA"/>
        </w:rPr>
        <w:t>（</w:t>
      </w:r>
      <w:r>
        <w:rPr>
          <w:rFonts w:hint="eastAsia" w:ascii="宋体" w:hAnsi="宋体" w:cs="宋体"/>
          <w:kern w:val="2"/>
          <w:sz w:val="30"/>
          <w:szCs w:val="30"/>
          <w:lang w:val="en-US" w:eastAsia="zh-CN" w:bidi="ar-SA"/>
        </w:rPr>
        <w:t>十九</w:t>
      </w:r>
      <w:r>
        <w:rPr>
          <w:rFonts w:hint="eastAsia" w:ascii="宋体" w:hAnsi="宋体" w:cs="宋体" w:eastAsiaTheme="minorEastAsia"/>
          <w:kern w:val="2"/>
          <w:sz w:val="30"/>
          <w:szCs w:val="30"/>
          <w:lang w:val="en-US" w:eastAsia="zh-CN" w:bidi="ar-SA"/>
        </w:rPr>
        <w:t>）</w:t>
      </w:r>
      <w:r>
        <w:rPr>
          <w:rFonts w:hint="eastAsia" w:ascii="宋体" w:hAnsi="宋体"/>
          <w:sz w:val="30"/>
          <w:szCs w:val="30"/>
        </w:rPr>
        <w:t>履约承诺函</w:t>
      </w:r>
      <w:bookmarkEnd w:id="90"/>
      <w:bookmarkEnd w:id="91"/>
    </w:p>
    <w:p w14:paraId="06DFCD19">
      <w:pPr>
        <w:keepNext w:val="0"/>
        <w:keepLines w:val="0"/>
        <w:pageBreakBefore w:val="0"/>
        <w:widowControl w:val="0"/>
        <w:kinsoku/>
        <w:wordWrap/>
        <w:overflowPunct/>
        <w:topLinePunct w:val="0"/>
        <w:autoSpaceDE/>
        <w:autoSpaceDN/>
        <w:bidi w:val="0"/>
        <w:adjustRightInd w:val="0"/>
        <w:snapToGrid w:val="0"/>
        <w:spacing w:line="360" w:lineRule="auto"/>
        <w:ind w:left="422" w:hanging="422" w:hangingChars="200"/>
        <w:textAlignment w:val="auto"/>
        <w:rPr>
          <w:rFonts w:hint="eastAsia"/>
          <w:b/>
          <w:szCs w:val="21"/>
        </w:rPr>
      </w:pPr>
      <w:r>
        <w:rPr>
          <w:rFonts w:hint="eastAsia"/>
          <w:b/>
          <w:szCs w:val="21"/>
          <w:lang w:val="en-US" w:eastAsia="zh-CN"/>
        </w:rPr>
        <w:t>深圳市福田区第二人民医院</w:t>
      </w:r>
      <w:r>
        <w:rPr>
          <w:rFonts w:hint="eastAsia"/>
          <w:b/>
          <w:szCs w:val="21"/>
        </w:rPr>
        <w:t>：</w:t>
      </w:r>
    </w:p>
    <w:p w14:paraId="600BDB15">
      <w:pPr>
        <w:keepNext w:val="0"/>
        <w:keepLines w:val="0"/>
        <w:pageBreakBefore w:val="0"/>
        <w:widowControl w:val="0"/>
        <w:kinsoku/>
        <w:wordWrap/>
        <w:overflowPunct/>
        <w:topLinePunct w:val="0"/>
        <w:autoSpaceDE/>
        <w:autoSpaceDN/>
        <w:bidi w:val="0"/>
        <w:adjustRightInd w:val="0"/>
        <w:snapToGrid w:val="0"/>
        <w:spacing w:line="360" w:lineRule="auto"/>
        <w:ind w:left="422" w:hanging="420" w:hangingChars="200"/>
        <w:textAlignment w:val="auto"/>
        <w:rPr>
          <w:rFonts w:ascii="宋体" w:hAnsi="宋体"/>
          <w:szCs w:val="21"/>
        </w:rPr>
      </w:pPr>
      <w:r>
        <w:rPr>
          <w:rFonts w:hint="eastAsia" w:ascii="宋体" w:hAnsi="宋体"/>
          <w:szCs w:val="21"/>
        </w:rPr>
        <w:t>我公司承诺：</w:t>
      </w:r>
    </w:p>
    <w:p w14:paraId="044CCBB5">
      <w:pPr>
        <w:pStyle w:val="2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outlineLvl w:val="9"/>
        <w:rPr>
          <w:rFonts w:ascii="宋体" w:hAnsi="宋体"/>
          <w:szCs w:val="21"/>
        </w:rPr>
      </w:pPr>
      <w:r>
        <w:rPr>
          <w:rFonts w:hint="eastAsia" w:ascii="宋体" w:hAnsi="宋体"/>
          <w:szCs w:val="21"/>
          <w:lang w:val="en-US" w:eastAsia="zh-CN"/>
        </w:rPr>
        <w:t>1.</w:t>
      </w:r>
      <w:r>
        <w:rPr>
          <w:rFonts w:hint="eastAsia" w:ascii="宋体" w:hAnsi="宋体"/>
          <w:szCs w:val="21"/>
        </w:rPr>
        <w:t>我公司本</w:t>
      </w:r>
      <w:r>
        <w:rPr>
          <w:rFonts w:hint="eastAsia" w:ascii="宋体" w:hAnsi="宋体"/>
          <w:szCs w:val="21"/>
          <w:lang w:eastAsia="zh-CN"/>
        </w:rPr>
        <w:t>谈判</w:t>
      </w:r>
      <w:r>
        <w:rPr>
          <w:rFonts w:hint="eastAsia" w:ascii="宋体" w:hAnsi="宋体"/>
          <w:szCs w:val="21"/>
        </w:rPr>
        <w:t>项目所提供的货物或服务未侵犯知识产权。</w:t>
      </w:r>
    </w:p>
    <w:p w14:paraId="5EC7A22A">
      <w:pPr>
        <w:pStyle w:val="2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2.</w:t>
      </w:r>
      <w:r>
        <w:rPr>
          <w:rFonts w:hint="eastAsia" w:ascii="宋体" w:hAnsi="宋体"/>
          <w:szCs w:val="21"/>
        </w:rPr>
        <w:t>我公司参与本项目</w:t>
      </w:r>
      <w:r>
        <w:rPr>
          <w:rFonts w:hint="eastAsia"/>
          <w:szCs w:val="21"/>
        </w:rPr>
        <w:t>政府采购活动时不存在被有关部门禁止参与政府采购活动且在有效期内的情况。</w:t>
      </w:r>
    </w:p>
    <w:p w14:paraId="26098554">
      <w:pPr>
        <w:pStyle w:val="2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outlineLvl w:val="9"/>
        <w:rPr>
          <w:rFonts w:ascii="宋体" w:hAnsi="宋体" w:cs="宋体"/>
          <w:szCs w:val="21"/>
        </w:rPr>
      </w:pPr>
      <w:r>
        <w:rPr>
          <w:rFonts w:hint="eastAsia" w:ascii="宋体" w:hAnsi="宋体" w:cs="宋体"/>
          <w:kern w:val="0"/>
          <w:szCs w:val="21"/>
          <w:lang w:val="en-US" w:eastAsia="zh-CN"/>
        </w:rPr>
        <w:t>3.</w:t>
      </w:r>
      <w:r>
        <w:rPr>
          <w:rFonts w:hint="eastAsia" w:ascii="宋体" w:hAnsi="宋体" w:cs="宋体"/>
          <w:kern w:val="0"/>
          <w:szCs w:val="21"/>
        </w:rPr>
        <w:t>法律、行政法规规定的其他条件。</w:t>
      </w:r>
    </w:p>
    <w:p w14:paraId="2A0CE905">
      <w:pPr>
        <w:pStyle w:val="2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cs="宋体"/>
          <w:szCs w:val="21"/>
        </w:rPr>
      </w:pPr>
      <w:r>
        <w:rPr>
          <w:rFonts w:hint="eastAsia" w:ascii="宋体" w:hAnsi="宋体" w:cs="宋体"/>
          <w:szCs w:val="21"/>
          <w:lang w:val="en-US" w:eastAsia="zh-CN"/>
        </w:rPr>
        <w:t>4.</w:t>
      </w:r>
      <w:r>
        <w:rPr>
          <w:rFonts w:hint="eastAsia" w:ascii="宋体" w:hAnsi="宋体" w:cs="宋体"/>
          <w:szCs w:val="21"/>
        </w:rPr>
        <w:t>我公司具备《中华人民共和国政府采购法》第二十二条第一款规定的六项条件。</w:t>
      </w:r>
    </w:p>
    <w:p w14:paraId="19112A81">
      <w:pPr>
        <w:pStyle w:val="2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cs="宋体"/>
          <w:szCs w:val="21"/>
        </w:rPr>
      </w:pPr>
      <w:r>
        <w:rPr>
          <w:rFonts w:hint="eastAsia" w:ascii="宋体" w:hAnsi="宋体" w:cs="宋体"/>
          <w:szCs w:val="21"/>
          <w:lang w:val="en-US" w:eastAsia="zh-CN"/>
        </w:rPr>
        <w:t>5.</w:t>
      </w:r>
      <w:r>
        <w:rPr>
          <w:rFonts w:hint="eastAsia" w:ascii="宋体" w:hAnsi="宋体" w:cs="宋体"/>
          <w:szCs w:val="21"/>
        </w:rPr>
        <w:t>我公司未被列入失信被执行人、重大税收违法案件当事人名单、政府采购严重违法失信行为记录名单。</w:t>
      </w:r>
    </w:p>
    <w:p w14:paraId="489D07BA">
      <w:pPr>
        <w:pStyle w:val="2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cs="宋体"/>
          <w:szCs w:val="21"/>
        </w:rPr>
      </w:pPr>
      <w:r>
        <w:rPr>
          <w:rFonts w:hint="eastAsia" w:ascii="宋体" w:hAnsi="宋体" w:cs="宋体"/>
          <w:szCs w:val="21"/>
          <w:lang w:val="en-US" w:eastAsia="zh-CN"/>
        </w:rPr>
        <w:t>6.</w:t>
      </w:r>
      <w:r>
        <w:rPr>
          <w:rFonts w:hint="eastAsia" w:ascii="宋体" w:hAnsi="宋体" w:cs="宋体"/>
          <w:szCs w:val="21"/>
        </w:rPr>
        <w:t>我公司没有为采购项目同一合同项下提供整体设计、规范编制或者项目管理、监理、检测等服务。</w:t>
      </w:r>
    </w:p>
    <w:p w14:paraId="044E3019">
      <w:pPr>
        <w:pStyle w:val="2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7.</w:t>
      </w:r>
      <w:r>
        <w:rPr>
          <w:rFonts w:hint="eastAsia" w:ascii="宋体" w:hAnsi="宋体"/>
          <w:szCs w:val="21"/>
        </w:rPr>
        <w:t>我公司承诺如与本项目同一合同项下其他的单位负责人为同一人或者存在直接控股、管理关系的情形，同意按</w:t>
      </w:r>
      <w:r>
        <w:rPr>
          <w:rFonts w:hint="eastAsia" w:ascii="宋体" w:hAnsi="宋体"/>
          <w:szCs w:val="21"/>
          <w:lang w:val="en-US" w:eastAsia="zh-CN"/>
        </w:rPr>
        <w:t>投标</w:t>
      </w:r>
      <w:r>
        <w:rPr>
          <w:rFonts w:hint="eastAsia" w:ascii="宋体" w:hAnsi="宋体"/>
          <w:szCs w:val="21"/>
        </w:rPr>
        <w:t>无效处理。</w:t>
      </w:r>
    </w:p>
    <w:p w14:paraId="0E3BCCD7">
      <w:pPr>
        <w:pStyle w:val="2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8.</w:t>
      </w:r>
      <w:r>
        <w:rPr>
          <w:rFonts w:hint="eastAsia" w:ascii="宋体" w:hAnsi="宋体"/>
          <w:szCs w:val="21"/>
        </w:rPr>
        <w:t>我公司参与该项目</w:t>
      </w:r>
      <w:r>
        <w:rPr>
          <w:rFonts w:hint="eastAsia" w:ascii="宋体" w:hAnsi="宋体"/>
          <w:szCs w:val="21"/>
          <w:lang w:val="en-US" w:eastAsia="zh-CN"/>
        </w:rPr>
        <w:t>投标</w:t>
      </w:r>
      <w:r>
        <w:rPr>
          <w:rFonts w:hint="eastAsia" w:ascii="宋体" w:hAnsi="宋体"/>
          <w:szCs w:val="21"/>
        </w:rPr>
        <w:t>，严格遵循公平竞争的原则，不恶意串通，不妨碍其他议价的竞争行为，不损害贵院或者其他议价的合法权益。我公司已清楚，如违反上述要求，将作议价无效处理。</w:t>
      </w:r>
    </w:p>
    <w:p w14:paraId="7BD64138">
      <w:pPr>
        <w:pStyle w:val="2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9.</w:t>
      </w:r>
      <w:r>
        <w:rPr>
          <w:rFonts w:hint="eastAsia" w:ascii="宋体" w:hAnsi="宋体"/>
          <w:szCs w:val="21"/>
        </w:rPr>
        <w:t>我公司如果中标，做到守信，不偷工减料，依照本项目采购文件需求内容、签署的采购合同及本公司在议价中所作的一切承诺履约。</w:t>
      </w:r>
    </w:p>
    <w:p w14:paraId="1757DA05">
      <w:pPr>
        <w:pStyle w:val="2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10.</w:t>
      </w:r>
      <w:r>
        <w:rPr>
          <w:rFonts w:hint="eastAsia" w:ascii="宋体" w:hAnsi="宋体"/>
          <w:szCs w:val="21"/>
        </w:rPr>
        <w:t>我公司对本项目的报价负责，中标后将严格按照本项目需求、签署的采购合同及我公司在议价中所作的全部承诺履行。我公司清楚，若我公司以“报价太低而无法履约”为理由放弃本项目中标资格时，将接受主管部门的处理处罚。若我公司中标本项目，我公司的报价明显低于其他议价的报价时，我公司清楚，本项目将成为重点监管、重点验收项目，我公司将按时保质保量完成，并全力配合有关监管、验收工作；若我公司未按上述要求履约，我公司愿意接受主管部门的处理处罚。</w:t>
      </w:r>
    </w:p>
    <w:p w14:paraId="1829F7B5">
      <w:pPr>
        <w:pStyle w:val="2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11.</w:t>
      </w:r>
      <w:r>
        <w:rPr>
          <w:rFonts w:hint="eastAsia" w:ascii="宋体" w:hAnsi="宋体"/>
          <w:szCs w:val="21"/>
        </w:rPr>
        <w:t>我公司已认真核实了响应文件的全部内容，所有资料均为真实资料。我公司对响应文件中全部</w:t>
      </w:r>
      <w:r>
        <w:rPr>
          <w:rFonts w:hint="eastAsia" w:ascii="宋体" w:hAnsi="宋体"/>
          <w:szCs w:val="21"/>
          <w:lang w:val="en-US" w:eastAsia="zh-CN"/>
        </w:rPr>
        <w:t>投标</w:t>
      </w:r>
      <w:r>
        <w:rPr>
          <w:rFonts w:hint="eastAsia" w:ascii="宋体" w:hAnsi="宋体"/>
          <w:szCs w:val="21"/>
        </w:rPr>
        <w:t>资料的真实性负责，如被证实我公司的响应文件中存在虚假资料的，则视为我公司隐瞒真实情况、提供虚假资料，我公司愿意接受主管部门作出的行政处罚。</w:t>
      </w:r>
    </w:p>
    <w:p w14:paraId="4EE04E8F">
      <w:pPr>
        <w:pStyle w:val="2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outlineLvl w:val="9"/>
        <w:rPr>
          <w:rFonts w:ascii="宋体" w:hAnsi="宋体"/>
          <w:szCs w:val="21"/>
        </w:rPr>
      </w:pPr>
      <w:r>
        <w:rPr>
          <w:rFonts w:hint="eastAsia" w:ascii="宋体" w:hAnsi="宋体"/>
          <w:szCs w:val="21"/>
          <w:lang w:val="en-US" w:eastAsia="zh-CN"/>
        </w:rPr>
        <w:t>12.</w:t>
      </w:r>
      <w:r>
        <w:rPr>
          <w:rFonts w:hint="eastAsia" w:ascii="宋体" w:hAnsi="宋体"/>
          <w:szCs w:val="21"/>
        </w:rPr>
        <w:t>我公司承诺不非法转包、分包。</w:t>
      </w:r>
    </w:p>
    <w:p w14:paraId="20E1EEBB">
      <w:pPr>
        <w:keepNext w:val="0"/>
        <w:keepLines w:val="0"/>
        <w:pageBreakBefore w:val="0"/>
        <w:widowControl w:val="0"/>
        <w:kinsoku/>
        <w:wordWrap/>
        <w:overflowPunct/>
        <w:topLinePunct w:val="0"/>
        <w:autoSpaceDE/>
        <w:autoSpaceDN/>
        <w:bidi w:val="0"/>
        <w:adjustRightInd/>
        <w:snapToGrid w:val="0"/>
        <w:spacing w:line="360" w:lineRule="auto"/>
        <w:ind w:left="0" w:firstLine="0" w:firstLineChars="0"/>
        <w:textAlignment w:val="auto"/>
        <w:rPr>
          <w:szCs w:val="21"/>
        </w:rPr>
      </w:pPr>
      <w:r>
        <w:rPr>
          <w:rFonts w:hint="eastAsia" w:ascii="宋体" w:hAnsi="宋体"/>
          <w:szCs w:val="21"/>
        </w:rPr>
        <w:t>以上承诺，如有违反，愿依照国家相关法律处理，并承担由此给贵院带来的损失。</w:t>
      </w:r>
    </w:p>
    <w:p w14:paraId="5BB28807">
      <w:pPr>
        <w:spacing w:line="360" w:lineRule="auto"/>
        <w:ind w:firstLine="420"/>
        <w:jc w:val="center"/>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lang w:val="en-US" w:eastAsia="zh-CN"/>
          <w14:textFill>
            <w14:solidFill>
              <w14:schemeClr w14:val="tx1"/>
            </w14:solidFill>
          </w14:textFill>
        </w:rPr>
        <w:t xml:space="preserve">                             投标</w:t>
      </w:r>
      <w:r>
        <w:rPr>
          <w:rFonts w:hint="eastAsia" w:ascii="宋体" w:hAnsi="宋体" w:cs="宋体"/>
          <w:b/>
          <w:bCs/>
          <w:color w:val="000000" w:themeColor="text1"/>
          <w:sz w:val="24"/>
          <w14:textFill>
            <w14:solidFill>
              <w14:schemeClr w14:val="tx1"/>
            </w14:solidFill>
          </w14:textFill>
        </w:rPr>
        <w:t>单位名称：</w:t>
      </w:r>
      <w:r>
        <w:rPr>
          <w:rFonts w:hint="eastAsia" w:ascii="宋体" w:hAnsi="宋体" w:cs="宋体"/>
          <w:color w:val="000000" w:themeColor="text1"/>
          <w:sz w:val="24"/>
          <w14:textFill>
            <w14:solidFill>
              <w14:schemeClr w14:val="tx1"/>
            </w14:solidFill>
          </w14:textFill>
        </w:rPr>
        <w:t>　　　　　　　</w:t>
      </w:r>
    </w:p>
    <w:p w14:paraId="64C0F3BF">
      <w:pPr>
        <w:spacing w:line="360" w:lineRule="auto"/>
        <w:ind w:firstLine="420"/>
        <w:jc w:val="center"/>
        <w:rPr>
          <w:rFonts w:hint="eastAsia" w:ascii="宋体" w:hAnsi="宋体" w:cs="宋体"/>
          <w:b/>
          <w:bCs/>
          <w:sz w:val="24"/>
        </w:rPr>
      </w:pPr>
      <w:r>
        <w:rPr>
          <w:rFonts w:hint="eastAsia" w:ascii="宋体" w:hAnsi="宋体" w:cs="宋体"/>
          <w:b/>
          <w:bCs/>
          <w:color w:val="000000" w:themeColor="text1"/>
          <w:sz w:val="24"/>
          <w:lang w:val="en-US" w:eastAsia="zh-CN"/>
          <w14:textFill>
            <w14:solidFill>
              <w14:schemeClr w14:val="tx1"/>
            </w14:solidFill>
          </w14:textFill>
        </w:rPr>
        <w:t xml:space="preserve">                            </w:t>
      </w:r>
      <w:r>
        <w:rPr>
          <w:rFonts w:hint="eastAsia" w:ascii="宋体" w:hAnsi="宋体" w:cs="宋体"/>
          <w:b/>
          <w:bCs/>
          <w:color w:val="000000" w:themeColor="text1"/>
          <w:sz w:val="24"/>
          <w14:textFill>
            <w14:solidFill>
              <w14:schemeClr w14:val="tx1"/>
            </w14:solidFill>
          </w14:textFill>
        </w:rPr>
        <w:t>日期：</w:t>
      </w:r>
      <w:r>
        <w:rPr>
          <w:rFonts w:hint="eastAsia" w:ascii="宋体" w:hAnsi="宋体" w:cs="宋体"/>
          <w:b/>
          <w:bCs/>
          <w:color w:val="000000" w:themeColor="text1"/>
          <w:sz w:val="24"/>
          <w:lang w:val="en-US" w:eastAsia="zh-CN"/>
          <w14:textFill>
            <w14:solidFill>
              <w14:schemeClr w14:val="tx1"/>
            </w14:solidFill>
          </w14:textFill>
        </w:rPr>
        <w:t xml:space="preserve">  </w:t>
      </w:r>
      <w:r>
        <w:rPr>
          <w:rFonts w:hint="eastAsia" w:ascii="宋体" w:hAnsi="宋体" w:cs="宋体"/>
          <w:b/>
          <w:bCs/>
          <w:sz w:val="24"/>
        </w:rPr>
        <w:t>年</w:t>
      </w:r>
      <w:r>
        <w:rPr>
          <w:rFonts w:hint="eastAsia" w:ascii="宋体" w:hAnsi="宋体" w:cs="宋体"/>
          <w:b/>
          <w:bCs/>
          <w:sz w:val="24"/>
          <w:lang w:val="en-US" w:eastAsia="zh-CN"/>
        </w:rPr>
        <w:t xml:space="preserve">  </w:t>
      </w:r>
      <w:r>
        <w:rPr>
          <w:rFonts w:hint="eastAsia" w:ascii="宋体" w:hAnsi="宋体" w:cs="宋体"/>
          <w:b/>
          <w:bCs/>
          <w:sz w:val="24"/>
        </w:rPr>
        <w:t>月</w:t>
      </w:r>
      <w:r>
        <w:rPr>
          <w:rFonts w:hint="eastAsia" w:ascii="宋体" w:hAnsi="宋体" w:cs="宋体"/>
          <w:b/>
          <w:bCs/>
          <w:sz w:val="24"/>
          <w:lang w:val="en-US" w:eastAsia="zh-CN"/>
        </w:rPr>
        <w:t xml:space="preserve">  </w:t>
      </w:r>
      <w:r>
        <w:rPr>
          <w:rFonts w:hint="eastAsia" w:ascii="宋体" w:hAnsi="宋体" w:cs="宋体"/>
          <w:b/>
          <w:bCs/>
          <w:sz w:val="24"/>
        </w:rPr>
        <w:t>日</w:t>
      </w:r>
    </w:p>
    <w:p w14:paraId="22065317">
      <w:pPr>
        <w:spacing w:line="360" w:lineRule="auto"/>
        <w:ind w:firstLine="4578" w:firstLineChars="1900"/>
        <w:jc w:val="both"/>
        <w:outlineLvl w:val="9"/>
        <w:rPr>
          <w:rFonts w:hint="eastAsia" w:cs="宋体" w:asciiTheme="majorEastAsia" w:hAnsiTheme="majorEastAsia" w:eastAsiaTheme="majorEastAsia"/>
          <w:kern w:val="2"/>
          <w:sz w:val="30"/>
          <w:szCs w:val="30"/>
          <w:lang w:val="en-US" w:eastAsia="zh-CN" w:bidi="ar-SA"/>
        </w:rPr>
      </w:pPr>
      <w:r>
        <w:rPr>
          <w:rFonts w:hint="eastAsia" w:ascii="宋体" w:hAnsi="宋体" w:cs="宋体"/>
          <w:b/>
          <w:sz w:val="24"/>
        </w:rPr>
        <w:t>（此处加盖</w:t>
      </w:r>
      <w:r>
        <w:rPr>
          <w:rFonts w:hint="eastAsia" w:ascii="宋体" w:hAnsi="宋体" w:cs="宋体"/>
          <w:b/>
          <w:sz w:val="24"/>
          <w:lang w:val="en-US" w:eastAsia="zh-CN"/>
        </w:rPr>
        <w:t>投标</w:t>
      </w:r>
      <w:r>
        <w:rPr>
          <w:rFonts w:hint="eastAsia" w:ascii="宋体" w:hAnsi="宋体" w:cs="宋体"/>
          <w:b/>
          <w:sz w:val="24"/>
        </w:rPr>
        <w:t>单位公章）</w:t>
      </w:r>
    </w:p>
    <w:p w14:paraId="03C066D2">
      <w:pPr>
        <w:ind w:right="-517" w:rightChars="-246"/>
        <w:jc w:val="center"/>
        <w:outlineLvl w:val="0"/>
        <w:rPr>
          <w:rFonts w:ascii="宋体" w:hAnsi="宋体"/>
          <w:b/>
          <w:bCs/>
          <w:snapToGrid w:val="0"/>
          <w:kern w:val="0"/>
          <w:sz w:val="32"/>
          <w:szCs w:val="32"/>
        </w:rPr>
      </w:pPr>
      <w:bookmarkStart w:id="92" w:name="_Toc7852"/>
      <w:bookmarkStart w:id="93" w:name="_Toc12169"/>
      <w:r>
        <w:rPr>
          <w:rFonts w:hint="eastAsia" w:cs="宋体" w:asciiTheme="majorEastAsia" w:hAnsiTheme="majorEastAsia" w:eastAsiaTheme="majorEastAsia"/>
          <w:kern w:val="2"/>
          <w:sz w:val="30"/>
          <w:szCs w:val="30"/>
          <w:lang w:val="en-US" w:eastAsia="zh-CN" w:bidi="ar-SA"/>
        </w:rPr>
        <w:t>（二十）福田区第二人民医院医用耗材产品质量及货源保证书</w:t>
      </w:r>
      <w:bookmarkEnd w:id="92"/>
    </w:p>
    <w:p w14:paraId="24F2A31D">
      <w:pPr>
        <w:spacing w:line="440" w:lineRule="exact"/>
        <w:jc w:val="center"/>
        <w:rPr>
          <w:rFonts w:ascii="宋体" w:hAnsi="宋体"/>
          <w:snapToGrid w:val="0"/>
          <w:kern w:val="0"/>
          <w:sz w:val="24"/>
        </w:rPr>
      </w:pPr>
      <w:r>
        <w:rPr>
          <w:rFonts w:hint="eastAsia" w:ascii="宋体" w:hAnsi="宋体" w:cs="宋体"/>
          <w:snapToGrid w:val="0"/>
          <w:kern w:val="0"/>
          <w:sz w:val="24"/>
        </w:rPr>
        <w:t>（采购编号：此编号详见</w:t>
      </w:r>
      <w:r>
        <w:rPr>
          <w:rFonts w:hint="eastAsia" w:ascii="宋体" w:hAnsi="宋体" w:cs="宋体"/>
          <w:snapToGrid w:val="0"/>
          <w:kern w:val="0"/>
          <w:sz w:val="24"/>
          <w:lang w:eastAsia="zh-CN"/>
        </w:rPr>
        <w:t>谈判</w:t>
      </w:r>
      <w:r>
        <w:rPr>
          <w:rFonts w:hint="eastAsia" w:ascii="宋体" w:hAnsi="宋体" w:cs="宋体"/>
          <w:snapToGrid w:val="0"/>
          <w:kern w:val="0"/>
          <w:sz w:val="24"/>
        </w:rPr>
        <w:t>公告）</w:t>
      </w:r>
    </w:p>
    <w:p w14:paraId="488CF78A">
      <w:pPr>
        <w:adjustRightInd w:val="0"/>
        <w:snapToGrid w:val="0"/>
        <w:spacing w:line="360" w:lineRule="auto"/>
        <w:ind w:right="-61" w:rightChars="-29"/>
        <w:rPr>
          <w:rFonts w:hint="eastAsia" w:ascii="宋体" w:hAnsi="宋体"/>
          <w:bCs/>
          <w:sz w:val="24"/>
        </w:rPr>
      </w:pPr>
    </w:p>
    <w:p w14:paraId="0DCC0D28">
      <w:pPr>
        <w:adjustRightInd w:val="0"/>
        <w:snapToGrid w:val="0"/>
        <w:spacing w:line="360" w:lineRule="auto"/>
        <w:ind w:right="-61" w:rightChars="-29"/>
        <w:rPr>
          <w:rFonts w:ascii="宋体" w:hAnsi="宋体"/>
          <w:bCs/>
          <w:sz w:val="24"/>
        </w:rPr>
      </w:pPr>
      <w:r>
        <w:rPr>
          <w:rFonts w:hint="eastAsia" w:ascii="宋体" w:hAnsi="宋体"/>
          <w:bCs/>
          <w:sz w:val="24"/>
        </w:rPr>
        <w:t>致：深圳市福田</w:t>
      </w:r>
      <w:r>
        <w:rPr>
          <w:rFonts w:hint="eastAsia" w:ascii="宋体" w:hAnsi="宋体"/>
          <w:bCs/>
          <w:sz w:val="24"/>
          <w:lang w:val="en-US" w:eastAsia="zh-CN"/>
        </w:rPr>
        <w:t>区</w:t>
      </w:r>
      <w:r>
        <w:rPr>
          <w:rFonts w:hint="eastAsia" w:ascii="宋体" w:hAnsi="宋体"/>
          <w:bCs/>
          <w:sz w:val="24"/>
        </w:rPr>
        <w:t>第二人民医院</w:t>
      </w:r>
    </w:p>
    <w:p w14:paraId="6A363436">
      <w:pPr>
        <w:adjustRightInd w:val="0"/>
        <w:snapToGrid w:val="0"/>
        <w:spacing w:line="360" w:lineRule="auto"/>
        <w:ind w:left="-31" w:leftChars="-15" w:right="-61" w:rightChars="-29" w:firstLine="480" w:firstLineChars="200"/>
        <w:rPr>
          <w:rFonts w:ascii="宋体" w:hAnsi="宋体"/>
          <w:bCs/>
          <w:sz w:val="24"/>
        </w:rPr>
      </w:pPr>
      <w:r>
        <w:rPr>
          <w:rFonts w:hint="eastAsia" w:ascii="宋体" w:hAnsi="宋体"/>
          <w:bCs/>
          <w:sz w:val="24"/>
        </w:rPr>
        <w:t>作为生产（产品名称）（可另设附表）的企业(企业名称)的代理商(代理商名称)</w:t>
      </w:r>
      <w:r>
        <w:rPr>
          <w:rFonts w:hint="eastAsia" w:ascii="宋体" w:hAnsi="宋体" w:cs="宋体"/>
          <w:snapToGrid w:val="0"/>
          <w:kern w:val="0"/>
          <w:szCs w:val="21"/>
        </w:rPr>
        <w:t>，</w:t>
      </w:r>
      <w:r>
        <w:rPr>
          <w:rFonts w:hint="eastAsia" w:ascii="宋体" w:hAnsi="宋体"/>
          <w:bCs/>
          <w:sz w:val="24"/>
        </w:rPr>
        <w:t>我公司唯一授权                                     (供货单位名称)用我公司代理的上述产品参与福田区第二人民医院医用耗材竞价采购。</w:t>
      </w:r>
    </w:p>
    <w:p w14:paraId="093F31CE">
      <w:pPr>
        <w:adjustRightInd w:val="0"/>
        <w:snapToGrid w:val="0"/>
        <w:spacing w:line="360" w:lineRule="auto"/>
        <w:ind w:left="-31" w:leftChars="-15" w:right="-61" w:rightChars="-29" w:firstLine="480" w:firstLineChars="200"/>
        <w:rPr>
          <w:rFonts w:ascii="宋体" w:hAnsi="宋体"/>
          <w:bCs/>
          <w:sz w:val="24"/>
        </w:rPr>
      </w:pPr>
      <w:r>
        <w:rPr>
          <w:rFonts w:hint="eastAsia" w:ascii="宋体" w:hAnsi="宋体"/>
          <w:bCs/>
          <w:sz w:val="24"/>
        </w:rPr>
        <w:t>根据福田区第二人民医院医用耗材竞标采购文件(采购编号：</w:t>
      </w:r>
      <w:r>
        <w:rPr>
          <w:rFonts w:hint="eastAsia" w:ascii="宋体" w:hAnsi="宋体" w:cs="宋体"/>
          <w:snapToGrid w:val="0"/>
          <w:kern w:val="0"/>
          <w:sz w:val="24"/>
        </w:rPr>
        <w:t>此编号详见</w:t>
      </w:r>
      <w:r>
        <w:rPr>
          <w:rFonts w:hint="eastAsia" w:ascii="宋体" w:hAnsi="宋体" w:cs="宋体"/>
          <w:snapToGrid w:val="0"/>
          <w:kern w:val="0"/>
          <w:sz w:val="24"/>
          <w:lang w:eastAsia="zh-CN"/>
        </w:rPr>
        <w:t>谈判</w:t>
      </w:r>
      <w:r>
        <w:rPr>
          <w:rFonts w:hint="eastAsia" w:ascii="宋体" w:hAnsi="宋体" w:cs="宋体"/>
          <w:snapToGrid w:val="0"/>
          <w:kern w:val="0"/>
          <w:sz w:val="24"/>
        </w:rPr>
        <w:t>公告</w:t>
      </w:r>
      <w:r>
        <w:rPr>
          <w:rFonts w:hint="eastAsia" w:ascii="宋体" w:hAnsi="宋体"/>
          <w:bCs/>
          <w:sz w:val="24"/>
        </w:rPr>
        <w:t>)的规定，我公司对上述产品唯一授权由上述企业参加本次采购，一旦采购入围并依法签订购销合同后，我公司保证：上述产品的生产标准达到产品执行标准；在集中采购期内，保证向该企业及时提供充足的货源。如有违反，依法承担违约责任。</w:t>
      </w:r>
    </w:p>
    <w:p w14:paraId="5D79EBCB">
      <w:pPr>
        <w:adjustRightInd w:val="0"/>
        <w:snapToGrid w:val="0"/>
        <w:spacing w:line="360" w:lineRule="auto"/>
        <w:ind w:left="-31" w:leftChars="-15" w:right="-61" w:rightChars="-29" w:firstLine="480" w:firstLineChars="200"/>
        <w:rPr>
          <w:rFonts w:ascii="宋体" w:hAnsi="宋体"/>
          <w:bCs/>
          <w:sz w:val="24"/>
        </w:rPr>
      </w:pPr>
      <w:r>
        <w:rPr>
          <w:rFonts w:hint="eastAsia" w:ascii="宋体" w:hAnsi="宋体"/>
          <w:bCs/>
          <w:sz w:val="24"/>
        </w:rPr>
        <w:t>我单位保证出具的质量及货源保证书真实、合法，并愿承担一切法律责任。</w:t>
      </w:r>
    </w:p>
    <w:p w14:paraId="0E7BCC23">
      <w:pPr>
        <w:spacing w:line="360" w:lineRule="auto"/>
        <w:ind w:right="-147" w:rightChars="-70" w:firstLine="480" w:firstLineChars="200"/>
        <w:rPr>
          <w:rFonts w:ascii="宋体" w:hAnsi="宋体"/>
          <w:snapToGrid w:val="0"/>
          <w:kern w:val="0"/>
          <w:szCs w:val="21"/>
        </w:rPr>
      </w:pPr>
      <w:r>
        <w:rPr>
          <w:rFonts w:hint="eastAsia" w:ascii="宋体" w:hAnsi="宋体"/>
          <w:bCs/>
          <w:sz w:val="24"/>
        </w:rPr>
        <w:t>本保证书有效期限为：年月日至年月日</w:t>
      </w:r>
      <w:r>
        <w:rPr>
          <w:rFonts w:hint="eastAsia" w:ascii="宋体" w:hAnsi="宋体" w:cs="宋体"/>
          <w:snapToGrid w:val="0"/>
          <w:kern w:val="0"/>
          <w:szCs w:val="21"/>
        </w:rPr>
        <w:t>。</w:t>
      </w:r>
    </w:p>
    <w:p w14:paraId="0AA110C4">
      <w:pPr>
        <w:spacing w:line="360" w:lineRule="auto"/>
        <w:ind w:right="-147" w:rightChars="-70" w:firstLine="480" w:firstLineChars="200"/>
        <w:rPr>
          <w:rFonts w:ascii="宋体" w:hAnsi="宋体"/>
          <w:bCs/>
          <w:sz w:val="24"/>
        </w:rPr>
      </w:pPr>
      <w:r>
        <w:rPr>
          <w:rFonts w:hint="eastAsia" w:ascii="宋体" w:hAnsi="宋体"/>
          <w:bCs/>
          <w:sz w:val="24"/>
        </w:rPr>
        <w:t>注： 1、授权期限不能少于    年  月  日至    年  月  日。</w:t>
      </w:r>
    </w:p>
    <w:p w14:paraId="09F07223">
      <w:pPr>
        <w:spacing w:line="360" w:lineRule="auto"/>
        <w:ind w:right="-147" w:rightChars="-70" w:firstLine="1080" w:firstLineChars="450"/>
        <w:rPr>
          <w:rFonts w:ascii="宋体" w:hAnsi="宋体"/>
          <w:bCs/>
          <w:sz w:val="24"/>
        </w:rPr>
      </w:pPr>
      <w:r>
        <w:rPr>
          <w:rFonts w:hint="eastAsia" w:ascii="宋体" w:hAnsi="宋体"/>
          <w:bCs/>
          <w:sz w:val="24"/>
        </w:rPr>
        <w:t>2、本保证书中“代理商”指进口产品的国内总代理商或国内一级代理商。</w:t>
      </w:r>
    </w:p>
    <w:p w14:paraId="1ECD042D">
      <w:pPr>
        <w:spacing w:line="360" w:lineRule="auto"/>
        <w:ind w:right="-147" w:rightChars="-70" w:firstLine="480" w:firstLineChars="200"/>
        <w:rPr>
          <w:rFonts w:ascii="宋体" w:hAnsi="宋体" w:cs="宋体"/>
          <w:snapToGrid w:val="0"/>
          <w:kern w:val="0"/>
          <w:szCs w:val="21"/>
          <w:u w:val="single"/>
        </w:rPr>
      </w:pPr>
      <w:r>
        <w:rPr>
          <w:rFonts w:hint="eastAsia" w:ascii="宋体" w:hAnsi="宋体"/>
          <w:bCs/>
          <w:sz w:val="24"/>
        </w:rPr>
        <w:t>生产企业名称：</w:t>
      </w:r>
    </w:p>
    <w:p w14:paraId="1383A58E">
      <w:pPr>
        <w:adjustRightInd w:val="0"/>
        <w:snapToGrid w:val="0"/>
        <w:spacing w:line="360" w:lineRule="auto"/>
        <w:ind w:firstLine="420" w:firstLineChars="200"/>
        <w:rPr>
          <w:rFonts w:ascii="宋体" w:hAnsi="宋体" w:cs="宋体"/>
          <w:snapToGrid w:val="0"/>
          <w:kern w:val="0"/>
          <w:szCs w:val="21"/>
          <w:u w:val="single"/>
        </w:rPr>
      </w:pPr>
    </w:p>
    <w:p w14:paraId="2C803421">
      <w:pPr>
        <w:spacing w:line="360" w:lineRule="auto"/>
        <w:ind w:right="-147" w:rightChars="-70" w:firstLine="480" w:firstLineChars="200"/>
        <w:rPr>
          <w:rFonts w:ascii="宋体" w:hAnsi="宋体" w:cs="宋体"/>
          <w:snapToGrid w:val="0"/>
          <w:kern w:val="0"/>
          <w:szCs w:val="21"/>
          <w:u w:val="single"/>
        </w:rPr>
      </w:pPr>
      <w:r>
        <w:rPr>
          <w:rFonts w:hint="eastAsia" w:ascii="宋体" w:hAnsi="宋体"/>
          <w:bCs/>
          <w:sz w:val="24"/>
        </w:rPr>
        <w:t>代理商名称（盖章）：</w:t>
      </w:r>
    </w:p>
    <w:p w14:paraId="2DCFF11E">
      <w:pPr>
        <w:adjustRightInd w:val="0"/>
        <w:snapToGrid w:val="0"/>
        <w:spacing w:line="360" w:lineRule="auto"/>
        <w:ind w:firstLine="420" w:firstLineChars="200"/>
        <w:rPr>
          <w:rFonts w:ascii="宋体" w:hAnsi="宋体" w:cs="宋体"/>
          <w:snapToGrid w:val="0"/>
          <w:kern w:val="0"/>
          <w:szCs w:val="21"/>
          <w:u w:val="single"/>
        </w:rPr>
      </w:pPr>
    </w:p>
    <w:p w14:paraId="7EC93113">
      <w:pPr>
        <w:spacing w:line="360" w:lineRule="auto"/>
        <w:ind w:right="-147" w:rightChars="-70" w:firstLine="480" w:firstLineChars="200"/>
        <w:rPr>
          <w:rFonts w:ascii="宋体" w:hAnsi="宋体" w:cs="宋体"/>
          <w:snapToGrid w:val="0"/>
          <w:kern w:val="0"/>
          <w:szCs w:val="21"/>
          <w:u w:val="single"/>
        </w:rPr>
      </w:pPr>
      <w:r>
        <w:rPr>
          <w:rFonts w:hint="eastAsia" w:ascii="宋体" w:hAnsi="宋体"/>
          <w:bCs/>
          <w:sz w:val="24"/>
        </w:rPr>
        <w:t>经办人(签字)：</w:t>
      </w:r>
    </w:p>
    <w:p w14:paraId="1B673300">
      <w:pPr>
        <w:adjustRightInd w:val="0"/>
        <w:snapToGrid w:val="0"/>
        <w:spacing w:line="360" w:lineRule="auto"/>
        <w:ind w:firstLine="420" w:firstLineChars="200"/>
        <w:rPr>
          <w:rFonts w:ascii="宋体" w:hAnsi="宋体" w:cs="宋体"/>
          <w:snapToGrid w:val="0"/>
          <w:kern w:val="0"/>
          <w:szCs w:val="21"/>
          <w:u w:val="single"/>
        </w:rPr>
      </w:pPr>
    </w:p>
    <w:p w14:paraId="0ED56A2E">
      <w:pPr>
        <w:adjustRightInd w:val="0"/>
        <w:snapToGrid w:val="0"/>
        <w:spacing w:line="360" w:lineRule="auto"/>
        <w:ind w:firstLine="480" w:firstLineChars="200"/>
        <w:rPr>
          <w:rFonts w:ascii="宋体" w:hAnsi="宋体" w:cs="宋体"/>
          <w:snapToGrid w:val="0"/>
          <w:kern w:val="0"/>
          <w:szCs w:val="21"/>
          <w:u w:val="single"/>
        </w:rPr>
      </w:pPr>
      <w:r>
        <w:rPr>
          <w:rFonts w:hint="eastAsia" w:ascii="宋体" w:hAnsi="宋体"/>
          <w:bCs/>
          <w:sz w:val="24"/>
        </w:rPr>
        <w:t>经办人联系电话</w:t>
      </w:r>
      <w:r>
        <w:rPr>
          <w:rFonts w:hint="eastAsia" w:ascii="宋体" w:hAnsi="宋体" w:cs="宋体"/>
          <w:snapToGrid w:val="0"/>
          <w:kern w:val="0"/>
          <w:szCs w:val="21"/>
        </w:rPr>
        <w:t>：</w:t>
      </w:r>
    </w:p>
    <w:p w14:paraId="1E79EE04">
      <w:pPr>
        <w:adjustRightInd w:val="0"/>
        <w:snapToGrid w:val="0"/>
        <w:spacing w:line="360" w:lineRule="auto"/>
        <w:ind w:firstLine="420" w:firstLineChars="200"/>
        <w:rPr>
          <w:rFonts w:ascii="宋体" w:hAnsi="宋体" w:cs="宋体"/>
          <w:snapToGrid w:val="0"/>
          <w:kern w:val="0"/>
          <w:szCs w:val="21"/>
          <w:u w:val="single"/>
        </w:rPr>
      </w:pPr>
    </w:p>
    <w:p w14:paraId="21A6E655">
      <w:pPr>
        <w:keepNext w:val="0"/>
        <w:keepLines w:val="0"/>
        <w:widowControl/>
        <w:suppressLineNumbers w:val="0"/>
        <w:jc w:val="center"/>
        <w:textAlignment w:val="center"/>
        <w:outlineLvl w:val="9"/>
        <w:rPr>
          <w:rFonts w:hint="eastAsia" w:ascii="宋体" w:hAnsi="宋体"/>
          <w:bCs/>
          <w:sz w:val="24"/>
        </w:rPr>
      </w:pPr>
      <w:r>
        <w:rPr>
          <w:rFonts w:hint="eastAsia" w:ascii="宋体" w:hAnsi="宋体"/>
          <w:bCs/>
          <w:sz w:val="24"/>
          <w:lang w:val="en-US" w:eastAsia="zh-CN"/>
        </w:rPr>
        <w:t xml:space="preserve">                 </w:t>
      </w:r>
      <w:r>
        <w:rPr>
          <w:rFonts w:hint="eastAsia" w:ascii="宋体" w:hAnsi="宋体"/>
          <w:bCs/>
          <w:sz w:val="24"/>
        </w:rPr>
        <w:t>日期：年</w:t>
      </w:r>
      <w:r>
        <w:rPr>
          <w:rFonts w:hint="eastAsia" w:ascii="宋体" w:hAnsi="宋体"/>
          <w:bCs/>
          <w:sz w:val="24"/>
          <w:lang w:val="en-US" w:eastAsia="zh-CN"/>
        </w:rPr>
        <w:t xml:space="preserve"> </w:t>
      </w:r>
      <w:r>
        <w:rPr>
          <w:rFonts w:hint="eastAsia" w:ascii="宋体" w:hAnsi="宋体"/>
          <w:bCs/>
          <w:sz w:val="24"/>
        </w:rPr>
        <w:t>月</w:t>
      </w:r>
      <w:r>
        <w:rPr>
          <w:rFonts w:hint="eastAsia" w:ascii="宋体" w:hAnsi="宋体"/>
          <w:bCs/>
          <w:sz w:val="24"/>
          <w:lang w:val="en-US" w:eastAsia="zh-CN"/>
        </w:rPr>
        <w:t xml:space="preserve"> </w:t>
      </w:r>
      <w:r>
        <w:rPr>
          <w:rFonts w:hint="eastAsia" w:ascii="宋体" w:hAnsi="宋体"/>
          <w:bCs/>
          <w:sz w:val="24"/>
        </w:rPr>
        <w:t>日</w:t>
      </w:r>
    </w:p>
    <w:p w14:paraId="400080CB">
      <w:pPr>
        <w:keepNext w:val="0"/>
        <w:keepLines w:val="0"/>
        <w:widowControl/>
        <w:suppressLineNumbers w:val="0"/>
        <w:jc w:val="center"/>
        <w:textAlignment w:val="center"/>
        <w:outlineLvl w:val="9"/>
        <w:rPr>
          <w:rFonts w:hint="eastAsia" w:ascii="宋体" w:hAnsi="宋体"/>
          <w:bCs/>
          <w:sz w:val="24"/>
        </w:rPr>
      </w:pPr>
    </w:p>
    <w:p w14:paraId="285F90F4">
      <w:pPr>
        <w:keepNext w:val="0"/>
        <w:keepLines w:val="0"/>
        <w:widowControl/>
        <w:suppressLineNumbers w:val="0"/>
        <w:jc w:val="center"/>
        <w:textAlignment w:val="center"/>
        <w:outlineLvl w:val="9"/>
        <w:rPr>
          <w:rFonts w:hint="eastAsia" w:ascii="宋体" w:hAnsi="宋体"/>
          <w:bCs/>
          <w:sz w:val="24"/>
        </w:rPr>
      </w:pPr>
    </w:p>
    <w:p w14:paraId="2177BF2F">
      <w:pPr>
        <w:keepNext w:val="0"/>
        <w:keepLines w:val="0"/>
        <w:widowControl/>
        <w:suppressLineNumbers w:val="0"/>
        <w:jc w:val="center"/>
        <w:textAlignment w:val="center"/>
        <w:outlineLvl w:val="9"/>
        <w:rPr>
          <w:rFonts w:hint="eastAsia" w:ascii="宋体" w:hAnsi="宋体"/>
          <w:bCs/>
          <w:sz w:val="24"/>
        </w:rPr>
      </w:pPr>
    </w:p>
    <w:p w14:paraId="63BC347D">
      <w:pPr>
        <w:keepNext w:val="0"/>
        <w:keepLines w:val="0"/>
        <w:widowControl/>
        <w:suppressLineNumbers w:val="0"/>
        <w:jc w:val="center"/>
        <w:textAlignment w:val="center"/>
        <w:outlineLvl w:val="9"/>
        <w:rPr>
          <w:rFonts w:hint="eastAsia" w:ascii="宋体" w:hAnsi="宋体"/>
          <w:bCs/>
          <w:sz w:val="24"/>
        </w:rPr>
      </w:pPr>
    </w:p>
    <w:p w14:paraId="3D60B64A">
      <w:pPr>
        <w:keepNext w:val="0"/>
        <w:keepLines w:val="0"/>
        <w:widowControl/>
        <w:suppressLineNumbers w:val="0"/>
        <w:jc w:val="center"/>
        <w:textAlignment w:val="center"/>
        <w:outlineLvl w:val="9"/>
        <w:rPr>
          <w:rFonts w:hint="eastAsia" w:ascii="宋体" w:hAnsi="宋体"/>
          <w:bCs/>
          <w:sz w:val="24"/>
        </w:rPr>
      </w:pPr>
    </w:p>
    <w:p w14:paraId="13BFBC40">
      <w:pPr>
        <w:keepNext w:val="0"/>
        <w:keepLines w:val="0"/>
        <w:widowControl/>
        <w:suppressLineNumbers w:val="0"/>
        <w:jc w:val="center"/>
        <w:textAlignment w:val="center"/>
        <w:outlineLvl w:val="9"/>
        <w:rPr>
          <w:rFonts w:hint="eastAsia" w:ascii="宋体" w:hAnsi="宋体"/>
          <w:bCs/>
          <w:sz w:val="24"/>
        </w:rPr>
      </w:pPr>
    </w:p>
    <w:p w14:paraId="451040B1">
      <w:pPr>
        <w:keepNext w:val="0"/>
        <w:keepLines w:val="0"/>
        <w:widowControl/>
        <w:suppressLineNumbers w:val="0"/>
        <w:jc w:val="center"/>
        <w:textAlignment w:val="center"/>
        <w:outlineLvl w:val="0"/>
        <w:rPr>
          <w:rFonts w:hint="eastAsia" w:cs="宋体" w:asciiTheme="majorEastAsia" w:hAnsiTheme="majorEastAsia" w:eastAsiaTheme="majorEastAsia"/>
          <w:kern w:val="2"/>
          <w:sz w:val="30"/>
          <w:szCs w:val="30"/>
          <w:lang w:val="en-US" w:eastAsia="zh-CN" w:bidi="ar-SA"/>
        </w:rPr>
      </w:pPr>
      <w:bookmarkStart w:id="94" w:name="_Toc9651"/>
      <w:r>
        <w:rPr>
          <w:rFonts w:hint="eastAsia" w:cs="宋体" w:asciiTheme="majorEastAsia" w:hAnsiTheme="majorEastAsia" w:eastAsiaTheme="majorEastAsia"/>
          <w:kern w:val="2"/>
          <w:sz w:val="30"/>
          <w:szCs w:val="30"/>
          <w:lang w:val="en-US" w:eastAsia="zh-CN" w:bidi="ar-SA"/>
        </w:rPr>
        <w:t>（二十一）</w:t>
      </w:r>
      <w:bookmarkEnd w:id="93"/>
      <w:r>
        <w:rPr>
          <w:rFonts w:hint="eastAsia" w:cs="宋体" w:asciiTheme="majorEastAsia" w:hAnsiTheme="majorEastAsia" w:eastAsiaTheme="majorEastAsia"/>
          <w:kern w:val="2"/>
          <w:sz w:val="30"/>
          <w:szCs w:val="30"/>
          <w:lang w:val="en-US" w:eastAsia="zh-CN" w:bidi="ar-SA"/>
        </w:rPr>
        <w:t>配送方案</w:t>
      </w:r>
      <w:bookmarkEnd w:id="94"/>
    </w:p>
    <w:p w14:paraId="25CC3BF9">
      <w:pPr>
        <w:keepNext w:val="0"/>
        <w:keepLines w:val="0"/>
        <w:widowControl/>
        <w:suppressLineNumbers w:val="0"/>
        <w:jc w:val="center"/>
        <w:textAlignment w:val="center"/>
        <w:outlineLvl w:val="9"/>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（格式自拟）</w:t>
      </w:r>
    </w:p>
    <w:p w14:paraId="79A7817D">
      <w:pPr>
        <w:ind w:right="-73" w:rightChars="-35"/>
        <w:jc w:val="left"/>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rPr>
        <w:t>1</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配送时效保障方案</w:t>
      </w:r>
      <w:r>
        <w:rPr>
          <w:rFonts w:hint="eastAsia" w:asciiTheme="minorEastAsia" w:hAnsiTheme="minorEastAsia" w:eastAsiaTheme="minorEastAsia" w:cstheme="minorEastAsia"/>
          <w:color w:val="auto"/>
          <w:kern w:val="0"/>
          <w:szCs w:val="21"/>
          <w:highlight w:val="none"/>
          <w:lang w:eastAsia="zh-CN"/>
        </w:rPr>
        <w:t>；</w:t>
      </w:r>
    </w:p>
    <w:p w14:paraId="39805EEA">
      <w:pPr>
        <w:ind w:right="-73" w:rightChars="-35"/>
        <w:jc w:val="left"/>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rPr>
        <w:t>2</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交货时间安排</w:t>
      </w:r>
      <w:r>
        <w:rPr>
          <w:rFonts w:hint="eastAsia" w:asciiTheme="minorEastAsia" w:hAnsiTheme="minorEastAsia" w:eastAsiaTheme="minorEastAsia" w:cstheme="minorEastAsia"/>
          <w:color w:val="auto"/>
          <w:kern w:val="0"/>
          <w:szCs w:val="21"/>
          <w:highlight w:val="none"/>
          <w:lang w:eastAsia="zh-CN"/>
        </w:rPr>
        <w:t>；</w:t>
      </w:r>
    </w:p>
    <w:p w14:paraId="315E2D95">
      <w:pPr>
        <w:ind w:right="-73" w:rightChars="-35"/>
        <w:jc w:val="left"/>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rPr>
        <w:t>3</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配送</w:t>
      </w:r>
      <w:r>
        <w:rPr>
          <w:rFonts w:hint="eastAsia" w:asciiTheme="minorEastAsia" w:hAnsiTheme="minorEastAsia" w:eastAsiaTheme="minorEastAsia" w:cstheme="minorEastAsia"/>
          <w:color w:val="auto"/>
          <w:kern w:val="0"/>
          <w:szCs w:val="21"/>
          <w:highlight w:val="none"/>
        </w:rPr>
        <w:t>人员</w:t>
      </w:r>
      <w:r>
        <w:rPr>
          <w:rFonts w:hint="eastAsia" w:asciiTheme="minorEastAsia" w:hAnsiTheme="minorEastAsia" w:eastAsiaTheme="minorEastAsia" w:cstheme="minorEastAsia"/>
          <w:color w:val="auto"/>
          <w:kern w:val="0"/>
          <w:szCs w:val="21"/>
          <w:highlight w:val="none"/>
          <w:lang w:val="en-US" w:eastAsia="zh-CN"/>
        </w:rPr>
        <w:t>管理制度</w:t>
      </w:r>
      <w:r>
        <w:rPr>
          <w:rFonts w:hint="eastAsia" w:asciiTheme="minorEastAsia" w:hAnsiTheme="minorEastAsia" w:eastAsiaTheme="minorEastAsia" w:cstheme="minorEastAsia"/>
          <w:color w:val="auto"/>
          <w:kern w:val="0"/>
          <w:szCs w:val="21"/>
          <w:highlight w:val="none"/>
          <w:lang w:eastAsia="zh-CN"/>
        </w:rPr>
        <w:t>。</w:t>
      </w:r>
    </w:p>
    <w:p w14:paraId="4EE0BC0D">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33D3DFEE">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77C76D66">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E241D1F">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272C0D11">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0E407A8F">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5928BA83">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14013F4D">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56488E10">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F081C0A">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5167D38E">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08EC393">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3AD6A4CD">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7D538EA1">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E98773D">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133CECA4">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7306C941">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0FE3A0F8">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64F853FC">
      <w:pPr>
        <w:widowControl w:val="0"/>
        <w:numPr>
          <w:ilvl w:val="0"/>
          <w:numId w:val="0"/>
        </w:numPr>
        <w:spacing w:after="60"/>
        <w:jc w:val="both"/>
        <w:rPr>
          <w:rFonts w:hint="eastAsia" w:cs="Arial"/>
          <w:color w:val="000000"/>
        </w:rPr>
      </w:pPr>
    </w:p>
    <w:p w14:paraId="1EE3FF98">
      <w:pPr>
        <w:widowControl w:val="0"/>
        <w:numPr>
          <w:ilvl w:val="0"/>
          <w:numId w:val="0"/>
        </w:numPr>
        <w:spacing w:after="60"/>
        <w:jc w:val="both"/>
        <w:rPr>
          <w:rFonts w:hint="eastAsia" w:cs="Arial"/>
          <w:color w:val="000000"/>
        </w:rPr>
      </w:pPr>
    </w:p>
    <w:p w14:paraId="3E0D9342">
      <w:pPr>
        <w:widowControl w:val="0"/>
        <w:numPr>
          <w:ilvl w:val="0"/>
          <w:numId w:val="0"/>
        </w:numPr>
        <w:spacing w:after="60"/>
        <w:jc w:val="both"/>
        <w:rPr>
          <w:rFonts w:hint="eastAsia" w:cs="Arial"/>
          <w:color w:val="000000"/>
        </w:rPr>
      </w:pPr>
    </w:p>
    <w:p w14:paraId="00047196">
      <w:pPr>
        <w:widowControl w:val="0"/>
        <w:numPr>
          <w:ilvl w:val="0"/>
          <w:numId w:val="0"/>
        </w:numPr>
        <w:spacing w:after="60"/>
        <w:jc w:val="both"/>
        <w:rPr>
          <w:rFonts w:hint="eastAsia" w:cs="Arial"/>
          <w:color w:val="000000"/>
        </w:rPr>
      </w:pPr>
    </w:p>
    <w:p w14:paraId="37883878">
      <w:pPr>
        <w:snapToGrid w:val="0"/>
        <w:ind w:left="0" w:leftChars="0" w:firstLine="0" w:firstLineChars="0"/>
        <w:jc w:val="center"/>
        <w:outlineLvl w:val="0"/>
        <w:rPr>
          <w:rFonts w:hint="eastAsia"/>
          <w:lang w:eastAsia="zh-CN"/>
        </w:rPr>
      </w:pPr>
      <w:bookmarkStart w:id="95" w:name="_Toc15077"/>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lang w:val="en-US" w:eastAsia="zh-CN"/>
        </w:rPr>
        <w:t>二十二</w:t>
      </w:r>
      <w:r>
        <w:rPr>
          <w:rFonts w:hint="eastAsia" w:asciiTheme="majorEastAsia" w:hAnsiTheme="majorEastAsia" w:eastAsiaTheme="majorEastAsia"/>
          <w:sz w:val="30"/>
          <w:szCs w:val="30"/>
          <w:lang w:eastAsia="zh-CN"/>
        </w:rPr>
        <w:t>）</w:t>
      </w:r>
      <w:r>
        <w:rPr>
          <w:rFonts w:hint="eastAsia" w:cs="宋体" w:asciiTheme="majorEastAsia" w:hAnsiTheme="majorEastAsia" w:eastAsiaTheme="majorEastAsia"/>
          <w:kern w:val="2"/>
          <w:sz w:val="30"/>
          <w:szCs w:val="30"/>
          <w:lang w:val="en-US" w:eastAsia="zh-CN" w:bidi="ar-SA"/>
        </w:rPr>
        <w:t>售后服务方案</w:t>
      </w:r>
      <w:bookmarkEnd w:id="95"/>
    </w:p>
    <w:p w14:paraId="0210C3E9">
      <w:pPr>
        <w:keepNext w:val="0"/>
        <w:keepLines w:val="0"/>
        <w:widowControl/>
        <w:suppressLineNumbers w:val="0"/>
        <w:jc w:val="center"/>
        <w:textAlignment w:val="center"/>
        <w:outlineLvl w:val="9"/>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（格式自拟）</w:t>
      </w:r>
    </w:p>
    <w:p w14:paraId="556F466D">
      <w:pPr>
        <w:ind w:right="-73" w:rightChars="-35"/>
        <w:jc w:val="left"/>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rPr>
        <w:t>1</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售后服务</w:t>
      </w:r>
      <w:r>
        <w:rPr>
          <w:rFonts w:hint="eastAsia" w:asciiTheme="minorEastAsia" w:hAnsiTheme="minorEastAsia" w:eastAsiaTheme="minorEastAsia" w:cstheme="minorEastAsia"/>
          <w:color w:val="auto"/>
          <w:kern w:val="0"/>
          <w:szCs w:val="21"/>
          <w:highlight w:val="none"/>
        </w:rPr>
        <w:t>保障方案</w:t>
      </w:r>
      <w:r>
        <w:rPr>
          <w:rFonts w:hint="eastAsia" w:asciiTheme="minorEastAsia" w:hAnsiTheme="minorEastAsia" w:eastAsiaTheme="minorEastAsia" w:cstheme="minorEastAsia"/>
          <w:color w:val="auto"/>
          <w:kern w:val="0"/>
          <w:szCs w:val="21"/>
          <w:highlight w:val="none"/>
          <w:lang w:eastAsia="zh-CN"/>
        </w:rPr>
        <w:t>；</w:t>
      </w:r>
    </w:p>
    <w:p w14:paraId="575A6469">
      <w:pPr>
        <w:ind w:right="-73" w:rightChars="-35"/>
        <w:jc w:val="left"/>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rPr>
        <w:t>2</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应急供货和</w:t>
      </w:r>
      <w:r>
        <w:rPr>
          <w:rFonts w:hint="eastAsia" w:asciiTheme="minorEastAsia" w:hAnsiTheme="minorEastAsia" w:eastAsiaTheme="minorEastAsia" w:cstheme="minorEastAsia"/>
          <w:color w:val="auto"/>
          <w:kern w:val="0"/>
          <w:szCs w:val="21"/>
          <w:highlight w:val="none"/>
          <w:lang w:val="en-US" w:eastAsia="zh-CN"/>
        </w:rPr>
        <w:t>产品</w:t>
      </w:r>
      <w:r>
        <w:rPr>
          <w:rFonts w:hint="eastAsia" w:asciiTheme="minorEastAsia" w:hAnsiTheme="minorEastAsia" w:eastAsiaTheme="minorEastAsia" w:cstheme="minorEastAsia"/>
          <w:color w:val="auto"/>
          <w:kern w:val="0"/>
          <w:szCs w:val="21"/>
          <w:highlight w:val="none"/>
        </w:rPr>
        <w:t>退货方案</w:t>
      </w:r>
      <w:r>
        <w:rPr>
          <w:rFonts w:hint="eastAsia" w:asciiTheme="minorEastAsia" w:hAnsiTheme="minorEastAsia" w:eastAsiaTheme="minorEastAsia" w:cstheme="minorEastAsia"/>
          <w:color w:val="auto"/>
          <w:kern w:val="0"/>
          <w:szCs w:val="21"/>
          <w:highlight w:val="none"/>
          <w:lang w:eastAsia="zh-CN"/>
        </w:rPr>
        <w:t>；</w:t>
      </w:r>
    </w:p>
    <w:p w14:paraId="6D37CFEA">
      <w:pPr>
        <w:rPr>
          <w:rFonts w:hint="eastAsia"/>
          <w:lang w:eastAsia="zh-CN"/>
        </w:rPr>
      </w:pPr>
      <w:r>
        <w:rPr>
          <w:rFonts w:hint="eastAsia" w:asciiTheme="minorEastAsia" w:hAnsiTheme="minorEastAsia" w:eastAsiaTheme="minorEastAsia" w:cstheme="minorEastAsia"/>
          <w:color w:val="auto"/>
          <w:kern w:val="0"/>
          <w:szCs w:val="21"/>
          <w:highlight w:val="none"/>
        </w:rPr>
        <w:t>3</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售后服务承诺</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基于</w:t>
      </w:r>
      <w:r>
        <w:rPr>
          <w:rFonts w:hint="eastAsia" w:asciiTheme="minorEastAsia" w:hAnsiTheme="minorEastAsia" w:cstheme="minorEastAsia"/>
          <w:color w:val="auto"/>
          <w:kern w:val="0"/>
          <w:szCs w:val="21"/>
          <w:highlight w:val="none"/>
          <w:lang w:val="en-US" w:eastAsia="zh-CN"/>
        </w:rPr>
        <w:t>谈判文件</w:t>
      </w:r>
      <w:r>
        <w:rPr>
          <w:rFonts w:hint="eastAsia" w:asciiTheme="minorEastAsia" w:hAnsiTheme="minorEastAsia" w:eastAsiaTheme="minorEastAsia" w:cstheme="minorEastAsia"/>
          <w:color w:val="auto"/>
          <w:kern w:val="0"/>
          <w:szCs w:val="21"/>
          <w:highlight w:val="none"/>
          <w:lang w:val="en-US" w:eastAsia="zh-CN"/>
        </w:rPr>
        <w:t>中的售后服务要求进行合理预判，并承诺</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cstheme="minorEastAsia"/>
          <w:color w:val="auto"/>
          <w:kern w:val="0"/>
          <w:szCs w:val="21"/>
          <w:highlight w:val="none"/>
          <w:lang w:eastAsia="zh-CN"/>
        </w:rPr>
        <w:t>。</w:t>
      </w:r>
    </w:p>
    <w:p w14:paraId="2167A369">
      <w:pPr>
        <w:rPr>
          <w:rFonts w:hint="eastAsia"/>
          <w:lang w:eastAsia="zh-CN"/>
        </w:rPr>
      </w:pPr>
    </w:p>
    <w:p w14:paraId="535ED33C">
      <w:pPr>
        <w:rPr>
          <w:rFonts w:hint="eastAsia"/>
          <w:lang w:eastAsia="zh-CN"/>
        </w:rPr>
      </w:pPr>
    </w:p>
    <w:p w14:paraId="74C826FA">
      <w:pPr>
        <w:rPr>
          <w:rFonts w:hint="eastAsia"/>
          <w:lang w:eastAsia="zh-CN"/>
        </w:rPr>
      </w:pPr>
    </w:p>
    <w:p w14:paraId="0A3F66F0">
      <w:pPr>
        <w:rPr>
          <w:rFonts w:hint="eastAsia"/>
          <w:lang w:eastAsia="zh-CN"/>
        </w:rPr>
      </w:pPr>
    </w:p>
    <w:p w14:paraId="041DC546">
      <w:pPr>
        <w:rPr>
          <w:rFonts w:hint="eastAsia"/>
          <w:lang w:eastAsia="zh-CN"/>
        </w:rPr>
      </w:pPr>
    </w:p>
    <w:p w14:paraId="08AF08E9">
      <w:pPr>
        <w:rPr>
          <w:rFonts w:hint="eastAsia"/>
          <w:lang w:eastAsia="zh-CN"/>
        </w:rPr>
      </w:pPr>
    </w:p>
    <w:p w14:paraId="60D15B59">
      <w:pPr>
        <w:rPr>
          <w:rFonts w:hint="eastAsia"/>
          <w:lang w:eastAsia="zh-CN"/>
        </w:rPr>
      </w:pPr>
    </w:p>
    <w:p w14:paraId="7557EF01">
      <w:pPr>
        <w:rPr>
          <w:rFonts w:hint="eastAsia"/>
          <w:lang w:eastAsia="zh-CN"/>
        </w:rPr>
      </w:pPr>
    </w:p>
    <w:p w14:paraId="6C3EEC4E">
      <w:pPr>
        <w:rPr>
          <w:rFonts w:hint="eastAsia"/>
          <w:lang w:eastAsia="zh-CN"/>
        </w:rPr>
      </w:pPr>
    </w:p>
    <w:p w14:paraId="62C1FB22">
      <w:pPr>
        <w:rPr>
          <w:rFonts w:hint="eastAsia"/>
          <w:lang w:eastAsia="zh-CN"/>
        </w:rPr>
      </w:pPr>
    </w:p>
    <w:p w14:paraId="22737CFA">
      <w:pPr>
        <w:rPr>
          <w:rFonts w:hint="eastAsia"/>
          <w:lang w:eastAsia="zh-CN"/>
        </w:rPr>
      </w:pPr>
    </w:p>
    <w:p w14:paraId="579A01D7">
      <w:pPr>
        <w:rPr>
          <w:rFonts w:hint="eastAsia"/>
          <w:lang w:eastAsia="zh-CN"/>
        </w:rPr>
      </w:pPr>
    </w:p>
    <w:p w14:paraId="448C72C7">
      <w:pPr>
        <w:rPr>
          <w:rFonts w:hint="eastAsia"/>
          <w:lang w:eastAsia="zh-CN"/>
        </w:rPr>
      </w:pPr>
    </w:p>
    <w:p w14:paraId="63D33E67">
      <w:pPr>
        <w:rPr>
          <w:rFonts w:hint="eastAsia"/>
          <w:lang w:eastAsia="zh-CN"/>
        </w:rPr>
      </w:pPr>
    </w:p>
    <w:p w14:paraId="6D94ED00">
      <w:pPr>
        <w:rPr>
          <w:rFonts w:hint="eastAsia"/>
          <w:lang w:eastAsia="zh-CN"/>
        </w:rPr>
      </w:pPr>
    </w:p>
    <w:p w14:paraId="77388CD7">
      <w:pPr>
        <w:rPr>
          <w:rFonts w:hint="eastAsia"/>
          <w:lang w:eastAsia="zh-CN"/>
        </w:rPr>
      </w:pPr>
    </w:p>
    <w:p w14:paraId="17DF79A4">
      <w:pPr>
        <w:rPr>
          <w:rFonts w:hint="eastAsia"/>
          <w:lang w:eastAsia="zh-CN"/>
        </w:rPr>
      </w:pPr>
    </w:p>
    <w:p w14:paraId="2E220D93">
      <w:pPr>
        <w:rPr>
          <w:rFonts w:hint="eastAsia"/>
          <w:lang w:eastAsia="zh-CN"/>
        </w:rPr>
      </w:pPr>
    </w:p>
    <w:p w14:paraId="70AD84C5">
      <w:pPr>
        <w:rPr>
          <w:rFonts w:hint="eastAsia"/>
          <w:lang w:eastAsia="zh-CN"/>
        </w:rPr>
      </w:pPr>
    </w:p>
    <w:p w14:paraId="4F68ED25">
      <w:pPr>
        <w:rPr>
          <w:rFonts w:hint="eastAsia"/>
          <w:lang w:eastAsia="zh-CN"/>
        </w:rPr>
      </w:pPr>
    </w:p>
    <w:p w14:paraId="06500827">
      <w:pPr>
        <w:rPr>
          <w:rFonts w:hint="eastAsia"/>
          <w:lang w:eastAsia="zh-CN"/>
        </w:rPr>
      </w:pPr>
    </w:p>
    <w:p w14:paraId="0B56BB10">
      <w:pPr>
        <w:rPr>
          <w:rFonts w:hint="eastAsia"/>
          <w:lang w:eastAsia="zh-CN"/>
        </w:rPr>
      </w:pPr>
    </w:p>
    <w:p w14:paraId="46A58252">
      <w:pPr>
        <w:rPr>
          <w:rFonts w:hint="eastAsia"/>
          <w:lang w:eastAsia="zh-CN"/>
        </w:rPr>
      </w:pPr>
    </w:p>
    <w:p w14:paraId="1BF22283">
      <w:pPr>
        <w:rPr>
          <w:rFonts w:hint="eastAsia"/>
          <w:lang w:eastAsia="zh-CN"/>
        </w:rPr>
      </w:pPr>
    </w:p>
    <w:p w14:paraId="01710207">
      <w:pPr>
        <w:rPr>
          <w:rFonts w:hint="eastAsia"/>
          <w:lang w:eastAsia="zh-CN"/>
        </w:rPr>
      </w:pPr>
    </w:p>
    <w:p w14:paraId="21D24E4F">
      <w:pPr>
        <w:rPr>
          <w:rFonts w:hint="eastAsia"/>
          <w:lang w:eastAsia="zh-CN"/>
        </w:rPr>
      </w:pPr>
    </w:p>
    <w:p w14:paraId="1D318D32">
      <w:pPr>
        <w:rPr>
          <w:rFonts w:hint="eastAsia"/>
          <w:lang w:eastAsia="zh-CN"/>
        </w:rPr>
      </w:pPr>
    </w:p>
    <w:p w14:paraId="395A22B5">
      <w:pPr>
        <w:rPr>
          <w:rFonts w:hint="eastAsia"/>
          <w:lang w:eastAsia="zh-CN"/>
        </w:rPr>
      </w:pPr>
    </w:p>
    <w:p w14:paraId="77A0A7D9">
      <w:pPr>
        <w:rPr>
          <w:rFonts w:hint="eastAsia"/>
          <w:lang w:eastAsia="zh-CN"/>
        </w:rPr>
      </w:pPr>
    </w:p>
    <w:p w14:paraId="6CCCB4D6">
      <w:pPr>
        <w:rPr>
          <w:rFonts w:hint="eastAsia"/>
          <w:lang w:eastAsia="zh-CN"/>
        </w:rPr>
      </w:pPr>
    </w:p>
    <w:p w14:paraId="50F6190D">
      <w:pPr>
        <w:rPr>
          <w:rFonts w:hint="eastAsia"/>
          <w:lang w:eastAsia="zh-CN"/>
        </w:rPr>
      </w:pPr>
    </w:p>
    <w:p w14:paraId="3CB0C099">
      <w:pPr>
        <w:rPr>
          <w:rFonts w:hint="eastAsia"/>
          <w:lang w:eastAsia="zh-CN"/>
        </w:rPr>
      </w:pPr>
    </w:p>
    <w:p w14:paraId="20D6CEFC">
      <w:pPr>
        <w:rPr>
          <w:rFonts w:hint="eastAsia"/>
          <w:lang w:eastAsia="zh-CN"/>
        </w:rPr>
      </w:pPr>
    </w:p>
    <w:p w14:paraId="085AE093">
      <w:pPr>
        <w:rPr>
          <w:rFonts w:hint="eastAsia"/>
          <w:lang w:eastAsia="zh-CN"/>
        </w:rPr>
      </w:pPr>
    </w:p>
    <w:p w14:paraId="7DD82DA0">
      <w:pPr>
        <w:rPr>
          <w:rFonts w:hint="eastAsia"/>
          <w:lang w:eastAsia="zh-CN"/>
        </w:rPr>
      </w:pPr>
    </w:p>
    <w:p w14:paraId="14CCD38F">
      <w:pPr>
        <w:rPr>
          <w:rFonts w:hint="eastAsia"/>
          <w:lang w:eastAsia="zh-CN"/>
        </w:rPr>
      </w:pPr>
    </w:p>
    <w:p w14:paraId="295F38B1">
      <w:pPr>
        <w:rPr>
          <w:rFonts w:hint="eastAsia"/>
          <w:lang w:eastAsia="zh-CN"/>
        </w:rPr>
      </w:pPr>
    </w:p>
    <w:p w14:paraId="5F19ED12">
      <w:pPr>
        <w:rPr>
          <w:rFonts w:hint="eastAsia"/>
          <w:lang w:eastAsia="zh-CN"/>
        </w:rPr>
      </w:pPr>
    </w:p>
    <w:p w14:paraId="5218CF74">
      <w:pPr>
        <w:snapToGrid w:val="0"/>
        <w:ind w:left="0" w:leftChars="0" w:firstLine="0" w:firstLineChars="0"/>
        <w:jc w:val="center"/>
        <w:outlineLvl w:val="0"/>
        <w:rPr>
          <w:rFonts w:hint="eastAsia" w:hAnsi="宋体" w:cs="Times New Roman" w:eastAsiaTheme="majorEastAsia"/>
          <w:sz w:val="30"/>
          <w:szCs w:val="30"/>
          <w:lang w:val="en-US" w:eastAsia="zh-CN"/>
        </w:rPr>
      </w:pPr>
      <w:bookmarkStart w:id="96" w:name="_Toc14925"/>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lang w:val="en-US" w:eastAsia="zh-CN"/>
        </w:rPr>
        <w:t>二十三</w:t>
      </w:r>
      <w:r>
        <w:rPr>
          <w:rFonts w:hint="eastAsia" w:asciiTheme="majorEastAsia" w:hAnsiTheme="majorEastAsia" w:eastAsiaTheme="majorEastAsia"/>
          <w:sz w:val="30"/>
          <w:szCs w:val="30"/>
          <w:lang w:eastAsia="zh-CN"/>
        </w:rPr>
        <w:t>）</w:t>
      </w:r>
      <w:r>
        <w:rPr>
          <w:rFonts w:hint="eastAsia" w:cs="宋体" w:asciiTheme="majorEastAsia" w:hAnsiTheme="majorEastAsia" w:eastAsiaTheme="majorEastAsia"/>
          <w:kern w:val="2"/>
          <w:sz w:val="30"/>
          <w:szCs w:val="30"/>
          <w:lang w:val="en-US" w:eastAsia="zh-CN" w:bidi="ar-SA"/>
        </w:rPr>
        <w:t>有效业绩</w:t>
      </w:r>
      <w:bookmarkEnd w:id="96"/>
      <w:r>
        <w:rPr>
          <w:rFonts w:hint="eastAsia" w:cs="宋体" w:asciiTheme="majorEastAsia" w:hAnsiTheme="majorEastAsia" w:eastAsiaTheme="majorEastAsia"/>
          <w:kern w:val="2"/>
          <w:sz w:val="30"/>
          <w:szCs w:val="30"/>
          <w:lang w:val="en-US" w:eastAsia="zh-CN" w:bidi="ar-SA"/>
        </w:rPr>
        <w:t xml:space="preserve"> </w:t>
      </w:r>
    </w:p>
    <w:p w14:paraId="2F919FE3">
      <w:pPr>
        <w:keepNext w:val="0"/>
        <w:keepLines w:val="0"/>
        <w:widowControl/>
        <w:suppressLineNumbers w:val="0"/>
        <w:jc w:val="center"/>
        <w:textAlignment w:val="center"/>
        <w:outlineLvl w:val="9"/>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（格式自拟）</w:t>
      </w:r>
    </w:p>
    <w:p w14:paraId="4E4E21E2">
      <w:pPr>
        <w:keepNext w:val="0"/>
        <w:keepLines w:val="0"/>
        <w:pageBreakBefore w:val="0"/>
        <w:widowControl w:val="0"/>
        <w:kinsoku/>
        <w:overflowPunct/>
        <w:topLinePunct w:val="0"/>
        <w:autoSpaceDE/>
        <w:autoSpaceDN/>
        <w:bidi w:val="0"/>
        <w:adjustRightInd/>
        <w:spacing w:line="240" w:lineRule="auto"/>
        <w:jc w:val="left"/>
        <w:textAlignment w:val="auto"/>
        <w:rPr>
          <w:rFonts w:hint="default" w:ascii="宋体" w:hAnsi="宋体" w:eastAsia="宋体" w:cs="宋体"/>
          <w:sz w:val="21"/>
          <w:szCs w:val="21"/>
          <w:highlight w:val="none"/>
          <w:lang w:val="en-US" w:eastAsia="zh-CN"/>
        </w:rPr>
      </w:pPr>
      <w:r>
        <w:rPr>
          <w:rFonts w:hint="eastAsia" w:ascii="宋体" w:hAnsi="宋体" w:cs="宋体"/>
          <w:kern w:val="0"/>
          <w:szCs w:val="21"/>
          <w:lang w:val="en-US" w:eastAsia="zh-CN"/>
        </w:rPr>
        <w:t>1、</w:t>
      </w:r>
      <w:r>
        <w:rPr>
          <w:rFonts w:hint="eastAsia" w:ascii="宋体" w:hAnsi="宋体" w:eastAsia="宋体" w:cs="宋体"/>
          <w:sz w:val="21"/>
          <w:szCs w:val="21"/>
          <w:highlight w:val="none"/>
          <w:lang w:val="en-US" w:eastAsia="zh-CN"/>
        </w:rPr>
        <w:t>需本投标单位出具的有效发票或合同，若非本投标单位出具的发票或合同，将做无效处理，不得分。</w:t>
      </w:r>
    </w:p>
    <w:p w14:paraId="68DA1438">
      <w:pPr>
        <w:numPr>
          <w:ilvl w:val="0"/>
          <w:numId w:val="0"/>
        </w:numPr>
        <w:spacing w:after="60"/>
        <w:rPr>
          <w:rFonts w:hint="eastAsia" w:ascii="宋体" w:hAnsi="宋体" w:cs="宋体"/>
          <w:kern w:val="0"/>
          <w:szCs w:val="21"/>
        </w:rPr>
      </w:pPr>
    </w:p>
    <w:p w14:paraId="0BB1432B">
      <w:pPr>
        <w:snapToGrid w:val="0"/>
        <w:ind w:left="0" w:leftChars="0" w:firstLine="0" w:firstLineChars="0"/>
        <w:jc w:val="left"/>
        <w:outlineLvl w:val="9"/>
        <w:rPr>
          <w:rFonts w:hint="eastAsia" w:asciiTheme="majorEastAsia" w:hAnsiTheme="majorEastAsia" w:eastAsiaTheme="majorEastAsia"/>
          <w:sz w:val="30"/>
          <w:szCs w:val="30"/>
          <w:lang w:val="en-US" w:eastAsia="zh-CN"/>
        </w:rPr>
      </w:pPr>
    </w:p>
    <w:p w14:paraId="4C5C68C9">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30E4EAF7">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47EFEA72">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5464AD77">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1CF9D943">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283F2428">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5985CE7D">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24F00360">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51D92DDB">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3FD79D6E">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5F83C094">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7937BBEC">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12FA4B3C">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0852629D">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098D907B">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643461D8">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1742E5AD">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0CB168ED">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55A41D1E">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7837A580">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1ABB4E7B">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2EF590C3">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78F3F26E">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344D4C7E">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2800AC4A">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2914539D">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3F27F4B4">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1AC66CF1">
      <w:pPr>
        <w:snapToGrid w:val="0"/>
        <w:ind w:left="0" w:leftChars="0" w:firstLine="0" w:firstLineChars="0"/>
        <w:jc w:val="both"/>
        <w:outlineLvl w:val="9"/>
        <w:rPr>
          <w:rFonts w:hint="eastAsia" w:asciiTheme="majorEastAsia" w:hAnsiTheme="majorEastAsia" w:eastAsiaTheme="majorEastAsia"/>
          <w:sz w:val="30"/>
          <w:szCs w:val="30"/>
          <w:lang w:val="en-US" w:eastAsia="zh-CN"/>
        </w:rPr>
      </w:pPr>
    </w:p>
    <w:p w14:paraId="0B5DE535">
      <w:pPr>
        <w:snapToGrid w:val="0"/>
        <w:ind w:left="0" w:leftChars="0" w:firstLine="0" w:firstLineChars="0"/>
        <w:jc w:val="both"/>
        <w:outlineLvl w:val="9"/>
        <w:rPr>
          <w:rFonts w:hint="eastAsia" w:asciiTheme="majorEastAsia" w:hAnsiTheme="majorEastAsia" w:eastAsiaTheme="majorEastAsia"/>
          <w:sz w:val="30"/>
          <w:szCs w:val="30"/>
          <w:lang w:val="en-US" w:eastAsia="zh-CN"/>
        </w:rPr>
      </w:pPr>
    </w:p>
    <w:p w14:paraId="0884C510">
      <w:pPr>
        <w:snapToGrid w:val="0"/>
        <w:ind w:left="0" w:leftChars="0" w:firstLine="0" w:firstLineChars="0"/>
        <w:jc w:val="center"/>
        <w:outlineLvl w:val="0"/>
        <w:rPr>
          <w:rFonts w:hint="eastAsia" w:asciiTheme="majorEastAsia" w:hAnsiTheme="majorEastAsia" w:eastAsiaTheme="majorEastAsia"/>
          <w:sz w:val="30"/>
          <w:szCs w:val="30"/>
          <w:lang w:val="en-US" w:eastAsia="zh-CN"/>
        </w:rPr>
      </w:pPr>
      <w:bookmarkStart w:id="97" w:name="_Toc17243"/>
      <w:r>
        <w:rPr>
          <w:rFonts w:hint="eastAsia" w:asciiTheme="majorEastAsia" w:hAnsiTheme="majorEastAsia" w:eastAsiaTheme="majorEastAsia"/>
          <w:sz w:val="30"/>
          <w:szCs w:val="30"/>
          <w:lang w:val="en-US" w:eastAsia="zh-CN"/>
        </w:rPr>
        <w:t>（二十四）履约评价</w:t>
      </w:r>
      <w:bookmarkEnd w:id="97"/>
    </w:p>
    <w:p w14:paraId="0FDF2BBA">
      <w:pPr>
        <w:keepNext w:val="0"/>
        <w:keepLines w:val="0"/>
        <w:widowControl/>
        <w:suppressLineNumbers w:val="0"/>
        <w:jc w:val="center"/>
        <w:textAlignment w:val="center"/>
        <w:outlineLvl w:val="9"/>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（格式自拟）</w:t>
      </w:r>
    </w:p>
    <w:p w14:paraId="185B4870">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13E9C4E7">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4984304D">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44491415">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2B3E2715">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38C4AEA4">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03B550C9">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10485970">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56785BC9">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2AD7F6CC">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48617E38">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42737DF6">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2E42D0BB">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56474E12">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4E93B08E">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474EE8F9">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6065097C">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53AF5FAB">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7CCB9BF4">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7F7948FA">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0A27C7CD">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0F734284">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37797ADA">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7F2A20A0">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66E6298D">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1287AE31">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43FF304B">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7DFA9595">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39FA8555">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5A29C41A">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1069B7A6">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2C04C873">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28D31A44">
      <w:pPr>
        <w:snapToGrid w:val="0"/>
        <w:ind w:left="0" w:leftChars="0" w:firstLine="0" w:firstLineChars="0"/>
        <w:jc w:val="both"/>
        <w:outlineLvl w:val="9"/>
        <w:rPr>
          <w:rFonts w:hint="eastAsia" w:asciiTheme="majorEastAsia" w:hAnsiTheme="majorEastAsia" w:eastAsiaTheme="majorEastAsia"/>
          <w:sz w:val="30"/>
          <w:szCs w:val="30"/>
          <w:lang w:val="en-US" w:eastAsia="zh-CN"/>
        </w:rPr>
      </w:pPr>
    </w:p>
    <w:p w14:paraId="678DEE95">
      <w:pPr>
        <w:snapToGrid w:val="0"/>
        <w:ind w:left="0" w:leftChars="0" w:firstLine="0" w:firstLineChars="0"/>
        <w:jc w:val="center"/>
        <w:outlineLvl w:val="0"/>
        <w:rPr>
          <w:rFonts w:hint="eastAsia" w:asciiTheme="majorEastAsia" w:hAnsiTheme="majorEastAsia" w:eastAsiaTheme="majorEastAsia"/>
          <w:sz w:val="30"/>
          <w:szCs w:val="30"/>
          <w:lang w:val="en-US" w:eastAsia="zh-CN"/>
        </w:rPr>
      </w:pPr>
      <w:bookmarkStart w:id="98" w:name="_Toc27595"/>
      <w:r>
        <w:rPr>
          <w:rFonts w:hint="eastAsia" w:asciiTheme="majorEastAsia" w:hAnsiTheme="majorEastAsia" w:eastAsiaTheme="majorEastAsia"/>
          <w:sz w:val="30"/>
          <w:szCs w:val="30"/>
          <w:lang w:val="en-US" w:eastAsia="zh-CN"/>
        </w:rPr>
        <w:t>（二十五）仓储、运输能力</w:t>
      </w:r>
      <w:bookmarkEnd w:id="98"/>
    </w:p>
    <w:p w14:paraId="2E335241">
      <w:pPr>
        <w:keepNext w:val="0"/>
        <w:keepLines w:val="0"/>
        <w:widowControl/>
        <w:suppressLineNumbers w:val="0"/>
        <w:jc w:val="center"/>
        <w:textAlignment w:val="center"/>
        <w:outlineLvl w:val="9"/>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（格式自拟）</w:t>
      </w:r>
    </w:p>
    <w:p w14:paraId="26C6E0D6">
      <w:pPr>
        <w:rPr>
          <w:rFonts w:hint="eastAsia"/>
          <w:lang w:eastAsia="zh-CN"/>
        </w:rPr>
      </w:pPr>
    </w:p>
    <w:p w14:paraId="76EC335F">
      <w:pPr>
        <w:rPr>
          <w:rFonts w:hint="eastAsia"/>
          <w:lang w:eastAsia="zh-CN"/>
        </w:rPr>
      </w:pPr>
    </w:p>
    <w:p w14:paraId="2E2DF0E5">
      <w:pPr>
        <w:rPr>
          <w:rFonts w:hint="eastAsia"/>
          <w:lang w:eastAsia="zh-CN"/>
        </w:rPr>
      </w:pPr>
    </w:p>
    <w:p w14:paraId="4183BCCE">
      <w:pPr>
        <w:rPr>
          <w:rFonts w:hint="eastAsia"/>
          <w:lang w:eastAsia="zh-CN"/>
        </w:rPr>
      </w:pPr>
    </w:p>
    <w:p w14:paraId="2B29BD12">
      <w:pPr>
        <w:rPr>
          <w:rFonts w:hint="eastAsia"/>
          <w:lang w:eastAsia="zh-CN"/>
        </w:rPr>
      </w:pPr>
    </w:p>
    <w:p w14:paraId="54F01619">
      <w:pPr>
        <w:rPr>
          <w:rFonts w:hint="eastAsia"/>
          <w:lang w:eastAsia="zh-CN"/>
        </w:rPr>
      </w:pPr>
    </w:p>
    <w:p w14:paraId="466D7132">
      <w:pPr>
        <w:rPr>
          <w:rFonts w:hint="eastAsia"/>
          <w:lang w:eastAsia="zh-CN"/>
        </w:rPr>
      </w:pPr>
    </w:p>
    <w:p w14:paraId="2B286014">
      <w:pPr>
        <w:rPr>
          <w:rFonts w:hint="eastAsia"/>
          <w:lang w:eastAsia="zh-CN"/>
        </w:rPr>
      </w:pPr>
    </w:p>
    <w:p w14:paraId="542B8F31">
      <w:pPr>
        <w:rPr>
          <w:rFonts w:hint="eastAsia"/>
          <w:lang w:eastAsia="zh-CN"/>
        </w:rPr>
      </w:pPr>
    </w:p>
    <w:p w14:paraId="07060269">
      <w:pPr>
        <w:rPr>
          <w:rFonts w:hint="eastAsia"/>
          <w:lang w:eastAsia="zh-CN"/>
        </w:rPr>
      </w:pPr>
    </w:p>
    <w:p w14:paraId="50B76194">
      <w:pPr>
        <w:rPr>
          <w:rFonts w:hint="eastAsia"/>
          <w:lang w:eastAsia="zh-CN"/>
        </w:rPr>
      </w:pPr>
    </w:p>
    <w:p w14:paraId="12E474A3">
      <w:pPr>
        <w:rPr>
          <w:rFonts w:hint="eastAsia"/>
          <w:lang w:eastAsia="zh-CN"/>
        </w:rPr>
      </w:pPr>
    </w:p>
    <w:p w14:paraId="367F0BDB">
      <w:pPr>
        <w:rPr>
          <w:rFonts w:hint="eastAsia"/>
          <w:lang w:eastAsia="zh-CN"/>
        </w:rPr>
      </w:pPr>
    </w:p>
    <w:p w14:paraId="40BFFDF4">
      <w:pPr>
        <w:rPr>
          <w:rFonts w:hint="eastAsia"/>
          <w:lang w:eastAsia="zh-CN"/>
        </w:rPr>
      </w:pPr>
    </w:p>
    <w:p w14:paraId="1A0E51E5">
      <w:pPr>
        <w:rPr>
          <w:rFonts w:hint="eastAsia"/>
          <w:lang w:eastAsia="zh-CN"/>
        </w:rPr>
      </w:pPr>
    </w:p>
    <w:p w14:paraId="1EDA50BC">
      <w:pPr>
        <w:rPr>
          <w:rFonts w:hint="eastAsia"/>
          <w:lang w:eastAsia="zh-CN"/>
        </w:rPr>
      </w:pPr>
    </w:p>
    <w:p w14:paraId="0EC2C6ED">
      <w:pPr>
        <w:rPr>
          <w:rFonts w:hint="eastAsia"/>
          <w:lang w:eastAsia="zh-CN"/>
        </w:rPr>
      </w:pPr>
    </w:p>
    <w:p w14:paraId="73C55927">
      <w:pPr>
        <w:rPr>
          <w:rFonts w:hint="eastAsia"/>
          <w:lang w:eastAsia="zh-CN"/>
        </w:rPr>
      </w:pPr>
    </w:p>
    <w:p w14:paraId="5E406433">
      <w:pPr>
        <w:rPr>
          <w:rFonts w:hint="eastAsia"/>
          <w:lang w:eastAsia="zh-CN"/>
        </w:rPr>
      </w:pPr>
    </w:p>
    <w:p w14:paraId="419BF86E">
      <w:pPr>
        <w:rPr>
          <w:rFonts w:hint="eastAsia"/>
          <w:lang w:eastAsia="zh-CN"/>
        </w:rPr>
      </w:pPr>
    </w:p>
    <w:p w14:paraId="5FB0FD63">
      <w:pPr>
        <w:rPr>
          <w:rFonts w:hint="eastAsia"/>
          <w:lang w:eastAsia="zh-CN"/>
        </w:rPr>
      </w:pPr>
    </w:p>
    <w:p w14:paraId="72743474">
      <w:pPr>
        <w:rPr>
          <w:rFonts w:hint="eastAsia"/>
          <w:lang w:eastAsia="zh-CN"/>
        </w:rPr>
      </w:pPr>
    </w:p>
    <w:p w14:paraId="645275F9">
      <w:pPr>
        <w:rPr>
          <w:rFonts w:hint="eastAsia"/>
          <w:lang w:eastAsia="zh-CN"/>
        </w:rPr>
      </w:pPr>
    </w:p>
    <w:p w14:paraId="60E1EB92">
      <w:pPr>
        <w:rPr>
          <w:rFonts w:hint="eastAsia"/>
          <w:lang w:eastAsia="zh-CN"/>
        </w:rPr>
      </w:pPr>
    </w:p>
    <w:p w14:paraId="4306A3B2">
      <w:pPr>
        <w:rPr>
          <w:rFonts w:hint="eastAsia"/>
          <w:lang w:eastAsia="zh-CN"/>
        </w:rPr>
      </w:pPr>
    </w:p>
    <w:p w14:paraId="33972586">
      <w:pPr>
        <w:rPr>
          <w:rFonts w:hint="eastAsia"/>
          <w:lang w:eastAsia="zh-CN"/>
        </w:rPr>
      </w:pPr>
    </w:p>
    <w:p w14:paraId="42428447">
      <w:pPr>
        <w:rPr>
          <w:rFonts w:hint="eastAsia"/>
          <w:lang w:eastAsia="zh-CN"/>
        </w:rPr>
      </w:pPr>
    </w:p>
    <w:p w14:paraId="268C1902">
      <w:pPr>
        <w:rPr>
          <w:rFonts w:hint="eastAsia"/>
          <w:lang w:eastAsia="zh-CN"/>
        </w:rPr>
      </w:pPr>
    </w:p>
    <w:p w14:paraId="0ADFCDD6">
      <w:pPr>
        <w:rPr>
          <w:rFonts w:hint="eastAsia"/>
          <w:lang w:eastAsia="zh-CN"/>
        </w:rPr>
      </w:pPr>
    </w:p>
    <w:p w14:paraId="2FDA49B1">
      <w:pPr>
        <w:rPr>
          <w:rFonts w:hint="eastAsia"/>
          <w:lang w:eastAsia="zh-CN"/>
        </w:rPr>
      </w:pPr>
    </w:p>
    <w:p w14:paraId="4D933435">
      <w:pPr>
        <w:rPr>
          <w:rFonts w:hint="eastAsia"/>
          <w:lang w:eastAsia="zh-CN"/>
        </w:rPr>
      </w:pPr>
    </w:p>
    <w:p w14:paraId="6CA39B18">
      <w:pPr>
        <w:rPr>
          <w:rFonts w:hint="eastAsia"/>
          <w:lang w:eastAsia="zh-CN"/>
        </w:rPr>
      </w:pPr>
    </w:p>
    <w:p w14:paraId="59B455D2">
      <w:pPr>
        <w:rPr>
          <w:rFonts w:hint="eastAsia"/>
          <w:lang w:eastAsia="zh-CN"/>
        </w:rPr>
      </w:pPr>
    </w:p>
    <w:p w14:paraId="29A3B3CA">
      <w:pPr>
        <w:rPr>
          <w:rFonts w:hint="eastAsia"/>
          <w:lang w:eastAsia="zh-CN"/>
        </w:rPr>
      </w:pPr>
    </w:p>
    <w:p w14:paraId="45419784">
      <w:pPr>
        <w:rPr>
          <w:rFonts w:hint="eastAsia"/>
          <w:lang w:eastAsia="zh-CN"/>
        </w:rPr>
      </w:pPr>
    </w:p>
    <w:p w14:paraId="4F277E24">
      <w:pPr>
        <w:rPr>
          <w:rFonts w:hint="eastAsia"/>
          <w:lang w:eastAsia="zh-CN"/>
        </w:rPr>
      </w:pPr>
    </w:p>
    <w:p w14:paraId="3F34FB71">
      <w:pPr>
        <w:rPr>
          <w:rFonts w:hint="eastAsia"/>
          <w:lang w:eastAsia="zh-CN"/>
        </w:rPr>
      </w:pPr>
    </w:p>
    <w:p w14:paraId="375B4959">
      <w:pPr>
        <w:rPr>
          <w:rFonts w:hint="eastAsia"/>
          <w:lang w:eastAsia="zh-CN"/>
        </w:rPr>
      </w:pPr>
    </w:p>
    <w:p w14:paraId="654A794D">
      <w:pPr>
        <w:rPr>
          <w:rFonts w:hint="eastAsia"/>
          <w:lang w:eastAsia="zh-CN"/>
        </w:rPr>
      </w:pPr>
    </w:p>
    <w:p w14:paraId="5BAC9420">
      <w:pPr>
        <w:rPr>
          <w:rFonts w:hint="eastAsia"/>
          <w:lang w:eastAsia="zh-CN"/>
        </w:rPr>
      </w:pPr>
    </w:p>
    <w:p w14:paraId="4BF2B290">
      <w:pPr>
        <w:rPr>
          <w:rFonts w:hint="eastAsia"/>
          <w:lang w:eastAsia="zh-CN"/>
        </w:rPr>
      </w:pPr>
    </w:p>
    <w:p w14:paraId="2833A2D6">
      <w:pPr>
        <w:snapToGrid w:val="0"/>
        <w:ind w:left="0" w:leftChars="0" w:firstLine="0" w:firstLineChars="0"/>
        <w:jc w:val="center"/>
        <w:outlineLvl w:val="0"/>
        <w:rPr>
          <w:rFonts w:hint="eastAsia" w:asciiTheme="majorEastAsia" w:hAnsiTheme="majorEastAsia" w:eastAsiaTheme="majorEastAsia"/>
          <w:sz w:val="30"/>
          <w:szCs w:val="30"/>
          <w:lang w:val="en-US" w:eastAsia="zh-CN"/>
        </w:rPr>
      </w:pPr>
      <w:bookmarkStart w:id="99" w:name="_Toc23393"/>
      <w:r>
        <w:rPr>
          <w:rFonts w:hint="eastAsia" w:asciiTheme="majorEastAsia" w:hAnsiTheme="majorEastAsia" w:eastAsiaTheme="majorEastAsia"/>
          <w:sz w:val="30"/>
          <w:szCs w:val="30"/>
          <w:lang w:val="en-US" w:eastAsia="zh-CN"/>
        </w:rPr>
        <w:t>（二十六）</w:t>
      </w:r>
      <w:r>
        <w:rPr>
          <w:rFonts w:hint="eastAsia" w:hAnsi="宋体" w:cs="Times New Roman" w:eastAsiaTheme="majorEastAsia"/>
          <w:sz w:val="30"/>
          <w:szCs w:val="30"/>
          <w:lang w:val="en-US" w:eastAsia="zh-CN"/>
        </w:rPr>
        <w:t>谈判文件要求的其他内容及投标人认为需要加以说明其他内容</w:t>
      </w:r>
      <w:bookmarkEnd w:id="99"/>
    </w:p>
    <w:p w14:paraId="7DC97AFA">
      <w:pPr>
        <w:keepNext w:val="0"/>
        <w:keepLines w:val="0"/>
        <w:widowControl/>
        <w:suppressLineNumbers w:val="0"/>
        <w:jc w:val="center"/>
        <w:textAlignment w:val="center"/>
        <w:outlineLvl w:val="9"/>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（格式自拟）</w:t>
      </w:r>
    </w:p>
    <w:p w14:paraId="31DCB9E7">
      <w:pPr>
        <w:rPr>
          <w:rFonts w:hint="eastAsia"/>
          <w:lang w:eastAsia="zh-CN"/>
        </w:rPr>
      </w:pPr>
    </w:p>
    <w:p w14:paraId="7A2686DA">
      <w:pPr>
        <w:rPr>
          <w:rFonts w:hint="eastAsia"/>
          <w:lang w:eastAsia="zh-CN"/>
        </w:rPr>
      </w:pPr>
    </w:p>
    <w:p w14:paraId="69E28615">
      <w:pPr>
        <w:rPr>
          <w:rFonts w:hint="eastAsia"/>
          <w:lang w:eastAsia="zh-CN"/>
        </w:rPr>
      </w:pPr>
    </w:p>
    <w:p w14:paraId="61CA393F">
      <w:pPr>
        <w:rPr>
          <w:rFonts w:hint="eastAsia"/>
          <w:lang w:eastAsia="zh-CN"/>
        </w:rPr>
      </w:pPr>
    </w:p>
    <w:p w14:paraId="30D31DDD">
      <w:pPr>
        <w:rPr>
          <w:rFonts w:hint="eastAsia"/>
          <w:lang w:eastAsia="zh-CN"/>
        </w:rPr>
      </w:pPr>
    </w:p>
    <w:p w14:paraId="14BAD376">
      <w:pPr>
        <w:rPr>
          <w:rFonts w:hint="eastAsia"/>
          <w:lang w:eastAsia="zh-CN"/>
        </w:rPr>
      </w:pPr>
    </w:p>
    <w:p w14:paraId="4CEE6252">
      <w:pPr>
        <w:rPr>
          <w:rFonts w:hint="eastAsia"/>
          <w:lang w:eastAsia="zh-CN"/>
        </w:rPr>
      </w:pPr>
    </w:p>
    <w:p w14:paraId="01884D50">
      <w:pPr>
        <w:rPr>
          <w:rFonts w:hint="eastAsia"/>
          <w:lang w:eastAsia="zh-CN"/>
        </w:rPr>
      </w:pPr>
    </w:p>
    <w:p w14:paraId="53649E07">
      <w:pPr>
        <w:rPr>
          <w:rFonts w:hint="eastAsia"/>
          <w:lang w:eastAsia="zh-CN"/>
        </w:rPr>
      </w:pPr>
    </w:p>
    <w:p w14:paraId="5A5C0A7E">
      <w:pPr>
        <w:rPr>
          <w:rFonts w:hint="eastAsia"/>
          <w:lang w:eastAsia="zh-CN"/>
        </w:rPr>
      </w:pPr>
    </w:p>
    <w:p w14:paraId="06D8142C">
      <w:pPr>
        <w:rPr>
          <w:rFonts w:hint="eastAsia"/>
          <w:lang w:eastAsia="zh-CN"/>
        </w:rPr>
      </w:pPr>
    </w:p>
    <w:p w14:paraId="0109BEA2">
      <w:pPr>
        <w:rPr>
          <w:rFonts w:hint="eastAsia"/>
          <w:lang w:eastAsia="zh-CN"/>
        </w:rPr>
      </w:pPr>
    </w:p>
    <w:p w14:paraId="104047FB">
      <w:pPr>
        <w:rPr>
          <w:rFonts w:hint="eastAsia"/>
          <w:lang w:eastAsia="zh-CN"/>
        </w:rPr>
      </w:pPr>
    </w:p>
    <w:p w14:paraId="1A06EB15">
      <w:pPr>
        <w:rPr>
          <w:rFonts w:hint="eastAsia"/>
          <w:lang w:eastAsia="zh-CN"/>
        </w:rPr>
      </w:pPr>
    </w:p>
    <w:p w14:paraId="70C03BFD">
      <w:pPr>
        <w:rPr>
          <w:rFonts w:hint="eastAsia"/>
          <w:lang w:eastAsia="zh-CN"/>
        </w:rPr>
      </w:pPr>
    </w:p>
    <w:p w14:paraId="6E3A0FAB">
      <w:pPr>
        <w:rPr>
          <w:rFonts w:hint="eastAsia"/>
          <w:lang w:eastAsia="zh-CN"/>
        </w:rPr>
      </w:pPr>
    </w:p>
    <w:p w14:paraId="61A647DF">
      <w:pPr>
        <w:rPr>
          <w:rFonts w:hint="eastAsia"/>
          <w:lang w:eastAsia="zh-CN"/>
        </w:rPr>
      </w:pPr>
    </w:p>
    <w:p w14:paraId="353D963B">
      <w:pPr>
        <w:rPr>
          <w:rFonts w:hint="eastAsia"/>
          <w:lang w:eastAsia="zh-CN"/>
        </w:rPr>
      </w:pPr>
    </w:p>
    <w:p w14:paraId="7E1194BA">
      <w:pPr>
        <w:rPr>
          <w:rFonts w:hint="eastAsia"/>
          <w:lang w:eastAsia="zh-CN"/>
        </w:rPr>
      </w:pPr>
    </w:p>
    <w:p w14:paraId="4F1B7BB3">
      <w:pPr>
        <w:rPr>
          <w:rFonts w:hint="eastAsia"/>
          <w:lang w:eastAsia="zh-CN"/>
        </w:rPr>
      </w:pPr>
    </w:p>
    <w:p w14:paraId="4F7368EE">
      <w:pPr>
        <w:rPr>
          <w:rFonts w:hint="eastAsia"/>
          <w:lang w:eastAsia="zh-CN"/>
        </w:rPr>
      </w:pPr>
    </w:p>
    <w:p w14:paraId="1123D5C2">
      <w:pPr>
        <w:keepNext w:val="0"/>
        <w:keepLines w:val="0"/>
        <w:widowControl/>
        <w:numPr>
          <w:ilvl w:val="0"/>
          <w:numId w:val="0"/>
        </w:numPr>
        <w:suppressLineNumbers w:val="0"/>
        <w:jc w:val="both"/>
        <w:textAlignment w:val="center"/>
        <w:rPr>
          <w:rFonts w:hint="eastAsia" w:ascii="宋体" w:hAnsi="宋体" w:eastAsia="宋体" w:cs="宋体"/>
          <w:color w:val="000000"/>
          <w:kern w:val="2"/>
          <w:sz w:val="30"/>
          <w:szCs w:val="30"/>
          <w:lang w:val="en-US" w:eastAsia="zh-CN" w:bidi="ar"/>
        </w:rPr>
      </w:pPr>
      <w:bookmarkStart w:id="100" w:name="_Toc435516650"/>
      <w:bookmarkStart w:id="101" w:name="_Toc1658"/>
      <w:bookmarkStart w:id="102" w:name="_Toc14580"/>
      <w:bookmarkStart w:id="103" w:name="_Toc438223136"/>
      <w:bookmarkStart w:id="104" w:name="_Toc11652"/>
      <w:bookmarkStart w:id="105" w:name="_Toc435174933"/>
    </w:p>
    <w:p w14:paraId="12AF93DD">
      <w:pPr>
        <w:keepNext w:val="0"/>
        <w:keepLines w:val="0"/>
        <w:widowControl/>
        <w:numPr>
          <w:ilvl w:val="0"/>
          <w:numId w:val="0"/>
        </w:numPr>
        <w:suppressLineNumbers w:val="0"/>
        <w:jc w:val="center"/>
        <w:textAlignment w:val="center"/>
        <w:rPr>
          <w:rFonts w:hint="eastAsia" w:ascii="宋体" w:hAnsi="宋体" w:eastAsia="宋体" w:cs="宋体"/>
          <w:color w:val="000000"/>
          <w:kern w:val="2"/>
          <w:sz w:val="30"/>
          <w:szCs w:val="30"/>
          <w:lang w:val="en-US" w:eastAsia="zh-CN" w:bidi="ar"/>
        </w:rPr>
      </w:pPr>
    </w:p>
    <w:p w14:paraId="79411F40">
      <w:pPr>
        <w:widowControl w:val="0"/>
        <w:numPr>
          <w:ilvl w:val="0"/>
          <w:numId w:val="0"/>
        </w:numPr>
        <w:spacing w:line="240" w:lineRule="auto"/>
        <w:jc w:val="both"/>
        <w:outlineLvl w:val="9"/>
        <w:rPr>
          <w:rFonts w:hint="eastAsia" w:cs="宋体" w:asciiTheme="majorEastAsia" w:hAnsiTheme="majorEastAsia" w:eastAsiaTheme="majorEastAsia"/>
          <w:kern w:val="2"/>
          <w:sz w:val="30"/>
          <w:szCs w:val="30"/>
          <w:lang w:val="en-US" w:eastAsia="zh-CN" w:bidi="ar-SA"/>
        </w:rPr>
      </w:pPr>
    </w:p>
    <w:p w14:paraId="389BA552">
      <w:pPr>
        <w:widowControl w:val="0"/>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5A60B932">
      <w:pPr>
        <w:widowControl w:val="0"/>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296556F5">
      <w:pPr>
        <w:widowControl w:val="0"/>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406F2EE0">
      <w:pPr>
        <w:widowControl w:val="0"/>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0081E532">
      <w:pPr>
        <w:widowControl w:val="0"/>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29138DCA">
      <w:pPr>
        <w:widowControl w:val="0"/>
        <w:numPr>
          <w:ilvl w:val="0"/>
          <w:numId w:val="0"/>
        </w:numPr>
        <w:spacing w:line="240" w:lineRule="auto"/>
        <w:jc w:val="both"/>
        <w:outlineLvl w:val="9"/>
        <w:rPr>
          <w:rFonts w:hint="eastAsia" w:cs="宋体" w:asciiTheme="majorEastAsia" w:hAnsiTheme="majorEastAsia" w:eastAsiaTheme="majorEastAsia"/>
          <w:kern w:val="2"/>
          <w:sz w:val="30"/>
          <w:szCs w:val="30"/>
          <w:lang w:val="en-US" w:eastAsia="zh-CN" w:bidi="ar-SA"/>
        </w:rPr>
      </w:pPr>
    </w:p>
    <w:p w14:paraId="10E9FFD5">
      <w:pPr>
        <w:pStyle w:val="3"/>
        <w:numPr>
          <w:ilvl w:val="0"/>
          <w:numId w:val="16"/>
        </w:numPr>
        <w:spacing w:line="240" w:lineRule="auto"/>
        <w:jc w:val="center"/>
        <w:outlineLvl w:val="0"/>
        <w:rPr>
          <w:rFonts w:asciiTheme="majorEastAsia" w:hAnsiTheme="majorEastAsia" w:eastAsiaTheme="majorEastAsia"/>
          <w:sz w:val="32"/>
          <w:szCs w:val="32"/>
          <w:lang w:eastAsia="zh-TW"/>
        </w:rPr>
      </w:pPr>
      <w:bookmarkStart w:id="106" w:name="_Toc30434"/>
      <w:r>
        <w:rPr>
          <w:rFonts w:asciiTheme="majorEastAsia" w:hAnsiTheme="majorEastAsia" w:eastAsiaTheme="majorEastAsia"/>
          <w:sz w:val="32"/>
          <w:szCs w:val="32"/>
          <w:lang w:eastAsia="zh-TW"/>
        </w:rPr>
        <w:t>说 明</w:t>
      </w:r>
      <w:bookmarkEnd w:id="100"/>
      <w:bookmarkEnd w:id="101"/>
      <w:bookmarkEnd w:id="102"/>
      <w:bookmarkEnd w:id="103"/>
      <w:bookmarkEnd w:id="104"/>
      <w:bookmarkEnd w:id="105"/>
      <w:bookmarkEnd w:id="106"/>
      <w:bookmarkStart w:id="107" w:name="_Toc292267791"/>
    </w:p>
    <w:bookmarkEnd w:id="107"/>
    <w:p w14:paraId="2BEFE422">
      <w:pPr>
        <w:keepNext w:val="0"/>
        <w:keepLines w:val="0"/>
        <w:widowControl w:val="0"/>
        <w:suppressLineNumbers w:val="0"/>
        <w:spacing w:before="0" w:beforeAutospacing="0" w:after="0" w:afterAutospacing="0"/>
        <w:ind w:left="0" w:right="0"/>
        <w:jc w:val="center"/>
        <w:rPr>
          <w:rFonts w:hint="default" w:ascii="Calibri" w:hAnsi="Calibri" w:eastAsia="宋体" w:cs="Times New Roman"/>
          <w:kern w:val="2"/>
          <w:sz w:val="30"/>
          <w:szCs w:val="30"/>
        </w:rPr>
      </w:pPr>
      <w:bookmarkStart w:id="108" w:name="_Toc374439153"/>
      <w:bookmarkStart w:id="109" w:name="_Toc318878971"/>
      <w:bookmarkStart w:id="110" w:name="_Toc532"/>
      <w:bookmarkStart w:id="111" w:name="_Toc128037689"/>
      <w:bookmarkStart w:id="112" w:name="_Toc109889663"/>
      <w:r>
        <w:rPr>
          <w:rFonts w:hint="eastAsia" w:ascii="宋体" w:hAnsi="宋体" w:eastAsia="宋体" w:cs="宋体"/>
          <w:kern w:val="2"/>
          <w:sz w:val="30"/>
          <w:szCs w:val="30"/>
          <w:lang w:val="en-US" w:eastAsia="zh-CN" w:bidi="ar"/>
        </w:rPr>
        <w:t>总则</w:t>
      </w:r>
    </w:p>
    <w:p w14:paraId="0E0F6391">
      <w:pPr>
        <w:keepNext w:val="0"/>
        <w:keepLines w:val="0"/>
        <w:widowControl w:val="0"/>
        <w:numPr>
          <w:ilvl w:val="0"/>
          <w:numId w:val="17"/>
        </w:numPr>
        <w:suppressLineNumbers w:val="0"/>
        <w:autoSpaceDE w:val="0"/>
        <w:autoSpaceDN w:val="0"/>
        <w:adjustRightInd w:val="0"/>
        <w:snapToGrid w:val="0"/>
        <w:spacing w:before="0" w:beforeAutospacing="0" w:after="0" w:afterAutospacing="0" w:line="360" w:lineRule="auto"/>
        <w:ind w:left="425" w:right="0" w:hanging="425"/>
        <w:jc w:val="both"/>
        <w:outlineLvl w:val="1"/>
        <w:rPr>
          <w:rFonts w:hint="eastAsia" w:ascii="宋体" w:hAnsi="宋体" w:eastAsia="宋体" w:cs="Times New Roman"/>
          <w:b/>
          <w:bCs/>
          <w:kern w:val="2"/>
          <w:sz w:val="21"/>
          <w:szCs w:val="21"/>
        </w:rPr>
      </w:pPr>
      <w:r>
        <w:rPr>
          <w:rFonts w:hint="eastAsia" w:ascii="宋体" w:hAnsi="宋体" w:eastAsia="宋体" w:cs="宋体"/>
          <w:b/>
          <w:bCs/>
          <w:kern w:val="2"/>
          <w:sz w:val="21"/>
          <w:szCs w:val="21"/>
          <w:lang w:val="en-US" w:eastAsia="zh-CN" w:bidi="ar"/>
        </w:rPr>
        <w:t>适用范围</w:t>
      </w:r>
    </w:p>
    <w:p w14:paraId="6ABDE5BA">
      <w:pPr>
        <w:keepNext w:val="0"/>
        <w:keepLines w:val="0"/>
        <w:widowControl w:val="0"/>
        <w:suppressLineNumbers w:val="0"/>
        <w:autoSpaceDE w:val="0"/>
        <w:autoSpaceDN w:val="0"/>
        <w:adjustRightInd w:val="0"/>
        <w:snapToGrid w:val="0"/>
        <w:spacing w:before="0" w:beforeAutospacing="0" w:after="0" w:afterAutospacing="0" w:line="360" w:lineRule="auto"/>
        <w:ind w:left="0" w:leftChars="0" w:right="0"/>
        <w:jc w:val="left"/>
        <w:rPr>
          <w:rFonts w:hint="eastAsia" w:ascii="宋体" w:hAnsi="宋体" w:eastAsia="宋体" w:cs="Times New Roman"/>
          <w:b/>
          <w:bCs/>
          <w:kern w:val="2"/>
          <w:sz w:val="21"/>
          <w:szCs w:val="21"/>
        </w:rPr>
      </w:pPr>
      <w:r>
        <w:rPr>
          <w:rFonts w:hint="eastAsia" w:ascii="宋体" w:hAnsi="宋体" w:eastAsia="宋体" w:cs="宋体"/>
          <w:kern w:val="2"/>
          <w:sz w:val="21"/>
          <w:szCs w:val="21"/>
          <w:lang w:val="en-US" w:eastAsia="zh-CN" w:bidi="ar"/>
        </w:rPr>
        <w:t>1.1.本谈判文件适用于本投标邀请中所述采购项目。</w:t>
      </w:r>
    </w:p>
    <w:p w14:paraId="3A12B9B9">
      <w:pPr>
        <w:keepNext w:val="0"/>
        <w:keepLines w:val="0"/>
        <w:widowControl w:val="0"/>
        <w:suppressLineNumbers w:val="0"/>
        <w:autoSpaceDE w:val="0"/>
        <w:autoSpaceDN w:val="0"/>
        <w:adjustRightInd w:val="0"/>
        <w:snapToGrid w:val="0"/>
        <w:spacing w:before="0" w:beforeAutospacing="0" w:after="0" w:afterAutospacing="0" w:line="360" w:lineRule="auto"/>
        <w:ind w:left="0" w:leftChars="0" w:right="0"/>
        <w:jc w:val="left"/>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1.2.本项目参照《深圳经济特区政府采购条例》《深圳经济特区政府采购条例实施细则》的规定，并参考有关法规、政策、规章、规定，通过公开谈判择优选定供应商。</w:t>
      </w:r>
    </w:p>
    <w:p w14:paraId="4C803534">
      <w:pPr>
        <w:keepNext w:val="0"/>
        <w:keepLines w:val="0"/>
        <w:widowControl w:val="0"/>
        <w:suppressLineNumbers w:val="0"/>
        <w:autoSpaceDE w:val="0"/>
        <w:autoSpaceDN w:val="0"/>
        <w:adjustRightInd w:val="0"/>
        <w:snapToGrid w:val="0"/>
        <w:spacing w:before="0" w:beforeAutospacing="0" w:after="0" w:afterAutospacing="0" w:line="360" w:lineRule="auto"/>
        <w:ind w:left="0" w:leftChars="0" w:right="0"/>
        <w:jc w:val="left"/>
        <w:rPr>
          <w:rFonts w:hint="eastAsia" w:ascii="宋体" w:hAnsi="宋体" w:eastAsia="宋体" w:cs="Times New Roman"/>
          <w:b/>
          <w:bCs/>
          <w:kern w:val="2"/>
          <w:sz w:val="21"/>
          <w:szCs w:val="21"/>
        </w:rPr>
      </w:pPr>
      <w:r>
        <w:rPr>
          <w:rFonts w:hint="eastAsia" w:ascii="宋体" w:hAnsi="宋体" w:eastAsia="宋体" w:cs="宋体"/>
          <w:kern w:val="2"/>
          <w:sz w:val="21"/>
          <w:szCs w:val="21"/>
          <w:lang w:val="en-US" w:eastAsia="zh-CN" w:bidi="ar"/>
        </w:rPr>
        <w:t>1.3.本谈判文件适用于货物采购项目。</w:t>
      </w:r>
    </w:p>
    <w:p w14:paraId="11596B22">
      <w:pPr>
        <w:keepNext w:val="0"/>
        <w:keepLines w:val="0"/>
        <w:widowControl w:val="0"/>
        <w:numPr>
          <w:ilvl w:val="0"/>
          <w:numId w:val="17"/>
        </w:numPr>
        <w:suppressLineNumbers w:val="0"/>
        <w:autoSpaceDE w:val="0"/>
        <w:autoSpaceDN w:val="0"/>
        <w:adjustRightInd w:val="0"/>
        <w:snapToGrid w:val="0"/>
        <w:spacing w:before="0" w:beforeAutospacing="0" w:after="0" w:afterAutospacing="0" w:line="360" w:lineRule="auto"/>
        <w:ind w:left="449" w:right="0" w:hanging="449" w:hangingChars="213"/>
        <w:jc w:val="both"/>
        <w:outlineLvl w:val="1"/>
        <w:rPr>
          <w:rFonts w:hint="eastAsia" w:ascii="宋体" w:hAnsi="宋体" w:eastAsia="宋体" w:cs="Times New Roman"/>
          <w:b/>
          <w:bCs/>
          <w:strike/>
          <w:dstrike w:val="0"/>
          <w:kern w:val="2"/>
          <w:sz w:val="21"/>
          <w:szCs w:val="21"/>
        </w:rPr>
      </w:pPr>
      <w:r>
        <w:rPr>
          <w:rFonts w:hint="eastAsia" w:ascii="宋体" w:hAnsi="宋体" w:eastAsia="宋体" w:cs="宋体"/>
          <w:b/>
          <w:bCs w:val="0"/>
          <w:kern w:val="2"/>
          <w:sz w:val="21"/>
          <w:szCs w:val="21"/>
          <w:lang w:val="en-US" w:eastAsia="zh-CN" w:bidi="ar"/>
        </w:rPr>
        <w:t>定义</w:t>
      </w:r>
    </w:p>
    <w:p w14:paraId="1BF425D2">
      <w:pPr>
        <w:keepNext w:val="0"/>
        <w:keepLines w:val="0"/>
        <w:widowControl w:val="0"/>
        <w:suppressLineNumbers w:val="0"/>
        <w:autoSpaceDE w:val="0"/>
        <w:autoSpaceDN w:val="0"/>
        <w:adjustRightInd w:val="0"/>
        <w:snapToGrid w:val="0"/>
        <w:spacing w:before="0" w:beforeAutospacing="0" w:after="0" w:afterAutospacing="0" w:line="360" w:lineRule="auto"/>
        <w:ind w:left="0" w:leftChars="0" w:right="0"/>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2.1.采购人是指各级国家机关、事业单位和团体组织。采购人已拥有一笔财政性资金或资金来源已落实。采购人计划将一部分或全部资金用于支付本次采购后所签订合同项下的款项。</w:t>
      </w:r>
    </w:p>
    <w:p w14:paraId="5A6F0460">
      <w:pPr>
        <w:keepNext w:val="0"/>
        <w:keepLines w:val="0"/>
        <w:widowControl w:val="0"/>
        <w:suppressLineNumbers w:val="0"/>
        <w:autoSpaceDE w:val="0"/>
        <w:autoSpaceDN w:val="0"/>
        <w:adjustRightInd w:val="0"/>
        <w:snapToGrid w:val="0"/>
        <w:spacing w:before="0" w:beforeAutospacing="0" w:after="0" w:afterAutospacing="0" w:line="360" w:lineRule="auto"/>
        <w:ind w:left="0" w:leftChars="0" w:right="0"/>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2.2.供应商是指向采购人提供货物、工程或者服务的法人、其他组织或者自然人。</w:t>
      </w:r>
    </w:p>
    <w:p w14:paraId="12364A9B">
      <w:pPr>
        <w:keepNext w:val="0"/>
        <w:keepLines w:val="0"/>
        <w:widowControl w:val="0"/>
        <w:suppressLineNumbers w:val="0"/>
        <w:autoSpaceDE w:val="0"/>
        <w:autoSpaceDN w:val="0"/>
        <w:adjustRightInd w:val="0"/>
        <w:snapToGrid w:val="0"/>
        <w:spacing w:before="0" w:beforeAutospacing="0" w:after="0" w:afterAutospacing="0" w:line="360" w:lineRule="auto"/>
        <w:ind w:left="0" w:leftChars="0" w:right="0"/>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2.3.评标委员会是指专门负责本项目评标工作的临时性机构。</w:t>
      </w:r>
    </w:p>
    <w:p w14:paraId="2D97D9BE">
      <w:pPr>
        <w:keepNext w:val="0"/>
        <w:keepLines w:val="0"/>
        <w:widowControl w:val="0"/>
        <w:suppressLineNumbers w:val="0"/>
        <w:autoSpaceDE w:val="0"/>
        <w:autoSpaceDN w:val="0"/>
        <w:adjustRightInd w:val="0"/>
        <w:snapToGrid w:val="0"/>
        <w:spacing w:before="0" w:beforeAutospacing="0" w:after="0" w:afterAutospacing="0" w:line="360" w:lineRule="auto"/>
        <w:ind w:left="0" w:leftChars="0" w:right="0"/>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2.4.投标人是指响应谈判、参加投标竞争的法人、其他组织或者自然人。</w:t>
      </w:r>
    </w:p>
    <w:p w14:paraId="281C71C6">
      <w:pPr>
        <w:keepNext w:val="0"/>
        <w:keepLines w:val="0"/>
        <w:widowControl w:val="0"/>
        <w:suppressLineNumbers w:val="0"/>
        <w:autoSpaceDE w:val="0"/>
        <w:autoSpaceDN w:val="0"/>
        <w:adjustRightInd w:val="0"/>
        <w:snapToGrid w:val="0"/>
        <w:spacing w:before="0" w:beforeAutospacing="0" w:after="0" w:afterAutospacing="0" w:line="360" w:lineRule="auto"/>
        <w:ind w:left="0" w:leftChars="0" w:right="0"/>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2.5.中标人是指经法定程序确定并授予合同的投标人。</w:t>
      </w:r>
    </w:p>
    <w:p w14:paraId="532FA5B5">
      <w:pPr>
        <w:keepNext w:val="0"/>
        <w:keepLines w:val="0"/>
        <w:widowControl w:val="0"/>
        <w:suppressLineNumbers w:val="0"/>
        <w:autoSpaceDE w:val="0"/>
        <w:autoSpaceDN w:val="0"/>
        <w:adjustRightInd w:val="0"/>
        <w:snapToGrid w:val="0"/>
        <w:spacing w:before="0" w:beforeAutospacing="0" w:after="0" w:afterAutospacing="0" w:line="360" w:lineRule="auto"/>
        <w:ind w:left="0" w:leftChars="0" w:right="0"/>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2.6.合同是指由本次谈判所产生的合同或合约文件。</w:t>
      </w:r>
    </w:p>
    <w:p w14:paraId="2BB5BCFC">
      <w:pPr>
        <w:keepNext w:val="0"/>
        <w:keepLines w:val="0"/>
        <w:widowControl w:val="0"/>
        <w:suppressLineNumbers w:val="0"/>
        <w:autoSpaceDE w:val="0"/>
        <w:autoSpaceDN w:val="0"/>
        <w:adjustRightInd w:val="0"/>
        <w:snapToGrid w:val="0"/>
        <w:spacing w:before="0" w:beforeAutospacing="0" w:after="0" w:afterAutospacing="0" w:line="360" w:lineRule="auto"/>
        <w:ind w:left="0" w:leftChars="0" w:right="0"/>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2.7.纸质投标文件是指根据本谈判文件模板的要求规范填写，打印输出并盖有单位公章的投标文件原件。</w:t>
      </w:r>
    </w:p>
    <w:p w14:paraId="45003C0B">
      <w:pPr>
        <w:keepNext w:val="0"/>
        <w:keepLines w:val="0"/>
        <w:widowControl w:val="0"/>
        <w:suppressLineNumbers w:val="0"/>
        <w:autoSpaceDE w:val="0"/>
        <w:autoSpaceDN w:val="0"/>
        <w:adjustRightInd w:val="0"/>
        <w:snapToGrid w:val="0"/>
        <w:spacing w:before="0" w:beforeAutospacing="0" w:after="0" w:afterAutospacing="0" w:line="360" w:lineRule="auto"/>
        <w:ind w:left="0" w:leftChars="0" w:right="0"/>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2.8.现场投标是指在规定时间内直接向我院提交纸质投标文件。</w:t>
      </w:r>
    </w:p>
    <w:p w14:paraId="4C4C5970">
      <w:pPr>
        <w:keepNext w:val="0"/>
        <w:keepLines w:val="0"/>
        <w:widowControl w:val="0"/>
        <w:suppressLineNumbers w:val="0"/>
        <w:autoSpaceDE w:val="0"/>
        <w:autoSpaceDN w:val="0"/>
        <w:adjustRightInd w:val="0"/>
        <w:snapToGrid w:val="0"/>
        <w:spacing w:before="0" w:beforeAutospacing="0" w:after="0" w:afterAutospacing="0" w:line="360" w:lineRule="auto"/>
        <w:ind w:left="0" w:leftChars="0" w:right="0"/>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2.9.谈判文件中的标题或题名仅起引导作用，而不应视为对谈判文件内容的理解和解释。</w:t>
      </w:r>
    </w:p>
    <w:p w14:paraId="4E42DFFE">
      <w:pPr>
        <w:keepNext w:val="0"/>
        <w:keepLines w:val="0"/>
        <w:widowControl w:val="0"/>
        <w:suppressLineNumbers w:val="0"/>
        <w:autoSpaceDE w:val="0"/>
        <w:autoSpaceDN w:val="0"/>
        <w:adjustRightInd w:val="0"/>
        <w:snapToGrid w:val="0"/>
        <w:spacing w:before="0" w:beforeAutospacing="0" w:after="0" w:afterAutospacing="0" w:line="360" w:lineRule="auto"/>
        <w:ind w:left="0" w:leftChars="0" w:right="0"/>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2.10.日期是指公历日。</w:t>
      </w:r>
    </w:p>
    <w:p w14:paraId="011158C0">
      <w:pPr>
        <w:keepNext w:val="0"/>
        <w:keepLines w:val="0"/>
        <w:widowControl w:val="0"/>
        <w:suppressLineNumbers w:val="0"/>
        <w:autoSpaceDE w:val="0"/>
        <w:autoSpaceDN w:val="0"/>
        <w:adjustRightInd w:val="0"/>
        <w:snapToGrid w:val="0"/>
        <w:spacing w:before="0" w:beforeAutospacing="0" w:after="0" w:afterAutospacing="0" w:line="360" w:lineRule="auto"/>
        <w:ind w:left="0" w:leftChars="0" w:right="0"/>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2.11.谈判文件中的标题或题名仅起引导作用，而不应视为对谈判文件内容的理解和解释。</w:t>
      </w:r>
    </w:p>
    <w:p w14:paraId="37E1E534">
      <w:pPr>
        <w:keepNext w:val="0"/>
        <w:keepLines w:val="0"/>
        <w:widowControl w:val="0"/>
        <w:numPr>
          <w:ilvl w:val="0"/>
          <w:numId w:val="17"/>
        </w:numPr>
        <w:suppressLineNumbers w:val="0"/>
        <w:autoSpaceDE w:val="0"/>
        <w:autoSpaceDN w:val="0"/>
        <w:adjustRightInd w:val="0"/>
        <w:snapToGrid w:val="0"/>
        <w:spacing w:before="0" w:beforeAutospacing="0" w:after="0" w:afterAutospacing="0" w:line="360" w:lineRule="auto"/>
        <w:ind w:left="449" w:right="0" w:hanging="449" w:hangingChars="213"/>
        <w:jc w:val="both"/>
        <w:outlineLvl w:val="1"/>
        <w:rPr>
          <w:rFonts w:hint="eastAsia" w:ascii="宋体" w:hAnsi="宋体" w:eastAsia="宋体" w:cs="Times New Roman"/>
          <w:b/>
          <w:bCs/>
          <w:kern w:val="2"/>
          <w:sz w:val="21"/>
          <w:szCs w:val="21"/>
        </w:rPr>
      </w:pPr>
      <w:r>
        <w:rPr>
          <w:rFonts w:hint="eastAsia" w:ascii="宋体" w:hAnsi="宋体" w:eastAsia="宋体" w:cs="宋体"/>
          <w:b/>
          <w:bCs/>
          <w:kern w:val="2"/>
          <w:sz w:val="21"/>
          <w:szCs w:val="21"/>
          <w:lang w:val="en-US" w:eastAsia="zh-CN" w:bidi="ar"/>
        </w:rPr>
        <w:t>合格的货物和服务</w:t>
      </w:r>
    </w:p>
    <w:p w14:paraId="2F68A616">
      <w:pPr>
        <w:keepNext w:val="0"/>
        <w:keepLines w:val="0"/>
        <w:widowControl w:val="0"/>
        <w:suppressLineNumbers w:val="0"/>
        <w:autoSpaceDE w:val="0"/>
        <w:autoSpaceDN w:val="0"/>
        <w:adjustRightInd w:val="0"/>
        <w:snapToGrid w:val="0"/>
        <w:spacing w:before="0" w:beforeAutospacing="0" w:after="0" w:afterAutospacing="0" w:line="360" w:lineRule="auto"/>
        <w:ind w:left="0" w:leftChars="0" w:right="0"/>
        <w:jc w:val="both"/>
        <w:rPr>
          <w:rFonts w:hint="eastAsia" w:ascii="宋体" w:hAnsi="宋体" w:eastAsia="宋体" w:cs="黑体"/>
          <w:b/>
          <w:bCs/>
          <w:kern w:val="2"/>
          <w:sz w:val="21"/>
          <w:szCs w:val="21"/>
        </w:rPr>
      </w:pPr>
      <w:r>
        <w:rPr>
          <w:rFonts w:hint="eastAsia" w:ascii="宋体" w:hAnsi="宋体" w:eastAsia="宋体" w:cs="宋体"/>
          <w:kern w:val="2"/>
          <w:sz w:val="21"/>
          <w:szCs w:val="21"/>
          <w:lang w:val="en-US" w:eastAsia="zh-CN" w:bidi="ar"/>
        </w:rPr>
        <w:t>3.1.货物是指投标人制造或组织符合谈判文件要求的货物等。投标的货物必须是其合法生产、合法来源的符合国家有关标准要求的货物，并满足谈判文件规定的规格、参数、质量、价格、有效期、售后服务等要求。</w:t>
      </w:r>
    </w:p>
    <w:p w14:paraId="098AE985">
      <w:pPr>
        <w:keepNext w:val="0"/>
        <w:keepLines w:val="0"/>
        <w:widowControl w:val="0"/>
        <w:suppressLineNumbers w:val="0"/>
        <w:autoSpaceDE w:val="0"/>
        <w:autoSpaceDN w:val="0"/>
        <w:adjustRightInd w:val="0"/>
        <w:snapToGrid w:val="0"/>
        <w:spacing w:before="0" w:beforeAutospacing="0" w:after="0" w:afterAutospacing="0" w:line="360" w:lineRule="auto"/>
        <w:ind w:left="0" w:leftChars="0" w:right="0"/>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3.2.服务是指除货物和工程以外的其他政府采购对象，其中包括：投标人须承担的运输、安装、技术支持、培训以及谈判文件规定的其它服务。</w:t>
      </w:r>
    </w:p>
    <w:p w14:paraId="2D75D649">
      <w:pPr>
        <w:keepNext w:val="0"/>
        <w:keepLines w:val="0"/>
        <w:widowControl w:val="0"/>
        <w:suppressLineNumbers w:val="0"/>
        <w:autoSpaceDE w:val="0"/>
        <w:autoSpaceDN w:val="0"/>
        <w:adjustRightInd w:val="0"/>
        <w:snapToGrid w:val="0"/>
        <w:spacing w:before="0" w:beforeAutospacing="0" w:after="0" w:afterAutospacing="0" w:line="360" w:lineRule="auto"/>
        <w:ind w:left="0" w:leftChars="0" w:right="0"/>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3.3.国产的货物及其有关服务必须符合中华人民共和国的设计、制造生产标准及行业标准。谈判公告有其他要求的，亦应符合其要求。进口货物及其有关服务必须符合原产地和中华人民共和国的设计、制造生产标准及行业标准。进口的货物必须具有合法的进口手续和途径，并通过中华人民共和国商检部门检验。谈判公告有其他要求的，亦应符合其要求。</w:t>
      </w:r>
    </w:p>
    <w:p w14:paraId="5A89C141">
      <w:pPr>
        <w:keepNext w:val="0"/>
        <w:keepLines w:val="0"/>
        <w:widowControl w:val="0"/>
        <w:suppressLineNumbers w:val="0"/>
        <w:autoSpaceDE w:val="0"/>
        <w:autoSpaceDN w:val="0"/>
        <w:adjustRightInd w:val="0"/>
        <w:snapToGrid w:val="0"/>
        <w:spacing w:before="0" w:beforeAutospacing="0" w:after="0" w:afterAutospacing="0" w:line="360" w:lineRule="auto"/>
        <w:ind w:left="0" w:leftChars="0" w:right="0"/>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3.4.关于进口产品：根据财政部《政府采购进口产品管理办法》（财库〔2007〕119 号）“第三条本办法所称进口产品是指通过中国海关报关验放进入中国境内且产自关境外的产品。” 及《关于政府采购进口产品管理有关问题的通知》（财办库[2008]248号）“二、关于关境和海关特殊监管区域产品认定 根据《中华人民共和国海关法》(以下简称海关法)的规定，我国现行关境是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这些区域仅在关税待遇及贸易管制方面实施不同于我国关境内其他地区的特殊政策，但仍属于中华人民共和国关境内区域，由海关按照海关法实施监管。因此，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w:t>
      </w:r>
    </w:p>
    <w:p w14:paraId="62BAF3F7">
      <w:pPr>
        <w:keepNext w:val="0"/>
        <w:keepLines w:val="0"/>
        <w:widowControl w:val="0"/>
        <w:suppressLineNumbers w:val="0"/>
        <w:autoSpaceDE w:val="0"/>
        <w:autoSpaceDN w:val="0"/>
        <w:adjustRightInd w:val="0"/>
        <w:snapToGrid w:val="0"/>
        <w:spacing w:before="0" w:beforeAutospacing="0" w:after="0" w:afterAutospacing="0" w:line="360" w:lineRule="auto"/>
        <w:ind w:left="0" w:leftChars="0" w:right="0"/>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3.5.若所投产品属于政府强制采购节能产品的，则投标人必须提供该产品国家强制性节能产品进行响应，并提供强制性节能产品认证证书，否则视为无效投标。</w:t>
      </w:r>
    </w:p>
    <w:p w14:paraId="3013FE2B">
      <w:pPr>
        <w:keepNext w:val="0"/>
        <w:keepLines w:val="0"/>
        <w:widowControl w:val="0"/>
        <w:suppressLineNumbers w:val="0"/>
        <w:autoSpaceDE w:val="0"/>
        <w:autoSpaceDN w:val="0"/>
        <w:adjustRightInd w:val="0"/>
        <w:snapToGrid w:val="0"/>
        <w:spacing w:before="0" w:beforeAutospacing="0" w:after="0" w:afterAutospacing="0" w:line="360" w:lineRule="auto"/>
        <w:ind w:left="0" w:leftChars="0" w:right="0"/>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3.6.投标人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p>
    <w:p w14:paraId="1C1E1D08">
      <w:pPr>
        <w:keepNext w:val="0"/>
        <w:keepLines w:val="0"/>
        <w:widowControl w:val="0"/>
        <w:suppressLineNumbers w:val="0"/>
        <w:autoSpaceDE w:val="0"/>
        <w:autoSpaceDN w:val="0"/>
        <w:adjustRightInd w:val="0"/>
        <w:snapToGrid w:val="0"/>
        <w:spacing w:before="0" w:beforeAutospacing="0" w:after="0" w:afterAutospacing="0" w:line="360" w:lineRule="auto"/>
        <w:ind w:left="0" w:leftChars="0" w:right="0"/>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3.7.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437082E0">
      <w:pPr>
        <w:keepNext w:val="0"/>
        <w:keepLines w:val="0"/>
        <w:widowControl w:val="0"/>
        <w:suppressLineNumbers w:val="0"/>
        <w:autoSpaceDE w:val="0"/>
        <w:autoSpaceDN w:val="0"/>
        <w:adjustRightInd w:val="0"/>
        <w:snapToGrid w:val="0"/>
        <w:spacing w:before="0" w:beforeAutospacing="0" w:after="0" w:afterAutospacing="0" w:line="360" w:lineRule="auto"/>
        <w:ind w:left="0" w:leftChars="0" w:right="0"/>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3.8.工期要求：投标人在投标时对其所投项目应提交交货进度、交货计划等，在合同规定的时间内完成项目实施工作。</w:t>
      </w:r>
    </w:p>
    <w:p w14:paraId="0FD888FD">
      <w:pPr>
        <w:keepNext w:val="0"/>
        <w:keepLines w:val="0"/>
        <w:widowControl w:val="0"/>
        <w:suppressLineNumbers w:val="0"/>
        <w:autoSpaceDE w:val="0"/>
        <w:autoSpaceDN w:val="0"/>
        <w:adjustRightInd w:val="0"/>
        <w:snapToGrid w:val="0"/>
        <w:spacing w:before="0" w:beforeAutospacing="0" w:after="0" w:afterAutospacing="0" w:line="360" w:lineRule="auto"/>
        <w:ind w:left="0" w:leftChars="0" w:right="0"/>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3.9.投标人必须承担的设备运输、安装调试、验收检测和提供设备操作说明书、图纸等其他相关及类似的义务。</w:t>
      </w:r>
    </w:p>
    <w:p w14:paraId="230DF34C">
      <w:pPr>
        <w:keepNext w:val="0"/>
        <w:keepLines w:val="0"/>
        <w:widowControl w:val="0"/>
        <w:numPr>
          <w:ilvl w:val="0"/>
          <w:numId w:val="17"/>
        </w:numPr>
        <w:suppressLineNumbers w:val="0"/>
        <w:autoSpaceDE w:val="0"/>
        <w:autoSpaceDN w:val="0"/>
        <w:adjustRightInd w:val="0"/>
        <w:snapToGrid w:val="0"/>
        <w:spacing w:before="0" w:beforeAutospacing="0" w:after="0" w:afterAutospacing="0" w:line="360" w:lineRule="auto"/>
        <w:ind w:left="449" w:right="0" w:hanging="449" w:hangingChars="213"/>
        <w:jc w:val="both"/>
        <w:outlineLvl w:val="1"/>
        <w:rPr>
          <w:rFonts w:hint="eastAsia" w:ascii="宋体" w:hAnsi="宋体" w:eastAsia="宋体" w:cs="Times New Roman"/>
          <w:b/>
          <w:bCs/>
          <w:kern w:val="2"/>
          <w:sz w:val="21"/>
          <w:szCs w:val="21"/>
        </w:rPr>
      </w:pPr>
      <w:r>
        <w:rPr>
          <w:rFonts w:hint="eastAsia" w:ascii="宋体" w:hAnsi="宋体" w:eastAsia="宋体" w:cs="宋体"/>
          <w:b/>
          <w:bCs/>
          <w:kern w:val="2"/>
          <w:sz w:val="21"/>
          <w:szCs w:val="21"/>
          <w:lang w:val="en-US" w:eastAsia="zh-CN" w:bidi="ar"/>
        </w:rPr>
        <w:t>其他</w:t>
      </w:r>
    </w:p>
    <w:p w14:paraId="417E9A33">
      <w:pPr>
        <w:keepNext w:val="0"/>
        <w:keepLines w:val="0"/>
        <w:widowControl w:val="0"/>
        <w:suppressLineNumbers w:val="0"/>
        <w:autoSpaceDE w:val="0"/>
        <w:autoSpaceDN w:val="0"/>
        <w:adjustRightInd w:val="0"/>
        <w:snapToGrid w:val="0"/>
        <w:spacing w:before="0" w:beforeAutospacing="0" w:after="0" w:afterAutospacing="0" w:line="360" w:lineRule="auto"/>
        <w:ind w:left="0" w:leftChars="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4.1.所有时间均为24小时制北京时间，所有货币单位均为人民币元，所使用的计量单位均以《中华人民共和国法定计量单位》为准（特别注明除外）。</w:t>
      </w:r>
    </w:p>
    <w:p w14:paraId="0D54AED6">
      <w:pPr>
        <w:keepNext w:val="0"/>
        <w:keepLines w:val="0"/>
        <w:widowControl w:val="0"/>
        <w:suppressLineNumbers w:val="0"/>
        <w:autoSpaceDE w:val="0"/>
        <w:autoSpaceDN w:val="0"/>
        <w:adjustRightInd w:val="0"/>
        <w:snapToGrid w:val="0"/>
        <w:spacing w:before="0" w:beforeAutospacing="0" w:after="0" w:afterAutospacing="0" w:line="360" w:lineRule="auto"/>
        <w:ind w:left="0" w:leftChars="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4.2.供应商（投标人）向我院咨询的有关项目事项，一切以法律法规的规定和本院书面答复为准，其他一切形式均为个人意见，不代表本院的意见。</w:t>
      </w:r>
    </w:p>
    <w:p w14:paraId="047DF251">
      <w:pPr>
        <w:keepNext w:val="0"/>
        <w:keepLines w:val="0"/>
        <w:widowControl w:val="0"/>
        <w:suppressLineNumbers w:val="0"/>
        <w:adjustRightInd w:val="0"/>
        <w:snapToGrid w:val="0"/>
        <w:spacing w:before="0" w:beforeAutospacing="0" w:after="0" w:afterAutospacing="0" w:line="360" w:lineRule="auto"/>
        <w:ind w:left="0" w:leftChars="0" w:right="0"/>
        <w:jc w:val="both"/>
        <w:rPr>
          <w:rFonts w:hint="eastAsia" w:ascii="宋体" w:hAnsi="宋体" w:eastAsia="宋体" w:cs="宋体"/>
          <w:bCs/>
          <w:kern w:val="2"/>
          <w:sz w:val="21"/>
          <w:szCs w:val="21"/>
        </w:rPr>
      </w:pPr>
      <w:r>
        <w:rPr>
          <w:rFonts w:hint="eastAsia" w:ascii="宋体" w:hAnsi="宋体" w:eastAsia="宋体" w:cs="宋体"/>
          <w:kern w:val="2"/>
          <w:sz w:val="21"/>
          <w:szCs w:val="21"/>
          <w:lang w:val="en-US" w:eastAsia="zh-CN" w:bidi="ar"/>
        </w:rPr>
        <w:t>4.3.对列入失信“黑名单”的供应商限制参与政府采购。</w:t>
      </w:r>
      <w:r>
        <w:rPr>
          <w:rFonts w:hint="eastAsia" w:ascii="宋体" w:hAnsi="宋体" w:eastAsia="宋体" w:cs="宋体"/>
          <w:bCs/>
          <w:kern w:val="2"/>
          <w:sz w:val="21"/>
          <w:szCs w:val="21"/>
          <w:lang w:val="en-US" w:eastAsia="zh-CN" w:bidi="ar"/>
        </w:rPr>
        <w:t>供应商诚信查询方式：</w:t>
      </w:r>
      <w:r>
        <w:rPr>
          <w:rFonts w:hint="eastAsia" w:ascii="宋体" w:hAnsi="宋体" w:eastAsia="宋体" w:cs="宋体"/>
          <w:kern w:val="2"/>
          <w:sz w:val="21"/>
          <w:szCs w:val="21"/>
          <w:lang w:val="en-US" w:eastAsia="zh-CN" w:bidi="ar"/>
        </w:rPr>
        <w:t>“信用中国”网站(www.creditchina.gov.cn)没有以下任意记录名单之一：①记录失信被执行人；②税收违法黑名单；中国政府采购网</w:t>
      </w:r>
      <w:r>
        <w:rPr>
          <w:rFonts w:hint="eastAsia" w:ascii="宋体" w:hAnsi="宋体" w:eastAsia="宋体" w:cs="Times New Roman"/>
          <w:kern w:val="2"/>
          <w:sz w:val="21"/>
          <w:szCs w:val="21"/>
          <w:lang w:val="en-US" w:eastAsia="zh-CN" w:bidi="ar"/>
        </w:rPr>
        <w:t>(www.ccgp.gov.cn)不处于“政府采购严重违法失信行为信息记录”中的禁止参加政府采购活动期间</w:t>
      </w:r>
      <w:r>
        <w:rPr>
          <w:rFonts w:hint="eastAsia" w:ascii="宋体" w:hAnsi="宋体" w:eastAsia="宋体" w:cs="宋体"/>
          <w:kern w:val="2"/>
          <w:sz w:val="21"/>
          <w:szCs w:val="21"/>
          <w:lang w:val="en-US" w:eastAsia="zh-CN" w:bidi="ar"/>
        </w:rPr>
        <w:t>；在深圳信用网（</w:t>
      </w:r>
      <w:r>
        <w:rPr>
          <w:rFonts w:hint="eastAsia" w:ascii="宋体" w:hAnsi="宋体" w:eastAsia="宋体" w:cs="Times New Roman"/>
          <w:kern w:val="2"/>
          <w:sz w:val="21"/>
          <w:szCs w:val="21"/>
          <w:lang w:val="en-US" w:eastAsia="zh-CN" w:bidi="ar"/>
        </w:rPr>
        <w:t>https://www.szcredit.com.cn</w:t>
      </w:r>
      <w:r>
        <w:rPr>
          <w:rFonts w:hint="eastAsia" w:ascii="宋体" w:hAnsi="宋体" w:eastAsia="宋体" w:cs="宋体"/>
          <w:kern w:val="2"/>
          <w:sz w:val="21"/>
          <w:szCs w:val="21"/>
          <w:lang w:val="en-US" w:eastAsia="zh-CN" w:bidi="ar"/>
        </w:rPr>
        <w:t>）、</w:t>
      </w:r>
      <w:r>
        <w:rPr>
          <w:rFonts w:hint="eastAsia" w:ascii="宋体" w:hAnsi="宋体" w:eastAsia="宋体" w:cs="宋体"/>
          <w:bCs/>
          <w:kern w:val="2"/>
          <w:sz w:val="21"/>
          <w:szCs w:val="21"/>
          <w:lang w:val="en-US" w:eastAsia="zh-CN" w:bidi="ar"/>
        </w:rPr>
        <w:t>深圳市政府采购监管网（zfcg.sz.gov.cn）查询相关主体信用记录，对不符合《中华人民共和国政府采购法》第二十二条规定条件的供应商限制参与政府采购。</w:t>
      </w:r>
      <w:r>
        <w:rPr>
          <w:rFonts w:hint="eastAsia" w:ascii="宋体" w:hAnsi="宋体" w:eastAsia="宋体" w:cs="宋体"/>
          <w:kern w:val="2"/>
          <w:sz w:val="21"/>
          <w:szCs w:val="21"/>
          <w:lang w:val="en-US" w:eastAsia="zh-CN" w:bidi="ar"/>
        </w:rPr>
        <w:t>联合体投标的，对所有联合体成员进行信用记录查询，联合体成员存在不良信用记录的，视同联合体存在不良信用记录。</w:t>
      </w:r>
      <w:r>
        <w:rPr>
          <w:rFonts w:hint="eastAsia" w:ascii="宋体" w:hAnsi="宋体" w:eastAsia="宋体" w:cs="宋体"/>
          <w:bCs/>
          <w:kern w:val="2"/>
          <w:sz w:val="21"/>
          <w:szCs w:val="21"/>
          <w:lang w:val="en-US" w:eastAsia="zh-CN" w:bidi="ar"/>
        </w:rPr>
        <w:t>如在上述网站查询结果均显示没有相关记录，视为不存在上述不良信用记录。由采购人工作人员对信用信息查询记录和证据截图或下载存档，</w:t>
      </w:r>
      <w:r>
        <w:rPr>
          <w:rFonts w:hint="eastAsia" w:ascii="宋体" w:hAnsi="宋体" w:eastAsia="宋体" w:cs="宋体"/>
          <w:kern w:val="2"/>
          <w:sz w:val="21"/>
          <w:szCs w:val="21"/>
          <w:lang w:val="en-US" w:eastAsia="zh-CN" w:bidi="ar"/>
        </w:rPr>
        <w:t>相关信息以开标当日的查询结果为准。信用信息查询记录应当作为项目档案材料一并保存。</w:t>
      </w:r>
    </w:p>
    <w:p w14:paraId="3A449720">
      <w:pPr>
        <w:keepNext w:val="0"/>
        <w:keepLines w:val="0"/>
        <w:widowControl w:val="0"/>
        <w:suppressLineNumbers w:val="0"/>
        <w:adjustRightInd w:val="0"/>
        <w:snapToGrid w:val="0"/>
        <w:spacing w:before="0" w:beforeAutospacing="0" w:after="0" w:afterAutospacing="0" w:line="360" w:lineRule="auto"/>
        <w:ind w:left="0" w:leftChars="0" w:right="0"/>
        <w:jc w:val="both"/>
        <w:rPr>
          <w:rFonts w:hint="eastAsia" w:ascii="宋体" w:hAnsi="宋体" w:eastAsia="宋体" w:cs="宋体"/>
          <w:bCs/>
          <w:kern w:val="2"/>
          <w:sz w:val="21"/>
          <w:szCs w:val="21"/>
        </w:rPr>
      </w:pPr>
      <w:r>
        <w:rPr>
          <w:rFonts w:hint="eastAsia" w:ascii="宋体" w:hAnsi="宋体" w:eastAsia="宋体" w:cs="宋体"/>
          <w:bCs/>
          <w:kern w:val="2"/>
          <w:sz w:val="21"/>
          <w:szCs w:val="21"/>
          <w:lang w:val="en-US" w:eastAsia="zh-CN" w:bidi="ar"/>
        </w:rPr>
        <w:t xml:space="preserve"> </w:t>
      </w:r>
    </w:p>
    <w:p w14:paraId="623D4FAD">
      <w:pPr>
        <w:keepNext w:val="0"/>
        <w:keepLines w:val="0"/>
        <w:widowControl w:val="0"/>
        <w:suppressLineNumbers w:val="0"/>
        <w:adjustRightInd w:val="0"/>
        <w:snapToGrid w:val="0"/>
        <w:spacing w:before="0" w:beforeAutospacing="0" w:after="0" w:afterAutospacing="0" w:line="360" w:lineRule="auto"/>
        <w:ind w:left="0" w:leftChars="0" w:right="0"/>
        <w:jc w:val="center"/>
        <w:rPr>
          <w:rFonts w:hint="eastAsia" w:ascii="宋体" w:hAnsi="宋体" w:eastAsia="宋体" w:cs="宋体"/>
          <w:kern w:val="2"/>
          <w:sz w:val="30"/>
          <w:szCs w:val="30"/>
        </w:rPr>
      </w:pPr>
      <w:r>
        <w:rPr>
          <w:rFonts w:hint="eastAsia" w:ascii="宋体" w:hAnsi="宋体" w:eastAsia="宋体" w:cs="宋体"/>
          <w:kern w:val="2"/>
          <w:sz w:val="30"/>
          <w:szCs w:val="30"/>
          <w:lang w:val="en-US" w:eastAsia="zh-CN" w:bidi="ar"/>
        </w:rPr>
        <w:t>谈判文件</w:t>
      </w:r>
    </w:p>
    <w:p w14:paraId="2BD777B7">
      <w:pPr>
        <w:keepNext w:val="0"/>
        <w:keepLines w:val="0"/>
        <w:widowControl w:val="0"/>
        <w:numPr>
          <w:ilvl w:val="0"/>
          <w:numId w:val="17"/>
        </w:numPr>
        <w:suppressLineNumbers w:val="0"/>
        <w:autoSpaceDE w:val="0"/>
        <w:autoSpaceDN w:val="0"/>
        <w:adjustRightInd w:val="0"/>
        <w:snapToGrid w:val="0"/>
        <w:spacing w:before="0" w:beforeAutospacing="0" w:after="0" w:afterAutospacing="0" w:line="360" w:lineRule="auto"/>
        <w:ind w:left="449" w:right="0" w:hanging="449" w:hangingChars="213"/>
        <w:jc w:val="both"/>
        <w:outlineLvl w:val="1"/>
        <w:rPr>
          <w:rFonts w:hint="eastAsia" w:ascii="宋体" w:hAnsi="宋体" w:eastAsia="宋体" w:cs="Times New Roman"/>
          <w:b/>
          <w:bCs/>
          <w:kern w:val="2"/>
          <w:sz w:val="21"/>
          <w:szCs w:val="21"/>
        </w:rPr>
      </w:pPr>
      <w:r>
        <w:rPr>
          <w:rFonts w:hint="eastAsia" w:ascii="宋体" w:hAnsi="宋体" w:eastAsia="宋体" w:cs="宋体"/>
          <w:b/>
          <w:bCs/>
          <w:kern w:val="2"/>
          <w:sz w:val="21"/>
          <w:szCs w:val="21"/>
          <w:lang w:val="en-US" w:eastAsia="zh-CN" w:bidi="ar"/>
        </w:rPr>
        <w:t>谈判文件注意事项</w:t>
      </w:r>
    </w:p>
    <w:p w14:paraId="3C4CE490">
      <w:pPr>
        <w:keepNext w:val="0"/>
        <w:keepLines w:val="0"/>
        <w:widowControl w:val="0"/>
        <w:suppressLineNumbers w:val="0"/>
        <w:adjustRightInd w:val="0"/>
        <w:snapToGrid w:val="0"/>
        <w:spacing w:before="0" w:beforeAutospacing="0" w:after="0" w:afterAutospacing="0" w:line="360" w:lineRule="auto"/>
        <w:ind w:left="0" w:leftChars="0" w:right="0"/>
        <w:jc w:val="both"/>
        <w:rPr>
          <w:rFonts w:hint="eastAsia" w:ascii="宋体" w:hAnsi="宋体" w:eastAsia="宋体" w:cs="宋体"/>
          <w:bCs/>
          <w:kern w:val="2"/>
          <w:sz w:val="21"/>
          <w:szCs w:val="21"/>
        </w:rPr>
      </w:pPr>
      <w:r>
        <w:rPr>
          <w:rFonts w:hint="eastAsia" w:ascii="宋体" w:hAnsi="宋体" w:eastAsia="宋体" w:cs="宋体"/>
          <w:bCs/>
          <w:kern w:val="2"/>
          <w:sz w:val="21"/>
          <w:szCs w:val="21"/>
          <w:lang w:val="en-US" w:eastAsia="zh-CN" w:bidi="ar"/>
        </w:rPr>
        <w:t>5.1.投标人获得谈判文件后，应仔细检查谈判文件的所有内容，如有残缺应在投标截止时间1个工作日前向我院提出，否则，由此引起的投标损失自负；投标人同时应认真审阅谈判文件所有的事项、格式、条款和规范要求等，如果投标人的投标文件没有按谈判文件要求提交全部资料或者投标文件没有对谈判文件做出实质性响应，其风险应由投标人自行承担，并根据有关条款规定，其投标有可能被拒绝。</w:t>
      </w:r>
    </w:p>
    <w:p w14:paraId="3EED0243">
      <w:pPr>
        <w:keepNext w:val="0"/>
        <w:keepLines w:val="0"/>
        <w:widowControl w:val="0"/>
        <w:suppressLineNumbers w:val="0"/>
        <w:adjustRightInd w:val="0"/>
        <w:snapToGrid w:val="0"/>
        <w:spacing w:before="0" w:beforeAutospacing="0" w:after="0" w:afterAutospacing="0" w:line="360" w:lineRule="auto"/>
        <w:ind w:left="0" w:leftChars="0" w:right="0"/>
        <w:jc w:val="both"/>
        <w:rPr>
          <w:rFonts w:hint="eastAsia" w:ascii="宋体" w:hAnsi="宋体" w:eastAsia="宋体" w:cs="黑体"/>
          <w:b/>
          <w:bCs/>
          <w:kern w:val="2"/>
          <w:sz w:val="21"/>
          <w:szCs w:val="21"/>
        </w:rPr>
      </w:pPr>
      <w:r>
        <w:rPr>
          <w:rFonts w:hint="eastAsia" w:ascii="宋体" w:hAnsi="宋体" w:eastAsia="宋体" w:cs="宋体"/>
          <w:bCs/>
          <w:kern w:val="2"/>
          <w:sz w:val="21"/>
          <w:szCs w:val="21"/>
          <w:lang w:val="en-US" w:eastAsia="zh-CN" w:bidi="ar"/>
        </w:rPr>
        <w:t>5.2.任何人或任何组织向投标人提交的任何书面或口头资料，未经我院在网上发布或书面通知，均作无效处理，不得作为谈判文件的组成部分。我院对投标人由此而做出的推论、理解和结论概不负责。</w:t>
      </w:r>
    </w:p>
    <w:p w14:paraId="3B808E00">
      <w:pPr>
        <w:keepNext w:val="0"/>
        <w:keepLines w:val="0"/>
        <w:widowControl w:val="0"/>
        <w:suppressLineNumbers w:val="0"/>
        <w:adjustRightInd w:val="0"/>
        <w:snapToGrid w:val="0"/>
        <w:spacing w:before="0" w:beforeAutospacing="0" w:after="0" w:afterAutospacing="0" w:line="360" w:lineRule="auto"/>
        <w:ind w:left="0" w:leftChars="0" w:right="0"/>
        <w:jc w:val="both"/>
        <w:rPr>
          <w:rFonts w:hint="eastAsia" w:ascii="宋体" w:hAnsi="宋体" w:eastAsia="宋体" w:cs="宋体"/>
          <w:bCs/>
          <w:kern w:val="2"/>
          <w:sz w:val="21"/>
          <w:szCs w:val="21"/>
        </w:rPr>
      </w:pPr>
      <w:r>
        <w:rPr>
          <w:rFonts w:hint="eastAsia" w:ascii="宋体" w:hAnsi="宋体" w:eastAsia="宋体" w:cs="宋体"/>
          <w:bCs/>
          <w:kern w:val="2"/>
          <w:sz w:val="21"/>
          <w:szCs w:val="21"/>
          <w:lang w:val="en-US" w:eastAsia="zh-CN" w:bidi="ar"/>
        </w:rPr>
        <w:t>5.3.谈判文件澄清的目的是澄清、解答投标人在查阅谈判文件后或现场踏勘中可能提出的与投标有关的疑问或询问。谈判文件的修改性文件，如补充、澄清文件或谈判文件修订说明同样具有法律效力。</w:t>
      </w:r>
    </w:p>
    <w:p w14:paraId="4DEC470C">
      <w:pPr>
        <w:keepNext w:val="0"/>
        <w:keepLines w:val="0"/>
        <w:widowControl w:val="0"/>
        <w:suppressLineNumbers w:val="0"/>
        <w:adjustRightInd w:val="0"/>
        <w:snapToGrid w:val="0"/>
        <w:spacing w:before="0" w:beforeAutospacing="0" w:after="0" w:afterAutospacing="0" w:line="360" w:lineRule="auto"/>
        <w:ind w:left="0" w:leftChars="0" w:right="0"/>
        <w:jc w:val="both"/>
        <w:rPr>
          <w:rFonts w:hint="eastAsia" w:ascii="宋体" w:hAnsi="宋体" w:eastAsia="宋体" w:cs="宋体"/>
          <w:bCs/>
          <w:kern w:val="2"/>
          <w:sz w:val="21"/>
          <w:szCs w:val="21"/>
        </w:rPr>
      </w:pPr>
      <w:r>
        <w:rPr>
          <w:rFonts w:hint="eastAsia" w:ascii="宋体" w:hAnsi="宋体" w:eastAsia="宋体" w:cs="宋体"/>
          <w:bCs/>
          <w:kern w:val="2"/>
          <w:sz w:val="21"/>
          <w:szCs w:val="21"/>
          <w:lang w:val="en-US" w:eastAsia="zh-CN" w:bidi="ar"/>
        </w:rPr>
        <w:t>5.4.对谈判文件进行澄清或者对谈判文件有限制性、倾向性条款提出谈判答疑的投标人，均应于“谈判公告”中所述投标截止时间1个工作日前书面通知我院。我院对规定时间内收到的对谈判文件的澄清或者质疑，视情况予以答复。</w:t>
      </w:r>
    </w:p>
    <w:p w14:paraId="3B272770">
      <w:pPr>
        <w:keepNext w:val="0"/>
        <w:keepLines w:val="0"/>
        <w:widowControl w:val="0"/>
        <w:suppressLineNumbers w:val="0"/>
        <w:adjustRightInd w:val="0"/>
        <w:snapToGrid w:val="0"/>
        <w:spacing w:before="0" w:beforeAutospacing="0" w:after="0" w:afterAutospacing="0" w:line="360" w:lineRule="auto"/>
        <w:ind w:left="0" w:leftChars="0" w:right="0"/>
        <w:jc w:val="both"/>
        <w:rPr>
          <w:rFonts w:hint="eastAsia" w:ascii="宋体" w:hAnsi="宋体" w:eastAsia="宋体" w:cs="宋体"/>
          <w:bCs/>
          <w:kern w:val="2"/>
          <w:sz w:val="21"/>
          <w:szCs w:val="21"/>
        </w:rPr>
      </w:pPr>
      <w:r>
        <w:rPr>
          <w:rFonts w:hint="eastAsia" w:ascii="宋体" w:hAnsi="宋体" w:eastAsia="宋体" w:cs="宋体"/>
          <w:bCs/>
          <w:kern w:val="2"/>
          <w:sz w:val="21"/>
          <w:szCs w:val="21"/>
          <w:lang w:val="en-US" w:eastAsia="zh-CN" w:bidi="ar"/>
        </w:rPr>
        <w:t>5.5.不论是我院根据需要主动对谈判文件进行必要的澄清或是根据投标人的要求对谈判文件做出澄清，我院都将在投标截止日期前以书面形式（包括网站发布方式）答复或发送给所有投标人。答复内容是谈判文件的组成部分，对投标人起约束作用。</w:t>
      </w:r>
    </w:p>
    <w:p w14:paraId="02F67BD4">
      <w:pPr>
        <w:keepNext w:val="0"/>
        <w:keepLines w:val="0"/>
        <w:widowControl w:val="0"/>
        <w:suppressLineNumbers w:val="0"/>
        <w:adjustRightInd w:val="0"/>
        <w:snapToGrid w:val="0"/>
        <w:spacing w:before="0" w:beforeAutospacing="0" w:after="0" w:afterAutospacing="0" w:line="360" w:lineRule="auto"/>
        <w:ind w:left="0" w:leftChars="0" w:right="0"/>
        <w:jc w:val="both"/>
        <w:rPr>
          <w:rFonts w:hint="eastAsia" w:ascii="宋体" w:hAnsi="宋体" w:eastAsia="宋体" w:cs="宋体"/>
          <w:bCs/>
          <w:kern w:val="2"/>
          <w:sz w:val="21"/>
          <w:szCs w:val="21"/>
        </w:rPr>
      </w:pPr>
      <w:r>
        <w:rPr>
          <w:rFonts w:hint="eastAsia" w:ascii="宋体" w:hAnsi="宋体" w:eastAsia="宋体" w:cs="宋体"/>
          <w:bCs/>
          <w:kern w:val="2"/>
          <w:sz w:val="21"/>
          <w:szCs w:val="21"/>
          <w:lang w:val="en-US" w:eastAsia="zh-CN" w:bidi="ar"/>
        </w:rPr>
        <w:t>5.6.谈判文件发出后，在投标截止日期前任何时候，确需要变更谈判内容的，我院可主动地或在解答投标人提出的澄清问题时对谈判文件进行修改。</w:t>
      </w:r>
    </w:p>
    <w:p w14:paraId="0B60A5B4">
      <w:pPr>
        <w:keepNext w:val="0"/>
        <w:keepLines w:val="0"/>
        <w:widowControl w:val="0"/>
        <w:suppressLineNumbers w:val="0"/>
        <w:adjustRightInd w:val="0"/>
        <w:snapToGrid w:val="0"/>
        <w:spacing w:before="0" w:beforeAutospacing="0" w:after="0" w:afterAutospacing="0" w:line="360" w:lineRule="auto"/>
        <w:ind w:left="0" w:leftChars="0" w:right="0"/>
        <w:jc w:val="both"/>
        <w:rPr>
          <w:rFonts w:hint="eastAsia" w:ascii="宋体" w:hAnsi="宋体" w:eastAsia="宋体" w:cs="宋体"/>
          <w:bCs/>
          <w:kern w:val="2"/>
          <w:sz w:val="21"/>
          <w:szCs w:val="21"/>
        </w:rPr>
      </w:pPr>
      <w:r>
        <w:rPr>
          <w:rFonts w:hint="eastAsia" w:ascii="宋体" w:hAnsi="宋体" w:eastAsia="宋体" w:cs="宋体"/>
          <w:bCs/>
          <w:kern w:val="2"/>
          <w:sz w:val="21"/>
          <w:szCs w:val="21"/>
          <w:lang w:val="en-US" w:eastAsia="zh-CN" w:bidi="ar"/>
        </w:rPr>
        <w:t>5.7.谈判文件的修改均在指定网站（医院官网）以网上公告形式发布，并对投标人具有约束力，在项目开标前，投标人有义务上网查看，公告一经上网发布，即视为送达。</w:t>
      </w:r>
    </w:p>
    <w:p w14:paraId="4B43CFE0">
      <w:pPr>
        <w:keepNext w:val="0"/>
        <w:keepLines w:val="0"/>
        <w:widowControl w:val="0"/>
        <w:suppressLineNumbers w:val="0"/>
        <w:adjustRightInd w:val="0"/>
        <w:snapToGrid w:val="0"/>
        <w:spacing w:before="0" w:beforeAutospacing="0" w:after="0" w:afterAutospacing="0" w:line="360" w:lineRule="auto"/>
        <w:ind w:left="0" w:leftChars="0" w:right="0"/>
        <w:jc w:val="both"/>
        <w:rPr>
          <w:rFonts w:hint="eastAsia" w:ascii="宋体" w:hAnsi="宋体" w:eastAsia="宋体" w:cs="宋体"/>
          <w:bCs/>
          <w:kern w:val="2"/>
          <w:sz w:val="21"/>
          <w:szCs w:val="21"/>
        </w:rPr>
      </w:pPr>
      <w:r>
        <w:rPr>
          <w:rFonts w:hint="eastAsia" w:ascii="宋体" w:hAnsi="宋体" w:eastAsia="宋体" w:cs="宋体"/>
          <w:bCs/>
          <w:kern w:val="2"/>
          <w:sz w:val="21"/>
          <w:szCs w:val="21"/>
          <w:lang w:val="en-US" w:eastAsia="zh-CN" w:bidi="ar"/>
        </w:rPr>
        <w:t>5.8.谈判文件、谈判文件澄清（答疑）纪要、谈判文件修改补充通知内容均以书面明确的内容为准。当谈判文件、修改补充通知、澄清（答疑）纪要内容相互矛盾时，以最后发出的通知（或纪要）或修改文件为准。</w:t>
      </w:r>
    </w:p>
    <w:p w14:paraId="425D2759">
      <w:pPr>
        <w:keepNext w:val="0"/>
        <w:keepLines w:val="0"/>
        <w:widowControl w:val="0"/>
        <w:suppressLineNumbers w:val="0"/>
        <w:adjustRightInd w:val="0"/>
        <w:snapToGrid w:val="0"/>
        <w:spacing w:before="0" w:beforeAutospacing="0" w:after="0" w:afterAutospacing="0" w:line="360" w:lineRule="auto"/>
        <w:ind w:left="0" w:leftChars="0" w:right="0"/>
        <w:jc w:val="both"/>
        <w:rPr>
          <w:rFonts w:hint="eastAsia" w:ascii="宋体" w:hAnsi="宋体" w:eastAsia="宋体" w:cs="宋体"/>
          <w:bCs/>
          <w:kern w:val="2"/>
          <w:sz w:val="21"/>
          <w:szCs w:val="21"/>
        </w:rPr>
      </w:pPr>
      <w:r>
        <w:rPr>
          <w:rFonts w:hint="eastAsia" w:ascii="宋体" w:hAnsi="宋体" w:eastAsia="宋体" w:cs="宋体"/>
          <w:bCs/>
          <w:kern w:val="2"/>
          <w:sz w:val="21"/>
          <w:szCs w:val="21"/>
          <w:lang w:val="en-US" w:eastAsia="zh-CN" w:bidi="ar"/>
        </w:rPr>
        <w:t>5.9.我院保证谈判文件澄清（答疑）纪要和谈判文件修改补充通知在投标截止时间前以网站公开发布形式或书面形式发送给所有投标人。为使投标人在编写投标文件时有充分时间对谈判文件的修改部分进行研究，我院可以酌情延长递交投标文件的截止日期，具体时间将在修改补充通知中明确。</w:t>
      </w:r>
    </w:p>
    <w:p w14:paraId="3E0A9DCE">
      <w:pPr>
        <w:keepNext w:val="0"/>
        <w:keepLines w:val="0"/>
        <w:widowControl w:val="0"/>
        <w:suppressLineNumbers w:val="0"/>
        <w:adjustRightInd w:val="0"/>
        <w:snapToGrid w:val="0"/>
        <w:spacing w:before="0" w:beforeAutospacing="0" w:after="0" w:afterAutospacing="0" w:line="360" w:lineRule="auto"/>
        <w:ind w:left="0" w:leftChars="0" w:right="0"/>
        <w:jc w:val="both"/>
        <w:rPr>
          <w:rFonts w:hint="eastAsia" w:ascii="宋体" w:hAnsi="宋体" w:eastAsia="宋体" w:cs="宋体"/>
          <w:bCs/>
          <w:kern w:val="2"/>
          <w:sz w:val="21"/>
          <w:szCs w:val="21"/>
        </w:rPr>
      </w:pPr>
      <w:r>
        <w:rPr>
          <w:rFonts w:hint="eastAsia" w:ascii="宋体" w:hAnsi="宋体" w:eastAsia="宋体" w:cs="宋体"/>
          <w:bCs/>
          <w:kern w:val="2"/>
          <w:sz w:val="21"/>
          <w:szCs w:val="21"/>
          <w:lang w:val="en-US" w:eastAsia="zh-CN" w:bidi="ar"/>
        </w:rPr>
        <w:t>5.10.谈判文件由深圳市福田区第二人民医院负责解释。</w:t>
      </w:r>
    </w:p>
    <w:p w14:paraId="3DB7068F">
      <w:pPr>
        <w:keepNext w:val="0"/>
        <w:keepLines w:val="0"/>
        <w:widowControl w:val="0"/>
        <w:suppressLineNumbers w:val="0"/>
        <w:adjustRightInd w:val="0"/>
        <w:snapToGrid w:val="0"/>
        <w:spacing w:before="0" w:beforeAutospacing="0" w:after="0" w:afterAutospacing="0" w:line="360" w:lineRule="auto"/>
        <w:ind w:left="0" w:leftChars="0" w:right="0"/>
        <w:jc w:val="both"/>
        <w:rPr>
          <w:rFonts w:hint="eastAsia" w:ascii="宋体" w:hAnsi="宋体" w:eastAsia="宋体" w:cs="Times New Roman"/>
          <w:kern w:val="2"/>
          <w:sz w:val="21"/>
          <w:szCs w:val="21"/>
        </w:rPr>
      </w:pPr>
      <w:r>
        <w:rPr>
          <w:rFonts w:hint="eastAsia" w:ascii="宋体" w:hAnsi="宋体" w:eastAsia="宋体" w:cs="宋体"/>
          <w:bCs/>
          <w:kern w:val="2"/>
          <w:sz w:val="21"/>
          <w:szCs w:val="21"/>
          <w:lang w:val="en-US" w:eastAsia="zh-CN" w:bidi="ar"/>
        </w:rPr>
        <w:t>5.11.</w:t>
      </w:r>
      <w:r>
        <w:rPr>
          <w:rFonts w:hint="eastAsia" w:ascii="宋体" w:hAnsi="宋体" w:eastAsia="宋体" w:cs="宋体"/>
          <w:kern w:val="2"/>
          <w:sz w:val="21"/>
          <w:szCs w:val="21"/>
          <w:lang w:val="en-US" w:eastAsia="zh-CN" w:bidi="ar"/>
        </w:rPr>
        <w:t>本次招投标的最终解释权归</w:t>
      </w:r>
      <w:r>
        <w:rPr>
          <w:rFonts w:hint="eastAsia" w:ascii="宋体" w:hAnsi="宋体" w:eastAsia="宋体" w:cs="宋体"/>
          <w:bCs/>
          <w:kern w:val="2"/>
          <w:sz w:val="21"/>
          <w:szCs w:val="21"/>
          <w:lang w:val="en-US" w:eastAsia="zh-CN" w:bidi="ar"/>
        </w:rPr>
        <w:t>深圳市福田区第二人民医院</w:t>
      </w:r>
      <w:r>
        <w:rPr>
          <w:rFonts w:hint="eastAsia" w:ascii="宋体" w:hAnsi="宋体" w:eastAsia="宋体" w:cs="宋体"/>
          <w:kern w:val="2"/>
          <w:sz w:val="21"/>
          <w:szCs w:val="21"/>
          <w:lang w:val="en-US" w:eastAsia="zh-CN" w:bidi="ar"/>
        </w:rPr>
        <w:t>所有。本文件未作须知明示，而又有相关法律、法规规定的，</w:t>
      </w:r>
      <w:r>
        <w:rPr>
          <w:rFonts w:hint="eastAsia" w:ascii="宋体" w:hAnsi="宋体" w:eastAsia="宋体" w:cs="宋体"/>
          <w:bCs/>
          <w:kern w:val="2"/>
          <w:sz w:val="21"/>
          <w:szCs w:val="21"/>
          <w:lang w:val="en-US" w:eastAsia="zh-CN" w:bidi="ar"/>
        </w:rPr>
        <w:t>深圳市福田区第二人民医院</w:t>
      </w:r>
      <w:r>
        <w:rPr>
          <w:rFonts w:hint="eastAsia" w:ascii="宋体" w:hAnsi="宋体" w:eastAsia="宋体" w:cs="宋体"/>
          <w:kern w:val="2"/>
          <w:sz w:val="21"/>
          <w:szCs w:val="21"/>
          <w:lang w:val="en-US" w:eastAsia="zh-CN" w:bidi="ar"/>
        </w:rPr>
        <w:t>将对此解释为依据有关法律、法规的规定。</w:t>
      </w:r>
    </w:p>
    <w:p w14:paraId="440AE51F">
      <w:pPr>
        <w:keepNext w:val="0"/>
        <w:keepLines w:val="0"/>
        <w:widowControl w:val="0"/>
        <w:suppressLineNumbers w:val="0"/>
        <w:adjustRightInd w:val="0"/>
        <w:snapToGrid w:val="0"/>
        <w:spacing w:before="0" w:beforeAutospacing="0" w:after="0" w:afterAutospacing="0" w:line="360" w:lineRule="auto"/>
        <w:ind w:left="0" w:leftChars="0" w:right="0"/>
        <w:jc w:val="both"/>
        <w:rPr>
          <w:rFonts w:hint="eastAsia" w:ascii="宋体" w:hAnsi="宋体" w:eastAsia="宋体" w:cs="宋体"/>
          <w:bCs/>
          <w:kern w:val="2"/>
          <w:sz w:val="21"/>
          <w:szCs w:val="21"/>
        </w:rPr>
      </w:pPr>
      <w:r>
        <w:rPr>
          <w:rFonts w:hint="eastAsia" w:ascii="宋体" w:hAnsi="宋体" w:eastAsia="宋体" w:cs="宋体"/>
          <w:bCs/>
          <w:kern w:val="2"/>
          <w:sz w:val="21"/>
          <w:szCs w:val="21"/>
          <w:lang w:val="en-US" w:eastAsia="zh-CN" w:bidi="ar"/>
        </w:rPr>
        <w:t xml:space="preserve"> </w:t>
      </w:r>
    </w:p>
    <w:p w14:paraId="31559E6C">
      <w:pPr>
        <w:pStyle w:val="3"/>
        <w:widowControl/>
        <w:ind w:left="420" w:leftChars="0" w:hanging="420" w:firstLineChars="0"/>
        <w:jc w:val="center"/>
        <w:outlineLvl w:val="0"/>
        <w:rPr>
          <w:rFonts w:hint="eastAsia" w:ascii="宋体" w:hAnsi="宋体" w:eastAsia="宋体" w:cs="宋体"/>
          <w:kern w:val="2"/>
          <w:sz w:val="30"/>
          <w:szCs w:val="30"/>
        </w:rPr>
      </w:pPr>
      <w:r>
        <w:rPr>
          <w:rFonts w:hint="eastAsia" w:ascii="宋体" w:hAnsi="宋体" w:eastAsia="宋体" w:cs="宋体"/>
          <w:kern w:val="2"/>
          <w:sz w:val="30"/>
          <w:szCs w:val="30"/>
        </w:rPr>
        <w:t>投标文件的编制</w:t>
      </w:r>
    </w:p>
    <w:p w14:paraId="204F4035">
      <w:pPr>
        <w:keepNext w:val="0"/>
        <w:keepLines w:val="0"/>
        <w:widowControl w:val="0"/>
        <w:numPr>
          <w:ilvl w:val="0"/>
          <w:numId w:val="17"/>
        </w:numPr>
        <w:suppressLineNumbers w:val="0"/>
        <w:autoSpaceDE w:val="0"/>
        <w:autoSpaceDN w:val="0"/>
        <w:adjustRightInd w:val="0"/>
        <w:snapToGrid w:val="0"/>
        <w:spacing w:before="0" w:beforeAutospacing="0" w:after="0" w:afterAutospacing="0" w:line="360" w:lineRule="auto"/>
        <w:ind w:left="449" w:right="0" w:hanging="449" w:hangingChars="213"/>
        <w:jc w:val="both"/>
        <w:outlineLvl w:val="1"/>
        <w:rPr>
          <w:rFonts w:hint="eastAsia" w:ascii="宋体" w:hAnsi="宋体" w:eastAsia="宋体" w:cs="Times New Roman"/>
          <w:b/>
          <w:bCs/>
          <w:kern w:val="2"/>
          <w:sz w:val="21"/>
          <w:szCs w:val="21"/>
        </w:rPr>
      </w:pPr>
      <w:r>
        <w:rPr>
          <w:rFonts w:hint="eastAsia" w:ascii="宋体" w:hAnsi="宋体" w:eastAsia="宋体" w:cs="宋体"/>
          <w:b/>
          <w:bCs/>
          <w:kern w:val="2"/>
          <w:sz w:val="21"/>
          <w:szCs w:val="21"/>
          <w:lang w:val="en-US" w:eastAsia="zh-CN" w:bidi="ar"/>
        </w:rPr>
        <w:t>投标的语言及度量单位</w:t>
      </w:r>
    </w:p>
    <w:p w14:paraId="6D6FAD09">
      <w:pPr>
        <w:keepNext w:val="0"/>
        <w:keepLines w:val="0"/>
        <w:widowControl w:val="0"/>
        <w:suppressLineNumbers w:val="0"/>
        <w:autoSpaceDE w:val="0"/>
        <w:autoSpaceDN w:val="0"/>
        <w:adjustRightInd w:val="0"/>
        <w:snapToGrid w:val="0"/>
        <w:spacing w:before="0" w:beforeAutospacing="0" w:after="0" w:afterAutospacing="0" w:line="360" w:lineRule="auto"/>
        <w:ind w:left="0" w:leftChars="0" w:right="0"/>
        <w:jc w:val="both"/>
        <w:rPr>
          <w:rFonts w:hint="eastAsia" w:ascii="宋体" w:hAnsi="宋体" w:eastAsia="宋体" w:cs="黑体"/>
          <w:b/>
          <w:bCs/>
          <w:kern w:val="2"/>
          <w:sz w:val="21"/>
          <w:szCs w:val="21"/>
        </w:rPr>
      </w:pPr>
      <w:r>
        <w:rPr>
          <w:rFonts w:hint="eastAsia" w:ascii="宋体" w:hAnsi="宋体" w:eastAsia="宋体" w:cs="宋体"/>
          <w:kern w:val="2"/>
          <w:sz w:val="21"/>
          <w:szCs w:val="21"/>
          <w:lang w:val="en-US" w:eastAsia="zh-CN" w:bidi="ar"/>
        </w:rPr>
        <w:t>6.1.投标人提交的投标文件以及投标人与采购人就有关投标的所有来往函电均应使用中文书写。投标人提交的支持文件或印刷的资料可以用另一种语言，但相应内容应附有中文翻译本，由翻译机构盖章或者翻译人员签名。两种语言不一致时以中文翻译本为准。</w:t>
      </w:r>
    </w:p>
    <w:p w14:paraId="7A980546">
      <w:pPr>
        <w:keepNext w:val="0"/>
        <w:keepLines w:val="0"/>
        <w:widowControl w:val="0"/>
        <w:suppressLineNumbers w:val="0"/>
        <w:autoSpaceDE w:val="0"/>
        <w:autoSpaceDN w:val="0"/>
        <w:adjustRightInd w:val="0"/>
        <w:snapToGrid w:val="0"/>
        <w:spacing w:before="0" w:beforeAutospacing="0" w:after="0" w:afterAutospacing="0" w:line="360" w:lineRule="auto"/>
        <w:ind w:left="0" w:leftChars="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6.2.除技术规范另有规定外，投标文件使用的度量单位，均采用中华人民共和国法定计量单位。</w:t>
      </w:r>
    </w:p>
    <w:p w14:paraId="44A828F4">
      <w:pPr>
        <w:keepNext w:val="0"/>
        <w:keepLines w:val="0"/>
        <w:widowControl w:val="0"/>
        <w:numPr>
          <w:ilvl w:val="0"/>
          <w:numId w:val="17"/>
        </w:numPr>
        <w:suppressLineNumbers w:val="0"/>
        <w:autoSpaceDE w:val="0"/>
        <w:autoSpaceDN w:val="0"/>
        <w:adjustRightInd w:val="0"/>
        <w:snapToGrid w:val="0"/>
        <w:spacing w:before="0" w:beforeAutospacing="0" w:after="0" w:afterAutospacing="0" w:line="360" w:lineRule="auto"/>
        <w:ind w:left="449" w:right="0" w:hanging="449" w:hangingChars="213"/>
        <w:jc w:val="both"/>
        <w:outlineLvl w:val="1"/>
        <w:rPr>
          <w:rFonts w:hint="eastAsia" w:ascii="宋体" w:hAnsi="宋体" w:eastAsia="宋体" w:cs="Times New Roman"/>
          <w:b/>
          <w:bCs/>
          <w:kern w:val="2"/>
          <w:sz w:val="21"/>
          <w:szCs w:val="21"/>
        </w:rPr>
      </w:pPr>
      <w:r>
        <w:rPr>
          <w:rFonts w:hint="eastAsia" w:ascii="宋体" w:hAnsi="宋体" w:eastAsia="宋体" w:cs="宋体"/>
          <w:b/>
          <w:bCs/>
          <w:kern w:val="2"/>
          <w:sz w:val="21"/>
          <w:szCs w:val="21"/>
          <w:lang w:val="en-US" w:eastAsia="zh-CN" w:bidi="ar"/>
        </w:rPr>
        <w:t>投标文件的构成</w:t>
      </w:r>
    </w:p>
    <w:p w14:paraId="6CC0E2F7">
      <w:pPr>
        <w:keepNext w:val="0"/>
        <w:keepLines w:val="0"/>
        <w:widowControl w:val="0"/>
        <w:suppressLineNumbers w:val="0"/>
        <w:autoSpaceDE w:val="0"/>
        <w:autoSpaceDN w:val="0"/>
        <w:adjustRightInd w:val="0"/>
        <w:snapToGrid w:val="0"/>
        <w:spacing w:before="0" w:beforeAutospacing="0" w:after="0" w:afterAutospacing="0" w:line="360" w:lineRule="auto"/>
        <w:ind w:left="0" w:leftChars="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7.1.投标人编写的投标文件应包括资格性文件、符合性文件、技术文件、商务文件等，编排顺序参见投标文件格式。</w:t>
      </w:r>
    </w:p>
    <w:p w14:paraId="0C642C33">
      <w:pPr>
        <w:keepNext w:val="0"/>
        <w:keepLines w:val="0"/>
        <w:widowControl w:val="0"/>
        <w:suppressLineNumbers w:val="0"/>
        <w:autoSpaceDE w:val="0"/>
        <w:autoSpaceDN w:val="0"/>
        <w:adjustRightInd w:val="0"/>
        <w:snapToGrid w:val="0"/>
        <w:spacing w:before="0" w:beforeAutospacing="0" w:after="0" w:afterAutospacing="0" w:line="360" w:lineRule="auto"/>
        <w:ind w:left="0" w:leftChars="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7.2.投标文件的构成应符合法律法规及谈判文件的要求。</w:t>
      </w:r>
    </w:p>
    <w:p w14:paraId="2B3B7762">
      <w:pPr>
        <w:keepNext w:val="0"/>
        <w:keepLines w:val="0"/>
        <w:widowControl w:val="0"/>
        <w:numPr>
          <w:ilvl w:val="0"/>
          <w:numId w:val="17"/>
        </w:numPr>
        <w:suppressLineNumbers w:val="0"/>
        <w:autoSpaceDE w:val="0"/>
        <w:autoSpaceDN w:val="0"/>
        <w:adjustRightInd w:val="0"/>
        <w:snapToGrid w:val="0"/>
        <w:spacing w:before="0" w:beforeAutospacing="0" w:after="0" w:afterAutospacing="0" w:line="360" w:lineRule="auto"/>
        <w:ind w:left="449" w:right="0" w:hanging="449" w:hangingChars="213"/>
        <w:jc w:val="both"/>
        <w:outlineLvl w:val="1"/>
        <w:rPr>
          <w:rFonts w:hint="eastAsia" w:ascii="宋体" w:hAnsi="宋体" w:eastAsia="宋体" w:cs="Times New Roman"/>
          <w:b/>
          <w:bCs/>
          <w:kern w:val="2"/>
          <w:sz w:val="21"/>
          <w:szCs w:val="21"/>
        </w:rPr>
      </w:pPr>
      <w:r>
        <w:rPr>
          <w:rFonts w:hint="eastAsia" w:ascii="宋体" w:hAnsi="宋体" w:eastAsia="宋体" w:cs="宋体"/>
          <w:b/>
          <w:bCs/>
          <w:kern w:val="2"/>
          <w:sz w:val="21"/>
          <w:szCs w:val="21"/>
          <w:lang w:val="en-US" w:eastAsia="zh-CN" w:bidi="ar"/>
        </w:rPr>
        <w:t>投标文件的编写</w:t>
      </w:r>
    </w:p>
    <w:p w14:paraId="239B2D91">
      <w:pPr>
        <w:keepNext w:val="0"/>
        <w:keepLines w:val="0"/>
        <w:widowControl w:val="0"/>
        <w:suppressLineNumbers w:val="0"/>
        <w:autoSpaceDE w:val="0"/>
        <w:autoSpaceDN w:val="0"/>
        <w:adjustRightInd w:val="0"/>
        <w:snapToGrid w:val="0"/>
        <w:spacing w:before="0" w:beforeAutospacing="0" w:after="0" w:afterAutospacing="0" w:line="360" w:lineRule="auto"/>
        <w:ind w:left="0" w:leftChars="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8.1.投标人对谈判文件中多个包组进行投标的，其投标文件的编制可按每个包组的要求分别装订和密封。投标人应当对投标文件进行装订，对未经装订的投标文件可能发生的文件散落或缺损，由此造成的后果和责任由投标人承担。</w:t>
      </w:r>
    </w:p>
    <w:p w14:paraId="5D899A2C">
      <w:pPr>
        <w:keepNext w:val="0"/>
        <w:keepLines w:val="0"/>
        <w:widowControl w:val="0"/>
        <w:suppressLineNumbers w:val="0"/>
        <w:tabs>
          <w:tab w:val="left" w:pos="709"/>
        </w:tabs>
        <w:autoSpaceDE w:val="0"/>
        <w:autoSpaceDN w:val="0"/>
        <w:adjustRightInd w:val="0"/>
        <w:snapToGrid w:val="0"/>
        <w:spacing w:before="0" w:beforeAutospacing="0" w:after="0" w:afterAutospacing="0" w:line="360" w:lineRule="auto"/>
        <w:ind w:left="0" w:leftChars="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8.2.投标人必须对投标文件所提供的全部资料的真实性承担法律责任，并无条件接受采购人或者政府采购监督管理部门对其中任何资料进行核实的要求。</w:t>
      </w:r>
    </w:p>
    <w:p w14:paraId="6157B23E">
      <w:pPr>
        <w:keepNext w:val="0"/>
        <w:keepLines w:val="0"/>
        <w:widowControl w:val="0"/>
        <w:suppressLineNumbers w:val="0"/>
        <w:autoSpaceDE w:val="0"/>
        <w:autoSpaceDN w:val="0"/>
        <w:adjustRightInd w:val="0"/>
        <w:snapToGrid w:val="0"/>
        <w:spacing w:before="0" w:beforeAutospacing="0" w:after="0" w:afterAutospacing="0" w:line="360" w:lineRule="auto"/>
        <w:ind w:left="0" w:leftChars="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8.3.如果因为投标人的投标文件只填写和提供了本谈判文件要求的部分内容和附件，或没有提供谈判文件中所要求的资料及数据，由此造成的后果和责任由投标人承担。</w:t>
      </w:r>
    </w:p>
    <w:p w14:paraId="1691DAAE">
      <w:pPr>
        <w:keepNext w:val="0"/>
        <w:keepLines w:val="0"/>
        <w:widowControl w:val="0"/>
        <w:suppressLineNumbers w:val="0"/>
        <w:autoSpaceDE w:val="0"/>
        <w:autoSpaceDN w:val="0"/>
        <w:adjustRightInd w:val="0"/>
        <w:snapToGrid w:val="0"/>
        <w:spacing w:before="0" w:beforeAutospacing="0" w:after="0" w:afterAutospacing="0" w:line="360" w:lineRule="auto"/>
        <w:ind w:left="0" w:leftChars="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8.4.投标人应认真阅读、并充分理解谈判文件的全部内容（包括所有的补充、修改内容重要事项、格式、条款和技术规范、参数及要求等）。投标人没有按照谈判文件要求提交资料，或者投标文件没有对谈判文件在各方面都作出实质性响应是投标人的风险，有可能导致其投标被认定为无效投标或被确定为投标无效。</w:t>
      </w:r>
    </w:p>
    <w:p w14:paraId="3E2D64AA">
      <w:pPr>
        <w:keepNext w:val="0"/>
        <w:keepLines w:val="0"/>
        <w:widowControl w:val="0"/>
        <w:suppressLineNumbers w:val="0"/>
        <w:autoSpaceDE w:val="0"/>
        <w:autoSpaceDN w:val="0"/>
        <w:adjustRightInd w:val="0"/>
        <w:snapToGrid w:val="0"/>
        <w:spacing w:before="0" w:beforeAutospacing="0" w:after="0" w:afterAutospacing="0" w:line="360" w:lineRule="auto"/>
        <w:ind w:left="0" w:leftChars="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8.5.如谈判文件提供了投标文件格式，则投标人提交的投标文件必须毫无例外地使用谈判文件所提供的相应格式（表格可以按同样格式扩展）。</w:t>
      </w:r>
    </w:p>
    <w:p w14:paraId="465813C0">
      <w:pPr>
        <w:keepNext w:val="0"/>
        <w:keepLines w:val="0"/>
        <w:widowControl w:val="0"/>
        <w:numPr>
          <w:ilvl w:val="0"/>
          <w:numId w:val="17"/>
        </w:numPr>
        <w:suppressLineNumbers w:val="0"/>
        <w:autoSpaceDE w:val="0"/>
        <w:autoSpaceDN w:val="0"/>
        <w:adjustRightInd w:val="0"/>
        <w:snapToGrid w:val="0"/>
        <w:spacing w:before="0" w:beforeAutospacing="0" w:after="0" w:afterAutospacing="0" w:line="360" w:lineRule="auto"/>
        <w:ind w:left="449" w:right="0" w:hanging="449" w:hangingChars="213"/>
        <w:jc w:val="both"/>
        <w:outlineLvl w:val="1"/>
        <w:rPr>
          <w:rFonts w:hint="eastAsia" w:ascii="宋体" w:hAnsi="宋体" w:eastAsia="宋体" w:cs="Times New Roman"/>
          <w:b/>
          <w:bCs/>
          <w:kern w:val="2"/>
          <w:sz w:val="21"/>
          <w:szCs w:val="21"/>
        </w:rPr>
      </w:pPr>
      <w:r>
        <w:rPr>
          <w:rFonts w:hint="eastAsia" w:ascii="宋体" w:hAnsi="宋体" w:eastAsia="宋体" w:cs="宋体"/>
          <w:b/>
          <w:bCs/>
          <w:kern w:val="2"/>
          <w:sz w:val="21"/>
          <w:szCs w:val="21"/>
          <w:lang w:val="en-US" w:eastAsia="zh-CN" w:bidi="ar"/>
        </w:rPr>
        <w:t>投标报价</w:t>
      </w:r>
    </w:p>
    <w:p w14:paraId="600A4B1E">
      <w:pPr>
        <w:keepNext w:val="0"/>
        <w:keepLines w:val="0"/>
        <w:widowControl w:val="0"/>
        <w:suppressLineNumbers w:val="0"/>
        <w:autoSpaceDE w:val="0"/>
        <w:autoSpaceDN w:val="0"/>
        <w:adjustRightInd w:val="0"/>
        <w:snapToGrid w:val="0"/>
        <w:spacing w:before="0" w:beforeAutospacing="0" w:after="0" w:afterAutospacing="0" w:line="360" w:lineRule="auto"/>
        <w:ind w:left="0" w:leftChars="0" w:right="0"/>
        <w:jc w:val="both"/>
        <w:rPr>
          <w:rFonts w:hint="eastAsia" w:ascii="宋体" w:hAnsi="宋体" w:eastAsia="宋体" w:cs="黑体"/>
          <w:b/>
          <w:bCs/>
          <w:kern w:val="2"/>
          <w:sz w:val="21"/>
          <w:szCs w:val="21"/>
        </w:rPr>
      </w:pPr>
      <w:r>
        <w:rPr>
          <w:rFonts w:hint="eastAsia" w:ascii="宋体" w:hAnsi="宋体" w:eastAsia="宋体" w:cs="宋体"/>
          <w:kern w:val="2"/>
          <w:sz w:val="21"/>
          <w:szCs w:val="21"/>
          <w:lang w:val="en-US" w:eastAsia="zh-CN" w:bidi="ar"/>
        </w:rPr>
        <w:t>9.1.投标人应按照“用户需求书”中采购项目技术规格、参数及要求规定的内容、责任范围进行报价。并按《开标一览表(报价表)》及《投标分项报价表》（如适用）的要求报出总价和分项价格。</w:t>
      </w:r>
    </w:p>
    <w:p w14:paraId="7728061B">
      <w:pPr>
        <w:keepNext w:val="0"/>
        <w:keepLines w:val="0"/>
        <w:widowControl w:val="0"/>
        <w:suppressLineNumbers w:val="0"/>
        <w:autoSpaceDE w:val="0"/>
        <w:autoSpaceDN w:val="0"/>
        <w:adjustRightInd w:val="0"/>
        <w:snapToGrid w:val="0"/>
        <w:spacing w:before="0" w:beforeAutospacing="0" w:after="0" w:afterAutospacing="0" w:line="360" w:lineRule="auto"/>
        <w:ind w:left="0" w:leftChars="0" w:right="0"/>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9.2.投标分项报价应包含：</w:t>
      </w:r>
    </w:p>
    <w:p w14:paraId="770CE1F7">
      <w:pPr>
        <w:keepNext w:val="0"/>
        <w:keepLines w:val="0"/>
        <w:widowControl w:val="0"/>
        <w:suppressLineNumbers w:val="0"/>
        <w:tabs>
          <w:tab w:val="left" w:pos="851"/>
        </w:tabs>
        <w:autoSpaceDE w:val="0"/>
        <w:autoSpaceDN w:val="0"/>
        <w:adjustRightInd w:val="0"/>
        <w:snapToGrid w:val="0"/>
        <w:spacing w:before="0" w:beforeAutospacing="0" w:after="0" w:afterAutospacing="0" w:line="360" w:lineRule="auto"/>
        <w:ind w:left="0" w:leftChars="0" w:right="0"/>
        <w:jc w:val="left"/>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9.2.1.按谈判文件的要求全部货物及服务内容所需的所有费用，包括但不限于项目的全部产品价格、服务价格、应向中华人民共和国政府缴纳的增值税和其它税等全部税费、运输、保险、安装、伴随服务、标准附件价、备品备件及专用工具价(如有)、以及履行合同所需的费用、所有风险、责任等其他一切隐含及不可预见的费用。如是提供境外的货物，还应包括货物从境外进口己缴纳或应缴纳的全部关税、增值税和其它税、报货物境外离岸价格、国外运输费、国外运输保险费等费用。投标资料表中对进口环节关税和增值税另有规定的，从其规定。</w:t>
      </w:r>
    </w:p>
    <w:p w14:paraId="20E6C740">
      <w:pPr>
        <w:keepNext w:val="0"/>
        <w:keepLines w:val="0"/>
        <w:widowControl w:val="0"/>
        <w:suppressLineNumbers w:val="0"/>
        <w:tabs>
          <w:tab w:val="left" w:pos="851"/>
        </w:tabs>
        <w:autoSpaceDE w:val="0"/>
        <w:autoSpaceDN w:val="0"/>
        <w:adjustRightInd w:val="0"/>
        <w:snapToGrid w:val="0"/>
        <w:spacing w:before="0" w:beforeAutospacing="0" w:after="0" w:afterAutospacing="0" w:line="360" w:lineRule="auto"/>
        <w:ind w:left="0" w:leftChars="0" w:right="0"/>
        <w:jc w:val="left"/>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9.2.2.对于报价免费的内容须标明“免费”。</w:t>
      </w:r>
    </w:p>
    <w:p w14:paraId="26607395">
      <w:pPr>
        <w:keepNext w:val="0"/>
        <w:keepLines w:val="0"/>
        <w:widowControl w:val="0"/>
        <w:suppressLineNumbers w:val="0"/>
        <w:autoSpaceDE w:val="0"/>
        <w:autoSpaceDN w:val="0"/>
        <w:adjustRightInd w:val="0"/>
        <w:snapToGrid w:val="0"/>
        <w:spacing w:before="0" w:beforeAutospacing="0" w:after="0" w:afterAutospacing="0" w:line="360" w:lineRule="auto"/>
        <w:ind w:left="0" w:leftChars="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9.3.除投标资料表中另有规定，投标人所报的投标价在合同执行过程中是固定不变的，不得以任何理由予以变更。任何包含价格调整要求的投标被认为是非实质性响应投标而予以拒绝。</w:t>
      </w:r>
    </w:p>
    <w:p w14:paraId="30822C3E">
      <w:pPr>
        <w:keepNext w:val="0"/>
        <w:keepLines w:val="0"/>
        <w:widowControl w:val="0"/>
        <w:suppressLineNumbers w:val="0"/>
        <w:autoSpaceDE w:val="0"/>
        <w:autoSpaceDN w:val="0"/>
        <w:adjustRightInd w:val="0"/>
        <w:snapToGrid w:val="0"/>
        <w:spacing w:before="0" w:beforeAutospacing="0" w:after="0" w:afterAutospacing="0" w:line="360" w:lineRule="auto"/>
        <w:ind w:left="0" w:leftChars="0" w:right="0"/>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9.4.除投标资料表中允许有备选方案外，本次谈判不接受选择性报价，否则将被视为无效投标。</w:t>
      </w:r>
    </w:p>
    <w:p w14:paraId="43EDBB74">
      <w:pPr>
        <w:keepNext w:val="0"/>
        <w:keepLines w:val="0"/>
        <w:widowControl w:val="0"/>
        <w:suppressLineNumbers w:val="0"/>
        <w:autoSpaceDE w:val="0"/>
        <w:autoSpaceDN w:val="0"/>
        <w:adjustRightInd w:val="0"/>
        <w:snapToGrid w:val="0"/>
        <w:spacing w:before="0" w:beforeAutospacing="0" w:after="0" w:afterAutospacing="0" w:line="360" w:lineRule="auto"/>
        <w:ind w:left="0" w:leftChars="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9.5.除投标资料表另有规定外，本次谈判不接受具有附加条件的报价，否则将被视为无效投标。</w:t>
      </w:r>
    </w:p>
    <w:p w14:paraId="49761AAB">
      <w:pPr>
        <w:keepNext w:val="0"/>
        <w:keepLines w:val="0"/>
        <w:widowControl w:val="0"/>
        <w:numPr>
          <w:ilvl w:val="0"/>
          <w:numId w:val="17"/>
        </w:numPr>
        <w:suppressLineNumbers w:val="0"/>
        <w:autoSpaceDE w:val="0"/>
        <w:autoSpaceDN w:val="0"/>
        <w:adjustRightInd w:val="0"/>
        <w:snapToGrid w:val="0"/>
        <w:spacing w:before="0" w:beforeAutospacing="0" w:after="0" w:afterAutospacing="0" w:line="360" w:lineRule="auto"/>
        <w:ind w:left="449" w:right="0" w:hanging="449" w:hangingChars="213"/>
        <w:jc w:val="both"/>
        <w:outlineLvl w:val="1"/>
        <w:rPr>
          <w:rFonts w:hint="eastAsia" w:ascii="宋体" w:hAnsi="宋体" w:eastAsia="宋体" w:cs="Times New Roman"/>
          <w:b/>
          <w:bCs/>
          <w:kern w:val="2"/>
          <w:sz w:val="21"/>
          <w:szCs w:val="21"/>
        </w:rPr>
      </w:pPr>
      <w:r>
        <w:rPr>
          <w:rFonts w:hint="eastAsia" w:ascii="宋体" w:hAnsi="宋体" w:eastAsia="宋体" w:cs="宋体"/>
          <w:b/>
          <w:bCs/>
          <w:kern w:val="2"/>
          <w:sz w:val="21"/>
          <w:szCs w:val="21"/>
          <w:lang w:val="en-US" w:eastAsia="zh-CN" w:bidi="ar"/>
        </w:rPr>
        <w:t>投标货币</w:t>
      </w:r>
    </w:p>
    <w:p w14:paraId="6C35452F">
      <w:pPr>
        <w:keepNext w:val="0"/>
        <w:keepLines w:val="0"/>
        <w:widowControl w:val="0"/>
        <w:numPr>
          <w:ilvl w:val="1"/>
          <w:numId w:val="17"/>
        </w:numPr>
        <w:suppressLineNumbers w:val="0"/>
        <w:autoSpaceDE w:val="0"/>
        <w:autoSpaceDN w:val="0"/>
        <w:adjustRightInd w:val="0"/>
        <w:snapToGrid w:val="0"/>
        <w:spacing w:before="0" w:beforeAutospacing="0" w:after="0" w:afterAutospacing="0" w:line="360" w:lineRule="auto"/>
        <w:ind w:left="567" w:leftChars="0" w:right="0" w:hanging="567" w:firstLineChars="0"/>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投标人所提供的货物和服务均应以人民币报价。</w:t>
      </w:r>
    </w:p>
    <w:p w14:paraId="6C314207">
      <w:pPr>
        <w:keepNext w:val="0"/>
        <w:keepLines w:val="0"/>
        <w:widowControl w:val="0"/>
        <w:numPr>
          <w:ilvl w:val="0"/>
          <w:numId w:val="17"/>
        </w:numPr>
        <w:suppressLineNumbers w:val="0"/>
        <w:autoSpaceDE w:val="0"/>
        <w:autoSpaceDN w:val="0"/>
        <w:adjustRightInd w:val="0"/>
        <w:snapToGrid w:val="0"/>
        <w:spacing w:before="0" w:beforeAutospacing="0" w:after="0" w:afterAutospacing="0" w:line="360" w:lineRule="auto"/>
        <w:ind w:left="449" w:right="0" w:hanging="449" w:hangingChars="213"/>
        <w:jc w:val="both"/>
        <w:outlineLvl w:val="1"/>
        <w:rPr>
          <w:rFonts w:hint="eastAsia" w:ascii="宋体" w:hAnsi="宋体" w:eastAsia="宋体" w:cs="Times New Roman"/>
          <w:b/>
          <w:bCs/>
          <w:kern w:val="2"/>
          <w:sz w:val="21"/>
          <w:szCs w:val="21"/>
        </w:rPr>
      </w:pPr>
      <w:r>
        <w:rPr>
          <w:rFonts w:hint="eastAsia" w:ascii="宋体" w:hAnsi="宋体" w:eastAsia="宋体" w:cs="宋体"/>
          <w:b/>
          <w:bCs/>
          <w:kern w:val="2"/>
          <w:sz w:val="21"/>
          <w:szCs w:val="21"/>
          <w:lang w:val="en-US" w:eastAsia="zh-CN" w:bidi="ar"/>
        </w:rPr>
        <w:t>联合体投标</w:t>
      </w:r>
    </w:p>
    <w:p w14:paraId="6DD65058">
      <w:pPr>
        <w:keepNext w:val="0"/>
        <w:keepLines w:val="0"/>
        <w:widowControl w:val="0"/>
        <w:numPr>
          <w:ilvl w:val="1"/>
          <w:numId w:val="17"/>
        </w:numPr>
        <w:suppressLineNumbers w:val="0"/>
        <w:autoSpaceDE w:val="0"/>
        <w:autoSpaceDN w:val="0"/>
        <w:adjustRightInd w:val="0"/>
        <w:snapToGrid w:val="0"/>
        <w:spacing w:before="0" w:beforeAutospacing="0" w:after="0" w:afterAutospacing="0" w:line="360" w:lineRule="auto"/>
        <w:ind w:left="567" w:right="0" w:hanging="567"/>
        <w:jc w:val="both"/>
        <w:rPr>
          <w:rFonts w:hint="eastAsia" w:ascii="宋体" w:hAnsi="宋体" w:eastAsia="宋体" w:cs="黑体"/>
          <w:b/>
          <w:bCs/>
          <w:kern w:val="2"/>
          <w:sz w:val="21"/>
          <w:szCs w:val="21"/>
        </w:rPr>
      </w:pPr>
      <w:r>
        <w:rPr>
          <w:rFonts w:hint="eastAsia" w:ascii="宋体" w:hAnsi="宋体" w:eastAsia="宋体" w:cs="宋体"/>
          <w:kern w:val="2"/>
          <w:sz w:val="21"/>
          <w:szCs w:val="21"/>
          <w:lang w:val="en-US" w:eastAsia="zh-CN" w:bidi="ar"/>
        </w:rPr>
        <w:t>除</w:t>
      </w:r>
      <w:r>
        <w:rPr>
          <w:rFonts w:hint="eastAsia" w:ascii="宋体" w:hAnsi="宋体" w:eastAsia="宋体" w:cs="宋体"/>
          <w:bCs/>
          <w:kern w:val="2"/>
          <w:sz w:val="21"/>
          <w:szCs w:val="21"/>
          <w:lang w:val="en-US" w:eastAsia="zh-CN" w:bidi="ar"/>
        </w:rPr>
        <w:t>非投标邀请中另有规定</w:t>
      </w:r>
      <w:r>
        <w:rPr>
          <w:rFonts w:hint="eastAsia" w:ascii="宋体" w:hAnsi="宋体" w:eastAsia="宋体" w:cs="宋体"/>
          <w:kern w:val="2"/>
          <w:sz w:val="21"/>
          <w:szCs w:val="21"/>
          <w:lang w:val="en-US" w:eastAsia="zh-CN" w:bidi="ar"/>
        </w:rPr>
        <w:t>，不接受联合体投标。如果投标邀请中规定允许联合体投标的，则必须满足：</w:t>
      </w:r>
    </w:p>
    <w:p w14:paraId="1083F69A">
      <w:pPr>
        <w:keepNext w:val="0"/>
        <w:keepLines w:val="0"/>
        <w:widowControl w:val="0"/>
        <w:suppressLineNumbers w:val="0"/>
        <w:autoSpaceDE w:val="0"/>
        <w:autoSpaceDN w:val="0"/>
        <w:adjustRightInd w:val="0"/>
        <w:snapToGrid w:val="0"/>
        <w:spacing w:before="0" w:beforeAutospacing="0" w:after="0" w:afterAutospacing="0" w:line="360" w:lineRule="auto"/>
        <w:ind w:left="0" w:leftChars="0" w:right="0"/>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11.1.1.以联合体形式参加投标的，联合体各方均必须符合联合体各方均必须符合</w:t>
      </w:r>
      <w:r>
        <w:rPr>
          <w:rFonts w:hint="eastAsia" w:ascii="宋体" w:hAnsi="宋体" w:eastAsia="宋体" w:cs="宋体"/>
          <w:bCs/>
          <w:kern w:val="2"/>
          <w:sz w:val="21"/>
          <w:szCs w:val="21"/>
          <w:lang w:val="en-US" w:eastAsia="zh-CN" w:bidi="ar"/>
        </w:rPr>
        <w:t>《中华人民共和国政府采购法》第二十二条第（一）至（六）项规定。</w:t>
      </w:r>
    </w:p>
    <w:p w14:paraId="1BC735AD">
      <w:pPr>
        <w:keepNext w:val="0"/>
        <w:keepLines w:val="0"/>
        <w:widowControl w:val="0"/>
        <w:suppressLineNumbers w:val="0"/>
        <w:autoSpaceDE w:val="0"/>
        <w:autoSpaceDN w:val="0"/>
        <w:adjustRightInd w:val="0"/>
        <w:snapToGrid w:val="0"/>
        <w:spacing w:before="0" w:beforeAutospacing="0" w:after="0" w:afterAutospacing="0" w:line="360" w:lineRule="auto"/>
        <w:ind w:left="0" w:leftChars="0" w:right="0"/>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11.1.2.联合体投标的，必须提供各方签订的联合投标协议，明确约定各方承担的工作和相应的责任。联合体各方签订联合投标协议后，不得再以自己名义单独在同一项目（或包组）中投标，也不得组成新的联合体参加同一项目（或包组）投标。</w:t>
      </w:r>
    </w:p>
    <w:p w14:paraId="43ABEEFE">
      <w:pPr>
        <w:keepNext w:val="0"/>
        <w:keepLines w:val="0"/>
        <w:widowControl w:val="0"/>
        <w:suppressLineNumbers w:val="0"/>
        <w:autoSpaceDE w:val="0"/>
        <w:autoSpaceDN w:val="0"/>
        <w:adjustRightInd w:val="0"/>
        <w:snapToGrid w:val="0"/>
        <w:spacing w:before="0" w:beforeAutospacing="0" w:after="0" w:afterAutospacing="0" w:line="360" w:lineRule="auto"/>
        <w:ind w:left="0" w:leftChars="0" w:right="0"/>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11.1.3.联合体中有同类资质的供应商按照联合体分工承担相同工作的，应当按照资质等级较低的供应商确定资质等级。</w:t>
      </w:r>
    </w:p>
    <w:p w14:paraId="323756B8">
      <w:pPr>
        <w:keepNext w:val="0"/>
        <w:keepLines w:val="0"/>
        <w:widowControl w:val="0"/>
        <w:suppressLineNumbers w:val="0"/>
        <w:tabs>
          <w:tab w:val="left" w:pos="851"/>
        </w:tabs>
        <w:autoSpaceDE w:val="0"/>
        <w:autoSpaceDN w:val="0"/>
        <w:adjustRightInd w:val="0"/>
        <w:snapToGrid w:val="0"/>
        <w:spacing w:before="0" w:beforeAutospacing="0" w:after="0" w:afterAutospacing="0" w:line="360" w:lineRule="auto"/>
        <w:ind w:left="0" w:leftChars="0" w:right="0"/>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11.1.4.联合体中标的，联合体各方应当共同与采购人签订合同。</w:t>
      </w:r>
    </w:p>
    <w:p w14:paraId="78D37672">
      <w:pPr>
        <w:keepNext w:val="0"/>
        <w:keepLines w:val="0"/>
        <w:widowControl w:val="0"/>
        <w:numPr>
          <w:ilvl w:val="0"/>
          <w:numId w:val="17"/>
        </w:numPr>
        <w:suppressLineNumbers w:val="0"/>
        <w:autoSpaceDE w:val="0"/>
        <w:autoSpaceDN w:val="0"/>
        <w:adjustRightInd w:val="0"/>
        <w:snapToGrid w:val="0"/>
        <w:spacing w:before="0" w:beforeAutospacing="0" w:after="0" w:afterAutospacing="0" w:line="360" w:lineRule="auto"/>
        <w:ind w:left="449" w:right="0" w:hanging="449" w:hangingChars="213"/>
        <w:jc w:val="both"/>
        <w:outlineLvl w:val="1"/>
        <w:rPr>
          <w:rFonts w:hint="eastAsia" w:ascii="宋体" w:hAnsi="宋体" w:eastAsia="宋体" w:cs="Times New Roman"/>
          <w:b/>
          <w:bCs/>
          <w:kern w:val="2"/>
          <w:sz w:val="21"/>
          <w:szCs w:val="21"/>
        </w:rPr>
      </w:pPr>
      <w:r>
        <w:rPr>
          <w:rFonts w:hint="eastAsia" w:ascii="宋体" w:hAnsi="宋体" w:eastAsia="宋体" w:cs="宋体"/>
          <w:b/>
          <w:bCs/>
          <w:kern w:val="2"/>
          <w:sz w:val="21"/>
          <w:szCs w:val="21"/>
          <w:lang w:val="en-US" w:eastAsia="zh-CN" w:bidi="ar"/>
        </w:rPr>
        <w:t>证明投标人合格和资格的文件</w:t>
      </w:r>
    </w:p>
    <w:p w14:paraId="51685047">
      <w:pPr>
        <w:keepNext w:val="0"/>
        <w:keepLines w:val="0"/>
        <w:widowControl w:val="0"/>
        <w:numPr>
          <w:ilvl w:val="1"/>
          <w:numId w:val="17"/>
        </w:numPr>
        <w:suppressLineNumbers w:val="0"/>
        <w:autoSpaceDE w:val="0"/>
        <w:autoSpaceDN w:val="0"/>
        <w:adjustRightInd w:val="0"/>
        <w:snapToGrid w:val="0"/>
        <w:spacing w:before="0" w:beforeAutospacing="0" w:after="0" w:afterAutospacing="0" w:line="360" w:lineRule="auto"/>
        <w:ind w:left="567" w:right="0" w:hanging="567"/>
        <w:jc w:val="both"/>
        <w:rPr>
          <w:rFonts w:hint="eastAsia" w:ascii="宋体" w:hAnsi="宋体" w:eastAsia="宋体" w:cs="黑体"/>
          <w:b/>
          <w:bCs/>
          <w:kern w:val="2"/>
          <w:sz w:val="21"/>
          <w:szCs w:val="21"/>
        </w:rPr>
      </w:pPr>
      <w:r>
        <w:rPr>
          <w:rFonts w:hint="eastAsia" w:ascii="宋体" w:hAnsi="宋体" w:eastAsia="宋体" w:cs="宋体"/>
          <w:kern w:val="2"/>
          <w:sz w:val="21"/>
          <w:szCs w:val="21"/>
          <w:lang w:val="en-US" w:eastAsia="zh-CN" w:bidi="ar"/>
        </w:rPr>
        <w:t>投标人应提交证明其有资格参加投标和中标后有能力履行合同的文件，并作为其投标文件的一部分。如果投标人为联合体，应提交联合体各方的资格证明文件、联合投标协议并注明主体方及各方拟承担的工作和责任。否则，将导致其投标无效。</w:t>
      </w:r>
    </w:p>
    <w:p w14:paraId="4F83F64E">
      <w:pPr>
        <w:keepNext w:val="0"/>
        <w:keepLines w:val="0"/>
        <w:widowControl w:val="0"/>
        <w:numPr>
          <w:ilvl w:val="1"/>
          <w:numId w:val="17"/>
        </w:numPr>
        <w:suppressLineNumbers w:val="0"/>
        <w:autoSpaceDE w:val="0"/>
        <w:autoSpaceDN w:val="0"/>
        <w:adjustRightInd w:val="0"/>
        <w:snapToGrid w:val="0"/>
        <w:spacing w:before="0" w:beforeAutospacing="0" w:after="0" w:afterAutospacing="0" w:line="360" w:lineRule="auto"/>
        <w:ind w:left="567" w:right="0" w:hanging="567"/>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投标人提交的资格证明文件应证明其满足</w:t>
      </w:r>
      <w:r>
        <w:rPr>
          <w:rFonts w:hint="eastAsia" w:ascii="宋体" w:hAnsi="宋体" w:eastAsia="宋体" w:cs="宋体"/>
          <w:bCs/>
          <w:kern w:val="2"/>
          <w:sz w:val="21"/>
          <w:szCs w:val="21"/>
          <w:lang w:val="en-US" w:eastAsia="zh-CN" w:bidi="ar"/>
        </w:rPr>
        <w:t>投标人的资格要求</w:t>
      </w:r>
      <w:r>
        <w:rPr>
          <w:rFonts w:hint="eastAsia" w:ascii="宋体" w:hAnsi="宋体" w:eastAsia="宋体" w:cs="宋体"/>
          <w:kern w:val="2"/>
          <w:sz w:val="21"/>
          <w:szCs w:val="21"/>
          <w:lang w:val="en-US" w:eastAsia="zh-CN" w:bidi="ar"/>
        </w:rPr>
        <w:t>。</w:t>
      </w:r>
    </w:p>
    <w:p w14:paraId="6F2238CB">
      <w:pPr>
        <w:keepNext w:val="0"/>
        <w:keepLines w:val="0"/>
        <w:widowControl w:val="0"/>
        <w:numPr>
          <w:ilvl w:val="0"/>
          <w:numId w:val="17"/>
        </w:numPr>
        <w:suppressLineNumbers w:val="0"/>
        <w:autoSpaceDE w:val="0"/>
        <w:autoSpaceDN w:val="0"/>
        <w:adjustRightInd w:val="0"/>
        <w:snapToGrid w:val="0"/>
        <w:spacing w:before="0" w:beforeAutospacing="0" w:after="0" w:afterAutospacing="0" w:line="360" w:lineRule="auto"/>
        <w:ind w:left="449" w:right="0" w:hanging="449" w:hangingChars="213"/>
        <w:jc w:val="both"/>
        <w:outlineLvl w:val="1"/>
        <w:rPr>
          <w:rFonts w:hint="eastAsia" w:ascii="宋体" w:hAnsi="宋体" w:eastAsia="宋体" w:cs="Times New Roman"/>
          <w:b/>
          <w:bCs/>
          <w:kern w:val="2"/>
          <w:sz w:val="21"/>
          <w:szCs w:val="21"/>
        </w:rPr>
      </w:pPr>
      <w:r>
        <w:rPr>
          <w:rFonts w:hint="eastAsia" w:ascii="宋体" w:hAnsi="宋体" w:eastAsia="宋体" w:cs="宋体"/>
          <w:b/>
          <w:bCs/>
          <w:kern w:val="2"/>
          <w:sz w:val="21"/>
          <w:szCs w:val="21"/>
          <w:lang w:val="en-US" w:eastAsia="zh-CN" w:bidi="ar"/>
        </w:rPr>
        <w:t>证明投标标的的合格性和符合谈判文件规定的文件</w:t>
      </w:r>
    </w:p>
    <w:p w14:paraId="01145744">
      <w:pPr>
        <w:keepNext w:val="0"/>
        <w:keepLines w:val="0"/>
        <w:widowControl w:val="0"/>
        <w:numPr>
          <w:ilvl w:val="1"/>
          <w:numId w:val="17"/>
        </w:numPr>
        <w:suppressLineNumbers w:val="0"/>
        <w:autoSpaceDE w:val="0"/>
        <w:autoSpaceDN w:val="0"/>
        <w:adjustRightInd w:val="0"/>
        <w:snapToGrid w:val="0"/>
        <w:spacing w:before="0" w:beforeAutospacing="0" w:after="0" w:afterAutospacing="0" w:line="360" w:lineRule="auto"/>
        <w:ind w:left="567" w:right="0" w:hanging="567"/>
        <w:jc w:val="both"/>
        <w:rPr>
          <w:rFonts w:hint="eastAsia" w:ascii="宋体" w:hAnsi="宋体" w:eastAsia="宋体" w:cs="黑体"/>
          <w:b/>
          <w:bCs/>
          <w:kern w:val="2"/>
          <w:sz w:val="21"/>
          <w:szCs w:val="21"/>
        </w:rPr>
      </w:pPr>
      <w:r>
        <w:rPr>
          <w:rFonts w:hint="eastAsia" w:ascii="宋体" w:hAnsi="宋体" w:eastAsia="宋体" w:cs="宋体"/>
          <w:kern w:val="2"/>
          <w:sz w:val="21"/>
          <w:szCs w:val="21"/>
          <w:lang w:val="en-US" w:eastAsia="zh-CN" w:bidi="ar"/>
        </w:rPr>
        <w:t>投标人应提交证明文件，证明其拟投标的货物和服务的合格性符合谈判文件规定。该证明文件作为投标文件的一部分。</w:t>
      </w:r>
    </w:p>
    <w:p w14:paraId="0FBCA582">
      <w:pPr>
        <w:keepNext w:val="0"/>
        <w:keepLines w:val="0"/>
        <w:widowControl w:val="0"/>
        <w:numPr>
          <w:ilvl w:val="1"/>
          <w:numId w:val="17"/>
        </w:numPr>
        <w:suppressLineNumbers w:val="0"/>
        <w:autoSpaceDE w:val="0"/>
        <w:autoSpaceDN w:val="0"/>
        <w:adjustRightInd w:val="0"/>
        <w:snapToGrid w:val="0"/>
        <w:spacing w:before="0" w:beforeAutospacing="0" w:after="0" w:afterAutospacing="0" w:line="360" w:lineRule="auto"/>
        <w:ind w:left="567" w:right="0" w:hanging="567"/>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货物和服务合格性的证明文件应包括投标分项报价表中对货物和服务原产地的说明。</w:t>
      </w:r>
    </w:p>
    <w:p w14:paraId="4FA29D92">
      <w:pPr>
        <w:keepNext w:val="0"/>
        <w:keepLines w:val="0"/>
        <w:widowControl w:val="0"/>
        <w:numPr>
          <w:ilvl w:val="1"/>
          <w:numId w:val="17"/>
        </w:numPr>
        <w:suppressLineNumbers w:val="0"/>
        <w:autoSpaceDE w:val="0"/>
        <w:autoSpaceDN w:val="0"/>
        <w:adjustRightInd w:val="0"/>
        <w:snapToGrid w:val="0"/>
        <w:spacing w:before="0" w:beforeAutospacing="0" w:after="0" w:afterAutospacing="0" w:line="360" w:lineRule="auto"/>
        <w:ind w:left="567" w:right="0" w:hanging="567"/>
        <w:jc w:val="both"/>
        <w:rPr>
          <w:rFonts w:hint="eastAsia" w:ascii="宋体" w:hAnsi="宋体" w:eastAsia="宋体" w:cs="Times New Roman"/>
          <w:strike/>
          <w:dstrike w:val="0"/>
          <w:kern w:val="2"/>
          <w:sz w:val="21"/>
          <w:szCs w:val="21"/>
        </w:rPr>
      </w:pPr>
      <w:r>
        <w:rPr>
          <w:rFonts w:hint="eastAsia" w:ascii="宋体" w:hAnsi="宋体" w:eastAsia="宋体" w:cs="宋体"/>
          <w:kern w:val="2"/>
          <w:sz w:val="21"/>
          <w:szCs w:val="21"/>
          <w:lang w:val="en-US" w:eastAsia="zh-CN" w:bidi="ar"/>
        </w:rPr>
        <w:t>证明货物和服务与谈判文件的要求相一致的文件，可以是文字资料、图纸和数据。</w:t>
      </w:r>
    </w:p>
    <w:p w14:paraId="5BF4BFA3">
      <w:pPr>
        <w:keepNext w:val="0"/>
        <w:keepLines w:val="0"/>
        <w:widowControl w:val="0"/>
        <w:numPr>
          <w:ilvl w:val="0"/>
          <w:numId w:val="17"/>
        </w:numPr>
        <w:suppressLineNumbers w:val="0"/>
        <w:autoSpaceDE w:val="0"/>
        <w:autoSpaceDN w:val="0"/>
        <w:adjustRightInd w:val="0"/>
        <w:snapToGrid w:val="0"/>
        <w:spacing w:before="0" w:beforeAutospacing="0" w:after="0" w:afterAutospacing="0" w:line="360" w:lineRule="auto"/>
        <w:ind w:left="449" w:right="0" w:hanging="449" w:hangingChars="213"/>
        <w:jc w:val="both"/>
        <w:outlineLvl w:val="1"/>
        <w:rPr>
          <w:rFonts w:hint="eastAsia" w:ascii="宋体" w:hAnsi="宋体" w:eastAsia="宋体" w:cs="Times New Roman"/>
          <w:b/>
          <w:bCs/>
          <w:kern w:val="2"/>
          <w:sz w:val="21"/>
          <w:szCs w:val="21"/>
        </w:rPr>
      </w:pPr>
      <w:r>
        <w:rPr>
          <w:rFonts w:hint="eastAsia" w:ascii="宋体" w:hAnsi="宋体" w:eastAsia="宋体" w:cs="宋体"/>
          <w:b/>
          <w:bCs/>
          <w:kern w:val="2"/>
          <w:sz w:val="21"/>
          <w:szCs w:val="21"/>
          <w:lang w:val="en-US" w:eastAsia="zh-CN" w:bidi="ar"/>
        </w:rPr>
        <w:t>投标文件的式样和签署、密封</w:t>
      </w:r>
    </w:p>
    <w:p w14:paraId="7A712F41">
      <w:pPr>
        <w:keepNext w:val="0"/>
        <w:keepLines w:val="0"/>
        <w:widowControl w:val="0"/>
        <w:numPr>
          <w:ilvl w:val="1"/>
          <w:numId w:val="17"/>
        </w:numPr>
        <w:suppressLineNumbers w:val="0"/>
        <w:autoSpaceDE w:val="0"/>
        <w:autoSpaceDN w:val="0"/>
        <w:adjustRightInd w:val="0"/>
        <w:snapToGrid w:val="0"/>
        <w:spacing w:before="0" w:beforeAutospacing="0" w:after="0" w:afterAutospacing="0" w:line="360" w:lineRule="auto"/>
        <w:ind w:left="567" w:right="0" w:hanging="567"/>
        <w:jc w:val="both"/>
        <w:rPr>
          <w:rFonts w:hint="eastAsia" w:ascii="宋体" w:hAnsi="宋体" w:eastAsia="宋体" w:cs="黑体"/>
          <w:b/>
          <w:bCs/>
          <w:kern w:val="2"/>
          <w:sz w:val="21"/>
          <w:szCs w:val="21"/>
        </w:rPr>
      </w:pPr>
      <w:r>
        <w:rPr>
          <w:rFonts w:hint="eastAsia" w:ascii="宋体" w:hAnsi="宋体" w:eastAsia="宋体" w:cs="宋体"/>
          <w:kern w:val="2"/>
          <w:sz w:val="21"/>
          <w:szCs w:val="21"/>
          <w:lang w:val="en-US" w:eastAsia="zh-CN" w:bidi="ar"/>
        </w:rPr>
        <w:t>投标文件的式样：投标人应准备纸质投标文件一份正本、电子文件和谈判须知中规定数目的纸质副本。投标文件的副本可采用正本的复印件。每套投标文件须清楚地标明“正本”或“副本”。若副本与正本不符，以正本为准。</w:t>
      </w:r>
    </w:p>
    <w:p w14:paraId="09E660FE">
      <w:pPr>
        <w:keepNext w:val="0"/>
        <w:keepLines w:val="0"/>
        <w:widowControl w:val="0"/>
        <w:numPr>
          <w:ilvl w:val="1"/>
          <w:numId w:val="17"/>
        </w:numPr>
        <w:suppressLineNumbers w:val="0"/>
        <w:autoSpaceDE w:val="0"/>
        <w:autoSpaceDN w:val="0"/>
        <w:adjustRightInd w:val="0"/>
        <w:snapToGrid w:val="0"/>
        <w:spacing w:before="0" w:beforeAutospacing="0" w:after="0" w:afterAutospacing="0" w:line="360" w:lineRule="auto"/>
        <w:ind w:left="567" w:right="0" w:hanging="567"/>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电子文件：是指将按谈判文件要求签署、盖章后的正本投标文件扫描成PDF格式后拷贝至无病毒无密码的U盘或光盘。电子文件与开标一览表一同密封，若电子文件与正本不符，以正本为准。</w:t>
      </w:r>
    </w:p>
    <w:p w14:paraId="156B7360">
      <w:pPr>
        <w:keepNext w:val="0"/>
        <w:keepLines w:val="0"/>
        <w:widowControl w:val="0"/>
        <w:numPr>
          <w:ilvl w:val="1"/>
          <w:numId w:val="17"/>
        </w:numPr>
        <w:suppressLineNumbers w:val="0"/>
        <w:autoSpaceDE w:val="0"/>
        <w:autoSpaceDN w:val="0"/>
        <w:adjustRightInd w:val="0"/>
        <w:snapToGrid w:val="0"/>
        <w:spacing w:before="0" w:beforeAutospacing="0" w:after="0" w:afterAutospacing="0" w:line="360" w:lineRule="auto"/>
        <w:ind w:left="567" w:leftChars="0" w:right="0" w:hanging="567" w:firstLineChars="0"/>
        <w:jc w:val="both"/>
        <w:rPr>
          <w:rFonts w:hint="eastAsia" w:ascii="宋体" w:hAnsi="宋体" w:eastAsia="宋体" w:cs="黑体"/>
          <w:b/>
          <w:bCs/>
          <w:kern w:val="2"/>
          <w:sz w:val="21"/>
          <w:szCs w:val="21"/>
        </w:rPr>
      </w:pPr>
      <w:r>
        <w:rPr>
          <w:rFonts w:hint="eastAsia" w:ascii="宋体" w:hAnsi="宋体" w:eastAsia="宋体" w:cs="宋体"/>
          <w:kern w:val="2"/>
          <w:sz w:val="21"/>
          <w:szCs w:val="21"/>
          <w:lang w:val="en-US" w:eastAsia="zh-CN" w:bidi="ar"/>
        </w:rPr>
        <w:t>投标文件的签署：</w:t>
      </w:r>
      <w:r>
        <w:rPr>
          <w:rFonts w:hint="eastAsia" w:ascii="宋体" w:hAnsi="宋体" w:eastAsia="宋体" w:cs="黑体"/>
          <w:b/>
          <w:bCs/>
          <w:kern w:val="2"/>
          <w:sz w:val="21"/>
          <w:szCs w:val="21"/>
          <w:lang w:val="en-US" w:eastAsia="zh-CN" w:bidi="ar"/>
        </w:rPr>
        <w:t xml:space="preserve"> </w:t>
      </w:r>
    </w:p>
    <w:p w14:paraId="041960DE">
      <w:pPr>
        <w:keepNext w:val="0"/>
        <w:keepLines w:val="0"/>
        <w:widowControl w:val="0"/>
        <w:suppressLineNumbers w:val="0"/>
        <w:autoSpaceDE w:val="0"/>
        <w:autoSpaceDN w:val="0"/>
        <w:adjustRightInd w:val="0"/>
        <w:snapToGrid w:val="0"/>
        <w:spacing w:before="0" w:beforeAutospacing="0" w:after="0" w:afterAutospacing="0" w:line="360" w:lineRule="auto"/>
        <w:ind w:left="0" w:leftChars="0" w:right="0"/>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14.3.1.投标文件的正本需打印或用不褪色墨水书写，且谈判文件要求签名的由法定代表人或经其正式授权的代表签字或盖章，以及谈判文件中明示盖公章处及要求提供的证明材料应盖投标人公章，副本可以用正本复印，与正本具有同等法律效力。授权代表须将以书面形式出具的《法定代表人授权委托书》附在投标文件中。</w:t>
      </w:r>
    </w:p>
    <w:p w14:paraId="677159CC">
      <w:pPr>
        <w:keepNext w:val="0"/>
        <w:keepLines w:val="0"/>
        <w:widowControl w:val="0"/>
        <w:numPr>
          <w:ilvl w:val="2"/>
          <w:numId w:val="17"/>
        </w:numPr>
        <w:suppressLineNumbers w:val="0"/>
        <w:tabs>
          <w:tab w:val="left" w:pos="851"/>
        </w:tabs>
        <w:autoSpaceDE w:val="0"/>
        <w:autoSpaceDN w:val="0"/>
        <w:adjustRightInd w:val="0"/>
        <w:snapToGrid w:val="0"/>
        <w:spacing w:before="0" w:beforeAutospacing="0" w:after="0" w:afterAutospacing="0" w:line="360" w:lineRule="auto"/>
        <w:ind w:left="851" w:right="0" w:hanging="851"/>
        <w:jc w:val="both"/>
        <w:rPr>
          <w:rFonts w:hint="eastAsia" w:ascii="宋体" w:hAnsi="宋体" w:eastAsia="宋体" w:cs="宋体"/>
          <w:b w:val="0"/>
          <w:bCs w:val="0"/>
          <w:kern w:val="2"/>
          <w:sz w:val="21"/>
          <w:szCs w:val="21"/>
        </w:rPr>
      </w:pPr>
      <w:r>
        <w:rPr>
          <w:rFonts w:hint="eastAsia" w:ascii="宋体" w:hAnsi="宋体" w:eastAsia="宋体" w:cs="宋体"/>
          <w:kern w:val="2"/>
          <w:sz w:val="21"/>
          <w:szCs w:val="21"/>
          <w:lang w:val="en-US" w:eastAsia="zh-CN" w:bidi="ar"/>
        </w:rPr>
        <w:t>投标文件中的任何重要的插字、涂改和增删，必须由法定代表人或经其正式授权的</w:t>
      </w:r>
      <w:r>
        <w:rPr>
          <w:rFonts w:hint="eastAsia" w:ascii="宋体" w:hAnsi="宋体" w:eastAsia="宋体" w:cs="宋体"/>
          <w:b w:val="0"/>
          <w:bCs w:val="0"/>
          <w:kern w:val="2"/>
          <w:sz w:val="21"/>
          <w:szCs w:val="21"/>
          <w:lang w:val="en-US" w:eastAsia="zh-CN" w:bidi="ar"/>
        </w:rPr>
        <w:t>代表在旁边签章或签字或盖投标人公章才有效。</w:t>
      </w:r>
    </w:p>
    <w:p w14:paraId="350933F6">
      <w:pPr>
        <w:keepNext w:val="0"/>
        <w:keepLines w:val="0"/>
        <w:widowControl w:val="0"/>
        <w:numPr>
          <w:ilvl w:val="1"/>
          <w:numId w:val="17"/>
        </w:numPr>
        <w:suppressLineNumbers w:val="0"/>
        <w:autoSpaceDE w:val="0"/>
        <w:autoSpaceDN w:val="0"/>
        <w:adjustRightInd w:val="0"/>
        <w:snapToGrid w:val="0"/>
        <w:spacing w:before="0" w:beforeAutospacing="0" w:after="0" w:afterAutospacing="0" w:line="360" w:lineRule="auto"/>
        <w:ind w:left="567" w:leftChars="0" w:right="0" w:hanging="567" w:firstLineChars="0"/>
        <w:jc w:val="both"/>
        <w:rPr>
          <w:rFonts w:hint="eastAsia" w:ascii="宋体" w:hAnsi="宋体" w:eastAsia="宋体" w:cs="黑体"/>
          <w:b w:val="0"/>
          <w:bCs w:val="0"/>
          <w:kern w:val="2"/>
          <w:sz w:val="21"/>
          <w:szCs w:val="21"/>
        </w:rPr>
      </w:pPr>
      <w:r>
        <w:rPr>
          <w:rFonts w:hint="eastAsia" w:ascii="宋体" w:hAnsi="宋体" w:eastAsia="宋体" w:cs="宋体"/>
          <w:b w:val="0"/>
          <w:bCs w:val="0"/>
          <w:kern w:val="2"/>
          <w:sz w:val="21"/>
          <w:szCs w:val="21"/>
          <w:lang w:val="en-US" w:eastAsia="zh-CN" w:bidi="ar"/>
        </w:rPr>
        <w:t>投标文件必须密封：</w:t>
      </w:r>
    </w:p>
    <w:p w14:paraId="78645C21">
      <w:pPr>
        <w:keepNext w:val="0"/>
        <w:keepLines w:val="0"/>
        <w:widowControl w:val="0"/>
        <w:numPr>
          <w:ilvl w:val="2"/>
          <w:numId w:val="17"/>
        </w:numPr>
        <w:suppressLineNumbers w:val="0"/>
        <w:tabs>
          <w:tab w:val="left" w:pos="851"/>
          <w:tab w:val="clear" w:pos="567"/>
        </w:tabs>
        <w:autoSpaceDE w:val="0"/>
        <w:autoSpaceDN w:val="0"/>
        <w:adjustRightInd w:val="0"/>
        <w:snapToGrid w:val="0"/>
        <w:spacing w:before="0" w:beforeAutospacing="0" w:after="0" w:afterAutospacing="0" w:line="360" w:lineRule="auto"/>
        <w:ind w:left="567" w:leftChars="0" w:right="0" w:hanging="567"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信封或外包装上应当清楚写明投标人名称、项目名称、项目编号、包组号（如有）和“在(谈判文件中规定的开标日期和时间)之前不得启封”的字样。</w:t>
      </w:r>
    </w:p>
    <w:p w14:paraId="07D61B3F">
      <w:pPr>
        <w:keepNext w:val="0"/>
        <w:keepLines w:val="0"/>
        <w:widowControl w:val="0"/>
        <w:suppressLineNumbers w:val="0"/>
        <w:tabs>
          <w:tab w:val="left" w:pos="851"/>
        </w:tabs>
        <w:autoSpaceDE w:val="0"/>
        <w:autoSpaceDN w:val="0"/>
        <w:adjustRightInd w:val="0"/>
        <w:snapToGrid w:val="0"/>
        <w:spacing w:before="0" w:beforeAutospacing="0" w:after="0" w:afterAutospacing="0" w:line="360" w:lineRule="auto"/>
        <w:ind w:left="0" w:leftChars="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28F0C29">
      <w:pPr>
        <w:pStyle w:val="3"/>
        <w:widowControl/>
        <w:ind w:left="420" w:leftChars="0" w:hanging="420" w:firstLineChars="0"/>
        <w:jc w:val="center"/>
        <w:rPr>
          <w:rFonts w:hint="eastAsia" w:ascii="宋体" w:hAnsi="宋体" w:eastAsia="宋体" w:cs="宋体"/>
          <w:kern w:val="2"/>
          <w:sz w:val="30"/>
          <w:szCs w:val="30"/>
        </w:rPr>
      </w:pPr>
      <w:r>
        <w:rPr>
          <w:rFonts w:hint="eastAsia" w:ascii="宋体" w:hAnsi="宋体" w:eastAsia="宋体" w:cs="宋体"/>
          <w:kern w:val="2"/>
          <w:sz w:val="30"/>
          <w:szCs w:val="30"/>
        </w:rPr>
        <w:t>投标文件的递交</w:t>
      </w:r>
    </w:p>
    <w:p w14:paraId="04E82AED">
      <w:pPr>
        <w:keepNext w:val="0"/>
        <w:keepLines w:val="0"/>
        <w:widowControl w:val="0"/>
        <w:numPr>
          <w:ilvl w:val="0"/>
          <w:numId w:val="17"/>
        </w:numPr>
        <w:suppressLineNumbers w:val="0"/>
        <w:autoSpaceDE w:val="0"/>
        <w:autoSpaceDN w:val="0"/>
        <w:adjustRightInd w:val="0"/>
        <w:snapToGrid w:val="0"/>
        <w:spacing w:before="0" w:beforeAutospacing="0" w:after="0" w:afterAutospacing="0" w:line="360" w:lineRule="auto"/>
        <w:ind w:left="449" w:right="0" w:hanging="449" w:hangingChars="213"/>
        <w:jc w:val="both"/>
        <w:outlineLvl w:val="1"/>
        <w:rPr>
          <w:rFonts w:hint="eastAsia" w:ascii="宋体" w:hAnsi="宋体" w:eastAsia="宋体" w:cs="Times New Roman"/>
          <w:b/>
          <w:bCs/>
          <w:kern w:val="2"/>
          <w:sz w:val="21"/>
          <w:szCs w:val="21"/>
        </w:rPr>
      </w:pPr>
      <w:r>
        <w:rPr>
          <w:rFonts w:hint="eastAsia" w:ascii="宋体" w:hAnsi="宋体" w:eastAsia="宋体" w:cs="宋体"/>
          <w:b/>
          <w:bCs/>
          <w:kern w:val="2"/>
          <w:sz w:val="21"/>
          <w:szCs w:val="21"/>
          <w:lang w:val="en-US" w:eastAsia="zh-CN" w:bidi="ar"/>
        </w:rPr>
        <w:t>投标文件递交</w:t>
      </w:r>
    </w:p>
    <w:p w14:paraId="7C7C127F">
      <w:pPr>
        <w:keepNext w:val="0"/>
        <w:keepLines w:val="0"/>
        <w:widowControl w:val="0"/>
        <w:numPr>
          <w:ilvl w:val="1"/>
          <w:numId w:val="17"/>
        </w:numPr>
        <w:suppressLineNumbers w:val="0"/>
        <w:autoSpaceDE w:val="0"/>
        <w:autoSpaceDN w:val="0"/>
        <w:adjustRightInd w:val="0"/>
        <w:snapToGrid w:val="0"/>
        <w:spacing w:before="0" w:beforeAutospacing="0" w:after="0" w:afterAutospacing="0" w:line="360" w:lineRule="auto"/>
        <w:ind w:left="567" w:right="0" w:hanging="567"/>
        <w:jc w:val="both"/>
        <w:rPr>
          <w:rFonts w:hint="eastAsia" w:ascii="宋体" w:hAnsi="宋体" w:eastAsia="宋体" w:cs="黑体"/>
          <w:b/>
          <w:bCs/>
          <w:kern w:val="2"/>
          <w:sz w:val="21"/>
          <w:szCs w:val="21"/>
        </w:rPr>
      </w:pPr>
      <w:r>
        <w:rPr>
          <w:rFonts w:hint="eastAsia" w:ascii="宋体" w:hAnsi="宋体" w:eastAsia="宋体" w:cs="宋体"/>
          <w:kern w:val="2"/>
          <w:sz w:val="21"/>
          <w:szCs w:val="21"/>
          <w:lang w:val="en-US" w:eastAsia="zh-CN" w:bidi="ar"/>
        </w:rPr>
        <w:t>投标人的投标文件应在本项目投标截止时间前送达开标地点。</w:t>
      </w:r>
    </w:p>
    <w:p w14:paraId="681B488F">
      <w:pPr>
        <w:keepNext w:val="0"/>
        <w:keepLines w:val="0"/>
        <w:widowControl w:val="0"/>
        <w:numPr>
          <w:ilvl w:val="1"/>
          <w:numId w:val="17"/>
        </w:numPr>
        <w:suppressLineNumbers w:val="0"/>
        <w:autoSpaceDE w:val="0"/>
        <w:autoSpaceDN w:val="0"/>
        <w:adjustRightInd w:val="0"/>
        <w:snapToGrid w:val="0"/>
        <w:spacing w:before="0" w:beforeAutospacing="0" w:after="0" w:afterAutospacing="0" w:line="360" w:lineRule="auto"/>
        <w:ind w:left="567" w:right="0" w:hanging="567"/>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逾期送达或者未按照谈判文件要求密封的投标文件，采购人应当拒收。</w:t>
      </w:r>
    </w:p>
    <w:p w14:paraId="68C9C850">
      <w:pPr>
        <w:keepNext w:val="0"/>
        <w:keepLines w:val="0"/>
        <w:widowControl w:val="0"/>
        <w:numPr>
          <w:ilvl w:val="1"/>
          <w:numId w:val="17"/>
        </w:numPr>
        <w:suppressLineNumbers w:val="0"/>
        <w:autoSpaceDE w:val="0"/>
        <w:autoSpaceDN w:val="0"/>
        <w:adjustRightInd w:val="0"/>
        <w:snapToGrid w:val="0"/>
        <w:spacing w:before="0" w:beforeAutospacing="0" w:after="0" w:afterAutospacing="0" w:line="360" w:lineRule="auto"/>
        <w:ind w:left="567" w:right="0" w:hanging="567"/>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开标一览表》作为开标时唱标的依据，除按格式要求放入投标文件中外，还应另行单独密封提交一份，在封口密封处加盖公章（或密封封口处粘贴封条并加盖投标单位公章），并在信封上标明“开标一览表”字样。</w:t>
      </w:r>
    </w:p>
    <w:p w14:paraId="1F25D064">
      <w:pPr>
        <w:keepNext w:val="0"/>
        <w:keepLines w:val="0"/>
        <w:widowControl w:val="0"/>
        <w:numPr>
          <w:ilvl w:val="1"/>
          <w:numId w:val="17"/>
        </w:numPr>
        <w:suppressLineNumbers w:val="0"/>
        <w:autoSpaceDE w:val="0"/>
        <w:autoSpaceDN w:val="0"/>
        <w:adjustRightInd w:val="0"/>
        <w:snapToGrid w:val="0"/>
        <w:spacing w:before="0" w:beforeAutospacing="0" w:after="0" w:afterAutospacing="0" w:line="360" w:lineRule="auto"/>
        <w:ind w:left="567" w:right="0" w:hanging="567"/>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投标文件正本、所有的副本应统一封装在一个信封中，信封密封封口处须加盖投标单位公章（或信封密封封口处粘贴封条并加盖投标单位公章）。</w:t>
      </w:r>
    </w:p>
    <w:p w14:paraId="313FA4D5">
      <w:pPr>
        <w:keepNext w:val="0"/>
        <w:keepLines w:val="0"/>
        <w:widowControl w:val="0"/>
        <w:numPr>
          <w:ilvl w:val="1"/>
          <w:numId w:val="17"/>
        </w:numPr>
        <w:suppressLineNumbers w:val="0"/>
        <w:autoSpaceDE w:val="0"/>
        <w:autoSpaceDN w:val="0"/>
        <w:adjustRightInd w:val="0"/>
        <w:snapToGrid w:val="0"/>
        <w:spacing w:before="0" w:beforeAutospacing="0" w:after="0" w:afterAutospacing="0" w:line="360" w:lineRule="auto"/>
        <w:ind w:left="567" w:right="0" w:hanging="567"/>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密封包上应注明所规定的开标时间（指谈判公告中规定的开标时间）前不准启封的字样。</w:t>
      </w:r>
    </w:p>
    <w:p w14:paraId="4C2E61AE">
      <w:pPr>
        <w:keepNext w:val="0"/>
        <w:keepLines w:val="0"/>
        <w:widowControl w:val="0"/>
        <w:numPr>
          <w:ilvl w:val="1"/>
          <w:numId w:val="17"/>
        </w:numPr>
        <w:suppressLineNumbers w:val="0"/>
        <w:autoSpaceDE w:val="0"/>
        <w:autoSpaceDN w:val="0"/>
        <w:adjustRightInd w:val="0"/>
        <w:snapToGrid w:val="0"/>
        <w:spacing w:before="0" w:beforeAutospacing="0" w:after="0" w:afterAutospacing="0" w:line="360" w:lineRule="auto"/>
        <w:ind w:left="567" w:right="0" w:hanging="567"/>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我院将拒绝并原封退回在其规定的投标截止期后收到的任何投标文件。</w:t>
      </w:r>
    </w:p>
    <w:p w14:paraId="138DA225">
      <w:pPr>
        <w:keepNext w:val="0"/>
        <w:keepLines w:val="0"/>
        <w:widowControl w:val="0"/>
        <w:numPr>
          <w:ilvl w:val="0"/>
          <w:numId w:val="17"/>
        </w:numPr>
        <w:suppressLineNumbers w:val="0"/>
        <w:autoSpaceDE w:val="0"/>
        <w:autoSpaceDN w:val="0"/>
        <w:adjustRightInd w:val="0"/>
        <w:snapToGrid w:val="0"/>
        <w:spacing w:before="0" w:beforeAutospacing="0" w:after="0" w:afterAutospacing="0" w:line="360" w:lineRule="auto"/>
        <w:ind w:left="449" w:right="0" w:hanging="449" w:hangingChars="213"/>
        <w:jc w:val="both"/>
        <w:outlineLvl w:val="1"/>
        <w:rPr>
          <w:rFonts w:hint="eastAsia" w:ascii="宋体" w:hAnsi="宋体" w:eastAsia="宋体" w:cs="Times New Roman"/>
          <w:b/>
          <w:bCs/>
          <w:kern w:val="2"/>
          <w:sz w:val="21"/>
          <w:szCs w:val="21"/>
        </w:rPr>
      </w:pPr>
      <w:r>
        <w:rPr>
          <w:rFonts w:hint="eastAsia" w:ascii="宋体" w:hAnsi="宋体" w:eastAsia="宋体" w:cs="宋体"/>
          <w:b/>
          <w:bCs/>
          <w:kern w:val="2"/>
          <w:sz w:val="21"/>
          <w:szCs w:val="21"/>
          <w:lang w:val="en-US" w:eastAsia="zh-CN" w:bidi="ar"/>
        </w:rPr>
        <w:t>投标文件的修改和撤回、撤销</w:t>
      </w:r>
    </w:p>
    <w:p w14:paraId="6C84F556">
      <w:pPr>
        <w:keepNext w:val="0"/>
        <w:keepLines w:val="0"/>
        <w:widowControl w:val="0"/>
        <w:numPr>
          <w:ilvl w:val="1"/>
          <w:numId w:val="17"/>
        </w:numPr>
        <w:suppressLineNumbers w:val="0"/>
        <w:autoSpaceDE w:val="0"/>
        <w:autoSpaceDN w:val="0"/>
        <w:adjustRightInd w:val="0"/>
        <w:snapToGrid w:val="0"/>
        <w:spacing w:before="0" w:beforeAutospacing="0" w:after="0" w:afterAutospacing="0" w:line="360" w:lineRule="auto"/>
        <w:ind w:left="567" w:right="0" w:hanging="567"/>
        <w:jc w:val="both"/>
        <w:rPr>
          <w:rFonts w:hint="eastAsia" w:ascii="宋体" w:hAnsi="宋体" w:eastAsia="宋体" w:cs="黑体"/>
          <w:b/>
          <w:bCs/>
          <w:kern w:val="2"/>
          <w:sz w:val="21"/>
          <w:szCs w:val="21"/>
        </w:rPr>
      </w:pPr>
      <w:r>
        <w:rPr>
          <w:rFonts w:hint="eastAsia" w:ascii="宋体" w:hAnsi="宋体" w:eastAsia="宋体" w:cs="宋体"/>
          <w:kern w:val="2"/>
          <w:sz w:val="21"/>
          <w:szCs w:val="21"/>
          <w:lang w:val="en-US" w:eastAsia="zh-CN" w:bidi="ar"/>
        </w:rPr>
        <w:t>投标人在投标截止时间前，可以对所递交的投标文件进行补充、修改或者撤回。补充、修改的内容应当按谈判文件要求签署、盖章、密封后，并作为投标文件的组成部分。在投标截止时间之后，投标人不得对其投标文件做任何修改和补充。</w:t>
      </w:r>
    </w:p>
    <w:p w14:paraId="7C82F76F">
      <w:pPr>
        <w:keepNext w:val="0"/>
        <w:keepLines w:val="0"/>
        <w:widowControl w:val="0"/>
        <w:numPr>
          <w:ilvl w:val="1"/>
          <w:numId w:val="17"/>
        </w:numPr>
        <w:suppressLineNumbers w:val="0"/>
        <w:autoSpaceDE w:val="0"/>
        <w:autoSpaceDN w:val="0"/>
        <w:adjustRightInd w:val="0"/>
        <w:snapToGrid w:val="0"/>
        <w:spacing w:before="0" w:beforeAutospacing="0" w:after="0" w:afterAutospacing="0" w:line="360" w:lineRule="auto"/>
        <w:ind w:left="567" w:right="0" w:hanging="567"/>
        <w:jc w:val="both"/>
        <w:rPr>
          <w:rFonts w:hint="eastAsia" w:ascii="宋体" w:hAnsi="宋体" w:eastAsia="宋体" w:cs="黑体"/>
          <w:b/>
          <w:bCs/>
          <w:strike/>
          <w:dstrike w:val="0"/>
          <w:kern w:val="2"/>
          <w:sz w:val="21"/>
          <w:szCs w:val="21"/>
        </w:rPr>
      </w:pPr>
      <w:r>
        <w:rPr>
          <w:rFonts w:hint="eastAsia" w:ascii="宋体" w:hAnsi="宋体" w:eastAsia="宋体" w:cs="宋体"/>
          <w:bCs/>
          <w:kern w:val="2"/>
          <w:sz w:val="21"/>
          <w:szCs w:val="21"/>
          <w:lang w:val="en-US" w:eastAsia="zh-CN" w:bidi="ar"/>
        </w:rPr>
        <w:t>投标人在投标截止后或在谈判文件中规定的投标有效期内不可撤销其投标。</w:t>
      </w:r>
      <w:r>
        <w:rPr>
          <w:rFonts w:hint="eastAsia" w:ascii="宋体" w:hAnsi="宋体" w:eastAsia="宋体" w:cs="宋体"/>
          <w:kern w:val="2"/>
          <w:sz w:val="21"/>
          <w:szCs w:val="21"/>
          <w:lang w:val="en-US" w:eastAsia="zh-CN" w:bidi="ar"/>
        </w:rPr>
        <w:t>投标人所提交的投标文件在本项目投标截止时间后均不予退还。</w:t>
      </w:r>
    </w:p>
    <w:p w14:paraId="1BF08A58">
      <w:pPr>
        <w:keepNext w:val="0"/>
        <w:keepLines w:val="0"/>
        <w:widowControl w:val="0"/>
        <w:numPr>
          <w:ilvl w:val="0"/>
          <w:numId w:val="17"/>
        </w:numPr>
        <w:suppressLineNumbers w:val="0"/>
        <w:autoSpaceDE w:val="0"/>
        <w:autoSpaceDN w:val="0"/>
        <w:adjustRightInd w:val="0"/>
        <w:snapToGrid w:val="0"/>
        <w:spacing w:before="0" w:beforeAutospacing="0" w:after="0" w:afterAutospacing="0" w:line="360" w:lineRule="auto"/>
        <w:ind w:left="449" w:right="0" w:hanging="449" w:hangingChars="213"/>
        <w:jc w:val="both"/>
        <w:outlineLvl w:val="1"/>
        <w:rPr>
          <w:rFonts w:hint="eastAsia" w:ascii="宋体" w:hAnsi="宋体" w:eastAsia="宋体" w:cs="黑体"/>
          <w:bCs/>
          <w:kern w:val="2"/>
          <w:sz w:val="21"/>
          <w:szCs w:val="21"/>
        </w:rPr>
      </w:pPr>
      <w:r>
        <w:rPr>
          <w:rFonts w:hint="eastAsia" w:ascii="宋体" w:hAnsi="宋体" w:eastAsia="宋体" w:cs="宋体"/>
          <w:b/>
          <w:bCs/>
          <w:kern w:val="2"/>
          <w:sz w:val="21"/>
          <w:szCs w:val="21"/>
          <w:lang w:val="en-US" w:eastAsia="zh-CN" w:bidi="ar"/>
        </w:rPr>
        <w:t>质疑</w:t>
      </w:r>
    </w:p>
    <w:p w14:paraId="30495DFD">
      <w:pPr>
        <w:keepNext w:val="0"/>
        <w:keepLines w:val="0"/>
        <w:widowControl w:val="0"/>
        <w:numPr>
          <w:ilvl w:val="1"/>
          <w:numId w:val="17"/>
        </w:numPr>
        <w:suppressLineNumbers w:val="0"/>
        <w:autoSpaceDE w:val="0"/>
        <w:autoSpaceDN w:val="0"/>
        <w:adjustRightInd w:val="0"/>
        <w:snapToGrid w:val="0"/>
        <w:spacing w:before="0" w:beforeAutospacing="0" w:after="0" w:afterAutospacing="0" w:line="360" w:lineRule="auto"/>
        <w:ind w:left="567" w:leftChars="0" w:right="0" w:hanging="567" w:firstLineChars="0"/>
        <w:jc w:val="both"/>
        <w:rPr>
          <w:rFonts w:hint="eastAsia" w:ascii="宋体" w:hAnsi="宋体" w:eastAsia="宋体" w:cs="黑体"/>
          <w:bCs/>
          <w:kern w:val="2"/>
          <w:sz w:val="21"/>
          <w:szCs w:val="21"/>
        </w:rPr>
      </w:pPr>
      <w:r>
        <w:rPr>
          <w:rFonts w:hint="eastAsia" w:ascii="宋体" w:hAnsi="宋体" w:eastAsia="宋体" w:cs="宋体"/>
          <w:bCs/>
          <w:kern w:val="2"/>
          <w:sz w:val="21"/>
          <w:szCs w:val="21"/>
          <w:lang w:val="en-US" w:eastAsia="zh-CN" w:bidi="ar"/>
        </w:rPr>
        <w:t>质疑期限：</w:t>
      </w:r>
    </w:p>
    <w:p w14:paraId="3C3769C4">
      <w:pPr>
        <w:keepNext w:val="0"/>
        <w:keepLines w:val="0"/>
        <w:widowControl w:val="0"/>
        <w:suppressLineNumbers w:val="0"/>
        <w:tabs>
          <w:tab w:val="left" w:pos="1078"/>
        </w:tabs>
        <w:autoSpaceDE w:val="0"/>
        <w:autoSpaceDN w:val="0"/>
        <w:adjustRightInd w:val="0"/>
        <w:snapToGrid w:val="0"/>
        <w:spacing w:before="0" w:beforeAutospacing="0" w:after="0" w:afterAutospacing="0" w:line="360" w:lineRule="auto"/>
        <w:ind w:left="0" w:leftChars="0" w:right="0"/>
        <w:jc w:val="both"/>
        <w:rPr>
          <w:rFonts w:hint="eastAsia" w:ascii="宋体" w:hAnsi="宋体" w:eastAsia="宋体" w:cs="黑体"/>
          <w:bCs/>
          <w:kern w:val="2"/>
          <w:sz w:val="21"/>
          <w:szCs w:val="21"/>
        </w:rPr>
      </w:pPr>
      <w:r>
        <w:rPr>
          <w:rFonts w:hint="eastAsia" w:ascii="宋体" w:hAnsi="宋体" w:eastAsia="宋体" w:cs="宋体"/>
          <w:bCs/>
          <w:kern w:val="2"/>
          <w:sz w:val="21"/>
          <w:szCs w:val="21"/>
          <w:lang w:val="en-US" w:eastAsia="zh-CN" w:bidi="ar"/>
        </w:rPr>
        <w:t>17.1.1.供应商认为采购文件的内容损害其权益的，应在采购文件公布之日起七个工作日内。</w:t>
      </w:r>
    </w:p>
    <w:p w14:paraId="65B63717">
      <w:pPr>
        <w:keepNext w:val="0"/>
        <w:keepLines w:val="0"/>
        <w:widowControl w:val="0"/>
        <w:suppressLineNumbers w:val="0"/>
        <w:tabs>
          <w:tab w:val="left" w:pos="1078"/>
        </w:tabs>
        <w:autoSpaceDE w:val="0"/>
        <w:autoSpaceDN w:val="0"/>
        <w:adjustRightInd w:val="0"/>
        <w:snapToGrid w:val="0"/>
        <w:spacing w:before="0" w:beforeAutospacing="0" w:after="0" w:afterAutospacing="0" w:line="360" w:lineRule="auto"/>
        <w:ind w:left="0" w:leftChars="0" w:right="0"/>
        <w:jc w:val="both"/>
        <w:rPr>
          <w:rFonts w:hint="eastAsia" w:ascii="宋体" w:hAnsi="宋体" w:eastAsia="宋体" w:cs="黑体"/>
          <w:bCs/>
          <w:kern w:val="2"/>
          <w:sz w:val="21"/>
          <w:szCs w:val="21"/>
        </w:rPr>
      </w:pPr>
      <w:r>
        <w:rPr>
          <w:rFonts w:hint="eastAsia" w:ascii="宋体" w:hAnsi="宋体" w:eastAsia="宋体" w:cs="宋体"/>
          <w:bCs/>
          <w:kern w:val="2"/>
          <w:sz w:val="21"/>
          <w:szCs w:val="21"/>
          <w:lang w:val="en-US" w:eastAsia="zh-CN" w:bidi="ar"/>
        </w:rPr>
        <w:t>17.1.2.供应商认为采购过程损害其权益的，应在各采购程序环节结束之日起七个工作日内。</w:t>
      </w:r>
    </w:p>
    <w:p w14:paraId="558CF59C">
      <w:pPr>
        <w:keepNext w:val="0"/>
        <w:keepLines w:val="0"/>
        <w:widowControl w:val="0"/>
        <w:suppressLineNumbers w:val="0"/>
        <w:tabs>
          <w:tab w:val="left" w:pos="1078"/>
        </w:tabs>
        <w:autoSpaceDE w:val="0"/>
        <w:autoSpaceDN w:val="0"/>
        <w:adjustRightInd w:val="0"/>
        <w:snapToGrid w:val="0"/>
        <w:spacing w:before="0" w:beforeAutospacing="0" w:after="0" w:afterAutospacing="0" w:line="360" w:lineRule="auto"/>
        <w:ind w:left="0" w:leftChars="0" w:right="0"/>
        <w:jc w:val="both"/>
        <w:rPr>
          <w:rFonts w:hint="eastAsia" w:ascii="宋体" w:hAnsi="宋体" w:eastAsia="宋体" w:cs="黑体"/>
          <w:bCs/>
          <w:kern w:val="2"/>
          <w:sz w:val="21"/>
          <w:szCs w:val="21"/>
        </w:rPr>
      </w:pPr>
      <w:r>
        <w:rPr>
          <w:rFonts w:hint="eastAsia" w:ascii="宋体" w:hAnsi="宋体" w:eastAsia="宋体" w:cs="宋体"/>
          <w:bCs/>
          <w:kern w:val="2"/>
          <w:sz w:val="21"/>
          <w:szCs w:val="21"/>
          <w:lang w:val="en-US" w:eastAsia="zh-CN" w:bidi="ar"/>
        </w:rPr>
        <w:t>17.1.3.供应商认为中标或者成交结果以及评标委员会、谈判小组、竞价小组组成人员损害其权益的，应在中标或者成交结果公示之日起七个工作日内。</w:t>
      </w:r>
    </w:p>
    <w:p w14:paraId="37FAAFF7">
      <w:pPr>
        <w:keepNext w:val="0"/>
        <w:keepLines w:val="0"/>
        <w:widowControl w:val="0"/>
        <w:numPr>
          <w:ilvl w:val="1"/>
          <w:numId w:val="17"/>
        </w:numPr>
        <w:suppressLineNumbers w:val="0"/>
        <w:autoSpaceDE w:val="0"/>
        <w:autoSpaceDN w:val="0"/>
        <w:adjustRightInd w:val="0"/>
        <w:snapToGrid w:val="0"/>
        <w:spacing w:before="0" w:beforeAutospacing="0" w:after="0" w:afterAutospacing="0" w:line="360" w:lineRule="auto"/>
        <w:ind w:left="567" w:leftChars="0" w:right="0" w:hanging="567" w:firstLineChars="0"/>
        <w:jc w:val="both"/>
        <w:rPr>
          <w:rFonts w:hint="eastAsia" w:ascii="宋体" w:hAnsi="宋体" w:eastAsia="宋体" w:cs="黑体"/>
          <w:bCs/>
          <w:kern w:val="2"/>
          <w:sz w:val="21"/>
          <w:szCs w:val="21"/>
        </w:rPr>
      </w:pPr>
      <w:r>
        <w:rPr>
          <w:rFonts w:hint="eastAsia" w:ascii="宋体" w:hAnsi="宋体" w:eastAsia="宋体" w:cs="宋体"/>
          <w:bCs/>
          <w:kern w:val="2"/>
          <w:sz w:val="21"/>
          <w:szCs w:val="21"/>
          <w:lang w:val="en-US" w:eastAsia="zh-CN" w:bidi="ar"/>
        </w:rPr>
        <w:t>提交要求：</w:t>
      </w:r>
    </w:p>
    <w:p w14:paraId="0DC6E725">
      <w:pPr>
        <w:keepNext w:val="0"/>
        <w:keepLines w:val="0"/>
        <w:widowControl w:val="0"/>
        <w:suppressLineNumbers w:val="0"/>
        <w:autoSpaceDE w:val="0"/>
        <w:autoSpaceDN w:val="0"/>
        <w:adjustRightInd w:val="0"/>
        <w:snapToGrid w:val="0"/>
        <w:spacing w:before="0" w:beforeAutospacing="0" w:after="0" w:afterAutospacing="0" w:line="360" w:lineRule="auto"/>
        <w:ind w:left="0" w:leftChars="0" w:right="0"/>
        <w:jc w:val="both"/>
        <w:rPr>
          <w:rFonts w:hint="eastAsia" w:ascii="宋体" w:hAnsi="宋体" w:eastAsia="宋体" w:cs="黑体"/>
          <w:bCs/>
          <w:kern w:val="2"/>
          <w:sz w:val="21"/>
          <w:szCs w:val="21"/>
        </w:rPr>
      </w:pPr>
      <w:r>
        <w:rPr>
          <w:rFonts w:hint="eastAsia" w:ascii="宋体" w:hAnsi="宋体" w:eastAsia="宋体" w:cs="宋体"/>
          <w:bCs/>
          <w:kern w:val="2"/>
          <w:sz w:val="21"/>
          <w:szCs w:val="21"/>
          <w:lang w:val="en-US" w:eastAsia="zh-CN" w:bidi="ar"/>
        </w:rPr>
        <w:t>17.2.1.以书面形式向采购人</w:t>
      </w:r>
      <w:r>
        <w:rPr>
          <w:rFonts w:hint="eastAsia" w:ascii="宋体" w:hAnsi="宋体" w:eastAsia="宋体" w:cs="宋体"/>
          <w:kern w:val="2"/>
          <w:sz w:val="21"/>
          <w:szCs w:val="21"/>
          <w:lang w:val="en-US" w:eastAsia="zh-CN" w:bidi="ar"/>
        </w:rPr>
        <w:t>一次性提出针对同一采购程序环节的</w:t>
      </w:r>
      <w:r>
        <w:rPr>
          <w:rFonts w:hint="eastAsia" w:ascii="宋体" w:hAnsi="宋体" w:eastAsia="宋体" w:cs="宋体"/>
          <w:bCs/>
          <w:kern w:val="2"/>
          <w:sz w:val="21"/>
          <w:szCs w:val="21"/>
          <w:lang w:val="en-US" w:eastAsia="zh-CN" w:bidi="ar"/>
        </w:rPr>
        <w:t>质疑。</w:t>
      </w:r>
    </w:p>
    <w:p w14:paraId="142A326E">
      <w:pPr>
        <w:keepNext w:val="0"/>
        <w:keepLines w:val="0"/>
        <w:widowControl w:val="0"/>
        <w:suppressLineNumbers w:val="0"/>
        <w:autoSpaceDE w:val="0"/>
        <w:autoSpaceDN w:val="0"/>
        <w:adjustRightInd w:val="0"/>
        <w:snapToGrid w:val="0"/>
        <w:spacing w:before="0" w:beforeAutospacing="0" w:after="0" w:afterAutospacing="0" w:line="360" w:lineRule="auto"/>
        <w:ind w:left="0" w:leftChars="0" w:right="0"/>
        <w:jc w:val="both"/>
        <w:rPr>
          <w:rFonts w:hint="eastAsia" w:ascii="宋体" w:hAnsi="宋体" w:eastAsia="宋体" w:cs="黑体"/>
          <w:bCs/>
          <w:kern w:val="2"/>
          <w:sz w:val="21"/>
          <w:szCs w:val="21"/>
        </w:rPr>
      </w:pPr>
      <w:r>
        <w:rPr>
          <w:rFonts w:hint="eastAsia" w:ascii="宋体" w:hAnsi="宋体" w:eastAsia="宋体" w:cs="宋体"/>
          <w:bCs/>
          <w:kern w:val="2"/>
          <w:sz w:val="21"/>
          <w:szCs w:val="21"/>
          <w:lang w:val="en-US" w:eastAsia="zh-CN" w:bidi="ar"/>
        </w:rPr>
        <w:t>17.2.2.以联合体形式参加政府采购活动的，其质疑应当由组成联合体的所有供应商共同提出。</w:t>
      </w:r>
    </w:p>
    <w:p w14:paraId="5C29C885">
      <w:pPr>
        <w:keepNext w:val="0"/>
        <w:keepLines w:val="0"/>
        <w:widowControl w:val="0"/>
        <w:suppressLineNumbers w:val="0"/>
        <w:autoSpaceDE w:val="0"/>
        <w:autoSpaceDN w:val="0"/>
        <w:adjustRightInd w:val="0"/>
        <w:snapToGrid w:val="0"/>
        <w:spacing w:before="0" w:beforeAutospacing="0" w:after="0" w:afterAutospacing="0" w:line="360" w:lineRule="auto"/>
        <w:ind w:left="0" w:leftChars="0" w:right="0"/>
        <w:jc w:val="both"/>
        <w:rPr>
          <w:rFonts w:hint="eastAsia" w:ascii="宋体" w:hAnsi="宋体" w:eastAsia="宋体" w:cs="宋体"/>
          <w:bCs/>
          <w:kern w:val="2"/>
          <w:sz w:val="21"/>
          <w:szCs w:val="21"/>
        </w:rPr>
      </w:pPr>
      <w:r>
        <w:rPr>
          <w:rFonts w:hint="eastAsia" w:ascii="宋体" w:hAnsi="宋体" w:eastAsia="宋体" w:cs="宋体"/>
          <w:bCs/>
          <w:kern w:val="2"/>
          <w:sz w:val="21"/>
          <w:szCs w:val="21"/>
          <w:lang w:val="en-US" w:eastAsia="zh-CN" w:bidi="ar"/>
        </w:rPr>
        <w:t>17.2.3.质疑函内容：应包括供应商的姓名或者名称、地址、邮编、联系人及联系电话、质疑项目的名称及编号、具体且明确的质疑事项和与质疑事项相关的请求、事实依据、必要的法律依据、提出质疑的日期。供应商为自然人的，质疑函应当由本人签字；供应商为法人或者其他组织的，应当由法定代表人、主要负责人或授权代表签字或者盖章，并加盖公章。响应供应商递交质疑函时非法定代表人亲自办理的需提供法定代表人授权委托书（应载明授权代表的姓名或者名称、代理事项、具体权限、期限和相关事项）及授权代表身份证复印件。</w:t>
      </w:r>
    </w:p>
    <w:p w14:paraId="51DA09E9">
      <w:pPr>
        <w:keepNext w:val="0"/>
        <w:keepLines w:val="0"/>
        <w:widowControl w:val="0"/>
        <w:suppressLineNumbers w:val="0"/>
        <w:autoSpaceDE w:val="0"/>
        <w:autoSpaceDN w:val="0"/>
        <w:adjustRightInd w:val="0"/>
        <w:snapToGrid w:val="0"/>
        <w:spacing w:before="0" w:beforeAutospacing="0" w:after="0" w:afterAutospacing="0" w:line="360" w:lineRule="auto"/>
        <w:ind w:left="0" w:leftChars="0" w:right="0"/>
        <w:jc w:val="both"/>
        <w:rPr>
          <w:rFonts w:hint="default" w:ascii="Calibri" w:hAnsi="宋体" w:eastAsia="宋体" w:cs="Times New Roman"/>
          <w:kern w:val="2"/>
          <w:sz w:val="21"/>
          <w:szCs w:val="21"/>
        </w:rPr>
      </w:pPr>
      <w:r>
        <w:rPr>
          <w:rFonts w:hint="eastAsia" w:ascii="宋体" w:hAnsi="宋体" w:eastAsia="宋体" w:cs="宋体"/>
          <w:kern w:val="2"/>
          <w:sz w:val="21"/>
          <w:szCs w:val="21"/>
          <w:lang w:val="en-US" w:eastAsia="zh-CN" w:bidi="ar"/>
        </w:rPr>
        <w:t>17.2.4.供应商捏造事实、提供虚假材料或者以非法手段取得证明材料不能作为质疑的证明材料。</w:t>
      </w:r>
    </w:p>
    <w:p w14:paraId="6C2F30D2">
      <w:pPr>
        <w:keepNext w:val="0"/>
        <w:keepLines w:val="0"/>
        <w:widowControl w:val="0"/>
        <w:suppressLineNumbers w:val="0"/>
        <w:tabs>
          <w:tab w:val="left" w:pos="1134"/>
        </w:tabs>
        <w:autoSpaceDE w:val="0"/>
        <w:autoSpaceDN w:val="0"/>
        <w:adjustRightInd w:val="0"/>
        <w:snapToGrid w:val="0"/>
        <w:spacing w:before="0" w:beforeAutospacing="0" w:after="0" w:afterAutospacing="0" w:line="360" w:lineRule="auto"/>
        <w:ind w:left="0" w:leftChars="0" w:right="0"/>
        <w:jc w:val="both"/>
        <w:rPr>
          <w:rFonts w:hint="eastAsia" w:ascii="宋体" w:hAnsi="宋体" w:eastAsia="宋体" w:cs="黑体"/>
          <w:bCs/>
          <w:kern w:val="2"/>
          <w:sz w:val="21"/>
          <w:szCs w:val="21"/>
        </w:rPr>
      </w:pPr>
      <w:r>
        <w:rPr>
          <w:rFonts w:hint="eastAsia" w:ascii="宋体" w:hAnsi="宋体" w:eastAsia="宋体" w:cs="宋体"/>
          <w:kern w:val="2"/>
          <w:sz w:val="21"/>
          <w:szCs w:val="21"/>
          <w:lang w:val="en-US" w:eastAsia="zh-CN" w:bidi="ar"/>
        </w:rPr>
        <w:t>17.2.5.采购人在收到投标人的书面质疑后七个工作日内作出答复，并以书面形式通知质疑投标人和其他有关投标人，但答复内容不涉及商业秘密。质疑投标人须提供相关证明材料，包括但不限于权益受损害的情况说明及受损害的原因、证据内容等，并对质疑内容的真实性承担责任。</w:t>
      </w:r>
    </w:p>
    <w:p w14:paraId="4B314981">
      <w:pPr>
        <w:keepNext w:val="0"/>
        <w:keepLines w:val="0"/>
        <w:widowControl w:val="0"/>
        <w:suppressLineNumbers w:val="0"/>
        <w:autoSpaceDE w:val="0"/>
        <w:autoSpaceDN w:val="0"/>
        <w:adjustRightInd w:val="0"/>
        <w:snapToGrid w:val="0"/>
        <w:spacing w:before="0" w:beforeAutospacing="0" w:after="0" w:afterAutospacing="0" w:line="360" w:lineRule="auto"/>
        <w:ind w:left="0" w:leftChars="0" w:right="0"/>
        <w:jc w:val="both"/>
        <w:rPr>
          <w:rFonts w:hint="eastAsia" w:ascii="宋体" w:hAnsi="宋体" w:eastAsia="宋体" w:cs="宋体"/>
          <w:b/>
          <w:bCs/>
          <w:kern w:val="2"/>
          <w:sz w:val="21"/>
          <w:szCs w:val="21"/>
        </w:rPr>
      </w:pPr>
      <w:r>
        <w:rPr>
          <w:rFonts w:hint="eastAsia" w:ascii="宋体" w:hAnsi="宋体" w:eastAsia="宋体" w:cs="宋体"/>
          <w:kern w:val="2"/>
          <w:sz w:val="21"/>
          <w:szCs w:val="21"/>
          <w:lang w:val="en-US" w:eastAsia="zh-CN" w:bidi="ar"/>
        </w:rPr>
        <w:t>17.2.6.采购人接收以书面形式递交的质疑函，接收质疑函的联系人、联系方式和通讯地址见谈判公告。</w:t>
      </w:r>
    </w:p>
    <w:p w14:paraId="3B6D6DE6">
      <w:pPr>
        <w:keepNext w:val="0"/>
        <w:keepLines w:val="0"/>
        <w:widowControl w:val="0"/>
        <w:suppressLineNumbers w:val="0"/>
        <w:autoSpaceDE w:val="0"/>
        <w:autoSpaceDN w:val="0"/>
        <w:adjustRightInd w:val="0"/>
        <w:snapToGrid w:val="0"/>
        <w:spacing w:before="0" w:beforeAutospacing="0" w:after="0" w:afterAutospacing="0" w:line="360" w:lineRule="auto"/>
        <w:ind w:left="0" w:leftChars="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17.2.7.提出质疑的供应商应当是参与所质疑项目采购活动的供应商。</w:t>
      </w:r>
    </w:p>
    <w:p w14:paraId="2D0DD1A5">
      <w:pPr>
        <w:keepNext w:val="0"/>
        <w:keepLines w:val="0"/>
        <w:widowControl w:val="0"/>
        <w:suppressLineNumbers w:val="0"/>
        <w:autoSpaceDE w:val="0"/>
        <w:autoSpaceDN w:val="0"/>
        <w:adjustRightInd w:val="0"/>
        <w:snapToGrid w:val="0"/>
        <w:spacing w:before="0" w:beforeAutospacing="0" w:after="0" w:afterAutospacing="0" w:line="360" w:lineRule="auto"/>
        <w:ind w:left="0" w:leftChars="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17.2.8.供应商质疑不成立，或者成立但未对中标、成交结果构成影响的，继续开展采购活动。</w:t>
      </w:r>
    </w:p>
    <w:p w14:paraId="75E0416C">
      <w:pPr>
        <w:keepNext w:val="0"/>
        <w:keepLines w:val="0"/>
        <w:widowControl w:val="0"/>
        <w:suppressLineNumbers w:val="0"/>
        <w:autoSpaceDE w:val="0"/>
        <w:autoSpaceDN w:val="0"/>
        <w:adjustRightInd w:val="0"/>
        <w:snapToGrid w:val="0"/>
        <w:spacing w:before="0" w:beforeAutospacing="0" w:after="0" w:afterAutospacing="0" w:line="360" w:lineRule="auto"/>
        <w:ind w:left="0" w:leftChars="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17.2.9.供应商质疑成立且影响或者可能影响中标、成交结果的，按照下列情况处理：</w:t>
      </w:r>
    </w:p>
    <w:p w14:paraId="195A8896">
      <w:pPr>
        <w:keepNext w:val="0"/>
        <w:keepLines w:val="0"/>
        <w:widowControl w:val="0"/>
        <w:suppressLineNumbers w:val="0"/>
        <w:snapToGrid w:val="0"/>
        <w:spacing w:before="0" w:beforeAutospacing="0" w:after="0" w:afterAutospacing="0" w:line="360" w:lineRule="auto"/>
        <w:ind w:left="0" w:right="0"/>
        <w:jc w:val="both"/>
        <w:rPr>
          <w:rFonts w:hint="eastAsia" w:ascii="Calibri" w:hAnsi="宋体" w:eastAsia="宋体" w:cs="Times New Roman"/>
          <w:kern w:val="2"/>
          <w:sz w:val="21"/>
          <w:szCs w:val="21"/>
        </w:rPr>
      </w:pPr>
      <w:r>
        <w:rPr>
          <w:rFonts w:hint="eastAsia" w:ascii="宋体" w:hAnsi="宋体" w:eastAsia="宋体" w:cs="宋体"/>
          <w:kern w:val="2"/>
          <w:sz w:val="21"/>
          <w:szCs w:val="21"/>
          <w:lang w:val="en-US" w:eastAsia="zh-CN" w:bidi="ar"/>
        </w:rPr>
        <w:t>17.2.10.对采购文件提出的质疑，依法通过澄清或者修改可以继续开展采购活动的，澄清或者修改采购文件后继续开展采购活动；否则应当修改采购文件后重新开展采购活动。</w:t>
      </w:r>
    </w:p>
    <w:p w14:paraId="4E091E78">
      <w:pPr>
        <w:keepNext w:val="0"/>
        <w:keepLines w:val="0"/>
        <w:widowControl w:val="0"/>
        <w:numPr>
          <w:ilvl w:val="0"/>
          <w:numId w:val="17"/>
        </w:numPr>
        <w:suppressLineNumbers w:val="0"/>
        <w:autoSpaceDE w:val="0"/>
        <w:autoSpaceDN w:val="0"/>
        <w:adjustRightInd w:val="0"/>
        <w:snapToGrid w:val="0"/>
        <w:spacing w:before="0" w:beforeAutospacing="0" w:after="0" w:afterAutospacing="0" w:line="360" w:lineRule="auto"/>
        <w:ind w:left="449" w:right="0" w:hanging="449" w:hangingChars="213"/>
        <w:jc w:val="both"/>
        <w:outlineLvl w:val="1"/>
        <w:rPr>
          <w:rFonts w:hint="eastAsia" w:ascii="宋体" w:hAnsi="宋体" w:eastAsia="宋体" w:cs="Times New Roman"/>
          <w:b/>
          <w:bCs/>
          <w:kern w:val="2"/>
          <w:sz w:val="21"/>
          <w:szCs w:val="21"/>
        </w:rPr>
      </w:pPr>
      <w:r>
        <w:rPr>
          <w:rFonts w:hint="eastAsia" w:ascii="宋体" w:hAnsi="宋体" w:eastAsia="宋体" w:cs="宋体"/>
          <w:b/>
          <w:bCs/>
          <w:kern w:val="2"/>
          <w:sz w:val="21"/>
          <w:szCs w:val="21"/>
          <w:lang w:val="en-US" w:eastAsia="zh-CN" w:bidi="ar"/>
        </w:rPr>
        <w:t>违约责任</w:t>
      </w:r>
    </w:p>
    <w:p w14:paraId="49A6DE2C">
      <w:pPr>
        <w:keepNext w:val="0"/>
        <w:keepLines w:val="0"/>
        <w:widowControl w:val="0"/>
        <w:numPr>
          <w:ilvl w:val="1"/>
          <w:numId w:val="17"/>
        </w:numPr>
        <w:suppressLineNumbers w:val="0"/>
        <w:snapToGrid w:val="0"/>
        <w:spacing w:before="0" w:beforeAutospacing="0" w:after="0" w:afterAutospacing="0" w:line="360" w:lineRule="auto"/>
        <w:ind w:left="567" w:leftChars="0" w:right="0" w:hanging="567" w:firstLineChars="0"/>
        <w:jc w:val="both"/>
        <w:rPr>
          <w:rFonts w:hint="eastAsia" w:ascii="Calibri" w:hAnsi="宋体" w:eastAsia="宋体" w:cs="Times New Roman"/>
          <w:kern w:val="2"/>
          <w:sz w:val="21"/>
          <w:szCs w:val="21"/>
        </w:rPr>
      </w:pPr>
      <w:r>
        <w:rPr>
          <w:rFonts w:hint="eastAsia" w:ascii="宋体" w:hAnsi="宋体" w:eastAsia="宋体" w:cs="宋体"/>
          <w:kern w:val="2"/>
          <w:sz w:val="21"/>
          <w:szCs w:val="21"/>
          <w:lang w:val="en-US" w:eastAsia="zh-CN" w:bidi="ar"/>
        </w:rPr>
        <w:t>供应商若在政府采购活动存在下列违法行为，给采购人造成损失的，应当承担赔偿责任。</w:t>
      </w:r>
    </w:p>
    <w:p w14:paraId="4721F0EB">
      <w:pPr>
        <w:keepNext w:val="0"/>
        <w:keepLines w:val="0"/>
        <w:widowControl w:val="0"/>
        <w:suppressLineNumbers w:val="0"/>
        <w:snapToGrid w:val="0"/>
        <w:spacing w:before="0" w:beforeAutospacing="0" w:after="0" w:afterAutospacing="0" w:line="360" w:lineRule="auto"/>
        <w:ind w:left="0" w:right="0"/>
        <w:jc w:val="both"/>
        <w:rPr>
          <w:rFonts w:hint="eastAsia" w:ascii="Calibri" w:hAnsi="宋体" w:eastAsia="宋体" w:cs="Times New Roman"/>
          <w:kern w:val="2"/>
          <w:sz w:val="21"/>
          <w:szCs w:val="21"/>
        </w:rPr>
      </w:pPr>
      <w:r>
        <w:rPr>
          <w:rFonts w:hint="eastAsia" w:ascii="宋体" w:hAnsi="宋体" w:eastAsia="宋体" w:cs="宋体"/>
          <w:kern w:val="2"/>
          <w:sz w:val="21"/>
          <w:szCs w:val="21"/>
          <w:lang w:val="en-US" w:eastAsia="zh-CN" w:bidi="ar"/>
        </w:rPr>
        <w:t>（</w:t>
      </w:r>
      <w:r>
        <w:rPr>
          <w:rFonts w:hint="default" w:ascii="Calibri" w:hAnsi="Calibri" w:eastAsia="宋体" w:cs="Calibri"/>
          <w:kern w:val="2"/>
          <w:sz w:val="21"/>
          <w:szCs w:val="21"/>
          <w:lang w:val="en-US" w:eastAsia="zh-CN" w:bidi="ar"/>
        </w:rPr>
        <w:t>1</w:t>
      </w:r>
      <w:r>
        <w:rPr>
          <w:rFonts w:hint="eastAsia" w:ascii="宋体" w:hAnsi="宋体" w:eastAsia="宋体" w:cs="宋体"/>
          <w:kern w:val="2"/>
          <w:sz w:val="21"/>
          <w:szCs w:val="21"/>
          <w:lang w:val="en-US" w:eastAsia="zh-CN" w:bidi="ar"/>
        </w:rPr>
        <w:t>）未按照规定签订、履行采购合同；</w:t>
      </w:r>
    </w:p>
    <w:p w14:paraId="1068B3D9">
      <w:pPr>
        <w:keepNext w:val="0"/>
        <w:keepLines w:val="0"/>
        <w:widowControl w:val="0"/>
        <w:suppressLineNumbers w:val="0"/>
        <w:snapToGrid w:val="0"/>
        <w:spacing w:before="0" w:beforeAutospacing="0" w:after="0" w:afterAutospacing="0" w:line="360" w:lineRule="auto"/>
        <w:ind w:left="0" w:right="0"/>
        <w:jc w:val="both"/>
        <w:rPr>
          <w:rFonts w:hint="eastAsia" w:ascii="Calibri" w:hAnsi="宋体" w:eastAsia="宋体" w:cs="Times New Roman"/>
          <w:kern w:val="2"/>
          <w:sz w:val="21"/>
          <w:szCs w:val="21"/>
        </w:rPr>
      </w:pPr>
      <w:r>
        <w:rPr>
          <w:rFonts w:hint="eastAsia" w:ascii="宋体" w:hAnsi="宋体" w:eastAsia="宋体" w:cs="宋体"/>
          <w:kern w:val="2"/>
          <w:sz w:val="21"/>
          <w:szCs w:val="21"/>
          <w:lang w:val="en-US" w:eastAsia="zh-CN" w:bidi="ar"/>
        </w:rPr>
        <w:t>（</w:t>
      </w:r>
      <w:r>
        <w:rPr>
          <w:rFonts w:hint="default" w:ascii="Calibri" w:hAnsi="Calibri" w:eastAsia="宋体" w:cs="Calibri"/>
          <w:kern w:val="2"/>
          <w:sz w:val="21"/>
          <w:szCs w:val="21"/>
          <w:lang w:val="en-US" w:eastAsia="zh-CN" w:bidi="ar"/>
        </w:rPr>
        <w:t>2</w:t>
      </w:r>
      <w:r>
        <w:rPr>
          <w:rFonts w:hint="eastAsia" w:ascii="宋体" w:hAnsi="宋体" w:eastAsia="宋体" w:cs="宋体"/>
          <w:kern w:val="2"/>
          <w:sz w:val="21"/>
          <w:szCs w:val="21"/>
          <w:lang w:val="en-US" w:eastAsia="zh-CN" w:bidi="ar"/>
        </w:rPr>
        <w:t>）提供虚假材料谋取中标、成交的；</w:t>
      </w:r>
    </w:p>
    <w:p w14:paraId="0E578ED0">
      <w:pPr>
        <w:keepNext w:val="0"/>
        <w:keepLines w:val="0"/>
        <w:widowControl w:val="0"/>
        <w:suppressLineNumbers w:val="0"/>
        <w:snapToGrid w:val="0"/>
        <w:spacing w:before="0" w:beforeAutospacing="0" w:after="0" w:afterAutospacing="0" w:line="360" w:lineRule="auto"/>
        <w:ind w:left="0" w:right="0"/>
        <w:jc w:val="both"/>
        <w:rPr>
          <w:rFonts w:hint="eastAsia" w:ascii="Calibri" w:hAnsi="宋体" w:eastAsia="宋体" w:cs="Times New Roman"/>
          <w:kern w:val="2"/>
          <w:sz w:val="21"/>
          <w:szCs w:val="21"/>
        </w:rPr>
      </w:pPr>
      <w:r>
        <w:rPr>
          <w:rFonts w:hint="eastAsia" w:ascii="宋体" w:hAnsi="宋体" w:eastAsia="宋体" w:cs="宋体"/>
          <w:kern w:val="2"/>
          <w:sz w:val="21"/>
          <w:szCs w:val="21"/>
          <w:lang w:val="en-US" w:eastAsia="zh-CN" w:bidi="ar"/>
        </w:rPr>
        <w:t>（</w:t>
      </w:r>
      <w:r>
        <w:rPr>
          <w:rFonts w:hint="default" w:ascii="Calibri" w:hAnsi="Calibri" w:eastAsia="宋体" w:cs="Calibri"/>
          <w:kern w:val="2"/>
          <w:sz w:val="21"/>
          <w:szCs w:val="21"/>
          <w:lang w:val="en-US" w:eastAsia="zh-CN" w:bidi="ar"/>
        </w:rPr>
        <w:t>3</w:t>
      </w:r>
      <w:r>
        <w:rPr>
          <w:rFonts w:hint="eastAsia" w:ascii="宋体" w:hAnsi="宋体" w:eastAsia="宋体" w:cs="宋体"/>
          <w:kern w:val="2"/>
          <w:sz w:val="21"/>
          <w:szCs w:val="21"/>
          <w:lang w:val="en-US" w:eastAsia="zh-CN" w:bidi="ar"/>
        </w:rPr>
        <w:t>）采取不正当手段诋毁、排挤其他供应商的；</w:t>
      </w:r>
    </w:p>
    <w:p w14:paraId="14D2E0A5">
      <w:pPr>
        <w:keepNext w:val="0"/>
        <w:keepLines w:val="0"/>
        <w:widowControl w:val="0"/>
        <w:suppressLineNumbers w:val="0"/>
        <w:snapToGrid w:val="0"/>
        <w:spacing w:before="0" w:beforeAutospacing="0" w:after="0" w:afterAutospacing="0" w:line="360" w:lineRule="auto"/>
        <w:ind w:left="0" w:right="0"/>
        <w:jc w:val="both"/>
        <w:rPr>
          <w:rFonts w:hint="eastAsia" w:ascii="Calibri" w:hAnsi="宋体" w:eastAsia="宋体" w:cs="Times New Roman"/>
          <w:kern w:val="2"/>
          <w:sz w:val="21"/>
          <w:szCs w:val="21"/>
        </w:rPr>
      </w:pPr>
      <w:r>
        <w:rPr>
          <w:rFonts w:hint="eastAsia" w:ascii="宋体" w:hAnsi="宋体" w:eastAsia="宋体" w:cs="宋体"/>
          <w:kern w:val="2"/>
          <w:sz w:val="21"/>
          <w:szCs w:val="21"/>
          <w:lang w:val="en-US" w:eastAsia="zh-CN" w:bidi="ar"/>
        </w:rPr>
        <w:t>（</w:t>
      </w:r>
      <w:r>
        <w:rPr>
          <w:rFonts w:hint="default" w:ascii="Calibri" w:hAnsi="Calibri" w:eastAsia="宋体" w:cs="Calibri"/>
          <w:kern w:val="2"/>
          <w:sz w:val="21"/>
          <w:szCs w:val="21"/>
          <w:lang w:val="en-US" w:eastAsia="zh-CN" w:bidi="ar"/>
        </w:rPr>
        <w:t>4</w:t>
      </w:r>
      <w:r>
        <w:rPr>
          <w:rFonts w:hint="eastAsia" w:ascii="宋体" w:hAnsi="宋体" w:eastAsia="宋体" w:cs="宋体"/>
          <w:kern w:val="2"/>
          <w:sz w:val="21"/>
          <w:szCs w:val="21"/>
          <w:lang w:val="en-US" w:eastAsia="zh-CN" w:bidi="ar"/>
        </w:rPr>
        <w:t>）与其他供应商恶意串通的；</w:t>
      </w:r>
    </w:p>
    <w:p w14:paraId="77006808">
      <w:pPr>
        <w:keepNext w:val="0"/>
        <w:keepLines w:val="0"/>
        <w:widowControl w:val="0"/>
        <w:suppressLineNumbers w:val="0"/>
        <w:snapToGrid w:val="0"/>
        <w:spacing w:before="0" w:beforeAutospacing="0" w:after="0" w:afterAutospacing="0" w:line="360" w:lineRule="auto"/>
        <w:ind w:left="0" w:right="0"/>
        <w:jc w:val="both"/>
        <w:rPr>
          <w:rFonts w:hint="eastAsia" w:ascii="Calibri" w:hAnsi="宋体" w:eastAsia="宋体" w:cs="Times New Roman"/>
          <w:kern w:val="2"/>
          <w:sz w:val="21"/>
          <w:szCs w:val="21"/>
        </w:rPr>
      </w:pPr>
      <w:r>
        <w:rPr>
          <w:rFonts w:hint="eastAsia" w:ascii="宋体" w:hAnsi="宋体" w:eastAsia="宋体" w:cs="宋体"/>
          <w:kern w:val="2"/>
          <w:sz w:val="21"/>
          <w:szCs w:val="21"/>
          <w:lang w:val="en-US" w:eastAsia="zh-CN" w:bidi="ar"/>
        </w:rPr>
        <w:t>（</w:t>
      </w:r>
      <w:r>
        <w:rPr>
          <w:rFonts w:hint="default" w:ascii="Calibri" w:hAnsi="Calibri" w:eastAsia="宋体" w:cs="Calibri"/>
          <w:kern w:val="2"/>
          <w:sz w:val="21"/>
          <w:szCs w:val="21"/>
          <w:lang w:val="en-US" w:eastAsia="zh-CN" w:bidi="ar"/>
        </w:rPr>
        <w:t>5</w:t>
      </w:r>
      <w:r>
        <w:rPr>
          <w:rFonts w:hint="eastAsia" w:ascii="宋体" w:hAnsi="宋体" w:eastAsia="宋体" w:cs="宋体"/>
          <w:kern w:val="2"/>
          <w:sz w:val="21"/>
          <w:szCs w:val="21"/>
          <w:lang w:val="en-US" w:eastAsia="zh-CN" w:bidi="ar"/>
        </w:rPr>
        <w:t>）拒绝有关部门监督检查或者提供虚假情况的；</w:t>
      </w:r>
    </w:p>
    <w:p w14:paraId="2C6F11D9">
      <w:pPr>
        <w:keepNext w:val="0"/>
        <w:keepLines w:val="0"/>
        <w:widowControl w:val="0"/>
        <w:suppressLineNumbers w:val="0"/>
        <w:snapToGrid w:val="0"/>
        <w:spacing w:before="0" w:beforeAutospacing="0" w:after="0" w:afterAutospacing="0" w:line="360" w:lineRule="auto"/>
        <w:ind w:left="0" w:right="0"/>
        <w:jc w:val="both"/>
        <w:rPr>
          <w:rFonts w:hint="eastAsia" w:ascii="Calibri" w:hAnsi="宋体" w:eastAsia="宋体" w:cs="Times New Roman"/>
          <w:kern w:val="2"/>
          <w:sz w:val="21"/>
          <w:szCs w:val="21"/>
        </w:rPr>
      </w:pPr>
      <w:r>
        <w:rPr>
          <w:rFonts w:hint="eastAsia" w:ascii="宋体" w:hAnsi="宋体" w:eastAsia="宋体" w:cs="宋体"/>
          <w:kern w:val="2"/>
          <w:sz w:val="21"/>
          <w:szCs w:val="21"/>
          <w:lang w:val="en-US" w:eastAsia="zh-CN" w:bidi="ar"/>
        </w:rPr>
        <w:t>（</w:t>
      </w:r>
      <w:r>
        <w:rPr>
          <w:rFonts w:hint="default" w:ascii="Calibri" w:hAnsi="Calibri" w:eastAsia="宋体" w:cs="Calibri"/>
          <w:kern w:val="2"/>
          <w:sz w:val="21"/>
          <w:szCs w:val="21"/>
          <w:lang w:val="en-US" w:eastAsia="zh-CN" w:bidi="ar"/>
        </w:rPr>
        <w:t>6</w:t>
      </w:r>
      <w:r>
        <w:rPr>
          <w:rFonts w:hint="eastAsia" w:ascii="宋体" w:hAnsi="宋体" w:eastAsia="宋体" w:cs="宋体"/>
          <w:kern w:val="2"/>
          <w:sz w:val="21"/>
          <w:szCs w:val="21"/>
          <w:lang w:val="en-US" w:eastAsia="zh-CN" w:bidi="ar"/>
        </w:rPr>
        <w:t>）经主管部门认定的其他违法采购相关法律法规的行为。</w:t>
      </w:r>
    </w:p>
    <w:p w14:paraId="6F587694">
      <w:pPr>
        <w:keepNext w:val="0"/>
        <w:keepLines w:val="0"/>
        <w:widowControl w:val="0"/>
        <w:numPr>
          <w:ilvl w:val="0"/>
          <w:numId w:val="17"/>
        </w:numPr>
        <w:suppressLineNumbers w:val="0"/>
        <w:autoSpaceDE w:val="0"/>
        <w:autoSpaceDN w:val="0"/>
        <w:adjustRightInd w:val="0"/>
        <w:snapToGrid w:val="0"/>
        <w:spacing w:before="0" w:beforeAutospacing="0" w:after="0" w:afterAutospacing="0" w:line="360" w:lineRule="auto"/>
        <w:ind w:left="449" w:right="0" w:hanging="449" w:hangingChars="213"/>
        <w:jc w:val="both"/>
        <w:outlineLvl w:val="1"/>
        <w:rPr>
          <w:rFonts w:hint="eastAsia" w:ascii="宋体" w:hAnsi="宋体" w:eastAsia="宋体" w:cs="Times New Roman"/>
          <w:b/>
          <w:bCs/>
          <w:kern w:val="2"/>
          <w:sz w:val="21"/>
          <w:szCs w:val="21"/>
        </w:rPr>
      </w:pPr>
      <w:r>
        <w:rPr>
          <w:rFonts w:hint="eastAsia" w:ascii="宋体" w:hAnsi="宋体" w:eastAsia="宋体" w:cs="宋体"/>
          <w:b/>
          <w:bCs/>
          <w:kern w:val="2"/>
          <w:sz w:val="21"/>
          <w:szCs w:val="21"/>
          <w:lang w:val="en-US" w:eastAsia="zh-CN" w:bidi="ar"/>
        </w:rPr>
        <w:t>中标通知书</w:t>
      </w:r>
    </w:p>
    <w:p w14:paraId="406D7823">
      <w:pPr>
        <w:keepNext w:val="0"/>
        <w:keepLines w:val="0"/>
        <w:widowControl w:val="0"/>
        <w:numPr>
          <w:ilvl w:val="1"/>
          <w:numId w:val="17"/>
        </w:numPr>
        <w:suppressLineNumbers w:val="0"/>
        <w:autoSpaceDE w:val="0"/>
        <w:autoSpaceDN w:val="0"/>
        <w:adjustRightInd w:val="0"/>
        <w:snapToGrid w:val="0"/>
        <w:spacing w:before="0" w:beforeAutospacing="0" w:after="0" w:afterAutospacing="0" w:line="360" w:lineRule="auto"/>
        <w:ind w:left="567" w:right="0" w:hanging="567"/>
        <w:jc w:val="both"/>
        <w:rPr>
          <w:rFonts w:hint="eastAsia" w:ascii="宋体" w:hAnsi="宋体" w:eastAsia="宋体" w:cs="黑体"/>
          <w:b/>
          <w:bCs/>
          <w:kern w:val="2"/>
          <w:sz w:val="21"/>
          <w:szCs w:val="21"/>
        </w:rPr>
      </w:pPr>
      <w:r>
        <w:rPr>
          <w:rFonts w:hint="eastAsia" w:ascii="宋体" w:hAnsi="宋体" w:eastAsia="宋体" w:cs="宋体"/>
          <w:kern w:val="2"/>
          <w:sz w:val="21"/>
          <w:szCs w:val="21"/>
          <w:lang w:val="en-US" w:eastAsia="zh-CN" w:bidi="ar"/>
        </w:rPr>
        <w:t>中标人确定后，采购人将在发布采购信息公告的媒体上发布中标公告，并向中标人发出《中标通知书》，其中《中标通知书》对中标人和采购人具有同等法律效力。</w:t>
      </w:r>
    </w:p>
    <w:p w14:paraId="0118053D">
      <w:pPr>
        <w:keepNext w:val="0"/>
        <w:keepLines w:val="0"/>
        <w:widowControl w:val="0"/>
        <w:numPr>
          <w:ilvl w:val="1"/>
          <w:numId w:val="17"/>
        </w:numPr>
        <w:suppressLineNumbers w:val="0"/>
        <w:autoSpaceDE w:val="0"/>
        <w:autoSpaceDN w:val="0"/>
        <w:adjustRightInd w:val="0"/>
        <w:snapToGrid w:val="0"/>
        <w:spacing w:before="0" w:beforeAutospacing="0" w:after="0" w:afterAutospacing="0" w:line="360" w:lineRule="auto"/>
        <w:ind w:left="567" w:right="0" w:hanging="567"/>
        <w:jc w:val="both"/>
        <w:rPr>
          <w:rFonts w:hint="eastAsia" w:ascii="宋体" w:hAnsi="宋体" w:eastAsia="宋体" w:cs="黑体"/>
          <w:b/>
          <w:bCs/>
          <w:kern w:val="2"/>
          <w:sz w:val="21"/>
          <w:szCs w:val="21"/>
        </w:rPr>
      </w:pPr>
      <w:r>
        <w:rPr>
          <w:rFonts w:hint="eastAsia" w:ascii="宋体" w:hAnsi="宋体" w:eastAsia="宋体" w:cs="宋体"/>
          <w:kern w:val="2"/>
          <w:sz w:val="21"/>
          <w:szCs w:val="21"/>
          <w:lang w:val="en-US" w:eastAsia="zh-CN" w:bidi="ar"/>
        </w:rPr>
        <w:t>《中标通知书》将作为授予合同资格的合法依据，是合同的一个组成部分。</w:t>
      </w:r>
    </w:p>
    <w:p w14:paraId="5D381682">
      <w:pPr>
        <w:keepNext w:val="0"/>
        <w:keepLines w:val="0"/>
        <w:widowControl w:val="0"/>
        <w:suppressLineNumbers w:val="0"/>
        <w:autoSpaceDE w:val="0"/>
        <w:autoSpaceDN w:val="0"/>
        <w:adjustRightInd w:val="0"/>
        <w:snapToGrid w:val="0"/>
        <w:spacing w:before="0" w:beforeAutospacing="0" w:after="0" w:afterAutospacing="0" w:line="360" w:lineRule="auto"/>
        <w:ind w:left="0" w:leftChars="0" w:right="0"/>
        <w:jc w:val="both"/>
        <w:rPr>
          <w:rFonts w:hint="eastAsia" w:ascii="宋体" w:hAnsi="宋体" w:eastAsia="宋体" w:cs="黑体"/>
          <w:b/>
          <w:bCs/>
          <w:kern w:val="2"/>
          <w:sz w:val="21"/>
          <w:szCs w:val="21"/>
        </w:rPr>
      </w:pPr>
      <w:r>
        <w:rPr>
          <w:rFonts w:hint="eastAsia" w:ascii="宋体" w:hAnsi="宋体" w:eastAsia="宋体" w:cs="黑体"/>
          <w:b/>
          <w:bCs/>
          <w:kern w:val="2"/>
          <w:sz w:val="21"/>
          <w:szCs w:val="21"/>
          <w:lang w:val="en-US" w:eastAsia="zh-CN" w:bidi="ar"/>
        </w:rPr>
        <w:t xml:space="preserve"> </w:t>
      </w:r>
    </w:p>
    <w:p w14:paraId="0C2D852F">
      <w:pPr>
        <w:pStyle w:val="3"/>
        <w:widowControl/>
        <w:ind w:left="420" w:leftChars="0" w:hanging="420" w:firstLineChars="0"/>
        <w:jc w:val="center"/>
        <w:outlineLvl w:val="0"/>
        <w:rPr>
          <w:rFonts w:hint="eastAsia" w:ascii="宋体" w:hAnsi="宋体" w:eastAsia="宋体" w:cs="宋体"/>
          <w:kern w:val="2"/>
          <w:sz w:val="30"/>
          <w:szCs w:val="30"/>
        </w:rPr>
      </w:pPr>
      <w:r>
        <w:rPr>
          <w:rFonts w:hint="eastAsia" w:ascii="宋体" w:hAnsi="宋体" w:eastAsia="宋体" w:cs="宋体"/>
          <w:kern w:val="2"/>
          <w:sz w:val="30"/>
          <w:szCs w:val="30"/>
        </w:rPr>
        <w:t>授予合同</w:t>
      </w:r>
    </w:p>
    <w:p w14:paraId="22F9A3A1">
      <w:pPr>
        <w:keepNext w:val="0"/>
        <w:keepLines w:val="0"/>
        <w:widowControl w:val="0"/>
        <w:numPr>
          <w:ilvl w:val="0"/>
          <w:numId w:val="17"/>
        </w:numPr>
        <w:suppressLineNumbers w:val="0"/>
        <w:autoSpaceDE w:val="0"/>
        <w:autoSpaceDN w:val="0"/>
        <w:adjustRightInd w:val="0"/>
        <w:snapToGrid w:val="0"/>
        <w:spacing w:before="0" w:beforeAutospacing="0" w:after="0" w:afterAutospacing="0" w:line="360" w:lineRule="auto"/>
        <w:ind w:left="449" w:right="0" w:hanging="449" w:hangingChars="213"/>
        <w:jc w:val="both"/>
        <w:outlineLvl w:val="1"/>
        <w:rPr>
          <w:rFonts w:hint="eastAsia" w:ascii="宋体" w:hAnsi="宋体" w:eastAsia="宋体" w:cs="Times New Roman"/>
          <w:b/>
          <w:bCs/>
          <w:kern w:val="2"/>
          <w:sz w:val="21"/>
          <w:szCs w:val="21"/>
        </w:rPr>
      </w:pPr>
      <w:r>
        <w:rPr>
          <w:rFonts w:hint="eastAsia" w:ascii="宋体" w:hAnsi="宋体" w:eastAsia="宋体" w:cs="宋体"/>
          <w:b/>
          <w:bCs/>
          <w:kern w:val="2"/>
          <w:sz w:val="21"/>
          <w:szCs w:val="21"/>
          <w:lang w:val="en-US" w:eastAsia="zh-CN" w:bidi="ar"/>
        </w:rPr>
        <w:t>合同的订立</w:t>
      </w:r>
    </w:p>
    <w:p w14:paraId="7CAD7296">
      <w:pPr>
        <w:keepNext w:val="0"/>
        <w:keepLines w:val="0"/>
        <w:widowControl w:val="0"/>
        <w:numPr>
          <w:ilvl w:val="1"/>
          <w:numId w:val="17"/>
        </w:numPr>
        <w:suppressLineNumbers w:val="0"/>
        <w:autoSpaceDE w:val="0"/>
        <w:autoSpaceDN w:val="0"/>
        <w:adjustRightInd w:val="0"/>
        <w:snapToGrid w:val="0"/>
        <w:spacing w:before="0" w:beforeAutospacing="0" w:after="0" w:afterAutospacing="0" w:line="360" w:lineRule="auto"/>
        <w:ind w:left="567" w:right="0" w:hanging="567"/>
        <w:jc w:val="both"/>
        <w:rPr>
          <w:rFonts w:hint="eastAsia" w:ascii="宋体" w:hAnsi="宋体" w:eastAsia="宋体" w:cs="黑体"/>
          <w:b/>
          <w:bCs/>
          <w:kern w:val="2"/>
          <w:sz w:val="21"/>
          <w:szCs w:val="21"/>
        </w:rPr>
      </w:pPr>
      <w:r>
        <w:rPr>
          <w:rFonts w:hint="eastAsia" w:ascii="宋体" w:hAnsi="宋体" w:eastAsia="宋体" w:cs="宋体"/>
          <w:kern w:val="2"/>
          <w:sz w:val="21"/>
          <w:szCs w:val="21"/>
          <w:lang w:val="en-US" w:eastAsia="zh-CN" w:bidi="ar"/>
        </w:rPr>
        <w:t>采购人应当自中标通知书发出之日起十个工作日内，按照谈判文件和中标人投标文件的约定，与中标人签订书面合同。所签订的合同不得对谈判文件和中标人投标文件作实质性修改。</w:t>
      </w:r>
    </w:p>
    <w:p w14:paraId="38B0934A">
      <w:pPr>
        <w:keepNext w:val="0"/>
        <w:keepLines w:val="0"/>
        <w:widowControl w:val="0"/>
        <w:numPr>
          <w:ilvl w:val="1"/>
          <w:numId w:val="17"/>
        </w:numPr>
        <w:suppressLineNumbers w:val="0"/>
        <w:autoSpaceDE w:val="0"/>
        <w:autoSpaceDN w:val="0"/>
        <w:adjustRightInd w:val="0"/>
        <w:snapToGrid w:val="0"/>
        <w:spacing w:before="0" w:beforeAutospacing="0" w:after="0" w:afterAutospacing="0" w:line="360" w:lineRule="auto"/>
        <w:ind w:left="567" w:right="0" w:hanging="567"/>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采购人不得向中标人提出任何不合理的要求，作为签订合同的条件，不得与中标人私下订立背离合同实质性内容的协议。 </w:t>
      </w:r>
    </w:p>
    <w:p w14:paraId="5B2E0F14">
      <w:pPr>
        <w:keepNext w:val="0"/>
        <w:keepLines w:val="0"/>
        <w:widowControl w:val="0"/>
        <w:numPr>
          <w:ilvl w:val="1"/>
          <w:numId w:val="17"/>
        </w:numPr>
        <w:suppressLineNumbers w:val="0"/>
        <w:autoSpaceDE w:val="0"/>
        <w:autoSpaceDN w:val="0"/>
        <w:adjustRightInd w:val="0"/>
        <w:snapToGrid w:val="0"/>
        <w:spacing w:before="0" w:beforeAutospacing="0" w:after="0" w:afterAutospacing="0" w:line="360" w:lineRule="auto"/>
        <w:ind w:left="567" w:right="0" w:hanging="567"/>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自政府采购合同签订之日起2个工作日内，采购人应将政府采购合同在指定的渠道公告，但政府采购合同中涉及国家秘密、商业秘密的内容除外。</w:t>
      </w:r>
    </w:p>
    <w:p w14:paraId="7FC0C4D1">
      <w:pPr>
        <w:keepNext w:val="0"/>
        <w:keepLines w:val="0"/>
        <w:widowControl w:val="0"/>
        <w:numPr>
          <w:ilvl w:val="1"/>
          <w:numId w:val="17"/>
        </w:numPr>
        <w:suppressLineNumbers w:val="0"/>
        <w:autoSpaceDE w:val="0"/>
        <w:autoSpaceDN w:val="0"/>
        <w:adjustRightInd w:val="0"/>
        <w:snapToGrid w:val="0"/>
        <w:spacing w:before="0" w:beforeAutospacing="0" w:after="0" w:afterAutospacing="0" w:line="360" w:lineRule="auto"/>
        <w:ind w:left="567" w:right="0" w:hanging="567"/>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政府采购合同签订之日起10日内，采购人应将政府采购合同副本报同级监管部门备案和有关部门备案。</w:t>
      </w:r>
    </w:p>
    <w:p w14:paraId="3AFE9303">
      <w:pPr>
        <w:keepNext w:val="0"/>
        <w:keepLines w:val="0"/>
        <w:widowControl w:val="0"/>
        <w:numPr>
          <w:ilvl w:val="0"/>
          <w:numId w:val="17"/>
        </w:numPr>
        <w:suppressLineNumbers w:val="0"/>
        <w:autoSpaceDE w:val="0"/>
        <w:autoSpaceDN w:val="0"/>
        <w:adjustRightInd w:val="0"/>
        <w:snapToGrid w:val="0"/>
        <w:spacing w:before="0" w:beforeAutospacing="0" w:after="0" w:afterAutospacing="0" w:line="360" w:lineRule="auto"/>
        <w:ind w:left="449" w:right="0" w:hanging="449" w:hangingChars="213"/>
        <w:jc w:val="both"/>
        <w:outlineLvl w:val="1"/>
        <w:rPr>
          <w:rFonts w:hint="eastAsia" w:ascii="宋体" w:hAnsi="宋体" w:eastAsia="宋体" w:cs="Times New Roman"/>
          <w:b/>
          <w:bCs/>
          <w:kern w:val="2"/>
          <w:sz w:val="21"/>
          <w:szCs w:val="21"/>
        </w:rPr>
      </w:pPr>
      <w:r>
        <w:rPr>
          <w:rFonts w:hint="eastAsia" w:ascii="宋体" w:hAnsi="宋体" w:eastAsia="宋体" w:cs="宋体"/>
          <w:b/>
          <w:bCs/>
          <w:kern w:val="2"/>
          <w:sz w:val="21"/>
          <w:szCs w:val="21"/>
          <w:lang w:val="en-US" w:eastAsia="zh-CN" w:bidi="ar"/>
        </w:rPr>
        <w:t>合同的履行</w:t>
      </w:r>
    </w:p>
    <w:p w14:paraId="16A92A34">
      <w:pPr>
        <w:keepNext w:val="0"/>
        <w:keepLines w:val="0"/>
        <w:widowControl w:val="0"/>
        <w:numPr>
          <w:ilvl w:val="1"/>
          <w:numId w:val="17"/>
        </w:numPr>
        <w:suppressLineNumbers w:val="0"/>
        <w:autoSpaceDE w:val="0"/>
        <w:autoSpaceDN w:val="0"/>
        <w:adjustRightInd w:val="0"/>
        <w:snapToGrid w:val="0"/>
        <w:spacing w:before="0" w:beforeAutospacing="0" w:after="0" w:afterAutospacing="0" w:line="360" w:lineRule="auto"/>
        <w:ind w:left="567" w:right="0" w:hanging="567"/>
        <w:jc w:val="both"/>
        <w:rPr>
          <w:rFonts w:hint="eastAsia" w:ascii="宋体" w:hAnsi="宋体" w:eastAsia="宋体" w:cs="黑体"/>
          <w:b/>
          <w:bCs/>
          <w:kern w:val="2"/>
          <w:sz w:val="21"/>
          <w:szCs w:val="21"/>
        </w:rPr>
      </w:pPr>
      <w:r>
        <w:rPr>
          <w:rFonts w:hint="eastAsia" w:ascii="宋体" w:hAnsi="宋体" w:eastAsia="宋体" w:cs="宋体"/>
          <w:kern w:val="2"/>
          <w:sz w:val="21"/>
          <w:szCs w:val="21"/>
          <w:lang w:val="en-US" w:eastAsia="zh-CN" w:bidi="ar"/>
        </w:rPr>
        <w:t>政府采购合同订立后，合同各方不得擅自变更、中止或者终止合同。政府采购合同需要变更的，采购人应将有关合同变更内容，以书面形式报政府采购监督管理部门备案；因特殊情况需要中止或终止合同的，采购人应将中止或终止合同的理由以及相应措施，以书面形式报政府采购监督管理部门备案。</w:t>
      </w:r>
    </w:p>
    <w:p w14:paraId="671D711A">
      <w:pPr>
        <w:keepNext w:val="0"/>
        <w:keepLines w:val="0"/>
        <w:widowControl w:val="0"/>
        <w:numPr>
          <w:ilvl w:val="1"/>
          <w:numId w:val="17"/>
        </w:numPr>
        <w:suppressLineNumbers w:val="0"/>
        <w:autoSpaceDE w:val="0"/>
        <w:autoSpaceDN w:val="0"/>
        <w:adjustRightInd w:val="0"/>
        <w:snapToGrid w:val="0"/>
        <w:spacing w:before="0" w:beforeAutospacing="0" w:after="0" w:afterAutospacing="0" w:line="360" w:lineRule="auto"/>
        <w:ind w:left="567" w:right="0" w:hanging="567"/>
        <w:jc w:val="both"/>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政府采购合同履行中，采购人需追加与合同标的相同的货物、工程或者服务的，在不改变合同其他条款的前提下，可以与供应商签订补充合同，但所补充合同的采购金额不得超过原合同采购金额的百分之十。签订补充合同的必须按规定备案。</w:t>
      </w:r>
    </w:p>
    <w:p w14:paraId="615B9734">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548C4E3B">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72486908">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6B898BB3">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1CBF7D85">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3258DB6A">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073E946B">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3383CBE3">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656B8767">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18F81C82">
      <w:pPr>
        <w:pStyle w:val="2"/>
        <w:widowControl/>
        <w:numPr>
          <w:ilvl w:val="0"/>
          <w:numId w:val="0"/>
        </w:numPr>
        <w:spacing w:before="0" w:beforeAutospacing="0" w:after="0" w:afterAutospacing="0"/>
        <w:ind w:left="0" w:leftChars="0" w:firstLine="0" w:firstLineChars="0"/>
        <w:jc w:val="both"/>
        <w:outlineLvl w:val="9"/>
        <w:rPr>
          <w:rFonts w:hint="eastAsia" w:ascii="黑体" w:hAnsi="宋体" w:eastAsia="黑体" w:cs="黑体"/>
          <w:b/>
          <w:bCs/>
          <w:kern w:val="44"/>
          <w:sz w:val="44"/>
          <w:szCs w:val="44"/>
        </w:rPr>
      </w:pPr>
    </w:p>
    <w:p w14:paraId="5D9CE235">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54346C6B">
      <w:pPr>
        <w:rPr>
          <w:rFonts w:hint="eastAsia" w:ascii="黑体" w:hAnsi="宋体" w:eastAsia="黑体" w:cs="黑体"/>
          <w:b/>
          <w:bCs/>
          <w:kern w:val="44"/>
          <w:sz w:val="44"/>
          <w:szCs w:val="44"/>
        </w:rPr>
      </w:pPr>
    </w:p>
    <w:p w14:paraId="23B00D8C">
      <w:pPr>
        <w:rPr>
          <w:rFonts w:hint="eastAsia" w:ascii="黑体" w:hAnsi="宋体" w:eastAsia="黑体" w:cs="黑体"/>
          <w:b/>
          <w:bCs/>
          <w:kern w:val="44"/>
          <w:sz w:val="44"/>
          <w:szCs w:val="44"/>
        </w:rPr>
      </w:pPr>
    </w:p>
    <w:p w14:paraId="6AA3AC31">
      <w:pPr>
        <w:rPr>
          <w:rFonts w:hint="eastAsia" w:ascii="黑体" w:hAnsi="宋体" w:eastAsia="黑体" w:cs="黑体"/>
          <w:b/>
          <w:bCs/>
          <w:kern w:val="44"/>
          <w:sz w:val="44"/>
          <w:szCs w:val="44"/>
        </w:rPr>
      </w:pPr>
    </w:p>
    <w:p w14:paraId="34E4D9F9">
      <w:pPr>
        <w:rPr>
          <w:rFonts w:hint="eastAsia" w:ascii="黑体" w:hAnsi="宋体" w:eastAsia="黑体" w:cs="黑体"/>
          <w:b/>
          <w:bCs/>
          <w:kern w:val="44"/>
          <w:sz w:val="44"/>
          <w:szCs w:val="44"/>
        </w:rPr>
      </w:pPr>
    </w:p>
    <w:p w14:paraId="5BF0ADAF">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Times New Roman"/>
          <w:kern w:val="2"/>
          <w:sz w:val="21"/>
          <w:szCs w:val="21"/>
        </w:rPr>
      </w:pPr>
      <w:r>
        <w:rPr>
          <w:rFonts w:hint="eastAsia" w:ascii="黑体" w:hAnsi="宋体" w:eastAsia="黑体" w:cs="黑体"/>
          <w:b/>
          <w:bCs/>
          <w:kern w:val="44"/>
          <w:sz w:val="44"/>
          <w:szCs w:val="44"/>
        </w:rPr>
        <w:t>合同格式</w:t>
      </w:r>
    </w:p>
    <w:p w14:paraId="144919E2">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b/>
          <w:bCs/>
          <w:color w:val="FF0000"/>
          <w:kern w:val="2"/>
          <w:sz w:val="21"/>
          <w:szCs w:val="21"/>
          <w:highlight w:val="none"/>
          <w:lang w:val="en-US" w:eastAsia="zh-CN" w:bidi="ar"/>
        </w:rPr>
        <w:t>（此部分仅供参考，具体以实际签订为准）</w:t>
      </w:r>
    </w:p>
    <w:p w14:paraId="71676545">
      <w:pPr>
        <w:pageBreakBefore w:val="0"/>
        <w:kinsoku/>
        <w:overflowPunct/>
        <w:topLinePunct w:val="0"/>
        <w:autoSpaceDE/>
        <w:autoSpaceDN/>
        <w:bidi w:val="0"/>
        <w:adjustRightInd w:val="0"/>
        <w:snapToGrid w:val="0"/>
        <w:spacing w:beforeAutospacing="0" w:afterAutospacing="0" w:line="560" w:lineRule="exact"/>
        <w:ind w:left="0" w:leftChars="0"/>
        <w:jc w:val="right"/>
        <w:textAlignment w:val="auto"/>
        <w:outlineLvl w:val="9"/>
        <w:rPr>
          <w:rFonts w:hint="eastAsia" w:ascii="仿宋_GB2312" w:hAnsi="仿宋_GB2312" w:eastAsia="仿宋_GB2312" w:cs="仿宋_GB2312"/>
          <w:b w:val="0"/>
          <w:bCs w:val="0"/>
          <w:sz w:val="32"/>
          <w:szCs w:val="32"/>
          <w:highlight w:val="none"/>
        </w:rPr>
      </w:pPr>
    </w:p>
    <w:p w14:paraId="61C26E21">
      <w:pPr>
        <w:pageBreakBefore w:val="0"/>
        <w:kinsoku/>
        <w:overflowPunct/>
        <w:topLinePunct w:val="0"/>
        <w:autoSpaceDE/>
        <w:autoSpaceDN/>
        <w:bidi w:val="0"/>
        <w:adjustRightInd w:val="0"/>
        <w:snapToGrid w:val="0"/>
        <w:spacing w:beforeAutospacing="0" w:afterAutospacing="0" w:line="560" w:lineRule="exact"/>
        <w:ind w:left="0" w:leftChars="0"/>
        <w:jc w:val="right"/>
        <w:textAlignment w:val="auto"/>
        <w:outlineLvl w:val="9"/>
        <w:rPr>
          <w:b/>
          <w:sz w:val="52"/>
          <w:szCs w:val="52"/>
          <w:highlight w:val="none"/>
          <w:u w:val="single"/>
        </w:rPr>
      </w:pPr>
      <w:r>
        <w:rPr>
          <w:rFonts w:hint="eastAsia" w:ascii="仿宋_GB2312" w:hAnsi="仿宋_GB2312" w:eastAsia="仿宋_GB2312" w:cs="仿宋_GB2312"/>
          <w:b w:val="0"/>
          <w:bCs w:val="0"/>
          <w:sz w:val="32"/>
          <w:szCs w:val="32"/>
          <w:highlight w:val="none"/>
        </w:rPr>
        <w:t>合同编号：</w:t>
      </w:r>
      <w:r>
        <w:rPr>
          <w:rFonts w:hint="eastAsia" w:ascii="仿宋_GB2312" w:hAnsi="仿宋_GB2312" w:eastAsia="仿宋_GB2312" w:cs="仿宋_GB2312"/>
          <w:b w:val="0"/>
          <w:bCs w:val="0"/>
          <w:sz w:val="32"/>
          <w:szCs w:val="32"/>
          <w:highlight w:val="none"/>
          <w:lang w:val="en-US" w:eastAsia="zh-CN"/>
        </w:rPr>
        <w:t>FTEY-HC-</w:t>
      </w:r>
    </w:p>
    <w:p w14:paraId="682CB40C">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hint="eastAsia" w:ascii="宋体" w:hAnsi="宋体" w:cs="宋体"/>
          <w:b/>
          <w:bCs/>
          <w:sz w:val="72"/>
          <w:szCs w:val="72"/>
          <w:highlight w:val="none"/>
        </w:rPr>
      </w:pPr>
    </w:p>
    <w:p w14:paraId="6DDB6AF7">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hint="eastAsia" w:ascii="宋体" w:hAnsi="宋体" w:cs="宋体"/>
          <w:b/>
          <w:bCs/>
          <w:sz w:val="72"/>
          <w:szCs w:val="72"/>
          <w:highlight w:val="none"/>
        </w:rPr>
      </w:pPr>
    </w:p>
    <w:p w14:paraId="60807893">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both"/>
        <w:textAlignment w:val="auto"/>
        <w:rPr>
          <w:rFonts w:hint="eastAsia" w:ascii="宋体" w:hAnsi="宋体" w:cs="宋体"/>
          <w:b/>
          <w:bCs/>
          <w:sz w:val="72"/>
          <w:szCs w:val="72"/>
          <w:highlight w:val="none"/>
        </w:rPr>
      </w:pPr>
    </w:p>
    <w:p w14:paraId="4CEDE957">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hint="eastAsia" w:ascii="宋体" w:hAnsi="宋体" w:cs="宋体"/>
          <w:b/>
          <w:bCs/>
          <w:sz w:val="72"/>
          <w:szCs w:val="72"/>
          <w:highlight w:val="none"/>
        </w:rPr>
      </w:pPr>
    </w:p>
    <w:p w14:paraId="5C1F1E11">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hint="eastAsia" w:ascii="宋体" w:hAnsi="宋体" w:cs="宋体"/>
          <w:b/>
          <w:bCs/>
          <w:sz w:val="72"/>
          <w:szCs w:val="72"/>
          <w:highlight w:val="none"/>
        </w:rPr>
      </w:pPr>
      <w:r>
        <w:rPr>
          <w:rFonts w:hint="eastAsia" w:ascii="宋体" w:hAnsi="宋体" w:cs="宋体"/>
          <w:b/>
          <w:bCs/>
          <w:sz w:val="72"/>
          <w:szCs w:val="72"/>
          <w:highlight w:val="none"/>
        </w:rPr>
        <w:t>福田区卫生系统医用器械</w:t>
      </w:r>
    </w:p>
    <w:p w14:paraId="5501E74C">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ascii="宋体" w:hAnsi="宋体" w:cs="宋体"/>
          <w:b/>
          <w:bCs/>
          <w:sz w:val="72"/>
          <w:szCs w:val="72"/>
          <w:highlight w:val="none"/>
        </w:rPr>
      </w:pPr>
      <w:r>
        <w:rPr>
          <w:rFonts w:hint="eastAsia" w:ascii="宋体" w:hAnsi="宋体" w:cs="宋体"/>
          <w:b/>
          <w:bCs/>
          <w:sz w:val="72"/>
          <w:szCs w:val="72"/>
          <w:highlight w:val="none"/>
        </w:rPr>
        <w:t>耗材采购合同</w:t>
      </w:r>
    </w:p>
    <w:p w14:paraId="4F1576F3">
      <w:pPr>
        <w:bidi w:val="0"/>
        <w:jc w:val="center"/>
        <w:rPr>
          <w:sz w:val="44"/>
          <w:szCs w:val="44"/>
          <w:highlight w:val="none"/>
        </w:rPr>
      </w:pPr>
    </w:p>
    <w:p w14:paraId="1E2DF112">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textAlignment w:val="auto"/>
        <w:outlineLvl w:val="9"/>
        <w:rPr>
          <w:rFonts w:ascii="宋体" w:hAnsi="宋体"/>
          <w:b/>
          <w:sz w:val="24"/>
          <w:highlight w:val="none"/>
        </w:rPr>
      </w:pPr>
    </w:p>
    <w:p w14:paraId="35691CCE">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9"/>
        <w:rPr>
          <w:rFonts w:ascii="宋体" w:hAnsi="宋体"/>
          <w:b/>
          <w:sz w:val="24"/>
          <w:highlight w:val="none"/>
        </w:rPr>
      </w:pPr>
    </w:p>
    <w:p w14:paraId="16374CD3">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9"/>
        <w:rPr>
          <w:rFonts w:ascii="宋体" w:hAnsi="宋体"/>
          <w:b/>
          <w:sz w:val="24"/>
          <w:highlight w:val="none"/>
        </w:rPr>
      </w:pPr>
    </w:p>
    <w:p w14:paraId="59361949">
      <w:pPr>
        <w:keepNext/>
        <w:keepLines/>
        <w:widowControl w:val="0"/>
        <w:spacing w:line="576" w:lineRule="auto"/>
        <w:jc w:val="both"/>
        <w:outlineLvl w:val="9"/>
        <w:rPr>
          <w:rFonts w:asciiTheme="minorHAnsi" w:hAnsiTheme="minorHAnsi" w:eastAsiaTheme="minorEastAsia" w:cstheme="minorBidi"/>
          <w:b/>
          <w:kern w:val="44"/>
          <w:sz w:val="44"/>
          <w:szCs w:val="24"/>
          <w:lang w:val="en-US" w:eastAsia="zh-CN" w:bidi="ar-SA"/>
        </w:rPr>
      </w:pPr>
    </w:p>
    <w:p w14:paraId="3003A151">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9"/>
        <w:rPr>
          <w:rFonts w:ascii="宋体" w:hAnsi="宋体"/>
          <w:b/>
          <w:sz w:val="24"/>
          <w:highlight w:val="none"/>
        </w:rPr>
      </w:pPr>
    </w:p>
    <w:p w14:paraId="4C9F6F35">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9"/>
        <w:rPr>
          <w:rFonts w:ascii="宋体" w:hAnsi="宋体"/>
          <w:b/>
          <w:sz w:val="24"/>
          <w:highlight w:val="none"/>
        </w:rPr>
      </w:pPr>
    </w:p>
    <w:p w14:paraId="1367F6A6">
      <w:pPr>
        <w:pageBreakBefore w:val="0"/>
        <w:kinsoku/>
        <w:overflowPunct/>
        <w:topLinePunct w:val="0"/>
        <w:autoSpaceDE/>
        <w:autoSpaceDN/>
        <w:bidi w:val="0"/>
        <w:adjustRightInd w:val="0"/>
        <w:snapToGrid w:val="0"/>
        <w:spacing w:beforeAutospacing="0" w:afterAutospacing="0" w:line="560" w:lineRule="exact"/>
        <w:ind w:left="0" w:leftChars="0" w:firstLine="1120" w:firstLineChars="350"/>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项目名称：</w:t>
      </w:r>
      <w:r>
        <w:rPr>
          <w:rFonts w:hint="eastAsia" w:ascii="仿宋_GB2312" w:hAnsi="仿宋_GB2312" w:eastAsia="仿宋_GB2312" w:cs="仿宋_GB2312"/>
          <w:bCs/>
          <w:color w:val="auto"/>
          <w:sz w:val="32"/>
          <w:szCs w:val="32"/>
          <w:highlight w:val="none"/>
          <w:u w:val="single"/>
        </w:rPr>
        <w:t xml:space="preserve">                            </w:t>
      </w:r>
      <w:r>
        <w:rPr>
          <w:rFonts w:hint="eastAsia" w:ascii="仿宋_GB2312" w:hAnsi="仿宋_GB2312" w:eastAsia="仿宋_GB2312" w:cs="仿宋_GB2312"/>
          <w:bCs/>
          <w:color w:val="auto"/>
          <w:sz w:val="32"/>
          <w:szCs w:val="32"/>
          <w:highlight w:val="none"/>
        </w:rPr>
        <w:t xml:space="preserve"> </w:t>
      </w:r>
    </w:p>
    <w:p w14:paraId="27EA40D1">
      <w:pPr>
        <w:pageBreakBefore w:val="0"/>
        <w:kinsoku/>
        <w:overflowPunct/>
        <w:topLinePunct w:val="0"/>
        <w:autoSpaceDE/>
        <w:autoSpaceDN/>
        <w:bidi w:val="0"/>
        <w:adjustRightInd w:val="0"/>
        <w:snapToGrid w:val="0"/>
        <w:spacing w:beforeAutospacing="0" w:afterAutospacing="0" w:line="560" w:lineRule="exact"/>
        <w:ind w:left="0" w:leftChars="0" w:firstLine="1120" w:firstLineChars="350"/>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甲    方：</w:t>
      </w:r>
      <w:r>
        <w:rPr>
          <w:rFonts w:hint="eastAsia" w:ascii="仿宋_GB2312" w:hAnsi="仿宋_GB2312" w:eastAsia="仿宋_GB2312" w:cs="仿宋_GB2312"/>
          <w:bCs/>
          <w:color w:val="auto"/>
          <w:sz w:val="32"/>
          <w:szCs w:val="32"/>
          <w:highlight w:val="none"/>
          <w:u w:val="single"/>
        </w:rPr>
        <w:t xml:space="preserve">                            </w:t>
      </w:r>
    </w:p>
    <w:p w14:paraId="4EE94DC4">
      <w:pPr>
        <w:pageBreakBefore w:val="0"/>
        <w:kinsoku/>
        <w:overflowPunct/>
        <w:topLinePunct w:val="0"/>
        <w:autoSpaceDE/>
        <w:autoSpaceDN/>
        <w:bidi w:val="0"/>
        <w:adjustRightInd w:val="0"/>
        <w:snapToGrid w:val="0"/>
        <w:spacing w:beforeAutospacing="0" w:afterAutospacing="0" w:line="560" w:lineRule="exact"/>
        <w:ind w:left="0" w:leftChars="0" w:firstLine="1120" w:firstLineChars="350"/>
        <w:textAlignment w:val="auto"/>
        <w:rPr>
          <w:rFonts w:ascii="仿宋_GB2312" w:hAnsi="仿宋_GB2312" w:eastAsia="仿宋_GB2312" w:cs="仿宋_GB2312"/>
          <w:bCs/>
          <w:color w:val="auto"/>
          <w:sz w:val="32"/>
          <w:szCs w:val="32"/>
          <w:highlight w:val="none"/>
          <w:u w:val="single"/>
        </w:rPr>
      </w:pPr>
      <w:r>
        <w:rPr>
          <w:rFonts w:hint="eastAsia" w:ascii="仿宋_GB2312" w:hAnsi="仿宋_GB2312" w:eastAsia="仿宋_GB2312" w:cs="仿宋_GB2312"/>
          <w:bCs/>
          <w:color w:val="auto"/>
          <w:sz w:val="32"/>
          <w:szCs w:val="32"/>
          <w:highlight w:val="none"/>
        </w:rPr>
        <w:t>乙    方：</w:t>
      </w:r>
      <w:r>
        <w:rPr>
          <w:rFonts w:hint="eastAsia" w:ascii="仿宋_GB2312" w:hAnsi="仿宋_GB2312" w:eastAsia="仿宋_GB2312" w:cs="仿宋_GB2312"/>
          <w:bCs/>
          <w:color w:val="auto"/>
          <w:sz w:val="32"/>
          <w:szCs w:val="32"/>
          <w:highlight w:val="none"/>
          <w:u w:val="single"/>
        </w:rPr>
        <w:t xml:space="preserve">                            </w:t>
      </w:r>
      <w:r>
        <w:rPr>
          <w:rFonts w:hint="eastAsia" w:ascii="仿宋_GB2312" w:hAnsi="仿宋_GB2312" w:eastAsia="仿宋_GB2312" w:cs="仿宋_GB2312"/>
          <w:bCs/>
          <w:color w:val="auto"/>
          <w:sz w:val="32"/>
          <w:szCs w:val="32"/>
          <w:highlight w:val="none"/>
        </w:rPr>
        <w:t xml:space="preserve"> </w:t>
      </w:r>
    </w:p>
    <w:p w14:paraId="78CE8364">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9"/>
        <w:rPr>
          <w:rFonts w:ascii="宋体" w:hAnsi="宋体"/>
          <w:b/>
          <w:color w:val="auto"/>
          <w:sz w:val="24"/>
          <w:highlight w:val="none"/>
        </w:rPr>
      </w:pPr>
    </w:p>
    <w:p w14:paraId="09F46B38">
      <w:pPr>
        <w:pageBreakBefore w:val="0"/>
        <w:kinsoku/>
        <w:overflowPunct/>
        <w:topLinePunct w:val="0"/>
        <w:autoSpaceDE/>
        <w:autoSpaceDN/>
        <w:bidi w:val="0"/>
        <w:adjustRightInd w:val="0"/>
        <w:snapToGrid w:val="0"/>
        <w:spacing w:beforeAutospacing="0" w:afterAutospacing="0" w:line="560" w:lineRule="exact"/>
        <w:ind w:left="0" w:leftChars="0"/>
        <w:jc w:val="both"/>
        <w:textAlignment w:val="auto"/>
        <w:outlineLvl w:val="9"/>
        <w:rPr>
          <w:rFonts w:hint="eastAsia" w:ascii="方正小标宋简体" w:hAnsi="方正小标宋简体" w:eastAsia="方正小标宋简体" w:cs="方正小标宋简体"/>
          <w:b w:val="0"/>
          <w:bCs/>
          <w:sz w:val="40"/>
          <w:szCs w:val="40"/>
          <w:highlight w:val="none"/>
        </w:rPr>
      </w:pPr>
    </w:p>
    <w:p w14:paraId="68AAC512">
      <w:pPr>
        <w:pageBreakBefore w:val="0"/>
        <w:kinsoku/>
        <w:overflowPunct/>
        <w:topLinePunct w:val="0"/>
        <w:autoSpaceDE/>
        <w:autoSpaceDN/>
        <w:bidi w:val="0"/>
        <w:adjustRightInd w:val="0"/>
        <w:snapToGrid w:val="0"/>
        <w:spacing w:beforeAutospacing="0" w:afterAutospacing="0" w:line="560" w:lineRule="exact"/>
        <w:ind w:left="0" w:leftChars="0"/>
        <w:jc w:val="center"/>
        <w:textAlignment w:val="auto"/>
        <w:outlineLvl w:val="9"/>
        <w:rPr>
          <w:rFonts w:hint="eastAsia" w:ascii="方正小标宋简体" w:hAnsi="方正小标宋简体" w:eastAsia="方正小标宋简体" w:cs="方正小标宋简体"/>
          <w:b w:val="0"/>
          <w:bCs/>
          <w:sz w:val="40"/>
          <w:szCs w:val="40"/>
          <w:highlight w:val="none"/>
        </w:rPr>
      </w:pPr>
    </w:p>
    <w:p w14:paraId="2B9C508F">
      <w:pPr>
        <w:pageBreakBefore w:val="0"/>
        <w:kinsoku/>
        <w:overflowPunct/>
        <w:topLinePunct w:val="0"/>
        <w:autoSpaceDE/>
        <w:autoSpaceDN/>
        <w:bidi w:val="0"/>
        <w:adjustRightInd w:val="0"/>
        <w:snapToGrid w:val="0"/>
        <w:spacing w:beforeAutospacing="0" w:afterAutospacing="0" w:line="560" w:lineRule="exact"/>
        <w:ind w:left="0" w:leftChars="0"/>
        <w:jc w:val="center"/>
        <w:textAlignment w:val="auto"/>
        <w:outlineLvl w:val="9"/>
        <w:rPr>
          <w:rFonts w:hint="eastAsia" w:ascii="方正小标宋简体" w:hAnsi="方正小标宋简体" w:eastAsia="方正小标宋简体" w:cs="方正小标宋简体"/>
          <w:b w:val="0"/>
          <w:bCs/>
          <w:sz w:val="40"/>
          <w:szCs w:val="40"/>
          <w:highlight w:val="none"/>
        </w:rPr>
      </w:pPr>
      <w:r>
        <w:rPr>
          <w:rFonts w:hint="eastAsia" w:ascii="方正小标宋简体" w:hAnsi="方正小标宋简体" w:eastAsia="方正小标宋简体" w:cs="方正小标宋简体"/>
          <w:b w:val="0"/>
          <w:bCs/>
          <w:sz w:val="40"/>
          <w:szCs w:val="40"/>
          <w:highlight w:val="none"/>
        </w:rPr>
        <w:t>福田区</w:t>
      </w:r>
      <w:r>
        <w:rPr>
          <w:rFonts w:hint="eastAsia" w:ascii="方正小标宋简体" w:hAnsi="方正小标宋简体" w:eastAsia="方正小标宋简体" w:cs="方正小标宋简体"/>
          <w:b w:val="0"/>
          <w:bCs/>
          <w:sz w:val="40"/>
          <w:szCs w:val="40"/>
          <w:highlight w:val="none"/>
          <w:lang w:eastAsia="zh-CN"/>
        </w:rPr>
        <w:t>第二人民医院</w:t>
      </w:r>
      <w:r>
        <w:rPr>
          <w:rFonts w:hint="eastAsia" w:ascii="方正小标宋简体" w:hAnsi="方正小标宋简体" w:eastAsia="方正小标宋简体" w:cs="方正小标宋简体"/>
          <w:b w:val="0"/>
          <w:bCs/>
          <w:sz w:val="40"/>
          <w:szCs w:val="40"/>
          <w:highlight w:val="none"/>
        </w:rPr>
        <w:t>医用器械耗材采购合同</w:t>
      </w:r>
    </w:p>
    <w:p w14:paraId="2792CF6B">
      <w:pPr>
        <w:pageBreakBefore w:val="0"/>
        <w:widowControl/>
        <w:kinsoku/>
        <w:overflowPunct/>
        <w:topLinePunct w:val="0"/>
        <w:autoSpaceDE/>
        <w:autoSpaceDN/>
        <w:bidi w:val="0"/>
        <w:adjustRightInd w:val="0"/>
        <w:snapToGrid w:val="0"/>
        <w:spacing w:beforeAutospacing="0" w:afterAutospacing="0" w:line="560" w:lineRule="exact"/>
        <w:ind w:left="0" w:leftChars="0" w:firstLine="3855" w:firstLineChars="1200"/>
        <w:textAlignment w:val="auto"/>
        <w:rPr>
          <w:rFonts w:ascii="宋体" w:hAnsi="宋体" w:cs="宋体"/>
          <w:b/>
          <w:bCs/>
          <w:kern w:val="0"/>
          <w:sz w:val="32"/>
          <w:szCs w:val="32"/>
          <w:highlight w:val="none"/>
        </w:rPr>
      </w:pPr>
    </w:p>
    <w:p w14:paraId="4AD88F62">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甲方：</w:t>
      </w:r>
      <w:r>
        <w:rPr>
          <w:rFonts w:hint="eastAsia" w:ascii="仿宋_GB2312" w:hAnsi="仿宋_GB2312" w:eastAsia="仿宋_GB2312" w:cs="仿宋_GB2312"/>
          <w:color w:val="auto"/>
          <w:sz w:val="28"/>
          <w:szCs w:val="28"/>
          <w:highlight w:val="none"/>
          <w:lang w:val="en-US" w:eastAsia="zh-CN"/>
        </w:rPr>
        <w:t>深圳市福田区第二人民医院</w:t>
      </w:r>
    </w:p>
    <w:p w14:paraId="5558FB88">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法定代表人：</w:t>
      </w:r>
    </w:p>
    <w:p w14:paraId="3DDC6E81">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注册地址：</w:t>
      </w:r>
    </w:p>
    <w:p w14:paraId="48541DD0">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联系电话：</w:t>
      </w:r>
    </w:p>
    <w:p w14:paraId="7BF6931E">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统一社会信用代码：</w:t>
      </w:r>
    </w:p>
    <w:p w14:paraId="5880D899">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p>
    <w:p w14:paraId="2809D2CC">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乙方：</w:t>
      </w:r>
    </w:p>
    <w:p w14:paraId="2830EA45">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w:t>
      </w:r>
    </w:p>
    <w:p w14:paraId="0E0D8EAB">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注册地址：</w:t>
      </w:r>
    </w:p>
    <w:p w14:paraId="3FC8FF00">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联系电话：</w:t>
      </w:r>
    </w:p>
    <w:p w14:paraId="36A444B8">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统一社会信用代码：</w:t>
      </w:r>
    </w:p>
    <w:p w14:paraId="2017D4BF">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color w:val="auto"/>
          <w:kern w:val="0"/>
          <w:szCs w:val="21"/>
          <w:highlight w:val="none"/>
        </w:rPr>
      </w:pPr>
    </w:p>
    <w:p w14:paraId="3BA269EC">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rPr>
        <w:t>甲、乙双方根据</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none"/>
        </w:rPr>
        <w:t>日</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深圳市福田区第二人民医院</w:t>
      </w:r>
      <w:r>
        <w:rPr>
          <w:rFonts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年第</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期</w:t>
      </w:r>
      <w:r>
        <w:rPr>
          <w:rFonts w:hint="eastAsia" w:ascii="仿宋_GB2312" w:hAnsi="仿宋_GB2312" w:eastAsia="仿宋_GB2312" w:cs="仿宋_GB2312"/>
          <w:color w:val="auto"/>
          <w:sz w:val="28"/>
          <w:szCs w:val="28"/>
          <w:highlight w:val="none"/>
          <w:u w:val="none"/>
        </w:rPr>
        <w:t>（试剂/耗材/物资）</w:t>
      </w:r>
      <w:r>
        <w:rPr>
          <w:rFonts w:hint="eastAsia" w:ascii="仿宋_GB2312" w:hAnsi="仿宋_GB2312" w:eastAsia="仿宋_GB2312" w:cs="仿宋_GB2312"/>
          <w:color w:val="auto"/>
          <w:sz w:val="28"/>
          <w:szCs w:val="28"/>
          <w:highlight w:val="none"/>
        </w:rPr>
        <w:t>采购项目”（采购项目名称</w:t>
      </w:r>
      <w:r>
        <w:rPr>
          <w:rFonts w:hint="eastAsia" w:ascii="仿宋_GB2312" w:hAnsi="仿宋_GB2312" w:eastAsia="仿宋_GB2312" w:cs="仿宋_GB2312"/>
          <w:color w:val="auto"/>
          <w:sz w:val="28"/>
          <w:szCs w:val="28"/>
          <w:highlight w:val="none"/>
          <w:u w:val="none"/>
        </w:rPr>
        <w:t>：</w:t>
      </w:r>
    </w:p>
    <w:p w14:paraId="4BE88271">
      <w:pPr>
        <w:keepNext w:val="0"/>
        <w:keepLines w:val="0"/>
        <w:pageBreakBefore w:val="0"/>
        <w:kinsoku/>
        <w:overflowPunct/>
        <w:topLinePunct w:val="0"/>
        <w:autoSpaceDE/>
        <w:autoSpaceDN/>
        <w:bidi w:val="0"/>
        <w:adjustRightInd w:val="0"/>
        <w:snapToGrid w:val="0"/>
        <w:spacing w:beforeAutospacing="0" w:afterAutospacing="0" w:line="560" w:lineRule="exact"/>
        <w:textAlignment w:val="auto"/>
        <w:rPr>
          <w:color w:val="auto"/>
          <w:highlight w:val="none"/>
        </w:rPr>
      </w:pP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none"/>
        </w:rPr>
        <w:t xml:space="preserve"> </w:t>
      </w:r>
      <w:r>
        <w:rPr>
          <w:rFonts w:hint="eastAsia" w:ascii="仿宋_GB2312" w:hAnsi="仿宋_GB2312" w:eastAsia="仿宋_GB2312" w:cs="仿宋_GB2312"/>
          <w:color w:val="auto"/>
          <w:sz w:val="28"/>
          <w:szCs w:val="28"/>
          <w:highlight w:val="none"/>
        </w:rPr>
        <w:t>采购编号</w:t>
      </w:r>
      <w:r>
        <w:rPr>
          <w:rFonts w:hint="eastAsia" w:ascii="仿宋_GB2312" w:hAnsi="仿宋_GB2312" w:eastAsia="仿宋_GB2312" w:cs="仿宋_GB2312"/>
          <w:color w:val="auto"/>
          <w:sz w:val="28"/>
          <w:szCs w:val="28"/>
          <w:highlight w:val="none"/>
          <w:u w:val="none"/>
        </w:rPr>
        <w:t>：</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的结果和采购文件的要求，按照《中华人民共和国民法典》《中华人民共和国政府采购法》《深圳经济特区政府采购条例》《深圳经济特区政府采购条例实施细则》等相关法律法规的规定，经双方协商一致，达成以下合同条款：</w:t>
      </w:r>
    </w:p>
    <w:p w14:paraId="4C8B880F">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bookmarkStart w:id="113" w:name="_Toc13149_WPSOffice_Level1"/>
      <w:r>
        <w:rPr>
          <w:rFonts w:hint="eastAsia" w:ascii="仿宋_GB2312" w:hAnsi="仿宋_GB2312" w:eastAsia="仿宋_GB2312" w:cs="仿宋_GB2312"/>
          <w:b/>
          <w:color w:val="auto"/>
          <w:sz w:val="28"/>
          <w:szCs w:val="28"/>
          <w:highlight w:val="none"/>
        </w:rPr>
        <w:t>第一条  合同标的</w:t>
      </w:r>
      <w:bookmarkEnd w:id="113"/>
    </w:p>
    <w:p w14:paraId="65C34863">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1.乙方根据甲方需求提供（货物/设备/器材等）：（标的物名称、规格、型号、生产厂商、产地、数量及分项价款，若标的物较多可以附件形式体现，如见附件一《货</w:t>
      </w:r>
      <w:r>
        <w:rPr>
          <w:rFonts w:hint="eastAsia" w:ascii="仿宋_GB2312" w:hAnsi="仿宋_GB2312" w:eastAsia="仿宋_GB2312" w:cs="仿宋_GB2312"/>
          <w:color w:val="auto"/>
          <w:sz w:val="28"/>
          <w:szCs w:val="28"/>
          <w:highlight w:val="none"/>
          <w:lang w:val="en-US" w:eastAsia="zh-CN"/>
        </w:rPr>
        <w:t>品</w:t>
      </w:r>
      <w:r>
        <w:rPr>
          <w:rFonts w:hint="eastAsia" w:ascii="仿宋_GB2312" w:hAnsi="仿宋_GB2312" w:eastAsia="仿宋_GB2312" w:cs="仿宋_GB2312"/>
          <w:color w:val="auto"/>
          <w:sz w:val="28"/>
          <w:szCs w:val="28"/>
          <w:highlight w:val="none"/>
        </w:rPr>
        <w:t>清单》。）</w:t>
      </w:r>
    </w:p>
    <w:p w14:paraId="0F311AE4">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hint="eastAsia" w:ascii="仿宋_GB2312" w:hAnsi="仿宋_GB2312" w:eastAsia="仿宋_GB2312" w:cs="仿宋_GB2312"/>
          <w:color w:val="auto"/>
          <w:sz w:val="28"/>
          <w:szCs w:val="28"/>
          <w:highlight w:val="none"/>
        </w:rPr>
      </w:pPr>
    </w:p>
    <w:p w14:paraId="752D94A1">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附件一：</w:t>
      </w:r>
    </w:p>
    <w:p w14:paraId="0C09B2EF">
      <w:pPr>
        <w:pageBreakBefore w:val="0"/>
        <w:widowControl/>
        <w:kinsoku/>
        <w:overflowPunct/>
        <w:topLinePunct w:val="0"/>
        <w:autoSpaceDE/>
        <w:autoSpaceDN/>
        <w:bidi w:val="0"/>
        <w:adjustRightInd w:val="0"/>
        <w:snapToGrid w:val="0"/>
        <w:spacing w:beforeAutospacing="0" w:afterAutospacing="0" w:line="560" w:lineRule="exact"/>
        <w:ind w:left="0" w:leftChars="0"/>
        <w:jc w:val="center"/>
        <w:textAlignment w:val="auto"/>
        <w:rPr>
          <w:rFonts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货</w:t>
      </w:r>
      <w:r>
        <w:rPr>
          <w:rFonts w:hint="eastAsia" w:ascii="方正小标宋_GBK" w:hAnsi="方正小标宋_GBK" w:eastAsia="方正小标宋_GBK" w:cs="方正小标宋_GBK"/>
          <w:color w:val="auto"/>
          <w:sz w:val="44"/>
          <w:szCs w:val="44"/>
          <w:highlight w:val="none"/>
          <w:lang w:val="en-US" w:eastAsia="zh-CN"/>
        </w:rPr>
        <w:t>品</w:t>
      </w:r>
      <w:r>
        <w:rPr>
          <w:rFonts w:hint="eastAsia" w:ascii="方正小标宋_GBK" w:hAnsi="方正小标宋_GBK" w:eastAsia="方正小标宋_GBK" w:cs="方正小标宋_GBK"/>
          <w:color w:val="auto"/>
          <w:sz w:val="44"/>
          <w:szCs w:val="44"/>
          <w:highlight w:val="none"/>
        </w:rPr>
        <w:t>清单</w:t>
      </w:r>
    </w:p>
    <w:p w14:paraId="6AEAEDB5">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p>
    <w:tbl>
      <w:tblPr>
        <w:tblStyle w:val="18"/>
        <w:tblW w:w="87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9"/>
        <w:gridCol w:w="1227"/>
        <w:gridCol w:w="560"/>
        <w:gridCol w:w="973"/>
        <w:gridCol w:w="974"/>
        <w:gridCol w:w="1240"/>
        <w:gridCol w:w="1742"/>
      </w:tblGrid>
      <w:tr w14:paraId="785D1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2069" w:type="dxa"/>
            <w:vAlign w:val="center"/>
          </w:tcPr>
          <w:p w14:paraId="2A0E4758">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产品</w:t>
            </w:r>
            <w:r>
              <w:rPr>
                <w:rFonts w:hint="eastAsia" w:ascii="仿宋" w:hAnsi="仿宋" w:eastAsia="仿宋" w:cs="仿宋"/>
                <w:color w:val="auto"/>
                <w:kern w:val="0"/>
                <w:sz w:val="24"/>
                <w:szCs w:val="24"/>
                <w:highlight w:val="none"/>
              </w:rPr>
              <w:t>名称</w:t>
            </w:r>
          </w:p>
        </w:tc>
        <w:tc>
          <w:tcPr>
            <w:tcW w:w="1227" w:type="dxa"/>
            <w:vAlign w:val="center"/>
          </w:tcPr>
          <w:p w14:paraId="151F59C9">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规格型号</w:t>
            </w:r>
          </w:p>
        </w:tc>
        <w:tc>
          <w:tcPr>
            <w:tcW w:w="560" w:type="dxa"/>
            <w:vAlign w:val="center"/>
          </w:tcPr>
          <w:p w14:paraId="09ACB166">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单位</w:t>
            </w:r>
          </w:p>
        </w:tc>
        <w:tc>
          <w:tcPr>
            <w:tcW w:w="973" w:type="dxa"/>
            <w:vAlign w:val="center"/>
          </w:tcPr>
          <w:p w14:paraId="1BC21A41">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单价(元)</w:t>
            </w:r>
          </w:p>
        </w:tc>
        <w:tc>
          <w:tcPr>
            <w:tcW w:w="974" w:type="dxa"/>
            <w:vAlign w:val="center"/>
          </w:tcPr>
          <w:p w14:paraId="67232C53">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阳采平台代码</w:t>
            </w:r>
          </w:p>
        </w:tc>
        <w:tc>
          <w:tcPr>
            <w:tcW w:w="1240" w:type="dxa"/>
            <w:vAlign w:val="center"/>
          </w:tcPr>
          <w:p w14:paraId="01471AB9">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注册证号</w:t>
            </w:r>
          </w:p>
        </w:tc>
        <w:tc>
          <w:tcPr>
            <w:tcW w:w="1742" w:type="dxa"/>
            <w:vAlign w:val="center"/>
          </w:tcPr>
          <w:p w14:paraId="496B2CAD">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生产厂家</w:t>
            </w:r>
          </w:p>
        </w:tc>
      </w:tr>
      <w:tr w14:paraId="0C17B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9" w:type="dxa"/>
            <w:vAlign w:val="center"/>
          </w:tcPr>
          <w:p w14:paraId="0236C1D5">
            <w:pPr>
              <w:keepNext w:val="0"/>
              <w:keepLines w:val="0"/>
              <w:suppressLineNumbers w:val="0"/>
              <w:bidi w:val="0"/>
              <w:spacing w:before="0" w:beforeAutospacing="0" w:after="0" w:afterAutospacing="0"/>
              <w:ind w:right="0"/>
              <w:rPr>
                <w:rFonts w:hint="eastAsia"/>
                <w:color w:val="auto"/>
                <w:highlight w:val="none"/>
              </w:rPr>
            </w:pPr>
          </w:p>
        </w:tc>
        <w:tc>
          <w:tcPr>
            <w:tcW w:w="1227" w:type="dxa"/>
            <w:vAlign w:val="center"/>
          </w:tcPr>
          <w:p w14:paraId="41F39D64">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jc w:val="left"/>
              <w:textAlignment w:val="auto"/>
              <w:rPr>
                <w:rFonts w:hint="eastAsia"/>
                <w:color w:val="auto"/>
                <w:highlight w:val="none"/>
              </w:rPr>
            </w:pPr>
          </w:p>
        </w:tc>
        <w:tc>
          <w:tcPr>
            <w:tcW w:w="560" w:type="dxa"/>
            <w:vAlign w:val="center"/>
          </w:tcPr>
          <w:p w14:paraId="6F27A605">
            <w:pPr>
              <w:keepNext w:val="0"/>
              <w:keepLines w:val="0"/>
              <w:suppressLineNumbers w:val="0"/>
              <w:bidi w:val="0"/>
              <w:spacing w:before="0" w:beforeAutospacing="0" w:after="0" w:afterAutospacing="0"/>
              <w:ind w:right="0"/>
              <w:rPr>
                <w:rFonts w:hint="eastAsia"/>
                <w:color w:val="auto"/>
                <w:highlight w:val="none"/>
              </w:rPr>
            </w:pPr>
          </w:p>
        </w:tc>
        <w:tc>
          <w:tcPr>
            <w:tcW w:w="973" w:type="dxa"/>
            <w:vAlign w:val="center"/>
          </w:tcPr>
          <w:p w14:paraId="724BB3C8">
            <w:pPr>
              <w:keepNext w:val="0"/>
              <w:keepLines w:val="0"/>
              <w:suppressLineNumbers w:val="0"/>
              <w:bidi w:val="0"/>
              <w:spacing w:before="0" w:beforeAutospacing="0" w:after="0" w:afterAutospacing="0"/>
              <w:ind w:right="0"/>
              <w:rPr>
                <w:rFonts w:hint="eastAsia"/>
                <w:color w:val="auto"/>
                <w:highlight w:val="none"/>
              </w:rPr>
            </w:pPr>
          </w:p>
        </w:tc>
        <w:tc>
          <w:tcPr>
            <w:tcW w:w="974" w:type="dxa"/>
            <w:vAlign w:val="center"/>
          </w:tcPr>
          <w:p w14:paraId="60E230EC">
            <w:pPr>
              <w:keepNext w:val="0"/>
              <w:keepLines w:val="0"/>
              <w:suppressLineNumbers w:val="0"/>
              <w:bidi w:val="0"/>
              <w:spacing w:before="0" w:beforeAutospacing="0" w:after="0" w:afterAutospacing="0"/>
              <w:ind w:right="0"/>
              <w:rPr>
                <w:rFonts w:hint="eastAsia"/>
                <w:color w:val="auto"/>
                <w:highlight w:val="none"/>
                <w:lang w:val="en-US" w:eastAsia="zh-CN"/>
              </w:rPr>
            </w:pPr>
          </w:p>
        </w:tc>
        <w:tc>
          <w:tcPr>
            <w:tcW w:w="1240" w:type="dxa"/>
            <w:vAlign w:val="center"/>
          </w:tcPr>
          <w:p w14:paraId="6537B363">
            <w:pPr>
              <w:keepNext w:val="0"/>
              <w:keepLines w:val="0"/>
              <w:suppressLineNumbers w:val="0"/>
              <w:bidi w:val="0"/>
              <w:spacing w:before="0" w:beforeAutospacing="0" w:after="0" w:afterAutospacing="0"/>
              <w:ind w:right="0"/>
              <w:rPr>
                <w:rFonts w:hint="eastAsia"/>
                <w:color w:val="auto"/>
                <w:highlight w:val="none"/>
                <w:lang w:val="en-US" w:eastAsia="zh-CN"/>
              </w:rPr>
            </w:pPr>
          </w:p>
        </w:tc>
        <w:tc>
          <w:tcPr>
            <w:tcW w:w="1742" w:type="dxa"/>
            <w:vAlign w:val="center"/>
          </w:tcPr>
          <w:p w14:paraId="14A76CC1">
            <w:pPr>
              <w:keepNext w:val="0"/>
              <w:keepLines w:val="0"/>
              <w:suppressLineNumbers w:val="0"/>
              <w:bidi w:val="0"/>
              <w:spacing w:before="0" w:beforeAutospacing="0" w:after="0" w:afterAutospacing="0"/>
              <w:ind w:right="0"/>
              <w:rPr>
                <w:rFonts w:hint="eastAsia"/>
                <w:color w:val="auto"/>
                <w:highlight w:val="none"/>
              </w:rPr>
            </w:pPr>
          </w:p>
        </w:tc>
      </w:tr>
      <w:tr w14:paraId="34B2C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9" w:type="dxa"/>
            <w:vAlign w:val="center"/>
          </w:tcPr>
          <w:p w14:paraId="7A9B57E6">
            <w:pPr>
              <w:keepNext w:val="0"/>
              <w:keepLines w:val="0"/>
              <w:suppressLineNumbers w:val="0"/>
              <w:bidi w:val="0"/>
              <w:spacing w:before="0" w:beforeAutospacing="0" w:after="0" w:afterAutospacing="0"/>
              <w:ind w:right="0"/>
              <w:rPr>
                <w:rFonts w:hint="eastAsia"/>
                <w:color w:val="auto"/>
                <w:highlight w:val="none"/>
              </w:rPr>
            </w:pPr>
          </w:p>
        </w:tc>
        <w:tc>
          <w:tcPr>
            <w:tcW w:w="1227" w:type="dxa"/>
            <w:vAlign w:val="center"/>
          </w:tcPr>
          <w:p w14:paraId="44DD21E4">
            <w:pPr>
              <w:keepNext w:val="0"/>
              <w:keepLines w:val="0"/>
              <w:suppressLineNumbers w:val="0"/>
              <w:bidi w:val="0"/>
              <w:spacing w:before="0" w:beforeAutospacing="0" w:after="0" w:afterAutospacing="0"/>
              <w:ind w:right="0"/>
              <w:rPr>
                <w:rFonts w:hint="eastAsia"/>
                <w:color w:val="auto"/>
                <w:highlight w:val="none"/>
              </w:rPr>
            </w:pPr>
          </w:p>
        </w:tc>
        <w:tc>
          <w:tcPr>
            <w:tcW w:w="560" w:type="dxa"/>
            <w:vAlign w:val="center"/>
          </w:tcPr>
          <w:p w14:paraId="6088DCE4">
            <w:pPr>
              <w:keepNext w:val="0"/>
              <w:keepLines w:val="0"/>
              <w:suppressLineNumbers w:val="0"/>
              <w:bidi w:val="0"/>
              <w:spacing w:before="0" w:beforeAutospacing="0" w:after="0" w:afterAutospacing="0"/>
              <w:ind w:right="0"/>
              <w:rPr>
                <w:rFonts w:hint="eastAsia"/>
                <w:color w:val="auto"/>
                <w:highlight w:val="none"/>
              </w:rPr>
            </w:pPr>
          </w:p>
        </w:tc>
        <w:tc>
          <w:tcPr>
            <w:tcW w:w="973" w:type="dxa"/>
            <w:vAlign w:val="center"/>
          </w:tcPr>
          <w:p w14:paraId="27F0B686">
            <w:pPr>
              <w:keepNext w:val="0"/>
              <w:keepLines w:val="0"/>
              <w:suppressLineNumbers w:val="0"/>
              <w:bidi w:val="0"/>
              <w:spacing w:before="0" w:beforeAutospacing="0" w:after="0" w:afterAutospacing="0"/>
              <w:ind w:right="0"/>
              <w:rPr>
                <w:rFonts w:hint="eastAsia"/>
                <w:color w:val="auto"/>
                <w:highlight w:val="none"/>
              </w:rPr>
            </w:pPr>
          </w:p>
        </w:tc>
        <w:tc>
          <w:tcPr>
            <w:tcW w:w="974" w:type="dxa"/>
            <w:vAlign w:val="center"/>
          </w:tcPr>
          <w:p w14:paraId="58F4B5E0">
            <w:pPr>
              <w:keepNext w:val="0"/>
              <w:keepLines w:val="0"/>
              <w:suppressLineNumbers w:val="0"/>
              <w:bidi w:val="0"/>
              <w:spacing w:before="0" w:beforeAutospacing="0" w:after="0" w:afterAutospacing="0"/>
              <w:ind w:right="0"/>
              <w:rPr>
                <w:rFonts w:hint="eastAsia"/>
                <w:color w:val="auto"/>
                <w:highlight w:val="none"/>
              </w:rPr>
            </w:pPr>
          </w:p>
        </w:tc>
        <w:tc>
          <w:tcPr>
            <w:tcW w:w="1240" w:type="dxa"/>
            <w:vAlign w:val="center"/>
          </w:tcPr>
          <w:p w14:paraId="5DD89A1A">
            <w:pPr>
              <w:keepNext w:val="0"/>
              <w:keepLines w:val="0"/>
              <w:suppressLineNumbers w:val="0"/>
              <w:bidi w:val="0"/>
              <w:spacing w:before="0" w:beforeAutospacing="0" w:after="0" w:afterAutospacing="0"/>
              <w:ind w:right="0"/>
              <w:rPr>
                <w:rFonts w:hint="eastAsia"/>
                <w:color w:val="auto"/>
                <w:highlight w:val="none"/>
              </w:rPr>
            </w:pPr>
          </w:p>
        </w:tc>
        <w:tc>
          <w:tcPr>
            <w:tcW w:w="1742" w:type="dxa"/>
            <w:vAlign w:val="center"/>
          </w:tcPr>
          <w:p w14:paraId="5B41999A">
            <w:pPr>
              <w:keepNext w:val="0"/>
              <w:keepLines w:val="0"/>
              <w:suppressLineNumbers w:val="0"/>
              <w:bidi w:val="0"/>
              <w:spacing w:before="0" w:beforeAutospacing="0" w:after="0" w:afterAutospacing="0"/>
              <w:ind w:right="0"/>
              <w:rPr>
                <w:rFonts w:hint="eastAsia"/>
                <w:color w:val="auto"/>
                <w:highlight w:val="none"/>
              </w:rPr>
            </w:pPr>
          </w:p>
        </w:tc>
      </w:tr>
      <w:tr w14:paraId="7D5FB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9" w:type="dxa"/>
            <w:vAlign w:val="center"/>
          </w:tcPr>
          <w:p w14:paraId="72A1EB3B">
            <w:pPr>
              <w:keepNext w:val="0"/>
              <w:keepLines w:val="0"/>
              <w:suppressLineNumbers w:val="0"/>
              <w:bidi w:val="0"/>
              <w:spacing w:before="0" w:beforeAutospacing="0" w:after="0" w:afterAutospacing="0"/>
              <w:ind w:right="0"/>
              <w:rPr>
                <w:rFonts w:hint="eastAsia"/>
                <w:color w:val="auto"/>
                <w:highlight w:val="none"/>
              </w:rPr>
            </w:pPr>
          </w:p>
        </w:tc>
        <w:tc>
          <w:tcPr>
            <w:tcW w:w="1227" w:type="dxa"/>
            <w:vAlign w:val="center"/>
          </w:tcPr>
          <w:p w14:paraId="3646E61E">
            <w:pPr>
              <w:keepNext w:val="0"/>
              <w:keepLines w:val="0"/>
              <w:suppressLineNumbers w:val="0"/>
              <w:bidi w:val="0"/>
              <w:spacing w:before="0" w:beforeAutospacing="0" w:after="0" w:afterAutospacing="0"/>
              <w:ind w:right="0"/>
              <w:rPr>
                <w:rFonts w:hint="eastAsia"/>
                <w:color w:val="auto"/>
                <w:highlight w:val="none"/>
              </w:rPr>
            </w:pPr>
          </w:p>
        </w:tc>
        <w:tc>
          <w:tcPr>
            <w:tcW w:w="560" w:type="dxa"/>
            <w:vAlign w:val="center"/>
          </w:tcPr>
          <w:p w14:paraId="5A9E9E11">
            <w:pPr>
              <w:keepNext w:val="0"/>
              <w:keepLines w:val="0"/>
              <w:suppressLineNumbers w:val="0"/>
              <w:bidi w:val="0"/>
              <w:spacing w:before="0" w:beforeAutospacing="0" w:after="0" w:afterAutospacing="0"/>
              <w:ind w:right="0"/>
              <w:rPr>
                <w:rFonts w:hint="eastAsia"/>
                <w:color w:val="auto"/>
                <w:highlight w:val="none"/>
              </w:rPr>
            </w:pPr>
          </w:p>
        </w:tc>
        <w:tc>
          <w:tcPr>
            <w:tcW w:w="973" w:type="dxa"/>
            <w:vAlign w:val="center"/>
          </w:tcPr>
          <w:p w14:paraId="0A15254B">
            <w:pPr>
              <w:keepNext w:val="0"/>
              <w:keepLines w:val="0"/>
              <w:suppressLineNumbers w:val="0"/>
              <w:bidi w:val="0"/>
              <w:spacing w:before="0" w:beforeAutospacing="0" w:after="0" w:afterAutospacing="0"/>
              <w:ind w:right="0"/>
              <w:rPr>
                <w:rFonts w:hint="eastAsia"/>
                <w:color w:val="auto"/>
                <w:highlight w:val="none"/>
              </w:rPr>
            </w:pPr>
          </w:p>
        </w:tc>
        <w:tc>
          <w:tcPr>
            <w:tcW w:w="974" w:type="dxa"/>
            <w:vAlign w:val="center"/>
          </w:tcPr>
          <w:p w14:paraId="545655FA">
            <w:pPr>
              <w:keepNext w:val="0"/>
              <w:keepLines w:val="0"/>
              <w:suppressLineNumbers w:val="0"/>
              <w:bidi w:val="0"/>
              <w:spacing w:before="0" w:beforeAutospacing="0" w:after="0" w:afterAutospacing="0"/>
              <w:ind w:right="0"/>
              <w:rPr>
                <w:rFonts w:hint="eastAsia"/>
                <w:color w:val="auto"/>
                <w:highlight w:val="none"/>
              </w:rPr>
            </w:pPr>
          </w:p>
        </w:tc>
        <w:tc>
          <w:tcPr>
            <w:tcW w:w="1240" w:type="dxa"/>
            <w:vAlign w:val="center"/>
          </w:tcPr>
          <w:p w14:paraId="128910BD">
            <w:pPr>
              <w:keepNext w:val="0"/>
              <w:keepLines w:val="0"/>
              <w:suppressLineNumbers w:val="0"/>
              <w:bidi w:val="0"/>
              <w:spacing w:before="0" w:beforeAutospacing="0" w:after="0" w:afterAutospacing="0"/>
              <w:ind w:right="0"/>
              <w:rPr>
                <w:rFonts w:hint="eastAsia"/>
                <w:color w:val="auto"/>
                <w:highlight w:val="none"/>
              </w:rPr>
            </w:pPr>
          </w:p>
        </w:tc>
        <w:tc>
          <w:tcPr>
            <w:tcW w:w="1742" w:type="dxa"/>
            <w:vAlign w:val="center"/>
          </w:tcPr>
          <w:p w14:paraId="1C1E7DE4">
            <w:pPr>
              <w:keepNext w:val="0"/>
              <w:keepLines w:val="0"/>
              <w:suppressLineNumbers w:val="0"/>
              <w:bidi w:val="0"/>
              <w:spacing w:before="0" w:beforeAutospacing="0" w:after="0" w:afterAutospacing="0"/>
              <w:ind w:right="0"/>
              <w:rPr>
                <w:rFonts w:hint="eastAsia"/>
                <w:color w:val="auto"/>
                <w:highlight w:val="none"/>
              </w:rPr>
            </w:pPr>
          </w:p>
        </w:tc>
      </w:tr>
      <w:tr w14:paraId="14E64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9" w:type="dxa"/>
            <w:vAlign w:val="center"/>
          </w:tcPr>
          <w:p w14:paraId="3E4ADDFA">
            <w:pPr>
              <w:keepNext w:val="0"/>
              <w:keepLines w:val="0"/>
              <w:suppressLineNumbers w:val="0"/>
              <w:bidi w:val="0"/>
              <w:spacing w:before="0" w:beforeAutospacing="0" w:after="0" w:afterAutospacing="0"/>
              <w:ind w:right="0"/>
              <w:rPr>
                <w:rFonts w:hint="eastAsia"/>
                <w:color w:val="auto"/>
                <w:highlight w:val="none"/>
              </w:rPr>
            </w:pPr>
          </w:p>
        </w:tc>
        <w:tc>
          <w:tcPr>
            <w:tcW w:w="1227" w:type="dxa"/>
            <w:vAlign w:val="center"/>
          </w:tcPr>
          <w:p w14:paraId="520089BE">
            <w:pPr>
              <w:keepNext w:val="0"/>
              <w:keepLines w:val="0"/>
              <w:suppressLineNumbers w:val="0"/>
              <w:bidi w:val="0"/>
              <w:spacing w:before="0" w:beforeAutospacing="0" w:after="0" w:afterAutospacing="0"/>
              <w:ind w:right="0"/>
              <w:rPr>
                <w:rFonts w:hint="eastAsia"/>
                <w:color w:val="auto"/>
                <w:highlight w:val="none"/>
              </w:rPr>
            </w:pPr>
          </w:p>
        </w:tc>
        <w:tc>
          <w:tcPr>
            <w:tcW w:w="560" w:type="dxa"/>
            <w:vAlign w:val="center"/>
          </w:tcPr>
          <w:p w14:paraId="4A549834">
            <w:pPr>
              <w:keepNext w:val="0"/>
              <w:keepLines w:val="0"/>
              <w:suppressLineNumbers w:val="0"/>
              <w:bidi w:val="0"/>
              <w:spacing w:before="0" w:beforeAutospacing="0" w:after="0" w:afterAutospacing="0"/>
              <w:ind w:right="0"/>
              <w:rPr>
                <w:rFonts w:hint="eastAsia"/>
                <w:color w:val="auto"/>
                <w:highlight w:val="none"/>
              </w:rPr>
            </w:pPr>
          </w:p>
        </w:tc>
        <w:tc>
          <w:tcPr>
            <w:tcW w:w="973" w:type="dxa"/>
            <w:vAlign w:val="center"/>
          </w:tcPr>
          <w:p w14:paraId="072CB8AC">
            <w:pPr>
              <w:keepNext w:val="0"/>
              <w:keepLines w:val="0"/>
              <w:suppressLineNumbers w:val="0"/>
              <w:bidi w:val="0"/>
              <w:spacing w:before="0" w:beforeAutospacing="0" w:after="0" w:afterAutospacing="0"/>
              <w:ind w:right="0"/>
              <w:rPr>
                <w:rFonts w:hint="eastAsia"/>
                <w:color w:val="auto"/>
                <w:highlight w:val="none"/>
              </w:rPr>
            </w:pPr>
          </w:p>
        </w:tc>
        <w:tc>
          <w:tcPr>
            <w:tcW w:w="974" w:type="dxa"/>
            <w:vAlign w:val="center"/>
          </w:tcPr>
          <w:p w14:paraId="4B6753C6">
            <w:pPr>
              <w:keepNext w:val="0"/>
              <w:keepLines w:val="0"/>
              <w:suppressLineNumbers w:val="0"/>
              <w:bidi w:val="0"/>
              <w:spacing w:before="0" w:beforeAutospacing="0" w:after="0" w:afterAutospacing="0"/>
              <w:ind w:right="0"/>
              <w:rPr>
                <w:rFonts w:hint="eastAsia"/>
                <w:color w:val="auto"/>
                <w:highlight w:val="none"/>
              </w:rPr>
            </w:pPr>
          </w:p>
        </w:tc>
        <w:tc>
          <w:tcPr>
            <w:tcW w:w="1240" w:type="dxa"/>
            <w:vAlign w:val="center"/>
          </w:tcPr>
          <w:p w14:paraId="2F03C229">
            <w:pPr>
              <w:keepNext w:val="0"/>
              <w:keepLines w:val="0"/>
              <w:suppressLineNumbers w:val="0"/>
              <w:bidi w:val="0"/>
              <w:spacing w:before="0" w:beforeAutospacing="0" w:after="0" w:afterAutospacing="0"/>
              <w:ind w:right="0"/>
              <w:rPr>
                <w:rFonts w:hint="eastAsia"/>
                <w:color w:val="auto"/>
                <w:highlight w:val="none"/>
              </w:rPr>
            </w:pPr>
          </w:p>
        </w:tc>
        <w:tc>
          <w:tcPr>
            <w:tcW w:w="1742" w:type="dxa"/>
            <w:vAlign w:val="center"/>
          </w:tcPr>
          <w:p w14:paraId="64B7AB04">
            <w:pPr>
              <w:keepNext w:val="0"/>
              <w:keepLines w:val="0"/>
              <w:suppressLineNumbers w:val="0"/>
              <w:bidi w:val="0"/>
              <w:spacing w:before="0" w:beforeAutospacing="0" w:after="0" w:afterAutospacing="0"/>
              <w:ind w:right="0"/>
              <w:rPr>
                <w:rFonts w:hint="eastAsia"/>
                <w:color w:val="auto"/>
                <w:highlight w:val="none"/>
              </w:rPr>
            </w:pPr>
          </w:p>
        </w:tc>
      </w:tr>
      <w:tr w14:paraId="5B2D6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9" w:type="dxa"/>
            <w:vAlign w:val="center"/>
          </w:tcPr>
          <w:p w14:paraId="78341EA5">
            <w:pPr>
              <w:keepNext w:val="0"/>
              <w:keepLines w:val="0"/>
              <w:suppressLineNumbers w:val="0"/>
              <w:bidi w:val="0"/>
              <w:spacing w:before="0" w:beforeAutospacing="0" w:after="0" w:afterAutospacing="0"/>
              <w:ind w:right="0"/>
              <w:rPr>
                <w:rFonts w:hint="eastAsia"/>
                <w:color w:val="auto"/>
                <w:highlight w:val="none"/>
              </w:rPr>
            </w:pPr>
          </w:p>
        </w:tc>
        <w:tc>
          <w:tcPr>
            <w:tcW w:w="1227" w:type="dxa"/>
            <w:vAlign w:val="center"/>
          </w:tcPr>
          <w:p w14:paraId="5A3FB16F">
            <w:pPr>
              <w:keepNext w:val="0"/>
              <w:keepLines w:val="0"/>
              <w:suppressLineNumbers w:val="0"/>
              <w:bidi w:val="0"/>
              <w:spacing w:before="0" w:beforeAutospacing="0" w:after="0" w:afterAutospacing="0"/>
              <w:ind w:right="0"/>
              <w:rPr>
                <w:rFonts w:hint="eastAsia"/>
                <w:color w:val="auto"/>
                <w:highlight w:val="none"/>
              </w:rPr>
            </w:pPr>
          </w:p>
        </w:tc>
        <w:tc>
          <w:tcPr>
            <w:tcW w:w="560" w:type="dxa"/>
            <w:vAlign w:val="center"/>
          </w:tcPr>
          <w:p w14:paraId="508CEF01">
            <w:pPr>
              <w:keepNext w:val="0"/>
              <w:keepLines w:val="0"/>
              <w:suppressLineNumbers w:val="0"/>
              <w:bidi w:val="0"/>
              <w:spacing w:before="0" w:beforeAutospacing="0" w:after="0" w:afterAutospacing="0"/>
              <w:ind w:right="0"/>
              <w:rPr>
                <w:rFonts w:hint="eastAsia"/>
                <w:color w:val="auto"/>
                <w:highlight w:val="none"/>
              </w:rPr>
            </w:pPr>
          </w:p>
        </w:tc>
        <w:tc>
          <w:tcPr>
            <w:tcW w:w="973" w:type="dxa"/>
            <w:vAlign w:val="center"/>
          </w:tcPr>
          <w:p w14:paraId="010C44DF">
            <w:pPr>
              <w:keepNext w:val="0"/>
              <w:keepLines w:val="0"/>
              <w:suppressLineNumbers w:val="0"/>
              <w:bidi w:val="0"/>
              <w:spacing w:before="0" w:beforeAutospacing="0" w:after="0" w:afterAutospacing="0"/>
              <w:ind w:right="0"/>
              <w:rPr>
                <w:rFonts w:hint="eastAsia"/>
                <w:color w:val="auto"/>
                <w:highlight w:val="none"/>
              </w:rPr>
            </w:pPr>
          </w:p>
        </w:tc>
        <w:tc>
          <w:tcPr>
            <w:tcW w:w="974" w:type="dxa"/>
            <w:vAlign w:val="center"/>
          </w:tcPr>
          <w:p w14:paraId="5B3165A2">
            <w:pPr>
              <w:keepNext w:val="0"/>
              <w:keepLines w:val="0"/>
              <w:suppressLineNumbers w:val="0"/>
              <w:bidi w:val="0"/>
              <w:spacing w:before="0" w:beforeAutospacing="0" w:after="0" w:afterAutospacing="0"/>
              <w:ind w:right="0"/>
              <w:rPr>
                <w:rFonts w:hint="eastAsia"/>
                <w:color w:val="auto"/>
                <w:highlight w:val="none"/>
              </w:rPr>
            </w:pPr>
          </w:p>
        </w:tc>
        <w:tc>
          <w:tcPr>
            <w:tcW w:w="1240" w:type="dxa"/>
            <w:vAlign w:val="center"/>
          </w:tcPr>
          <w:p w14:paraId="69468359">
            <w:pPr>
              <w:keepNext w:val="0"/>
              <w:keepLines w:val="0"/>
              <w:suppressLineNumbers w:val="0"/>
              <w:bidi w:val="0"/>
              <w:spacing w:before="0" w:beforeAutospacing="0" w:after="0" w:afterAutospacing="0"/>
              <w:ind w:right="0"/>
              <w:rPr>
                <w:rFonts w:hint="eastAsia"/>
                <w:color w:val="auto"/>
                <w:highlight w:val="none"/>
              </w:rPr>
            </w:pPr>
          </w:p>
        </w:tc>
        <w:tc>
          <w:tcPr>
            <w:tcW w:w="1742" w:type="dxa"/>
            <w:vAlign w:val="center"/>
          </w:tcPr>
          <w:p w14:paraId="68EA8459">
            <w:pPr>
              <w:keepNext w:val="0"/>
              <w:keepLines w:val="0"/>
              <w:suppressLineNumbers w:val="0"/>
              <w:bidi w:val="0"/>
              <w:spacing w:before="0" w:beforeAutospacing="0" w:after="0" w:afterAutospacing="0"/>
              <w:ind w:right="0"/>
              <w:rPr>
                <w:rFonts w:hint="eastAsia"/>
                <w:color w:val="auto"/>
                <w:highlight w:val="none"/>
              </w:rPr>
            </w:pPr>
          </w:p>
        </w:tc>
      </w:tr>
    </w:tbl>
    <w:p w14:paraId="0DDDA984">
      <w:pPr>
        <w:keepNext w:val="0"/>
        <w:keepLines w:val="0"/>
        <w:pageBreakBefore w:val="0"/>
        <w:widowControl w:val="0"/>
        <w:kinsoku/>
        <w:overflowPunct/>
        <w:topLinePunct w:val="0"/>
        <w:autoSpaceDE/>
        <w:autoSpaceDN/>
        <w:bidi w:val="0"/>
        <w:adjustRightInd w:val="0"/>
        <w:snapToGrid w:val="0"/>
        <w:spacing w:line="560" w:lineRule="exact"/>
        <w:ind w:firstLine="560" w:firstLineChars="200"/>
        <w:jc w:val="left"/>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乙方承诺《货品清单》</w:t>
      </w:r>
      <w:r>
        <w:rPr>
          <w:rFonts w:hint="eastAsia" w:ascii="仿宋_GB2312" w:hAnsi="仿宋_GB2312" w:eastAsia="仿宋_GB2312" w:cs="仿宋_GB2312"/>
          <w:color w:val="auto"/>
          <w:sz w:val="28"/>
          <w:szCs w:val="28"/>
          <w:highlight w:val="none"/>
          <w:lang w:val="en-US" w:eastAsia="zh-CN"/>
        </w:rPr>
        <w:t>中在“</w:t>
      </w:r>
      <w:r>
        <w:rPr>
          <w:rFonts w:hint="eastAsia" w:ascii="仿宋_GB2312" w:hAnsi="仿宋_GB2312" w:eastAsia="仿宋_GB2312" w:cs="仿宋_GB2312"/>
          <w:color w:val="auto"/>
          <w:sz w:val="28"/>
          <w:szCs w:val="28"/>
          <w:highlight w:val="none"/>
        </w:rPr>
        <w:t>深圳医用耗材阳光交易和监管平台</w:t>
      </w:r>
      <w:r>
        <w:rPr>
          <w:rFonts w:hint="default"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(以下简称平台)</w:t>
      </w:r>
      <w:r>
        <w:rPr>
          <w:rFonts w:hint="eastAsia" w:ascii="仿宋_GB2312" w:hAnsi="仿宋_GB2312" w:eastAsia="仿宋_GB2312" w:cs="仿宋_GB2312"/>
          <w:color w:val="auto"/>
          <w:sz w:val="28"/>
          <w:szCs w:val="28"/>
          <w:highlight w:val="none"/>
          <w:lang w:val="en-US" w:eastAsia="zh-CN"/>
        </w:rPr>
        <w:t>上挂网的货品</w:t>
      </w:r>
      <w:r>
        <w:rPr>
          <w:rFonts w:hint="eastAsia" w:ascii="仿宋_GB2312" w:hAnsi="仿宋_GB2312" w:eastAsia="仿宋_GB2312" w:cs="仿宋_GB2312"/>
          <w:color w:val="auto"/>
          <w:sz w:val="28"/>
          <w:szCs w:val="28"/>
          <w:highlight w:val="none"/>
        </w:rPr>
        <w:t>执行线上</w:t>
      </w:r>
      <w:r>
        <w:rPr>
          <w:rFonts w:hint="eastAsia" w:ascii="仿宋_GB2312" w:hAnsi="仿宋_GB2312" w:eastAsia="仿宋_GB2312" w:cs="仿宋_GB2312"/>
          <w:color w:val="auto"/>
          <w:sz w:val="28"/>
          <w:szCs w:val="28"/>
          <w:highlight w:val="none"/>
          <w:lang w:val="en-US" w:eastAsia="zh-CN"/>
        </w:rPr>
        <w:t>交易</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本合同</w:t>
      </w:r>
      <w:r>
        <w:rPr>
          <w:rFonts w:hint="eastAsia" w:ascii="仿宋_GB2312" w:hAnsi="仿宋_GB2312" w:eastAsia="仿宋_GB2312" w:cs="仿宋_GB2312"/>
          <w:color w:val="auto"/>
          <w:sz w:val="28"/>
          <w:szCs w:val="28"/>
          <w:highlight w:val="none"/>
          <w:u w:val="none"/>
        </w:rPr>
        <w:t>有效期内</w:t>
      </w:r>
      <w:r>
        <w:rPr>
          <w:rFonts w:hint="eastAsia" w:ascii="仿宋_GB2312" w:hAnsi="仿宋_GB2312" w:eastAsia="仿宋_GB2312" w:cs="仿宋_GB2312"/>
          <w:color w:val="auto"/>
          <w:sz w:val="28"/>
          <w:szCs w:val="28"/>
          <w:highlight w:val="none"/>
          <w:u w:val="none"/>
          <w:lang w:val="en-US" w:eastAsia="zh-CN"/>
        </w:rPr>
        <w:t>货品</w:t>
      </w:r>
      <w:r>
        <w:rPr>
          <w:rFonts w:hint="eastAsia" w:ascii="仿宋_GB2312" w:hAnsi="仿宋_GB2312" w:eastAsia="仿宋_GB2312" w:cs="仿宋_GB2312"/>
          <w:color w:val="auto"/>
          <w:sz w:val="28"/>
          <w:szCs w:val="28"/>
          <w:highlight w:val="none"/>
          <w:u w:val="none"/>
        </w:rPr>
        <w:t>价格</w:t>
      </w:r>
      <w:r>
        <w:rPr>
          <w:rFonts w:hint="eastAsia" w:ascii="仿宋_GB2312" w:hAnsi="仿宋_GB2312" w:eastAsia="仿宋_GB2312" w:cs="仿宋_GB2312"/>
          <w:color w:val="auto"/>
          <w:sz w:val="28"/>
          <w:szCs w:val="28"/>
          <w:highlight w:val="none"/>
          <w:u w:val="none"/>
          <w:lang w:val="en-US" w:eastAsia="zh-CN"/>
        </w:rPr>
        <w:t>不得高于</w:t>
      </w:r>
      <w:r>
        <w:rPr>
          <w:rFonts w:hint="eastAsia" w:ascii="仿宋_GB2312" w:hAnsi="仿宋_GB2312" w:eastAsia="仿宋_GB2312" w:cs="仿宋_GB2312"/>
          <w:color w:val="auto"/>
          <w:sz w:val="28"/>
          <w:szCs w:val="28"/>
          <w:highlight w:val="none"/>
          <w:u w:val="none"/>
        </w:rPr>
        <w:t>平台三色九段中的</w:t>
      </w:r>
      <w:r>
        <w:rPr>
          <w:rFonts w:hint="eastAsia" w:ascii="仿宋_GB2312" w:hAnsi="仿宋_GB2312" w:eastAsia="仿宋_GB2312" w:cs="仿宋_GB2312"/>
          <w:color w:val="auto"/>
          <w:sz w:val="28"/>
          <w:szCs w:val="28"/>
          <w:highlight w:val="none"/>
          <w:u w:val="none"/>
          <w:lang w:val="en-US" w:eastAsia="zh-CN"/>
        </w:rPr>
        <w:t>绿</w:t>
      </w:r>
      <w:r>
        <w:rPr>
          <w:rFonts w:hint="eastAsia" w:ascii="仿宋_GB2312" w:hAnsi="仿宋_GB2312" w:eastAsia="仿宋_GB2312" w:cs="仿宋_GB2312"/>
          <w:color w:val="auto"/>
          <w:sz w:val="28"/>
          <w:szCs w:val="28"/>
          <w:highlight w:val="none"/>
          <w:u w:val="none"/>
        </w:rPr>
        <w:t>色段价格,</w:t>
      </w:r>
      <w:r>
        <w:rPr>
          <w:rFonts w:hint="eastAsia" w:ascii="仿宋_GB2312" w:hAnsi="仿宋_GB2312" w:eastAsia="仿宋_GB2312" w:cs="仿宋_GB2312"/>
          <w:color w:val="auto"/>
          <w:sz w:val="28"/>
          <w:szCs w:val="28"/>
          <w:highlight w:val="none"/>
          <w:u w:val="none"/>
          <w:lang w:val="en-US" w:eastAsia="zh-CN"/>
        </w:rPr>
        <w:t>如遇平台价格下调，</w:t>
      </w:r>
      <w:r>
        <w:rPr>
          <w:rFonts w:hint="eastAsia" w:ascii="仿宋_GB2312" w:hAnsi="仿宋_GB2312" w:eastAsia="仿宋_GB2312" w:cs="仿宋_GB2312"/>
          <w:color w:val="auto"/>
          <w:sz w:val="28"/>
          <w:szCs w:val="28"/>
          <w:highlight w:val="none"/>
          <w:u w:val="none"/>
        </w:rPr>
        <w:t>乙方</w:t>
      </w:r>
      <w:r>
        <w:rPr>
          <w:rFonts w:hint="eastAsia" w:ascii="仿宋_GB2312" w:hAnsi="仿宋_GB2312" w:eastAsia="仿宋_GB2312" w:cs="仿宋_GB2312"/>
          <w:color w:val="auto"/>
          <w:sz w:val="28"/>
          <w:szCs w:val="28"/>
          <w:highlight w:val="none"/>
          <w:u w:val="none"/>
          <w:lang w:eastAsia="zh-CN"/>
        </w:rPr>
        <w:t>应主动调整供货价格。</w:t>
      </w:r>
      <w:r>
        <w:rPr>
          <w:rFonts w:hint="eastAsia" w:ascii="仿宋_GB2312" w:hAnsi="仿宋_GB2312" w:eastAsia="仿宋_GB2312" w:cs="仿宋_GB2312"/>
          <w:color w:val="auto"/>
          <w:sz w:val="28"/>
          <w:szCs w:val="28"/>
          <w:highlight w:val="none"/>
        </w:rPr>
        <w:t>若不执行，甲方有权单方解除本</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乙方应承担给甲方造成的全部经济损失</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且纳入黑名单管理。</w:t>
      </w:r>
    </w:p>
    <w:p w14:paraId="3BDDEF55">
      <w:pPr>
        <w:keepNext w:val="0"/>
        <w:keepLines w:val="0"/>
        <w:pageBreakBefore w:val="0"/>
        <w:widowControl w:val="0"/>
        <w:numPr>
          <w:ilvl w:val="-1"/>
          <w:numId w:val="0"/>
        </w:numPr>
        <w:kinsoku/>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如遇政策影响等因素需要调整价格，</w:t>
      </w:r>
      <w:r>
        <w:rPr>
          <w:rFonts w:hint="eastAsia" w:ascii="仿宋_GB2312" w:hAnsi="仿宋_GB2312" w:eastAsia="仿宋_GB2312" w:cs="仿宋_GB2312"/>
          <w:color w:val="auto"/>
          <w:sz w:val="28"/>
          <w:szCs w:val="28"/>
          <w:highlight w:val="none"/>
          <w:lang w:val="en-US" w:eastAsia="zh-CN"/>
        </w:rPr>
        <w:t>按</w:t>
      </w:r>
      <w:r>
        <w:rPr>
          <w:rFonts w:hint="eastAsia" w:ascii="仿宋_GB2312" w:hAnsi="仿宋_GB2312" w:eastAsia="仿宋_GB2312" w:cs="仿宋_GB2312"/>
          <w:color w:val="auto"/>
          <w:sz w:val="28"/>
          <w:szCs w:val="28"/>
          <w:highlight w:val="none"/>
        </w:rPr>
        <w:t>政策规定的要求执行。</w:t>
      </w:r>
    </w:p>
    <w:p w14:paraId="022D6F3A">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.合同双方认为应补充的内容（不违反</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文件及相关法律法规）：</w:t>
      </w:r>
    </w:p>
    <w:p w14:paraId="68A2F84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firstLine="0" w:firstLineChars="0"/>
        <w:jc w:val="left"/>
        <w:textAlignment w:val="auto"/>
        <w:rPr>
          <w:rFonts w:hint="default" w:ascii="仿宋_GB2312" w:hAnsi="仿宋_GB2312" w:eastAsia="仿宋_GB2312" w:cs="仿宋_GB2312"/>
          <w:color w:val="auto"/>
          <w:sz w:val="28"/>
          <w:szCs w:val="28"/>
          <w:highlight w:val="none"/>
          <w:u w:val="single"/>
          <w:lang w:val="en-US" w:eastAsia="zh-CN"/>
        </w:rPr>
      </w:pP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b/>
          <w:bCs/>
          <w:color w:val="auto"/>
          <w:sz w:val="28"/>
          <w:szCs w:val="28"/>
          <w:highlight w:val="none"/>
          <w:u w:val="single"/>
          <w:lang w:val="en-US" w:eastAsia="zh-CN"/>
        </w:rPr>
        <w:t>乙方承诺及时在平台填报订单和发票相关信息，不影响甲方平台结算率。</w:t>
      </w:r>
      <w:r>
        <w:rPr>
          <w:rFonts w:hint="eastAsia" w:ascii="仿宋_GB2312" w:hAnsi="仿宋_GB2312" w:eastAsia="仿宋_GB2312" w:cs="仿宋_GB2312"/>
          <w:color w:val="auto"/>
          <w:sz w:val="28"/>
          <w:szCs w:val="28"/>
          <w:highlight w:val="none"/>
          <w:u w:val="single"/>
          <w:lang w:val="en-US" w:eastAsia="zh-CN"/>
        </w:rPr>
        <w:t xml:space="preserve">                                                                                                                  </w:t>
      </w:r>
    </w:p>
    <w:p w14:paraId="5A5D0F3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bookmarkStart w:id="114" w:name="_Toc663_WPSOffice_Level1"/>
      <w:r>
        <w:rPr>
          <w:rFonts w:hint="eastAsia" w:ascii="仿宋_GB2312" w:hAnsi="仿宋_GB2312" w:eastAsia="仿宋_GB2312" w:cs="仿宋_GB2312"/>
          <w:b/>
          <w:color w:val="auto"/>
          <w:sz w:val="28"/>
          <w:szCs w:val="28"/>
          <w:highlight w:val="none"/>
        </w:rPr>
        <w:t>第二条  合同价款</w:t>
      </w:r>
      <w:bookmarkEnd w:id="114"/>
    </w:p>
    <w:p w14:paraId="2AA3628C">
      <w:pPr>
        <w:pStyle w:val="7"/>
        <w:keepNext w:val="0"/>
        <w:keepLines w:val="0"/>
        <w:pageBreakBefore w:val="0"/>
        <w:widowControl w:val="0"/>
        <w:kinsoku/>
        <w:wordWrap w:val="0"/>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本合同项下甲乙双方买卖（货物/设备/器材等）含税总价款以实际送货数量结算。此价款为乙方履行本合同义务而产生的一切费用，除此以外甲方不再对乙方承担任何支付价款以外费用。此价款包括但不限于如下费用：</w:t>
      </w:r>
    </w:p>
    <w:p w14:paraId="2872C5C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（1）（附件一所列货物）的货款；</w:t>
      </w:r>
    </w:p>
    <w:p w14:paraId="674E54C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（2）货物运至合同指定地点的运输费（包括海外运输、内陆运输、工地场地内水平和垂直运输等所有运输费用）；</w:t>
      </w:r>
    </w:p>
    <w:p w14:paraId="0007827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（3）货物包装费、采购保管费、安装费（包括损耗、额外材料等）、货物装卸费；</w:t>
      </w:r>
    </w:p>
    <w:p w14:paraId="309A8A1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（4）乙方对甲方人员的技术培训费；</w:t>
      </w:r>
    </w:p>
    <w:p w14:paraId="07FE344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（5）（预埋件）的材料、制作、施工、检测等费用；</w:t>
      </w:r>
    </w:p>
    <w:p w14:paraId="1E3C36C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（6）施工组织措施费，文明施工费、设备和材料二次搬运费、现场保管费、吊装费、工地环保费、治安费、施工垃圾外运费，与其他相关单位配合管理费等所有在采购单位可以使用货物之前的应尽的费用；</w:t>
      </w:r>
    </w:p>
    <w:p w14:paraId="41ED817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（7）保险费、税金、风险金。</w:t>
      </w:r>
    </w:p>
    <w:p w14:paraId="649B371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合同总价款不因通货膨胀、市场行情等市场价格的变动而变动，但本合同另有约定的除外。</w:t>
      </w:r>
    </w:p>
    <w:p w14:paraId="5AF47A4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2.合同价款的支付方式（双方应共同选择一项，并在所选项□内打“√”）：</w:t>
      </w:r>
    </w:p>
    <w:p w14:paraId="7F15EB8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sym w:font="Wingdings 2" w:char="0052"/>
      </w:r>
      <w:r>
        <w:rPr>
          <w:rFonts w:hint="eastAsia" w:ascii="仿宋_GB2312" w:hAnsi="仿宋_GB2312" w:eastAsia="仿宋_GB2312" w:cs="仿宋_GB2312"/>
          <w:color w:val="auto"/>
          <w:sz w:val="28"/>
          <w:szCs w:val="28"/>
          <w:highlight w:val="none"/>
        </w:rPr>
        <w:t>一次性支付</w:t>
      </w:r>
    </w:p>
    <w:p w14:paraId="74706159">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自甲方验收全部货物合格后</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60</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个工作 </w:t>
      </w:r>
      <w:r>
        <w:rPr>
          <w:rFonts w:hint="eastAsia" w:ascii="仿宋_GB2312" w:hAnsi="仿宋_GB2312" w:eastAsia="仿宋_GB2312" w:cs="仿宋_GB2312"/>
          <w:color w:val="auto"/>
          <w:sz w:val="28"/>
          <w:szCs w:val="28"/>
          <w:highlight w:val="none"/>
        </w:rPr>
        <w:t>日内支付</w:t>
      </w:r>
      <w:r>
        <w:rPr>
          <w:rFonts w:hint="eastAsia" w:ascii="仿宋_GB2312" w:hAnsi="仿宋_GB2312" w:eastAsia="仿宋_GB2312" w:cs="仿宋_GB2312"/>
          <w:color w:val="auto"/>
          <w:sz w:val="28"/>
          <w:szCs w:val="28"/>
          <w:highlight w:val="none"/>
          <w:lang w:eastAsia="zh-CN"/>
        </w:rPr>
        <w:t>随货同行发票</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rPr>
        <w:t>总价款。</w:t>
      </w:r>
    </w:p>
    <w:p w14:paraId="55EDE355">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560" w:lineRule="exact"/>
        <w:ind w:left="0" w:leftChars="0" w:firstLine="562" w:firstLineChars="200"/>
        <w:textAlignment w:val="auto"/>
      </w:pPr>
      <w:r>
        <w:rPr>
          <w:rFonts w:hint="eastAsia" w:ascii="仿宋_GB2312" w:hAnsi="仿宋_GB2312" w:eastAsia="仿宋_GB2312" w:cs="仿宋_GB2312"/>
          <w:b/>
          <w:bCs/>
          <w:color w:val="auto"/>
          <w:sz w:val="28"/>
          <w:szCs w:val="28"/>
          <w:highlight w:val="none"/>
          <w:u w:val="single"/>
          <w:lang w:val="en-US" w:eastAsia="zh-CN"/>
        </w:rPr>
        <w:t>备注：如乙方</w:t>
      </w:r>
      <w:r>
        <w:rPr>
          <w:rFonts w:hint="eastAsia" w:ascii="仿宋_GB2312" w:hAnsi="仿宋_GB2312" w:eastAsia="仿宋_GB2312" w:cs="仿宋_GB2312"/>
          <w:b/>
          <w:bCs/>
          <w:color w:val="auto"/>
          <w:sz w:val="28"/>
          <w:szCs w:val="28"/>
          <w:highlight w:val="none"/>
          <w:u w:val="single"/>
        </w:rPr>
        <w:t>不及时在平台回填</w:t>
      </w:r>
      <w:r>
        <w:rPr>
          <w:rFonts w:hint="eastAsia" w:ascii="仿宋_GB2312" w:hAnsi="仿宋_GB2312" w:eastAsia="仿宋_GB2312" w:cs="仿宋_GB2312"/>
          <w:b/>
          <w:bCs/>
          <w:color w:val="auto"/>
          <w:sz w:val="28"/>
          <w:szCs w:val="28"/>
          <w:highlight w:val="none"/>
          <w:u w:val="single"/>
          <w:lang w:val="en-US" w:eastAsia="zh-CN"/>
        </w:rPr>
        <w:t>订单和发票等相关</w:t>
      </w:r>
      <w:r>
        <w:rPr>
          <w:rFonts w:hint="eastAsia" w:ascii="仿宋_GB2312" w:hAnsi="仿宋_GB2312" w:eastAsia="仿宋_GB2312" w:cs="仿宋_GB2312"/>
          <w:b/>
          <w:bCs/>
          <w:color w:val="auto"/>
          <w:sz w:val="28"/>
          <w:szCs w:val="28"/>
          <w:highlight w:val="none"/>
          <w:u w:val="single"/>
        </w:rPr>
        <w:t>信息或填错后不及时修改</w:t>
      </w:r>
      <w:r>
        <w:rPr>
          <w:rFonts w:hint="eastAsia" w:ascii="仿宋_GB2312" w:hAnsi="仿宋_GB2312" w:eastAsia="仿宋_GB2312" w:cs="仿宋_GB2312"/>
          <w:b/>
          <w:bCs/>
          <w:color w:val="auto"/>
          <w:sz w:val="28"/>
          <w:szCs w:val="28"/>
          <w:highlight w:val="none"/>
          <w:u w:val="single"/>
          <w:lang w:eastAsia="zh-CN"/>
        </w:rPr>
        <w:t>，</w:t>
      </w:r>
      <w:r>
        <w:rPr>
          <w:rFonts w:hint="eastAsia" w:ascii="仿宋_GB2312" w:hAnsi="仿宋_GB2312" w:eastAsia="仿宋_GB2312" w:cs="仿宋_GB2312"/>
          <w:b/>
          <w:bCs/>
          <w:color w:val="auto"/>
          <w:sz w:val="28"/>
          <w:szCs w:val="28"/>
          <w:highlight w:val="none"/>
          <w:u w:val="single"/>
          <w:lang w:val="en-US" w:eastAsia="zh-CN"/>
        </w:rPr>
        <w:t>影响甲方平台结算率</w:t>
      </w:r>
      <w:r>
        <w:rPr>
          <w:rFonts w:hint="eastAsia" w:ascii="仿宋_GB2312" w:hAnsi="仿宋_GB2312" w:eastAsia="仿宋_GB2312" w:cs="仿宋_GB2312"/>
          <w:b/>
          <w:bCs/>
          <w:color w:val="auto"/>
          <w:sz w:val="28"/>
          <w:szCs w:val="28"/>
          <w:highlight w:val="none"/>
          <w:u w:val="single"/>
        </w:rPr>
        <w:t>，逾期1天推后一个月支付货款，逾期2天推后二个月支付货款，以此类推。</w:t>
      </w:r>
      <w:r>
        <w:rPr>
          <w:rFonts w:hint="eastAsia" w:ascii="仿宋_GB2312" w:hAnsi="仿宋_GB2312" w:eastAsia="仿宋_GB2312" w:cs="仿宋_GB2312"/>
          <w:color w:val="auto"/>
          <w:sz w:val="28"/>
          <w:szCs w:val="28"/>
          <w:highlight w:val="none"/>
          <w:u w:val="single"/>
        </w:rPr>
        <w:t xml:space="preserve">                                </w:t>
      </w:r>
    </w:p>
    <w:p w14:paraId="262D4C0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□分笔支付</w:t>
      </w:r>
    </w:p>
    <w:p w14:paraId="75B2407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第一笔款为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元，支付时间或条件：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0F67165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第二笔款为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元，支付时间或条件：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5064176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第三笔款为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元，支付时间或条件：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160E0EB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第四笔款为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元，支付时间或条件：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05F716A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p>
    <w:p w14:paraId="551CB67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每笔款项乙方应向甲方开具同等金额合法有效的发票，甲方收到乙方开具发票后</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个工作日内予以支付。除因不可抗力外，若乙方收到系统的结算通知起</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天内未向甲方出具等额的增值税发票的，视作乙方放弃此笔货款的确认并承诺不再就此笔款项向甲方要求支付，由此产生的全部责任由乙方自行承担。</w:t>
      </w:r>
    </w:p>
    <w:p w14:paraId="7DD05A7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3.乙方指定的收款账户：</w:t>
      </w:r>
    </w:p>
    <w:p w14:paraId="1CCD7C4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户名：</w:t>
      </w:r>
    </w:p>
    <w:p w14:paraId="2874851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银行账号：</w:t>
      </w:r>
    </w:p>
    <w:p w14:paraId="4C8AB53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开户行：</w:t>
      </w:r>
    </w:p>
    <w:p w14:paraId="019DA6D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4.合同双方认为应补充的内容（不违反</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文件及相关法律法规）：</w:t>
      </w:r>
    </w:p>
    <w:p w14:paraId="24C2821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0" w:firstLineChars="0"/>
        <w:textAlignment w:val="auto"/>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u w:val="single"/>
        </w:rPr>
        <w:t xml:space="preserve">                                                                                                              </w:t>
      </w:r>
    </w:p>
    <w:p w14:paraId="667F061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5.乙方需</w:t>
      </w:r>
      <w:r>
        <w:rPr>
          <w:rFonts w:hint="eastAsia" w:ascii="仿宋_GB2312" w:hAnsi="仿宋_GB2312" w:eastAsia="仿宋_GB2312" w:cs="仿宋_GB2312"/>
          <w:color w:val="auto"/>
          <w:sz w:val="28"/>
          <w:szCs w:val="28"/>
          <w:highlight w:val="none"/>
        </w:rPr>
        <w:t>无条件配合医院SPD物流精细化管理服务，同时承诺支付</w:t>
      </w:r>
      <w:r>
        <w:rPr>
          <w:rFonts w:hint="eastAsia" w:ascii="仿宋_GB2312" w:hAnsi="仿宋_GB2312" w:eastAsia="仿宋_GB2312" w:cs="仿宋_GB2312"/>
          <w:color w:val="auto"/>
          <w:sz w:val="28"/>
          <w:szCs w:val="28"/>
          <w:highlight w:val="none"/>
          <w:lang w:val="en-US" w:eastAsia="zh-CN"/>
        </w:rPr>
        <w:t>每月</w:t>
      </w:r>
      <w:r>
        <w:rPr>
          <w:rFonts w:hint="eastAsia" w:ascii="仿宋_GB2312" w:hAnsi="仿宋_GB2312" w:eastAsia="仿宋_GB2312" w:cs="仿宋_GB2312"/>
          <w:color w:val="auto"/>
          <w:sz w:val="28"/>
          <w:szCs w:val="28"/>
          <w:highlight w:val="none"/>
        </w:rPr>
        <w:t>管理服务费(不超当月供货总额</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%)，具体与医院签合同时按合同条款执行</w:t>
      </w:r>
      <w:r>
        <w:rPr>
          <w:rFonts w:hint="eastAsia" w:ascii="仿宋_GB2312" w:hAnsi="仿宋_GB2312" w:eastAsia="仿宋_GB2312" w:cs="仿宋_GB2312"/>
          <w:color w:val="auto"/>
          <w:sz w:val="28"/>
          <w:szCs w:val="28"/>
          <w:highlight w:val="none"/>
          <w:lang w:eastAsia="zh-CN"/>
        </w:rPr>
        <w:t>。</w:t>
      </w:r>
    </w:p>
    <w:p w14:paraId="652DF07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color w:val="auto"/>
          <w:sz w:val="28"/>
          <w:szCs w:val="28"/>
          <w:highlight w:val="none"/>
        </w:rPr>
      </w:pPr>
      <w:r>
        <w:rPr>
          <w:rFonts w:hint="eastAsia" w:ascii="仿宋_GB2312" w:hAnsi="仿宋_GB2312" w:eastAsia="仿宋_GB2312" w:cs="仿宋_GB2312"/>
          <w:b/>
          <w:color w:val="auto"/>
          <w:sz w:val="28"/>
          <w:szCs w:val="28"/>
          <w:highlight w:val="none"/>
        </w:rPr>
        <w:t>第三条 乙方条件</w:t>
      </w:r>
    </w:p>
    <w:p w14:paraId="4D076F0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乙方应是所提供产品的供应商，应是经工商、税务部门</w:t>
      </w:r>
      <w:r>
        <w:rPr>
          <w:rFonts w:hint="eastAsia" w:ascii="仿宋_GB2312" w:hAnsi="仿宋_GB2312" w:eastAsia="仿宋_GB2312" w:cs="仿宋_GB2312"/>
          <w:bCs/>
          <w:color w:val="auto"/>
          <w:sz w:val="28"/>
          <w:szCs w:val="28"/>
          <w:highlight w:val="none"/>
          <w:lang w:eastAsia="zh-CN"/>
        </w:rPr>
        <w:t>、市场监督管理部门等相关行政部门</w:t>
      </w:r>
      <w:r>
        <w:rPr>
          <w:rFonts w:hint="eastAsia" w:ascii="仿宋_GB2312" w:hAnsi="仿宋_GB2312" w:eastAsia="仿宋_GB2312" w:cs="仿宋_GB2312"/>
          <w:bCs/>
          <w:color w:val="auto"/>
          <w:sz w:val="28"/>
          <w:szCs w:val="28"/>
          <w:highlight w:val="none"/>
        </w:rPr>
        <w:t>正式批准，具有医疗经营许可资质（资质包括但不限于医疗器械生产许可证、医疗器械经营许可证、医疗器械注册证）的医疗器械公司。</w:t>
      </w:r>
    </w:p>
    <w:p w14:paraId="670BA46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1"/>
        <w:rPr>
          <w:rFonts w:ascii="仿宋_GB2312" w:hAnsi="仿宋_GB2312" w:eastAsia="仿宋_GB2312" w:cs="仿宋_GB2312"/>
          <w:b/>
          <w:color w:val="auto"/>
          <w:sz w:val="28"/>
          <w:szCs w:val="28"/>
          <w:highlight w:val="none"/>
        </w:rPr>
      </w:pPr>
      <w:bookmarkStart w:id="115" w:name="_Toc13895"/>
      <w:r>
        <w:rPr>
          <w:rFonts w:hint="eastAsia" w:ascii="仿宋_GB2312" w:hAnsi="仿宋_GB2312" w:eastAsia="仿宋_GB2312" w:cs="仿宋_GB2312"/>
          <w:b/>
          <w:color w:val="auto"/>
          <w:sz w:val="28"/>
          <w:szCs w:val="28"/>
          <w:highlight w:val="none"/>
        </w:rPr>
        <w:t xml:space="preserve">第四条 </w:t>
      </w:r>
      <w:r>
        <w:rPr>
          <w:rFonts w:ascii="仿宋_GB2312" w:hAnsi="仿宋_GB2312" w:eastAsia="仿宋_GB2312" w:cs="仿宋_GB2312"/>
          <w:b/>
          <w:color w:val="auto"/>
          <w:sz w:val="28"/>
          <w:szCs w:val="28"/>
          <w:highlight w:val="none"/>
        </w:rPr>
        <w:t>质量标准</w:t>
      </w:r>
      <w:bookmarkEnd w:id="115"/>
    </w:p>
    <w:p w14:paraId="4BA32F3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1.乙方在本合同项下向甲方提供的货物质量和技术规格应符合以下标准：</w:t>
      </w:r>
    </w:p>
    <w:p w14:paraId="6637486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（1）项目编号为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的通知书、</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文件、答疑及补充通知；</w:t>
      </w:r>
    </w:p>
    <w:p w14:paraId="1EC5A62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（2）乙方的</w:t>
      </w:r>
      <w:r>
        <w:rPr>
          <w:rFonts w:hint="eastAsia" w:ascii="仿宋_GB2312" w:hAnsi="仿宋_GB2312" w:eastAsia="仿宋_GB2312" w:cs="仿宋_GB2312"/>
          <w:color w:val="auto"/>
          <w:sz w:val="28"/>
          <w:szCs w:val="28"/>
          <w:highlight w:val="none"/>
          <w:lang w:eastAsia="zh-CN"/>
        </w:rPr>
        <w:t>响应</w:t>
      </w:r>
      <w:r>
        <w:rPr>
          <w:rFonts w:hint="eastAsia" w:ascii="仿宋_GB2312" w:hAnsi="仿宋_GB2312" w:eastAsia="仿宋_GB2312" w:cs="仿宋_GB2312"/>
          <w:color w:val="auto"/>
          <w:sz w:val="28"/>
          <w:szCs w:val="28"/>
          <w:highlight w:val="none"/>
        </w:rPr>
        <w:t>文件；</w:t>
      </w:r>
    </w:p>
    <w:p w14:paraId="358CA4E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u w:val="single"/>
        </w:rPr>
      </w:pPr>
      <w:r>
        <w:rPr>
          <w:rFonts w:hint="eastAsia" w:ascii="仿宋_GB2312" w:hAnsi="仿宋_GB2312" w:eastAsia="仿宋_GB2312" w:cs="仿宋_GB2312"/>
          <w:color w:val="auto"/>
          <w:sz w:val="28"/>
          <w:szCs w:val="28"/>
          <w:highlight w:val="none"/>
        </w:rPr>
        <w:t>（3）本合同附件</w:t>
      </w:r>
      <w:r>
        <w:rPr>
          <w:rFonts w:hint="eastAsia" w:ascii="仿宋_GB2312" w:hAnsi="仿宋_GB2312" w:eastAsia="仿宋_GB2312" w:cs="仿宋_GB2312"/>
          <w:bCs/>
          <w:color w:val="auto"/>
          <w:sz w:val="28"/>
          <w:szCs w:val="28"/>
          <w:highlight w:val="none"/>
        </w:rPr>
        <w:t>的约定；</w:t>
      </w:r>
    </w:p>
    <w:p w14:paraId="6A7FEFD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（4）国家关于该类货物的设计和制造生产标准；</w:t>
      </w:r>
    </w:p>
    <w:p w14:paraId="5ECFCE5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（5）国家关于该类货物质量的行业标准；</w:t>
      </w:r>
    </w:p>
    <w:p w14:paraId="16E0ACE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6</w:t>
      </w:r>
      <w:r>
        <w:rPr>
          <w:rFonts w:hint="eastAsia" w:ascii="仿宋_GB2312" w:hAnsi="仿宋_GB2312" w:eastAsia="仿宋_GB2312" w:cs="仿宋_GB2312"/>
          <w:bCs/>
          <w:color w:val="auto"/>
          <w:sz w:val="28"/>
          <w:szCs w:val="28"/>
          <w:highlight w:val="none"/>
        </w:rPr>
        <w:t>）所提供的产品经食品药品监督管理局严格审核，并取得医疗器械注册证或备案证，获准进入市场，货质来源符合国家规定，并提供产品相关的资格证明文件。</w:t>
      </w:r>
    </w:p>
    <w:p w14:paraId="3BC17F4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default" w:ascii="仿宋_GB2312" w:hAnsi="仿宋_GB2312" w:eastAsia="仿宋_GB2312" w:cs="仿宋_GB2312"/>
          <w:bCs/>
          <w:color w:val="auto"/>
          <w:sz w:val="28"/>
          <w:szCs w:val="28"/>
          <w:highlight w:val="none"/>
          <w:lang w:val="en-US"/>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7</w:t>
      </w:r>
      <w:r>
        <w:rPr>
          <w:rFonts w:hint="eastAsia" w:ascii="仿宋_GB2312" w:hAnsi="仿宋_GB2312" w:eastAsia="仿宋_GB2312" w:cs="仿宋_GB2312"/>
          <w:bCs/>
          <w:color w:val="auto"/>
          <w:sz w:val="28"/>
          <w:szCs w:val="28"/>
          <w:highlight w:val="none"/>
        </w:rPr>
        <w:t>）其他</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u w:val="single"/>
          <w:lang w:val="en-US" w:eastAsia="zh-CN"/>
        </w:rPr>
        <w:t xml:space="preserve">                                             </w:t>
      </w:r>
    </w:p>
    <w:p w14:paraId="1649B646">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2.乙方提供的产品必须与产品注册证的名称、规格型号一致，否则一切经济损失及其他后果均由乙方承担。</w:t>
      </w:r>
    </w:p>
    <w:p w14:paraId="24B7763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3</w:t>
      </w:r>
      <w:r>
        <w:rPr>
          <w:rFonts w:hint="eastAsia" w:ascii="仿宋_GB2312" w:hAnsi="仿宋_GB2312" w:eastAsia="仿宋_GB2312" w:cs="仿宋_GB2312"/>
          <w:bCs/>
          <w:color w:val="auto"/>
          <w:sz w:val="28"/>
          <w:szCs w:val="28"/>
          <w:highlight w:val="none"/>
        </w:rPr>
        <w:t>.乙方应保证货物是全新、未使用过的原装合格正品（包括零部件）。</w:t>
      </w:r>
      <w:r>
        <w:rPr>
          <w:rFonts w:hint="eastAsia" w:ascii="仿宋_GB2312" w:hAnsi="仿宋_GB2312" w:eastAsia="仿宋_GB2312" w:cs="仿宋_GB2312"/>
          <w:color w:val="auto"/>
          <w:sz w:val="28"/>
          <w:szCs w:val="28"/>
          <w:highlight w:val="none"/>
        </w:rPr>
        <w:t>如货物安装或配置了软件的，乙方保证相关软件均为正版软件。</w:t>
      </w:r>
      <w:r>
        <w:rPr>
          <w:rFonts w:hint="eastAsia" w:ascii="仿宋_GB2312" w:hAnsi="仿宋_GB2312" w:eastAsia="仿宋_GB2312" w:cs="仿宋_GB2312"/>
          <w:bCs/>
          <w:color w:val="auto"/>
          <w:sz w:val="28"/>
          <w:szCs w:val="28"/>
          <w:highlight w:val="none"/>
        </w:rPr>
        <w:t>乙方对本合同货物提供质量保证期</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 xml:space="preserve"> 2</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年（自验收合格之日起算</w:t>
      </w:r>
      <w:r>
        <w:rPr>
          <w:rFonts w:hint="eastAsia" w:ascii="仿宋_GB2312" w:hAnsi="仿宋_GB2312" w:eastAsia="仿宋_GB2312" w:cs="仿宋_GB2312"/>
          <w:bCs/>
          <w:color w:val="auto"/>
          <w:sz w:val="28"/>
          <w:szCs w:val="28"/>
          <w:highlight w:val="none"/>
          <w:lang w:eastAsia="zh-CN"/>
        </w:rPr>
        <w:t>，乙方按相关文件要求及产品性质性能自行填写</w:t>
      </w:r>
      <w:r>
        <w:rPr>
          <w:rFonts w:hint="eastAsia" w:ascii="仿宋_GB2312" w:hAnsi="仿宋_GB2312" w:eastAsia="仿宋_GB2312" w:cs="仿宋_GB2312"/>
          <w:bCs/>
          <w:color w:val="auto"/>
          <w:sz w:val="28"/>
          <w:szCs w:val="28"/>
          <w:highlight w:val="none"/>
        </w:rPr>
        <w:t>）。</w:t>
      </w:r>
    </w:p>
    <w:p w14:paraId="68294846">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u w:val="single"/>
        </w:rPr>
      </w:pPr>
      <w:r>
        <w:rPr>
          <w:rFonts w:hint="eastAsia" w:ascii="仿宋_GB2312" w:hAnsi="仿宋_GB2312" w:eastAsia="仿宋_GB2312" w:cs="仿宋_GB2312"/>
          <w:bCs/>
          <w:color w:val="auto"/>
          <w:sz w:val="28"/>
          <w:szCs w:val="28"/>
          <w:highlight w:val="none"/>
          <w:lang w:val="en-US" w:eastAsia="zh-CN"/>
        </w:rPr>
        <w:t>4</w:t>
      </w:r>
      <w:r>
        <w:rPr>
          <w:rFonts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rPr>
        <w:t>乙方所交付的货物应具有合法的质量合格凭证和文件，并随货物一同交付。</w:t>
      </w:r>
    </w:p>
    <w:p w14:paraId="6746EA2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lang w:val="en-US" w:eastAsia="zh-CN"/>
        </w:rPr>
        <w:t>5</w:t>
      </w:r>
      <w:r>
        <w:rPr>
          <w:rFonts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rPr>
        <w:t>除非甲方对有效期另有要求，产品剩余的有效期不得少于该产品整个效期的三分之二，否则视为不合格产品，甲方有权予以拒收。</w:t>
      </w:r>
    </w:p>
    <w:p w14:paraId="7C5EAD5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第五条  包装</w:t>
      </w:r>
    </w:p>
    <w:p w14:paraId="3E3E9A0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1.乙方提供货物运输至本合同指定的交货地点所需要的包装，包装费用由乙方承担，包装物不返还，归甲方所有，包装方式：</w:t>
      </w:r>
    </w:p>
    <w:p w14:paraId="1FBC582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u w:val="single"/>
        </w:rPr>
      </w:pPr>
      <w:r>
        <w:rPr>
          <w:rFonts w:hint="eastAsia" w:ascii="仿宋_GB2312" w:hAnsi="仿宋_GB2312" w:eastAsia="仿宋_GB2312" w:cs="仿宋_GB2312"/>
          <w:color w:val="auto"/>
          <w:sz w:val="28"/>
          <w:szCs w:val="28"/>
          <w:highlight w:val="none"/>
        </w:rPr>
        <w:t>（1）通用方式：（货物/设备/器材等）</w:t>
      </w:r>
      <w:r>
        <w:rPr>
          <w:rFonts w:hint="eastAsia" w:ascii="仿宋_GB2312" w:hAnsi="仿宋_GB2312" w:eastAsia="仿宋_GB2312" w:cs="仿宋_GB2312"/>
          <w:bCs/>
          <w:color w:val="auto"/>
          <w:sz w:val="28"/>
          <w:szCs w:val="28"/>
          <w:highlight w:val="none"/>
        </w:rPr>
        <w:t>应按照同类货物通用的方式装箱或包装，如果没有此种通用方式，则按照足以保全和保护货物的方式装箱或包装（保全和保护具体是指：保护货物</w:t>
      </w:r>
      <w:r>
        <w:rPr>
          <w:rFonts w:hint="eastAsia" w:ascii="仿宋_GB2312" w:hAnsi="仿宋_GB2312" w:eastAsia="仿宋_GB2312" w:cs="仿宋_GB2312"/>
          <w:bCs/>
          <w:color w:val="auto"/>
          <w:sz w:val="28"/>
          <w:szCs w:val="28"/>
          <w:highlight w:val="none"/>
          <w:lang w:eastAsia="zh-CN"/>
        </w:rPr>
        <w:t>冷链物流要求、</w:t>
      </w:r>
      <w:r>
        <w:rPr>
          <w:rFonts w:hint="eastAsia" w:ascii="仿宋_GB2312" w:hAnsi="仿宋_GB2312" w:eastAsia="仿宋_GB2312" w:cs="仿宋_GB2312"/>
          <w:bCs/>
          <w:color w:val="auto"/>
          <w:sz w:val="28"/>
          <w:szCs w:val="28"/>
          <w:highlight w:val="none"/>
        </w:rPr>
        <w:t>防潮、防晒、防锈、防腐蚀、防震动，保护货物能经受多次搬运、装卸、运输及保护货物免受其他损害）；</w:t>
      </w:r>
    </w:p>
    <w:p w14:paraId="200DD95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color w:val="auto"/>
          <w:sz w:val="28"/>
          <w:szCs w:val="28"/>
          <w:highlight w:val="none"/>
        </w:rPr>
        <w:t>（2）特别约定：</w:t>
      </w:r>
      <w:r>
        <w:rPr>
          <w:rFonts w:hint="eastAsia" w:ascii="仿宋_GB2312" w:hAnsi="仿宋_GB2312" w:eastAsia="仿宋_GB2312" w:cs="仿宋_GB2312"/>
          <w:bCs/>
          <w:color w:val="auto"/>
          <w:sz w:val="28"/>
          <w:szCs w:val="28"/>
          <w:highlight w:val="none"/>
        </w:rPr>
        <w:t>产品包装上(包括大包装、小包装等)需附有以下所列各项国家规定的中文标识：产品名称、规格、型号；生产企业名称、注册地址、生产地址、联系方式；产品注册证号、生产许可证号；产品标准编号；产品生产日期或批(编)号；限期使用的产品应标明有效期限；依据产品特点应标注的图形、符号以及其它相关内容；电源连接条件、输入功率。</w:t>
      </w:r>
    </w:p>
    <w:p w14:paraId="64EBF06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第六条 交付</w:t>
      </w:r>
    </w:p>
    <w:p w14:paraId="0A4F7DD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1.乙方配送的产品必须是产品，严禁配送目录外规格型号产品</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除科室额外申请的规格型号除外</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rPr>
        <w:t>，凡私自配送或配送目录以外的产品，甲方均不予认可，责任由乙方自行承担。</w:t>
      </w:r>
    </w:p>
    <w:p w14:paraId="1C9F9A1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bCs/>
          <w:color w:val="auto"/>
          <w:sz w:val="28"/>
          <w:szCs w:val="28"/>
          <w:highlight w:val="none"/>
          <w:lang w:eastAsia="zh-CN"/>
        </w:rPr>
      </w:pPr>
      <w:r>
        <w:rPr>
          <w:rFonts w:hint="eastAsia" w:ascii="仿宋_GB2312" w:hAnsi="仿宋_GB2312" w:eastAsia="仿宋_GB2312" w:cs="仿宋_GB2312"/>
          <w:bCs/>
          <w:color w:val="auto"/>
          <w:sz w:val="28"/>
          <w:szCs w:val="28"/>
          <w:highlight w:val="none"/>
        </w:rPr>
        <w:t>2.乙方必须从甲方采购人员处接受采购订单并根据订单定制产品，严禁直接接受甲方使用科室订单</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否则</w:t>
      </w:r>
      <w:r>
        <w:rPr>
          <w:rFonts w:hint="eastAsia" w:ascii="仿宋_GB2312" w:hAnsi="仿宋_GB2312" w:eastAsia="仿宋_GB2312" w:cs="仿宋_GB2312"/>
          <w:bCs/>
          <w:color w:val="auto"/>
          <w:sz w:val="28"/>
          <w:szCs w:val="28"/>
          <w:highlight w:val="none"/>
        </w:rPr>
        <w:t>甲方均不予认可，责任由乙方自行承担</w:t>
      </w:r>
      <w:r>
        <w:rPr>
          <w:rFonts w:hint="eastAsia" w:ascii="仿宋_GB2312" w:hAnsi="仿宋_GB2312" w:eastAsia="仿宋_GB2312" w:cs="仿宋_GB2312"/>
          <w:bCs/>
          <w:color w:val="auto"/>
          <w:sz w:val="28"/>
          <w:szCs w:val="28"/>
          <w:highlight w:val="none"/>
          <w:lang w:eastAsia="zh-CN"/>
        </w:rPr>
        <w:t>。</w:t>
      </w:r>
    </w:p>
    <w:p w14:paraId="31B2DF7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3</w:t>
      </w:r>
      <w:r>
        <w:rPr>
          <w:rFonts w:hint="eastAsia" w:ascii="仿宋_GB2312" w:hAnsi="仿宋_GB2312" w:eastAsia="仿宋_GB2312" w:cs="仿宋_GB2312"/>
          <w:bCs/>
          <w:color w:val="auto"/>
          <w:sz w:val="28"/>
          <w:szCs w:val="28"/>
          <w:highlight w:val="none"/>
        </w:rPr>
        <w:t>.甲方采购人员及联系方式：</w:t>
      </w:r>
    </w:p>
    <w:p w14:paraId="676A4D4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default"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rPr>
        <w:t>联系人：</w:t>
      </w:r>
    </w:p>
    <w:p w14:paraId="77B7A30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default"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rPr>
        <w:t>联系电话：</w:t>
      </w:r>
    </w:p>
    <w:p w14:paraId="4E1BA23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乙方配送的产品应提前至少</w:t>
      </w:r>
      <w:r>
        <w:rPr>
          <w:rFonts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 xml:space="preserve">24 </w:t>
      </w:r>
      <w:r>
        <w:rPr>
          <w:rFonts w:hint="eastAsia" w:ascii="仿宋_GB2312" w:hAnsi="仿宋_GB2312" w:eastAsia="仿宋_GB2312" w:cs="仿宋_GB2312"/>
          <w:bCs/>
          <w:color w:val="auto"/>
          <w:sz w:val="28"/>
          <w:szCs w:val="28"/>
          <w:highlight w:val="none"/>
          <w:u w:val="none"/>
        </w:rPr>
        <w:t>小时</w:t>
      </w:r>
      <w:r>
        <w:rPr>
          <w:rFonts w:hint="eastAsia" w:ascii="仿宋_GB2312" w:hAnsi="仿宋_GB2312" w:eastAsia="仿宋_GB2312" w:cs="仿宋_GB2312"/>
          <w:bCs/>
          <w:color w:val="auto"/>
          <w:sz w:val="28"/>
          <w:szCs w:val="28"/>
          <w:highlight w:val="none"/>
        </w:rPr>
        <w:t>通知甲方采购人员，按照甲方要求确定配送时间。</w:t>
      </w:r>
    </w:p>
    <w:p w14:paraId="6964A8D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4.</w:t>
      </w:r>
      <w:r>
        <w:rPr>
          <w:rFonts w:hint="eastAsia" w:ascii="仿宋_GB2312" w:hAnsi="仿宋_GB2312" w:eastAsia="仿宋_GB2312" w:cs="仿宋_GB2312"/>
          <w:bCs/>
          <w:color w:val="auto"/>
          <w:sz w:val="28"/>
          <w:szCs w:val="28"/>
          <w:highlight w:val="none"/>
        </w:rPr>
        <w:t>交货时间：产品必须于收到甲方采购订单时起48小时内送达；临床急救应急产品按甲方的要求送达（最迟应于4小时内配送完成）。</w:t>
      </w:r>
    </w:p>
    <w:p w14:paraId="412576B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u w:val="single"/>
        </w:rPr>
      </w:pPr>
      <w:r>
        <w:rPr>
          <w:rFonts w:ascii="仿宋_GB2312" w:hAnsi="仿宋_GB2312" w:eastAsia="仿宋_GB2312" w:cs="仿宋_GB2312"/>
          <w:bCs/>
          <w:color w:val="auto"/>
          <w:sz w:val="28"/>
          <w:szCs w:val="28"/>
          <w:highlight w:val="none"/>
        </w:rPr>
        <w:t>5.</w:t>
      </w:r>
      <w:r>
        <w:rPr>
          <w:rFonts w:hint="eastAsia" w:ascii="仿宋_GB2312" w:hAnsi="仿宋_GB2312" w:eastAsia="仿宋_GB2312" w:cs="仿宋_GB2312"/>
          <w:bCs/>
          <w:color w:val="auto"/>
          <w:sz w:val="28"/>
          <w:szCs w:val="28"/>
          <w:highlight w:val="none"/>
        </w:rPr>
        <w:t>交货地点：</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福田区第二人民医院耗材仓库</w:t>
      </w:r>
      <w:r>
        <w:rPr>
          <w:rFonts w:hint="eastAsia" w:ascii="仿宋_GB2312" w:hAnsi="仿宋_GB2312" w:eastAsia="仿宋_GB2312" w:cs="仿宋_GB2312"/>
          <w:color w:val="auto"/>
          <w:sz w:val="28"/>
          <w:szCs w:val="28"/>
          <w:highlight w:val="none"/>
          <w:u w:val="single"/>
        </w:rPr>
        <w:t xml:space="preserve">  </w:t>
      </w:r>
    </w:p>
    <w:p w14:paraId="4D39768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（在乙方将（货物/设备/器材等）送至该交货地点前，甲方有权单方变更该交货地点，但应提前</w:t>
      </w:r>
      <w:r>
        <w:rPr>
          <w:rFonts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1</w:t>
      </w:r>
      <w:r>
        <w:rPr>
          <w:rFonts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日通知乙方，乙方应无条件服从，因此产生的费用由乙方承担。）</w:t>
      </w:r>
    </w:p>
    <w:p w14:paraId="5EE373B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6</w:t>
      </w:r>
      <w:r>
        <w:rPr>
          <w:rFonts w:hint="eastAsia" w:ascii="仿宋_GB2312" w:hAnsi="仿宋_GB2312" w:eastAsia="仿宋_GB2312" w:cs="仿宋_GB2312"/>
          <w:color w:val="auto"/>
          <w:sz w:val="28"/>
          <w:szCs w:val="28"/>
          <w:highlight w:val="none"/>
        </w:rPr>
        <w:t>.运输方式：□甲乙双方共同选定</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64AB74D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sym w:font="Wingdings 2" w:char="0052"/>
      </w:r>
      <w:r>
        <w:rPr>
          <w:rFonts w:hint="eastAsia" w:ascii="仿宋_GB2312" w:hAnsi="仿宋_GB2312" w:eastAsia="仿宋_GB2312" w:cs="仿宋_GB2312"/>
          <w:color w:val="auto"/>
          <w:sz w:val="28"/>
          <w:szCs w:val="28"/>
          <w:highlight w:val="none"/>
        </w:rPr>
        <w:t>由乙方自行选择</w:t>
      </w:r>
      <w:r>
        <w:rPr>
          <w:rFonts w:hint="eastAsia" w:ascii="仿宋_GB2312" w:hAnsi="仿宋_GB2312" w:eastAsia="仿宋_GB2312" w:cs="仿宋_GB2312"/>
          <w:color w:val="auto"/>
          <w:sz w:val="28"/>
          <w:szCs w:val="28"/>
          <w:highlight w:val="none"/>
          <w:lang w:eastAsia="zh-CN"/>
        </w:rPr>
        <w:t>，但必须符合产品运输条件</w:t>
      </w:r>
      <w:r>
        <w:rPr>
          <w:rFonts w:hint="eastAsia" w:ascii="仿宋_GB2312" w:hAnsi="仿宋_GB2312" w:eastAsia="仿宋_GB2312" w:cs="仿宋_GB2312"/>
          <w:color w:val="auto"/>
          <w:sz w:val="28"/>
          <w:szCs w:val="28"/>
          <w:highlight w:val="none"/>
        </w:rPr>
        <w:t>。</w:t>
      </w:r>
    </w:p>
    <w:p w14:paraId="0FA9C1F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7</w:t>
      </w:r>
      <w:r>
        <w:rPr>
          <w:rFonts w:hint="eastAsia" w:ascii="仿宋_GB2312" w:hAnsi="仿宋_GB2312" w:eastAsia="仿宋_GB2312" w:cs="仿宋_GB2312"/>
          <w:color w:val="auto"/>
          <w:sz w:val="28"/>
          <w:szCs w:val="28"/>
          <w:highlight w:val="none"/>
        </w:rPr>
        <w:t>.乙方应将所提供货物的使用说明书、原厂保修卡、质量合格证明文件、产品进出口检疫书、原产地证明书等附随资料和附随配件、工具等交付给甲方；乙方不能完整交付货物及本款规定的单证和工具的，视为未按合同约定交货，乙方负责补齐，因此导致逾期交付的，由乙方承担相关的违约责任。</w:t>
      </w:r>
    </w:p>
    <w:p w14:paraId="1176B6D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8.</w:t>
      </w:r>
      <w:r>
        <w:rPr>
          <w:rFonts w:hint="eastAsia" w:ascii="仿宋_GB2312" w:hAnsi="仿宋_GB2312" w:eastAsia="仿宋_GB2312" w:cs="仿宋_GB2312"/>
          <w:bCs/>
          <w:color w:val="auto"/>
          <w:sz w:val="28"/>
          <w:szCs w:val="28"/>
          <w:highlight w:val="none"/>
        </w:rPr>
        <w:t>急救应急产品经甲方采购部门负责人同意可直接配送至甲方</w:t>
      </w:r>
      <w:r>
        <w:rPr>
          <w:rFonts w:hint="eastAsia" w:ascii="仿宋_GB2312" w:hAnsi="仿宋_GB2312" w:eastAsia="仿宋_GB2312" w:cs="仿宋_GB2312"/>
          <w:bCs/>
          <w:color w:val="auto"/>
          <w:sz w:val="28"/>
          <w:szCs w:val="28"/>
          <w:highlight w:val="none"/>
          <w:lang w:eastAsia="zh-CN"/>
        </w:rPr>
        <w:t>指定</w:t>
      </w:r>
      <w:r>
        <w:rPr>
          <w:rFonts w:hint="eastAsia" w:ascii="仿宋_GB2312" w:hAnsi="仿宋_GB2312" w:eastAsia="仿宋_GB2312" w:cs="仿宋_GB2312"/>
          <w:bCs/>
          <w:color w:val="auto"/>
          <w:sz w:val="28"/>
          <w:szCs w:val="28"/>
          <w:highlight w:val="none"/>
        </w:rPr>
        <w:t>使用科室，急救应急产品配送至甲方</w:t>
      </w:r>
      <w:r>
        <w:rPr>
          <w:rFonts w:hint="eastAsia" w:ascii="仿宋_GB2312" w:hAnsi="仿宋_GB2312" w:eastAsia="仿宋_GB2312" w:cs="仿宋_GB2312"/>
          <w:bCs/>
          <w:color w:val="auto"/>
          <w:sz w:val="28"/>
          <w:szCs w:val="28"/>
          <w:highlight w:val="none"/>
          <w:lang w:eastAsia="zh-CN"/>
        </w:rPr>
        <w:t>指定</w:t>
      </w:r>
      <w:r>
        <w:rPr>
          <w:rFonts w:hint="eastAsia" w:ascii="仿宋_GB2312" w:hAnsi="仿宋_GB2312" w:eastAsia="仿宋_GB2312" w:cs="仿宋_GB2312"/>
          <w:bCs/>
          <w:color w:val="auto"/>
          <w:sz w:val="28"/>
          <w:szCs w:val="28"/>
          <w:highlight w:val="none"/>
        </w:rPr>
        <w:t>使用科室之日起的十五个工作日内必须补办相关手续，逾期将视为乙方自行放弃此批产品的确认权，甲方不予认可，由此产生的所有责任由乙方自行承担。</w:t>
      </w:r>
    </w:p>
    <w:p w14:paraId="59FE8C2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9</w:t>
      </w:r>
      <w:r>
        <w:rPr>
          <w:rFonts w:hint="eastAsia" w:ascii="仿宋_GB2312" w:hAnsi="仿宋_GB2312" w:eastAsia="仿宋_GB2312" w:cs="仿宋_GB2312"/>
          <w:color w:val="auto"/>
          <w:sz w:val="28"/>
          <w:szCs w:val="28"/>
          <w:highlight w:val="none"/>
        </w:rPr>
        <w:t>.甲方受领乙方交付的货物后，货物的所有权转移至甲方；如须办理所有权转移登记才发生所有权转移的，则自所有权转移登记完成之日起转移至甲方。</w:t>
      </w:r>
    </w:p>
    <w:p w14:paraId="303F494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hint="eastAsia" w:ascii="仿宋_GB2312" w:hAnsi="仿宋_GB2312" w:eastAsia="仿宋_GB2312" w:cs="仿宋_GB2312"/>
          <w:b/>
          <w:color w:val="auto"/>
          <w:sz w:val="28"/>
          <w:szCs w:val="28"/>
          <w:highlight w:val="none"/>
          <w:lang w:eastAsia="zh-CN"/>
        </w:rPr>
      </w:pPr>
      <w:r>
        <w:rPr>
          <w:rFonts w:hint="eastAsia" w:ascii="仿宋_GB2312" w:hAnsi="仿宋_GB2312" w:eastAsia="仿宋_GB2312" w:cs="仿宋_GB2312"/>
          <w:b/>
          <w:color w:val="auto"/>
          <w:sz w:val="28"/>
          <w:szCs w:val="28"/>
          <w:highlight w:val="none"/>
        </w:rPr>
        <w:t>第七条  验收</w:t>
      </w:r>
      <w:r>
        <w:rPr>
          <w:rFonts w:hint="eastAsia" w:ascii="仿宋_GB2312" w:hAnsi="仿宋_GB2312" w:eastAsia="仿宋_GB2312" w:cs="仿宋_GB2312"/>
          <w:b/>
          <w:color w:val="auto"/>
          <w:sz w:val="28"/>
          <w:szCs w:val="28"/>
          <w:highlight w:val="none"/>
          <w:lang w:eastAsia="zh-CN"/>
        </w:rPr>
        <w:t>和退换货</w:t>
      </w:r>
    </w:p>
    <w:p w14:paraId="73BCB36B">
      <w:pPr>
        <w:keepNext w:val="0"/>
        <w:keepLines w:val="0"/>
        <w:pageBreakBefore w:val="0"/>
        <w:widowControl w:val="0"/>
        <w:kinsoku/>
        <w:wordWrap w:val="0"/>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1.乙方配送的产品必须送至甲方库房验货并办理相关手续后使用。当天，由甲方组织验收，将货物的名称、单位、数量、型号、批次等记载在验收记录</w:t>
      </w:r>
      <w:r>
        <w:rPr>
          <w:rFonts w:hint="eastAsia" w:ascii="仿宋_GB2312" w:hAnsi="仿宋_GB2312" w:eastAsia="仿宋_GB2312" w:cs="仿宋_GB2312"/>
          <w:bCs/>
          <w:color w:val="auto"/>
          <w:sz w:val="28"/>
          <w:szCs w:val="28"/>
          <w:highlight w:val="none"/>
          <w:lang w:eastAsia="zh-CN"/>
        </w:rPr>
        <w:t>单</w:t>
      </w:r>
      <w:r>
        <w:rPr>
          <w:rFonts w:hint="eastAsia" w:ascii="仿宋_GB2312" w:hAnsi="仿宋_GB2312" w:eastAsia="仿宋_GB2312" w:cs="仿宋_GB2312"/>
          <w:bCs/>
          <w:color w:val="auto"/>
          <w:sz w:val="28"/>
          <w:szCs w:val="28"/>
          <w:highlight w:val="none"/>
        </w:rPr>
        <w:t>中，但难以发现的隐蔽质量瑕疵除外。经双方验收后，由双方共同签署验收报告。如因货物性质或货物数量等原因无法进行当场验收的，双方应自乙方交货之日起</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10</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日内完成验收工作。</w:t>
      </w:r>
    </w:p>
    <w:p w14:paraId="1C3FD85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2.</w:t>
      </w:r>
      <w:r>
        <w:rPr>
          <w:rFonts w:hint="eastAsia" w:ascii="仿宋_GB2312" w:hAnsi="仿宋_GB2312" w:eastAsia="仿宋_GB2312" w:cs="仿宋_GB2312"/>
          <w:bCs/>
          <w:color w:val="auto"/>
          <w:sz w:val="28"/>
          <w:szCs w:val="28"/>
          <w:highlight w:val="none"/>
        </w:rPr>
        <w:t>除第六条第8点约定情形外，严禁直接送至甲方使用科室，任何个人或科室的验收均不代表甲方已经收到或认可该批产品，由此导致的责任由乙方自行承担。</w:t>
      </w:r>
    </w:p>
    <w:p w14:paraId="3E83363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3</w:t>
      </w:r>
      <w:r>
        <w:rPr>
          <w:rFonts w:hint="eastAsia" w:ascii="仿宋_GB2312" w:hAnsi="仿宋_GB2312" w:eastAsia="仿宋_GB2312" w:cs="仿宋_GB2312"/>
          <w:bCs/>
          <w:color w:val="auto"/>
          <w:sz w:val="28"/>
          <w:szCs w:val="28"/>
          <w:highlight w:val="none"/>
        </w:rPr>
        <w:t>.如需要乙方对货物或系统进行安装调试的，乙方应该自交货</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none"/>
        </w:rPr>
        <w:t>后</w:t>
      </w:r>
      <w:r>
        <w:rPr>
          <w:rFonts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 xml:space="preserve"> 5</w:t>
      </w:r>
      <w:r>
        <w:rPr>
          <w:rFonts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日内完成安装调试，甲方应在货物安装调试完毕后的</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 xml:space="preserve"> 10</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个工作日内进行质量验收。</w:t>
      </w:r>
    </w:p>
    <w:p w14:paraId="65B7BF30">
      <w:pPr>
        <w:keepNext w:val="0"/>
        <w:keepLines w:val="0"/>
        <w:pageBreakBefore w:val="0"/>
        <w:widowControl w:val="0"/>
        <w:kinsoku/>
        <w:wordWrap w:val="0"/>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4</w:t>
      </w:r>
      <w:r>
        <w:rPr>
          <w:rFonts w:hint="eastAsia" w:ascii="仿宋_GB2312" w:hAnsi="仿宋_GB2312" w:eastAsia="仿宋_GB2312" w:cs="仿宋_GB2312"/>
          <w:bCs/>
          <w:color w:val="auto"/>
          <w:sz w:val="28"/>
          <w:szCs w:val="28"/>
          <w:highlight w:val="none"/>
        </w:rPr>
        <w:t>.经验收，若乙方所送货物存在质量、数量、保质期不足等问题以及其他不符合协议约定的配送产品要求，甲方有权拒收，并要求乙方于24个小时内重新配送，由此产生的费用由乙方自行承担。经要求乙方重新配送仍不符合要求的或超时未提供的，甲方有权单方面解除供货协议，由乙方承担违约责任，赔偿因上述事宜给甲方造成的损失。</w:t>
      </w:r>
    </w:p>
    <w:p w14:paraId="0FCA7A0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5</w:t>
      </w:r>
      <w:r>
        <w:rPr>
          <w:rFonts w:hint="eastAsia" w:ascii="仿宋_GB2312" w:hAnsi="仿宋_GB2312" w:eastAsia="仿宋_GB2312" w:cs="仿宋_GB2312"/>
          <w:bCs/>
          <w:color w:val="auto"/>
          <w:sz w:val="28"/>
          <w:szCs w:val="28"/>
          <w:highlight w:val="none"/>
        </w:rPr>
        <w:t>.若乙方所供货物在日后使用过程中</w:t>
      </w:r>
      <w:r>
        <w:rPr>
          <w:rFonts w:hint="eastAsia" w:ascii="仿宋_GB2312" w:hAnsi="仿宋_GB2312" w:eastAsia="仿宋_GB2312" w:cs="仿宋_GB2312"/>
          <w:bCs/>
          <w:color w:val="auto"/>
          <w:sz w:val="28"/>
          <w:szCs w:val="28"/>
          <w:highlight w:val="none"/>
          <w:lang w:val="en-US" w:eastAsia="zh-CN"/>
        </w:rPr>
        <w:t>(质保期内)</w:t>
      </w:r>
      <w:r>
        <w:rPr>
          <w:rFonts w:hint="eastAsia" w:ascii="仿宋_GB2312" w:hAnsi="仿宋_GB2312" w:eastAsia="仿宋_GB2312" w:cs="仿宋_GB2312"/>
          <w:bCs/>
          <w:color w:val="auto"/>
          <w:sz w:val="28"/>
          <w:szCs w:val="28"/>
          <w:highlight w:val="none"/>
        </w:rPr>
        <w:t>存在任何问题、瑕疵，乙方应予以退换，并承诺在5个工作日内更换完毕，若无法及时更换完毕的，应当向甲方提供书面说明，甲方可以同意其延期的申请；若乙方无法按照甲方要求提供货物或退换货物的，甲方有权单方面解除协议，由乙方承担违约责任，赔偿因上述事宜给甲方造成的损失。</w:t>
      </w:r>
    </w:p>
    <w:p w14:paraId="64722B1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6</w:t>
      </w:r>
      <w:r>
        <w:rPr>
          <w:rFonts w:hint="eastAsia" w:ascii="仿宋_GB2312" w:hAnsi="仿宋_GB2312" w:eastAsia="仿宋_GB2312" w:cs="仿宋_GB2312"/>
          <w:bCs/>
          <w:color w:val="auto"/>
          <w:sz w:val="28"/>
          <w:szCs w:val="28"/>
          <w:highlight w:val="none"/>
        </w:rPr>
        <w:t>.如甲方自乙方交货之日或完成设备安装调试之日起</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30</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个工作日内未向乙方提出书面异议，则视为验收合格，双方共同签署验收报告。</w:t>
      </w:r>
    </w:p>
    <w:p w14:paraId="185F98C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7</w:t>
      </w:r>
      <w:r>
        <w:rPr>
          <w:rFonts w:hint="eastAsia" w:ascii="仿宋_GB2312" w:hAnsi="仿宋_GB2312" w:eastAsia="仿宋_GB2312" w:cs="仿宋_GB2312"/>
          <w:bCs/>
          <w:color w:val="auto"/>
          <w:sz w:val="28"/>
          <w:szCs w:val="28"/>
          <w:highlight w:val="none"/>
        </w:rPr>
        <w:t>.货物在甲方检验合格并交付给甲方前，标的物的毁损、灭失等风险由乙方承担。</w:t>
      </w:r>
    </w:p>
    <w:p w14:paraId="5182161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jc w:val="left"/>
        <w:textAlignment w:val="auto"/>
        <w:rPr>
          <w:rFonts w:ascii="宋体" w:hAnsi="宋体" w:cs="宋体"/>
          <w:color w:val="auto"/>
          <w:kern w:val="0"/>
          <w:szCs w:val="21"/>
          <w:highlight w:val="none"/>
        </w:rPr>
      </w:pPr>
      <w:r>
        <w:rPr>
          <w:rFonts w:hint="eastAsia" w:ascii="仿宋_GB2312" w:hAnsi="仿宋_GB2312" w:eastAsia="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eastAsia="zh-CN"/>
        </w:rPr>
        <w:t>甲方因临床使用需求下降、相关文件要求召回、质量或配件不全等</w:t>
      </w:r>
      <w:r>
        <w:rPr>
          <w:rFonts w:hint="eastAsia" w:ascii="仿宋_GB2312" w:hAnsi="仿宋_GB2312" w:eastAsia="仿宋_GB2312" w:cs="仿宋_GB2312"/>
          <w:color w:val="auto"/>
          <w:sz w:val="28"/>
          <w:szCs w:val="28"/>
          <w:highlight w:val="none"/>
        </w:rPr>
        <w:t>货物</w:t>
      </w:r>
      <w:r>
        <w:rPr>
          <w:rFonts w:hint="eastAsia" w:ascii="仿宋_GB2312" w:hAnsi="仿宋_GB2312" w:eastAsia="仿宋_GB2312" w:cs="仿宋_GB2312"/>
          <w:color w:val="auto"/>
          <w:sz w:val="28"/>
          <w:szCs w:val="28"/>
          <w:highlight w:val="none"/>
          <w:lang w:eastAsia="zh-CN"/>
        </w:rPr>
        <w:t>出现积压及需要退换货的情况时，</w:t>
      </w:r>
      <w:r>
        <w:rPr>
          <w:rFonts w:hint="eastAsia" w:ascii="仿宋_GB2312" w:hAnsi="仿宋_GB2312" w:eastAsia="仿宋_GB2312" w:cs="仿宋_GB2312"/>
          <w:color w:val="auto"/>
          <w:sz w:val="28"/>
          <w:szCs w:val="28"/>
          <w:highlight w:val="none"/>
        </w:rPr>
        <w:t>在</w:t>
      </w:r>
      <w:r>
        <w:rPr>
          <w:rFonts w:hint="eastAsia" w:ascii="仿宋_GB2312" w:hAnsi="仿宋_GB2312" w:eastAsia="仿宋_GB2312" w:cs="仿宋_GB2312"/>
          <w:color w:val="auto"/>
          <w:sz w:val="28"/>
          <w:szCs w:val="28"/>
          <w:highlight w:val="none"/>
          <w:lang w:eastAsia="zh-CN"/>
        </w:rPr>
        <w:t>乙</w:t>
      </w:r>
      <w:r>
        <w:rPr>
          <w:rFonts w:hint="eastAsia" w:ascii="仿宋_GB2312" w:hAnsi="仿宋_GB2312" w:eastAsia="仿宋_GB2312" w:cs="仿宋_GB2312"/>
          <w:color w:val="auto"/>
          <w:sz w:val="28"/>
          <w:szCs w:val="28"/>
          <w:highlight w:val="none"/>
        </w:rPr>
        <w:t>方</w:t>
      </w:r>
      <w:r>
        <w:rPr>
          <w:rFonts w:hint="eastAsia" w:ascii="仿宋_GB2312" w:hAnsi="仿宋_GB2312" w:eastAsia="仿宋_GB2312" w:cs="仿宋_GB2312"/>
          <w:color w:val="auto"/>
          <w:sz w:val="28"/>
          <w:szCs w:val="28"/>
          <w:highlight w:val="none"/>
          <w:lang w:eastAsia="zh-CN"/>
        </w:rPr>
        <w:t>在接到</w:t>
      </w:r>
      <w:r>
        <w:rPr>
          <w:rFonts w:hint="eastAsia" w:ascii="仿宋_GB2312" w:hAnsi="仿宋_GB2312" w:eastAsia="仿宋_GB2312" w:cs="仿宋_GB2312"/>
          <w:color w:val="auto"/>
          <w:sz w:val="28"/>
          <w:szCs w:val="28"/>
          <w:highlight w:val="none"/>
        </w:rPr>
        <w:t>甲方</w:t>
      </w:r>
      <w:r>
        <w:rPr>
          <w:rFonts w:hint="eastAsia" w:ascii="仿宋_GB2312" w:hAnsi="仿宋_GB2312" w:eastAsia="仿宋_GB2312" w:cs="仿宋_GB2312"/>
          <w:color w:val="auto"/>
          <w:sz w:val="28"/>
          <w:szCs w:val="28"/>
          <w:highlight w:val="none"/>
          <w:lang w:eastAsia="zh-CN"/>
        </w:rPr>
        <w:t>需要退换货通知日起</w:t>
      </w:r>
      <w:r>
        <w:rPr>
          <w:rFonts w:hint="eastAsia" w:ascii="仿宋_GB2312" w:hAnsi="仿宋_GB2312" w:eastAsia="仿宋_GB2312" w:cs="仿宋_GB2312"/>
          <w:color w:val="auto"/>
          <w:sz w:val="28"/>
          <w:szCs w:val="28"/>
          <w:highlight w:val="none"/>
          <w:lang w:val="en-US" w:eastAsia="zh-CN"/>
        </w:rPr>
        <w:t>10日内办理</w:t>
      </w:r>
      <w:r>
        <w:rPr>
          <w:rFonts w:hint="eastAsia" w:ascii="仿宋_GB2312" w:hAnsi="仿宋_GB2312" w:eastAsia="仿宋_GB2312" w:cs="仿宋_GB2312"/>
          <w:color w:val="auto"/>
          <w:sz w:val="28"/>
          <w:szCs w:val="28"/>
          <w:highlight w:val="none"/>
          <w:lang w:eastAsia="zh-CN"/>
        </w:rPr>
        <w:t>退换货手续，并尽快取走需退换货</w:t>
      </w:r>
      <w:r>
        <w:rPr>
          <w:rFonts w:hint="eastAsia" w:ascii="仿宋_GB2312" w:hAnsi="仿宋_GB2312" w:eastAsia="仿宋_GB2312" w:cs="仿宋_GB2312"/>
          <w:color w:val="auto"/>
          <w:sz w:val="28"/>
          <w:szCs w:val="28"/>
          <w:highlight w:val="none"/>
        </w:rPr>
        <w:t>物</w:t>
      </w:r>
      <w:r>
        <w:rPr>
          <w:rFonts w:hint="eastAsia" w:ascii="仿宋_GB2312" w:hAnsi="仿宋_GB2312" w:eastAsia="仿宋_GB2312" w:cs="仿宋_GB2312"/>
          <w:color w:val="auto"/>
          <w:sz w:val="28"/>
          <w:szCs w:val="28"/>
          <w:highlight w:val="none"/>
          <w:lang w:eastAsia="zh-CN"/>
        </w:rPr>
        <w:t>；效期短的物品，双方协商解决退换问题。如果不能及时处理退换货导致</w:t>
      </w:r>
      <w:r>
        <w:rPr>
          <w:rFonts w:hint="eastAsia" w:ascii="仿宋_GB2312" w:hAnsi="仿宋_GB2312" w:eastAsia="仿宋_GB2312" w:cs="仿宋_GB2312"/>
          <w:color w:val="auto"/>
          <w:sz w:val="28"/>
          <w:szCs w:val="28"/>
          <w:highlight w:val="none"/>
        </w:rPr>
        <w:t>的</w:t>
      </w:r>
      <w:r>
        <w:rPr>
          <w:rFonts w:hint="eastAsia" w:ascii="仿宋_GB2312" w:hAnsi="仿宋_GB2312" w:eastAsia="仿宋_GB2312" w:cs="仿宋_GB2312"/>
          <w:color w:val="auto"/>
          <w:sz w:val="28"/>
          <w:szCs w:val="28"/>
          <w:highlight w:val="none"/>
          <w:lang w:eastAsia="zh-CN"/>
        </w:rPr>
        <w:t>货物过期、</w:t>
      </w:r>
      <w:r>
        <w:rPr>
          <w:rFonts w:hint="eastAsia" w:ascii="仿宋_GB2312" w:hAnsi="仿宋_GB2312" w:eastAsia="仿宋_GB2312" w:cs="仿宋_GB2312"/>
          <w:color w:val="auto"/>
          <w:sz w:val="28"/>
          <w:szCs w:val="28"/>
          <w:highlight w:val="none"/>
        </w:rPr>
        <w:t>毁损、</w:t>
      </w:r>
      <w:r>
        <w:rPr>
          <w:rFonts w:hint="eastAsia" w:ascii="仿宋_GB2312" w:hAnsi="仿宋_GB2312" w:eastAsia="仿宋_GB2312" w:cs="仿宋_GB2312"/>
          <w:color w:val="auto"/>
          <w:sz w:val="28"/>
          <w:szCs w:val="28"/>
          <w:highlight w:val="none"/>
          <w:lang w:eastAsia="zh-CN"/>
        </w:rPr>
        <w:t>丢</w:t>
      </w:r>
      <w:r>
        <w:rPr>
          <w:rFonts w:hint="eastAsia" w:ascii="仿宋_GB2312" w:hAnsi="仿宋_GB2312" w:eastAsia="仿宋_GB2312" w:cs="仿宋_GB2312"/>
          <w:color w:val="auto"/>
          <w:sz w:val="28"/>
          <w:szCs w:val="28"/>
          <w:highlight w:val="none"/>
        </w:rPr>
        <w:t>失等风险由乙方承担。</w:t>
      </w:r>
    </w:p>
    <w:p w14:paraId="721E430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第八条 权利保证</w:t>
      </w:r>
    </w:p>
    <w:p w14:paraId="4E8016C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bCs/>
          <w:color w:val="auto"/>
          <w:sz w:val="28"/>
          <w:szCs w:val="28"/>
          <w:highlight w:val="none"/>
        </w:rPr>
        <w:t>1.</w:t>
      </w:r>
      <w:r>
        <w:rPr>
          <w:rFonts w:hint="eastAsia" w:ascii="仿宋_GB2312" w:hAnsi="仿宋_GB2312" w:eastAsia="仿宋_GB2312" w:cs="仿宋_GB2312"/>
          <w:color w:val="auto"/>
          <w:sz w:val="28"/>
          <w:szCs w:val="28"/>
          <w:highlight w:val="none"/>
        </w:rPr>
        <w:t>乙方保证所提供的货物通过合法、正规渠道供货，在交付甲方时具有完全的所有权或有处分权，甲方在使用本合同项下标的物或标的物的任何一部分时，不会产生因第三方提出的包括但不限于侵犯其专利权、商标权、工业设计权等知识产权和侵犯其所有权、抵押权等物权及其他权利而引发的纠纷。如有纠纷，乙方应承担全部责任，并赔偿因此给甲方所造成的损失，损失包括但不限于第三方权利人索赔、因与第三方权利人侵权等纠纷导致甲方不能正常使用货物造成的全部损失、律师费、诉讼费、取证费、差旅费、保全费、担保费、鉴证费、公证费、执行费以及间接损失等。</w:t>
      </w:r>
    </w:p>
    <w:p w14:paraId="37BB629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2.乙方保证所提供的货物符合</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以及合同约定的所有质量和技术、配置等要求，并不存在危及人身财产安全的缺陷，对于因产品在正常使用过程中发生的因产品质量缺陷等造成甲方或者任何第三方的人身损害或者财产损失，乙方应当承担赔偿责任及由此给甲方造成的全部损失，包括但不限于第三方权利人的索赔，因纠纷导致甲方不能正常使用货物的损失及因纠纷造成的其他损失（如被保全等）、甲方为解决纠纷支出的律师费、诉讼费、保全费、担保费、差旅费、鉴证费、公证费、执行费等全部费用以及全部间接损失。</w:t>
      </w:r>
    </w:p>
    <w:p w14:paraId="1F8DD3B6">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color w:val="auto"/>
          <w:sz w:val="28"/>
          <w:szCs w:val="28"/>
          <w:highlight w:val="none"/>
        </w:rPr>
      </w:pPr>
      <w:bookmarkStart w:id="116" w:name="_Toc2412_WPSOffice_Level1"/>
      <w:r>
        <w:rPr>
          <w:rFonts w:hint="eastAsia" w:ascii="仿宋_GB2312" w:hAnsi="仿宋_GB2312" w:eastAsia="仿宋_GB2312" w:cs="仿宋_GB2312"/>
          <w:b/>
          <w:color w:val="auto"/>
          <w:sz w:val="28"/>
          <w:szCs w:val="28"/>
          <w:highlight w:val="none"/>
        </w:rPr>
        <w:t>第九条 质量保证及售后服务</w:t>
      </w:r>
      <w:bookmarkEnd w:id="116"/>
    </w:p>
    <w:p w14:paraId="47716DC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1.乙方应按照国家有关法律法规规章和“三包”规定、</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文件的要求、乙方在</w:t>
      </w:r>
      <w:r>
        <w:rPr>
          <w:rFonts w:hint="eastAsia" w:ascii="仿宋_GB2312" w:hAnsi="仿宋_GB2312" w:eastAsia="仿宋_GB2312" w:cs="仿宋_GB2312"/>
          <w:color w:val="auto"/>
          <w:sz w:val="28"/>
          <w:szCs w:val="28"/>
          <w:highlight w:val="none"/>
          <w:lang w:eastAsia="zh-CN"/>
        </w:rPr>
        <w:t>响应</w:t>
      </w:r>
      <w:r>
        <w:rPr>
          <w:rFonts w:hint="eastAsia" w:ascii="仿宋_GB2312" w:hAnsi="仿宋_GB2312" w:eastAsia="仿宋_GB2312" w:cs="仿宋_GB2312"/>
          <w:color w:val="auto"/>
          <w:sz w:val="28"/>
          <w:szCs w:val="28"/>
          <w:highlight w:val="none"/>
        </w:rPr>
        <w:t>文件的相关承诺提供保修及其他服务。</w:t>
      </w:r>
    </w:p>
    <w:p w14:paraId="506360F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2.保修期限：与本合同约定的质量保证期相同，从甲方验收合格之日次日起算。</w:t>
      </w:r>
    </w:p>
    <w:p w14:paraId="758E00C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保修期内，乙方负责对其提供的货物进行维修和系统维护，不再收取任何费用。所有货物保修服务方式均为乙方上门保修，即由乙方派员到货物使用现场维修，如乙方不能在故障响应期限内对货物进行维修，甲方有权选择第三方进行维修，所发生的维修费用由乙方全部承担</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乙方</w:t>
      </w:r>
      <w:r>
        <w:rPr>
          <w:rFonts w:hint="eastAsia" w:ascii="仿宋_GB2312" w:hAnsi="仿宋_GB2312" w:eastAsia="仿宋_GB2312" w:cs="仿宋_GB2312"/>
          <w:color w:val="auto"/>
          <w:sz w:val="28"/>
          <w:szCs w:val="28"/>
          <w:highlight w:val="none"/>
          <w:lang w:val="en-US" w:eastAsia="zh-CN"/>
        </w:rPr>
        <w:t>应于</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七个工作</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color w:val="auto"/>
          <w:sz w:val="28"/>
          <w:szCs w:val="28"/>
          <w:highlight w:val="none"/>
          <w:lang w:val="en-US" w:eastAsia="zh-CN"/>
        </w:rPr>
        <w:t>日内</w:t>
      </w:r>
      <w:r>
        <w:rPr>
          <w:rFonts w:hint="eastAsia" w:ascii="仿宋_GB2312" w:hAnsi="仿宋_GB2312" w:eastAsia="仿宋_GB2312" w:cs="仿宋_GB2312"/>
          <w:color w:val="auto"/>
          <w:sz w:val="28"/>
          <w:szCs w:val="28"/>
          <w:highlight w:val="none"/>
        </w:rPr>
        <w:t>支付。</w:t>
      </w:r>
    </w:p>
    <w:p w14:paraId="18CB5E1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4.保修期届满后，乙方应按其在深圳地区同类产品的优惠价格提供维保服务，具体设备</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货物/器材等</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维护</w:t>
      </w:r>
      <w:r>
        <w:rPr>
          <w:rFonts w:hint="eastAsia" w:ascii="仿宋_GB2312" w:hAnsi="仿宋_GB2312" w:eastAsia="仿宋_GB2312" w:cs="仿宋_GB2312"/>
          <w:color w:val="auto"/>
          <w:sz w:val="28"/>
          <w:szCs w:val="28"/>
          <w:highlight w:val="none"/>
          <w:lang w:eastAsia="zh-Hans"/>
        </w:rPr>
        <w:t>事宜由双方</w:t>
      </w:r>
      <w:r>
        <w:rPr>
          <w:rFonts w:hint="eastAsia" w:ascii="仿宋_GB2312" w:hAnsi="仿宋_GB2312" w:eastAsia="仿宋_GB2312" w:cs="仿宋_GB2312"/>
          <w:color w:val="auto"/>
          <w:sz w:val="28"/>
          <w:szCs w:val="28"/>
          <w:highlight w:val="none"/>
        </w:rPr>
        <w:t>另行协商。</w:t>
      </w:r>
    </w:p>
    <w:p w14:paraId="0EB14C8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5.故障响应时间：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（按</w:t>
      </w:r>
      <w:r>
        <w:rPr>
          <w:rFonts w:hint="eastAsia" w:ascii="仿宋_GB2312" w:hAnsi="仿宋_GB2312" w:eastAsia="仿宋_GB2312" w:cs="仿宋_GB2312"/>
          <w:color w:val="auto"/>
          <w:sz w:val="28"/>
          <w:szCs w:val="28"/>
          <w:highlight w:val="none"/>
          <w:lang w:val="en-US" w:eastAsia="zh-CN"/>
        </w:rPr>
        <w:t>遴选响应</w:t>
      </w:r>
      <w:r>
        <w:rPr>
          <w:rFonts w:hint="eastAsia" w:ascii="仿宋_GB2312" w:hAnsi="仿宋_GB2312" w:eastAsia="仿宋_GB2312" w:cs="仿宋_GB2312"/>
          <w:color w:val="auto"/>
          <w:sz w:val="28"/>
          <w:szCs w:val="28"/>
          <w:highlight w:val="none"/>
        </w:rPr>
        <w:t>文件为准）。</w:t>
      </w:r>
    </w:p>
    <w:p w14:paraId="6B61BE4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color w:val="auto"/>
          <w:highlight w:val="none"/>
        </w:rPr>
      </w:pPr>
      <w:r>
        <w:rPr>
          <w:rFonts w:hint="eastAsia" w:ascii="仿宋_GB2312" w:hAnsi="仿宋_GB2312" w:eastAsia="仿宋_GB2312" w:cs="仿宋_GB2312"/>
          <w:color w:val="auto"/>
          <w:sz w:val="28"/>
          <w:szCs w:val="28"/>
          <w:highlight w:val="none"/>
        </w:rPr>
        <w:t>6.合同双方认为应补充的内容（不违反</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lang w:eastAsia="zh-CN"/>
        </w:rPr>
        <w:t>响应</w:t>
      </w:r>
      <w:r>
        <w:rPr>
          <w:rFonts w:hint="eastAsia" w:ascii="仿宋_GB2312" w:hAnsi="仿宋_GB2312" w:eastAsia="仿宋_GB2312" w:cs="仿宋_GB2312"/>
          <w:color w:val="auto"/>
          <w:sz w:val="28"/>
          <w:szCs w:val="28"/>
          <w:highlight w:val="none"/>
        </w:rPr>
        <w:t>文件及相关法律法规）：</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p>
    <w:p w14:paraId="297C6130">
      <w:pPr>
        <w:keepNext w:val="0"/>
        <w:keepLines w:val="0"/>
        <w:pageBreakBefore w:val="0"/>
        <w:widowControl w:val="0"/>
        <w:numPr>
          <w:ilvl w:val="255"/>
          <w:numId w:val="0"/>
        </w:numPr>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第十条 违约责任</w:t>
      </w:r>
    </w:p>
    <w:p w14:paraId="14BC300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bCs/>
          <w:color w:val="auto"/>
          <w:sz w:val="28"/>
          <w:szCs w:val="28"/>
          <w:highlight w:val="none"/>
        </w:rPr>
        <w:t>甲方逾期付设备</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货物/器材等</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bCs/>
          <w:color w:val="auto"/>
          <w:sz w:val="28"/>
          <w:szCs w:val="28"/>
          <w:highlight w:val="none"/>
        </w:rPr>
        <w:t>款的，甲方向乙方每日偿付欠款总额</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1</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bCs/>
          <w:color w:val="auto"/>
          <w:sz w:val="28"/>
          <w:szCs w:val="28"/>
          <w:highlight w:val="none"/>
        </w:rPr>
        <w:t>的违约金。但因甲方使用的是财政资金，甲方应在约定期限内办理财政支付申请手续（不含政府财政支付部门审核的时间）。因财政支付流程造成的延误，应视为甲方依约履行，甲方不承担任何逾期付款的违约责任。</w:t>
      </w:r>
    </w:p>
    <w:p w14:paraId="1A34DD4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2.出现以下情况之一的，甲方有权解除协议，由乙方承担违约责任。乙方应向甲方返还甲方已支付的全部款项，按协议合同总价款</w:t>
      </w:r>
      <w:r>
        <w:rPr>
          <w:rFonts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2</w:t>
      </w:r>
      <w:r>
        <w:rPr>
          <w:rFonts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%向甲方支付违约金，并承担因违约给甲方造成的一切经济损失及法律责任；</w:t>
      </w:r>
    </w:p>
    <w:p w14:paraId="3DF46B2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1</w:t>
      </w:r>
      <w:r>
        <w:rPr>
          <w:rFonts w:hint="eastAsia" w:ascii="仿宋_GB2312" w:hAnsi="仿宋_GB2312" w:eastAsia="仿宋_GB2312" w:cs="仿宋_GB2312"/>
          <w:bCs/>
          <w:color w:val="auto"/>
          <w:sz w:val="28"/>
          <w:szCs w:val="28"/>
          <w:highlight w:val="none"/>
        </w:rPr>
        <w:t>）乙方提供的产品不符合国家规定或承认的相应标准，或者不符合本协议约定的产品要求及配送要求；</w:t>
      </w:r>
    </w:p>
    <w:p w14:paraId="15F1F87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2</w:t>
      </w:r>
      <w:r>
        <w:rPr>
          <w:rFonts w:hint="eastAsia" w:ascii="仿宋_GB2312" w:hAnsi="仿宋_GB2312" w:eastAsia="仿宋_GB2312" w:cs="仿宋_GB2312"/>
          <w:bCs/>
          <w:color w:val="auto"/>
          <w:sz w:val="28"/>
          <w:szCs w:val="28"/>
          <w:highlight w:val="none"/>
        </w:rPr>
        <w:t>）甲方发现乙方私自配送目录以外的产品或未经甲方同意向甲方科室配送的；</w:t>
      </w:r>
    </w:p>
    <w:p w14:paraId="6AB145A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3</w:t>
      </w:r>
      <w:r>
        <w:rPr>
          <w:rFonts w:hint="eastAsia" w:ascii="仿宋_GB2312" w:hAnsi="仿宋_GB2312" w:eastAsia="仿宋_GB2312" w:cs="仿宋_GB2312"/>
          <w:bCs/>
          <w:color w:val="auto"/>
          <w:sz w:val="28"/>
          <w:szCs w:val="28"/>
          <w:highlight w:val="none"/>
        </w:rPr>
        <w:t>）产品注册证名称、规格、型号、价、生产厂商等与通知书不一致；</w:t>
      </w:r>
    </w:p>
    <w:p w14:paraId="6A183F7A">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4</w:t>
      </w:r>
      <w:r>
        <w:rPr>
          <w:rFonts w:hint="eastAsia" w:ascii="仿宋_GB2312" w:hAnsi="仿宋_GB2312" w:eastAsia="仿宋_GB2312" w:cs="仿宋_GB2312"/>
          <w:bCs/>
          <w:color w:val="auto"/>
          <w:sz w:val="28"/>
          <w:szCs w:val="28"/>
          <w:highlight w:val="none"/>
        </w:rPr>
        <w:t>）乙方不能按照约定为甲方提供全面的售后服务；</w:t>
      </w:r>
    </w:p>
    <w:p w14:paraId="7452553A">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5</w:t>
      </w:r>
      <w:r>
        <w:rPr>
          <w:rFonts w:hint="eastAsia" w:ascii="仿宋_GB2312" w:hAnsi="仿宋_GB2312" w:eastAsia="仿宋_GB2312" w:cs="仿宋_GB2312"/>
          <w:bCs/>
          <w:color w:val="auto"/>
          <w:sz w:val="28"/>
          <w:szCs w:val="28"/>
          <w:highlight w:val="none"/>
        </w:rPr>
        <w:t>）乙方所供货存在质量问题或其他影响使用的瑕疵</w:t>
      </w:r>
      <w:r>
        <w:rPr>
          <w:rFonts w:ascii="仿宋_GB2312" w:hAnsi="仿宋_GB2312" w:eastAsia="仿宋_GB2312" w:cs="仿宋_GB2312"/>
          <w:bCs/>
          <w:color w:val="auto"/>
          <w:sz w:val="28"/>
          <w:szCs w:val="28"/>
          <w:highlight w:val="none"/>
        </w:rPr>
        <w:t>;</w:t>
      </w:r>
    </w:p>
    <w:p w14:paraId="314CE72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6</w:t>
      </w: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乙方未能按照协议的要求配送产品；</w:t>
      </w:r>
    </w:p>
    <w:p w14:paraId="1BEEDD4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7</w:t>
      </w: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因乙方原因</w:t>
      </w:r>
      <w:r>
        <w:rPr>
          <w:rFonts w:hint="eastAsia" w:ascii="仿宋_GB2312" w:hAnsi="仿宋_GB2312" w:eastAsia="仿宋_GB2312" w:cs="仿宋_GB2312"/>
          <w:bCs/>
          <w:color w:val="auto"/>
          <w:sz w:val="28"/>
          <w:szCs w:val="28"/>
          <w:highlight w:val="none"/>
        </w:rPr>
        <w:t>在供货协议期内中断向甲方供货的。</w:t>
      </w:r>
    </w:p>
    <w:p w14:paraId="49C7263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color w:val="auto"/>
          <w:sz w:val="28"/>
          <w:szCs w:val="28"/>
          <w:highlight w:val="none"/>
        </w:rPr>
        <w:t>3.</w:t>
      </w:r>
      <w:bookmarkStart w:id="117" w:name="_Hlk107507629"/>
      <w:r>
        <w:rPr>
          <w:rFonts w:hint="eastAsia" w:ascii="仿宋_GB2312" w:hAnsi="仿宋_GB2312" w:eastAsia="仿宋_GB2312" w:cs="仿宋_GB2312"/>
          <w:bCs/>
          <w:color w:val="auto"/>
          <w:sz w:val="28"/>
          <w:szCs w:val="28"/>
          <w:highlight w:val="none"/>
        </w:rPr>
        <w:t>产品在医院临床试用期为一个月，若一个月内收到产品质量投诉且经甲方或政府相关部门（包括卫生行政部门、食品药品监督管理部门等）确认是有效投诉的，甲方有权单方面解除本协议，乙方需退回甲方已付的全部款项，并赔偿因上述事宜给甲方及第三方造成的损失，</w:t>
      </w:r>
      <w:r>
        <w:rPr>
          <w:rFonts w:hint="eastAsia" w:ascii="仿宋_GB2312" w:hAnsi="仿宋_GB2312" w:eastAsia="仿宋_GB2312" w:cs="仿宋_GB2312"/>
          <w:color w:val="auto"/>
          <w:sz w:val="28"/>
          <w:szCs w:val="28"/>
          <w:highlight w:val="none"/>
        </w:rPr>
        <w:t>损失包括但不限于第三方权利人索赔、因与第三方权利人侵权等纠纷导致甲方不能正常使用设备造成的全部损失</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包括但不限于</w:t>
      </w:r>
      <w:r>
        <w:rPr>
          <w:rFonts w:hint="eastAsia" w:ascii="仿宋_GB2312" w:hAnsi="仿宋_GB2312" w:eastAsia="仿宋_GB2312" w:cs="仿宋_GB2312"/>
          <w:color w:val="auto"/>
          <w:sz w:val="28"/>
          <w:szCs w:val="28"/>
          <w:highlight w:val="none"/>
        </w:rPr>
        <w:t>律师费、诉讼费、取证费、差旅费、保全费、担保费、鉴证费、公证费、执行费以及间接损失等</w:t>
      </w:r>
      <w:r>
        <w:rPr>
          <w:rFonts w:hint="eastAsia" w:ascii="仿宋_GB2312" w:hAnsi="仿宋_GB2312" w:eastAsia="仿宋_GB2312" w:cs="仿宋_GB2312"/>
          <w:bCs/>
          <w:color w:val="auto"/>
          <w:sz w:val="28"/>
          <w:szCs w:val="28"/>
          <w:highlight w:val="none"/>
        </w:rPr>
        <w:t>。</w:t>
      </w:r>
      <w:bookmarkEnd w:id="117"/>
    </w:p>
    <w:p w14:paraId="3E119EC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4.</w:t>
      </w:r>
      <w:r>
        <w:rPr>
          <w:rFonts w:hint="eastAsia" w:ascii="仿宋_GB2312" w:hAnsi="仿宋_GB2312" w:eastAsia="仿宋_GB2312" w:cs="仿宋_GB2312"/>
          <w:bCs/>
          <w:color w:val="auto"/>
          <w:sz w:val="28"/>
          <w:szCs w:val="28"/>
          <w:highlight w:val="none"/>
        </w:rPr>
        <w:t>因涉及患者的生命安全，乙方应严格按照</w:t>
      </w:r>
      <w:r>
        <w:rPr>
          <w:rFonts w:hint="eastAsia" w:ascii="仿宋_GB2312" w:hAnsi="仿宋_GB2312" w:eastAsia="仿宋_GB2312" w:cs="仿宋_GB2312"/>
          <w:bCs/>
          <w:color w:val="auto"/>
          <w:sz w:val="28"/>
          <w:szCs w:val="28"/>
          <w:highlight w:val="none"/>
          <w:lang w:val="en-US" w:eastAsia="zh-CN"/>
        </w:rPr>
        <w:t>遴选</w:t>
      </w:r>
      <w:r>
        <w:rPr>
          <w:rFonts w:hint="eastAsia" w:ascii="仿宋_GB2312" w:hAnsi="仿宋_GB2312" w:eastAsia="仿宋_GB2312" w:cs="仿宋_GB2312"/>
          <w:bCs/>
          <w:color w:val="auto"/>
          <w:sz w:val="28"/>
          <w:szCs w:val="28"/>
          <w:highlight w:val="none"/>
        </w:rPr>
        <w:t>文件和本协议的要求进行配送，配送的产品必须是产品，严禁配送目录外规格型号产品，凡私自配送或配送目录以外的产品，甲方均不予认可，责任由乙方自行承担。</w:t>
      </w:r>
    </w:p>
    <w:p w14:paraId="090D376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5.</w:t>
      </w:r>
      <w:r>
        <w:rPr>
          <w:rFonts w:hint="eastAsia" w:ascii="仿宋_GB2312" w:hAnsi="仿宋_GB2312" w:eastAsia="仿宋_GB2312" w:cs="仿宋_GB2312"/>
          <w:bCs/>
          <w:color w:val="auto"/>
          <w:sz w:val="28"/>
          <w:szCs w:val="28"/>
          <w:highlight w:val="none"/>
        </w:rPr>
        <w:t>在配送过程中，乙方若不能按</w:t>
      </w:r>
      <w:r>
        <w:rPr>
          <w:rFonts w:hint="eastAsia" w:ascii="仿宋_GB2312" w:hAnsi="仿宋_GB2312" w:eastAsia="仿宋_GB2312" w:cs="仿宋_GB2312"/>
          <w:bCs/>
          <w:color w:val="auto"/>
          <w:sz w:val="28"/>
          <w:szCs w:val="28"/>
          <w:highlight w:val="none"/>
          <w:lang w:val="en-US" w:eastAsia="zh-CN"/>
        </w:rPr>
        <w:t>遴选</w:t>
      </w:r>
      <w:r>
        <w:rPr>
          <w:rFonts w:hint="eastAsia" w:ascii="仿宋_GB2312" w:hAnsi="仿宋_GB2312" w:eastAsia="仿宋_GB2312" w:cs="仿宋_GB2312"/>
          <w:bCs/>
          <w:color w:val="auto"/>
          <w:sz w:val="28"/>
          <w:szCs w:val="28"/>
          <w:highlight w:val="none"/>
        </w:rPr>
        <w:t>文件及供货协议的要求对甲方及时配送，只要存在违反一次的情形，甲方有权单方面解除供货协议，由乙方承担违约责任，赔偿因上述事宜给甲方造成的损失。解除供货协议的通知一经送达即生效，同时甲方无需支付未按要求配送产品的款项，并将乙方列为甲方不良信誉供应商，三年内不得参与甲方</w:t>
      </w:r>
      <w:r>
        <w:rPr>
          <w:rFonts w:hint="eastAsia" w:ascii="仿宋_GB2312" w:hAnsi="仿宋_GB2312" w:eastAsia="仿宋_GB2312" w:cs="仿宋_GB2312"/>
          <w:bCs/>
          <w:color w:val="auto"/>
          <w:sz w:val="28"/>
          <w:szCs w:val="28"/>
          <w:highlight w:val="none"/>
          <w:lang w:val="en-US" w:eastAsia="zh-CN"/>
        </w:rPr>
        <w:t>遴选</w:t>
      </w:r>
      <w:r>
        <w:rPr>
          <w:rFonts w:hint="eastAsia" w:ascii="仿宋_GB2312" w:hAnsi="仿宋_GB2312" w:eastAsia="仿宋_GB2312" w:cs="仿宋_GB2312"/>
          <w:bCs/>
          <w:color w:val="auto"/>
          <w:sz w:val="28"/>
          <w:szCs w:val="28"/>
          <w:highlight w:val="none"/>
        </w:rPr>
        <w:t>活动。</w:t>
      </w:r>
    </w:p>
    <w:p w14:paraId="4A4C4530">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textAlignment w:val="auto"/>
        <w:rPr>
          <w:color w:val="auto"/>
          <w:kern w:val="44"/>
          <w:highlight w:val="none"/>
        </w:rPr>
      </w:pPr>
      <w:r>
        <w:rPr>
          <w:rFonts w:ascii="仿宋_GB2312" w:hAnsi="仿宋_GB2312" w:eastAsia="仿宋_GB2312" w:cs="仿宋_GB2312"/>
          <w:color w:val="auto"/>
          <w:sz w:val="28"/>
          <w:szCs w:val="28"/>
          <w:highlight w:val="none"/>
        </w:rPr>
        <w:t>6</w:t>
      </w:r>
      <w:r>
        <w:rPr>
          <w:rFonts w:hint="eastAsia" w:ascii="仿宋_GB2312" w:hAnsi="仿宋_GB2312" w:eastAsia="仿宋_GB2312" w:cs="仿宋_GB2312"/>
          <w:color w:val="auto"/>
          <w:sz w:val="28"/>
          <w:szCs w:val="28"/>
          <w:highlight w:val="none"/>
        </w:rPr>
        <w:t>.乙方在承担上述一项或多项违约责任后，仍应继续履行合同规定的义务（甲方解除合同的除外）。甲方未能及时追究乙方的任何一项违约责任并不表明甲方放弃追究乙方该项或其他违约责任。</w:t>
      </w:r>
    </w:p>
    <w:p w14:paraId="0292F73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第十一条 不可抗力</w:t>
      </w:r>
    </w:p>
    <w:p w14:paraId="0B465AA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w:t>
      </w:r>
      <w:r>
        <w:rPr>
          <w:rFonts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rPr>
        <w:t>本合同约定的不可抗力指甲乙双方任何一方在签订本合同时不可预见的、遭受影响的一方不能克服和不能避免的，并对本合同的履行产生影响的事件。包括但不限于：（1）战争、敌对行动、入侵、外敌行为；（2）叛乱、恐怖主义、暴动；（3）自然灾害，如地震、飓风、台风或火山活动；（</w:t>
      </w:r>
      <w:r>
        <w:rPr>
          <w:rFonts w:ascii="仿宋_GB2312" w:hAnsi="仿宋_GB2312" w:eastAsia="仿宋_GB2312" w:cs="仿宋_GB2312"/>
          <w:bCs/>
          <w:color w:val="auto"/>
          <w:sz w:val="28"/>
          <w:szCs w:val="28"/>
          <w:highlight w:val="none"/>
        </w:rPr>
        <w:t>4</w:t>
      </w:r>
      <w:r>
        <w:rPr>
          <w:rFonts w:hint="eastAsia" w:ascii="仿宋_GB2312" w:hAnsi="仿宋_GB2312" w:eastAsia="仿宋_GB2312" w:cs="仿宋_GB2312"/>
          <w:bCs/>
          <w:color w:val="auto"/>
          <w:sz w:val="28"/>
          <w:szCs w:val="28"/>
          <w:highlight w:val="none"/>
        </w:rPr>
        <w:t>）</w:t>
      </w:r>
      <w:r>
        <w:rPr>
          <w:rFonts w:hint="eastAsia" w:ascii="仿宋_GB2312" w:hAnsi="仿宋_GB2312" w:eastAsia="仿宋_GB2312" w:cs="仿宋_GB2312"/>
          <w:color w:val="auto"/>
          <w:sz w:val="28"/>
          <w:szCs w:val="28"/>
          <w:highlight w:val="none"/>
        </w:rPr>
        <w:t>突发公共卫生事件</w:t>
      </w:r>
      <w:r>
        <w:rPr>
          <w:rFonts w:hint="eastAsia" w:ascii="仿宋_GB2312" w:hAnsi="仿宋_GB2312" w:eastAsia="仿宋_GB2312" w:cs="仿宋_GB2312"/>
          <w:bCs/>
          <w:color w:val="auto"/>
          <w:sz w:val="28"/>
          <w:szCs w:val="28"/>
          <w:highlight w:val="none"/>
        </w:rPr>
        <w:t>等。</w:t>
      </w:r>
    </w:p>
    <w:p w14:paraId="2F4475C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2.甲乙双方任何一方遭受不可抗力时应尽可能在最短的时间内通知另一方，解释其需要提出发生不可抗力的理由，并在该不可抗力事件发生后十五日内向另一方提供关于此种不可抗力事件及其持续时间的证据。未及时履行通知义务而导致损失扩大的，过错方应当承担赔偿责任。主张不可抗力事件导致其对本合同的履行在客观上成为不可能或不实际的一方，有责任尽一切合理的努力消除或减轻此等不可抗力事件的影响。</w:t>
      </w:r>
    </w:p>
    <w:p w14:paraId="0BBDD1C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3</w:t>
      </w:r>
      <w:r>
        <w:rPr>
          <w:rFonts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rPr>
        <w:t>如果发生不可抗力事件，任何一方不应对另一方因此而未能履行本合同下的全部或部分义务承担责任，该义务履行在不可抗力事件妨碍期间中止。本合同项下的其他不受不可抗力事件影响的义务应继续履行。</w:t>
      </w:r>
    </w:p>
    <w:p w14:paraId="4BD1813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4</w:t>
      </w:r>
      <w:r>
        <w:rPr>
          <w:rFonts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rPr>
        <w:t>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适用本合同关于合同终止的规定。</w:t>
      </w:r>
    </w:p>
    <w:p w14:paraId="347396F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u w:val="single"/>
        </w:rPr>
      </w:pPr>
      <w:r>
        <w:rPr>
          <w:rFonts w:hint="eastAsia" w:ascii="仿宋_GB2312" w:hAnsi="仿宋_GB2312" w:eastAsia="仿宋_GB2312" w:cs="仿宋_GB2312"/>
          <w:b/>
          <w:color w:val="auto"/>
          <w:sz w:val="28"/>
          <w:szCs w:val="28"/>
          <w:highlight w:val="none"/>
        </w:rPr>
        <w:t>第十二条 变更、终止条款</w:t>
      </w:r>
    </w:p>
    <w:p w14:paraId="06DCFEF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1.除继续履行将损害国家利益和社会公共利益的外，双方不得擅自变更或者终止合同。</w:t>
      </w:r>
    </w:p>
    <w:p w14:paraId="3AD90E5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2.如继续履行将损害国家利益和社会公共利益的，主张变更或终止权利一方应在变更或终止事件或情形发生时通知另一方。双方另行签订变更或终止协议。</w:t>
      </w:r>
    </w:p>
    <w:p w14:paraId="0D56BF0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3</w:t>
      </w:r>
      <w:r>
        <w:rPr>
          <w:rFonts w:hint="eastAsia" w:ascii="仿宋_GB2312" w:hAnsi="仿宋_GB2312" w:eastAsia="仿宋_GB2312" w:cs="仿宋_GB2312"/>
          <w:color w:val="auto"/>
          <w:sz w:val="28"/>
          <w:szCs w:val="28"/>
          <w:highlight w:val="none"/>
        </w:rPr>
        <w:t>.若协议期内产品被纳入政府组织集中采购的，则按政府有关规定执行。甲方与政府集中采购的供应商签订供货协议之日本协议自动终止，甲方无需承担提前解除协议的违约责任。</w:t>
      </w:r>
    </w:p>
    <w:p w14:paraId="2D5306A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4.合同履行期间，相关法律、法规、规章、规范性文件和政策发生变化或者颁布新的规定，导致本合同的履行依据发生变化的，双方可以按照修改后或者新的规定执行，并另行签订变更协议。</w:t>
      </w:r>
    </w:p>
    <w:p w14:paraId="0A82D03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第十三条 争议解决</w:t>
      </w:r>
    </w:p>
    <w:p w14:paraId="2FE15AE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eastAsia="zh-CN"/>
        </w:rPr>
        <w:t>可能</w:t>
      </w:r>
      <w:r>
        <w:rPr>
          <w:rFonts w:hint="eastAsia" w:ascii="仿宋_GB2312" w:hAnsi="仿宋_GB2312" w:eastAsia="仿宋_GB2312" w:cs="仿宋_GB2312"/>
          <w:color w:val="auto"/>
          <w:sz w:val="28"/>
          <w:szCs w:val="28"/>
          <w:highlight w:val="none"/>
        </w:rPr>
        <w:t>因货物的质量问题发生争议的，应当由双方共同邀请国家认可的质量检测机构对货物质量进行鉴定，</w:t>
      </w:r>
      <w:r>
        <w:rPr>
          <w:rFonts w:hint="eastAsia" w:ascii="仿宋_GB2312" w:hAnsi="仿宋_GB2312" w:eastAsia="仿宋_GB2312" w:cs="仿宋_GB2312"/>
          <w:color w:val="auto"/>
          <w:sz w:val="28"/>
          <w:szCs w:val="28"/>
          <w:highlight w:val="none"/>
          <w:lang w:eastAsia="zh-CN"/>
        </w:rPr>
        <w:t>不管最终鉴定结果如何，</w:t>
      </w:r>
      <w:r>
        <w:rPr>
          <w:rFonts w:hint="eastAsia" w:ascii="仿宋_GB2312" w:hAnsi="仿宋_GB2312" w:eastAsia="仿宋_GB2312" w:cs="仿宋_GB2312"/>
          <w:color w:val="auto"/>
          <w:sz w:val="28"/>
          <w:szCs w:val="28"/>
          <w:highlight w:val="none"/>
        </w:rPr>
        <w:t>费用由乙方垫付。</w:t>
      </w:r>
    </w:p>
    <w:p w14:paraId="2F44169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2.因履行本合同引起的或与本合同有关的争议，甲、乙双方应首先通过友好协商解决，如果协商不能解决争议，则向甲方所在地有管辖权的人民法院提起诉讼。</w:t>
      </w:r>
    </w:p>
    <w:p w14:paraId="2E80AA2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3.有关本协议的效力、解释及可执行性的所有问题均应当受中华人民共和国法律管辖并按照其法律进行解释。</w:t>
      </w:r>
    </w:p>
    <w:p w14:paraId="172A3C0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第十四条 保密责任</w:t>
      </w:r>
    </w:p>
    <w:p w14:paraId="49C408B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Cs/>
          <w:color w:val="auto"/>
          <w:sz w:val="28"/>
          <w:szCs w:val="28"/>
          <w:highlight w:val="none"/>
        </w:rPr>
        <w:t>1.乙方保证对在讨论、签订、执行本协议过程中所获悉的属于甲方的且无法自公开渠道获得的信息、文件及资料（包括商业秘密、商业计划、运营活动、财务信息、技术信息、经营信息及其他商业秘密）予以保密。未经该信息、资料和文件的原提供方同意，乙方不得向任何第三方泄露该商业秘密的全部或部分内容，更不得不正当使用。但法律、法规另有规定或双方另有约定的除外。乙方同时应保证其雇员、代表履行上述保密义务，乙方雇员、代表等违反上述保密义务视为乙方违反保密义务。</w:t>
      </w:r>
    </w:p>
    <w:p w14:paraId="5CB2A1F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u w:val="single"/>
        </w:rPr>
      </w:pPr>
      <w:r>
        <w:rPr>
          <w:rFonts w:hint="eastAsia" w:ascii="仿宋_GB2312" w:hAnsi="仿宋_GB2312" w:eastAsia="仿宋_GB2312" w:cs="仿宋_GB2312"/>
          <w:bCs/>
          <w:color w:val="auto"/>
          <w:sz w:val="28"/>
          <w:szCs w:val="28"/>
          <w:highlight w:val="none"/>
        </w:rPr>
        <w:t>2.上述保密义务长期有效，不因本协议的终止而失效。乙方违反该条款给甲方造成损失的，应当赔偿甲方的损失。该损失包括但是不限于律师费、诉讼费、取证费、差旅费、保全费、担保费、鉴证费、公证费、执行费以及间接损失等。</w:t>
      </w:r>
    </w:p>
    <w:p w14:paraId="36CCD8D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bookmarkStart w:id="118" w:name="_Toc4624_WPSOffice_Level1"/>
      <w:r>
        <w:rPr>
          <w:rFonts w:hint="eastAsia" w:ascii="仿宋_GB2312" w:hAnsi="仿宋_GB2312" w:eastAsia="仿宋_GB2312" w:cs="仿宋_GB2312"/>
          <w:b/>
          <w:color w:val="auto"/>
          <w:sz w:val="28"/>
          <w:szCs w:val="28"/>
          <w:highlight w:val="none"/>
        </w:rPr>
        <w:t>第十</w:t>
      </w:r>
      <w:r>
        <w:rPr>
          <w:rFonts w:hint="eastAsia" w:ascii="仿宋_GB2312" w:hAnsi="仿宋_GB2312" w:eastAsia="仿宋_GB2312" w:cs="仿宋_GB2312"/>
          <w:b/>
          <w:color w:val="auto"/>
          <w:sz w:val="28"/>
          <w:szCs w:val="28"/>
          <w:highlight w:val="none"/>
          <w:lang w:eastAsia="zh-CN"/>
        </w:rPr>
        <w:t>五</w:t>
      </w:r>
      <w:r>
        <w:rPr>
          <w:rFonts w:hint="eastAsia" w:ascii="仿宋_GB2312" w:hAnsi="仿宋_GB2312" w:eastAsia="仿宋_GB2312" w:cs="仿宋_GB2312"/>
          <w:b/>
          <w:color w:val="auto"/>
          <w:sz w:val="28"/>
          <w:szCs w:val="28"/>
          <w:highlight w:val="none"/>
        </w:rPr>
        <w:t>条 通信送达</w:t>
      </w:r>
      <w:bookmarkEnd w:id="118"/>
    </w:p>
    <w:p w14:paraId="632FCE3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1.甲、乙双方约定以下通信地址为双方通知或文件的送达地址：</w:t>
      </w:r>
    </w:p>
    <w:p w14:paraId="33551E7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lang w:val="en-US" w:eastAsia="zh-CN"/>
        </w:rPr>
        <w:t>甲方收件地址：深圳市福田区上梅林中康路27号</w:t>
      </w:r>
    </w:p>
    <w:p w14:paraId="2078ACD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rPr>
        <w:t>甲方联系人：</w:t>
      </w:r>
    </w:p>
    <w:p w14:paraId="1FACA2F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乙方收件地址：</w:t>
      </w:r>
    </w:p>
    <w:p w14:paraId="5234D44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乙方联系人：</w:t>
      </w:r>
    </w:p>
    <w:p w14:paraId="0D338D7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2.双方确认，与本合同履行有关而发出的所有书面通知或其他通讯，或者因争议解决由司法裁判机关发出的法律文书，均以本合同确定的通讯地址为准。</w:t>
      </w:r>
    </w:p>
    <w:p w14:paraId="4057FBC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3.以特快专递邮寄送达的方式，发生收件人拒绝签收或其他无法送达情形的，如按上述地址邮寄文件被邮政部门退回的，退回之日视为送达之日。任何一方的收件地址发生变更的，应当及时书面通知对方，否则因此产生的一切不利后果自行承担。</w:t>
      </w:r>
    </w:p>
    <w:p w14:paraId="784FDA2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textAlignment w:val="auto"/>
        <w:rPr>
          <w:rFonts w:ascii="仿宋_GB2312" w:hAnsi="仿宋_GB2312" w:eastAsia="仿宋_GB2312" w:cs="仿宋_GB2312"/>
          <w:bCs/>
          <w:color w:val="auto"/>
          <w:sz w:val="28"/>
          <w:szCs w:val="28"/>
          <w:highlight w:val="none"/>
        </w:rPr>
      </w:pPr>
      <w:bookmarkStart w:id="119" w:name="_Hlk107507037"/>
      <w:r>
        <w:rPr>
          <w:rFonts w:hint="eastAsia" w:ascii="仿宋_GB2312" w:hAnsi="仿宋_GB2312" w:eastAsia="仿宋_GB2312" w:cs="仿宋_GB2312"/>
          <w:bCs/>
          <w:color w:val="auto"/>
          <w:sz w:val="28"/>
          <w:szCs w:val="28"/>
          <w:highlight w:val="none"/>
        </w:rPr>
        <w:t>4.如上述地址无法送达的，以双方当事人的注册地址作为送达地址。</w:t>
      </w:r>
      <w:bookmarkEnd w:id="119"/>
    </w:p>
    <w:p w14:paraId="33D88F2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第十</w:t>
      </w:r>
      <w:r>
        <w:rPr>
          <w:rFonts w:hint="eastAsia" w:ascii="仿宋_GB2312" w:hAnsi="仿宋_GB2312" w:eastAsia="仿宋_GB2312" w:cs="仿宋_GB2312"/>
          <w:b/>
          <w:color w:val="auto"/>
          <w:sz w:val="28"/>
          <w:szCs w:val="28"/>
          <w:highlight w:val="none"/>
          <w:lang w:eastAsia="zh-CN"/>
        </w:rPr>
        <w:t>六</w:t>
      </w:r>
      <w:r>
        <w:rPr>
          <w:rFonts w:hint="eastAsia" w:ascii="仿宋_GB2312" w:hAnsi="仿宋_GB2312" w:eastAsia="仿宋_GB2312" w:cs="仿宋_GB2312"/>
          <w:b/>
          <w:color w:val="auto"/>
          <w:sz w:val="28"/>
          <w:szCs w:val="28"/>
          <w:highlight w:val="none"/>
        </w:rPr>
        <w:t>条 廉洁合作</w:t>
      </w:r>
    </w:p>
    <w:p w14:paraId="5D84282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为确保防范通过政府采购项目拿回扣、职务侵占、商业贿赂等腐败行为，乙方应在合同签订时将《廉洁合作承诺书(企业承诺)》一并递交甲方备案,并在合同签订后与员工签订《廉洁从业承诺书(员工承诺)》,乙方存档备查。</w:t>
      </w:r>
    </w:p>
    <w:p w14:paraId="4905E7F0">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2.</w:t>
      </w:r>
      <w:r>
        <w:rPr>
          <w:rFonts w:hint="eastAsia" w:ascii="仿宋_GB2312" w:hAnsi="仿宋_GB2312" w:eastAsia="仿宋_GB2312" w:cs="仿宋_GB2312"/>
          <w:bCs/>
          <w:color w:val="auto"/>
          <w:sz w:val="28"/>
          <w:szCs w:val="28"/>
          <w:highlight w:val="none"/>
          <w:lang w:eastAsia="zh-CN"/>
        </w:rPr>
        <w:t>如</w:t>
      </w:r>
      <w:r>
        <w:rPr>
          <w:rFonts w:hint="eastAsia" w:ascii="仿宋_GB2312" w:hAnsi="仿宋_GB2312" w:eastAsia="仿宋_GB2312" w:cs="仿宋_GB2312"/>
          <w:bCs/>
          <w:color w:val="auto"/>
          <w:sz w:val="28"/>
          <w:szCs w:val="28"/>
          <w:highlight w:val="none"/>
        </w:rPr>
        <w:t>因本项目使用资金为财政资金，乙方应具备健全的财务会计制度，并完整保存本项目相关资料，审计部门等监管机构有权对资金流向实施监管。对不配合监督检查工作的，审计部门等监管机构可以根据相关规定进行处理，并向有关部门提出给予处分的建议。</w:t>
      </w:r>
    </w:p>
    <w:p w14:paraId="4C908D0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u w:val="single"/>
        </w:rPr>
      </w:pPr>
      <w:r>
        <w:rPr>
          <w:rFonts w:hint="eastAsia" w:ascii="仿宋_GB2312" w:hAnsi="仿宋_GB2312" w:eastAsia="仿宋_GB2312" w:cs="仿宋_GB2312"/>
          <w:b/>
          <w:color w:val="auto"/>
          <w:sz w:val="28"/>
          <w:szCs w:val="28"/>
          <w:highlight w:val="none"/>
        </w:rPr>
        <w:t>第十</w:t>
      </w:r>
      <w:r>
        <w:rPr>
          <w:rFonts w:hint="eastAsia" w:ascii="仿宋_GB2312" w:hAnsi="仿宋_GB2312" w:eastAsia="仿宋_GB2312" w:cs="仿宋_GB2312"/>
          <w:b/>
          <w:color w:val="auto"/>
          <w:sz w:val="28"/>
          <w:szCs w:val="28"/>
          <w:highlight w:val="none"/>
          <w:lang w:eastAsia="zh-CN"/>
        </w:rPr>
        <w:t>七</w:t>
      </w:r>
      <w:r>
        <w:rPr>
          <w:rFonts w:hint="eastAsia" w:ascii="仿宋_GB2312" w:hAnsi="仿宋_GB2312" w:eastAsia="仿宋_GB2312" w:cs="仿宋_GB2312"/>
          <w:b/>
          <w:color w:val="auto"/>
          <w:sz w:val="28"/>
          <w:szCs w:val="28"/>
          <w:highlight w:val="none"/>
        </w:rPr>
        <w:t xml:space="preserve">条 </w:t>
      </w:r>
      <w:bookmarkStart w:id="120" w:name="_Toc12695_WPSOffice_Level1"/>
      <w:r>
        <w:rPr>
          <w:rFonts w:hint="eastAsia" w:ascii="仿宋_GB2312" w:hAnsi="仿宋_GB2312" w:eastAsia="仿宋_GB2312" w:cs="仿宋_GB2312"/>
          <w:b/>
          <w:color w:val="auto"/>
          <w:sz w:val="28"/>
          <w:szCs w:val="28"/>
          <w:highlight w:val="none"/>
        </w:rPr>
        <w:t>附则</w:t>
      </w:r>
      <w:bookmarkEnd w:id="120"/>
    </w:p>
    <w:p w14:paraId="49ABBBE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1.本合同一式</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三</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份，甲方执</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两</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份，乙方执</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一</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份，具有同等法律效力。本合同自双方法定代表人、负责人（或授权代表）签字并盖章之日起生效，自本合同双方权利义务履行完毕时终止。</w:t>
      </w:r>
    </w:p>
    <w:p w14:paraId="1B684EA6">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自本协议生效之日起</w:t>
      </w:r>
      <w:r>
        <w:rPr>
          <w:rFonts w:hint="eastAsia" w:ascii="仿宋_GB2312" w:hAnsi="仿宋_GB2312" w:eastAsia="仿宋_GB2312" w:cs="仿宋_GB2312"/>
          <w:color w:val="auto"/>
          <w:sz w:val="28"/>
          <w:szCs w:val="28"/>
          <w:highlight w:val="none"/>
          <w:lang w:eastAsia="zh-CN"/>
        </w:rPr>
        <w:t>按甲方实际发送的需求计划及时配送物资。</w:t>
      </w:r>
    </w:p>
    <w:p w14:paraId="3C00BEA0">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2.本合同中的任何条款如因任何原因导致无效、被撤销或不可执行，本合同其他条款仍保持原有效力，应当继续予以履行。</w:t>
      </w:r>
    </w:p>
    <w:p w14:paraId="4CFEB90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u w:val="single"/>
        </w:rPr>
      </w:pPr>
      <w:bookmarkStart w:id="121" w:name="_Toc20575_WPSOffice_Level1"/>
      <w:r>
        <w:rPr>
          <w:rFonts w:hint="eastAsia" w:ascii="仿宋_GB2312" w:hAnsi="仿宋_GB2312" w:eastAsia="仿宋_GB2312" w:cs="仿宋_GB2312"/>
          <w:b/>
          <w:color w:val="auto"/>
          <w:sz w:val="28"/>
          <w:szCs w:val="28"/>
          <w:highlight w:val="none"/>
        </w:rPr>
        <w:t>第十</w:t>
      </w:r>
      <w:r>
        <w:rPr>
          <w:rFonts w:hint="eastAsia" w:ascii="仿宋_GB2312" w:hAnsi="仿宋_GB2312" w:eastAsia="仿宋_GB2312" w:cs="仿宋_GB2312"/>
          <w:b/>
          <w:color w:val="auto"/>
          <w:sz w:val="28"/>
          <w:szCs w:val="28"/>
          <w:highlight w:val="none"/>
          <w:lang w:eastAsia="zh-CN"/>
        </w:rPr>
        <w:t>八</w:t>
      </w:r>
      <w:r>
        <w:rPr>
          <w:rFonts w:hint="eastAsia" w:ascii="仿宋_GB2312" w:hAnsi="仿宋_GB2312" w:eastAsia="仿宋_GB2312" w:cs="仿宋_GB2312"/>
          <w:b/>
          <w:color w:val="auto"/>
          <w:sz w:val="28"/>
          <w:szCs w:val="28"/>
          <w:highlight w:val="none"/>
        </w:rPr>
        <w:t>条 合同组成文件</w:t>
      </w:r>
    </w:p>
    <w:p w14:paraId="03E2FA21">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下列文件为本合同的组成部分，并构成一个整体，需综合解释、相互补充。如果下列文件内容出现不一致的情形，在保证按照采购文件确定的事项的前提下，组成本合同的多个文件的优先适用顺序如下：</w:t>
      </w:r>
    </w:p>
    <w:p w14:paraId="24C9B907">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1.本合同及其</w:t>
      </w:r>
      <w:r>
        <w:rPr>
          <w:rFonts w:hint="eastAsia" w:ascii="仿宋_GB2312" w:hAnsi="仿宋_GB2312" w:eastAsia="仿宋_GB2312" w:cs="仿宋_GB2312"/>
          <w:color w:val="auto"/>
          <w:sz w:val="28"/>
          <w:szCs w:val="28"/>
          <w:highlight w:val="none"/>
          <w:lang w:eastAsia="zh-CN"/>
        </w:rPr>
        <w:t>附件、</w:t>
      </w:r>
      <w:r>
        <w:rPr>
          <w:rFonts w:hint="eastAsia" w:ascii="仿宋_GB2312" w:hAnsi="仿宋_GB2312" w:eastAsia="仿宋_GB2312" w:cs="仿宋_GB2312"/>
          <w:color w:val="auto"/>
          <w:sz w:val="28"/>
          <w:szCs w:val="28"/>
          <w:highlight w:val="none"/>
        </w:rPr>
        <w:t>补充合同、变更协议；</w:t>
      </w:r>
    </w:p>
    <w:p w14:paraId="6945890F">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通知书；</w:t>
      </w:r>
    </w:p>
    <w:p w14:paraId="29B7820F">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lang w:eastAsia="zh-CN"/>
        </w:rPr>
        <w:t>响应</w:t>
      </w:r>
      <w:r>
        <w:rPr>
          <w:rFonts w:hint="eastAsia" w:ascii="仿宋_GB2312" w:hAnsi="仿宋_GB2312" w:eastAsia="仿宋_GB2312" w:cs="仿宋_GB2312"/>
          <w:color w:val="auto"/>
          <w:sz w:val="28"/>
          <w:szCs w:val="28"/>
          <w:highlight w:val="none"/>
        </w:rPr>
        <w:t>文件（含澄清或者说明文件）；</w:t>
      </w:r>
    </w:p>
    <w:p w14:paraId="1BFE050D">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文件（含澄清或者修改文件）；</w:t>
      </w:r>
    </w:p>
    <w:p w14:paraId="03D3389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其他相关采购文件。</w:t>
      </w:r>
    </w:p>
    <w:p w14:paraId="766D145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hint="eastAsia" w:ascii="仿宋_GB2312" w:hAnsi="仿宋_GB2312" w:eastAsia="仿宋_GB2312" w:cs="仿宋_GB2312"/>
          <w:b/>
          <w:color w:val="auto"/>
          <w:sz w:val="28"/>
          <w:szCs w:val="28"/>
          <w:highlight w:val="none"/>
          <w:lang w:eastAsia="zh-CN"/>
        </w:rPr>
      </w:pPr>
      <w:r>
        <w:rPr>
          <w:rFonts w:hint="eastAsia" w:ascii="仿宋_GB2312" w:hAnsi="仿宋_GB2312" w:eastAsia="仿宋_GB2312" w:cs="仿宋_GB2312"/>
          <w:b/>
          <w:color w:val="auto"/>
          <w:sz w:val="28"/>
          <w:szCs w:val="28"/>
          <w:highlight w:val="none"/>
        </w:rPr>
        <w:t>第十</w:t>
      </w:r>
      <w:r>
        <w:rPr>
          <w:rFonts w:hint="eastAsia" w:ascii="仿宋_GB2312" w:hAnsi="仿宋_GB2312" w:eastAsia="仿宋_GB2312" w:cs="仿宋_GB2312"/>
          <w:b/>
          <w:color w:val="auto"/>
          <w:sz w:val="28"/>
          <w:szCs w:val="28"/>
          <w:highlight w:val="none"/>
          <w:lang w:eastAsia="zh-CN"/>
        </w:rPr>
        <w:t>九</w:t>
      </w:r>
      <w:r>
        <w:rPr>
          <w:rFonts w:hint="eastAsia" w:ascii="仿宋_GB2312" w:hAnsi="仿宋_GB2312" w:eastAsia="仿宋_GB2312" w:cs="仿宋_GB2312"/>
          <w:b/>
          <w:color w:val="auto"/>
          <w:sz w:val="28"/>
          <w:szCs w:val="28"/>
          <w:highlight w:val="none"/>
        </w:rPr>
        <w:t>条 合同</w:t>
      </w:r>
      <w:r>
        <w:rPr>
          <w:rFonts w:hint="eastAsia" w:ascii="仿宋_GB2312" w:hAnsi="仿宋_GB2312" w:eastAsia="仿宋_GB2312" w:cs="仿宋_GB2312"/>
          <w:b/>
          <w:color w:val="auto"/>
          <w:sz w:val="28"/>
          <w:szCs w:val="28"/>
          <w:highlight w:val="none"/>
          <w:lang w:eastAsia="zh-CN"/>
        </w:rPr>
        <w:t>时限</w:t>
      </w:r>
    </w:p>
    <w:p w14:paraId="60BF4D41">
      <w:pPr>
        <w:keepNext w:val="0"/>
        <w:keepLines w:val="0"/>
        <w:pageBreakBefore w:val="0"/>
        <w:widowControl w:val="0"/>
        <w:kinsoku/>
        <w:overflowPunct/>
        <w:topLinePunct w:val="0"/>
        <w:autoSpaceDE/>
        <w:autoSpaceDN/>
        <w:bidi w:val="0"/>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 w:hAnsi="仿宋" w:eastAsia="仿宋" w:cs="仿宋"/>
          <w:color w:val="auto"/>
          <w:sz w:val="28"/>
          <w:szCs w:val="28"/>
          <w:highlight w:val="none"/>
        </w:rPr>
        <w:t>本合同</w:t>
      </w:r>
      <w:r>
        <w:rPr>
          <w:rFonts w:hint="eastAsia" w:ascii="仿宋" w:hAnsi="仿宋" w:eastAsia="仿宋" w:cs="仿宋"/>
          <w:color w:val="auto"/>
          <w:sz w:val="28"/>
          <w:szCs w:val="28"/>
          <w:highlight w:val="none"/>
          <w:lang w:eastAsia="zh-CN"/>
        </w:rPr>
        <w:t>有效时限</w:t>
      </w:r>
      <w:r>
        <w:rPr>
          <w:rFonts w:hint="eastAsia" w:ascii="仿宋" w:hAnsi="仿宋" w:eastAsia="仿宋" w:cs="仿宋"/>
          <w:color w:val="auto"/>
          <w:sz w:val="28"/>
          <w:szCs w:val="28"/>
          <w:highlight w:val="none"/>
          <w:lang w:val="en-US" w:eastAsia="zh-CN"/>
        </w:rPr>
        <w:t xml:space="preserve">  个月</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 xml:space="preserve">    年   月   日至    年   月   日</w:t>
      </w:r>
      <w:r>
        <w:rPr>
          <w:rFonts w:hint="eastAsia" w:ascii="仿宋" w:hAnsi="仿宋" w:eastAsia="仿宋" w:cs="仿宋"/>
          <w:color w:val="auto"/>
          <w:sz w:val="28"/>
          <w:szCs w:val="28"/>
          <w:highlight w:val="none"/>
          <w:lang w:eastAsia="zh-CN"/>
        </w:rPr>
        <w:t>止。</w:t>
      </w:r>
    </w:p>
    <w:p w14:paraId="229450CA">
      <w:pPr>
        <w:keepNext/>
        <w:keepLines/>
        <w:widowControl w:val="0"/>
        <w:spacing w:line="576" w:lineRule="auto"/>
        <w:jc w:val="both"/>
        <w:outlineLvl w:val="9"/>
        <w:rPr>
          <w:rFonts w:hint="eastAsia" w:ascii="仿宋_GB2312" w:hAnsi="仿宋_GB2312" w:eastAsia="仿宋_GB2312" w:cs="仿宋_GB2312"/>
          <w:b/>
          <w:color w:val="auto"/>
          <w:kern w:val="44"/>
          <w:sz w:val="28"/>
          <w:szCs w:val="28"/>
          <w:highlight w:val="none"/>
          <w:lang w:val="en-US" w:eastAsia="zh-CN" w:bidi="ar-SA"/>
        </w:rPr>
      </w:pPr>
    </w:p>
    <w:p w14:paraId="1CC65C5F">
      <w:pPr>
        <w:rPr>
          <w:rFonts w:hint="eastAsia"/>
          <w:highlight w:val="none"/>
        </w:rPr>
      </w:pPr>
    </w:p>
    <w:p w14:paraId="23505D1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firstLine="280" w:firstLineChars="1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附件一：货</w:t>
      </w:r>
      <w:r>
        <w:rPr>
          <w:rFonts w:hint="eastAsia" w:ascii="仿宋_GB2312" w:hAnsi="仿宋_GB2312" w:eastAsia="仿宋_GB2312" w:cs="仿宋_GB2312"/>
          <w:color w:val="auto"/>
          <w:sz w:val="28"/>
          <w:szCs w:val="28"/>
          <w:highlight w:val="none"/>
          <w:lang w:val="en-US" w:eastAsia="zh-CN"/>
        </w:rPr>
        <w:t>品</w:t>
      </w:r>
      <w:r>
        <w:rPr>
          <w:rFonts w:hint="eastAsia" w:ascii="仿宋_GB2312" w:hAnsi="仿宋_GB2312" w:eastAsia="仿宋_GB2312" w:cs="仿宋_GB2312"/>
          <w:color w:val="auto"/>
          <w:sz w:val="28"/>
          <w:szCs w:val="28"/>
          <w:highlight w:val="none"/>
        </w:rPr>
        <w:t>清单</w:t>
      </w:r>
      <w:bookmarkEnd w:id="121"/>
      <w:bookmarkStart w:id="122" w:name="_Toc26357_WPSOffice_Level1"/>
    </w:p>
    <w:p w14:paraId="2628541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firstLine="280" w:firstLineChars="1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附件二：廉洁合作承诺书（企业承诺）</w:t>
      </w:r>
      <w:bookmarkEnd w:id="122"/>
    </w:p>
    <w:p w14:paraId="395234FD">
      <w:pPr>
        <w:keepNext w:val="0"/>
        <w:keepLines w:val="0"/>
        <w:pageBreakBefore w:val="0"/>
        <w:widowControl w:val="0"/>
        <w:kinsoku/>
        <w:overflowPunct/>
        <w:topLinePunct w:val="0"/>
        <w:autoSpaceDE/>
        <w:autoSpaceDN/>
        <w:bidi w:val="0"/>
        <w:ind w:firstLine="280" w:firstLineChars="100"/>
        <w:textAlignment w:val="auto"/>
        <w:rPr>
          <w:rFonts w:hint="eastAsia" w:ascii="仿宋" w:hAnsi="仿宋" w:eastAsia="仿宋" w:cs="仿宋"/>
          <w:color w:val="auto"/>
          <w:sz w:val="28"/>
          <w:szCs w:val="28"/>
          <w:highlight w:val="none"/>
        </w:rPr>
      </w:pPr>
      <w:bookmarkStart w:id="123" w:name="_Toc28445_WPSOffice_Level1"/>
      <w:r>
        <w:rPr>
          <w:rFonts w:hint="eastAsia" w:ascii="仿宋_GB2312" w:hAnsi="仿宋_GB2312" w:eastAsia="仿宋_GB2312" w:cs="仿宋_GB2312"/>
          <w:color w:val="auto"/>
          <w:sz w:val="28"/>
          <w:szCs w:val="28"/>
          <w:highlight w:val="none"/>
        </w:rPr>
        <w:t>附件三：廉洁从业承诺书（员工承诺</w:t>
      </w:r>
      <w:bookmarkEnd w:id="123"/>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rPr>
        <w:br w:type="page"/>
      </w:r>
      <w:r>
        <w:rPr>
          <w:rFonts w:hint="eastAsia" w:ascii="仿宋" w:hAnsi="仿宋" w:eastAsia="仿宋" w:cs="仿宋"/>
          <w:color w:val="auto"/>
          <w:sz w:val="28"/>
          <w:szCs w:val="28"/>
          <w:highlight w:val="none"/>
        </w:rPr>
        <w:t>（本页无正文，为</w:t>
      </w:r>
      <w:r>
        <w:rPr>
          <w:rFonts w:hint="eastAsia" w:ascii="仿宋" w:hAnsi="仿宋" w:eastAsia="仿宋" w:cs="仿宋"/>
          <w:color w:val="auto"/>
          <w:highlight w:val="none"/>
        </w:rPr>
        <w:t>《     》</w:t>
      </w:r>
      <w:r>
        <w:rPr>
          <w:rFonts w:hint="eastAsia" w:ascii="仿宋" w:hAnsi="仿宋" w:eastAsia="仿宋" w:cs="仿宋"/>
          <w:color w:val="auto"/>
          <w:sz w:val="28"/>
          <w:szCs w:val="28"/>
          <w:highlight w:val="none"/>
          <w:lang w:val="en-US" w:eastAsia="zh-CN"/>
        </w:rPr>
        <w:t>合同</w:t>
      </w:r>
      <w:r>
        <w:rPr>
          <w:rFonts w:hint="eastAsia" w:ascii="仿宋" w:hAnsi="仿宋" w:eastAsia="仿宋" w:cs="仿宋"/>
          <w:color w:val="auto"/>
          <w:sz w:val="28"/>
          <w:szCs w:val="28"/>
          <w:highlight w:val="none"/>
        </w:rPr>
        <w:t>签署页）</w:t>
      </w:r>
    </w:p>
    <w:p w14:paraId="674972AE">
      <w:pPr>
        <w:pStyle w:val="31"/>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0" w:firstLineChars="0"/>
        <w:jc w:val="left"/>
        <w:textAlignment w:val="auto"/>
        <w:rPr>
          <w:rFonts w:hint="eastAsia" w:ascii="仿宋" w:hAnsi="仿宋" w:eastAsia="仿宋" w:cs="仿宋"/>
          <w:color w:val="auto"/>
          <w:highlight w:val="none"/>
        </w:rPr>
      </w:pPr>
    </w:p>
    <w:p w14:paraId="057CF159">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rFonts w:hint="eastAsia" w:ascii="仿宋" w:hAnsi="仿宋" w:eastAsia="仿宋" w:cs="仿宋"/>
          <w:color w:val="auto"/>
          <w:sz w:val="28"/>
          <w:szCs w:val="28"/>
          <w:highlight w:val="none"/>
        </w:rPr>
      </w:pPr>
    </w:p>
    <w:p w14:paraId="3AC29902">
      <w:pPr>
        <w:keepNext w:val="0"/>
        <w:keepLines w:val="0"/>
        <w:pageBreakBefore w:val="0"/>
        <w:widowControl/>
        <w:kinsoku/>
        <w:overflowPunct/>
        <w:topLinePunct w:val="0"/>
        <w:autoSpaceDE/>
        <w:autoSpaceDN/>
        <w:bidi w:val="0"/>
        <w:adjustRightInd w:val="0"/>
        <w:snapToGrid w:val="0"/>
        <w:spacing w:beforeAutospacing="0" w:afterAutospacing="0"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甲方：                              乙方：</w:t>
      </w:r>
    </w:p>
    <w:p w14:paraId="63AB85C4">
      <w:pPr>
        <w:keepNext w:val="0"/>
        <w:keepLines w:val="0"/>
        <w:pageBreakBefore w:val="0"/>
        <w:widowControl/>
        <w:kinsoku/>
        <w:wordWrap/>
        <w:overflowPunct/>
        <w:topLinePunct w:val="0"/>
        <w:autoSpaceDE/>
        <w:autoSpaceDN/>
        <w:bidi w:val="0"/>
        <w:adjustRightInd w:val="0"/>
        <w:snapToGrid w:val="0"/>
        <w:spacing w:beforeAutospacing="0" w:afterAutospacing="0" w:line="7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                        法定代表人：</w:t>
      </w:r>
    </w:p>
    <w:p w14:paraId="34E9B64B">
      <w:pPr>
        <w:keepNext w:val="0"/>
        <w:keepLines w:val="0"/>
        <w:pageBreakBefore w:val="0"/>
        <w:widowControl/>
        <w:kinsoku/>
        <w:wordWrap/>
        <w:overflowPunct/>
        <w:topLinePunct w:val="0"/>
        <w:autoSpaceDE/>
        <w:autoSpaceDN/>
        <w:bidi w:val="0"/>
        <w:adjustRightInd w:val="0"/>
        <w:snapToGrid w:val="0"/>
        <w:spacing w:beforeAutospacing="0" w:afterAutospacing="0" w:line="7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委托代理人：                        委托代理人：</w:t>
      </w:r>
    </w:p>
    <w:p w14:paraId="03FC3E6F">
      <w:pPr>
        <w:keepNext w:val="0"/>
        <w:keepLines w:val="0"/>
        <w:pageBreakBefore w:val="0"/>
        <w:widowControl/>
        <w:kinsoku/>
        <w:wordWrap/>
        <w:overflowPunct/>
        <w:topLinePunct w:val="0"/>
        <w:autoSpaceDE/>
        <w:autoSpaceDN/>
        <w:bidi w:val="0"/>
        <w:adjustRightInd w:val="0"/>
        <w:snapToGrid w:val="0"/>
        <w:spacing w:beforeAutospacing="0" w:afterAutospacing="0" w:line="76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联系电话：</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          联系</w:t>
      </w:r>
      <w:r>
        <w:rPr>
          <w:rFonts w:hint="eastAsia" w:ascii="仿宋" w:hAnsi="仿宋" w:eastAsia="仿宋" w:cs="仿宋"/>
          <w:color w:val="auto"/>
          <w:sz w:val="28"/>
          <w:szCs w:val="28"/>
          <w:highlight w:val="none"/>
          <w:lang w:val="en-US" w:eastAsia="zh-CN"/>
        </w:rPr>
        <w:t>电话：</w:t>
      </w:r>
    </w:p>
    <w:p w14:paraId="05EBEAD1">
      <w:pPr>
        <w:keepNext w:val="0"/>
        <w:keepLines w:val="0"/>
        <w:pageBreakBefore w:val="0"/>
        <w:widowControl/>
        <w:kinsoku/>
        <w:wordWrap/>
        <w:overflowPunct/>
        <w:topLinePunct w:val="0"/>
        <w:autoSpaceDE/>
        <w:autoSpaceDN/>
        <w:bidi w:val="0"/>
        <w:adjustRightInd w:val="0"/>
        <w:snapToGrid w:val="0"/>
        <w:spacing w:beforeAutospacing="0" w:afterAutospacing="0" w:line="7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开户银行：</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      开户银行:</w:t>
      </w:r>
    </w:p>
    <w:p w14:paraId="08C51371">
      <w:pPr>
        <w:keepNext w:val="0"/>
        <w:keepLines w:val="0"/>
        <w:pageBreakBefore w:val="0"/>
        <w:widowControl/>
        <w:kinsoku/>
        <w:wordWrap/>
        <w:overflowPunct/>
        <w:topLinePunct w:val="0"/>
        <w:autoSpaceDE/>
        <w:autoSpaceDN/>
        <w:bidi w:val="0"/>
        <w:adjustRightInd w:val="0"/>
        <w:snapToGrid w:val="0"/>
        <w:spacing w:beforeAutospacing="0" w:afterAutospacing="0" w:line="7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帐号：</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          帐号：</w:t>
      </w:r>
    </w:p>
    <w:p w14:paraId="7D6D14F5">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jc w:val="left"/>
        <w:textAlignment w:val="auto"/>
        <w:rPr>
          <w:rFonts w:hint="eastAsia" w:ascii="仿宋" w:hAnsi="仿宋" w:eastAsia="仿宋" w:cs="仿宋"/>
          <w:color w:val="auto"/>
          <w:sz w:val="28"/>
          <w:szCs w:val="28"/>
          <w:highlight w:val="none"/>
        </w:rPr>
      </w:pPr>
    </w:p>
    <w:p w14:paraId="2D51ACFE">
      <w:pPr>
        <w:keepNext w:val="0"/>
        <w:keepLines w:val="0"/>
        <w:pageBreakBefore w:val="0"/>
        <w:widowControl/>
        <w:kinsoku/>
        <w:overflowPunct/>
        <w:topLinePunct w:val="0"/>
        <w:autoSpaceDE/>
        <w:autoSpaceDN/>
        <w:bidi w:val="0"/>
        <w:adjustRightInd w:val="0"/>
        <w:snapToGrid w:val="0"/>
        <w:spacing w:beforeAutospacing="0" w:afterAutospacing="0"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签约时间：     年     月     日</w:t>
      </w:r>
    </w:p>
    <w:p w14:paraId="6220232D">
      <w:pPr>
        <w:keepNext w:val="0"/>
        <w:keepLines w:val="0"/>
        <w:pageBreakBefore w:val="0"/>
        <w:widowControl/>
        <w:kinsoku/>
        <w:overflowPunct/>
        <w:topLinePunct w:val="0"/>
        <w:autoSpaceDE/>
        <w:autoSpaceDN/>
        <w:bidi w:val="0"/>
        <w:adjustRightInd w:val="0"/>
        <w:snapToGrid w:val="0"/>
        <w:spacing w:beforeAutospacing="0" w:afterAutospacing="0"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签约地点：</w:t>
      </w:r>
    </w:p>
    <w:p w14:paraId="52289DD5">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rFonts w:ascii="仿宋_GB2312" w:hAnsi="仿宋_GB2312" w:eastAsia="仿宋_GB2312" w:cs="仿宋_GB2312"/>
          <w:color w:val="auto"/>
          <w:sz w:val="28"/>
          <w:szCs w:val="28"/>
          <w:highlight w:val="none"/>
        </w:rPr>
      </w:pPr>
    </w:p>
    <w:p w14:paraId="0F9C6210">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color w:val="auto"/>
          <w:highlight w:val="none"/>
        </w:rPr>
      </w:pPr>
    </w:p>
    <w:p w14:paraId="20D5D49F">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color w:val="auto"/>
          <w:highlight w:val="none"/>
        </w:rPr>
      </w:pPr>
    </w:p>
    <w:p w14:paraId="28A42370">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color w:val="auto"/>
          <w:highlight w:val="none"/>
        </w:rPr>
      </w:pPr>
    </w:p>
    <w:p w14:paraId="0093AFA0">
      <w:pPr>
        <w:pageBreakBefore w:val="0"/>
        <w:kinsoku/>
        <w:overflowPunct/>
        <w:topLinePunct w:val="0"/>
        <w:autoSpaceDE/>
        <w:autoSpaceDN/>
        <w:bidi w:val="0"/>
        <w:adjustRightInd w:val="0"/>
        <w:snapToGrid w:val="0"/>
        <w:spacing w:beforeAutospacing="0" w:afterAutospacing="0" w:line="560" w:lineRule="exact"/>
        <w:ind w:left="0" w:leftChars="0"/>
        <w:textAlignment w:val="auto"/>
        <w:rPr>
          <w:color w:val="auto"/>
          <w:highlight w:val="none"/>
        </w:rPr>
      </w:pPr>
    </w:p>
    <w:p w14:paraId="5BF450CA">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color w:val="auto"/>
          <w:kern w:val="0"/>
          <w:szCs w:val="21"/>
          <w:highlight w:val="none"/>
        </w:rPr>
      </w:pPr>
    </w:p>
    <w:p w14:paraId="0AE6E607">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color w:val="auto"/>
          <w:kern w:val="0"/>
          <w:szCs w:val="21"/>
          <w:highlight w:val="none"/>
        </w:rPr>
      </w:pPr>
    </w:p>
    <w:p w14:paraId="5E05CBEE">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color w:val="auto"/>
          <w:kern w:val="0"/>
          <w:szCs w:val="21"/>
          <w:highlight w:val="none"/>
        </w:rPr>
      </w:pPr>
    </w:p>
    <w:p w14:paraId="4A0F695D">
      <w:pPr>
        <w:pStyle w:val="1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rPr>
          <w:rFonts w:ascii="仿宋_GB2312" w:hAnsi="仿宋_GB2312" w:eastAsia="仿宋_GB2312" w:cs="仿宋_GB2312"/>
          <w:b/>
          <w:color w:val="auto"/>
          <w:sz w:val="28"/>
          <w:szCs w:val="28"/>
          <w:highlight w:val="none"/>
        </w:rPr>
      </w:pPr>
    </w:p>
    <w:p w14:paraId="5160E6F8">
      <w:pPr>
        <w:pStyle w:val="1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rPr>
          <w:rFonts w:ascii="仿宋_GB2312" w:hAnsi="仿宋_GB2312" w:eastAsia="仿宋_GB2312" w:cs="仿宋_GB2312"/>
          <w:b/>
          <w:color w:val="auto"/>
          <w:sz w:val="28"/>
          <w:szCs w:val="28"/>
          <w:highlight w:val="none"/>
        </w:rPr>
      </w:pPr>
    </w:p>
    <w:p w14:paraId="11C39E99">
      <w:pPr>
        <w:pStyle w:val="1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rPr>
          <w:rFonts w:ascii="仿宋_GB2312" w:hAnsi="仿宋_GB2312" w:eastAsia="仿宋_GB2312" w:cs="仿宋_GB2312"/>
          <w:b/>
          <w:color w:val="auto"/>
          <w:sz w:val="28"/>
          <w:szCs w:val="28"/>
          <w:highlight w:val="none"/>
        </w:rPr>
      </w:pPr>
    </w:p>
    <w:p w14:paraId="1C5FA0E2">
      <w:pPr>
        <w:pStyle w:val="1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outlineLvl w:val="9"/>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附件二：</w:t>
      </w:r>
    </w:p>
    <w:p w14:paraId="681FCABE">
      <w:pPr>
        <w:pStyle w:val="1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jc w:val="center"/>
        <w:textAlignment w:val="auto"/>
        <w:rPr>
          <w:rFonts w:ascii="方正小标宋_GBK" w:hAnsi="方正小标宋_GBK" w:eastAsia="方正小标宋_GBK" w:cs="方正小标宋_GBK"/>
          <w:bCs/>
          <w:color w:val="auto"/>
          <w:sz w:val="44"/>
          <w:szCs w:val="44"/>
          <w:highlight w:val="none"/>
        </w:rPr>
      </w:pPr>
    </w:p>
    <w:p w14:paraId="052D69FB">
      <w:pPr>
        <w:pStyle w:val="1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jc w:val="center"/>
        <w:textAlignment w:val="auto"/>
        <w:rPr>
          <w:rFonts w:ascii="方正小标宋_GBK" w:hAnsi="方正小标宋_GBK" w:eastAsia="方正小标宋_GBK" w:cs="方正小标宋_GBK"/>
          <w:bCs/>
          <w:color w:val="auto"/>
          <w:sz w:val="44"/>
          <w:szCs w:val="44"/>
          <w:highlight w:val="none"/>
        </w:rPr>
      </w:pPr>
      <w:r>
        <w:rPr>
          <w:rFonts w:hint="eastAsia" w:ascii="方正小标宋_GBK" w:hAnsi="方正小标宋_GBK" w:eastAsia="方正小标宋_GBK" w:cs="方正小标宋_GBK"/>
          <w:bCs/>
          <w:color w:val="auto"/>
          <w:sz w:val="44"/>
          <w:szCs w:val="44"/>
          <w:highlight w:val="none"/>
        </w:rPr>
        <w:t>廉洁合作承诺书</w:t>
      </w:r>
    </w:p>
    <w:p w14:paraId="06806A2B">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jc w:val="center"/>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（企业承诺）</w:t>
      </w:r>
    </w:p>
    <w:p w14:paraId="2D7FAEE4">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本公司决定参加项目</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。为维护公平竞争的市场秩序，促进企业廉洁从业、诚实守信，特承诺如下：</w:t>
      </w:r>
    </w:p>
    <w:p w14:paraId="013EAC6A">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一、严格遵守《中华人民共和国</w:t>
      </w:r>
      <w:r>
        <w:rPr>
          <w:rFonts w:hint="eastAsia" w:ascii="仿宋_GB2312" w:hAnsi="仿宋_GB2312" w:eastAsia="仿宋_GB2312" w:cs="仿宋_GB2312"/>
          <w:color w:val="auto"/>
          <w:sz w:val="28"/>
          <w:szCs w:val="28"/>
          <w:highlight w:val="none"/>
          <w:lang w:eastAsia="zh-CN"/>
        </w:rPr>
        <w:t>谈判</w:t>
      </w:r>
      <w:r>
        <w:rPr>
          <w:rFonts w:hint="eastAsia" w:ascii="仿宋_GB2312" w:hAnsi="仿宋_GB2312" w:eastAsia="仿宋_GB2312" w:cs="仿宋_GB2312"/>
          <w:color w:val="auto"/>
          <w:sz w:val="28"/>
          <w:szCs w:val="28"/>
          <w:highlight w:val="none"/>
        </w:rPr>
        <w:t>投标法》、《中华人民共和国政府采购法》等法律法规，决不发生以下行为：</w:t>
      </w:r>
    </w:p>
    <w:p w14:paraId="3AE389BC">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1.以他人名义投标，允许其他单位或个人使用本单位资质投标；</w:t>
      </w:r>
    </w:p>
    <w:p w14:paraId="1FCF3DF3">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2.提供虚假材料，或以其他方式弄虚作假骗取中标；</w:t>
      </w:r>
    </w:p>
    <w:p w14:paraId="2B87BDE3">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3.与</w:t>
      </w:r>
      <w:r>
        <w:rPr>
          <w:rFonts w:hint="eastAsia" w:ascii="仿宋_GB2312" w:hAnsi="仿宋_GB2312" w:eastAsia="仿宋_GB2312" w:cs="仿宋_GB2312"/>
          <w:color w:val="auto"/>
          <w:sz w:val="28"/>
          <w:szCs w:val="28"/>
          <w:highlight w:val="none"/>
          <w:lang w:eastAsia="zh-CN"/>
        </w:rPr>
        <w:t>谈判</w:t>
      </w:r>
      <w:r>
        <w:rPr>
          <w:rFonts w:hint="eastAsia" w:ascii="仿宋_GB2312" w:hAnsi="仿宋_GB2312" w:eastAsia="仿宋_GB2312" w:cs="仿宋_GB2312"/>
          <w:color w:val="auto"/>
          <w:sz w:val="28"/>
          <w:szCs w:val="28"/>
          <w:highlight w:val="none"/>
        </w:rPr>
        <w:t>人或者其他投标人相互串通投标；</w:t>
      </w:r>
    </w:p>
    <w:p w14:paraId="13775BCA">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4.中标后将项目转包，或违法分包；</w:t>
      </w:r>
    </w:p>
    <w:p w14:paraId="2D8C6D9C">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5.中标后与</w:t>
      </w:r>
      <w:r>
        <w:rPr>
          <w:rFonts w:hint="eastAsia" w:ascii="仿宋_GB2312" w:hAnsi="仿宋_GB2312" w:eastAsia="仿宋_GB2312" w:cs="仿宋_GB2312"/>
          <w:color w:val="auto"/>
          <w:sz w:val="28"/>
          <w:szCs w:val="28"/>
          <w:highlight w:val="none"/>
          <w:lang w:eastAsia="zh-CN"/>
        </w:rPr>
        <w:t>谈判</w:t>
      </w:r>
      <w:r>
        <w:rPr>
          <w:rFonts w:hint="eastAsia" w:ascii="仿宋_GB2312" w:hAnsi="仿宋_GB2312" w:eastAsia="仿宋_GB2312" w:cs="仿宋_GB2312"/>
          <w:color w:val="auto"/>
          <w:sz w:val="28"/>
          <w:szCs w:val="28"/>
          <w:highlight w:val="none"/>
        </w:rPr>
        <w:t>人签订背离投标文件及合同实质性内容的私下协议；</w:t>
      </w:r>
    </w:p>
    <w:p w14:paraId="70D2C4C4">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6.其他违反</w:t>
      </w:r>
      <w:r>
        <w:rPr>
          <w:rFonts w:hint="eastAsia" w:ascii="仿宋_GB2312" w:hAnsi="仿宋_GB2312" w:eastAsia="仿宋_GB2312" w:cs="仿宋_GB2312"/>
          <w:color w:val="auto"/>
          <w:sz w:val="28"/>
          <w:szCs w:val="28"/>
          <w:highlight w:val="none"/>
          <w:lang w:eastAsia="zh-CN"/>
        </w:rPr>
        <w:t>谈判</w:t>
      </w:r>
      <w:r>
        <w:rPr>
          <w:rFonts w:hint="eastAsia" w:ascii="仿宋_GB2312" w:hAnsi="仿宋_GB2312" w:eastAsia="仿宋_GB2312" w:cs="仿宋_GB2312"/>
          <w:color w:val="auto"/>
          <w:sz w:val="28"/>
          <w:szCs w:val="28"/>
          <w:highlight w:val="none"/>
        </w:rPr>
        <w:t>投标、政府采购等法律法规的行为。</w:t>
      </w:r>
    </w:p>
    <w:p w14:paraId="74B21597">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二、不以任何理由给予采购单位、主管部门、相关单位及其工作人员以下好处：</w:t>
      </w:r>
    </w:p>
    <w:p w14:paraId="5FE55D23">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1.赠送礼金、有价证券、贵重物品，或给予回扣、感谢费、劳务费等各种名目的经费；</w:t>
      </w:r>
    </w:p>
    <w:p w14:paraId="0D37F7DA">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2.报销应由上述单位或个人支付的费用；</w:t>
      </w:r>
    </w:p>
    <w:p w14:paraId="58326321">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3.赠送或提供通讯工具、交通工具和高档办公用品等；</w:t>
      </w:r>
    </w:p>
    <w:p w14:paraId="76682E88">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4.提供宴请、健身、旅游、娱乐等高消费活动； </w:t>
      </w:r>
    </w:p>
    <w:p w14:paraId="55152C10">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5.无偿或明显低于市场价装修住房。</w:t>
      </w:r>
    </w:p>
    <w:p w14:paraId="0A563449">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三、不以任何理由为采购单位、主管部门、相关单位的工作人员及其配偶、子女等亲属的工作安排以及出国（境）等提供方便。</w:t>
      </w:r>
    </w:p>
    <w:p w14:paraId="201C594B">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四、自觉接受有关部门和派驻廉政监察组等机构的监督，积极配合采购单位开展廉政文化进工程工作，加强廉洁从业环境宣传、项目管理制度建设，多种形式开展廉洁教育。</w:t>
      </w:r>
    </w:p>
    <w:p w14:paraId="5516112D">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上述承诺如有违反，愿接受录入诚信档案的处理，构成违纪违法的，由相关部门依纪依法作出处理。</w:t>
      </w:r>
    </w:p>
    <w:p w14:paraId="5D8946AE">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（本承诺书由</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lang w:eastAsia="zh-CN"/>
        </w:rPr>
        <w:t>响应方</w:t>
      </w:r>
      <w:r>
        <w:rPr>
          <w:rFonts w:hint="eastAsia" w:ascii="仿宋_GB2312" w:hAnsi="仿宋_GB2312" w:eastAsia="仿宋_GB2312" w:cs="仿宋_GB2312"/>
          <w:color w:val="auto"/>
          <w:sz w:val="28"/>
          <w:szCs w:val="28"/>
          <w:highlight w:val="none"/>
        </w:rPr>
        <w:t>法定代表人签名，并加盖公章；一式贰份，采购单位与履约供应商各持壹份。）</w:t>
      </w:r>
    </w:p>
    <w:p w14:paraId="2C20EE94">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jc w:val="center"/>
        <w:textAlignment w:val="auto"/>
        <w:rPr>
          <w:rFonts w:ascii="仿宋_GB2312" w:hAnsi="仿宋_GB2312" w:eastAsia="仿宋_GB2312" w:cs="仿宋_GB2312"/>
          <w:color w:val="auto"/>
          <w:sz w:val="28"/>
          <w:szCs w:val="28"/>
          <w:highlight w:val="none"/>
        </w:rPr>
      </w:pPr>
    </w:p>
    <w:p w14:paraId="266298F8">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jc w:val="center"/>
        <w:textAlignment w:val="auto"/>
        <w:rPr>
          <w:rFonts w:ascii="仿宋_GB2312" w:hAnsi="仿宋_GB2312" w:eastAsia="仿宋_GB2312" w:cs="仿宋_GB2312"/>
          <w:color w:val="auto"/>
          <w:sz w:val="28"/>
          <w:szCs w:val="28"/>
          <w:highlight w:val="none"/>
        </w:rPr>
      </w:pPr>
    </w:p>
    <w:p w14:paraId="61C4AA6C">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jc w:val="center"/>
        <w:textAlignment w:val="auto"/>
        <w:rPr>
          <w:rFonts w:ascii="仿宋_GB2312" w:hAnsi="仿宋_GB2312" w:eastAsia="仿宋_GB2312" w:cs="仿宋_GB2312"/>
          <w:color w:val="auto"/>
          <w:sz w:val="28"/>
          <w:szCs w:val="28"/>
          <w:highlight w:val="none"/>
        </w:rPr>
      </w:pPr>
    </w:p>
    <w:p w14:paraId="3472C59F">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4200" w:firstLineChars="15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法定代表人签名：</w:t>
      </w:r>
    </w:p>
    <w:p w14:paraId="5D3543BB">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4200" w:firstLineChars="15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承诺单位（公章）：</w:t>
      </w:r>
    </w:p>
    <w:p w14:paraId="02BABC0E">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4200" w:firstLineChars="15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承诺日期：</w:t>
      </w:r>
    </w:p>
    <w:p w14:paraId="621E2E23">
      <w:pPr>
        <w:pStyle w:val="1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outlineLvl w:val="9"/>
        <w:rPr>
          <w:rFonts w:ascii="仿宋_GB2312" w:hAnsi="仿宋_GB2312" w:eastAsia="仿宋_GB2312" w:cs="仿宋_GB2312"/>
          <w:b/>
          <w:color w:val="auto"/>
          <w:sz w:val="28"/>
          <w:szCs w:val="28"/>
          <w:highlight w:val="none"/>
        </w:rPr>
      </w:pPr>
      <w:r>
        <w:rPr>
          <w:rFonts w:hint="eastAsia" w:ascii="仿宋_GB2312" w:hAnsi="仿宋_GB2312" w:eastAsia="仿宋_GB2312" w:cs="仿宋_GB2312"/>
          <w:color w:val="auto"/>
          <w:sz w:val="28"/>
          <w:szCs w:val="28"/>
          <w:highlight w:val="none"/>
        </w:rPr>
        <w:br w:type="page"/>
      </w:r>
      <w:r>
        <w:rPr>
          <w:rFonts w:hint="eastAsia" w:ascii="仿宋_GB2312" w:hAnsi="仿宋_GB2312" w:eastAsia="仿宋_GB2312" w:cs="仿宋_GB2312"/>
          <w:b/>
          <w:color w:val="auto"/>
          <w:sz w:val="28"/>
          <w:szCs w:val="28"/>
          <w:highlight w:val="none"/>
        </w:rPr>
        <w:t>附件三：</w:t>
      </w:r>
    </w:p>
    <w:p w14:paraId="476D0DBD">
      <w:pPr>
        <w:pageBreakBefore w:val="0"/>
        <w:widowControl/>
        <w:kinsoku/>
        <w:overflowPunct/>
        <w:topLinePunct w:val="0"/>
        <w:autoSpaceDE/>
        <w:autoSpaceDN/>
        <w:bidi w:val="0"/>
        <w:adjustRightInd w:val="0"/>
        <w:snapToGrid w:val="0"/>
        <w:spacing w:beforeAutospacing="0" w:afterAutospacing="0" w:line="560" w:lineRule="exact"/>
        <w:ind w:left="0" w:leftChars="0"/>
        <w:jc w:val="center"/>
        <w:textAlignment w:val="auto"/>
        <w:rPr>
          <w:rFonts w:ascii="方正小标宋_GBK" w:hAnsi="方正小标宋_GBK" w:eastAsia="方正小标宋_GBK" w:cs="方正小标宋_GBK"/>
          <w:bCs/>
          <w:color w:val="auto"/>
          <w:sz w:val="44"/>
          <w:szCs w:val="44"/>
          <w:highlight w:val="none"/>
        </w:rPr>
      </w:pPr>
      <w:r>
        <w:rPr>
          <w:rFonts w:hint="eastAsia" w:ascii="方正小标宋_GBK" w:hAnsi="方正小标宋_GBK" w:eastAsia="方正小标宋_GBK" w:cs="方正小标宋_GBK"/>
          <w:bCs/>
          <w:color w:val="auto"/>
          <w:sz w:val="44"/>
          <w:szCs w:val="44"/>
          <w:highlight w:val="none"/>
        </w:rPr>
        <w:t>廉洁从业承诺书</w:t>
      </w:r>
    </w:p>
    <w:p w14:paraId="568AAAB1">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jc w:val="center"/>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（员工承诺）</w:t>
      </w:r>
    </w:p>
    <w:p w14:paraId="2BD038F9">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本人决定自愿参加本项目。为了更好的树立公司对外形象，更好地打造公司的品牌，促进个人廉洁从业、诚实守信，特承诺如下：</w:t>
      </w:r>
    </w:p>
    <w:p w14:paraId="3A5CA8E4">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一、不以任何理由给予采购单位、主管部门、相关单位及其工作人员以下好处：</w:t>
      </w:r>
    </w:p>
    <w:p w14:paraId="09710626">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1.赠送礼金、有价证券、贵重物品，或给予回扣、感谢费、劳务费等各种名目的经费；</w:t>
      </w:r>
    </w:p>
    <w:p w14:paraId="0D49C437">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2.报销应由上述单位或个人支付的费用；</w:t>
      </w:r>
    </w:p>
    <w:p w14:paraId="6C7D2C41">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3.赠送或提供通讯工具、交通工具和高档办公用品等；</w:t>
      </w:r>
    </w:p>
    <w:p w14:paraId="2504DF3E">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4.提供宴请、健身、旅游、娱乐等高消费活动；</w:t>
      </w:r>
    </w:p>
    <w:p w14:paraId="763F71A9">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5.无偿或明显低于市场价装修住房。</w:t>
      </w:r>
    </w:p>
    <w:p w14:paraId="5F9F2D63">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二、不以任何理由为采购单位、主管部门、相关单位的工作人员及其配偶、子女等亲属的工作安排以及出国（境）等提供方便。</w:t>
      </w:r>
    </w:p>
    <w:p w14:paraId="3B5B551F">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三、自觉接受有关部门和派驻廉政监察组等机构的监督。</w:t>
      </w:r>
    </w:p>
    <w:p w14:paraId="6027A8EA">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以上承诺接受公司和广大员工的监督。本人如有违反承诺，自愿承担违诺责任和法律后果。</w:t>
      </w:r>
    </w:p>
    <w:p w14:paraId="62BA99E1">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（本承诺书由项目人员签名，一式贰份。公司与项目人员各持壹份。）</w:t>
      </w:r>
    </w:p>
    <w:p w14:paraId="1AC3F82E">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320" w:firstLineChars="1900"/>
        <w:jc w:val="both"/>
        <w:textAlignment w:val="auto"/>
        <w:rPr>
          <w:rFonts w:hint="eastAsia" w:ascii="仿宋_GB2312" w:hAnsi="仿宋_GB2312" w:eastAsia="仿宋_GB2312" w:cs="仿宋_GB2312"/>
          <w:color w:val="auto"/>
          <w:sz w:val="28"/>
          <w:szCs w:val="28"/>
          <w:highlight w:val="none"/>
        </w:rPr>
      </w:pPr>
    </w:p>
    <w:p w14:paraId="6979E1B2">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320" w:firstLineChars="1900"/>
        <w:jc w:val="both"/>
        <w:textAlignment w:val="auto"/>
        <w:rPr>
          <w:rFonts w:hint="eastAsia" w:ascii="仿宋_GB2312" w:hAnsi="仿宋_GB2312" w:eastAsia="仿宋_GB2312" w:cs="仿宋_GB2312"/>
          <w:color w:val="auto"/>
          <w:sz w:val="28"/>
          <w:szCs w:val="28"/>
          <w:highlight w:val="none"/>
        </w:rPr>
      </w:pPr>
    </w:p>
    <w:p w14:paraId="3FF79A73">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320" w:firstLineChars="19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承诺人：</w:t>
      </w:r>
    </w:p>
    <w:p w14:paraId="0DB6C6A0">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320" w:firstLineChars="1900"/>
        <w:jc w:val="both"/>
        <w:textAlignment w:val="auto"/>
        <w:rPr>
          <w:highlight w:val="none"/>
        </w:rPr>
      </w:pPr>
      <w:r>
        <w:rPr>
          <w:rFonts w:hint="eastAsia" w:ascii="仿宋_GB2312" w:hAnsi="仿宋_GB2312" w:eastAsia="仿宋_GB2312" w:cs="仿宋_GB2312"/>
          <w:color w:val="auto"/>
          <w:sz w:val="28"/>
          <w:szCs w:val="28"/>
          <w:highlight w:val="none"/>
        </w:rPr>
        <w:t>承诺日期：</w:t>
      </w:r>
      <w:bookmarkEnd w:id="108"/>
      <w:bookmarkEnd w:id="109"/>
      <w:bookmarkEnd w:id="110"/>
      <w:bookmarkEnd w:id="111"/>
      <w:bookmarkEnd w:id="112"/>
    </w:p>
    <w:p w14:paraId="26098853">
      <w:pPr>
        <w:bidi w:val="0"/>
        <w:jc w:val="both"/>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4237373-5C3C-4383-8AF0-6116E8CA0CEF}"/>
  </w:font>
  <w:font w:name="黑体">
    <w:panose1 w:val="02010609060101010101"/>
    <w:charset w:val="86"/>
    <w:family w:val="auto"/>
    <w:pitch w:val="default"/>
    <w:sig w:usb0="800002BF" w:usb1="38CF7CFA" w:usb2="00000016" w:usb3="00000000" w:csb0="00040001" w:csb1="00000000"/>
    <w:embedRegular r:id="rId2" w:fontKey="{8C4E945E-45E1-4AB3-811C-F016B782F74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73AB2E6F-ACEA-4311-9142-3987DBA77FBC}"/>
  </w:font>
  <w:font w:name="Cambria">
    <w:panose1 w:val="02040503050406030204"/>
    <w:charset w:val="00"/>
    <w:family w:val="roman"/>
    <w:pitch w:val="default"/>
    <w:sig w:usb0="E00006FF" w:usb1="420024FF" w:usb2="02000000" w:usb3="00000000" w:csb0="2000019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embedRegular r:id="rId4" w:fontKey="{E7283AA1-26B6-45DF-89DC-93B49DAD1ACA}"/>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embedRegular r:id="rId5" w:fontKey="{54820191-646B-472B-B5A7-BDD71BF8A40D}"/>
  </w:font>
  <w:font w:name="Wingdings 2">
    <w:panose1 w:val="05020102010507070707"/>
    <w:charset w:val="00"/>
    <w:family w:val="auto"/>
    <w:pitch w:val="default"/>
    <w:sig w:usb0="00000000" w:usb1="00000000" w:usb2="00000000" w:usb3="00000000" w:csb0="80000000" w:csb1="00000000"/>
    <w:embedRegular r:id="rId6" w:fontKey="{94A83842-D9FF-448E-85F2-13DA091BA4A2}"/>
  </w:font>
  <w:font w:name="方正仿宋_GBK">
    <w:altName w:val="微软雅黑"/>
    <w:panose1 w:val="00000000000000000000"/>
    <w:charset w:val="86"/>
    <w:family w:val="auto"/>
    <w:pitch w:val="default"/>
    <w:sig w:usb0="00000000" w:usb1="00000000" w:usb2="00000000" w:usb3="00000000" w:csb0="00040000" w:csb1="00000000"/>
    <w:embedRegular r:id="rId7" w:fontKey="{F18AA22F-72BA-4772-8537-DA5D6742C937}"/>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00"/>
    <w:family w:val="auto"/>
    <w:pitch w:val="default"/>
    <w:sig w:usb0="00000000" w:usb1="00000000" w:usb2="00000000" w:usb3="00000000" w:csb0="00000000" w:csb1="00000000"/>
    <w:embedRegular r:id="rId8" w:fontKey="{D69F21B2-2918-4625-8E52-97046BC2BCAA}"/>
  </w:font>
  <w:font w:name="楷体">
    <w:panose1 w:val="02010609060101010101"/>
    <w:charset w:val="86"/>
    <w:family w:val="auto"/>
    <w:pitch w:val="default"/>
    <w:sig w:usb0="800002BF" w:usb1="38CF7CFA" w:usb2="00000016" w:usb3="00000000" w:csb0="00040001" w:csb1="00000000"/>
  </w:font>
  <w:font w:name="方正小标宋简体">
    <w:panose1 w:val="02010600010101010101"/>
    <w:charset w:val="86"/>
    <w:family w:val="auto"/>
    <w:pitch w:val="default"/>
    <w:sig w:usb0="00000001" w:usb1="080E0000" w:usb2="00000000" w:usb3="00000000" w:csb0="00040000" w:csb1="00000000"/>
    <w:embedRegular r:id="rId9" w:fontKey="{7CEFC9F3-F42A-4195-890E-A1EF4723119E}"/>
  </w:font>
  <w:font w:name="方正小标宋_GBK">
    <w:panose1 w:val="02000000000000000000"/>
    <w:charset w:val="86"/>
    <w:family w:val="script"/>
    <w:pitch w:val="default"/>
    <w:sig w:usb0="A00002BF" w:usb1="38CF7CFA" w:usb2="00082016" w:usb3="00000000" w:csb0="00040001" w:csb1="00000000"/>
    <w:embedRegular r:id="rId10" w:fontKey="{22318C6B-A208-4206-9F45-B2437EA41EE2}"/>
  </w:font>
  <w:font w:name="WPSEMBED3">
    <w:panose1 w:val="05020102010507070707"/>
    <w:charset w:val="00"/>
    <w:family w:val="auto"/>
    <w:pitch w:val="default"/>
    <w:sig w:usb0="00000000" w:usb1="00000000" w:usb2="00000000" w:usb3="00000000" w:csb0="80000000"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50604">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F1F0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1F1F0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FC0B5">
    <w:pPr>
      <w:pStyle w:val="11"/>
      <w:jc w:val="center"/>
      <w:rPr>
        <w:rStyle w:val="21"/>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4776B1">
                          <w:pPr>
                            <w:pStyle w:val="11"/>
                            <w:jc w:val="center"/>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60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B4776B1">
                    <w:pPr>
                      <w:pStyle w:val="11"/>
                      <w:jc w:val="center"/>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60</w:t>
                    </w:r>
                    <w:r>
                      <w:fldChar w:fldCharType="end"/>
                    </w:r>
                    <w:r>
                      <w:t xml:space="preserve"> 页</w:t>
                    </w:r>
                  </w:p>
                </w:txbxContent>
              </v:textbox>
            </v:shape>
          </w:pict>
        </mc:Fallback>
      </mc:AlternateContent>
    </w:r>
  </w:p>
  <w:p w14:paraId="5AE7A01B">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9996D">
    <w:pPr>
      <w:pStyle w:val="12"/>
      <w:jc w:val="right"/>
      <w:rPr>
        <w:rFonts w:hint="eastAsia" w:ascii="宋体" w:hAnsi="宋体" w:eastAsia="宋体"/>
        <w:color w:val="auto"/>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1A0330"/>
    <w:multiLevelType w:val="multilevel"/>
    <w:tmpl w:val="B91A0330"/>
    <w:lvl w:ilvl="0" w:tentative="0">
      <w:start w:val="2"/>
      <w:numFmt w:val="decimal"/>
      <w:lvlText w:val="(%1)"/>
      <w:lvlJc w:val="left"/>
      <w:pPr>
        <w:tabs>
          <w:tab w:val="left" w:pos="1200"/>
        </w:tabs>
        <w:ind w:left="1200" w:hanging="360"/>
      </w:pPr>
      <w:rPr>
        <w:rFonts w:hint="default" w:ascii="Times New Roman" w:hAnsi="Times New Roman" w:cs="Times New Roman"/>
      </w:rPr>
    </w:lvl>
    <w:lvl w:ilvl="1" w:tentative="0">
      <w:start w:val="1"/>
      <w:numFmt w:val="decimal"/>
      <w:lvlText w:val="%2．"/>
      <w:lvlJc w:val="left"/>
      <w:pPr>
        <w:tabs>
          <w:tab w:val="left" w:pos="1620"/>
        </w:tabs>
        <w:ind w:left="1620" w:hanging="360"/>
      </w:pPr>
      <w:rPr>
        <w:rFonts w:hint="eastAsia" w:ascii="宋体" w:hAnsi="宋体" w:eastAsia="宋体" w:cs="宋体"/>
      </w:rPr>
    </w:lvl>
    <w:lvl w:ilvl="2" w:tentative="0">
      <w:start w:val="1"/>
      <w:numFmt w:val="lowerRoman"/>
      <w:lvlText w:val="%3."/>
      <w:lvlJc w:val="right"/>
      <w:pPr>
        <w:tabs>
          <w:tab w:val="left" w:pos="2100"/>
        </w:tabs>
        <w:ind w:left="2100" w:hanging="420"/>
      </w:pPr>
      <w:rPr>
        <w:rFonts w:hint="default" w:ascii="Times New Roman" w:hAnsi="Times New Roman" w:cs="Times New Roman"/>
      </w:rPr>
    </w:lvl>
    <w:lvl w:ilvl="3" w:tentative="0">
      <w:start w:val="1"/>
      <w:numFmt w:val="decimal"/>
      <w:lvlText w:val="%4."/>
      <w:lvlJc w:val="left"/>
      <w:pPr>
        <w:tabs>
          <w:tab w:val="left" w:pos="2520"/>
        </w:tabs>
        <w:ind w:left="2520" w:hanging="420"/>
      </w:pPr>
      <w:rPr>
        <w:rFonts w:hint="default" w:ascii="Times New Roman" w:hAnsi="Times New Roman" w:cs="Times New Roman"/>
      </w:rPr>
    </w:lvl>
    <w:lvl w:ilvl="4" w:tentative="0">
      <w:start w:val="1"/>
      <w:numFmt w:val="lowerLetter"/>
      <w:lvlText w:val="%5)"/>
      <w:lvlJc w:val="left"/>
      <w:pPr>
        <w:tabs>
          <w:tab w:val="left" w:pos="2940"/>
        </w:tabs>
        <w:ind w:left="2940" w:hanging="420"/>
      </w:pPr>
      <w:rPr>
        <w:rFonts w:hint="default" w:ascii="Times New Roman" w:hAnsi="Times New Roman" w:cs="Times New Roman"/>
      </w:rPr>
    </w:lvl>
    <w:lvl w:ilvl="5" w:tentative="0">
      <w:start w:val="1"/>
      <w:numFmt w:val="lowerRoman"/>
      <w:lvlText w:val="%6."/>
      <w:lvlJc w:val="right"/>
      <w:pPr>
        <w:tabs>
          <w:tab w:val="left" w:pos="3360"/>
        </w:tabs>
        <w:ind w:left="3360" w:hanging="420"/>
      </w:pPr>
      <w:rPr>
        <w:rFonts w:hint="default" w:ascii="Times New Roman" w:hAnsi="Times New Roman" w:cs="Times New Roman"/>
      </w:rPr>
    </w:lvl>
    <w:lvl w:ilvl="6" w:tentative="0">
      <w:start w:val="1"/>
      <w:numFmt w:val="decimal"/>
      <w:lvlText w:val="%7."/>
      <w:lvlJc w:val="left"/>
      <w:pPr>
        <w:tabs>
          <w:tab w:val="left" w:pos="3780"/>
        </w:tabs>
        <w:ind w:left="3780" w:hanging="420"/>
      </w:pPr>
      <w:rPr>
        <w:rFonts w:hint="default" w:ascii="Times New Roman" w:hAnsi="Times New Roman" w:cs="Times New Roman"/>
      </w:rPr>
    </w:lvl>
    <w:lvl w:ilvl="7" w:tentative="0">
      <w:start w:val="1"/>
      <w:numFmt w:val="lowerLetter"/>
      <w:lvlText w:val="%8)"/>
      <w:lvlJc w:val="left"/>
      <w:pPr>
        <w:tabs>
          <w:tab w:val="left" w:pos="4200"/>
        </w:tabs>
        <w:ind w:left="4200" w:hanging="420"/>
      </w:pPr>
      <w:rPr>
        <w:rFonts w:hint="default" w:ascii="Times New Roman" w:hAnsi="Times New Roman" w:cs="Times New Roman"/>
      </w:rPr>
    </w:lvl>
    <w:lvl w:ilvl="8" w:tentative="0">
      <w:start w:val="1"/>
      <w:numFmt w:val="lowerRoman"/>
      <w:lvlText w:val="%9."/>
      <w:lvlJc w:val="right"/>
      <w:pPr>
        <w:tabs>
          <w:tab w:val="left" w:pos="4620"/>
        </w:tabs>
        <w:ind w:left="4620" w:hanging="420"/>
      </w:pPr>
      <w:rPr>
        <w:rFonts w:hint="default" w:ascii="Times New Roman" w:hAnsi="Times New Roman" w:cs="Times New Roman"/>
      </w:rPr>
    </w:lvl>
  </w:abstractNum>
  <w:abstractNum w:abstractNumId="1">
    <w:nsid w:val="C2FF3313"/>
    <w:multiLevelType w:val="singleLevel"/>
    <w:tmpl w:val="C2FF3313"/>
    <w:lvl w:ilvl="0" w:tentative="0">
      <w:start w:val="3"/>
      <w:numFmt w:val="chineseCounting"/>
      <w:suff w:val="space"/>
      <w:lvlText w:val="（%1）"/>
      <w:lvlJc w:val="left"/>
      <w:rPr>
        <w:rFonts w:hint="eastAsia"/>
      </w:rPr>
    </w:lvl>
  </w:abstractNum>
  <w:abstractNum w:abstractNumId="2">
    <w:nsid w:val="D6D61694"/>
    <w:multiLevelType w:val="singleLevel"/>
    <w:tmpl w:val="D6D61694"/>
    <w:lvl w:ilvl="0" w:tentative="0">
      <w:start w:val="1"/>
      <w:numFmt w:val="chineseCounting"/>
      <w:suff w:val="nothing"/>
      <w:lvlText w:val="（%1）"/>
      <w:lvlJc w:val="left"/>
      <w:rPr>
        <w:rFonts w:hint="eastAsia"/>
      </w:rPr>
    </w:lvl>
  </w:abstractNum>
  <w:abstractNum w:abstractNumId="3">
    <w:nsid w:val="FAB9DA19"/>
    <w:multiLevelType w:val="multilevel"/>
    <w:tmpl w:val="FAB9DA19"/>
    <w:lvl w:ilvl="0" w:tentative="0">
      <w:start w:val="1"/>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4">
    <w:nsid w:val="FD88630E"/>
    <w:multiLevelType w:val="multilevel"/>
    <w:tmpl w:val="FD88630E"/>
    <w:lvl w:ilvl="0" w:tentative="0">
      <w:start w:val="1"/>
      <w:numFmt w:val="decimal"/>
      <w:lvlText w:val="%1"/>
      <w:lvlJc w:val="left"/>
      <w:pPr>
        <w:tabs>
          <w:tab w:val="left" w:pos="425"/>
        </w:tabs>
        <w:ind w:left="425" w:hanging="425"/>
      </w:pPr>
      <w:rPr>
        <w:rFonts w:hint="eastAsia" w:ascii="宋体" w:hAnsi="宋体" w:eastAsia="宋体" w:cs="宋体"/>
      </w:rPr>
    </w:lvl>
    <w:lvl w:ilvl="1" w:tentative="0">
      <w:start w:val="1"/>
      <w:numFmt w:val="decimal"/>
      <w:lvlText w:val="%1.%2."/>
      <w:lvlJc w:val="left"/>
      <w:pPr>
        <w:tabs>
          <w:tab w:val="left" w:pos="567"/>
        </w:tabs>
        <w:ind w:left="567" w:hanging="567"/>
      </w:pPr>
      <w:rPr>
        <w:rFonts w:hint="eastAsia" w:ascii="宋体" w:hAnsi="宋体" w:eastAsia="宋体" w:cs="宋体"/>
        <w:b w:val="0"/>
        <w:sz w:val="21"/>
        <w:szCs w:val="21"/>
      </w:rPr>
    </w:lvl>
    <w:lvl w:ilvl="2" w:tentative="0">
      <w:start w:val="1"/>
      <w:numFmt w:val="decimal"/>
      <w:lvlText w:val="%1.%2.%3."/>
      <w:lvlJc w:val="left"/>
      <w:pPr>
        <w:tabs>
          <w:tab w:val="left" w:pos="567"/>
        </w:tabs>
        <w:ind w:left="567" w:hanging="567"/>
      </w:pPr>
      <w:rPr>
        <w:rFonts w:hint="eastAsia" w:ascii="宋体" w:hAnsi="宋体" w:eastAsia="宋体" w:cs="宋体"/>
        <w:b w:val="0"/>
        <w:sz w:val="21"/>
        <w:szCs w:val="21"/>
      </w:rPr>
    </w:lvl>
    <w:lvl w:ilvl="3" w:tentative="0">
      <w:start w:val="1"/>
      <w:numFmt w:val="decimal"/>
      <w:lvlText w:val="%1.%2.%3.%4."/>
      <w:lvlJc w:val="left"/>
      <w:pPr>
        <w:tabs>
          <w:tab w:val="left" w:pos="851"/>
        </w:tabs>
        <w:ind w:left="851" w:hanging="851"/>
      </w:pPr>
      <w:rPr>
        <w:rFonts w:hint="eastAsia" w:ascii="宋体" w:hAnsi="宋体" w:eastAsia="宋体" w:cs="宋体"/>
      </w:rPr>
    </w:lvl>
    <w:lvl w:ilvl="4" w:tentative="0">
      <w:start w:val="1"/>
      <w:numFmt w:val="decimal"/>
      <w:lvlText w:val="%1.%2.%3.%4.%5."/>
      <w:lvlJc w:val="left"/>
      <w:pPr>
        <w:tabs>
          <w:tab w:val="left" w:pos="992"/>
        </w:tabs>
        <w:ind w:left="992" w:hanging="992"/>
      </w:pPr>
      <w:rPr>
        <w:rFonts w:hint="eastAsia" w:ascii="宋体" w:hAnsi="宋体" w:eastAsia="宋体" w:cs="宋体"/>
      </w:rPr>
    </w:lvl>
    <w:lvl w:ilvl="5" w:tentative="0">
      <w:start w:val="1"/>
      <w:numFmt w:val="decimal"/>
      <w:lvlText w:val="%1.%2.%3.%4.%5.%6."/>
      <w:lvlJc w:val="left"/>
      <w:pPr>
        <w:tabs>
          <w:tab w:val="left" w:pos="1134"/>
        </w:tabs>
        <w:ind w:left="1134" w:hanging="1134"/>
      </w:pPr>
      <w:rPr>
        <w:rFonts w:hint="eastAsia" w:ascii="宋体" w:hAnsi="宋体" w:eastAsia="宋体" w:cs="宋体"/>
      </w:rPr>
    </w:lvl>
    <w:lvl w:ilvl="6" w:tentative="0">
      <w:start w:val="1"/>
      <w:numFmt w:val="decimal"/>
      <w:lvlText w:val="%1.%2.%3.%4.%5.%6.%7."/>
      <w:lvlJc w:val="left"/>
      <w:pPr>
        <w:tabs>
          <w:tab w:val="left" w:pos="1276"/>
        </w:tabs>
        <w:ind w:left="1276" w:hanging="1276"/>
      </w:pPr>
      <w:rPr>
        <w:rFonts w:hint="eastAsia" w:ascii="宋体" w:hAnsi="宋体" w:eastAsia="宋体" w:cs="宋体"/>
      </w:rPr>
    </w:lvl>
    <w:lvl w:ilvl="7" w:tentative="0">
      <w:start w:val="1"/>
      <w:numFmt w:val="decimal"/>
      <w:lvlText w:val="%1.%2.%3.%4.%5.%6.%7.%8."/>
      <w:lvlJc w:val="left"/>
      <w:pPr>
        <w:tabs>
          <w:tab w:val="left" w:pos="1418"/>
        </w:tabs>
        <w:ind w:left="1418" w:hanging="1418"/>
      </w:pPr>
      <w:rPr>
        <w:rFonts w:hint="eastAsia" w:ascii="宋体" w:hAnsi="宋体" w:eastAsia="宋体" w:cs="宋体"/>
      </w:rPr>
    </w:lvl>
    <w:lvl w:ilvl="8" w:tentative="0">
      <w:start w:val="1"/>
      <w:numFmt w:val="decimal"/>
      <w:lvlText w:val="%1.%2.%3.%4.%5.%6.%7.%8.%9."/>
      <w:lvlJc w:val="left"/>
      <w:pPr>
        <w:tabs>
          <w:tab w:val="left" w:pos="1559"/>
        </w:tabs>
        <w:ind w:left="1559" w:hanging="1559"/>
      </w:pPr>
      <w:rPr>
        <w:rFonts w:hint="eastAsia" w:ascii="宋体" w:hAnsi="宋体" w:eastAsia="宋体" w:cs="宋体"/>
      </w:rPr>
    </w:lvl>
  </w:abstractNum>
  <w:abstractNum w:abstractNumId="5">
    <w:nsid w:val="0B8F3126"/>
    <w:multiLevelType w:val="singleLevel"/>
    <w:tmpl w:val="0B8F3126"/>
    <w:lvl w:ilvl="0" w:tentative="0">
      <w:start w:val="3"/>
      <w:numFmt w:val="chineseCounting"/>
      <w:suff w:val="nothing"/>
      <w:lvlText w:val="%1、"/>
      <w:lvlJc w:val="left"/>
      <w:rPr>
        <w:rFonts w:hint="eastAsia"/>
      </w:rPr>
    </w:lvl>
  </w:abstractNum>
  <w:abstractNum w:abstractNumId="6">
    <w:nsid w:val="25AC778E"/>
    <w:multiLevelType w:val="multilevel"/>
    <w:tmpl w:val="25AC778E"/>
    <w:lvl w:ilvl="0" w:tentative="0">
      <w:start w:val="1"/>
      <w:numFmt w:val="japaneseCounting"/>
      <w:lvlText w:val="%1、"/>
      <w:lvlJc w:val="left"/>
      <w:pPr>
        <w:tabs>
          <w:tab w:val="left" w:pos="420"/>
        </w:tabs>
        <w:ind w:left="420" w:hanging="420"/>
      </w:pPr>
      <w:rPr>
        <w:rFonts w:ascii="宋体" w:hAnsi="宋体" w:eastAsia="宋体" w:cs="Courier New"/>
      </w:rPr>
    </w:lvl>
    <w:lvl w:ilvl="1" w:tentative="0">
      <w:start w:val="1"/>
      <w:numFmt w:val="decimal"/>
      <w:lvlText w:val="%2、"/>
      <w:lvlJc w:val="left"/>
      <w:pPr>
        <w:tabs>
          <w:tab w:val="left" w:pos="780"/>
        </w:tabs>
        <w:ind w:left="780" w:hanging="360"/>
      </w:pPr>
      <w:rPr>
        <w:rFonts w:hint="default"/>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40EC10D5"/>
    <w:multiLevelType w:val="singleLevel"/>
    <w:tmpl w:val="40EC10D5"/>
    <w:lvl w:ilvl="0" w:tentative="0">
      <w:start w:val="1"/>
      <w:numFmt w:val="chineseCounting"/>
      <w:suff w:val="space"/>
      <w:lvlText w:val="第%1章"/>
      <w:lvlJc w:val="left"/>
      <w:rPr>
        <w:rFonts w:hint="eastAsia"/>
      </w:rPr>
    </w:lvl>
  </w:abstractNum>
  <w:abstractNum w:abstractNumId="8">
    <w:nsid w:val="4501719F"/>
    <w:multiLevelType w:val="multilevel"/>
    <w:tmpl w:val="4501719F"/>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507A66DD"/>
    <w:multiLevelType w:val="singleLevel"/>
    <w:tmpl w:val="507A66DD"/>
    <w:lvl w:ilvl="0" w:tentative="0">
      <w:start w:val="5"/>
      <w:numFmt w:val="chineseCounting"/>
      <w:suff w:val="nothing"/>
      <w:lvlText w:val="%1、"/>
      <w:lvlJc w:val="left"/>
      <w:rPr>
        <w:rFonts w:hint="eastAsia"/>
      </w:rPr>
    </w:lvl>
  </w:abstractNum>
  <w:abstractNum w:abstractNumId="10">
    <w:nsid w:val="50FB4E67"/>
    <w:multiLevelType w:val="singleLevel"/>
    <w:tmpl w:val="50FB4E67"/>
    <w:lvl w:ilvl="0" w:tentative="0">
      <w:start w:val="1"/>
      <w:numFmt w:val="decimal"/>
      <w:suff w:val="space"/>
      <w:lvlText w:val="%1."/>
      <w:lvlJc w:val="left"/>
    </w:lvl>
  </w:abstractNum>
  <w:abstractNum w:abstractNumId="11">
    <w:nsid w:val="59215DE2"/>
    <w:multiLevelType w:val="singleLevel"/>
    <w:tmpl w:val="59215DE2"/>
    <w:lvl w:ilvl="0" w:tentative="0">
      <w:start w:val="2"/>
      <w:numFmt w:val="decimal"/>
      <w:suff w:val="nothing"/>
      <w:lvlText w:val="（%1）"/>
      <w:lvlJc w:val="left"/>
    </w:lvl>
  </w:abstractNum>
  <w:abstractNum w:abstractNumId="12">
    <w:nsid w:val="59E0775A"/>
    <w:multiLevelType w:val="singleLevel"/>
    <w:tmpl w:val="59E0775A"/>
    <w:lvl w:ilvl="0" w:tentative="0">
      <w:start w:val="1"/>
      <w:numFmt w:val="chineseCounting"/>
      <w:suff w:val="nothing"/>
      <w:lvlText w:val="%1、"/>
      <w:lvlJc w:val="left"/>
      <w:pPr>
        <w:ind w:left="0" w:firstLine="420"/>
      </w:pPr>
      <w:rPr>
        <w:rFonts w:hint="eastAsia"/>
      </w:rPr>
    </w:lvl>
  </w:abstractNum>
  <w:abstractNum w:abstractNumId="13">
    <w:nsid w:val="6EEB7F65"/>
    <w:multiLevelType w:val="multilevel"/>
    <w:tmpl w:val="6EEB7F65"/>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70FD0FAC"/>
    <w:multiLevelType w:val="singleLevel"/>
    <w:tmpl w:val="70FD0FAC"/>
    <w:lvl w:ilvl="0" w:tentative="0">
      <w:start w:val="5"/>
      <w:numFmt w:val="chineseCounting"/>
      <w:suff w:val="space"/>
      <w:lvlText w:val="第%1章"/>
      <w:lvlJc w:val="left"/>
      <w:rPr>
        <w:rFonts w:hint="eastAsia"/>
      </w:rPr>
    </w:lvl>
  </w:abstractNum>
  <w:abstractNum w:abstractNumId="15">
    <w:nsid w:val="72A91BB4"/>
    <w:multiLevelType w:val="multilevel"/>
    <w:tmpl w:val="72A91BB4"/>
    <w:lvl w:ilvl="0" w:tentative="0">
      <w:start w:val="1"/>
      <w:numFmt w:val="japaneseCounting"/>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78D54744"/>
    <w:multiLevelType w:val="multilevel"/>
    <w:tmpl w:val="78D54744"/>
    <w:lvl w:ilvl="0" w:tentative="0">
      <w:start w:val="1"/>
      <w:numFmt w:val="decimal"/>
      <w:lvlText w:val="%1."/>
      <w:lvlJc w:val="left"/>
      <w:pPr>
        <w:tabs>
          <w:tab w:val="left" w:pos="780"/>
        </w:tabs>
        <w:ind w:left="7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1"/>
  </w:num>
  <w:num w:numId="4">
    <w:abstractNumId w:val="5"/>
  </w:num>
  <w:num w:numId="5">
    <w:abstractNumId w:val="9"/>
  </w:num>
  <w:num w:numId="6">
    <w:abstractNumId w:val="8"/>
  </w:num>
  <w:num w:numId="7">
    <w:abstractNumId w:val="6"/>
  </w:num>
  <w:num w:numId="8">
    <w:abstractNumId w:val="3"/>
  </w:num>
  <w:num w:numId="9">
    <w:abstractNumId w:val="13"/>
  </w:num>
  <w:num w:numId="10">
    <w:abstractNumId w:val="1"/>
  </w:num>
  <w:num w:numId="11">
    <w:abstractNumId w:val="10"/>
  </w:num>
  <w:num w:numId="12">
    <w:abstractNumId w:val="2"/>
  </w:num>
  <w:num w:numId="13">
    <w:abstractNumId w:val="0"/>
  </w:num>
  <w:num w:numId="14">
    <w:abstractNumId w:val="16"/>
  </w:num>
  <w:num w:numId="15">
    <w:abstractNumId w:val="12"/>
  </w:num>
  <w:num w:numId="16">
    <w:abstractNumId w:val="14"/>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doNotDisplayPageBoundaries w:val="1"/>
  <w:embedTrueTypeFonts/>
  <w:saveSubset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hmMjU3MzUxZDg0ZWEyMTlhMTg5ZjBhNDE4Njg1NGIifQ=="/>
  </w:docVars>
  <w:rsids>
    <w:rsidRoot w:val="009A6F43"/>
    <w:rsid w:val="00053647"/>
    <w:rsid w:val="00085086"/>
    <w:rsid w:val="000962F1"/>
    <w:rsid w:val="00103746"/>
    <w:rsid w:val="00153EC7"/>
    <w:rsid w:val="001C4B92"/>
    <w:rsid w:val="001E3994"/>
    <w:rsid w:val="00265A7A"/>
    <w:rsid w:val="002B0228"/>
    <w:rsid w:val="00305A7B"/>
    <w:rsid w:val="003476CA"/>
    <w:rsid w:val="00362699"/>
    <w:rsid w:val="00393014"/>
    <w:rsid w:val="003D734D"/>
    <w:rsid w:val="004434B5"/>
    <w:rsid w:val="004E10A0"/>
    <w:rsid w:val="00515D3E"/>
    <w:rsid w:val="00525336"/>
    <w:rsid w:val="00582E4C"/>
    <w:rsid w:val="00587EFF"/>
    <w:rsid w:val="005B67A2"/>
    <w:rsid w:val="005C3928"/>
    <w:rsid w:val="005C4239"/>
    <w:rsid w:val="006A1144"/>
    <w:rsid w:val="0073551B"/>
    <w:rsid w:val="007463C5"/>
    <w:rsid w:val="007F4C78"/>
    <w:rsid w:val="00820D55"/>
    <w:rsid w:val="008E7AB4"/>
    <w:rsid w:val="008F2D7D"/>
    <w:rsid w:val="0093371A"/>
    <w:rsid w:val="00960105"/>
    <w:rsid w:val="00975532"/>
    <w:rsid w:val="009A6F43"/>
    <w:rsid w:val="00A14DD6"/>
    <w:rsid w:val="00A45DF8"/>
    <w:rsid w:val="00A818CE"/>
    <w:rsid w:val="00B05B1C"/>
    <w:rsid w:val="00B11F87"/>
    <w:rsid w:val="00B429BE"/>
    <w:rsid w:val="00B4641D"/>
    <w:rsid w:val="00B54575"/>
    <w:rsid w:val="00BD37E9"/>
    <w:rsid w:val="00C035E7"/>
    <w:rsid w:val="00C12F48"/>
    <w:rsid w:val="00C242B3"/>
    <w:rsid w:val="00CB48A0"/>
    <w:rsid w:val="00D076D9"/>
    <w:rsid w:val="00D27E74"/>
    <w:rsid w:val="00D36759"/>
    <w:rsid w:val="00D70391"/>
    <w:rsid w:val="00DE0DB1"/>
    <w:rsid w:val="00DF281B"/>
    <w:rsid w:val="00E309D1"/>
    <w:rsid w:val="00E70B1C"/>
    <w:rsid w:val="00EE5E48"/>
    <w:rsid w:val="00FC1F7B"/>
    <w:rsid w:val="00FD6AFE"/>
    <w:rsid w:val="00FF2DFF"/>
    <w:rsid w:val="01A10A62"/>
    <w:rsid w:val="01FD42EF"/>
    <w:rsid w:val="02515E13"/>
    <w:rsid w:val="03824295"/>
    <w:rsid w:val="03CA1333"/>
    <w:rsid w:val="03D86CBB"/>
    <w:rsid w:val="04753845"/>
    <w:rsid w:val="04A41E29"/>
    <w:rsid w:val="05042D98"/>
    <w:rsid w:val="0586171E"/>
    <w:rsid w:val="062A1835"/>
    <w:rsid w:val="06F2019A"/>
    <w:rsid w:val="07D60EE8"/>
    <w:rsid w:val="07FC05F5"/>
    <w:rsid w:val="093B7E0B"/>
    <w:rsid w:val="0BC07420"/>
    <w:rsid w:val="0C3E7C27"/>
    <w:rsid w:val="0C831895"/>
    <w:rsid w:val="0E1B2C35"/>
    <w:rsid w:val="0F847DFE"/>
    <w:rsid w:val="0F8A1C07"/>
    <w:rsid w:val="0FAC2570"/>
    <w:rsid w:val="10437371"/>
    <w:rsid w:val="13272F7A"/>
    <w:rsid w:val="136E6202"/>
    <w:rsid w:val="139223C6"/>
    <w:rsid w:val="13CA0FD2"/>
    <w:rsid w:val="14DA7639"/>
    <w:rsid w:val="167968A8"/>
    <w:rsid w:val="168261AD"/>
    <w:rsid w:val="19F0685E"/>
    <w:rsid w:val="1A0F0637"/>
    <w:rsid w:val="1AC75CBA"/>
    <w:rsid w:val="1ACD08AB"/>
    <w:rsid w:val="1C8A1297"/>
    <w:rsid w:val="1D740F3F"/>
    <w:rsid w:val="1FC04AB6"/>
    <w:rsid w:val="20857E4D"/>
    <w:rsid w:val="2110276B"/>
    <w:rsid w:val="217A1947"/>
    <w:rsid w:val="22DA20BB"/>
    <w:rsid w:val="244E0D93"/>
    <w:rsid w:val="24CC6443"/>
    <w:rsid w:val="25D61528"/>
    <w:rsid w:val="27A32756"/>
    <w:rsid w:val="28774BB2"/>
    <w:rsid w:val="292F0982"/>
    <w:rsid w:val="2AD85138"/>
    <w:rsid w:val="2B5F71BD"/>
    <w:rsid w:val="2BC25ADE"/>
    <w:rsid w:val="2BEF1BE2"/>
    <w:rsid w:val="2C2F1E92"/>
    <w:rsid w:val="2CAA6F1D"/>
    <w:rsid w:val="2DAB715E"/>
    <w:rsid w:val="2F746B39"/>
    <w:rsid w:val="2FEF24C1"/>
    <w:rsid w:val="3298398E"/>
    <w:rsid w:val="32A7178F"/>
    <w:rsid w:val="348C0A37"/>
    <w:rsid w:val="34D04DC8"/>
    <w:rsid w:val="34D95BA1"/>
    <w:rsid w:val="369D19AA"/>
    <w:rsid w:val="36F16FEE"/>
    <w:rsid w:val="37436ACA"/>
    <w:rsid w:val="38312021"/>
    <w:rsid w:val="38404012"/>
    <w:rsid w:val="388B2D46"/>
    <w:rsid w:val="3A4F4F44"/>
    <w:rsid w:val="3B9E3EEA"/>
    <w:rsid w:val="3CC12B7D"/>
    <w:rsid w:val="3CFF2687"/>
    <w:rsid w:val="3D691D61"/>
    <w:rsid w:val="3FF83425"/>
    <w:rsid w:val="40E65943"/>
    <w:rsid w:val="410D12D9"/>
    <w:rsid w:val="41894625"/>
    <w:rsid w:val="42961172"/>
    <w:rsid w:val="44B33DBE"/>
    <w:rsid w:val="44ED4447"/>
    <w:rsid w:val="46062A6F"/>
    <w:rsid w:val="466C27DB"/>
    <w:rsid w:val="466F1003"/>
    <w:rsid w:val="46E84D7E"/>
    <w:rsid w:val="474D4A8F"/>
    <w:rsid w:val="47507FEA"/>
    <w:rsid w:val="482338C1"/>
    <w:rsid w:val="49871B07"/>
    <w:rsid w:val="49BE56DF"/>
    <w:rsid w:val="4A0517DE"/>
    <w:rsid w:val="4ADC64F5"/>
    <w:rsid w:val="4C0810BA"/>
    <w:rsid w:val="4D0313CC"/>
    <w:rsid w:val="4DAD7DEB"/>
    <w:rsid w:val="4E8100AD"/>
    <w:rsid w:val="4E8E5256"/>
    <w:rsid w:val="4F0F12CA"/>
    <w:rsid w:val="4F560168"/>
    <w:rsid w:val="4F7E70FA"/>
    <w:rsid w:val="511864D9"/>
    <w:rsid w:val="51981EEB"/>
    <w:rsid w:val="51D63AF4"/>
    <w:rsid w:val="521F3077"/>
    <w:rsid w:val="558214CD"/>
    <w:rsid w:val="56E36785"/>
    <w:rsid w:val="575431DF"/>
    <w:rsid w:val="580B4B95"/>
    <w:rsid w:val="58AF7528"/>
    <w:rsid w:val="58C53577"/>
    <w:rsid w:val="5A2F6381"/>
    <w:rsid w:val="5B4A22D1"/>
    <w:rsid w:val="5BC7458E"/>
    <w:rsid w:val="5C9B365E"/>
    <w:rsid w:val="5CAC08DD"/>
    <w:rsid w:val="5CEC7157"/>
    <w:rsid w:val="5D045FFD"/>
    <w:rsid w:val="5DDF117C"/>
    <w:rsid w:val="5F1D24CE"/>
    <w:rsid w:val="5F630463"/>
    <w:rsid w:val="64EA16D9"/>
    <w:rsid w:val="65265113"/>
    <w:rsid w:val="65E57895"/>
    <w:rsid w:val="6602326A"/>
    <w:rsid w:val="68A23D9A"/>
    <w:rsid w:val="69E7776E"/>
    <w:rsid w:val="6A5A60D5"/>
    <w:rsid w:val="6A72506D"/>
    <w:rsid w:val="6AA14535"/>
    <w:rsid w:val="6ABA2F28"/>
    <w:rsid w:val="6ACC2680"/>
    <w:rsid w:val="6B80006E"/>
    <w:rsid w:val="6BB74550"/>
    <w:rsid w:val="6CF30DA6"/>
    <w:rsid w:val="6DD15131"/>
    <w:rsid w:val="6F7E48AF"/>
    <w:rsid w:val="6FFA0406"/>
    <w:rsid w:val="71BC6B08"/>
    <w:rsid w:val="7266072A"/>
    <w:rsid w:val="72AC65F9"/>
    <w:rsid w:val="72AF5315"/>
    <w:rsid w:val="730B15A2"/>
    <w:rsid w:val="73A17F9D"/>
    <w:rsid w:val="73EA2AA9"/>
    <w:rsid w:val="74055651"/>
    <w:rsid w:val="75B8118B"/>
    <w:rsid w:val="774A4416"/>
    <w:rsid w:val="78D04F5B"/>
    <w:rsid w:val="7B49325B"/>
    <w:rsid w:val="7BFC15FE"/>
    <w:rsid w:val="7C4E5B9F"/>
    <w:rsid w:val="7D441C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qFormat/>
    <w:uiPriority w:val="0"/>
    <w:pPr>
      <w:outlineLvl w:val="1"/>
    </w:pPr>
    <w:rPr>
      <w:rFonts w:ascii="Cambria" w:hAnsi="Cambria" w:cs="宋体"/>
    </w:rPr>
  </w:style>
  <w:style w:type="paragraph" w:styleId="4">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19">
    <w:name w:val="Default Paragraph Font"/>
    <w:autoRedefine/>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qFormat/>
    <w:uiPriority w:val="99"/>
    <w:pPr>
      <w:widowControl w:val="0"/>
      <w:ind w:firstLine="420"/>
    </w:pPr>
    <w:rPr>
      <w:rFonts w:ascii="Times New Roman" w:hAnsi="Times New Roman" w:eastAsia="宋体" w:cs="Times New Roman"/>
      <w:kern w:val="2"/>
      <w:sz w:val="21"/>
      <w:szCs w:val="24"/>
      <w:lang w:val="en-US" w:eastAsia="zh-CN" w:bidi="ar-SA"/>
    </w:rPr>
  </w:style>
  <w:style w:type="paragraph" w:styleId="6">
    <w:name w:val="Body Text"/>
    <w:basedOn w:val="1"/>
    <w:next w:val="1"/>
    <w:qFormat/>
    <w:uiPriority w:val="0"/>
    <w:pPr>
      <w:spacing w:after="120"/>
    </w:pPr>
  </w:style>
  <w:style w:type="paragraph" w:styleId="7">
    <w:name w:val="annotation text"/>
    <w:basedOn w:val="1"/>
    <w:qFormat/>
    <w:uiPriority w:val="0"/>
    <w:pPr>
      <w:jc w:val="left"/>
    </w:pPr>
  </w:style>
  <w:style w:type="paragraph" w:styleId="8">
    <w:name w:val="Body Text Indent"/>
    <w:basedOn w:val="1"/>
    <w:qFormat/>
    <w:uiPriority w:val="0"/>
    <w:pPr>
      <w:spacing w:line="560" w:lineRule="exact"/>
      <w:ind w:left="300"/>
    </w:pPr>
    <w:rPr>
      <w:sz w:val="24"/>
    </w:rPr>
  </w:style>
  <w:style w:type="paragraph" w:styleId="9">
    <w:name w:val="toc 3"/>
    <w:basedOn w:val="1"/>
    <w:next w:val="1"/>
    <w:semiHidden/>
    <w:unhideWhenUsed/>
    <w:qFormat/>
    <w:uiPriority w:val="39"/>
    <w:pPr>
      <w:ind w:left="840" w:leftChars="400"/>
    </w:pPr>
  </w:style>
  <w:style w:type="paragraph" w:styleId="10">
    <w:name w:val="Plain Text"/>
    <w:basedOn w:val="1"/>
    <w:link w:val="25"/>
    <w:semiHidden/>
    <w:unhideWhenUsed/>
    <w:qFormat/>
    <w:uiPriority w:val="99"/>
    <w:rPr>
      <w:rFonts w:ascii="宋体" w:hAnsi="Courier New" w:eastAsia="宋体" w:cs="Times New Roman"/>
      <w:szCs w:val="20"/>
    </w:rPr>
  </w:style>
  <w:style w:type="paragraph" w:styleId="11">
    <w:name w:val="footer"/>
    <w:basedOn w:val="1"/>
    <w:link w:val="24"/>
    <w:semiHidden/>
    <w:unhideWhenUsed/>
    <w:qFormat/>
    <w:uiPriority w:val="99"/>
    <w:pPr>
      <w:tabs>
        <w:tab w:val="center" w:pos="4153"/>
        <w:tab w:val="right" w:pos="8306"/>
      </w:tabs>
      <w:snapToGrid w:val="0"/>
      <w:jc w:val="left"/>
    </w:pPr>
    <w:rPr>
      <w:sz w:val="18"/>
      <w:szCs w:val="18"/>
    </w:rPr>
  </w:style>
  <w:style w:type="paragraph" w:styleId="12">
    <w:name w:val="header"/>
    <w:basedOn w:val="1"/>
    <w:link w:val="2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semiHidden/>
    <w:unhideWhenUsed/>
    <w:qFormat/>
    <w:uiPriority w:val="39"/>
  </w:style>
  <w:style w:type="paragraph" w:styleId="14">
    <w:name w:val="toc 2"/>
    <w:basedOn w:val="1"/>
    <w:next w:val="1"/>
    <w:semiHidden/>
    <w:unhideWhenUsed/>
    <w:qFormat/>
    <w:uiPriority w:val="39"/>
    <w:pPr>
      <w:ind w:left="420" w:leftChars="200"/>
    </w:pPr>
  </w:style>
  <w:style w:type="paragraph" w:styleId="15">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6">
    <w:name w:val="Body Text First Indent 2"/>
    <w:basedOn w:val="8"/>
    <w:qFormat/>
    <w:uiPriority w:val="0"/>
    <w:pPr>
      <w:ind w:firstLine="420" w:firstLineChars="200"/>
    </w:pPr>
    <w:rPr>
      <w:sz w:val="21"/>
    </w:rPr>
  </w:style>
  <w:style w:type="table" w:styleId="18">
    <w:name w:val="Table Grid"/>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bCs/>
    </w:rPr>
  </w:style>
  <w:style w:type="character" w:styleId="21">
    <w:name w:val="page number"/>
    <w:basedOn w:val="19"/>
    <w:qFormat/>
    <w:uiPriority w:val="0"/>
  </w:style>
  <w:style w:type="character" w:styleId="22">
    <w:name w:val="Emphasis"/>
    <w:basedOn w:val="19"/>
    <w:qFormat/>
    <w:uiPriority w:val="0"/>
    <w:rPr>
      <w:i/>
      <w:iCs/>
    </w:rPr>
  </w:style>
  <w:style w:type="character" w:customStyle="1" w:styleId="23">
    <w:name w:val="页眉 Char"/>
    <w:basedOn w:val="19"/>
    <w:link w:val="12"/>
    <w:autoRedefine/>
    <w:semiHidden/>
    <w:qFormat/>
    <w:uiPriority w:val="99"/>
    <w:rPr>
      <w:sz w:val="18"/>
      <w:szCs w:val="18"/>
    </w:rPr>
  </w:style>
  <w:style w:type="character" w:customStyle="1" w:styleId="24">
    <w:name w:val="页脚 Char"/>
    <w:basedOn w:val="19"/>
    <w:link w:val="11"/>
    <w:semiHidden/>
    <w:qFormat/>
    <w:uiPriority w:val="99"/>
    <w:rPr>
      <w:sz w:val="18"/>
      <w:szCs w:val="18"/>
    </w:rPr>
  </w:style>
  <w:style w:type="character" w:customStyle="1" w:styleId="25">
    <w:name w:val="纯文本 Char"/>
    <w:basedOn w:val="19"/>
    <w:link w:val="10"/>
    <w:semiHidden/>
    <w:qFormat/>
    <w:uiPriority w:val="99"/>
    <w:rPr>
      <w:rFonts w:ascii="宋体" w:hAnsi="Courier New" w:eastAsia="宋体" w:cs="Times New Roman"/>
      <w:szCs w:val="20"/>
    </w:rPr>
  </w:style>
  <w:style w:type="character" w:customStyle="1" w:styleId="26">
    <w:name w:val="font11"/>
    <w:basedOn w:val="19"/>
    <w:qFormat/>
    <w:uiPriority w:val="0"/>
    <w:rPr>
      <w:rFonts w:hint="eastAsia" w:ascii="宋体" w:hAnsi="宋体" w:eastAsia="宋体" w:cs="宋体"/>
      <w:color w:val="000000"/>
      <w:sz w:val="30"/>
      <w:szCs w:val="30"/>
      <w:u w:val="none"/>
    </w:rPr>
  </w:style>
  <w:style w:type="paragraph" w:styleId="27">
    <w:name w:val="List Paragraph"/>
    <w:basedOn w:val="1"/>
    <w:autoRedefine/>
    <w:qFormat/>
    <w:uiPriority w:val="34"/>
    <w:pPr>
      <w:ind w:firstLine="420" w:firstLineChars="200"/>
    </w:pPr>
    <w:rPr>
      <w:rFonts w:ascii="Calibri" w:hAnsi="Calibri"/>
      <w:szCs w:val="22"/>
    </w:rPr>
  </w:style>
  <w:style w:type="table" w:customStyle="1" w:styleId="28">
    <w:name w:val="网格型1"/>
    <w:basedOn w:val="1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9">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0">
    <w:name w:val="列出段落1"/>
    <w:basedOn w:val="1"/>
    <w:autoRedefine/>
    <w:qFormat/>
    <w:uiPriority w:val="34"/>
    <w:pPr>
      <w:ind w:firstLine="420" w:firstLineChars="200"/>
    </w:pPr>
  </w:style>
  <w:style w:type="paragraph" w:customStyle="1" w:styleId="31">
    <w:name w:val="样式1 Char Char"/>
    <w:basedOn w:val="1"/>
    <w:next w:val="10"/>
    <w:qFormat/>
    <w:uiPriority w:val="0"/>
    <w:pPr>
      <w:spacing w:line="360" w:lineRule="auto"/>
      <w:ind w:firstLine="516" w:firstLineChars="215"/>
    </w:pPr>
    <w:rPr>
      <w:sz w:val="24"/>
    </w:rPr>
  </w:style>
  <w:style w:type="paragraph" w:customStyle="1" w:styleId="32">
    <w:name w:val="文档正文"/>
    <w:qFormat/>
    <w:uiPriority w:val="99"/>
    <w:pPr>
      <w:widowControl w:val="0"/>
      <w:adjustRightInd w:val="0"/>
      <w:spacing w:line="480" w:lineRule="atLeast"/>
      <w:ind w:firstLine="567" w:firstLineChars="200"/>
      <w:textAlignment w:val="baseline"/>
    </w:pPr>
    <w:rPr>
      <w:rFonts w:ascii="长城仿宋" w:hAnsi="Times New Roman" w:eastAsia="宋体" w:cs="Times New Roman"/>
      <w:sz w:val="21"/>
      <w:lang w:val="en-US" w:eastAsia="zh-CN" w:bidi="ar-SA"/>
    </w:rPr>
  </w:style>
  <w:style w:type="character" w:customStyle="1" w:styleId="33">
    <w:name w:val="font21"/>
    <w:basedOn w:val="19"/>
    <w:qFormat/>
    <w:uiPriority w:val="0"/>
    <w:rPr>
      <w:rFonts w:hint="eastAsia" w:ascii="宋体" w:hAnsi="宋体" w:eastAsia="宋体" w:cs="宋体"/>
      <w:color w:val="000000"/>
      <w:sz w:val="20"/>
      <w:szCs w:val="20"/>
      <w:u w:val="none"/>
    </w:rPr>
  </w:style>
  <w:style w:type="character" w:customStyle="1" w:styleId="34">
    <w:name w:val="font31"/>
    <w:basedOn w:val="19"/>
    <w:qFormat/>
    <w:uiPriority w:val="0"/>
    <w:rPr>
      <w:rFonts w:ascii="Tahoma" w:hAnsi="Tahoma" w:eastAsia="Tahoma" w:cs="Tahoma"/>
      <w:color w:val="000000"/>
      <w:sz w:val="20"/>
      <w:szCs w:val="20"/>
      <w:u w:val="none"/>
    </w:rPr>
  </w:style>
  <w:style w:type="paragraph" w:customStyle="1" w:styleId="35">
    <w:name w:val="*正文"/>
    <w:basedOn w:val="1"/>
    <w:qFormat/>
    <w:uiPriority w:val="0"/>
    <w:pPr>
      <w:spacing w:line="360" w:lineRule="auto"/>
      <w:ind w:firstLine="200" w:firstLineChars="200"/>
    </w:pPr>
    <w:rPr>
      <w:rFonts w:ascii="宋体" w:hAnsi="宋体"/>
      <w:kern w:val="0"/>
      <w:sz w:val="22"/>
      <w:szCs w:val="24"/>
    </w:rPr>
  </w:style>
  <w:style w:type="character" w:customStyle="1" w:styleId="36">
    <w:name w:val="10"/>
    <w:basedOn w:val="19"/>
    <w:qFormat/>
    <w:uiPriority w:val="0"/>
    <w:rPr>
      <w:rFonts w:hint="default" w:ascii="Times New Roman" w:hAnsi="Times New Roman" w:cs="Times New Roman"/>
    </w:rPr>
  </w:style>
  <w:style w:type="character" w:customStyle="1" w:styleId="37">
    <w:name w:val="15"/>
    <w:basedOn w:val="19"/>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88</Pages>
  <Words>4956</Words>
  <Characters>5307</Characters>
  <Lines>1</Lines>
  <Paragraphs>1</Paragraphs>
  <TotalTime>1</TotalTime>
  <ScaleCrop>false</ScaleCrop>
  <LinksUpToDate>false</LinksUpToDate>
  <CharactersWithSpaces>5355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2020-12-22T01:51:00Z</dcterms:created>
  <dc:creator>lenovo</dc:creator>
  <cp:lastModifiedBy>路菲君</cp:lastModifiedBy>
  <dcterms:modified xsi:type="dcterms:W3CDTF">2026-04-17T08:02:08Z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1F37B28067C3420390CCFD849D05714E_13</vt:lpwstr>
  </property>
  <property fmtid="{D5CDD505-2E9C-101B-9397-08002B2CF9AE}" pid="4" name="KSOTemplateDocerSaveRecord">
    <vt:lpwstr>eyJoZGlkIjoiM2EyNDYyYmQ1ZDA0NDE2ZWMxMTVjMTBjNjZlNGMxZWMiLCJ1c2VySWQiOiIxOTQ5NzkyNTQifQ==</vt:lpwstr>
  </property>
</Properties>
</file>