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3689"/>
      <w:bookmarkStart w:id="1" w:name="_Toc29098"/>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49E159DE">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09E23FEC">
      <w:pPr>
        <w:bidi w:val="0"/>
        <w:jc w:val="left"/>
        <w:rPr>
          <w:rFonts w:hint="eastAsia" w:asciiTheme="minorHAnsi" w:hAnsiTheme="minorHAnsi" w:eastAsiaTheme="minorEastAsia"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征集公告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12</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20</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59</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4C0FFA16">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2"/>
        </w:numPr>
        <w:jc w:val="center"/>
        <w:outlineLvl w:val="0"/>
        <w:rPr>
          <w:rFonts w:hint="eastAsia" w:asciiTheme="majorEastAsia" w:hAnsiTheme="majorEastAsia" w:eastAsiaTheme="majorEastAsia"/>
          <w:sz w:val="32"/>
          <w:szCs w:val="32"/>
          <w:lang w:val="en-US" w:eastAsia="zh-CN"/>
        </w:rPr>
      </w:pPr>
      <w:bookmarkStart w:id="2" w:name="_Toc11375"/>
      <w:r>
        <w:rPr>
          <w:rFonts w:hint="eastAsia" w:asciiTheme="majorEastAsia" w:hAnsiTheme="majorEastAsia" w:eastAsiaTheme="majorEastAsia"/>
          <w:sz w:val="32"/>
          <w:szCs w:val="32"/>
          <w:lang w:val="en-US" w:eastAsia="zh-CN"/>
        </w:rPr>
        <w:t>征集公告</w:t>
      </w:r>
      <w:bookmarkEnd w:id="2"/>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3" w:name="OLE_LINK1"/>
      <w:bookmarkStart w:id="4" w:name="OLE_LINK3"/>
      <w:r>
        <w:rPr>
          <w:rFonts w:hint="eastAsia" w:ascii="宋体" w:hAnsi="宋体"/>
          <w:szCs w:val="28"/>
        </w:rPr>
        <w:t>项目概况</w:t>
      </w:r>
    </w:p>
    <w:p w14:paraId="307C97A8">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szCs w:val="28"/>
        </w:rPr>
      </w:pPr>
      <w:bookmarkStart w:id="5" w:name="OLE_LINK2"/>
      <w:r>
        <w:rPr>
          <w:rFonts w:hint="eastAsia" w:ascii="宋体" w:hAnsi="宋体"/>
          <w:szCs w:val="28"/>
          <w:u w:val="single"/>
          <w:lang w:val="en-US" w:eastAsia="zh-CN"/>
        </w:rPr>
        <w:t>中医耗材一批</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文件，并于</w:t>
      </w:r>
      <w:r>
        <w:rPr>
          <w:rFonts w:hint="eastAsia" w:ascii="宋体" w:hAnsi="宋体"/>
          <w:szCs w:val="28"/>
          <w:u w:val="single"/>
        </w:rPr>
        <w:t>202</w:t>
      </w:r>
      <w:r>
        <w:rPr>
          <w:rFonts w:hint="eastAsia" w:ascii="宋体" w:hAnsi="宋体"/>
          <w:szCs w:val="28"/>
          <w:u w:val="single"/>
          <w:lang w:val="en-US" w:eastAsia="zh-CN"/>
        </w:rPr>
        <w:t>6</w:t>
      </w:r>
      <w:r>
        <w:rPr>
          <w:rFonts w:hint="eastAsia" w:ascii="宋体" w:hAnsi="宋体"/>
          <w:szCs w:val="28"/>
          <w:u w:val="single"/>
        </w:rPr>
        <w:t>年</w:t>
      </w:r>
      <w:r>
        <w:rPr>
          <w:rFonts w:hint="eastAsia" w:ascii="宋体" w:hAnsi="宋体"/>
          <w:szCs w:val="28"/>
          <w:u w:val="single"/>
          <w:lang w:val="en-US" w:eastAsia="zh-CN"/>
        </w:rPr>
        <w:t>5</w:t>
      </w:r>
      <w:r>
        <w:rPr>
          <w:rFonts w:hint="eastAsia" w:ascii="宋体" w:hAnsi="宋体"/>
          <w:szCs w:val="28"/>
          <w:u w:val="single"/>
        </w:rPr>
        <w:t>月</w:t>
      </w:r>
      <w:r>
        <w:rPr>
          <w:rFonts w:hint="eastAsia" w:ascii="宋体" w:hAnsi="宋体"/>
          <w:szCs w:val="28"/>
          <w:u w:val="single"/>
          <w:lang w:val="en-US" w:eastAsia="zh-CN"/>
        </w:rPr>
        <w:t>19</w:t>
      </w:r>
      <w:r>
        <w:rPr>
          <w:rFonts w:hint="eastAsia" w:ascii="宋体" w:hAnsi="宋体"/>
          <w:szCs w:val="28"/>
          <w:u w:val="single"/>
        </w:rPr>
        <w:t>日</w:t>
      </w:r>
      <w:r>
        <w:rPr>
          <w:rFonts w:hint="eastAsia" w:ascii="宋体" w:hAnsi="宋体"/>
          <w:szCs w:val="28"/>
          <w:u w:val="single"/>
          <w:lang w:val="en-US" w:eastAsia="zh-CN"/>
        </w:rPr>
        <w:t>8</w:t>
      </w:r>
      <w:r>
        <w:rPr>
          <w:rFonts w:hint="eastAsia" w:ascii="宋体" w:hAnsi="宋体"/>
          <w:szCs w:val="28"/>
          <w:u w:val="single"/>
        </w:rPr>
        <w:t>点30分</w:t>
      </w:r>
      <w:r>
        <w:rPr>
          <w:rFonts w:hint="eastAsia" w:ascii="宋体" w:hAnsi="宋体"/>
          <w:szCs w:val="28"/>
        </w:rPr>
        <w:t>（北京时间）前递交投标文件。</w:t>
      </w:r>
    </w:p>
    <w:p w14:paraId="1F60D2D8">
      <w:pPr>
        <w:spacing w:line="360" w:lineRule="auto"/>
        <w:ind w:firstLine="420" w:firstLineChars="200"/>
        <w:rPr>
          <w:rFonts w:hint="eastAsia" w:ascii="宋体" w:hAnsi="宋体"/>
        </w:rPr>
      </w:pPr>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FTEY-FYC-011</w:t>
      </w:r>
    </w:p>
    <w:p w14:paraId="4C536290">
      <w:pPr>
        <w:spacing w:line="360" w:lineRule="auto"/>
        <w:ind w:firstLine="420" w:firstLineChars="200"/>
        <w:rPr>
          <w:rFonts w:hint="default" w:ascii="宋体" w:hAnsi="宋体"/>
          <w:lang w:val="en-US"/>
        </w:rPr>
      </w:pPr>
      <w:r>
        <w:rPr>
          <w:rFonts w:hint="eastAsia" w:ascii="宋体" w:hAnsi="宋体"/>
        </w:rPr>
        <w:t>项目名</w:t>
      </w:r>
      <w:r>
        <w:rPr>
          <w:rFonts w:hint="eastAsia" w:ascii="宋体" w:hAnsi="宋体"/>
          <w:szCs w:val="28"/>
          <w:u w:val="none"/>
          <w:lang w:val="en-US" w:eastAsia="zh-CN"/>
        </w:rPr>
        <w:t>称：中医耗材一批</w:t>
      </w:r>
    </w:p>
    <w:p w14:paraId="6B8796DB">
      <w:pPr>
        <w:spacing w:line="360" w:lineRule="auto"/>
        <w:ind w:firstLine="420" w:firstLineChars="200"/>
        <w:rPr>
          <w:rFonts w:hint="eastAsia" w:ascii="宋体" w:hAnsi="宋体"/>
          <w:szCs w:val="21"/>
        </w:rPr>
      </w:pPr>
      <w:r>
        <w:rPr>
          <w:rFonts w:hint="eastAsia" w:ascii="宋体" w:hAnsi="宋体"/>
        </w:rPr>
        <w:t>预算金额（支付上限</w:t>
      </w:r>
      <w:r>
        <w:rPr>
          <w:rFonts w:hint="eastAsia" w:ascii="宋体" w:hAnsi="宋体"/>
          <w:szCs w:val="28"/>
          <w:u w:val="none"/>
          <w:lang w:val="en-US" w:eastAsia="zh-CN"/>
        </w:rPr>
        <w:t>）</w:t>
      </w:r>
      <w:r>
        <w:rPr>
          <w:rFonts w:hint="eastAsia" w:ascii="宋体" w:hAnsi="宋体"/>
          <w:szCs w:val="28"/>
          <w:u w:val="none"/>
          <w:lang w:val="en-US" w:eastAsia="zh-CN"/>
        </w:rPr>
        <w:t>：人民币壹拾伍万肆仟叁佰零捌元整</w:t>
      </w:r>
      <w:r>
        <w:rPr>
          <w:rFonts w:hint="eastAsia" w:ascii="宋体" w:hAnsi="宋体"/>
          <w:szCs w:val="28"/>
          <w:u w:val="none"/>
          <w:lang w:val="en-US" w:eastAsia="zh-CN"/>
        </w:rPr>
        <w:t>（¥154308.00元）</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bookmarkStart w:id="127" w:name="_GoBack"/>
      <w:bookmarkEnd w:id="127"/>
    </w:p>
    <w:p w14:paraId="53438E1E">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6"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6"/>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3BF5B2CB">
      <w:pPr>
        <w:spacing w:line="360" w:lineRule="auto"/>
        <w:ind w:firstLine="420" w:firstLineChars="200"/>
        <w:rPr>
          <w:rFonts w:hint="eastAsia" w:ascii="宋体" w:hAnsi="宋体"/>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耗材</w:t>
      </w:r>
      <w:r>
        <w:rPr>
          <w:rFonts w:hint="eastAsia" w:ascii="宋体" w:hAnsi="宋体"/>
          <w:b/>
          <w:bCs/>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7"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4"/>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7E243B84">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报名时间：2026年5月7日8时00分至2026年5月12日17时00分止。</w:t>
      </w:r>
    </w:p>
    <w:p w14:paraId="075D17AE">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19</w:t>
      </w:r>
      <w:r>
        <w:rPr>
          <w:rFonts w:hint="eastAsia" w:ascii="宋体" w:hAnsi="宋体"/>
          <w:highlight w:val="none"/>
        </w:rPr>
        <w:t>日</w:t>
      </w:r>
      <w:r>
        <w:rPr>
          <w:rFonts w:hint="eastAsia" w:ascii="宋体" w:hAnsi="宋体"/>
          <w:bCs/>
          <w:highlight w:val="none"/>
          <w:lang w:val="en-US" w:eastAsia="zh-CN"/>
        </w:rPr>
        <w:t>14</w:t>
      </w:r>
      <w:r>
        <w:rPr>
          <w:rFonts w:hint="eastAsia" w:ascii="宋体" w:hAnsi="宋体"/>
          <w:bCs/>
          <w:highlight w:val="none"/>
        </w:rPr>
        <w:t>:00至</w:t>
      </w:r>
      <w:r>
        <w:rPr>
          <w:rFonts w:hint="eastAsia" w:ascii="宋体" w:hAnsi="宋体"/>
          <w:bCs/>
          <w:highlight w:val="none"/>
          <w:lang w:val="en-US" w:eastAsia="zh-CN"/>
        </w:rPr>
        <w:t>14</w:t>
      </w:r>
      <w:r>
        <w:rPr>
          <w:rFonts w:hint="eastAsia" w:ascii="宋体" w:hAnsi="宋体"/>
          <w:bCs/>
          <w:highlight w:val="none"/>
        </w:rPr>
        <w:t>:30（北京时间）；</w:t>
      </w:r>
    </w:p>
    <w:p w14:paraId="6C635FC7">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66DF0691">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19</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1F524D47">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19</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p>
    <w:p w14:paraId="765DC7A4">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38706802">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5"/>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5"/>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highlight w:val="none"/>
          <w:lang w:val="en-US" w:eastAsia="zh-CN"/>
        </w:rPr>
      </w:pPr>
      <w:r>
        <w:rPr>
          <w:rFonts w:hint="eastAsia" w:ascii="宋体" w:hAnsi="宋体"/>
          <w:szCs w:val="21"/>
          <w:highlight w:val="none"/>
          <w:lang w:val="en-US" w:eastAsia="zh-CN"/>
        </w:rPr>
        <w:t>深圳市福田区第二人民医院</w:t>
      </w:r>
    </w:p>
    <w:p w14:paraId="1B01E0D4">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6</w:t>
      </w:r>
      <w:r>
        <w:rPr>
          <w:rFonts w:hint="eastAsia" w:ascii="宋体" w:hAnsi="宋体"/>
          <w:highlight w:val="none"/>
        </w:rPr>
        <w:t>日</w:t>
      </w:r>
      <w:bookmarkEnd w:id="3"/>
      <w:bookmarkEnd w:id="4"/>
      <w:bookmarkEnd w:id="5"/>
    </w:p>
    <w:p w14:paraId="685DEE00">
      <w:pPr>
        <w:spacing w:line="400" w:lineRule="exact"/>
        <w:ind w:firstLine="420" w:firstLineChars="200"/>
        <w:jc w:val="right"/>
        <w:rPr>
          <w:rFonts w:hint="eastAsia" w:ascii="宋体" w:hAnsi="宋体"/>
          <w:highlight w:val="none"/>
        </w:rPr>
      </w:pPr>
    </w:p>
    <w:p w14:paraId="2E3CD428">
      <w:pPr>
        <w:spacing w:line="400" w:lineRule="exact"/>
        <w:ind w:firstLine="420" w:firstLineChars="200"/>
        <w:jc w:val="right"/>
        <w:rPr>
          <w:rFonts w:hint="eastAsia" w:ascii="宋体" w:hAnsi="宋体"/>
          <w:highlight w:val="none"/>
        </w:rPr>
      </w:pPr>
    </w:p>
    <w:p w14:paraId="1BE84547">
      <w:pPr>
        <w:widowControl/>
        <w:numPr>
          <w:ilvl w:val="0"/>
          <w:numId w:val="2"/>
        </w:numPr>
        <w:ind w:left="0" w:leftChars="0" w:firstLine="0" w:firstLineChars="0"/>
        <w:jc w:val="center"/>
        <w:outlineLvl w:val="0"/>
        <w:rPr>
          <w:rFonts w:hint="eastAsia" w:asciiTheme="majorEastAsia" w:hAnsiTheme="majorEastAsia" w:eastAsiaTheme="majorEastAsia"/>
          <w:sz w:val="32"/>
          <w:szCs w:val="32"/>
          <w:lang w:val="en-US" w:eastAsia="zh-CN"/>
        </w:rPr>
      </w:pPr>
      <w:bookmarkStart w:id="8" w:name="_Toc24468"/>
      <w:r>
        <w:rPr>
          <w:rFonts w:hint="eastAsia" w:asciiTheme="majorEastAsia" w:hAnsiTheme="majorEastAsia" w:eastAsiaTheme="majorEastAsia"/>
          <w:sz w:val="32"/>
          <w:szCs w:val="32"/>
          <w:lang w:val="en-US" w:eastAsia="zh-CN"/>
        </w:rPr>
        <w:t>用户需求书</w:t>
      </w:r>
      <w:bookmarkEnd w:id="8"/>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6"/>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5E039CC0">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用户需求书中打“●”号的为采购的核</w:t>
      </w:r>
      <w:r>
        <w:rPr>
          <w:rFonts w:hint="eastAsia" w:ascii="宋体" w:hAnsi="宋体" w:eastAsia="宋体" w:cs="宋体"/>
          <w:b/>
          <w:bCs/>
          <w:color w:val="000000" w:themeColor="text1"/>
          <w:szCs w:val="21"/>
          <w:highlight w:val="none"/>
          <w14:textFill>
            <w14:solidFill>
              <w14:schemeClr w14:val="tx1"/>
            </w14:solidFill>
          </w14:textFill>
        </w:rPr>
        <w:t>心产品，投标人应在《</w:t>
      </w:r>
      <w:r>
        <w:rPr>
          <w:rFonts w:hint="eastAsia" w:ascii="宋体" w:hAnsi="宋体" w:eastAsia="宋体" w:cs="宋体"/>
          <w:b/>
          <w:bCs/>
          <w:color w:val="000000" w:themeColor="text1"/>
          <w:szCs w:val="21"/>
          <w:highlight w:val="none"/>
          <w:lang w:val="en-US" w:eastAsia="zh-CN"/>
          <w14:textFill>
            <w14:solidFill>
              <w14:schemeClr w14:val="tx1"/>
            </w14:solidFill>
          </w14:textFill>
        </w:rPr>
        <w:t>开标一栏表</w:t>
      </w:r>
      <w:r>
        <w:rPr>
          <w:rFonts w:hint="eastAsia" w:ascii="宋体" w:hAnsi="宋体" w:eastAsia="宋体" w:cs="宋体"/>
          <w:b/>
          <w:bCs/>
          <w:color w:val="000000" w:themeColor="text1"/>
          <w:szCs w:val="21"/>
          <w:highlight w:val="none"/>
          <w14:textFill>
            <w14:solidFill>
              <w14:schemeClr w14:val="tx1"/>
            </w14:solidFill>
          </w14:textFill>
        </w:rPr>
        <w:t>》中清晰列明“产品名称、品牌”。</w:t>
      </w:r>
    </w:p>
    <w:p w14:paraId="5AAF2DBC">
      <w:pPr>
        <w:pStyle w:val="10"/>
        <w:numPr>
          <w:ilvl w:val="0"/>
          <w:numId w:val="7"/>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1428"/>
        <w:gridCol w:w="2183"/>
        <w:gridCol w:w="2183"/>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28" w:type="dxa"/>
            <w:shd w:val="clear" w:color="auto" w:fill="EEECE1"/>
            <w:vAlign w:val="center"/>
          </w:tcPr>
          <w:p w14:paraId="1F7013D0">
            <w:pPr>
              <w:keepNext w:val="0"/>
              <w:keepLines w:val="0"/>
              <w:suppressLineNumbers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合同履行  期限</w:t>
            </w:r>
          </w:p>
        </w:tc>
        <w:tc>
          <w:tcPr>
            <w:tcW w:w="2183"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183" w:type="dxa"/>
            <w:shd w:val="clear" w:color="auto" w:fill="EEECE1"/>
            <w:vAlign w:val="center"/>
          </w:tcPr>
          <w:p w14:paraId="77A1679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中医耗材一批</w:t>
            </w:r>
          </w:p>
        </w:tc>
        <w:tc>
          <w:tcPr>
            <w:tcW w:w="693"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28"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183" w:type="dxa"/>
            <w:vAlign w:val="center"/>
          </w:tcPr>
          <w:p w14:paraId="26A59F7D">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人民币154308.00元</w:t>
            </w:r>
          </w:p>
        </w:tc>
        <w:tc>
          <w:tcPr>
            <w:tcW w:w="2183" w:type="dxa"/>
            <w:vAlign w:val="center"/>
          </w:tcPr>
          <w:p w14:paraId="113A87B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人民币154308.00元</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asciiTheme="minorEastAsia" w:hAnsiTheme="minorEastAsia" w:eastAsiaTheme="minorEastAsia"/>
          <w:b/>
          <w:bCs/>
          <w:color w:val="auto"/>
          <w:szCs w:val="21"/>
        </w:rPr>
        <w:t>★</w:t>
      </w:r>
      <w:r>
        <w:rPr>
          <w:rFonts w:hint="eastAsia" w:hAnsi="宋体"/>
          <w:b/>
          <w:color w:val="auto"/>
          <w:lang w:val="en-US" w:eastAsia="zh-CN"/>
        </w:rPr>
        <w:t>货品清单及</w:t>
      </w:r>
      <w:r>
        <w:rPr>
          <w:rFonts w:hint="eastAsia" w:hAnsi="宋体"/>
          <w:b/>
          <w:color w:val="auto"/>
        </w:rPr>
        <w:t>技术要求：</w:t>
      </w:r>
    </w:p>
    <w:tbl>
      <w:tblPr>
        <w:tblStyle w:val="17"/>
        <w:tblW w:w="984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610"/>
        <w:gridCol w:w="3292"/>
        <w:gridCol w:w="998"/>
        <w:gridCol w:w="996"/>
        <w:gridCol w:w="1477"/>
        <w:gridCol w:w="1473"/>
      </w:tblGrid>
      <w:tr w14:paraId="3E0741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0" w:type="dxa"/>
            <w:tcBorders>
              <w:tl2br w:val="nil"/>
              <w:tr2bl w:val="nil"/>
            </w:tcBorders>
            <w:shd w:val="clear" w:color="auto" w:fill="EEECE1" w:themeFill="background2"/>
            <w:vAlign w:val="center"/>
          </w:tcPr>
          <w:p w14:paraId="18CF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3292" w:type="dxa"/>
            <w:tcBorders>
              <w:tl2br w:val="nil"/>
              <w:tr2bl w:val="nil"/>
            </w:tcBorders>
            <w:shd w:val="clear" w:color="auto" w:fill="EEECE1" w:themeFill="background2"/>
            <w:vAlign w:val="center"/>
          </w:tcPr>
          <w:p w14:paraId="54A08D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998" w:type="dxa"/>
            <w:tcBorders>
              <w:tl2br w:val="nil"/>
              <w:tr2bl w:val="nil"/>
            </w:tcBorders>
            <w:shd w:val="clear" w:color="auto" w:fill="EEECE1" w:themeFill="background2"/>
            <w:vAlign w:val="center"/>
          </w:tcPr>
          <w:p w14:paraId="503B9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96" w:type="dxa"/>
            <w:tcBorders>
              <w:tl2br w:val="nil"/>
              <w:tr2bl w:val="nil"/>
            </w:tcBorders>
            <w:shd w:val="clear" w:color="auto" w:fill="EEECE1" w:themeFill="background2"/>
            <w:vAlign w:val="center"/>
          </w:tcPr>
          <w:p w14:paraId="2DD77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477" w:type="dxa"/>
            <w:tcBorders>
              <w:tl2br w:val="nil"/>
              <w:tr2bl w:val="nil"/>
            </w:tcBorders>
            <w:shd w:val="clear" w:color="auto" w:fill="EEECE1" w:themeFill="background2"/>
            <w:vAlign w:val="center"/>
          </w:tcPr>
          <w:p w14:paraId="50DE1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1473" w:type="dxa"/>
            <w:tcBorders>
              <w:tl2br w:val="nil"/>
              <w:tr2bl w:val="nil"/>
            </w:tcBorders>
            <w:shd w:val="clear" w:color="auto" w:fill="EEECE1" w:themeFill="background2"/>
            <w:vAlign w:val="center"/>
          </w:tcPr>
          <w:p w14:paraId="7F0ADE75">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r>
      <w:tr w14:paraId="2AC587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610" w:type="dxa"/>
            <w:tcBorders>
              <w:tl2br w:val="nil"/>
              <w:tr2bl w:val="nil"/>
            </w:tcBorders>
            <w:shd w:val="clear" w:color="auto" w:fill="auto"/>
            <w:vAlign w:val="center"/>
          </w:tcPr>
          <w:p w14:paraId="6A7C4B3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艾灸盒</w:t>
            </w:r>
          </w:p>
        </w:tc>
        <w:tc>
          <w:tcPr>
            <w:tcW w:w="3292" w:type="dxa"/>
            <w:tcBorders>
              <w:tl2br w:val="nil"/>
              <w:tr2bl w:val="nil"/>
            </w:tcBorders>
            <w:shd w:val="clear" w:color="auto" w:fill="auto"/>
            <w:vAlign w:val="center"/>
          </w:tcPr>
          <w:p w14:paraId="28DE2A1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1.用于中医灸疗，通过灸材燃烧对人体产生温热作用施灸于人体穴位。</w:t>
            </w:r>
          </w:p>
          <w:p w14:paraId="017F30F3">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2.隔灰网透气助燃，防烫，隔热。有固定袋。</w:t>
            </w:r>
          </w:p>
        </w:tc>
        <w:tc>
          <w:tcPr>
            <w:tcW w:w="998" w:type="dxa"/>
            <w:tcBorders>
              <w:tl2br w:val="nil"/>
              <w:tr2bl w:val="nil"/>
            </w:tcBorders>
            <w:shd w:val="clear" w:color="auto" w:fill="auto"/>
            <w:vAlign w:val="center"/>
          </w:tcPr>
          <w:p w14:paraId="10F63E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各规格型号</w:t>
            </w:r>
          </w:p>
        </w:tc>
        <w:tc>
          <w:tcPr>
            <w:tcW w:w="996" w:type="dxa"/>
            <w:tcBorders>
              <w:tl2br w:val="nil"/>
              <w:tr2bl w:val="nil"/>
            </w:tcBorders>
            <w:shd w:val="clear" w:color="auto" w:fill="auto"/>
            <w:vAlign w:val="center"/>
          </w:tcPr>
          <w:p w14:paraId="2A843BD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477" w:type="dxa"/>
            <w:tcBorders>
              <w:tl2br w:val="nil"/>
              <w:tr2bl w:val="nil"/>
            </w:tcBorders>
            <w:shd w:val="clear" w:color="auto" w:fill="auto"/>
            <w:vAlign w:val="center"/>
          </w:tcPr>
          <w:p w14:paraId="59D50B1E">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73" w:type="dxa"/>
            <w:tcBorders>
              <w:tl2br w:val="nil"/>
              <w:tr2bl w:val="nil"/>
            </w:tcBorders>
            <w:shd w:val="clear" w:color="auto" w:fill="auto"/>
            <w:vAlign w:val="center"/>
          </w:tcPr>
          <w:p w14:paraId="77F25B3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1800</w:t>
            </w:r>
          </w:p>
        </w:tc>
      </w:tr>
      <w:tr w14:paraId="67DF35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0" w:type="dxa"/>
            <w:tcBorders>
              <w:tl2br w:val="nil"/>
              <w:tr2bl w:val="nil"/>
            </w:tcBorders>
            <w:shd w:val="clear" w:color="auto" w:fill="auto"/>
            <w:vAlign w:val="center"/>
          </w:tcPr>
          <w:p w14:paraId="2D4BAB3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20"/>
                <w:szCs w:val="20"/>
                <w:u w:val="none"/>
                <w:lang w:val="en-US" w:eastAsia="zh-CN" w:bidi="ar"/>
              </w:rPr>
              <w:t>艾柱</w:t>
            </w:r>
          </w:p>
        </w:tc>
        <w:tc>
          <w:tcPr>
            <w:tcW w:w="3292" w:type="dxa"/>
            <w:tcBorders>
              <w:tl2br w:val="nil"/>
              <w:tr2bl w:val="nil"/>
            </w:tcBorders>
            <w:shd w:val="clear" w:color="auto" w:fill="auto"/>
            <w:vAlign w:val="center"/>
          </w:tcPr>
          <w:p w14:paraId="44288FF7">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1.与火龙罐配套使用。燃烧至结束时不掉灰。需保证3年陈及以上。</w:t>
            </w:r>
          </w:p>
        </w:tc>
        <w:tc>
          <w:tcPr>
            <w:tcW w:w="998" w:type="dxa"/>
            <w:tcBorders>
              <w:tl2br w:val="nil"/>
              <w:tr2bl w:val="nil"/>
            </w:tcBorders>
            <w:shd w:val="clear" w:color="auto" w:fill="auto"/>
            <w:vAlign w:val="center"/>
          </w:tcPr>
          <w:p w14:paraId="33248E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各规格型号</w:t>
            </w:r>
          </w:p>
        </w:tc>
        <w:tc>
          <w:tcPr>
            <w:tcW w:w="996" w:type="dxa"/>
            <w:tcBorders>
              <w:tl2br w:val="nil"/>
              <w:tr2bl w:val="nil"/>
            </w:tcBorders>
            <w:shd w:val="clear" w:color="auto" w:fill="auto"/>
            <w:vAlign w:val="center"/>
          </w:tcPr>
          <w:p w14:paraId="7C5FD5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板</w:t>
            </w:r>
          </w:p>
        </w:tc>
        <w:tc>
          <w:tcPr>
            <w:tcW w:w="1477" w:type="dxa"/>
            <w:tcBorders>
              <w:tl2br w:val="nil"/>
              <w:tr2bl w:val="nil"/>
            </w:tcBorders>
            <w:shd w:val="clear" w:color="auto" w:fill="auto"/>
            <w:vAlign w:val="center"/>
          </w:tcPr>
          <w:p w14:paraId="1F9F62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39.00 </w:t>
            </w:r>
          </w:p>
        </w:tc>
        <w:tc>
          <w:tcPr>
            <w:tcW w:w="1473" w:type="dxa"/>
            <w:tcBorders>
              <w:tl2br w:val="nil"/>
              <w:tr2bl w:val="nil"/>
            </w:tcBorders>
            <w:shd w:val="clear" w:color="auto" w:fill="auto"/>
            <w:vAlign w:val="center"/>
          </w:tcPr>
          <w:p w14:paraId="758239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96068</w:t>
            </w:r>
          </w:p>
        </w:tc>
      </w:tr>
      <w:tr w14:paraId="3BE6B9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10" w:type="dxa"/>
            <w:tcBorders>
              <w:tl2br w:val="nil"/>
              <w:tr2bl w:val="nil"/>
            </w:tcBorders>
            <w:shd w:val="clear" w:color="auto" w:fill="auto"/>
            <w:vAlign w:val="center"/>
          </w:tcPr>
          <w:p w14:paraId="594DE0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敷中药胶布 (白刺水胶布)</w:t>
            </w:r>
          </w:p>
        </w:tc>
        <w:tc>
          <w:tcPr>
            <w:tcW w:w="3292" w:type="dxa"/>
            <w:tcBorders>
              <w:tl2br w:val="nil"/>
              <w:tr2bl w:val="nil"/>
            </w:tcBorders>
            <w:shd w:val="clear" w:color="auto" w:fill="auto"/>
            <w:vAlign w:val="center"/>
          </w:tcPr>
          <w:p w14:paraId="6FA3CA12">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1.将中药粉及药膏等穴位贴固定于人体的特定部位。</w:t>
            </w:r>
          </w:p>
        </w:tc>
        <w:tc>
          <w:tcPr>
            <w:tcW w:w="998" w:type="dxa"/>
            <w:tcBorders>
              <w:tl2br w:val="nil"/>
              <w:tr2bl w:val="nil"/>
            </w:tcBorders>
            <w:shd w:val="clear" w:color="auto" w:fill="auto"/>
            <w:vAlign w:val="center"/>
          </w:tcPr>
          <w:p w14:paraId="1B29A6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宽度≥15cm</w:t>
            </w:r>
          </w:p>
        </w:tc>
        <w:tc>
          <w:tcPr>
            <w:tcW w:w="996" w:type="dxa"/>
            <w:tcBorders>
              <w:tl2br w:val="nil"/>
              <w:tr2bl w:val="nil"/>
            </w:tcBorders>
            <w:shd w:val="clear" w:color="auto" w:fill="auto"/>
            <w:vAlign w:val="center"/>
          </w:tcPr>
          <w:p w14:paraId="765E6B9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1477" w:type="dxa"/>
            <w:tcBorders>
              <w:tl2br w:val="nil"/>
              <w:tr2bl w:val="nil"/>
            </w:tcBorders>
            <w:shd w:val="clear" w:color="auto" w:fill="auto"/>
            <w:vAlign w:val="center"/>
          </w:tcPr>
          <w:p w14:paraId="2FA869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2.30 </w:t>
            </w:r>
          </w:p>
        </w:tc>
        <w:tc>
          <w:tcPr>
            <w:tcW w:w="1473" w:type="dxa"/>
            <w:tcBorders>
              <w:tl2br w:val="nil"/>
              <w:tr2bl w:val="nil"/>
            </w:tcBorders>
            <w:shd w:val="clear" w:color="auto" w:fill="auto"/>
            <w:vAlign w:val="center"/>
          </w:tcPr>
          <w:p w14:paraId="0E0C91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8970</w:t>
            </w:r>
          </w:p>
        </w:tc>
      </w:tr>
      <w:tr w14:paraId="15B53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610" w:type="dxa"/>
            <w:tcBorders>
              <w:tl2br w:val="nil"/>
              <w:tr2bl w:val="nil"/>
            </w:tcBorders>
            <w:shd w:val="clear" w:color="auto" w:fill="auto"/>
            <w:vAlign w:val="center"/>
          </w:tcPr>
          <w:p w14:paraId="42E3CB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特定电磁波治疗器</w:t>
            </w:r>
          </w:p>
        </w:tc>
        <w:tc>
          <w:tcPr>
            <w:tcW w:w="3292" w:type="dxa"/>
            <w:tcBorders>
              <w:tl2br w:val="nil"/>
              <w:tr2bl w:val="nil"/>
            </w:tcBorders>
            <w:shd w:val="clear" w:color="auto" w:fill="auto"/>
            <w:vAlign w:val="center"/>
          </w:tcPr>
          <w:p w14:paraId="1A04169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1.仪器倾倒可自动断电。灯头直径（mm）：220±5%，照射板直径（mm)：Φ166±5%。定时器型式：金属机械定时器，定时器时间范围：0min～60min（所投产品涵盖此范围即认定为满足该项技术要求）、长通。</w:t>
            </w:r>
          </w:p>
          <w:p w14:paraId="5E98D63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2.加热方式：红外灯加热（无需长时间预热）。</w:t>
            </w:r>
          </w:p>
          <w:p w14:paraId="0387183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3.支撑系统：采用一体式高端支臂。</w:t>
            </w:r>
          </w:p>
          <w:p w14:paraId="0D58DC6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4.防烫灯头：新型耐高温防烫材质。</w:t>
            </w:r>
          </w:p>
          <w:p w14:paraId="0CBF7B2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5.治疗板使用寿命:≥1000小时，加热器使用寿命：≥2000小时，辐射板的表面温度平均值为280℃±10%。</w:t>
            </w:r>
          </w:p>
        </w:tc>
        <w:tc>
          <w:tcPr>
            <w:tcW w:w="998" w:type="dxa"/>
            <w:tcBorders>
              <w:tl2br w:val="nil"/>
              <w:tr2bl w:val="nil"/>
            </w:tcBorders>
            <w:shd w:val="clear" w:color="auto" w:fill="auto"/>
            <w:vAlign w:val="center"/>
          </w:tcPr>
          <w:p w14:paraId="7EF1D96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各规格型号</w:t>
            </w:r>
          </w:p>
        </w:tc>
        <w:tc>
          <w:tcPr>
            <w:tcW w:w="996" w:type="dxa"/>
            <w:tcBorders>
              <w:tl2br w:val="nil"/>
              <w:tr2bl w:val="nil"/>
            </w:tcBorders>
            <w:shd w:val="clear" w:color="auto" w:fill="auto"/>
            <w:vAlign w:val="center"/>
          </w:tcPr>
          <w:p w14:paraId="69B5C70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477" w:type="dxa"/>
            <w:tcBorders>
              <w:tl2br w:val="nil"/>
              <w:tr2bl w:val="nil"/>
            </w:tcBorders>
            <w:shd w:val="clear" w:color="auto" w:fill="auto"/>
            <w:vAlign w:val="center"/>
          </w:tcPr>
          <w:p w14:paraId="1E23C8B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390.00 </w:t>
            </w:r>
          </w:p>
        </w:tc>
        <w:tc>
          <w:tcPr>
            <w:tcW w:w="1473" w:type="dxa"/>
            <w:tcBorders>
              <w:tl2br w:val="nil"/>
              <w:tr2bl w:val="nil"/>
            </w:tcBorders>
            <w:shd w:val="clear" w:color="auto" w:fill="auto"/>
            <w:vAlign w:val="center"/>
          </w:tcPr>
          <w:p w14:paraId="2C0C78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8970</w:t>
            </w:r>
          </w:p>
        </w:tc>
      </w:tr>
      <w:tr w14:paraId="022CC5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0" w:type="dxa"/>
            <w:tcBorders>
              <w:tl2br w:val="nil"/>
              <w:tr2bl w:val="nil"/>
            </w:tcBorders>
            <w:shd w:val="clear" w:color="auto" w:fill="auto"/>
            <w:vAlign w:val="center"/>
          </w:tcPr>
          <w:p w14:paraId="459C17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电子针疗仪</w:t>
            </w:r>
          </w:p>
        </w:tc>
        <w:tc>
          <w:tcPr>
            <w:tcW w:w="3292" w:type="dxa"/>
            <w:tcBorders>
              <w:tl2br w:val="nil"/>
              <w:tr2bl w:val="nil"/>
            </w:tcBorders>
            <w:shd w:val="clear" w:color="auto" w:fill="auto"/>
            <w:vAlign w:val="center"/>
          </w:tcPr>
          <w:p w14:paraId="7AFE574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1.供临床中医电针治疗用。</w:t>
            </w:r>
          </w:p>
          <w:p w14:paraId="1250157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2.可一键操控。</w:t>
            </w:r>
          </w:p>
          <w:p w14:paraId="5DF38E0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3.直流9V/220V或110V,最大功率10.0VA。</w:t>
            </w:r>
          </w:p>
          <w:p w14:paraId="543E2C8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4.波形：非对称双向脉冲波形。</w:t>
            </w:r>
          </w:p>
          <w:p w14:paraId="7254652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5.6个通道，最大输出功率0.3VA。</w:t>
            </w:r>
          </w:p>
          <w:p w14:paraId="54A4B54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6.频率：1-100HZ。（所投产品涵盖此范围即认定为满足该项技术要求）</w:t>
            </w:r>
          </w:p>
        </w:tc>
        <w:tc>
          <w:tcPr>
            <w:tcW w:w="998" w:type="dxa"/>
            <w:tcBorders>
              <w:tl2br w:val="nil"/>
              <w:tr2bl w:val="nil"/>
            </w:tcBorders>
            <w:shd w:val="clear" w:color="auto" w:fill="auto"/>
            <w:vAlign w:val="center"/>
          </w:tcPr>
          <w:p w14:paraId="6F9A2BE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各规格型号</w:t>
            </w:r>
          </w:p>
        </w:tc>
        <w:tc>
          <w:tcPr>
            <w:tcW w:w="996" w:type="dxa"/>
            <w:tcBorders>
              <w:tl2br w:val="nil"/>
              <w:tr2bl w:val="nil"/>
            </w:tcBorders>
            <w:shd w:val="clear" w:color="auto" w:fill="auto"/>
            <w:vAlign w:val="center"/>
          </w:tcPr>
          <w:p w14:paraId="132DBAF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477" w:type="dxa"/>
            <w:tcBorders>
              <w:tl2br w:val="nil"/>
              <w:tr2bl w:val="nil"/>
            </w:tcBorders>
            <w:shd w:val="clear" w:color="auto" w:fill="auto"/>
            <w:vAlign w:val="center"/>
          </w:tcPr>
          <w:p w14:paraId="08D46C4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400.00</w:t>
            </w:r>
          </w:p>
        </w:tc>
        <w:tc>
          <w:tcPr>
            <w:tcW w:w="1473" w:type="dxa"/>
            <w:tcBorders>
              <w:tl2br w:val="nil"/>
              <w:tr2bl w:val="nil"/>
            </w:tcBorders>
            <w:shd w:val="clear" w:color="auto" w:fill="auto"/>
            <w:vAlign w:val="center"/>
          </w:tcPr>
          <w:p w14:paraId="06DB76E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2800</w:t>
            </w:r>
          </w:p>
        </w:tc>
      </w:tr>
      <w:tr w14:paraId="4DAE7C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610" w:type="dxa"/>
            <w:tcBorders>
              <w:tl2br w:val="nil"/>
              <w:tr2bl w:val="nil"/>
            </w:tcBorders>
            <w:shd w:val="clear" w:color="auto" w:fill="auto"/>
            <w:vAlign w:val="center"/>
          </w:tcPr>
          <w:p w14:paraId="556EF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热敏艾条</w:t>
            </w:r>
          </w:p>
        </w:tc>
        <w:tc>
          <w:tcPr>
            <w:tcW w:w="3292" w:type="dxa"/>
            <w:tcBorders>
              <w:tl2br w:val="nil"/>
              <w:tr2bl w:val="nil"/>
            </w:tcBorders>
            <w:shd w:val="clear" w:color="auto" w:fill="auto"/>
            <w:vAlign w:val="center"/>
          </w:tcPr>
          <w:p w14:paraId="1AED9F6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1.3年及以上纯艾叶艾条，艾绒纯度最低需满足25:1。</w:t>
            </w:r>
          </w:p>
        </w:tc>
        <w:tc>
          <w:tcPr>
            <w:tcW w:w="998" w:type="dxa"/>
            <w:tcBorders>
              <w:tl2br w:val="nil"/>
              <w:tr2bl w:val="nil"/>
            </w:tcBorders>
            <w:shd w:val="clear" w:color="auto" w:fill="auto"/>
            <w:vAlign w:val="center"/>
          </w:tcPr>
          <w:p w14:paraId="25D06D5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996" w:type="dxa"/>
            <w:tcBorders>
              <w:tl2br w:val="nil"/>
              <w:tr2bl w:val="nil"/>
            </w:tcBorders>
            <w:shd w:val="clear" w:color="auto" w:fill="auto"/>
            <w:vAlign w:val="center"/>
          </w:tcPr>
          <w:p w14:paraId="6E96A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1477" w:type="dxa"/>
            <w:tcBorders>
              <w:tl2br w:val="nil"/>
              <w:tr2bl w:val="nil"/>
            </w:tcBorders>
            <w:shd w:val="clear" w:color="auto" w:fill="auto"/>
            <w:vAlign w:val="center"/>
          </w:tcPr>
          <w:p w14:paraId="06A5292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473" w:type="dxa"/>
            <w:tcBorders>
              <w:tl2br w:val="nil"/>
              <w:tr2bl w:val="nil"/>
            </w:tcBorders>
            <w:shd w:val="clear" w:color="auto" w:fill="auto"/>
            <w:vAlign w:val="center"/>
          </w:tcPr>
          <w:p w14:paraId="5E8FB4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35700</w:t>
            </w:r>
          </w:p>
        </w:tc>
      </w:tr>
    </w:tbl>
    <w:p w14:paraId="64E7D191">
      <w:pPr>
        <w:pStyle w:val="10"/>
        <w:tabs>
          <w:tab w:val="left" w:pos="420"/>
          <w:tab w:val="left" w:pos="540"/>
        </w:tabs>
        <w:adjustRightInd w:val="0"/>
        <w:snapToGrid w:val="0"/>
        <w:spacing w:line="360" w:lineRule="auto"/>
        <w:rPr>
          <w:rFonts w:hint="eastAsia" w:hAnsi="宋体"/>
          <w:b/>
          <w:color w:val="auto"/>
          <w:lang w:val="en-US" w:eastAsia="zh-CN"/>
        </w:rPr>
      </w:pPr>
      <w:r>
        <w:rPr>
          <w:rFonts w:hint="eastAsia" w:hAnsi="宋体"/>
          <w:b/>
          <w:color w:val="auto"/>
          <w:lang w:val="en-US" w:eastAsia="zh-CN"/>
        </w:rPr>
        <w:t>注：1.投标单位必须满足货品清单及</w:t>
      </w:r>
      <w:r>
        <w:rPr>
          <w:rFonts w:hint="eastAsia" w:hAnsi="宋体"/>
          <w:b/>
          <w:color w:val="auto"/>
        </w:rPr>
        <w:t>技术要求</w:t>
      </w:r>
      <w:r>
        <w:rPr>
          <w:rFonts w:hint="eastAsia" w:hAnsi="宋体"/>
          <w:b/>
          <w:color w:val="auto"/>
          <w:lang w:eastAsia="zh-CN"/>
        </w:rPr>
        <w:t>，</w:t>
      </w:r>
      <w:r>
        <w:rPr>
          <w:rFonts w:hint="eastAsia" w:hAnsi="宋体"/>
          <w:b/>
          <w:color w:val="auto"/>
          <w:lang w:val="en-US" w:eastAsia="zh-CN"/>
        </w:rPr>
        <w:t>否则为无效投标。</w:t>
      </w:r>
    </w:p>
    <w:p w14:paraId="5A7D83D0">
      <w:pPr>
        <w:pStyle w:val="10"/>
        <w:tabs>
          <w:tab w:val="left" w:pos="420"/>
          <w:tab w:val="left" w:pos="540"/>
        </w:tabs>
        <w:adjustRightInd w:val="0"/>
        <w:snapToGrid w:val="0"/>
        <w:spacing w:line="360" w:lineRule="auto"/>
        <w:rPr>
          <w:rFonts w:hint="default" w:hAnsi="宋体"/>
          <w:b/>
          <w:color w:val="auto"/>
          <w:lang w:val="en-US" w:eastAsia="zh-CN"/>
        </w:rPr>
      </w:pPr>
      <w:r>
        <w:rPr>
          <w:rFonts w:hint="eastAsia" w:hAnsi="宋体"/>
          <w:b/>
          <w:color w:val="auto"/>
          <w:lang w:val="en-US" w:eastAsia="zh-CN"/>
        </w:rPr>
        <w:t xml:space="preserve">    2.所有货品清单均需提供样品，否则影响综合评分。</w:t>
      </w:r>
    </w:p>
    <w:p w14:paraId="7C2FC4C4">
      <w:pPr>
        <w:pStyle w:val="10"/>
        <w:numPr>
          <w:ilvl w:val="0"/>
          <w:numId w:val="7"/>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8"/>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8"/>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幅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5BD3D987">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11.2投标人的投标报价超过最高限价或最高支付上限的视为无效投标。报价应包括并不限于耗材试剂费、税费、运费、安装调试费、培训费等费用。</w:t>
      </w:r>
    </w:p>
    <w:p w14:paraId="7B5F7C6E">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11.3投标人须根据货物清单进行单项报价，且不得超过最小单位预算价格。最终以实际供货的数量×中标单价进行结算，年度结算总价不超过最高限价（最高支付上限）。</w:t>
      </w:r>
    </w:p>
    <w:p w14:paraId="7B6C4EF0">
      <w:pPr>
        <w:keepNext w:val="0"/>
        <w:keepLines w:val="0"/>
        <w:suppressLineNumbers w:val="0"/>
        <w:spacing w:before="0" w:beforeAutospacing="0" w:after="0" w:afterAutospacing="0"/>
        <w:ind w:left="0" w:right="0" w:firstLine="420" w:firstLineChars="200"/>
        <w:jc w:val="left"/>
        <w:rPr>
          <w:rFonts w:hint="default" w:ascii="宋体" w:hAnsi="宋体" w:eastAsia="宋体" w:cs="宋体"/>
          <w:snapToGrid/>
          <w:color w:val="auto"/>
          <w:spacing w:val="0"/>
          <w:kern w:val="2"/>
          <w:sz w:val="21"/>
          <w:szCs w:val="24"/>
          <w:highlight w:val="none"/>
          <w:lang w:val="en-US" w:eastAsia="zh-CN" w:bidi="ar-SA"/>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bookmarkStart w:id="9" w:name="_Toc16150"/>
    </w:p>
    <w:p w14:paraId="0C04F0D8">
      <w:pPr>
        <w:rPr>
          <w:rFonts w:hint="eastAsia" w:asciiTheme="majorEastAsia" w:hAnsiTheme="majorEastAsia" w:eastAsiaTheme="majorEastAsia" w:cstheme="majorEastAsia"/>
          <w:kern w:val="2"/>
          <w:sz w:val="32"/>
          <w:szCs w:val="32"/>
          <w:lang w:val="en-US" w:eastAsia="zh-CN" w:bidi="ar-SA"/>
        </w:rPr>
      </w:pPr>
    </w:p>
    <w:p w14:paraId="541EA39A">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9"/>
    </w:p>
    <w:p w14:paraId="3B4C8BEE">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0" w:name="_Toc15209"/>
      <w:bookmarkStart w:id="11" w:name="_Toc10794"/>
      <w:bookmarkStart w:id="12" w:name="_Toc24015563"/>
      <w:bookmarkStart w:id="13" w:name="_Toc1988"/>
      <w:r>
        <w:rPr>
          <w:rFonts w:hint="eastAsia" w:ascii="宋体" w:hAnsi="宋体" w:cs="宋体" w:eastAsiaTheme="minorEastAsia"/>
          <w:kern w:val="2"/>
          <w:sz w:val="21"/>
          <w:szCs w:val="21"/>
          <w:lang w:val="en-US" w:eastAsia="zh-CN" w:bidi="ar-SA"/>
        </w:rPr>
        <w:t>资格性审查表</w:t>
      </w:r>
      <w:bookmarkEnd w:id="10"/>
      <w:bookmarkEnd w:id="11"/>
      <w:bookmarkEnd w:id="12"/>
      <w:bookmarkEnd w:id="13"/>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4"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4"/>
    </w:p>
    <w:p w14:paraId="41BA4C69">
      <w:pPr>
        <w:pStyle w:val="3"/>
        <w:numPr>
          <w:ilvl w:val="0"/>
          <w:numId w:val="9"/>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5"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5"/>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71B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27256D5">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1BC36255">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0"/>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1"/>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30"/>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征集</w:t>
      </w:r>
      <w:r>
        <w:rPr>
          <w:rFonts w:hint="eastAsia" w:ascii="宋体" w:hAnsi="宋体" w:cs="宋体"/>
          <w:szCs w:val="21"/>
        </w:rPr>
        <w:t>文件规定的需要宣布的其他内容。</w:t>
      </w:r>
    </w:p>
    <w:p w14:paraId="133E712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30"/>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或以上</w:t>
      </w:r>
      <w:r>
        <w:rPr>
          <w:rFonts w:hint="eastAsia" w:ascii="宋体" w:hAnsi="宋体" w:cs="宋体"/>
          <w:szCs w:val="21"/>
        </w:rPr>
        <w:t>单数组成。</w:t>
      </w:r>
    </w:p>
    <w:p w14:paraId="0B02EDB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征集</w:t>
      </w:r>
      <w:r>
        <w:rPr>
          <w:rFonts w:hint="eastAsia" w:ascii="宋体" w:hAnsi="宋体" w:cs="宋体"/>
          <w:szCs w:val="21"/>
        </w:rPr>
        <w:t>文件的商务、技术等实质性要求；</w:t>
      </w:r>
    </w:p>
    <w:p w14:paraId="6AE4880F">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30"/>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征集</w:t>
      </w:r>
      <w:r>
        <w:rPr>
          <w:rFonts w:hint="eastAsia" w:ascii="宋体" w:hAnsi="宋体" w:cs="宋体"/>
          <w:szCs w:val="21"/>
        </w:rPr>
        <w:t>文件的规定，对投标文件中的资格证明等进行审查，以确定投标供应商是否具备投标资格。符合性检查：依据</w:t>
      </w:r>
      <w:r>
        <w:rPr>
          <w:rFonts w:hint="eastAsia" w:ascii="宋体" w:hAnsi="宋体" w:cs="宋体"/>
          <w:szCs w:val="21"/>
          <w:lang w:eastAsia="zh-CN"/>
        </w:rPr>
        <w:t>征集</w:t>
      </w:r>
      <w:r>
        <w:rPr>
          <w:rFonts w:hint="eastAsia" w:ascii="宋体" w:hAnsi="宋体" w:cs="宋体"/>
          <w:szCs w:val="21"/>
        </w:rPr>
        <w:t>文件的规定，从投标文件的有效性、完整性和对</w:t>
      </w:r>
      <w:r>
        <w:rPr>
          <w:rFonts w:hint="eastAsia" w:ascii="宋体" w:hAnsi="宋体" w:cs="宋体"/>
          <w:szCs w:val="21"/>
          <w:lang w:eastAsia="zh-CN"/>
        </w:rPr>
        <w:t>征集</w:t>
      </w:r>
      <w:r>
        <w:rPr>
          <w:rFonts w:hint="eastAsia" w:ascii="宋体" w:hAnsi="宋体" w:cs="宋体"/>
          <w:szCs w:val="21"/>
        </w:rPr>
        <w:t>文件的响应程度进行审查，以确定是否对</w:t>
      </w:r>
      <w:r>
        <w:rPr>
          <w:rFonts w:hint="eastAsia" w:ascii="宋体" w:hAnsi="宋体" w:cs="宋体"/>
          <w:szCs w:val="21"/>
          <w:lang w:eastAsia="zh-CN"/>
        </w:rPr>
        <w:t>征集</w:t>
      </w:r>
      <w:r>
        <w:rPr>
          <w:rFonts w:hint="eastAsia" w:ascii="宋体" w:hAnsi="宋体" w:cs="宋体"/>
          <w:szCs w:val="21"/>
        </w:rPr>
        <w:t>文件的实质性要求作出响应。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文件规定的方式确定一个参加评审的投标人，</w:t>
      </w:r>
      <w:r>
        <w:rPr>
          <w:rFonts w:hint="eastAsia" w:ascii="宋体" w:hAnsi="宋体" w:cs="宋体"/>
          <w:szCs w:val="21"/>
          <w:lang w:eastAsia="zh-CN"/>
        </w:rPr>
        <w:t>征集</w:t>
      </w:r>
      <w:r>
        <w:rPr>
          <w:rFonts w:hint="eastAsia" w:ascii="宋体" w:hAnsi="宋体" w:cs="宋体"/>
          <w:szCs w:val="21"/>
        </w:rPr>
        <w:t>文件未规定的采取随机抽取方式确定，其他投标无效。</w:t>
      </w:r>
    </w:p>
    <w:p w14:paraId="1A11F764">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文件规定的方式确定一个投标人获得中标人推荐资格，</w:t>
      </w:r>
      <w:r>
        <w:rPr>
          <w:rFonts w:hint="eastAsia" w:ascii="宋体" w:hAnsi="宋体" w:cs="宋体"/>
          <w:szCs w:val="21"/>
          <w:lang w:eastAsia="zh-CN"/>
        </w:rPr>
        <w:t>征集</w:t>
      </w:r>
      <w:r>
        <w:rPr>
          <w:rFonts w:hint="eastAsia" w:ascii="宋体" w:hAnsi="宋体" w:cs="宋体"/>
          <w:szCs w:val="21"/>
        </w:rPr>
        <w:t>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文件中载明。多家投标人提供的核心产品品牌相同的，按前两款规定处理。</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文件实质性要求，按照报价由低到高的顺序，依据</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文件中规定的数量或者比例推荐候选中标供应商。</w:t>
      </w:r>
    </w:p>
    <w:p w14:paraId="5D19274F">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文件全部实质性要求的前提下，按照</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征集</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2DCD88F">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688145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B8F20F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72B715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5698CCEC">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05051A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5558F86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4312D3D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6DCA70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0C57E8B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6B2387FA">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44FAC3A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79BAFC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4C3CFC7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30D319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7B74605B">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0"/>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7"/>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7DBF69">
      <w:pPr>
        <w:widowControl/>
        <w:numPr>
          <w:ilvl w:val="0"/>
          <w:numId w:val="0"/>
        </w:numPr>
        <w:ind w:leftChars="0"/>
        <w:jc w:val="center"/>
        <w:outlineLvl w:val="0"/>
        <w:rPr>
          <w:rFonts w:hint="eastAsia" w:asciiTheme="majorEastAsia" w:hAnsiTheme="majorEastAsia" w:eastAsiaTheme="majorEastAsia"/>
          <w:sz w:val="32"/>
          <w:szCs w:val="32"/>
          <w:lang w:val="en-US" w:eastAsia="zh-CN"/>
        </w:rPr>
      </w:pPr>
      <w:bookmarkStart w:id="16" w:name="_Toc26388"/>
    </w:p>
    <w:p w14:paraId="093AF3EC">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194321A">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94AED39">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7EDBCDA8">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6A8AE071">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4678F262">
      <w:pPr>
        <w:widowControl/>
        <w:numPr>
          <w:ilvl w:val="0"/>
          <w:numId w:val="0"/>
        </w:numPr>
        <w:ind w:leftChars="0"/>
        <w:jc w:val="both"/>
        <w:outlineLvl w:val="0"/>
        <w:rPr>
          <w:rFonts w:hint="eastAsia" w:asciiTheme="majorEastAsia" w:hAnsiTheme="majorEastAsia" w:eastAsiaTheme="majorEastAsia"/>
          <w:sz w:val="32"/>
          <w:szCs w:val="32"/>
          <w:lang w:val="en-US" w:eastAsia="zh-CN"/>
        </w:rPr>
      </w:pPr>
    </w:p>
    <w:p w14:paraId="3098F824">
      <w:pPr>
        <w:widowControl/>
        <w:numPr>
          <w:ilvl w:val="0"/>
          <w:numId w:val="0"/>
        </w:numPr>
        <w:ind w:leftChars="0"/>
        <w:jc w:val="center"/>
        <w:outlineLvl w:val="0"/>
        <w:rPr>
          <w:rFonts w:hint="eastAsia" w:asciiTheme="majorEastAsia" w:hAnsiTheme="majorEastAsia" w:eastAsiaTheme="majorEastAsia"/>
          <w:sz w:val="32"/>
          <w:szCs w:val="32"/>
          <w:lang w:val="en-US" w:eastAsia="zh-CN"/>
        </w:rPr>
      </w:pP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6"/>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2"/>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7" w:name="_Toc25542"/>
      <w:bookmarkStart w:id="18" w:name="_Toc6779"/>
      <w:r>
        <w:rPr>
          <w:rFonts w:hint="eastAsia" w:cs="宋体" w:asciiTheme="majorEastAsia" w:hAnsiTheme="majorEastAsia" w:eastAsiaTheme="majorEastAsia"/>
          <w:kern w:val="2"/>
          <w:sz w:val="30"/>
          <w:szCs w:val="30"/>
          <w:lang w:val="en-US" w:eastAsia="zh-CN" w:bidi="ar-SA"/>
        </w:rPr>
        <w:t>资格性自查表</w:t>
      </w:r>
      <w:bookmarkEnd w:id="17"/>
      <w:bookmarkEnd w:id="18"/>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2"/>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9" w:name="_Toc21714"/>
      <w:bookmarkStart w:id="20" w:name="_Toc29213"/>
      <w:r>
        <w:rPr>
          <w:rFonts w:hint="eastAsia" w:cs="宋体" w:asciiTheme="majorEastAsia" w:hAnsiTheme="majorEastAsia" w:eastAsiaTheme="majorEastAsia"/>
          <w:kern w:val="2"/>
          <w:sz w:val="30"/>
          <w:szCs w:val="30"/>
          <w:lang w:val="en-US" w:eastAsia="zh-CN" w:bidi="ar-SA"/>
        </w:rPr>
        <w:t>符合性自查表</w:t>
      </w:r>
      <w:bookmarkEnd w:id="19"/>
      <w:bookmarkEnd w:id="20"/>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9CB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F3D4DB7">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4C618955">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F28C3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E25FA3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59DA09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1" w:name="_Toc20641"/>
      <w:bookmarkStart w:id="22" w:name="_Toc1526"/>
      <w:r>
        <w:rPr>
          <w:rFonts w:hint="eastAsia" w:cs="宋体" w:asciiTheme="majorEastAsia" w:hAnsiTheme="majorEastAsia" w:eastAsiaTheme="majorEastAsia"/>
          <w:kern w:val="2"/>
          <w:sz w:val="30"/>
          <w:szCs w:val="30"/>
          <w:lang w:val="en-US" w:eastAsia="zh-CN" w:bidi="ar-SA"/>
        </w:rPr>
        <w:t>（三）警示情形自查确认表</w:t>
      </w:r>
      <w:bookmarkEnd w:id="21"/>
      <w:bookmarkEnd w:id="22"/>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3" w:name="_Toc30883"/>
      <w:bookmarkStart w:id="24" w:name="_Toc15495"/>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3"/>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5" w:name="_Toc5508"/>
      <w:bookmarkStart w:id="26" w:name="_Toc31601"/>
      <w:r>
        <w:rPr>
          <w:rFonts w:hint="eastAsia" w:cs="宋体" w:asciiTheme="majorEastAsia" w:hAnsiTheme="majorEastAsia" w:eastAsiaTheme="majorEastAsia"/>
          <w:kern w:val="2"/>
          <w:sz w:val="30"/>
          <w:szCs w:val="30"/>
          <w:lang w:val="en-US" w:eastAsia="zh-CN" w:bidi="ar-SA"/>
        </w:rPr>
        <w:t>（六）诚信及信用信息证明</w:t>
      </w:r>
      <w:bookmarkEnd w:id="25"/>
      <w:bookmarkEnd w:id="26"/>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）的有效截图（深圳市政府采购监管网需含一般行政处罚和严重违法行为的查询截图）。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7" w:name="_Toc12322"/>
      <w:bookmarkStart w:id="28" w:name="_Toc2713"/>
      <w:bookmarkStart w:id="29" w:name="_Toc11281"/>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7"/>
      <w:bookmarkEnd w:id="28"/>
      <w:bookmarkEnd w:id="29"/>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0"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0"/>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1" w:name="_Hlk72259001"/>
      <w:r>
        <w:rPr>
          <w:rFonts w:hint="eastAsia"/>
          <w:b/>
          <w:bCs/>
          <w:color w:val="auto"/>
          <w:lang w:eastAsia="zh-CN"/>
        </w:rPr>
        <w:t>征集</w:t>
      </w:r>
      <w:r>
        <w:rPr>
          <w:rFonts w:hint="eastAsia"/>
          <w:b/>
          <w:bCs/>
          <w:color w:val="auto"/>
        </w:rPr>
        <w:t>文件</w:t>
      </w:r>
      <w:bookmarkEnd w:id="31"/>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1D29C215">
      <w:pPr>
        <w:spacing w:line="360" w:lineRule="exact"/>
        <w:ind w:firstLine="424" w:firstLineChars="202"/>
        <w:outlineLvl w:val="9"/>
        <w:rPr>
          <w:rFonts w:hint="eastAsia" w:asciiTheme="minorEastAsia" w:hAnsiTheme="minorEastAsia" w:cstheme="minorEastAsia"/>
          <w:b/>
          <w:bCs/>
          <w:sz w:val="28"/>
          <w:szCs w:val="28"/>
          <w:lang w:eastAsia="zh-CN"/>
        </w:rPr>
      </w:pPr>
      <w:r>
        <w:rPr>
          <w:rFonts w:hint="eastAsia" w:ascii="宋体" w:hAnsi="宋体"/>
          <w:color w:val="auto"/>
          <w:szCs w:val="21"/>
        </w:rPr>
        <w:t xml:space="preserve">                                     </w:t>
      </w: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7"/>
        <w:tblW w:w="5628" w:type="pct"/>
        <w:jc w:val="center"/>
        <w:tblLayout w:type="autofit"/>
        <w:tblCellMar>
          <w:top w:w="0" w:type="dxa"/>
          <w:left w:w="108" w:type="dxa"/>
          <w:bottom w:w="0" w:type="dxa"/>
          <w:right w:w="108" w:type="dxa"/>
        </w:tblCellMar>
      </w:tblPr>
      <w:tblGrid>
        <w:gridCol w:w="2375"/>
        <w:gridCol w:w="1533"/>
        <w:gridCol w:w="787"/>
        <w:gridCol w:w="1257"/>
        <w:gridCol w:w="1909"/>
        <w:gridCol w:w="1601"/>
        <w:gridCol w:w="1114"/>
      </w:tblGrid>
      <w:tr w14:paraId="2767ADD0">
        <w:tblPrEx>
          <w:tblCellMar>
            <w:top w:w="0" w:type="dxa"/>
            <w:left w:w="108" w:type="dxa"/>
            <w:bottom w:w="0" w:type="dxa"/>
            <w:right w:w="108" w:type="dxa"/>
          </w:tblCellMar>
        </w:tblPrEx>
        <w:trPr>
          <w:trHeight w:val="636" w:hRule="exact"/>
          <w:jc w:val="center"/>
        </w:trPr>
        <w:tc>
          <w:tcPr>
            <w:tcW w:w="1122" w:type="pct"/>
            <w:tcBorders>
              <w:top w:val="single" w:color="auto" w:sz="4" w:space="0"/>
              <w:left w:val="nil"/>
              <w:bottom w:val="single" w:color="auto" w:sz="4" w:space="0"/>
              <w:right w:val="single" w:color="auto" w:sz="4" w:space="0"/>
            </w:tcBorders>
            <w:shd w:val="clear" w:color="auto" w:fill="auto"/>
            <w:vAlign w:val="center"/>
          </w:tcPr>
          <w:p w14:paraId="76B3C900">
            <w:pPr>
              <w:spacing w:line="2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4" w:type="pct"/>
            <w:tcBorders>
              <w:top w:val="single" w:color="auto" w:sz="4" w:space="0"/>
              <w:left w:val="nil"/>
              <w:bottom w:val="single" w:color="auto" w:sz="4" w:space="0"/>
              <w:right w:val="single" w:color="auto" w:sz="4" w:space="0"/>
            </w:tcBorders>
            <w:shd w:val="clear" w:color="auto" w:fill="auto"/>
            <w:vAlign w:val="center"/>
          </w:tcPr>
          <w:p w14:paraId="363619D0">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2" w:type="pct"/>
            <w:tcBorders>
              <w:top w:val="single" w:color="auto" w:sz="4" w:space="0"/>
              <w:left w:val="nil"/>
              <w:bottom w:val="single" w:color="auto" w:sz="4" w:space="0"/>
              <w:right w:val="single" w:color="auto" w:sz="4" w:space="0"/>
            </w:tcBorders>
            <w:shd w:val="clear" w:color="auto" w:fill="auto"/>
            <w:vAlign w:val="center"/>
          </w:tcPr>
          <w:p w14:paraId="2D792FD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4" w:type="pct"/>
            <w:tcBorders>
              <w:top w:val="single" w:color="auto" w:sz="4" w:space="0"/>
              <w:left w:val="nil"/>
              <w:bottom w:val="single" w:color="auto" w:sz="4" w:space="0"/>
              <w:right w:val="single" w:color="auto" w:sz="4" w:space="0"/>
            </w:tcBorders>
            <w:shd w:val="clear" w:color="auto" w:fill="auto"/>
            <w:vAlign w:val="center"/>
          </w:tcPr>
          <w:p w14:paraId="7F08D2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2" w:type="pct"/>
            <w:tcBorders>
              <w:top w:val="single" w:color="auto" w:sz="4" w:space="0"/>
              <w:left w:val="nil"/>
              <w:bottom w:val="single" w:color="auto" w:sz="4" w:space="0"/>
              <w:right w:val="single" w:color="auto" w:sz="4" w:space="0"/>
            </w:tcBorders>
            <w:shd w:val="clear" w:color="auto" w:fill="auto"/>
            <w:vAlign w:val="center"/>
          </w:tcPr>
          <w:p w14:paraId="7B929E8F">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6" w:type="pct"/>
            <w:tcBorders>
              <w:top w:val="single" w:color="auto" w:sz="4" w:space="0"/>
              <w:left w:val="nil"/>
              <w:bottom w:val="single" w:color="auto" w:sz="4" w:space="0"/>
              <w:right w:val="nil"/>
            </w:tcBorders>
            <w:shd w:val="clear" w:color="auto" w:fill="auto"/>
            <w:vAlign w:val="center"/>
          </w:tcPr>
          <w:p w14:paraId="49A590F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6" w:hRule="exact"/>
          <w:jc w:val="center"/>
        </w:trPr>
        <w:tc>
          <w:tcPr>
            <w:tcW w:w="1122" w:type="pct"/>
            <w:tcBorders>
              <w:top w:val="nil"/>
              <w:left w:val="nil"/>
              <w:bottom w:val="single" w:color="auto" w:sz="4" w:space="0"/>
              <w:right w:val="single" w:color="auto" w:sz="4" w:space="0"/>
            </w:tcBorders>
            <w:shd w:val="clear" w:color="auto" w:fill="auto"/>
            <w:vAlign w:val="center"/>
          </w:tcPr>
          <w:p w14:paraId="1E4A950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4" w:type="pct"/>
            <w:tcBorders>
              <w:top w:val="nil"/>
              <w:left w:val="nil"/>
              <w:bottom w:val="single" w:color="auto" w:sz="4" w:space="0"/>
              <w:right w:val="single" w:color="auto" w:sz="4" w:space="0"/>
            </w:tcBorders>
            <w:shd w:val="clear" w:color="auto" w:fill="auto"/>
            <w:vAlign w:val="center"/>
          </w:tcPr>
          <w:p w14:paraId="58655A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3F106CD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746A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49DAE89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6" w:type="pct"/>
            <w:tcBorders>
              <w:top w:val="nil"/>
              <w:left w:val="nil"/>
              <w:bottom w:val="single" w:color="auto" w:sz="4" w:space="0"/>
              <w:right w:val="nil"/>
            </w:tcBorders>
            <w:shd w:val="clear" w:color="auto" w:fill="auto"/>
            <w:vAlign w:val="center"/>
          </w:tcPr>
          <w:p w14:paraId="4A581E9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1146CC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4" w:type="pct"/>
            <w:tcBorders>
              <w:top w:val="nil"/>
              <w:left w:val="nil"/>
              <w:bottom w:val="nil"/>
              <w:right w:val="single" w:color="auto" w:sz="4" w:space="0"/>
            </w:tcBorders>
            <w:shd w:val="clear" w:color="auto" w:fill="auto"/>
            <w:vAlign w:val="center"/>
          </w:tcPr>
          <w:p w14:paraId="35C3A2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E2F64D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7ADC0BF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2D205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0462CE6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4" w:hRule="exact"/>
          <w:jc w:val="center"/>
        </w:trPr>
        <w:tc>
          <w:tcPr>
            <w:tcW w:w="1122" w:type="pct"/>
            <w:vMerge w:val="continue"/>
            <w:tcBorders>
              <w:top w:val="nil"/>
              <w:left w:val="nil"/>
              <w:bottom w:val="single" w:color="auto" w:sz="4" w:space="0"/>
              <w:right w:val="single" w:color="auto" w:sz="4" w:space="0"/>
            </w:tcBorders>
            <w:vAlign w:val="center"/>
          </w:tcPr>
          <w:p w14:paraId="2225C670">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73F00572">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7EEF3E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634F7F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72A1DCB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6" w:type="pct"/>
            <w:tcBorders>
              <w:top w:val="nil"/>
              <w:left w:val="nil"/>
              <w:bottom w:val="single" w:color="auto" w:sz="4" w:space="0"/>
              <w:right w:val="nil"/>
            </w:tcBorders>
            <w:shd w:val="clear" w:color="auto" w:fill="auto"/>
            <w:vAlign w:val="center"/>
          </w:tcPr>
          <w:p w14:paraId="2654F2C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5"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5A40ACF3">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4" w:type="pct"/>
            <w:tcBorders>
              <w:top w:val="nil"/>
              <w:left w:val="nil"/>
              <w:bottom w:val="nil"/>
              <w:right w:val="single" w:color="auto" w:sz="4" w:space="0"/>
            </w:tcBorders>
            <w:shd w:val="clear" w:color="auto" w:fill="auto"/>
            <w:vAlign w:val="center"/>
          </w:tcPr>
          <w:p w14:paraId="22C243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36388E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41EBCF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2" w:type="pct"/>
            <w:tcBorders>
              <w:top w:val="nil"/>
              <w:left w:val="nil"/>
              <w:bottom w:val="nil"/>
              <w:right w:val="single" w:color="auto" w:sz="4" w:space="0"/>
            </w:tcBorders>
            <w:shd w:val="clear" w:color="auto" w:fill="auto"/>
            <w:vAlign w:val="center"/>
          </w:tcPr>
          <w:p w14:paraId="3013AC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6" w:type="pct"/>
            <w:tcBorders>
              <w:top w:val="nil"/>
              <w:left w:val="nil"/>
              <w:bottom w:val="nil"/>
              <w:right w:val="nil"/>
            </w:tcBorders>
            <w:shd w:val="clear" w:color="auto" w:fill="auto"/>
            <w:vAlign w:val="center"/>
          </w:tcPr>
          <w:p w14:paraId="0FD6207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3" w:hRule="exact"/>
          <w:jc w:val="center"/>
        </w:trPr>
        <w:tc>
          <w:tcPr>
            <w:tcW w:w="1122" w:type="pct"/>
            <w:vMerge w:val="continue"/>
            <w:tcBorders>
              <w:top w:val="nil"/>
              <w:left w:val="nil"/>
              <w:bottom w:val="single" w:color="auto" w:sz="4" w:space="0"/>
              <w:right w:val="single" w:color="auto" w:sz="4" w:space="0"/>
            </w:tcBorders>
            <w:vAlign w:val="center"/>
          </w:tcPr>
          <w:p w14:paraId="0A93CBF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115F8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3186C9E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636EF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2" w:type="pct"/>
            <w:tcBorders>
              <w:top w:val="nil"/>
              <w:left w:val="nil"/>
              <w:bottom w:val="single" w:color="auto" w:sz="4" w:space="0"/>
              <w:right w:val="single" w:color="auto" w:sz="4" w:space="0"/>
            </w:tcBorders>
            <w:shd w:val="clear" w:color="auto" w:fill="auto"/>
            <w:vAlign w:val="center"/>
          </w:tcPr>
          <w:p w14:paraId="401598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6" w:type="pct"/>
            <w:tcBorders>
              <w:top w:val="nil"/>
              <w:left w:val="nil"/>
              <w:bottom w:val="single" w:color="auto" w:sz="4" w:space="0"/>
              <w:right w:val="nil"/>
            </w:tcBorders>
            <w:shd w:val="clear" w:color="auto" w:fill="auto"/>
            <w:vAlign w:val="center"/>
          </w:tcPr>
          <w:p w14:paraId="405E6D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D85AEEC">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4" w:type="pct"/>
            <w:tcBorders>
              <w:top w:val="nil"/>
              <w:left w:val="nil"/>
              <w:bottom w:val="nil"/>
              <w:right w:val="single" w:color="auto" w:sz="4" w:space="0"/>
            </w:tcBorders>
            <w:shd w:val="clear" w:color="auto" w:fill="auto"/>
            <w:vAlign w:val="center"/>
          </w:tcPr>
          <w:p w14:paraId="1E12E71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CFAC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37176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42828F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6" w:type="pct"/>
            <w:tcBorders>
              <w:top w:val="nil"/>
              <w:left w:val="nil"/>
              <w:bottom w:val="nil"/>
              <w:right w:val="nil"/>
            </w:tcBorders>
            <w:shd w:val="clear" w:color="auto" w:fill="auto"/>
            <w:vAlign w:val="center"/>
          </w:tcPr>
          <w:p w14:paraId="1881E0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6D57115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AAFF7C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32338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5D177D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2" w:type="pct"/>
            <w:tcBorders>
              <w:top w:val="nil"/>
              <w:left w:val="nil"/>
              <w:bottom w:val="single" w:color="auto" w:sz="4" w:space="0"/>
              <w:right w:val="single" w:color="auto" w:sz="4" w:space="0"/>
            </w:tcBorders>
            <w:shd w:val="clear" w:color="auto" w:fill="auto"/>
            <w:vAlign w:val="center"/>
          </w:tcPr>
          <w:p w14:paraId="62206B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6" w:type="pct"/>
            <w:tcBorders>
              <w:top w:val="nil"/>
              <w:left w:val="nil"/>
              <w:bottom w:val="single" w:color="auto" w:sz="4" w:space="0"/>
              <w:right w:val="nil"/>
            </w:tcBorders>
            <w:shd w:val="clear" w:color="auto" w:fill="auto"/>
            <w:vAlign w:val="center"/>
          </w:tcPr>
          <w:p w14:paraId="745B09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AC9CBDF">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4" w:type="pct"/>
            <w:tcBorders>
              <w:top w:val="nil"/>
              <w:left w:val="nil"/>
              <w:bottom w:val="nil"/>
              <w:right w:val="single" w:color="auto" w:sz="4" w:space="0"/>
            </w:tcBorders>
            <w:shd w:val="clear" w:color="auto" w:fill="auto"/>
            <w:vAlign w:val="center"/>
          </w:tcPr>
          <w:p w14:paraId="3B9138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3362D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2C8F6F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7B6599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6" w:type="pct"/>
            <w:tcBorders>
              <w:top w:val="nil"/>
              <w:left w:val="nil"/>
              <w:bottom w:val="nil"/>
              <w:right w:val="nil"/>
            </w:tcBorders>
            <w:shd w:val="clear" w:color="auto" w:fill="auto"/>
            <w:vAlign w:val="center"/>
          </w:tcPr>
          <w:p w14:paraId="5520E2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6" w:hRule="exact"/>
          <w:jc w:val="center"/>
        </w:trPr>
        <w:tc>
          <w:tcPr>
            <w:tcW w:w="1122" w:type="pct"/>
            <w:vMerge w:val="continue"/>
            <w:tcBorders>
              <w:top w:val="nil"/>
              <w:left w:val="nil"/>
              <w:bottom w:val="single" w:color="auto" w:sz="4" w:space="0"/>
              <w:right w:val="single" w:color="auto" w:sz="4" w:space="0"/>
            </w:tcBorders>
            <w:vAlign w:val="center"/>
          </w:tcPr>
          <w:p w14:paraId="060058A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C10FEE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ABA93A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238638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2" w:type="pct"/>
            <w:tcBorders>
              <w:top w:val="nil"/>
              <w:left w:val="nil"/>
              <w:bottom w:val="single" w:color="auto" w:sz="4" w:space="0"/>
              <w:right w:val="single" w:color="auto" w:sz="4" w:space="0"/>
            </w:tcBorders>
            <w:shd w:val="clear" w:color="auto" w:fill="auto"/>
            <w:vAlign w:val="center"/>
          </w:tcPr>
          <w:p w14:paraId="1BB0E91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ind w:left="-1" w:leftChars="-1"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6" w:type="pct"/>
            <w:tcBorders>
              <w:top w:val="nil"/>
              <w:left w:val="nil"/>
              <w:bottom w:val="single" w:color="auto" w:sz="4" w:space="0"/>
              <w:right w:val="nil"/>
            </w:tcBorders>
            <w:shd w:val="clear" w:color="auto" w:fill="auto"/>
            <w:vAlign w:val="center"/>
          </w:tcPr>
          <w:p w14:paraId="37400EC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0E4F0C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4" w:type="pct"/>
            <w:tcBorders>
              <w:top w:val="nil"/>
              <w:left w:val="nil"/>
              <w:bottom w:val="nil"/>
              <w:right w:val="single" w:color="auto" w:sz="4" w:space="0"/>
            </w:tcBorders>
            <w:shd w:val="clear" w:color="auto" w:fill="auto"/>
            <w:vAlign w:val="center"/>
          </w:tcPr>
          <w:p w14:paraId="51F5DCC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36A8611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E3CFC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14104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2420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2" w:hRule="exact"/>
          <w:jc w:val="center"/>
        </w:trPr>
        <w:tc>
          <w:tcPr>
            <w:tcW w:w="1122" w:type="pct"/>
            <w:vMerge w:val="continue"/>
            <w:tcBorders>
              <w:top w:val="nil"/>
              <w:left w:val="nil"/>
              <w:bottom w:val="single" w:color="auto" w:sz="4" w:space="0"/>
              <w:right w:val="single" w:color="auto" w:sz="4" w:space="0"/>
            </w:tcBorders>
            <w:vAlign w:val="center"/>
          </w:tcPr>
          <w:p w14:paraId="7477D18D">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5B10CF7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343E83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3C047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517AA37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6" w:type="pct"/>
            <w:tcBorders>
              <w:top w:val="nil"/>
              <w:left w:val="nil"/>
              <w:bottom w:val="single" w:color="auto" w:sz="4" w:space="0"/>
              <w:right w:val="nil"/>
            </w:tcBorders>
            <w:shd w:val="clear" w:color="auto" w:fill="auto"/>
            <w:vAlign w:val="center"/>
          </w:tcPr>
          <w:p w14:paraId="3307341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8D2762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4" w:type="pct"/>
            <w:tcBorders>
              <w:top w:val="nil"/>
              <w:left w:val="nil"/>
              <w:bottom w:val="nil"/>
              <w:right w:val="single" w:color="auto" w:sz="4" w:space="0"/>
            </w:tcBorders>
            <w:shd w:val="clear" w:color="auto" w:fill="auto"/>
            <w:vAlign w:val="center"/>
          </w:tcPr>
          <w:p w14:paraId="02B3C9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6D878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C2979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2" w:type="pct"/>
            <w:tcBorders>
              <w:top w:val="nil"/>
              <w:left w:val="nil"/>
              <w:bottom w:val="nil"/>
              <w:right w:val="single" w:color="auto" w:sz="4" w:space="0"/>
            </w:tcBorders>
            <w:shd w:val="clear" w:color="auto" w:fill="auto"/>
            <w:vAlign w:val="center"/>
          </w:tcPr>
          <w:p w14:paraId="0B4BE9FA">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6" w:type="pct"/>
            <w:tcBorders>
              <w:top w:val="nil"/>
              <w:left w:val="nil"/>
              <w:bottom w:val="nil"/>
              <w:right w:val="nil"/>
            </w:tcBorders>
            <w:shd w:val="clear" w:color="auto" w:fill="auto"/>
            <w:vAlign w:val="center"/>
          </w:tcPr>
          <w:p w14:paraId="7597B97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2" w:hRule="exact"/>
          <w:jc w:val="center"/>
        </w:trPr>
        <w:tc>
          <w:tcPr>
            <w:tcW w:w="1122" w:type="pct"/>
            <w:vMerge w:val="continue"/>
            <w:tcBorders>
              <w:top w:val="nil"/>
              <w:left w:val="nil"/>
              <w:bottom w:val="single" w:color="auto" w:sz="4" w:space="0"/>
              <w:right w:val="single" w:color="auto" w:sz="4" w:space="0"/>
            </w:tcBorders>
            <w:vAlign w:val="center"/>
          </w:tcPr>
          <w:p w14:paraId="73446885">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3C3201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628C6A5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261EDA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428400A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09E9C2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7EE42844">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4" w:type="pct"/>
            <w:tcBorders>
              <w:top w:val="nil"/>
              <w:left w:val="nil"/>
              <w:bottom w:val="nil"/>
              <w:right w:val="single" w:color="auto" w:sz="4" w:space="0"/>
            </w:tcBorders>
            <w:shd w:val="clear" w:color="auto" w:fill="auto"/>
            <w:vAlign w:val="center"/>
          </w:tcPr>
          <w:p w14:paraId="4C1DBF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032A06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40DF520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5D9AE6A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6" w:type="pct"/>
            <w:tcBorders>
              <w:top w:val="nil"/>
              <w:left w:val="nil"/>
              <w:bottom w:val="nil"/>
              <w:right w:val="nil"/>
            </w:tcBorders>
            <w:shd w:val="clear" w:color="auto" w:fill="auto"/>
            <w:vAlign w:val="center"/>
          </w:tcPr>
          <w:p w14:paraId="3BE341C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06" w:hRule="exact"/>
          <w:jc w:val="center"/>
        </w:trPr>
        <w:tc>
          <w:tcPr>
            <w:tcW w:w="1122" w:type="pct"/>
            <w:vMerge w:val="continue"/>
            <w:tcBorders>
              <w:top w:val="nil"/>
              <w:left w:val="nil"/>
              <w:bottom w:val="single" w:color="auto" w:sz="4" w:space="0"/>
              <w:right w:val="single" w:color="auto" w:sz="4" w:space="0"/>
            </w:tcBorders>
            <w:vAlign w:val="center"/>
          </w:tcPr>
          <w:p w14:paraId="3C63DDD2">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D682616">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78B35CC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E92DD3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2" w:type="pct"/>
            <w:tcBorders>
              <w:top w:val="nil"/>
              <w:left w:val="nil"/>
              <w:bottom w:val="single" w:color="auto" w:sz="4" w:space="0"/>
              <w:right w:val="single" w:color="auto" w:sz="4" w:space="0"/>
            </w:tcBorders>
            <w:shd w:val="clear" w:color="auto" w:fill="auto"/>
            <w:vAlign w:val="center"/>
          </w:tcPr>
          <w:p w14:paraId="11ECCF7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F1D51B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98BA48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4" w:type="pct"/>
            <w:tcBorders>
              <w:top w:val="nil"/>
              <w:left w:val="nil"/>
              <w:bottom w:val="nil"/>
              <w:right w:val="single" w:color="auto" w:sz="4" w:space="0"/>
            </w:tcBorders>
            <w:shd w:val="clear" w:color="auto" w:fill="auto"/>
            <w:vAlign w:val="center"/>
          </w:tcPr>
          <w:p w14:paraId="5C6EF8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4079B1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BE7FA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6887D39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19DA3F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35" w:hRule="exact"/>
          <w:jc w:val="center"/>
        </w:trPr>
        <w:tc>
          <w:tcPr>
            <w:tcW w:w="1122" w:type="pct"/>
            <w:vMerge w:val="continue"/>
            <w:tcBorders>
              <w:top w:val="nil"/>
              <w:left w:val="nil"/>
              <w:bottom w:val="single" w:color="auto" w:sz="4" w:space="0"/>
              <w:right w:val="single" w:color="auto" w:sz="4" w:space="0"/>
            </w:tcBorders>
            <w:vAlign w:val="center"/>
          </w:tcPr>
          <w:p w14:paraId="255F1EC9">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62C4C645">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2CCCB7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4EF3216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3424A8F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14F0D4C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F165C71">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4" w:type="pct"/>
            <w:tcBorders>
              <w:top w:val="nil"/>
              <w:left w:val="nil"/>
              <w:bottom w:val="nil"/>
              <w:right w:val="single" w:color="auto" w:sz="4" w:space="0"/>
            </w:tcBorders>
            <w:shd w:val="clear" w:color="auto" w:fill="auto"/>
            <w:vAlign w:val="center"/>
          </w:tcPr>
          <w:p w14:paraId="666559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28D30E5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563F27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23F73F8">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73046A2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2" w:hRule="exact"/>
          <w:jc w:val="center"/>
        </w:trPr>
        <w:tc>
          <w:tcPr>
            <w:tcW w:w="1122" w:type="pct"/>
            <w:vMerge w:val="continue"/>
            <w:tcBorders>
              <w:top w:val="nil"/>
              <w:left w:val="nil"/>
              <w:bottom w:val="single" w:color="auto" w:sz="4" w:space="0"/>
              <w:right w:val="single" w:color="auto" w:sz="4" w:space="0"/>
            </w:tcBorders>
            <w:vAlign w:val="center"/>
          </w:tcPr>
          <w:p w14:paraId="031C078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284BD0F">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DD96CA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1D59FA4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25256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6" w:type="pct"/>
            <w:tcBorders>
              <w:top w:val="nil"/>
              <w:left w:val="nil"/>
              <w:bottom w:val="single" w:color="auto" w:sz="4" w:space="0"/>
              <w:right w:val="nil"/>
            </w:tcBorders>
            <w:shd w:val="clear" w:color="auto" w:fill="auto"/>
            <w:vAlign w:val="center"/>
          </w:tcPr>
          <w:p w14:paraId="5C28BE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6226AA4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4" w:type="pct"/>
            <w:tcBorders>
              <w:top w:val="nil"/>
              <w:left w:val="nil"/>
              <w:bottom w:val="nil"/>
              <w:right w:val="single" w:color="auto" w:sz="4" w:space="0"/>
            </w:tcBorders>
            <w:shd w:val="clear" w:color="auto" w:fill="auto"/>
            <w:vAlign w:val="center"/>
          </w:tcPr>
          <w:p w14:paraId="25E2BA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ED433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0AB5C4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2" w:type="pct"/>
            <w:tcBorders>
              <w:top w:val="nil"/>
              <w:left w:val="nil"/>
              <w:bottom w:val="nil"/>
              <w:right w:val="single" w:color="auto" w:sz="4" w:space="0"/>
            </w:tcBorders>
            <w:shd w:val="clear" w:color="auto" w:fill="auto"/>
            <w:vAlign w:val="center"/>
          </w:tcPr>
          <w:p w14:paraId="197F2CE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3554942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4" w:hRule="exact"/>
          <w:jc w:val="center"/>
        </w:trPr>
        <w:tc>
          <w:tcPr>
            <w:tcW w:w="1122" w:type="pct"/>
            <w:vMerge w:val="continue"/>
            <w:tcBorders>
              <w:top w:val="nil"/>
              <w:left w:val="nil"/>
              <w:bottom w:val="single" w:color="auto" w:sz="4" w:space="0"/>
              <w:right w:val="single" w:color="auto" w:sz="4" w:space="0"/>
            </w:tcBorders>
            <w:vAlign w:val="center"/>
          </w:tcPr>
          <w:p w14:paraId="628CFDA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698AF9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1382F9D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BE5A43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2" w:type="pct"/>
            <w:tcBorders>
              <w:top w:val="nil"/>
              <w:left w:val="nil"/>
              <w:bottom w:val="single" w:color="auto" w:sz="4" w:space="0"/>
              <w:right w:val="single" w:color="auto" w:sz="4" w:space="0"/>
            </w:tcBorders>
            <w:shd w:val="clear" w:color="auto" w:fill="auto"/>
            <w:vAlign w:val="center"/>
          </w:tcPr>
          <w:p w14:paraId="3317A5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single" w:color="auto" w:sz="4" w:space="0"/>
              <w:right w:val="nil"/>
            </w:tcBorders>
            <w:shd w:val="clear" w:color="auto" w:fill="auto"/>
            <w:vAlign w:val="center"/>
          </w:tcPr>
          <w:p w14:paraId="7F5996B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46" w:hRule="exact"/>
          <w:jc w:val="center"/>
        </w:trPr>
        <w:tc>
          <w:tcPr>
            <w:tcW w:w="1122" w:type="pct"/>
            <w:vMerge w:val="restart"/>
            <w:tcBorders>
              <w:top w:val="single" w:color="auto" w:sz="4" w:space="0"/>
              <w:left w:val="nil"/>
              <w:bottom w:val="single" w:color="auto" w:sz="4" w:space="0"/>
              <w:right w:val="single" w:color="auto" w:sz="4" w:space="0"/>
            </w:tcBorders>
            <w:shd w:val="clear" w:color="auto" w:fill="auto"/>
            <w:vAlign w:val="center"/>
          </w:tcPr>
          <w:p w14:paraId="45B417F5">
            <w:pPr>
              <w:spacing w:line="240" w:lineRule="exact"/>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4" w:type="pct"/>
            <w:tcBorders>
              <w:top w:val="nil"/>
              <w:left w:val="nil"/>
              <w:bottom w:val="nil"/>
              <w:right w:val="single" w:color="auto" w:sz="4" w:space="0"/>
            </w:tcBorders>
            <w:shd w:val="clear" w:color="auto" w:fill="auto"/>
            <w:vAlign w:val="center"/>
          </w:tcPr>
          <w:p w14:paraId="2D422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697ADF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B1BCB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51D17C8C">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0E5586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18" w:hRule="exact"/>
          <w:jc w:val="center"/>
        </w:trPr>
        <w:tc>
          <w:tcPr>
            <w:tcW w:w="1122" w:type="pct"/>
            <w:vMerge w:val="continue"/>
            <w:tcBorders>
              <w:top w:val="single" w:color="auto" w:sz="4" w:space="0"/>
              <w:left w:val="nil"/>
              <w:bottom w:val="single" w:color="auto" w:sz="4" w:space="0"/>
              <w:right w:val="single" w:color="auto" w:sz="4" w:space="0"/>
            </w:tcBorders>
            <w:vAlign w:val="center"/>
          </w:tcPr>
          <w:p w14:paraId="61B7FD76">
            <w:pPr>
              <w:rPr>
                <w:rFonts w:hint="eastAsia" w:ascii="宋体" w:hAnsi="宋体" w:eastAsia="宋体" w:cs="宋体"/>
                <w:color w:val="000000"/>
                <w:spacing w:val="-12"/>
                <w:sz w:val="21"/>
                <w:szCs w:val="21"/>
              </w:rPr>
            </w:pPr>
          </w:p>
        </w:tc>
        <w:tc>
          <w:tcPr>
            <w:tcW w:w="724" w:type="pct"/>
            <w:tcBorders>
              <w:top w:val="nil"/>
              <w:left w:val="nil"/>
              <w:bottom w:val="single" w:color="auto" w:sz="4" w:space="0"/>
              <w:right w:val="single" w:color="auto" w:sz="4" w:space="0"/>
            </w:tcBorders>
            <w:shd w:val="clear" w:color="auto" w:fill="auto"/>
            <w:vAlign w:val="center"/>
          </w:tcPr>
          <w:p w14:paraId="48F14E6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46C8D6C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0E34C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2" w:type="pct"/>
            <w:tcBorders>
              <w:top w:val="nil"/>
              <w:left w:val="nil"/>
              <w:bottom w:val="single" w:color="auto" w:sz="4" w:space="0"/>
              <w:right w:val="single" w:color="auto" w:sz="4" w:space="0"/>
            </w:tcBorders>
            <w:shd w:val="clear" w:color="auto" w:fill="auto"/>
            <w:vAlign w:val="center"/>
          </w:tcPr>
          <w:p w14:paraId="29C41C5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6" w:type="pct"/>
            <w:tcBorders>
              <w:top w:val="nil"/>
              <w:left w:val="nil"/>
              <w:bottom w:val="single" w:color="auto" w:sz="4" w:space="0"/>
              <w:right w:val="nil"/>
            </w:tcBorders>
            <w:shd w:val="clear" w:color="auto" w:fill="auto"/>
            <w:vAlign w:val="center"/>
          </w:tcPr>
          <w:p w14:paraId="3AD7B85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87"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481C872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4" w:type="pct"/>
            <w:tcBorders>
              <w:top w:val="nil"/>
              <w:left w:val="nil"/>
              <w:bottom w:val="nil"/>
              <w:right w:val="single" w:color="auto" w:sz="4" w:space="0"/>
            </w:tcBorders>
            <w:shd w:val="clear" w:color="auto" w:fill="auto"/>
            <w:vAlign w:val="center"/>
          </w:tcPr>
          <w:p w14:paraId="45CCA4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nil"/>
              <w:right w:val="single" w:color="auto" w:sz="4" w:space="0"/>
            </w:tcBorders>
            <w:shd w:val="clear" w:color="auto" w:fill="auto"/>
            <w:vAlign w:val="center"/>
          </w:tcPr>
          <w:p w14:paraId="57584D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nil"/>
              <w:right w:val="single" w:color="auto" w:sz="4" w:space="0"/>
            </w:tcBorders>
            <w:shd w:val="clear" w:color="auto" w:fill="auto"/>
            <w:vAlign w:val="center"/>
          </w:tcPr>
          <w:p w14:paraId="22560B0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2" w:type="pct"/>
            <w:tcBorders>
              <w:top w:val="nil"/>
              <w:left w:val="nil"/>
              <w:bottom w:val="nil"/>
              <w:right w:val="single" w:color="auto" w:sz="4" w:space="0"/>
            </w:tcBorders>
            <w:shd w:val="clear" w:color="auto" w:fill="auto"/>
            <w:vAlign w:val="center"/>
          </w:tcPr>
          <w:p w14:paraId="1CF8A8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6" w:type="pct"/>
            <w:tcBorders>
              <w:top w:val="nil"/>
              <w:left w:val="nil"/>
              <w:bottom w:val="nil"/>
              <w:right w:val="nil"/>
            </w:tcBorders>
            <w:shd w:val="clear" w:color="auto" w:fill="auto"/>
            <w:vAlign w:val="center"/>
          </w:tcPr>
          <w:p w14:paraId="775C602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7318124B">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05C63367">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4036377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F8A5B4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2" w:type="pct"/>
            <w:tcBorders>
              <w:top w:val="nil"/>
              <w:left w:val="nil"/>
              <w:bottom w:val="single" w:color="auto" w:sz="4" w:space="0"/>
              <w:right w:val="single" w:color="auto" w:sz="4" w:space="0"/>
            </w:tcBorders>
            <w:shd w:val="clear" w:color="auto" w:fill="auto"/>
            <w:vAlign w:val="center"/>
          </w:tcPr>
          <w:p w14:paraId="33E1CA9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6" w:type="pct"/>
            <w:tcBorders>
              <w:top w:val="nil"/>
              <w:left w:val="nil"/>
              <w:bottom w:val="single" w:color="auto" w:sz="4" w:space="0"/>
              <w:right w:val="nil"/>
            </w:tcBorders>
            <w:shd w:val="clear" w:color="auto" w:fill="auto"/>
            <w:vAlign w:val="center"/>
          </w:tcPr>
          <w:p w14:paraId="0AA13F7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04FE9FA7">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4" w:type="pct"/>
            <w:tcBorders>
              <w:top w:val="nil"/>
              <w:left w:val="nil"/>
              <w:bottom w:val="nil"/>
              <w:right w:val="single" w:color="auto" w:sz="4" w:space="0"/>
            </w:tcBorders>
            <w:shd w:val="clear" w:color="auto" w:fill="auto"/>
            <w:vAlign w:val="center"/>
          </w:tcPr>
          <w:p w14:paraId="7630060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539C3CA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0910EF2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2" w:type="pct"/>
            <w:tcBorders>
              <w:top w:val="nil"/>
              <w:left w:val="nil"/>
              <w:bottom w:val="nil"/>
              <w:right w:val="single" w:color="auto" w:sz="4" w:space="0"/>
            </w:tcBorders>
            <w:shd w:val="clear" w:color="auto" w:fill="auto"/>
            <w:vAlign w:val="center"/>
          </w:tcPr>
          <w:p w14:paraId="4FC65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6" w:type="pct"/>
            <w:tcBorders>
              <w:top w:val="nil"/>
              <w:left w:val="nil"/>
              <w:bottom w:val="nil"/>
              <w:right w:val="nil"/>
            </w:tcBorders>
            <w:shd w:val="clear" w:color="auto" w:fill="auto"/>
            <w:vAlign w:val="center"/>
          </w:tcPr>
          <w:p w14:paraId="14AE39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18" w:hRule="exact"/>
          <w:jc w:val="center"/>
        </w:trPr>
        <w:tc>
          <w:tcPr>
            <w:tcW w:w="1122" w:type="pct"/>
            <w:vMerge w:val="continue"/>
            <w:tcBorders>
              <w:top w:val="nil"/>
              <w:left w:val="nil"/>
              <w:bottom w:val="single" w:color="auto" w:sz="4" w:space="0"/>
              <w:right w:val="single" w:color="auto" w:sz="4" w:space="0"/>
            </w:tcBorders>
            <w:vAlign w:val="center"/>
          </w:tcPr>
          <w:p w14:paraId="1A68BC5E">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16BA7C3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2" w:type="pct"/>
            <w:tcBorders>
              <w:top w:val="nil"/>
              <w:left w:val="nil"/>
              <w:bottom w:val="single" w:color="auto" w:sz="4" w:space="0"/>
              <w:right w:val="single" w:color="auto" w:sz="4" w:space="0"/>
            </w:tcBorders>
            <w:shd w:val="clear" w:color="auto" w:fill="auto"/>
            <w:vAlign w:val="center"/>
          </w:tcPr>
          <w:p w14:paraId="51610F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799D96E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2" w:type="pct"/>
            <w:tcBorders>
              <w:top w:val="nil"/>
              <w:left w:val="nil"/>
              <w:bottom w:val="single" w:color="auto" w:sz="4" w:space="0"/>
              <w:right w:val="single" w:color="auto" w:sz="4" w:space="0"/>
            </w:tcBorders>
            <w:shd w:val="clear" w:color="auto" w:fill="auto"/>
            <w:vAlign w:val="center"/>
          </w:tcPr>
          <w:p w14:paraId="37E7E745">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6" w:type="pct"/>
            <w:tcBorders>
              <w:top w:val="nil"/>
              <w:left w:val="nil"/>
              <w:bottom w:val="single" w:color="auto" w:sz="4" w:space="0"/>
              <w:right w:val="nil"/>
            </w:tcBorders>
            <w:shd w:val="clear" w:color="auto" w:fill="auto"/>
            <w:vAlign w:val="center"/>
          </w:tcPr>
          <w:p w14:paraId="29AC61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46" w:hRule="exact"/>
          <w:jc w:val="center"/>
        </w:trPr>
        <w:tc>
          <w:tcPr>
            <w:tcW w:w="1122" w:type="pct"/>
            <w:vMerge w:val="restart"/>
            <w:tcBorders>
              <w:top w:val="nil"/>
              <w:left w:val="nil"/>
              <w:bottom w:val="single" w:color="auto" w:sz="4" w:space="0"/>
              <w:right w:val="single" w:color="auto" w:sz="4" w:space="0"/>
            </w:tcBorders>
            <w:shd w:val="clear" w:color="auto" w:fill="auto"/>
            <w:vAlign w:val="center"/>
          </w:tcPr>
          <w:p w14:paraId="27199F9B">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4" w:type="pct"/>
            <w:tcBorders>
              <w:top w:val="nil"/>
              <w:left w:val="nil"/>
              <w:bottom w:val="nil"/>
              <w:right w:val="single" w:color="auto" w:sz="4" w:space="0"/>
            </w:tcBorders>
            <w:shd w:val="clear" w:color="auto" w:fill="auto"/>
            <w:vAlign w:val="center"/>
          </w:tcPr>
          <w:p w14:paraId="463D48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nil"/>
              <w:right w:val="single" w:color="auto" w:sz="4" w:space="0"/>
            </w:tcBorders>
            <w:shd w:val="clear" w:color="auto" w:fill="auto"/>
            <w:vAlign w:val="center"/>
          </w:tcPr>
          <w:p w14:paraId="1C35B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nil"/>
              <w:right w:val="single" w:color="auto" w:sz="4" w:space="0"/>
            </w:tcBorders>
            <w:shd w:val="clear" w:color="auto" w:fill="auto"/>
            <w:vAlign w:val="center"/>
          </w:tcPr>
          <w:p w14:paraId="2F820C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nil"/>
              <w:right w:val="single" w:color="auto" w:sz="4" w:space="0"/>
            </w:tcBorders>
            <w:shd w:val="clear" w:color="auto" w:fill="auto"/>
            <w:vAlign w:val="center"/>
          </w:tcPr>
          <w:p w14:paraId="32D65003">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nil"/>
              <w:right w:val="nil"/>
            </w:tcBorders>
            <w:shd w:val="clear" w:color="auto" w:fill="auto"/>
            <w:vAlign w:val="center"/>
          </w:tcPr>
          <w:p w14:paraId="643E368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05" w:hRule="exact"/>
          <w:jc w:val="center"/>
        </w:trPr>
        <w:tc>
          <w:tcPr>
            <w:tcW w:w="1122" w:type="pct"/>
            <w:vMerge w:val="continue"/>
            <w:tcBorders>
              <w:top w:val="nil"/>
              <w:left w:val="nil"/>
              <w:bottom w:val="single" w:color="auto" w:sz="4" w:space="0"/>
              <w:right w:val="single" w:color="auto" w:sz="4" w:space="0"/>
            </w:tcBorders>
            <w:vAlign w:val="center"/>
          </w:tcPr>
          <w:p w14:paraId="52835203">
            <w:pPr>
              <w:rPr>
                <w:rFonts w:hint="eastAsia" w:ascii="宋体" w:hAnsi="宋体" w:eastAsia="宋体" w:cs="宋体"/>
                <w:color w:val="000000"/>
                <w:sz w:val="21"/>
                <w:szCs w:val="21"/>
              </w:rPr>
            </w:pPr>
          </w:p>
        </w:tc>
        <w:tc>
          <w:tcPr>
            <w:tcW w:w="724" w:type="pct"/>
            <w:tcBorders>
              <w:top w:val="nil"/>
              <w:left w:val="nil"/>
              <w:bottom w:val="single" w:color="auto" w:sz="4" w:space="0"/>
              <w:right w:val="single" w:color="auto" w:sz="4" w:space="0"/>
            </w:tcBorders>
            <w:shd w:val="clear" w:color="auto" w:fill="auto"/>
            <w:vAlign w:val="center"/>
          </w:tcPr>
          <w:p w14:paraId="2134416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2" w:type="pct"/>
            <w:tcBorders>
              <w:top w:val="nil"/>
              <w:left w:val="nil"/>
              <w:bottom w:val="single" w:color="auto" w:sz="4" w:space="0"/>
              <w:right w:val="single" w:color="auto" w:sz="4" w:space="0"/>
            </w:tcBorders>
            <w:shd w:val="clear" w:color="auto" w:fill="auto"/>
            <w:vAlign w:val="center"/>
          </w:tcPr>
          <w:p w14:paraId="175AB97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4" w:type="pct"/>
            <w:tcBorders>
              <w:top w:val="nil"/>
              <w:left w:val="nil"/>
              <w:bottom w:val="single" w:color="auto" w:sz="4" w:space="0"/>
              <w:right w:val="single" w:color="auto" w:sz="4" w:space="0"/>
            </w:tcBorders>
            <w:shd w:val="clear" w:color="auto" w:fill="auto"/>
            <w:vAlign w:val="center"/>
          </w:tcPr>
          <w:p w14:paraId="6297D50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2" w:type="pct"/>
            <w:tcBorders>
              <w:top w:val="nil"/>
              <w:left w:val="nil"/>
              <w:bottom w:val="single" w:color="auto" w:sz="4" w:space="0"/>
              <w:right w:val="single" w:color="auto" w:sz="4" w:space="0"/>
            </w:tcBorders>
            <w:shd w:val="clear" w:color="auto" w:fill="auto"/>
            <w:vAlign w:val="center"/>
          </w:tcPr>
          <w:p w14:paraId="3A78E3E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6" w:type="pct"/>
            <w:tcBorders>
              <w:top w:val="nil"/>
              <w:left w:val="nil"/>
              <w:bottom w:val="single" w:color="auto" w:sz="4" w:space="0"/>
              <w:right w:val="nil"/>
            </w:tcBorders>
            <w:shd w:val="clear" w:color="auto" w:fill="auto"/>
            <w:vAlign w:val="center"/>
          </w:tcPr>
          <w:p w14:paraId="47A3466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42" w:hRule="exact"/>
          <w:jc w:val="center"/>
        </w:trPr>
        <w:tc>
          <w:tcPr>
            <w:tcW w:w="1122" w:type="pct"/>
            <w:tcBorders>
              <w:top w:val="nil"/>
              <w:left w:val="nil"/>
              <w:bottom w:val="single" w:color="auto" w:sz="4" w:space="0"/>
              <w:right w:val="single" w:color="auto" w:sz="4" w:space="0"/>
            </w:tcBorders>
            <w:shd w:val="clear" w:color="auto" w:fill="auto"/>
            <w:vAlign w:val="center"/>
          </w:tcPr>
          <w:p w14:paraId="5684BF98">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4" w:type="pct"/>
            <w:tcBorders>
              <w:top w:val="nil"/>
              <w:left w:val="nil"/>
              <w:bottom w:val="single" w:color="auto" w:sz="4" w:space="0"/>
              <w:right w:val="single" w:color="auto" w:sz="4" w:space="0"/>
            </w:tcBorders>
            <w:shd w:val="clear" w:color="auto" w:fill="auto"/>
            <w:vAlign w:val="center"/>
          </w:tcPr>
          <w:p w14:paraId="2BE19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2" w:type="pct"/>
            <w:tcBorders>
              <w:top w:val="nil"/>
              <w:left w:val="nil"/>
              <w:bottom w:val="single" w:color="auto" w:sz="4" w:space="0"/>
              <w:right w:val="single" w:color="auto" w:sz="4" w:space="0"/>
            </w:tcBorders>
            <w:shd w:val="clear" w:color="auto" w:fill="auto"/>
            <w:vAlign w:val="center"/>
          </w:tcPr>
          <w:p w14:paraId="27854EA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4" w:type="pct"/>
            <w:tcBorders>
              <w:top w:val="nil"/>
              <w:left w:val="nil"/>
              <w:bottom w:val="single" w:color="auto" w:sz="4" w:space="0"/>
              <w:right w:val="single" w:color="auto" w:sz="4" w:space="0"/>
            </w:tcBorders>
            <w:shd w:val="clear" w:color="auto" w:fill="auto"/>
            <w:vAlign w:val="center"/>
          </w:tcPr>
          <w:p w14:paraId="3D5F863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2" w:type="pct"/>
            <w:tcBorders>
              <w:top w:val="nil"/>
              <w:left w:val="nil"/>
              <w:bottom w:val="single" w:color="auto" w:sz="4" w:space="0"/>
              <w:right w:val="single" w:color="auto" w:sz="4" w:space="0"/>
            </w:tcBorders>
            <w:shd w:val="clear" w:color="auto" w:fill="auto"/>
            <w:vAlign w:val="center"/>
          </w:tcPr>
          <w:p w14:paraId="0C1E1D9E">
            <w:pPr>
              <w:ind w:left="19" w:leftChars="-51"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6" w:type="pct"/>
            <w:tcBorders>
              <w:top w:val="nil"/>
              <w:left w:val="nil"/>
              <w:bottom w:val="single" w:color="auto" w:sz="4" w:space="0"/>
              <w:right w:val="nil"/>
            </w:tcBorders>
            <w:shd w:val="clear" w:color="auto" w:fill="auto"/>
            <w:vAlign w:val="center"/>
          </w:tcPr>
          <w:p w14:paraId="10286CB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after="60" w:line="360" w:lineRule="exact"/>
        <w:jc w:val="center"/>
        <w:outlineLvl w:val="9"/>
        <w:rPr>
          <w:rFonts w:hint="eastAsia"/>
          <w:b/>
          <w:color w:val="auto"/>
          <w:lang w:val="en-US" w:eastAsia="zh-CN"/>
        </w:rPr>
      </w:pPr>
    </w:p>
    <w:p w14:paraId="02D96363">
      <w:pPr>
        <w:spacing w:after="60" w:line="360" w:lineRule="exact"/>
        <w:jc w:val="center"/>
        <w:outlineLvl w:val="9"/>
        <w:rPr>
          <w:rFonts w:hint="eastAsia"/>
          <w:b/>
          <w:color w:val="auto"/>
        </w:rPr>
      </w:pPr>
      <w:bookmarkStart w:id="32" w:name="_Toc29547"/>
      <w:r>
        <w:rPr>
          <w:rFonts w:hint="eastAsia"/>
          <w:b/>
          <w:color w:val="auto"/>
          <w:lang w:val="en-US" w:eastAsia="zh-CN"/>
        </w:rPr>
        <w:t>4、国务院办公厅关于在政府采购中实施本国产品标准及相关政策的通知</w:t>
      </w:r>
    </w:p>
    <w:p w14:paraId="55FC967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3BB0CA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7F1D201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CA2FEE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一、本国产品标准</w:t>
      </w:r>
    </w:p>
    <w:p w14:paraId="6B24DD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684E35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40A5B9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985CB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03209A5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FFD64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0A005A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4A46BF8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652308A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34F82B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384934F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2478B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5C2874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DF20A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214A73D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5443CCE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8CF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二、本国产品标准的适用范围</w:t>
      </w:r>
    </w:p>
    <w:p w14:paraId="6B400CA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878E4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三、对本国产品的支持政策</w:t>
      </w:r>
    </w:p>
    <w:p w14:paraId="67DB71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3DAEF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44DC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四、政策执行要求</w:t>
      </w:r>
    </w:p>
    <w:p w14:paraId="52C9A4E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17EE071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E1FC8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75ADC64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C933CD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79ACD1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20"/>
          <w:rFonts w:hint="eastAsia" w:ascii="宋体" w:hAnsi="宋体" w:eastAsia="宋体" w:cs="宋体"/>
          <w:i w:val="0"/>
          <w:iCs w:val="0"/>
          <w:caps w:val="0"/>
          <w:color w:val="333333"/>
          <w:spacing w:val="0"/>
          <w:sz w:val="21"/>
          <w:szCs w:val="21"/>
          <w:shd w:val="clear" w:color="auto" w:fill="FFFFFF"/>
        </w:rPr>
        <w:t>五、争议处理</w:t>
      </w:r>
    </w:p>
    <w:p w14:paraId="1564B6D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8DA9C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5DBA558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DFE654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54ADFC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6864A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9514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A9EC3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31B13A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2CA3B27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0251C6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2"/>
          <w:rFonts w:hint="eastAsia" w:ascii="宋体" w:hAnsi="宋体" w:eastAsia="宋体" w:cs="宋体"/>
          <w:i w:val="0"/>
          <w:iCs w:val="0"/>
          <w:caps w:val="0"/>
          <w:color w:val="333333"/>
          <w:spacing w:val="0"/>
          <w:sz w:val="21"/>
          <w:szCs w:val="21"/>
          <w:shd w:val="clear" w:color="auto" w:fill="FFFFFF"/>
        </w:rPr>
        <w:t>（产品名称1）</w:t>
      </w:r>
      <w:r>
        <w:rPr>
          <w:rStyle w:val="22"/>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Style w:val="22"/>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Style w:val="22"/>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Style w:val="22"/>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Style w:val="22"/>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2"/>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2"/>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2"/>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2"/>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2"/>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6"/>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6"/>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6"/>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272E3883">
      <w:pPr>
        <w:jc w:val="center"/>
        <w:outlineLvl w:val="0"/>
        <w:rPr>
          <w:rFonts w:hint="eastAsia"/>
          <w:b/>
          <w:color w:val="auto"/>
          <w:lang w:val="en-US" w:eastAsia="zh-CN"/>
        </w:rPr>
      </w:pPr>
    </w:p>
    <w:p w14:paraId="2C03DCC8">
      <w:pPr>
        <w:jc w:val="center"/>
        <w:outlineLvl w:val="0"/>
        <w:rPr>
          <w:rFonts w:hint="eastAsia"/>
          <w:b/>
          <w:color w:val="auto"/>
          <w:lang w:val="en-US" w:eastAsia="zh-CN"/>
        </w:rPr>
      </w:pPr>
    </w:p>
    <w:p w14:paraId="06FCA348">
      <w:pPr>
        <w:jc w:val="center"/>
        <w:outlineLvl w:val="0"/>
        <w:rPr>
          <w:rFonts w:hint="eastAsia"/>
          <w:b/>
          <w:color w:val="auto"/>
          <w:lang w:val="en-US" w:eastAsia="zh-CN"/>
        </w:rPr>
      </w:pPr>
    </w:p>
    <w:p w14:paraId="4E105A68">
      <w:pPr>
        <w:jc w:val="center"/>
        <w:outlineLvl w:val="0"/>
        <w:rPr>
          <w:rFonts w:hint="eastAsia"/>
          <w:b/>
          <w:color w:val="auto"/>
          <w:lang w:val="en-US" w:eastAsia="zh-CN"/>
        </w:rPr>
      </w:pPr>
    </w:p>
    <w:p w14:paraId="324D6763">
      <w:pPr>
        <w:jc w:val="center"/>
        <w:outlineLvl w:val="0"/>
        <w:rPr>
          <w:rFonts w:hint="eastAsia"/>
          <w:b/>
          <w:color w:val="auto"/>
          <w:lang w:val="en-US" w:eastAsia="zh-CN"/>
        </w:rPr>
      </w:pPr>
    </w:p>
    <w:p w14:paraId="7CBB71CB">
      <w:pPr>
        <w:jc w:val="center"/>
        <w:outlineLvl w:val="0"/>
        <w:rPr>
          <w:rFonts w:hint="eastAsia"/>
          <w:b/>
          <w:color w:val="auto"/>
          <w:lang w:val="en-US" w:eastAsia="zh-CN"/>
        </w:rPr>
      </w:pPr>
    </w:p>
    <w:p w14:paraId="79867BC2">
      <w:pPr>
        <w:jc w:val="center"/>
        <w:outlineLvl w:val="0"/>
        <w:rPr>
          <w:rFonts w:hint="eastAsia"/>
          <w:b/>
          <w:color w:val="auto"/>
          <w:lang w:val="en-US" w:eastAsia="zh-CN"/>
        </w:rPr>
      </w:pPr>
    </w:p>
    <w:p w14:paraId="361FE2FD">
      <w:pPr>
        <w:jc w:val="center"/>
        <w:outlineLvl w:val="0"/>
        <w:rPr>
          <w:rFonts w:hint="eastAsia"/>
          <w:b/>
          <w:color w:val="auto"/>
          <w:lang w:val="en-US" w:eastAsia="zh-CN"/>
        </w:rPr>
      </w:pPr>
    </w:p>
    <w:p w14:paraId="2BB8B1AB">
      <w:pPr>
        <w:jc w:val="center"/>
        <w:outlineLvl w:val="0"/>
        <w:rPr>
          <w:rFonts w:hint="eastAsia"/>
          <w:b/>
          <w:color w:val="auto"/>
          <w:lang w:val="en-US" w:eastAsia="zh-CN"/>
        </w:rPr>
      </w:pPr>
    </w:p>
    <w:p w14:paraId="72A8EBF1">
      <w:pPr>
        <w:jc w:val="center"/>
        <w:outlineLvl w:val="0"/>
        <w:rPr>
          <w:rFonts w:hint="eastAsia"/>
          <w:b/>
          <w:color w:val="auto"/>
          <w:lang w:val="en-US" w:eastAsia="zh-CN"/>
        </w:rPr>
      </w:pPr>
    </w:p>
    <w:p w14:paraId="38406F9F">
      <w:pPr>
        <w:jc w:val="center"/>
        <w:outlineLvl w:val="0"/>
        <w:rPr>
          <w:rFonts w:hint="eastAsia"/>
          <w:b/>
          <w:color w:val="auto"/>
          <w:lang w:val="en-US" w:eastAsia="zh-CN"/>
        </w:rPr>
      </w:pPr>
    </w:p>
    <w:p w14:paraId="1472FE27">
      <w:pPr>
        <w:jc w:val="center"/>
        <w:outlineLvl w:val="0"/>
        <w:rPr>
          <w:rFonts w:hint="eastAsia"/>
          <w:b/>
          <w:color w:val="auto"/>
          <w:lang w:val="en-US" w:eastAsia="zh-CN"/>
        </w:rPr>
      </w:pPr>
    </w:p>
    <w:p w14:paraId="618BB2AD">
      <w:pPr>
        <w:jc w:val="center"/>
        <w:outlineLvl w:val="0"/>
        <w:rPr>
          <w:rFonts w:hint="eastAsia"/>
          <w:b/>
          <w:color w:val="auto"/>
          <w:lang w:val="en-US" w:eastAsia="zh-CN"/>
        </w:rPr>
      </w:pPr>
    </w:p>
    <w:p w14:paraId="65301232">
      <w:pPr>
        <w:jc w:val="center"/>
        <w:outlineLvl w:val="0"/>
        <w:rPr>
          <w:rFonts w:hint="eastAsia"/>
          <w:b/>
          <w:color w:val="auto"/>
          <w:lang w:val="en-US" w:eastAsia="zh-CN"/>
        </w:rPr>
      </w:pPr>
    </w:p>
    <w:p w14:paraId="270A3A17">
      <w:pPr>
        <w:jc w:val="center"/>
        <w:outlineLvl w:val="0"/>
        <w:rPr>
          <w:rFonts w:hint="eastAsia"/>
          <w:b/>
          <w:color w:val="auto"/>
          <w:lang w:val="en-US" w:eastAsia="zh-CN"/>
        </w:rPr>
      </w:pPr>
    </w:p>
    <w:p w14:paraId="48B499F0">
      <w:pPr>
        <w:jc w:val="center"/>
        <w:outlineLvl w:val="0"/>
        <w:rPr>
          <w:rFonts w:hint="eastAsia"/>
          <w:b/>
          <w:color w:val="auto"/>
          <w:lang w:val="en-US" w:eastAsia="zh-CN"/>
        </w:rPr>
      </w:pPr>
    </w:p>
    <w:p w14:paraId="4BF5B9FD">
      <w:pPr>
        <w:jc w:val="center"/>
        <w:outlineLvl w:val="0"/>
        <w:rPr>
          <w:rFonts w:hint="eastAsia"/>
          <w:b/>
          <w:color w:val="auto"/>
          <w:lang w:val="en-US" w:eastAsia="zh-CN"/>
        </w:rPr>
      </w:pPr>
    </w:p>
    <w:p w14:paraId="2B82F55F">
      <w:pPr>
        <w:jc w:val="both"/>
        <w:outlineLvl w:val="0"/>
        <w:rPr>
          <w:rFonts w:hint="eastAsia"/>
          <w:b/>
          <w:color w:val="auto"/>
          <w:lang w:val="en-US" w:eastAsia="zh-CN"/>
        </w:rPr>
      </w:pPr>
    </w:p>
    <w:p w14:paraId="5FF718F7">
      <w:pPr>
        <w:jc w:val="center"/>
        <w:outlineLvl w:val="0"/>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（九）福田区第二人民医院</w:t>
      </w:r>
      <w:bookmarkEnd w:id="32"/>
      <w:r>
        <w:rPr>
          <w:rFonts w:hint="eastAsia" w:cs="宋体" w:asciiTheme="majorEastAsia" w:hAnsiTheme="majorEastAsia" w:eastAsiaTheme="majorEastAsia"/>
          <w:kern w:val="2"/>
          <w:sz w:val="30"/>
          <w:szCs w:val="30"/>
          <w:lang w:val="en-US" w:eastAsia="zh-CN" w:bidi="ar-SA"/>
        </w:rPr>
        <w:t>开标一览表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3"/>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3"/>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3"/>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3"/>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AA725FB">
      <w:pPr>
        <w:spacing w:afterLines="25" w:line="300" w:lineRule="auto"/>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3"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3"/>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551E94B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58184F4">
      <w:pPr>
        <w:rPr>
          <w:rFonts w:hint="eastAsia" w:ascii="宋体" w:hAnsi="宋体" w:cs="宋体"/>
          <w:color w:val="000000" w:themeColor="text1"/>
          <w:szCs w:val="21"/>
          <w14:textFill>
            <w14:solidFill>
              <w14:schemeClr w14:val="tx1"/>
            </w14:solidFill>
          </w14:textFill>
        </w:rPr>
      </w:pPr>
    </w:p>
    <w:p w14:paraId="4B1EBC3B">
      <w:pPr>
        <w:rPr>
          <w:rFonts w:hint="eastAsia" w:ascii="宋体" w:hAnsi="宋体" w:cs="宋体"/>
          <w:color w:val="000000" w:themeColor="text1"/>
          <w:szCs w:val="21"/>
          <w14:textFill>
            <w14:solidFill>
              <w14:schemeClr w14:val="tx1"/>
            </w14:solidFill>
          </w14:textFill>
        </w:rPr>
      </w:pP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4" w:name="_Toc29077"/>
      <w:bookmarkStart w:id="35" w:name="_Toc275865605"/>
      <w:bookmarkStart w:id="36" w:name="_Toc1762"/>
      <w:bookmarkStart w:id="37" w:name="_Toc435514854"/>
      <w:bookmarkStart w:id="38" w:name="_Toc435515294"/>
      <w:bookmarkStart w:id="39" w:name="_Toc9447"/>
      <w:bookmarkStart w:id="40" w:name="_Toc20322_WPSOffice_Level1"/>
      <w:bookmarkStart w:id="41" w:name="_Toc24434"/>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4"/>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2" w:name="_Toc28894"/>
      <w:r>
        <w:rPr>
          <w:rFonts w:hint="eastAsia" w:cs="宋体" w:asciiTheme="majorEastAsia" w:hAnsiTheme="majorEastAsia" w:eastAsiaTheme="majorEastAsia"/>
          <w:b w:val="0"/>
          <w:kern w:val="2"/>
          <w:sz w:val="30"/>
          <w:szCs w:val="30"/>
          <w:lang w:val="en-US" w:eastAsia="zh-CN" w:bidi="ar-SA"/>
        </w:rPr>
        <w:t>（十二）投标函</w:t>
      </w:r>
      <w:bookmarkEnd w:id="35"/>
      <w:bookmarkEnd w:id="36"/>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6831"/>
      <w:bookmarkStart w:id="44" w:name="_Toc4649"/>
      <w:bookmarkStart w:id="45" w:name="_Toc275865606"/>
      <w:bookmarkStart w:id="46" w:name="_Toc7805"/>
      <w:bookmarkStart w:id="47" w:name="_Toc24650"/>
      <w:bookmarkStart w:id="48" w:name="_Toc435515295"/>
      <w:bookmarkStart w:id="49" w:name="_Toc43551485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bookmarkEnd w:id="48"/>
      <w:bookmarkEnd w:id="49"/>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0" w:name="_承诺函"/>
      <w:bookmarkEnd w:id="50"/>
      <w:bookmarkStart w:id="51" w:name="_Toc21707"/>
      <w:bookmarkStart w:id="52" w:name="_Toc32186"/>
      <w:bookmarkStart w:id="53" w:name="_Toc275865607"/>
      <w:bookmarkStart w:id="54" w:name="_Toc27672"/>
      <w:bookmarkStart w:id="55" w:name="_Toc50736477"/>
      <w:bookmarkStart w:id="56" w:name="_Toc24149"/>
      <w:bookmarkStart w:id="57" w:name="_Toc435514859"/>
      <w:bookmarkStart w:id="58" w:name="_Toc50737329"/>
      <w:bookmarkStart w:id="59" w:name="_Toc52165081"/>
      <w:bookmarkStart w:id="60" w:name="_Toc50737297"/>
      <w:bookmarkStart w:id="61" w:name="_Toc435515299"/>
      <w:bookmarkStart w:id="62" w:name="_Toc50737296"/>
      <w:bookmarkStart w:id="63" w:name="_Toc50737328"/>
      <w:bookmarkStart w:id="64" w:name="_Toc50736476"/>
      <w:bookmarkStart w:id="65" w:name="_Toc50691034"/>
      <w:bookmarkStart w:id="66" w:name="_Toc52165080"/>
      <w:r>
        <w:rPr>
          <w:rFonts w:hint="eastAsia" w:cs="宋体" w:asciiTheme="majorEastAsia" w:hAnsiTheme="majorEastAsia" w:eastAsiaTheme="majorEastAsia"/>
          <w:kern w:val="2"/>
          <w:sz w:val="30"/>
          <w:szCs w:val="30"/>
          <w:lang w:val="en-US" w:eastAsia="zh-CN" w:bidi="ar-SA"/>
        </w:rPr>
        <w:t>（十四）政府采购违法行为风险知悉确认书</w:t>
      </w:r>
      <w:bookmarkEnd w:id="51"/>
      <w:bookmarkEnd w:id="52"/>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7" w:name="_Toc13791"/>
      <w:bookmarkStart w:id="68" w:name="_Toc24374"/>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3"/>
      <w:bookmarkEnd w:id="54"/>
      <w:bookmarkEnd w:id="55"/>
      <w:bookmarkEnd w:id="56"/>
      <w:bookmarkEnd w:id="57"/>
      <w:bookmarkEnd w:id="58"/>
      <w:bookmarkEnd w:id="59"/>
      <w:bookmarkEnd w:id="60"/>
      <w:bookmarkEnd w:id="61"/>
      <w:bookmarkEnd w:id="67"/>
      <w:bookmarkEnd w:id="68"/>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9" w:name="_Toc275865608"/>
      <w:bookmarkStart w:id="70" w:name="_Toc435515300"/>
      <w:bookmarkStart w:id="71" w:name="_Toc14289"/>
      <w:bookmarkStart w:id="72"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2"/>
    <w:bookmarkEnd w:id="63"/>
    <w:bookmarkEnd w:id="64"/>
    <w:bookmarkEnd w:id="65"/>
    <w:bookmarkEnd w:id="66"/>
    <w:bookmarkEnd w:id="69"/>
    <w:bookmarkEnd w:id="70"/>
    <w:bookmarkEnd w:id="71"/>
    <w:bookmarkEnd w:id="72"/>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3" w:name="_Toc21402"/>
      <w:bookmarkStart w:id="74" w:name="_Toc6666"/>
      <w:bookmarkStart w:id="75" w:name="_Toc571"/>
      <w:bookmarkStart w:id="76"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3"/>
      <w:bookmarkEnd w:id="74"/>
      <w:bookmarkEnd w:id="75"/>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7" w:name="_Toc10390"/>
      <w:bookmarkStart w:id="78" w:name="_Toc29263"/>
      <w:bookmarkStart w:id="7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6"/>
      <w:bookmarkEnd w:id="77"/>
      <w:bookmarkEnd w:id="78"/>
      <w:bookmarkEnd w:id="7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0" w:name="_Toc24644"/>
      <w:bookmarkStart w:id="81" w:name="_Toc23830"/>
      <w:bookmarkStart w:id="82" w:name="_Toc30412"/>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0"/>
      <w:bookmarkEnd w:id="81"/>
      <w:bookmarkEnd w:id="82"/>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3" w:name="_Toc777"/>
      <w:bookmarkStart w:id="84" w:name="_Toc1903"/>
      <w:bookmarkStart w:id="85" w:name="_Toc25910"/>
      <w:bookmarkStart w:id="86" w:name="_Toc7126"/>
      <w:bookmarkStart w:id="87" w:name="_Toc2305"/>
      <w:bookmarkStart w:id="88" w:name="_Toc11352"/>
      <w:bookmarkStart w:id="89" w:name="_Toc11926"/>
      <w:bookmarkStart w:id="90"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3"/>
      <w:bookmarkEnd w:id="84"/>
      <w:bookmarkEnd w:id="85"/>
      <w:bookmarkEnd w:id="86"/>
      <w:bookmarkEnd w:id="87"/>
      <w:bookmarkEnd w:id="88"/>
      <w:bookmarkEnd w:id="89"/>
      <w:bookmarkEnd w:id="90"/>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1" w:name="_Toc23208"/>
      <w:bookmarkStart w:id="92" w:name="_Toc11555"/>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1"/>
      <w:bookmarkEnd w:id="92"/>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3" w:name="_Toc7852"/>
      <w:bookmarkStart w:id="94"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3"/>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5" w:name="_Toc9651"/>
      <w:r>
        <w:rPr>
          <w:rFonts w:hint="eastAsia" w:cs="宋体" w:asciiTheme="majorEastAsia" w:hAnsiTheme="majorEastAsia" w:eastAsiaTheme="majorEastAsia"/>
          <w:kern w:val="2"/>
          <w:sz w:val="30"/>
          <w:szCs w:val="30"/>
          <w:lang w:val="en-US" w:eastAsia="zh-CN" w:bidi="ar-SA"/>
        </w:rPr>
        <w:t>（二十二）</w:t>
      </w:r>
      <w:bookmarkEnd w:id="94"/>
      <w:r>
        <w:rPr>
          <w:rFonts w:hint="eastAsia" w:cs="宋体" w:asciiTheme="majorEastAsia" w:hAnsiTheme="majorEastAsia" w:eastAsiaTheme="majorEastAsia"/>
          <w:kern w:val="2"/>
          <w:sz w:val="30"/>
          <w:szCs w:val="30"/>
          <w:lang w:val="en-US" w:eastAsia="zh-CN" w:bidi="ar-SA"/>
        </w:rPr>
        <w:t>配送方案</w:t>
      </w:r>
      <w:bookmarkEnd w:id="95"/>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6"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6"/>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7"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二十四</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7"/>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8" w:name="_Toc17243"/>
      <w:r>
        <w:rPr>
          <w:rFonts w:hint="eastAsia" w:asciiTheme="majorEastAsia" w:hAnsiTheme="majorEastAsia" w:eastAsiaTheme="majorEastAsia"/>
          <w:sz w:val="30"/>
          <w:szCs w:val="30"/>
          <w:lang w:val="en-US" w:eastAsia="zh-CN"/>
        </w:rPr>
        <w:t>（二十五）履约评价</w:t>
      </w:r>
      <w:bookmarkEnd w:id="98"/>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27595"/>
      <w:r>
        <w:rPr>
          <w:rFonts w:hint="eastAsia" w:asciiTheme="majorEastAsia" w:hAnsiTheme="majorEastAsia" w:eastAsiaTheme="majorEastAsia"/>
          <w:sz w:val="30"/>
          <w:szCs w:val="30"/>
          <w:lang w:val="en-US" w:eastAsia="zh-CN"/>
        </w:rPr>
        <w:t>（二十六）仓储、运输能力</w:t>
      </w:r>
      <w:bookmarkEnd w:id="99"/>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0" w:name="_Toc23393"/>
      <w:r>
        <w:rPr>
          <w:rFonts w:hint="eastAsia" w:asciiTheme="majorEastAsia" w:hAnsiTheme="majorEastAsia" w:eastAsiaTheme="majorEastAsia"/>
          <w:sz w:val="30"/>
          <w:szCs w:val="30"/>
          <w:lang w:val="en-US" w:eastAsia="zh-CN"/>
        </w:rPr>
        <w:t>（二十七）</w:t>
      </w:r>
      <w:r>
        <w:rPr>
          <w:rFonts w:hint="eastAsia" w:hAnsi="宋体" w:cs="Times New Roman" w:eastAsiaTheme="majorEastAsia"/>
          <w:sz w:val="30"/>
          <w:szCs w:val="30"/>
          <w:lang w:val="en-US" w:eastAsia="zh-CN"/>
        </w:rPr>
        <w:t>征集文件要求的其他内容及投标人认为需要加以说明其他内容</w:t>
      </w:r>
      <w:bookmarkEnd w:id="100"/>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1" w:name="_Toc438223136"/>
      <w:bookmarkStart w:id="102" w:name="_Toc11652"/>
      <w:bookmarkStart w:id="103" w:name="_Toc435516650"/>
      <w:bookmarkStart w:id="104" w:name="_Toc1658"/>
      <w:bookmarkStart w:id="105" w:name="_Toc14580"/>
      <w:bookmarkStart w:id="106" w:name="_Toc435174933"/>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6"/>
        </w:numPr>
        <w:spacing w:line="240" w:lineRule="auto"/>
        <w:jc w:val="center"/>
        <w:outlineLvl w:val="0"/>
        <w:rPr>
          <w:rFonts w:asciiTheme="majorEastAsia" w:hAnsiTheme="majorEastAsia" w:eastAsiaTheme="majorEastAsia"/>
          <w:sz w:val="32"/>
          <w:szCs w:val="32"/>
          <w:lang w:eastAsia="zh-TW"/>
        </w:rPr>
      </w:pPr>
      <w:bookmarkStart w:id="107" w:name="_Toc30434"/>
      <w:r>
        <w:rPr>
          <w:rFonts w:asciiTheme="majorEastAsia" w:hAnsiTheme="majorEastAsia" w:eastAsiaTheme="majorEastAsia"/>
          <w:sz w:val="32"/>
          <w:szCs w:val="32"/>
          <w:lang w:eastAsia="zh-TW"/>
        </w:rPr>
        <w:t>说 明</w:t>
      </w:r>
      <w:bookmarkEnd w:id="101"/>
      <w:bookmarkEnd w:id="102"/>
      <w:bookmarkEnd w:id="103"/>
      <w:bookmarkEnd w:id="104"/>
      <w:bookmarkEnd w:id="105"/>
      <w:bookmarkEnd w:id="106"/>
      <w:bookmarkEnd w:id="107"/>
      <w:bookmarkStart w:id="108"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7"/>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9"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9"/>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p>
    <w:p w14:paraId="21DCD9E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7"/>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8"/>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10" w:name="_Toc109889663"/>
      <w:bookmarkStart w:id="111" w:name="_Toc374439153"/>
      <w:bookmarkStart w:id="112" w:name="_Toc318878971"/>
      <w:bookmarkStart w:id="113" w:name="_Toc532"/>
      <w:bookmarkStart w:id="114" w:name="_Toc128037689"/>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5" w:name="_Toc13149_WPSOffice_Level1"/>
      <w:r>
        <w:rPr>
          <w:rFonts w:hint="eastAsia" w:ascii="仿宋_GB2312" w:hAnsi="仿宋_GB2312" w:eastAsia="仿宋_GB2312" w:cs="仿宋_GB2312"/>
          <w:b/>
          <w:color w:val="auto"/>
          <w:sz w:val="28"/>
          <w:szCs w:val="28"/>
          <w:highlight w:val="none"/>
        </w:rPr>
        <w:t>第一条  合同标的</w:t>
      </w:r>
      <w:bookmarkEnd w:id="115"/>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6" w:name="_Toc663_WPSOffice_Level1"/>
      <w:r>
        <w:rPr>
          <w:rFonts w:hint="eastAsia" w:ascii="仿宋_GB2312" w:hAnsi="仿宋_GB2312" w:eastAsia="仿宋_GB2312" w:cs="仿宋_GB2312"/>
          <w:b/>
          <w:color w:val="auto"/>
          <w:sz w:val="28"/>
          <w:szCs w:val="28"/>
          <w:highlight w:val="none"/>
        </w:rPr>
        <w:t>第二条  合同价款</w:t>
      </w:r>
      <w:bookmarkEnd w:id="116"/>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7"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7"/>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8" w:name="_Toc2412_WPSOffice_Level1"/>
      <w:r>
        <w:rPr>
          <w:rFonts w:hint="eastAsia" w:ascii="仿宋_GB2312" w:hAnsi="仿宋_GB2312" w:eastAsia="仿宋_GB2312" w:cs="仿宋_GB2312"/>
          <w:b/>
          <w:color w:val="auto"/>
          <w:sz w:val="28"/>
          <w:szCs w:val="28"/>
          <w:highlight w:val="none"/>
        </w:rPr>
        <w:t>第九条 质量保证及售后服务</w:t>
      </w:r>
      <w:bookmarkEnd w:id="118"/>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1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19"/>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2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20"/>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1"/>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2" w:name="_Toc12695_WPSOffice_Level1"/>
      <w:r>
        <w:rPr>
          <w:rFonts w:hint="eastAsia" w:ascii="仿宋_GB2312" w:hAnsi="仿宋_GB2312" w:eastAsia="仿宋_GB2312" w:cs="仿宋_GB2312"/>
          <w:b/>
          <w:color w:val="auto"/>
          <w:sz w:val="28"/>
          <w:szCs w:val="28"/>
          <w:highlight w:val="none"/>
        </w:rPr>
        <w:t>附则</w:t>
      </w:r>
      <w:bookmarkEnd w:id="122"/>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3"/>
      <w:bookmarkStart w:id="124"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4"/>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5" w:name="_Toc28445_WPSOffice_Level1"/>
      <w:r>
        <w:rPr>
          <w:rFonts w:hint="eastAsia" w:ascii="仿宋_GB2312" w:hAnsi="仿宋_GB2312" w:eastAsia="仿宋_GB2312" w:cs="仿宋_GB2312"/>
          <w:color w:val="auto"/>
          <w:sz w:val="28"/>
          <w:szCs w:val="28"/>
          <w:highlight w:val="none"/>
        </w:rPr>
        <w:t>附件三：廉洁从业承诺书（员工承诺</w:t>
      </w:r>
      <w:bookmarkEnd w:id="12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10"/>
      <w:bookmarkEnd w:id="111"/>
      <w:bookmarkEnd w:id="112"/>
      <w:bookmarkEnd w:id="113"/>
      <w:bookmarkEnd w:id="114"/>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6"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6"/>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1F6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DBE0">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301">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售后服务方案</w:t>
            </w:r>
            <w:r>
              <w:rPr>
                <w:rFonts w:hint="eastAsia" w:ascii="宋体" w:hAnsi="宋体" w:eastAsia="宋体" w:cs="宋体"/>
                <w:i w:val="0"/>
                <w:iCs w:val="0"/>
                <w:color w:val="000000"/>
                <w:kern w:val="0"/>
                <w:sz w:val="22"/>
                <w:szCs w:val="22"/>
                <w:u w:val="none"/>
                <w:lang w:val="en-US" w:eastAsia="zh-CN" w:bidi="ar"/>
              </w:rPr>
              <w:t xml:space="preserve">                                              </w:t>
            </w:r>
          </w:p>
          <w:p w14:paraId="530B1856">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7CEA8024">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w:t>
            </w:r>
            <w:r>
              <w:rPr>
                <w:rFonts w:hint="eastAsia" w:asciiTheme="minorEastAsia" w:hAnsiTheme="minorEastAsia" w:eastAsiaTheme="minorEastAsia" w:cstheme="minorEastAsia"/>
                <w:color w:val="auto"/>
                <w:kern w:val="0"/>
                <w:szCs w:val="21"/>
                <w:highlight w:val="none"/>
                <w:lang w:val="en-US" w:eastAsia="zh-CN"/>
              </w:rPr>
              <w:t>投标人递交的</w:t>
            </w:r>
            <w:r>
              <w:rPr>
                <w:rFonts w:hint="eastAsia" w:asciiTheme="minorEastAsia" w:hAnsiTheme="minorEastAsia" w:eastAsiaTheme="minorEastAsia" w:cstheme="minorEastAsia"/>
                <w:color w:val="auto"/>
                <w:kern w:val="0"/>
                <w:szCs w:val="21"/>
                <w:highlight w:val="none"/>
              </w:rPr>
              <w:t>投标文件售后服务方案进行评审</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内容包含但不限于</w:t>
            </w:r>
            <w:r>
              <w:rPr>
                <w:rFonts w:hint="eastAsia" w:asciiTheme="minorEastAsia" w:hAnsiTheme="minorEastAsia" w:eastAsiaTheme="minorEastAsia" w:cstheme="minorEastAsia"/>
                <w:color w:val="auto"/>
                <w:kern w:val="0"/>
                <w:szCs w:val="21"/>
                <w:highlight w:val="none"/>
              </w:rPr>
              <w:t>：</w:t>
            </w:r>
          </w:p>
          <w:p w14:paraId="33DC311C">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761C1F5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2D6CFD4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p>
          <w:p w14:paraId="4F7C0F29">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评审标准：</w:t>
            </w:r>
          </w:p>
          <w:p w14:paraId="18FF519B">
            <w:pPr>
              <w:pStyle w:val="5"/>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售后服务方案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1724185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6CA0F33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全面，充分考虑突发情况的，</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6436089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可实施性较强，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较全面，较充分考虑突发情况的，</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56A629E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可实施性一般，</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基本全面，基本考虑突发情况的，</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w:t>
            </w:r>
          </w:p>
          <w:p w14:paraId="02EDA09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（4）售后服务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可实施性不强，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不全面，没有考虑突发情况的，</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r>
              <w:rPr>
                <w:rFonts w:hint="eastAsia" w:asciiTheme="minorEastAsia" w:hAnsiTheme="minorEastAsia" w:eastAsiaTheme="minorEastAsia" w:cstheme="minorEastAsia"/>
                <w:color w:val="auto"/>
                <w:kern w:val="0"/>
                <w:szCs w:val="21"/>
                <w:highlight w:val="none"/>
                <w:lang w:eastAsia="zh-CN"/>
              </w:rPr>
              <w:t>。</w:t>
            </w:r>
          </w:p>
          <w:p w14:paraId="65B0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7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1、投标人按要求提供样品得8分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样品或提供不全的本项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eastAsia="宋体" w:cs="宋体"/>
                <w:kern w:val="2"/>
                <w:sz w:val="21"/>
                <w:szCs w:val="21"/>
                <w:highlight w:val="none"/>
                <w:lang w:val="en-US" w:eastAsia="zh-CN" w:bidi="ar-SA"/>
              </w:rPr>
              <w:t>4年1月1日至本项目投标截止之日（以合同签订日期为准）完成的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提供上述经评审有效的业绩中，能够提供用户出具的履约评价书，且评价为优或满意以上的，每份得1分；最高得5分。不提供或者不能有效证明的，得0分。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4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1200" w:type="dxa"/>
            <w:vMerge w:val="continue"/>
            <w:tcBorders>
              <w:left w:val="single" w:color="000000" w:sz="4" w:space="0"/>
              <w:right w:val="single" w:color="000000" w:sz="4" w:space="0"/>
            </w:tcBorders>
            <w:shd w:val="clear" w:color="auto" w:fill="auto"/>
            <w:vAlign w:val="center"/>
          </w:tcPr>
          <w:p w14:paraId="16A93A2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Cs w:val="21"/>
                <w:highlight w:val="none"/>
                <w:lang w:val="en-US" w:eastAsia="zh-CN"/>
              </w:rPr>
              <w:t xml:space="preserve">仓储、运输能力  </w:t>
            </w:r>
            <w:r>
              <w:rPr>
                <w:rFonts w:hint="eastAsia" w:ascii="宋体" w:hAnsi="宋体" w:eastAsia="宋体" w:cs="宋体"/>
                <w:i w:val="0"/>
                <w:iCs w:val="0"/>
                <w:color w:val="000000"/>
                <w:kern w:val="0"/>
                <w:sz w:val="22"/>
                <w:szCs w:val="22"/>
                <w:u w:val="none"/>
                <w:lang w:val="en-US" w:eastAsia="zh-CN" w:bidi="ar"/>
              </w:rPr>
              <w:t xml:space="preserve">      </w:t>
            </w:r>
          </w:p>
          <w:p w14:paraId="065CF543">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4735E8F6">
            <w:pPr>
              <w:keepNext w:val="0"/>
              <w:keepLines w:val="0"/>
              <w:pageBreakBefore w:val="0"/>
              <w:kinsoku/>
              <w:overflowPunct/>
              <w:topLinePunct w:val="0"/>
              <w:autoSpaceDE/>
              <w:autoSpaceDN/>
              <w:bidi w:val="0"/>
              <w:adjustRightInd/>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1、投标人自有或租赁仓库的，得2分。</w:t>
            </w:r>
            <w:r>
              <w:rPr>
                <w:rFonts w:hint="eastAsia" w:ascii="宋体" w:hAnsi="宋体"/>
                <w:szCs w:val="21"/>
                <w:highlight w:val="none"/>
                <w:lang w:val="en-US" w:eastAsia="zh-CN"/>
              </w:rPr>
              <w:br w:type="textWrapping"/>
            </w:r>
            <w:r>
              <w:rPr>
                <w:rFonts w:hint="eastAsia" w:ascii="宋体" w:hAnsi="宋体"/>
                <w:szCs w:val="21"/>
                <w:highlight w:val="none"/>
                <w:lang w:val="en-US" w:eastAsia="zh-CN"/>
              </w:rPr>
              <w:t>2、根据投标人仓库容积进行综合评审，面积最大的为第一名，以此类推，第一名得5分，第二名得3分，第三名得2分，第四名及以后得1分。投标时请提供相关证明材料。</w:t>
            </w:r>
            <w:r>
              <w:rPr>
                <w:rFonts w:hint="eastAsia" w:ascii="宋体" w:hAnsi="宋体"/>
                <w:szCs w:val="21"/>
                <w:highlight w:val="none"/>
                <w:lang w:val="en-US" w:eastAsia="zh-CN"/>
              </w:rPr>
              <w:br w:type="textWrapping"/>
            </w:r>
            <w:r>
              <w:rPr>
                <w:rFonts w:hint="eastAsia" w:ascii="宋体" w:hAnsi="宋体"/>
                <w:szCs w:val="21"/>
                <w:highlight w:val="none"/>
                <w:lang w:val="en-US" w:eastAsia="zh-CN"/>
              </w:rPr>
              <w:t>3、投标人运输车辆：拟投入一辆运输车辆得1分，最高得3分。无正规运输车辆，不得分。</w:t>
            </w:r>
          </w:p>
          <w:p w14:paraId="535D8315">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4E1177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1、需提供自有产权或租赁相关证明材料，未提供或提供资料无法判断的，该项不得分。</w:t>
            </w:r>
          </w:p>
          <w:p w14:paraId="3DE74AE5">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2、以房产证或租赁合同内载明的容积为准，如未提供或资料不完整，该项不得分。</w:t>
            </w:r>
          </w:p>
          <w:p w14:paraId="13541195">
            <w:pPr>
              <w:keepNext w:val="0"/>
              <w:keepLines w:val="0"/>
              <w:pageBreakBefore w:val="0"/>
              <w:kinsoku/>
              <w:wordWrap w:val="0"/>
              <w:overflowPunct/>
              <w:topLinePunct w:val="0"/>
              <w:autoSpaceDE/>
              <w:autoSpaceDN/>
              <w:bidi w:val="0"/>
              <w:adjustRightInd/>
              <w:snapToGrid w:val="0"/>
              <w:spacing w:line="240" w:lineRule="auto"/>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3、房产证或租赁合同内的租赁用途需为仓储，其余用途不得分。</w:t>
            </w:r>
          </w:p>
          <w:p w14:paraId="1AA02C04">
            <w:pPr>
              <w:keepNext w:val="0"/>
              <w:keepLines w:val="0"/>
              <w:pageBreakBefore w:val="0"/>
              <w:kinsoku/>
              <w:wordWrap w:val="0"/>
              <w:overflowPunct/>
              <w:topLinePunct w:val="0"/>
              <w:autoSpaceDE/>
              <w:autoSpaceDN/>
              <w:bidi w:val="0"/>
              <w:adjustRightInd/>
              <w:snapToGrid w:val="0"/>
              <w:spacing w:line="240" w:lineRule="auto"/>
              <w:textAlignment w:val="auto"/>
              <w:rPr>
                <w:rFonts w:hint="eastAsia"/>
              </w:rPr>
            </w:pPr>
            <w:r>
              <w:rPr>
                <w:rFonts w:hint="eastAsia" w:ascii="宋体" w:hAnsi="宋体" w:cs="宋体"/>
                <w:szCs w:val="21"/>
                <w:highlight w:val="none"/>
                <w:lang w:val="en-US" w:eastAsia="zh-CN"/>
              </w:rPr>
              <w:t>4、提供相关车辆的行驶证或采购合同或购买发票或者授权文件。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 xml:space="preserve">文件要求且投标价格最低的投标报价为评标基准价，其价格分为满分。其他投标人的价格分统一按照下列公式计算：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23B495-49C8-4432-9BCC-F200CDD0F699}"/>
  </w:font>
  <w:font w:name="黑体">
    <w:panose1 w:val="02010609060101010101"/>
    <w:charset w:val="86"/>
    <w:family w:val="auto"/>
    <w:pitch w:val="default"/>
    <w:sig w:usb0="800002BF" w:usb1="38CF7CFA" w:usb2="00000016" w:usb3="00000000" w:csb0="00040001" w:csb1="00000000"/>
    <w:embedRegular r:id="rId2" w:fontKey="{0ABC05D7-F0B6-4357-945F-A852B260E372}"/>
  </w:font>
  <w:font w:name="Courier New">
    <w:panose1 w:val="02070309020205020404"/>
    <w:charset w:val="01"/>
    <w:family w:val="modern"/>
    <w:pitch w:val="default"/>
    <w:sig w:usb0="E0002EFF" w:usb1="C0007843" w:usb2="00000009" w:usb3="00000000" w:csb0="400001FF" w:csb1="FFFF0000"/>
    <w:embedRegular r:id="rId3" w:fontKey="{BCE790E0-73F5-435C-AC71-2042F28406A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007795F-A410-40A3-8DAF-90C82F31DC81}"/>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F354A4D7-DB2A-489F-913B-ADE1F020AF97}"/>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1296F38A-3D76-485C-956C-064944BB92B1}"/>
  </w:font>
  <w:font w:name="Wingdings 2">
    <w:panose1 w:val="05020102010507070707"/>
    <w:charset w:val="00"/>
    <w:family w:val="auto"/>
    <w:pitch w:val="default"/>
    <w:sig w:usb0="00000000" w:usb1="00000000" w:usb2="00000000" w:usb3="00000000" w:csb0="80000000" w:csb1="00000000"/>
    <w:embedRegular r:id="rId7" w:fontKey="{0F22882F-BBC7-4D52-AFB7-B07EA2089FC3}"/>
  </w:font>
  <w:font w:name="方正仿宋_GBK">
    <w:altName w:val="微软雅黑"/>
    <w:panose1 w:val="00000000000000000000"/>
    <w:charset w:val="86"/>
    <w:family w:val="auto"/>
    <w:pitch w:val="default"/>
    <w:sig w:usb0="00000000" w:usb1="00000000" w:usb2="00000000" w:usb3="00000000" w:csb0="00040000" w:csb1="00000000"/>
    <w:embedRegular r:id="rId8" w:fontKey="{67F7B8C6-206F-4C6F-BD3D-B0CAA4BAC719}"/>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embedRegular r:id="rId9" w:fontKey="{61253B01-D68C-4B7C-B993-710525370DBB}"/>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0" w:fontKey="{592A947D-4561-483A-AFD1-F5E0910DAE98}"/>
  </w:font>
  <w:font w:name="方正小标宋_GBK">
    <w:panose1 w:val="02000000000000000000"/>
    <w:charset w:val="86"/>
    <w:family w:val="script"/>
    <w:pitch w:val="default"/>
    <w:sig w:usb0="A00002BF" w:usb1="38CF7CFA" w:usb2="00082016" w:usb3="00000000" w:csb0="00040001" w:csb1="00000000"/>
    <w:embedRegular r:id="rId11" w:fontKey="{2DD4A542-D86B-4FC5-AF71-28E4B7A712CC}"/>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D6D61694"/>
    <w:multiLevelType w:val="singleLevel"/>
    <w:tmpl w:val="D6D61694"/>
    <w:lvl w:ilvl="0" w:tentative="0">
      <w:start w:val="1"/>
      <w:numFmt w:val="chineseCounting"/>
      <w:suff w:val="nothing"/>
      <w:lvlText w:val="（%1）"/>
      <w:lvlJc w:val="left"/>
      <w:rPr>
        <w:rFonts w:hint="eastAsia"/>
      </w:rPr>
    </w:lvl>
  </w:abstractNum>
  <w:abstractNum w:abstractNumId="3">
    <w:nsid w:val="0B8F3126"/>
    <w:multiLevelType w:val="singleLevel"/>
    <w:tmpl w:val="0B8F3126"/>
    <w:lvl w:ilvl="0" w:tentative="0">
      <w:start w:val="3"/>
      <w:numFmt w:val="chineseCounting"/>
      <w:suff w:val="nothing"/>
      <w:lvlText w:val="%1、"/>
      <w:lvlJc w:val="left"/>
      <w:rPr>
        <w:rFonts w:hint="eastAsia"/>
      </w:r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7E85C6F"/>
    <w:multiLevelType w:val="singleLevel"/>
    <w:tmpl w:val="37E85C6F"/>
    <w:lvl w:ilvl="0" w:tentative="0">
      <w:start w:val="1"/>
      <w:numFmt w:val="decimal"/>
      <w:lvlText w:val="%1."/>
      <w:lvlJc w:val="left"/>
      <w:pPr>
        <w:tabs>
          <w:tab w:val="left" w:pos="312"/>
        </w:tabs>
      </w:pPr>
    </w:lvl>
  </w:abstractNum>
  <w:abstractNum w:abstractNumId="6">
    <w:nsid w:val="40EC10D5"/>
    <w:multiLevelType w:val="singleLevel"/>
    <w:tmpl w:val="40EC10D5"/>
    <w:lvl w:ilvl="0" w:tentative="0">
      <w:start w:val="1"/>
      <w:numFmt w:val="chineseCounting"/>
      <w:suff w:val="space"/>
      <w:lvlText w:val="第%1章"/>
      <w:lvlJc w:val="left"/>
      <w:rPr>
        <w:rFonts w:hint="eastAsia"/>
      </w:r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0FD0FAC"/>
    <w:multiLevelType w:val="singleLevel"/>
    <w:tmpl w:val="70FD0FAC"/>
    <w:lvl w:ilvl="0" w:tentative="0">
      <w:start w:val="5"/>
      <w:numFmt w:val="chineseCounting"/>
      <w:suff w:val="space"/>
      <w:lvlText w:val="第%1章"/>
      <w:lvlJc w:val="left"/>
      <w:rPr>
        <w:rFonts w:hint="eastAsia"/>
      </w:r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9"/>
  </w:num>
  <w:num w:numId="6">
    <w:abstractNumId w:val="7"/>
  </w:num>
  <w:num w:numId="7">
    <w:abstractNumId w:val="4"/>
  </w:num>
  <w:num w:numId="8">
    <w:abstractNumId w:val="5"/>
  </w:num>
  <w:num w:numId="9">
    <w:abstractNumId w:val="14"/>
  </w:num>
  <w:num w:numId="10">
    <w:abstractNumId w:val="1"/>
  </w:num>
  <w:num w:numId="11">
    <w:abstractNumId w:val="10"/>
  </w:num>
  <w:num w:numId="12">
    <w:abstractNumId w:val="2"/>
  </w:num>
  <w:num w:numId="13">
    <w:abstractNumId w:val="8"/>
  </w:num>
  <w:num w:numId="14">
    <w:abstractNumId w:val="17"/>
  </w:num>
  <w:num w:numId="15">
    <w:abstractNumId w:val="12"/>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3722D"/>
    <w:rsid w:val="00CB48A0"/>
    <w:rsid w:val="00D076D9"/>
    <w:rsid w:val="00D27E74"/>
    <w:rsid w:val="00D36759"/>
    <w:rsid w:val="00D70391"/>
    <w:rsid w:val="00DE0DB1"/>
    <w:rsid w:val="00DF281B"/>
    <w:rsid w:val="00E309D1"/>
    <w:rsid w:val="00E70B1C"/>
    <w:rsid w:val="00EE5E48"/>
    <w:rsid w:val="00FC1F7B"/>
    <w:rsid w:val="00FD6AFE"/>
    <w:rsid w:val="00FF2DFF"/>
    <w:rsid w:val="01842D0A"/>
    <w:rsid w:val="01A10A62"/>
    <w:rsid w:val="01FD42EF"/>
    <w:rsid w:val="02515E13"/>
    <w:rsid w:val="02A03E0F"/>
    <w:rsid w:val="03824295"/>
    <w:rsid w:val="03CA1333"/>
    <w:rsid w:val="03D86CBB"/>
    <w:rsid w:val="04A41E29"/>
    <w:rsid w:val="0586171E"/>
    <w:rsid w:val="062A1835"/>
    <w:rsid w:val="095B27C3"/>
    <w:rsid w:val="0BBE064B"/>
    <w:rsid w:val="0C732455"/>
    <w:rsid w:val="0C831895"/>
    <w:rsid w:val="0E0A4D0C"/>
    <w:rsid w:val="0E1B2C35"/>
    <w:rsid w:val="0F847DFE"/>
    <w:rsid w:val="10437371"/>
    <w:rsid w:val="10EC5674"/>
    <w:rsid w:val="13272F7A"/>
    <w:rsid w:val="13CA0FD2"/>
    <w:rsid w:val="14DA7639"/>
    <w:rsid w:val="155F0204"/>
    <w:rsid w:val="16354792"/>
    <w:rsid w:val="167968A8"/>
    <w:rsid w:val="168261AD"/>
    <w:rsid w:val="175224D1"/>
    <w:rsid w:val="183B62C6"/>
    <w:rsid w:val="183D0B4A"/>
    <w:rsid w:val="19C51BDF"/>
    <w:rsid w:val="1A0F0637"/>
    <w:rsid w:val="1AC75CBA"/>
    <w:rsid w:val="1ACD08AB"/>
    <w:rsid w:val="1C7D53A8"/>
    <w:rsid w:val="1D740F3F"/>
    <w:rsid w:val="1DA500B9"/>
    <w:rsid w:val="1E304F2A"/>
    <w:rsid w:val="1EA731C1"/>
    <w:rsid w:val="1F3216D9"/>
    <w:rsid w:val="1FB40BCE"/>
    <w:rsid w:val="1FC04AB6"/>
    <w:rsid w:val="20573F48"/>
    <w:rsid w:val="20857E4D"/>
    <w:rsid w:val="2110276B"/>
    <w:rsid w:val="217A1947"/>
    <w:rsid w:val="21BA145D"/>
    <w:rsid w:val="225047E7"/>
    <w:rsid w:val="22DA20BB"/>
    <w:rsid w:val="24590191"/>
    <w:rsid w:val="24CC6443"/>
    <w:rsid w:val="25F413E1"/>
    <w:rsid w:val="26EF3957"/>
    <w:rsid w:val="27A32756"/>
    <w:rsid w:val="28774BB2"/>
    <w:rsid w:val="28CF3A40"/>
    <w:rsid w:val="292F0982"/>
    <w:rsid w:val="294C0405"/>
    <w:rsid w:val="2AD85138"/>
    <w:rsid w:val="2BC25ADE"/>
    <w:rsid w:val="2BEF1BE2"/>
    <w:rsid w:val="2C2F1E92"/>
    <w:rsid w:val="2CAA6F1D"/>
    <w:rsid w:val="2E063599"/>
    <w:rsid w:val="2F746B39"/>
    <w:rsid w:val="2FEF24C1"/>
    <w:rsid w:val="317E15FD"/>
    <w:rsid w:val="32A7178F"/>
    <w:rsid w:val="344E622F"/>
    <w:rsid w:val="348C0A37"/>
    <w:rsid w:val="34D04DC8"/>
    <w:rsid w:val="34D95BA1"/>
    <w:rsid w:val="353327D7"/>
    <w:rsid w:val="36F16FEE"/>
    <w:rsid w:val="37436ACA"/>
    <w:rsid w:val="37F963E3"/>
    <w:rsid w:val="38312021"/>
    <w:rsid w:val="38404012"/>
    <w:rsid w:val="389C5DF9"/>
    <w:rsid w:val="39C9473C"/>
    <w:rsid w:val="3A4F4F44"/>
    <w:rsid w:val="3ADB6274"/>
    <w:rsid w:val="3CC20B68"/>
    <w:rsid w:val="3CFF2687"/>
    <w:rsid w:val="3D691D61"/>
    <w:rsid w:val="3FF83425"/>
    <w:rsid w:val="402E42D9"/>
    <w:rsid w:val="409674F3"/>
    <w:rsid w:val="41894625"/>
    <w:rsid w:val="42961172"/>
    <w:rsid w:val="42A15057"/>
    <w:rsid w:val="430D265D"/>
    <w:rsid w:val="44B33DBE"/>
    <w:rsid w:val="44ED4447"/>
    <w:rsid w:val="457353A7"/>
    <w:rsid w:val="46062A6F"/>
    <w:rsid w:val="460A6E42"/>
    <w:rsid w:val="466C27DB"/>
    <w:rsid w:val="466F1003"/>
    <w:rsid w:val="46D421B5"/>
    <w:rsid w:val="46E84D7E"/>
    <w:rsid w:val="474D4A8F"/>
    <w:rsid w:val="47507FEA"/>
    <w:rsid w:val="47E748ED"/>
    <w:rsid w:val="49871B07"/>
    <w:rsid w:val="49BE56DF"/>
    <w:rsid w:val="4A01054C"/>
    <w:rsid w:val="4A0517DE"/>
    <w:rsid w:val="4BA66D85"/>
    <w:rsid w:val="4C8147A2"/>
    <w:rsid w:val="4CB9218D"/>
    <w:rsid w:val="4D01600E"/>
    <w:rsid w:val="4DAD7DEB"/>
    <w:rsid w:val="4E8100AD"/>
    <w:rsid w:val="4E8E5256"/>
    <w:rsid w:val="4F0F12CA"/>
    <w:rsid w:val="4F560168"/>
    <w:rsid w:val="50E616CF"/>
    <w:rsid w:val="511864D9"/>
    <w:rsid w:val="51A065CC"/>
    <w:rsid w:val="51D63AF4"/>
    <w:rsid w:val="52104D2C"/>
    <w:rsid w:val="521F3077"/>
    <w:rsid w:val="536429ED"/>
    <w:rsid w:val="537D5CC3"/>
    <w:rsid w:val="53CB3B5A"/>
    <w:rsid w:val="540B0156"/>
    <w:rsid w:val="5417770D"/>
    <w:rsid w:val="54F63F7F"/>
    <w:rsid w:val="558214CD"/>
    <w:rsid w:val="559776ED"/>
    <w:rsid w:val="56E36785"/>
    <w:rsid w:val="57C95578"/>
    <w:rsid w:val="580B4B95"/>
    <w:rsid w:val="58AF7528"/>
    <w:rsid w:val="58C53577"/>
    <w:rsid w:val="5A2F6381"/>
    <w:rsid w:val="5A6432D8"/>
    <w:rsid w:val="5B4A22D1"/>
    <w:rsid w:val="5B7272AC"/>
    <w:rsid w:val="5BC7458E"/>
    <w:rsid w:val="5CAC08DD"/>
    <w:rsid w:val="5CEC7157"/>
    <w:rsid w:val="5D045FFD"/>
    <w:rsid w:val="5F0D6E5C"/>
    <w:rsid w:val="5F630463"/>
    <w:rsid w:val="5FC919FA"/>
    <w:rsid w:val="5FE64BF0"/>
    <w:rsid w:val="62B272BD"/>
    <w:rsid w:val="62E95396"/>
    <w:rsid w:val="63016A4E"/>
    <w:rsid w:val="64A6327C"/>
    <w:rsid w:val="65265113"/>
    <w:rsid w:val="65E57895"/>
    <w:rsid w:val="6602326A"/>
    <w:rsid w:val="66E143F0"/>
    <w:rsid w:val="67BA5260"/>
    <w:rsid w:val="67BA634C"/>
    <w:rsid w:val="68A23D9A"/>
    <w:rsid w:val="69E7776E"/>
    <w:rsid w:val="6AA14535"/>
    <w:rsid w:val="6ACC2680"/>
    <w:rsid w:val="6B6A0563"/>
    <w:rsid w:val="6B80006E"/>
    <w:rsid w:val="6BB74550"/>
    <w:rsid w:val="6CF30DA6"/>
    <w:rsid w:val="6D704509"/>
    <w:rsid w:val="6DD15131"/>
    <w:rsid w:val="70A24B63"/>
    <w:rsid w:val="72AC65F9"/>
    <w:rsid w:val="72AF5315"/>
    <w:rsid w:val="730B15A2"/>
    <w:rsid w:val="74055651"/>
    <w:rsid w:val="74F44506"/>
    <w:rsid w:val="75EF3075"/>
    <w:rsid w:val="774A4416"/>
    <w:rsid w:val="79B06BCF"/>
    <w:rsid w:val="79B17029"/>
    <w:rsid w:val="7B49325B"/>
    <w:rsid w:val="7BFC15FE"/>
    <w:rsid w:val="7C4E5B9F"/>
    <w:rsid w:val="7CDB38D7"/>
    <w:rsid w:val="7DBC7F52"/>
    <w:rsid w:val="7E3B5A67"/>
    <w:rsid w:val="7EAE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5440</Words>
  <Characters>5900</Characters>
  <Lines>31</Lines>
  <Paragraphs>8</Paragraphs>
  <TotalTime>44</TotalTime>
  <ScaleCrop>false</ScaleCrop>
  <LinksUpToDate>false</LinksUpToDate>
  <CharactersWithSpaces>5945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2026-04-29T06:18:29Z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FF399DDE98F34970938613942252C732_13</vt:lpwstr>
  </property>
  <property fmtid="{D5CDD505-2E9C-101B-9397-08002B2CF9AE}" pid="4" name="KSOTemplateDocerSaveRecord">
    <vt:lpwstr>eyJoZGlkIjoiM2EyNDYyYmQ1ZDA0NDE2ZWMxMTVjMTBjNjZlNGMxZWMiLCJ1c2VySWQiOiIxOTQ5NzkyNTQifQ==</vt:lpwstr>
  </property>
</Properties>
</file>