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highlight w:val="none"/>
          <w:lang w:val="en-US" w:eastAsia="zh-CN" w:bidi="ar-SA"/>
        </w:rPr>
      </w:pPr>
      <w:r>
        <w:rPr>
          <w:highlight w:val="none"/>
        </w:rPr>
        <w:br w:type="page"/>
      </w:r>
      <w:bookmarkStart w:id="138" w:name="_GoBack"/>
      <w:bookmarkEnd w:id="138"/>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highlight w:val="none"/>
          <w:lang w:val="en-US" w:eastAsia="zh-CN" w:bidi="ar-SA"/>
        </w:rPr>
      </w:pPr>
      <w:bookmarkStart w:id="4" w:name="_Toc27897"/>
      <w:r>
        <w:rPr>
          <w:rFonts w:hint="eastAsia" w:cs="宋体" w:asciiTheme="majorEastAsia" w:hAnsiTheme="majorEastAsia" w:eastAsiaTheme="majorEastAsia"/>
          <w:kern w:val="2"/>
          <w:sz w:val="32"/>
          <w:szCs w:val="32"/>
          <w:highlight w:val="none"/>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每提供一项得3分，最高不超过9分。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(1)所投产品的安装售后服务保障、紧急情况响应程度、人员培训措施内容全面，得3分，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神经肌肉刺激器（智能无线电刺激系统）二次</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w:t>
      </w:r>
      <w:r>
        <w:rPr>
          <w:rFonts w:hint="eastAsia" w:ascii="宋体" w:hAnsi="宋体"/>
          <w:szCs w:val="28"/>
          <w:highlight w:val="none"/>
        </w:rPr>
        <w:t>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6</w:t>
      </w:r>
      <w:r>
        <w:rPr>
          <w:rFonts w:hint="eastAsia" w:ascii="宋体" w:hAnsi="宋体"/>
          <w:bCs/>
          <w:szCs w:val="28"/>
          <w:highlight w:val="none"/>
          <w:u w:val="single"/>
        </w:rPr>
        <w:t>月</w:t>
      </w:r>
      <w:r>
        <w:rPr>
          <w:rFonts w:hint="eastAsia" w:ascii="宋体" w:hAnsi="宋体"/>
          <w:bCs/>
          <w:szCs w:val="28"/>
          <w:highlight w:val="none"/>
          <w:u w:val="single"/>
          <w:lang w:val="en-US" w:eastAsia="zh-CN"/>
        </w:rPr>
        <w:t>9</w:t>
      </w:r>
      <w:r>
        <w:rPr>
          <w:rFonts w:hint="eastAsia" w:ascii="宋体" w:hAnsi="宋体"/>
          <w:bCs/>
          <w:szCs w:val="28"/>
          <w:highlight w:val="none"/>
          <w:u w:val="single"/>
        </w:rPr>
        <w:t>日</w:t>
      </w:r>
      <w:r>
        <w:rPr>
          <w:rFonts w:hint="eastAsia" w:ascii="宋体" w:hAnsi="宋体"/>
          <w:bCs/>
          <w:szCs w:val="28"/>
          <w:highlight w:val="none"/>
          <w:u w:val="single"/>
          <w:lang w:val="en-US" w:eastAsia="zh-CN"/>
        </w:rPr>
        <w:t>8</w:t>
      </w:r>
      <w:r>
        <w:rPr>
          <w:rFonts w:hint="eastAsia" w:ascii="宋体" w:hAnsi="宋体"/>
          <w:bCs/>
          <w:szCs w:val="28"/>
          <w:highlight w:val="none"/>
          <w:u w:val="single"/>
        </w:rPr>
        <w:t>点30分</w:t>
      </w:r>
      <w:r>
        <w:rPr>
          <w:rFonts w:hint="eastAsia" w:ascii="宋体" w:hAnsi="宋体"/>
          <w:bCs/>
          <w:szCs w:val="28"/>
          <w:highlight w:val="none"/>
          <w:u w:val="none"/>
        </w:rPr>
        <w:t>（</w:t>
      </w:r>
      <w:r>
        <w:rPr>
          <w:rFonts w:hint="eastAsia" w:ascii="宋体" w:hAnsi="宋体"/>
          <w:bCs/>
          <w:szCs w:val="28"/>
          <w:highlight w:val="none"/>
        </w:rPr>
        <w:t>北京时间</w:t>
      </w:r>
      <w:r>
        <w:rPr>
          <w:rFonts w:hint="eastAsia" w:ascii="宋体" w:hAnsi="宋体"/>
          <w:bCs/>
          <w:szCs w:val="28"/>
        </w:rPr>
        <w:t>）前递交投标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FTEY-202506-QX009A</w:t>
      </w:r>
    </w:p>
    <w:p w14:paraId="792813B2">
      <w:pPr>
        <w:spacing w:line="360" w:lineRule="auto"/>
        <w:ind w:firstLine="420" w:firstLineChars="200"/>
        <w:rPr>
          <w:rFonts w:hint="default" w:ascii="宋体" w:hAnsi="宋体" w:eastAsiaTheme="minorEastAsia"/>
          <w:lang w:val="en-US" w:eastAsia="zh-CN"/>
        </w:rPr>
      </w:pPr>
      <w:r>
        <w:rPr>
          <w:rFonts w:hint="eastAsia" w:ascii="宋体" w:hAnsi="宋体"/>
        </w:rPr>
        <w:t>项目名称：</w:t>
      </w:r>
      <w:r>
        <w:rPr>
          <w:rFonts w:hint="eastAsia" w:ascii="宋体" w:hAnsi="宋体" w:eastAsia="宋体" w:cs="宋体"/>
          <w:snapToGrid/>
          <w:color w:val="auto"/>
          <w:spacing w:val="0"/>
          <w:kern w:val="2"/>
          <w:sz w:val="21"/>
          <w:szCs w:val="24"/>
          <w:highlight w:val="none"/>
          <w:lang w:val="en-US" w:eastAsia="zh-CN" w:bidi="ar-SA"/>
        </w:rPr>
        <w:t>神经肌肉刺激器（智能无线电刺激系统）二次</w:t>
      </w:r>
    </w:p>
    <w:p w14:paraId="118885C8">
      <w:pPr>
        <w:spacing w:line="360" w:lineRule="auto"/>
        <w:ind w:firstLine="420" w:firstLineChars="200"/>
        <w:rPr>
          <w:rFonts w:hint="eastAsia" w:ascii="宋体" w:hAnsi="宋体"/>
          <w:szCs w:val="21"/>
        </w:rPr>
      </w:pPr>
      <w:r>
        <w:rPr>
          <w:rFonts w:hint="eastAsia" w:ascii="宋体" w:hAnsi="宋体"/>
        </w:rPr>
        <w:t>预算金额：人民币壹拾伍万捌仟</w:t>
      </w:r>
      <w:r>
        <w:rPr>
          <w:rFonts w:hint="eastAsia" w:ascii="宋体" w:hAnsi="宋体"/>
          <w:lang w:val="en-US" w:eastAsia="zh-CN"/>
        </w:rPr>
        <w:t>元</w:t>
      </w:r>
      <w:r>
        <w:rPr>
          <w:rFonts w:hint="eastAsia" w:ascii="宋体" w:hAnsi="宋体"/>
        </w:rPr>
        <w:t>整（¥</w:t>
      </w:r>
      <w:r>
        <w:rPr>
          <w:rFonts w:hint="eastAsia" w:ascii="宋体" w:hAnsi="宋体"/>
          <w:lang w:val="en-US" w:eastAsia="zh-CN"/>
        </w:rPr>
        <w:t>158000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报名时间：2026年5月28日8时00分至2026年6月3日17时00分止。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:00至</w:t>
      </w:r>
      <w:r>
        <w:rPr>
          <w:rFonts w:hint="eastAsia" w:ascii="宋体" w:hAnsi="宋体"/>
          <w:bCs/>
          <w:highlight w:val="none"/>
          <w:lang w:val="en-US" w:eastAsia="zh-CN"/>
        </w:rPr>
        <w:t>8</w:t>
      </w:r>
      <w:r>
        <w:rPr>
          <w:rFonts w:hint="eastAsia" w:ascii="宋体" w:hAnsi="宋体"/>
          <w:bCs/>
          <w:highlight w:val="none"/>
        </w:rPr>
        <w:t>:30（北京时间）；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lang w:val="en-US" w:eastAsia="zh-CN"/>
        </w:rPr>
        <w:t>8</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lang w:val="en-US" w:eastAsia="zh-CN"/>
        </w:rPr>
        <w:t>8</w:t>
      </w:r>
      <w:r>
        <w:rPr>
          <w:rFonts w:hint="eastAsia" w:ascii="宋体" w:hAnsi="宋体"/>
          <w:bCs/>
          <w:highlight w:val="none"/>
        </w:rPr>
        <w:t>:30（北京时间）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874"/>
        <w:gridCol w:w="2166"/>
        <w:gridCol w:w="2110"/>
        <w:gridCol w:w="2111"/>
        <w:gridCol w:w="1122"/>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463"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110"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111"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22"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463"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神经肌肉刺激器     （智能无线电刺激系统）</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110"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2111"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1122"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165"/>
        <w:gridCol w:w="2175"/>
        <w:gridCol w:w="922"/>
        <w:gridCol w:w="1022"/>
        <w:gridCol w:w="1286"/>
        <w:gridCol w:w="1286"/>
      </w:tblGrid>
      <w:tr w14:paraId="17BD888E">
        <w:tblPrEx>
          <w:tblCellMar>
            <w:top w:w="0" w:type="dxa"/>
            <w:left w:w="108" w:type="dxa"/>
            <w:bottom w:w="0" w:type="dxa"/>
            <w:right w:w="108" w:type="dxa"/>
          </w:tblCellMar>
        </w:tblPrEx>
        <w:trPr>
          <w:trHeight w:val="567" w:hRule="atLeast"/>
          <w:jc w:val="center"/>
        </w:trPr>
        <w:tc>
          <w:tcPr>
            <w:tcW w:w="745"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3165"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165" w:type="dxa"/>
            <w:shd w:val="clear" w:color="auto" w:fill="auto"/>
            <w:vAlign w:val="center"/>
          </w:tcPr>
          <w:p w14:paraId="02F7A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snapToGrid/>
                <w:color w:val="auto"/>
                <w:spacing w:val="0"/>
                <w:kern w:val="2"/>
                <w:sz w:val="21"/>
                <w:szCs w:val="24"/>
                <w:highlight w:val="none"/>
                <w:lang w:val="en-US" w:eastAsia="zh-CN" w:bidi="ar-SA"/>
              </w:rPr>
              <w:t>神经肌肉刺激器          （智能无线电刺激系统）</w:t>
            </w:r>
            <w:r>
              <w:rPr>
                <w:rFonts w:hint="eastAsia" w:ascii="宋体" w:hAnsi="宋体" w:eastAsia="宋体" w:cs="宋体"/>
                <w:i w:val="0"/>
                <w:iCs w:val="0"/>
                <w:color w:val="000000"/>
                <w:kern w:val="0"/>
                <w:sz w:val="21"/>
                <w:szCs w:val="21"/>
                <w:u w:val="none"/>
                <w:lang w:val="en-US" w:eastAsia="zh-CN" w:bidi="ar"/>
              </w:rPr>
              <w:t>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165" w:type="dxa"/>
            <w:shd w:val="clear" w:color="auto" w:fill="auto"/>
            <w:vAlign w:val="center"/>
          </w:tcPr>
          <w:p w14:paraId="75D81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遥控器  </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165" w:type="dxa"/>
            <w:shd w:val="clear" w:color="auto" w:fill="auto"/>
            <w:vAlign w:val="center"/>
          </w:tcPr>
          <w:p w14:paraId="68655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电极盘  </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165" w:type="dxa"/>
            <w:shd w:val="clear" w:color="auto" w:fill="auto"/>
            <w:vAlign w:val="center"/>
          </w:tcPr>
          <w:p w14:paraId="7ACA7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充电底座 </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3165" w:type="dxa"/>
            <w:shd w:val="clear" w:color="auto" w:fill="auto"/>
            <w:vAlign w:val="center"/>
          </w:tcPr>
          <w:p w14:paraId="5FE88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AC适配器 </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01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3BD14E7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165" w:type="dxa"/>
            <w:shd w:val="clear" w:color="auto" w:fill="auto"/>
            <w:vAlign w:val="center"/>
          </w:tcPr>
          <w:p w14:paraId="39BDC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扩展底座USB线 </w:t>
            </w:r>
          </w:p>
        </w:tc>
        <w:tc>
          <w:tcPr>
            <w:tcW w:w="2175" w:type="dxa"/>
            <w:vMerge w:val="continue"/>
            <w:shd w:val="clear" w:color="auto" w:fill="auto"/>
            <w:vAlign w:val="center"/>
          </w:tcPr>
          <w:p w14:paraId="0E0A36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F238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55CE5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1286" w:type="dxa"/>
            <w:vAlign w:val="center"/>
          </w:tcPr>
          <w:p w14:paraId="4A638C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883CC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91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92B72B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3165" w:type="dxa"/>
            <w:shd w:val="clear" w:color="auto" w:fill="auto"/>
            <w:vAlign w:val="center"/>
          </w:tcPr>
          <w:p w14:paraId="3DD3C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小电极袋(5x5cm单头电极片) </w:t>
            </w:r>
          </w:p>
        </w:tc>
        <w:tc>
          <w:tcPr>
            <w:tcW w:w="2175" w:type="dxa"/>
            <w:vMerge w:val="continue"/>
            <w:shd w:val="clear" w:color="auto" w:fill="auto"/>
            <w:vAlign w:val="center"/>
          </w:tcPr>
          <w:p w14:paraId="17BB51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025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02C44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60FCE8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57B0B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0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C08AAF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165" w:type="dxa"/>
            <w:shd w:val="clear" w:color="auto" w:fill="auto"/>
            <w:vAlign w:val="center"/>
          </w:tcPr>
          <w:p w14:paraId="5BB12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大电极袋(5x10cm单头电极片) </w:t>
            </w:r>
          </w:p>
        </w:tc>
        <w:tc>
          <w:tcPr>
            <w:tcW w:w="2175" w:type="dxa"/>
            <w:vMerge w:val="continue"/>
            <w:shd w:val="clear" w:color="auto" w:fill="auto"/>
            <w:vAlign w:val="center"/>
          </w:tcPr>
          <w:p w14:paraId="301F1D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5A35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48EFC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507598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D71B9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49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B87196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3165" w:type="dxa"/>
            <w:shd w:val="clear" w:color="auto" w:fill="auto"/>
            <w:vAlign w:val="center"/>
          </w:tcPr>
          <w:p w14:paraId="21B99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大电极袋(5x10cm双头电极片) </w:t>
            </w:r>
          </w:p>
        </w:tc>
        <w:tc>
          <w:tcPr>
            <w:tcW w:w="2175" w:type="dxa"/>
            <w:vMerge w:val="continue"/>
            <w:shd w:val="clear" w:color="auto" w:fill="auto"/>
            <w:vAlign w:val="center"/>
          </w:tcPr>
          <w:p w14:paraId="055FB3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5058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1C699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3C45FE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0185B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4B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78A47E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3165" w:type="dxa"/>
            <w:shd w:val="clear" w:color="auto" w:fill="auto"/>
            <w:vAlign w:val="center"/>
          </w:tcPr>
          <w:p w14:paraId="69C12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运动点笔 </w:t>
            </w:r>
          </w:p>
        </w:tc>
        <w:tc>
          <w:tcPr>
            <w:tcW w:w="2175" w:type="dxa"/>
            <w:vMerge w:val="continue"/>
            <w:shd w:val="clear" w:color="auto" w:fill="auto"/>
            <w:vAlign w:val="center"/>
          </w:tcPr>
          <w:p w14:paraId="64C3F4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AA75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E0ED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332FB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3A731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22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833590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3165" w:type="dxa"/>
            <w:shd w:val="clear" w:color="auto" w:fill="auto"/>
            <w:vAlign w:val="center"/>
          </w:tcPr>
          <w:p w14:paraId="575AE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便携箱 </w:t>
            </w:r>
          </w:p>
        </w:tc>
        <w:tc>
          <w:tcPr>
            <w:tcW w:w="2175" w:type="dxa"/>
            <w:vMerge w:val="continue"/>
            <w:shd w:val="clear" w:color="auto" w:fill="auto"/>
            <w:vAlign w:val="center"/>
          </w:tcPr>
          <w:p w14:paraId="13A4D9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2F5FB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344BD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34770E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5B56A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D9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3061C1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3165" w:type="dxa"/>
            <w:shd w:val="clear" w:color="auto" w:fill="auto"/>
            <w:vAlign w:val="center"/>
          </w:tcPr>
          <w:p w14:paraId="245BE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挂绳 </w:t>
            </w:r>
          </w:p>
        </w:tc>
        <w:tc>
          <w:tcPr>
            <w:tcW w:w="2175" w:type="dxa"/>
            <w:vMerge w:val="continue"/>
          </w:tcPr>
          <w:p w14:paraId="736AFC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2F219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1D9F1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1286" w:type="dxa"/>
            <w:vAlign w:val="center"/>
          </w:tcPr>
          <w:p w14:paraId="743351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268327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70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2502F4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3165" w:type="dxa"/>
            <w:shd w:val="clear" w:color="auto" w:fill="auto"/>
            <w:vAlign w:val="center"/>
          </w:tcPr>
          <w:p w14:paraId="7B54F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保护套 </w:t>
            </w:r>
          </w:p>
        </w:tc>
        <w:tc>
          <w:tcPr>
            <w:tcW w:w="2175" w:type="dxa"/>
            <w:vMerge w:val="continue"/>
          </w:tcPr>
          <w:p w14:paraId="104962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B966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1831D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6FBF9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04BA09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F4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923F57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3165" w:type="dxa"/>
            <w:shd w:val="clear" w:color="auto" w:fill="auto"/>
            <w:vAlign w:val="center"/>
          </w:tcPr>
          <w:p w14:paraId="4E3A6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配对卡扣套装 </w:t>
            </w:r>
          </w:p>
        </w:tc>
        <w:tc>
          <w:tcPr>
            <w:tcW w:w="2175" w:type="dxa"/>
            <w:vMerge w:val="continue"/>
          </w:tcPr>
          <w:p w14:paraId="5B5EB1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C7E4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FED5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86" w:type="dxa"/>
            <w:vAlign w:val="center"/>
          </w:tcPr>
          <w:p w14:paraId="3E3EEB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48673C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7F112E0">
      <w:pPr>
        <w:pStyle w:val="9"/>
        <w:numPr>
          <w:ilvl w:val="0"/>
          <w:numId w:val="0"/>
        </w:numPr>
        <w:tabs>
          <w:tab w:val="left" w:pos="540"/>
        </w:tabs>
        <w:adjustRightInd w:val="0"/>
        <w:snapToGrid w:val="0"/>
        <w:spacing w:line="360" w:lineRule="auto"/>
        <w:ind w:leftChars="0"/>
        <w:outlineLvl w:val="0"/>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神经肌肉刺激器     （智能无线电刺激系统）</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1.通道数量：不少于4对独立、可分别调节的通道；（需提供产品彩页或产品说明书佐证）</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2.具备≥20个治疗程序；</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3.支持用户使用电脑PC端编辑自定义治疗程序；</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4.治疗处方需包含频率80Hz和100Hz的Tens程序，用于临床止疼；</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5.治疗处方需包含频率1Hz的去肌肉张力的程序，用于神经活性诊断；</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6.需具备调频TENS、调脉宽TENS治疗程序，防止肌肉产生治疗疲劳；</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7.需具备运动点笔诊断处方；</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8.需具备协同/拮抗肌同时训练的程序；</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F122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7A4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62F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9.具备电极片贴片位置及患者治疗体位示意图；</w:t>
            </w:r>
          </w:p>
        </w:tc>
        <w:tc>
          <w:tcPr>
            <w:tcW w:w="1152" w:type="dxa"/>
            <w:tcBorders>
              <w:tl2br w:val="nil"/>
              <w:tr2bl w:val="nil"/>
            </w:tcBorders>
            <w:shd w:val="clear" w:color="auto" w:fill="auto"/>
            <w:vAlign w:val="center"/>
          </w:tcPr>
          <w:p w14:paraId="40C45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1C26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10.通过PC端创建患者信息，可记录治疗数据并导出治疗报告；</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11.电极盘与电极片采用滑扣式连接；</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12.治疗处方应具备功能描述及参数组成介绍；</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13.脉冲频率：频率1～150Hz范围内连续可调；（所投产品涵盖此范围即认定为满足该项技术要求）</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14.脉冲波形：对称双相方波；</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54F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6D1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5B19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15.脉宽：脉宽30～400μs范围内可调；（所投产品涵盖此范围即认定为满足该项技术要求）</w:t>
            </w:r>
          </w:p>
        </w:tc>
        <w:tc>
          <w:tcPr>
            <w:tcW w:w="1152" w:type="dxa"/>
            <w:tcBorders>
              <w:tl2br w:val="nil"/>
              <w:tr2bl w:val="nil"/>
            </w:tcBorders>
            <w:shd w:val="clear" w:color="auto" w:fill="auto"/>
            <w:vAlign w:val="center"/>
          </w:tcPr>
          <w:p w14:paraId="2A5F8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45396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4D17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B01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16.脉冲强度：0～120mA范围可调；（所投产品涵盖此范围即认定为满足该项技术要求）</w:t>
            </w:r>
          </w:p>
        </w:tc>
        <w:tc>
          <w:tcPr>
            <w:tcW w:w="1152" w:type="dxa"/>
            <w:tcBorders>
              <w:tl2br w:val="nil"/>
              <w:tr2bl w:val="nil"/>
            </w:tcBorders>
            <w:shd w:val="clear" w:color="auto" w:fill="auto"/>
            <w:vAlign w:val="center"/>
          </w:tcPr>
          <w:p w14:paraId="02697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6524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73B12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B142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17.脉冲强度增量：最小增量≤0.3mA</w:t>
            </w:r>
          </w:p>
        </w:tc>
        <w:tc>
          <w:tcPr>
            <w:tcW w:w="1152" w:type="dxa"/>
            <w:tcBorders>
              <w:tl2br w:val="nil"/>
              <w:tr2bl w:val="nil"/>
            </w:tcBorders>
            <w:shd w:val="clear" w:color="auto" w:fill="auto"/>
            <w:vAlign w:val="center"/>
          </w:tcPr>
          <w:p w14:paraId="47404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751E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CBA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BF4D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18.单脉冲电量：最大电荷量（每脉冲）≥96微库伦；（需提供产品彩页或产品说明书佐证）</w:t>
            </w:r>
          </w:p>
        </w:tc>
        <w:tc>
          <w:tcPr>
            <w:tcW w:w="1152" w:type="dxa"/>
            <w:tcBorders>
              <w:tl2br w:val="nil"/>
              <w:tr2bl w:val="nil"/>
            </w:tcBorders>
            <w:shd w:val="clear" w:color="auto" w:fill="auto"/>
            <w:vAlign w:val="center"/>
          </w:tcPr>
          <w:p w14:paraId="243FA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642837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1BC40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718C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19.恒压恒流：恒电流模式；</w:t>
            </w:r>
          </w:p>
        </w:tc>
        <w:tc>
          <w:tcPr>
            <w:tcW w:w="1152" w:type="dxa"/>
            <w:tcBorders>
              <w:tl2br w:val="nil"/>
              <w:tr2bl w:val="nil"/>
            </w:tcBorders>
            <w:shd w:val="clear" w:color="auto" w:fill="auto"/>
            <w:vAlign w:val="center"/>
          </w:tcPr>
          <w:p w14:paraId="61EF4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32F57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4634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BAB90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20.治疗时间：治疗时间1～240min范围内可调；（所投产品涵盖此范围即认定为满足该项技术要求）</w:t>
            </w:r>
          </w:p>
        </w:tc>
        <w:tc>
          <w:tcPr>
            <w:tcW w:w="1152" w:type="dxa"/>
            <w:tcBorders>
              <w:tl2br w:val="nil"/>
              <w:tr2bl w:val="nil"/>
            </w:tcBorders>
            <w:shd w:val="clear" w:color="auto" w:fill="auto"/>
            <w:vAlign w:val="center"/>
          </w:tcPr>
          <w:p w14:paraId="64DB1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2F414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57F6B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515C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21.体积重量：产品体积≤2×10⁴cm³；设备净重≤3Kg；</w:t>
            </w:r>
          </w:p>
        </w:tc>
        <w:tc>
          <w:tcPr>
            <w:tcW w:w="1152" w:type="dxa"/>
            <w:tcBorders>
              <w:tl2br w:val="nil"/>
              <w:tr2bl w:val="nil"/>
            </w:tcBorders>
            <w:shd w:val="clear" w:color="auto" w:fill="auto"/>
            <w:vAlign w:val="center"/>
          </w:tcPr>
          <w:p w14:paraId="64E1F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7304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5B51A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6E620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22.连接方式：电极盘和遥控器采用无线连接；</w:t>
            </w:r>
          </w:p>
        </w:tc>
        <w:tc>
          <w:tcPr>
            <w:tcW w:w="1152" w:type="dxa"/>
            <w:tcBorders>
              <w:tl2br w:val="nil"/>
              <w:tr2bl w:val="nil"/>
            </w:tcBorders>
            <w:shd w:val="clear" w:color="auto" w:fill="auto"/>
            <w:vAlign w:val="center"/>
          </w:tcPr>
          <w:p w14:paraId="035BC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53923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6632C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980D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23.程序架构为不少于两种程序架构。至少包含：(1）三个程序序列：预热、运行、放松；(2）带一个连续序列的程序；</w:t>
            </w:r>
          </w:p>
        </w:tc>
        <w:tc>
          <w:tcPr>
            <w:tcW w:w="1152" w:type="dxa"/>
            <w:tcBorders>
              <w:tl2br w:val="nil"/>
              <w:tr2bl w:val="nil"/>
            </w:tcBorders>
            <w:shd w:val="clear" w:color="auto" w:fill="auto"/>
            <w:vAlign w:val="center"/>
          </w:tcPr>
          <w:p w14:paraId="59561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9BDB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80AD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D6E8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24.具备肌肉智能技术，可实现优化电刺激参数功能；</w:t>
            </w:r>
          </w:p>
        </w:tc>
        <w:tc>
          <w:tcPr>
            <w:tcW w:w="1152" w:type="dxa"/>
            <w:tcBorders>
              <w:tl2br w:val="nil"/>
              <w:tr2bl w:val="nil"/>
            </w:tcBorders>
            <w:shd w:val="clear" w:color="auto" w:fill="auto"/>
            <w:vAlign w:val="center"/>
          </w:tcPr>
          <w:p w14:paraId="465D3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8BB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023F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DDC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25.需具备精准定位运动点笔；（需提供产品彩页或产品说明书佐证）</w:t>
            </w:r>
          </w:p>
        </w:tc>
        <w:tc>
          <w:tcPr>
            <w:tcW w:w="1152" w:type="dxa"/>
            <w:tcBorders>
              <w:tl2br w:val="nil"/>
              <w:tr2bl w:val="nil"/>
            </w:tcBorders>
            <w:shd w:val="clear" w:color="auto" w:fill="auto"/>
            <w:vAlign w:val="center"/>
          </w:tcPr>
          <w:p w14:paraId="3E8AFD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w:t>
            </w:r>
          </w:p>
        </w:tc>
      </w:tr>
      <w:tr w14:paraId="6A2716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B60D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04AF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26.具备+Tens功能，进行肌肉训练时可使用+Tens功能缓解患者疼痛；（需提供产品彩页或产品说明书佐证）</w:t>
            </w:r>
          </w:p>
        </w:tc>
        <w:tc>
          <w:tcPr>
            <w:tcW w:w="1152" w:type="dxa"/>
            <w:tcBorders>
              <w:tl2br w:val="nil"/>
              <w:tr2bl w:val="nil"/>
            </w:tcBorders>
            <w:shd w:val="clear" w:color="auto" w:fill="auto"/>
            <w:vAlign w:val="center"/>
          </w:tcPr>
          <w:p w14:paraId="5AE5F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1536F6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7330D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3E5F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27.屏幕：QVGA全彩液晶屏；</w:t>
            </w:r>
          </w:p>
        </w:tc>
        <w:tc>
          <w:tcPr>
            <w:tcW w:w="1152" w:type="dxa"/>
            <w:tcBorders>
              <w:tl2br w:val="nil"/>
              <w:tr2bl w:val="nil"/>
            </w:tcBorders>
            <w:shd w:val="clear" w:color="auto" w:fill="auto"/>
            <w:vAlign w:val="center"/>
          </w:tcPr>
          <w:p w14:paraId="5AC1E6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AFFD0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857B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9E02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28.底座：具有智能拓展充电底座；</w:t>
            </w:r>
          </w:p>
        </w:tc>
        <w:tc>
          <w:tcPr>
            <w:tcW w:w="1152" w:type="dxa"/>
            <w:tcBorders>
              <w:tl2br w:val="nil"/>
              <w:tr2bl w:val="nil"/>
            </w:tcBorders>
            <w:shd w:val="clear" w:color="auto" w:fill="auto"/>
            <w:vAlign w:val="center"/>
          </w:tcPr>
          <w:p w14:paraId="071DFA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57429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31E4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7120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29.电池：采用可充电锂电池；</w:t>
            </w:r>
          </w:p>
        </w:tc>
        <w:tc>
          <w:tcPr>
            <w:tcW w:w="1152" w:type="dxa"/>
            <w:tcBorders>
              <w:tl2br w:val="nil"/>
              <w:tr2bl w:val="nil"/>
            </w:tcBorders>
            <w:shd w:val="clear" w:color="auto" w:fill="auto"/>
            <w:vAlign w:val="center"/>
          </w:tcPr>
          <w:p w14:paraId="52C3C4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CB14D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62E26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DC9D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30.设备可智能扫描肌肉活性，自动匹配最佳脉宽等参数；</w:t>
            </w:r>
          </w:p>
        </w:tc>
        <w:tc>
          <w:tcPr>
            <w:tcW w:w="1152" w:type="dxa"/>
            <w:tcBorders>
              <w:tl2br w:val="nil"/>
              <w:tr2bl w:val="nil"/>
            </w:tcBorders>
            <w:shd w:val="clear" w:color="auto" w:fill="auto"/>
            <w:vAlign w:val="center"/>
          </w:tcPr>
          <w:p w14:paraId="2EE504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66201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23B86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424F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31.设备具备智能识别患者肌肉收缩状态功能，能自动触发电刺激进行肌肉强直收缩；</w:t>
            </w:r>
          </w:p>
        </w:tc>
        <w:tc>
          <w:tcPr>
            <w:tcW w:w="1152" w:type="dxa"/>
            <w:tcBorders>
              <w:tl2br w:val="nil"/>
              <w:tr2bl w:val="nil"/>
            </w:tcBorders>
            <w:shd w:val="clear" w:color="auto" w:fill="auto"/>
            <w:vAlign w:val="center"/>
          </w:tcPr>
          <w:p w14:paraId="58510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4FAC13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247F0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2464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32.设备能智能识别Tens模式下的肌肉抖动，自动降低Tens治疗强度，保证患者安全；</w:t>
            </w:r>
          </w:p>
        </w:tc>
        <w:tc>
          <w:tcPr>
            <w:tcW w:w="1152" w:type="dxa"/>
            <w:tcBorders>
              <w:tl2br w:val="nil"/>
              <w:tr2bl w:val="nil"/>
            </w:tcBorders>
            <w:shd w:val="clear" w:color="auto" w:fill="auto"/>
            <w:vAlign w:val="center"/>
          </w:tcPr>
          <w:p w14:paraId="3E37A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bl>
    <w:p w14:paraId="5C6ED557">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3FEAC7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4C027380">
      <w:pPr>
        <w:rPr>
          <w:rFonts w:hint="eastAsia" w:asciiTheme="majorEastAsia" w:hAnsiTheme="majorEastAsia" w:eastAsiaTheme="majorEastAsia" w:cstheme="majorEastAsia"/>
          <w:kern w:val="2"/>
          <w:sz w:val="32"/>
          <w:szCs w:val="32"/>
          <w:lang w:val="en-US" w:eastAsia="zh-CN" w:bidi="ar-SA"/>
        </w:rPr>
      </w:pPr>
    </w:p>
    <w:p w14:paraId="6667CA01">
      <w:pPr>
        <w:rPr>
          <w:rFonts w:hint="eastAsia" w:asciiTheme="majorEastAsia" w:hAnsiTheme="majorEastAsia" w:eastAsiaTheme="majorEastAsia" w:cstheme="majorEastAsia"/>
          <w:kern w:val="2"/>
          <w:sz w:val="32"/>
          <w:szCs w:val="32"/>
          <w:lang w:val="en-US" w:eastAsia="zh-CN" w:bidi="ar-SA"/>
        </w:rPr>
      </w:pPr>
    </w:p>
    <w:p w14:paraId="5BC111C3">
      <w:pPr>
        <w:rPr>
          <w:rFonts w:hint="eastAsia" w:asciiTheme="majorEastAsia" w:hAnsiTheme="majorEastAsia" w:eastAsiaTheme="majorEastAsia" w:cstheme="majorEastAsia"/>
          <w:kern w:val="2"/>
          <w:sz w:val="32"/>
          <w:szCs w:val="32"/>
          <w:lang w:val="en-US" w:eastAsia="zh-CN" w:bidi="ar-SA"/>
        </w:rPr>
      </w:pPr>
    </w:p>
    <w:p w14:paraId="29404E35">
      <w:pPr>
        <w:rPr>
          <w:rFonts w:hint="default" w:asciiTheme="majorEastAsia" w:hAnsiTheme="majorEastAsia" w:eastAsiaTheme="majorEastAsia" w:cstheme="majorEastAsia"/>
          <w:kern w:val="2"/>
          <w:sz w:val="32"/>
          <w:szCs w:val="32"/>
          <w:lang w:val="en-US" w:eastAsia="zh-CN" w:bidi="ar-SA"/>
        </w:rPr>
      </w:pPr>
    </w:p>
    <w:p w14:paraId="3F285F35">
      <w:pPr>
        <w:rPr>
          <w:rFonts w:hint="default" w:asciiTheme="majorEastAsia" w:hAnsiTheme="majorEastAsia" w:eastAsiaTheme="majorEastAsia" w:cstheme="majorEastAsia"/>
          <w:kern w:val="2"/>
          <w:sz w:val="32"/>
          <w:szCs w:val="32"/>
          <w:lang w:val="en-US" w:eastAsia="zh-CN" w:bidi="ar-SA"/>
        </w:rPr>
      </w:pPr>
    </w:p>
    <w:p w14:paraId="35A3E053">
      <w:pPr>
        <w:rPr>
          <w:rFonts w:hint="eastAsia" w:asciiTheme="majorEastAsia" w:hAnsiTheme="majorEastAsia" w:eastAsiaTheme="majorEastAsia" w:cstheme="majorEastAsia"/>
          <w:kern w:val="2"/>
          <w:sz w:val="32"/>
          <w:szCs w:val="32"/>
          <w:lang w:val="en-US" w:eastAsia="zh-CN" w:bidi="ar-SA"/>
        </w:rPr>
      </w:pPr>
    </w:p>
    <w:p w14:paraId="43DB7643">
      <w:pPr>
        <w:rPr>
          <w:rFonts w:hint="eastAsia" w:asciiTheme="majorEastAsia" w:hAnsiTheme="majorEastAsia" w:eastAsiaTheme="majorEastAsia" w:cstheme="majorEastAsia"/>
          <w:kern w:val="2"/>
          <w:sz w:val="32"/>
          <w:szCs w:val="32"/>
          <w:lang w:val="en-US" w:eastAsia="zh-CN" w:bidi="ar-SA"/>
        </w:rPr>
      </w:pPr>
    </w:p>
    <w:p w14:paraId="4ED14367">
      <w:pPr>
        <w:rPr>
          <w:rFonts w:hint="eastAsia" w:asciiTheme="majorEastAsia" w:hAnsiTheme="majorEastAsia" w:eastAsiaTheme="majorEastAsia" w:cstheme="majorEastAsia"/>
          <w:kern w:val="2"/>
          <w:sz w:val="32"/>
          <w:szCs w:val="32"/>
          <w:lang w:val="en-US" w:eastAsia="zh-CN" w:bidi="ar-SA"/>
        </w:rPr>
      </w:pPr>
    </w:p>
    <w:p w14:paraId="1079FDE3">
      <w:pPr>
        <w:rPr>
          <w:rFonts w:hint="eastAsia" w:asciiTheme="majorEastAsia" w:hAnsiTheme="majorEastAsia" w:eastAsiaTheme="majorEastAsia" w:cstheme="majorEastAsia"/>
          <w:kern w:val="2"/>
          <w:sz w:val="32"/>
          <w:szCs w:val="32"/>
          <w:lang w:val="en-US" w:eastAsia="zh-CN" w:bidi="ar-SA"/>
        </w:rPr>
      </w:pPr>
    </w:p>
    <w:p w14:paraId="66CD6928">
      <w:pPr>
        <w:rPr>
          <w:rFonts w:hint="eastAsia" w:asciiTheme="majorEastAsia" w:hAnsiTheme="majorEastAsia" w:eastAsiaTheme="majorEastAsia" w:cstheme="majorEastAsia"/>
          <w:kern w:val="2"/>
          <w:sz w:val="32"/>
          <w:szCs w:val="32"/>
          <w:lang w:val="en-US" w:eastAsia="zh-CN" w:bidi="ar-SA"/>
        </w:rPr>
      </w:pPr>
    </w:p>
    <w:p w14:paraId="1E0612BC">
      <w:pPr>
        <w:rPr>
          <w:rFonts w:hint="eastAsia" w:asciiTheme="majorEastAsia" w:hAnsiTheme="majorEastAsia" w:eastAsiaTheme="majorEastAsia" w:cstheme="majorEastAsia"/>
          <w:kern w:val="2"/>
          <w:sz w:val="32"/>
          <w:szCs w:val="32"/>
          <w:lang w:val="en-US" w:eastAsia="zh-CN" w:bidi="ar-SA"/>
        </w:rPr>
      </w:pPr>
    </w:p>
    <w:p w14:paraId="20B8D834">
      <w:pPr>
        <w:rPr>
          <w:rFonts w:hint="eastAsia" w:asciiTheme="majorEastAsia" w:hAnsiTheme="majorEastAsia" w:eastAsiaTheme="majorEastAsia" w:cstheme="majorEastAsia"/>
          <w:kern w:val="2"/>
          <w:sz w:val="32"/>
          <w:szCs w:val="32"/>
          <w:lang w:val="en-US" w:eastAsia="zh-CN" w:bidi="ar-SA"/>
        </w:rPr>
      </w:pPr>
    </w:p>
    <w:p w14:paraId="12767FBF">
      <w:pPr>
        <w:rPr>
          <w:rFonts w:hint="eastAsia" w:asciiTheme="majorEastAsia" w:hAnsiTheme="majorEastAsia" w:eastAsiaTheme="majorEastAsia" w:cstheme="majorEastAsia"/>
          <w:kern w:val="2"/>
          <w:sz w:val="32"/>
          <w:szCs w:val="32"/>
          <w:lang w:val="en-US" w:eastAsia="zh-CN" w:bidi="ar-SA"/>
        </w:rPr>
      </w:pPr>
    </w:p>
    <w:p w14:paraId="75FC07A7">
      <w:pPr>
        <w:rPr>
          <w:rFonts w:hint="eastAsia" w:asciiTheme="majorEastAsia" w:hAnsiTheme="majorEastAsia" w:eastAsiaTheme="majorEastAsia" w:cstheme="majorEastAsia"/>
          <w:kern w:val="2"/>
          <w:sz w:val="32"/>
          <w:szCs w:val="32"/>
          <w:lang w:val="en-US" w:eastAsia="zh-CN" w:bidi="ar-SA"/>
        </w:rPr>
      </w:pPr>
    </w:p>
    <w:p w14:paraId="4F6CB149">
      <w:pPr>
        <w:rPr>
          <w:rFonts w:hint="eastAsia" w:asciiTheme="majorEastAsia" w:hAnsiTheme="majorEastAsia" w:eastAsiaTheme="majorEastAsia" w:cstheme="majorEastAsia"/>
          <w:kern w:val="2"/>
          <w:sz w:val="32"/>
          <w:szCs w:val="32"/>
          <w:lang w:val="en-US" w:eastAsia="zh-CN" w:bidi="ar-SA"/>
        </w:rPr>
      </w:pPr>
    </w:p>
    <w:p w14:paraId="0BAB0DD3">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5209"/>
      <w:bookmarkStart w:id="15" w:name="_Toc1988"/>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4800"/>
      <w:bookmarkStart w:id="18" w:name="_Toc8080"/>
      <w:bookmarkStart w:id="19" w:name="_Toc1246"/>
      <w:bookmarkStart w:id="20" w:name="_Toc435515292"/>
      <w:bookmarkStart w:id="21" w:name="_Toc435514852"/>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2031"/>
      <w:bookmarkStart w:id="32" w:name="_Toc275865611"/>
      <w:bookmarkStart w:id="33" w:name="_Toc6350"/>
      <w:bookmarkStart w:id="34" w:name="_Toc435515306"/>
      <w:bookmarkStart w:id="35" w:name="_Toc192662843"/>
      <w:bookmarkStart w:id="36" w:name="_Toc435514866"/>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0322_WPSOffice_Level1"/>
      <w:bookmarkStart w:id="38" w:name="_Toc1762"/>
      <w:bookmarkStart w:id="39" w:name="_Toc24434"/>
      <w:bookmarkStart w:id="40" w:name="_Toc435514854"/>
      <w:bookmarkStart w:id="41" w:name="_Toc275865605"/>
      <w:bookmarkStart w:id="42" w:name="_Toc43551529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4855"/>
      <w:bookmarkStart w:id="44" w:name="_Toc4649"/>
      <w:bookmarkStart w:id="45" w:name="_Toc24650"/>
      <w:bookmarkStart w:id="46" w:name="_Toc275865606"/>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6477"/>
      <w:bookmarkStart w:id="50" w:name="_Toc50737329"/>
      <w:bookmarkStart w:id="51" w:name="_Toc24149"/>
      <w:bookmarkStart w:id="52" w:name="_Toc50737297"/>
      <w:bookmarkStart w:id="53" w:name="_Toc435515299"/>
      <w:bookmarkStart w:id="54" w:name="_Toc27672"/>
      <w:bookmarkStart w:id="55" w:name="_Toc275865607"/>
      <w:bookmarkStart w:id="56" w:name="_Toc435514859"/>
      <w:bookmarkStart w:id="57" w:name="_Toc52165081"/>
      <w:bookmarkStart w:id="58" w:name="_Toc50737328"/>
      <w:bookmarkStart w:id="59" w:name="_Toc50736476"/>
      <w:bookmarkStart w:id="60" w:name="_Toc50691034"/>
      <w:bookmarkStart w:id="61" w:name="_Toc50737296"/>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5300"/>
      <w:bookmarkStart w:id="64" w:name="_Toc275865608"/>
      <w:bookmarkStart w:id="65" w:name="_Toc435514860"/>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2305"/>
      <w:bookmarkStart w:id="72" w:name="_Toc7126"/>
      <w:bookmarkStart w:id="73" w:name="_Toc25910"/>
      <w:bookmarkStart w:id="74" w:name="_Toc11352"/>
      <w:bookmarkStart w:id="75" w:name="_Toc777"/>
      <w:bookmarkStart w:id="76"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173553195"/>
      <w:bookmarkStart w:id="83" w:name="_Toc435515318"/>
      <w:bookmarkStart w:id="84" w:name="_Toc435514878"/>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default"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bookmarkEnd w:id="82"/>
    <w:bookmarkEnd w:id="83"/>
    <w:bookmarkEnd w:id="84"/>
    <w:bookmarkEnd w:id="85"/>
    <w:bookmarkEnd w:id="87"/>
    <w:bookmarkEnd w:id="88"/>
    <w:bookmarkEnd w:id="89"/>
    <w:bookmarkEnd w:id="90"/>
    <w:p w14:paraId="07274D8C">
      <w:pPr>
        <w:rPr>
          <w:rFonts w:hint="eastAsia"/>
          <w:lang w:val="en-US" w:eastAsia="zh-CN"/>
        </w:rPr>
      </w:pPr>
      <w:bookmarkStart w:id="91" w:name="_Toc1658"/>
      <w:bookmarkStart w:id="92" w:name="_Toc438223136"/>
      <w:bookmarkStart w:id="93" w:name="_Toc435516650"/>
      <w:bookmarkStart w:id="94" w:name="_Toc11652"/>
      <w:bookmarkStart w:id="95" w:name="_Toc435174933"/>
    </w:p>
    <w:p w14:paraId="01839AA0">
      <w:pPr>
        <w:rPr>
          <w:rFonts w:hint="eastAsia"/>
          <w:lang w:val="en-US" w:eastAsia="zh-CN"/>
        </w:rPr>
      </w:pPr>
    </w:p>
    <w:p w14:paraId="6160C6A8">
      <w:pPr>
        <w:rPr>
          <w:rFonts w:hint="eastAsia"/>
          <w:lang w:val="en-US" w:eastAsia="zh-CN"/>
        </w:rPr>
      </w:pPr>
    </w:p>
    <w:p w14:paraId="05FF164F">
      <w:pPr>
        <w:rPr>
          <w:rFonts w:hint="eastAsia"/>
          <w:lang w:val="en-US" w:eastAsia="zh-CN"/>
        </w:rPr>
      </w:pPr>
    </w:p>
    <w:p w14:paraId="3924BB1C">
      <w:pPr>
        <w:rPr>
          <w:rFonts w:hint="eastAsia"/>
          <w:lang w:val="en-US" w:eastAsia="zh-CN"/>
        </w:rPr>
      </w:pPr>
    </w:p>
    <w:p w14:paraId="765374E4">
      <w:pPr>
        <w:rPr>
          <w:rFonts w:hint="eastAsia"/>
          <w:lang w:val="en-US" w:eastAsia="zh-CN"/>
        </w:rPr>
      </w:pPr>
    </w:p>
    <w:p w14:paraId="2E12F95B">
      <w:pPr>
        <w:rPr>
          <w:rFonts w:hint="eastAsia"/>
          <w:lang w:val="en-US" w:eastAsia="zh-CN"/>
        </w:rPr>
      </w:pPr>
    </w:p>
    <w:p w14:paraId="3986F0E4">
      <w:pPr>
        <w:rPr>
          <w:rFonts w:hint="eastAsia"/>
          <w:lang w:val="en-US" w:eastAsia="zh-CN"/>
        </w:rPr>
      </w:pPr>
    </w:p>
    <w:p w14:paraId="7B2A69DA">
      <w:pPr>
        <w:rPr>
          <w:rFonts w:hint="eastAsia"/>
          <w:lang w:val="en-US" w:eastAsia="zh-CN"/>
        </w:rPr>
      </w:pPr>
    </w:p>
    <w:p w14:paraId="60E6783B">
      <w:pPr>
        <w:rPr>
          <w:rFonts w:hint="eastAsia"/>
          <w:lang w:val="en-US" w:eastAsia="zh-CN"/>
        </w:rPr>
      </w:pPr>
    </w:p>
    <w:p w14:paraId="66C19318">
      <w:pPr>
        <w:rPr>
          <w:rFonts w:hint="eastAsia"/>
          <w:lang w:val="en-US" w:eastAsia="zh-CN"/>
        </w:rPr>
      </w:pPr>
    </w:p>
    <w:p w14:paraId="77167894">
      <w:pPr>
        <w:rPr>
          <w:rFonts w:hint="eastAsia"/>
          <w:lang w:val="en-US" w:eastAsia="zh-CN"/>
        </w:rPr>
      </w:pPr>
    </w:p>
    <w:p w14:paraId="7C31674A">
      <w:pPr>
        <w:rPr>
          <w:rFonts w:hint="eastAsia"/>
          <w:lang w:val="en-US" w:eastAsia="zh-CN"/>
        </w:rPr>
      </w:pPr>
    </w:p>
    <w:p w14:paraId="4430B061">
      <w:pPr>
        <w:rPr>
          <w:rFonts w:hint="eastAsia"/>
          <w:lang w:val="en-US" w:eastAsia="zh-CN"/>
        </w:rPr>
      </w:pPr>
    </w:p>
    <w:p w14:paraId="74078B60">
      <w:pPr>
        <w:rPr>
          <w:rFonts w:hint="eastAsia"/>
          <w:lang w:val="en-US" w:eastAsia="zh-CN"/>
        </w:rPr>
      </w:pPr>
    </w:p>
    <w:p w14:paraId="46A15B1E">
      <w:pPr>
        <w:rPr>
          <w:rFonts w:hint="eastAsia"/>
          <w:lang w:val="en-US" w:eastAsia="zh-CN"/>
        </w:rPr>
      </w:pPr>
    </w:p>
    <w:p w14:paraId="50475D5C">
      <w:pPr>
        <w:rPr>
          <w:rFonts w:hint="eastAsia"/>
          <w:lang w:val="en-US" w:eastAsia="zh-CN"/>
        </w:rPr>
      </w:pPr>
    </w:p>
    <w:p w14:paraId="24550BB2">
      <w:pPr>
        <w:rPr>
          <w:rFonts w:hint="eastAsia"/>
          <w:lang w:val="en-US" w:eastAsia="zh-CN"/>
        </w:rPr>
      </w:pPr>
    </w:p>
    <w:p w14:paraId="7CADD6A8">
      <w:pPr>
        <w:rPr>
          <w:rFonts w:hint="eastAsia"/>
          <w:lang w:val="en-US" w:eastAsia="zh-CN"/>
        </w:rPr>
      </w:pPr>
    </w:p>
    <w:p w14:paraId="3AE379AE">
      <w:pPr>
        <w:rPr>
          <w:rFonts w:hint="eastAsia"/>
          <w:lang w:val="en-US" w:eastAsia="zh-CN"/>
        </w:rPr>
      </w:pPr>
    </w:p>
    <w:p w14:paraId="0DFBB981">
      <w:pPr>
        <w:rPr>
          <w:rFonts w:hint="eastAsia"/>
          <w:lang w:val="en-US" w:eastAsia="zh-CN"/>
        </w:rPr>
      </w:pPr>
    </w:p>
    <w:p w14:paraId="2874A78B">
      <w:pPr>
        <w:rPr>
          <w:rFonts w:hint="eastAsia"/>
          <w:lang w:val="en-US" w:eastAsia="zh-CN"/>
        </w:rPr>
      </w:pPr>
    </w:p>
    <w:p w14:paraId="02B6A54E">
      <w:pPr>
        <w:rPr>
          <w:rFonts w:hint="eastAsia"/>
          <w:lang w:val="en-US" w:eastAsia="zh-CN"/>
        </w:rPr>
      </w:pPr>
    </w:p>
    <w:p w14:paraId="417C402B">
      <w:pPr>
        <w:rPr>
          <w:rFonts w:hint="eastAsia"/>
          <w:lang w:val="en-US" w:eastAsia="zh-CN"/>
        </w:rPr>
      </w:pPr>
    </w:p>
    <w:p w14:paraId="22766AED">
      <w:pPr>
        <w:rPr>
          <w:rFonts w:hint="eastAsia"/>
          <w:lang w:val="en-US" w:eastAsia="zh-CN"/>
        </w:rPr>
      </w:pPr>
    </w:p>
    <w:p w14:paraId="34925213">
      <w:pPr>
        <w:rPr>
          <w:rFonts w:hint="eastAsia"/>
          <w:lang w:val="en-US" w:eastAsia="zh-CN"/>
        </w:rPr>
      </w:pPr>
    </w:p>
    <w:p w14:paraId="2373C163">
      <w:pPr>
        <w:rPr>
          <w:rFonts w:hint="eastAsia"/>
          <w:lang w:val="en-US" w:eastAsia="zh-CN"/>
        </w:rPr>
      </w:pPr>
    </w:p>
    <w:p w14:paraId="7430E413">
      <w:pPr>
        <w:rPr>
          <w:rFonts w:hint="eastAsia"/>
          <w:lang w:val="en-US" w:eastAsia="zh-CN"/>
        </w:rPr>
      </w:pPr>
    </w:p>
    <w:p w14:paraId="1AF218DC">
      <w:pPr>
        <w:rPr>
          <w:rFonts w:hint="eastAsia"/>
          <w:lang w:val="en-US" w:eastAsia="zh-CN"/>
        </w:rPr>
      </w:pPr>
    </w:p>
    <w:p w14:paraId="25B0008D">
      <w:pPr>
        <w:rPr>
          <w:rFonts w:hint="eastAsia"/>
          <w:lang w:val="en-US" w:eastAsia="zh-CN"/>
        </w:rPr>
      </w:pPr>
    </w:p>
    <w:p w14:paraId="6236D4D8">
      <w:pPr>
        <w:rPr>
          <w:rFonts w:hint="eastAsia"/>
          <w:lang w:val="en-US" w:eastAsia="zh-CN"/>
        </w:rPr>
      </w:pPr>
    </w:p>
    <w:p w14:paraId="457F6D09">
      <w:pPr>
        <w:rPr>
          <w:rFonts w:hint="eastAsia"/>
          <w:lang w:val="en-US" w:eastAsia="zh-CN"/>
        </w:rPr>
      </w:pPr>
    </w:p>
    <w:p w14:paraId="3A13A657">
      <w:pPr>
        <w:rPr>
          <w:rFonts w:hint="eastAsia"/>
          <w:lang w:val="en-US" w:eastAsia="zh-CN"/>
        </w:rPr>
      </w:pPr>
    </w:p>
    <w:p w14:paraId="440FB7F8">
      <w:pPr>
        <w:rPr>
          <w:rFonts w:hint="eastAsia"/>
          <w:lang w:val="en-US" w:eastAsia="zh-CN"/>
        </w:rPr>
      </w:pPr>
    </w:p>
    <w:p w14:paraId="563C929D">
      <w:pPr>
        <w:rPr>
          <w:rFonts w:hint="eastAsia"/>
          <w:lang w:val="en-US" w:eastAsia="zh-CN"/>
        </w:rPr>
      </w:pPr>
    </w:p>
    <w:p w14:paraId="1A933B1C">
      <w:pPr>
        <w:rPr>
          <w:rFonts w:hint="eastAsia"/>
          <w:lang w:val="en-US" w:eastAsia="zh-CN"/>
        </w:rPr>
      </w:pPr>
    </w:p>
    <w:p w14:paraId="29A89262">
      <w:pPr>
        <w:rPr>
          <w:rFonts w:hint="eastAsia"/>
          <w:lang w:val="en-US" w:eastAsia="zh-CN"/>
        </w:rPr>
      </w:pPr>
    </w:p>
    <w:p w14:paraId="17BD064E">
      <w:pPr>
        <w:rPr>
          <w:rFonts w:hint="eastAsia"/>
          <w:lang w:val="en-US" w:eastAsia="zh-CN"/>
        </w:rPr>
      </w:pPr>
    </w:p>
    <w:p w14:paraId="79979A95">
      <w:pPr>
        <w:rPr>
          <w:rFonts w:hint="eastAsia"/>
          <w:lang w:val="en-US" w:eastAsia="zh-CN"/>
        </w:rPr>
      </w:pPr>
    </w:p>
    <w:p w14:paraId="6BCEC9D5">
      <w:pPr>
        <w:rPr>
          <w:rFonts w:hint="eastAsia"/>
          <w:lang w:val="en-US" w:eastAsia="zh-CN"/>
        </w:rPr>
      </w:pPr>
    </w:p>
    <w:p w14:paraId="0D842D59">
      <w:pPr>
        <w:rPr>
          <w:rFonts w:hint="eastAsia"/>
          <w:lang w:val="en-US" w:eastAsia="zh-CN"/>
        </w:rPr>
      </w:pPr>
    </w:p>
    <w:p w14:paraId="660F3520">
      <w:pPr>
        <w:rPr>
          <w:rFonts w:hint="eastAsia"/>
          <w:lang w:val="en-US" w:eastAsia="zh-CN"/>
        </w:rPr>
      </w:pPr>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435174935"/>
      <w:bookmarkStart w:id="107" w:name="_Toc15510"/>
      <w:bookmarkStart w:id="108" w:name="_Toc22222"/>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516653"/>
      <w:bookmarkStart w:id="120" w:name="_Toc435174936"/>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25732EA9">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5174938"/>
      <w:bookmarkStart w:id="129" w:name="_Toc435516655"/>
      <w:bookmarkStart w:id="130" w:name="_Toc20050"/>
      <w:bookmarkStart w:id="131" w:name="_Toc438223141"/>
      <w:bookmarkStart w:id="132" w:name="_Toc6704"/>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E2D6EA-9A7E-41C4-9749-8BF9086A9976}"/>
  </w:font>
  <w:font w:name="黑体">
    <w:panose1 w:val="02010609060101010101"/>
    <w:charset w:val="86"/>
    <w:family w:val="auto"/>
    <w:pitch w:val="default"/>
    <w:sig w:usb0="800002BF" w:usb1="38CF7CFA" w:usb2="00000016" w:usb3="00000000" w:csb0="00040001" w:csb1="00000000"/>
    <w:embedRegular r:id="rId2" w:fontKey="{7D736D95-7109-40F1-A8DF-A9F77CF01F97}"/>
  </w:font>
  <w:font w:name="Courier New">
    <w:panose1 w:val="02070309020205020404"/>
    <w:charset w:val="01"/>
    <w:family w:val="modern"/>
    <w:pitch w:val="default"/>
    <w:sig w:usb0="E0002EFF" w:usb1="C0007843" w:usb2="00000009" w:usb3="00000000" w:csb0="400001FF" w:csb1="FFFF0000"/>
    <w:embedRegular r:id="rId3" w:fontKey="{400F58B5-D53D-4C83-8CB2-C17B35D1A1F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ED97D00-15C8-460D-9975-F6ED51C06198}"/>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0D1A6ACE-8C53-4B87-9D0C-F22AE5D7FE91}"/>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6447CBF1-B9A4-4B5B-AF92-A4BF0C643613}"/>
  </w:font>
  <w:font w:name="Wingdings 2">
    <w:panose1 w:val="05020102010507070707"/>
    <w:charset w:val="00"/>
    <w:family w:val="auto"/>
    <w:pitch w:val="default"/>
    <w:sig w:usb0="00000000" w:usb1="00000000" w:usb2="00000000" w:usb3="00000000" w:csb0="80000000" w:csb1="00000000"/>
    <w:embedRegular r:id="rId7" w:fontKey="{AFA2C59B-3CD0-4580-A9B5-7384E6204E01}"/>
  </w:font>
  <w:font w:name="方正仿宋_GBK">
    <w:altName w:val="微软雅黑"/>
    <w:panose1 w:val="00000000000000000000"/>
    <w:charset w:val="86"/>
    <w:family w:val="auto"/>
    <w:pitch w:val="default"/>
    <w:sig w:usb0="00000000" w:usb1="00000000" w:usb2="00000000" w:usb3="00000000" w:csb0="00040000" w:csb1="00000000"/>
    <w:embedRegular r:id="rId8" w:fontKey="{861F4114-944C-45A1-A12B-9338B57ABF88}"/>
  </w:font>
  <w:font w:name="楷体_GB2312">
    <w:altName w:val="楷体"/>
    <w:panose1 w:val="00000000000000000000"/>
    <w:charset w:val="00"/>
    <w:family w:val="auto"/>
    <w:pitch w:val="default"/>
    <w:sig w:usb0="00000000" w:usb1="00000000" w:usb2="00000000" w:usb3="00000000" w:csb0="00000000" w:csb1="00000000"/>
    <w:embedRegular r:id="rId9" w:fontKey="{A81061D7-9CF2-442D-8CA3-5BB86929C188}"/>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72DF1C9A-3306-49DB-9417-D0ADA0C26090}"/>
  </w:font>
  <w:font w:name="方正小标宋简体">
    <w:panose1 w:val="02010600010101010101"/>
    <w:charset w:val="86"/>
    <w:family w:val="auto"/>
    <w:pitch w:val="default"/>
    <w:sig w:usb0="00000001" w:usb1="080E0000" w:usb2="00000000" w:usb3="00000000" w:csb0="00040000" w:csb1="00000000"/>
    <w:embedRegular r:id="rId11" w:fontKey="{E86A6408-A9B7-48C1-ADC0-4C9BD31BD776}"/>
  </w:font>
  <w:font w:name="方正小标宋_GBK">
    <w:panose1 w:val="02000000000000000000"/>
    <w:charset w:val="86"/>
    <w:family w:val="auto"/>
    <w:pitch w:val="default"/>
    <w:sig w:usb0="A00002BF" w:usb1="38CF7CFA" w:usb2="00082016" w:usb3="00000000" w:csb0="00040001" w:csb1="00000000"/>
    <w:embedRegular r:id="rId12" w:fontKey="{E654B940-4391-4FA4-A652-F777CE19A09D}"/>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1E1CC9"/>
    <w:rsid w:val="034B4BE6"/>
    <w:rsid w:val="03D86CBB"/>
    <w:rsid w:val="0407590C"/>
    <w:rsid w:val="046F3F65"/>
    <w:rsid w:val="047E7636"/>
    <w:rsid w:val="05830AC6"/>
    <w:rsid w:val="05C7701E"/>
    <w:rsid w:val="05E163D0"/>
    <w:rsid w:val="06A974F2"/>
    <w:rsid w:val="0729050F"/>
    <w:rsid w:val="0744295F"/>
    <w:rsid w:val="075E2523"/>
    <w:rsid w:val="07FB70D8"/>
    <w:rsid w:val="080655EC"/>
    <w:rsid w:val="0861098D"/>
    <w:rsid w:val="098008CA"/>
    <w:rsid w:val="09A06388"/>
    <w:rsid w:val="0B89451B"/>
    <w:rsid w:val="0C415C2B"/>
    <w:rsid w:val="0C775C71"/>
    <w:rsid w:val="0CA95AF4"/>
    <w:rsid w:val="0D2F59DD"/>
    <w:rsid w:val="0DD34C1E"/>
    <w:rsid w:val="0F2B57C3"/>
    <w:rsid w:val="0F3833E7"/>
    <w:rsid w:val="0FEF647A"/>
    <w:rsid w:val="113F716A"/>
    <w:rsid w:val="11547CE6"/>
    <w:rsid w:val="11A46535"/>
    <w:rsid w:val="12DD6F01"/>
    <w:rsid w:val="12EC5AC1"/>
    <w:rsid w:val="13251FF4"/>
    <w:rsid w:val="133438E9"/>
    <w:rsid w:val="14103048"/>
    <w:rsid w:val="14BB18F8"/>
    <w:rsid w:val="15E056F0"/>
    <w:rsid w:val="165B02D3"/>
    <w:rsid w:val="16E878A8"/>
    <w:rsid w:val="16FD7F75"/>
    <w:rsid w:val="17422DCB"/>
    <w:rsid w:val="17BE6A0B"/>
    <w:rsid w:val="17C0574B"/>
    <w:rsid w:val="182D25C2"/>
    <w:rsid w:val="187C40C2"/>
    <w:rsid w:val="18CD0295"/>
    <w:rsid w:val="18D1626C"/>
    <w:rsid w:val="19C34D79"/>
    <w:rsid w:val="19E23181"/>
    <w:rsid w:val="1A2A0151"/>
    <w:rsid w:val="1AF57CC6"/>
    <w:rsid w:val="1BCD1BBD"/>
    <w:rsid w:val="1CB04F5A"/>
    <w:rsid w:val="1CF04135"/>
    <w:rsid w:val="1D0B2FB0"/>
    <w:rsid w:val="1E1B7543"/>
    <w:rsid w:val="1E287231"/>
    <w:rsid w:val="1FB10D31"/>
    <w:rsid w:val="201B5E8D"/>
    <w:rsid w:val="20533A26"/>
    <w:rsid w:val="205729C5"/>
    <w:rsid w:val="20B61DE1"/>
    <w:rsid w:val="20FE7400"/>
    <w:rsid w:val="210D20DA"/>
    <w:rsid w:val="21307DB2"/>
    <w:rsid w:val="220311B7"/>
    <w:rsid w:val="22E70F8C"/>
    <w:rsid w:val="22F35ED1"/>
    <w:rsid w:val="230949B3"/>
    <w:rsid w:val="231B2B24"/>
    <w:rsid w:val="239F6B5C"/>
    <w:rsid w:val="23C063DE"/>
    <w:rsid w:val="24106E72"/>
    <w:rsid w:val="24487A08"/>
    <w:rsid w:val="24BE1867"/>
    <w:rsid w:val="25DE2164"/>
    <w:rsid w:val="262C78E7"/>
    <w:rsid w:val="268564DD"/>
    <w:rsid w:val="26A900A8"/>
    <w:rsid w:val="271324B7"/>
    <w:rsid w:val="274550D1"/>
    <w:rsid w:val="275859A0"/>
    <w:rsid w:val="27BB7CDD"/>
    <w:rsid w:val="29833AC2"/>
    <w:rsid w:val="2A786D8D"/>
    <w:rsid w:val="2A802951"/>
    <w:rsid w:val="2B4C1378"/>
    <w:rsid w:val="2BE90BA6"/>
    <w:rsid w:val="2C150838"/>
    <w:rsid w:val="2C3E49FC"/>
    <w:rsid w:val="2D18339C"/>
    <w:rsid w:val="2D8D5C78"/>
    <w:rsid w:val="2EE67D35"/>
    <w:rsid w:val="2F623005"/>
    <w:rsid w:val="2F807931"/>
    <w:rsid w:val="3153125F"/>
    <w:rsid w:val="315F792B"/>
    <w:rsid w:val="32674CE9"/>
    <w:rsid w:val="32BB4225"/>
    <w:rsid w:val="33EC55F9"/>
    <w:rsid w:val="348651FA"/>
    <w:rsid w:val="34FE4919"/>
    <w:rsid w:val="35294DAE"/>
    <w:rsid w:val="355369E9"/>
    <w:rsid w:val="35F51174"/>
    <w:rsid w:val="35F76384"/>
    <w:rsid w:val="364E3EA8"/>
    <w:rsid w:val="366D7269"/>
    <w:rsid w:val="36865435"/>
    <w:rsid w:val="37206CBB"/>
    <w:rsid w:val="37743C09"/>
    <w:rsid w:val="37753A04"/>
    <w:rsid w:val="38AA1DD4"/>
    <w:rsid w:val="38E30E42"/>
    <w:rsid w:val="38EF30F5"/>
    <w:rsid w:val="3B273268"/>
    <w:rsid w:val="3C844841"/>
    <w:rsid w:val="3D626DA6"/>
    <w:rsid w:val="3E896739"/>
    <w:rsid w:val="3ED82EA8"/>
    <w:rsid w:val="3F951D49"/>
    <w:rsid w:val="3FB3156E"/>
    <w:rsid w:val="3FF9372A"/>
    <w:rsid w:val="4000052B"/>
    <w:rsid w:val="40624EF6"/>
    <w:rsid w:val="41B77024"/>
    <w:rsid w:val="437A1489"/>
    <w:rsid w:val="45FD1696"/>
    <w:rsid w:val="46614FB8"/>
    <w:rsid w:val="480F755D"/>
    <w:rsid w:val="486B29D8"/>
    <w:rsid w:val="48C4659A"/>
    <w:rsid w:val="48DB3851"/>
    <w:rsid w:val="494A4D03"/>
    <w:rsid w:val="49F56077"/>
    <w:rsid w:val="4A4B30A6"/>
    <w:rsid w:val="4BA80704"/>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6465A8"/>
    <w:rsid w:val="54707634"/>
    <w:rsid w:val="548605A3"/>
    <w:rsid w:val="55223429"/>
    <w:rsid w:val="55301E37"/>
    <w:rsid w:val="564156CE"/>
    <w:rsid w:val="5703767D"/>
    <w:rsid w:val="570C231F"/>
    <w:rsid w:val="57641802"/>
    <w:rsid w:val="58EB2CD9"/>
    <w:rsid w:val="592204BC"/>
    <w:rsid w:val="5B0F6FF4"/>
    <w:rsid w:val="5D045FFD"/>
    <w:rsid w:val="5DAE1F62"/>
    <w:rsid w:val="5DED21E0"/>
    <w:rsid w:val="5DFC0378"/>
    <w:rsid w:val="5E533026"/>
    <w:rsid w:val="5F7F1015"/>
    <w:rsid w:val="5F8F74AA"/>
    <w:rsid w:val="603040BD"/>
    <w:rsid w:val="61131A15"/>
    <w:rsid w:val="63DA5557"/>
    <w:rsid w:val="651F6AF8"/>
    <w:rsid w:val="6591642E"/>
    <w:rsid w:val="65AF2FC0"/>
    <w:rsid w:val="664D7777"/>
    <w:rsid w:val="66FB3482"/>
    <w:rsid w:val="672B148E"/>
    <w:rsid w:val="6773695A"/>
    <w:rsid w:val="67775E34"/>
    <w:rsid w:val="67B840B0"/>
    <w:rsid w:val="68921DB9"/>
    <w:rsid w:val="69D81A4D"/>
    <w:rsid w:val="69EE0DB5"/>
    <w:rsid w:val="6A507835"/>
    <w:rsid w:val="6B1E5ABE"/>
    <w:rsid w:val="6B7258C3"/>
    <w:rsid w:val="6B9D7D0A"/>
    <w:rsid w:val="6CA908B2"/>
    <w:rsid w:val="6D6134B1"/>
    <w:rsid w:val="6EF015E7"/>
    <w:rsid w:val="6FA3559F"/>
    <w:rsid w:val="700B526E"/>
    <w:rsid w:val="70497201"/>
    <w:rsid w:val="7083201C"/>
    <w:rsid w:val="708A7E9A"/>
    <w:rsid w:val="70A95EF1"/>
    <w:rsid w:val="70C67989"/>
    <w:rsid w:val="72207836"/>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5239</Words>
  <Characters>5497</Characters>
  <Lines>1</Lines>
  <Paragraphs>1</Paragraphs>
  <TotalTime>180</TotalTime>
  <ScaleCrop>false</ScaleCrop>
  <LinksUpToDate>false</LinksUpToDate>
  <CharactersWithSpaces>5867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2026-05-26T02:07:37Z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B3D225EBDC6549F98A684C8B811D3452_13</vt:lpwstr>
  </property>
  <property fmtid="{D5CDD505-2E9C-101B-9397-08002B2CF9AE}" pid="4" name="KSOTemplateDocerSaveRecord">
    <vt:lpwstr>eyJoZGlkIjoiM2EyNDYyYmQ1ZDA0NDE2ZWMxMTVjMTBjNjZlNGMxZWMiLCJ1c2VySWQiOiIxOTQ5NzkyNTQifQ==</vt:lpwstr>
  </property>
</Properties>
</file>