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29098"/>
      <w:bookmarkStart w:id="1" w:name="_Toc3689"/>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09E23FEC">
      <w:pPr>
        <w:bidi w:val="0"/>
        <w:jc w:val="left"/>
        <w:rPr>
          <w:rFonts w:hint="eastAsia"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12</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3"/>
      <w:bookmarkStart w:id="4" w:name="OLE_LINK1"/>
      <w:r>
        <w:rPr>
          <w:rFonts w:hint="eastAsia" w:ascii="宋体" w:hAnsi="宋体"/>
          <w:szCs w:val="28"/>
        </w:rPr>
        <w:t>项目概况</w:t>
      </w:r>
    </w:p>
    <w:p w14:paraId="307C97A8">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eastAsia="宋体" w:cs="宋体"/>
          <w:snapToGrid/>
          <w:color w:val="auto"/>
          <w:spacing w:val="0"/>
          <w:kern w:val="2"/>
          <w:sz w:val="21"/>
          <w:szCs w:val="24"/>
          <w:highlight w:val="none"/>
          <w:u w:val="single"/>
          <w:lang w:val="en-US" w:eastAsia="zh-CN" w:bidi="ar-SA"/>
        </w:rPr>
        <w:t>消毒耗材B包</w:t>
      </w:r>
      <w:r>
        <w:rPr>
          <w:rFonts w:hint="eastAsia" w:ascii="宋体" w:hAnsi="宋体"/>
          <w:szCs w:val="28"/>
          <w:lang w:eastAsia="zh-CN"/>
        </w:rPr>
        <w:t>征集</w:t>
      </w:r>
      <w:r>
        <w:rPr>
          <w:rFonts w:hint="eastAsia" w:ascii="宋体" w:hAnsi="宋体"/>
          <w:szCs w:val="28"/>
        </w:rPr>
        <w:t>项目的潜在投</w:t>
      </w:r>
      <w:r>
        <w:rPr>
          <w:rFonts w:hint="eastAsia" w:ascii="宋体" w:hAnsi="宋体"/>
          <w:szCs w:val="28"/>
          <w:highlight w:val="none"/>
        </w:rPr>
        <w:t>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szCs w:val="28"/>
          <w:highlight w:val="none"/>
          <w:u w:val="single"/>
        </w:rPr>
        <w:t>年</w:t>
      </w:r>
      <w:r>
        <w:rPr>
          <w:rFonts w:hint="eastAsia" w:ascii="宋体" w:hAnsi="宋体"/>
          <w:szCs w:val="28"/>
          <w:highlight w:val="none"/>
          <w:u w:val="single"/>
          <w:lang w:val="en-US" w:eastAsia="zh-CN"/>
        </w:rPr>
        <w:t>6</w:t>
      </w:r>
      <w:r>
        <w:rPr>
          <w:rFonts w:hint="eastAsia" w:ascii="宋体" w:hAnsi="宋体"/>
          <w:szCs w:val="28"/>
          <w:highlight w:val="none"/>
          <w:u w:val="single"/>
        </w:rPr>
        <w:t>月</w:t>
      </w:r>
      <w:r>
        <w:rPr>
          <w:rFonts w:hint="eastAsia" w:ascii="宋体" w:hAnsi="宋体"/>
          <w:szCs w:val="28"/>
          <w:highlight w:val="none"/>
          <w:u w:val="single"/>
          <w:lang w:val="en-US" w:eastAsia="zh-CN"/>
        </w:rPr>
        <w:t>9</w:t>
      </w:r>
      <w:r>
        <w:rPr>
          <w:rFonts w:hint="eastAsia" w:ascii="宋体" w:hAnsi="宋体"/>
          <w:szCs w:val="28"/>
          <w:highlight w:val="none"/>
          <w:u w:val="single"/>
        </w:rPr>
        <w:t>日</w:t>
      </w:r>
      <w:r>
        <w:rPr>
          <w:rFonts w:hint="eastAsia" w:ascii="宋体" w:hAnsi="宋体"/>
          <w:szCs w:val="28"/>
          <w:highlight w:val="none"/>
          <w:u w:val="single"/>
          <w:lang w:val="en-US" w:eastAsia="zh-CN"/>
        </w:rPr>
        <w:t>8</w:t>
      </w:r>
      <w:r>
        <w:rPr>
          <w:rFonts w:hint="eastAsia" w:ascii="宋体" w:hAnsi="宋体"/>
          <w:szCs w:val="28"/>
          <w:highlight w:val="none"/>
          <w:u w:val="single"/>
        </w:rPr>
        <w:t>点30分</w:t>
      </w:r>
      <w:r>
        <w:rPr>
          <w:rFonts w:hint="eastAsia" w:ascii="宋体" w:hAnsi="宋体"/>
          <w:szCs w:val="28"/>
          <w:highlight w:val="none"/>
        </w:rPr>
        <w:t>（北京时间）前递交</w:t>
      </w:r>
      <w:r>
        <w:rPr>
          <w:rFonts w:hint="eastAsia" w:ascii="宋体" w:hAnsi="宋体"/>
          <w:szCs w:val="28"/>
        </w:rPr>
        <w:t>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FTEY-FYC-013</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w:t>
      </w:r>
      <w:r>
        <w:rPr>
          <w:rFonts w:hint="eastAsia" w:ascii="宋体" w:hAnsi="宋体" w:eastAsia="宋体" w:cs="宋体"/>
          <w:snapToGrid/>
          <w:color w:val="auto"/>
          <w:spacing w:val="0"/>
          <w:kern w:val="2"/>
          <w:sz w:val="21"/>
          <w:szCs w:val="24"/>
          <w:highlight w:val="none"/>
          <w:lang w:val="en-US" w:eastAsia="zh-CN" w:bidi="ar-SA"/>
        </w:rPr>
        <w:t>消毒耗材B包</w:t>
      </w:r>
    </w:p>
    <w:p w14:paraId="6B8796DB">
      <w:pPr>
        <w:spacing w:line="360" w:lineRule="auto"/>
        <w:ind w:firstLine="420" w:firstLineChars="200"/>
        <w:rPr>
          <w:rFonts w:hint="eastAsia" w:ascii="宋体" w:hAnsi="宋体"/>
          <w:szCs w:val="21"/>
        </w:rPr>
      </w:pPr>
      <w:r>
        <w:rPr>
          <w:rFonts w:hint="eastAsia" w:ascii="宋体" w:hAnsi="宋体"/>
        </w:rPr>
        <w:t>预算金额（</w:t>
      </w:r>
      <w:r>
        <w:rPr>
          <w:rFonts w:hint="eastAsia" w:ascii="宋体" w:hAnsi="宋体"/>
          <w:lang w:val="en-US" w:eastAsia="zh-CN"/>
        </w:rPr>
        <w:t>最高</w:t>
      </w:r>
      <w:r>
        <w:rPr>
          <w:rFonts w:hint="eastAsia" w:ascii="宋体" w:hAnsi="宋体"/>
        </w:rPr>
        <w:t>支付上</w:t>
      </w:r>
      <w:r>
        <w:rPr>
          <w:rFonts w:hint="eastAsia" w:ascii="宋体" w:hAnsi="宋体"/>
          <w:szCs w:val="28"/>
          <w:u w:val="none"/>
          <w:lang w:val="en-US" w:eastAsia="zh-CN"/>
        </w:rPr>
        <w:t>限）：人民币</w:t>
      </w:r>
      <w:r>
        <w:rPr>
          <w:rFonts w:ascii="Arial" w:hAnsi="Arial" w:eastAsia="宋体" w:cs="Arial"/>
          <w:i w:val="0"/>
          <w:iCs w:val="0"/>
          <w:caps w:val="0"/>
          <w:color w:val="333333"/>
          <w:spacing w:val="0"/>
          <w:sz w:val="21"/>
          <w:szCs w:val="21"/>
          <w:shd w:val="clear" w:fill="FFFFFF"/>
        </w:rPr>
        <w:t>壹拾玖万肆仟柒佰叁拾陆元整</w:t>
      </w:r>
      <w:r>
        <w:rPr>
          <w:rFonts w:hint="eastAsia" w:ascii="宋体" w:hAnsi="宋体"/>
          <w:szCs w:val="28"/>
          <w:u w:val="none"/>
          <w:lang w:val="en-US" w:eastAsia="zh-CN"/>
        </w:rPr>
        <w:t>（¥194736.00元）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7B38D8A4">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8A8C023">
      <w:pPr>
        <w:spacing w:line="360" w:lineRule="auto"/>
        <w:ind w:firstLine="420" w:firstLineChars="200"/>
        <w:rPr>
          <w:rFonts w:hint="eastAsia" w:ascii="宋体" w:hAnsi="宋体"/>
          <w:lang w:val="en-US" w:eastAsia="zh-CN"/>
        </w:rPr>
      </w:pPr>
      <w:r>
        <w:rPr>
          <w:rFonts w:hint="eastAsia" w:ascii="宋体" w:hAnsi="宋体"/>
          <w:lang w:val="en-US" w:eastAsia="zh-CN"/>
        </w:rPr>
        <w:t>②</w:t>
      </w:r>
      <w:r>
        <w:rPr>
          <w:rFonts w:hint="eastAsia" w:ascii="宋体" w:hAnsi="宋体"/>
        </w:rPr>
        <w:t>提供监督管理部门签发的《消毒产品生产企业卫生许可证》(有效期内)复印件。</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耗材</w:t>
      </w:r>
      <w:r>
        <w:rPr>
          <w:rFonts w:hint="eastAsia" w:ascii="宋体" w:hAnsi="宋体"/>
          <w:b/>
          <w:bCs/>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0BB121CB">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报名时间：2026年5月29日8时00分至2026年6月4</w:t>
      </w:r>
      <w:bookmarkStart w:id="127" w:name="_GoBack"/>
      <w:bookmarkEnd w:id="127"/>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日17时00分止。</w:t>
      </w:r>
    </w:p>
    <w:p w14:paraId="46419F53">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5EB1C8ED">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1A0EEED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70FA581D">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p>
    <w:p w14:paraId="11629B1D">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22C89236">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highlight w:val="none"/>
          <w:lang w:val="en-US" w:eastAsia="zh-CN"/>
        </w:rPr>
        <w:t>深圳市福田区第二人民医院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bookmarkEnd w:id="3"/>
      <w:bookmarkEnd w:id="4"/>
      <w:bookmarkEnd w:id="5"/>
    </w:p>
    <w:p w14:paraId="685DEE00">
      <w:pPr>
        <w:spacing w:line="400" w:lineRule="exact"/>
        <w:ind w:firstLine="420" w:firstLineChars="200"/>
        <w:jc w:val="right"/>
        <w:rPr>
          <w:rFonts w:hint="eastAsia" w:ascii="宋体" w:hAnsi="宋体"/>
          <w:highlight w:val="none"/>
        </w:rPr>
      </w:pPr>
    </w:p>
    <w:p w14:paraId="28185072">
      <w:pPr>
        <w:spacing w:line="400" w:lineRule="exact"/>
        <w:ind w:firstLine="420" w:firstLineChars="200"/>
        <w:jc w:val="right"/>
        <w:rPr>
          <w:rFonts w:hint="eastAsia" w:ascii="宋体" w:hAnsi="宋体"/>
          <w:highlight w:val="none"/>
        </w:rPr>
      </w:pPr>
    </w:p>
    <w:p w14:paraId="73B59929">
      <w:pPr>
        <w:spacing w:line="400" w:lineRule="exact"/>
        <w:ind w:firstLine="420" w:firstLineChars="200"/>
        <w:jc w:val="right"/>
        <w:rPr>
          <w:rFonts w:hint="eastAsia" w:ascii="宋体" w:hAnsi="宋体"/>
          <w:highlight w:val="none"/>
        </w:rPr>
      </w:pPr>
    </w:p>
    <w:p w14:paraId="67136D6B">
      <w:pPr>
        <w:spacing w:line="400" w:lineRule="exact"/>
        <w:ind w:firstLine="420" w:firstLineChars="200"/>
        <w:jc w:val="right"/>
        <w:rPr>
          <w:rFonts w:hint="eastAsia" w:ascii="宋体" w:hAnsi="宋体"/>
          <w:highlight w:val="none"/>
        </w:rPr>
      </w:pPr>
    </w:p>
    <w:p w14:paraId="4529574A">
      <w:pPr>
        <w:spacing w:line="400" w:lineRule="exact"/>
        <w:ind w:firstLine="420" w:firstLineChars="200"/>
        <w:jc w:val="right"/>
        <w:rPr>
          <w:rFonts w:hint="eastAsia" w:ascii="宋体" w:hAnsi="宋体"/>
          <w:highlight w:val="none"/>
        </w:rPr>
      </w:pPr>
    </w:p>
    <w:p w14:paraId="4EED90B0">
      <w:pPr>
        <w:spacing w:line="400" w:lineRule="exact"/>
        <w:ind w:firstLine="420" w:firstLineChars="200"/>
        <w:jc w:val="right"/>
        <w:rPr>
          <w:rFonts w:hint="eastAsia" w:ascii="宋体" w:hAnsi="宋体"/>
          <w:highlight w:val="none"/>
        </w:rPr>
      </w:pPr>
    </w:p>
    <w:p w14:paraId="2E3CD428">
      <w:pPr>
        <w:spacing w:line="400" w:lineRule="exact"/>
        <w:jc w:val="both"/>
        <w:rPr>
          <w:rFonts w:hint="eastAsia" w:ascii="宋体" w:hAnsi="宋体"/>
          <w:highlight w:val="none"/>
        </w:rPr>
      </w:pPr>
    </w:p>
    <w:p w14:paraId="5B39CE8A">
      <w:pPr>
        <w:spacing w:line="400" w:lineRule="exact"/>
        <w:jc w:val="both"/>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048"/>
        <w:gridCol w:w="1606"/>
        <w:gridCol w:w="2422"/>
        <w:gridCol w:w="242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699"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1048"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606"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合同履行期限</w:t>
            </w:r>
          </w:p>
        </w:tc>
        <w:tc>
          <w:tcPr>
            <w:tcW w:w="2422"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423" w:type="dxa"/>
            <w:shd w:val="clear" w:color="auto" w:fill="EEECE1"/>
            <w:vAlign w:val="center"/>
          </w:tcPr>
          <w:p w14:paraId="77A1679F">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highlight w:val="none"/>
              </w:rPr>
              <w:t>最高</w:t>
            </w:r>
            <w:r>
              <w:rPr>
                <w:rFonts w:hint="eastAsia" w:ascii="宋体" w:hAnsi="宋体" w:eastAsia="宋体" w:cs="宋体"/>
                <w:b/>
                <w:color w:val="auto"/>
                <w:szCs w:val="21"/>
                <w:highlight w:val="none"/>
                <w:lang w:val="en-US" w:eastAsia="zh-CN"/>
              </w:rPr>
              <w:t>支付上限</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699"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消毒耗材B包</w:t>
            </w:r>
          </w:p>
        </w:tc>
        <w:tc>
          <w:tcPr>
            <w:tcW w:w="1048"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606"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422" w:type="dxa"/>
            <w:vAlign w:val="center"/>
          </w:tcPr>
          <w:p w14:paraId="26A59F7D">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人民币194736.00元/年</w:t>
            </w:r>
          </w:p>
        </w:tc>
        <w:tc>
          <w:tcPr>
            <w:tcW w:w="2423" w:type="dxa"/>
            <w:vAlign w:val="center"/>
          </w:tcPr>
          <w:p w14:paraId="113A87B9">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人民币194736.00元/年</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18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54"/>
        <w:gridCol w:w="4328"/>
        <w:gridCol w:w="1380"/>
        <w:gridCol w:w="1022"/>
        <w:gridCol w:w="1368"/>
        <w:gridCol w:w="955"/>
        <w:gridCol w:w="1276"/>
      </w:tblGrid>
      <w:tr w14:paraId="61E0B5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EEECE1" w:themeFill="background2"/>
            <w:vAlign w:val="center"/>
          </w:tcPr>
          <w:p w14:paraId="18CF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328" w:type="dxa"/>
            <w:tcBorders>
              <w:tl2br w:val="nil"/>
              <w:tr2bl w:val="nil"/>
            </w:tcBorders>
            <w:shd w:val="clear" w:color="auto" w:fill="EEECE1" w:themeFill="background2"/>
            <w:vAlign w:val="center"/>
          </w:tcPr>
          <w:p w14:paraId="54A08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380" w:type="dxa"/>
            <w:tcBorders>
              <w:tl2br w:val="nil"/>
              <w:tr2bl w:val="nil"/>
            </w:tcBorders>
            <w:shd w:val="clear" w:color="auto" w:fill="EEECE1" w:themeFill="background2"/>
            <w:vAlign w:val="center"/>
          </w:tcPr>
          <w:p w14:paraId="503B9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1022" w:type="dxa"/>
            <w:tcBorders>
              <w:tl2br w:val="nil"/>
              <w:tr2bl w:val="nil"/>
            </w:tcBorders>
            <w:shd w:val="clear" w:color="auto" w:fill="EEECE1" w:themeFill="background2"/>
            <w:vAlign w:val="center"/>
          </w:tcPr>
          <w:p w14:paraId="2DD77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368" w:type="dxa"/>
            <w:tcBorders>
              <w:tl2br w:val="nil"/>
              <w:tr2bl w:val="nil"/>
            </w:tcBorders>
            <w:shd w:val="clear" w:color="auto" w:fill="EEECE1" w:themeFill="background2"/>
            <w:vAlign w:val="center"/>
          </w:tcPr>
          <w:p w14:paraId="50DE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55" w:type="dxa"/>
            <w:tcBorders>
              <w:tl2br w:val="nil"/>
              <w:tr2bl w:val="nil"/>
            </w:tcBorders>
            <w:shd w:val="clear" w:color="auto" w:fill="EEECE1" w:themeFill="background2"/>
            <w:vAlign w:val="center"/>
          </w:tcPr>
          <w:p w14:paraId="7F0ADE7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预算年使用量</w:t>
            </w:r>
          </w:p>
        </w:tc>
        <w:tc>
          <w:tcPr>
            <w:tcW w:w="1276" w:type="dxa"/>
            <w:tcBorders>
              <w:tl2br w:val="nil"/>
              <w:tr2bl w:val="nil"/>
            </w:tcBorders>
            <w:shd w:val="clear" w:color="auto" w:fill="EEECE1" w:themeFill="background2"/>
            <w:vAlign w:val="center"/>
          </w:tcPr>
          <w:p w14:paraId="5C74463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r>
      <w:tr w14:paraId="70B719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6A7C4B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抗菌洗手液</w:t>
            </w:r>
          </w:p>
        </w:tc>
        <w:tc>
          <w:tcPr>
            <w:tcW w:w="4328" w:type="dxa"/>
            <w:tcBorders>
              <w:tl2br w:val="nil"/>
              <w:tr2bl w:val="nil"/>
            </w:tcBorders>
            <w:shd w:val="clear" w:color="auto" w:fill="auto"/>
            <w:vAlign w:val="center"/>
          </w:tcPr>
          <w:p w14:paraId="017F30F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1、按压式、含0.3%(W/W)三氯羟基二苯醚。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2、符合《消毒技术规范》（2002）年版要求。</w:t>
            </w:r>
          </w:p>
        </w:tc>
        <w:tc>
          <w:tcPr>
            <w:tcW w:w="1380" w:type="dxa"/>
            <w:tcBorders>
              <w:tl2br w:val="nil"/>
              <w:tr2bl w:val="nil"/>
            </w:tcBorders>
            <w:shd w:val="clear" w:color="auto" w:fill="auto"/>
            <w:vAlign w:val="center"/>
          </w:tcPr>
          <w:p w14:paraId="10F63E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auto"/>
            <w:vAlign w:val="center"/>
          </w:tcPr>
          <w:p w14:paraId="2A843BD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59D50B1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10.16 </w:t>
            </w:r>
          </w:p>
        </w:tc>
        <w:tc>
          <w:tcPr>
            <w:tcW w:w="955" w:type="dxa"/>
            <w:tcBorders>
              <w:tl2br w:val="nil"/>
              <w:tr2bl w:val="nil"/>
            </w:tcBorders>
            <w:shd w:val="clear" w:color="auto" w:fill="auto"/>
            <w:vAlign w:val="center"/>
          </w:tcPr>
          <w:p w14:paraId="77F25B3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2500 </w:t>
            </w:r>
          </w:p>
        </w:tc>
        <w:tc>
          <w:tcPr>
            <w:tcW w:w="1276" w:type="dxa"/>
            <w:tcBorders>
              <w:tl2br w:val="nil"/>
              <w:tr2bl w:val="nil"/>
            </w:tcBorders>
            <w:shd w:val="clear" w:color="auto" w:fill="auto"/>
            <w:vAlign w:val="center"/>
          </w:tcPr>
          <w:p w14:paraId="0A09D0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25400.00 </w:t>
            </w:r>
          </w:p>
        </w:tc>
      </w:tr>
      <w:tr w14:paraId="1FA81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2D4BAB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皮肤消毒液</w:t>
            </w:r>
          </w:p>
        </w:tc>
        <w:tc>
          <w:tcPr>
            <w:tcW w:w="4328" w:type="dxa"/>
            <w:tcBorders>
              <w:tl2br w:val="nil"/>
              <w:tr2bl w:val="nil"/>
            </w:tcBorders>
            <w:shd w:val="clear" w:color="auto" w:fill="auto"/>
            <w:vAlign w:val="center"/>
          </w:tcPr>
          <w:p w14:paraId="44288FF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1、按压式，聚六亚甲基双胍含量为0.45%-0.55%（w/w)，乙醇含量为63%-77%（w/w)。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2、产品标签上应有开启后效期，效期不小于90天（提供具有CMA认证的第三方检测报告）。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3、可杀灭脊髓灰质炎病毒。                                   </w:t>
            </w:r>
          </w:p>
        </w:tc>
        <w:tc>
          <w:tcPr>
            <w:tcW w:w="1380" w:type="dxa"/>
            <w:tcBorders>
              <w:tl2br w:val="nil"/>
              <w:tr2bl w:val="nil"/>
            </w:tcBorders>
            <w:shd w:val="clear" w:color="auto" w:fill="auto"/>
            <w:vAlign w:val="center"/>
          </w:tcPr>
          <w:p w14:paraId="33248E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≥1200ml/瓶</w:t>
            </w:r>
          </w:p>
        </w:tc>
        <w:tc>
          <w:tcPr>
            <w:tcW w:w="1022" w:type="dxa"/>
            <w:tcBorders>
              <w:tl2br w:val="nil"/>
              <w:tr2bl w:val="nil"/>
            </w:tcBorders>
            <w:shd w:val="clear" w:color="auto" w:fill="auto"/>
            <w:vAlign w:val="center"/>
          </w:tcPr>
          <w:p w14:paraId="7C5FD5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1F9F6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27.90 </w:t>
            </w:r>
          </w:p>
        </w:tc>
        <w:tc>
          <w:tcPr>
            <w:tcW w:w="955" w:type="dxa"/>
            <w:tcBorders>
              <w:tl2br w:val="nil"/>
              <w:tr2bl w:val="nil"/>
            </w:tcBorders>
            <w:shd w:val="clear" w:color="auto" w:fill="auto"/>
            <w:vAlign w:val="center"/>
          </w:tcPr>
          <w:p w14:paraId="758239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1276" w:type="dxa"/>
            <w:tcBorders>
              <w:tl2br w:val="nil"/>
              <w:tr2bl w:val="nil"/>
            </w:tcBorders>
            <w:shd w:val="clear" w:color="auto" w:fill="auto"/>
            <w:vAlign w:val="center"/>
          </w:tcPr>
          <w:p w14:paraId="523164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4185.00 </w:t>
            </w:r>
          </w:p>
        </w:tc>
      </w:tr>
      <w:tr w14:paraId="2B6425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554" w:type="dxa"/>
            <w:tcBorders>
              <w:tl2br w:val="nil"/>
              <w:tr2bl w:val="nil"/>
            </w:tcBorders>
            <w:shd w:val="clear" w:color="auto" w:fill="auto"/>
            <w:vAlign w:val="center"/>
          </w:tcPr>
          <w:p w14:paraId="594DE0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皮肤消毒液</w:t>
            </w:r>
          </w:p>
        </w:tc>
        <w:tc>
          <w:tcPr>
            <w:tcW w:w="4328" w:type="dxa"/>
            <w:tcBorders>
              <w:tl2br w:val="nil"/>
              <w:tr2bl w:val="nil"/>
            </w:tcBorders>
            <w:shd w:val="clear" w:color="auto" w:fill="auto"/>
            <w:vAlign w:val="center"/>
          </w:tcPr>
          <w:p w14:paraId="6FA3CA1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1、喷雾型，聚六亚甲基双胍含量为0.45%-0.55%（w/w)，乙醇含量为63%-77%（w/w)。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2、产品标签上应有开启后效期，效期不小于90天（提供具有CMA认证的第三方检测报告）。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3、可杀灭脊髓灰质炎病毒。                                    </w:t>
            </w:r>
          </w:p>
        </w:tc>
        <w:tc>
          <w:tcPr>
            <w:tcW w:w="1380" w:type="dxa"/>
            <w:tcBorders>
              <w:tl2br w:val="nil"/>
              <w:tr2bl w:val="nil"/>
            </w:tcBorders>
            <w:shd w:val="clear" w:color="auto" w:fill="auto"/>
            <w:vAlign w:val="center"/>
          </w:tcPr>
          <w:p w14:paraId="1B29A6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≥100ml/瓶</w:t>
            </w:r>
          </w:p>
        </w:tc>
        <w:tc>
          <w:tcPr>
            <w:tcW w:w="1022" w:type="dxa"/>
            <w:tcBorders>
              <w:tl2br w:val="nil"/>
              <w:tr2bl w:val="nil"/>
            </w:tcBorders>
            <w:shd w:val="clear" w:color="auto" w:fill="auto"/>
            <w:vAlign w:val="center"/>
          </w:tcPr>
          <w:p w14:paraId="765E6B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2FA869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 </w:t>
            </w:r>
          </w:p>
        </w:tc>
        <w:tc>
          <w:tcPr>
            <w:tcW w:w="955" w:type="dxa"/>
            <w:tcBorders>
              <w:tl2br w:val="nil"/>
              <w:tr2bl w:val="nil"/>
            </w:tcBorders>
            <w:shd w:val="clear" w:color="auto" w:fill="auto"/>
            <w:vAlign w:val="center"/>
          </w:tcPr>
          <w:p w14:paraId="0E0C91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3000 </w:t>
            </w:r>
          </w:p>
        </w:tc>
        <w:tc>
          <w:tcPr>
            <w:tcW w:w="1276" w:type="dxa"/>
            <w:tcBorders>
              <w:tl2br w:val="nil"/>
              <w:tr2bl w:val="nil"/>
            </w:tcBorders>
            <w:shd w:val="clear" w:color="auto" w:fill="auto"/>
            <w:vAlign w:val="center"/>
          </w:tcPr>
          <w:p w14:paraId="0C2414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36000.00 </w:t>
            </w:r>
          </w:p>
        </w:tc>
      </w:tr>
      <w:tr w14:paraId="7BF3FA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42E3CB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22"/>
                <w:szCs w:val="22"/>
                <w:u w:val="none"/>
                <w:lang w:val="en-US" w:eastAsia="zh-CN" w:bidi="ar"/>
              </w:rPr>
              <w:t>速干手消毒液</w:t>
            </w:r>
          </w:p>
        </w:tc>
        <w:tc>
          <w:tcPr>
            <w:tcW w:w="4328" w:type="dxa"/>
            <w:tcBorders>
              <w:tl2br w:val="nil"/>
              <w:tr2bl w:val="nil"/>
            </w:tcBorders>
            <w:shd w:val="clear" w:color="auto" w:fill="auto"/>
            <w:vAlign w:val="center"/>
          </w:tcPr>
          <w:p w14:paraId="0CBF7B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1、乙醇含量72%-85%（w/w)，过氧化氢1.0g/L-1.4g/L（w/w)。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2、具有脊髓灰质炎病毒，流感病毒H1N1、鲍曼不动杆菌、MRSA杀灭报告，产品标签上应有开启后效期，效期不小于90天（提供具有CMA认证的第三方检测报告）。</w:t>
            </w:r>
          </w:p>
        </w:tc>
        <w:tc>
          <w:tcPr>
            <w:tcW w:w="1380" w:type="dxa"/>
            <w:tcBorders>
              <w:tl2br w:val="nil"/>
              <w:tr2bl w:val="nil"/>
            </w:tcBorders>
            <w:shd w:val="clear" w:color="auto" w:fill="auto"/>
            <w:vAlign w:val="center"/>
          </w:tcPr>
          <w:p w14:paraId="7EF1D9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auto"/>
            <w:vAlign w:val="center"/>
          </w:tcPr>
          <w:p w14:paraId="69B5C7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1E23C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23.08 </w:t>
            </w:r>
          </w:p>
        </w:tc>
        <w:tc>
          <w:tcPr>
            <w:tcW w:w="955" w:type="dxa"/>
            <w:tcBorders>
              <w:tl2br w:val="nil"/>
              <w:tr2bl w:val="nil"/>
            </w:tcBorders>
            <w:shd w:val="clear" w:color="auto" w:fill="auto"/>
            <w:vAlign w:val="center"/>
          </w:tcPr>
          <w:p w14:paraId="2C0C78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5200 </w:t>
            </w:r>
          </w:p>
        </w:tc>
        <w:tc>
          <w:tcPr>
            <w:tcW w:w="1276" w:type="dxa"/>
            <w:tcBorders>
              <w:tl2br w:val="nil"/>
              <w:tr2bl w:val="nil"/>
            </w:tcBorders>
            <w:shd w:val="clear" w:color="auto" w:fill="auto"/>
            <w:vAlign w:val="center"/>
          </w:tcPr>
          <w:p w14:paraId="41D4E9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120016.00 </w:t>
            </w:r>
          </w:p>
        </w:tc>
      </w:tr>
      <w:tr w14:paraId="3F4C4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459C17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速干手消毒液</w:t>
            </w:r>
          </w:p>
        </w:tc>
        <w:tc>
          <w:tcPr>
            <w:tcW w:w="4328" w:type="dxa"/>
            <w:tcBorders>
              <w:tl2br w:val="nil"/>
              <w:tr2bl w:val="nil"/>
            </w:tcBorders>
            <w:shd w:val="clear" w:color="auto" w:fill="auto"/>
            <w:vAlign w:val="center"/>
          </w:tcPr>
          <w:p w14:paraId="54A4B5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1、乙醇含量72%-85%（w/w)，过氧化氢1.0g/L-1.4g/L（w/w)。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2、具有脊髓灰质炎病毒，流感病毒H1N1、鲍曼不动杆菌、MRSA杀灭报告，产品标签上应有开启后效期，效期不小于90天（提供具有CMA认证的第三方检测报告）。</w:t>
            </w:r>
          </w:p>
        </w:tc>
        <w:tc>
          <w:tcPr>
            <w:tcW w:w="1380" w:type="dxa"/>
            <w:tcBorders>
              <w:tl2br w:val="nil"/>
              <w:tr2bl w:val="nil"/>
            </w:tcBorders>
            <w:shd w:val="clear" w:color="auto" w:fill="auto"/>
            <w:vAlign w:val="center"/>
          </w:tcPr>
          <w:p w14:paraId="6F9A2B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≥230ml/瓶</w:t>
            </w:r>
          </w:p>
        </w:tc>
        <w:tc>
          <w:tcPr>
            <w:tcW w:w="1022" w:type="dxa"/>
            <w:tcBorders>
              <w:tl2br w:val="nil"/>
              <w:tr2bl w:val="nil"/>
            </w:tcBorders>
            <w:shd w:val="clear" w:color="auto" w:fill="auto"/>
            <w:vAlign w:val="center"/>
          </w:tcPr>
          <w:p w14:paraId="132DBA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08D46C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14.50 </w:t>
            </w:r>
          </w:p>
        </w:tc>
        <w:tc>
          <w:tcPr>
            <w:tcW w:w="955" w:type="dxa"/>
            <w:tcBorders>
              <w:tl2br w:val="nil"/>
              <w:tr2bl w:val="nil"/>
            </w:tcBorders>
            <w:shd w:val="clear" w:color="auto" w:fill="auto"/>
            <w:vAlign w:val="center"/>
          </w:tcPr>
          <w:p w14:paraId="06DB76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630 </w:t>
            </w:r>
          </w:p>
        </w:tc>
        <w:tc>
          <w:tcPr>
            <w:tcW w:w="1276" w:type="dxa"/>
            <w:tcBorders>
              <w:tl2br w:val="nil"/>
              <w:tr2bl w:val="nil"/>
            </w:tcBorders>
            <w:shd w:val="clear" w:color="auto" w:fill="auto"/>
            <w:vAlign w:val="center"/>
          </w:tcPr>
          <w:p w14:paraId="18C6AD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9135.00 </w:t>
            </w:r>
          </w:p>
        </w:tc>
      </w:tr>
    </w:tbl>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11.2投标人的投标报价超过最高限价或最高支付上限的视为无效投标。报价应包括并不限于耗材试剂费、税费、运费、安装调试费、培训费等费用。</w:t>
      </w:r>
    </w:p>
    <w:p w14:paraId="7B5F7C6E">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11.3投标人须根据货物清单进行单项报价，且不得超过最小单位预算价格。最终以实际供货的数量×中标单价进行结算，年度结算总价不超过最高限价（最高支付上限）。</w:t>
      </w:r>
    </w:p>
    <w:p w14:paraId="7B6C4EF0">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0C04F0D8">
      <w:pPr>
        <w:rPr>
          <w:rFonts w:hint="eastAsia" w:asciiTheme="majorEastAsia" w:hAnsiTheme="majorEastAsia" w:eastAsiaTheme="majorEastAsia" w:cstheme="majorEastAsia"/>
          <w:kern w:val="2"/>
          <w:sz w:val="32"/>
          <w:szCs w:val="32"/>
          <w:lang w:val="en-US" w:eastAsia="zh-CN" w:bidi="ar-SA"/>
        </w:rPr>
      </w:pPr>
    </w:p>
    <w:p w14:paraId="2DBB1A5B">
      <w:pPr>
        <w:rPr>
          <w:rFonts w:hint="eastAsia" w:asciiTheme="majorEastAsia" w:hAnsiTheme="majorEastAsia" w:eastAsiaTheme="majorEastAsia" w:cstheme="majorEastAsia"/>
          <w:kern w:val="2"/>
          <w:sz w:val="32"/>
          <w:szCs w:val="32"/>
          <w:lang w:val="en-US" w:eastAsia="zh-CN" w:bidi="ar-SA"/>
        </w:rPr>
      </w:pPr>
    </w:p>
    <w:p w14:paraId="51716032">
      <w:pPr>
        <w:rPr>
          <w:rFonts w:hint="eastAsia" w:asciiTheme="majorEastAsia" w:hAnsiTheme="majorEastAsia" w:eastAsiaTheme="majorEastAsia" w:cstheme="majorEastAsia"/>
          <w:kern w:val="2"/>
          <w:sz w:val="32"/>
          <w:szCs w:val="32"/>
          <w:lang w:val="en-US" w:eastAsia="zh-CN" w:bidi="ar-SA"/>
        </w:rPr>
      </w:pPr>
    </w:p>
    <w:p w14:paraId="0FB8874F">
      <w:pPr>
        <w:rPr>
          <w:rFonts w:hint="eastAsia" w:asciiTheme="majorEastAsia" w:hAnsiTheme="majorEastAsia" w:eastAsiaTheme="majorEastAsia" w:cstheme="majorEastAsia"/>
          <w:kern w:val="2"/>
          <w:sz w:val="32"/>
          <w:szCs w:val="32"/>
          <w:lang w:val="en-US" w:eastAsia="zh-CN" w:bidi="ar-SA"/>
        </w:rPr>
      </w:pPr>
    </w:p>
    <w:p w14:paraId="541EA39A">
      <w:pPr>
        <w:rPr>
          <w:rFonts w:hint="eastAsia" w:asciiTheme="majorEastAsia" w:hAnsiTheme="majorEastAsia" w:eastAsiaTheme="majorEastAsia" w:cstheme="majorEastAsia"/>
          <w:kern w:val="2"/>
          <w:sz w:val="32"/>
          <w:szCs w:val="32"/>
          <w:lang w:val="en-US" w:eastAsia="zh-CN" w:bidi="ar-SA"/>
        </w:rPr>
      </w:pPr>
    </w:p>
    <w:p w14:paraId="2C035C29">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988"/>
      <w:bookmarkStart w:id="11" w:name="_Toc24015563"/>
      <w:bookmarkStart w:id="12" w:name="_Toc10794"/>
      <w:bookmarkStart w:id="13" w:name="_Toc15209"/>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0"/>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7DBF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bookmarkStart w:id="16" w:name="_Toc26388"/>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678F262">
      <w:pPr>
        <w:widowControl/>
        <w:numPr>
          <w:ilvl w:val="0"/>
          <w:numId w:val="0"/>
        </w:numPr>
        <w:ind w:leftChars="0"/>
        <w:jc w:val="both"/>
        <w:outlineLvl w:val="0"/>
        <w:rPr>
          <w:rFonts w:hint="eastAsia" w:asciiTheme="majorEastAsia" w:hAnsiTheme="majorEastAsia" w:eastAsiaTheme="majorEastAsia"/>
          <w:sz w:val="32"/>
          <w:szCs w:val="32"/>
          <w:lang w:val="en-US" w:eastAsia="zh-CN"/>
        </w:rPr>
      </w:pPr>
    </w:p>
    <w:p w14:paraId="3098F824">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7"/>
              <w:spacing w:line="360" w:lineRule="auto"/>
              <w:ind w:firstLine="482" w:firstLineChars="150"/>
              <w:rPr>
                <w:rFonts w:ascii="仿宋_GB2312" w:eastAsia="仿宋_GB2312"/>
                <w:b/>
                <w:sz w:val="32"/>
              </w:rPr>
            </w:pPr>
          </w:p>
          <w:p w14:paraId="5DD66652">
            <w:pPr>
              <w:pStyle w:val="7"/>
              <w:spacing w:line="360" w:lineRule="auto"/>
              <w:ind w:firstLine="482" w:firstLineChars="150"/>
              <w:rPr>
                <w:rFonts w:ascii="仿宋_GB2312" w:eastAsia="仿宋_GB2312"/>
                <w:b/>
                <w:sz w:val="32"/>
              </w:rPr>
            </w:pPr>
          </w:p>
          <w:p w14:paraId="4F96A7D5">
            <w:pPr>
              <w:pStyle w:val="7"/>
              <w:spacing w:line="360" w:lineRule="auto"/>
              <w:ind w:firstLine="482" w:firstLineChars="150"/>
              <w:rPr>
                <w:rFonts w:ascii="仿宋_GB2312" w:eastAsia="仿宋_GB2312"/>
                <w:b/>
                <w:sz w:val="32"/>
              </w:rPr>
            </w:pPr>
          </w:p>
          <w:p w14:paraId="24E0C28B">
            <w:pPr>
              <w:pStyle w:val="7"/>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7"/>
              <w:spacing w:line="360" w:lineRule="auto"/>
              <w:rPr>
                <w:rFonts w:ascii="仿宋_GB2312" w:eastAsia="仿宋_GB2312"/>
                <w:b/>
                <w:sz w:val="32"/>
              </w:rPr>
            </w:pPr>
          </w:p>
          <w:p w14:paraId="408DEE70">
            <w:pPr>
              <w:pStyle w:val="7"/>
              <w:spacing w:line="360" w:lineRule="auto"/>
              <w:rPr>
                <w:rFonts w:ascii="仿宋_GB2312" w:eastAsia="仿宋_GB2312"/>
                <w:b/>
                <w:sz w:val="32"/>
              </w:rPr>
            </w:pPr>
          </w:p>
          <w:p w14:paraId="1F535991">
            <w:pPr>
              <w:pStyle w:val="7"/>
              <w:spacing w:line="360" w:lineRule="auto"/>
              <w:rPr>
                <w:rFonts w:ascii="仿宋_GB2312" w:eastAsia="仿宋_GB2312"/>
                <w:b/>
                <w:sz w:val="32"/>
              </w:rPr>
            </w:pPr>
          </w:p>
          <w:p w14:paraId="18F76FDC">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6779"/>
      <w:bookmarkStart w:id="18" w:name="_Toc25542"/>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9213"/>
      <w:bookmarkStart w:id="20" w:name="_Toc21714"/>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CB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F3D4DB7">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4C6189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F28C3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E25FA3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59DA09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3" w:name="_Toc15495"/>
      <w:bookmarkStart w:id="24" w:name="_Toc30883"/>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31601"/>
      <w:bookmarkStart w:id="26" w:name="_Toc5508"/>
      <w:r>
        <w:rPr>
          <w:rFonts w:hint="eastAsia" w:cs="宋体" w:asciiTheme="majorEastAsia" w:hAnsiTheme="majorEastAsia" w:eastAsiaTheme="majorEastAsia"/>
          <w:kern w:val="2"/>
          <w:sz w:val="30"/>
          <w:szCs w:val="30"/>
          <w:lang w:val="en-US" w:eastAsia="zh-CN" w:bidi="ar-SA"/>
        </w:rPr>
        <w:t>（六）诚信及信用信息证明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12322"/>
      <w:bookmarkStart w:id="28" w:name="_Toc2713"/>
      <w:bookmarkStart w:id="29" w:name="_Toc11281"/>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1" w:name="_Hlk72259001"/>
      <w:r>
        <w:rPr>
          <w:rFonts w:hint="eastAsia"/>
          <w:b/>
          <w:bCs/>
          <w:color w:val="auto"/>
          <w:lang w:eastAsia="zh-CN"/>
        </w:rPr>
        <w:t>征集</w:t>
      </w:r>
      <w:r>
        <w:rPr>
          <w:rFonts w:hint="eastAsia"/>
          <w:b/>
          <w:bCs/>
          <w:color w:val="auto"/>
        </w:rPr>
        <w:t>文件</w:t>
      </w:r>
      <w:bookmarkEnd w:id="31"/>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7"/>
        <w:rPr>
          <w:color w:val="auto"/>
        </w:rPr>
      </w:pPr>
    </w:p>
    <w:p w14:paraId="04F8DE87">
      <w:pPr>
        <w:spacing w:after="60"/>
        <w:jc w:val="center"/>
        <w:outlineLvl w:val="9"/>
        <w:rPr>
          <w:b/>
          <w:color w:val="auto"/>
        </w:rPr>
      </w:pPr>
      <w:r>
        <w:rPr>
          <w:rFonts w:hint="eastAsia"/>
          <w:b/>
          <w:color w:val="auto"/>
        </w:rPr>
        <w:t>1、中小企业声明函</w:t>
      </w:r>
    </w:p>
    <w:p w14:paraId="260C3881">
      <w:pPr>
        <w:pStyle w:val="7"/>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7"/>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7"/>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7"/>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28" w:type="pct"/>
        <w:jc w:val="center"/>
        <w:tblLayout w:type="autofit"/>
        <w:tblCellMar>
          <w:top w:w="0" w:type="dxa"/>
          <w:left w:w="108" w:type="dxa"/>
          <w:bottom w:w="0" w:type="dxa"/>
          <w:right w:w="108" w:type="dxa"/>
        </w:tblCellMar>
      </w:tblPr>
      <w:tblGrid>
        <w:gridCol w:w="2375"/>
        <w:gridCol w:w="1533"/>
        <w:gridCol w:w="787"/>
        <w:gridCol w:w="1257"/>
        <w:gridCol w:w="1909"/>
        <w:gridCol w:w="1601"/>
        <w:gridCol w:w="1114"/>
      </w:tblGrid>
      <w:tr w14:paraId="2767ADD0">
        <w:tblPrEx>
          <w:tblCellMar>
            <w:top w:w="0" w:type="dxa"/>
            <w:left w:w="108" w:type="dxa"/>
            <w:bottom w:w="0" w:type="dxa"/>
            <w:right w:w="108" w:type="dxa"/>
          </w:tblCellMar>
        </w:tblPrEx>
        <w:trPr>
          <w:trHeight w:val="636" w:hRule="exact"/>
          <w:jc w:val="center"/>
        </w:trPr>
        <w:tc>
          <w:tcPr>
            <w:tcW w:w="1122"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2"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4"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2"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6"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6" w:hRule="exact"/>
          <w:jc w:val="center"/>
        </w:trPr>
        <w:tc>
          <w:tcPr>
            <w:tcW w:w="1122"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4"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6"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4"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4" w:hRule="exact"/>
          <w:jc w:val="center"/>
        </w:trPr>
        <w:tc>
          <w:tcPr>
            <w:tcW w:w="1122"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6"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5"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4"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2"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6"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3" w:hRule="exact"/>
          <w:jc w:val="center"/>
        </w:trPr>
        <w:tc>
          <w:tcPr>
            <w:tcW w:w="1122"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2"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6"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4"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6"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6"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4"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6"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6" w:hRule="exact"/>
          <w:jc w:val="center"/>
        </w:trPr>
        <w:tc>
          <w:tcPr>
            <w:tcW w:w="1122"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6"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4"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2" w:hRule="exact"/>
          <w:jc w:val="center"/>
        </w:trPr>
        <w:tc>
          <w:tcPr>
            <w:tcW w:w="1122"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6"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4"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6"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2" w:hRule="exact"/>
          <w:jc w:val="center"/>
        </w:trPr>
        <w:tc>
          <w:tcPr>
            <w:tcW w:w="1122"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4"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06" w:hRule="exact"/>
          <w:jc w:val="center"/>
        </w:trPr>
        <w:tc>
          <w:tcPr>
            <w:tcW w:w="1122"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4"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35" w:hRule="exact"/>
          <w:jc w:val="center"/>
        </w:trPr>
        <w:tc>
          <w:tcPr>
            <w:tcW w:w="1122"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4"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4"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2"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4" w:hRule="exact"/>
          <w:jc w:val="center"/>
        </w:trPr>
        <w:tc>
          <w:tcPr>
            <w:tcW w:w="1122"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2"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6" w:hRule="exact"/>
          <w:jc w:val="center"/>
        </w:trPr>
        <w:tc>
          <w:tcPr>
            <w:tcW w:w="1122"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4"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18" w:hRule="exact"/>
          <w:jc w:val="center"/>
        </w:trPr>
        <w:tc>
          <w:tcPr>
            <w:tcW w:w="1122"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6"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87"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4"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2"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2"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6"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4"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6"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2"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6"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4"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5" w:hRule="exact"/>
          <w:jc w:val="center"/>
        </w:trPr>
        <w:tc>
          <w:tcPr>
            <w:tcW w:w="1122"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2"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6"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42" w:hRule="exact"/>
          <w:jc w:val="center"/>
        </w:trPr>
        <w:tc>
          <w:tcPr>
            <w:tcW w:w="1122"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4"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after="60" w:line="360" w:lineRule="exact"/>
        <w:jc w:val="center"/>
        <w:outlineLvl w:val="9"/>
        <w:rPr>
          <w:rFonts w:hint="eastAsia"/>
          <w:b/>
          <w:color w:val="auto"/>
          <w:lang w:val="en-US" w:eastAsia="zh-CN"/>
        </w:rPr>
      </w:pPr>
    </w:p>
    <w:p w14:paraId="02D96363">
      <w:pPr>
        <w:spacing w:after="60" w:line="360" w:lineRule="exact"/>
        <w:jc w:val="center"/>
        <w:outlineLvl w:val="9"/>
        <w:rPr>
          <w:rFonts w:hint="eastAsia"/>
          <w:b/>
          <w:color w:val="auto"/>
        </w:rPr>
      </w:pPr>
      <w:bookmarkStart w:id="32" w:name="_Toc29547"/>
      <w:r>
        <w:rPr>
          <w:rFonts w:hint="eastAsia"/>
          <w:b/>
          <w:color w:val="auto"/>
          <w:lang w:val="en-US" w:eastAsia="zh-CN"/>
        </w:rPr>
        <w:t>4、国务院办公厅关于在政府采购中实施本国产品标准及相关政策的通知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7"/>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7"/>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7"/>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2B82F55F">
      <w:pPr>
        <w:jc w:val="both"/>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（九）福田区第二人民医院</w:t>
      </w:r>
      <w:bookmarkEnd w:id="32"/>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3"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3"/>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4" w:name="_Toc29077"/>
      <w:bookmarkStart w:id="35" w:name="_Toc24434"/>
      <w:bookmarkStart w:id="36" w:name="_Toc1762"/>
      <w:bookmarkStart w:id="37" w:name="_Toc435515294"/>
      <w:bookmarkStart w:id="38" w:name="_Toc9447"/>
      <w:bookmarkStart w:id="39" w:name="_Toc275865605"/>
      <w:bookmarkStart w:id="40" w:name="_Toc20322_WPSOffice_Level1"/>
      <w:bookmarkStart w:id="41" w:name="_Toc43551485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4"/>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2" w:name="_Toc28894"/>
      <w:r>
        <w:rPr>
          <w:rFonts w:hint="eastAsia" w:cs="宋体" w:asciiTheme="majorEastAsia" w:hAnsiTheme="majorEastAsia" w:eastAsiaTheme="majorEastAsia"/>
          <w:b w:val="0"/>
          <w:kern w:val="2"/>
          <w:sz w:val="30"/>
          <w:szCs w:val="30"/>
          <w:lang w:val="en-US" w:eastAsia="zh-CN" w:bidi="ar-SA"/>
        </w:rPr>
        <w:t>（十二）投标函</w:t>
      </w:r>
      <w:bookmarkEnd w:id="35"/>
      <w:bookmarkEnd w:id="36"/>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6831"/>
      <w:bookmarkStart w:id="44" w:name="_Toc435515295"/>
      <w:bookmarkStart w:id="45" w:name="_Toc7805"/>
      <w:bookmarkStart w:id="46" w:name="_Toc4649"/>
      <w:bookmarkStart w:id="47" w:name="_Toc24650"/>
      <w:bookmarkStart w:id="48" w:name="_Toc435514855"/>
      <w:bookmarkStart w:id="49" w:name="_Toc275865606"/>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bookmarkEnd w:id="48"/>
      <w:bookmarkEnd w:id="49"/>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0" w:name="_承诺函"/>
      <w:bookmarkEnd w:id="50"/>
      <w:bookmarkStart w:id="51" w:name="_Toc32186"/>
      <w:bookmarkStart w:id="52" w:name="_Toc21707"/>
      <w:bookmarkStart w:id="53" w:name="_Toc50736477"/>
      <w:bookmarkStart w:id="54" w:name="_Toc435514859"/>
      <w:bookmarkStart w:id="55" w:name="_Toc50737329"/>
      <w:bookmarkStart w:id="56" w:name="_Toc275865607"/>
      <w:bookmarkStart w:id="57" w:name="_Toc27672"/>
      <w:bookmarkStart w:id="58" w:name="_Toc435515299"/>
      <w:bookmarkStart w:id="59" w:name="_Toc24149"/>
      <w:bookmarkStart w:id="60" w:name="_Toc50737297"/>
      <w:bookmarkStart w:id="61" w:name="_Toc52165081"/>
      <w:bookmarkStart w:id="62" w:name="_Toc50691034"/>
      <w:bookmarkStart w:id="63" w:name="_Toc50737296"/>
      <w:bookmarkStart w:id="64" w:name="_Toc50736476"/>
      <w:bookmarkStart w:id="65" w:name="_Toc52165080"/>
      <w:bookmarkStart w:id="66" w:name="_Toc50737328"/>
      <w:r>
        <w:rPr>
          <w:rFonts w:hint="eastAsia" w:cs="宋体" w:asciiTheme="majorEastAsia" w:hAnsiTheme="majorEastAsia" w:eastAsiaTheme="majorEastAsia"/>
          <w:kern w:val="2"/>
          <w:sz w:val="30"/>
          <w:szCs w:val="30"/>
          <w:lang w:val="en-US" w:eastAsia="zh-CN" w:bidi="ar-SA"/>
        </w:rPr>
        <w:t>（十四）政府采购违法行为风险知悉确认书</w:t>
      </w:r>
      <w:bookmarkEnd w:id="51"/>
      <w:bookmarkEnd w:id="52"/>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7" w:name="_Toc13791"/>
      <w:bookmarkStart w:id="68" w:name="_Toc24374"/>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3"/>
      <w:bookmarkEnd w:id="54"/>
      <w:bookmarkEnd w:id="55"/>
      <w:bookmarkEnd w:id="56"/>
      <w:bookmarkEnd w:id="57"/>
      <w:bookmarkEnd w:id="58"/>
      <w:bookmarkEnd w:id="59"/>
      <w:bookmarkEnd w:id="60"/>
      <w:bookmarkEnd w:id="61"/>
      <w:bookmarkEnd w:id="67"/>
      <w:bookmarkEnd w:id="68"/>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7"/>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9" w:name="_Toc275865608"/>
      <w:bookmarkStart w:id="70" w:name="_Toc435515300"/>
      <w:bookmarkStart w:id="71" w:name="_Toc435514860"/>
      <w:bookmarkStart w:id="72"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2"/>
    <w:bookmarkEnd w:id="63"/>
    <w:bookmarkEnd w:id="64"/>
    <w:bookmarkEnd w:id="65"/>
    <w:bookmarkEnd w:id="66"/>
    <w:bookmarkEnd w:id="69"/>
    <w:bookmarkEnd w:id="70"/>
    <w:bookmarkEnd w:id="71"/>
    <w:bookmarkEnd w:id="72"/>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3" w:name="_Toc571"/>
      <w:bookmarkStart w:id="74" w:name="_Toc6666"/>
      <w:bookmarkStart w:id="75" w:name="_Toc21402"/>
      <w:bookmarkStart w:id="76"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3"/>
      <w:bookmarkEnd w:id="74"/>
      <w:bookmarkEnd w:id="75"/>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7" w:name="_Toc29263"/>
      <w:bookmarkStart w:id="78" w:name="_Toc24233"/>
      <w:bookmarkStart w:id="79" w:name="_Toc10390"/>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6"/>
      <w:bookmarkEnd w:id="77"/>
      <w:bookmarkEnd w:id="78"/>
      <w:bookmarkEnd w:id="7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0" w:name="_Toc23830"/>
      <w:bookmarkStart w:id="81" w:name="_Toc24644"/>
      <w:bookmarkStart w:id="82" w:name="_Toc30412"/>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0"/>
      <w:bookmarkEnd w:id="81"/>
      <w:bookmarkEnd w:id="82"/>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3" w:name="_Toc777"/>
      <w:bookmarkStart w:id="84" w:name="_Toc11926"/>
      <w:bookmarkStart w:id="85" w:name="_Toc2305"/>
      <w:bookmarkStart w:id="86" w:name="_Toc7126"/>
      <w:bookmarkStart w:id="87" w:name="_Toc1903"/>
      <w:bookmarkStart w:id="88" w:name="_Toc15871"/>
      <w:bookmarkStart w:id="89" w:name="_Toc11352"/>
      <w:bookmarkStart w:id="90"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3"/>
      <w:bookmarkEnd w:id="84"/>
      <w:bookmarkEnd w:id="85"/>
      <w:bookmarkEnd w:id="86"/>
      <w:bookmarkEnd w:id="87"/>
      <w:bookmarkEnd w:id="88"/>
      <w:bookmarkEnd w:id="89"/>
      <w:bookmarkEnd w:id="90"/>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7"/>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1" w:name="_Toc11555"/>
      <w:bookmarkStart w:id="92"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1"/>
      <w:bookmarkEnd w:id="92"/>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3" w:name="_Toc7852"/>
      <w:bookmarkStart w:id="94"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3"/>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5" w:name="_Toc9651"/>
      <w:r>
        <w:rPr>
          <w:rFonts w:hint="eastAsia" w:cs="宋体" w:asciiTheme="majorEastAsia" w:hAnsiTheme="majorEastAsia" w:eastAsiaTheme="majorEastAsia"/>
          <w:kern w:val="2"/>
          <w:sz w:val="30"/>
          <w:szCs w:val="30"/>
          <w:lang w:val="en-US" w:eastAsia="zh-CN" w:bidi="ar-SA"/>
        </w:rPr>
        <w:t>（二十二）</w:t>
      </w:r>
      <w:bookmarkEnd w:id="94"/>
      <w:r>
        <w:rPr>
          <w:rFonts w:hint="eastAsia" w:cs="宋体" w:asciiTheme="majorEastAsia" w:hAnsiTheme="majorEastAsia" w:eastAsiaTheme="majorEastAsia"/>
          <w:kern w:val="2"/>
          <w:sz w:val="30"/>
          <w:szCs w:val="30"/>
          <w:lang w:val="en-US" w:eastAsia="zh-CN" w:bidi="ar-SA"/>
        </w:rPr>
        <w:t>配送方案</w:t>
      </w:r>
      <w:bookmarkEnd w:id="95"/>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6"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6"/>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7"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7"/>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17243"/>
      <w:r>
        <w:rPr>
          <w:rFonts w:hint="eastAsia" w:asciiTheme="majorEastAsia" w:hAnsiTheme="majorEastAsia" w:eastAsiaTheme="majorEastAsia"/>
          <w:sz w:val="30"/>
          <w:szCs w:val="30"/>
          <w:lang w:val="en-US" w:eastAsia="zh-CN"/>
        </w:rPr>
        <w:t>（二十五）履约评价</w:t>
      </w:r>
      <w:bookmarkEnd w:id="98"/>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7595"/>
      <w:r>
        <w:rPr>
          <w:rFonts w:hint="eastAsia" w:asciiTheme="majorEastAsia" w:hAnsiTheme="majorEastAsia" w:eastAsiaTheme="majorEastAsia"/>
          <w:sz w:val="30"/>
          <w:szCs w:val="30"/>
          <w:lang w:val="en-US" w:eastAsia="zh-CN"/>
        </w:rPr>
        <w:t>（二十六）仓储、运输能力</w:t>
      </w:r>
      <w:bookmarkEnd w:id="99"/>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0"/>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1" w:name="_Toc435516650"/>
      <w:bookmarkStart w:id="102" w:name="_Toc438223136"/>
      <w:bookmarkStart w:id="103" w:name="_Toc14580"/>
      <w:bookmarkStart w:id="104" w:name="_Toc11652"/>
      <w:bookmarkStart w:id="105" w:name="_Toc435174933"/>
      <w:bookmarkStart w:id="106" w:name="_Toc1658"/>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7" w:name="_Toc30434"/>
      <w:r>
        <w:rPr>
          <w:rFonts w:asciiTheme="majorEastAsia" w:hAnsiTheme="majorEastAsia" w:eastAsiaTheme="majorEastAsia"/>
          <w:sz w:val="32"/>
          <w:szCs w:val="32"/>
          <w:lang w:eastAsia="zh-TW"/>
        </w:rPr>
        <w:t>说 明</w:t>
      </w:r>
      <w:bookmarkEnd w:id="101"/>
      <w:bookmarkEnd w:id="102"/>
      <w:bookmarkEnd w:id="103"/>
      <w:bookmarkEnd w:id="104"/>
      <w:bookmarkEnd w:id="105"/>
      <w:bookmarkEnd w:id="106"/>
      <w:bookmarkEnd w:id="107"/>
      <w:bookmarkStart w:id="108"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9"/>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8"/>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0" w:name="_Toc128037689"/>
      <w:bookmarkStart w:id="111" w:name="_Toc532"/>
      <w:bookmarkStart w:id="112" w:name="_Toc374439153"/>
      <w:bookmarkStart w:id="113" w:name="_Toc109889663"/>
      <w:bookmarkStart w:id="114" w:name="_Toc318878971"/>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5" w:name="_Toc13149_WPSOffice_Level1"/>
      <w:r>
        <w:rPr>
          <w:rFonts w:hint="eastAsia" w:ascii="仿宋_GB2312" w:hAnsi="仿宋_GB2312" w:eastAsia="仿宋_GB2312" w:cs="仿宋_GB2312"/>
          <w:b/>
          <w:color w:val="auto"/>
          <w:sz w:val="28"/>
          <w:szCs w:val="28"/>
          <w:highlight w:val="none"/>
        </w:rPr>
        <w:t>第一条  合同标的</w:t>
      </w:r>
      <w:bookmarkEnd w:id="115"/>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663_WPSOffice_Level1"/>
      <w:r>
        <w:rPr>
          <w:rFonts w:hint="eastAsia" w:ascii="仿宋_GB2312" w:hAnsi="仿宋_GB2312" w:eastAsia="仿宋_GB2312" w:cs="仿宋_GB2312"/>
          <w:b/>
          <w:color w:val="auto"/>
          <w:sz w:val="28"/>
          <w:szCs w:val="28"/>
          <w:highlight w:val="none"/>
        </w:rPr>
        <w:t>第二条  合同价款</w:t>
      </w:r>
      <w:bookmarkEnd w:id="116"/>
    </w:p>
    <w:p w14:paraId="2AA3628C">
      <w:pPr>
        <w:pStyle w:val="6"/>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7"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7"/>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8" w:name="_Toc2412_WPSOffice_Level1"/>
      <w:r>
        <w:rPr>
          <w:rFonts w:hint="eastAsia" w:ascii="仿宋_GB2312" w:hAnsi="仿宋_GB2312" w:eastAsia="仿宋_GB2312" w:cs="仿宋_GB2312"/>
          <w:b/>
          <w:color w:val="auto"/>
          <w:sz w:val="28"/>
          <w:szCs w:val="28"/>
          <w:highlight w:val="none"/>
        </w:rPr>
        <w:t>第九条 质量保证及售后服务</w:t>
      </w:r>
      <w:bookmarkEnd w:id="118"/>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9"/>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0"/>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1"/>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2" w:name="_Toc12695_WPSOffice_Level1"/>
      <w:r>
        <w:rPr>
          <w:rFonts w:hint="eastAsia" w:ascii="仿宋_GB2312" w:hAnsi="仿宋_GB2312" w:eastAsia="仿宋_GB2312" w:cs="仿宋_GB2312"/>
          <w:b/>
          <w:color w:val="auto"/>
          <w:sz w:val="28"/>
          <w:szCs w:val="28"/>
          <w:highlight w:val="none"/>
        </w:rPr>
        <w:t>附则</w:t>
      </w:r>
      <w:bookmarkEnd w:id="122"/>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3"/>
      <w:bookmarkStart w:id="124"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4"/>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5" w:name="_Toc28445_WPSOffice_Level1"/>
      <w:r>
        <w:rPr>
          <w:rFonts w:hint="eastAsia" w:ascii="仿宋_GB2312" w:hAnsi="仿宋_GB2312" w:eastAsia="仿宋_GB2312" w:cs="仿宋_GB2312"/>
          <w:color w:val="auto"/>
          <w:sz w:val="28"/>
          <w:szCs w:val="28"/>
          <w:highlight w:val="none"/>
        </w:rPr>
        <w:t>附件三：廉洁从业承诺书（员工承诺</w:t>
      </w:r>
      <w:bookmarkEnd w:id="12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0"/>
      <w:bookmarkEnd w:id="111"/>
      <w:bookmarkEnd w:id="112"/>
      <w:bookmarkEnd w:id="113"/>
      <w:bookmarkEnd w:id="114"/>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6"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6"/>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39A4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B4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B15">
            <w:pPr>
              <w:spacing w:line="240" w:lineRule="exact"/>
              <w:jc w:val="both"/>
              <w:rPr>
                <w:rFonts w:hint="eastAsia" w:ascii="宋体" w:hAnsi="宋体" w:cs="宋体"/>
                <w:szCs w:val="21"/>
                <w:highlight w:val="none"/>
              </w:rPr>
            </w:pPr>
            <w:r>
              <w:rPr>
                <w:rFonts w:hint="eastAsia" w:ascii="宋体" w:hAnsi="宋体" w:cs="宋体"/>
                <w:szCs w:val="21"/>
                <w:highlight w:val="none"/>
              </w:rPr>
              <w:t>技术规格偏离情况</w:t>
            </w:r>
          </w:p>
          <w:p w14:paraId="72EF4190">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6BD52B03">
            <w:pPr>
              <w:rPr>
                <w:rFonts w:hint="eastAsia" w:ascii="宋体" w:hAnsi="宋体" w:cs="宋体"/>
                <w:kern w:val="0"/>
                <w:szCs w:val="21"/>
                <w:highlight w:val="none"/>
              </w:rPr>
            </w:pPr>
            <w:r>
              <w:rPr>
                <w:rFonts w:hint="eastAsia" w:ascii="宋体" w:hAnsi="宋体" w:cs="宋体"/>
                <w:kern w:val="0"/>
                <w:szCs w:val="21"/>
                <w:highlight w:val="none"/>
              </w:rPr>
              <w:t>投标人应</w:t>
            </w:r>
            <w:r>
              <w:rPr>
                <w:rFonts w:hint="eastAsia" w:ascii="宋体" w:hAnsi="宋体" w:cs="宋体"/>
                <w:b/>
                <w:bCs/>
                <w:kern w:val="0"/>
                <w:szCs w:val="21"/>
                <w:highlight w:val="none"/>
                <w:u w:val="single"/>
              </w:rPr>
              <w:t>“</w:t>
            </w:r>
            <w:r>
              <w:rPr>
                <w:rFonts w:hint="eastAsia" w:ascii="宋体" w:hAnsi="宋体" w:cs="宋体"/>
                <w:b/>
                <w:bCs/>
                <w:i w:val="0"/>
                <w:iCs w:val="0"/>
                <w:kern w:val="0"/>
                <w:szCs w:val="21"/>
                <w:highlight w:val="none"/>
                <w:u w:val="single"/>
              </w:rPr>
              <w:t>用户需求书-</w:t>
            </w:r>
            <w:r>
              <w:rPr>
                <w:rFonts w:hint="eastAsia" w:hAnsi="宋体"/>
                <w:b/>
                <w:i w:val="0"/>
                <w:iCs w:val="0"/>
                <w:color w:val="auto"/>
                <w:u w:val="single"/>
                <w:lang w:val="en-US" w:eastAsia="zh-CN"/>
              </w:rPr>
              <w:t>货品清单及</w:t>
            </w:r>
            <w:r>
              <w:rPr>
                <w:rFonts w:hint="eastAsia" w:hAnsi="宋体"/>
                <w:b/>
                <w:i w:val="0"/>
                <w:iCs w:val="0"/>
                <w:color w:val="auto"/>
                <w:u w:val="single"/>
              </w:rPr>
              <w:t>技术要求</w:t>
            </w:r>
            <w:r>
              <w:rPr>
                <w:rFonts w:hint="eastAsia" w:ascii="宋体" w:hAnsi="宋体" w:cs="宋体"/>
                <w:b/>
                <w:bCs/>
                <w:i w:val="0"/>
                <w:iCs w:val="0"/>
                <w:kern w:val="0"/>
                <w:szCs w:val="21"/>
                <w:highlight w:val="none"/>
                <w:u w:val="single"/>
              </w:rPr>
              <w:t>”</w:t>
            </w:r>
            <w:r>
              <w:rPr>
                <w:rFonts w:hint="eastAsia" w:ascii="宋体" w:hAnsi="宋体" w:cs="宋体"/>
                <w:kern w:val="0"/>
                <w:szCs w:val="21"/>
                <w:highlight w:val="none"/>
              </w:rPr>
              <w:t>如实填写《技术规格</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主要需求</w:t>
            </w:r>
            <w:r>
              <w:rPr>
                <w:rFonts w:hint="eastAsia" w:ascii="宋体" w:hAnsi="宋体" w:cs="宋体"/>
                <w:kern w:val="0"/>
                <w:szCs w:val="21"/>
                <w:highlight w:val="none"/>
                <w:lang w:eastAsia="zh-CN"/>
              </w:rPr>
              <w:t>）</w:t>
            </w:r>
            <w:r>
              <w:rPr>
                <w:rFonts w:hint="eastAsia" w:ascii="宋体" w:hAnsi="宋体" w:cs="宋体"/>
                <w:kern w:val="0"/>
                <w:szCs w:val="21"/>
                <w:highlight w:val="none"/>
              </w:rPr>
              <w:t>偏离表》，评审委员会根据投标人对用户需求技术参数响应情况进行打分，各项技术参数全部满足得</w:t>
            </w:r>
            <w:r>
              <w:rPr>
                <w:rFonts w:hint="eastAsia" w:ascii="宋体" w:hAnsi="宋体" w:cs="宋体"/>
                <w:kern w:val="0"/>
                <w:szCs w:val="21"/>
                <w:highlight w:val="none"/>
                <w:lang w:val="en-US" w:eastAsia="zh-CN"/>
              </w:rPr>
              <w:t>12</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rPr>
              <w:t>每负偏离一项扣</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扣完为止</w:t>
            </w:r>
            <w:r>
              <w:rPr>
                <w:rFonts w:hint="eastAsia" w:ascii="宋体" w:hAnsi="宋体" w:cs="宋体"/>
                <w:kern w:val="0"/>
                <w:szCs w:val="21"/>
                <w:highlight w:val="none"/>
              </w:rPr>
              <w:t>。</w:t>
            </w:r>
          </w:p>
          <w:p w14:paraId="07C1F228">
            <w:pPr>
              <w:numPr>
                <w:ilvl w:val="0"/>
                <w:numId w:val="0"/>
              </w:numPr>
              <w:wordWrap w:val="0"/>
              <w:snapToGrid w:val="0"/>
              <w:rPr>
                <w:rFonts w:ascii="宋体" w:hAnsi="宋体" w:cs="宋体"/>
                <w:b/>
                <w:bCs/>
                <w:snapToGrid w:val="0"/>
                <w:kern w:val="0"/>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1A4FA29">
            <w:pPr>
              <w:pStyle w:val="5"/>
              <w:ind w:firstLine="0"/>
              <w:rPr>
                <w:rFonts w:ascii="宋体" w:hAnsi="宋体" w:cs="宋体"/>
                <w:snapToGrid w:val="0"/>
                <w:kern w:val="0"/>
                <w:szCs w:val="21"/>
                <w:highlight w:val="none"/>
              </w:rPr>
            </w:pPr>
            <w:r>
              <w:rPr>
                <w:rFonts w:hint="eastAsia" w:ascii="宋体" w:hAnsi="宋体" w:cs="宋体"/>
                <w:kern w:val="0"/>
                <w:szCs w:val="21"/>
                <w:highlight w:val="none"/>
              </w:rPr>
              <w:t>1、投标人需提供</w:t>
            </w:r>
            <w:r>
              <w:rPr>
                <w:rFonts w:hint="eastAsia" w:ascii="宋体" w:hAnsi="宋体" w:cs="宋体"/>
                <w:snapToGrid w:val="0"/>
                <w:kern w:val="0"/>
                <w:szCs w:val="21"/>
                <w:highlight w:val="none"/>
              </w:rPr>
              <w:t>相关证明材料（技术白皮书或制造商原厂彩页或产品说明书或第三方出具的检测报告等，</w:t>
            </w:r>
            <w:r>
              <w:rPr>
                <w:rFonts w:hint="eastAsia" w:ascii="宋体" w:hAnsi="宋体" w:cs="宋体"/>
                <w:kern w:val="0"/>
                <w:szCs w:val="21"/>
                <w:highlight w:val="none"/>
              </w:rPr>
              <w:t>如厂家的产品使用说明书为英文版，请同时提供中文版</w:t>
            </w:r>
            <w:r>
              <w:rPr>
                <w:rFonts w:hint="eastAsia" w:ascii="宋体" w:hAnsi="宋体" w:cs="宋体"/>
                <w:snapToGrid w:val="0"/>
                <w:kern w:val="0"/>
                <w:szCs w:val="21"/>
                <w:highlight w:val="none"/>
              </w:rPr>
              <w:t>），</w:t>
            </w:r>
            <w:r>
              <w:rPr>
                <w:rFonts w:hint="eastAsia" w:ascii="宋体" w:hAnsi="宋体" w:cs="宋体"/>
                <w:kern w:val="0"/>
                <w:szCs w:val="21"/>
                <w:highlight w:val="none"/>
              </w:rPr>
              <w:t>否则评标委员会有权视相应技术参数响应不符合招标要求</w:t>
            </w:r>
            <w:r>
              <w:rPr>
                <w:rFonts w:hint="eastAsia" w:ascii="宋体" w:hAnsi="宋体" w:cs="宋体"/>
                <w:snapToGrid w:val="0"/>
                <w:kern w:val="0"/>
                <w:szCs w:val="21"/>
                <w:highlight w:val="none"/>
              </w:rPr>
              <w:t>。</w:t>
            </w:r>
          </w:p>
          <w:p w14:paraId="1D6AAAF1">
            <w:pPr>
              <w:pStyle w:val="5"/>
              <w:ind w:firstLine="0"/>
              <w:rPr>
                <w:rFonts w:ascii="宋体" w:hAnsi="宋体" w:cs="宋体"/>
                <w:snapToGrid w:val="0"/>
                <w:kern w:val="0"/>
                <w:szCs w:val="21"/>
                <w:highlight w:val="none"/>
              </w:rPr>
            </w:pPr>
            <w:r>
              <w:rPr>
                <w:rFonts w:hint="eastAsia" w:ascii="宋体" w:hAnsi="宋体" w:cs="宋体"/>
                <w:snapToGrid w:val="0"/>
                <w:kern w:val="0"/>
                <w:szCs w:val="21"/>
                <w:highlight w:val="none"/>
              </w:rPr>
              <w:t>2、注明证明材料在投标文件中的具体位置，如投标人不按照招标文件要求放置证明材料，</w:t>
            </w:r>
            <w:r>
              <w:rPr>
                <w:rFonts w:hint="eastAsia" w:ascii="宋体" w:hAnsi="宋体" w:cs="宋体"/>
                <w:kern w:val="0"/>
                <w:szCs w:val="21"/>
                <w:highlight w:val="none"/>
              </w:rPr>
              <w:t>评标委员会有权视相应技术参数响应不符合招标要求</w:t>
            </w:r>
            <w:r>
              <w:rPr>
                <w:rFonts w:hint="eastAsia" w:ascii="宋体" w:hAnsi="宋体" w:cs="宋体"/>
                <w:snapToGrid w:val="0"/>
                <w:kern w:val="0"/>
                <w:szCs w:val="21"/>
                <w:highlight w:val="none"/>
              </w:rPr>
              <w:t>，按负偏离进行扣分。</w:t>
            </w:r>
          </w:p>
          <w:p w14:paraId="581FD1C9">
            <w:pPr>
              <w:keepNext w:val="0"/>
              <w:keepLines w:val="0"/>
              <w:widowControl/>
              <w:suppressLineNumbers w:val="0"/>
              <w:jc w:val="left"/>
              <w:textAlignment w:val="center"/>
              <w:rPr>
                <w:rFonts w:hint="eastAsia" w:asciiTheme="minorEastAsia" w:hAnsiTheme="minorEastAsia" w:eastAsiaTheme="minorEastAsia" w:cstheme="minorEastAsia"/>
                <w:color w:val="auto"/>
                <w:kern w:val="0"/>
                <w:szCs w:val="21"/>
                <w:highlight w:val="none"/>
                <w:lang w:eastAsia="zh-CN"/>
              </w:rPr>
            </w:pPr>
            <w:r>
              <w:rPr>
                <w:rFonts w:hint="eastAsia" w:ascii="宋体" w:hAnsi="宋体" w:cs="宋体"/>
                <w:snapToGrid w:val="0"/>
                <w:kern w:val="0"/>
                <w:szCs w:val="21"/>
                <w:highlight w:val="none"/>
              </w:rPr>
              <w:t>3、提供的证明资料显示不符合招标文件要求、模糊不清无法判断或未显示是否满足招标文件参数，且投标人偏离程度响应为“无偏离或正偏离”，</w:t>
            </w:r>
            <w:r>
              <w:rPr>
                <w:rFonts w:hint="eastAsia" w:ascii="宋体" w:hAnsi="宋体" w:cs="宋体"/>
                <w:kern w:val="0"/>
                <w:szCs w:val="21"/>
                <w:highlight w:val="none"/>
              </w:rPr>
              <w:t>评标委员会有权视相应技术参数响应不符合招标要求</w:t>
            </w:r>
            <w:r>
              <w:rPr>
                <w:rFonts w:hint="eastAsia" w:ascii="宋体" w:hAnsi="宋体" w:cs="宋体"/>
                <w:snapToGrid w:val="0"/>
                <w:kern w:val="0"/>
                <w:szCs w:val="21"/>
                <w:highlight w:val="none"/>
              </w:rPr>
              <w:t>，按负偏离进行扣分。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1F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continue"/>
            <w:tcBorders>
              <w:left w:val="single" w:color="000000" w:sz="4" w:space="0"/>
              <w:right w:val="single" w:color="000000" w:sz="4" w:space="0"/>
            </w:tcBorders>
            <w:shd w:val="clear" w:color="auto" w:fill="auto"/>
            <w:vAlign w:val="center"/>
          </w:tcPr>
          <w:p w14:paraId="343372AD">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490">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32E0DF6F">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62B05F7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2ACDD80E">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7AF28EC3">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5B3D52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1744874E">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46E87FCE">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分，其余情况不得分。</w:t>
            </w:r>
          </w:p>
          <w:p w14:paraId="14BFBC30">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48878A2A">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分；</w:t>
            </w:r>
          </w:p>
          <w:p w14:paraId="44ADFE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6914FE3">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50B9C30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00266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1200" w:type="dxa"/>
            <w:vMerge w:val="continue"/>
            <w:tcBorders>
              <w:left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CA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79EB770F">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1786439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4C36F391">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2864034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326161D4">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B9DD31F">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270CD615">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分，其余情况不得分。</w:t>
            </w:r>
          </w:p>
          <w:p w14:paraId="7857F47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33C7C003">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分；</w:t>
            </w:r>
          </w:p>
          <w:p w14:paraId="2AF6AC7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01565A6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2545403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25D5F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6" w:hRule="atLeast"/>
          <w:jc w:val="center"/>
        </w:trPr>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85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39269A3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697103BF">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7110FB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1、投标人按要求提供样品得6分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样品或提供不全的本项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0FDDAC7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1993A9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p w14:paraId="56D3E7B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1D602A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57F6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08A5BC-6BCB-496B-9820-BD4CF4F9B183}"/>
  </w:font>
  <w:font w:name="黑体">
    <w:panose1 w:val="02010609060101010101"/>
    <w:charset w:val="86"/>
    <w:family w:val="auto"/>
    <w:pitch w:val="default"/>
    <w:sig w:usb0="800002BF" w:usb1="38CF7CFA" w:usb2="00000016" w:usb3="00000000" w:csb0="00040001" w:csb1="00000000"/>
    <w:embedRegular r:id="rId2" w:fontKey="{C1C4F9B0-A235-481D-9DE4-09BB168B08D8}"/>
  </w:font>
  <w:font w:name="Courier New">
    <w:panose1 w:val="02070309020205020404"/>
    <w:charset w:val="01"/>
    <w:family w:val="modern"/>
    <w:pitch w:val="default"/>
    <w:sig w:usb0="E0002EFF" w:usb1="C0007843" w:usb2="00000009" w:usb3="00000000" w:csb0="400001FF" w:csb1="FFFF0000"/>
    <w:embedRegular r:id="rId3" w:fontKey="{132789C7-00FF-403D-9982-28AC44AC206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ACF57214-2093-4B9A-B517-5A68842D56AB}"/>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64AE6331-B2C3-4303-854D-871DFA37B856}"/>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6728447C-3FD5-4BCB-A087-08A84A521B95}"/>
  </w:font>
  <w:font w:name="Wingdings 2">
    <w:panose1 w:val="05020102010507070707"/>
    <w:charset w:val="00"/>
    <w:family w:val="auto"/>
    <w:pitch w:val="default"/>
    <w:sig w:usb0="00000000" w:usb1="00000000" w:usb2="00000000" w:usb3="00000000" w:csb0="80000000" w:csb1="00000000"/>
    <w:embedRegular r:id="rId7" w:fontKey="{FF0F5F8A-28E7-4215-A05F-B3BDA85DC7C1}"/>
  </w:font>
  <w:font w:name="方正仿宋_GBK">
    <w:altName w:val="微软雅黑"/>
    <w:panose1 w:val="00000000000000000000"/>
    <w:charset w:val="86"/>
    <w:family w:val="auto"/>
    <w:pitch w:val="default"/>
    <w:sig w:usb0="00000000" w:usb1="00000000" w:usb2="00000000" w:usb3="00000000" w:csb0="00040000" w:csb1="00000000"/>
    <w:embedRegular r:id="rId8" w:fontKey="{8A9B584C-B081-42E3-A526-C7A0DDB2795C}"/>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8A9B1596-898C-454C-8619-D39E657C3DCD}"/>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2D59F2C7-D2A4-4749-A496-4D0C99C8CA74}"/>
  </w:font>
  <w:font w:name="方正小标宋_GBK">
    <w:panose1 w:val="02000000000000000000"/>
    <w:charset w:val="86"/>
    <w:family w:val="script"/>
    <w:pitch w:val="default"/>
    <w:sig w:usb0="A00002BF" w:usb1="38CF7CFA" w:usb2="00082016" w:usb3="00000000" w:csb0="00040001" w:csb1="00000000"/>
    <w:embedRegular r:id="rId11" w:fontKey="{BE207D8D-A0FF-411B-9839-DA3A5F6D3864}"/>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3722D"/>
    <w:rsid w:val="00CB48A0"/>
    <w:rsid w:val="00D076D9"/>
    <w:rsid w:val="00D27E74"/>
    <w:rsid w:val="00D36759"/>
    <w:rsid w:val="00D70391"/>
    <w:rsid w:val="00DE0DB1"/>
    <w:rsid w:val="00DF281B"/>
    <w:rsid w:val="00E309D1"/>
    <w:rsid w:val="00E70B1C"/>
    <w:rsid w:val="00EE5E48"/>
    <w:rsid w:val="00FC1F7B"/>
    <w:rsid w:val="00FD6AFE"/>
    <w:rsid w:val="00FF2DFF"/>
    <w:rsid w:val="01842D0A"/>
    <w:rsid w:val="01A10A62"/>
    <w:rsid w:val="01FD42EF"/>
    <w:rsid w:val="02515E13"/>
    <w:rsid w:val="02A03E0F"/>
    <w:rsid w:val="03824295"/>
    <w:rsid w:val="03CA1333"/>
    <w:rsid w:val="03D86CBB"/>
    <w:rsid w:val="04A41E29"/>
    <w:rsid w:val="0586171E"/>
    <w:rsid w:val="062A1835"/>
    <w:rsid w:val="07035F04"/>
    <w:rsid w:val="095B27C3"/>
    <w:rsid w:val="0BBE064B"/>
    <w:rsid w:val="0C732455"/>
    <w:rsid w:val="0C831895"/>
    <w:rsid w:val="0E0A4D0C"/>
    <w:rsid w:val="0E1B2C35"/>
    <w:rsid w:val="0F847DFE"/>
    <w:rsid w:val="10437371"/>
    <w:rsid w:val="10EC5674"/>
    <w:rsid w:val="13272F7A"/>
    <w:rsid w:val="13854040"/>
    <w:rsid w:val="13CA0FD2"/>
    <w:rsid w:val="14DA7639"/>
    <w:rsid w:val="155F0204"/>
    <w:rsid w:val="16354792"/>
    <w:rsid w:val="167968A8"/>
    <w:rsid w:val="168261AD"/>
    <w:rsid w:val="175224D1"/>
    <w:rsid w:val="183B62C6"/>
    <w:rsid w:val="183D0B4A"/>
    <w:rsid w:val="19C51BDF"/>
    <w:rsid w:val="1A0F0637"/>
    <w:rsid w:val="1AC75CBA"/>
    <w:rsid w:val="1ACD08AB"/>
    <w:rsid w:val="1C1B3569"/>
    <w:rsid w:val="1C7D53A8"/>
    <w:rsid w:val="1D740F3F"/>
    <w:rsid w:val="1DA500B9"/>
    <w:rsid w:val="1E304F2A"/>
    <w:rsid w:val="1EA731C1"/>
    <w:rsid w:val="1F3216D9"/>
    <w:rsid w:val="1FB40BCE"/>
    <w:rsid w:val="1FBA31C5"/>
    <w:rsid w:val="1FC04AB6"/>
    <w:rsid w:val="20573F48"/>
    <w:rsid w:val="20857E4D"/>
    <w:rsid w:val="2110276B"/>
    <w:rsid w:val="217A1947"/>
    <w:rsid w:val="21BA145D"/>
    <w:rsid w:val="225047E7"/>
    <w:rsid w:val="22DA20BB"/>
    <w:rsid w:val="24590191"/>
    <w:rsid w:val="24CC6443"/>
    <w:rsid w:val="25F413E1"/>
    <w:rsid w:val="26EF3957"/>
    <w:rsid w:val="27A32756"/>
    <w:rsid w:val="28774BB2"/>
    <w:rsid w:val="28CF3A40"/>
    <w:rsid w:val="292F0982"/>
    <w:rsid w:val="294C0405"/>
    <w:rsid w:val="2AD85138"/>
    <w:rsid w:val="2B8166BA"/>
    <w:rsid w:val="2BC25ADE"/>
    <w:rsid w:val="2BEF1BE2"/>
    <w:rsid w:val="2C2F1E92"/>
    <w:rsid w:val="2CAA6F1D"/>
    <w:rsid w:val="2E063599"/>
    <w:rsid w:val="2F746B39"/>
    <w:rsid w:val="2FEF24C1"/>
    <w:rsid w:val="317E15FD"/>
    <w:rsid w:val="32A7178F"/>
    <w:rsid w:val="344E622F"/>
    <w:rsid w:val="348C0A37"/>
    <w:rsid w:val="34D04DC8"/>
    <w:rsid w:val="34D95BA1"/>
    <w:rsid w:val="353327D7"/>
    <w:rsid w:val="36F16FEE"/>
    <w:rsid w:val="37436ACA"/>
    <w:rsid w:val="37F963E3"/>
    <w:rsid w:val="38312021"/>
    <w:rsid w:val="38404012"/>
    <w:rsid w:val="38454C6B"/>
    <w:rsid w:val="389C5DF9"/>
    <w:rsid w:val="39C9473C"/>
    <w:rsid w:val="3A4F4F44"/>
    <w:rsid w:val="3ADB6274"/>
    <w:rsid w:val="3CC20B68"/>
    <w:rsid w:val="3CFF2687"/>
    <w:rsid w:val="3D691D61"/>
    <w:rsid w:val="3FF83425"/>
    <w:rsid w:val="402E42D9"/>
    <w:rsid w:val="409674F3"/>
    <w:rsid w:val="41894625"/>
    <w:rsid w:val="42961172"/>
    <w:rsid w:val="42A15057"/>
    <w:rsid w:val="430D265D"/>
    <w:rsid w:val="44B33DBE"/>
    <w:rsid w:val="44ED4447"/>
    <w:rsid w:val="457353A7"/>
    <w:rsid w:val="46062A6F"/>
    <w:rsid w:val="460A6E42"/>
    <w:rsid w:val="466C27DB"/>
    <w:rsid w:val="466F1003"/>
    <w:rsid w:val="46D421B5"/>
    <w:rsid w:val="46E84D7E"/>
    <w:rsid w:val="474D4A8F"/>
    <w:rsid w:val="47507FEA"/>
    <w:rsid w:val="47E748ED"/>
    <w:rsid w:val="49871B07"/>
    <w:rsid w:val="49BE56DF"/>
    <w:rsid w:val="4A01054C"/>
    <w:rsid w:val="4A0517DE"/>
    <w:rsid w:val="4A976A30"/>
    <w:rsid w:val="4BA66D85"/>
    <w:rsid w:val="4C8147A2"/>
    <w:rsid w:val="4CB9218D"/>
    <w:rsid w:val="4D01600E"/>
    <w:rsid w:val="4DAD7DEB"/>
    <w:rsid w:val="4E8100AD"/>
    <w:rsid w:val="4E8E5256"/>
    <w:rsid w:val="4F0F12CA"/>
    <w:rsid w:val="4F560168"/>
    <w:rsid w:val="50E616CF"/>
    <w:rsid w:val="511864D9"/>
    <w:rsid w:val="51A065CC"/>
    <w:rsid w:val="51D63AF4"/>
    <w:rsid w:val="52104D2C"/>
    <w:rsid w:val="521F3077"/>
    <w:rsid w:val="536429ED"/>
    <w:rsid w:val="537D5CC3"/>
    <w:rsid w:val="53CB3B5A"/>
    <w:rsid w:val="540B0156"/>
    <w:rsid w:val="5417770D"/>
    <w:rsid w:val="54F63F7F"/>
    <w:rsid w:val="55565AF5"/>
    <w:rsid w:val="558214CD"/>
    <w:rsid w:val="559776ED"/>
    <w:rsid w:val="56E36785"/>
    <w:rsid w:val="57C95578"/>
    <w:rsid w:val="580B4B95"/>
    <w:rsid w:val="58AF7528"/>
    <w:rsid w:val="58C53577"/>
    <w:rsid w:val="5A2F6381"/>
    <w:rsid w:val="5A6432D8"/>
    <w:rsid w:val="5B4A22D1"/>
    <w:rsid w:val="5B7272AC"/>
    <w:rsid w:val="5BC7458E"/>
    <w:rsid w:val="5CAC08DD"/>
    <w:rsid w:val="5CEC7157"/>
    <w:rsid w:val="5D045FFD"/>
    <w:rsid w:val="5D092F23"/>
    <w:rsid w:val="5F0D6E5C"/>
    <w:rsid w:val="5F630463"/>
    <w:rsid w:val="5FC919FA"/>
    <w:rsid w:val="5FE64BF0"/>
    <w:rsid w:val="628945AC"/>
    <w:rsid w:val="62B272BD"/>
    <w:rsid w:val="62E95396"/>
    <w:rsid w:val="63016A4E"/>
    <w:rsid w:val="64A6327C"/>
    <w:rsid w:val="65265113"/>
    <w:rsid w:val="65E57895"/>
    <w:rsid w:val="6602326A"/>
    <w:rsid w:val="66E143F0"/>
    <w:rsid w:val="67BA5260"/>
    <w:rsid w:val="67BA634C"/>
    <w:rsid w:val="68A23D9A"/>
    <w:rsid w:val="69E7776E"/>
    <w:rsid w:val="6AA14535"/>
    <w:rsid w:val="6ACC2680"/>
    <w:rsid w:val="6B6A0563"/>
    <w:rsid w:val="6B80006E"/>
    <w:rsid w:val="6BB74550"/>
    <w:rsid w:val="6CF30DA6"/>
    <w:rsid w:val="6D704509"/>
    <w:rsid w:val="6DD15131"/>
    <w:rsid w:val="70A24B63"/>
    <w:rsid w:val="714264A8"/>
    <w:rsid w:val="72AC65F9"/>
    <w:rsid w:val="72AF5315"/>
    <w:rsid w:val="730B15A2"/>
    <w:rsid w:val="74055651"/>
    <w:rsid w:val="74F44506"/>
    <w:rsid w:val="75EF3075"/>
    <w:rsid w:val="774A4416"/>
    <w:rsid w:val="781B7C50"/>
    <w:rsid w:val="79B06BCF"/>
    <w:rsid w:val="79B17029"/>
    <w:rsid w:val="7B49325B"/>
    <w:rsid w:val="7BFC15FE"/>
    <w:rsid w:val="7BFD00E4"/>
    <w:rsid w:val="7C4E5B9F"/>
    <w:rsid w:val="7CDB38D7"/>
    <w:rsid w:val="7DBC7F52"/>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6749</Words>
  <Characters>7350</Characters>
  <Lines>31</Lines>
  <Paragraphs>8</Paragraphs>
  <TotalTime>0</TotalTime>
  <ScaleCrop>false</ScaleCrop>
  <LinksUpToDate>false</LinksUpToDate>
  <CharactersWithSpaces>7506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2026-05-28T01:23:27Z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770AACBF9F2C4052B0419509FD6B54CA_13</vt:lpwstr>
  </property>
  <property fmtid="{D5CDD505-2E9C-101B-9397-08002B2CF9AE}" pid="4" name="KSOTemplateDocerSaveRecord">
    <vt:lpwstr>eyJoZGlkIjoiM2EyNDYyYmQ1ZDA0NDE2ZWMxMTVjMTBjNjZlNGMxZWMiLCJ1c2VySWQiOiIxOTQ5NzkyNTQifQ==</vt:lpwstr>
  </property>
</Properties>
</file>