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3C76E">
      <w:pPr>
        <w:jc w:val="center"/>
        <w:rPr>
          <w:rFonts w:asciiTheme="minorEastAsia" w:hAnsiTheme="minorEastAsia" w:cstheme="minorEastAsia"/>
          <w:b/>
          <w:bCs/>
          <w:sz w:val="24"/>
        </w:rPr>
      </w:pPr>
    </w:p>
    <w:p w14:paraId="032FC704">
      <w:pPr>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福田区第二人民医院医疗器械</w:t>
      </w:r>
      <w:r>
        <w:rPr>
          <w:rFonts w:hint="eastAsia" w:asciiTheme="minorEastAsia" w:hAnsiTheme="minorEastAsia" w:cstheme="minorEastAsia"/>
          <w:b/>
          <w:bCs/>
          <w:sz w:val="40"/>
          <w:szCs w:val="40"/>
          <w:lang w:val="en-US" w:eastAsia="zh-CN"/>
        </w:rPr>
        <w:t>征集</w:t>
      </w:r>
      <w:r>
        <w:rPr>
          <w:rFonts w:hint="eastAsia" w:asciiTheme="minorEastAsia" w:hAnsiTheme="minorEastAsia" w:cstheme="minorEastAsia"/>
          <w:b/>
          <w:bCs/>
          <w:sz w:val="40"/>
          <w:szCs w:val="40"/>
        </w:rPr>
        <w:t>文件</w:t>
      </w:r>
    </w:p>
    <w:p w14:paraId="40CD8E0A">
      <w:pPr>
        <w:jc w:val="center"/>
        <w:rPr>
          <w:rFonts w:hint="eastAsia" w:asciiTheme="minorEastAsia" w:hAnsiTheme="minorEastAsia" w:cstheme="minorEastAsia"/>
          <w:b/>
          <w:bCs/>
          <w:sz w:val="32"/>
          <w:szCs w:val="32"/>
        </w:rPr>
      </w:pPr>
    </w:p>
    <w:p w14:paraId="7CB31B7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w:t>
      </w:r>
      <w:r>
        <w:rPr>
          <w:rFonts w:hint="eastAsia" w:asciiTheme="minorEastAsia" w:hAnsiTheme="minorEastAsia" w:cstheme="minorEastAsia"/>
          <w:sz w:val="28"/>
          <w:szCs w:val="28"/>
          <w:lang w:val="en-US" w:eastAsia="zh-CN"/>
        </w:rPr>
        <w:t>医疗器械</w:t>
      </w:r>
      <w:r>
        <w:rPr>
          <w:rFonts w:hint="eastAsia" w:asciiTheme="minorEastAsia" w:hAnsiTheme="minorEastAsia" w:cstheme="minorEastAsia"/>
          <w:sz w:val="28"/>
          <w:szCs w:val="28"/>
        </w:rPr>
        <w:t xml:space="preserve">进行公开征集。欢迎各经营企业或生产企业参加投标。 </w:t>
      </w:r>
    </w:p>
    <w:p w14:paraId="46BEE8EA">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rPr>
        <w:t>2、供应商可根据自身的经营情况，选择投一个或多个采购条目，但不允许将一个采购条目流水号的内容拆散。</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4B9050B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企业参加投标，即表示接受本次</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的各项要求。</w:t>
      </w:r>
    </w:p>
    <w:p w14:paraId="3CB0ADC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活动的最终解释权属于深圳市福田区第二人民医院。</w:t>
      </w:r>
    </w:p>
    <w:p w14:paraId="3AA58BAC">
      <w:pPr>
        <w:jc w:val="both"/>
        <w:rPr>
          <w:rFonts w:hint="eastAsia" w:ascii="宋体" w:hAnsi="宋体" w:eastAsia="宋体" w:cs="宋体"/>
          <w:b/>
          <w:bCs/>
          <w:color w:val="FF0000"/>
          <w:kern w:val="44"/>
          <w:sz w:val="44"/>
          <w:szCs w:val="44"/>
          <w:highlight w:val="none"/>
          <w:lang w:eastAsia="zh-CN"/>
        </w:rPr>
      </w:pPr>
    </w:p>
    <w:p w14:paraId="289EEDBB">
      <w:pPr>
        <w:jc w:val="both"/>
        <w:rPr>
          <w:rFonts w:hint="eastAsia" w:ascii="宋体" w:hAnsi="宋体" w:eastAsia="宋体" w:cs="宋体"/>
          <w:b/>
          <w:bCs/>
          <w:color w:val="FF0000"/>
          <w:kern w:val="44"/>
          <w:sz w:val="44"/>
          <w:szCs w:val="44"/>
          <w:highlight w:val="none"/>
          <w:lang w:eastAsia="zh-CN"/>
        </w:rPr>
      </w:pPr>
    </w:p>
    <w:p w14:paraId="63C995F2">
      <w:pPr>
        <w:jc w:val="both"/>
        <w:rPr>
          <w:rFonts w:hint="eastAsia" w:ascii="宋体" w:hAnsi="宋体" w:eastAsia="宋体" w:cs="宋体"/>
          <w:b/>
          <w:bCs/>
          <w:color w:val="FF0000"/>
          <w:kern w:val="44"/>
          <w:sz w:val="44"/>
          <w:szCs w:val="44"/>
          <w:highlight w:val="none"/>
          <w:lang w:eastAsia="zh-CN"/>
        </w:rPr>
      </w:pPr>
    </w:p>
    <w:p w14:paraId="44269B29">
      <w:pPr>
        <w:jc w:val="both"/>
        <w:rPr>
          <w:rFonts w:hint="eastAsia" w:ascii="宋体" w:hAnsi="宋体" w:eastAsia="宋体" w:cs="宋体"/>
          <w:b/>
          <w:bCs/>
          <w:color w:val="FF0000"/>
          <w:kern w:val="44"/>
          <w:sz w:val="44"/>
          <w:szCs w:val="44"/>
          <w:highlight w:val="none"/>
          <w:lang w:eastAsia="zh-CN"/>
        </w:rPr>
      </w:pPr>
    </w:p>
    <w:p w14:paraId="4D69B061">
      <w:pPr>
        <w:jc w:val="both"/>
        <w:rPr>
          <w:rFonts w:hint="eastAsia" w:ascii="宋体" w:hAnsi="宋体" w:eastAsia="宋体" w:cs="宋体"/>
          <w:b/>
          <w:bCs/>
          <w:color w:val="FF0000"/>
          <w:kern w:val="44"/>
          <w:sz w:val="44"/>
          <w:szCs w:val="44"/>
          <w:highlight w:val="none"/>
          <w:lang w:eastAsia="zh-CN"/>
        </w:rPr>
      </w:pPr>
    </w:p>
    <w:p w14:paraId="78224E58">
      <w:pPr>
        <w:jc w:val="both"/>
        <w:rPr>
          <w:rFonts w:hint="eastAsia" w:ascii="宋体" w:hAnsi="宋体" w:eastAsia="宋体" w:cs="宋体"/>
          <w:b/>
          <w:bCs/>
          <w:color w:val="FF0000"/>
          <w:kern w:val="44"/>
          <w:sz w:val="44"/>
          <w:szCs w:val="44"/>
          <w:highlight w:val="none"/>
          <w:lang w:eastAsia="zh-CN"/>
        </w:rPr>
      </w:pPr>
    </w:p>
    <w:p w14:paraId="348F3D32">
      <w:pPr>
        <w:jc w:val="both"/>
        <w:rPr>
          <w:rFonts w:hint="eastAsia" w:ascii="宋体" w:hAnsi="宋体" w:eastAsia="宋体" w:cs="宋体"/>
          <w:b/>
          <w:bCs/>
          <w:color w:val="FF0000"/>
          <w:kern w:val="44"/>
          <w:sz w:val="44"/>
          <w:szCs w:val="44"/>
          <w:highlight w:val="none"/>
          <w:lang w:eastAsia="zh-CN"/>
        </w:rPr>
      </w:pPr>
    </w:p>
    <w:p w14:paraId="47F9CE09">
      <w:pPr>
        <w:jc w:val="both"/>
        <w:rPr>
          <w:rFonts w:hint="eastAsia" w:ascii="宋体" w:hAnsi="宋体" w:eastAsia="宋体" w:cs="宋体"/>
          <w:b/>
          <w:bCs/>
          <w:color w:val="FF0000"/>
          <w:kern w:val="44"/>
          <w:sz w:val="44"/>
          <w:szCs w:val="44"/>
          <w:highlight w:val="none"/>
          <w:lang w:eastAsia="zh-CN"/>
        </w:rPr>
      </w:pPr>
    </w:p>
    <w:p w14:paraId="273ED2AD">
      <w:pPr>
        <w:jc w:val="both"/>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bookmarkStart w:id="0" w:name="_Toc29098"/>
      <w:bookmarkStart w:id="1" w:name="_Toc3689"/>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179585CB">
      <w:pPr>
        <w:rPr>
          <w:rFonts w:asciiTheme="minorEastAsia" w:hAnsiTheme="minorEastAsia" w:cstheme="minorEastAsia"/>
          <w:szCs w:val="21"/>
        </w:rPr>
      </w:pPr>
    </w:p>
    <w:p w14:paraId="10E164FD">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538F311D">
      <w:pPr>
        <w:rPr>
          <w:rFonts w:hint="eastAsia" w:asciiTheme="minorEastAsia" w:hAnsiTheme="minorEastAsia" w:cstheme="minorEastAsia"/>
          <w:szCs w:val="21"/>
        </w:rPr>
      </w:pPr>
    </w:p>
    <w:p w14:paraId="1D12076D">
      <w:pPr>
        <w:rPr>
          <w:rFonts w:hint="eastAsia" w:asciiTheme="minorEastAsia" w:hAnsiTheme="minorEastAsia" w:cstheme="minorEastAsia"/>
          <w:szCs w:val="21"/>
        </w:rPr>
      </w:pPr>
    </w:p>
    <w:p w14:paraId="0592315D">
      <w:pPr>
        <w:rPr>
          <w:rFonts w:hint="eastAsia" w:asciiTheme="minorEastAsia" w:hAnsiTheme="minorEastAsia" w:cstheme="minorEastAsia"/>
          <w:szCs w:val="21"/>
        </w:rPr>
      </w:pPr>
    </w:p>
    <w:p w14:paraId="2277D1FB">
      <w:pPr>
        <w:rPr>
          <w:rFonts w:hint="eastAsia" w:asciiTheme="minorEastAsia" w:hAnsiTheme="minorEastAsia" w:cstheme="minorEastAsia"/>
          <w:szCs w:val="21"/>
        </w:rPr>
      </w:pPr>
    </w:p>
    <w:p w14:paraId="5A35ED88">
      <w:pPr>
        <w:rPr>
          <w:rFonts w:hint="eastAsia" w:asciiTheme="minorEastAsia" w:hAnsiTheme="minorEastAsia" w:cstheme="minorEastAsia"/>
          <w:szCs w:val="21"/>
        </w:rPr>
      </w:pPr>
    </w:p>
    <w:p w14:paraId="2FF3BF78">
      <w:pPr>
        <w:rPr>
          <w:rFonts w:hint="eastAsia" w:asciiTheme="minorEastAsia" w:hAnsiTheme="minorEastAsia" w:cstheme="minorEastAsia"/>
          <w:szCs w:val="21"/>
        </w:rPr>
      </w:pPr>
    </w:p>
    <w:p w14:paraId="135AA796">
      <w:pPr>
        <w:rPr>
          <w:rFonts w:hint="eastAsia" w:asciiTheme="minorEastAsia" w:hAnsiTheme="minorEastAsia" w:cstheme="minorEastAsia"/>
          <w:szCs w:val="21"/>
        </w:rPr>
      </w:pPr>
    </w:p>
    <w:p w14:paraId="189AF714">
      <w:pPr>
        <w:rPr>
          <w:rFonts w:hint="eastAsia" w:asciiTheme="minorEastAsia" w:hAnsiTheme="minorEastAsia" w:cstheme="minorEastAsia"/>
          <w:szCs w:val="21"/>
        </w:rPr>
      </w:pPr>
    </w:p>
    <w:p w14:paraId="458ADCBE">
      <w:pPr>
        <w:rPr>
          <w:rFonts w:hint="eastAsia" w:asciiTheme="minorEastAsia" w:hAnsiTheme="minorEastAsia" w:cstheme="minorEastAsia"/>
          <w:szCs w:val="21"/>
        </w:rPr>
      </w:pPr>
    </w:p>
    <w:p w14:paraId="42E54434">
      <w:pPr>
        <w:rPr>
          <w:rFonts w:hint="eastAsia" w:asciiTheme="minorEastAsia" w:hAnsiTheme="minorEastAsia" w:cstheme="minorEastAsia"/>
          <w:szCs w:val="21"/>
        </w:rPr>
      </w:pPr>
    </w:p>
    <w:p w14:paraId="01F3185B">
      <w:pPr>
        <w:rPr>
          <w:rFonts w:hint="eastAsia" w:asciiTheme="minorEastAsia" w:hAnsiTheme="minorEastAsia" w:cstheme="minorEastAsia"/>
          <w:szCs w:val="21"/>
        </w:rPr>
      </w:pPr>
    </w:p>
    <w:p w14:paraId="3AECDAA7">
      <w:pPr>
        <w:rPr>
          <w:rFonts w:hint="eastAsia" w:asciiTheme="minorEastAsia" w:hAnsiTheme="minorEastAsia" w:cstheme="minorEastAsia"/>
          <w:szCs w:val="21"/>
        </w:rPr>
      </w:pPr>
    </w:p>
    <w:p w14:paraId="47ED932C">
      <w:pPr>
        <w:jc w:val="both"/>
        <w:outlineLvl w:val="9"/>
        <w:rPr>
          <w:rFonts w:hint="eastAsia" w:ascii="宋体" w:hAnsi="宋体" w:eastAsia="宋体" w:cs="宋体"/>
          <w:b/>
          <w:bCs/>
          <w:color w:val="FF0000"/>
          <w:sz w:val="36"/>
          <w:szCs w:val="36"/>
          <w:highlight w:val="none"/>
          <w:lang w:val="en-US" w:eastAsia="zh-CN"/>
        </w:rPr>
      </w:pPr>
    </w:p>
    <w:p w14:paraId="34E45245">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项目内或所投包号内有多项设备或报价内容的，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文件为准）</w:t>
      </w:r>
    </w:p>
    <w:p w14:paraId="16CAAC3F">
      <w:pPr>
        <w:rPr>
          <w:rFonts w:hint="eastAsia" w:asciiTheme="minorEastAsia" w:hAnsiTheme="minorEastAsia" w:cstheme="minorEastAsia"/>
          <w:szCs w:val="21"/>
        </w:rPr>
      </w:pPr>
    </w:p>
    <w:p w14:paraId="47039B92">
      <w:pPr>
        <w:rPr>
          <w:rFonts w:hint="eastAsia" w:asciiTheme="minorEastAsia" w:hAnsiTheme="minorEastAsia" w:cstheme="minorEastAsia"/>
          <w:szCs w:val="21"/>
        </w:rPr>
      </w:pPr>
    </w:p>
    <w:p w14:paraId="7B13E3C0">
      <w:pPr>
        <w:rPr>
          <w:rFonts w:hint="eastAsia" w:asciiTheme="minorEastAsia" w:hAnsiTheme="minorEastAsia" w:cstheme="minorEastAsia"/>
          <w:szCs w:val="21"/>
        </w:rPr>
      </w:pPr>
    </w:p>
    <w:p w14:paraId="5A64B025">
      <w:pPr>
        <w:rPr>
          <w:rFonts w:hint="eastAsia" w:asciiTheme="minorEastAsia" w:hAnsiTheme="minorEastAsia" w:cstheme="minorEastAsia"/>
          <w:szCs w:val="21"/>
        </w:rPr>
      </w:pPr>
    </w:p>
    <w:p w14:paraId="34556B53">
      <w:pPr>
        <w:rPr>
          <w:rFonts w:hint="eastAsia" w:asciiTheme="minorEastAsia" w:hAnsiTheme="minorEastAsia" w:cstheme="minorEastAsia"/>
          <w:szCs w:val="21"/>
        </w:rPr>
      </w:pPr>
    </w:p>
    <w:p w14:paraId="63B3F4CA">
      <w:pPr>
        <w:rPr>
          <w:rFonts w:hint="eastAsia" w:asciiTheme="minorEastAsia" w:hAnsiTheme="minorEastAsia" w:cstheme="minorEastAsia"/>
          <w:szCs w:val="21"/>
        </w:rPr>
      </w:pPr>
    </w:p>
    <w:p w14:paraId="238999D2">
      <w:pPr>
        <w:rPr>
          <w:rFonts w:hint="eastAsia" w:asciiTheme="minorEastAsia" w:hAnsiTheme="minorEastAsia" w:cstheme="minorEastAsia"/>
          <w:szCs w:val="21"/>
        </w:rPr>
      </w:pPr>
    </w:p>
    <w:p w14:paraId="5EE83BD7">
      <w:pPr>
        <w:rPr>
          <w:rFonts w:hint="eastAsia" w:asciiTheme="minorEastAsia" w:hAnsiTheme="minorEastAsia" w:cstheme="minorEastAsia"/>
          <w:szCs w:val="21"/>
        </w:rPr>
      </w:pPr>
    </w:p>
    <w:p w14:paraId="1A7B06A3">
      <w:pPr>
        <w:rPr>
          <w:rFonts w:hint="eastAsia" w:asciiTheme="minorEastAsia" w:hAnsiTheme="minorEastAsia" w:cstheme="minorEastAsia"/>
          <w:szCs w:val="21"/>
        </w:rPr>
      </w:pPr>
    </w:p>
    <w:p w14:paraId="0BE9234F">
      <w:pPr>
        <w:rPr>
          <w:rFonts w:hint="eastAsia" w:asciiTheme="minorEastAsia" w:hAnsiTheme="minorEastAsia" w:cstheme="minorEastAsia"/>
          <w:szCs w:val="21"/>
        </w:rPr>
      </w:pPr>
    </w:p>
    <w:p w14:paraId="6AFB3A9E">
      <w:pPr>
        <w:rPr>
          <w:rFonts w:hint="eastAsia" w:asciiTheme="minorEastAsia" w:hAnsiTheme="minorEastAsia" w:cstheme="minorEastAsia"/>
          <w:szCs w:val="21"/>
        </w:rPr>
      </w:pPr>
    </w:p>
    <w:p w14:paraId="3251FB3B">
      <w:pPr>
        <w:rPr>
          <w:rFonts w:hint="eastAsia" w:asciiTheme="minorEastAsia" w:hAnsiTheme="minorEastAsia" w:cstheme="minorEastAsia"/>
          <w:szCs w:val="21"/>
        </w:rPr>
      </w:pPr>
    </w:p>
    <w:p w14:paraId="0EF5ADC6">
      <w:pPr>
        <w:rPr>
          <w:rFonts w:hint="eastAsia" w:asciiTheme="minorEastAsia" w:hAnsiTheme="minorEastAsia" w:cstheme="minorEastAsia"/>
          <w:szCs w:val="21"/>
        </w:rPr>
      </w:pPr>
    </w:p>
    <w:p w14:paraId="2CE665B9">
      <w:pPr>
        <w:rPr>
          <w:rFonts w:hint="eastAsia" w:asciiTheme="minorEastAsia" w:hAnsiTheme="minorEastAsia" w:cstheme="minorEastAsia"/>
          <w:szCs w:val="21"/>
        </w:rPr>
      </w:pPr>
    </w:p>
    <w:p w14:paraId="53D7BD1D">
      <w:pPr>
        <w:rPr>
          <w:rFonts w:hint="eastAsia" w:asciiTheme="minorEastAsia" w:hAnsiTheme="minorEastAsia" w:cstheme="minorEastAsia"/>
          <w:szCs w:val="21"/>
        </w:rPr>
      </w:pPr>
    </w:p>
    <w:p w14:paraId="6607EFBE">
      <w:pPr>
        <w:rPr>
          <w:rFonts w:hint="eastAsia" w:asciiTheme="minorEastAsia" w:hAnsiTheme="minorEastAsia" w:cstheme="minorEastAsia"/>
          <w:szCs w:val="21"/>
        </w:rPr>
      </w:pPr>
    </w:p>
    <w:p w14:paraId="3B8FF10C">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38395D03">
      <w:pPr>
        <w:jc w:val="center"/>
        <w:rPr>
          <w:rFonts w:hint="eastAsia" w:asciiTheme="minorEastAsia" w:hAnsiTheme="minorEastAsia" w:cstheme="minorEastAsia"/>
          <w:sz w:val="36"/>
          <w:szCs w:val="36"/>
          <w:lang w:val="en-US" w:eastAsia="zh-CN"/>
        </w:rPr>
      </w:pPr>
    </w:p>
    <w:p w14:paraId="4D764082">
      <w:pPr>
        <w:jc w:val="center"/>
        <w:rPr>
          <w:rFonts w:hint="eastAsia" w:asciiTheme="minorEastAsia" w:hAnsiTheme="minorEastAsia" w:cstheme="minorEastAsia"/>
          <w:sz w:val="36"/>
          <w:szCs w:val="36"/>
          <w:lang w:val="en-US" w:eastAsia="zh-CN"/>
        </w:rPr>
      </w:pPr>
    </w:p>
    <w:p w14:paraId="51B6ABE7">
      <w:pPr>
        <w:jc w:val="center"/>
        <w:rPr>
          <w:rFonts w:hint="eastAsia" w:asciiTheme="minorEastAsia" w:hAnsiTheme="minorEastAsia" w:cstheme="minorEastAsia"/>
          <w:sz w:val="36"/>
          <w:szCs w:val="36"/>
          <w:lang w:val="en-US" w:eastAsia="zh-CN"/>
        </w:rPr>
      </w:pPr>
    </w:p>
    <w:p w14:paraId="193D958E">
      <w:pPr>
        <w:jc w:val="both"/>
        <w:rPr>
          <w:rFonts w:hint="eastAsia" w:asciiTheme="minorEastAsia" w:hAnsiTheme="minorEastAsia" w:cstheme="minorEastAsia"/>
          <w:sz w:val="36"/>
          <w:szCs w:val="36"/>
          <w:lang w:val="en-US" w:eastAsia="zh-CN"/>
        </w:rPr>
      </w:pPr>
    </w:p>
    <w:sdt>
      <w:sdtPr>
        <w:rPr>
          <w:rFonts w:ascii="宋体" w:hAnsi="宋体" w:eastAsia="宋体" w:cstheme="minorBidi"/>
          <w:kern w:val="2"/>
          <w:sz w:val="52"/>
          <w:szCs w:val="60"/>
          <w:lang w:val="en-US" w:eastAsia="zh-CN" w:bidi="ar-SA"/>
        </w:rPr>
        <w:id w:val="147469591"/>
        <w15:color w:val="DBDBDB"/>
        <w:docPartObj>
          <w:docPartGallery w:val="Table of Contents"/>
          <w:docPartUnique/>
        </w:docPartObj>
      </w:sdtPr>
      <w:sdtEndPr>
        <w:rPr>
          <w:rFonts w:hint="eastAsia" w:asciiTheme="majorEastAsia" w:hAnsiTheme="majorEastAsia" w:eastAsiaTheme="majorEastAsia" w:cstheme="majorEastAsia"/>
          <w:kern w:val="2"/>
          <w:sz w:val="36"/>
          <w:szCs w:val="44"/>
          <w:lang w:val="en-US" w:eastAsia="zh-CN" w:bidi="ar-SA"/>
        </w:rPr>
      </w:sdtEndPr>
      <w:sdtContent>
        <w:p w14:paraId="2B4FFD52">
          <w:pPr>
            <w:spacing w:before="0" w:beforeLines="0" w:after="0" w:afterLines="0" w:line="240" w:lineRule="auto"/>
            <w:ind w:left="0" w:leftChars="0" w:right="0" w:rightChars="0" w:firstLine="0" w:firstLineChars="0"/>
            <w:jc w:val="center"/>
            <w:rPr>
              <w:sz w:val="52"/>
              <w:szCs w:val="60"/>
            </w:rPr>
          </w:pPr>
          <w:r>
            <w:rPr>
              <w:rFonts w:ascii="宋体" w:hAnsi="宋体" w:eastAsia="宋体"/>
              <w:sz w:val="52"/>
              <w:szCs w:val="60"/>
            </w:rPr>
            <w:t>目录</w:t>
          </w:r>
        </w:p>
        <w:p w14:paraId="025925AB">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TOC \o "1-1" \h \u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_Toc27897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第一章 综合评分表</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_Toc27897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1C2C024F">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_Toc16421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第二章 征集公告</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_Toc16421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8</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3B83435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_Toc27909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第三章 用户需求书</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_Toc27909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11</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0E83D99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_Toc113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第四章 </w:t>
          </w:r>
          <w:r>
            <w:rPr>
              <w:rFonts w:hint="eastAsia" w:asciiTheme="majorEastAsia" w:hAnsiTheme="majorEastAsia" w:eastAsiaTheme="majorEastAsia" w:cstheme="majorEastAsia"/>
              <w:sz w:val="36"/>
              <w:szCs w:val="52"/>
            </w:rPr>
            <w:t>开标、评标、定标</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_Toc113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13</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788C09A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_Toc14800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第五章 </w:t>
          </w:r>
          <w:r>
            <w:rPr>
              <w:rFonts w:hint="eastAsia" w:asciiTheme="majorEastAsia" w:hAnsiTheme="majorEastAsia" w:eastAsiaTheme="majorEastAsia" w:cstheme="majorEastAsia"/>
              <w:sz w:val="36"/>
              <w:szCs w:val="52"/>
            </w:rPr>
            <w:t>投标文件</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52"/>
              <w:lang w:val="en-US" w:eastAsia="zh-CN"/>
            </w:rPr>
            <w:t>编制</w:t>
          </w:r>
          <w:r>
            <w:rPr>
              <w:rFonts w:hint="eastAsia" w:asciiTheme="majorEastAsia" w:hAnsiTheme="majorEastAsia" w:eastAsiaTheme="majorEastAsia" w:cstheme="majorEastAsia"/>
              <w:sz w:val="36"/>
              <w:szCs w:val="52"/>
            </w:rPr>
            <w:t>参考</w:t>
          </w:r>
          <w:r>
            <w:rPr>
              <w:rFonts w:hint="eastAsia" w:asciiTheme="majorEastAsia" w:hAnsiTheme="majorEastAsia" w:eastAsiaTheme="majorEastAsia" w:cstheme="majorEastAsia"/>
              <w:sz w:val="36"/>
              <w:szCs w:val="52"/>
              <w:lang w:val="en-US" w:eastAsia="zh-CN"/>
            </w:rPr>
            <w:t>模板</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_Toc14800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20</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4FD02B4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_Toc21111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第六章 </w:t>
          </w:r>
          <w:r>
            <w:rPr>
              <w:rFonts w:hint="eastAsia" w:asciiTheme="majorEastAsia" w:hAnsiTheme="majorEastAsia" w:eastAsiaTheme="majorEastAsia" w:cstheme="majorEastAsia"/>
              <w:sz w:val="36"/>
              <w:szCs w:val="52"/>
              <w:lang w:eastAsia="zh-TW"/>
            </w:rPr>
            <w:t>说 明</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_Toc21111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63</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50CEB7C1">
          <w:pPr>
            <w:rPr>
              <w:rFonts w:hint="eastAsia" w:asciiTheme="majorEastAsia" w:hAnsiTheme="majorEastAsia" w:eastAsiaTheme="majorEastAsia" w:cstheme="majorEastAsia"/>
              <w:kern w:val="2"/>
              <w:sz w:val="36"/>
              <w:szCs w:val="44"/>
              <w:lang w:val="en-US" w:eastAsia="zh-CN" w:bidi="ar-SA"/>
            </w:rPr>
          </w:pPr>
          <w:r>
            <w:rPr>
              <w:rFonts w:hint="eastAsia" w:asciiTheme="majorEastAsia" w:hAnsiTheme="majorEastAsia" w:eastAsiaTheme="majorEastAsia" w:cstheme="majorEastAsia"/>
              <w:kern w:val="2"/>
              <w:sz w:val="36"/>
              <w:szCs w:val="44"/>
              <w:lang w:val="en-US" w:eastAsia="zh-CN" w:bidi="ar-SA"/>
            </w:rPr>
            <w:fldChar w:fldCharType="end"/>
          </w:r>
        </w:p>
      </w:sdtContent>
    </w:sdt>
    <w:p w14:paraId="5BBB0E65">
      <w:pPr>
        <w:rPr>
          <w:rFonts w:asciiTheme="minorHAnsi" w:hAnsiTheme="minorHAnsi" w:eastAsiaTheme="minorEastAsia" w:cstheme="minorBidi"/>
          <w:kern w:val="2"/>
          <w:sz w:val="21"/>
          <w:szCs w:val="24"/>
          <w:lang w:val="en-US" w:eastAsia="zh-CN" w:bidi="ar-SA"/>
        </w:rPr>
      </w:pPr>
    </w:p>
    <w:p w14:paraId="0CF51C02"/>
    <w:p w14:paraId="2EC45284">
      <w:pPr>
        <w:pStyle w:val="4"/>
        <w:numPr>
          <w:ilvl w:val="0"/>
          <w:numId w:val="0"/>
        </w:numPr>
        <w:spacing w:line="240" w:lineRule="auto"/>
        <w:ind w:left="0" w:leftChars="0" w:firstLine="0" w:firstLineChars="0"/>
        <w:jc w:val="both"/>
        <w:outlineLvl w:val="9"/>
        <w:rPr>
          <w:rFonts w:hint="eastAsia" w:cs="宋体" w:asciiTheme="majorEastAsia" w:hAnsiTheme="majorEastAsia" w:eastAsiaTheme="majorEastAsia"/>
          <w:kern w:val="2"/>
          <w:sz w:val="32"/>
          <w:szCs w:val="32"/>
          <w:highlight w:val="none"/>
          <w:lang w:val="en-US" w:eastAsia="zh-CN" w:bidi="ar-SA"/>
        </w:rPr>
      </w:pPr>
      <w:r>
        <w:rPr>
          <w:highlight w:val="none"/>
        </w:rPr>
        <w:br w:type="page"/>
      </w:r>
      <w:bookmarkStart w:id="138" w:name="_GoBack"/>
      <w:bookmarkEnd w:id="138"/>
      <w:bookmarkStart w:id="2" w:name="_Toc24015566"/>
      <w:bookmarkStart w:id="3" w:name="_Toc28823"/>
    </w:p>
    <w:bookmarkEnd w:id="2"/>
    <w:bookmarkEnd w:id="3"/>
    <w:p w14:paraId="549DA7AA">
      <w:pPr>
        <w:widowControl/>
        <w:numPr>
          <w:ilvl w:val="0"/>
          <w:numId w:val="2"/>
        </w:numPr>
        <w:ind w:firstLine="640" w:firstLineChars="200"/>
        <w:jc w:val="center"/>
        <w:outlineLvl w:val="0"/>
        <w:rPr>
          <w:rFonts w:hint="eastAsia" w:cs="宋体" w:asciiTheme="majorEastAsia" w:hAnsiTheme="majorEastAsia" w:eastAsiaTheme="majorEastAsia"/>
          <w:kern w:val="2"/>
          <w:sz w:val="32"/>
          <w:szCs w:val="32"/>
          <w:highlight w:val="none"/>
          <w:lang w:val="en-US" w:eastAsia="zh-CN" w:bidi="ar-SA"/>
        </w:rPr>
      </w:pPr>
      <w:bookmarkStart w:id="4" w:name="_Toc27897"/>
      <w:r>
        <w:rPr>
          <w:rFonts w:hint="eastAsia" w:cs="宋体" w:asciiTheme="majorEastAsia" w:hAnsiTheme="majorEastAsia" w:eastAsiaTheme="majorEastAsia"/>
          <w:kern w:val="2"/>
          <w:sz w:val="32"/>
          <w:szCs w:val="32"/>
          <w:highlight w:val="none"/>
          <w:lang w:val="en-US" w:eastAsia="zh-CN" w:bidi="ar-SA"/>
        </w:rPr>
        <w:t>综合评分表</w:t>
      </w:r>
      <w:bookmarkEnd w:id="4"/>
    </w:p>
    <w:tbl>
      <w:tblPr>
        <w:tblStyle w:val="16"/>
        <w:tblW w:w="9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647"/>
        <w:gridCol w:w="7443"/>
        <w:gridCol w:w="702"/>
      </w:tblGrid>
      <w:tr w14:paraId="18A3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829" w:type="dxa"/>
            <w:gridSpan w:val="4"/>
            <w:tcBorders>
              <w:top w:val="nil"/>
              <w:left w:val="nil"/>
              <w:bottom w:val="nil"/>
              <w:right w:val="nil"/>
            </w:tcBorders>
            <w:shd w:val="clear" w:color="auto" w:fill="auto"/>
            <w:noWrap/>
            <w:vAlign w:val="center"/>
          </w:tcPr>
          <w:p w14:paraId="67E24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Style w:val="29"/>
                <w:sz w:val="21"/>
                <w:szCs w:val="21"/>
                <w:lang w:val="en-US" w:eastAsia="zh-CN" w:bidi="ar"/>
              </w:rPr>
              <w:t>项目名称：                         征集编号：</w:t>
            </w:r>
          </w:p>
        </w:tc>
      </w:tr>
      <w:tr w14:paraId="0EA4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9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评分项目</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2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7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评分因素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2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r>
      <w:tr w14:paraId="27E6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bottom w:val="nil"/>
              <w:right w:val="single" w:color="000000" w:sz="4" w:space="0"/>
            </w:tcBorders>
            <w:shd w:val="clear" w:color="auto" w:fill="auto"/>
            <w:vAlign w:val="center"/>
          </w:tcPr>
          <w:p w14:paraId="06E82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3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7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技术参数响应情况                                                               投标供应商应如实填写《技术规格偏离表》，评审委员会根据技术需求参数响应情况进行打分，每1项负偏离的，扣1分；扣完为止。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C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36</w:t>
            </w:r>
          </w:p>
        </w:tc>
      </w:tr>
      <w:tr w14:paraId="0E3F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17FCE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D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86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重要技术参数响应评分                                                                投标供应商应如实填写《技术规格偏离表》，评审委员会根据技术需求参数响应情况进行打分，每1项负偏离的，扣3分；扣完为止。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6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18</w:t>
            </w:r>
          </w:p>
        </w:tc>
      </w:tr>
      <w:tr w14:paraId="298D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7"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7BF0D3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F0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技术保障措施</w:t>
            </w:r>
          </w:p>
          <w:p w14:paraId="46D8B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投标人在投标文件中提供技术保障措施，评分标准：</w:t>
            </w:r>
          </w:p>
          <w:p w14:paraId="59F07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1.安装售后服务保障</w:t>
            </w:r>
          </w:p>
          <w:p w14:paraId="73706E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2.紧急情况响应程度</w:t>
            </w:r>
          </w:p>
          <w:p w14:paraId="6870C1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3.人员培训措施综合评价</w:t>
            </w:r>
          </w:p>
          <w:p w14:paraId="46EFB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每提供一项得1分，最高不超过3分。</w:t>
            </w:r>
          </w:p>
          <w:p w14:paraId="219DFB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在此基础上，专家根据各供应商的具体响应内容进一步评审，评审标准如下：</w:t>
            </w:r>
          </w:p>
          <w:p w14:paraId="0FE438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(1)所投产品的安装售后服务保障、紧急情况响应程度、人员培训措施内容全面，得4分，</w:t>
            </w:r>
          </w:p>
          <w:p w14:paraId="49757A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(2)所投产品的安装售后服务保障、紧急情况响应程度、人员培训措施评价较为内容全面，得2分，</w:t>
            </w:r>
          </w:p>
          <w:p w14:paraId="5FF525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(3)所投产品的安装售后服务保障、紧急情况响应程度、人员培训措施评价一般，得1分，</w:t>
            </w:r>
          </w:p>
          <w:p w14:paraId="2DBF4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(4)所投产品的安装售后服务保障、紧急情况响应程度、人员培训措施评价差，不得分。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91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7</w:t>
            </w:r>
          </w:p>
        </w:tc>
      </w:tr>
      <w:tr w14:paraId="6BAC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right w:val="single" w:color="000000" w:sz="4" w:space="0"/>
            </w:tcBorders>
            <w:shd w:val="clear" w:color="auto" w:fill="auto"/>
            <w:vAlign w:val="center"/>
          </w:tcPr>
          <w:p w14:paraId="79D6F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B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有效业绩                                                                        提供1项有效业绩的，得1分；以此类推，最高不超过2分。不提供或者不能有效证明的，得0分。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有效业绩定义：（同时满足以下全部要求同类业绩才属于有效业绩）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1.为投标供应商所投产品的同类业绩（所投核心产品同品牌同型号的产品）。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2.合同签订时间为2024年1月1日至投标截止时间前。</w:t>
            </w:r>
          </w:p>
          <w:p w14:paraId="520CB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3.合同中的乙方（或供货方）必须是该投标供应商。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供应商必须提供项目合同关键页（首页、体现采购内容页、签字盖章页、签订时间页），未提供证明资料或者专家无法凭所提供资料判断是否得分的情况，一律作不得分处理。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F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r>
      <w:tr w14:paraId="4B29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194ACA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FC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2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履约评价</w:t>
            </w:r>
          </w:p>
          <w:p w14:paraId="6DCCC9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投标人提供上述同类项目业绩中，能够提供用户出具的履约评价书，且评价为优或满意以上的，每提供1份得1分，本项最高得2分。</w:t>
            </w:r>
          </w:p>
          <w:p w14:paraId="663F27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603CC2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须提供用户出具的履约评价书扫描件或复印件，并加盖用户公章，原件备查。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EC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368D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bottom w:val="nil"/>
              <w:right w:val="single" w:color="000000" w:sz="4" w:space="0"/>
            </w:tcBorders>
            <w:shd w:val="clear" w:color="auto" w:fill="auto"/>
            <w:vAlign w:val="center"/>
          </w:tcPr>
          <w:p w14:paraId="3F305F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E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BA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诚信</w:t>
            </w:r>
          </w:p>
          <w:p w14:paraId="52E5F7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664356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01CE7CB9">
            <w:pPr>
              <w:keepNext w:val="0"/>
              <w:keepLines w:val="0"/>
              <w:widowControl/>
              <w:suppressLineNumbers w:val="0"/>
              <w:spacing w:before="0" w:beforeAutospacing="0" w:after="0" w:afterAutospacing="0"/>
              <w:ind w:left="0" w:right="0"/>
              <w:jc w:val="left"/>
              <w:textAlignment w:val="center"/>
              <w:rPr>
                <w:rFonts w:hint="eastAsia" w:ascii="宋体" w:hAnsi="宋体" w:cs="宋体" w:eastAsia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投标人无需提供任何证明材料，由工作人员向评审委员会提供相关信息。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F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0AEF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5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C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A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采用低价优先法计算，即满足征集文件要求且投标价格最低的投标报价为评标基准价，其价格分为满分。其他投标人的价格分统一按照下列公式计算： </w:t>
            </w:r>
          </w:p>
          <w:p w14:paraId="4FE03F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投标报价得分=(基准价／扣除后的报价)×30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6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192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E7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2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14:paraId="3E733A93">
      <w:pPr>
        <w:widowControl/>
        <w:jc w:val="left"/>
        <w:rPr>
          <w:rFonts w:hint="eastAsia" w:ascii="宋体" w:cs="宋体"/>
          <w:snapToGrid w:val="0"/>
          <w:kern w:val="0"/>
        </w:rPr>
      </w:pPr>
      <w:r>
        <w:rPr>
          <w:rFonts w:hint="eastAsia" w:ascii="宋体" w:cs="宋体"/>
          <w:snapToGrid w:val="0"/>
          <w:kern w:val="0"/>
        </w:rPr>
        <w:t>备注：</w:t>
      </w:r>
      <w:r>
        <w:rPr>
          <w:rFonts w:hint="eastAsia" w:ascii="宋体" w:cs="宋体"/>
          <w:snapToGrid w:val="0"/>
          <w:kern w:val="0"/>
          <w:lang w:eastAsia="zh-CN"/>
        </w:rPr>
        <w:t>征集</w:t>
      </w:r>
      <w:r>
        <w:rPr>
          <w:rFonts w:hint="eastAsia" w:ascii="宋体" w:cs="宋体"/>
          <w:snapToGrid w:val="0"/>
          <w:kern w:val="0"/>
        </w:rPr>
        <w:t>文件要求提交的与评价指标体系相关的各类有效资料，投标人如未按要求提交的，该项评分为零分。</w:t>
      </w:r>
    </w:p>
    <w:p w14:paraId="6435363A">
      <w:pPr>
        <w:widowControl/>
        <w:jc w:val="left"/>
        <w:rPr>
          <w:rFonts w:hint="eastAsia" w:ascii="宋体" w:cs="宋体"/>
          <w:snapToGrid w:val="0"/>
          <w:kern w:val="0"/>
        </w:rPr>
      </w:pPr>
    </w:p>
    <w:p w14:paraId="7FAC5CF9">
      <w:pPr>
        <w:widowControl/>
        <w:jc w:val="left"/>
        <w:rPr>
          <w:rFonts w:hint="eastAsia" w:ascii="宋体" w:cs="宋体"/>
          <w:snapToGrid w:val="0"/>
          <w:kern w:val="0"/>
        </w:rPr>
      </w:pPr>
    </w:p>
    <w:p w14:paraId="521C6A40">
      <w:pPr>
        <w:widowControl/>
        <w:jc w:val="left"/>
        <w:rPr>
          <w:rFonts w:hint="eastAsia" w:ascii="宋体" w:cs="宋体"/>
          <w:snapToGrid w:val="0"/>
          <w:kern w:val="0"/>
        </w:rPr>
      </w:pPr>
    </w:p>
    <w:p w14:paraId="06190832">
      <w:pPr>
        <w:widowControl/>
        <w:jc w:val="left"/>
        <w:rPr>
          <w:rFonts w:hint="eastAsia" w:ascii="宋体" w:cs="宋体"/>
          <w:snapToGrid w:val="0"/>
          <w:kern w:val="0"/>
        </w:rPr>
      </w:pPr>
    </w:p>
    <w:p w14:paraId="472306B9">
      <w:pPr>
        <w:widowControl/>
        <w:jc w:val="left"/>
        <w:rPr>
          <w:rFonts w:hint="eastAsia" w:ascii="宋体" w:cs="宋体"/>
          <w:snapToGrid w:val="0"/>
          <w:kern w:val="0"/>
        </w:rPr>
      </w:pPr>
    </w:p>
    <w:p w14:paraId="6B9FED75">
      <w:pPr>
        <w:widowControl/>
        <w:jc w:val="left"/>
        <w:rPr>
          <w:rFonts w:hint="eastAsia" w:ascii="宋体" w:cs="宋体"/>
          <w:snapToGrid w:val="0"/>
          <w:kern w:val="0"/>
        </w:rPr>
      </w:pPr>
    </w:p>
    <w:p w14:paraId="5884F5C0">
      <w:pPr>
        <w:widowControl/>
        <w:jc w:val="left"/>
        <w:rPr>
          <w:rFonts w:hint="eastAsia" w:ascii="宋体" w:cs="宋体"/>
          <w:snapToGrid w:val="0"/>
          <w:kern w:val="0"/>
        </w:rPr>
      </w:pPr>
    </w:p>
    <w:p w14:paraId="501FB820">
      <w:pPr>
        <w:widowControl/>
        <w:jc w:val="left"/>
        <w:rPr>
          <w:rFonts w:hint="eastAsia" w:ascii="宋体" w:cs="宋体"/>
          <w:snapToGrid w:val="0"/>
          <w:kern w:val="0"/>
        </w:rPr>
      </w:pPr>
    </w:p>
    <w:p w14:paraId="4C76C92A">
      <w:pPr>
        <w:widowControl/>
        <w:jc w:val="left"/>
        <w:rPr>
          <w:rFonts w:hint="eastAsia" w:ascii="宋体" w:cs="宋体"/>
          <w:snapToGrid w:val="0"/>
          <w:kern w:val="0"/>
        </w:rPr>
      </w:pPr>
    </w:p>
    <w:p w14:paraId="5B5E2F15">
      <w:pPr>
        <w:widowControl/>
        <w:jc w:val="left"/>
        <w:rPr>
          <w:rFonts w:hint="eastAsia" w:ascii="宋体" w:cs="宋体"/>
          <w:snapToGrid w:val="0"/>
          <w:kern w:val="0"/>
        </w:rPr>
      </w:pPr>
    </w:p>
    <w:p w14:paraId="034C2B92">
      <w:pPr>
        <w:widowControl/>
        <w:jc w:val="left"/>
        <w:rPr>
          <w:rFonts w:hint="eastAsia" w:ascii="宋体" w:cs="宋体"/>
          <w:snapToGrid w:val="0"/>
          <w:kern w:val="0"/>
        </w:rPr>
      </w:pPr>
    </w:p>
    <w:p w14:paraId="47B59301">
      <w:pPr>
        <w:widowControl/>
        <w:jc w:val="left"/>
        <w:rPr>
          <w:rFonts w:hint="eastAsia" w:ascii="宋体" w:cs="宋体"/>
          <w:snapToGrid w:val="0"/>
          <w:kern w:val="0"/>
        </w:rPr>
      </w:pPr>
    </w:p>
    <w:p w14:paraId="18160263">
      <w:pPr>
        <w:widowControl/>
        <w:jc w:val="left"/>
        <w:rPr>
          <w:rFonts w:hint="eastAsia" w:ascii="宋体" w:cs="宋体"/>
          <w:snapToGrid w:val="0"/>
          <w:kern w:val="0"/>
        </w:rPr>
      </w:pPr>
    </w:p>
    <w:p w14:paraId="2ECDB819">
      <w:pPr>
        <w:widowControl/>
        <w:jc w:val="left"/>
        <w:rPr>
          <w:rFonts w:hint="eastAsia" w:ascii="宋体" w:cs="宋体"/>
          <w:snapToGrid w:val="0"/>
          <w:kern w:val="0"/>
        </w:rPr>
      </w:pPr>
    </w:p>
    <w:p w14:paraId="3F39DACF">
      <w:pPr>
        <w:widowControl/>
        <w:jc w:val="left"/>
        <w:rPr>
          <w:rFonts w:hint="eastAsia" w:ascii="宋体" w:cs="宋体"/>
          <w:snapToGrid w:val="0"/>
          <w:kern w:val="0"/>
        </w:rPr>
      </w:pPr>
    </w:p>
    <w:p w14:paraId="3B0DF469">
      <w:pPr>
        <w:widowControl/>
        <w:jc w:val="left"/>
        <w:rPr>
          <w:rFonts w:hint="eastAsia" w:ascii="宋体" w:cs="宋体"/>
          <w:snapToGrid w:val="0"/>
          <w:kern w:val="0"/>
        </w:rPr>
      </w:pPr>
    </w:p>
    <w:p w14:paraId="7936A017">
      <w:pPr>
        <w:widowControl/>
        <w:jc w:val="left"/>
        <w:rPr>
          <w:rFonts w:hint="eastAsia" w:ascii="宋体" w:cs="宋体"/>
          <w:snapToGrid w:val="0"/>
          <w:kern w:val="0"/>
        </w:rPr>
      </w:pPr>
    </w:p>
    <w:p w14:paraId="2C368AE4">
      <w:pPr>
        <w:widowControl/>
        <w:jc w:val="left"/>
        <w:rPr>
          <w:rFonts w:hint="eastAsia" w:ascii="宋体" w:cs="宋体"/>
          <w:snapToGrid w:val="0"/>
          <w:kern w:val="0"/>
        </w:rPr>
      </w:pPr>
    </w:p>
    <w:p w14:paraId="541605B7">
      <w:pPr>
        <w:widowControl/>
        <w:jc w:val="left"/>
        <w:rPr>
          <w:rFonts w:hint="eastAsia" w:ascii="宋体" w:cs="宋体"/>
          <w:snapToGrid w:val="0"/>
          <w:kern w:val="0"/>
        </w:rPr>
      </w:pPr>
    </w:p>
    <w:p w14:paraId="4D5860BD">
      <w:pPr>
        <w:widowControl/>
        <w:jc w:val="left"/>
        <w:rPr>
          <w:rFonts w:hint="eastAsia" w:ascii="宋体" w:cs="宋体"/>
          <w:snapToGrid w:val="0"/>
          <w:kern w:val="0"/>
        </w:rPr>
      </w:pPr>
    </w:p>
    <w:p w14:paraId="15BCC94D">
      <w:pPr>
        <w:widowControl/>
        <w:jc w:val="left"/>
        <w:rPr>
          <w:rFonts w:hint="eastAsia" w:ascii="宋体" w:cs="宋体"/>
          <w:snapToGrid w:val="0"/>
          <w:kern w:val="0"/>
        </w:rPr>
      </w:pPr>
    </w:p>
    <w:p w14:paraId="42F6C424">
      <w:pPr>
        <w:widowControl/>
        <w:jc w:val="left"/>
        <w:rPr>
          <w:rFonts w:hint="eastAsia" w:ascii="宋体" w:cs="宋体"/>
          <w:snapToGrid w:val="0"/>
          <w:kern w:val="0"/>
        </w:rPr>
      </w:pPr>
    </w:p>
    <w:p w14:paraId="5F7E00AB">
      <w:pPr>
        <w:widowControl/>
        <w:jc w:val="left"/>
        <w:rPr>
          <w:rFonts w:hint="eastAsia" w:ascii="宋体" w:cs="宋体"/>
          <w:snapToGrid w:val="0"/>
          <w:kern w:val="0"/>
        </w:rPr>
      </w:pPr>
    </w:p>
    <w:p w14:paraId="16309AA4">
      <w:pPr>
        <w:widowControl/>
        <w:jc w:val="left"/>
        <w:rPr>
          <w:rFonts w:hint="eastAsia" w:ascii="宋体" w:cs="宋体"/>
          <w:snapToGrid w:val="0"/>
          <w:kern w:val="0"/>
        </w:rPr>
      </w:pPr>
    </w:p>
    <w:p w14:paraId="4A2149EB">
      <w:pPr>
        <w:widowControl/>
        <w:jc w:val="left"/>
        <w:rPr>
          <w:rFonts w:hint="eastAsia" w:ascii="宋体" w:cs="宋体"/>
          <w:snapToGrid w:val="0"/>
          <w:kern w:val="0"/>
        </w:rPr>
      </w:pPr>
    </w:p>
    <w:p w14:paraId="66F24A15">
      <w:pPr>
        <w:widowControl/>
        <w:jc w:val="left"/>
        <w:rPr>
          <w:rFonts w:hint="eastAsia" w:ascii="宋体" w:cs="宋体"/>
          <w:snapToGrid w:val="0"/>
          <w:kern w:val="0"/>
        </w:rPr>
      </w:pPr>
    </w:p>
    <w:p w14:paraId="483038EC">
      <w:pPr>
        <w:widowControl/>
        <w:jc w:val="left"/>
        <w:rPr>
          <w:rFonts w:hint="eastAsia" w:ascii="宋体" w:cs="宋体"/>
          <w:snapToGrid w:val="0"/>
          <w:kern w:val="0"/>
        </w:rPr>
      </w:pPr>
    </w:p>
    <w:p w14:paraId="468CB623">
      <w:pPr>
        <w:widowControl/>
        <w:jc w:val="left"/>
        <w:rPr>
          <w:rFonts w:hint="eastAsia" w:ascii="宋体" w:cs="宋体"/>
          <w:snapToGrid w:val="0"/>
          <w:kern w:val="0"/>
        </w:rPr>
      </w:pPr>
    </w:p>
    <w:p w14:paraId="3F8F5A74">
      <w:pPr>
        <w:widowControl/>
        <w:jc w:val="left"/>
        <w:rPr>
          <w:rFonts w:hint="eastAsia" w:ascii="宋体" w:cs="宋体"/>
          <w:snapToGrid w:val="0"/>
          <w:kern w:val="0"/>
        </w:rPr>
      </w:pPr>
    </w:p>
    <w:p w14:paraId="413A7A8C">
      <w:pPr>
        <w:widowControl/>
        <w:jc w:val="left"/>
        <w:rPr>
          <w:rFonts w:hint="eastAsia" w:ascii="宋体" w:cs="宋体"/>
          <w:snapToGrid w:val="0"/>
          <w:kern w:val="0"/>
        </w:rPr>
      </w:pPr>
    </w:p>
    <w:p w14:paraId="1CF88144">
      <w:pPr>
        <w:widowControl/>
        <w:jc w:val="left"/>
        <w:rPr>
          <w:rFonts w:hint="eastAsia" w:ascii="宋体" w:cs="宋体"/>
          <w:snapToGrid w:val="0"/>
          <w:kern w:val="0"/>
        </w:rPr>
      </w:pPr>
    </w:p>
    <w:p w14:paraId="73316491">
      <w:pPr>
        <w:widowControl/>
        <w:jc w:val="left"/>
        <w:rPr>
          <w:rFonts w:hint="eastAsia" w:ascii="宋体" w:cs="宋体"/>
          <w:snapToGrid w:val="0"/>
          <w:kern w:val="0"/>
        </w:rPr>
      </w:pPr>
    </w:p>
    <w:p w14:paraId="363E7F86">
      <w:pPr>
        <w:widowControl/>
        <w:jc w:val="left"/>
        <w:rPr>
          <w:rFonts w:hint="eastAsia" w:ascii="宋体" w:cs="宋体"/>
          <w:snapToGrid w:val="0"/>
          <w:kern w:val="0"/>
        </w:rPr>
      </w:pPr>
    </w:p>
    <w:p w14:paraId="60348466">
      <w:pPr>
        <w:widowControl/>
        <w:jc w:val="left"/>
        <w:rPr>
          <w:rFonts w:hint="eastAsia" w:ascii="宋体" w:cs="宋体"/>
          <w:snapToGrid w:val="0"/>
          <w:kern w:val="0"/>
        </w:rPr>
      </w:pPr>
    </w:p>
    <w:p w14:paraId="5D424159">
      <w:pPr>
        <w:widowControl/>
        <w:jc w:val="left"/>
        <w:rPr>
          <w:rFonts w:hint="eastAsia" w:ascii="宋体" w:cs="宋体"/>
          <w:snapToGrid w:val="0"/>
          <w:kern w:val="0"/>
        </w:rPr>
      </w:pPr>
    </w:p>
    <w:p w14:paraId="12B70014">
      <w:pPr>
        <w:widowControl/>
        <w:jc w:val="left"/>
        <w:rPr>
          <w:rFonts w:hint="eastAsia" w:ascii="宋体" w:cs="宋体"/>
          <w:snapToGrid w:val="0"/>
          <w:kern w:val="0"/>
        </w:rPr>
      </w:pPr>
    </w:p>
    <w:p w14:paraId="08C866CE">
      <w:pPr>
        <w:widowControl/>
        <w:jc w:val="left"/>
        <w:rPr>
          <w:rFonts w:hint="eastAsia" w:ascii="宋体" w:cs="宋体"/>
          <w:snapToGrid w:val="0"/>
          <w:kern w:val="0"/>
        </w:rPr>
      </w:pPr>
    </w:p>
    <w:p w14:paraId="4FFB062A">
      <w:pPr>
        <w:widowControl/>
        <w:jc w:val="left"/>
        <w:rPr>
          <w:rFonts w:hint="eastAsia" w:ascii="宋体" w:cs="宋体"/>
          <w:snapToGrid w:val="0"/>
          <w:kern w:val="0"/>
        </w:rPr>
      </w:pPr>
    </w:p>
    <w:p w14:paraId="153AF54F">
      <w:pPr>
        <w:widowControl/>
        <w:jc w:val="left"/>
        <w:rPr>
          <w:rFonts w:hint="eastAsia" w:ascii="宋体" w:cs="宋体"/>
          <w:snapToGrid w:val="0"/>
          <w:kern w:val="0"/>
        </w:rPr>
      </w:pPr>
    </w:p>
    <w:p w14:paraId="7C88F462">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5" w:name="_Toc16421"/>
      <w:r>
        <w:rPr>
          <w:rFonts w:hint="eastAsia" w:asciiTheme="majorEastAsia" w:hAnsiTheme="majorEastAsia" w:eastAsiaTheme="majorEastAsia"/>
          <w:sz w:val="32"/>
          <w:szCs w:val="32"/>
          <w:lang w:val="en-US" w:eastAsia="zh-CN"/>
        </w:rPr>
        <w:t>征集公告</w:t>
      </w:r>
      <w:bookmarkEnd w:id="5"/>
    </w:p>
    <w:p w14:paraId="37A5CB8D">
      <w:pPr>
        <w:pStyle w:val="4"/>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6" w:name="OLE_LINK3"/>
      <w:bookmarkStart w:id="7" w:name="OLE_LINK1"/>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lang w:val="en-US" w:eastAsia="zh-CN"/>
        </w:rPr>
        <w:t>医用体位垫</w:t>
      </w:r>
      <w:r>
        <w:rPr>
          <w:rFonts w:hint="eastAsia" w:ascii="宋体" w:hAnsi="宋体"/>
          <w:szCs w:val="28"/>
          <w:highlight w:val="none"/>
          <w:lang w:eastAsia="zh-CN"/>
        </w:rPr>
        <w:t>征集</w:t>
      </w:r>
      <w:r>
        <w:rPr>
          <w:rFonts w:hint="eastAsia" w:ascii="宋体" w:hAnsi="宋体"/>
          <w:szCs w:val="28"/>
          <w:highlight w:val="none"/>
        </w:rPr>
        <w:t>项目的潜在投标人应在</w:t>
      </w:r>
      <w:r>
        <w:rPr>
          <w:rFonts w:hint="eastAsia" w:ascii="宋体" w:hAnsi="宋体"/>
          <w:szCs w:val="28"/>
          <w:highlight w:val="none"/>
          <w:lang w:val="en-US" w:eastAsia="zh-CN"/>
        </w:rPr>
        <w:t>深圳市福田区第二人民医院</w:t>
      </w:r>
      <w:r>
        <w:rPr>
          <w:rFonts w:hint="eastAsia" w:ascii="宋体" w:hAnsi="宋体"/>
          <w:szCs w:val="28"/>
          <w:highlight w:val="none"/>
        </w:rPr>
        <w:t>获取</w:t>
      </w:r>
      <w:r>
        <w:rPr>
          <w:rFonts w:hint="eastAsia" w:ascii="宋体" w:hAnsi="宋体"/>
          <w:szCs w:val="28"/>
          <w:highlight w:val="none"/>
          <w:lang w:eastAsia="zh-CN"/>
        </w:rPr>
        <w:t>征集</w:t>
      </w:r>
      <w:r>
        <w:rPr>
          <w:rFonts w:hint="eastAsia" w:ascii="宋体" w:hAnsi="宋体"/>
          <w:szCs w:val="28"/>
          <w:highlight w:val="none"/>
        </w:rPr>
        <w:t>文件，并于</w:t>
      </w:r>
      <w:r>
        <w:rPr>
          <w:rFonts w:hint="eastAsia" w:ascii="宋体" w:hAnsi="宋体"/>
          <w:szCs w:val="28"/>
          <w:highlight w:val="none"/>
          <w:u w:val="single"/>
        </w:rPr>
        <w:t>202</w:t>
      </w:r>
      <w:r>
        <w:rPr>
          <w:rFonts w:hint="eastAsia" w:ascii="宋体" w:hAnsi="宋体"/>
          <w:szCs w:val="28"/>
          <w:highlight w:val="none"/>
          <w:u w:val="single"/>
          <w:lang w:val="en-US" w:eastAsia="zh-CN"/>
        </w:rPr>
        <w:t>6</w:t>
      </w:r>
      <w:r>
        <w:rPr>
          <w:rFonts w:hint="eastAsia" w:ascii="宋体" w:hAnsi="宋体"/>
          <w:bCs/>
          <w:szCs w:val="28"/>
          <w:highlight w:val="none"/>
          <w:u w:val="single"/>
        </w:rPr>
        <w:t>年</w:t>
      </w:r>
      <w:r>
        <w:rPr>
          <w:rFonts w:hint="eastAsia" w:ascii="宋体" w:hAnsi="宋体"/>
          <w:bCs/>
          <w:szCs w:val="28"/>
          <w:highlight w:val="none"/>
          <w:u w:val="single"/>
          <w:lang w:val="en-US" w:eastAsia="zh-CN"/>
        </w:rPr>
        <w:t>7</w:t>
      </w:r>
      <w:r>
        <w:rPr>
          <w:rFonts w:hint="eastAsia" w:ascii="宋体" w:hAnsi="宋体"/>
          <w:bCs/>
          <w:szCs w:val="28"/>
          <w:highlight w:val="none"/>
          <w:u w:val="single"/>
        </w:rPr>
        <w:t>月</w:t>
      </w:r>
      <w:r>
        <w:rPr>
          <w:rFonts w:hint="eastAsia" w:ascii="宋体" w:hAnsi="宋体"/>
          <w:bCs/>
          <w:szCs w:val="28"/>
          <w:highlight w:val="none"/>
          <w:u w:val="single"/>
          <w:lang w:val="en-US" w:eastAsia="zh-CN"/>
        </w:rPr>
        <w:t>14</w:t>
      </w:r>
      <w:r>
        <w:rPr>
          <w:rFonts w:hint="eastAsia" w:ascii="宋体" w:hAnsi="宋体"/>
          <w:bCs/>
          <w:szCs w:val="28"/>
          <w:highlight w:val="none"/>
          <w:u w:val="single"/>
        </w:rPr>
        <w:t>日</w:t>
      </w:r>
      <w:r>
        <w:rPr>
          <w:rFonts w:hint="eastAsia" w:ascii="宋体" w:hAnsi="宋体"/>
          <w:bCs/>
          <w:szCs w:val="28"/>
          <w:highlight w:val="none"/>
          <w:u w:val="single"/>
          <w:lang w:val="en-US" w:eastAsia="zh-CN"/>
        </w:rPr>
        <w:t>14</w:t>
      </w:r>
      <w:r>
        <w:rPr>
          <w:rFonts w:hint="eastAsia" w:ascii="宋体" w:hAnsi="宋体"/>
          <w:bCs/>
          <w:szCs w:val="28"/>
          <w:highlight w:val="none"/>
          <w:u w:val="single"/>
        </w:rPr>
        <w:t>点30分</w:t>
      </w:r>
      <w:r>
        <w:rPr>
          <w:rFonts w:hint="eastAsia" w:ascii="宋体" w:hAnsi="宋体"/>
          <w:bCs/>
          <w:szCs w:val="28"/>
          <w:highlight w:val="none"/>
          <w:u w:val="none"/>
        </w:rPr>
        <w:t>（</w:t>
      </w:r>
      <w:r>
        <w:rPr>
          <w:rFonts w:hint="eastAsia" w:ascii="宋体" w:hAnsi="宋体"/>
          <w:bCs/>
          <w:szCs w:val="28"/>
          <w:highlight w:val="none"/>
        </w:rPr>
        <w:t>北京时间</w:t>
      </w:r>
      <w:r>
        <w:rPr>
          <w:rFonts w:hint="eastAsia" w:ascii="宋体" w:hAnsi="宋体"/>
          <w:bCs/>
          <w:szCs w:val="28"/>
        </w:rPr>
        <w:t>）前递交投标</w:t>
      </w:r>
      <w:r>
        <w:rPr>
          <w:rFonts w:ascii="宋体" w:hAnsi="宋体"/>
          <w:bCs/>
          <w:szCs w:val="28"/>
        </w:rPr>
        <w:t>文件</w:t>
      </w:r>
      <w:r>
        <w:rPr>
          <w:rFonts w:hint="eastAsia" w:ascii="宋体" w:hAnsi="宋体"/>
          <w:szCs w:val="28"/>
        </w:rPr>
        <w:t>。</w:t>
      </w:r>
    </w:p>
    <w:p w14:paraId="75F49FC0">
      <w:pPr>
        <w:spacing w:line="360" w:lineRule="auto"/>
        <w:ind w:firstLine="420" w:firstLineChars="200"/>
        <w:rPr>
          <w:rFonts w:hint="eastAsia" w:ascii="宋体" w:hAnsi="宋体"/>
        </w:rPr>
      </w:pPr>
      <w:bookmarkStart w:id="8" w:name="OLE_LINK2"/>
    </w:p>
    <w:p w14:paraId="445E017D">
      <w:pPr>
        <w:spacing w:line="360" w:lineRule="auto"/>
        <w:ind w:firstLine="420" w:firstLineChars="200"/>
        <w:outlineLvl w:val="0"/>
        <w:rPr>
          <w:rFonts w:ascii="宋体" w:hAnsi="宋体"/>
          <w:b/>
        </w:rPr>
      </w:pPr>
      <w:r>
        <w:rPr>
          <w:rFonts w:hint="eastAsia" w:ascii="宋体" w:hAnsi="宋体"/>
        </w:rPr>
        <w:t>一、项目基本情况</w:t>
      </w:r>
    </w:p>
    <w:p w14:paraId="656BF1CC">
      <w:pPr>
        <w:spacing w:line="360" w:lineRule="auto"/>
        <w:ind w:firstLine="420" w:firstLineChars="200"/>
        <w:rPr>
          <w:rFonts w:hint="default" w:ascii="宋体" w:hAnsi="宋体" w:eastAsiaTheme="minorEastAsia"/>
          <w:lang w:val="en-US" w:eastAsia="zh-CN"/>
        </w:rPr>
      </w:pPr>
      <w:r>
        <w:rPr>
          <w:rFonts w:hint="eastAsia" w:ascii="宋体" w:hAnsi="宋体"/>
        </w:rPr>
        <w:t>项目编号：</w:t>
      </w:r>
      <w:r>
        <w:rPr>
          <w:rFonts w:hint="eastAsia" w:ascii="宋体" w:hAnsi="宋体"/>
          <w:lang w:val="en-US" w:eastAsia="zh-CN"/>
        </w:rPr>
        <w:t>FTEY-202506-QX010</w:t>
      </w:r>
    </w:p>
    <w:p w14:paraId="792813B2">
      <w:pPr>
        <w:spacing w:line="360" w:lineRule="auto"/>
        <w:ind w:firstLine="420" w:firstLineChars="200"/>
        <w:rPr>
          <w:rFonts w:hint="default" w:ascii="宋体" w:hAnsi="宋体" w:eastAsiaTheme="minorEastAsia"/>
          <w:lang w:val="en-US" w:eastAsia="zh-CN"/>
        </w:rPr>
      </w:pPr>
      <w:r>
        <w:rPr>
          <w:rFonts w:hint="eastAsia" w:ascii="宋体" w:hAnsi="宋体"/>
        </w:rPr>
        <w:t>项目名称：</w:t>
      </w:r>
      <w:r>
        <w:rPr>
          <w:rFonts w:hint="eastAsia" w:ascii="宋体" w:hAnsi="宋体"/>
          <w:szCs w:val="28"/>
          <w:u w:val="none"/>
          <w:lang w:val="en-US" w:eastAsia="zh-CN"/>
        </w:rPr>
        <w:t>医用体位垫</w:t>
      </w:r>
    </w:p>
    <w:p w14:paraId="118885C8">
      <w:pPr>
        <w:spacing w:line="360" w:lineRule="auto"/>
        <w:ind w:firstLine="420" w:firstLineChars="200"/>
        <w:rPr>
          <w:rFonts w:hint="eastAsia" w:ascii="宋体" w:hAnsi="宋体"/>
          <w:szCs w:val="21"/>
        </w:rPr>
      </w:pPr>
      <w:r>
        <w:rPr>
          <w:rFonts w:hint="eastAsia" w:ascii="宋体" w:hAnsi="宋体"/>
        </w:rPr>
        <w:t>预算金额：人民币</w:t>
      </w:r>
      <w:r>
        <w:rPr>
          <w:rFonts w:hint="eastAsia" w:ascii="宋体" w:hAnsi="宋体"/>
          <w:lang w:val="en-US" w:eastAsia="zh-CN"/>
        </w:rPr>
        <w:t>陆</w:t>
      </w:r>
      <w:r>
        <w:rPr>
          <w:rFonts w:hint="eastAsia" w:ascii="宋体" w:hAnsi="宋体"/>
        </w:rPr>
        <w:t>万</w:t>
      </w:r>
      <w:r>
        <w:rPr>
          <w:rFonts w:hint="eastAsia" w:ascii="宋体" w:hAnsi="宋体"/>
          <w:lang w:val="en-US" w:eastAsia="zh-CN"/>
        </w:rPr>
        <w:t>元</w:t>
      </w:r>
      <w:r>
        <w:rPr>
          <w:rFonts w:hint="eastAsia" w:ascii="宋体" w:hAnsi="宋体"/>
        </w:rPr>
        <w:t>整（¥</w:t>
      </w:r>
      <w:r>
        <w:rPr>
          <w:rFonts w:hint="eastAsia" w:ascii="宋体" w:hAnsi="宋体"/>
          <w:lang w:val="en-US" w:eastAsia="zh-CN"/>
        </w:rPr>
        <w:t>60000</w:t>
      </w:r>
      <w:r>
        <w:rPr>
          <w:rFonts w:hint="eastAsia" w:ascii="宋体" w:hAnsi="宋体"/>
        </w:rPr>
        <w:t>.00元）</w:t>
      </w:r>
    </w:p>
    <w:p w14:paraId="11B5D75C">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采购方式：公开征集</w:t>
      </w:r>
    </w:p>
    <w:p w14:paraId="3D8115B5">
      <w:pPr>
        <w:spacing w:line="360" w:lineRule="auto"/>
        <w:ind w:firstLine="420" w:firstLineChars="200"/>
        <w:rPr>
          <w:rFonts w:ascii="宋体" w:hAnsi="宋体"/>
          <w:u w:val="single"/>
        </w:rPr>
      </w:pPr>
      <w:r>
        <w:rPr>
          <w:rFonts w:hint="eastAsia" w:ascii="宋体" w:hAnsi="宋体"/>
        </w:rPr>
        <w:t>采购需求：详见</w:t>
      </w:r>
      <w:r>
        <w:rPr>
          <w:rFonts w:hint="eastAsia" w:ascii="宋体" w:hAnsi="宋体"/>
          <w:lang w:eastAsia="zh-CN"/>
        </w:rPr>
        <w:t>征集</w:t>
      </w:r>
      <w:r>
        <w:rPr>
          <w:rFonts w:hint="eastAsia" w:ascii="宋体" w:hAnsi="宋体"/>
        </w:rPr>
        <w:t>文件</w:t>
      </w:r>
    </w:p>
    <w:p w14:paraId="1C2AA89B">
      <w:pPr>
        <w:spacing w:line="360" w:lineRule="auto"/>
        <w:ind w:firstLine="420" w:firstLineChars="200"/>
        <w:rPr>
          <w:rFonts w:ascii="宋体" w:hAnsi="宋体"/>
          <w:u w:val="single"/>
        </w:rPr>
      </w:pPr>
      <w:r>
        <w:rPr>
          <w:rFonts w:hint="eastAsia" w:ascii="宋体" w:hAnsi="宋体"/>
        </w:rPr>
        <w:t>合同履行期限：详见</w:t>
      </w:r>
      <w:r>
        <w:rPr>
          <w:rFonts w:hint="eastAsia" w:ascii="宋体" w:hAnsi="宋体"/>
          <w:lang w:eastAsia="zh-CN"/>
        </w:rPr>
        <w:t>征集</w:t>
      </w:r>
      <w:r>
        <w:rPr>
          <w:rFonts w:hint="eastAsia" w:ascii="宋体" w:hAnsi="宋体"/>
        </w:rPr>
        <w:t>文件</w:t>
      </w:r>
    </w:p>
    <w:p w14:paraId="22B32CBD">
      <w:pPr>
        <w:spacing w:line="360" w:lineRule="auto"/>
        <w:ind w:firstLine="420" w:firstLineChars="200"/>
        <w:rPr>
          <w:rFonts w:hint="eastAsia" w:ascii="宋体" w:hAnsi="宋体"/>
        </w:rPr>
      </w:pPr>
      <w:r>
        <w:rPr>
          <w:rFonts w:hint="eastAsia" w:ascii="宋体" w:hAnsi="宋体"/>
        </w:rPr>
        <w:t>本项目不接受联合体投标。</w:t>
      </w:r>
    </w:p>
    <w:p w14:paraId="25206CE6">
      <w:pPr>
        <w:spacing w:line="360" w:lineRule="auto"/>
        <w:ind w:firstLine="420" w:firstLineChars="200"/>
        <w:rPr>
          <w:rFonts w:hint="eastAsia" w:ascii="宋体" w:hAnsi="宋体"/>
        </w:rPr>
      </w:pPr>
    </w:p>
    <w:p w14:paraId="1FCF967D">
      <w:pPr>
        <w:spacing w:line="360" w:lineRule="auto"/>
        <w:ind w:firstLine="420" w:firstLineChars="200"/>
        <w:outlineLvl w:val="0"/>
        <w:rPr>
          <w:rFonts w:ascii="宋体" w:hAnsi="宋体"/>
          <w:b/>
        </w:rPr>
      </w:pPr>
      <w:r>
        <w:rPr>
          <w:rFonts w:hint="eastAsia" w:ascii="宋体" w:hAnsi="宋体"/>
        </w:rPr>
        <w:t>二、申请人的资格要求：</w:t>
      </w:r>
    </w:p>
    <w:p w14:paraId="79CCFECA">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9"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9"/>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0CFEC3E0">
      <w:pPr>
        <w:spacing w:line="360" w:lineRule="auto"/>
        <w:ind w:firstLine="420" w:firstLineChars="200"/>
        <w:rPr>
          <w:rFonts w:hint="eastAsia" w:ascii="宋体" w:hAnsi="宋体"/>
        </w:rPr>
      </w:pPr>
      <w:r>
        <w:rPr>
          <w:rFonts w:hint="eastAsia" w:ascii="宋体" w:hAnsi="宋体"/>
          <w:lang w:val="en-US" w:eastAsia="zh-CN"/>
        </w:rPr>
        <w:t>①</w:t>
      </w:r>
      <w:r>
        <w:rPr>
          <w:rFonts w:hint="eastAsia" w:ascii="宋体" w:hAnsi="宋体"/>
        </w:rPr>
        <w:t>若投标人若为生产企业（指所投医疗器械的注册人或备案人）：所投产品为第一类医疗器械的，提供监督管理部门签发的涵盖所投医疗器械的有效《第一类医疗器械生产备案凭证》或备案证明文件；所投产品为第二、三类医疗器械的，提供监督管理部门签发的涵盖所投医疗器械的有效《医疗器械生产许可证》。（提供相关证明材料复印件加盖投标人公章）</w:t>
      </w:r>
    </w:p>
    <w:p w14:paraId="0096F72F">
      <w:pPr>
        <w:spacing w:line="360" w:lineRule="auto"/>
        <w:ind w:firstLine="420" w:firstLineChars="200"/>
        <w:rPr>
          <w:rFonts w:hint="default" w:ascii="宋体" w:hAnsi="宋体"/>
          <w:lang w:val="en-US" w:eastAsia="zh-CN"/>
        </w:rPr>
      </w:pPr>
      <w:r>
        <w:rPr>
          <w:rFonts w:hint="eastAsia" w:ascii="宋体" w:hAnsi="宋体"/>
          <w:lang w:val="en-US" w:eastAsia="zh-CN"/>
        </w:rPr>
        <w:t>②</w:t>
      </w:r>
      <w:r>
        <w:rPr>
          <w:rFonts w:hint="eastAsia" w:ascii="宋体" w:hAnsi="宋体"/>
        </w:rPr>
        <w:t>若投标人若为经营企业：所投产品为第二类医疗器械的，提供监督管理部门签发的涵盖所投医疗器械的有效《医疗器械经营备案凭证》（属于监督管理部门公布的免于经营备案的医疗器械除外）；所投产品为第三类医疗器械的，提供监督管理部门签发的涵盖所投医疗器械的有效《医疗器械经营许可证》。（提供相关证明材料复印件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b/>
          <w:lang w:val="en-US" w:eastAsia="zh-CN"/>
        </w:rPr>
        <w:t>不</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10"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10"/>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3"/>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2E0B1E6D">
      <w:pPr>
        <w:spacing w:line="360" w:lineRule="auto"/>
        <w:ind w:firstLine="420" w:firstLineChars="200"/>
        <w:outlineLvl w:val="0"/>
        <w:rPr>
          <w:rFonts w:hint="default" w:ascii="宋体" w:hAnsi="宋体" w:eastAsiaTheme="minorEastAsia"/>
          <w:b/>
          <w:highlight w:val="none"/>
          <w:lang w:val="en-US" w:eastAsia="zh-CN"/>
        </w:rPr>
      </w:pPr>
      <w:r>
        <w:rPr>
          <w:rFonts w:hint="eastAsia" w:ascii="宋体" w:hAnsi="宋体"/>
          <w:highlight w:val="none"/>
          <w:lang w:val="en-US" w:eastAsia="zh-CN"/>
        </w:rPr>
        <w:t>三</w:t>
      </w:r>
      <w:r>
        <w:rPr>
          <w:rFonts w:hint="eastAsia" w:ascii="宋体" w:hAnsi="宋体"/>
          <w:highlight w:val="none"/>
        </w:rPr>
        <w:t>、</w:t>
      </w:r>
      <w:r>
        <w:rPr>
          <w:rFonts w:hint="eastAsia" w:ascii="宋体" w:hAnsi="宋体"/>
          <w:highlight w:val="none"/>
          <w:lang w:val="en-US" w:eastAsia="zh-CN"/>
        </w:rPr>
        <w:t>相关招投标时间及地点信息</w:t>
      </w:r>
    </w:p>
    <w:p w14:paraId="6F0FAEE1">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报名时间：2026年6月30日8时00分至2026年7月6日17时00分止。</w:t>
      </w:r>
    </w:p>
    <w:p w14:paraId="1A0158DA">
      <w:pPr>
        <w:spacing w:line="360" w:lineRule="auto"/>
        <w:ind w:firstLine="420" w:firstLineChars="200"/>
        <w:rPr>
          <w:rFonts w:ascii="宋体" w:hAnsi="宋体"/>
          <w:bCs/>
          <w:highlight w:val="none"/>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7</w:t>
      </w:r>
      <w:r>
        <w:rPr>
          <w:rFonts w:hint="eastAsia" w:ascii="宋体" w:hAnsi="宋体"/>
          <w:highlight w:val="none"/>
        </w:rPr>
        <w:t>月</w:t>
      </w:r>
      <w:r>
        <w:rPr>
          <w:rFonts w:hint="eastAsia" w:ascii="宋体" w:hAnsi="宋体"/>
          <w:highlight w:val="none"/>
          <w:lang w:val="en-US" w:eastAsia="zh-CN"/>
        </w:rPr>
        <w:t>14</w:t>
      </w:r>
      <w:r>
        <w:rPr>
          <w:rFonts w:hint="eastAsia" w:ascii="宋体" w:hAnsi="宋体"/>
          <w:highlight w:val="none"/>
        </w:rPr>
        <w:t>日</w:t>
      </w:r>
      <w:r>
        <w:rPr>
          <w:rFonts w:hint="eastAsia" w:ascii="宋体" w:hAnsi="宋体"/>
          <w:highlight w:val="none"/>
          <w:lang w:val="en-US" w:eastAsia="zh-CN"/>
        </w:rPr>
        <w:t>14</w:t>
      </w:r>
      <w:r>
        <w:rPr>
          <w:rFonts w:hint="eastAsia" w:ascii="宋体" w:hAnsi="宋体"/>
          <w:bCs/>
          <w:highlight w:val="none"/>
        </w:rPr>
        <w:t>:00至</w:t>
      </w:r>
      <w:r>
        <w:rPr>
          <w:rFonts w:hint="eastAsia" w:ascii="宋体" w:hAnsi="宋体"/>
          <w:bCs/>
          <w:highlight w:val="none"/>
          <w:lang w:val="en-US" w:eastAsia="zh-CN"/>
        </w:rPr>
        <w:t>14</w:t>
      </w:r>
      <w:r>
        <w:rPr>
          <w:rFonts w:hint="eastAsia" w:ascii="宋体" w:hAnsi="宋体"/>
          <w:bCs/>
          <w:highlight w:val="none"/>
        </w:rPr>
        <w:t>:30（北京时间）；</w:t>
      </w:r>
    </w:p>
    <w:p w14:paraId="1157F1DE">
      <w:pPr>
        <w:spacing w:line="360" w:lineRule="auto"/>
        <w:ind w:firstLine="420" w:firstLineChars="200"/>
        <w:rPr>
          <w:rFonts w:hint="default" w:ascii="宋体" w:hAnsi="宋体"/>
          <w:bCs/>
          <w:highlight w:val="none"/>
          <w:lang w:val="en-US"/>
        </w:rPr>
      </w:pPr>
      <w:r>
        <w:rPr>
          <w:rFonts w:hint="eastAsia" w:ascii="宋体" w:hAnsi="宋体"/>
          <w:bCs/>
          <w:highlight w:val="none"/>
          <w:lang w:val="en-US" w:eastAsia="zh-CN"/>
        </w:rPr>
        <w:t>3</w:t>
      </w:r>
      <w:r>
        <w:rPr>
          <w:rFonts w:hint="eastAsia" w:ascii="宋体" w:hAnsi="宋体"/>
          <w:bCs/>
          <w:highlight w:val="none"/>
        </w:rPr>
        <w:t>、投标文件递交地点：</w:t>
      </w:r>
      <w:r>
        <w:rPr>
          <w:rFonts w:hint="eastAsia" w:ascii="宋体"/>
          <w:bCs/>
          <w:color w:val="auto"/>
          <w:szCs w:val="20"/>
          <w:highlight w:val="none"/>
          <w:lang w:val="en-US" w:eastAsia="zh-CN"/>
        </w:rPr>
        <w:t>深圳市福田区梅林街道中康路27号综合楼A栋501室</w:t>
      </w:r>
    </w:p>
    <w:p w14:paraId="74CAA61F">
      <w:pPr>
        <w:spacing w:line="360" w:lineRule="auto"/>
        <w:ind w:firstLine="420" w:firstLineChars="200"/>
        <w:rPr>
          <w:rFonts w:ascii="宋体" w:hAnsi="宋体"/>
          <w:bCs/>
          <w:highlight w:val="none"/>
        </w:rPr>
      </w:pPr>
      <w:r>
        <w:rPr>
          <w:rFonts w:hint="eastAsia" w:ascii="宋体" w:hAnsi="宋体"/>
          <w:bCs/>
          <w:highlight w:val="none"/>
          <w:lang w:val="en-US" w:eastAsia="zh-CN"/>
        </w:rPr>
        <w:t>4</w:t>
      </w:r>
      <w:r>
        <w:rPr>
          <w:rFonts w:hint="eastAsia" w:ascii="宋体" w:hAnsi="宋体"/>
          <w:bCs/>
          <w:highlight w:val="none"/>
        </w:rPr>
        <w:t>、递交投标文件截止时间：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7</w:t>
      </w:r>
      <w:r>
        <w:rPr>
          <w:rFonts w:hint="eastAsia" w:ascii="宋体" w:hAnsi="宋体"/>
          <w:highlight w:val="none"/>
        </w:rPr>
        <w:t>月</w:t>
      </w:r>
      <w:r>
        <w:rPr>
          <w:rFonts w:hint="eastAsia" w:ascii="宋体" w:hAnsi="宋体"/>
          <w:highlight w:val="none"/>
          <w:lang w:val="en-US" w:eastAsia="zh-CN"/>
        </w:rPr>
        <w:t>14</w:t>
      </w:r>
      <w:r>
        <w:rPr>
          <w:rFonts w:hint="eastAsia" w:ascii="宋体" w:hAnsi="宋体"/>
          <w:highlight w:val="none"/>
        </w:rPr>
        <w:t>日</w:t>
      </w:r>
      <w:r>
        <w:rPr>
          <w:rFonts w:hint="eastAsia" w:ascii="宋体" w:hAnsi="宋体"/>
          <w:highlight w:val="none"/>
          <w:lang w:val="en-US" w:eastAsia="zh-CN"/>
        </w:rPr>
        <w:t>14</w:t>
      </w:r>
      <w:r>
        <w:rPr>
          <w:rFonts w:hint="eastAsia" w:ascii="宋体" w:hAnsi="宋体"/>
          <w:bCs/>
          <w:highlight w:val="none"/>
        </w:rPr>
        <w:t>:30（北京时间）</w:t>
      </w:r>
      <w:r>
        <w:rPr>
          <w:rFonts w:hint="eastAsia" w:ascii="宋体" w:hAnsi="宋体"/>
          <w:bCs/>
          <w:highlight w:val="none"/>
          <w:lang w:eastAsia="zh-CN"/>
        </w:rPr>
        <w:t>，</w:t>
      </w:r>
      <w:r>
        <w:rPr>
          <w:rFonts w:hint="eastAsia" w:ascii="宋体" w:hAnsi="宋体"/>
          <w:bCs/>
          <w:highlight w:val="none"/>
        </w:rPr>
        <w:t>所有投标文件应于投标截止时间之前递交，迟交的投标文件将拒绝接收；</w:t>
      </w:r>
    </w:p>
    <w:p w14:paraId="416C132A">
      <w:pPr>
        <w:spacing w:line="360" w:lineRule="auto"/>
        <w:ind w:firstLine="420" w:firstLineChars="200"/>
        <w:rPr>
          <w:rFonts w:ascii="宋体" w:hAnsi="宋体"/>
          <w:bCs/>
          <w:highlight w:val="none"/>
        </w:rPr>
      </w:pPr>
      <w:r>
        <w:rPr>
          <w:rFonts w:hint="eastAsia" w:ascii="宋体" w:hAnsi="宋体"/>
          <w:bCs/>
          <w:highlight w:val="none"/>
          <w:lang w:val="en-US" w:eastAsia="zh-CN"/>
        </w:rPr>
        <w:t>5</w:t>
      </w:r>
      <w:r>
        <w:rPr>
          <w:rFonts w:hint="eastAsia" w:ascii="宋体" w:hAnsi="宋体"/>
          <w:bCs/>
          <w:highlight w:val="none"/>
        </w:rPr>
        <w:t>、开标时间：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7</w:t>
      </w:r>
      <w:r>
        <w:rPr>
          <w:rFonts w:hint="eastAsia" w:ascii="宋体" w:hAnsi="宋体"/>
          <w:highlight w:val="none"/>
        </w:rPr>
        <w:t>月</w:t>
      </w:r>
      <w:r>
        <w:rPr>
          <w:rFonts w:hint="eastAsia" w:ascii="宋体" w:hAnsi="宋体"/>
          <w:highlight w:val="none"/>
          <w:lang w:val="en-US" w:eastAsia="zh-CN"/>
        </w:rPr>
        <w:t>14</w:t>
      </w:r>
      <w:r>
        <w:rPr>
          <w:rFonts w:hint="eastAsia" w:ascii="宋体" w:hAnsi="宋体"/>
          <w:highlight w:val="none"/>
        </w:rPr>
        <w:t>日</w:t>
      </w:r>
      <w:r>
        <w:rPr>
          <w:rFonts w:hint="eastAsia" w:ascii="宋体" w:hAnsi="宋体"/>
          <w:highlight w:val="none"/>
          <w:lang w:val="en-US" w:eastAsia="zh-CN"/>
        </w:rPr>
        <w:t>14</w:t>
      </w:r>
      <w:r>
        <w:rPr>
          <w:rFonts w:hint="eastAsia" w:ascii="宋体" w:hAnsi="宋体"/>
          <w:bCs/>
          <w:highlight w:val="none"/>
        </w:rPr>
        <w:t>:30（北京时间）</w:t>
      </w:r>
    </w:p>
    <w:p w14:paraId="7CA577EA">
      <w:pPr>
        <w:spacing w:line="360" w:lineRule="auto"/>
        <w:ind w:firstLine="420" w:firstLineChars="200"/>
        <w:rPr>
          <w:rFonts w:ascii="宋体" w:hAnsi="宋体"/>
          <w:bCs/>
          <w:highlight w:val="none"/>
        </w:rPr>
      </w:pPr>
      <w:r>
        <w:rPr>
          <w:rFonts w:hint="eastAsia" w:ascii="宋体" w:hAnsi="宋体"/>
          <w:bCs/>
          <w:highlight w:val="none"/>
          <w:lang w:val="en-US" w:eastAsia="zh-CN"/>
        </w:rPr>
        <w:t>6</w:t>
      </w:r>
      <w:r>
        <w:rPr>
          <w:rFonts w:hint="eastAsia" w:ascii="宋体" w:hAnsi="宋体"/>
          <w:bCs/>
          <w:highlight w:val="none"/>
        </w:rPr>
        <w:t>、开标地点：</w:t>
      </w:r>
      <w:r>
        <w:rPr>
          <w:rFonts w:hint="eastAsia" w:ascii="宋体"/>
          <w:bCs/>
          <w:color w:val="auto"/>
          <w:szCs w:val="20"/>
          <w:highlight w:val="none"/>
          <w:lang w:val="en-US" w:eastAsia="zh-CN"/>
        </w:rPr>
        <w:t>深圳市福田区梅林街道中康路27号综合楼A栋501室</w:t>
      </w:r>
    </w:p>
    <w:p w14:paraId="003CCE7E">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0"/>
        <w:rPr>
          <w:rFonts w:ascii="宋体" w:hAnsi="宋体"/>
          <w:b/>
        </w:rPr>
      </w:pPr>
      <w:r>
        <w:rPr>
          <w:rFonts w:hint="eastAsia" w:ascii="宋体" w:hAnsi="宋体"/>
          <w:lang w:val="en-US" w:eastAsia="zh-CN"/>
        </w:rPr>
        <w:t>四</w:t>
      </w:r>
      <w:r>
        <w:rPr>
          <w:rFonts w:hint="eastAsia" w:ascii="宋体" w:hAnsi="宋体"/>
        </w:rPr>
        <w:t>、公告期限</w:t>
      </w:r>
    </w:p>
    <w:p w14:paraId="53BA3E0E">
      <w:pPr>
        <w:spacing w:line="360" w:lineRule="auto"/>
        <w:ind w:firstLine="420" w:firstLineChars="200"/>
        <w:rPr>
          <w:rFonts w:ascii="宋体" w:hAnsi="宋体"/>
          <w:kern w:val="0"/>
        </w:rPr>
      </w:pPr>
      <w:r>
        <w:rPr>
          <w:rFonts w:hint="eastAsia" w:ascii="宋体" w:hAnsi="宋体"/>
          <w:kern w:val="0"/>
        </w:rPr>
        <w:t>自本公告发布之日起5个工作日。</w:t>
      </w:r>
    </w:p>
    <w:p w14:paraId="790F53A0">
      <w:pPr>
        <w:spacing w:line="360" w:lineRule="auto"/>
        <w:ind w:firstLine="420" w:firstLineChars="200"/>
        <w:rPr>
          <w:rFonts w:hint="eastAsia" w:ascii="宋体" w:hAnsi="宋体"/>
          <w:lang w:val="en-US" w:eastAsia="zh-CN"/>
        </w:rPr>
      </w:pPr>
    </w:p>
    <w:p w14:paraId="0972B18F">
      <w:pPr>
        <w:numPr>
          <w:ilvl w:val="0"/>
          <w:numId w:val="4"/>
        </w:numPr>
        <w:spacing w:line="360" w:lineRule="auto"/>
        <w:ind w:firstLine="420" w:firstLineChars="200"/>
        <w:outlineLvl w:val="0"/>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5AAE8624">
      <w:pPr>
        <w:numPr>
          <w:ilvl w:val="0"/>
          <w:numId w:val="0"/>
        </w:numPr>
        <w:spacing w:line="360" w:lineRule="auto"/>
        <w:ind w:firstLine="420" w:firstLineChars="200"/>
        <w:rPr>
          <w:rFonts w:hint="default" w:ascii="宋体" w:hAnsi="宋体"/>
          <w:lang w:val="en-US" w:eastAsia="zh-CN"/>
        </w:rPr>
      </w:pPr>
    </w:p>
    <w:p w14:paraId="4F2DF4E0">
      <w:pPr>
        <w:numPr>
          <w:ilvl w:val="0"/>
          <w:numId w:val="4"/>
        </w:numPr>
        <w:spacing w:line="360" w:lineRule="auto"/>
        <w:ind w:firstLine="420" w:firstLineChars="200"/>
        <w:outlineLvl w:val="0"/>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0405C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r>
        <w:rPr>
          <w:rFonts w:hint="eastAsia" w:ascii="宋体" w:hAnsi="宋体"/>
          <w:lang w:val="en-US" w:eastAsia="zh-CN"/>
        </w:rPr>
        <w:t>2.</w:t>
      </w:r>
      <w:r>
        <w:rPr>
          <w:rFonts w:hint="eastAsia" w:ascii="宋体" w:hAnsi="宋体"/>
        </w:rPr>
        <w:t>投标人有义务在</w:t>
      </w:r>
      <w:r>
        <w:rPr>
          <w:rFonts w:hint="eastAsia" w:ascii="宋体" w:hAnsi="宋体"/>
          <w:lang w:eastAsia="zh-CN"/>
        </w:rPr>
        <w:t>征集</w:t>
      </w:r>
      <w:r>
        <w:rPr>
          <w:rFonts w:hint="eastAsia" w:ascii="宋体" w:hAnsi="宋体"/>
        </w:rPr>
        <w:t>活动期间浏览</w:t>
      </w:r>
      <w:r>
        <w:rPr>
          <w:rFonts w:hint="eastAsia" w:ascii="宋体" w:hAnsi="宋体"/>
          <w:lang w:val="en-US" w:eastAsia="zh-CN"/>
        </w:rPr>
        <w:t>深圳市福田区第二人民医院</w:t>
      </w:r>
      <w:r>
        <w:rPr>
          <w:rFonts w:hint="eastAsia" w:ascii="宋体"/>
          <w:bCs/>
          <w:color w:val="auto"/>
          <w:szCs w:val="20"/>
          <w:highlight w:val="none"/>
          <w:lang w:val="en-US" w:eastAsia="zh-CN"/>
        </w:rPr>
        <w:t>网站（https://www.ft2yy.cn/）。相关公告在上述媒体上公布之日即视为有效送达，不再另行通知。</w:t>
      </w:r>
    </w:p>
    <w:p w14:paraId="28D320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p>
    <w:p w14:paraId="3019BE1D">
      <w:pPr>
        <w:spacing w:line="360" w:lineRule="auto"/>
        <w:ind w:firstLine="420" w:firstLineChars="200"/>
        <w:outlineLvl w:val="0"/>
        <w:rPr>
          <w:rFonts w:ascii="宋体" w:hAnsi="宋体"/>
          <w:b/>
        </w:rPr>
      </w:pPr>
      <w:r>
        <w:rPr>
          <w:rFonts w:hint="eastAsia" w:ascii="宋体" w:hAnsi="宋体"/>
          <w:lang w:val="en-US" w:eastAsia="zh-CN"/>
        </w:rPr>
        <w:t>七</w:t>
      </w:r>
      <w:r>
        <w:rPr>
          <w:rFonts w:hint="eastAsia" w:ascii="宋体" w:hAnsi="宋体"/>
        </w:rPr>
        <w:t>、对本次</w:t>
      </w:r>
      <w:r>
        <w:rPr>
          <w:rFonts w:hint="eastAsia" w:ascii="宋体" w:hAnsi="宋体"/>
          <w:lang w:eastAsia="zh-CN"/>
        </w:rPr>
        <w:t>征集</w:t>
      </w:r>
      <w:r>
        <w:rPr>
          <w:rFonts w:hint="eastAsia" w:ascii="宋体" w:hAnsi="宋体"/>
        </w:rPr>
        <w:t>提出询问，请按</w:t>
      </w:r>
      <w:r>
        <w:rPr>
          <w:rFonts w:ascii="宋体" w:hAnsi="宋体"/>
        </w:rPr>
        <w:t>以下方式</w:t>
      </w:r>
      <w:r>
        <w:rPr>
          <w:rFonts w:hint="eastAsia" w:ascii="宋体" w:hAnsi="宋体"/>
        </w:rPr>
        <w:t>联系。</w:t>
      </w:r>
    </w:p>
    <w:p w14:paraId="4F679AC3">
      <w:pPr>
        <w:adjustRightInd w:val="0"/>
        <w:snapToGrid w:val="0"/>
        <w:spacing w:line="360" w:lineRule="auto"/>
        <w:ind w:firstLine="424" w:firstLineChars="202"/>
        <w:rPr>
          <w:rFonts w:hint="default" w:ascii="宋体"/>
          <w:bCs/>
          <w:color w:val="auto"/>
          <w:szCs w:val="20"/>
          <w:highlight w:val="none"/>
          <w:lang w:val="en-US" w:eastAsia="zh-CN"/>
        </w:rPr>
      </w:pPr>
      <w:r>
        <w:rPr>
          <w:rFonts w:hint="eastAsia" w:ascii="宋体"/>
          <w:bCs/>
          <w:color w:val="auto"/>
          <w:szCs w:val="20"/>
          <w:highlight w:val="none"/>
          <w:lang w:val="en-US" w:eastAsia="zh-CN"/>
        </w:rPr>
        <w:t>医学装备部联系人</w:t>
      </w:r>
      <w:r>
        <w:rPr>
          <w:rFonts w:hint="eastAsia" w:ascii="宋体"/>
          <w:bCs/>
          <w:color w:val="auto"/>
          <w:szCs w:val="20"/>
          <w:highlight w:val="none"/>
        </w:rPr>
        <w:t>：</w:t>
      </w:r>
      <w:r>
        <w:rPr>
          <w:rFonts w:hint="eastAsia" w:ascii="宋体"/>
          <w:bCs/>
          <w:color w:val="auto"/>
          <w:szCs w:val="20"/>
          <w:highlight w:val="none"/>
          <w:lang w:val="en-US" w:eastAsia="zh-CN"/>
        </w:rPr>
        <w:t>石老师 0755-83116181</w:t>
      </w:r>
    </w:p>
    <w:p w14:paraId="1D33796B">
      <w:pPr>
        <w:adjustRightInd w:val="0"/>
        <w:snapToGrid w:val="0"/>
        <w:spacing w:line="360" w:lineRule="auto"/>
        <w:ind w:firstLine="424" w:firstLineChars="202"/>
        <w:rPr>
          <w:rFonts w:hint="eastAsia" w:ascii="宋体"/>
          <w:bCs/>
          <w:color w:val="auto"/>
          <w:szCs w:val="20"/>
          <w:highlight w:val="none"/>
        </w:rPr>
      </w:pPr>
      <w:r>
        <w:rPr>
          <w:rFonts w:hint="eastAsia" w:ascii="宋体"/>
          <w:bCs/>
          <w:color w:val="auto"/>
          <w:szCs w:val="20"/>
          <w:highlight w:val="none"/>
          <w:lang w:val="en-US" w:eastAsia="zh-CN"/>
        </w:rPr>
        <w:t>招标采购办联系人：吴老师 0755-83279817</w:t>
      </w:r>
    </w:p>
    <w:p w14:paraId="4B886C7A">
      <w:pPr>
        <w:spacing w:line="400" w:lineRule="exact"/>
        <w:rPr>
          <w:rFonts w:ascii="宋体" w:hAnsi="宋体"/>
          <w:szCs w:val="21"/>
          <w:u w:val="single"/>
        </w:rPr>
      </w:pP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7A1260C9">
      <w:pPr>
        <w:spacing w:line="400" w:lineRule="exact"/>
        <w:ind w:firstLine="7140" w:firstLineChars="3400"/>
        <w:jc w:val="both"/>
        <w:rPr>
          <w:rFonts w:hint="eastAsia" w:ascii="宋体" w:hAnsi="宋体"/>
          <w:highlight w:val="none"/>
        </w:rPr>
      </w:pP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6</w:t>
      </w:r>
      <w:r>
        <w:rPr>
          <w:rFonts w:hint="eastAsia" w:ascii="宋体" w:hAnsi="宋体"/>
          <w:highlight w:val="none"/>
        </w:rPr>
        <w:t>月</w:t>
      </w:r>
      <w:r>
        <w:rPr>
          <w:rFonts w:hint="eastAsia" w:ascii="宋体" w:hAnsi="宋体"/>
          <w:highlight w:val="none"/>
          <w:lang w:val="en-US" w:eastAsia="zh-CN"/>
        </w:rPr>
        <w:t>29</w:t>
      </w:r>
      <w:r>
        <w:rPr>
          <w:rFonts w:hint="eastAsia" w:ascii="宋体" w:hAnsi="宋体"/>
          <w:highlight w:val="none"/>
        </w:rPr>
        <w:t>日</w:t>
      </w:r>
      <w:bookmarkEnd w:id="6"/>
      <w:bookmarkEnd w:id="7"/>
      <w:bookmarkEnd w:id="8"/>
    </w:p>
    <w:p w14:paraId="469BE884">
      <w:pPr>
        <w:spacing w:line="400" w:lineRule="exact"/>
        <w:ind w:firstLine="420" w:firstLineChars="200"/>
        <w:jc w:val="right"/>
        <w:rPr>
          <w:rFonts w:hint="eastAsia" w:ascii="宋体" w:hAnsi="宋体"/>
          <w:highlight w:val="yellow"/>
        </w:rPr>
      </w:pPr>
    </w:p>
    <w:p w14:paraId="7EBFFE83">
      <w:pPr>
        <w:spacing w:line="400" w:lineRule="exact"/>
        <w:ind w:firstLine="420" w:firstLineChars="200"/>
        <w:jc w:val="right"/>
        <w:rPr>
          <w:rFonts w:hint="eastAsia" w:ascii="宋体" w:hAnsi="宋体"/>
          <w:highlight w:val="yellow"/>
          <w:lang w:val="en-US" w:eastAsia="zh-CN"/>
        </w:rPr>
      </w:pPr>
    </w:p>
    <w:p w14:paraId="3F56D25A">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11" w:name="_Toc27909"/>
      <w:r>
        <w:rPr>
          <w:rFonts w:hint="eastAsia" w:asciiTheme="majorEastAsia" w:hAnsiTheme="majorEastAsia" w:eastAsiaTheme="majorEastAsia"/>
          <w:sz w:val="32"/>
          <w:szCs w:val="32"/>
          <w:lang w:val="en-US" w:eastAsia="zh-CN"/>
        </w:rPr>
        <w:t>用户需求书</w:t>
      </w:r>
      <w:bookmarkEnd w:id="11"/>
    </w:p>
    <w:p w14:paraId="1A0964E7">
      <w:pPr>
        <w:snapToGrid w:val="0"/>
        <w:spacing w:line="360" w:lineRule="auto"/>
        <w:rPr>
          <w:rFonts w:ascii="宋体"/>
          <w:b/>
          <w:bCs/>
          <w:szCs w:val="20"/>
        </w:rPr>
      </w:pPr>
      <w:r>
        <w:rPr>
          <w:rFonts w:hint="eastAsia" w:ascii="宋体"/>
          <w:b/>
          <w:bCs/>
          <w:szCs w:val="20"/>
        </w:rPr>
        <w:t>说明：</w:t>
      </w:r>
    </w:p>
    <w:p w14:paraId="41B0864D">
      <w:pPr>
        <w:numPr>
          <w:ilvl w:val="0"/>
          <w:numId w:val="5"/>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用户需求书中打“★”号条款为实质性条款，有任何一条负偏离则导致无效投标。</w:t>
      </w:r>
    </w:p>
    <w:p w14:paraId="4D99824F">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用户需求书中打“▲”号条款为重要技术参数，但不作为无效投标条款。</w:t>
      </w:r>
    </w:p>
    <w:p w14:paraId="36AC43F5">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用户需求书中打“●”号的为采购的核心产品，投标人应在《投标报价</w:t>
      </w:r>
      <w:r>
        <w:rPr>
          <w:rFonts w:hint="eastAsia" w:asciiTheme="minorEastAsia" w:hAnsiTheme="minorEastAsia" w:eastAsiaTheme="minorEastAsia"/>
          <w:b/>
          <w:bCs/>
          <w:color w:val="auto"/>
          <w:szCs w:val="21"/>
          <w:lang w:val="en-US" w:eastAsia="zh-CN"/>
        </w:rPr>
        <w:t>明细</w:t>
      </w:r>
      <w:r>
        <w:rPr>
          <w:rFonts w:hint="eastAsia" w:asciiTheme="minorEastAsia" w:hAnsiTheme="minorEastAsia" w:eastAsiaTheme="minorEastAsia"/>
          <w:b/>
          <w:bCs/>
          <w:color w:val="auto"/>
          <w:szCs w:val="21"/>
        </w:rPr>
        <w:t>表》中清晰列明“产品名称、品牌”。</w:t>
      </w:r>
    </w:p>
    <w:p w14:paraId="5AAF2DBC">
      <w:pPr>
        <w:pStyle w:val="9"/>
        <w:numPr>
          <w:ilvl w:val="0"/>
          <w:numId w:val="6"/>
        </w:numPr>
        <w:tabs>
          <w:tab w:val="left" w:pos="540"/>
        </w:tabs>
        <w:adjustRightInd w:val="0"/>
        <w:snapToGrid w:val="0"/>
        <w:spacing w:line="360" w:lineRule="auto"/>
        <w:ind w:left="420" w:leftChars="0" w:hanging="420" w:firstLineChars="0"/>
        <w:outlineLvl w:val="0"/>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6"/>
        <w:tblW w:w="10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9"/>
        <w:gridCol w:w="874"/>
        <w:gridCol w:w="2166"/>
        <w:gridCol w:w="2110"/>
        <w:gridCol w:w="2111"/>
        <w:gridCol w:w="1122"/>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039" w:type="dxa"/>
            <w:shd w:val="clear" w:color="auto" w:fill="EEECE1"/>
            <w:vAlign w:val="center"/>
          </w:tcPr>
          <w:p w14:paraId="515F1896">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874" w:type="dxa"/>
            <w:shd w:val="clear" w:color="auto" w:fill="EEECE1"/>
            <w:vAlign w:val="center"/>
          </w:tcPr>
          <w:p w14:paraId="6E527C4A">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2166" w:type="dxa"/>
            <w:shd w:val="clear" w:color="auto" w:fill="EEECE1"/>
            <w:vAlign w:val="center"/>
          </w:tcPr>
          <w:p w14:paraId="1F7013D0">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交货期</w:t>
            </w:r>
          </w:p>
        </w:tc>
        <w:tc>
          <w:tcPr>
            <w:tcW w:w="2110" w:type="dxa"/>
            <w:shd w:val="clear" w:color="auto" w:fill="EEECE1"/>
            <w:vAlign w:val="center"/>
          </w:tcPr>
          <w:p w14:paraId="16D9626C">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预算金额</w:t>
            </w:r>
          </w:p>
        </w:tc>
        <w:tc>
          <w:tcPr>
            <w:tcW w:w="2111" w:type="dxa"/>
            <w:shd w:val="clear" w:color="auto" w:fill="EEECE1"/>
            <w:vAlign w:val="center"/>
          </w:tcPr>
          <w:p w14:paraId="77A1679F">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122" w:type="dxa"/>
            <w:shd w:val="clear" w:color="auto" w:fill="EEECE1"/>
            <w:vAlign w:val="center"/>
          </w:tcPr>
          <w:p w14:paraId="20EB26C1">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039" w:type="dxa"/>
            <w:vAlign w:val="center"/>
          </w:tcPr>
          <w:p w14:paraId="262358C2">
            <w:pPr>
              <w:keepNext w:val="0"/>
              <w:keepLines w:val="0"/>
              <w:suppressLineNumbers w:val="0"/>
              <w:spacing w:before="0" w:beforeAutospacing="0" w:after="0" w:afterAutospacing="0"/>
              <w:ind w:left="0" w:leftChars="0" w:right="0" w:rightChars="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医用体位垫</w:t>
            </w:r>
          </w:p>
        </w:tc>
        <w:tc>
          <w:tcPr>
            <w:tcW w:w="874" w:type="dxa"/>
            <w:vAlign w:val="center"/>
          </w:tcPr>
          <w:p w14:paraId="390AF9D4">
            <w:pPr>
              <w:keepNext w:val="0"/>
              <w:keepLines w:val="0"/>
              <w:suppressLineNumbers w:val="0"/>
              <w:spacing w:before="0" w:beforeAutospacing="0" w:after="0" w:afterAutospacing="0"/>
              <w:ind w:left="0" w:leftChars="0" w:right="0" w:rightChars="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1批</w:t>
            </w:r>
          </w:p>
        </w:tc>
        <w:tc>
          <w:tcPr>
            <w:tcW w:w="2166" w:type="dxa"/>
            <w:vAlign w:val="center"/>
          </w:tcPr>
          <w:p w14:paraId="36A3EC96">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合同签订并接院方通知后15日内交货</w:t>
            </w:r>
          </w:p>
        </w:tc>
        <w:tc>
          <w:tcPr>
            <w:tcW w:w="2110" w:type="dxa"/>
            <w:vAlign w:val="center"/>
          </w:tcPr>
          <w:p w14:paraId="5EB8399A">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人民币60000.00元</w:t>
            </w:r>
          </w:p>
        </w:tc>
        <w:tc>
          <w:tcPr>
            <w:tcW w:w="2111" w:type="dxa"/>
            <w:vAlign w:val="center"/>
          </w:tcPr>
          <w:p w14:paraId="113A87B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人民币60000.00元</w:t>
            </w:r>
          </w:p>
        </w:tc>
        <w:tc>
          <w:tcPr>
            <w:tcW w:w="1122" w:type="dxa"/>
            <w:vAlign w:val="center"/>
          </w:tcPr>
          <w:p w14:paraId="6694BA1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70B3C683">
      <w:pPr>
        <w:pStyle w:val="9"/>
        <w:tabs>
          <w:tab w:val="left" w:pos="540"/>
        </w:tabs>
        <w:adjustRightInd w:val="0"/>
        <w:snapToGrid w:val="0"/>
        <w:spacing w:line="360" w:lineRule="auto"/>
        <w:rPr>
          <w:rFonts w:hAnsi="宋体"/>
          <w:b/>
          <w:color w:val="auto"/>
        </w:rPr>
      </w:pPr>
    </w:p>
    <w:p w14:paraId="3142D659">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hAnsi="宋体"/>
          <w:b/>
          <w:color w:val="auto"/>
        </w:rPr>
        <w:t>项目采购标的清单</w:t>
      </w:r>
      <w:r>
        <w:rPr>
          <w:rFonts w:hint="eastAsia" w:hAnsi="宋体"/>
          <w:b/>
          <w:color w:val="auto"/>
          <w:lang w:eastAsia="zh-CN"/>
        </w:rPr>
        <w:t>（</w:t>
      </w:r>
      <w:r>
        <w:rPr>
          <w:rFonts w:hint="eastAsia" w:hAnsi="宋体"/>
          <w:b/>
          <w:color w:val="auto"/>
          <w:lang w:val="en-US" w:eastAsia="zh-CN"/>
        </w:rPr>
        <w:t>配</w:t>
      </w:r>
      <w:r>
        <w:rPr>
          <w:rFonts w:hint="eastAsia" w:ascii="宋体" w:hAnsi="宋体" w:eastAsia="宋体"/>
          <w:b/>
          <w:color w:val="auto"/>
          <w:lang w:val="en-US" w:eastAsia="zh-CN"/>
        </w:rPr>
        <w:t>置清单</w:t>
      </w:r>
      <w:r>
        <w:rPr>
          <w:rFonts w:hint="eastAsia" w:ascii="宋体" w:hAnsi="宋体" w:eastAsia="宋体"/>
          <w:b/>
          <w:color w:val="auto"/>
          <w:lang w:eastAsia="zh-CN"/>
        </w:rPr>
        <w:t>）：（</w:t>
      </w:r>
      <w:r>
        <w:rPr>
          <w:rFonts w:hint="eastAsia" w:hAnsi="宋体"/>
          <w:b/>
          <w:color w:val="auto"/>
          <w:lang w:val="en-US" w:eastAsia="zh-CN"/>
        </w:rPr>
        <w:t>配置清单应</w:t>
      </w:r>
      <w:r>
        <w:rPr>
          <w:rFonts w:hint="eastAsia" w:ascii="宋体" w:hAnsi="宋体" w:eastAsia="宋体"/>
          <w:b/>
          <w:color w:val="auto"/>
          <w:lang w:eastAsia="zh-CN"/>
        </w:rPr>
        <w:t>不低于下表配置）</w:t>
      </w:r>
    </w:p>
    <w:tbl>
      <w:tblPr>
        <w:tblStyle w:val="17"/>
        <w:tblW w:w="10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3165"/>
        <w:gridCol w:w="2175"/>
        <w:gridCol w:w="922"/>
        <w:gridCol w:w="1022"/>
        <w:gridCol w:w="1286"/>
        <w:gridCol w:w="1286"/>
      </w:tblGrid>
      <w:tr w14:paraId="17BD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shd w:val="clear" w:color="auto" w:fill="EEECE1" w:themeFill="background2"/>
            <w:vAlign w:val="center"/>
          </w:tcPr>
          <w:p w14:paraId="31685FAE">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序号</w:t>
            </w:r>
          </w:p>
        </w:tc>
        <w:tc>
          <w:tcPr>
            <w:tcW w:w="3165" w:type="dxa"/>
            <w:shd w:val="clear" w:color="auto" w:fill="EEECE1" w:themeFill="background2"/>
            <w:vAlign w:val="center"/>
          </w:tcPr>
          <w:p w14:paraId="69748C28">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货物名称</w:t>
            </w:r>
          </w:p>
        </w:tc>
        <w:tc>
          <w:tcPr>
            <w:tcW w:w="2175" w:type="dxa"/>
            <w:shd w:val="clear" w:color="auto" w:fill="EEECE1" w:themeFill="background2"/>
            <w:vAlign w:val="center"/>
          </w:tcPr>
          <w:p w14:paraId="18375BE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预算价格</w:t>
            </w:r>
          </w:p>
        </w:tc>
        <w:tc>
          <w:tcPr>
            <w:tcW w:w="922" w:type="dxa"/>
            <w:shd w:val="clear" w:color="auto" w:fill="EEECE1" w:themeFill="background2"/>
            <w:vAlign w:val="center"/>
          </w:tcPr>
          <w:p w14:paraId="4F3D85F1">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数量</w:t>
            </w:r>
          </w:p>
        </w:tc>
        <w:tc>
          <w:tcPr>
            <w:tcW w:w="1022" w:type="dxa"/>
            <w:shd w:val="clear" w:color="auto" w:fill="EEECE1" w:themeFill="background2"/>
            <w:vAlign w:val="center"/>
          </w:tcPr>
          <w:p w14:paraId="211C175B">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单位</w:t>
            </w:r>
          </w:p>
        </w:tc>
        <w:tc>
          <w:tcPr>
            <w:tcW w:w="1286" w:type="dxa"/>
            <w:shd w:val="clear" w:color="auto" w:fill="EEECE1" w:themeFill="background2"/>
            <w:vAlign w:val="center"/>
          </w:tcPr>
          <w:p w14:paraId="24AFDF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备注</w:t>
            </w:r>
          </w:p>
        </w:tc>
        <w:tc>
          <w:tcPr>
            <w:tcW w:w="1286" w:type="dxa"/>
            <w:shd w:val="clear" w:color="auto" w:fill="EEECE1" w:themeFill="background2"/>
            <w:vAlign w:val="center"/>
          </w:tcPr>
          <w:p w14:paraId="4E504C0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F8A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111891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3165" w:type="dxa"/>
            <w:shd w:val="clear" w:color="auto" w:fill="auto"/>
            <w:vAlign w:val="center"/>
          </w:tcPr>
          <w:p w14:paraId="02F7A6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Theme="minorEastAsia" w:hAnsiTheme="minorEastAsia" w:eastAsiaTheme="minorEastAsia"/>
                <w:b/>
                <w:bCs/>
                <w:color w:val="auto"/>
                <w:szCs w:val="21"/>
              </w:rPr>
              <w:t>●</w:t>
            </w:r>
            <w:r>
              <w:rPr>
                <w:rFonts w:hint="eastAsia" w:ascii="宋体" w:hAnsi="宋体" w:eastAsia="宋体" w:cs="宋体"/>
                <w:i w:val="0"/>
                <w:iCs w:val="0"/>
                <w:color w:val="000000"/>
                <w:kern w:val="0"/>
                <w:sz w:val="21"/>
                <w:szCs w:val="21"/>
                <w:u w:val="none"/>
                <w:lang w:val="en-US" w:eastAsia="zh-CN" w:bidi="ar"/>
              </w:rPr>
              <w:t>圆形头圈</w:t>
            </w:r>
          </w:p>
        </w:tc>
        <w:tc>
          <w:tcPr>
            <w:tcW w:w="2175" w:type="dxa"/>
            <w:vMerge w:val="restart"/>
            <w:shd w:val="clear" w:color="auto" w:fill="auto"/>
            <w:vAlign w:val="center"/>
          </w:tcPr>
          <w:p w14:paraId="413407C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snapToGrid/>
                <w:color w:val="auto"/>
                <w:spacing w:val="0"/>
                <w:kern w:val="2"/>
                <w:sz w:val="21"/>
                <w:szCs w:val="24"/>
                <w:highlight w:val="none"/>
                <w:lang w:val="en-US" w:eastAsia="zh-CN" w:bidi="ar-SA"/>
              </w:rPr>
              <w:t>人民币60000.00元</w:t>
            </w:r>
          </w:p>
        </w:tc>
        <w:tc>
          <w:tcPr>
            <w:tcW w:w="922" w:type="dxa"/>
            <w:shd w:val="clear" w:color="auto" w:fill="auto"/>
            <w:vAlign w:val="center"/>
          </w:tcPr>
          <w:p w14:paraId="498A6D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72BDBA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1286" w:type="dxa"/>
            <w:vAlign w:val="center"/>
          </w:tcPr>
          <w:p w14:paraId="2BFC1F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47FE27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696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6FE4E66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3165" w:type="dxa"/>
            <w:shd w:val="clear" w:color="auto" w:fill="auto"/>
            <w:vAlign w:val="center"/>
          </w:tcPr>
          <w:p w14:paraId="75D81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圆形头圈（开放式）</w:t>
            </w:r>
          </w:p>
        </w:tc>
        <w:tc>
          <w:tcPr>
            <w:tcW w:w="2175" w:type="dxa"/>
            <w:vMerge w:val="continue"/>
            <w:shd w:val="clear" w:color="auto" w:fill="auto"/>
            <w:vAlign w:val="center"/>
          </w:tcPr>
          <w:p w14:paraId="47A5A6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64AC6A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7191D7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1286" w:type="dxa"/>
            <w:vAlign w:val="center"/>
          </w:tcPr>
          <w:p w14:paraId="30431F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049422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25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7C0428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3165" w:type="dxa"/>
            <w:shd w:val="clear" w:color="auto" w:fill="auto"/>
            <w:vAlign w:val="center"/>
          </w:tcPr>
          <w:p w14:paraId="686551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肩部保护垫</w:t>
            </w:r>
          </w:p>
        </w:tc>
        <w:tc>
          <w:tcPr>
            <w:tcW w:w="2175" w:type="dxa"/>
            <w:vMerge w:val="continue"/>
            <w:shd w:val="clear" w:color="auto" w:fill="auto"/>
            <w:vAlign w:val="center"/>
          </w:tcPr>
          <w:p w14:paraId="5A7068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42E0F3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022" w:type="dxa"/>
            <w:shd w:val="clear" w:color="auto" w:fill="auto"/>
            <w:vAlign w:val="center"/>
          </w:tcPr>
          <w:p w14:paraId="70351B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w:t>
            </w:r>
          </w:p>
        </w:tc>
        <w:tc>
          <w:tcPr>
            <w:tcW w:w="1286" w:type="dxa"/>
            <w:vAlign w:val="center"/>
          </w:tcPr>
          <w:p w14:paraId="78B2F5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2616C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E1A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279452E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3165" w:type="dxa"/>
            <w:shd w:val="clear" w:color="auto" w:fill="auto"/>
            <w:vAlign w:val="center"/>
          </w:tcPr>
          <w:p w14:paraId="7ACA7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侧卧位垫</w:t>
            </w:r>
          </w:p>
        </w:tc>
        <w:tc>
          <w:tcPr>
            <w:tcW w:w="2175" w:type="dxa"/>
            <w:vMerge w:val="continue"/>
            <w:shd w:val="clear" w:color="auto" w:fill="auto"/>
            <w:vAlign w:val="center"/>
          </w:tcPr>
          <w:p w14:paraId="6F4EB3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7A9DA2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022" w:type="dxa"/>
            <w:shd w:val="clear" w:color="auto" w:fill="auto"/>
            <w:vAlign w:val="center"/>
          </w:tcPr>
          <w:p w14:paraId="0D1F7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1286" w:type="dxa"/>
            <w:vAlign w:val="center"/>
          </w:tcPr>
          <w:p w14:paraId="6FB585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18B80E3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p>
        </w:tc>
      </w:tr>
      <w:tr w14:paraId="721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41BAD9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3165" w:type="dxa"/>
            <w:shd w:val="clear" w:color="auto" w:fill="auto"/>
            <w:vAlign w:val="center"/>
          </w:tcPr>
          <w:p w14:paraId="5FE888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通用方垫</w:t>
            </w:r>
          </w:p>
        </w:tc>
        <w:tc>
          <w:tcPr>
            <w:tcW w:w="2175" w:type="dxa"/>
            <w:vMerge w:val="continue"/>
            <w:shd w:val="clear" w:color="auto" w:fill="auto"/>
            <w:vAlign w:val="center"/>
          </w:tcPr>
          <w:p w14:paraId="41DEA98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5FD1AE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1022" w:type="dxa"/>
            <w:shd w:val="clear" w:color="auto" w:fill="auto"/>
            <w:vAlign w:val="center"/>
          </w:tcPr>
          <w:p w14:paraId="07C6CC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1286" w:type="dxa"/>
            <w:vAlign w:val="center"/>
          </w:tcPr>
          <w:p w14:paraId="6AA974B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0D3E14D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401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3BD14E7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3165" w:type="dxa"/>
            <w:shd w:val="clear" w:color="auto" w:fill="FFFFFF"/>
            <w:vAlign w:val="center"/>
          </w:tcPr>
          <w:p w14:paraId="39BDC1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跟骨垫（成人）</w:t>
            </w:r>
          </w:p>
        </w:tc>
        <w:tc>
          <w:tcPr>
            <w:tcW w:w="2175" w:type="dxa"/>
            <w:vMerge w:val="continue"/>
            <w:shd w:val="clear" w:color="auto" w:fill="auto"/>
            <w:vAlign w:val="center"/>
          </w:tcPr>
          <w:p w14:paraId="0E0A36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4F2385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022" w:type="dxa"/>
            <w:shd w:val="clear" w:color="auto" w:fill="auto"/>
            <w:vAlign w:val="center"/>
          </w:tcPr>
          <w:p w14:paraId="55CE52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w:t>
            </w:r>
          </w:p>
        </w:tc>
        <w:tc>
          <w:tcPr>
            <w:tcW w:w="1286" w:type="dxa"/>
            <w:vAlign w:val="center"/>
          </w:tcPr>
          <w:p w14:paraId="4A638C3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3883CC3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D91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592B72B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3165" w:type="dxa"/>
            <w:shd w:val="clear" w:color="auto" w:fill="FFFFFF"/>
            <w:vAlign w:val="center"/>
          </w:tcPr>
          <w:p w14:paraId="3DD3CD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跟骨垫（儿童）</w:t>
            </w:r>
          </w:p>
        </w:tc>
        <w:tc>
          <w:tcPr>
            <w:tcW w:w="2175" w:type="dxa"/>
            <w:vMerge w:val="continue"/>
            <w:shd w:val="clear" w:color="auto" w:fill="auto"/>
            <w:vAlign w:val="center"/>
          </w:tcPr>
          <w:p w14:paraId="17BB51A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00253A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022" w:type="dxa"/>
            <w:shd w:val="clear" w:color="auto" w:fill="auto"/>
            <w:vAlign w:val="center"/>
          </w:tcPr>
          <w:p w14:paraId="02C44F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对</w:t>
            </w:r>
          </w:p>
        </w:tc>
        <w:tc>
          <w:tcPr>
            <w:tcW w:w="1286" w:type="dxa"/>
            <w:vAlign w:val="center"/>
          </w:tcPr>
          <w:p w14:paraId="60FCE8C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557B0BE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505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5C08AAF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3165" w:type="dxa"/>
            <w:shd w:val="clear" w:color="auto" w:fill="auto"/>
            <w:vAlign w:val="center"/>
          </w:tcPr>
          <w:p w14:paraId="5BB127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手板（综合手术台）</w:t>
            </w:r>
          </w:p>
        </w:tc>
        <w:tc>
          <w:tcPr>
            <w:tcW w:w="2175" w:type="dxa"/>
            <w:vMerge w:val="continue"/>
            <w:shd w:val="clear" w:color="auto" w:fill="auto"/>
            <w:vAlign w:val="center"/>
          </w:tcPr>
          <w:p w14:paraId="301F1DC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45A35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48EFC2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1286" w:type="dxa"/>
            <w:vAlign w:val="center"/>
          </w:tcPr>
          <w:p w14:paraId="507598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D71B9C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C49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6B87196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3165" w:type="dxa"/>
            <w:shd w:val="clear" w:color="auto" w:fill="auto"/>
            <w:vAlign w:val="center"/>
          </w:tcPr>
          <w:p w14:paraId="21B99C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欧式固定器（综合手术台）</w:t>
            </w:r>
          </w:p>
        </w:tc>
        <w:tc>
          <w:tcPr>
            <w:tcW w:w="2175" w:type="dxa"/>
            <w:vMerge w:val="continue"/>
            <w:shd w:val="clear" w:color="auto" w:fill="auto"/>
            <w:vAlign w:val="center"/>
          </w:tcPr>
          <w:p w14:paraId="055FB30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35058C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22" w:type="dxa"/>
            <w:shd w:val="clear" w:color="auto" w:fill="auto"/>
            <w:vAlign w:val="center"/>
          </w:tcPr>
          <w:p w14:paraId="1C6994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1286" w:type="dxa"/>
            <w:vAlign w:val="center"/>
          </w:tcPr>
          <w:p w14:paraId="3C45FE7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50185BF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84B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vAlign w:val="center"/>
          </w:tcPr>
          <w:p w14:paraId="278A47E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3165" w:type="dxa"/>
            <w:shd w:val="clear" w:color="auto" w:fill="auto"/>
            <w:vAlign w:val="center"/>
          </w:tcPr>
          <w:p w14:paraId="69C122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负极板回路垫</w:t>
            </w:r>
          </w:p>
        </w:tc>
        <w:tc>
          <w:tcPr>
            <w:tcW w:w="2175" w:type="dxa"/>
            <w:vMerge w:val="continue"/>
            <w:shd w:val="clear" w:color="auto" w:fill="auto"/>
            <w:vAlign w:val="center"/>
          </w:tcPr>
          <w:p w14:paraId="64C3F45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0AA75C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022" w:type="dxa"/>
            <w:shd w:val="clear" w:color="auto" w:fill="auto"/>
            <w:vAlign w:val="center"/>
          </w:tcPr>
          <w:p w14:paraId="0E0ED2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1286" w:type="dxa"/>
            <w:vAlign w:val="center"/>
          </w:tcPr>
          <w:p w14:paraId="6332FB7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53A7311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62B4725D">
      <w:pPr>
        <w:pStyle w:val="9"/>
        <w:numPr>
          <w:ilvl w:val="0"/>
          <w:numId w:val="0"/>
        </w:numPr>
        <w:tabs>
          <w:tab w:val="left" w:pos="540"/>
        </w:tabs>
        <w:adjustRightInd w:val="0"/>
        <w:snapToGrid w:val="0"/>
        <w:spacing w:line="360" w:lineRule="auto"/>
        <w:ind w:leftChars="0"/>
        <w:outlineLvl w:val="0"/>
        <w:rPr>
          <w:rFonts w:hAnsi="宋体"/>
          <w:b/>
          <w:color w:val="auto"/>
        </w:rPr>
      </w:pPr>
    </w:p>
    <w:p w14:paraId="705CA8FA">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hAnsi="宋体"/>
          <w:b/>
          <w:color w:val="auto"/>
        </w:rPr>
        <w:t>技术要求：</w:t>
      </w:r>
    </w:p>
    <w:tbl>
      <w:tblPr>
        <w:tblStyle w:val="16"/>
        <w:tblW w:w="964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54"/>
        <w:gridCol w:w="6743"/>
        <w:gridCol w:w="1152"/>
      </w:tblGrid>
      <w:tr w14:paraId="7FB41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tcBorders>
              <w:tl2br w:val="nil"/>
              <w:tr2bl w:val="nil"/>
            </w:tcBorders>
            <w:shd w:val="clear" w:color="auto" w:fill="EEECE1" w:themeFill="background2"/>
            <w:vAlign w:val="center"/>
          </w:tcPr>
          <w:p w14:paraId="44747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6743" w:type="dxa"/>
            <w:tcBorders>
              <w:tl2br w:val="nil"/>
              <w:tr2bl w:val="nil"/>
            </w:tcBorders>
            <w:shd w:val="clear" w:color="auto" w:fill="EEECE1" w:themeFill="background2"/>
            <w:vAlign w:val="center"/>
          </w:tcPr>
          <w:p w14:paraId="45189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技术要求</w:t>
            </w:r>
          </w:p>
        </w:tc>
        <w:tc>
          <w:tcPr>
            <w:tcW w:w="1152" w:type="dxa"/>
            <w:tcBorders>
              <w:tl2br w:val="nil"/>
              <w:tr2bl w:val="nil"/>
            </w:tcBorders>
            <w:shd w:val="clear" w:color="auto" w:fill="EEECE1" w:themeFill="background2"/>
            <w:vAlign w:val="center"/>
          </w:tcPr>
          <w:p w14:paraId="653EA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标注</w:t>
            </w:r>
          </w:p>
        </w:tc>
      </w:tr>
      <w:tr w14:paraId="3A1E62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1ED5D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snapToGrid/>
                <w:color w:val="auto"/>
                <w:spacing w:val="0"/>
                <w:kern w:val="2"/>
                <w:sz w:val="21"/>
                <w:szCs w:val="24"/>
                <w:highlight w:val="none"/>
                <w:lang w:val="en-US" w:eastAsia="zh-CN" w:bidi="ar-SA"/>
              </w:rPr>
              <w:t>医用体位垫</w:t>
            </w:r>
          </w:p>
        </w:tc>
        <w:tc>
          <w:tcPr>
            <w:tcW w:w="6743" w:type="dxa"/>
            <w:tcBorders>
              <w:tl2br w:val="nil"/>
              <w:tr2bl w:val="nil"/>
            </w:tcBorders>
            <w:shd w:val="clear" w:color="auto" w:fill="auto"/>
            <w:vAlign w:val="center"/>
          </w:tcPr>
          <w:p w14:paraId="2F55B7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1、产品颜色：蓝色。</w:t>
            </w:r>
          </w:p>
        </w:tc>
        <w:tc>
          <w:tcPr>
            <w:tcW w:w="1152" w:type="dxa"/>
            <w:tcBorders>
              <w:tl2br w:val="nil"/>
              <w:tr2bl w:val="nil"/>
            </w:tcBorders>
            <w:shd w:val="clear" w:color="auto" w:fill="auto"/>
            <w:vAlign w:val="center"/>
          </w:tcPr>
          <w:p w14:paraId="2DFC33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p>
        </w:tc>
      </w:tr>
      <w:tr w14:paraId="2DF83D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FFD2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B9FED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2、产品由底膜、面膜以及内部高分子凝胶类填充物组成。</w:t>
            </w:r>
          </w:p>
        </w:tc>
        <w:tc>
          <w:tcPr>
            <w:tcW w:w="1152" w:type="dxa"/>
            <w:tcBorders>
              <w:tl2br w:val="nil"/>
              <w:tr2bl w:val="nil"/>
            </w:tcBorders>
            <w:shd w:val="clear" w:color="auto" w:fill="auto"/>
            <w:vAlign w:val="center"/>
          </w:tcPr>
          <w:p w14:paraId="0CF639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p>
        </w:tc>
      </w:tr>
      <w:tr w14:paraId="5445C7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1487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ADC07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3、与人体组织具有良好的生物相容性，对皮肤不会形成刺激，不致敏（需提供产品说明书或具有CMA资质检测机构出具的检测报告佐证）。</w:t>
            </w:r>
          </w:p>
        </w:tc>
        <w:tc>
          <w:tcPr>
            <w:tcW w:w="1152" w:type="dxa"/>
            <w:tcBorders>
              <w:tl2br w:val="nil"/>
              <w:tr2bl w:val="nil"/>
            </w:tcBorders>
            <w:shd w:val="clear" w:color="auto" w:fill="auto"/>
            <w:vAlign w:val="center"/>
          </w:tcPr>
          <w:p w14:paraId="58975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w:t>
            </w:r>
          </w:p>
        </w:tc>
      </w:tr>
      <w:tr w14:paraId="40DCD2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6945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18FB5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4、采用无毒无害材质（需提供产品说明书或具有CMA资质检测机构出具的检测报告佐证）。</w:t>
            </w:r>
          </w:p>
        </w:tc>
        <w:tc>
          <w:tcPr>
            <w:tcW w:w="1152" w:type="dxa"/>
            <w:tcBorders>
              <w:tl2br w:val="nil"/>
              <w:tr2bl w:val="nil"/>
            </w:tcBorders>
            <w:shd w:val="clear" w:color="auto" w:fill="auto"/>
            <w:vAlign w:val="center"/>
          </w:tcPr>
          <w:p w14:paraId="12E2B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w:t>
            </w:r>
          </w:p>
        </w:tc>
      </w:tr>
      <w:tr w14:paraId="354D42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506F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D86B2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5、产品可透过X射线（需提供产品说明书或具有CMA资质检测机构出具的检测报告佐证）。</w:t>
            </w:r>
          </w:p>
        </w:tc>
        <w:tc>
          <w:tcPr>
            <w:tcW w:w="1152" w:type="dxa"/>
            <w:tcBorders>
              <w:tl2br w:val="nil"/>
              <w:tr2bl w:val="nil"/>
            </w:tcBorders>
            <w:shd w:val="clear" w:color="auto" w:fill="auto"/>
            <w:vAlign w:val="center"/>
          </w:tcPr>
          <w:p w14:paraId="522FF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w:t>
            </w:r>
          </w:p>
        </w:tc>
      </w:tr>
      <w:tr w14:paraId="7182C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03FD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A8F03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6、产品防水性能好，防水等级为≥IPX8级（需提供产品说明书或具有CMA资质检测机构出具的检测报告佐证）。</w:t>
            </w:r>
          </w:p>
        </w:tc>
        <w:tc>
          <w:tcPr>
            <w:tcW w:w="1152" w:type="dxa"/>
            <w:tcBorders>
              <w:tl2br w:val="nil"/>
              <w:tr2bl w:val="nil"/>
            </w:tcBorders>
            <w:shd w:val="clear" w:color="auto" w:fill="auto"/>
            <w:vAlign w:val="center"/>
          </w:tcPr>
          <w:p w14:paraId="3F7166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w:t>
            </w:r>
          </w:p>
        </w:tc>
      </w:tr>
      <w:tr w14:paraId="312A03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0D00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A20FF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7、有良好的耐候性，热老化温度可达≥93℃（需提供产品说明书或具有CMA资质检测机构出具的检测报告佐证）。</w:t>
            </w:r>
          </w:p>
        </w:tc>
        <w:tc>
          <w:tcPr>
            <w:tcW w:w="1152" w:type="dxa"/>
            <w:tcBorders>
              <w:tl2br w:val="nil"/>
              <w:tr2bl w:val="nil"/>
            </w:tcBorders>
            <w:shd w:val="clear" w:color="auto" w:fill="auto"/>
            <w:vAlign w:val="center"/>
          </w:tcPr>
          <w:p w14:paraId="5ACDD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w:t>
            </w:r>
          </w:p>
        </w:tc>
      </w:tr>
      <w:tr w14:paraId="05E510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A268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9B8D9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8、具有良好的承重和力学传导能力，能够有效的起到支撑和体位固定的作用，垫子单位平方厘米承重不低于270N。</w:t>
            </w:r>
          </w:p>
        </w:tc>
        <w:tc>
          <w:tcPr>
            <w:tcW w:w="1152" w:type="dxa"/>
            <w:tcBorders>
              <w:tl2br w:val="nil"/>
              <w:tr2bl w:val="nil"/>
            </w:tcBorders>
            <w:shd w:val="clear" w:color="auto" w:fill="auto"/>
            <w:vAlign w:val="center"/>
          </w:tcPr>
          <w:p w14:paraId="40779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napToGrid/>
                <w:color w:val="auto"/>
                <w:spacing w:val="0"/>
                <w:kern w:val="2"/>
                <w:sz w:val="21"/>
                <w:szCs w:val="24"/>
                <w:highlight w:val="none"/>
                <w:lang w:val="en-US" w:eastAsia="zh-CN" w:bidi="ar-SA"/>
              </w:rPr>
            </w:pPr>
          </w:p>
        </w:tc>
      </w:tr>
      <w:tr w14:paraId="1F122D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F7A42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762FD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9、通过ISO13485国际质量管理体系认证。</w:t>
            </w:r>
          </w:p>
        </w:tc>
        <w:tc>
          <w:tcPr>
            <w:tcW w:w="1152" w:type="dxa"/>
            <w:tcBorders>
              <w:tl2br w:val="nil"/>
              <w:tr2bl w:val="nil"/>
            </w:tcBorders>
            <w:shd w:val="clear" w:color="auto" w:fill="auto"/>
            <w:vAlign w:val="center"/>
          </w:tcPr>
          <w:p w14:paraId="40C455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napToGrid/>
                <w:color w:val="auto"/>
                <w:spacing w:val="0"/>
                <w:kern w:val="2"/>
                <w:sz w:val="21"/>
                <w:szCs w:val="24"/>
                <w:highlight w:val="none"/>
                <w:lang w:val="en-US" w:eastAsia="zh-CN" w:bidi="ar-SA"/>
              </w:rPr>
            </w:pPr>
          </w:p>
        </w:tc>
      </w:tr>
      <w:tr w14:paraId="771241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1C26C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F6EED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10、采用模具一次性成型（需提供产品说明书或具有CMA资质检测机构出具的检测报告佐证）。</w:t>
            </w:r>
          </w:p>
        </w:tc>
        <w:tc>
          <w:tcPr>
            <w:tcW w:w="1152" w:type="dxa"/>
            <w:tcBorders>
              <w:tl2br w:val="nil"/>
              <w:tr2bl w:val="nil"/>
            </w:tcBorders>
            <w:shd w:val="clear" w:color="auto" w:fill="auto"/>
            <w:vAlign w:val="center"/>
          </w:tcPr>
          <w:p w14:paraId="6DB346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w:t>
            </w:r>
          </w:p>
        </w:tc>
      </w:tr>
      <w:tr w14:paraId="7EEC1B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CD85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F8EDE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11、凝固胶体，不导电，无流动性，修补容易，因意外被刺伤或划破，可用透明胶修补，不影响使用。</w:t>
            </w:r>
          </w:p>
        </w:tc>
        <w:tc>
          <w:tcPr>
            <w:tcW w:w="1152" w:type="dxa"/>
            <w:tcBorders>
              <w:tl2br w:val="nil"/>
              <w:tr2bl w:val="nil"/>
            </w:tcBorders>
            <w:shd w:val="clear" w:color="auto" w:fill="auto"/>
            <w:vAlign w:val="center"/>
          </w:tcPr>
          <w:p w14:paraId="6BBDF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napToGrid/>
                <w:color w:val="auto"/>
                <w:spacing w:val="0"/>
                <w:kern w:val="2"/>
                <w:sz w:val="21"/>
                <w:szCs w:val="24"/>
                <w:highlight w:val="none"/>
                <w:lang w:val="en-US" w:eastAsia="zh-CN" w:bidi="ar-SA"/>
              </w:rPr>
            </w:pPr>
          </w:p>
        </w:tc>
      </w:tr>
      <w:tr w14:paraId="2814F4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BCDF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DAC1A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12、能均匀分配病患体重，又不会将体位垫压实到极限状态。</w:t>
            </w:r>
          </w:p>
        </w:tc>
        <w:tc>
          <w:tcPr>
            <w:tcW w:w="1152" w:type="dxa"/>
            <w:tcBorders>
              <w:tl2br w:val="nil"/>
              <w:tr2bl w:val="nil"/>
            </w:tcBorders>
            <w:shd w:val="clear" w:color="auto" w:fill="auto"/>
            <w:vAlign w:val="center"/>
          </w:tcPr>
          <w:p w14:paraId="535869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napToGrid/>
                <w:color w:val="auto"/>
                <w:spacing w:val="0"/>
                <w:kern w:val="2"/>
                <w:sz w:val="21"/>
                <w:szCs w:val="24"/>
                <w:highlight w:val="none"/>
                <w:lang w:val="en-US" w:eastAsia="zh-CN" w:bidi="ar-SA"/>
              </w:rPr>
            </w:pPr>
          </w:p>
        </w:tc>
      </w:tr>
      <w:tr w14:paraId="39FA9B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9674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E55D9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13、不蓄热，可防止褥疮的产生。</w:t>
            </w:r>
          </w:p>
        </w:tc>
        <w:tc>
          <w:tcPr>
            <w:tcW w:w="1152" w:type="dxa"/>
            <w:tcBorders>
              <w:tl2br w:val="nil"/>
              <w:tr2bl w:val="nil"/>
            </w:tcBorders>
            <w:shd w:val="clear" w:color="auto" w:fill="auto"/>
            <w:vAlign w:val="center"/>
          </w:tcPr>
          <w:p w14:paraId="535887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p>
        </w:tc>
      </w:tr>
      <w:tr w14:paraId="16A70D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7AA9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ED1BB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14、可用清水或清洁剂直接进行清洗。</w:t>
            </w:r>
          </w:p>
        </w:tc>
        <w:tc>
          <w:tcPr>
            <w:tcW w:w="1152" w:type="dxa"/>
            <w:tcBorders>
              <w:tl2br w:val="nil"/>
              <w:tr2bl w:val="nil"/>
            </w:tcBorders>
            <w:shd w:val="clear" w:color="auto" w:fill="auto"/>
            <w:vAlign w:val="center"/>
          </w:tcPr>
          <w:p w14:paraId="6C5052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p>
        </w:tc>
      </w:tr>
      <w:tr w14:paraId="0AEE2F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2E4F4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472D5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15、圆形头圈尺寸：≥20*7*5cm。</w:t>
            </w:r>
          </w:p>
        </w:tc>
        <w:tc>
          <w:tcPr>
            <w:tcW w:w="1152" w:type="dxa"/>
            <w:tcBorders>
              <w:tl2br w:val="nil"/>
              <w:tr2bl w:val="nil"/>
            </w:tcBorders>
            <w:shd w:val="clear" w:color="auto" w:fill="auto"/>
            <w:vAlign w:val="center"/>
          </w:tcPr>
          <w:p w14:paraId="141C89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p>
        </w:tc>
      </w:tr>
      <w:tr w14:paraId="7D33F6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80BD4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CFDA3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16、圆形头圈（开放式）尺寸：≥20*7*7cm。</w:t>
            </w:r>
          </w:p>
        </w:tc>
        <w:tc>
          <w:tcPr>
            <w:tcW w:w="1152" w:type="dxa"/>
            <w:tcBorders>
              <w:tl2br w:val="nil"/>
              <w:tr2bl w:val="nil"/>
            </w:tcBorders>
            <w:shd w:val="clear" w:color="auto" w:fill="auto"/>
            <w:vAlign w:val="center"/>
          </w:tcPr>
          <w:p w14:paraId="465AE1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p>
        </w:tc>
      </w:tr>
      <w:tr w14:paraId="598492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BBCB1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72111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17、肩部保护垫尺寸：≥16*15*2.5cm。</w:t>
            </w:r>
          </w:p>
        </w:tc>
        <w:tc>
          <w:tcPr>
            <w:tcW w:w="1152" w:type="dxa"/>
            <w:tcBorders>
              <w:tl2br w:val="nil"/>
              <w:tr2bl w:val="nil"/>
            </w:tcBorders>
            <w:shd w:val="clear" w:color="auto" w:fill="auto"/>
            <w:vAlign w:val="center"/>
          </w:tcPr>
          <w:p w14:paraId="14B5F1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p>
        </w:tc>
      </w:tr>
      <w:tr w14:paraId="426036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9065E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82815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18、侧卧位垫尺寸：≥70*50*17cm。</w:t>
            </w:r>
          </w:p>
        </w:tc>
        <w:tc>
          <w:tcPr>
            <w:tcW w:w="1152" w:type="dxa"/>
            <w:tcBorders>
              <w:tl2br w:val="nil"/>
              <w:tr2bl w:val="nil"/>
            </w:tcBorders>
            <w:shd w:val="clear" w:color="auto" w:fill="auto"/>
            <w:vAlign w:val="center"/>
          </w:tcPr>
          <w:p w14:paraId="6BCF53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p>
        </w:tc>
      </w:tr>
      <w:tr w14:paraId="1BDE77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6C8F6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85D1C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19、通用方垫尺寸：≥40*24*1.5cm。</w:t>
            </w:r>
          </w:p>
        </w:tc>
        <w:tc>
          <w:tcPr>
            <w:tcW w:w="1152" w:type="dxa"/>
            <w:tcBorders>
              <w:tl2br w:val="nil"/>
              <w:tr2bl w:val="nil"/>
            </w:tcBorders>
            <w:shd w:val="clear" w:color="auto" w:fill="auto"/>
            <w:vAlign w:val="center"/>
          </w:tcPr>
          <w:p w14:paraId="61FC60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p>
        </w:tc>
      </w:tr>
      <w:tr w14:paraId="3679DD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B3A17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901AA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20、跟骨垫（成人）尺寸：≥18*10*7cm。</w:t>
            </w:r>
          </w:p>
        </w:tc>
        <w:tc>
          <w:tcPr>
            <w:tcW w:w="1152" w:type="dxa"/>
            <w:tcBorders>
              <w:tl2br w:val="nil"/>
              <w:tr2bl w:val="nil"/>
            </w:tcBorders>
            <w:shd w:val="clear" w:color="auto" w:fill="auto"/>
            <w:vAlign w:val="center"/>
          </w:tcPr>
          <w:p w14:paraId="28FB9C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p>
        </w:tc>
      </w:tr>
      <w:tr w14:paraId="561316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CBDBF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CDDF5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21、跟骨垫（儿童）尺寸：≥9.7*5.3*3.5cm。</w:t>
            </w:r>
          </w:p>
        </w:tc>
        <w:tc>
          <w:tcPr>
            <w:tcW w:w="1152" w:type="dxa"/>
            <w:tcBorders>
              <w:tl2br w:val="nil"/>
              <w:tr2bl w:val="nil"/>
            </w:tcBorders>
            <w:shd w:val="clear" w:color="auto" w:fill="auto"/>
            <w:vAlign w:val="center"/>
          </w:tcPr>
          <w:p w14:paraId="70B15F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p>
        </w:tc>
      </w:tr>
      <w:tr w14:paraId="7EE13E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11DEC1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手板（综合手术台）</w:t>
            </w:r>
          </w:p>
        </w:tc>
        <w:tc>
          <w:tcPr>
            <w:tcW w:w="6743" w:type="dxa"/>
            <w:tcBorders>
              <w:tl2br w:val="nil"/>
              <w:tr2bl w:val="nil"/>
            </w:tcBorders>
            <w:shd w:val="clear" w:color="auto" w:fill="auto"/>
            <w:vAlign w:val="center"/>
          </w:tcPr>
          <w:p w14:paraId="4CAECA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22、拉杆固定夹需适用于迈瑞HyBase6100、迈瑞HyBase8500手术床。</w:t>
            </w:r>
          </w:p>
        </w:tc>
        <w:tc>
          <w:tcPr>
            <w:tcW w:w="1152" w:type="dxa"/>
            <w:tcBorders>
              <w:tl2br w:val="nil"/>
              <w:tr2bl w:val="nil"/>
            </w:tcBorders>
            <w:shd w:val="clear" w:color="auto" w:fill="auto"/>
            <w:vAlign w:val="center"/>
          </w:tcPr>
          <w:p w14:paraId="710444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p>
        </w:tc>
      </w:tr>
      <w:tr w14:paraId="02F5F3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0544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2404D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23、拉杆式手板，需匹配现有手术床，可360度调节。</w:t>
            </w:r>
          </w:p>
        </w:tc>
        <w:tc>
          <w:tcPr>
            <w:tcW w:w="1152" w:type="dxa"/>
            <w:tcBorders>
              <w:tl2br w:val="nil"/>
              <w:tr2bl w:val="nil"/>
            </w:tcBorders>
            <w:shd w:val="clear" w:color="auto" w:fill="auto"/>
            <w:vAlign w:val="center"/>
          </w:tcPr>
          <w:p w14:paraId="670FF5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p>
        </w:tc>
      </w:tr>
      <w:tr w14:paraId="1DAF53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635A1C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CD883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24、手板材质为：304不锈钢或以上材质支架、抗倍特板、记忆海绵软垫，可透X光。</w:t>
            </w:r>
          </w:p>
        </w:tc>
        <w:tc>
          <w:tcPr>
            <w:tcW w:w="1152" w:type="dxa"/>
            <w:tcBorders>
              <w:tl2br w:val="nil"/>
              <w:tr2bl w:val="nil"/>
            </w:tcBorders>
            <w:shd w:val="clear" w:color="auto" w:fill="auto"/>
            <w:vAlign w:val="center"/>
          </w:tcPr>
          <w:p w14:paraId="59E42F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p>
        </w:tc>
      </w:tr>
      <w:tr w14:paraId="145913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C13F6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50DA6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25、记忆海绵垫质感柔软面积大，能起到更好的防护作用。</w:t>
            </w:r>
          </w:p>
        </w:tc>
        <w:tc>
          <w:tcPr>
            <w:tcW w:w="1152" w:type="dxa"/>
            <w:tcBorders>
              <w:tl2br w:val="nil"/>
              <w:tr2bl w:val="nil"/>
            </w:tcBorders>
            <w:shd w:val="clear" w:color="auto" w:fill="auto"/>
            <w:vAlign w:val="center"/>
          </w:tcPr>
          <w:p w14:paraId="313DB0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p>
        </w:tc>
      </w:tr>
      <w:tr w14:paraId="027F57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B75A3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1D5C6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26、清洁、消毒、维护保养简单方便无特殊要求。</w:t>
            </w:r>
          </w:p>
        </w:tc>
        <w:tc>
          <w:tcPr>
            <w:tcW w:w="1152" w:type="dxa"/>
            <w:tcBorders>
              <w:tl2br w:val="nil"/>
              <w:tr2bl w:val="nil"/>
            </w:tcBorders>
            <w:shd w:val="clear" w:color="auto" w:fill="auto"/>
            <w:vAlign w:val="center"/>
          </w:tcPr>
          <w:p w14:paraId="000B95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p>
        </w:tc>
      </w:tr>
      <w:tr w14:paraId="6D1368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F3EF9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E0BC6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27、记忆海绵软垫尺寸≥600*150*55mm。</w:t>
            </w:r>
          </w:p>
        </w:tc>
        <w:tc>
          <w:tcPr>
            <w:tcW w:w="1152" w:type="dxa"/>
            <w:tcBorders>
              <w:tl2br w:val="nil"/>
              <w:tr2bl w:val="nil"/>
            </w:tcBorders>
            <w:shd w:val="clear" w:color="auto" w:fill="auto"/>
            <w:vAlign w:val="center"/>
          </w:tcPr>
          <w:p w14:paraId="6DFA5E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p>
        </w:tc>
      </w:tr>
      <w:tr w14:paraId="724739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67F2EC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欧式固定器（综合手术台）</w:t>
            </w:r>
          </w:p>
        </w:tc>
        <w:tc>
          <w:tcPr>
            <w:tcW w:w="6743" w:type="dxa"/>
            <w:tcBorders>
              <w:tl2br w:val="nil"/>
              <w:tr2bl w:val="nil"/>
            </w:tcBorders>
            <w:shd w:val="clear" w:color="auto" w:fill="auto"/>
            <w:vAlign w:val="center"/>
          </w:tcPr>
          <w:p w14:paraId="4FC36C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28、材质：304不锈钢或以上材质。</w:t>
            </w:r>
          </w:p>
        </w:tc>
        <w:tc>
          <w:tcPr>
            <w:tcW w:w="1152" w:type="dxa"/>
            <w:tcBorders>
              <w:tl2br w:val="nil"/>
              <w:tr2bl w:val="nil"/>
            </w:tcBorders>
            <w:shd w:val="clear" w:color="auto" w:fill="auto"/>
            <w:vAlign w:val="center"/>
          </w:tcPr>
          <w:p w14:paraId="556E40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p>
        </w:tc>
      </w:tr>
      <w:tr w14:paraId="097929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82FA1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163E0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29、适用手术床型号：迈瑞HyBase6100、迈瑞HyBase8500手术床。</w:t>
            </w:r>
          </w:p>
        </w:tc>
        <w:tc>
          <w:tcPr>
            <w:tcW w:w="1152" w:type="dxa"/>
            <w:tcBorders>
              <w:tl2br w:val="nil"/>
              <w:tr2bl w:val="nil"/>
            </w:tcBorders>
            <w:shd w:val="clear" w:color="auto" w:fill="auto"/>
            <w:vAlign w:val="center"/>
          </w:tcPr>
          <w:p w14:paraId="010C83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p>
        </w:tc>
      </w:tr>
      <w:tr w14:paraId="08B1B7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68A9B7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98867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30、适用导轨25*10mm、插孔19mm。</w:t>
            </w:r>
          </w:p>
        </w:tc>
        <w:tc>
          <w:tcPr>
            <w:tcW w:w="1152" w:type="dxa"/>
            <w:tcBorders>
              <w:tl2br w:val="nil"/>
              <w:tr2bl w:val="nil"/>
            </w:tcBorders>
            <w:shd w:val="clear" w:color="auto" w:fill="auto"/>
            <w:vAlign w:val="center"/>
          </w:tcPr>
          <w:p w14:paraId="1EB75A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p>
        </w:tc>
      </w:tr>
      <w:tr w14:paraId="7A2E5F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032ADE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负极板回路垫</w:t>
            </w:r>
          </w:p>
        </w:tc>
        <w:tc>
          <w:tcPr>
            <w:tcW w:w="6743" w:type="dxa"/>
            <w:tcBorders>
              <w:tl2br w:val="nil"/>
              <w:tr2bl w:val="nil"/>
            </w:tcBorders>
            <w:shd w:val="clear" w:color="auto" w:fill="auto"/>
            <w:vAlign w:val="center"/>
          </w:tcPr>
          <w:p w14:paraId="7B9AA9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31、使用期限≥4年（需提供产品说明书或产品标签佐证）。</w:t>
            </w:r>
          </w:p>
        </w:tc>
        <w:tc>
          <w:tcPr>
            <w:tcW w:w="1152" w:type="dxa"/>
            <w:tcBorders>
              <w:tl2br w:val="nil"/>
              <w:tr2bl w:val="nil"/>
            </w:tcBorders>
            <w:shd w:val="clear" w:color="auto" w:fill="auto"/>
            <w:vAlign w:val="center"/>
          </w:tcPr>
          <w:p w14:paraId="40C3A5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p>
        </w:tc>
      </w:tr>
      <w:tr w14:paraId="6FACB7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0B3F0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FCEE7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32、采用双层高分子保护膜，即使第一层保护膜破损移除后，第二层完好的保护膜仍可正常使用。</w:t>
            </w:r>
          </w:p>
        </w:tc>
        <w:tc>
          <w:tcPr>
            <w:tcW w:w="1152" w:type="dxa"/>
            <w:tcBorders>
              <w:tl2br w:val="nil"/>
              <w:tr2bl w:val="nil"/>
            </w:tcBorders>
            <w:shd w:val="clear" w:color="auto" w:fill="auto"/>
            <w:vAlign w:val="center"/>
          </w:tcPr>
          <w:p w14:paraId="1B25F7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p>
        </w:tc>
      </w:tr>
      <w:tr w14:paraId="5B59E1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6DFD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D8D24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33、由黄色高分子凝胶填充保护,最大厚度≥13mm，具有聚酯衬垫特性：产品防水性能好，防水等级≥IPX8级。有良好的耐候性，热老化温度≥135℃。有良好的组织相融性，对皮肤不会形成刺激，不致敏。</w:t>
            </w:r>
          </w:p>
        </w:tc>
        <w:tc>
          <w:tcPr>
            <w:tcW w:w="1152" w:type="dxa"/>
            <w:tcBorders>
              <w:tl2br w:val="nil"/>
              <w:tr2bl w:val="nil"/>
            </w:tcBorders>
            <w:shd w:val="clear" w:color="auto" w:fill="auto"/>
            <w:vAlign w:val="center"/>
          </w:tcPr>
          <w:p w14:paraId="7AA072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p>
        </w:tc>
      </w:tr>
      <w:tr w14:paraId="291053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61EBCC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4EBEA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34、对患者没有最低体重限制。</w:t>
            </w:r>
          </w:p>
        </w:tc>
        <w:tc>
          <w:tcPr>
            <w:tcW w:w="1152" w:type="dxa"/>
            <w:tcBorders>
              <w:tl2br w:val="nil"/>
              <w:tr2bl w:val="nil"/>
            </w:tcBorders>
            <w:shd w:val="clear" w:color="auto" w:fill="auto"/>
            <w:vAlign w:val="center"/>
          </w:tcPr>
          <w:p w14:paraId="27260E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p>
        </w:tc>
      </w:tr>
      <w:tr w14:paraId="1FFE19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4E5BD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8AAEC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35、产品通过ISO质量体系认证。</w:t>
            </w:r>
          </w:p>
        </w:tc>
        <w:tc>
          <w:tcPr>
            <w:tcW w:w="1152" w:type="dxa"/>
            <w:tcBorders>
              <w:tl2br w:val="nil"/>
              <w:tr2bl w:val="nil"/>
            </w:tcBorders>
            <w:shd w:val="clear" w:color="auto" w:fill="auto"/>
            <w:vAlign w:val="center"/>
          </w:tcPr>
          <w:p w14:paraId="2BC545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p>
        </w:tc>
      </w:tr>
      <w:tr w14:paraId="78F402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3D311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47ECC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36、多种规格型号，最大长度≥1.3米，可满足临床应用的不同需求。</w:t>
            </w:r>
          </w:p>
        </w:tc>
        <w:tc>
          <w:tcPr>
            <w:tcW w:w="1152" w:type="dxa"/>
            <w:tcBorders>
              <w:tl2br w:val="nil"/>
              <w:tr2bl w:val="nil"/>
            </w:tcBorders>
            <w:shd w:val="clear" w:color="auto" w:fill="auto"/>
            <w:vAlign w:val="center"/>
          </w:tcPr>
          <w:p w14:paraId="3D0749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p>
        </w:tc>
      </w:tr>
      <w:tr w14:paraId="15D4DE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184B0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53ED7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37、成人儿童均可使用。</w:t>
            </w:r>
          </w:p>
        </w:tc>
        <w:tc>
          <w:tcPr>
            <w:tcW w:w="1152" w:type="dxa"/>
            <w:tcBorders>
              <w:tl2br w:val="nil"/>
              <w:tr2bl w:val="nil"/>
            </w:tcBorders>
            <w:shd w:val="clear" w:color="auto" w:fill="auto"/>
            <w:vAlign w:val="center"/>
          </w:tcPr>
          <w:p w14:paraId="38CC15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p>
        </w:tc>
      </w:tr>
      <w:tr w14:paraId="432878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2DDD8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02DB7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38、可有效降低灼伤危险，省时、省力，减轻了护理强度，使用范围广泛，适应烧伤患者、带金属植入物患者，适应瘢痕、纹身、多毛发、体质消瘦及对粘贴式负极板过敏等不同肤质。</w:t>
            </w:r>
          </w:p>
        </w:tc>
        <w:tc>
          <w:tcPr>
            <w:tcW w:w="1152" w:type="dxa"/>
            <w:tcBorders>
              <w:tl2br w:val="nil"/>
              <w:tr2bl w:val="nil"/>
            </w:tcBorders>
            <w:shd w:val="clear" w:color="auto" w:fill="auto"/>
            <w:vAlign w:val="center"/>
          </w:tcPr>
          <w:p w14:paraId="4E7574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p>
        </w:tc>
      </w:tr>
      <w:tr w14:paraId="4D252D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7D227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3863C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39、可弯曲使用，以适用于多种手术体位。</w:t>
            </w:r>
          </w:p>
        </w:tc>
        <w:tc>
          <w:tcPr>
            <w:tcW w:w="1152" w:type="dxa"/>
            <w:tcBorders>
              <w:tl2br w:val="nil"/>
              <w:tr2bl w:val="nil"/>
            </w:tcBorders>
            <w:shd w:val="clear" w:color="auto" w:fill="auto"/>
            <w:vAlign w:val="center"/>
          </w:tcPr>
          <w:p w14:paraId="613FEF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p>
        </w:tc>
      </w:tr>
      <w:tr w14:paraId="6DA5CF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417DB5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BEF03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40、导线可满足高频绝缘电刀主机的接口标准，长度≥4m，可适配各种高频绝缘电刀主机。</w:t>
            </w:r>
          </w:p>
        </w:tc>
        <w:tc>
          <w:tcPr>
            <w:tcW w:w="1152" w:type="dxa"/>
            <w:tcBorders>
              <w:tl2br w:val="nil"/>
              <w:tr2bl w:val="nil"/>
            </w:tcBorders>
            <w:shd w:val="clear" w:color="auto" w:fill="auto"/>
            <w:vAlign w:val="center"/>
          </w:tcPr>
          <w:p w14:paraId="505075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p>
        </w:tc>
      </w:tr>
      <w:tr w14:paraId="27D919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14F0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32031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41、有效接触面积不小于100平方厘米。</w:t>
            </w:r>
          </w:p>
        </w:tc>
        <w:tc>
          <w:tcPr>
            <w:tcW w:w="1152" w:type="dxa"/>
            <w:tcBorders>
              <w:tl2br w:val="nil"/>
              <w:tr2bl w:val="nil"/>
            </w:tcBorders>
            <w:shd w:val="clear" w:color="auto" w:fill="auto"/>
            <w:vAlign w:val="center"/>
          </w:tcPr>
          <w:p w14:paraId="5D3CC6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p>
        </w:tc>
      </w:tr>
      <w:tr w14:paraId="0E5941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420503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46F0C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42、电容阻抗≤150Ω，在环境温度23℃±3℃、频率460KHz条件下，电容值小于4nF。</w:t>
            </w:r>
          </w:p>
        </w:tc>
        <w:tc>
          <w:tcPr>
            <w:tcW w:w="1152" w:type="dxa"/>
            <w:tcBorders>
              <w:tl2br w:val="nil"/>
              <w:tr2bl w:val="nil"/>
            </w:tcBorders>
            <w:shd w:val="clear" w:color="auto" w:fill="auto"/>
            <w:vAlign w:val="center"/>
          </w:tcPr>
          <w:p w14:paraId="6C139B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p>
        </w:tc>
      </w:tr>
    </w:tbl>
    <w:p w14:paraId="1AC24C8F">
      <w:pPr>
        <w:pStyle w:val="9"/>
        <w:tabs>
          <w:tab w:val="left" w:pos="420"/>
          <w:tab w:val="left" w:pos="540"/>
        </w:tabs>
        <w:adjustRightInd w:val="0"/>
        <w:snapToGrid w:val="0"/>
        <w:spacing w:line="360" w:lineRule="auto"/>
        <w:rPr>
          <w:rFonts w:hAnsi="宋体"/>
          <w:b/>
          <w:color w:val="auto"/>
        </w:rPr>
      </w:pPr>
    </w:p>
    <w:p w14:paraId="7C2FC4C4">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商务要求：</w:t>
      </w:r>
    </w:p>
    <w:tbl>
      <w:tblPr>
        <w:tblStyle w:val="16"/>
        <w:tblW w:w="9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8683"/>
      </w:tblGrid>
      <w:tr w14:paraId="36F6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A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bookmarkStart w:id="12" w:name="_Toc113"/>
            <w:r>
              <w:rPr>
                <w:rFonts w:hint="eastAsia" w:ascii="宋体" w:hAnsi="宋体" w:eastAsia="宋体" w:cs="宋体"/>
                <w:i w:val="0"/>
                <w:iCs w:val="0"/>
                <w:color w:val="000000"/>
                <w:kern w:val="0"/>
                <w:sz w:val="21"/>
                <w:szCs w:val="21"/>
                <w:u w:val="none"/>
                <w:lang w:val="en-US" w:eastAsia="zh-CN" w:bidi="ar"/>
              </w:rPr>
              <w:t>序号</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4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商务条款</w:t>
            </w:r>
          </w:p>
        </w:tc>
      </w:tr>
      <w:tr w14:paraId="3F86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1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A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交货时间：合同签订并接院方通知后15日内。</w:t>
            </w:r>
          </w:p>
        </w:tc>
      </w:tr>
      <w:tr w14:paraId="35A0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C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8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免费保修期：系指中标供应商提供的产品在非使用者人为破坏情况下，出现任何质量问题造成产品不能使用时，由中标供应商免费维修、更换以确保产品正常使用的时间期限。此时间期限从设备验收合格之日起计算。具体是指设备验收合格后3年内 。</w:t>
            </w:r>
          </w:p>
        </w:tc>
      </w:tr>
      <w:tr w14:paraId="262F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A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5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中标方应保证设备是全新、未使用过的原装合格正品（包括零部件），设备到达院方安装现场时外包装应完好无损。进口产品生产日期在采购人收到货物日期前</w:t>
            </w:r>
            <w:r>
              <w:rPr>
                <w:rFonts w:hint="default" w:ascii="宋体" w:hAnsi="宋体" w:eastAsia="宋体" w:cs="宋体"/>
                <w:i w:val="0"/>
                <w:iCs w:val="0"/>
                <w:color w:val="auto"/>
                <w:kern w:val="0"/>
                <w:sz w:val="21"/>
                <w:szCs w:val="21"/>
                <w:u w:val="none"/>
                <w:lang w:val="en-US" w:eastAsia="zh-CN" w:bidi="ar"/>
              </w:rPr>
              <w:t>12</w:t>
            </w:r>
            <w:r>
              <w:rPr>
                <w:rFonts w:hint="eastAsia" w:ascii="宋体" w:hAnsi="宋体" w:eastAsia="宋体" w:cs="宋体"/>
                <w:i w:val="0"/>
                <w:iCs w:val="0"/>
                <w:color w:val="auto"/>
                <w:kern w:val="0"/>
                <w:sz w:val="21"/>
                <w:szCs w:val="21"/>
                <w:u w:val="none"/>
                <w:lang w:val="en-US" w:eastAsia="zh-CN" w:bidi="ar"/>
              </w:rPr>
              <w:t>个月内，本国产品生产日期在采购人收到货物日期前</w:t>
            </w:r>
            <w:r>
              <w:rPr>
                <w:rFonts w:hint="default" w:ascii="宋体" w:hAnsi="宋体" w:eastAsia="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个月内，最新生产批次且经检验合格的产品。</w:t>
            </w:r>
          </w:p>
        </w:tc>
      </w:tr>
      <w:tr w14:paraId="782E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6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DB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随设备向院方交付设备中文版《使用说明书》《医疗器械生产企业许可证》《医疗器械经营企业许可证》《医疗器械注册证》等与本合同设备使用有关的所有资料。如为进口设备，中标方还应提供进口设备原产地证、检测报告、《进口医疗器械注册证》、检验检疫证明、进口报关手续等资料。</w:t>
            </w:r>
          </w:p>
        </w:tc>
      </w:tr>
      <w:tr w14:paraId="3003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E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日期前中标方必须完成合同约定的各项培训，包括对院方相关人员进行设备使用培训及日常保养培训并提供培训记录。现场验收时中标方需提供必要的技术支持并协助院方完成各项指标和功能的测试，否则因验收延误产生的后果由中标方负责。</w:t>
            </w:r>
          </w:p>
        </w:tc>
      </w:tr>
      <w:tr w14:paraId="68DB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9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41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货到安装、调试验收合格后，中标方应按本合同全额价款出具正规税务发票，院方财务科收到中标方发票等相关资料后</w:t>
            </w:r>
            <w:r>
              <w:rPr>
                <w:rFonts w:hint="default"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个工作日内向中标方支付合同全款。</w:t>
            </w:r>
          </w:p>
        </w:tc>
      </w:tr>
      <w:tr w14:paraId="09FD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B7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设备出现故障时中标方应在接到院方通知时</w:t>
            </w:r>
            <w:r>
              <w:rPr>
                <w:rFonts w:hint="default" w:ascii="宋体" w:hAnsi="宋体" w:eastAsia="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小时响应，</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小时内到位，若中标方未能在</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小时内消除障碍，院方有权聘请第三方消除障碍，所发生的费用由中标方全部承担。</w:t>
            </w:r>
          </w:p>
        </w:tc>
      </w:tr>
    </w:tbl>
    <w:p w14:paraId="2ED239BD">
      <w:pPr>
        <w:pStyle w:val="4"/>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3B71E8B7">
      <w:pPr>
        <w:rPr>
          <w:rFonts w:hint="eastAsia" w:asciiTheme="majorEastAsia" w:hAnsiTheme="majorEastAsia" w:eastAsiaTheme="majorEastAsia" w:cstheme="majorEastAsia"/>
          <w:kern w:val="2"/>
          <w:sz w:val="32"/>
          <w:szCs w:val="32"/>
          <w:lang w:val="en-US" w:eastAsia="zh-CN" w:bidi="ar-SA"/>
        </w:rPr>
      </w:pPr>
    </w:p>
    <w:p w14:paraId="4C027380">
      <w:pPr>
        <w:rPr>
          <w:rFonts w:hint="eastAsia" w:asciiTheme="majorEastAsia" w:hAnsiTheme="majorEastAsia" w:eastAsiaTheme="majorEastAsia" w:cstheme="majorEastAsia"/>
          <w:kern w:val="2"/>
          <w:sz w:val="32"/>
          <w:szCs w:val="32"/>
          <w:lang w:val="en-US" w:eastAsia="zh-CN" w:bidi="ar-SA"/>
        </w:rPr>
      </w:pPr>
    </w:p>
    <w:p w14:paraId="6667CA01">
      <w:pPr>
        <w:rPr>
          <w:rFonts w:hint="eastAsia" w:asciiTheme="majorEastAsia" w:hAnsiTheme="majorEastAsia" w:eastAsiaTheme="majorEastAsia" w:cstheme="majorEastAsia"/>
          <w:kern w:val="2"/>
          <w:sz w:val="32"/>
          <w:szCs w:val="32"/>
          <w:lang w:val="en-US" w:eastAsia="zh-CN" w:bidi="ar-SA"/>
        </w:rPr>
      </w:pPr>
    </w:p>
    <w:p w14:paraId="5BC111C3">
      <w:pPr>
        <w:rPr>
          <w:rFonts w:hint="eastAsia" w:asciiTheme="majorEastAsia" w:hAnsiTheme="majorEastAsia" w:eastAsiaTheme="majorEastAsia" w:cstheme="majorEastAsia"/>
          <w:kern w:val="2"/>
          <w:sz w:val="32"/>
          <w:szCs w:val="32"/>
          <w:lang w:val="en-US" w:eastAsia="zh-CN" w:bidi="ar-SA"/>
        </w:rPr>
      </w:pPr>
    </w:p>
    <w:p w14:paraId="29404E35">
      <w:pPr>
        <w:rPr>
          <w:rFonts w:hint="default" w:asciiTheme="majorEastAsia" w:hAnsiTheme="majorEastAsia" w:eastAsiaTheme="majorEastAsia" w:cstheme="majorEastAsia"/>
          <w:kern w:val="2"/>
          <w:sz w:val="32"/>
          <w:szCs w:val="32"/>
          <w:lang w:val="en-US" w:eastAsia="zh-CN" w:bidi="ar-SA"/>
        </w:rPr>
      </w:pPr>
    </w:p>
    <w:p w14:paraId="3F285F35">
      <w:pPr>
        <w:rPr>
          <w:rFonts w:hint="default" w:asciiTheme="majorEastAsia" w:hAnsiTheme="majorEastAsia" w:eastAsiaTheme="majorEastAsia" w:cstheme="majorEastAsia"/>
          <w:kern w:val="2"/>
          <w:sz w:val="32"/>
          <w:szCs w:val="32"/>
          <w:lang w:val="en-US" w:eastAsia="zh-CN" w:bidi="ar-SA"/>
        </w:rPr>
      </w:pPr>
    </w:p>
    <w:p w14:paraId="35A3E053">
      <w:pPr>
        <w:rPr>
          <w:rFonts w:hint="eastAsia" w:asciiTheme="majorEastAsia" w:hAnsiTheme="majorEastAsia" w:eastAsiaTheme="majorEastAsia" w:cstheme="majorEastAsia"/>
          <w:kern w:val="2"/>
          <w:sz w:val="32"/>
          <w:szCs w:val="32"/>
          <w:lang w:val="en-US" w:eastAsia="zh-CN" w:bidi="ar-SA"/>
        </w:rPr>
      </w:pPr>
    </w:p>
    <w:p w14:paraId="43DB7643">
      <w:pPr>
        <w:rPr>
          <w:rFonts w:hint="eastAsia" w:asciiTheme="majorEastAsia" w:hAnsiTheme="majorEastAsia" w:eastAsiaTheme="majorEastAsia" w:cstheme="majorEastAsia"/>
          <w:kern w:val="2"/>
          <w:sz w:val="32"/>
          <w:szCs w:val="32"/>
          <w:lang w:val="en-US" w:eastAsia="zh-CN" w:bidi="ar-SA"/>
        </w:rPr>
      </w:pPr>
    </w:p>
    <w:p w14:paraId="4ED14367">
      <w:pPr>
        <w:rPr>
          <w:rFonts w:hint="eastAsia" w:asciiTheme="majorEastAsia" w:hAnsiTheme="majorEastAsia" w:eastAsiaTheme="majorEastAsia" w:cstheme="majorEastAsia"/>
          <w:kern w:val="2"/>
          <w:sz w:val="32"/>
          <w:szCs w:val="32"/>
          <w:lang w:val="en-US" w:eastAsia="zh-CN" w:bidi="ar-SA"/>
        </w:rPr>
      </w:pPr>
    </w:p>
    <w:p w14:paraId="75FC07A7">
      <w:pPr>
        <w:rPr>
          <w:rFonts w:hint="eastAsia" w:asciiTheme="majorEastAsia" w:hAnsiTheme="majorEastAsia" w:eastAsiaTheme="majorEastAsia" w:cstheme="majorEastAsia"/>
          <w:kern w:val="2"/>
          <w:sz w:val="32"/>
          <w:szCs w:val="32"/>
          <w:lang w:val="en-US" w:eastAsia="zh-CN" w:bidi="ar-SA"/>
        </w:rPr>
      </w:pPr>
    </w:p>
    <w:p w14:paraId="0E8FC5E4">
      <w:pPr>
        <w:rPr>
          <w:rFonts w:hint="eastAsia" w:asciiTheme="majorEastAsia" w:hAnsiTheme="majorEastAsia" w:eastAsiaTheme="majorEastAsia" w:cstheme="majorEastAsia"/>
          <w:kern w:val="2"/>
          <w:sz w:val="32"/>
          <w:szCs w:val="32"/>
          <w:lang w:val="en-US" w:eastAsia="zh-CN" w:bidi="ar-SA"/>
        </w:rPr>
      </w:pPr>
    </w:p>
    <w:p w14:paraId="6A75F3C1">
      <w:pPr>
        <w:rPr>
          <w:rFonts w:hint="eastAsia" w:asciiTheme="majorEastAsia" w:hAnsiTheme="majorEastAsia" w:eastAsiaTheme="majorEastAsia" w:cstheme="majorEastAsia"/>
          <w:kern w:val="2"/>
          <w:sz w:val="32"/>
          <w:szCs w:val="32"/>
          <w:lang w:val="en-US" w:eastAsia="zh-CN" w:bidi="ar-SA"/>
        </w:rPr>
      </w:pPr>
    </w:p>
    <w:p w14:paraId="36EB70C4">
      <w:pPr>
        <w:pStyle w:val="4"/>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第四章 </w:t>
      </w:r>
      <w:r>
        <w:rPr>
          <w:rFonts w:hint="eastAsia" w:asciiTheme="majorEastAsia" w:hAnsiTheme="majorEastAsia" w:eastAsiaTheme="majorEastAsia" w:cstheme="majorEastAsia"/>
          <w:sz w:val="32"/>
          <w:szCs w:val="32"/>
        </w:rPr>
        <w:t>开标、评标、定标</w:t>
      </w:r>
      <w:bookmarkEnd w:id="12"/>
    </w:p>
    <w:p w14:paraId="3B4C8BEE">
      <w:pPr>
        <w:pStyle w:val="4"/>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3" w:name="_Toc1988"/>
      <w:bookmarkStart w:id="14" w:name="_Toc24015563"/>
      <w:bookmarkStart w:id="15" w:name="_Toc15209"/>
      <w:r>
        <w:rPr>
          <w:rFonts w:hint="eastAsia" w:ascii="宋体" w:hAnsi="宋体" w:cs="宋体" w:eastAsiaTheme="minorEastAsia"/>
          <w:kern w:val="2"/>
          <w:sz w:val="21"/>
          <w:szCs w:val="21"/>
          <w:lang w:val="en-US" w:eastAsia="zh-CN" w:bidi="ar-SA"/>
        </w:rPr>
        <w:t>资格性审查表</w:t>
      </w:r>
      <w:bookmarkEnd w:id="13"/>
      <w:bookmarkEnd w:id="14"/>
      <w:bookmarkEnd w:id="15"/>
    </w:p>
    <w:tbl>
      <w:tblPr>
        <w:tblStyle w:val="1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2C7A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9A3AE57">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6" w:name="_Toc15975"/>
            <w:r>
              <w:rPr>
                <w:rFonts w:hint="eastAsia" w:ascii="宋体" w:hAnsi="宋体" w:eastAsia="宋体" w:cs="宋体"/>
                <w:b/>
                <w:bCs/>
                <w:color w:val="000000"/>
                <w:sz w:val="21"/>
                <w:szCs w:val="21"/>
              </w:rPr>
              <w:t>序号</w:t>
            </w:r>
          </w:p>
        </w:tc>
        <w:tc>
          <w:tcPr>
            <w:tcW w:w="9286" w:type="dxa"/>
            <w:noWrap w:val="0"/>
            <w:vAlign w:val="center"/>
          </w:tcPr>
          <w:p w14:paraId="492F829C">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2EB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693" w:type="dxa"/>
            <w:noWrap w:val="0"/>
            <w:vAlign w:val="center"/>
          </w:tcPr>
          <w:p w14:paraId="6424D38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37E0A346">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FD2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693" w:type="dxa"/>
            <w:noWrap w:val="0"/>
            <w:vAlign w:val="center"/>
          </w:tcPr>
          <w:p w14:paraId="503FDA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3A1E4E1D">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6"/>
    </w:p>
    <w:p w14:paraId="41BA4C69">
      <w:pPr>
        <w:pStyle w:val="4"/>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p>
    <w:tbl>
      <w:tblPr>
        <w:tblStyle w:val="1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shd w:val="clear" w:color="auto" w:fill="auto"/>
            <w:noWrap w:val="0"/>
            <w:vAlign w:val="center"/>
          </w:tcPr>
          <w:p w14:paraId="02E74DB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9319" w:type="dxa"/>
            <w:shd w:val="clear" w:color="auto" w:fill="auto"/>
            <w:noWrap w:val="0"/>
            <w:vAlign w:val="center"/>
          </w:tcPr>
          <w:p w14:paraId="66D5BC0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shd w:val="clear" w:color="auto" w:fill="auto"/>
            <w:noWrap w:val="0"/>
            <w:vAlign w:val="center"/>
          </w:tcPr>
          <w:p w14:paraId="3684B3E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w:t>
            </w:r>
          </w:p>
        </w:tc>
        <w:tc>
          <w:tcPr>
            <w:tcW w:w="9319" w:type="dxa"/>
            <w:shd w:val="clear" w:color="auto" w:fill="auto"/>
            <w:noWrap w:val="0"/>
            <w:vAlign w:val="center"/>
          </w:tcPr>
          <w:p w14:paraId="5094F6E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9F5E7C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9319" w:type="dxa"/>
            <w:shd w:val="clear" w:color="auto" w:fill="auto"/>
            <w:noWrap w:val="0"/>
            <w:vAlign w:val="center"/>
          </w:tcPr>
          <w:p w14:paraId="2FA4074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shd w:val="clear" w:color="auto" w:fill="auto"/>
            <w:noWrap w:val="0"/>
            <w:vAlign w:val="center"/>
          </w:tcPr>
          <w:p w14:paraId="15D7963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w:t>
            </w:r>
          </w:p>
        </w:tc>
        <w:tc>
          <w:tcPr>
            <w:tcW w:w="9319" w:type="dxa"/>
            <w:shd w:val="clear" w:color="auto" w:fill="auto"/>
            <w:noWrap w:val="0"/>
            <w:vAlign w:val="center"/>
          </w:tcPr>
          <w:p w14:paraId="50C53FF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文件要求报价的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shd w:val="clear" w:color="auto" w:fill="auto"/>
            <w:noWrap w:val="0"/>
            <w:vAlign w:val="center"/>
          </w:tcPr>
          <w:p w14:paraId="54B0DFA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w:t>
            </w:r>
          </w:p>
        </w:tc>
        <w:tc>
          <w:tcPr>
            <w:tcW w:w="9319" w:type="dxa"/>
            <w:shd w:val="clear" w:color="auto" w:fill="auto"/>
            <w:noWrap w:val="0"/>
            <w:vAlign w:val="center"/>
          </w:tcPr>
          <w:p w14:paraId="6012D7A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shd w:val="clear" w:color="auto" w:fill="auto"/>
            <w:noWrap w:val="0"/>
            <w:vAlign w:val="center"/>
          </w:tcPr>
          <w:p w14:paraId="3B2F8E9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w:t>
            </w:r>
          </w:p>
        </w:tc>
        <w:tc>
          <w:tcPr>
            <w:tcW w:w="9319" w:type="dxa"/>
            <w:shd w:val="clear" w:color="auto" w:fill="auto"/>
            <w:noWrap w:val="0"/>
            <w:vAlign w:val="center"/>
          </w:tcPr>
          <w:p w14:paraId="615E946B">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CBFECB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7</w:t>
            </w:r>
          </w:p>
        </w:tc>
        <w:tc>
          <w:tcPr>
            <w:tcW w:w="9319" w:type="dxa"/>
            <w:shd w:val="clear" w:color="auto" w:fill="auto"/>
            <w:noWrap w:val="0"/>
            <w:vAlign w:val="center"/>
          </w:tcPr>
          <w:p w14:paraId="07E171B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shd w:val="clear" w:color="auto" w:fill="auto"/>
            <w:noWrap w:val="0"/>
            <w:vAlign w:val="center"/>
          </w:tcPr>
          <w:p w14:paraId="584C965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8</w:t>
            </w:r>
          </w:p>
        </w:tc>
        <w:tc>
          <w:tcPr>
            <w:tcW w:w="9319" w:type="dxa"/>
            <w:shd w:val="clear" w:color="auto" w:fill="auto"/>
            <w:noWrap w:val="0"/>
            <w:vAlign w:val="center"/>
          </w:tcPr>
          <w:p w14:paraId="0ECC420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shd w:val="clear" w:color="auto" w:fill="auto"/>
            <w:noWrap w:val="0"/>
            <w:vAlign w:val="center"/>
          </w:tcPr>
          <w:p w14:paraId="4189910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9319" w:type="dxa"/>
            <w:shd w:val="clear" w:color="auto" w:fill="auto"/>
            <w:noWrap w:val="0"/>
            <w:vAlign w:val="center"/>
          </w:tcPr>
          <w:p w14:paraId="4504AFE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0EF1F89F">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9319" w:type="dxa"/>
            <w:shd w:val="clear" w:color="auto" w:fill="auto"/>
            <w:noWrap w:val="0"/>
            <w:vAlign w:val="center"/>
          </w:tcPr>
          <w:p w14:paraId="55DC8266">
            <w:pPr>
              <w:keepNext w:val="0"/>
              <w:keepLines w:val="0"/>
              <w:suppressLineNumbers w:val="0"/>
              <w:spacing w:before="0" w:beforeAutospacing="0" w:after="0" w:afterAutospacing="0"/>
              <w:ind w:left="0" w:leftChars="0" w:right="0" w:rightChars="0"/>
              <w:rPr>
                <w:rFonts w:hint="default" w:ascii="宋体" w:hAnsi="宋体" w:eastAsia="宋体" w:cs="宋体"/>
                <w:kern w:val="2"/>
                <w:sz w:val="21"/>
                <w:szCs w:val="21"/>
                <w:lang w:val="en-US" w:eastAsia="zh-CN" w:bidi="ar-SA"/>
              </w:rPr>
            </w:pPr>
            <w:r>
              <w:rPr>
                <w:rFonts w:hint="eastAsia" w:ascii="宋体" w:hAnsi="宋体" w:eastAsia="宋体" w:cs="宋体"/>
                <w:sz w:val="21"/>
                <w:szCs w:val="21"/>
              </w:rPr>
              <w:t>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征集文件</w:t>
            </w:r>
            <w:r>
              <w:rPr>
                <w:rFonts w:hint="eastAsia" w:ascii="宋体" w:hAnsi="宋体" w:eastAsia="宋体" w:cs="宋体"/>
                <w:sz w:val="21"/>
                <w:szCs w:val="21"/>
              </w:rPr>
              <w:t>规定的</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77071F0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9319" w:type="dxa"/>
            <w:shd w:val="clear" w:color="auto" w:fill="auto"/>
            <w:noWrap w:val="0"/>
            <w:vAlign w:val="center"/>
          </w:tcPr>
          <w:p w14:paraId="659C8E5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r>
      <w:tr w14:paraId="4FDF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28D15117">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9319" w:type="dxa"/>
            <w:shd w:val="clear" w:color="auto" w:fill="auto"/>
            <w:noWrap w:val="0"/>
            <w:vAlign w:val="center"/>
          </w:tcPr>
          <w:p w14:paraId="6B1EEF3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r>
    </w:tbl>
    <w:p w14:paraId="544B3F43">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5"/>
        <w:numPr>
          <w:ilvl w:val="0"/>
          <w:numId w:val="8"/>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7"/>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4D79F9F6">
      <w:pPr>
        <w:pStyle w:val="34"/>
        <w:widowControl/>
        <w:numPr>
          <w:ilvl w:val="0"/>
          <w:numId w:val="9"/>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069C923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1.1. 应在规定的日期、时间和地点组织公开开标。开标时邀请所有投标人代表参加。参加开标的代表应签名报到以证明其出席。</w:t>
      </w:r>
    </w:p>
    <w:p w14:paraId="45B9A2A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1.2. 开标时，由采购人党委办公室工作人员检查投标文件的密封情况；经确认无误后，由采购人工作人员当众拆封，宣布投标人名称、投标价格和征集文件规定的需要宣布的其他内容。</w:t>
      </w:r>
    </w:p>
    <w:p w14:paraId="3E406D9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1.3. 投标人代表对开标过程和开标记录有疑义，以及认为采购人相关工作人员有需要回避的情形的，应当场提出询问或者回避申请。采购人对投标人代表提出的询问或者回避申请应当及时处理。</w:t>
      </w:r>
    </w:p>
    <w:p w14:paraId="0C42C01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1.4. 投标人未参加开标的，视同认可开标结果。</w:t>
      </w:r>
    </w:p>
    <w:p w14:paraId="15660E1E">
      <w:pPr>
        <w:pStyle w:val="34"/>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625E4982">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2.1. 评标委员会依法组建，由3人或以上单数组成。</w:t>
      </w:r>
    </w:p>
    <w:p w14:paraId="0EA1849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2.2. 评标委员会成员名单在评标结果公告前应当保密。评审专家有下列情形之一的，受到邀请应主动提出回避，采购当事人也可以要求该评审专家回避：</w:t>
      </w:r>
    </w:p>
    <w:p w14:paraId="1A8F301E">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参加采购活动前3年内与供应商存在劳动关系；</w:t>
      </w:r>
    </w:p>
    <w:p w14:paraId="1228608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参加采购活动前3年内担任供应商的董事、监事；</w:t>
      </w:r>
    </w:p>
    <w:p w14:paraId="61CB271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参加采购活动前3年内是供应商的控股股东或者实际控制人；</w:t>
      </w:r>
    </w:p>
    <w:p w14:paraId="32FEE72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与供应商的法定代表人或者负责人有夫妻、直系血亲、三代以内旁系血亲或者近姻亲关系；</w:t>
      </w:r>
    </w:p>
    <w:p w14:paraId="3893B29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（5） 与供应商有其他可能影响采购活动公平、公正进行的关系。</w:t>
      </w:r>
    </w:p>
    <w:p w14:paraId="400F944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2.3. 评标委员会和有关工作人员不得透露对投标文件的评审和比较以及与评标有关的其他情况。</w:t>
      </w:r>
    </w:p>
    <w:p w14:paraId="5B3AE09A">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2.4. 评标委员会负责具体评标事务，并独立履行下列职责：</w:t>
      </w:r>
    </w:p>
    <w:p w14:paraId="2E20211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审查、评价投标文件是否符合征集文件的商务、技术等实质性要求；</w:t>
      </w:r>
    </w:p>
    <w:p w14:paraId="5E69551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要求投标人对投标文件有关事项作出澄清或者说明；</w:t>
      </w:r>
    </w:p>
    <w:p w14:paraId="21D1899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对投标文件进行比较和评价；</w:t>
      </w:r>
    </w:p>
    <w:p w14:paraId="1141E4F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确定中标候选人名单；</w:t>
      </w:r>
    </w:p>
    <w:p w14:paraId="40C1AD7F">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2.5. 对于投标文件中含义不明确、同类问题表述不一致或者有明显文字和计算错误的内容，评标委员会应当以书面形式要求投标人作出必要的澄清、说明或者补正。</w:t>
      </w:r>
    </w:p>
    <w:p w14:paraId="5D1FCB2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2.6. 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14:paraId="4EBDD54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2.7. 评标委员会决定投标的响应性只根据投标文件中提供的材料内容，而不依据外部的材料证据。</w:t>
      </w:r>
    </w:p>
    <w:p w14:paraId="072F2F10">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2.8.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4280082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2.9. 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4"/>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04739DE4">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3.1. 投标文件初审包括资格性检查和符合性检查。资格性检查：依据法律法规和征集文件的规定，对投标文件中的资格证明等进行审查，以确定投标供应商是否具备投标资格。符合性检查：依据征集文件的规定，从投标文件的有效性、完整性和对征集文件的响应程度进行审查，以确定是否对征集文件的实质性要求作出响应。</w:t>
      </w:r>
    </w:p>
    <w:p w14:paraId="57C1033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3.2. 投标文件初审中关于供应商家数的计算:</w:t>
      </w:r>
    </w:p>
    <w:p w14:paraId="449F47A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采用最低价法的采购项目，提供相同品牌产品的不同投标人参加同一合同项下投标的，以其中通过资格审查、符合性审查且报价最低的参加评标；报价相同的，由采购人或者采购人委托评标委员会按照征集文件规定的方式确定一个参加评审的投标人，征集文件未规定的采取随机抽取方式确定，其他投标无效。</w:t>
      </w:r>
    </w:p>
    <w:p w14:paraId="280FE5A6">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征集文件规定的方式确定一个投标人获得中标人推荐资格，征集文件未规定的采取随机抽取方式确定，其他同品牌投标人不作为中标候选人。</w:t>
      </w:r>
    </w:p>
    <w:p w14:paraId="26AA3AE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非单一产品采购项目，采购人应当根据采购项目技术构成、产品价格比重等合理确定核心产品，并在征集文件中载明。多家投标人提供的核心产品品牌相同的，按前两款规定处理。</w:t>
      </w:r>
    </w:p>
    <w:p w14:paraId="43B1EC83">
      <w:pPr>
        <w:pStyle w:val="34"/>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24BFCB5C">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2BAE06B5">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4.1.1 最低价法，是指完全满足征集文件实质性要求，按照报价由低到高的顺序，依据征集文件中规定的数量或者比例推荐候选中标供应商。</w:t>
      </w:r>
    </w:p>
    <w:p w14:paraId="6A87ECB0">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4.1.2. 综合评分法，是指在满足征集文件全部实质性要求的前提下，按照征集文件中规定的各项因素进行综合评审，评审总得分排名前列的投标人，作为推荐的候选中标供应商。</w:t>
      </w:r>
    </w:p>
    <w:p w14:paraId="498A3F2E">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4.2. 重新评审的情形：</w:t>
      </w:r>
    </w:p>
    <w:p w14:paraId="53D60DF6">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（1） 分值汇总计算错误的；</w:t>
      </w:r>
    </w:p>
    <w:p w14:paraId="73732F88">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（2） 分项评分超出评分标准范围的；</w:t>
      </w:r>
    </w:p>
    <w:p w14:paraId="7FC7B6E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（3） 评标委员会成员对客观评审因素评分不一致的；</w:t>
      </w:r>
    </w:p>
    <w:p w14:paraId="35EAE67F">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 经评标委员会认定评分畸高、畸低的。</w:t>
      </w:r>
    </w:p>
    <w:p w14:paraId="3E53A539">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4.3. 评标报告签署前，经复核发现存在以上情形之一的，评标委员会应当当场修改评审结果，并进行书面记载；评标报告签署后，采购人发现存在以上情形之一的，应当组织原评标委员会进行重新评审，重新评审改变评审结果的，书面报告采购人的采购主管部门。</w:t>
      </w:r>
    </w:p>
    <w:p w14:paraId="43BAA2D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4.4. 投标人对本条第一款情形提出质疑的，采购人可以组织原评标委员会进行重新评审，重新评审改变评审结果的，应当书面报告采购人的采购主管部门。</w:t>
      </w:r>
    </w:p>
    <w:p w14:paraId="70185EF8">
      <w:pPr>
        <w:pStyle w:val="28"/>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34B0A01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评标委员会按征集文件中规定的评标方法和标准，对资格性检查和符合性检查合格且报价不超过预算控制金额的投标文件进行商务和技术评审，综合比较与评价。</w:t>
      </w:r>
    </w:p>
    <w:p w14:paraId="33596E13">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5.2. 评标委员会成员对需要共同认定的事项存在争议的，应当按照少数服从多数的原则作出结论。持不同意见的评标委员会成员应当书面作出说明，否则视为无异议。</w:t>
      </w:r>
    </w:p>
    <w:p w14:paraId="32247012">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5.3. 在评标过程中，评标委员会有权决定是否对本项目投标人进行实地考察或资料查验（原件）。投标人应随时做好接受实地考察或资料查验的准备。</w:t>
      </w:r>
    </w:p>
    <w:p w14:paraId="09B2143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5.4. 按照评标报告中推荐的中标候选人确定中标人，确认后将在刊登本项目征集公告的法定媒体上发布中标公告。</w:t>
      </w:r>
    </w:p>
    <w:p w14:paraId="20858C48">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5.5. 中标人拒绝与采购人签订合同的，可以重新开展政府采购活动。</w:t>
      </w:r>
    </w:p>
    <w:p w14:paraId="3949C5CA">
      <w:pPr>
        <w:pStyle w:val="34"/>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0EEA8B4">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76BF247">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45D516EA">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09F72BB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16ACA07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421D9A7B">
      <w:pPr>
        <w:pStyle w:val="34"/>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2FAB76F9">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B978D1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征集</w:t>
      </w:r>
      <w:r>
        <w:rPr>
          <w:rFonts w:hint="eastAsia" w:ascii="宋体" w:hAnsi="宋体"/>
          <w:szCs w:val="21"/>
        </w:rPr>
        <w:t>文件要求签署、盖章的；</w:t>
      </w:r>
    </w:p>
    <w:p w14:paraId="4BAD3AB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征集</w:t>
      </w:r>
      <w:r>
        <w:rPr>
          <w:rFonts w:hint="eastAsia" w:ascii="宋体" w:hAnsi="宋体"/>
          <w:szCs w:val="21"/>
        </w:rPr>
        <w:t>文件中规定的资格要求的；</w:t>
      </w:r>
    </w:p>
    <w:p w14:paraId="72EC76C4">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征集</w:t>
      </w:r>
      <w:r>
        <w:rPr>
          <w:rFonts w:hint="eastAsia" w:ascii="宋体" w:hAnsi="宋体"/>
          <w:szCs w:val="21"/>
        </w:rPr>
        <w:t>文件中规定的预算金额或者最高限价的；</w:t>
      </w:r>
    </w:p>
    <w:p w14:paraId="62626DC9">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4"/>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征集</w:t>
      </w:r>
      <w:r>
        <w:rPr>
          <w:rFonts w:hint="eastAsia" w:ascii="宋体" w:hAnsi="宋体"/>
          <w:szCs w:val="21"/>
        </w:rPr>
        <w:t>文件规定的其他无效情形。</w:t>
      </w:r>
    </w:p>
    <w:p w14:paraId="10C28F40">
      <w:pPr>
        <w:pStyle w:val="34"/>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w:t>
      </w:r>
      <w:r>
        <w:rPr>
          <w:rFonts w:hint="eastAsia" w:ascii="宋体" w:hAnsi="宋体"/>
          <w:szCs w:val="21"/>
          <w:lang w:eastAsia="zh-CN"/>
        </w:rPr>
        <w:t>征集</w:t>
      </w:r>
      <w:r>
        <w:rPr>
          <w:rFonts w:ascii="宋体" w:hAnsi="宋体"/>
          <w:szCs w:val="21"/>
        </w:rPr>
        <w:t>采购中，出现下列情形之一的，应予废标</w:t>
      </w:r>
      <w:r>
        <w:rPr>
          <w:rFonts w:hint="eastAsia" w:ascii="宋体" w:hAnsi="宋体"/>
          <w:szCs w:val="21"/>
          <w:lang w:eastAsia="zh-CN"/>
        </w:rPr>
        <w:t>：</w:t>
      </w:r>
    </w:p>
    <w:p w14:paraId="7667ED9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征集</w:t>
      </w:r>
      <w:r>
        <w:rPr>
          <w:rFonts w:ascii="宋体" w:hAnsi="宋体"/>
          <w:szCs w:val="21"/>
        </w:rPr>
        <w:t>文件作实质响应的供应商不足</w:t>
      </w:r>
      <w:r>
        <w:rPr>
          <w:rFonts w:hint="eastAsia" w:ascii="宋体" w:hAnsi="宋体"/>
          <w:szCs w:val="21"/>
          <w:lang w:val="en-US" w:eastAsia="zh-CN"/>
        </w:rPr>
        <w:t>两</w:t>
      </w:r>
      <w:r>
        <w:rPr>
          <w:rFonts w:ascii="宋体" w:hAnsi="宋体"/>
          <w:szCs w:val="21"/>
        </w:rPr>
        <w:t>家的；</w:t>
      </w:r>
    </w:p>
    <w:p w14:paraId="7C0BA65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55C2363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4B57E99D">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462F3870">
      <w:pPr>
        <w:pStyle w:val="34"/>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7C7305C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bookmarkStart w:id="17" w:name="_Toc435514852"/>
      <w:bookmarkStart w:id="18" w:name="_Toc14800"/>
      <w:bookmarkStart w:id="19" w:name="_Toc1246"/>
      <w:bookmarkStart w:id="20" w:name="_Toc435515292"/>
      <w:bookmarkStart w:id="21" w:name="_Toc8080"/>
      <w:r>
        <w:rPr>
          <w:rFonts w:hint="eastAsia" w:ascii="宋体" w:hAnsi="宋体" w:eastAsiaTheme="minorEastAsia" w:cstheme="minorBidi"/>
          <w:color w:val="auto"/>
          <w:kern w:val="2"/>
          <w:sz w:val="21"/>
          <w:szCs w:val="21"/>
          <w:lang w:val="en-US" w:eastAsia="zh-CN" w:bidi="ar-SA"/>
        </w:rPr>
        <w:t>7.1. 本项目公开征集过程中若出现投标截止后实际递交投标文件的供应商数量不足、经评审委员会评审对征集文件作实质响应的供应商不足等情况，公开征集有效供应商不足两家的（有效供应商不少于两家的，可按照征集文件评审规则继续评审），项目根据以下情况开展：</w:t>
      </w:r>
    </w:p>
    <w:p w14:paraId="4A8A077F">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 公开征集失败的处理：</w:t>
      </w:r>
    </w:p>
    <w:p w14:paraId="658402E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7.1.1.1. 采购人可结合实际需要，重新实施公开征集，或依据有效投标供应商数量转为单一来源采购（仅1家有效供应商）。</w:t>
      </w:r>
    </w:p>
    <w:p w14:paraId="3DA210A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7.1.1.2. 对公开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失败的项目，评标委员会在出具该项目</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失败结论的同时，可以提出重新采购组织形式的建议，以及进一步完善</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文件的资格、技术、商务要求的修改建议。</w:t>
      </w:r>
    </w:p>
    <w:p w14:paraId="59FCE80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7.1.2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失败的采购项目重新组织公开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的，需要重新按公开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流程发布</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公告和</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文件、组成评标委员会等组织采购活动。</w:t>
      </w:r>
    </w:p>
    <w:p w14:paraId="2E0C4D38">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w:t>
      </w:r>
    </w:p>
    <w:p w14:paraId="607F018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失败项目转为单一来源谈判方式采购后，评标委员会转为谈判小组，谈判小组成员由有关专家共3人以上（含3人）的单数组成；专家可重新抽取也可继续采用评标委员会内专家。</w:t>
      </w:r>
    </w:p>
    <w:p w14:paraId="4FC4C941">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.2. 谈判前，谈判小组将对单一来源供应商的谈判应答文件进行审查，当谈判应答文件出现下列情况之一的将视为无效，按废标处理，不得进入谈判，具体内容见原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文件中投标文件初审表的《资格性检查表》部分以及谈判邀请中相应的变动部分。</w:t>
      </w:r>
    </w:p>
    <w:p w14:paraId="79E26EE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.3. 参加谈判的供应商和谈判小组成员填写谈判登记表，并交验证明文件（法定代表人证明书、法人授权委托书、被授权的谈判代表身份证原件）。</w:t>
      </w:r>
    </w:p>
    <w:p w14:paraId="268E945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.4. 在谈判中，谈判小组将就以下谈判内容跟供应商进行谈判：</w:t>
      </w:r>
    </w:p>
    <w:p w14:paraId="184744A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（1）项目方案；（2）报价；（3）其它相关事项。</w:t>
      </w:r>
    </w:p>
    <w:p w14:paraId="3C18AE3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文件或谈判邀请文件有实质性变动的，谈判小组应当通知供应商。</w:t>
      </w:r>
    </w:p>
    <w:p w14:paraId="1F14676C">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.5. 谈判小组可以用书面形式要求供应商对其谈判应答文件含义不明确的内容作必要的澄清或者说明，重要问题供应商应以书面形式进行澄清、说明。</w:t>
      </w:r>
    </w:p>
    <w:p w14:paraId="3D25FB60">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.6. 允许供应商在谈判结束之前根据谈判小组提出的内容进行澄清、修改或完善，或对项目方案进行相应的调整。</w:t>
      </w:r>
    </w:p>
    <w:p w14:paraId="09064B8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.7. 供应商对谈判应答文件进行修改，都应形成文字材料，并经供应商谈判授权人签字认可。</w:t>
      </w:r>
    </w:p>
    <w:p w14:paraId="587108D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.8. 谈判小组与单一来源供应商进行谈判。供应商有两次更改机会；供应商应在规定的时间内提出最后更改及书面承诺。</w:t>
      </w:r>
    </w:p>
    <w:p w14:paraId="68A2DE8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.9. 有下列情形之一的，供应商的谈判结果作废标处理，具体内容见原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文件中投标文件初审表的《符合性检查表》部分以及谈判邀请中相应的变动部分。</w:t>
      </w:r>
    </w:p>
    <w:p w14:paraId="5FCC98A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.10. 谈判结束后，谈判小组根据供应商提供的谈判应答文件、谈判过程中产生的相关资料，对供应商谈判应答文件进行评估与比较，提出书面评审意见。</w:t>
      </w:r>
    </w:p>
    <w:p w14:paraId="000A168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.11. 谈判小组将对谈判过程进行记录，以存档备查。</w:t>
      </w:r>
    </w:p>
    <w:p w14:paraId="32D66409">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.12. 单一来源谈判采用最低价法。原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文件若采用最低价法以外的评标方法，转为单一来源后，评标方法改为最低价法。谈判小组对谈判应答文件进行评审和比较，对供应商最终的方案、服务和投资等谈判结果按最低价法进行评审。</w:t>
      </w:r>
    </w:p>
    <w:p w14:paraId="09AD85D9">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3</w:t>
      </w:r>
      <w:r>
        <w:rPr>
          <w:rFonts w:hint="eastAsia" w:ascii="宋体" w:hAnsi="宋体" w:eastAsiaTheme="minorEastAsia" w:cstheme="minorBidi"/>
          <w:color w:val="auto"/>
          <w:kern w:val="2"/>
          <w:sz w:val="21"/>
          <w:szCs w:val="21"/>
          <w:lang w:val="en-US" w:eastAsia="zh-CN" w:bidi="ar-SA"/>
        </w:rPr>
        <w:t>. 该项目中标供应商数量</w:t>
      </w:r>
      <w:r>
        <w:rPr>
          <w:rFonts w:hint="eastAsia" w:ascii="宋体" w:hAnsi="宋体" w:cstheme="minorBidi"/>
          <w:color w:val="auto"/>
          <w:kern w:val="2"/>
          <w:sz w:val="21"/>
          <w:szCs w:val="21"/>
          <w:lang w:val="en-US" w:eastAsia="zh-CN" w:bidi="ar-SA"/>
        </w:rPr>
        <w:t>和</w:t>
      </w:r>
      <w:r>
        <w:rPr>
          <w:rFonts w:hint="eastAsia" w:ascii="宋体" w:hAnsi="宋体" w:eastAsiaTheme="minorEastAsia" w:cstheme="minorBidi"/>
          <w:color w:val="auto"/>
          <w:kern w:val="2"/>
          <w:sz w:val="21"/>
          <w:szCs w:val="21"/>
          <w:lang w:val="en-US" w:eastAsia="zh-CN" w:bidi="ar-SA"/>
        </w:rPr>
        <w:t>候选中标供应商</w:t>
      </w:r>
      <w:r>
        <w:rPr>
          <w:rFonts w:hint="eastAsia" w:ascii="宋体" w:hAnsi="宋体" w:cstheme="minorBidi"/>
          <w:color w:val="auto"/>
          <w:kern w:val="2"/>
          <w:sz w:val="21"/>
          <w:szCs w:val="21"/>
          <w:lang w:val="en-US" w:eastAsia="zh-CN" w:bidi="ar-SA"/>
        </w:rPr>
        <w:t>数量各</w:t>
      </w:r>
      <w:r>
        <w:rPr>
          <w:rFonts w:hint="eastAsia" w:ascii="宋体" w:hAnsi="宋体" w:eastAsiaTheme="minorEastAsia" w:cstheme="minorBidi"/>
          <w:color w:val="auto"/>
          <w:kern w:val="2"/>
          <w:sz w:val="21"/>
          <w:szCs w:val="21"/>
          <w:lang w:val="en-US" w:eastAsia="zh-CN" w:bidi="ar-SA"/>
        </w:rPr>
        <w:t>为一家。</w:t>
      </w:r>
    </w:p>
    <w:p w14:paraId="08F6603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4</w:t>
      </w:r>
      <w:r>
        <w:rPr>
          <w:rFonts w:hint="eastAsia" w:ascii="宋体" w:hAnsi="宋体" w:eastAsiaTheme="minorEastAsia" w:cstheme="minorBidi"/>
          <w:color w:val="auto"/>
          <w:kern w:val="2"/>
          <w:sz w:val="21"/>
          <w:szCs w:val="21"/>
          <w:lang w:val="en-US" w:eastAsia="zh-CN" w:bidi="ar-SA"/>
        </w:rPr>
        <w:t>. 评标委员会推荐排名第一的投标人为中标供应商，排名第二的投标人为候选中标供应商。中标供应商放弃中标资格的或中标资格被依法确认无效的，因情况紧急，重新组织采购不能满足采购人要求时，可依法从其他候选中标供应商中确定替补中标供应商。</w:t>
      </w:r>
    </w:p>
    <w:p w14:paraId="54B4AF3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5</w:t>
      </w:r>
      <w:r>
        <w:rPr>
          <w:rFonts w:hint="eastAsia" w:ascii="宋体" w:hAnsi="宋体" w:eastAsiaTheme="minorEastAsia" w:cstheme="minorBidi"/>
          <w:color w:val="auto"/>
          <w:kern w:val="2"/>
          <w:sz w:val="21"/>
          <w:szCs w:val="21"/>
          <w:lang w:val="en-US" w:eastAsia="zh-CN" w:bidi="ar-SA"/>
        </w:rPr>
        <w:t>. 本项目不安排现场踏勘</w:t>
      </w:r>
      <w:r>
        <w:rPr>
          <w:rFonts w:hint="eastAsia" w:ascii="宋体" w:hAnsi="宋体" w:cstheme="minorBidi"/>
          <w:color w:val="auto"/>
          <w:kern w:val="2"/>
          <w:sz w:val="21"/>
          <w:szCs w:val="21"/>
          <w:lang w:val="en-US" w:eastAsia="zh-CN" w:bidi="ar-SA"/>
        </w:rPr>
        <w:t>、</w:t>
      </w:r>
      <w:r>
        <w:rPr>
          <w:rFonts w:hint="eastAsia" w:ascii="宋体" w:hAnsi="宋体" w:eastAsiaTheme="minorEastAsia" w:cstheme="minorBidi"/>
          <w:color w:val="auto"/>
          <w:kern w:val="2"/>
          <w:sz w:val="21"/>
          <w:szCs w:val="21"/>
          <w:lang w:val="en-US" w:eastAsia="zh-CN" w:bidi="ar-SA"/>
        </w:rPr>
        <w:t>不安排现场演示。</w:t>
      </w:r>
    </w:p>
    <w:p w14:paraId="26CC7918">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6</w:t>
      </w:r>
      <w:r>
        <w:rPr>
          <w:rFonts w:hint="eastAsia" w:ascii="宋体" w:hAnsi="宋体" w:eastAsiaTheme="minorEastAsia" w:cstheme="minorBidi"/>
          <w:color w:val="auto"/>
          <w:kern w:val="2"/>
          <w:sz w:val="21"/>
          <w:szCs w:val="21"/>
          <w:lang w:val="en-US" w:eastAsia="zh-CN" w:bidi="ar-SA"/>
        </w:rPr>
        <w:t>. 本项目资金来源为自筹资金。</w:t>
      </w:r>
    </w:p>
    <w:p w14:paraId="1146D06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7</w:t>
      </w:r>
      <w:r>
        <w:rPr>
          <w:rFonts w:hint="eastAsia" w:ascii="宋体" w:hAnsi="宋体" w:eastAsiaTheme="minorEastAsia" w:cstheme="minorBidi"/>
          <w:color w:val="auto"/>
          <w:kern w:val="2"/>
          <w:sz w:val="21"/>
          <w:szCs w:val="21"/>
          <w:lang w:val="en-US" w:eastAsia="zh-CN" w:bidi="ar-SA"/>
        </w:rPr>
        <w:t>. 本项目投标有效期从提交投标文件的截止之日起120日历日内有效。</w:t>
      </w:r>
    </w:p>
    <w:p w14:paraId="3CAB0B6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8</w:t>
      </w:r>
      <w:r>
        <w:rPr>
          <w:rFonts w:hint="eastAsia" w:ascii="宋体" w:hAnsi="宋体" w:eastAsiaTheme="minorEastAsia" w:cstheme="minorBidi"/>
          <w:color w:val="auto"/>
          <w:kern w:val="2"/>
          <w:sz w:val="21"/>
          <w:szCs w:val="21"/>
          <w:lang w:val="en-US" w:eastAsia="zh-CN" w:bidi="ar-SA"/>
        </w:rPr>
        <w:t>. 本项目不允许提交备选方案或替代方案。</w:t>
      </w:r>
    </w:p>
    <w:p w14:paraId="4C5400BE">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9</w:t>
      </w:r>
      <w:r>
        <w:rPr>
          <w:rFonts w:hint="eastAsia" w:ascii="宋体" w:hAnsi="宋体" w:eastAsiaTheme="minorEastAsia" w:cstheme="minorBidi"/>
          <w:color w:val="auto"/>
          <w:kern w:val="2"/>
          <w:sz w:val="21"/>
          <w:szCs w:val="21"/>
          <w:lang w:val="en-US" w:eastAsia="zh-CN" w:bidi="ar-SA"/>
        </w:rPr>
        <w:t>.</w:t>
      </w:r>
      <w:r>
        <w:rPr>
          <w:rFonts w:hint="eastAsia" w:ascii="宋体" w:hAnsi="宋体" w:cstheme="minorBidi"/>
          <w:color w:val="auto"/>
          <w:kern w:val="2"/>
          <w:sz w:val="21"/>
          <w:szCs w:val="21"/>
          <w:lang w:val="en-US" w:eastAsia="zh-CN" w:bidi="ar-SA"/>
        </w:rPr>
        <w:t xml:space="preserve"> 本</w:t>
      </w:r>
      <w:r>
        <w:rPr>
          <w:rFonts w:hint="eastAsia" w:ascii="宋体" w:hAnsi="宋体" w:eastAsiaTheme="minorEastAsia" w:cstheme="minorBidi"/>
          <w:color w:val="auto"/>
          <w:kern w:val="2"/>
          <w:sz w:val="21"/>
          <w:szCs w:val="21"/>
          <w:lang w:val="en-US" w:eastAsia="zh-CN" w:bidi="ar-SA"/>
        </w:rPr>
        <w:t>项目评标方法</w:t>
      </w:r>
      <w:r>
        <w:rPr>
          <w:rFonts w:hint="eastAsia" w:ascii="宋体" w:hAnsi="宋体" w:cstheme="minorBidi"/>
          <w:color w:val="auto"/>
          <w:kern w:val="2"/>
          <w:sz w:val="21"/>
          <w:szCs w:val="21"/>
          <w:lang w:val="en-US" w:eastAsia="zh-CN" w:bidi="ar-SA"/>
        </w:rPr>
        <w:t>为综合评分法。</w:t>
      </w:r>
    </w:p>
    <w:p w14:paraId="0C9F6675">
      <w:pPr>
        <w:pStyle w:val="34"/>
        <w:widowControl/>
        <w:numPr>
          <w:ilvl w:val="0"/>
          <w:numId w:val="0"/>
        </w:numPr>
        <w:spacing w:line="360" w:lineRule="auto"/>
        <w:ind w:leftChars="0"/>
        <w:jc w:val="left"/>
        <w:outlineLvl w:val="1"/>
        <w:rPr>
          <w:rFonts w:hint="eastAsia" w:ascii="宋体" w:hAnsi="宋体"/>
          <w:b/>
          <w:bCs/>
          <w:szCs w:val="21"/>
          <w:lang w:val="en-US" w:eastAsia="zh-CN"/>
        </w:rPr>
      </w:pPr>
      <w:r>
        <w:rPr>
          <w:rFonts w:hint="eastAsia" w:ascii="宋体" w:hAnsi="宋体"/>
          <w:b/>
          <w:bCs/>
          <w:szCs w:val="21"/>
          <w:lang w:val="en-US" w:eastAsia="zh-CN"/>
        </w:rPr>
        <w:t>8.  关于异常低价投标(响应)程序</w:t>
      </w:r>
    </w:p>
    <w:p w14:paraId="2C6264F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8.1根据《关于推动解决政府采购异常低价问题的通知》（财库〔2026〕2号）的相关规定：</w:t>
      </w:r>
    </w:p>
    <w:p w14:paraId="7731A654">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8.2本项目评审中出现下列情形之一的，评审委员会应当启动异常低价投标(响应)审查程序：</w:t>
      </w:r>
    </w:p>
    <w:p w14:paraId="26A36E8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①投标(响应)报价低于全部通过符合性审查供应商投标(响应)报价平均值50%的，即投标(响应)报价&lt;全部通过符合性审查供应商投标(响应)报价平均值×50%;</w:t>
      </w:r>
    </w:p>
    <w:p w14:paraId="5C4B5AF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②投标(响应)报价低于通过符合性审查的次低报价供应商投标(响应)报价50%的，即投标(响应)报价&lt;通过符合性审查的次低报价供应商投标(响应)报价×50%;</w:t>
      </w:r>
    </w:p>
    <w:p w14:paraId="7B03FBA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③投标(响应)报价低于采购项目最高限价45%的，即投标(响应)报价&lt;采购项目最高限价×45%;</w:t>
      </w:r>
    </w:p>
    <w:p w14:paraId="0A2DE8F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④评审委员会基于专业判断，认为供应商报价过低，有可能影响产品质量或者不能诚信履约的其他情形。</w:t>
      </w:r>
    </w:p>
    <w:p w14:paraId="6ECF0761">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相关法律法规对供应商报价有规定的，从其规定。</w:t>
      </w:r>
    </w:p>
    <w:p w14:paraId="24487F7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8.3评审委员会启动异常低价投标(响应)审查后，属于前述第1项至第4项情形的，要求相关供应商在评审现场合理的时间内对投标(响应)价格作出解释，要求相关供应商在接到通知后30分钟内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7A6321C">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D7E4D19">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959A1A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BC2689A">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2D93F6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F49FED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70B649B">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87BE903">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1B56CBFB">
      <w:pPr>
        <w:pStyle w:val="4"/>
        <w:numPr>
          <w:ilvl w:val="0"/>
          <w:numId w:val="0"/>
        </w:numPr>
        <w:spacing w:line="240" w:lineRule="auto"/>
        <w:ind w:leftChars="0"/>
        <w:jc w:val="center"/>
        <w:outlineLvl w:val="0"/>
        <w:rPr>
          <w:rFonts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 xml:space="preserve">第五章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7"/>
      <w:bookmarkEnd w:id="18"/>
      <w:bookmarkEnd w:id="19"/>
      <w:bookmarkEnd w:id="20"/>
      <w:bookmarkEnd w:id="21"/>
    </w:p>
    <w:tbl>
      <w:tblPr>
        <w:tblStyle w:val="1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0168BCD2">
            <w:pPr>
              <w:pStyle w:val="2"/>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5DD66652">
            <w:pPr>
              <w:pStyle w:val="2"/>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4F96A7D5">
            <w:pPr>
              <w:pStyle w:val="2"/>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24E0C28B">
            <w:pPr>
              <w:pStyle w:val="2"/>
              <w:keepNext w:val="0"/>
              <w:keepLines w:val="0"/>
              <w:suppressLineNumbers w:val="0"/>
              <w:spacing w:before="0" w:beforeAutospacing="0" w:afterAutospacing="0" w:line="360" w:lineRule="auto"/>
              <w:ind w:left="0" w:right="0"/>
              <w:jc w:val="center"/>
              <w:rPr>
                <w:rFonts w:hint="default" w:ascii="黑体" w:eastAsia="黑体"/>
                <w:b/>
                <w:sz w:val="72"/>
                <w:szCs w:val="72"/>
              </w:rPr>
            </w:pPr>
            <w:r>
              <w:rPr>
                <w:rFonts w:hint="eastAsia" w:ascii="黑体" w:eastAsia="黑体"/>
                <w:b/>
                <w:sz w:val="72"/>
                <w:szCs w:val="72"/>
              </w:rPr>
              <w:t>投 标 文 件</w:t>
            </w:r>
          </w:p>
          <w:p w14:paraId="056E2451">
            <w:pPr>
              <w:pStyle w:val="2"/>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2"/>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2"/>
              <w:keepNext w:val="0"/>
              <w:keepLines w:val="0"/>
              <w:suppressLineNumbers w:val="0"/>
              <w:spacing w:before="0" w:beforeAutospacing="0" w:afterAutospacing="0" w:line="360" w:lineRule="auto"/>
              <w:ind w:left="0" w:right="0"/>
              <w:rPr>
                <w:rFonts w:hint="default" w:ascii="仿宋_GB2312" w:eastAsia="仿宋_GB2312"/>
                <w:b/>
                <w:sz w:val="32"/>
              </w:rPr>
            </w:pPr>
          </w:p>
          <w:p w14:paraId="408DEE70">
            <w:pPr>
              <w:pStyle w:val="2"/>
              <w:keepNext w:val="0"/>
              <w:keepLines w:val="0"/>
              <w:suppressLineNumbers w:val="0"/>
              <w:spacing w:before="0" w:beforeAutospacing="0" w:afterAutospacing="0" w:line="360" w:lineRule="auto"/>
              <w:ind w:left="0" w:right="0"/>
              <w:rPr>
                <w:rFonts w:hint="default" w:ascii="仿宋_GB2312" w:eastAsia="仿宋_GB2312"/>
                <w:b/>
                <w:sz w:val="32"/>
              </w:rPr>
            </w:pPr>
          </w:p>
          <w:p w14:paraId="1F535991">
            <w:pPr>
              <w:pStyle w:val="2"/>
              <w:keepNext w:val="0"/>
              <w:keepLines w:val="0"/>
              <w:suppressLineNumbers w:val="0"/>
              <w:spacing w:before="0" w:beforeAutospacing="0" w:afterAutospacing="0" w:line="360" w:lineRule="auto"/>
              <w:ind w:left="0" w:right="0"/>
              <w:rPr>
                <w:rFonts w:hint="default" w:ascii="仿宋_GB2312" w:eastAsia="仿宋_GB2312"/>
                <w:b/>
                <w:sz w:val="32"/>
              </w:rPr>
            </w:pPr>
          </w:p>
          <w:p w14:paraId="18F76FDC">
            <w:pPr>
              <w:pStyle w:val="2"/>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2"/>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2"/>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投标人名称：</w:t>
            </w:r>
          </w:p>
          <w:p w14:paraId="3E773E6D">
            <w:pPr>
              <w:pStyle w:val="2"/>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投标人地址：</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eastAsia" w:ascii="仿宋_GB2312" w:eastAsia="仿宋_GB2312"/>
                <w:b/>
                <w:sz w:val="28"/>
                <w:szCs w:val="28"/>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default" w:ascii="仿宋_GB2312" w:eastAsia="仿宋_GB2312"/>
                <w:b/>
                <w:sz w:val="32"/>
              </w:rPr>
            </w:pPr>
            <w:r>
              <w:rPr>
                <w:rFonts w:hint="eastAsia" w:ascii="仿宋_GB2312" w:eastAsia="仿宋_GB2312"/>
                <w:b/>
                <w:sz w:val="28"/>
                <w:szCs w:val="28"/>
              </w:rPr>
              <w:t>开标之前不得启封</w:t>
            </w:r>
          </w:p>
        </w:tc>
      </w:tr>
    </w:tbl>
    <w:p w14:paraId="24A46D78">
      <w:bookmarkStart w:id="22" w:name="_Toc435515305"/>
      <w:bookmarkStart w:id="23" w:name="_Toc435514865"/>
      <w:r>
        <w:rPr>
          <w:rFonts w:hint="eastAsia"/>
        </w:rPr>
        <w:br w:type="page"/>
      </w:r>
    </w:p>
    <w:p w14:paraId="5B3C692F">
      <w:pPr>
        <w:pStyle w:val="4"/>
        <w:numPr>
          <w:ilvl w:val="0"/>
          <w:numId w:val="0"/>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24" w:name="_Toc28307"/>
      <w:bookmarkStart w:id="25" w:name="_Toc29334"/>
      <w:r>
        <w:rPr>
          <w:rFonts w:hint="eastAsia" w:cs="宋体" w:asciiTheme="majorEastAsia" w:hAnsiTheme="majorEastAsia" w:eastAsiaTheme="majorEastAsia"/>
          <w:kern w:val="2"/>
          <w:sz w:val="30"/>
          <w:szCs w:val="30"/>
          <w:lang w:val="en-US" w:eastAsia="zh-CN" w:bidi="ar-SA"/>
        </w:rPr>
        <w:t>（一）资格性自查表</w:t>
      </w:r>
    </w:p>
    <w:tbl>
      <w:tblPr>
        <w:tblStyle w:val="16"/>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0CA5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7" w:type="dxa"/>
            <w:vAlign w:val="center"/>
          </w:tcPr>
          <w:p w14:paraId="17AFD81E">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291C9C2C">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4" w:type="dxa"/>
            <w:vAlign w:val="center"/>
          </w:tcPr>
          <w:p w14:paraId="105F2E11">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58327D04">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5DE9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08A38E4A">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2D4DF4ED">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45BD21F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5A22CED">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12EF8529">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331E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02091EDD">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368850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1FE8465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60377F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701AE31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0"/>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（二）符合性自查表</w:t>
      </w:r>
    </w:p>
    <w:tbl>
      <w:tblPr>
        <w:tblStyle w:val="16"/>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shd w:val="clear" w:color="auto" w:fill="auto"/>
            <w:vAlign w:val="center"/>
          </w:tcPr>
          <w:p w14:paraId="7586257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390EEA3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C68E1E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219854E">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4400EC7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114970">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381DCB4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50A9D488">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F0744C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29DC0A8">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文件要求报价的</w:t>
            </w:r>
          </w:p>
        </w:tc>
        <w:tc>
          <w:tcPr>
            <w:tcW w:w="1240" w:type="dxa"/>
            <w:vAlign w:val="center"/>
          </w:tcPr>
          <w:p w14:paraId="0553C5C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C52F57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62B4EED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2498A84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758BE9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shd w:val="clear" w:color="auto" w:fill="auto"/>
            <w:vAlign w:val="center"/>
          </w:tcPr>
          <w:p w14:paraId="097844E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c>
          <w:tcPr>
            <w:tcW w:w="1240" w:type="dxa"/>
            <w:vAlign w:val="center"/>
          </w:tcPr>
          <w:p w14:paraId="3D8825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D6D3FF">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E8BCCF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w:t>
            </w:r>
          </w:p>
        </w:tc>
        <w:tc>
          <w:tcPr>
            <w:tcW w:w="1240" w:type="dxa"/>
            <w:vAlign w:val="center"/>
          </w:tcPr>
          <w:p w14:paraId="7D85E5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3C914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67D4A6A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c>
          <w:tcPr>
            <w:tcW w:w="1240" w:type="dxa"/>
            <w:vAlign w:val="center"/>
          </w:tcPr>
          <w:p w14:paraId="3F7BD4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7869250">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E86990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c>
          <w:tcPr>
            <w:tcW w:w="1240" w:type="dxa"/>
            <w:vAlign w:val="center"/>
          </w:tcPr>
          <w:p w14:paraId="752AFE5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D1543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4BF9E474">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未按</w:t>
            </w:r>
            <w:r>
              <w:rPr>
                <w:rFonts w:hint="eastAsia" w:ascii="宋体" w:hAnsi="宋体" w:eastAsia="宋体" w:cs="宋体"/>
                <w:sz w:val="21"/>
                <w:szCs w:val="21"/>
                <w:lang w:val="en-US" w:eastAsia="zh-CN"/>
              </w:rPr>
              <w:t>征集</w:t>
            </w:r>
            <w:r>
              <w:rPr>
                <w:rFonts w:hint="eastAsia" w:ascii="宋体" w:hAnsi="宋体" w:eastAsia="宋体" w:cs="宋体"/>
                <w:sz w:val="21"/>
                <w:szCs w:val="21"/>
              </w:rPr>
              <w:t>文件附件所提供的样式和要求完整填写“投标函及履约承诺函”，或投标文件组成部分不符合</w:t>
            </w:r>
            <w:r>
              <w:rPr>
                <w:rFonts w:hint="eastAsia" w:ascii="宋体" w:hAnsi="宋体" w:eastAsia="宋体" w:cs="宋体"/>
                <w:sz w:val="21"/>
                <w:szCs w:val="21"/>
                <w:lang w:val="en-US" w:eastAsia="zh-CN"/>
              </w:rPr>
              <w:t>征集文件</w:t>
            </w:r>
            <w:r>
              <w:rPr>
                <w:rFonts w:hint="eastAsia" w:ascii="宋体" w:hAnsi="宋体" w:eastAsia="宋体" w:cs="宋体"/>
                <w:sz w:val="21"/>
                <w:szCs w:val="21"/>
              </w:rPr>
              <w:t>规定的</w:t>
            </w:r>
          </w:p>
        </w:tc>
        <w:tc>
          <w:tcPr>
            <w:tcW w:w="1240" w:type="dxa"/>
            <w:vAlign w:val="center"/>
          </w:tcPr>
          <w:p w14:paraId="4CF02F8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D9622F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451AC4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c>
          <w:tcPr>
            <w:tcW w:w="1240" w:type="dxa"/>
            <w:vAlign w:val="center"/>
          </w:tcPr>
          <w:p w14:paraId="1948CEF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A5A6CA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44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3A3DF5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12</w:t>
            </w:r>
          </w:p>
        </w:tc>
        <w:tc>
          <w:tcPr>
            <w:tcW w:w="6519" w:type="dxa"/>
            <w:shd w:val="clear" w:color="auto" w:fill="auto"/>
            <w:vAlign w:val="center"/>
          </w:tcPr>
          <w:p w14:paraId="32F4929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5A60639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4DC7A5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D85D9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（三）警示情形自查确认表</w:t>
      </w: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以下拉列表显示“单位”和“个人”，其中，“单位”需填写单位全称、统一社会信用代码、联系人及电话，“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4"/>
        <w:numPr>
          <w:ilvl w:val="0"/>
          <w:numId w:val="8"/>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w:t>
      </w:r>
      <w:r>
        <w:rPr>
          <w:rFonts w:hint="eastAsia" w:ascii="宋体" w:hAnsi="宋体"/>
          <w:szCs w:val="21"/>
          <w:lang w:eastAsia="zh-CN"/>
        </w:rPr>
        <w:t>征集</w:t>
      </w:r>
      <w:r>
        <w:rPr>
          <w:rFonts w:hint="eastAsia" w:ascii="宋体" w:hAnsi="宋体"/>
          <w:szCs w:val="21"/>
        </w:rPr>
        <w:t>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60D7A47">
      <w:pPr>
        <w:numPr>
          <w:ilvl w:val="0"/>
          <w:numId w:val="0"/>
        </w:numPr>
        <w:ind w:leftChars="0"/>
        <w:rPr>
          <w:rFonts w:hint="eastAsia"/>
          <w:lang w:val="en-US" w:eastAsia="zh-CN"/>
        </w:rPr>
      </w:pPr>
    </w:p>
    <w:p w14:paraId="1B2C3062">
      <w:pPr>
        <w:pStyle w:val="4"/>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3652D17">
      <w:pPr>
        <w:pStyle w:val="4"/>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163C87CC">
      <w:pPr>
        <w:pStyle w:val="4"/>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CA0D99">
      <w:pPr>
        <w:pStyle w:val="4"/>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24022B1">
      <w:pPr>
        <w:pStyle w:val="4"/>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C0E4DD3">
      <w:pPr>
        <w:pStyle w:val="4"/>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7186EDC">
      <w:pPr>
        <w:pStyle w:val="4"/>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48117D9">
      <w:pPr>
        <w:pStyle w:val="4"/>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D3A274">
      <w:pPr>
        <w:pStyle w:val="4"/>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F674D68">
      <w:pPr>
        <w:pStyle w:val="4"/>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41155B">
      <w:pPr>
        <w:pStyle w:val="4"/>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D7BB6C0">
      <w:pPr>
        <w:pStyle w:val="4"/>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6D7CBB0">
      <w:pPr>
        <w:pStyle w:val="4"/>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4C12BA8">
      <w:pPr>
        <w:pStyle w:val="4"/>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（五）</w:t>
      </w:r>
      <w:r>
        <w:rPr>
          <w:rFonts w:hint="eastAsia" w:asciiTheme="majorEastAsia" w:hAnsiTheme="majorEastAsia" w:eastAsiaTheme="majorEastAsia"/>
          <w:sz w:val="30"/>
          <w:szCs w:val="30"/>
          <w:lang w:val="en-US" w:eastAsia="zh-CN"/>
        </w:rPr>
        <w:t>营业执</w:t>
      </w:r>
      <w:r>
        <w:rPr>
          <w:rFonts w:hint="eastAsia" w:cs="宋体" w:asciiTheme="majorEastAsia" w:hAnsiTheme="majorEastAsia" w:eastAsiaTheme="majorEastAsia"/>
          <w:sz w:val="30"/>
          <w:szCs w:val="30"/>
        </w:rPr>
        <w:t>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授权书、注册证</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（六）诚信及信用信息证明</w:t>
      </w:r>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4"/>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6"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6"/>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45A0A5D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1B42BE4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93FE52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83A26E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5FD7B4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19B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2F47493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D911DD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C0051F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48729E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E035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D102E7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5A708A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50CDBC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39CE7BC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B62990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BC94FC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6B2E6F3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2A7418A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6AA7347A">
      <w:pPr>
        <w:bidi w:val="0"/>
        <w:rPr>
          <w:rFonts w:hint="eastAsia"/>
        </w:rPr>
      </w:pPr>
    </w:p>
    <w:p w14:paraId="66A8E52C">
      <w:pPr>
        <w:rPr>
          <w:rFonts w:hint="eastAsia" w:ascii="宋体" w:hAnsi="宋体" w:eastAsia="宋体" w:cs="宋体"/>
          <w:sz w:val="30"/>
          <w:szCs w:val="30"/>
        </w:rPr>
      </w:pPr>
      <w:r>
        <w:rPr>
          <w:rFonts w:hint="eastAsia" w:ascii="宋体" w:hAnsi="宋体" w:eastAsia="宋体" w:cs="宋体"/>
          <w:sz w:val="30"/>
          <w:szCs w:val="30"/>
        </w:rPr>
        <w:br w:type="page"/>
      </w:r>
    </w:p>
    <w:p w14:paraId="76C3BE37">
      <w:pPr>
        <w:pStyle w:val="4"/>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27" w:name="_Toc2074"/>
      <w:bookmarkStart w:id="28" w:name="_Toc30875"/>
      <w:r>
        <w:rPr>
          <w:rFonts w:hint="eastAsia" w:cs="宋体" w:asciiTheme="majorEastAsia" w:hAnsiTheme="majorEastAsia" w:eastAsiaTheme="majorEastAsia"/>
          <w:color w:val="auto"/>
          <w:kern w:val="2"/>
          <w:sz w:val="30"/>
          <w:szCs w:val="30"/>
          <w:lang w:val="en-US" w:eastAsia="zh-CN" w:bidi="ar-SA"/>
        </w:rPr>
        <w:t>（八）</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27"/>
      <w:bookmarkEnd w:id="28"/>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31"/>
        <w:spacing w:before="120" w:after="120" w:line="276" w:lineRule="auto"/>
        <w:ind w:left="0" w:leftChars="0" w:firstLine="0" w:firstLineChars="0"/>
        <w:rPr>
          <w:rFonts w:hint="eastAsia"/>
          <w:b/>
          <w:color w:val="auto"/>
          <w:sz w:val="24"/>
        </w:rPr>
      </w:pPr>
    </w:p>
    <w:p w14:paraId="4B1D9CBC">
      <w:pPr>
        <w:pStyle w:val="31"/>
        <w:spacing w:before="120" w:after="120" w:line="276" w:lineRule="auto"/>
        <w:ind w:firstLine="482"/>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征集</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29" w:name="_Hlk72259001"/>
      <w:r>
        <w:rPr>
          <w:rFonts w:hint="eastAsia"/>
          <w:b/>
          <w:bCs/>
          <w:color w:val="auto"/>
          <w:lang w:eastAsia="zh-CN"/>
        </w:rPr>
        <w:t>征集</w:t>
      </w:r>
      <w:r>
        <w:rPr>
          <w:rFonts w:hint="eastAsia"/>
          <w:b/>
          <w:bCs/>
          <w:color w:val="auto"/>
        </w:rPr>
        <w:t>文件</w:t>
      </w:r>
      <w:bookmarkEnd w:id="29"/>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征集</w:t>
      </w:r>
      <w:r>
        <w:rPr>
          <w:rFonts w:hint="eastAsia"/>
          <w:b/>
          <w:bCs/>
          <w:color w:val="auto"/>
        </w:rPr>
        <w:t>文件中明确的所属行业”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征集</w:t>
      </w:r>
      <w:r>
        <w:rPr>
          <w:rFonts w:hint="eastAsia"/>
          <w:b/>
          <w:bCs/>
          <w:color w:val="auto"/>
        </w:rPr>
        <w:t>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征集</w:t>
      </w:r>
      <w:r>
        <w:rPr>
          <w:rFonts w:hint="eastAsia" w:ascii="宋体" w:hAnsi="宋体" w:eastAsia="宋体" w:cs="宋体"/>
          <w:b/>
          <w:bCs/>
          <w:color w:val="auto"/>
          <w:sz w:val="21"/>
          <w:szCs w:val="21"/>
        </w:rPr>
        <w:t>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w:t>
      </w:r>
      <w:r>
        <w:rPr>
          <w:rFonts w:hint="eastAsia"/>
          <w:color w:val="auto"/>
          <w:lang w:eastAsia="zh-CN"/>
        </w:rPr>
        <w:t>评标委员会</w:t>
      </w:r>
      <w:r>
        <w:rPr>
          <w:rFonts w:hint="eastAsia"/>
          <w:color w:val="auto"/>
        </w:rPr>
        <w:t>判定，如</w:t>
      </w:r>
      <w:r>
        <w:rPr>
          <w:rFonts w:hint="eastAsia"/>
          <w:color w:val="auto"/>
          <w:lang w:eastAsia="zh-CN"/>
        </w:rPr>
        <w:t>评标委员会</w:t>
      </w:r>
      <w:r>
        <w:rPr>
          <w:rFonts w:hint="eastAsia"/>
          <w:color w:val="auto"/>
        </w:rPr>
        <w:t>判定声明函无效，相关供应商不享受价格扣除（但不作投标无效处理）。</w:t>
      </w:r>
    </w:p>
    <w:p w14:paraId="04C31D22">
      <w:pPr>
        <w:pStyle w:val="2"/>
        <w:rPr>
          <w:color w:val="auto"/>
        </w:rPr>
      </w:pPr>
    </w:p>
    <w:p w14:paraId="04F8DE87">
      <w:pPr>
        <w:spacing w:after="60"/>
        <w:jc w:val="center"/>
        <w:outlineLvl w:val="1"/>
        <w:rPr>
          <w:b/>
          <w:color w:val="auto"/>
        </w:rPr>
      </w:pPr>
      <w:r>
        <w:rPr>
          <w:rFonts w:hint="eastAsia"/>
          <w:b/>
          <w:color w:val="auto"/>
        </w:rPr>
        <w:t>1、中小企业声明函</w:t>
      </w:r>
    </w:p>
    <w:p w14:paraId="260C3881">
      <w:pPr>
        <w:pStyle w:val="2"/>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2"/>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2"/>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2"/>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2"/>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1"/>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1"/>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2"/>
        <w:outlineLvl w:val="9"/>
        <w:rPr>
          <w:color w:val="auto"/>
        </w:rPr>
      </w:pP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3BD169D5">
      <w:pPr>
        <w:rPr>
          <w:rFonts w:hint="eastAsia" w:ascii="宋体" w:hAnsi="宋体" w:eastAsia="宋体"/>
          <w:b/>
          <w:bCs/>
          <w:szCs w:val="21"/>
        </w:rPr>
      </w:pPr>
    </w:p>
    <w:p w14:paraId="0B227468">
      <w:pPr>
        <w:rPr>
          <w:rFonts w:ascii="宋体" w:hAnsi="宋体" w:eastAsia="宋体"/>
          <w:b/>
          <w:bCs/>
          <w:szCs w:val="21"/>
        </w:rPr>
      </w:pPr>
      <w:r>
        <w:rPr>
          <w:rFonts w:hint="eastAsia" w:ascii="宋体" w:hAnsi="宋体" w:eastAsia="宋体"/>
          <w:b/>
          <w:bCs/>
          <w:szCs w:val="21"/>
        </w:rPr>
        <w:t>附件1.统计上大中小微型企业划分标准</w:t>
      </w:r>
    </w:p>
    <w:p w14:paraId="03C689CE">
      <w:pPr>
        <w:rPr>
          <w:rFonts w:hint="eastAsia" w:ascii="宋体" w:hAnsi="宋体" w:eastAsia="宋体" w:cs="宋体"/>
          <w:sz w:val="21"/>
          <w:szCs w:val="21"/>
        </w:rPr>
      </w:pPr>
      <w:r>
        <w:rPr>
          <w:rFonts w:hint="eastAsia" w:ascii="宋体" w:hAnsi="宋体" w:eastAsia="宋体" w:cs="宋体"/>
          <w:sz w:val="21"/>
          <w:szCs w:val="21"/>
        </w:rPr>
        <w:t>来源：国家统计局关于印发《统计上大中小微型企业划分办法（2017）》的通知（国统字〔2017〕213 号）</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"https://www.stats.gov.cn/xxgk/tjbz/gjtjbz/202008/t20200811_1782335.html" </w:instrText>
      </w:r>
      <w:r>
        <w:rPr>
          <w:rFonts w:hint="eastAsia" w:ascii="宋体" w:hAnsi="宋体" w:eastAsia="宋体" w:cs="宋体"/>
          <w:sz w:val="21"/>
          <w:szCs w:val="21"/>
        </w:rPr>
        <w:fldChar w:fldCharType="separate"/>
      </w:r>
      <w:r>
        <w:rPr>
          <w:rFonts w:hint="eastAsia" w:ascii="宋体" w:hAnsi="宋体" w:eastAsia="宋体" w:cs="宋体"/>
          <w:sz w:val="21"/>
          <w:szCs w:val="21"/>
        </w:rPr>
        <w:t>https://www.stats.gov.cn/xxgk/tjbz/gjtjbz/202008/t20200811_1782335.html</w:t>
      </w:r>
      <w:r>
        <w:rPr>
          <w:rFonts w:hint="eastAsia" w:ascii="宋体" w:hAnsi="宋体" w:eastAsia="宋体" w:cs="宋体"/>
          <w:sz w:val="21"/>
          <w:szCs w:val="21"/>
        </w:rPr>
        <w:fldChar w:fldCharType="end"/>
      </w:r>
    </w:p>
    <w:tbl>
      <w:tblPr>
        <w:tblStyle w:val="16"/>
        <w:tblW w:w="5606" w:type="pct"/>
        <w:jc w:val="center"/>
        <w:tblLayout w:type="autofit"/>
        <w:tblCellMar>
          <w:top w:w="0" w:type="dxa"/>
          <w:left w:w="108" w:type="dxa"/>
          <w:bottom w:w="0" w:type="dxa"/>
          <w:right w:w="108" w:type="dxa"/>
        </w:tblCellMar>
      </w:tblPr>
      <w:tblGrid>
        <w:gridCol w:w="2363"/>
        <w:gridCol w:w="1529"/>
        <w:gridCol w:w="787"/>
        <w:gridCol w:w="1257"/>
        <w:gridCol w:w="1900"/>
        <w:gridCol w:w="1594"/>
        <w:gridCol w:w="1105"/>
      </w:tblGrid>
      <w:tr w14:paraId="2767ADD0">
        <w:tblPrEx>
          <w:tblCellMar>
            <w:top w:w="0" w:type="dxa"/>
            <w:left w:w="108" w:type="dxa"/>
            <w:bottom w:w="0" w:type="dxa"/>
            <w:right w:w="108" w:type="dxa"/>
          </w:tblCellMar>
        </w:tblPrEx>
        <w:trPr>
          <w:trHeight w:val="643" w:hRule="exact"/>
          <w:jc w:val="center"/>
        </w:trPr>
        <w:tc>
          <w:tcPr>
            <w:tcW w:w="1121" w:type="pct"/>
            <w:tcBorders>
              <w:top w:val="single" w:color="auto" w:sz="4" w:space="0"/>
              <w:left w:val="nil"/>
              <w:bottom w:val="single" w:color="auto" w:sz="4" w:space="0"/>
              <w:right w:val="single" w:color="auto" w:sz="4" w:space="0"/>
            </w:tcBorders>
            <w:shd w:val="clear" w:color="auto" w:fill="auto"/>
            <w:vAlign w:val="center"/>
          </w:tcPr>
          <w:p w14:paraId="76B3C900">
            <w:pPr>
              <w:keepNext w:val="0"/>
              <w:keepLines w:val="0"/>
              <w:suppressLineNumbers w:val="0"/>
              <w:spacing w:before="0" w:beforeAutospacing="0" w:after="0" w:afterAutospacing="0" w:line="240" w:lineRule="exact"/>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行业名称</w:t>
            </w:r>
          </w:p>
        </w:tc>
        <w:tc>
          <w:tcPr>
            <w:tcW w:w="725" w:type="pct"/>
            <w:tcBorders>
              <w:top w:val="single" w:color="auto" w:sz="4" w:space="0"/>
              <w:left w:val="nil"/>
              <w:bottom w:val="single" w:color="auto" w:sz="4" w:space="0"/>
              <w:right w:val="single" w:color="auto" w:sz="4" w:space="0"/>
            </w:tcBorders>
            <w:shd w:val="clear" w:color="auto" w:fill="auto"/>
            <w:vAlign w:val="center"/>
          </w:tcPr>
          <w:p w14:paraId="363619D0">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指标名称</w:t>
            </w:r>
          </w:p>
        </w:tc>
        <w:tc>
          <w:tcPr>
            <w:tcW w:w="373" w:type="pct"/>
            <w:tcBorders>
              <w:top w:val="single" w:color="auto" w:sz="4" w:space="0"/>
              <w:left w:val="nil"/>
              <w:bottom w:val="single" w:color="auto" w:sz="4" w:space="0"/>
              <w:right w:val="single" w:color="auto" w:sz="4" w:space="0"/>
            </w:tcBorders>
            <w:shd w:val="clear" w:color="auto" w:fill="auto"/>
            <w:vAlign w:val="center"/>
          </w:tcPr>
          <w:p w14:paraId="2D792FD8">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计量</w:t>
            </w:r>
            <w:r>
              <w:rPr>
                <w:rFonts w:hint="eastAsia" w:ascii="宋体" w:hAnsi="宋体" w:eastAsia="宋体" w:cs="宋体"/>
                <w:b/>
                <w:bCs/>
                <w:color w:val="000000"/>
                <w:sz w:val="21"/>
                <w:szCs w:val="21"/>
              </w:rPr>
              <w:br w:type="textWrapping"/>
            </w:r>
            <w:r>
              <w:rPr>
                <w:rFonts w:hint="eastAsia" w:ascii="宋体" w:hAnsi="宋体" w:eastAsia="宋体" w:cs="宋体"/>
                <w:b/>
                <w:bCs/>
                <w:color w:val="000000"/>
                <w:sz w:val="21"/>
                <w:szCs w:val="21"/>
              </w:rPr>
              <w:t>单位</w:t>
            </w:r>
          </w:p>
        </w:tc>
        <w:tc>
          <w:tcPr>
            <w:tcW w:w="596" w:type="pct"/>
            <w:tcBorders>
              <w:top w:val="single" w:color="auto" w:sz="4" w:space="0"/>
              <w:left w:val="nil"/>
              <w:bottom w:val="single" w:color="auto" w:sz="4" w:space="0"/>
              <w:right w:val="single" w:color="auto" w:sz="4" w:space="0"/>
            </w:tcBorders>
            <w:shd w:val="clear" w:color="auto" w:fill="auto"/>
            <w:vAlign w:val="center"/>
          </w:tcPr>
          <w:p w14:paraId="7F08D2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大型</w:t>
            </w:r>
          </w:p>
        </w:tc>
        <w:tc>
          <w:tcPr>
            <w:tcW w:w="901" w:type="pct"/>
            <w:tcBorders>
              <w:top w:val="single" w:color="auto" w:sz="4" w:space="0"/>
              <w:left w:val="nil"/>
              <w:bottom w:val="single" w:color="auto" w:sz="4" w:space="0"/>
              <w:right w:val="single" w:color="auto" w:sz="4" w:space="0"/>
            </w:tcBorders>
            <w:shd w:val="clear" w:color="auto" w:fill="auto"/>
            <w:vAlign w:val="center"/>
          </w:tcPr>
          <w:p w14:paraId="7B929E8F">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中型</w:t>
            </w:r>
          </w:p>
        </w:tc>
        <w:tc>
          <w:tcPr>
            <w:tcW w:w="756" w:type="pct"/>
            <w:tcBorders>
              <w:top w:val="single" w:color="auto" w:sz="4" w:space="0"/>
              <w:left w:val="nil"/>
              <w:bottom w:val="single" w:color="auto" w:sz="4" w:space="0"/>
              <w:right w:val="single" w:color="auto" w:sz="4" w:space="0"/>
            </w:tcBorders>
            <w:shd w:val="clear" w:color="auto" w:fill="auto"/>
            <w:vAlign w:val="center"/>
          </w:tcPr>
          <w:p w14:paraId="54E0E34A">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小型</w:t>
            </w:r>
          </w:p>
        </w:tc>
        <w:tc>
          <w:tcPr>
            <w:tcW w:w="524" w:type="pct"/>
            <w:tcBorders>
              <w:top w:val="single" w:color="auto" w:sz="4" w:space="0"/>
              <w:left w:val="nil"/>
              <w:bottom w:val="single" w:color="auto" w:sz="4" w:space="0"/>
              <w:right w:val="nil"/>
            </w:tcBorders>
            <w:shd w:val="clear" w:color="auto" w:fill="auto"/>
            <w:vAlign w:val="center"/>
          </w:tcPr>
          <w:p w14:paraId="49A590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微型</w:t>
            </w:r>
          </w:p>
        </w:tc>
      </w:tr>
      <w:tr w14:paraId="06E67DC5">
        <w:tblPrEx>
          <w:tblCellMar>
            <w:top w:w="0" w:type="dxa"/>
            <w:left w:w="108" w:type="dxa"/>
            <w:bottom w:w="0" w:type="dxa"/>
            <w:right w:w="108" w:type="dxa"/>
          </w:tblCellMar>
        </w:tblPrEx>
        <w:trPr>
          <w:trHeight w:val="409" w:hRule="exact"/>
          <w:jc w:val="center"/>
        </w:trPr>
        <w:tc>
          <w:tcPr>
            <w:tcW w:w="1121" w:type="pct"/>
            <w:tcBorders>
              <w:top w:val="nil"/>
              <w:left w:val="nil"/>
              <w:bottom w:val="single" w:color="auto" w:sz="4" w:space="0"/>
              <w:right w:val="single" w:color="auto" w:sz="4" w:space="0"/>
            </w:tcBorders>
            <w:shd w:val="clear" w:color="auto" w:fill="auto"/>
            <w:vAlign w:val="center"/>
          </w:tcPr>
          <w:p w14:paraId="1E4A950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农、林、牧、渔业</w:t>
            </w:r>
          </w:p>
        </w:tc>
        <w:tc>
          <w:tcPr>
            <w:tcW w:w="725" w:type="pct"/>
            <w:tcBorders>
              <w:top w:val="nil"/>
              <w:left w:val="nil"/>
              <w:bottom w:val="single" w:color="auto" w:sz="4" w:space="0"/>
              <w:right w:val="single" w:color="auto" w:sz="4" w:space="0"/>
            </w:tcBorders>
            <w:shd w:val="clear" w:color="auto" w:fill="auto"/>
            <w:vAlign w:val="center"/>
          </w:tcPr>
          <w:p w14:paraId="58655A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3F106CD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746A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49DAE89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06C20A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50≤Y＜500</w:t>
            </w:r>
          </w:p>
        </w:tc>
        <w:tc>
          <w:tcPr>
            <w:tcW w:w="524" w:type="pct"/>
            <w:tcBorders>
              <w:top w:val="nil"/>
              <w:left w:val="nil"/>
              <w:bottom w:val="single" w:color="auto" w:sz="4" w:space="0"/>
              <w:right w:val="nil"/>
            </w:tcBorders>
            <w:shd w:val="clear" w:color="auto" w:fill="auto"/>
            <w:vAlign w:val="center"/>
          </w:tcPr>
          <w:p w14:paraId="4A581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37584D36">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1146CC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工业 *</w:t>
            </w:r>
          </w:p>
        </w:tc>
        <w:tc>
          <w:tcPr>
            <w:tcW w:w="725" w:type="pct"/>
            <w:tcBorders>
              <w:top w:val="nil"/>
              <w:left w:val="nil"/>
              <w:bottom w:val="nil"/>
              <w:right w:val="single" w:color="auto" w:sz="4" w:space="0"/>
            </w:tcBorders>
            <w:shd w:val="clear" w:color="auto" w:fill="auto"/>
            <w:vAlign w:val="center"/>
          </w:tcPr>
          <w:p w14:paraId="35C3A26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E2F64D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7ADC0BF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2D205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6C341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0462CE6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51708A">
        <w:tblPrEx>
          <w:tblCellMar>
            <w:top w:w="0" w:type="dxa"/>
            <w:left w:w="108" w:type="dxa"/>
            <w:bottom w:w="0" w:type="dxa"/>
            <w:right w:w="108" w:type="dxa"/>
          </w:tblCellMar>
        </w:tblPrEx>
        <w:trPr>
          <w:trHeight w:val="529" w:hRule="exact"/>
          <w:jc w:val="center"/>
        </w:trPr>
        <w:tc>
          <w:tcPr>
            <w:tcW w:w="1121" w:type="pct"/>
            <w:vMerge w:val="continue"/>
            <w:tcBorders>
              <w:top w:val="nil"/>
              <w:left w:val="nil"/>
              <w:bottom w:val="single" w:color="auto" w:sz="4" w:space="0"/>
              <w:right w:val="single" w:color="auto" w:sz="4" w:space="0"/>
            </w:tcBorders>
            <w:vAlign w:val="center"/>
          </w:tcPr>
          <w:p w14:paraId="2225C670">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73F0057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7EEF3E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634F7F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72A1DCB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2000≤Y＜40000</w:t>
            </w:r>
          </w:p>
        </w:tc>
        <w:tc>
          <w:tcPr>
            <w:tcW w:w="756" w:type="pct"/>
            <w:tcBorders>
              <w:top w:val="nil"/>
              <w:left w:val="nil"/>
              <w:bottom w:val="single" w:color="auto" w:sz="4" w:space="0"/>
              <w:right w:val="single" w:color="auto" w:sz="4" w:space="0"/>
            </w:tcBorders>
            <w:shd w:val="clear" w:color="auto" w:fill="auto"/>
            <w:vAlign w:val="center"/>
          </w:tcPr>
          <w:p w14:paraId="31E39D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300≤Y＜2000</w:t>
            </w:r>
          </w:p>
        </w:tc>
        <w:tc>
          <w:tcPr>
            <w:tcW w:w="524" w:type="pct"/>
            <w:tcBorders>
              <w:top w:val="nil"/>
              <w:left w:val="nil"/>
              <w:bottom w:val="single" w:color="auto" w:sz="4" w:space="0"/>
              <w:right w:val="nil"/>
            </w:tcBorders>
            <w:shd w:val="clear" w:color="auto" w:fill="auto"/>
            <w:vAlign w:val="center"/>
          </w:tcPr>
          <w:p w14:paraId="2654F2C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620FC4F5">
        <w:tblPrEx>
          <w:tblCellMar>
            <w:top w:w="0" w:type="dxa"/>
            <w:left w:w="108" w:type="dxa"/>
            <w:bottom w:w="0" w:type="dxa"/>
            <w:right w:w="108" w:type="dxa"/>
          </w:tblCellMar>
        </w:tblPrEx>
        <w:trPr>
          <w:trHeight w:val="47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5A40ACF3">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建筑业</w:t>
            </w:r>
          </w:p>
        </w:tc>
        <w:tc>
          <w:tcPr>
            <w:tcW w:w="725" w:type="pct"/>
            <w:tcBorders>
              <w:top w:val="nil"/>
              <w:left w:val="nil"/>
              <w:bottom w:val="nil"/>
              <w:right w:val="single" w:color="auto" w:sz="4" w:space="0"/>
            </w:tcBorders>
            <w:shd w:val="clear" w:color="auto" w:fill="auto"/>
            <w:vAlign w:val="center"/>
          </w:tcPr>
          <w:p w14:paraId="22C243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36388E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41EBCF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Y≥80000</w:t>
            </w:r>
          </w:p>
        </w:tc>
        <w:tc>
          <w:tcPr>
            <w:tcW w:w="901" w:type="pct"/>
            <w:tcBorders>
              <w:top w:val="nil"/>
              <w:left w:val="nil"/>
              <w:bottom w:val="nil"/>
              <w:right w:val="single" w:color="auto" w:sz="4" w:space="0"/>
            </w:tcBorders>
            <w:shd w:val="clear" w:color="auto" w:fill="auto"/>
            <w:vAlign w:val="center"/>
          </w:tcPr>
          <w:p w14:paraId="3013AC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6000≤Y＜80000</w:t>
            </w:r>
          </w:p>
        </w:tc>
        <w:tc>
          <w:tcPr>
            <w:tcW w:w="756" w:type="pct"/>
            <w:tcBorders>
              <w:top w:val="nil"/>
              <w:left w:val="nil"/>
              <w:bottom w:val="nil"/>
              <w:right w:val="single" w:color="auto" w:sz="4" w:space="0"/>
            </w:tcBorders>
            <w:shd w:val="clear" w:color="auto" w:fill="auto"/>
            <w:vAlign w:val="center"/>
          </w:tcPr>
          <w:p w14:paraId="293566D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300≤Y＜6000</w:t>
            </w:r>
          </w:p>
        </w:tc>
        <w:tc>
          <w:tcPr>
            <w:tcW w:w="524" w:type="pct"/>
            <w:tcBorders>
              <w:top w:val="nil"/>
              <w:left w:val="nil"/>
              <w:bottom w:val="nil"/>
              <w:right w:val="nil"/>
            </w:tcBorders>
            <w:shd w:val="clear" w:color="auto" w:fill="auto"/>
            <w:vAlign w:val="center"/>
          </w:tcPr>
          <w:p w14:paraId="0FD6207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26DD693E">
        <w:tblPrEx>
          <w:tblCellMar>
            <w:top w:w="0" w:type="dxa"/>
            <w:left w:w="108" w:type="dxa"/>
            <w:bottom w:w="0" w:type="dxa"/>
            <w:right w:w="108" w:type="dxa"/>
          </w:tblCellMar>
        </w:tblPrEx>
        <w:trPr>
          <w:trHeight w:val="499" w:hRule="exact"/>
          <w:jc w:val="center"/>
        </w:trPr>
        <w:tc>
          <w:tcPr>
            <w:tcW w:w="1121" w:type="pct"/>
            <w:vMerge w:val="continue"/>
            <w:tcBorders>
              <w:top w:val="nil"/>
              <w:left w:val="nil"/>
              <w:bottom w:val="single" w:color="auto" w:sz="4" w:space="0"/>
              <w:right w:val="single" w:color="auto" w:sz="4" w:space="0"/>
            </w:tcBorders>
            <w:vAlign w:val="center"/>
          </w:tcPr>
          <w:p w14:paraId="0A93CBF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115F8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3186C9E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636EF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Z≥80000</w:t>
            </w:r>
          </w:p>
        </w:tc>
        <w:tc>
          <w:tcPr>
            <w:tcW w:w="901" w:type="pct"/>
            <w:tcBorders>
              <w:top w:val="nil"/>
              <w:left w:val="nil"/>
              <w:bottom w:val="single" w:color="auto" w:sz="4" w:space="0"/>
              <w:right w:val="single" w:color="auto" w:sz="4" w:space="0"/>
            </w:tcBorders>
            <w:shd w:val="clear" w:color="auto" w:fill="auto"/>
            <w:vAlign w:val="center"/>
          </w:tcPr>
          <w:p w14:paraId="401598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5000≤Z＜80000</w:t>
            </w:r>
          </w:p>
        </w:tc>
        <w:tc>
          <w:tcPr>
            <w:tcW w:w="756" w:type="pct"/>
            <w:tcBorders>
              <w:top w:val="nil"/>
              <w:left w:val="nil"/>
              <w:bottom w:val="single" w:color="auto" w:sz="4" w:space="0"/>
              <w:right w:val="single" w:color="auto" w:sz="4" w:space="0"/>
            </w:tcBorders>
            <w:shd w:val="clear" w:color="auto" w:fill="auto"/>
            <w:vAlign w:val="center"/>
          </w:tcPr>
          <w:p w14:paraId="0CE7EB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300≤Z＜5000</w:t>
            </w:r>
          </w:p>
        </w:tc>
        <w:tc>
          <w:tcPr>
            <w:tcW w:w="524" w:type="pct"/>
            <w:tcBorders>
              <w:top w:val="nil"/>
              <w:left w:val="nil"/>
              <w:bottom w:val="single" w:color="auto" w:sz="4" w:space="0"/>
              <w:right w:val="nil"/>
            </w:tcBorders>
            <w:shd w:val="clear" w:color="auto" w:fill="auto"/>
            <w:vAlign w:val="center"/>
          </w:tcPr>
          <w:p w14:paraId="405E6DA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Z＜300</w:t>
            </w:r>
          </w:p>
        </w:tc>
      </w:tr>
      <w:tr w14:paraId="290EEEC2">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D85AEEC">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批发业</w:t>
            </w:r>
          </w:p>
        </w:tc>
        <w:tc>
          <w:tcPr>
            <w:tcW w:w="725" w:type="pct"/>
            <w:tcBorders>
              <w:top w:val="nil"/>
              <w:left w:val="nil"/>
              <w:bottom w:val="nil"/>
              <w:right w:val="single" w:color="auto" w:sz="4" w:space="0"/>
            </w:tcBorders>
            <w:shd w:val="clear" w:color="auto" w:fill="auto"/>
            <w:vAlign w:val="center"/>
          </w:tcPr>
          <w:p w14:paraId="1E12E71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CFAC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37176D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42828F5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20≤X＜200</w:t>
            </w:r>
          </w:p>
        </w:tc>
        <w:tc>
          <w:tcPr>
            <w:tcW w:w="756" w:type="pct"/>
            <w:tcBorders>
              <w:top w:val="nil"/>
              <w:left w:val="nil"/>
              <w:bottom w:val="nil"/>
              <w:right w:val="single" w:color="auto" w:sz="4" w:space="0"/>
            </w:tcBorders>
            <w:shd w:val="clear" w:color="auto" w:fill="auto"/>
            <w:vAlign w:val="center"/>
          </w:tcPr>
          <w:p w14:paraId="7465D58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5≤X＜20</w:t>
            </w:r>
          </w:p>
        </w:tc>
        <w:tc>
          <w:tcPr>
            <w:tcW w:w="524" w:type="pct"/>
            <w:tcBorders>
              <w:top w:val="nil"/>
              <w:left w:val="nil"/>
              <w:bottom w:val="nil"/>
              <w:right w:val="nil"/>
            </w:tcBorders>
            <w:shd w:val="clear" w:color="auto" w:fill="auto"/>
            <w:vAlign w:val="center"/>
          </w:tcPr>
          <w:p w14:paraId="1881E0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X＜5</w:t>
            </w:r>
          </w:p>
        </w:tc>
      </w:tr>
      <w:tr w14:paraId="76A794D2">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6D57115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AAFF7C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3233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D177D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62206B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5000≤Y＜40000</w:t>
            </w:r>
          </w:p>
        </w:tc>
        <w:tc>
          <w:tcPr>
            <w:tcW w:w="756" w:type="pct"/>
            <w:tcBorders>
              <w:top w:val="nil"/>
              <w:left w:val="nil"/>
              <w:bottom w:val="single" w:color="auto" w:sz="4" w:space="0"/>
              <w:right w:val="single" w:color="auto" w:sz="4" w:space="0"/>
            </w:tcBorders>
            <w:shd w:val="clear" w:color="auto" w:fill="auto"/>
            <w:vAlign w:val="center"/>
          </w:tcPr>
          <w:p w14:paraId="742BD7B1">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1000≤Y＜5000</w:t>
            </w:r>
          </w:p>
        </w:tc>
        <w:tc>
          <w:tcPr>
            <w:tcW w:w="524" w:type="pct"/>
            <w:tcBorders>
              <w:top w:val="nil"/>
              <w:left w:val="nil"/>
              <w:bottom w:val="single" w:color="auto" w:sz="4" w:space="0"/>
              <w:right w:val="nil"/>
            </w:tcBorders>
            <w:shd w:val="clear" w:color="auto" w:fill="auto"/>
            <w:vAlign w:val="center"/>
          </w:tcPr>
          <w:p w14:paraId="745B09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w:t>
            </w:r>
          </w:p>
        </w:tc>
      </w:tr>
      <w:tr w14:paraId="33337038">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AC9CBDF">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零售业</w:t>
            </w:r>
          </w:p>
        </w:tc>
        <w:tc>
          <w:tcPr>
            <w:tcW w:w="725" w:type="pct"/>
            <w:tcBorders>
              <w:top w:val="nil"/>
              <w:left w:val="nil"/>
              <w:bottom w:val="nil"/>
              <w:right w:val="single" w:color="auto" w:sz="4" w:space="0"/>
            </w:tcBorders>
            <w:shd w:val="clear" w:color="auto" w:fill="auto"/>
            <w:vAlign w:val="center"/>
          </w:tcPr>
          <w:p w14:paraId="3B91380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3362D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2C8F6F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7B6599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50≤X＜300</w:t>
            </w:r>
          </w:p>
        </w:tc>
        <w:tc>
          <w:tcPr>
            <w:tcW w:w="756" w:type="pct"/>
            <w:tcBorders>
              <w:top w:val="nil"/>
              <w:left w:val="nil"/>
              <w:bottom w:val="nil"/>
              <w:right w:val="single" w:color="auto" w:sz="4" w:space="0"/>
            </w:tcBorders>
            <w:shd w:val="clear" w:color="auto" w:fill="auto"/>
            <w:vAlign w:val="center"/>
          </w:tcPr>
          <w:p w14:paraId="1BF265D8">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10≤X＜50 </w:t>
            </w:r>
          </w:p>
        </w:tc>
        <w:tc>
          <w:tcPr>
            <w:tcW w:w="524" w:type="pct"/>
            <w:tcBorders>
              <w:top w:val="nil"/>
              <w:left w:val="nil"/>
              <w:bottom w:val="nil"/>
              <w:right w:val="nil"/>
            </w:tcBorders>
            <w:shd w:val="clear" w:color="auto" w:fill="auto"/>
            <w:vAlign w:val="center"/>
          </w:tcPr>
          <w:p w14:paraId="5520E2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4511B9C1">
        <w:tblPrEx>
          <w:tblCellMar>
            <w:top w:w="0" w:type="dxa"/>
            <w:left w:w="108" w:type="dxa"/>
            <w:bottom w:w="0" w:type="dxa"/>
            <w:right w:w="108" w:type="dxa"/>
          </w:tblCellMar>
        </w:tblPrEx>
        <w:trPr>
          <w:trHeight w:val="409" w:hRule="exact"/>
          <w:jc w:val="center"/>
        </w:trPr>
        <w:tc>
          <w:tcPr>
            <w:tcW w:w="1121" w:type="pct"/>
            <w:vMerge w:val="continue"/>
            <w:tcBorders>
              <w:top w:val="nil"/>
              <w:left w:val="nil"/>
              <w:bottom w:val="single" w:color="auto" w:sz="4" w:space="0"/>
              <w:right w:val="single" w:color="auto" w:sz="4" w:space="0"/>
            </w:tcBorders>
            <w:vAlign w:val="center"/>
          </w:tcPr>
          <w:p w14:paraId="060058A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C10FEE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ABA93A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238638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1BB0E91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313C9A45">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100≤Y＜500 </w:t>
            </w:r>
          </w:p>
        </w:tc>
        <w:tc>
          <w:tcPr>
            <w:tcW w:w="524" w:type="pct"/>
            <w:tcBorders>
              <w:top w:val="nil"/>
              <w:left w:val="nil"/>
              <w:bottom w:val="single" w:color="auto" w:sz="4" w:space="0"/>
              <w:right w:val="nil"/>
            </w:tcBorders>
            <w:shd w:val="clear" w:color="auto" w:fill="auto"/>
            <w:vAlign w:val="center"/>
          </w:tcPr>
          <w:p w14:paraId="37400EC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6F159EC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0E4F0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交通运输业 *</w:t>
            </w:r>
          </w:p>
        </w:tc>
        <w:tc>
          <w:tcPr>
            <w:tcW w:w="725" w:type="pct"/>
            <w:tcBorders>
              <w:top w:val="nil"/>
              <w:left w:val="nil"/>
              <w:bottom w:val="nil"/>
              <w:right w:val="single" w:color="auto" w:sz="4" w:space="0"/>
            </w:tcBorders>
            <w:shd w:val="clear" w:color="auto" w:fill="auto"/>
            <w:vAlign w:val="center"/>
          </w:tcPr>
          <w:p w14:paraId="51F5DCC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36A8611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E3CFC0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14104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B8D0C8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2420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1791983B">
        <w:tblPrEx>
          <w:tblCellMar>
            <w:top w:w="0" w:type="dxa"/>
            <w:left w:w="108" w:type="dxa"/>
            <w:bottom w:w="0" w:type="dxa"/>
            <w:right w:w="108" w:type="dxa"/>
          </w:tblCellMar>
        </w:tblPrEx>
        <w:trPr>
          <w:trHeight w:val="498" w:hRule="exact"/>
          <w:jc w:val="center"/>
        </w:trPr>
        <w:tc>
          <w:tcPr>
            <w:tcW w:w="1121" w:type="pct"/>
            <w:vMerge w:val="continue"/>
            <w:tcBorders>
              <w:top w:val="nil"/>
              <w:left w:val="nil"/>
              <w:bottom w:val="single" w:color="auto" w:sz="4" w:space="0"/>
              <w:right w:val="single" w:color="auto" w:sz="4" w:space="0"/>
            </w:tcBorders>
            <w:vAlign w:val="center"/>
          </w:tcPr>
          <w:p w14:paraId="7477D18D">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5B10CF7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343E83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C0472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517AA37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3000≤Y＜30000</w:t>
            </w:r>
          </w:p>
        </w:tc>
        <w:tc>
          <w:tcPr>
            <w:tcW w:w="756" w:type="pct"/>
            <w:tcBorders>
              <w:top w:val="nil"/>
              <w:left w:val="nil"/>
              <w:bottom w:val="single" w:color="auto" w:sz="4" w:space="0"/>
              <w:right w:val="single" w:color="auto" w:sz="4" w:space="0"/>
            </w:tcBorders>
            <w:shd w:val="clear" w:color="auto" w:fill="auto"/>
            <w:vAlign w:val="center"/>
          </w:tcPr>
          <w:p w14:paraId="2C3F1D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200≤Y＜3000</w:t>
            </w:r>
          </w:p>
        </w:tc>
        <w:tc>
          <w:tcPr>
            <w:tcW w:w="524" w:type="pct"/>
            <w:tcBorders>
              <w:top w:val="nil"/>
              <w:left w:val="nil"/>
              <w:bottom w:val="single" w:color="auto" w:sz="4" w:space="0"/>
              <w:right w:val="nil"/>
            </w:tcBorders>
            <w:shd w:val="clear" w:color="auto" w:fill="auto"/>
            <w:vAlign w:val="center"/>
          </w:tcPr>
          <w:p w14:paraId="3307341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w:t>
            </w:r>
          </w:p>
        </w:tc>
      </w:tr>
      <w:tr w14:paraId="7324CA13">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8D2762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仓储业*</w:t>
            </w:r>
          </w:p>
        </w:tc>
        <w:tc>
          <w:tcPr>
            <w:tcW w:w="725" w:type="pct"/>
            <w:tcBorders>
              <w:top w:val="nil"/>
              <w:left w:val="nil"/>
              <w:bottom w:val="nil"/>
              <w:right w:val="single" w:color="auto" w:sz="4" w:space="0"/>
            </w:tcBorders>
            <w:shd w:val="clear" w:color="auto" w:fill="auto"/>
            <w:vAlign w:val="center"/>
          </w:tcPr>
          <w:p w14:paraId="02B3C9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6D8780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C29790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0B4BE9FA">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w:t>
            </w:r>
          </w:p>
        </w:tc>
        <w:tc>
          <w:tcPr>
            <w:tcW w:w="756" w:type="pct"/>
            <w:tcBorders>
              <w:top w:val="nil"/>
              <w:left w:val="nil"/>
              <w:bottom w:val="nil"/>
              <w:right w:val="single" w:color="auto" w:sz="4" w:space="0"/>
            </w:tcBorders>
            <w:shd w:val="clear" w:color="auto" w:fill="auto"/>
            <w:vAlign w:val="center"/>
          </w:tcPr>
          <w:p w14:paraId="666BCF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20≤X＜100</w:t>
            </w:r>
          </w:p>
        </w:tc>
        <w:tc>
          <w:tcPr>
            <w:tcW w:w="524" w:type="pct"/>
            <w:tcBorders>
              <w:top w:val="nil"/>
              <w:left w:val="nil"/>
              <w:bottom w:val="nil"/>
              <w:right w:val="nil"/>
            </w:tcBorders>
            <w:shd w:val="clear" w:color="auto" w:fill="auto"/>
            <w:vAlign w:val="center"/>
          </w:tcPr>
          <w:p w14:paraId="7597B97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0D7CD7">
        <w:tblPrEx>
          <w:tblCellMar>
            <w:top w:w="0" w:type="dxa"/>
            <w:left w:w="108" w:type="dxa"/>
            <w:bottom w:w="0" w:type="dxa"/>
            <w:right w:w="108" w:type="dxa"/>
          </w:tblCellMar>
        </w:tblPrEx>
        <w:trPr>
          <w:trHeight w:val="568" w:hRule="exact"/>
          <w:jc w:val="center"/>
        </w:trPr>
        <w:tc>
          <w:tcPr>
            <w:tcW w:w="1121" w:type="pct"/>
            <w:vMerge w:val="continue"/>
            <w:tcBorders>
              <w:top w:val="nil"/>
              <w:left w:val="nil"/>
              <w:bottom w:val="single" w:color="auto" w:sz="4" w:space="0"/>
              <w:right w:val="single" w:color="auto" w:sz="4" w:space="0"/>
            </w:tcBorders>
            <w:vAlign w:val="center"/>
          </w:tcPr>
          <w:p w14:paraId="7344688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3C3201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28C6A5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261EDA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428400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1000≤Y＜30000</w:t>
            </w:r>
          </w:p>
        </w:tc>
        <w:tc>
          <w:tcPr>
            <w:tcW w:w="756" w:type="pct"/>
            <w:tcBorders>
              <w:top w:val="nil"/>
              <w:left w:val="nil"/>
              <w:bottom w:val="single" w:color="auto" w:sz="4" w:space="0"/>
              <w:right w:val="single" w:color="auto" w:sz="4" w:space="0"/>
            </w:tcBorders>
            <w:shd w:val="clear" w:color="auto" w:fill="auto"/>
            <w:vAlign w:val="center"/>
          </w:tcPr>
          <w:p w14:paraId="6420DF1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09E9C2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5CCAEF0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EE4284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邮政业</w:t>
            </w:r>
          </w:p>
        </w:tc>
        <w:tc>
          <w:tcPr>
            <w:tcW w:w="725" w:type="pct"/>
            <w:tcBorders>
              <w:top w:val="nil"/>
              <w:left w:val="nil"/>
              <w:bottom w:val="nil"/>
              <w:right w:val="single" w:color="auto" w:sz="4" w:space="0"/>
            </w:tcBorders>
            <w:shd w:val="clear" w:color="auto" w:fill="auto"/>
            <w:vAlign w:val="center"/>
          </w:tcPr>
          <w:p w14:paraId="4C1DBF0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032A06F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0DF520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D9AE6A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40994D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3BE341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20D8A9BA">
        <w:tblPrEx>
          <w:tblCellMar>
            <w:top w:w="0" w:type="dxa"/>
            <w:left w:w="108" w:type="dxa"/>
            <w:bottom w:w="0" w:type="dxa"/>
            <w:right w:w="108" w:type="dxa"/>
          </w:tblCellMar>
        </w:tblPrEx>
        <w:trPr>
          <w:trHeight w:val="612" w:hRule="exact"/>
          <w:jc w:val="center"/>
        </w:trPr>
        <w:tc>
          <w:tcPr>
            <w:tcW w:w="1121" w:type="pct"/>
            <w:vMerge w:val="continue"/>
            <w:tcBorders>
              <w:top w:val="nil"/>
              <w:left w:val="nil"/>
              <w:bottom w:val="single" w:color="auto" w:sz="4" w:space="0"/>
              <w:right w:val="single" w:color="auto" w:sz="4" w:space="0"/>
            </w:tcBorders>
            <w:vAlign w:val="center"/>
          </w:tcPr>
          <w:p w14:paraId="3C63DDD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D68261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B35CC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E92DD3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11ECCF7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2000≤Y＜30000</w:t>
            </w:r>
          </w:p>
        </w:tc>
        <w:tc>
          <w:tcPr>
            <w:tcW w:w="756" w:type="pct"/>
            <w:tcBorders>
              <w:top w:val="nil"/>
              <w:left w:val="nil"/>
              <w:bottom w:val="single" w:color="auto" w:sz="4" w:space="0"/>
              <w:right w:val="single" w:color="auto" w:sz="4" w:space="0"/>
            </w:tcBorders>
            <w:shd w:val="clear" w:color="auto" w:fill="auto"/>
            <w:vAlign w:val="center"/>
          </w:tcPr>
          <w:p w14:paraId="18E8C66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F1D51B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200705D">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98BA48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住宿业</w:t>
            </w:r>
          </w:p>
        </w:tc>
        <w:tc>
          <w:tcPr>
            <w:tcW w:w="725" w:type="pct"/>
            <w:tcBorders>
              <w:top w:val="nil"/>
              <w:left w:val="nil"/>
              <w:bottom w:val="nil"/>
              <w:right w:val="single" w:color="auto" w:sz="4" w:space="0"/>
            </w:tcBorders>
            <w:shd w:val="clear" w:color="auto" w:fill="auto"/>
            <w:vAlign w:val="center"/>
          </w:tcPr>
          <w:p w14:paraId="5C6E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079B1E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BE7FA8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6887D39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6CDEC9F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19DA3F9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4394227">
        <w:tblPrEx>
          <w:tblCellMar>
            <w:top w:w="0" w:type="dxa"/>
            <w:left w:w="108" w:type="dxa"/>
            <w:bottom w:w="0" w:type="dxa"/>
            <w:right w:w="108" w:type="dxa"/>
          </w:tblCellMar>
        </w:tblPrEx>
        <w:trPr>
          <w:trHeight w:val="540" w:hRule="exact"/>
          <w:jc w:val="center"/>
        </w:trPr>
        <w:tc>
          <w:tcPr>
            <w:tcW w:w="1121" w:type="pct"/>
            <w:vMerge w:val="continue"/>
            <w:tcBorders>
              <w:top w:val="nil"/>
              <w:left w:val="nil"/>
              <w:bottom w:val="single" w:color="auto" w:sz="4" w:space="0"/>
              <w:right w:val="single" w:color="auto" w:sz="4" w:space="0"/>
            </w:tcBorders>
            <w:vAlign w:val="center"/>
          </w:tcPr>
          <w:p w14:paraId="255F1EC9">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2C4C6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CCCB75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EF3216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3424A8F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7B5473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4F0D4C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290E8FB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F165C7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餐饮业</w:t>
            </w:r>
          </w:p>
        </w:tc>
        <w:tc>
          <w:tcPr>
            <w:tcW w:w="725" w:type="pct"/>
            <w:tcBorders>
              <w:top w:val="nil"/>
              <w:left w:val="nil"/>
              <w:bottom w:val="nil"/>
              <w:right w:val="single" w:color="auto" w:sz="4" w:space="0"/>
            </w:tcBorders>
            <w:shd w:val="clear" w:color="auto" w:fill="auto"/>
            <w:vAlign w:val="center"/>
          </w:tcPr>
          <w:p w14:paraId="6665599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8D30E5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63F27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23F73F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170A3D4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73046A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E3EB01F">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031C078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284BD0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DD96CA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D59FA4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25256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4C7950F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5C28BE2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575276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226AA49">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信息传输业 *</w:t>
            </w:r>
          </w:p>
        </w:tc>
        <w:tc>
          <w:tcPr>
            <w:tcW w:w="725" w:type="pct"/>
            <w:tcBorders>
              <w:top w:val="nil"/>
              <w:left w:val="nil"/>
              <w:bottom w:val="nil"/>
              <w:right w:val="single" w:color="auto" w:sz="4" w:space="0"/>
            </w:tcBorders>
            <w:shd w:val="clear" w:color="auto" w:fill="auto"/>
            <w:vAlign w:val="center"/>
          </w:tcPr>
          <w:p w14:paraId="25E2BA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D433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0AB5C4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X≥2000</w:t>
            </w:r>
          </w:p>
        </w:tc>
        <w:tc>
          <w:tcPr>
            <w:tcW w:w="901" w:type="pct"/>
            <w:tcBorders>
              <w:top w:val="nil"/>
              <w:left w:val="nil"/>
              <w:bottom w:val="nil"/>
              <w:right w:val="single" w:color="auto" w:sz="4" w:space="0"/>
            </w:tcBorders>
            <w:shd w:val="clear" w:color="auto" w:fill="auto"/>
            <w:vAlign w:val="center"/>
          </w:tcPr>
          <w:p w14:paraId="197F2C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100≤X＜2000</w:t>
            </w:r>
          </w:p>
        </w:tc>
        <w:tc>
          <w:tcPr>
            <w:tcW w:w="756" w:type="pct"/>
            <w:tcBorders>
              <w:top w:val="nil"/>
              <w:left w:val="nil"/>
              <w:bottom w:val="nil"/>
              <w:right w:val="single" w:color="auto" w:sz="4" w:space="0"/>
            </w:tcBorders>
            <w:shd w:val="clear" w:color="auto" w:fill="auto"/>
            <w:vAlign w:val="center"/>
          </w:tcPr>
          <w:p w14:paraId="5F082A7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355494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6E0BA73F">
        <w:tblPrEx>
          <w:tblCellMar>
            <w:top w:w="0" w:type="dxa"/>
            <w:left w:w="108" w:type="dxa"/>
            <w:bottom w:w="0" w:type="dxa"/>
            <w:right w:w="108" w:type="dxa"/>
          </w:tblCellMar>
        </w:tblPrEx>
        <w:trPr>
          <w:trHeight w:val="539" w:hRule="exact"/>
          <w:jc w:val="center"/>
        </w:trPr>
        <w:tc>
          <w:tcPr>
            <w:tcW w:w="1121" w:type="pct"/>
            <w:vMerge w:val="continue"/>
            <w:tcBorders>
              <w:top w:val="nil"/>
              <w:left w:val="nil"/>
              <w:bottom w:val="single" w:color="auto" w:sz="4" w:space="0"/>
              <w:right w:val="single" w:color="auto" w:sz="4" w:space="0"/>
            </w:tcBorders>
            <w:vAlign w:val="center"/>
          </w:tcPr>
          <w:p w14:paraId="628CFDA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698AF9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382F9D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BE5A43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Y≥100000</w:t>
            </w:r>
          </w:p>
        </w:tc>
        <w:tc>
          <w:tcPr>
            <w:tcW w:w="901" w:type="pct"/>
            <w:tcBorders>
              <w:top w:val="nil"/>
              <w:left w:val="nil"/>
              <w:bottom w:val="single" w:color="auto" w:sz="4" w:space="0"/>
              <w:right w:val="single" w:color="auto" w:sz="4" w:space="0"/>
            </w:tcBorders>
            <w:shd w:val="clear" w:color="auto" w:fill="auto"/>
            <w:vAlign w:val="center"/>
          </w:tcPr>
          <w:p w14:paraId="3317A5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1000≤Y＜100000</w:t>
            </w:r>
          </w:p>
        </w:tc>
        <w:tc>
          <w:tcPr>
            <w:tcW w:w="756" w:type="pct"/>
            <w:tcBorders>
              <w:top w:val="nil"/>
              <w:left w:val="nil"/>
              <w:bottom w:val="single" w:color="auto" w:sz="4" w:space="0"/>
              <w:right w:val="single" w:color="auto" w:sz="4" w:space="0"/>
            </w:tcBorders>
            <w:shd w:val="clear" w:color="auto" w:fill="auto"/>
            <w:vAlign w:val="center"/>
          </w:tcPr>
          <w:p w14:paraId="0F1A4FC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F5996B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7210C39">
        <w:tblPrEx>
          <w:tblCellMar>
            <w:top w:w="0" w:type="dxa"/>
            <w:left w:w="108" w:type="dxa"/>
            <w:bottom w:w="0" w:type="dxa"/>
            <w:right w:w="108" w:type="dxa"/>
          </w:tblCellMar>
        </w:tblPrEx>
        <w:trPr>
          <w:trHeight w:val="351" w:hRule="exact"/>
          <w:jc w:val="center"/>
        </w:trPr>
        <w:tc>
          <w:tcPr>
            <w:tcW w:w="1121" w:type="pct"/>
            <w:vMerge w:val="restart"/>
            <w:tcBorders>
              <w:top w:val="single" w:color="auto" w:sz="4" w:space="0"/>
              <w:left w:val="nil"/>
              <w:bottom w:val="single" w:color="auto" w:sz="4" w:space="0"/>
              <w:right w:val="single" w:color="auto" w:sz="4" w:space="0"/>
            </w:tcBorders>
            <w:shd w:val="clear" w:color="auto" w:fill="auto"/>
            <w:vAlign w:val="center"/>
          </w:tcPr>
          <w:p w14:paraId="45B417F5">
            <w:pPr>
              <w:keepNext w:val="0"/>
              <w:keepLines w:val="0"/>
              <w:suppressLineNumbers w:val="0"/>
              <w:spacing w:before="0" w:beforeAutospacing="0" w:after="0" w:afterAutospacing="0" w:line="240" w:lineRule="exact"/>
              <w:ind w:left="0" w:right="0"/>
              <w:rPr>
                <w:rFonts w:hint="eastAsia" w:ascii="宋体" w:hAnsi="宋体" w:eastAsia="宋体" w:cs="宋体"/>
                <w:color w:val="000000"/>
                <w:spacing w:val="-12"/>
                <w:sz w:val="21"/>
                <w:szCs w:val="21"/>
              </w:rPr>
            </w:pPr>
            <w:r>
              <w:rPr>
                <w:rFonts w:hint="eastAsia" w:ascii="宋体" w:hAnsi="宋体" w:eastAsia="宋体" w:cs="宋体"/>
                <w:color w:val="000000"/>
                <w:spacing w:val="-12"/>
                <w:sz w:val="21"/>
                <w:szCs w:val="21"/>
              </w:rPr>
              <w:t>软件和信息技术服</w:t>
            </w:r>
            <w:r>
              <w:rPr>
                <w:rFonts w:hint="eastAsia" w:ascii="宋体" w:hAnsi="宋体" w:eastAsia="宋体" w:cs="宋体"/>
                <w:color w:val="000000"/>
                <w:sz w:val="21"/>
                <w:szCs w:val="21"/>
              </w:rPr>
              <w:t>务业</w:t>
            </w:r>
          </w:p>
        </w:tc>
        <w:tc>
          <w:tcPr>
            <w:tcW w:w="725" w:type="pct"/>
            <w:tcBorders>
              <w:top w:val="nil"/>
              <w:left w:val="nil"/>
              <w:bottom w:val="nil"/>
              <w:right w:val="single" w:color="auto" w:sz="4" w:space="0"/>
            </w:tcBorders>
            <w:shd w:val="clear" w:color="auto" w:fill="auto"/>
            <w:vAlign w:val="center"/>
          </w:tcPr>
          <w:p w14:paraId="2D4225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97ADFE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B1BCB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1D17C8C">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02891ED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0E5586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84D51DB">
        <w:tblPrEx>
          <w:tblCellMar>
            <w:top w:w="0" w:type="dxa"/>
            <w:left w:w="108" w:type="dxa"/>
            <w:bottom w:w="0" w:type="dxa"/>
            <w:right w:w="108" w:type="dxa"/>
          </w:tblCellMar>
        </w:tblPrEx>
        <w:trPr>
          <w:trHeight w:val="523" w:hRule="exact"/>
          <w:jc w:val="center"/>
        </w:trPr>
        <w:tc>
          <w:tcPr>
            <w:tcW w:w="1121" w:type="pct"/>
            <w:vMerge w:val="continue"/>
            <w:tcBorders>
              <w:top w:val="single" w:color="auto" w:sz="4" w:space="0"/>
              <w:left w:val="nil"/>
              <w:bottom w:val="single" w:color="auto" w:sz="4" w:space="0"/>
              <w:right w:val="single" w:color="auto" w:sz="4" w:space="0"/>
            </w:tcBorders>
            <w:vAlign w:val="center"/>
          </w:tcPr>
          <w:p w14:paraId="61B7FD76">
            <w:pPr>
              <w:keepNext w:val="0"/>
              <w:keepLines w:val="0"/>
              <w:suppressLineNumbers w:val="0"/>
              <w:spacing w:before="0" w:beforeAutospacing="0" w:after="0" w:afterAutospacing="0"/>
              <w:ind w:left="0" w:right="0"/>
              <w:rPr>
                <w:rFonts w:hint="eastAsia" w:ascii="宋体" w:hAnsi="宋体" w:eastAsia="宋体" w:cs="宋体"/>
                <w:color w:val="000000"/>
                <w:spacing w:val="-12"/>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8F14E6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6C8D6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0E34C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9C41C5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1000≤Y＜10000</w:t>
            </w:r>
          </w:p>
        </w:tc>
        <w:tc>
          <w:tcPr>
            <w:tcW w:w="756" w:type="pct"/>
            <w:tcBorders>
              <w:top w:val="nil"/>
              <w:left w:val="nil"/>
              <w:bottom w:val="single" w:color="auto" w:sz="4" w:space="0"/>
              <w:right w:val="single" w:color="auto" w:sz="4" w:space="0"/>
            </w:tcBorders>
            <w:shd w:val="clear" w:color="auto" w:fill="auto"/>
            <w:vAlign w:val="center"/>
          </w:tcPr>
          <w:p w14:paraId="30D5967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50≤Y＜1000</w:t>
            </w:r>
          </w:p>
        </w:tc>
        <w:tc>
          <w:tcPr>
            <w:tcW w:w="524" w:type="pct"/>
            <w:tcBorders>
              <w:top w:val="nil"/>
              <w:left w:val="nil"/>
              <w:bottom w:val="single" w:color="auto" w:sz="4" w:space="0"/>
              <w:right w:val="nil"/>
            </w:tcBorders>
            <w:shd w:val="clear" w:color="auto" w:fill="auto"/>
            <w:vAlign w:val="center"/>
          </w:tcPr>
          <w:p w14:paraId="3AD7B85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602EC54F">
        <w:tblPrEx>
          <w:tblCellMar>
            <w:top w:w="0" w:type="dxa"/>
            <w:left w:w="108" w:type="dxa"/>
            <w:bottom w:w="0" w:type="dxa"/>
            <w:right w:w="108" w:type="dxa"/>
          </w:tblCellMar>
        </w:tblPrEx>
        <w:trPr>
          <w:trHeight w:val="493"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81C872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房地产开发经营</w:t>
            </w:r>
          </w:p>
        </w:tc>
        <w:tc>
          <w:tcPr>
            <w:tcW w:w="725" w:type="pct"/>
            <w:tcBorders>
              <w:top w:val="nil"/>
              <w:left w:val="nil"/>
              <w:bottom w:val="nil"/>
              <w:right w:val="single" w:color="auto" w:sz="4" w:space="0"/>
            </w:tcBorders>
            <w:shd w:val="clear" w:color="auto" w:fill="auto"/>
            <w:vAlign w:val="center"/>
          </w:tcPr>
          <w:p w14:paraId="45CCA4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57584D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22560B0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Y≥200000</w:t>
            </w:r>
          </w:p>
        </w:tc>
        <w:tc>
          <w:tcPr>
            <w:tcW w:w="901" w:type="pct"/>
            <w:tcBorders>
              <w:top w:val="nil"/>
              <w:left w:val="nil"/>
              <w:bottom w:val="nil"/>
              <w:right w:val="single" w:color="auto" w:sz="4" w:space="0"/>
            </w:tcBorders>
            <w:shd w:val="clear" w:color="auto" w:fill="auto"/>
            <w:vAlign w:val="center"/>
          </w:tcPr>
          <w:p w14:paraId="1CF8A84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1000≤Y＜200000</w:t>
            </w:r>
          </w:p>
        </w:tc>
        <w:tc>
          <w:tcPr>
            <w:tcW w:w="756" w:type="pct"/>
            <w:tcBorders>
              <w:top w:val="nil"/>
              <w:left w:val="nil"/>
              <w:bottom w:val="nil"/>
              <w:right w:val="single" w:color="auto" w:sz="4" w:space="0"/>
            </w:tcBorders>
            <w:shd w:val="clear" w:color="auto" w:fill="auto"/>
            <w:vAlign w:val="center"/>
          </w:tcPr>
          <w:p w14:paraId="110E573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nil"/>
              <w:right w:val="nil"/>
            </w:tcBorders>
            <w:shd w:val="clear" w:color="auto" w:fill="auto"/>
            <w:vAlign w:val="center"/>
          </w:tcPr>
          <w:p w14:paraId="775C602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0A1D48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7318124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05C6336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4036377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F8A5B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Z≥10000</w:t>
            </w:r>
          </w:p>
        </w:tc>
        <w:tc>
          <w:tcPr>
            <w:tcW w:w="901" w:type="pct"/>
            <w:tcBorders>
              <w:top w:val="nil"/>
              <w:left w:val="nil"/>
              <w:bottom w:val="single" w:color="auto" w:sz="4" w:space="0"/>
              <w:right w:val="single" w:color="auto" w:sz="4" w:space="0"/>
            </w:tcBorders>
            <w:shd w:val="clear" w:color="auto" w:fill="auto"/>
            <w:vAlign w:val="center"/>
          </w:tcPr>
          <w:p w14:paraId="33E1CA9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5000≤Z＜10000</w:t>
            </w:r>
          </w:p>
        </w:tc>
        <w:tc>
          <w:tcPr>
            <w:tcW w:w="756" w:type="pct"/>
            <w:tcBorders>
              <w:top w:val="nil"/>
              <w:left w:val="nil"/>
              <w:bottom w:val="single" w:color="auto" w:sz="4" w:space="0"/>
              <w:right w:val="single" w:color="auto" w:sz="4" w:space="0"/>
            </w:tcBorders>
            <w:shd w:val="clear" w:color="auto" w:fill="auto"/>
            <w:vAlign w:val="center"/>
          </w:tcPr>
          <w:p w14:paraId="6E2F923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2000≤Z＜5000</w:t>
            </w:r>
          </w:p>
        </w:tc>
        <w:tc>
          <w:tcPr>
            <w:tcW w:w="524" w:type="pct"/>
            <w:tcBorders>
              <w:top w:val="nil"/>
              <w:left w:val="nil"/>
              <w:bottom w:val="single" w:color="auto" w:sz="4" w:space="0"/>
              <w:right w:val="nil"/>
            </w:tcBorders>
            <w:shd w:val="clear" w:color="auto" w:fill="auto"/>
            <w:vAlign w:val="center"/>
          </w:tcPr>
          <w:p w14:paraId="0AA13F7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Z＜2000</w:t>
            </w:r>
          </w:p>
        </w:tc>
      </w:tr>
      <w:tr w14:paraId="52DD8552">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4FE9FA7">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物业管理</w:t>
            </w:r>
          </w:p>
        </w:tc>
        <w:tc>
          <w:tcPr>
            <w:tcW w:w="725" w:type="pct"/>
            <w:tcBorders>
              <w:top w:val="nil"/>
              <w:left w:val="nil"/>
              <w:bottom w:val="nil"/>
              <w:right w:val="single" w:color="auto" w:sz="4" w:space="0"/>
            </w:tcBorders>
            <w:shd w:val="clear" w:color="auto" w:fill="auto"/>
            <w:vAlign w:val="center"/>
          </w:tcPr>
          <w:p w14:paraId="7630060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39C3C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910EF2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4FC65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27C29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524" w:type="pct"/>
            <w:tcBorders>
              <w:top w:val="nil"/>
              <w:left w:val="nil"/>
              <w:bottom w:val="nil"/>
              <w:right w:val="nil"/>
            </w:tcBorders>
            <w:shd w:val="clear" w:color="auto" w:fill="auto"/>
            <w:vAlign w:val="center"/>
          </w:tcPr>
          <w:p w14:paraId="14AE39A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w:t>
            </w:r>
          </w:p>
        </w:tc>
      </w:tr>
      <w:tr w14:paraId="13B7643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1A68BC5E">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6BA7C3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51610F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99D96E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Y≥5000</w:t>
            </w:r>
          </w:p>
        </w:tc>
        <w:tc>
          <w:tcPr>
            <w:tcW w:w="901" w:type="pct"/>
            <w:tcBorders>
              <w:top w:val="nil"/>
              <w:left w:val="nil"/>
              <w:bottom w:val="single" w:color="auto" w:sz="4" w:space="0"/>
              <w:right w:val="single" w:color="auto" w:sz="4" w:space="0"/>
            </w:tcBorders>
            <w:shd w:val="clear" w:color="auto" w:fill="auto"/>
            <w:vAlign w:val="center"/>
          </w:tcPr>
          <w:p w14:paraId="37E7E745">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1000≤Y＜5000 </w:t>
            </w:r>
          </w:p>
        </w:tc>
        <w:tc>
          <w:tcPr>
            <w:tcW w:w="756" w:type="pct"/>
            <w:tcBorders>
              <w:top w:val="nil"/>
              <w:left w:val="nil"/>
              <w:bottom w:val="single" w:color="auto" w:sz="4" w:space="0"/>
              <w:right w:val="single" w:color="auto" w:sz="4" w:space="0"/>
            </w:tcBorders>
            <w:shd w:val="clear" w:color="auto" w:fill="auto"/>
            <w:vAlign w:val="center"/>
          </w:tcPr>
          <w:p w14:paraId="4731D9D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500≤Y＜1000</w:t>
            </w:r>
          </w:p>
        </w:tc>
        <w:tc>
          <w:tcPr>
            <w:tcW w:w="524" w:type="pct"/>
            <w:tcBorders>
              <w:top w:val="nil"/>
              <w:left w:val="nil"/>
              <w:bottom w:val="single" w:color="auto" w:sz="4" w:space="0"/>
              <w:right w:val="nil"/>
            </w:tcBorders>
            <w:shd w:val="clear" w:color="auto" w:fill="auto"/>
            <w:vAlign w:val="center"/>
          </w:tcPr>
          <w:p w14:paraId="29AC61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w:t>
            </w:r>
          </w:p>
        </w:tc>
      </w:tr>
      <w:tr w14:paraId="3BA7E760">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7199F9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租赁和商务服务业</w:t>
            </w:r>
          </w:p>
        </w:tc>
        <w:tc>
          <w:tcPr>
            <w:tcW w:w="725" w:type="pct"/>
            <w:tcBorders>
              <w:top w:val="nil"/>
              <w:left w:val="nil"/>
              <w:bottom w:val="nil"/>
              <w:right w:val="single" w:color="auto" w:sz="4" w:space="0"/>
            </w:tcBorders>
            <w:shd w:val="clear" w:color="auto" w:fill="auto"/>
            <w:vAlign w:val="center"/>
          </w:tcPr>
          <w:p w14:paraId="463D4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1C35B23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F820C7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32D65003">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4818E20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643E368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B226B3D">
        <w:tblPrEx>
          <w:tblCellMar>
            <w:top w:w="0" w:type="dxa"/>
            <w:left w:w="108" w:type="dxa"/>
            <w:bottom w:w="0" w:type="dxa"/>
            <w:right w:w="108" w:type="dxa"/>
          </w:tblCellMar>
        </w:tblPrEx>
        <w:trPr>
          <w:trHeight w:val="510" w:hRule="exact"/>
          <w:jc w:val="center"/>
        </w:trPr>
        <w:tc>
          <w:tcPr>
            <w:tcW w:w="1121" w:type="pct"/>
            <w:vMerge w:val="continue"/>
            <w:tcBorders>
              <w:top w:val="nil"/>
              <w:left w:val="nil"/>
              <w:bottom w:val="single" w:color="auto" w:sz="4" w:space="0"/>
              <w:right w:val="single" w:color="auto" w:sz="4" w:space="0"/>
            </w:tcBorders>
            <w:vAlign w:val="center"/>
          </w:tcPr>
          <w:p w14:paraId="52835203">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134416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175AB97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97D50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Z≥120000</w:t>
            </w:r>
          </w:p>
        </w:tc>
        <w:tc>
          <w:tcPr>
            <w:tcW w:w="901" w:type="pct"/>
            <w:tcBorders>
              <w:top w:val="nil"/>
              <w:left w:val="nil"/>
              <w:bottom w:val="single" w:color="auto" w:sz="4" w:space="0"/>
              <w:right w:val="single" w:color="auto" w:sz="4" w:space="0"/>
            </w:tcBorders>
            <w:shd w:val="clear" w:color="auto" w:fill="auto"/>
            <w:vAlign w:val="center"/>
          </w:tcPr>
          <w:p w14:paraId="3A78E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8000≤Z＜120000</w:t>
            </w:r>
          </w:p>
        </w:tc>
        <w:tc>
          <w:tcPr>
            <w:tcW w:w="756" w:type="pct"/>
            <w:tcBorders>
              <w:top w:val="nil"/>
              <w:left w:val="nil"/>
              <w:bottom w:val="single" w:color="auto" w:sz="4" w:space="0"/>
              <w:right w:val="single" w:color="auto" w:sz="4" w:space="0"/>
            </w:tcBorders>
            <w:shd w:val="clear" w:color="auto" w:fill="auto"/>
            <w:vAlign w:val="center"/>
          </w:tcPr>
          <w:p w14:paraId="2B6A71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100≤Z＜8000</w:t>
            </w:r>
          </w:p>
        </w:tc>
        <w:tc>
          <w:tcPr>
            <w:tcW w:w="524" w:type="pct"/>
            <w:tcBorders>
              <w:top w:val="nil"/>
              <w:left w:val="nil"/>
              <w:bottom w:val="single" w:color="auto" w:sz="4" w:space="0"/>
              <w:right w:val="nil"/>
            </w:tcBorders>
            <w:shd w:val="clear" w:color="auto" w:fill="auto"/>
            <w:vAlign w:val="center"/>
          </w:tcPr>
          <w:p w14:paraId="47A346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w:t>
            </w:r>
          </w:p>
        </w:tc>
      </w:tr>
      <w:tr w14:paraId="2C1E9CB7">
        <w:tblPrEx>
          <w:tblCellMar>
            <w:top w:w="0" w:type="dxa"/>
            <w:left w:w="108" w:type="dxa"/>
            <w:bottom w:w="0" w:type="dxa"/>
            <w:right w:w="108" w:type="dxa"/>
          </w:tblCellMar>
        </w:tblPrEx>
        <w:trPr>
          <w:trHeight w:val="720" w:hRule="exact"/>
          <w:jc w:val="center"/>
        </w:trPr>
        <w:tc>
          <w:tcPr>
            <w:tcW w:w="1121" w:type="pct"/>
            <w:tcBorders>
              <w:top w:val="nil"/>
              <w:left w:val="nil"/>
              <w:bottom w:val="single" w:color="auto" w:sz="4" w:space="0"/>
              <w:right w:val="single" w:color="auto" w:sz="4" w:space="0"/>
            </w:tcBorders>
            <w:shd w:val="clear" w:color="auto" w:fill="auto"/>
            <w:vAlign w:val="center"/>
          </w:tcPr>
          <w:p w14:paraId="5684BF9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其他未列明行业 *</w:t>
            </w:r>
          </w:p>
        </w:tc>
        <w:tc>
          <w:tcPr>
            <w:tcW w:w="725" w:type="pct"/>
            <w:tcBorders>
              <w:top w:val="nil"/>
              <w:left w:val="nil"/>
              <w:bottom w:val="single" w:color="auto" w:sz="4" w:space="0"/>
              <w:right w:val="single" w:color="auto" w:sz="4" w:space="0"/>
            </w:tcBorders>
            <w:shd w:val="clear" w:color="auto" w:fill="auto"/>
            <w:vAlign w:val="center"/>
          </w:tcPr>
          <w:p w14:paraId="2BE196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single" w:color="auto" w:sz="4" w:space="0"/>
              <w:right w:val="single" w:color="auto" w:sz="4" w:space="0"/>
            </w:tcBorders>
            <w:shd w:val="clear" w:color="auto" w:fill="auto"/>
            <w:vAlign w:val="center"/>
          </w:tcPr>
          <w:p w14:paraId="27854EA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single" w:color="auto" w:sz="4" w:space="0"/>
              <w:right w:val="single" w:color="auto" w:sz="4" w:space="0"/>
            </w:tcBorders>
            <w:shd w:val="clear" w:color="auto" w:fill="auto"/>
            <w:vAlign w:val="center"/>
          </w:tcPr>
          <w:p w14:paraId="3D5F86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single" w:color="auto" w:sz="4" w:space="0"/>
              <w:right w:val="single" w:color="auto" w:sz="4" w:space="0"/>
            </w:tcBorders>
            <w:shd w:val="clear" w:color="auto" w:fill="auto"/>
            <w:vAlign w:val="center"/>
          </w:tcPr>
          <w:p w14:paraId="0C1E1D9E">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single" w:color="auto" w:sz="4" w:space="0"/>
              <w:right w:val="single" w:color="auto" w:sz="4" w:space="0"/>
            </w:tcBorders>
            <w:shd w:val="clear" w:color="auto" w:fill="auto"/>
            <w:vAlign w:val="center"/>
          </w:tcPr>
          <w:p w14:paraId="6BCAF4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single" w:color="auto" w:sz="4" w:space="0"/>
              <w:right w:val="nil"/>
            </w:tcBorders>
            <w:shd w:val="clear" w:color="auto" w:fill="auto"/>
            <w:vAlign w:val="center"/>
          </w:tcPr>
          <w:p w14:paraId="10286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bl>
    <w:p w14:paraId="3EA0455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说明：</w:t>
      </w:r>
    </w:p>
    <w:p w14:paraId="1466E79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1.大型、中型和小型企业须同时满足所列指标的下限，否则下划一档；微型企业只须满足所列指标中的一项即可。</w:t>
      </w:r>
    </w:p>
    <w:p w14:paraId="40C76877">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F33104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FCBB8AC">
      <w:pPr>
        <w:spacing w:line="240" w:lineRule="exact"/>
        <w:ind w:firstLine="360" w:firstLineChars="200"/>
        <w:rPr>
          <w:rFonts w:hint="eastAsia" w:ascii="宋体" w:hAnsi="宋体" w:cs="宋体"/>
          <w:color w:val="000000"/>
          <w:sz w:val="18"/>
          <w:szCs w:val="18"/>
          <w:lang w:val="en-US" w:eastAsia="zh-CN"/>
        </w:rPr>
      </w:pPr>
    </w:p>
    <w:p w14:paraId="02D963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Theme="minorHAnsi" w:hAnsiTheme="minorHAnsi" w:eastAsiaTheme="minorEastAsia" w:cstheme="minorBidi"/>
          <w:b/>
          <w:color w:val="auto"/>
          <w:kern w:val="2"/>
          <w:sz w:val="21"/>
          <w:szCs w:val="24"/>
          <w:lang w:val="en-US" w:eastAsia="zh-CN" w:bidi="ar-SA"/>
        </w:rPr>
      </w:pPr>
      <w:r>
        <w:rPr>
          <w:rFonts w:hint="eastAsia" w:asciiTheme="minorHAnsi" w:hAnsiTheme="minorHAnsi" w:eastAsiaTheme="minorEastAsia" w:cstheme="minorBidi"/>
          <w:b/>
          <w:color w:val="auto"/>
          <w:kern w:val="2"/>
          <w:sz w:val="21"/>
          <w:szCs w:val="24"/>
          <w:lang w:val="en-US" w:eastAsia="zh-CN" w:bidi="ar-SA"/>
        </w:rPr>
        <w:t>4、国务院办公厅关于在政府采购中实施本国产品标准及相关政策的通知</w:t>
      </w:r>
    </w:p>
    <w:p w14:paraId="55FC967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shd w:val="clear" w:color="auto" w:fill="FFFFFF"/>
        </w:rPr>
      </w:pPr>
      <w:r>
        <w:rPr>
          <w:rFonts w:ascii="楷体_GB2312" w:hAnsi="楷体_GB2312" w:eastAsia="楷体_GB2312" w:cs="楷体_GB2312"/>
          <w:i w:val="0"/>
          <w:iCs w:val="0"/>
          <w:caps w:val="0"/>
          <w:color w:val="333333"/>
          <w:spacing w:val="0"/>
          <w:sz w:val="21"/>
          <w:szCs w:val="21"/>
          <w:shd w:val="clear" w:color="auto" w:fill="FFFFFF"/>
        </w:rPr>
        <w:t>国办发〔2025〕34号</w:t>
      </w:r>
      <w:r>
        <w:rPr>
          <w:rFonts w:hint="eastAsia" w:ascii="宋体" w:hAnsi="宋体" w:eastAsia="宋体" w:cs="宋体"/>
          <w:i w:val="0"/>
          <w:iCs w:val="0"/>
          <w:caps w:val="0"/>
          <w:color w:val="333333"/>
          <w:spacing w:val="0"/>
          <w:sz w:val="21"/>
          <w:szCs w:val="21"/>
          <w:shd w:val="clear" w:color="auto" w:fill="FFFFFF"/>
        </w:rPr>
        <w:t>  </w:t>
      </w:r>
    </w:p>
    <w:p w14:paraId="70BF84B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各省、自治区、直辖市人民政府，国务院各部委、各直属机构：</w:t>
      </w:r>
    </w:p>
    <w:p w14:paraId="36700AB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B1209F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一、本国产品标准</w:t>
      </w:r>
    </w:p>
    <w:p w14:paraId="53A7DA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本国产品应当符合以下条件：</w:t>
      </w:r>
    </w:p>
    <w:p w14:paraId="07811D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（一）在中国境内生产</w:t>
      </w:r>
    </w:p>
    <w:p w14:paraId="1D0B8DE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产品应当在中国境内生产，即在中华人民共和国关境内实现从原材料、组件到产品的属性改变。</w:t>
      </w:r>
    </w:p>
    <w:p w14:paraId="5218A7F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属性改变是指经过制造、加工或者组装等工序，产生完全不同于原材料、组件的新产品，并具有新的名称和特征（用途）。属性改变不包括以下细微操作：</w:t>
      </w:r>
    </w:p>
    <w:p w14:paraId="7583F37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1.为确保产品在运输或者储存期间保持某种状态而进行的操作；</w:t>
      </w:r>
    </w:p>
    <w:p w14:paraId="7C9D155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2.为产品运输或者销售进行的包装或者展示；</w:t>
      </w:r>
    </w:p>
    <w:p w14:paraId="5C7ABA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3.在产品或者其包装上粘贴或者印刷品牌、标志、标识以及其他用于区别的标记；</w:t>
      </w:r>
    </w:p>
    <w:p w14:paraId="1C3EDEF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4.简单的上漆、磨光和分装；</w:t>
      </w:r>
    </w:p>
    <w:p w14:paraId="4E6615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5.其他不属于属性改变的情形。</w:t>
      </w:r>
    </w:p>
    <w:p w14:paraId="1A548C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（二）在中国境内生产的组件成本占比达到规定比例</w:t>
      </w:r>
    </w:p>
    <w:p w14:paraId="5A44497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产品在中国境内生产的组件成本占比应当达到规定比例，计算公式为：</w:t>
      </w:r>
    </w:p>
    <w:p w14:paraId="748F95A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drawing>
          <wp:inline distT="0" distB="0" distL="114300" distR="114300">
            <wp:extent cx="2733675" cy="390525"/>
            <wp:effectExtent l="0" t="0" r="9525" b="9525"/>
            <wp:docPr id="6"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9"/>
                    <pic:cNvPicPr>
                      <a:picLocks noChangeAspect="1"/>
                    </pic:cNvPicPr>
                  </pic:nvPicPr>
                  <pic:blipFill>
                    <a:blip r:embed="rId7"/>
                    <a:stretch>
                      <a:fillRect/>
                    </a:stretch>
                  </pic:blipFill>
                  <pic:spPr>
                    <a:xfrm>
                      <a:off x="0" y="0"/>
                      <a:ext cx="2733675" cy="390525"/>
                    </a:xfrm>
                    <a:prstGeom prst="rect">
                      <a:avLst/>
                    </a:prstGeom>
                    <a:noFill/>
                    <a:ln>
                      <a:noFill/>
                    </a:ln>
                  </pic:spPr>
                </pic:pic>
              </a:graphicData>
            </a:graphic>
          </wp:inline>
        </w:drawing>
      </w:r>
    </w:p>
    <w:p w14:paraId="2B92452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23538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（三）特定产品的关键组件、关键工序符合相关要求</w:t>
      </w:r>
    </w:p>
    <w:p w14:paraId="0773D6E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对特定产品，在符合本通知第一条第（一）项和第（二）项条件的基础上，应当符合财政部会同有关行业主管部门确定的其关键组件、关键工序在中国境内生产、完成等要求。</w:t>
      </w:r>
    </w:p>
    <w:p w14:paraId="0964E0E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18A66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二、本国产品标准的适用范围</w:t>
      </w:r>
    </w:p>
    <w:p w14:paraId="79720E0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b/>
          <w:bCs/>
          <w:i w:val="0"/>
          <w:iCs w:val="0"/>
          <w:caps w:val="0"/>
          <w:color w:val="FF0000"/>
          <w:spacing w:val="0"/>
          <w:sz w:val="21"/>
          <w:szCs w:val="21"/>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CBB4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三、对本国产品的支持政策</w:t>
      </w:r>
    </w:p>
    <w:p w14:paraId="73E0980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政府采购活动中既有本国产品又有非本国产品参与竞争的，依法对本国产品给予价格评审优惠，对本国产品的报价给予20%的价格扣除，用扣除后的价格参与评审。</w:t>
      </w:r>
    </w:p>
    <w:p w14:paraId="6DD2802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A3CCF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四、政策执行要求</w:t>
      </w:r>
    </w:p>
    <w:p w14:paraId="36C4A40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（一）产品在中国境内生产的组件成本核算规则。产品在中国境内生产的组件成本，按照《中国境内生产的组件成本核算基本规则》（见附件1）计算。</w:t>
      </w:r>
    </w:p>
    <w:p w14:paraId="4129D21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AF4E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采购人、采购代理机构应当随中标、成交结果同时公告中标、成交供应商提供的《声明函》或有关证明文件。</w:t>
      </w:r>
    </w:p>
    <w:p w14:paraId="2BF9FB3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4F4E69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（四）中华人民共和国缔结或者共同参加的国际条约、协定对政府采购中本国产品政策另有规定的，按照有关条约、协定执行。</w:t>
      </w:r>
    </w:p>
    <w:p w14:paraId="27676B5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五、争议处理</w:t>
      </w:r>
    </w:p>
    <w:p w14:paraId="381B739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94866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（一）政府采购投诉处理、监督检查中，对产品或组件是否在中国境内生产存在争议的，按照以下原则处理：</w:t>
      </w:r>
    </w:p>
    <w:p w14:paraId="4BD7AB2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438A4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EF985A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16ACB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7A1C41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0B6062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本通知自2026年1月1日起施行。</w:t>
      </w:r>
    </w:p>
    <w:p w14:paraId="5361AEB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附件：1.中国境内生产的组件成本核算基本规则</w:t>
      </w:r>
    </w:p>
    <w:p w14:paraId="6178648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　　　2.关于符合本国产品标准的声明函</w:t>
      </w:r>
    </w:p>
    <w:p w14:paraId="7289F6B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国务院办公厅         </w:t>
      </w:r>
    </w:p>
    <w:p w14:paraId="10CD1F6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2025年9月28日  </w:t>
      </w:r>
      <w:r>
        <w:rPr>
          <w:rFonts w:hint="eastAsia" w:ascii="宋体" w:hAnsi="宋体" w:eastAsia="宋体" w:cs="宋体"/>
          <w:i w:val="0"/>
          <w:iCs w:val="0"/>
          <w:caps w:val="0"/>
          <w:color w:val="333333"/>
          <w:spacing w:val="0"/>
          <w:sz w:val="24"/>
          <w:szCs w:val="24"/>
          <w:shd w:val="clear" w:color="auto" w:fill="FFFFFF"/>
        </w:rPr>
        <w:t>  </w:t>
      </w:r>
    </w:p>
    <w:p w14:paraId="563C520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rPr>
      </w:pPr>
    </w:p>
    <w:p w14:paraId="30048A4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pPr>
    </w:p>
    <w:p w14:paraId="70E47E7A">
      <w:r>
        <w:rPr>
          <w:rFonts w:hint="eastAsia" w:ascii="宋体" w:hAnsi="宋体" w:eastAsia="宋体"/>
          <w:b/>
          <w:bCs/>
          <w:szCs w:val="21"/>
        </w:rPr>
        <w:t>附件</w:t>
      </w:r>
      <w:r>
        <w:rPr>
          <w:rFonts w:hint="eastAsia" w:ascii="宋体" w:hAnsi="宋体" w:eastAsia="宋体"/>
          <w:b/>
          <w:bCs/>
          <w:szCs w:val="21"/>
          <w:lang w:val="en-US" w:eastAsia="zh-CN"/>
        </w:rPr>
        <w:t>1.</w:t>
      </w:r>
      <w:r>
        <w:rPr>
          <w:rFonts w:hint="eastAsia" w:ascii="宋体" w:hAnsi="宋体" w:eastAsia="宋体"/>
          <w:b/>
          <w:bCs/>
          <w:szCs w:val="21"/>
        </w:rPr>
        <w:t>中国境内生产的组件成本核算基本规则</w:t>
      </w:r>
    </w:p>
    <w:p w14:paraId="5AA190C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AE4679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一、产品的一级组件是指直接组成产品的组件。产品的二级组件是指直接组成产品一级组件的组件。一级组件不可分解的，视同二级组件。</w:t>
      </w:r>
    </w:p>
    <w:p w14:paraId="3AE278A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二、二级组件在中国境内生产的，其全部成本计入中国境内生产的组件成本；二级组件不在中国境内生产的，其成本不计入中国境内生产的组件成本。</w:t>
      </w:r>
    </w:p>
    <w:p w14:paraId="335DC1C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三、产品总成本和组件成本以相关会计核算数据、采购合同、进货记录等为基础进行计算。</w:t>
      </w:r>
    </w:p>
    <w:p w14:paraId="45F6E99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四、需要对成本核算规则予以进一步明确的其他有关事项，由财政部会同有关部门另行规定。</w:t>
      </w:r>
    </w:p>
    <w:p w14:paraId="1ED59E9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4FCD19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F1FCDD7">
      <w:r>
        <w:rPr>
          <w:rFonts w:hint="eastAsia" w:ascii="宋体" w:hAnsi="宋体" w:eastAsia="宋体"/>
          <w:b/>
          <w:bCs/>
          <w:szCs w:val="21"/>
        </w:rPr>
        <w:t>附件</w:t>
      </w:r>
      <w:r>
        <w:rPr>
          <w:rFonts w:hint="eastAsia" w:ascii="宋体" w:hAnsi="宋体" w:eastAsia="宋体"/>
          <w:b/>
          <w:bCs/>
          <w:szCs w:val="21"/>
          <w:lang w:val="en-US" w:eastAsia="zh-CN"/>
        </w:rPr>
        <w:t>2.</w:t>
      </w:r>
      <w:r>
        <w:rPr>
          <w:rFonts w:hint="eastAsia" w:ascii="宋体" w:hAnsi="宋体" w:eastAsia="宋体"/>
          <w:b/>
          <w:bCs/>
          <w:szCs w:val="21"/>
        </w:rPr>
        <w:t>关于符合本国产品标准的声明函</w:t>
      </w:r>
      <w:r>
        <w:rPr>
          <w:rFonts w:hint="eastAsia" w:ascii="宋体" w:hAnsi="宋体" w:eastAsia="宋体"/>
          <w:b/>
          <w:bCs/>
          <w:szCs w:val="21"/>
          <w:lang w:eastAsia="zh-CN"/>
        </w:rPr>
        <w:t>（</w:t>
      </w:r>
      <w:r>
        <w:rPr>
          <w:rFonts w:hint="eastAsia" w:ascii="宋体" w:hAnsi="宋体" w:eastAsia="宋体"/>
          <w:b/>
          <w:bCs/>
          <w:szCs w:val="21"/>
          <w:lang w:val="en-US" w:eastAsia="zh-CN"/>
        </w:rPr>
        <w:t>请供应商根据实际情况填写此函</w:t>
      </w:r>
      <w:r>
        <w:rPr>
          <w:rFonts w:hint="eastAsia" w:ascii="宋体" w:hAnsi="宋体" w:eastAsia="宋体"/>
          <w:b/>
          <w:bCs/>
          <w:szCs w:val="21"/>
          <w:lang w:eastAsia="zh-CN"/>
        </w:rPr>
        <w:t>）</w:t>
      </w:r>
    </w:p>
    <w:p w14:paraId="74BFEB5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D60A1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w:t>
      </w:r>
      <w:r>
        <w:rPr>
          <w:rStyle w:val="21"/>
          <w:rFonts w:hint="eastAsia" w:ascii="宋体" w:hAnsi="宋体" w:eastAsia="宋体" w:cs="宋体"/>
          <w:i w:val="0"/>
          <w:iCs w:val="0"/>
          <w:caps w:val="0"/>
          <w:color w:val="333333"/>
          <w:spacing w:val="0"/>
          <w:sz w:val="21"/>
          <w:szCs w:val="21"/>
          <w:shd w:val="clear" w:color="auto" w:fill="FFFFFF"/>
        </w:rPr>
        <w:t>（产品名称1）</w:t>
      </w:r>
      <w:r>
        <w:rPr>
          <w:rStyle w:val="21"/>
          <w:rFonts w:hint="eastAsia" w:ascii="宋体" w:hAnsi="宋体" w:eastAsia="宋体" w:cs="宋体"/>
          <w:i w:val="0"/>
          <w:iCs w:val="0"/>
          <w:caps w:val="0"/>
          <w:color w:val="333333"/>
          <w:spacing w:val="0"/>
          <w:sz w:val="21"/>
          <w:szCs w:val="21"/>
          <w:shd w:val="clear" w:color="auto" w:fill="FFFFFF"/>
          <w:vertAlign w:val="superscript"/>
        </w:rPr>
        <w:t>1</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Style w:val="21"/>
          <w:rFonts w:hint="eastAsia" w:ascii="宋体" w:hAnsi="宋体" w:eastAsia="宋体" w:cs="宋体"/>
          <w:i w:val="0"/>
          <w:iCs w:val="0"/>
          <w:caps w:val="0"/>
          <w:color w:val="333333"/>
          <w:spacing w:val="0"/>
          <w:sz w:val="21"/>
          <w:szCs w:val="21"/>
          <w:shd w:val="clear" w:color="auto" w:fill="FFFFFF"/>
          <w:vertAlign w:val="superscript"/>
        </w:rPr>
        <w:t>2</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Style w:val="21"/>
          <w:rFonts w:hint="eastAsia" w:ascii="宋体" w:hAnsi="宋体" w:eastAsia="宋体" w:cs="宋体"/>
          <w:i w:val="0"/>
          <w:iCs w:val="0"/>
          <w:caps w:val="0"/>
          <w:color w:val="333333"/>
          <w:spacing w:val="0"/>
          <w:sz w:val="21"/>
          <w:szCs w:val="21"/>
          <w:shd w:val="clear" w:color="auto" w:fill="FFFFFF"/>
          <w:vertAlign w:val="superscript"/>
        </w:rPr>
        <w:t>3</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Style w:val="21"/>
          <w:rFonts w:hint="eastAsia" w:ascii="宋体" w:hAnsi="宋体" w:eastAsia="宋体" w:cs="宋体"/>
          <w:i w:val="0"/>
          <w:iCs w:val="0"/>
          <w:caps w:val="0"/>
          <w:color w:val="333333"/>
          <w:spacing w:val="0"/>
          <w:sz w:val="21"/>
          <w:szCs w:val="21"/>
          <w:shd w:val="clear" w:color="auto" w:fill="FFFFFF"/>
          <w:vertAlign w:val="superscript"/>
        </w:rPr>
        <w:t>4</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Style w:val="21"/>
          <w:rFonts w:hint="eastAsia" w:ascii="宋体" w:hAnsi="宋体" w:eastAsia="宋体" w:cs="宋体"/>
          <w:i w:val="0"/>
          <w:iCs w:val="0"/>
          <w:caps w:val="0"/>
          <w:color w:val="333333"/>
          <w:spacing w:val="0"/>
          <w:sz w:val="21"/>
          <w:szCs w:val="21"/>
          <w:shd w:val="clear" w:color="auto" w:fill="FFFFFF"/>
          <w:vertAlign w:val="superscript"/>
        </w:rPr>
        <w:t>5</w:t>
      </w:r>
      <w:r>
        <w:rPr>
          <w:rFonts w:hint="eastAsia" w:ascii="宋体" w:hAnsi="宋体" w:eastAsia="宋体" w:cs="宋体"/>
          <w:i w:val="0"/>
          <w:iCs w:val="0"/>
          <w:caps w:val="0"/>
          <w:color w:val="333333"/>
          <w:spacing w:val="0"/>
          <w:sz w:val="21"/>
          <w:szCs w:val="21"/>
          <w:shd w:val="clear" w:color="auto" w:fill="FFFFFF"/>
        </w:rPr>
        <w:t>在中国境内完成。</w:t>
      </w:r>
    </w:p>
    <w:p w14:paraId="5C7090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2.</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Fonts w:hint="eastAsia" w:ascii="宋体" w:hAnsi="宋体" w:eastAsia="宋体" w:cs="宋体"/>
          <w:i w:val="0"/>
          <w:iCs w:val="0"/>
          <w:caps w:val="0"/>
          <w:color w:val="333333"/>
          <w:spacing w:val="0"/>
          <w:sz w:val="21"/>
          <w:szCs w:val="21"/>
          <w:shd w:val="clear" w:color="auto" w:fill="FFFFFF"/>
        </w:rPr>
        <w:t>在中国境内完成。</w:t>
      </w:r>
    </w:p>
    <w:p w14:paraId="061DE0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w:t>
      </w:r>
    </w:p>
    <w:p w14:paraId="3567796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p>
    <w:p w14:paraId="4F26054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rPr>
        <w:t>本公司（单位）</w:t>
      </w:r>
      <w:r>
        <w:rPr>
          <w:rFonts w:hint="eastAsia" w:ascii="宋体" w:hAnsi="宋体" w:eastAsia="宋体" w:cs="宋体"/>
          <w:i w:val="0"/>
          <w:iCs w:val="0"/>
          <w:caps w:val="0"/>
          <w:color w:val="333333"/>
          <w:spacing w:val="0"/>
          <w:sz w:val="21"/>
          <w:szCs w:val="21"/>
          <w:shd w:val="clear" w:color="auto" w:fill="FFFFFF"/>
          <w:lang w:val="en-US" w:eastAsia="zh-CN"/>
        </w:rPr>
        <w:t>承诺：</w:t>
      </w:r>
    </w:p>
    <w:p w14:paraId="14E69B3C">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1.</w:t>
      </w:r>
      <w:r>
        <w:rPr>
          <w:rFonts w:hint="eastAsia" w:ascii="宋体" w:hAnsi="宋体" w:eastAsia="宋体" w:cs="宋体"/>
          <w:b w:val="0"/>
          <w:bCs w:val="0"/>
          <w:i w:val="0"/>
          <w:iCs w:val="0"/>
          <w:caps w:val="0"/>
          <w:color w:val="auto"/>
          <w:spacing w:val="0"/>
          <w:sz w:val="21"/>
          <w:szCs w:val="21"/>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u w:val="none"/>
          <w:shd w:val="clear" w:color="auto" w:fill="FFFFFF"/>
          <w:lang w:val="en-US" w:eastAsia="zh-CN"/>
        </w:rPr>
        <w:t>元；</w:t>
      </w:r>
    </w:p>
    <w:p w14:paraId="53716A7F">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none"/>
          <w:shd w:val="clear" w:color="auto" w:fill="FFFFFF"/>
          <w:lang w:val="en-US" w:eastAsia="zh-CN"/>
        </w:rPr>
      </w:pPr>
      <w:r>
        <w:rPr>
          <w:rFonts w:hint="eastAsia" w:ascii="宋体" w:hAnsi="宋体" w:eastAsia="宋体" w:cs="宋体"/>
          <w:i w:val="0"/>
          <w:iCs w:val="0"/>
          <w:caps w:val="0"/>
          <w:color w:val="333333"/>
          <w:spacing w:val="0"/>
          <w:kern w:val="0"/>
          <w:sz w:val="21"/>
          <w:szCs w:val="21"/>
          <w:shd w:val="clear" w:fill="FFFFFF"/>
          <w:lang w:val="en-US" w:eastAsia="zh-CN" w:bidi="ar"/>
        </w:rPr>
        <w:t>2.</w:t>
      </w:r>
      <w:r>
        <w:rPr>
          <w:rFonts w:hint="eastAsia" w:ascii="宋体" w:hAnsi="宋体" w:eastAsia="宋体" w:cs="宋体"/>
          <w:b w:val="0"/>
          <w:bCs w:val="0"/>
          <w:i w:val="0"/>
          <w:iCs w:val="0"/>
          <w:caps w:val="0"/>
          <w:color w:val="auto"/>
          <w:spacing w:val="0"/>
          <w:sz w:val="21"/>
          <w:szCs w:val="21"/>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shd w:val="clear" w:color="auto" w:fill="FFFFFF"/>
          <w:lang w:val="en-US" w:eastAsia="zh-CN"/>
        </w:rPr>
        <w:t>为：</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u w:val="none"/>
          <w:shd w:val="clear" w:color="auto" w:fill="FFFFFF"/>
          <w:lang w:val="en-US" w:eastAsia="zh-CN"/>
        </w:rPr>
        <w:t>元；</w:t>
      </w:r>
    </w:p>
    <w:p w14:paraId="5EB47894">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single"/>
          <w:shd w:val="clear" w:color="auto" w:fill="FFFFFF"/>
          <w:lang w:val="en-US" w:eastAsia="zh-CN"/>
        </w:rPr>
      </w:pPr>
      <w:r>
        <w:rPr>
          <w:rFonts w:hint="eastAsia" w:ascii="宋体" w:hAnsi="宋体" w:eastAsia="宋体" w:cs="宋体"/>
          <w:i w:val="0"/>
          <w:iCs w:val="0"/>
          <w:caps w:val="0"/>
          <w:color w:val="333333"/>
          <w:spacing w:val="0"/>
          <w:sz w:val="21"/>
          <w:szCs w:val="21"/>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 （选择填写“是”或“否”，二选一） </w:t>
      </w:r>
      <w:r>
        <w:rPr>
          <w:rFonts w:hint="eastAsia" w:ascii="宋体" w:hAnsi="宋体" w:eastAsia="宋体" w:cs="宋体"/>
          <w:i w:val="0"/>
          <w:iCs w:val="0"/>
          <w:caps w:val="0"/>
          <w:color w:val="333333"/>
          <w:spacing w:val="0"/>
          <w:sz w:val="21"/>
          <w:szCs w:val="21"/>
          <w:u w:val="none"/>
          <w:shd w:val="clear" w:color="auto" w:fill="FFFFFF"/>
          <w:lang w:val="en-US" w:eastAsia="zh-CN"/>
        </w:rPr>
        <w:t>≥80%。</w:t>
      </w:r>
    </w:p>
    <w:p w14:paraId="2E26305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792575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注：</w:t>
      </w:r>
    </w:p>
    <w:p w14:paraId="0575D91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7990EB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2.适用本国产品标准的货物总报价=总报价-不适用本国产品标准的货物总报价</w:t>
      </w:r>
    </w:p>
    <w:p w14:paraId="75D311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19E91B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443FE9F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本公司（单位）对上述声明内容的真实性负责。如有虚假，愿承担相应法律责任。</w:t>
      </w:r>
    </w:p>
    <w:p w14:paraId="7AF5EB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公司（单位）名称（盖章）：      </w:t>
      </w:r>
    </w:p>
    <w:p w14:paraId="39B2500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日期：　　　　　年　　月　日    </w:t>
      </w:r>
    </w:p>
    <w:p w14:paraId="059217C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sz w:val="21"/>
          <w:szCs w:val="21"/>
        </w:rPr>
      </w:pPr>
    </w:p>
    <w:p w14:paraId="669999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1.产品如有型号，请在“产品名称”栏一并填写。</w:t>
      </w:r>
    </w:p>
    <w:p w14:paraId="15C7AF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2.生产厂名与厂址应与生产厂营业执照载明的相关信息保持一致。</w:t>
      </w:r>
    </w:p>
    <w:p w14:paraId="2204944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3.该产品的中国境内生产的组件成本占比相关要求实施前，“规定比例”栏可不填，下同。</w:t>
      </w:r>
    </w:p>
    <w:p w14:paraId="476FB5D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4.该产品的关键组件要求实施前，“关键组件”栏可不填，下同。</w:t>
      </w:r>
    </w:p>
    <w:p w14:paraId="1010ED76">
      <w:pPr>
        <w:pStyle w:val="2"/>
        <w:numPr>
          <w:ilvl w:val="0"/>
          <w:numId w:val="0"/>
        </w:numPr>
        <w:spacing w:after="120"/>
        <w:ind w:firstLine="210" w:firstLineChars="1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rPr>
        <w:t>5.该产品的关键工序要求实施前，“关键工序”栏可不填，下同。</w:t>
      </w:r>
    </w:p>
    <w:p w14:paraId="362F04DC">
      <w:pPr>
        <w:pStyle w:val="2"/>
        <w:numPr>
          <w:ilvl w:val="0"/>
          <w:numId w:val="0"/>
        </w:numPr>
        <w:spacing w:after="120"/>
        <w:rPr>
          <w:rFonts w:hint="eastAsia" w:ascii="宋体" w:hAnsi="宋体" w:eastAsia="宋体" w:cs="宋体"/>
          <w:i w:val="0"/>
          <w:iCs w:val="0"/>
          <w:caps w:val="0"/>
          <w:color w:val="333333"/>
          <w:spacing w:val="0"/>
          <w:sz w:val="21"/>
          <w:szCs w:val="21"/>
          <w:shd w:val="clear" w:fill="FFFFFF"/>
        </w:rPr>
      </w:pPr>
    </w:p>
    <w:p w14:paraId="77AFA75C">
      <w:pPr>
        <w:pStyle w:val="2"/>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lang w:val="en-US" w:eastAsia="zh-CN"/>
        </w:rPr>
        <w:t>根据《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6A69460F">
      <w:pPr>
        <w:rPr>
          <w:color w:val="auto"/>
        </w:rPr>
      </w:pPr>
    </w:p>
    <w:p w14:paraId="64691BFF">
      <w:pPr>
        <w:rPr>
          <w:color w:val="auto"/>
        </w:rPr>
      </w:pPr>
    </w:p>
    <w:p w14:paraId="2A982AB6">
      <w:pPr>
        <w:rPr>
          <w:color w:val="auto"/>
        </w:rPr>
      </w:pPr>
    </w:p>
    <w:p w14:paraId="5A426C0A">
      <w:pPr>
        <w:rPr>
          <w:color w:val="auto"/>
        </w:rPr>
      </w:pPr>
    </w:p>
    <w:p w14:paraId="1D8E6724">
      <w:pPr>
        <w:rPr>
          <w:color w:val="auto"/>
        </w:rPr>
      </w:pPr>
    </w:p>
    <w:p w14:paraId="1A3E840D">
      <w:pPr>
        <w:rPr>
          <w:color w:val="auto"/>
        </w:rPr>
      </w:pPr>
    </w:p>
    <w:p w14:paraId="093493CD">
      <w:pPr>
        <w:rPr>
          <w:color w:val="auto"/>
        </w:rPr>
      </w:pPr>
    </w:p>
    <w:p w14:paraId="1D37C6CC">
      <w:pPr>
        <w:rPr>
          <w:color w:val="auto"/>
        </w:rPr>
      </w:pPr>
    </w:p>
    <w:p w14:paraId="42F5E4C0">
      <w:pPr>
        <w:rPr>
          <w:color w:val="auto"/>
        </w:rPr>
      </w:pPr>
    </w:p>
    <w:p w14:paraId="14AF4BAD">
      <w:pPr>
        <w:rPr>
          <w:color w:val="auto"/>
        </w:rPr>
      </w:pPr>
    </w:p>
    <w:p w14:paraId="2F1C726D">
      <w:pPr>
        <w:rPr>
          <w:color w:val="auto"/>
        </w:rPr>
      </w:pPr>
    </w:p>
    <w:p w14:paraId="0C3B96BD">
      <w:pPr>
        <w:rPr>
          <w:color w:val="auto"/>
        </w:rPr>
      </w:pPr>
    </w:p>
    <w:p w14:paraId="42B9973E">
      <w:pPr>
        <w:rPr>
          <w:color w:val="auto"/>
        </w:rPr>
      </w:pPr>
    </w:p>
    <w:p w14:paraId="3EF6F41F">
      <w:pPr>
        <w:rPr>
          <w:color w:val="auto"/>
        </w:rPr>
      </w:pPr>
    </w:p>
    <w:p w14:paraId="44A7480B">
      <w:pPr>
        <w:rPr>
          <w:color w:val="auto"/>
        </w:rPr>
      </w:pPr>
    </w:p>
    <w:p w14:paraId="2E9D95E9">
      <w:pPr>
        <w:rPr>
          <w:color w:val="auto"/>
        </w:rPr>
      </w:pPr>
    </w:p>
    <w:p w14:paraId="6206D5B6">
      <w:pPr>
        <w:rPr>
          <w:color w:val="auto"/>
        </w:rPr>
      </w:pPr>
    </w:p>
    <w:p w14:paraId="663A38CC">
      <w:pPr>
        <w:rPr>
          <w:color w:val="auto"/>
        </w:rPr>
      </w:pPr>
    </w:p>
    <w:p w14:paraId="680B9D94">
      <w:pPr>
        <w:rPr>
          <w:color w:val="auto"/>
        </w:rPr>
      </w:pPr>
    </w:p>
    <w:p w14:paraId="4D84F8E4">
      <w:pPr>
        <w:rPr>
          <w:color w:val="auto"/>
        </w:rPr>
      </w:pPr>
    </w:p>
    <w:p w14:paraId="406BD766">
      <w:pPr>
        <w:pStyle w:val="4"/>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0" w:name="_Toc824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开标一览表(报价表)</w:t>
      </w:r>
      <w:bookmarkEnd w:id="25"/>
      <w:bookmarkEnd w:id="30"/>
    </w:p>
    <w:bookmarkEnd w:id="22"/>
    <w:bookmarkEnd w:id="23"/>
    <w:tbl>
      <w:tblPr>
        <w:tblStyle w:val="16"/>
        <w:tblW w:w="10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65"/>
        <w:gridCol w:w="1870"/>
        <w:gridCol w:w="1435"/>
        <w:gridCol w:w="1078"/>
        <w:gridCol w:w="2612"/>
      </w:tblGrid>
      <w:tr w14:paraId="1F687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38" w:type="dxa"/>
            <w:tcBorders>
              <w:top w:val="single" w:color="auto" w:sz="12" w:space="0"/>
              <w:bottom w:val="single" w:color="auto" w:sz="12" w:space="0"/>
            </w:tcBorders>
            <w:shd w:val="clear" w:color="auto" w:fill="EEECE1"/>
            <w:vAlign w:val="center"/>
          </w:tcPr>
          <w:p w14:paraId="12F100D1">
            <w:pPr>
              <w:keepNext w:val="0"/>
              <w:keepLines w:val="0"/>
              <w:suppressLineNumbers w:val="0"/>
              <w:spacing w:before="0" w:beforeAutospacing="0" w:after="0" w:afterAutospacing="0"/>
              <w:ind w:left="0" w:right="0"/>
              <w:jc w:val="center"/>
              <w:rPr>
                <w:rFonts w:hint="default" w:ascii="宋体" w:eastAsia="宋体"/>
                <w:b/>
                <w:color w:val="auto"/>
                <w:szCs w:val="21"/>
                <w:lang w:val="en-US" w:eastAsia="zh-CN"/>
              </w:rPr>
            </w:pPr>
            <w:r>
              <w:rPr>
                <w:rFonts w:hint="eastAsia" w:ascii="宋体"/>
                <w:b/>
                <w:color w:val="auto"/>
                <w:szCs w:val="21"/>
                <w:lang w:val="en-US" w:eastAsia="zh-CN"/>
              </w:rPr>
              <w:t>采购编号</w:t>
            </w:r>
          </w:p>
        </w:tc>
        <w:tc>
          <w:tcPr>
            <w:tcW w:w="1665" w:type="dxa"/>
            <w:tcBorders>
              <w:top w:val="single" w:color="auto" w:sz="12" w:space="0"/>
              <w:bottom w:val="single" w:color="auto" w:sz="12" w:space="0"/>
            </w:tcBorders>
            <w:shd w:val="clear" w:color="auto" w:fill="EEECE1"/>
            <w:vAlign w:val="center"/>
          </w:tcPr>
          <w:p w14:paraId="7DF2F416">
            <w:pPr>
              <w:keepNext w:val="0"/>
              <w:keepLines w:val="0"/>
              <w:suppressLineNumbers w:val="0"/>
              <w:spacing w:before="0" w:beforeAutospacing="0" w:after="0" w:afterAutospacing="0"/>
              <w:ind w:left="0" w:right="0"/>
              <w:jc w:val="center"/>
              <w:rPr>
                <w:rFonts w:hint="default" w:ascii="宋体" w:eastAsia="宋体" w:hAnsiTheme="minorHAnsi" w:cstheme="minorBidi"/>
                <w:b/>
                <w:color w:val="auto"/>
                <w:kern w:val="2"/>
                <w:sz w:val="21"/>
                <w:szCs w:val="21"/>
                <w:lang w:val="en-US" w:eastAsia="zh-CN" w:bidi="ar-SA"/>
              </w:rPr>
            </w:pPr>
            <w:r>
              <w:rPr>
                <w:rFonts w:hint="eastAsia" w:ascii="宋体"/>
                <w:b/>
                <w:color w:val="auto"/>
                <w:szCs w:val="21"/>
                <w:lang w:val="en-US" w:eastAsia="zh-CN"/>
              </w:rPr>
              <w:t>采购名称</w:t>
            </w:r>
          </w:p>
        </w:tc>
        <w:tc>
          <w:tcPr>
            <w:tcW w:w="1870" w:type="dxa"/>
            <w:tcBorders>
              <w:top w:val="single" w:color="auto" w:sz="12" w:space="0"/>
              <w:bottom w:val="single" w:color="auto" w:sz="12" w:space="0"/>
            </w:tcBorders>
            <w:shd w:val="clear" w:color="auto" w:fill="EEECE1"/>
            <w:vAlign w:val="center"/>
          </w:tcPr>
          <w:p w14:paraId="0FC0ABDC">
            <w:pPr>
              <w:keepNext w:val="0"/>
              <w:keepLines w:val="0"/>
              <w:suppressLineNumbers w:val="0"/>
              <w:tabs>
                <w:tab w:val="left" w:pos="8364"/>
              </w:tabs>
              <w:snapToGrid w:val="0"/>
              <w:spacing w:before="0" w:beforeAutospacing="0" w:after="0" w:afterAutospacing="0"/>
              <w:ind w:left="0" w:right="-58"/>
              <w:jc w:val="center"/>
              <w:rPr>
                <w:rFonts w:hint="eastAsia" w:ascii="宋体"/>
                <w:b/>
                <w:color w:val="auto"/>
                <w:szCs w:val="21"/>
              </w:rPr>
            </w:pPr>
            <w:r>
              <w:rPr>
                <w:rFonts w:hint="eastAsia" w:ascii="宋体" w:hAnsi="宋体" w:eastAsia="宋体" w:cs="宋体"/>
                <w:b/>
                <w:szCs w:val="21"/>
                <w:highlight w:val="none"/>
              </w:rPr>
              <w:t>制造商、原产地</w:t>
            </w:r>
          </w:p>
        </w:tc>
        <w:tc>
          <w:tcPr>
            <w:tcW w:w="1435" w:type="dxa"/>
            <w:tcBorders>
              <w:top w:val="single" w:color="auto" w:sz="12" w:space="0"/>
              <w:bottom w:val="single" w:color="auto" w:sz="12" w:space="0"/>
            </w:tcBorders>
            <w:shd w:val="clear" w:color="auto" w:fill="EEECE1"/>
            <w:vAlign w:val="center"/>
          </w:tcPr>
          <w:p w14:paraId="65458354">
            <w:pPr>
              <w:keepNext w:val="0"/>
              <w:keepLines w:val="0"/>
              <w:suppressLineNumbers w:val="0"/>
              <w:spacing w:before="0" w:beforeAutospacing="0" w:after="0" w:afterAutospacing="0"/>
              <w:ind w:left="0" w:right="0"/>
              <w:jc w:val="center"/>
              <w:rPr>
                <w:rFonts w:hint="eastAsia" w:ascii="宋体" w:hAnsi="宋体" w:cs="宋体"/>
                <w:b/>
                <w:color w:val="FF0000"/>
                <w:szCs w:val="21"/>
                <w:highlight w:val="none"/>
                <w:lang w:eastAsia="zh-CN"/>
              </w:rPr>
            </w:pPr>
            <w:r>
              <w:rPr>
                <w:rFonts w:hint="eastAsia" w:ascii="宋体" w:hAnsi="宋体" w:eastAsia="宋体" w:cs="宋体"/>
                <w:b/>
                <w:szCs w:val="21"/>
                <w:highlight w:val="none"/>
              </w:rPr>
              <w:t>品牌、型号</w:t>
            </w:r>
          </w:p>
        </w:tc>
        <w:tc>
          <w:tcPr>
            <w:tcW w:w="1078" w:type="dxa"/>
            <w:tcBorders>
              <w:top w:val="single" w:color="auto" w:sz="12" w:space="0"/>
              <w:bottom w:val="single" w:color="auto" w:sz="12" w:space="0"/>
            </w:tcBorders>
            <w:shd w:val="clear" w:color="auto" w:fill="EEECE1"/>
            <w:vAlign w:val="center"/>
          </w:tcPr>
          <w:p w14:paraId="0DE0CD21">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ascii="宋体"/>
                <w:b/>
                <w:color w:val="auto"/>
                <w:szCs w:val="21"/>
              </w:rPr>
              <w:t>数量</w:t>
            </w:r>
          </w:p>
        </w:tc>
        <w:tc>
          <w:tcPr>
            <w:tcW w:w="2612" w:type="dxa"/>
            <w:tcBorders>
              <w:top w:val="single" w:color="auto" w:sz="12" w:space="0"/>
              <w:bottom w:val="single" w:color="auto" w:sz="12" w:space="0"/>
            </w:tcBorders>
            <w:shd w:val="clear" w:color="auto" w:fill="EEECE1"/>
            <w:vAlign w:val="center"/>
          </w:tcPr>
          <w:p w14:paraId="07C9EA11">
            <w:pPr>
              <w:keepNext w:val="0"/>
              <w:keepLines w:val="0"/>
              <w:suppressLineNumbers w:val="0"/>
              <w:spacing w:before="0" w:beforeAutospacing="0" w:after="0" w:afterAutospacing="0"/>
              <w:ind w:left="0" w:right="0"/>
              <w:jc w:val="center"/>
              <w:rPr>
                <w:rFonts w:hint="eastAsia" w:hAnsi="宋体"/>
                <w:b/>
                <w:color w:val="auto"/>
                <w:vertAlign w:val="baseline"/>
                <w:lang w:val="en-US" w:eastAsia="zh-CN"/>
              </w:rPr>
            </w:pPr>
            <w:r>
              <w:rPr>
                <w:rFonts w:hint="eastAsia" w:hAnsi="宋体"/>
                <w:b/>
                <w:color w:val="auto"/>
                <w:vertAlign w:val="baseline"/>
                <w:lang w:val="en-US" w:eastAsia="zh-CN"/>
              </w:rPr>
              <w:t>投标报价</w:t>
            </w:r>
          </w:p>
          <w:p w14:paraId="21427E9E">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hAnsi="宋体"/>
                <w:b/>
                <w:color w:val="auto"/>
                <w:vertAlign w:val="baseline"/>
                <w:lang w:val="en-US" w:eastAsia="zh-CN"/>
              </w:rPr>
              <w:t>（人民币 元）</w:t>
            </w:r>
          </w:p>
        </w:tc>
      </w:tr>
      <w:tr w14:paraId="090F9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638" w:type="dxa"/>
            <w:tcBorders>
              <w:top w:val="single" w:color="auto" w:sz="12" w:space="0"/>
              <w:bottom w:val="single" w:color="auto" w:sz="12" w:space="0"/>
            </w:tcBorders>
            <w:vAlign w:val="center"/>
          </w:tcPr>
          <w:p w14:paraId="27FCC3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665" w:type="dxa"/>
            <w:tcBorders>
              <w:top w:val="single" w:color="auto" w:sz="12" w:space="0"/>
              <w:bottom w:val="single" w:color="auto" w:sz="12" w:space="0"/>
            </w:tcBorders>
            <w:vAlign w:val="center"/>
          </w:tcPr>
          <w:p w14:paraId="431C6ED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napToGrid/>
                <w:color w:val="auto"/>
                <w:spacing w:val="0"/>
                <w:kern w:val="2"/>
                <w:sz w:val="21"/>
                <w:szCs w:val="24"/>
                <w:lang w:val="en-US" w:eastAsia="zh-CN" w:bidi="ar-SA"/>
              </w:rPr>
            </w:pPr>
          </w:p>
        </w:tc>
        <w:tc>
          <w:tcPr>
            <w:tcW w:w="1870" w:type="dxa"/>
            <w:tcBorders>
              <w:top w:val="single" w:color="auto" w:sz="12" w:space="0"/>
              <w:bottom w:val="single" w:color="auto" w:sz="12" w:space="0"/>
            </w:tcBorders>
            <w:vAlign w:val="center"/>
          </w:tcPr>
          <w:p w14:paraId="53030D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435" w:type="dxa"/>
            <w:tcBorders>
              <w:top w:val="single" w:color="auto" w:sz="12" w:space="0"/>
              <w:bottom w:val="single" w:color="auto" w:sz="12" w:space="0"/>
            </w:tcBorders>
            <w:vAlign w:val="center"/>
          </w:tcPr>
          <w:p w14:paraId="5CAF2A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078" w:type="dxa"/>
            <w:tcBorders>
              <w:top w:val="single" w:color="auto" w:sz="12" w:space="0"/>
              <w:bottom w:val="single" w:color="auto" w:sz="12" w:space="0"/>
            </w:tcBorders>
            <w:vAlign w:val="center"/>
          </w:tcPr>
          <w:p w14:paraId="7E633B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2612" w:type="dxa"/>
            <w:tcBorders>
              <w:top w:val="single" w:color="auto" w:sz="12" w:space="0"/>
              <w:bottom w:val="single" w:color="auto" w:sz="12" w:space="0"/>
            </w:tcBorders>
            <w:vAlign w:val="center"/>
          </w:tcPr>
          <w:p w14:paraId="6885F932">
            <w:pPr>
              <w:pStyle w:val="32"/>
              <w:keepLines w:val="0"/>
              <w:suppressLineNumbers w:val="0"/>
              <w:spacing w:beforeAutospacing="0" w:afterAutospacing="0" w:line="240" w:lineRule="auto"/>
              <w:ind w:left="0" w:right="0"/>
              <w:rPr>
                <w:rFonts w:hint="default" w:ascii="宋体"/>
                <w:bCs/>
                <w:color w:val="auto"/>
                <w:szCs w:val="21"/>
                <w:u w:val="single"/>
              </w:rPr>
            </w:pPr>
          </w:p>
        </w:tc>
      </w:tr>
      <w:tr w14:paraId="71680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0298" w:type="dxa"/>
            <w:gridSpan w:val="6"/>
            <w:tcBorders>
              <w:top w:val="single" w:color="auto" w:sz="12" w:space="0"/>
              <w:bottom w:val="single" w:color="auto" w:sz="12" w:space="0"/>
            </w:tcBorders>
            <w:vAlign w:val="center"/>
          </w:tcPr>
          <w:p w14:paraId="366CD76F">
            <w:pPr>
              <w:keepNext w:val="0"/>
              <w:keepLines w:val="0"/>
              <w:suppressLineNumbers w:val="0"/>
              <w:spacing w:before="0" w:beforeAutospacing="0" w:after="0" w:afterAutospacing="0"/>
              <w:ind w:left="0" w:right="0"/>
              <w:jc w:val="left"/>
              <w:rPr>
                <w:rFonts w:hint="default" w:ascii="宋体"/>
                <w:bCs/>
                <w:color w:val="auto"/>
                <w:szCs w:val="21"/>
                <w:u w:val="single"/>
                <w:lang w:val="en-US"/>
              </w:rPr>
            </w:pPr>
            <w:r>
              <w:rPr>
                <w:rFonts w:hint="eastAsia" w:hAnsi="宋体"/>
                <w:b/>
                <w:color w:val="auto"/>
                <w:vertAlign w:val="baseline"/>
                <w:lang w:val="en-US" w:eastAsia="zh-CN"/>
              </w:rPr>
              <w:t>投标报价（元）小写：                   大写：</w:t>
            </w:r>
          </w:p>
        </w:tc>
      </w:tr>
    </w:tbl>
    <w:p w14:paraId="2F8AE64B">
      <w:pPr>
        <w:pStyle w:val="33"/>
      </w:pPr>
    </w:p>
    <w:p w14:paraId="3E7E1871">
      <w:pPr>
        <w:pStyle w:val="33"/>
      </w:pPr>
    </w:p>
    <w:p w14:paraId="65FD6EFB">
      <w:pPr>
        <w:pStyle w:val="33"/>
      </w:pPr>
    </w:p>
    <w:p w14:paraId="599AE3DB">
      <w:pPr>
        <w:spacing w:line="360" w:lineRule="auto"/>
        <w:rPr>
          <w:rFonts w:hint="default"/>
          <w:b/>
          <w:bCs/>
          <w:highlight w:val="lightGray"/>
          <w:u w:val="single"/>
          <w:lang w:val="en-US"/>
        </w:rPr>
      </w:pPr>
      <w:r>
        <w:rPr>
          <w:rFonts w:hint="eastAsia"/>
          <w:b/>
          <w:bCs/>
          <w:sz w:val="24"/>
          <w:lang w:val="en-US" w:eastAsia="zh-CN"/>
        </w:rPr>
        <w:t>投标人签字：</w:t>
      </w:r>
      <w:r>
        <w:rPr>
          <w:rFonts w:hint="eastAsia"/>
          <w:b/>
          <w:bCs/>
          <w:sz w:val="24"/>
          <w:u w:val="single"/>
          <w:lang w:val="en-US" w:eastAsia="zh-CN"/>
        </w:rPr>
        <w:t xml:space="preserve">                     </w:t>
      </w:r>
    </w:p>
    <w:p w14:paraId="73B46FE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AE07D80">
      <w:pPr>
        <w:spacing w:line="360" w:lineRule="auto"/>
        <w:outlineLvl w:val="9"/>
        <w:rPr>
          <w:rFonts w:hint="eastAsia"/>
          <w:b/>
          <w:sz w:val="24"/>
        </w:rPr>
      </w:pPr>
      <w:r>
        <w:rPr>
          <w:rFonts w:hint="eastAsia"/>
          <w:b/>
          <w:sz w:val="24"/>
        </w:rPr>
        <w:t>（此处加盖投标人单位公章）</w:t>
      </w:r>
    </w:p>
    <w:p w14:paraId="7D974DDB">
      <w:pPr>
        <w:spacing w:line="360" w:lineRule="auto"/>
        <w:rPr>
          <w:rFonts w:hint="eastAsia"/>
          <w:b/>
          <w:bCs/>
          <w:sz w:val="24"/>
        </w:rPr>
      </w:pPr>
      <w:r>
        <w:rPr>
          <w:rFonts w:hint="eastAsia"/>
          <w:b/>
          <w:bCs/>
          <w:sz w:val="24"/>
        </w:rPr>
        <w:t>日期：       年     月    日</w:t>
      </w:r>
    </w:p>
    <w:p w14:paraId="3E729C9D">
      <w:pPr>
        <w:pStyle w:val="2"/>
        <w:rPr>
          <w:rFonts w:hint="default"/>
          <w:lang w:val="en-US" w:eastAsia="zh-CN"/>
        </w:rPr>
      </w:pPr>
    </w:p>
    <w:p w14:paraId="29AA90E5">
      <w:pPr>
        <w:spacing w:line="400" w:lineRule="exact"/>
        <w:rPr>
          <w:rFonts w:ascii="宋体" w:hAnsi="宋体"/>
          <w:szCs w:val="21"/>
        </w:rPr>
      </w:pPr>
      <w:r>
        <w:rPr>
          <w:rFonts w:hint="eastAsia" w:ascii="宋体" w:hAnsi="宋体"/>
          <w:szCs w:val="21"/>
        </w:rPr>
        <w:t>备注：</w:t>
      </w:r>
    </w:p>
    <w:p w14:paraId="461A862F">
      <w:pPr>
        <w:numPr>
          <w:ilvl w:val="1"/>
          <w:numId w:val="10"/>
        </w:numPr>
        <w:tabs>
          <w:tab w:val="left" w:pos="360"/>
          <w:tab w:val="clear" w:pos="1620"/>
        </w:tabs>
        <w:snapToGrid w:val="0"/>
        <w:spacing w:line="360" w:lineRule="auto"/>
        <w:ind w:left="360" w:leftChars="0" w:hanging="360" w:firstLineChars="0"/>
        <w:outlineLvl w:val="9"/>
        <w:rPr>
          <w:rFonts w:ascii="宋体" w:hAnsi="宋体"/>
          <w:szCs w:val="21"/>
        </w:rPr>
      </w:pPr>
      <w:r>
        <w:rPr>
          <w:rFonts w:hint="eastAsia" w:ascii="宋体" w:hAnsi="宋体"/>
        </w:rPr>
        <w:t>投标报价的小数点后保留两位有效数</w:t>
      </w:r>
      <w:r>
        <w:rPr>
          <w:rFonts w:hint="eastAsia" w:ascii="宋体" w:hAnsi="宋体"/>
          <w:szCs w:val="21"/>
        </w:rPr>
        <w:t>。</w:t>
      </w:r>
    </w:p>
    <w:p w14:paraId="0226C8E6">
      <w:pPr>
        <w:numPr>
          <w:ilvl w:val="1"/>
          <w:numId w:val="10"/>
        </w:numPr>
        <w:tabs>
          <w:tab w:val="left" w:pos="360"/>
          <w:tab w:val="left" w:pos="840"/>
          <w:tab w:val="clear" w:pos="1620"/>
        </w:tabs>
        <w:snapToGrid w:val="0"/>
        <w:spacing w:line="360" w:lineRule="auto"/>
        <w:ind w:left="360"/>
      </w:pPr>
      <w:r>
        <w:rPr>
          <w:rFonts w:hint="eastAsia"/>
        </w:rPr>
        <w:t>除</w:t>
      </w:r>
      <w:r>
        <w:rPr>
          <w:rFonts w:hint="eastAsia"/>
          <w:lang w:eastAsia="zh-CN"/>
        </w:rPr>
        <w:t>征集</w:t>
      </w:r>
      <w:r>
        <w:rPr>
          <w:rFonts w:hint="eastAsia"/>
        </w:rPr>
        <w:t>文件另有规定外，投标文件内不得含有任何对本报价进行价格折扣的说明或资料，否则为无效投标。</w:t>
      </w:r>
    </w:p>
    <w:p w14:paraId="63A99683">
      <w:pPr>
        <w:numPr>
          <w:ilvl w:val="1"/>
          <w:numId w:val="10"/>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不得超过挂网公告的预算价格，否则为无效投标</w:t>
      </w:r>
      <w:r>
        <w:rPr>
          <w:rFonts w:hint="eastAsia"/>
        </w:rPr>
        <w:t>。</w:t>
      </w:r>
    </w:p>
    <w:p w14:paraId="2B15EBBF">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文件已要求提供核心产品的，供应商必须明确所投核心产品的品牌。</w:t>
      </w:r>
    </w:p>
    <w:p w14:paraId="31AC87EF">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Theme="minorEastAsia" w:hAnsiTheme="minorEastAsia" w:eastAsiaTheme="minorEastAsia"/>
          <w:szCs w:val="21"/>
        </w:rPr>
        <w:t>若开标一览表中大写金额和小写金额不一致的，以大写金额为准。</w:t>
      </w:r>
    </w:p>
    <w:p w14:paraId="3DCB839C">
      <w:pPr>
        <w:pStyle w:val="2"/>
        <w:rPr>
          <w:rFonts w:hint="default" w:ascii="宋体" w:hAnsi="宋体" w:eastAsiaTheme="minorEastAsia" w:cstheme="minorBidi"/>
          <w:kern w:val="2"/>
          <w:sz w:val="21"/>
          <w:szCs w:val="24"/>
          <w:lang w:val="en-US" w:eastAsia="zh-CN" w:bidi="ar-SA"/>
        </w:rPr>
      </w:pPr>
    </w:p>
    <w:p w14:paraId="27349781">
      <w:pPr>
        <w:tabs>
          <w:tab w:val="left" w:pos="1200"/>
        </w:tabs>
        <w:snapToGrid w:val="0"/>
        <w:spacing w:line="360" w:lineRule="auto"/>
        <w:ind w:left="360"/>
        <w:rPr>
          <w:color w:val="FF0000"/>
        </w:rPr>
      </w:pPr>
    </w:p>
    <w:p w14:paraId="54F1A10B">
      <w:pPr>
        <w:spacing w:line="400" w:lineRule="exact"/>
        <w:rPr>
          <w:rFonts w:ascii="宋体" w:hAnsi="宋体"/>
          <w:b/>
          <w:bCs/>
          <w:szCs w:val="21"/>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57D675F">
      <w:pPr>
        <w:pStyle w:val="4"/>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lang w:eastAsia="zh-CN"/>
        </w:rPr>
      </w:pPr>
      <w:bookmarkStart w:id="31" w:name="_Toc192662843"/>
      <w:bookmarkStart w:id="32" w:name="_Toc435514866"/>
      <w:bookmarkStart w:id="33" w:name="_Toc22031"/>
      <w:bookmarkStart w:id="34" w:name="_Toc275865611"/>
      <w:bookmarkStart w:id="35" w:name="_Toc435515306"/>
      <w:bookmarkStart w:id="36" w:name="_Toc6350"/>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投标报价</w:t>
      </w:r>
      <w:r>
        <w:rPr>
          <w:rFonts w:hint="eastAsia" w:asciiTheme="majorEastAsia" w:hAnsiTheme="majorEastAsia" w:eastAsiaTheme="majorEastAsia"/>
          <w:sz w:val="30"/>
          <w:szCs w:val="30"/>
          <w:lang w:val="en-US" w:eastAsia="zh-CN"/>
        </w:rPr>
        <w:t>明细</w:t>
      </w:r>
      <w:r>
        <w:rPr>
          <w:rFonts w:hint="eastAsia" w:asciiTheme="majorEastAsia" w:hAnsiTheme="majorEastAsia" w:eastAsiaTheme="majorEastAsia"/>
          <w:sz w:val="30"/>
          <w:szCs w:val="30"/>
        </w:rPr>
        <w:t>表</w:t>
      </w:r>
      <w:bookmarkEnd w:id="31"/>
      <w:bookmarkEnd w:id="32"/>
      <w:bookmarkEnd w:id="33"/>
      <w:bookmarkEnd w:id="34"/>
      <w:bookmarkEnd w:id="35"/>
      <w:bookmarkEnd w:id="36"/>
    </w:p>
    <w:tbl>
      <w:tblPr>
        <w:tblStyle w:val="16"/>
        <w:tblW w:w="88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050"/>
        <w:gridCol w:w="990"/>
        <w:gridCol w:w="990"/>
        <w:gridCol w:w="750"/>
        <w:gridCol w:w="870"/>
        <w:gridCol w:w="1020"/>
        <w:gridCol w:w="968"/>
        <w:gridCol w:w="725"/>
      </w:tblGrid>
      <w:tr w14:paraId="30F3E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34" w:type="dxa"/>
            <w:tcBorders>
              <w:top w:val="single" w:color="auto" w:sz="12" w:space="0"/>
              <w:bottom w:val="double" w:color="auto" w:sz="4" w:space="0"/>
            </w:tcBorders>
            <w:shd w:val="clear" w:color="auto" w:fill="EEECE1"/>
            <w:vAlign w:val="center"/>
          </w:tcPr>
          <w:p w14:paraId="5F5EBF4D">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序号</w:t>
            </w:r>
          </w:p>
        </w:tc>
        <w:tc>
          <w:tcPr>
            <w:tcW w:w="1050" w:type="dxa"/>
            <w:tcBorders>
              <w:top w:val="single" w:color="auto" w:sz="12" w:space="0"/>
              <w:bottom w:val="double" w:color="auto" w:sz="4" w:space="0"/>
            </w:tcBorders>
            <w:shd w:val="clear" w:color="auto" w:fill="EEECE1"/>
            <w:vAlign w:val="center"/>
          </w:tcPr>
          <w:p w14:paraId="5915C804">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产品</w:t>
            </w:r>
          </w:p>
          <w:p w14:paraId="384D549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名称</w:t>
            </w:r>
          </w:p>
        </w:tc>
        <w:tc>
          <w:tcPr>
            <w:tcW w:w="990" w:type="dxa"/>
            <w:tcBorders>
              <w:top w:val="single" w:color="auto" w:sz="12" w:space="0"/>
              <w:bottom w:val="double" w:color="auto" w:sz="4" w:space="0"/>
            </w:tcBorders>
            <w:shd w:val="clear" w:color="auto" w:fill="EEECE1"/>
            <w:vAlign w:val="center"/>
          </w:tcPr>
          <w:p w14:paraId="4F87A1A6">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规格</w:t>
            </w:r>
            <w:r>
              <w:rPr>
                <w:rFonts w:hint="eastAsia" w:ascii="宋体" w:hAnsi="宋体"/>
                <w:lang w:val="en-US" w:eastAsia="zh-CN"/>
              </w:rPr>
              <w:t xml:space="preserve">  </w:t>
            </w:r>
            <w:r>
              <w:rPr>
                <w:rFonts w:hint="default" w:ascii="宋体" w:hAnsi="宋体"/>
              </w:rPr>
              <w:t>型号</w:t>
            </w:r>
          </w:p>
        </w:tc>
        <w:tc>
          <w:tcPr>
            <w:tcW w:w="990" w:type="dxa"/>
            <w:tcBorders>
              <w:top w:val="single" w:color="auto" w:sz="12" w:space="0"/>
              <w:bottom w:val="double" w:color="auto" w:sz="4" w:space="0"/>
            </w:tcBorders>
            <w:shd w:val="clear" w:color="auto" w:fill="EEECE1"/>
            <w:vAlign w:val="center"/>
          </w:tcPr>
          <w:p w14:paraId="69A5DBCF">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品牌</w:t>
            </w:r>
          </w:p>
        </w:tc>
        <w:tc>
          <w:tcPr>
            <w:tcW w:w="750" w:type="dxa"/>
            <w:tcBorders>
              <w:top w:val="single" w:color="auto" w:sz="12" w:space="0"/>
              <w:bottom w:val="double" w:color="auto" w:sz="4" w:space="0"/>
            </w:tcBorders>
            <w:shd w:val="clear" w:color="auto" w:fill="EEECE1"/>
            <w:vAlign w:val="center"/>
          </w:tcPr>
          <w:p w14:paraId="22B38E5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单位</w:t>
            </w:r>
          </w:p>
        </w:tc>
        <w:tc>
          <w:tcPr>
            <w:tcW w:w="870" w:type="dxa"/>
            <w:tcBorders>
              <w:top w:val="single" w:color="auto" w:sz="12" w:space="0"/>
              <w:bottom w:val="double" w:color="auto" w:sz="4" w:space="0"/>
            </w:tcBorders>
            <w:shd w:val="clear" w:color="auto" w:fill="EEECE1"/>
            <w:vAlign w:val="center"/>
          </w:tcPr>
          <w:p w14:paraId="3C4AF9D9">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数量</w:t>
            </w:r>
          </w:p>
        </w:tc>
        <w:tc>
          <w:tcPr>
            <w:tcW w:w="1020" w:type="dxa"/>
            <w:tcBorders>
              <w:top w:val="single" w:color="auto" w:sz="12" w:space="0"/>
              <w:bottom w:val="double" w:color="auto" w:sz="4" w:space="0"/>
            </w:tcBorders>
            <w:shd w:val="clear" w:color="auto" w:fill="EEECE1"/>
            <w:vAlign w:val="center"/>
          </w:tcPr>
          <w:p w14:paraId="1D2B96D2">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单价</w:t>
            </w:r>
            <w:r>
              <w:rPr>
                <w:rFonts w:hint="eastAsia" w:ascii="宋体" w:hAnsi="宋体"/>
                <w:lang w:val="en-US" w:eastAsia="zh-CN"/>
              </w:rPr>
              <w:t xml:space="preserve">   </w:t>
            </w:r>
            <w:r>
              <w:rPr>
                <w:rFonts w:hint="default" w:ascii="宋体" w:hAnsi="宋体"/>
              </w:rPr>
              <w:t>（元）</w:t>
            </w:r>
          </w:p>
        </w:tc>
        <w:tc>
          <w:tcPr>
            <w:tcW w:w="968" w:type="dxa"/>
            <w:tcBorders>
              <w:top w:val="single" w:color="auto" w:sz="12" w:space="0"/>
              <w:bottom w:val="double" w:color="auto" w:sz="4" w:space="0"/>
            </w:tcBorders>
            <w:shd w:val="clear" w:color="auto" w:fill="EEECE1"/>
            <w:vAlign w:val="center"/>
          </w:tcPr>
          <w:p w14:paraId="122C5C98">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合计</w:t>
            </w:r>
            <w:r>
              <w:rPr>
                <w:rFonts w:hint="eastAsia" w:ascii="宋体" w:hAnsi="宋体"/>
                <w:lang w:val="en-US" w:eastAsia="zh-CN"/>
              </w:rPr>
              <w:t xml:space="preserve">   </w:t>
            </w:r>
            <w:r>
              <w:rPr>
                <w:rFonts w:hint="eastAsia" w:ascii="宋体" w:hAnsi="宋体"/>
              </w:rPr>
              <w:t>（元）</w:t>
            </w:r>
          </w:p>
        </w:tc>
        <w:tc>
          <w:tcPr>
            <w:tcW w:w="725" w:type="dxa"/>
            <w:tcBorders>
              <w:top w:val="single" w:color="auto" w:sz="12" w:space="0"/>
              <w:bottom w:val="double" w:color="auto" w:sz="4" w:space="0"/>
            </w:tcBorders>
            <w:shd w:val="clear" w:color="auto" w:fill="EEECE1"/>
            <w:vAlign w:val="center"/>
          </w:tcPr>
          <w:p w14:paraId="26BB7D70">
            <w:pPr>
              <w:keepNext w:val="0"/>
              <w:keepLines w:val="0"/>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备注</w:t>
            </w:r>
          </w:p>
        </w:tc>
      </w:tr>
      <w:tr w14:paraId="3D7BC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6ADCBEC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p>
        </w:tc>
        <w:tc>
          <w:tcPr>
            <w:tcW w:w="1050" w:type="dxa"/>
            <w:vAlign w:val="center"/>
          </w:tcPr>
          <w:p w14:paraId="587D43AF">
            <w:pPr>
              <w:keepNext w:val="0"/>
              <w:keepLines w:val="0"/>
              <w:suppressLineNumbers w:val="0"/>
              <w:spacing w:before="0" w:beforeAutospacing="0" w:after="0" w:afterAutospacing="0"/>
              <w:ind w:left="0" w:right="0"/>
              <w:jc w:val="center"/>
              <w:rPr>
                <w:rFonts w:hint="default"/>
              </w:rPr>
            </w:pPr>
          </w:p>
        </w:tc>
        <w:tc>
          <w:tcPr>
            <w:tcW w:w="990" w:type="dxa"/>
            <w:vAlign w:val="center"/>
          </w:tcPr>
          <w:p w14:paraId="1FBD9E86">
            <w:pPr>
              <w:keepNext w:val="0"/>
              <w:keepLines w:val="0"/>
              <w:suppressLineNumbers w:val="0"/>
              <w:spacing w:before="0" w:beforeAutospacing="0" w:after="0" w:afterAutospacing="0"/>
              <w:ind w:left="0" w:right="0"/>
              <w:jc w:val="center"/>
              <w:rPr>
                <w:rFonts w:hint="default"/>
              </w:rPr>
            </w:pPr>
          </w:p>
        </w:tc>
        <w:tc>
          <w:tcPr>
            <w:tcW w:w="990" w:type="dxa"/>
            <w:vAlign w:val="center"/>
          </w:tcPr>
          <w:p w14:paraId="4F5FDCC7">
            <w:pPr>
              <w:keepNext w:val="0"/>
              <w:keepLines w:val="0"/>
              <w:suppressLineNumbers w:val="0"/>
              <w:spacing w:before="0" w:beforeAutospacing="0" w:after="0" w:afterAutospacing="0"/>
              <w:ind w:left="0" w:right="0"/>
              <w:jc w:val="center"/>
              <w:rPr>
                <w:rFonts w:hint="default"/>
              </w:rPr>
            </w:pPr>
          </w:p>
        </w:tc>
        <w:tc>
          <w:tcPr>
            <w:tcW w:w="750" w:type="dxa"/>
            <w:vAlign w:val="center"/>
          </w:tcPr>
          <w:p w14:paraId="5DEBA6A7">
            <w:pPr>
              <w:keepNext w:val="0"/>
              <w:keepLines w:val="0"/>
              <w:suppressLineNumbers w:val="0"/>
              <w:spacing w:before="0" w:beforeAutospacing="0" w:after="0" w:afterAutospacing="0"/>
              <w:ind w:left="0" w:right="0"/>
              <w:jc w:val="center"/>
              <w:rPr>
                <w:rFonts w:hint="default"/>
              </w:rPr>
            </w:pPr>
          </w:p>
        </w:tc>
        <w:tc>
          <w:tcPr>
            <w:tcW w:w="870" w:type="dxa"/>
            <w:vAlign w:val="center"/>
          </w:tcPr>
          <w:p w14:paraId="150DCEB5">
            <w:pPr>
              <w:keepNext w:val="0"/>
              <w:keepLines w:val="0"/>
              <w:suppressLineNumbers w:val="0"/>
              <w:spacing w:before="0" w:beforeAutospacing="0" w:after="0" w:afterAutospacing="0"/>
              <w:ind w:left="0" w:right="0"/>
              <w:jc w:val="center"/>
              <w:rPr>
                <w:rFonts w:hint="default"/>
              </w:rPr>
            </w:pPr>
          </w:p>
        </w:tc>
        <w:tc>
          <w:tcPr>
            <w:tcW w:w="1020" w:type="dxa"/>
            <w:vAlign w:val="center"/>
          </w:tcPr>
          <w:p w14:paraId="0B6ACCDB">
            <w:pPr>
              <w:keepNext w:val="0"/>
              <w:keepLines w:val="0"/>
              <w:suppressLineNumbers w:val="0"/>
              <w:spacing w:before="0" w:beforeAutospacing="0" w:after="0" w:afterAutospacing="0"/>
              <w:ind w:left="0" w:right="0"/>
              <w:jc w:val="center"/>
              <w:rPr>
                <w:rFonts w:hint="default"/>
              </w:rPr>
            </w:pPr>
          </w:p>
        </w:tc>
        <w:tc>
          <w:tcPr>
            <w:tcW w:w="968" w:type="dxa"/>
            <w:vAlign w:val="center"/>
          </w:tcPr>
          <w:p w14:paraId="7BBE7B51">
            <w:pPr>
              <w:keepNext w:val="0"/>
              <w:keepLines w:val="0"/>
              <w:suppressLineNumbers w:val="0"/>
              <w:spacing w:before="0" w:beforeAutospacing="0" w:after="0" w:afterAutospacing="0"/>
              <w:ind w:left="0" w:right="0"/>
              <w:jc w:val="center"/>
              <w:rPr>
                <w:rFonts w:hint="default"/>
              </w:rPr>
            </w:pPr>
          </w:p>
        </w:tc>
        <w:tc>
          <w:tcPr>
            <w:tcW w:w="725" w:type="dxa"/>
            <w:vAlign w:val="center"/>
          </w:tcPr>
          <w:p w14:paraId="3A11F0BB">
            <w:pPr>
              <w:keepNext w:val="0"/>
              <w:keepLines w:val="0"/>
              <w:suppressLineNumbers w:val="0"/>
              <w:spacing w:before="0" w:beforeAutospacing="0" w:after="0" w:afterAutospacing="0"/>
              <w:ind w:left="0" w:right="0"/>
              <w:jc w:val="center"/>
              <w:rPr>
                <w:rFonts w:hint="default"/>
              </w:rPr>
            </w:pPr>
          </w:p>
        </w:tc>
      </w:tr>
      <w:tr w14:paraId="5F9A3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D8B611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p>
        </w:tc>
        <w:tc>
          <w:tcPr>
            <w:tcW w:w="1050" w:type="dxa"/>
            <w:vAlign w:val="center"/>
          </w:tcPr>
          <w:p w14:paraId="70669F5F">
            <w:pPr>
              <w:keepNext w:val="0"/>
              <w:keepLines w:val="0"/>
              <w:suppressLineNumbers w:val="0"/>
              <w:spacing w:before="0" w:beforeAutospacing="0" w:after="0" w:afterAutospacing="0"/>
              <w:ind w:left="0" w:right="0"/>
              <w:jc w:val="center"/>
              <w:rPr>
                <w:rFonts w:hint="default"/>
              </w:rPr>
            </w:pPr>
          </w:p>
        </w:tc>
        <w:tc>
          <w:tcPr>
            <w:tcW w:w="990" w:type="dxa"/>
            <w:vAlign w:val="center"/>
          </w:tcPr>
          <w:p w14:paraId="41ED0F8E">
            <w:pPr>
              <w:keepNext w:val="0"/>
              <w:keepLines w:val="0"/>
              <w:suppressLineNumbers w:val="0"/>
              <w:spacing w:before="0" w:beforeAutospacing="0" w:after="0" w:afterAutospacing="0"/>
              <w:ind w:left="0" w:right="0"/>
              <w:jc w:val="center"/>
              <w:rPr>
                <w:rFonts w:hint="default"/>
              </w:rPr>
            </w:pPr>
          </w:p>
        </w:tc>
        <w:tc>
          <w:tcPr>
            <w:tcW w:w="990" w:type="dxa"/>
            <w:vAlign w:val="center"/>
          </w:tcPr>
          <w:p w14:paraId="222424AE">
            <w:pPr>
              <w:keepNext w:val="0"/>
              <w:keepLines w:val="0"/>
              <w:suppressLineNumbers w:val="0"/>
              <w:spacing w:before="0" w:beforeAutospacing="0" w:after="0" w:afterAutospacing="0"/>
              <w:ind w:left="0" w:right="0"/>
              <w:jc w:val="center"/>
              <w:rPr>
                <w:rFonts w:hint="default"/>
              </w:rPr>
            </w:pPr>
          </w:p>
        </w:tc>
        <w:tc>
          <w:tcPr>
            <w:tcW w:w="750" w:type="dxa"/>
            <w:vAlign w:val="center"/>
          </w:tcPr>
          <w:p w14:paraId="72412A1D">
            <w:pPr>
              <w:keepNext w:val="0"/>
              <w:keepLines w:val="0"/>
              <w:suppressLineNumbers w:val="0"/>
              <w:spacing w:before="0" w:beforeAutospacing="0" w:after="0" w:afterAutospacing="0"/>
              <w:ind w:left="0" w:right="0"/>
              <w:jc w:val="center"/>
              <w:rPr>
                <w:rFonts w:hint="default"/>
              </w:rPr>
            </w:pPr>
          </w:p>
        </w:tc>
        <w:tc>
          <w:tcPr>
            <w:tcW w:w="870" w:type="dxa"/>
            <w:vAlign w:val="center"/>
          </w:tcPr>
          <w:p w14:paraId="257186F2">
            <w:pPr>
              <w:keepNext w:val="0"/>
              <w:keepLines w:val="0"/>
              <w:suppressLineNumbers w:val="0"/>
              <w:spacing w:before="0" w:beforeAutospacing="0" w:after="0" w:afterAutospacing="0"/>
              <w:ind w:left="0" w:right="0"/>
              <w:jc w:val="center"/>
              <w:rPr>
                <w:rFonts w:hint="default"/>
              </w:rPr>
            </w:pPr>
          </w:p>
        </w:tc>
        <w:tc>
          <w:tcPr>
            <w:tcW w:w="1020" w:type="dxa"/>
            <w:vAlign w:val="center"/>
          </w:tcPr>
          <w:p w14:paraId="42E249AF">
            <w:pPr>
              <w:keepNext w:val="0"/>
              <w:keepLines w:val="0"/>
              <w:suppressLineNumbers w:val="0"/>
              <w:spacing w:before="0" w:beforeAutospacing="0" w:after="0" w:afterAutospacing="0"/>
              <w:ind w:left="0" w:right="0"/>
              <w:jc w:val="center"/>
              <w:rPr>
                <w:rFonts w:hint="default"/>
              </w:rPr>
            </w:pPr>
          </w:p>
        </w:tc>
        <w:tc>
          <w:tcPr>
            <w:tcW w:w="968" w:type="dxa"/>
            <w:vAlign w:val="center"/>
          </w:tcPr>
          <w:p w14:paraId="5C60D203">
            <w:pPr>
              <w:keepNext w:val="0"/>
              <w:keepLines w:val="0"/>
              <w:suppressLineNumbers w:val="0"/>
              <w:spacing w:before="0" w:beforeAutospacing="0" w:after="0" w:afterAutospacing="0"/>
              <w:ind w:left="0" w:right="0"/>
              <w:jc w:val="center"/>
              <w:rPr>
                <w:rFonts w:hint="default"/>
              </w:rPr>
            </w:pPr>
          </w:p>
        </w:tc>
        <w:tc>
          <w:tcPr>
            <w:tcW w:w="725" w:type="dxa"/>
            <w:vAlign w:val="center"/>
          </w:tcPr>
          <w:p w14:paraId="5A6C1D5A">
            <w:pPr>
              <w:keepNext w:val="0"/>
              <w:keepLines w:val="0"/>
              <w:suppressLineNumbers w:val="0"/>
              <w:spacing w:before="0" w:beforeAutospacing="0" w:after="0" w:afterAutospacing="0"/>
              <w:ind w:left="0" w:right="0"/>
              <w:jc w:val="center"/>
              <w:rPr>
                <w:rFonts w:hint="default"/>
              </w:rPr>
            </w:pPr>
          </w:p>
        </w:tc>
      </w:tr>
      <w:tr w14:paraId="19275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6FB0D31">
            <w:pPr>
              <w:keepNext w:val="0"/>
              <w:keepLines w:val="0"/>
              <w:suppressLineNumbers w:val="0"/>
              <w:spacing w:before="0" w:beforeAutospacing="0" w:after="0" w:afterAutospacing="0"/>
              <w:ind w:left="0" w:right="0"/>
              <w:jc w:val="center"/>
              <w:rPr>
                <w:rFonts w:hint="eastAsia" w:eastAsiaTheme="minorEastAsia"/>
                <w:lang w:eastAsia="zh-CN"/>
              </w:rPr>
            </w:pPr>
            <w:r>
              <w:rPr>
                <w:rFonts w:hint="eastAsia"/>
                <w:lang w:val="en-US" w:eastAsia="zh-CN"/>
              </w:rPr>
              <w:t>3</w:t>
            </w:r>
          </w:p>
        </w:tc>
        <w:tc>
          <w:tcPr>
            <w:tcW w:w="1050" w:type="dxa"/>
            <w:vAlign w:val="center"/>
          </w:tcPr>
          <w:p w14:paraId="745F5712">
            <w:pPr>
              <w:keepNext w:val="0"/>
              <w:keepLines w:val="0"/>
              <w:suppressLineNumbers w:val="0"/>
              <w:spacing w:before="0" w:beforeAutospacing="0" w:after="0" w:afterAutospacing="0"/>
              <w:ind w:left="0" w:right="0"/>
              <w:jc w:val="center"/>
              <w:rPr>
                <w:rFonts w:hint="default"/>
              </w:rPr>
            </w:pPr>
          </w:p>
        </w:tc>
        <w:tc>
          <w:tcPr>
            <w:tcW w:w="990" w:type="dxa"/>
            <w:vAlign w:val="center"/>
          </w:tcPr>
          <w:p w14:paraId="77BF9D43">
            <w:pPr>
              <w:keepNext w:val="0"/>
              <w:keepLines w:val="0"/>
              <w:suppressLineNumbers w:val="0"/>
              <w:spacing w:before="0" w:beforeAutospacing="0" w:after="0" w:afterAutospacing="0"/>
              <w:ind w:left="0" w:right="0"/>
              <w:jc w:val="center"/>
              <w:rPr>
                <w:rFonts w:hint="default"/>
              </w:rPr>
            </w:pPr>
          </w:p>
        </w:tc>
        <w:tc>
          <w:tcPr>
            <w:tcW w:w="990" w:type="dxa"/>
            <w:vAlign w:val="center"/>
          </w:tcPr>
          <w:p w14:paraId="0A5DC4D5">
            <w:pPr>
              <w:keepNext w:val="0"/>
              <w:keepLines w:val="0"/>
              <w:suppressLineNumbers w:val="0"/>
              <w:spacing w:before="0" w:beforeAutospacing="0" w:after="0" w:afterAutospacing="0"/>
              <w:ind w:left="0" w:right="0"/>
              <w:jc w:val="center"/>
              <w:rPr>
                <w:rFonts w:hint="default"/>
              </w:rPr>
            </w:pPr>
          </w:p>
        </w:tc>
        <w:tc>
          <w:tcPr>
            <w:tcW w:w="750" w:type="dxa"/>
            <w:vAlign w:val="center"/>
          </w:tcPr>
          <w:p w14:paraId="10A066A4">
            <w:pPr>
              <w:keepNext w:val="0"/>
              <w:keepLines w:val="0"/>
              <w:suppressLineNumbers w:val="0"/>
              <w:spacing w:before="0" w:beforeAutospacing="0" w:after="0" w:afterAutospacing="0"/>
              <w:ind w:left="0" w:right="0"/>
              <w:jc w:val="center"/>
              <w:rPr>
                <w:rFonts w:hint="default"/>
              </w:rPr>
            </w:pPr>
          </w:p>
        </w:tc>
        <w:tc>
          <w:tcPr>
            <w:tcW w:w="870" w:type="dxa"/>
            <w:vAlign w:val="center"/>
          </w:tcPr>
          <w:p w14:paraId="7B558961">
            <w:pPr>
              <w:keepNext w:val="0"/>
              <w:keepLines w:val="0"/>
              <w:suppressLineNumbers w:val="0"/>
              <w:spacing w:before="0" w:beforeAutospacing="0" w:after="0" w:afterAutospacing="0"/>
              <w:ind w:left="0" w:right="0"/>
              <w:jc w:val="center"/>
              <w:rPr>
                <w:rFonts w:hint="default"/>
              </w:rPr>
            </w:pPr>
          </w:p>
        </w:tc>
        <w:tc>
          <w:tcPr>
            <w:tcW w:w="1020" w:type="dxa"/>
            <w:vAlign w:val="center"/>
          </w:tcPr>
          <w:p w14:paraId="7E193032">
            <w:pPr>
              <w:keepNext w:val="0"/>
              <w:keepLines w:val="0"/>
              <w:suppressLineNumbers w:val="0"/>
              <w:spacing w:before="0" w:beforeAutospacing="0" w:after="0" w:afterAutospacing="0"/>
              <w:ind w:left="0" w:right="0"/>
              <w:jc w:val="center"/>
              <w:rPr>
                <w:rFonts w:hint="default"/>
              </w:rPr>
            </w:pPr>
          </w:p>
        </w:tc>
        <w:tc>
          <w:tcPr>
            <w:tcW w:w="968" w:type="dxa"/>
            <w:vAlign w:val="center"/>
          </w:tcPr>
          <w:p w14:paraId="50C0846A">
            <w:pPr>
              <w:keepNext w:val="0"/>
              <w:keepLines w:val="0"/>
              <w:suppressLineNumbers w:val="0"/>
              <w:spacing w:before="0" w:beforeAutospacing="0" w:after="0" w:afterAutospacing="0"/>
              <w:ind w:left="0" w:right="0"/>
              <w:jc w:val="center"/>
              <w:rPr>
                <w:rFonts w:hint="default"/>
              </w:rPr>
            </w:pPr>
          </w:p>
        </w:tc>
        <w:tc>
          <w:tcPr>
            <w:tcW w:w="725" w:type="dxa"/>
            <w:vAlign w:val="center"/>
          </w:tcPr>
          <w:p w14:paraId="1AB98162">
            <w:pPr>
              <w:keepNext w:val="0"/>
              <w:keepLines w:val="0"/>
              <w:suppressLineNumbers w:val="0"/>
              <w:spacing w:before="0" w:beforeAutospacing="0" w:after="0" w:afterAutospacing="0"/>
              <w:ind w:left="0" w:right="0"/>
              <w:jc w:val="center"/>
              <w:rPr>
                <w:rFonts w:hint="default"/>
              </w:rPr>
            </w:pPr>
          </w:p>
        </w:tc>
      </w:tr>
      <w:tr w14:paraId="47AF0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37BEBF6">
            <w:pPr>
              <w:keepNext w:val="0"/>
              <w:keepLines w:val="0"/>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4</w:t>
            </w:r>
          </w:p>
        </w:tc>
        <w:tc>
          <w:tcPr>
            <w:tcW w:w="1050" w:type="dxa"/>
            <w:vAlign w:val="center"/>
          </w:tcPr>
          <w:p w14:paraId="7C2988EE">
            <w:pPr>
              <w:keepNext w:val="0"/>
              <w:keepLines w:val="0"/>
              <w:suppressLineNumbers w:val="0"/>
              <w:spacing w:before="0" w:beforeAutospacing="0" w:after="0" w:afterAutospacing="0"/>
              <w:ind w:left="0" w:right="0"/>
              <w:jc w:val="center"/>
              <w:rPr>
                <w:rFonts w:hint="default"/>
              </w:rPr>
            </w:pPr>
          </w:p>
        </w:tc>
        <w:tc>
          <w:tcPr>
            <w:tcW w:w="990" w:type="dxa"/>
            <w:vAlign w:val="center"/>
          </w:tcPr>
          <w:p w14:paraId="29A2E49B">
            <w:pPr>
              <w:keepNext w:val="0"/>
              <w:keepLines w:val="0"/>
              <w:suppressLineNumbers w:val="0"/>
              <w:spacing w:before="0" w:beforeAutospacing="0" w:after="0" w:afterAutospacing="0"/>
              <w:ind w:left="0" w:right="0"/>
              <w:jc w:val="center"/>
              <w:rPr>
                <w:rFonts w:hint="default"/>
              </w:rPr>
            </w:pPr>
          </w:p>
        </w:tc>
        <w:tc>
          <w:tcPr>
            <w:tcW w:w="990" w:type="dxa"/>
            <w:vAlign w:val="center"/>
          </w:tcPr>
          <w:p w14:paraId="63DDBB0D">
            <w:pPr>
              <w:keepNext w:val="0"/>
              <w:keepLines w:val="0"/>
              <w:suppressLineNumbers w:val="0"/>
              <w:spacing w:before="0" w:beforeAutospacing="0" w:after="0" w:afterAutospacing="0"/>
              <w:ind w:left="0" w:right="0"/>
              <w:jc w:val="center"/>
              <w:rPr>
                <w:rFonts w:hint="default"/>
              </w:rPr>
            </w:pPr>
          </w:p>
        </w:tc>
        <w:tc>
          <w:tcPr>
            <w:tcW w:w="750" w:type="dxa"/>
            <w:vAlign w:val="center"/>
          </w:tcPr>
          <w:p w14:paraId="097E2DB7">
            <w:pPr>
              <w:keepNext w:val="0"/>
              <w:keepLines w:val="0"/>
              <w:suppressLineNumbers w:val="0"/>
              <w:spacing w:before="0" w:beforeAutospacing="0" w:after="0" w:afterAutospacing="0"/>
              <w:ind w:left="0" w:right="0"/>
              <w:jc w:val="center"/>
              <w:rPr>
                <w:rFonts w:hint="default"/>
              </w:rPr>
            </w:pPr>
          </w:p>
        </w:tc>
        <w:tc>
          <w:tcPr>
            <w:tcW w:w="870" w:type="dxa"/>
            <w:vAlign w:val="center"/>
          </w:tcPr>
          <w:p w14:paraId="06F59F69">
            <w:pPr>
              <w:keepNext w:val="0"/>
              <w:keepLines w:val="0"/>
              <w:suppressLineNumbers w:val="0"/>
              <w:spacing w:before="0" w:beforeAutospacing="0" w:after="0" w:afterAutospacing="0"/>
              <w:ind w:left="0" w:right="0"/>
              <w:jc w:val="center"/>
              <w:rPr>
                <w:rFonts w:hint="default"/>
              </w:rPr>
            </w:pPr>
          </w:p>
        </w:tc>
        <w:tc>
          <w:tcPr>
            <w:tcW w:w="1020" w:type="dxa"/>
            <w:vAlign w:val="center"/>
          </w:tcPr>
          <w:p w14:paraId="7033E8FE">
            <w:pPr>
              <w:keepNext w:val="0"/>
              <w:keepLines w:val="0"/>
              <w:suppressLineNumbers w:val="0"/>
              <w:spacing w:before="0" w:beforeAutospacing="0" w:after="0" w:afterAutospacing="0"/>
              <w:ind w:left="0" w:right="0"/>
              <w:jc w:val="center"/>
              <w:rPr>
                <w:rFonts w:hint="default"/>
              </w:rPr>
            </w:pPr>
          </w:p>
        </w:tc>
        <w:tc>
          <w:tcPr>
            <w:tcW w:w="968" w:type="dxa"/>
            <w:vAlign w:val="center"/>
          </w:tcPr>
          <w:p w14:paraId="190F58CD">
            <w:pPr>
              <w:keepNext w:val="0"/>
              <w:keepLines w:val="0"/>
              <w:suppressLineNumbers w:val="0"/>
              <w:spacing w:before="0" w:beforeAutospacing="0" w:after="0" w:afterAutospacing="0"/>
              <w:ind w:left="0" w:right="0"/>
              <w:jc w:val="center"/>
              <w:rPr>
                <w:rFonts w:hint="default"/>
              </w:rPr>
            </w:pPr>
          </w:p>
        </w:tc>
        <w:tc>
          <w:tcPr>
            <w:tcW w:w="725" w:type="dxa"/>
            <w:vAlign w:val="center"/>
          </w:tcPr>
          <w:p w14:paraId="0069FDC3">
            <w:pPr>
              <w:keepNext w:val="0"/>
              <w:keepLines w:val="0"/>
              <w:suppressLineNumbers w:val="0"/>
              <w:spacing w:before="0" w:beforeAutospacing="0" w:after="0" w:afterAutospacing="0"/>
              <w:ind w:left="0" w:right="0"/>
              <w:jc w:val="center"/>
              <w:rPr>
                <w:rFonts w:hint="default"/>
              </w:rPr>
            </w:pPr>
          </w:p>
        </w:tc>
      </w:tr>
      <w:tr w14:paraId="304F6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3D46894B">
            <w:pPr>
              <w:keepNext w:val="0"/>
              <w:keepLines w:val="0"/>
              <w:suppressLineNumbers w:val="0"/>
              <w:spacing w:before="0" w:beforeAutospacing="0" w:after="0" w:afterAutospacing="0"/>
              <w:ind w:left="0" w:right="0"/>
              <w:jc w:val="center"/>
              <w:rPr>
                <w:rFonts w:hint="eastAsia"/>
              </w:rPr>
            </w:pPr>
            <w:r>
              <w:rPr>
                <w:rFonts w:hint="eastAsia"/>
              </w:rPr>
              <w:t>……</w:t>
            </w:r>
          </w:p>
        </w:tc>
        <w:tc>
          <w:tcPr>
            <w:tcW w:w="1050" w:type="dxa"/>
            <w:vAlign w:val="center"/>
          </w:tcPr>
          <w:p w14:paraId="6D7736AA">
            <w:pPr>
              <w:keepNext w:val="0"/>
              <w:keepLines w:val="0"/>
              <w:suppressLineNumbers w:val="0"/>
              <w:spacing w:before="0" w:beforeAutospacing="0" w:after="0" w:afterAutospacing="0"/>
              <w:ind w:left="0" w:right="0"/>
              <w:jc w:val="center"/>
              <w:rPr>
                <w:rFonts w:hint="default"/>
              </w:rPr>
            </w:pPr>
          </w:p>
        </w:tc>
        <w:tc>
          <w:tcPr>
            <w:tcW w:w="990" w:type="dxa"/>
            <w:vAlign w:val="center"/>
          </w:tcPr>
          <w:p w14:paraId="1CE8CDF5">
            <w:pPr>
              <w:keepNext w:val="0"/>
              <w:keepLines w:val="0"/>
              <w:suppressLineNumbers w:val="0"/>
              <w:spacing w:before="0" w:beforeAutospacing="0" w:after="0" w:afterAutospacing="0"/>
              <w:ind w:left="0" w:right="0"/>
              <w:jc w:val="center"/>
              <w:rPr>
                <w:rFonts w:hint="default"/>
              </w:rPr>
            </w:pPr>
          </w:p>
        </w:tc>
        <w:tc>
          <w:tcPr>
            <w:tcW w:w="990" w:type="dxa"/>
            <w:vAlign w:val="center"/>
          </w:tcPr>
          <w:p w14:paraId="0A436446">
            <w:pPr>
              <w:keepNext w:val="0"/>
              <w:keepLines w:val="0"/>
              <w:suppressLineNumbers w:val="0"/>
              <w:spacing w:before="0" w:beforeAutospacing="0" w:after="0" w:afterAutospacing="0"/>
              <w:ind w:left="0" w:right="0"/>
              <w:jc w:val="center"/>
              <w:rPr>
                <w:rFonts w:hint="default"/>
              </w:rPr>
            </w:pPr>
          </w:p>
        </w:tc>
        <w:tc>
          <w:tcPr>
            <w:tcW w:w="750" w:type="dxa"/>
            <w:vAlign w:val="center"/>
          </w:tcPr>
          <w:p w14:paraId="793DB9AB">
            <w:pPr>
              <w:keepNext w:val="0"/>
              <w:keepLines w:val="0"/>
              <w:suppressLineNumbers w:val="0"/>
              <w:spacing w:before="0" w:beforeAutospacing="0" w:after="0" w:afterAutospacing="0"/>
              <w:ind w:left="0" w:right="0"/>
              <w:jc w:val="center"/>
              <w:rPr>
                <w:rFonts w:hint="default"/>
              </w:rPr>
            </w:pPr>
          </w:p>
        </w:tc>
        <w:tc>
          <w:tcPr>
            <w:tcW w:w="870" w:type="dxa"/>
            <w:vAlign w:val="center"/>
          </w:tcPr>
          <w:p w14:paraId="572BDF3D">
            <w:pPr>
              <w:keepNext w:val="0"/>
              <w:keepLines w:val="0"/>
              <w:suppressLineNumbers w:val="0"/>
              <w:spacing w:before="0" w:beforeAutospacing="0" w:after="0" w:afterAutospacing="0"/>
              <w:ind w:left="0" w:right="0"/>
              <w:jc w:val="center"/>
              <w:rPr>
                <w:rFonts w:hint="default"/>
              </w:rPr>
            </w:pPr>
          </w:p>
        </w:tc>
        <w:tc>
          <w:tcPr>
            <w:tcW w:w="1020" w:type="dxa"/>
            <w:vAlign w:val="center"/>
          </w:tcPr>
          <w:p w14:paraId="0D5FDA0D">
            <w:pPr>
              <w:keepNext w:val="0"/>
              <w:keepLines w:val="0"/>
              <w:suppressLineNumbers w:val="0"/>
              <w:spacing w:before="0" w:beforeAutospacing="0" w:after="0" w:afterAutospacing="0"/>
              <w:ind w:left="0" w:right="0"/>
              <w:jc w:val="center"/>
              <w:rPr>
                <w:rFonts w:hint="default"/>
              </w:rPr>
            </w:pPr>
          </w:p>
        </w:tc>
        <w:tc>
          <w:tcPr>
            <w:tcW w:w="968" w:type="dxa"/>
            <w:vAlign w:val="center"/>
          </w:tcPr>
          <w:p w14:paraId="4386A38B">
            <w:pPr>
              <w:keepNext w:val="0"/>
              <w:keepLines w:val="0"/>
              <w:suppressLineNumbers w:val="0"/>
              <w:spacing w:before="0" w:beforeAutospacing="0" w:after="0" w:afterAutospacing="0"/>
              <w:ind w:left="0" w:right="0"/>
              <w:jc w:val="center"/>
              <w:rPr>
                <w:rFonts w:hint="default"/>
              </w:rPr>
            </w:pPr>
          </w:p>
        </w:tc>
        <w:tc>
          <w:tcPr>
            <w:tcW w:w="725" w:type="dxa"/>
            <w:vAlign w:val="center"/>
          </w:tcPr>
          <w:p w14:paraId="3AE151F1">
            <w:pPr>
              <w:keepNext w:val="0"/>
              <w:keepLines w:val="0"/>
              <w:suppressLineNumbers w:val="0"/>
              <w:spacing w:before="0" w:beforeAutospacing="0" w:after="0" w:afterAutospacing="0"/>
              <w:ind w:left="0" w:right="0"/>
              <w:jc w:val="center"/>
              <w:rPr>
                <w:rFonts w:hint="default"/>
              </w:rPr>
            </w:pPr>
          </w:p>
        </w:tc>
      </w:tr>
      <w:tr w14:paraId="7C2BA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299453B2">
            <w:pPr>
              <w:keepNext w:val="0"/>
              <w:keepLines w:val="0"/>
              <w:suppressLineNumbers w:val="0"/>
              <w:spacing w:before="0" w:beforeAutospacing="0" w:after="0" w:afterAutospacing="0"/>
              <w:ind w:left="0" w:right="0"/>
              <w:jc w:val="center"/>
              <w:rPr>
                <w:rFonts w:hint="eastAsia" w:ascii="宋体" w:hAnsi="宋体" w:eastAsiaTheme="minorEastAsia"/>
                <w:lang w:eastAsia="zh-CN"/>
              </w:rPr>
            </w:pPr>
            <w:r>
              <w:rPr>
                <w:rFonts w:hint="eastAsia" w:ascii="宋体" w:hAnsi="宋体"/>
              </w:rPr>
              <w:t>总计</w:t>
            </w:r>
          </w:p>
        </w:tc>
        <w:tc>
          <w:tcPr>
            <w:tcW w:w="7363" w:type="dxa"/>
            <w:gridSpan w:val="8"/>
            <w:vAlign w:val="center"/>
          </w:tcPr>
          <w:p w14:paraId="44A20969">
            <w:pPr>
              <w:keepNext w:val="0"/>
              <w:keepLines w:val="0"/>
              <w:suppressLineNumbers w:val="0"/>
              <w:spacing w:before="0" w:beforeAutospacing="0" w:after="0" w:afterAutospacing="0"/>
              <w:ind w:left="0" w:right="0"/>
              <w:rPr>
                <w:rFonts w:hint="default"/>
              </w:rPr>
            </w:pPr>
            <w:r>
              <w:rPr>
                <w:rFonts w:hint="eastAsia"/>
                <w:lang w:val="en-US" w:eastAsia="zh-CN"/>
              </w:rPr>
              <w:t>小写：</w:t>
            </w:r>
            <w:r>
              <w:rPr>
                <w:rFonts w:hint="eastAsia"/>
              </w:rPr>
              <w:t xml:space="preserve">            大写：</w:t>
            </w:r>
          </w:p>
        </w:tc>
      </w:tr>
    </w:tbl>
    <w:p w14:paraId="74DB6181">
      <w:pPr>
        <w:widowControl/>
        <w:wordWrap w:val="0"/>
        <w:spacing w:line="360" w:lineRule="auto"/>
        <w:jc w:val="left"/>
        <w:rPr>
          <w:rFonts w:ascii="ˎ̥" w:hAnsi="ˎ̥" w:cs="宋体"/>
          <w:kern w:val="0"/>
          <w:sz w:val="18"/>
          <w:szCs w:val="18"/>
        </w:rPr>
      </w:pPr>
    </w:p>
    <w:p w14:paraId="6AA29BC1">
      <w:pPr>
        <w:pStyle w:val="2"/>
      </w:pPr>
    </w:p>
    <w:p w14:paraId="14D6F199">
      <w:pPr>
        <w:spacing w:line="360" w:lineRule="auto"/>
        <w:rPr>
          <w:b/>
          <w:bCs/>
          <w:sz w:val="24"/>
        </w:rPr>
      </w:pPr>
      <w:r>
        <w:rPr>
          <w:rFonts w:hint="eastAsia"/>
          <w:b/>
          <w:bCs/>
          <w:sz w:val="24"/>
          <w:lang w:val="en-US" w:eastAsia="zh-CN"/>
        </w:rPr>
        <w:t>投标人签字：</w:t>
      </w:r>
      <w:r>
        <w:rPr>
          <w:rFonts w:hint="eastAsia"/>
          <w:b/>
          <w:bCs/>
          <w:sz w:val="24"/>
          <w:u w:val="single"/>
          <w:lang w:val="en-US" w:eastAsia="zh-CN"/>
        </w:rPr>
        <w:t xml:space="preserve">                     </w:t>
      </w:r>
    </w:p>
    <w:p w14:paraId="32FD1D14">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58704B5">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4E0D3D7E">
      <w:pPr>
        <w:spacing w:line="360" w:lineRule="auto"/>
        <w:outlineLvl w:val="9"/>
        <w:rPr>
          <w:sz w:val="24"/>
        </w:rPr>
      </w:pPr>
      <w:r>
        <w:rPr>
          <w:rFonts w:hint="eastAsia"/>
          <w:b/>
          <w:sz w:val="24"/>
        </w:rPr>
        <w:t>（此处加盖投标人单位公章）</w:t>
      </w:r>
    </w:p>
    <w:p w14:paraId="2F80012B">
      <w:pPr>
        <w:tabs>
          <w:tab w:val="left" w:pos="567"/>
        </w:tabs>
        <w:snapToGrid w:val="0"/>
        <w:spacing w:line="360" w:lineRule="auto"/>
        <w:rPr>
          <w:rFonts w:ascii="宋体" w:hAnsi="宋体"/>
        </w:rPr>
      </w:pPr>
    </w:p>
    <w:p w14:paraId="7578DAC9">
      <w:pPr>
        <w:tabs>
          <w:tab w:val="left" w:pos="567"/>
        </w:tabs>
        <w:snapToGrid w:val="0"/>
        <w:spacing w:line="360" w:lineRule="auto"/>
        <w:rPr>
          <w:rFonts w:ascii="宋体" w:hAnsi="宋体"/>
        </w:rPr>
      </w:pPr>
      <w:r>
        <w:rPr>
          <w:rFonts w:hint="eastAsia" w:ascii="宋体" w:hAnsi="宋体"/>
        </w:rPr>
        <w:t>注：</w:t>
      </w:r>
    </w:p>
    <w:p w14:paraId="10109930">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此表为《开标一览表(报价表)》的报价明细表。</w:t>
      </w:r>
    </w:p>
    <w:p w14:paraId="60C88164">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所有价格均以人民币作为货币单位填写及计算。</w:t>
      </w:r>
    </w:p>
    <w:p w14:paraId="08644903">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该表格式仅作参考，投标人的详细报价表格式可自定。</w:t>
      </w:r>
    </w:p>
    <w:p w14:paraId="4B3DAAF6">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若投标报价</w:t>
      </w:r>
      <w:r>
        <w:rPr>
          <w:rFonts w:hint="eastAsia" w:ascii="宋体" w:hAnsi="宋体"/>
          <w:lang w:val="en-US" w:eastAsia="zh-CN"/>
        </w:rPr>
        <w:t>明细</w:t>
      </w:r>
      <w:r>
        <w:rPr>
          <w:rFonts w:hint="eastAsia" w:ascii="宋体" w:hAnsi="宋体"/>
        </w:rPr>
        <w:t>表中大写金额和小</w:t>
      </w:r>
      <w:r>
        <w:rPr>
          <w:rFonts w:hint="eastAsia" w:asciiTheme="minorEastAsia" w:hAnsiTheme="minorEastAsia" w:eastAsiaTheme="minorEastAsia"/>
          <w:szCs w:val="21"/>
        </w:rPr>
        <w:t>写金额不一致的，以大写金额为准。</w:t>
      </w:r>
    </w:p>
    <w:p w14:paraId="57712ECD">
      <w:pPr>
        <w:pStyle w:val="4"/>
        <w:numPr>
          <w:ilvl w:val="0"/>
          <w:numId w:val="0"/>
        </w:numPr>
        <w:spacing w:line="240" w:lineRule="auto"/>
        <w:ind w:left="420" w:leftChars="0" w:hanging="420" w:firstLineChars="0"/>
        <w:jc w:val="center"/>
        <w:outlineLvl w:val="9"/>
        <w:rPr>
          <w:rFonts w:ascii="宋体" w:hAnsi="宋体"/>
          <w:color w:val="000000"/>
        </w:rPr>
      </w:pPr>
    </w:p>
    <w:p w14:paraId="37B42F00">
      <w:pPr>
        <w:rPr>
          <w:rFonts w:ascii="宋体" w:hAnsi="宋体"/>
          <w:color w:val="000000"/>
        </w:rPr>
      </w:pPr>
    </w:p>
    <w:p w14:paraId="48A26FD0">
      <w:pPr>
        <w:pStyle w:val="2"/>
        <w:rPr>
          <w:rFonts w:ascii="宋体" w:hAnsi="宋体"/>
          <w:color w:val="000000"/>
        </w:rPr>
      </w:pPr>
    </w:p>
    <w:p w14:paraId="1EE00335">
      <w:pPr>
        <w:rPr>
          <w:rFonts w:ascii="宋体" w:hAnsi="宋体"/>
          <w:color w:val="000000"/>
        </w:rPr>
      </w:pPr>
    </w:p>
    <w:p w14:paraId="074A18CC">
      <w:pPr>
        <w:pStyle w:val="2"/>
        <w:rPr>
          <w:rFonts w:ascii="宋体" w:hAnsi="宋体"/>
          <w:color w:val="000000"/>
        </w:rPr>
      </w:pPr>
    </w:p>
    <w:p w14:paraId="1EAF0F35">
      <w:pPr>
        <w:rPr>
          <w:rFonts w:ascii="宋体" w:hAnsi="宋体"/>
          <w:color w:val="000000"/>
        </w:rPr>
      </w:pPr>
    </w:p>
    <w:p w14:paraId="561C5F22">
      <w:pPr>
        <w:pStyle w:val="2"/>
        <w:rPr>
          <w:rFonts w:ascii="宋体" w:hAnsi="宋体"/>
          <w:color w:val="000000"/>
        </w:rPr>
      </w:pPr>
    </w:p>
    <w:p w14:paraId="68A50261">
      <w:pPr>
        <w:rPr>
          <w:rFonts w:ascii="宋体" w:hAnsi="宋体"/>
          <w:color w:val="000000"/>
        </w:rPr>
      </w:pPr>
    </w:p>
    <w:p w14:paraId="7E8FC21E">
      <w:pPr>
        <w:pStyle w:val="2"/>
        <w:rPr>
          <w:rFonts w:ascii="宋体" w:hAnsi="宋体"/>
          <w:color w:val="000000"/>
        </w:rPr>
      </w:pPr>
    </w:p>
    <w:p w14:paraId="51E2905D">
      <w:pPr>
        <w:pStyle w:val="2"/>
      </w:pPr>
    </w:p>
    <w:p w14:paraId="48791E83">
      <w:pPr>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（十一）产品配置清单</w:t>
      </w:r>
    </w:p>
    <w:tbl>
      <w:tblPr>
        <w:tblStyle w:val="16"/>
        <w:tblW w:w="4996"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02"/>
        <w:gridCol w:w="1359"/>
        <w:gridCol w:w="1446"/>
        <w:gridCol w:w="1098"/>
        <w:gridCol w:w="1350"/>
        <w:gridCol w:w="2391"/>
        <w:gridCol w:w="957"/>
      </w:tblGrid>
      <w:tr w14:paraId="59B3688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27"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27C78ED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序号</w:t>
            </w:r>
          </w:p>
        </w:tc>
        <w:tc>
          <w:tcPr>
            <w:tcW w:w="73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81144DE">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品名</w:t>
            </w:r>
          </w:p>
        </w:tc>
        <w:tc>
          <w:tcPr>
            <w:tcW w:w="785"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7AE266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规格说明</w:t>
            </w:r>
          </w:p>
        </w:tc>
        <w:tc>
          <w:tcPr>
            <w:tcW w:w="596"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3EDABADF">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采购数量</w:t>
            </w:r>
          </w:p>
        </w:tc>
        <w:tc>
          <w:tcPr>
            <w:tcW w:w="733"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46D0FDD2">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lang w:val="en-US" w:eastAsia="zh-CN"/>
              </w:rPr>
              <w:t>投标</w:t>
            </w:r>
            <w:r>
              <w:rPr>
                <w:rFonts w:hint="eastAsia" w:ascii="宋体" w:hAnsi="宋体"/>
                <w:highlight w:val="none"/>
              </w:rPr>
              <w:t>数量</w:t>
            </w:r>
          </w:p>
        </w:tc>
        <w:tc>
          <w:tcPr>
            <w:tcW w:w="129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616CA0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偏离情况（填写“正偏离、</w:t>
            </w:r>
            <w:r>
              <w:rPr>
                <w:rFonts w:hint="eastAsia" w:ascii="宋体" w:hAnsi="宋体"/>
                <w:highlight w:val="none"/>
                <w:lang w:val="en-US" w:eastAsia="zh-CN"/>
              </w:rPr>
              <w:t>无偏离</w:t>
            </w:r>
            <w:r>
              <w:rPr>
                <w:rFonts w:hint="eastAsia" w:ascii="宋体" w:hAnsi="宋体"/>
                <w:highlight w:val="none"/>
              </w:rPr>
              <w:t>或负偏离”）</w:t>
            </w:r>
          </w:p>
        </w:tc>
        <w:tc>
          <w:tcPr>
            <w:tcW w:w="519"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281F3E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备注</w:t>
            </w:r>
          </w:p>
        </w:tc>
      </w:tr>
      <w:tr w14:paraId="0C11FD5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double" w:color="auto" w:sz="4" w:space="0"/>
              <w:left w:val="single" w:color="auto" w:sz="4" w:space="0"/>
              <w:bottom w:val="single" w:color="auto" w:sz="4" w:space="0"/>
              <w:right w:val="single" w:color="auto" w:sz="4" w:space="0"/>
            </w:tcBorders>
            <w:vAlign w:val="center"/>
          </w:tcPr>
          <w:p w14:paraId="226BB8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738" w:type="pct"/>
            <w:tcBorders>
              <w:top w:val="double" w:color="auto" w:sz="4" w:space="0"/>
              <w:left w:val="single" w:color="auto" w:sz="4" w:space="0"/>
              <w:bottom w:val="single" w:color="auto" w:sz="4" w:space="0"/>
              <w:right w:val="single" w:color="auto" w:sz="4" w:space="0"/>
            </w:tcBorders>
            <w:vAlign w:val="center"/>
          </w:tcPr>
          <w:p w14:paraId="49504AD2">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double" w:color="auto" w:sz="4" w:space="0"/>
              <w:left w:val="single" w:color="auto" w:sz="4" w:space="0"/>
              <w:bottom w:val="single" w:color="auto" w:sz="4" w:space="0"/>
              <w:right w:val="single" w:color="auto" w:sz="4" w:space="0"/>
            </w:tcBorders>
            <w:vAlign w:val="center"/>
          </w:tcPr>
          <w:p w14:paraId="399BD18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double" w:color="auto" w:sz="4" w:space="0"/>
              <w:left w:val="single" w:color="auto" w:sz="4" w:space="0"/>
              <w:bottom w:val="single" w:color="auto" w:sz="4" w:space="0"/>
              <w:right w:val="single" w:color="auto" w:sz="4" w:space="0"/>
            </w:tcBorders>
            <w:vAlign w:val="center"/>
          </w:tcPr>
          <w:p w14:paraId="681D123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double" w:color="auto" w:sz="4" w:space="0"/>
              <w:left w:val="single" w:color="auto" w:sz="4" w:space="0"/>
              <w:bottom w:val="single" w:color="auto" w:sz="4" w:space="0"/>
              <w:right w:val="single" w:color="auto" w:sz="4" w:space="0"/>
            </w:tcBorders>
            <w:vAlign w:val="center"/>
          </w:tcPr>
          <w:p w14:paraId="11E35DC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double" w:color="auto" w:sz="4" w:space="0"/>
              <w:left w:val="single" w:color="auto" w:sz="4" w:space="0"/>
              <w:bottom w:val="single" w:color="auto" w:sz="4" w:space="0"/>
              <w:right w:val="single" w:color="auto" w:sz="4" w:space="0"/>
            </w:tcBorders>
            <w:vAlign w:val="center"/>
          </w:tcPr>
          <w:p w14:paraId="3B9FCC3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double" w:color="auto" w:sz="4" w:space="0"/>
              <w:left w:val="single" w:color="auto" w:sz="4" w:space="0"/>
              <w:bottom w:val="single" w:color="auto" w:sz="4" w:space="0"/>
              <w:right w:val="single" w:color="auto" w:sz="4" w:space="0"/>
            </w:tcBorders>
            <w:vAlign w:val="center"/>
          </w:tcPr>
          <w:p w14:paraId="6742F55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610D879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6EAC12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738" w:type="pct"/>
            <w:tcBorders>
              <w:top w:val="single" w:color="auto" w:sz="4" w:space="0"/>
              <w:left w:val="single" w:color="auto" w:sz="4" w:space="0"/>
              <w:bottom w:val="single" w:color="auto" w:sz="4" w:space="0"/>
              <w:right w:val="single" w:color="auto" w:sz="4" w:space="0"/>
            </w:tcBorders>
            <w:vAlign w:val="center"/>
          </w:tcPr>
          <w:p w14:paraId="5E3D5F7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FA75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220495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7270A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BAF619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6906FD8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1656BA9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17C5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w:t>
            </w:r>
          </w:p>
        </w:tc>
        <w:tc>
          <w:tcPr>
            <w:tcW w:w="738" w:type="pct"/>
            <w:tcBorders>
              <w:top w:val="single" w:color="auto" w:sz="4" w:space="0"/>
              <w:left w:val="single" w:color="auto" w:sz="4" w:space="0"/>
              <w:bottom w:val="single" w:color="auto" w:sz="4" w:space="0"/>
              <w:right w:val="single" w:color="auto" w:sz="4" w:space="0"/>
            </w:tcBorders>
            <w:vAlign w:val="center"/>
          </w:tcPr>
          <w:p w14:paraId="25216D35">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247AEBA6">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6192661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2241BF8">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0A80945A">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11E0420E">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0B6946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33DA7F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w:t>
            </w:r>
          </w:p>
        </w:tc>
        <w:tc>
          <w:tcPr>
            <w:tcW w:w="738" w:type="pct"/>
            <w:tcBorders>
              <w:top w:val="single" w:color="auto" w:sz="4" w:space="0"/>
              <w:left w:val="single" w:color="auto" w:sz="4" w:space="0"/>
              <w:bottom w:val="single" w:color="auto" w:sz="4" w:space="0"/>
              <w:right w:val="single" w:color="auto" w:sz="4" w:space="0"/>
            </w:tcBorders>
            <w:vAlign w:val="center"/>
          </w:tcPr>
          <w:p w14:paraId="34C2F6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14A87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5108311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FE7BB6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FBC13D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343D8A2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B343F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050012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w:t>
            </w:r>
          </w:p>
        </w:tc>
        <w:tc>
          <w:tcPr>
            <w:tcW w:w="738" w:type="pct"/>
            <w:tcBorders>
              <w:top w:val="single" w:color="auto" w:sz="4" w:space="0"/>
              <w:left w:val="single" w:color="auto" w:sz="4" w:space="0"/>
              <w:bottom w:val="single" w:color="auto" w:sz="4" w:space="0"/>
              <w:right w:val="single" w:color="auto" w:sz="4" w:space="0"/>
            </w:tcBorders>
            <w:vAlign w:val="center"/>
          </w:tcPr>
          <w:p w14:paraId="3DF3997D">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37F8DD0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134A4BC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26568D7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F72E6A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CE24A0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4ACF3B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CE6BB2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w:t>
            </w:r>
          </w:p>
        </w:tc>
        <w:tc>
          <w:tcPr>
            <w:tcW w:w="738" w:type="pct"/>
            <w:tcBorders>
              <w:top w:val="single" w:color="auto" w:sz="4" w:space="0"/>
              <w:left w:val="single" w:color="auto" w:sz="4" w:space="0"/>
              <w:bottom w:val="single" w:color="auto" w:sz="4" w:space="0"/>
              <w:right w:val="single" w:color="auto" w:sz="4" w:space="0"/>
            </w:tcBorders>
            <w:vAlign w:val="center"/>
          </w:tcPr>
          <w:p w14:paraId="5869EB8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0594AAA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67A414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42933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9713A4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5E5BAD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bl>
    <w:p w14:paraId="21CB7445">
      <w:pPr>
        <w:rPr>
          <w:rFonts w:asciiTheme="minorEastAsia" w:hAnsiTheme="minorEastAsia" w:cstheme="minorEastAsia"/>
          <w:szCs w:val="21"/>
        </w:rPr>
      </w:pPr>
    </w:p>
    <w:p w14:paraId="76382B3F">
      <w:pPr>
        <w:pStyle w:val="9"/>
        <w:numPr>
          <w:ilvl w:val="0"/>
          <w:numId w:val="0"/>
        </w:numPr>
        <w:tabs>
          <w:tab w:val="left" w:pos="540"/>
        </w:tabs>
        <w:adjustRightInd w:val="0"/>
        <w:snapToGrid w:val="0"/>
        <w:spacing w:line="360" w:lineRule="auto"/>
        <w:ind w:leftChars="0"/>
        <w:rPr>
          <w:rFonts w:hint="eastAsia" w:ascii="宋体" w:hAnsi="宋体"/>
        </w:rPr>
      </w:pPr>
      <w:r>
        <w:rPr>
          <w:rFonts w:hint="eastAsia" w:ascii="宋体" w:hAnsi="宋体"/>
        </w:rPr>
        <w:t>注：</w:t>
      </w:r>
    </w:p>
    <w:p w14:paraId="40CC3990">
      <w:pPr>
        <w:pStyle w:val="9"/>
        <w:numPr>
          <w:ilvl w:val="0"/>
          <w:numId w:val="12"/>
        </w:numPr>
        <w:tabs>
          <w:tab w:val="left" w:pos="540"/>
          <w:tab w:val="clear" w:pos="312"/>
        </w:tabs>
        <w:adjustRightInd w:val="0"/>
        <w:snapToGrid w:val="0"/>
        <w:spacing w:line="360" w:lineRule="auto"/>
        <w:ind w:leftChars="0"/>
        <w:rPr>
          <w:rFonts w:hint="eastAsia" w:ascii="宋体" w:hAnsi="宋体" w:eastAsia="宋体" w:cs="Times New Roman"/>
          <w:lang w:val="en-US" w:eastAsia="zh-CN"/>
        </w:rPr>
      </w:pPr>
      <w:r>
        <w:rPr>
          <w:rFonts w:hint="eastAsia" w:ascii="宋体" w:hAnsi="宋体" w:eastAsia="宋体" w:cs="Times New Roman"/>
        </w:rPr>
        <w:t>此表为项目采购标的清单的</w:t>
      </w:r>
      <w:r>
        <w:rPr>
          <w:rFonts w:hint="eastAsia" w:ascii="宋体" w:hAnsi="宋体" w:eastAsia="宋体" w:cs="Times New Roman"/>
          <w:lang w:val="en-US" w:eastAsia="zh-CN"/>
        </w:rPr>
        <w:t>响应情况表。</w:t>
      </w:r>
    </w:p>
    <w:p w14:paraId="5C82DA66">
      <w:pPr>
        <w:pStyle w:val="9"/>
        <w:numPr>
          <w:ilvl w:val="0"/>
          <w:numId w:val="12"/>
        </w:numPr>
        <w:tabs>
          <w:tab w:val="left" w:pos="540"/>
          <w:tab w:val="clear" w:pos="312"/>
        </w:tabs>
        <w:adjustRightInd w:val="0"/>
        <w:snapToGrid w:val="0"/>
        <w:spacing w:line="360" w:lineRule="auto"/>
        <w:ind w:leftChars="0"/>
        <w:rPr>
          <w:rFonts w:hint="default" w:ascii="宋体" w:hAnsi="宋体" w:eastAsia="宋体" w:cs="Times New Roman"/>
          <w:lang w:val="en-US" w:eastAsia="zh-CN"/>
        </w:rPr>
      </w:pPr>
      <w:r>
        <w:rPr>
          <w:rFonts w:hint="eastAsia" w:ascii="宋体" w:hAnsi="宋体" w:eastAsia="宋体" w:cs="Times New Roman"/>
          <w:lang w:val="en-US" w:eastAsia="zh-CN"/>
        </w:rPr>
        <w:t>投标人需根据</w:t>
      </w:r>
      <w:r>
        <w:rPr>
          <w:rFonts w:hint="eastAsia" w:hAnsi="宋体" w:cs="Times New Roman"/>
          <w:lang w:val="en-US" w:eastAsia="zh-CN"/>
        </w:rPr>
        <w:t>征集</w:t>
      </w:r>
      <w:r>
        <w:rPr>
          <w:rFonts w:hint="eastAsia" w:ascii="宋体" w:hAnsi="宋体" w:eastAsia="宋体" w:cs="Times New Roman"/>
          <w:lang w:val="en-US" w:eastAsia="zh-CN"/>
        </w:rPr>
        <w:t>文件采购数量如实填写投标数量。</w:t>
      </w:r>
    </w:p>
    <w:p w14:paraId="71BC2208">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768874C">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4C5FED8B">
      <w:pPr>
        <w:pStyle w:val="9"/>
        <w:numPr>
          <w:ilvl w:val="0"/>
          <w:numId w:val="0"/>
        </w:numPr>
        <w:tabs>
          <w:tab w:val="left" w:pos="540"/>
        </w:tabs>
        <w:adjustRightInd w:val="0"/>
        <w:snapToGrid w:val="0"/>
        <w:spacing w:line="360" w:lineRule="auto"/>
        <w:rPr>
          <w:rFonts w:hint="default" w:ascii="宋体" w:hAnsi="宋体" w:eastAsia="宋体" w:cs="Times New Roman"/>
          <w:lang w:val="en-US" w:eastAsia="zh-CN"/>
        </w:rPr>
      </w:pPr>
    </w:p>
    <w:p w14:paraId="51884ACB">
      <w:pPr>
        <w:pStyle w:val="4"/>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r>
        <w:rPr>
          <w:rFonts w:ascii="宋体" w:hAnsi="宋体"/>
          <w:color w:val="000000"/>
        </w:rPr>
        <w:br w:type="page"/>
      </w:r>
      <w:bookmarkStart w:id="37" w:name="_Toc24434"/>
      <w:bookmarkStart w:id="38" w:name="_Toc435515294"/>
      <w:bookmarkStart w:id="39" w:name="_Toc275865605"/>
      <w:bookmarkStart w:id="40" w:name="_Toc20322_WPSOffice_Level1"/>
      <w:bookmarkStart w:id="41" w:name="_Toc1762"/>
      <w:bookmarkStart w:id="42" w:name="_Toc435514854"/>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十二</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投标函</w:t>
      </w:r>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征集</w:t>
      </w:r>
      <w:r>
        <w:rPr>
          <w:rFonts w:hint="eastAsia" w:ascii="宋体" w:hAnsi="宋体"/>
        </w:rPr>
        <w:t>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3"/>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征集</w:t>
      </w:r>
      <w:r>
        <w:rPr>
          <w:rFonts w:hint="eastAsia" w:ascii="宋体" w:hAnsi="宋体"/>
          <w:b/>
        </w:rPr>
        <w:t>文件的各项规定，自愿参加投标，并已清楚</w:t>
      </w:r>
      <w:r>
        <w:rPr>
          <w:rFonts w:hint="eastAsia" w:ascii="宋体" w:hAnsi="宋体"/>
          <w:b/>
          <w:lang w:eastAsia="zh-CN"/>
        </w:rPr>
        <w:t>征集</w:t>
      </w:r>
      <w:r>
        <w:rPr>
          <w:rFonts w:hint="eastAsia" w:ascii="宋体" w:hAnsi="宋体"/>
          <w:b/>
        </w:rPr>
        <w:t>文件的要求及有关文件规定，并严格按照</w:t>
      </w:r>
      <w:r>
        <w:rPr>
          <w:rFonts w:hint="eastAsia" w:ascii="宋体" w:hAnsi="宋体"/>
          <w:b/>
          <w:lang w:eastAsia="zh-CN"/>
        </w:rPr>
        <w:t>征集</w:t>
      </w:r>
      <w:r>
        <w:rPr>
          <w:rFonts w:hint="eastAsia" w:ascii="宋体" w:hAnsi="宋体"/>
          <w:b/>
        </w:rPr>
        <w:t>文件的规定履行全部责任和义务。</w:t>
      </w:r>
    </w:p>
    <w:p w14:paraId="628A2847">
      <w:pPr>
        <w:numPr>
          <w:ilvl w:val="0"/>
          <w:numId w:val="13"/>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3"/>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3"/>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征集</w:t>
      </w:r>
      <w:r>
        <w:rPr>
          <w:rFonts w:hint="eastAsia" w:ascii="宋体" w:hAnsi="宋体"/>
          <w:b/>
        </w:rPr>
        <w:t>文件及附件，包括澄清（如有）及参考文件，我单位完全理解本</w:t>
      </w:r>
      <w:r>
        <w:rPr>
          <w:rFonts w:hint="eastAsia" w:ascii="宋体" w:hAnsi="宋体"/>
          <w:b/>
          <w:lang w:eastAsia="zh-CN"/>
        </w:rPr>
        <w:t>征集</w:t>
      </w:r>
      <w:r>
        <w:rPr>
          <w:rFonts w:hint="eastAsia" w:ascii="宋体" w:hAnsi="宋体"/>
          <w:b/>
        </w:rPr>
        <w:t>文件的要求，</w:t>
      </w:r>
      <w:r>
        <w:rPr>
          <w:rFonts w:hint="eastAsia" w:ascii="宋体"/>
          <w:b/>
        </w:rPr>
        <w:t>我单位同意放弃对</w:t>
      </w:r>
      <w:r>
        <w:rPr>
          <w:rFonts w:hint="eastAsia" w:ascii="宋体"/>
          <w:b/>
          <w:lang w:eastAsia="zh-CN"/>
        </w:rPr>
        <w:t>征集</w:t>
      </w:r>
      <w:r>
        <w:rPr>
          <w:rFonts w:hint="eastAsia" w:ascii="宋体"/>
          <w:b/>
        </w:rPr>
        <w:t>文件提出不明或误解的一切权力</w:t>
      </w:r>
      <w:r>
        <w:rPr>
          <w:rFonts w:hint="eastAsia" w:ascii="宋体" w:hAnsi="宋体"/>
          <w:b/>
        </w:rPr>
        <w:t>。</w:t>
      </w:r>
    </w:p>
    <w:p w14:paraId="6B072C5B">
      <w:pPr>
        <w:numPr>
          <w:ilvl w:val="0"/>
          <w:numId w:val="13"/>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3"/>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3"/>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征集</w:t>
      </w:r>
      <w:r>
        <w:rPr>
          <w:rFonts w:hint="eastAsia" w:ascii="宋体" w:hAnsi="宋体"/>
          <w:b/>
        </w:rPr>
        <w:t xml:space="preserve">文件全部要求作出实质性响应，则完全同意并接受按无效投标处理。 </w:t>
      </w:r>
    </w:p>
    <w:p w14:paraId="4E34F74F">
      <w:pPr>
        <w:numPr>
          <w:ilvl w:val="0"/>
          <w:numId w:val="13"/>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3"/>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3"/>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3"/>
        </w:numPr>
        <w:tabs>
          <w:tab w:val="clear" w:pos="780"/>
        </w:tabs>
        <w:snapToGrid w:val="0"/>
        <w:spacing w:line="360" w:lineRule="auto"/>
        <w:ind w:left="426" w:leftChars="0" w:hanging="360" w:firstLineChars="0"/>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征集</w:t>
      </w:r>
      <w:r>
        <w:rPr>
          <w:rFonts w:hint="eastAsia" w:ascii="宋体" w:hAnsi="宋体"/>
          <w:b/>
        </w:rPr>
        <w:t>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4"/>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24650"/>
      <w:bookmarkStart w:id="44" w:name="_Toc275865606"/>
      <w:bookmarkStart w:id="45" w:name="_Toc435515295"/>
      <w:bookmarkStart w:id="46" w:name="_Toc435514855"/>
      <w:bookmarkStart w:id="47" w:name="_Toc4649"/>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8"/>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征集</w:t>
      </w:r>
      <w:r>
        <w:rPr>
          <w:rFonts w:hint="eastAsia" w:ascii="宋体" w:hAnsi="宋体"/>
          <w:color w:val="auto"/>
          <w:highlight w:val="none"/>
        </w:rPr>
        <w:t>，本公司（企业）愿意参加投标，并声明：</w:t>
      </w:r>
    </w:p>
    <w:p w14:paraId="179ACA93">
      <w:pPr>
        <w:numPr>
          <w:ilvl w:val="0"/>
          <w:numId w:val="14"/>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4"/>
        </w:numPr>
        <w:spacing w:line="360" w:lineRule="auto"/>
        <w:ind w:left="0" w:leftChars="0" w:right="-815" w:rightChars="0" w:firstLine="420"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征集</w:t>
      </w:r>
      <w:r>
        <w:rPr>
          <w:rFonts w:hint="eastAsia" w:ascii="宋体" w:hAnsi="宋体"/>
          <w:szCs w:val="21"/>
        </w:rPr>
        <w:t>项目所提供的货物或服务未侵犯知识产权。</w:t>
      </w:r>
    </w:p>
    <w:p w14:paraId="6CC207C4">
      <w:pPr>
        <w:numPr>
          <w:ilvl w:val="0"/>
          <w:numId w:val="14"/>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4"/>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4"/>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征集</w:t>
      </w:r>
      <w:r>
        <w:rPr>
          <w:rFonts w:hint="eastAsia" w:ascii="宋体" w:hAnsi="宋体"/>
          <w:color w:val="auto"/>
          <w:szCs w:val="21"/>
          <w:highlight w:val="none"/>
        </w:rPr>
        <w:t>文件需求内容、签署的采购合同及本公司在投标中所作的一切承诺履约。项目验收达到全部指标合格，力争优良。</w:t>
      </w:r>
    </w:p>
    <w:p w14:paraId="30EADCCC">
      <w:pPr>
        <w:numPr>
          <w:ilvl w:val="0"/>
          <w:numId w:val="14"/>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4"/>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4"/>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征集</w:t>
      </w:r>
      <w:r>
        <w:rPr>
          <w:rFonts w:hint="eastAsia" w:ascii="宋体" w:hAnsi="宋体"/>
        </w:rPr>
        <w:t>采购活动中，如有违法、违规、弄虚作假行为，所造成的损失、不良后果及法律责任，一律由我公司（企业）承担。</w:t>
      </w:r>
    </w:p>
    <w:p w14:paraId="776B9E12">
      <w:pPr>
        <w:numPr>
          <w:ilvl w:val="0"/>
          <w:numId w:val="14"/>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4"/>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4"/>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8" w:name="_承诺函"/>
      <w:bookmarkEnd w:id="48"/>
      <w:bookmarkStart w:id="49" w:name="_Toc27672"/>
      <w:bookmarkStart w:id="50" w:name="_Toc435514859"/>
      <w:bookmarkStart w:id="51" w:name="_Toc50737329"/>
      <w:bookmarkStart w:id="52" w:name="_Toc435515299"/>
      <w:bookmarkStart w:id="53" w:name="_Toc52165081"/>
      <w:bookmarkStart w:id="54" w:name="_Toc50736477"/>
      <w:bookmarkStart w:id="55" w:name="_Toc275865607"/>
      <w:bookmarkStart w:id="56" w:name="_Toc24149"/>
      <w:bookmarkStart w:id="57" w:name="_Toc50737297"/>
      <w:bookmarkStart w:id="58" w:name="_Toc50737328"/>
      <w:bookmarkStart w:id="59" w:name="_Toc50736476"/>
      <w:bookmarkStart w:id="60" w:name="_Toc52165080"/>
      <w:bookmarkStart w:id="61" w:name="_Toc50737296"/>
      <w:bookmarkStart w:id="62" w:name="_Toc50691034"/>
      <w:r>
        <w:rPr>
          <w:rFonts w:hint="eastAsia" w:cs="宋体" w:asciiTheme="majorEastAsia" w:hAnsiTheme="majorEastAsia" w:eastAsiaTheme="majorEastAsia"/>
          <w:kern w:val="2"/>
          <w:sz w:val="30"/>
          <w:szCs w:val="30"/>
          <w:lang w:val="en-US" w:eastAsia="zh-CN" w:bidi="ar-SA"/>
        </w:rPr>
        <w:t>（十四）政府采购违法行为风险知悉确认书</w:t>
      </w:r>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35"/>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4"/>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4"/>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4"/>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4"/>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4"/>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4"/>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4"/>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49"/>
      <w:bookmarkEnd w:id="50"/>
      <w:bookmarkEnd w:id="51"/>
      <w:bookmarkEnd w:id="52"/>
      <w:bookmarkEnd w:id="53"/>
      <w:bookmarkEnd w:id="54"/>
      <w:bookmarkEnd w:id="55"/>
      <w:bookmarkEnd w:id="56"/>
      <w:bookmarkEnd w:id="57"/>
    </w:p>
    <w:p w14:paraId="232C51C3">
      <w:pPr>
        <w:pStyle w:val="9"/>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9"/>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2"/>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3" w:name="_Toc435514860"/>
      <w:bookmarkStart w:id="64" w:name="_Toc14289"/>
      <w:bookmarkStart w:id="65" w:name="_Toc275865608"/>
      <w:bookmarkStart w:id="66" w:name="_Toc435515300"/>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46D4BB7D">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Theme="majorEastAsia" w:hAnsiTheme="majorEastAsia" w:eastAsiaTheme="majorEastAsia"/>
          <w:sz w:val="30"/>
          <w:szCs w:val="30"/>
        </w:rPr>
        <w:br w:type="page"/>
      </w:r>
    </w:p>
    <w:bookmarkEnd w:id="58"/>
    <w:bookmarkEnd w:id="59"/>
    <w:bookmarkEnd w:id="60"/>
    <w:bookmarkEnd w:id="61"/>
    <w:bookmarkEnd w:id="62"/>
    <w:bookmarkEnd w:id="63"/>
    <w:bookmarkEnd w:id="64"/>
    <w:bookmarkEnd w:id="65"/>
    <w:bookmarkEnd w:id="66"/>
    <w:p w14:paraId="0DE7F095">
      <w:pPr>
        <w:pStyle w:val="4"/>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7" w:name="_Toc6666"/>
      <w:bookmarkStart w:id="68"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67"/>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3A73B24C">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A4F398">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E7BD5D">
      <w:pPr>
        <w:spacing w:line="360" w:lineRule="auto"/>
        <w:ind w:firstLine="422" w:firstLineChars="200"/>
      </w:pPr>
      <w:r>
        <w:rPr>
          <w:rFonts w:hint="eastAsia" w:ascii="宋体" w:hAnsi="宋体" w:eastAsia="宋体" w:cs="宋体"/>
          <w:b/>
          <w:bCs w:val="0"/>
          <w:color w:val="auto"/>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4"/>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9" w:name="_Toc2423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68"/>
      <w:bookmarkEnd w:id="6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4"/>
        <w:numPr>
          <w:ilvl w:val="0"/>
          <w:numId w:val="0"/>
        </w:numPr>
        <w:spacing w:line="240" w:lineRule="auto"/>
        <w:ind w:left="420" w:leftChars="0" w:hanging="420" w:firstLineChars="0"/>
        <w:jc w:val="center"/>
        <w:outlineLvl w:val="0"/>
        <w:rPr>
          <w:rFonts w:ascii="宋体" w:hAnsi="宋体" w:eastAsia="宋体"/>
          <w:sz w:val="30"/>
          <w:szCs w:val="30"/>
        </w:rPr>
      </w:pPr>
      <w:bookmarkStart w:id="70" w:name="_Toc24644"/>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0"/>
    </w:p>
    <w:p w14:paraId="0263054A">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olor w:val="auto"/>
          <w:szCs w:val="21"/>
          <w:highlight w:val="none"/>
          <w:lang w:val="en-US" w:eastAsia="zh-CN"/>
        </w:rPr>
        <w:br w:type="page"/>
      </w:r>
    </w:p>
    <w:p w14:paraId="6C6A5DD0">
      <w:pPr>
        <w:pStyle w:val="4"/>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71" w:name="_Toc777"/>
      <w:bookmarkStart w:id="72" w:name="_Toc11352"/>
      <w:bookmarkStart w:id="73" w:name="_Toc7126"/>
      <w:bookmarkStart w:id="74" w:name="_Toc2305"/>
      <w:bookmarkStart w:id="75" w:name="_Toc15871"/>
      <w:bookmarkStart w:id="76" w:name="_Toc25910"/>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71"/>
      <w:bookmarkEnd w:id="72"/>
      <w:bookmarkEnd w:id="73"/>
      <w:bookmarkEnd w:id="74"/>
      <w:bookmarkEnd w:id="75"/>
      <w:bookmarkEnd w:id="76"/>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790DCE5D">
      <w:pPr>
        <w:pStyle w:val="2"/>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4006300D">
      <w:r>
        <w:rPr>
          <w:rFonts w:hint="eastAsi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129845">
      <w:pPr>
        <w:spacing w:line="500" w:lineRule="exact"/>
        <w:rPr>
          <w:rFonts w:ascii="宋体" w:hAnsi="宋体"/>
        </w:rPr>
      </w:pPr>
    </w:p>
    <w:p w14:paraId="0B1E9164">
      <w:pPr>
        <w:rPr>
          <w:rFonts w:hint="eastAsia" w:asciiTheme="majorEastAsia" w:hAnsiTheme="majorEastAsia" w:eastAsiaTheme="majorEastAsia"/>
          <w:sz w:val="30"/>
          <w:szCs w:val="30"/>
        </w:rPr>
      </w:pPr>
      <w:bookmarkStart w:id="77" w:name="_Toc8619"/>
      <w:bookmarkStart w:id="78" w:name="_Toc435515308"/>
      <w:bookmarkStart w:id="79" w:name="_Toc435514868"/>
      <w:r>
        <w:rPr>
          <w:rFonts w:hint="eastAsia" w:asciiTheme="majorEastAsia" w:hAnsiTheme="majorEastAsia" w:eastAsiaTheme="majorEastAsia"/>
          <w:sz w:val="30"/>
          <w:szCs w:val="30"/>
        </w:rPr>
        <w:br w:type="page"/>
      </w:r>
    </w:p>
    <w:p w14:paraId="6F888131">
      <w:pPr>
        <w:pStyle w:val="4"/>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80" w:name="_Toc29264"/>
      <w:r>
        <w:rPr>
          <w:rFonts w:hint="eastAsia" w:cs="宋体" w:asciiTheme="majorEastAsia" w:hAnsiTheme="majorEastAsia" w:eastAsiaTheme="majorEastAsia"/>
          <w:kern w:val="2"/>
          <w:sz w:val="30"/>
          <w:szCs w:val="30"/>
          <w:lang w:val="en-US" w:eastAsia="zh-CN" w:bidi="ar-SA"/>
        </w:rPr>
        <w:t>（二十）</w:t>
      </w:r>
      <w:r>
        <w:rPr>
          <w:rFonts w:hint="eastAsia" w:asciiTheme="majorEastAsia" w:hAnsiTheme="majorEastAsia" w:eastAsiaTheme="majorEastAsia"/>
          <w:sz w:val="30"/>
          <w:szCs w:val="30"/>
        </w:rPr>
        <w:t>技术规格偏离表</w:t>
      </w:r>
      <w:bookmarkEnd w:id="80"/>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600754F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征集技术要求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E47F2F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1D64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6ED6CC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DF9696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E433214">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FB38C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7405FAE">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D4E48A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5C6801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015303A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DA9829">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67486C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376D43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47EF3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征集</w:t>
      </w:r>
      <w:r>
        <w:rPr>
          <w:rFonts w:hint="eastAsia" w:ascii="宋体" w:hAnsi="宋体"/>
          <w:szCs w:val="21"/>
        </w:rPr>
        <w:t>文件的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562BABE">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26710D5F">
      <w:pPr>
        <w:pStyle w:val="4"/>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81" w:name="_Toc1851"/>
      <w:r>
        <w:rPr>
          <w:rFonts w:hint="eastAsia" w:cs="宋体" w:asciiTheme="majorEastAsia" w:hAnsiTheme="majorEastAsia" w:eastAsiaTheme="majorEastAsia"/>
          <w:kern w:val="2"/>
          <w:sz w:val="30"/>
          <w:szCs w:val="30"/>
          <w:lang w:val="en-US" w:eastAsia="zh-CN" w:bidi="ar-SA"/>
        </w:rPr>
        <w:t>（二十一）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77"/>
      <w:bookmarkEnd w:id="81"/>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商务要求中的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征集</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bookmarkEnd w:id="78"/>
    <w:bookmarkEnd w:id="79"/>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征集</w:t>
      </w:r>
      <w:r>
        <w:rPr>
          <w:rFonts w:hint="eastAsia" w:ascii="宋体" w:hAnsi="宋体"/>
          <w:szCs w:val="21"/>
        </w:rPr>
        <w:t>商务要求”，详细填写自身响应情况，而不能不合理照搬照抄</w:t>
      </w:r>
      <w:r>
        <w:rPr>
          <w:rFonts w:hint="eastAsia" w:ascii="宋体" w:hAnsi="宋体"/>
          <w:szCs w:val="21"/>
          <w:lang w:eastAsia="zh-CN"/>
        </w:rPr>
        <w:t>征集</w:t>
      </w:r>
      <w:r>
        <w:rPr>
          <w:rFonts w:hint="eastAsia" w:ascii="宋体" w:hAnsi="宋体"/>
          <w:szCs w:val="21"/>
        </w:rPr>
        <w:t>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征集</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征集</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征集</w:t>
      </w:r>
      <w:r>
        <w:rPr>
          <w:rFonts w:hint="eastAsia" w:ascii="宋体" w:hAnsi="宋体"/>
          <w:szCs w:val="21"/>
        </w:rPr>
        <w:t>商务要求”存在响应不全（包括未响应整项</w:t>
      </w:r>
      <w:r>
        <w:rPr>
          <w:rFonts w:hint="eastAsia" w:ascii="宋体" w:hAnsi="宋体"/>
          <w:szCs w:val="21"/>
          <w:lang w:eastAsia="zh-CN"/>
        </w:rPr>
        <w:t>征集</w:t>
      </w:r>
      <w:r>
        <w:rPr>
          <w:rFonts w:hint="eastAsia" w:ascii="宋体" w:hAnsi="宋体"/>
          <w:szCs w:val="21"/>
        </w:rPr>
        <w:t>商务要求或者未响应一项</w:t>
      </w:r>
      <w:r>
        <w:rPr>
          <w:rFonts w:hint="eastAsia" w:ascii="宋体" w:hAnsi="宋体"/>
          <w:szCs w:val="21"/>
          <w:lang w:eastAsia="zh-CN"/>
        </w:rPr>
        <w:t>征集</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bookmarkStart w:id="82" w:name="_Toc275865626"/>
      <w:bookmarkStart w:id="83" w:name="_Toc173553195"/>
      <w:bookmarkStart w:id="84" w:name="_Toc435514878"/>
      <w:bookmarkStart w:id="85" w:name="_Toc435515318"/>
    </w:p>
    <w:p w14:paraId="57099E2D">
      <w:pPr>
        <w:pStyle w:val="4"/>
        <w:numPr>
          <w:ilvl w:val="0"/>
          <w:numId w:val="0"/>
        </w:numPr>
        <w:jc w:val="center"/>
        <w:outlineLvl w:val="9"/>
        <w:rPr>
          <w:rFonts w:hint="eastAsia" w:ascii="宋体" w:hAnsi="宋体" w:cs="宋体" w:eastAsiaTheme="minorEastAsia"/>
          <w:kern w:val="2"/>
          <w:sz w:val="30"/>
          <w:szCs w:val="30"/>
          <w:lang w:val="en-US" w:eastAsia="zh-CN" w:bidi="ar-SA"/>
        </w:rPr>
      </w:pPr>
      <w:bookmarkStart w:id="86" w:name="_Toc5084"/>
      <w:bookmarkStart w:id="87" w:name="_Toc23178"/>
      <w:bookmarkStart w:id="88" w:name="_Toc24015580"/>
    </w:p>
    <w:p w14:paraId="7A683F8F">
      <w:pPr>
        <w:pStyle w:val="4"/>
        <w:numPr>
          <w:ilvl w:val="0"/>
          <w:numId w:val="0"/>
        </w:numPr>
        <w:jc w:val="center"/>
        <w:outlineLvl w:val="9"/>
        <w:rPr>
          <w:rFonts w:hint="eastAsia" w:ascii="宋体" w:hAnsi="宋体" w:cs="宋体" w:eastAsiaTheme="minorEastAsia"/>
          <w:kern w:val="2"/>
          <w:sz w:val="30"/>
          <w:szCs w:val="30"/>
          <w:lang w:val="en-US" w:eastAsia="zh-CN" w:bidi="ar-SA"/>
        </w:rPr>
      </w:pPr>
    </w:p>
    <w:p w14:paraId="34D72260">
      <w:pPr>
        <w:pStyle w:val="4"/>
        <w:numPr>
          <w:ilvl w:val="0"/>
          <w:numId w:val="0"/>
        </w:numPr>
        <w:jc w:val="center"/>
        <w:outlineLvl w:val="9"/>
        <w:rPr>
          <w:rFonts w:hint="eastAsia" w:ascii="宋体" w:hAnsi="宋体" w:cs="宋体" w:eastAsiaTheme="minorEastAsia"/>
          <w:kern w:val="2"/>
          <w:sz w:val="30"/>
          <w:szCs w:val="30"/>
          <w:lang w:val="en-US" w:eastAsia="zh-CN" w:bidi="ar-SA"/>
        </w:rPr>
      </w:pPr>
    </w:p>
    <w:p w14:paraId="16B3BBAB">
      <w:pPr>
        <w:pStyle w:val="4"/>
        <w:numPr>
          <w:ilvl w:val="0"/>
          <w:numId w:val="0"/>
        </w:numPr>
        <w:ind w:left="0" w:leftChars="0" w:firstLine="0" w:firstLineChars="0"/>
        <w:jc w:val="center"/>
        <w:outlineLvl w:val="0"/>
        <w:rPr>
          <w:rFonts w:ascii="宋体" w:hAnsi="宋体"/>
          <w:sz w:val="30"/>
          <w:szCs w:val="30"/>
        </w:rPr>
      </w:pPr>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二十二</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征集</w:t>
      </w:r>
      <w:r>
        <w:rPr>
          <w:rFonts w:hint="eastAsia" w:ascii="宋体" w:hAnsi="宋体"/>
          <w:szCs w:val="21"/>
        </w:rPr>
        <w:t>项目所提供的货物或服务未侵犯知识产权。</w:t>
      </w:r>
    </w:p>
    <w:p w14:paraId="5EC7A22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2E0EBD0A">
      <w:pPr>
        <w:numPr>
          <w:ilvl w:val="0"/>
          <w:numId w:val="0"/>
        </w:numPr>
        <w:ind w:left="0" w:leftChars="0" w:firstLine="0" w:firstLineChars="0"/>
        <w:jc w:val="center"/>
        <w:outlineLvl w:val="0"/>
        <w:rPr>
          <w:rFonts w:hint="eastAsia" w:asciiTheme="minorEastAsia" w:hAnsiTheme="minorEastAsia" w:cstheme="minorEastAsia"/>
          <w:sz w:val="30"/>
          <w:szCs w:val="30"/>
        </w:rPr>
      </w:pP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二十三</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sz w:val="30"/>
          <w:szCs w:val="30"/>
        </w:rPr>
        <w:t>售后服务承诺</w:t>
      </w:r>
    </w:p>
    <w:p w14:paraId="37889004">
      <w:pPr>
        <w:numPr>
          <w:ilvl w:val="0"/>
          <w:numId w:val="0"/>
        </w:numPr>
        <w:rPr>
          <w:rFonts w:hint="eastAsia" w:asciiTheme="minorEastAsia" w:hAnsiTheme="minorEastAsia" w:cstheme="minorEastAsia"/>
          <w:sz w:val="24"/>
        </w:rPr>
      </w:pPr>
    </w:p>
    <w:p w14:paraId="0C827B89">
      <w:pPr>
        <w:widowControl/>
        <w:spacing w:after="200" w:line="220" w:lineRule="atLeast"/>
        <w:jc w:val="center"/>
        <w:outlineLvl w:val="1"/>
        <w:rPr>
          <w:rFonts w:hint="eastAsia" w:asciiTheme="minorEastAsia" w:hAnsiTheme="minorEastAsia" w:eastAsiaTheme="minorEastAsia" w:cstheme="minorEastAsia"/>
          <w:sz w:val="24"/>
          <w:highlight w:val="yellow"/>
          <w:lang w:eastAsia="zh-CN"/>
        </w:rPr>
      </w:pPr>
      <w:r>
        <w:rPr>
          <w:rFonts w:asciiTheme="minorEastAsia" w:hAnsiTheme="minorEastAsia" w:cstheme="minorEastAsia"/>
          <w:sz w:val="24"/>
          <w:highlight w:val="yellow"/>
        </w:rPr>
        <w:t>每年</w:t>
      </w:r>
      <w:r>
        <w:rPr>
          <w:rFonts w:hint="eastAsia" w:asciiTheme="minorEastAsia" w:hAnsiTheme="minorEastAsia" w:cstheme="minorEastAsia"/>
          <w:sz w:val="24"/>
          <w:highlight w:val="red"/>
          <w:lang w:val="en-US" w:eastAsia="zh-CN"/>
        </w:rPr>
        <w:t xml:space="preserve">  </w:t>
      </w:r>
      <w:r>
        <w:rPr>
          <w:rFonts w:asciiTheme="minorEastAsia" w:hAnsiTheme="minorEastAsia" w:cstheme="minorEastAsia"/>
          <w:sz w:val="24"/>
          <w:highlight w:val="yellow"/>
        </w:rPr>
        <w:t>次</w:t>
      </w:r>
      <w:r>
        <w:rPr>
          <w:rFonts w:hint="eastAsia" w:asciiTheme="minorEastAsia" w:hAnsiTheme="minorEastAsia" w:cstheme="minorEastAsia"/>
          <w:sz w:val="24"/>
          <w:highlight w:val="yellow"/>
          <w:lang w:val="en-US" w:eastAsia="zh-CN"/>
        </w:rPr>
        <w:t>维保</w:t>
      </w:r>
      <w:r>
        <w:rPr>
          <w:rFonts w:hint="eastAsia" w:asciiTheme="minorEastAsia" w:hAnsiTheme="minorEastAsia" w:cstheme="minorEastAsia"/>
          <w:sz w:val="24"/>
          <w:highlight w:val="yellow"/>
          <w:lang w:eastAsia="zh-CN"/>
        </w:rPr>
        <w:t>承诺</w:t>
      </w:r>
    </w:p>
    <w:p w14:paraId="4F2BE074">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14:paraId="0E78352C">
      <w:pPr>
        <w:ind w:firstLine="420" w:firstLineChars="200"/>
        <w:rPr>
          <w:rFonts w:ascii="宋体" w:hAnsi="宋体" w:cs="宋体"/>
          <w:szCs w:val="21"/>
        </w:rPr>
      </w:pPr>
      <w:r>
        <w:rPr>
          <w:rFonts w:ascii="宋体" w:hAnsi="宋体" w:cs="宋体"/>
          <w:szCs w:val="21"/>
        </w:rPr>
        <w:t>在您的支持和信任之下，为保障您的利益，使您得到更好更优质的服务，我司在此做出如下承诺：</w:t>
      </w:r>
    </w:p>
    <w:p w14:paraId="20163C6E">
      <w:pPr>
        <w:numPr>
          <w:ilvl w:val="0"/>
          <w:numId w:val="15"/>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p>
    <w:p w14:paraId="3F31591F">
      <w:pPr>
        <w:numPr>
          <w:ilvl w:val="0"/>
          <w:numId w:val="15"/>
        </w:numPr>
        <w:ind w:left="210" w:hanging="210" w:hangingChars="100"/>
        <w:rPr>
          <w:szCs w:val="21"/>
        </w:rPr>
      </w:pPr>
      <w:r>
        <w:rPr>
          <w:rFonts w:ascii="宋体" w:hAnsi="宋体" w:cs="宋体"/>
          <w:szCs w:val="21"/>
        </w:rPr>
        <w:t>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年以上的维修经验的技术员为需方进行培训，使其能独立完成与设备、系统有关的各项操作，以及使用时注意的事项和常见简单故障的处理，保证用户对仪器能进行熟练的操作和日常维护。</w:t>
      </w:r>
    </w:p>
    <w:p w14:paraId="3062E996">
      <w:pPr>
        <w:ind w:left="210" w:hanging="210" w:hangingChars="100"/>
      </w:pPr>
      <w:r>
        <w:rPr>
          <w:rFonts w:hint="eastAsia" w:ascii="宋体" w:hAnsi="宋体" w:cs="宋体"/>
          <w:szCs w:val="21"/>
          <w:lang w:val="en-US" w:eastAsia="zh-CN"/>
        </w:rPr>
        <w:t>三、</w:t>
      </w:r>
      <w:r>
        <w:rPr>
          <w:rFonts w:ascii="宋体" w:hAnsi="宋体" w:cs="宋体"/>
          <w:szCs w:val="21"/>
        </w:rPr>
        <w:t>维护保养服务</w:t>
      </w:r>
      <w:r>
        <w:rPr>
          <w:rFonts w:ascii="宋体" w:hAnsi="宋体" w:cs="宋体"/>
          <w:szCs w:val="21"/>
        </w:rPr>
        <w:br w:type="textWrapping"/>
      </w:r>
      <w:r>
        <w:rPr>
          <w:rFonts w:ascii="宋体" w:hAnsi="宋体" w:cs="宋体"/>
          <w:szCs w:val="21"/>
        </w:rPr>
        <w:t>我们保证为货物提供整机免</w:t>
      </w:r>
      <w:r>
        <w:rPr>
          <w:rFonts w:ascii="宋体" w:hAnsi="宋体" w:cs="宋体"/>
          <w:color w:val="000000" w:themeColor="text1"/>
          <w:szCs w:val="21"/>
          <w14:textFill>
            <w14:solidFill>
              <w14:schemeClr w14:val="tx1"/>
            </w14:solidFill>
          </w14:textFill>
        </w:rPr>
        <w:t>费</w:t>
      </w:r>
      <w:r>
        <w:rPr>
          <w:rFonts w:ascii="宋体" w:hAnsi="宋体" w:cs="宋体"/>
          <w:color w:val="000000" w:themeColor="text1"/>
          <w:szCs w:val="21"/>
          <w:highlight w:val="yellow"/>
          <w14:textFill>
            <w14:solidFill>
              <w14:schemeClr w14:val="tx1"/>
            </w14:solidFill>
          </w14:textFill>
        </w:rPr>
        <w:t>保修期</w:t>
      </w:r>
      <w:r>
        <w:rPr>
          <w:rFonts w:hint="eastAsia" w:ascii="宋体" w:hAnsi="宋体" w:cs="宋体"/>
          <w:color w:val="000000" w:themeColor="text1"/>
          <w:szCs w:val="21"/>
          <w:highlight w:val="red"/>
          <w:lang w:val="en-US" w:eastAsia="zh-CN"/>
          <w14:textFill>
            <w14:solidFill>
              <w14:schemeClr w14:val="tx1"/>
            </w14:solidFill>
          </w14:textFill>
        </w:rPr>
        <w:t xml:space="preserve">  </w:t>
      </w:r>
      <w:r>
        <w:rPr>
          <w:rFonts w:ascii="宋体" w:hAnsi="宋体" w:cs="宋体"/>
          <w:color w:val="000000" w:themeColor="text1"/>
          <w:szCs w:val="21"/>
          <w:highlight w:val="yellow"/>
          <w14:textFill>
            <w14:solidFill>
              <w14:schemeClr w14:val="tx1"/>
            </w14:solidFill>
          </w14:textFill>
        </w:rPr>
        <w:t>年</w:t>
      </w:r>
      <w:r>
        <w:rPr>
          <w:rFonts w:ascii="宋体" w:hAnsi="宋体" w:cs="宋体"/>
          <w:szCs w:val="21"/>
        </w:rPr>
        <w:t>，终身有偿维修。年度定期预防性维护保养次数应</w:t>
      </w:r>
      <w:r>
        <w:rPr>
          <w:rFonts w:ascii="宋体" w:hAnsi="宋体" w:cs="宋体"/>
          <w:szCs w:val="21"/>
          <w:highlight w:val="yellow"/>
        </w:rPr>
        <w:t>不少于</w:t>
      </w:r>
      <w:r>
        <w:rPr>
          <w:rFonts w:hint="eastAsia" w:ascii="宋体" w:hAnsi="宋体" w:cs="宋体"/>
          <w:szCs w:val="21"/>
          <w:highlight w:val="red"/>
          <w:lang w:val="en-US" w:eastAsia="zh-CN"/>
        </w:rPr>
        <w:t xml:space="preserve">  </w:t>
      </w:r>
      <w:r>
        <w:rPr>
          <w:rFonts w:ascii="宋体" w:hAnsi="宋体" w:cs="宋体"/>
          <w:szCs w:val="21"/>
          <w:highlight w:val="yellow"/>
        </w:rPr>
        <w:t>次</w:t>
      </w:r>
      <w:r>
        <w:rPr>
          <w:rFonts w:hint="eastAsia" w:ascii="宋体" w:hAnsi="宋体" w:cs="宋体"/>
          <w:szCs w:val="21"/>
          <w:highlight w:val="yellow"/>
          <w:lang w:eastAsia="zh-CN"/>
        </w:rPr>
        <w:t>。</w:t>
      </w:r>
      <w:r>
        <w:rPr>
          <w:rFonts w:ascii="宋体" w:hAnsi="宋体" w:cs="宋体"/>
          <w:szCs w:val="21"/>
        </w:rPr>
        <w:br w:type="textWrapping"/>
      </w:r>
      <w:r>
        <w:rPr>
          <w:rFonts w:ascii="宋体" w:hAnsi="宋体" w:cs="宋体"/>
          <w:szCs w:val="21"/>
        </w:rPr>
        <w:t>1．</w:t>
      </w:r>
      <w:r>
        <w:rPr>
          <w:rFonts w:hint="eastAsia" w:ascii="宋体" w:hAnsi="宋体" w:cs="宋体"/>
          <w:szCs w:val="21"/>
          <w:lang w:val="en-US" w:eastAsia="zh-CN"/>
        </w:rPr>
        <w:t>仪器</w:t>
      </w:r>
      <w:r>
        <w:rPr>
          <w:rFonts w:ascii="宋体" w:hAnsi="宋体" w:cs="宋体"/>
          <w:szCs w:val="21"/>
        </w:rPr>
        <w:t>的正常保养</w:t>
      </w:r>
      <w:r>
        <w:rPr>
          <w:rFonts w:hint="eastAsia" w:ascii="宋体" w:hAnsi="宋体" w:cs="宋体"/>
          <w:szCs w:val="21"/>
          <w:lang w:eastAsia="zh-CN"/>
        </w:rPr>
        <w:t>。</w:t>
      </w:r>
      <w:r>
        <w:rPr>
          <w:rFonts w:ascii="宋体" w:hAnsi="宋体" w:cs="宋体"/>
          <w:szCs w:val="21"/>
        </w:rPr>
        <w:br w:type="textWrapping"/>
      </w:r>
      <w:r>
        <w:rPr>
          <w:rFonts w:ascii="宋体" w:hAnsi="宋体" w:cs="宋体"/>
          <w:szCs w:val="21"/>
        </w:rPr>
        <w:t>2．</w:t>
      </w:r>
      <w:r>
        <w:rPr>
          <w:rFonts w:hint="eastAsia" w:ascii="宋体" w:hAnsi="宋体" w:cs="宋体"/>
          <w:szCs w:val="21"/>
          <w:lang w:val="en-US" w:eastAsia="zh-CN"/>
        </w:rPr>
        <w:t>仪器</w:t>
      </w:r>
      <w:r>
        <w:rPr>
          <w:rFonts w:ascii="宋体" w:hAnsi="宋体" w:cs="宋体"/>
          <w:szCs w:val="21"/>
        </w:rPr>
        <w:t>性能的检测。 </w:t>
      </w:r>
    </w:p>
    <w:p w14:paraId="0D53EFF2">
      <w:pPr>
        <w:ind w:left="210" w:hanging="210" w:hangingChars="100"/>
      </w:pPr>
      <w:r>
        <w:rPr>
          <w:rFonts w:hint="eastAsia"/>
          <w:lang w:val="en-US" w:eastAsia="zh-CN"/>
        </w:rPr>
        <w:t>四、</w:t>
      </w:r>
      <w:r>
        <w:t>免费保修期内外所提供服务</w:t>
      </w:r>
      <w:r>
        <w:br w:type="textWrapping"/>
      </w:r>
      <w:r>
        <w:t>1.保修期内免费更换零配件、免工时保修时间从验收签字起计算。在质保期内我方将严格遵守中华人民共和国的相关法律和法规对货物提供“三包”等售后服务</w:t>
      </w:r>
      <w:r>
        <w:rPr>
          <w:rFonts w:hint="eastAsia"/>
        </w:rPr>
        <w:t>。</w:t>
      </w:r>
    </w:p>
    <w:p w14:paraId="536B31BE">
      <w:pPr>
        <w:ind w:left="210" w:leftChars="100" w:firstLine="0" w:firstLineChars="0"/>
      </w:pPr>
      <w:r>
        <w:rPr>
          <w:highlight w:val="yellow"/>
        </w:rPr>
        <w:t>2.由我方提供售后服务，</w:t>
      </w:r>
      <w:r>
        <w:rPr>
          <w:rFonts w:hint="eastAsia"/>
          <w:highlight w:val="red"/>
          <w:lang w:val="en-US" w:eastAsia="zh-CN"/>
        </w:rPr>
        <w:t xml:space="preserve">  </w:t>
      </w:r>
      <w:r>
        <w:rPr>
          <w:highlight w:val="yellow"/>
        </w:rPr>
        <w:t>小时内响应，</w:t>
      </w:r>
      <w:r>
        <w:rPr>
          <w:rFonts w:hint="eastAsia"/>
          <w:highlight w:val="red"/>
          <w:lang w:val="en-US" w:eastAsia="zh-CN"/>
        </w:rPr>
        <w:t xml:space="preserve">  </w:t>
      </w:r>
      <w:r>
        <w:rPr>
          <w:highlight w:val="yellow"/>
        </w:rPr>
        <w:t>小时维修到位（不可抗力情况除外）。消耗品和零配件供应及时，特殊情况下可提供备用机</w:t>
      </w:r>
      <w:r>
        <w:t>。</w:t>
      </w:r>
      <w:r>
        <w:rPr>
          <w:rFonts w:hint="eastAsia"/>
        </w:rPr>
        <w:t xml:space="preserve">   </w:t>
      </w:r>
    </w:p>
    <w:p w14:paraId="44D01A4A">
      <w:pPr>
        <w:outlineLvl w:val="9"/>
      </w:pPr>
      <w:r>
        <w:rPr>
          <w:rFonts w:hint="eastAsia"/>
        </w:rPr>
        <w:t>五、信息化服务</w:t>
      </w:r>
    </w:p>
    <w:p w14:paraId="1263201E">
      <w:pPr>
        <w:ind w:left="210" w:leftChars="100" w:firstLine="210" w:firstLineChars="100"/>
      </w:pPr>
      <w:r>
        <w:rPr>
          <w:rFonts w:hint="eastAsia"/>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14:paraId="783B0E99">
      <w:pPr>
        <w:numPr>
          <w:ilvl w:val="0"/>
          <w:numId w:val="0"/>
        </w:numPr>
        <w:rPr>
          <w:rFonts w:hint="eastAsia" w:ascii="宋体" w:hAnsi="宋体" w:cs="宋体"/>
          <w:color w:val="000000" w:themeColor="text1"/>
          <w:szCs w:val="21"/>
          <w:lang w:eastAsia="zh-CN"/>
          <w14:textFill>
            <w14:solidFill>
              <w14:schemeClr w14:val="tx1"/>
            </w14:solidFill>
          </w14:textFill>
        </w:rPr>
      </w:pPr>
    </w:p>
    <w:p w14:paraId="0CE62F1F">
      <w:pPr>
        <w:pStyle w:val="4"/>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8FC25D">
      <w:pPr>
        <w:pStyle w:val="4"/>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A806D6A">
      <w:pPr>
        <w:pStyle w:val="4"/>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2FE106F">
      <w:pPr>
        <w:pStyle w:val="4"/>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A407CCC">
      <w:pPr>
        <w:pStyle w:val="4"/>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5E40BD2">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（二十四）</w:t>
      </w:r>
      <w:bookmarkEnd w:id="86"/>
      <w:r>
        <w:rPr>
          <w:rFonts w:hint="eastAsia" w:cs="宋体" w:asciiTheme="majorEastAsia" w:hAnsiTheme="majorEastAsia" w:eastAsiaTheme="majorEastAsia"/>
          <w:kern w:val="2"/>
          <w:sz w:val="30"/>
          <w:szCs w:val="30"/>
          <w:lang w:val="en-US" w:eastAsia="zh-CN" w:bidi="ar-SA"/>
        </w:rPr>
        <w:t>技术保障措施</w:t>
      </w:r>
    </w:p>
    <w:p w14:paraId="32448156">
      <w:pPr>
        <w:keepNext w:val="0"/>
        <w:keepLines w:val="0"/>
        <w:widowControl/>
        <w:suppressLineNumbers w:val="0"/>
        <w:jc w:val="center"/>
        <w:textAlignment w:val="center"/>
        <w:outlineLvl w:val="9"/>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05FF5B71">
      <w:pPr>
        <w:pStyle w:val="4"/>
        <w:numPr>
          <w:ilvl w:val="0"/>
          <w:numId w:val="0"/>
        </w:numPr>
        <w:spacing w:line="240" w:lineRule="auto"/>
        <w:ind w:left="0" w:leftChars="0" w:firstLine="0" w:firstLineChars="0"/>
        <w:jc w:val="center"/>
        <w:outlineLvl w:val="9"/>
        <w:rPr>
          <w:rFonts w:hint="eastAsia" w:asciiTheme="majorEastAsia" w:hAnsiTheme="majorEastAsia" w:eastAsiaTheme="majorEastAsia"/>
          <w:sz w:val="30"/>
          <w:szCs w:val="30"/>
        </w:rPr>
      </w:pPr>
    </w:p>
    <w:p w14:paraId="142BDA7C">
      <w:pPr>
        <w:widowControl w:val="0"/>
        <w:numPr>
          <w:ilvl w:val="0"/>
          <w:numId w:val="0"/>
        </w:numPr>
        <w:jc w:val="both"/>
        <w:rPr>
          <w:rFonts w:hint="eastAsia"/>
          <w:sz w:val="32"/>
          <w:szCs w:val="32"/>
          <w:lang w:val="en-US" w:eastAsia="zh-CN"/>
        </w:rPr>
      </w:pPr>
    </w:p>
    <w:p w14:paraId="386EC165">
      <w:pPr>
        <w:widowControl w:val="0"/>
        <w:numPr>
          <w:ilvl w:val="0"/>
          <w:numId w:val="0"/>
        </w:numPr>
        <w:jc w:val="both"/>
        <w:rPr>
          <w:rFonts w:hint="eastAsia"/>
          <w:sz w:val="32"/>
          <w:szCs w:val="32"/>
          <w:lang w:val="en-US" w:eastAsia="zh-CN"/>
        </w:rPr>
      </w:pPr>
    </w:p>
    <w:p w14:paraId="50E0B4B0">
      <w:pPr>
        <w:widowControl w:val="0"/>
        <w:numPr>
          <w:ilvl w:val="0"/>
          <w:numId w:val="0"/>
        </w:numPr>
        <w:jc w:val="both"/>
        <w:rPr>
          <w:rFonts w:hint="eastAsia"/>
          <w:sz w:val="32"/>
          <w:szCs w:val="32"/>
          <w:lang w:val="en-US" w:eastAsia="zh-CN"/>
        </w:rPr>
      </w:pPr>
    </w:p>
    <w:p w14:paraId="07EB7E8B">
      <w:pPr>
        <w:widowControl w:val="0"/>
        <w:numPr>
          <w:ilvl w:val="0"/>
          <w:numId w:val="0"/>
        </w:numPr>
        <w:jc w:val="both"/>
        <w:rPr>
          <w:rFonts w:hint="eastAsia"/>
          <w:sz w:val="32"/>
          <w:szCs w:val="32"/>
          <w:lang w:val="en-US" w:eastAsia="zh-CN"/>
        </w:rPr>
      </w:pPr>
    </w:p>
    <w:p w14:paraId="379CB4BF">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bookmarkStart w:id="89" w:name="_Toc435515322"/>
      <w:bookmarkStart w:id="90" w:name="_Toc435514882"/>
    </w:p>
    <w:p w14:paraId="44FBB5B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9EE82B4">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7ED4A22">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40D7815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7E0C35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0B94A02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D17910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564217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CC54C3A">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FE501F5">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68A0206">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88D070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1CB9269">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4048E0C">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1F0C58A0">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95C51CB">
      <w:pPr>
        <w:pStyle w:val="15"/>
        <w:numPr>
          <w:ilvl w:val="0"/>
          <w:numId w:val="0"/>
        </w:numPr>
        <w:ind w:left="0" w:leftChars="0" w:firstLine="0" w:firstLineChars="0"/>
        <w:jc w:val="both"/>
        <w:rPr>
          <w:rFonts w:hint="eastAsia" w:asciiTheme="majorEastAsia" w:hAnsiTheme="majorEastAsia" w:eastAsiaTheme="minorEastAsia" w:cstheme="minorBidi"/>
          <w:kern w:val="2"/>
          <w:sz w:val="32"/>
          <w:szCs w:val="32"/>
          <w:lang w:val="en-US" w:eastAsia="zh-CN" w:bidi="ar-SA"/>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（二十五）有效业绩</w:t>
      </w:r>
    </w:p>
    <w:p w14:paraId="4A0B5855">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40FEC72">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7FDCF3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F9ADBB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E12505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D9A2BD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34E2CF8">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（二十六）履约评价</w:t>
      </w:r>
    </w:p>
    <w:p w14:paraId="7FB48CE9">
      <w:pPr>
        <w:pStyle w:val="15"/>
        <w:widowControl w:val="0"/>
        <w:numPr>
          <w:ilvl w:val="0"/>
          <w:numId w:val="0"/>
        </w:numPr>
        <w:spacing w:line="560" w:lineRule="exact"/>
        <w:jc w:val="center"/>
        <w:rPr>
          <w:rFonts w:hint="eastAsia" w:asciiTheme="majorEastAsia" w:hAnsiTheme="majorEastAsia"/>
          <w:sz w:val="32"/>
          <w:szCs w:val="32"/>
        </w:rPr>
      </w:pPr>
    </w:p>
    <w:p w14:paraId="1E64563B">
      <w:pPr>
        <w:pStyle w:val="15"/>
        <w:widowControl w:val="0"/>
        <w:numPr>
          <w:ilvl w:val="0"/>
          <w:numId w:val="0"/>
        </w:numPr>
        <w:spacing w:line="560" w:lineRule="exact"/>
        <w:jc w:val="center"/>
        <w:rPr>
          <w:rFonts w:hint="eastAsia" w:asciiTheme="majorEastAsia" w:hAnsiTheme="majorEastAsia"/>
          <w:sz w:val="32"/>
          <w:szCs w:val="32"/>
        </w:rPr>
      </w:pPr>
    </w:p>
    <w:p w14:paraId="1E9153AC">
      <w:pPr>
        <w:pStyle w:val="15"/>
        <w:widowControl w:val="0"/>
        <w:numPr>
          <w:ilvl w:val="0"/>
          <w:numId w:val="0"/>
        </w:numPr>
        <w:spacing w:line="560" w:lineRule="exact"/>
        <w:jc w:val="center"/>
        <w:rPr>
          <w:rFonts w:hint="eastAsia" w:asciiTheme="majorEastAsia" w:hAnsiTheme="majorEastAsia"/>
          <w:sz w:val="32"/>
          <w:szCs w:val="32"/>
        </w:rPr>
      </w:pPr>
    </w:p>
    <w:p w14:paraId="5F101BCF">
      <w:pPr>
        <w:pStyle w:val="15"/>
        <w:widowControl w:val="0"/>
        <w:numPr>
          <w:ilvl w:val="0"/>
          <w:numId w:val="0"/>
        </w:numPr>
        <w:spacing w:line="560" w:lineRule="exact"/>
        <w:jc w:val="center"/>
        <w:rPr>
          <w:rFonts w:hint="eastAsia" w:asciiTheme="majorEastAsia" w:hAnsiTheme="majorEastAsia"/>
          <w:sz w:val="32"/>
          <w:szCs w:val="32"/>
        </w:rPr>
      </w:pPr>
    </w:p>
    <w:p w14:paraId="1F62F63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56082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4735608">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8ED6084">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2381D1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FEEA16C">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C4C8B4E">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14721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EA864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5E3BA20">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DE647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DE47B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64A1AEF9">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BEBDA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64AB9C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F802E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1974B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175A2CD7">
      <w:pPr>
        <w:snapToGrid w:val="0"/>
        <w:ind w:left="0" w:leftChars="0" w:firstLine="0" w:firstLineChars="0"/>
        <w:jc w:val="center"/>
        <w:rPr>
          <w:rFonts w:hint="eastAsia" w:asciiTheme="majorEastAsia" w:hAnsiTheme="majorEastAsia" w:eastAsiaTheme="majorEastAsia"/>
          <w:sz w:val="30"/>
          <w:szCs w:val="30"/>
          <w:lang w:eastAsia="zh-CN"/>
        </w:rPr>
      </w:pPr>
    </w:p>
    <w:p w14:paraId="3323938C">
      <w:pPr>
        <w:pStyle w:val="15"/>
        <w:numPr>
          <w:ilvl w:val="0"/>
          <w:numId w:val="0"/>
        </w:numPr>
        <w:ind w:left="0" w:leftChars="0" w:firstLine="0" w:firstLineChars="0"/>
        <w:jc w:val="center"/>
        <w:outlineLvl w:val="0"/>
        <w:rPr>
          <w:rFonts w:hint="eastAsia" w:asciiTheme="majorEastAsia" w:hAnsiTheme="majorEastAsia"/>
          <w:sz w:val="30"/>
          <w:szCs w:val="30"/>
        </w:rPr>
      </w:pP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cstheme="minorBidi"/>
          <w:kern w:val="2"/>
          <w:sz w:val="30"/>
          <w:szCs w:val="30"/>
          <w:lang w:val="en-US" w:eastAsia="zh-CN" w:bidi="ar-SA"/>
        </w:rPr>
        <w:t>二十七</w:t>
      </w: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sz w:val="30"/>
          <w:szCs w:val="30"/>
        </w:rPr>
        <w:t>所投设备参数及产品注册时的检测报告</w:t>
      </w:r>
    </w:p>
    <w:p w14:paraId="40472A44">
      <w:pPr>
        <w:rPr>
          <w:rFonts w:hint="eastAsia" w:asciiTheme="majorEastAsia" w:hAnsiTheme="majorEastAsia" w:eastAsiaTheme="majorEastAsia"/>
          <w:sz w:val="30"/>
          <w:szCs w:val="30"/>
          <w:lang w:eastAsia="zh-CN"/>
        </w:rPr>
      </w:pPr>
    </w:p>
    <w:p w14:paraId="7588BA56">
      <w:pPr>
        <w:pStyle w:val="2"/>
        <w:rPr>
          <w:rFonts w:hint="eastAsia" w:asciiTheme="majorEastAsia" w:hAnsiTheme="majorEastAsia" w:eastAsiaTheme="majorEastAsia"/>
          <w:sz w:val="30"/>
          <w:szCs w:val="30"/>
          <w:lang w:eastAsia="zh-CN"/>
        </w:rPr>
      </w:pPr>
    </w:p>
    <w:p w14:paraId="17CABD36">
      <w:pPr>
        <w:rPr>
          <w:rFonts w:hint="eastAsia" w:asciiTheme="majorEastAsia" w:hAnsiTheme="majorEastAsia" w:eastAsiaTheme="majorEastAsia"/>
          <w:sz w:val="30"/>
          <w:szCs w:val="30"/>
          <w:lang w:eastAsia="zh-CN"/>
        </w:rPr>
      </w:pPr>
    </w:p>
    <w:p w14:paraId="4EFA4CC0">
      <w:pPr>
        <w:pStyle w:val="2"/>
        <w:rPr>
          <w:rFonts w:hint="eastAsia" w:asciiTheme="majorEastAsia" w:hAnsiTheme="majorEastAsia" w:eastAsiaTheme="majorEastAsia"/>
          <w:sz w:val="30"/>
          <w:szCs w:val="30"/>
          <w:lang w:eastAsia="zh-CN"/>
        </w:rPr>
      </w:pPr>
    </w:p>
    <w:p w14:paraId="4BD30BB8">
      <w:pPr>
        <w:rPr>
          <w:rFonts w:hint="eastAsia" w:asciiTheme="majorEastAsia" w:hAnsiTheme="majorEastAsia" w:eastAsiaTheme="majorEastAsia"/>
          <w:sz w:val="30"/>
          <w:szCs w:val="30"/>
          <w:lang w:eastAsia="zh-CN"/>
        </w:rPr>
      </w:pPr>
    </w:p>
    <w:p w14:paraId="67DAEE38">
      <w:pPr>
        <w:pStyle w:val="2"/>
        <w:rPr>
          <w:rFonts w:hint="eastAsia" w:asciiTheme="majorEastAsia" w:hAnsiTheme="majorEastAsia" w:eastAsiaTheme="majorEastAsia"/>
          <w:sz w:val="30"/>
          <w:szCs w:val="30"/>
          <w:lang w:eastAsia="zh-CN"/>
        </w:rPr>
      </w:pPr>
    </w:p>
    <w:p w14:paraId="0C2C9215">
      <w:pPr>
        <w:rPr>
          <w:rFonts w:hint="eastAsia" w:asciiTheme="majorEastAsia" w:hAnsiTheme="majorEastAsia" w:eastAsiaTheme="majorEastAsia"/>
          <w:sz w:val="30"/>
          <w:szCs w:val="30"/>
          <w:lang w:eastAsia="zh-CN"/>
        </w:rPr>
      </w:pPr>
    </w:p>
    <w:p w14:paraId="23AEC420">
      <w:pPr>
        <w:pStyle w:val="2"/>
        <w:rPr>
          <w:rFonts w:hint="eastAsia" w:asciiTheme="majorEastAsia" w:hAnsiTheme="majorEastAsia" w:eastAsiaTheme="majorEastAsia"/>
          <w:sz w:val="30"/>
          <w:szCs w:val="30"/>
          <w:lang w:eastAsia="zh-CN"/>
        </w:rPr>
      </w:pPr>
    </w:p>
    <w:p w14:paraId="1DA4F157">
      <w:pPr>
        <w:rPr>
          <w:rFonts w:hint="eastAsia" w:asciiTheme="majorEastAsia" w:hAnsiTheme="majorEastAsia" w:eastAsiaTheme="majorEastAsia"/>
          <w:sz w:val="30"/>
          <w:szCs w:val="30"/>
          <w:lang w:eastAsia="zh-CN"/>
        </w:rPr>
      </w:pPr>
    </w:p>
    <w:p w14:paraId="2612965B">
      <w:pPr>
        <w:pStyle w:val="2"/>
        <w:rPr>
          <w:rFonts w:hint="eastAsia" w:asciiTheme="majorEastAsia" w:hAnsiTheme="majorEastAsia" w:eastAsiaTheme="majorEastAsia"/>
          <w:sz w:val="30"/>
          <w:szCs w:val="30"/>
          <w:lang w:eastAsia="zh-CN"/>
        </w:rPr>
      </w:pPr>
    </w:p>
    <w:p w14:paraId="42B2449E">
      <w:pPr>
        <w:rPr>
          <w:rFonts w:hint="eastAsia" w:asciiTheme="majorEastAsia" w:hAnsiTheme="majorEastAsia" w:eastAsiaTheme="majorEastAsia"/>
          <w:sz w:val="30"/>
          <w:szCs w:val="30"/>
          <w:lang w:eastAsia="zh-CN"/>
        </w:rPr>
      </w:pPr>
    </w:p>
    <w:p w14:paraId="2AE8F28C">
      <w:pPr>
        <w:pStyle w:val="2"/>
        <w:rPr>
          <w:rFonts w:hint="eastAsia" w:asciiTheme="majorEastAsia" w:hAnsiTheme="majorEastAsia" w:eastAsiaTheme="majorEastAsia"/>
          <w:sz w:val="30"/>
          <w:szCs w:val="30"/>
          <w:lang w:eastAsia="zh-CN"/>
        </w:rPr>
      </w:pPr>
    </w:p>
    <w:p w14:paraId="1C6F6F6C">
      <w:pPr>
        <w:rPr>
          <w:rFonts w:hint="eastAsia" w:asciiTheme="majorEastAsia" w:hAnsiTheme="majorEastAsia" w:eastAsiaTheme="majorEastAsia"/>
          <w:sz w:val="30"/>
          <w:szCs w:val="30"/>
          <w:lang w:eastAsia="zh-CN"/>
        </w:rPr>
      </w:pPr>
    </w:p>
    <w:p w14:paraId="461EB672">
      <w:pPr>
        <w:pStyle w:val="2"/>
        <w:rPr>
          <w:rFonts w:hint="eastAsia" w:asciiTheme="majorEastAsia" w:hAnsiTheme="majorEastAsia" w:eastAsiaTheme="majorEastAsia"/>
          <w:sz w:val="30"/>
          <w:szCs w:val="30"/>
          <w:lang w:eastAsia="zh-CN"/>
        </w:rPr>
      </w:pPr>
    </w:p>
    <w:p w14:paraId="303E52EE">
      <w:pPr>
        <w:rPr>
          <w:rFonts w:hint="eastAsia" w:asciiTheme="majorEastAsia" w:hAnsiTheme="majorEastAsia" w:eastAsiaTheme="majorEastAsia"/>
          <w:sz w:val="30"/>
          <w:szCs w:val="30"/>
          <w:lang w:eastAsia="zh-CN"/>
        </w:rPr>
      </w:pPr>
    </w:p>
    <w:p w14:paraId="46B53A22">
      <w:pPr>
        <w:pStyle w:val="2"/>
        <w:rPr>
          <w:rFonts w:hint="eastAsia" w:asciiTheme="majorEastAsia" w:hAnsiTheme="majorEastAsia" w:eastAsiaTheme="majorEastAsia"/>
          <w:sz w:val="30"/>
          <w:szCs w:val="30"/>
          <w:lang w:eastAsia="zh-CN"/>
        </w:rPr>
      </w:pPr>
    </w:p>
    <w:p w14:paraId="6412A59E">
      <w:pPr>
        <w:pStyle w:val="2"/>
        <w:rPr>
          <w:rFonts w:hint="eastAsia"/>
          <w:lang w:eastAsia="zh-CN"/>
        </w:rPr>
      </w:pPr>
    </w:p>
    <w:p w14:paraId="706D9213">
      <w:pPr>
        <w:rPr>
          <w:rFonts w:hint="eastAsia"/>
          <w:lang w:eastAsia="zh-CN"/>
        </w:rPr>
      </w:pPr>
    </w:p>
    <w:p w14:paraId="565BAA7E">
      <w:pPr>
        <w:rPr>
          <w:rFonts w:hint="eastAsia"/>
          <w:lang w:eastAsia="zh-CN"/>
        </w:rPr>
      </w:pPr>
    </w:p>
    <w:p w14:paraId="0D900A92">
      <w:pPr>
        <w:rPr>
          <w:rFonts w:hint="eastAsia"/>
          <w:lang w:eastAsia="zh-CN"/>
        </w:rPr>
      </w:pPr>
    </w:p>
    <w:p w14:paraId="22E4BFDB">
      <w:pPr>
        <w:rPr>
          <w:rFonts w:hint="eastAsia"/>
          <w:lang w:eastAsia="zh-CN"/>
        </w:rPr>
      </w:pPr>
    </w:p>
    <w:p w14:paraId="7D5BD77E">
      <w:pPr>
        <w:snapToGrid w:val="0"/>
        <w:ind w:left="0" w:leftChars="0" w:firstLine="0" w:firstLineChars="0"/>
        <w:jc w:val="center"/>
        <w:outlineLvl w:val="9"/>
        <w:rPr>
          <w:rFonts w:hint="eastAsia" w:asciiTheme="majorEastAsia" w:hAnsiTheme="majorEastAsia" w:eastAsiaTheme="majorEastAsia"/>
          <w:sz w:val="30"/>
          <w:szCs w:val="30"/>
          <w:lang w:eastAsia="zh-CN"/>
        </w:rPr>
      </w:pPr>
    </w:p>
    <w:p w14:paraId="5F0A14F1">
      <w:pPr>
        <w:snapToGrid w:val="0"/>
        <w:ind w:left="0" w:leftChars="0" w:firstLine="0" w:firstLineChars="0"/>
        <w:jc w:val="center"/>
        <w:outlineLvl w:val="0"/>
        <w:rPr>
          <w:rFonts w:hint="default"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二十八</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征集文件要求的其他内容及投标人认为需要加以说明其他内容</w:t>
      </w:r>
    </w:p>
    <w:bookmarkEnd w:id="82"/>
    <w:bookmarkEnd w:id="83"/>
    <w:bookmarkEnd w:id="84"/>
    <w:bookmarkEnd w:id="85"/>
    <w:bookmarkEnd w:id="87"/>
    <w:bookmarkEnd w:id="88"/>
    <w:bookmarkEnd w:id="89"/>
    <w:bookmarkEnd w:id="90"/>
    <w:p w14:paraId="07274D8C">
      <w:pPr>
        <w:rPr>
          <w:rFonts w:hint="eastAsia"/>
          <w:lang w:val="en-US" w:eastAsia="zh-CN"/>
        </w:rPr>
      </w:pPr>
      <w:bookmarkStart w:id="91" w:name="_Toc11652"/>
      <w:bookmarkStart w:id="92" w:name="_Toc438223136"/>
      <w:bookmarkStart w:id="93" w:name="_Toc435174933"/>
      <w:bookmarkStart w:id="94" w:name="_Toc1658"/>
      <w:bookmarkStart w:id="95" w:name="_Toc435516650"/>
    </w:p>
    <w:p w14:paraId="01839AA0">
      <w:pPr>
        <w:rPr>
          <w:rFonts w:hint="eastAsia"/>
          <w:lang w:val="en-US" w:eastAsia="zh-CN"/>
        </w:rPr>
      </w:pPr>
    </w:p>
    <w:p w14:paraId="6160C6A8">
      <w:pPr>
        <w:rPr>
          <w:rFonts w:hint="eastAsia"/>
          <w:lang w:val="en-US" w:eastAsia="zh-CN"/>
        </w:rPr>
      </w:pPr>
    </w:p>
    <w:p w14:paraId="05FF164F">
      <w:pPr>
        <w:rPr>
          <w:rFonts w:hint="eastAsia"/>
          <w:lang w:val="en-US" w:eastAsia="zh-CN"/>
        </w:rPr>
      </w:pPr>
    </w:p>
    <w:p w14:paraId="3924BB1C">
      <w:pPr>
        <w:rPr>
          <w:rFonts w:hint="eastAsia"/>
          <w:lang w:val="en-US" w:eastAsia="zh-CN"/>
        </w:rPr>
      </w:pPr>
    </w:p>
    <w:p w14:paraId="765374E4">
      <w:pPr>
        <w:rPr>
          <w:rFonts w:hint="eastAsia"/>
          <w:lang w:val="en-US" w:eastAsia="zh-CN"/>
        </w:rPr>
      </w:pPr>
    </w:p>
    <w:p w14:paraId="2E12F95B">
      <w:pPr>
        <w:rPr>
          <w:rFonts w:hint="eastAsia"/>
          <w:lang w:val="en-US" w:eastAsia="zh-CN"/>
        </w:rPr>
      </w:pPr>
    </w:p>
    <w:p w14:paraId="3986F0E4">
      <w:pPr>
        <w:rPr>
          <w:rFonts w:hint="eastAsia"/>
          <w:lang w:val="en-US" w:eastAsia="zh-CN"/>
        </w:rPr>
      </w:pPr>
    </w:p>
    <w:p w14:paraId="7B2A69DA">
      <w:pPr>
        <w:rPr>
          <w:rFonts w:hint="eastAsia"/>
          <w:lang w:val="en-US" w:eastAsia="zh-CN"/>
        </w:rPr>
      </w:pPr>
    </w:p>
    <w:p w14:paraId="60E6783B">
      <w:pPr>
        <w:rPr>
          <w:rFonts w:hint="eastAsia"/>
          <w:lang w:val="en-US" w:eastAsia="zh-CN"/>
        </w:rPr>
      </w:pPr>
    </w:p>
    <w:p w14:paraId="66C19318">
      <w:pPr>
        <w:rPr>
          <w:rFonts w:hint="eastAsia"/>
          <w:lang w:val="en-US" w:eastAsia="zh-CN"/>
        </w:rPr>
      </w:pPr>
    </w:p>
    <w:p w14:paraId="77167894">
      <w:pPr>
        <w:rPr>
          <w:rFonts w:hint="eastAsia"/>
          <w:lang w:val="en-US" w:eastAsia="zh-CN"/>
        </w:rPr>
      </w:pPr>
    </w:p>
    <w:p w14:paraId="7C31674A">
      <w:pPr>
        <w:rPr>
          <w:rFonts w:hint="eastAsia"/>
          <w:lang w:val="en-US" w:eastAsia="zh-CN"/>
        </w:rPr>
      </w:pPr>
    </w:p>
    <w:p w14:paraId="4430B061">
      <w:pPr>
        <w:rPr>
          <w:rFonts w:hint="eastAsia"/>
          <w:lang w:val="en-US" w:eastAsia="zh-CN"/>
        </w:rPr>
      </w:pPr>
    </w:p>
    <w:p w14:paraId="74078B60">
      <w:pPr>
        <w:rPr>
          <w:rFonts w:hint="eastAsia"/>
          <w:lang w:val="en-US" w:eastAsia="zh-CN"/>
        </w:rPr>
      </w:pPr>
    </w:p>
    <w:p w14:paraId="46A15B1E">
      <w:pPr>
        <w:rPr>
          <w:rFonts w:hint="eastAsia"/>
          <w:lang w:val="en-US" w:eastAsia="zh-CN"/>
        </w:rPr>
      </w:pPr>
    </w:p>
    <w:p w14:paraId="50475D5C">
      <w:pPr>
        <w:rPr>
          <w:rFonts w:hint="eastAsia"/>
          <w:lang w:val="en-US" w:eastAsia="zh-CN"/>
        </w:rPr>
      </w:pPr>
    </w:p>
    <w:p w14:paraId="24550BB2">
      <w:pPr>
        <w:rPr>
          <w:rFonts w:hint="eastAsia"/>
          <w:lang w:val="en-US" w:eastAsia="zh-CN"/>
        </w:rPr>
      </w:pPr>
    </w:p>
    <w:p w14:paraId="7CADD6A8">
      <w:pPr>
        <w:rPr>
          <w:rFonts w:hint="eastAsia"/>
          <w:lang w:val="en-US" w:eastAsia="zh-CN"/>
        </w:rPr>
      </w:pPr>
    </w:p>
    <w:p w14:paraId="3AE379AE">
      <w:pPr>
        <w:rPr>
          <w:rFonts w:hint="eastAsia"/>
          <w:lang w:val="en-US" w:eastAsia="zh-CN"/>
        </w:rPr>
      </w:pPr>
    </w:p>
    <w:p w14:paraId="0DFBB981">
      <w:pPr>
        <w:rPr>
          <w:rFonts w:hint="eastAsia"/>
          <w:lang w:val="en-US" w:eastAsia="zh-CN"/>
        </w:rPr>
      </w:pPr>
    </w:p>
    <w:p w14:paraId="2874A78B">
      <w:pPr>
        <w:rPr>
          <w:rFonts w:hint="eastAsia"/>
          <w:lang w:val="en-US" w:eastAsia="zh-CN"/>
        </w:rPr>
      </w:pPr>
    </w:p>
    <w:p w14:paraId="02B6A54E">
      <w:pPr>
        <w:rPr>
          <w:rFonts w:hint="eastAsia"/>
          <w:lang w:val="en-US" w:eastAsia="zh-CN"/>
        </w:rPr>
      </w:pPr>
    </w:p>
    <w:p w14:paraId="417C402B">
      <w:pPr>
        <w:rPr>
          <w:rFonts w:hint="eastAsia"/>
          <w:lang w:val="en-US" w:eastAsia="zh-CN"/>
        </w:rPr>
      </w:pPr>
    </w:p>
    <w:p w14:paraId="22766AED">
      <w:pPr>
        <w:rPr>
          <w:rFonts w:hint="eastAsia"/>
          <w:lang w:val="en-US" w:eastAsia="zh-CN"/>
        </w:rPr>
      </w:pPr>
    </w:p>
    <w:p w14:paraId="34925213">
      <w:pPr>
        <w:rPr>
          <w:rFonts w:hint="eastAsia"/>
          <w:lang w:val="en-US" w:eastAsia="zh-CN"/>
        </w:rPr>
      </w:pPr>
    </w:p>
    <w:p w14:paraId="2373C163">
      <w:pPr>
        <w:rPr>
          <w:rFonts w:hint="eastAsia"/>
          <w:lang w:val="en-US" w:eastAsia="zh-CN"/>
        </w:rPr>
      </w:pPr>
    </w:p>
    <w:p w14:paraId="7430E413">
      <w:pPr>
        <w:rPr>
          <w:rFonts w:hint="eastAsia"/>
          <w:lang w:val="en-US" w:eastAsia="zh-CN"/>
        </w:rPr>
      </w:pPr>
    </w:p>
    <w:p w14:paraId="1AF218DC">
      <w:pPr>
        <w:rPr>
          <w:rFonts w:hint="eastAsia"/>
          <w:lang w:val="en-US" w:eastAsia="zh-CN"/>
        </w:rPr>
      </w:pPr>
    </w:p>
    <w:p w14:paraId="25B0008D">
      <w:pPr>
        <w:rPr>
          <w:rFonts w:hint="eastAsia"/>
          <w:lang w:val="en-US" w:eastAsia="zh-CN"/>
        </w:rPr>
      </w:pPr>
    </w:p>
    <w:p w14:paraId="6236D4D8">
      <w:pPr>
        <w:rPr>
          <w:rFonts w:hint="eastAsia"/>
          <w:lang w:val="en-US" w:eastAsia="zh-CN"/>
        </w:rPr>
      </w:pPr>
    </w:p>
    <w:p w14:paraId="457F6D09">
      <w:pPr>
        <w:rPr>
          <w:rFonts w:hint="eastAsia"/>
          <w:lang w:val="en-US" w:eastAsia="zh-CN"/>
        </w:rPr>
      </w:pPr>
    </w:p>
    <w:p w14:paraId="3A13A657">
      <w:pPr>
        <w:rPr>
          <w:rFonts w:hint="eastAsia"/>
          <w:lang w:val="en-US" w:eastAsia="zh-CN"/>
        </w:rPr>
      </w:pPr>
    </w:p>
    <w:p w14:paraId="440FB7F8">
      <w:pPr>
        <w:rPr>
          <w:rFonts w:hint="eastAsia"/>
          <w:lang w:val="en-US" w:eastAsia="zh-CN"/>
        </w:rPr>
      </w:pPr>
    </w:p>
    <w:p w14:paraId="563C929D">
      <w:pPr>
        <w:rPr>
          <w:rFonts w:hint="eastAsia"/>
          <w:lang w:val="en-US" w:eastAsia="zh-CN"/>
        </w:rPr>
      </w:pPr>
    </w:p>
    <w:p w14:paraId="1A933B1C">
      <w:pPr>
        <w:rPr>
          <w:rFonts w:hint="eastAsia"/>
          <w:lang w:val="en-US" w:eastAsia="zh-CN"/>
        </w:rPr>
      </w:pPr>
    </w:p>
    <w:p w14:paraId="29A89262">
      <w:pPr>
        <w:rPr>
          <w:rFonts w:hint="eastAsia"/>
          <w:lang w:val="en-US" w:eastAsia="zh-CN"/>
        </w:rPr>
      </w:pPr>
    </w:p>
    <w:p w14:paraId="17BD064E">
      <w:pPr>
        <w:rPr>
          <w:rFonts w:hint="eastAsia"/>
          <w:lang w:val="en-US" w:eastAsia="zh-CN"/>
        </w:rPr>
      </w:pPr>
    </w:p>
    <w:p w14:paraId="79979A95">
      <w:pPr>
        <w:rPr>
          <w:rFonts w:hint="eastAsia"/>
          <w:lang w:val="en-US" w:eastAsia="zh-CN"/>
        </w:rPr>
      </w:pPr>
    </w:p>
    <w:p w14:paraId="6BCEC9D5">
      <w:pPr>
        <w:rPr>
          <w:rFonts w:hint="eastAsia"/>
          <w:lang w:val="en-US" w:eastAsia="zh-CN"/>
        </w:rPr>
      </w:pPr>
    </w:p>
    <w:p w14:paraId="0D842D59">
      <w:pPr>
        <w:rPr>
          <w:rFonts w:hint="eastAsia"/>
          <w:lang w:val="en-US" w:eastAsia="zh-CN"/>
        </w:rPr>
      </w:pPr>
    </w:p>
    <w:p w14:paraId="660F3520">
      <w:pPr>
        <w:rPr>
          <w:rFonts w:hint="eastAsia"/>
          <w:lang w:val="en-US" w:eastAsia="zh-CN"/>
        </w:rPr>
      </w:pPr>
    </w:p>
    <w:p w14:paraId="4844EB47">
      <w:pPr>
        <w:pStyle w:val="4"/>
        <w:numPr>
          <w:ilvl w:val="0"/>
          <w:numId w:val="16"/>
        </w:numPr>
        <w:spacing w:line="240" w:lineRule="auto"/>
        <w:ind w:left="420" w:leftChars="0" w:hanging="420" w:firstLineChars="0"/>
        <w:jc w:val="center"/>
        <w:outlineLvl w:val="0"/>
        <w:rPr>
          <w:rFonts w:asciiTheme="majorEastAsia" w:hAnsiTheme="majorEastAsia" w:eastAsiaTheme="majorEastAsia"/>
          <w:sz w:val="32"/>
          <w:szCs w:val="32"/>
          <w:lang w:eastAsia="zh-TW"/>
        </w:rPr>
      </w:pPr>
      <w:bookmarkStart w:id="96" w:name="_Toc21111"/>
      <w:r>
        <w:rPr>
          <w:rFonts w:asciiTheme="majorEastAsia" w:hAnsiTheme="majorEastAsia" w:eastAsiaTheme="majorEastAsia"/>
          <w:sz w:val="32"/>
          <w:szCs w:val="32"/>
          <w:lang w:eastAsia="zh-TW"/>
        </w:rPr>
        <w:t>说 明</w:t>
      </w:r>
      <w:bookmarkEnd w:id="91"/>
      <w:bookmarkEnd w:id="92"/>
      <w:bookmarkEnd w:id="93"/>
      <w:bookmarkEnd w:id="94"/>
      <w:bookmarkEnd w:id="95"/>
      <w:bookmarkEnd w:id="96"/>
      <w:bookmarkStart w:id="97"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bookmarkEnd w:id="97"/>
    <w:p w14:paraId="6C6C625E">
      <w:pPr>
        <w:numPr>
          <w:ilvl w:val="0"/>
          <w:numId w:val="17"/>
        </w:numPr>
        <w:autoSpaceDE w:val="0"/>
        <w:autoSpaceDN w:val="0"/>
        <w:adjustRightInd w:val="0"/>
        <w:snapToGrid w:val="0"/>
        <w:spacing w:line="360" w:lineRule="auto"/>
        <w:outlineLvl w:val="1"/>
        <w:rPr>
          <w:rFonts w:ascii="宋体" w:hAnsi="宋体"/>
          <w:b/>
          <w:bCs/>
          <w:szCs w:val="21"/>
        </w:rPr>
      </w:pPr>
      <w:bookmarkStart w:id="98" w:name="_Toc23054"/>
      <w:r>
        <w:rPr>
          <w:rFonts w:hint="eastAsia" w:ascii="宋体" w:hAnsi="宋体"/>
          <w:b/>
          <w:bCs/>
          <w:szCs w:val="21"/>
        </w:rPr>
        <w:t>适用范围</w:t>
      </w:r>
      <w:bookmarkEnd w:id="98"/>
    </w:p>
    <w:p w14:paraId="5425D08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w:t>
      </w:r>
      <w:r>
        <w:rPr>
          <w:rFonts w:hint="eastAsia" w:ascii="宋体" w:hAnsi="宋体"/>
          <w:szCs w:val="21"/>
          <w:lang w:eastAsia="zh-CN"/>
        </w:rPr>
        <w:t>征集</w:t>
      </w:r>
      <w:r>
        <w:rPr>
          <w:rFonts w:hint="eastAsia" w:ascii="宋体" w:hAnsi="宋体"/>
          <w:szCs w:val="21"/>
        </w:rPr>
        <w:t>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文件适用于货物采购项目。</w:t>
      </w:r>
    </w:p>
    <w:p w14:paraId="7B029138">
      <w:pPr>
        <w:numPr>
          <w:ilvl w:val="0"/>
          <w:numId w:val="17"/>
        </w:numPr>
        <w:autoSpaceDE w:val="0"/>
        <w:autoSpaceDN w:val="0"/>
        <w:adjustRightInd w:val="0"/>
        <w:snapToGrid w:val="0"/>
        <w:spacing w:line="360" w:lineRule="auto"/>
        <w:ind w:left="449" w:hanging="449" w:hangingChars="213"/>
        <w:outlineLvl w:val="1"/>
        <w:rPr>
          <w:rFonts w:ascii="宋体" w:hAnsi="宋体"/>
          <w:b/>
          <w:bCs/>
          <w:strike/>
          <w:szCs w:val="21"/>
        </w:rPr>
      </w:pPr>
      <w:bookmarkStart w:id="99" w:name="_Toc28379"/>
      <w:r>
        <w:rPr>
          <w:rFonts w:hint="eastAsia" w:ascii="宋体" w:hAnsi="宋体"/>
          <w:b/>
          <w:szCs w:val="21"/>
        </w:rPr>
        <w:t>定义</w:t>
      </w:r>
      <w:bookmarkEnd w:id="99"/>
    </w:p>
    <w:p w14:paraId="293D86D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3ECABCB9">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10EFBBB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w:t>
      </w:r>
      <w:r>
        <w:rPr>
          <w:rFonts w:hint="eastAsia" w:ascii="宋体" w:hAnsi="宋体"/>
          <w:szCs w:val="21"/>
          <w:lang w:eastAsia="zh-CN"/>
        </w:rPr>
        <w:t>征集</w:t>
      </w:r>
      <w:r>
        <w:rPr>
          <w:rFonts w:hint="eastAsia" w:ascii="宋体" w:hAnsi="宋体"/>
          <w:szCs w:val="21"/>
        </w:rPr>
        <w:t>、参加投标竞争的法人、其他组织或者自然人。</w:t>
      </w:r>
    </w:p>
    <w:p w14:paraId="03F60D92">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w:t>
      </w:r>
      <w:r>
        <w:rPr>
          <w:rFonts w:hint="eastAsia" w:ascii="宋体" w:hAnsi="宋体"/>
          <w:szCs w:val="21"/>
        </w:rPr>
        <w:t>指由本次</w:t>
      </w:r>
      <w:r>
        <w:rPr>
          <w:rFonts w:hint="eastAsia" w:ascii="宋体" w:hAnsi="宋体"/>
          <w:szCs w:val="21"/>
          <w:lang w:eastAsia="zh-CN"/>
        </w:rPr>
        <w:t>征集</w:t>
      </w:r>
      <w:r>
        <w:rPr>
          <w:rFonts w:hint="eastAsia" w:ascii="宋体" w:hAnsi="宋体"/>
          <w:szCs w:val="21"/>
        </w:rPr>
        <w:t>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w:t>
      </w:r>
      <w:r>
        <w:rPr>
          <w:rFonts w:hint="eastAsia" w:ascii="宋体" w:hAnsi="宋体"/>
          <w:szCs w:val="21"/>
          <w:lang w:eastAsia="zh-CN"/>
        </w:rPr>
        <w:t>征集</w:t>
      </w:r>
      <w:r>
        <w:rPr>
          <w:rFonts w:hint="eastAsia" w:ascii="宋体" w:hAnsi="宋体"/>
          <w:szCs w:val="21"/>
        </w:rPr>
        <w:t>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lang w:eastAsia="zh-CN"/>
        </w:rPr>
        <w:t>征集</w:t>
      </w:r>
      <w:r>
        <w:rPr>
          <w:rFonts w:hint="eastAsia" w:ascii="宋体" w:hAnsi="宋体"/>
          <w:szCs w:val="21"/>
        </w:rPr>
        <w:t>文件中的标题或题名仅起引导作用，而不应视为对</w:t>
      </w:r>
      <w:r>
        <w:rPr>
          <w:rFonts w:hint="eastAsia" w:ascii="宋体" w:hAnsi="宋体"/>
          <w:szCs w:val="21"/>
          <w:lang w:eastAsia="zh-CN"/>
        </w:rPr>
        <w:t>征集</w:t>
      </w:r>
      <w:r>
        <w:rPr>
          <w:rFonts w:hint="eastAsia" w:ascii="宋体" w:hAnsi="宋体"/>
          <w:szCs w:val="21"/>
        </w:rPr>
        <w:t>文件内容的理解和解释。</w:t>
      </w:r>
    </w:p>
    <w:p w14:paraId="77DE7CA6">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767FC079">
      <w:pPr>
        <w:numPr>
          <w:ilvl w:val="0"/>
          <w:numId w:val="0"/>
        </w:numPr>
        <w:autoSpaceDE w:val="0"/>
        <w:autoSpaceDN w:val="0"/>
        <w:adjustRightInd w:val="0"/>
        <w:snapToGrid w:val="0"/>
        <w:spacing w:line="360" w:lineRule="auto"/>
        <w:ind w:leftChars="0"/>
        <w:rPr>
          <w:rFonts w:hint="default" w:ascii="宋体" w:hAnsi="宋体" w:eastAsiaTheme="minorEastAsia"/>
          <w:szCs w:val="21"/>
          <w:lang w:val="en-US" w:eastAsia="zh-CN"/>
        </w:rPr>
      </w:pPr>
      <w:r>
        <w:rPr>
          <w:rFonts w:hint="eastAsia" w:ascii="宋体" w:hAnsi="宋体"/>
          <w:szCs w:val="21"/>
          <w:lang w:val="en-US" w:eastAsia="zh-CN"/>
        </w:rPr>
        <w:t>2.11.征集</w:t>
      </w:r>
      <w:r>
        <w:rPr>
          <w:rFonts w:hint="eastAsia" w:ascii="宋体" w:hAnsi="宋体"/>
          <w:szCs w:val="21"/>
        </w:rPr>
        <w:t>文件中的标题或题名仅起引导作用，而不应视为对</w:t>
      </w:r>
      <w:r>
        <w:rPr>
          <w:rFonts w:hint="eastAsia" w:ascii="宋体" w:hAnsi="宋体"/>
          <w:szCs w:val="21"/>
          <w:lang w:val="en-US" w:eastAsia="zh-CN"/>
        </w:rPr>
        <w:t>征集</w:t>
      </w:r>
      <w:r>
        <w:rPr>
          <w:rFonts w:hint="eastAsia" w:ascii="宋体" w:hAnsi="宋体"/>
          <w:szCs w:val="21"/>
        </w:rPr>
        <w:t>文件内容的理解和解释。</w:t>
      </w:r>
    </w:p>
    <w:p w14:paraId="08E946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0" w:name="_Toc4681"/>
      <w:r>
        <w:rPr>
          <w:rFonts w:hint="eastAsia" w:ascii="宋体" w:hAnsi="宋体"/>
          <w:b/>
          <w:bCs/>
          <w:szCs w:val="21"/>
        </w:rPr>
        <w:t>合格的货物和服务</w:t>
      </w:r>
      <w:bookmarkEnd w:id="100"/>
    </w:p>
    <w:p w14:paraId="6CA79C08">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w:t>
      </w:r>
      <w:r>
        <w:rPr>
          <w:rFonts w:hint="eastAsia" w:ascii="宋体" w:hAnsi="宋体"/>
          <w:szCs w:val="21"/>
          <w:lang w:eastAsia="zh-CN"/>
        </w:rPr>
        <w:t>征集</w:t>
      </w:r>
      <w:r>
        <w:rPr>
          <w:rFonts w:hint="eastAsia" w:ascii="宋体" w:hAnsi="宋体"/>
          <w:szCs w:val="21"/>
        </w:rPr>
        <w:t>文件要求的货物等。投标的货物必须是其合法生产、合法来源的符合国家有关标准要求的货物，并满足</w:t>
      </w:r>
      <w:r>
        <w:rPr>
          <w:rFonts w:hint="eastAsia" w:ascii="宋体" w:hAnsi="宋体"/>
          <w:szCs w:val="21"/>
          <w:lang w:eastAsia="zh-CN"/>
        </w:rPr>
        <w:t>征集</w:t>
      </w:r>
      <w:r>
        <w:rPr>
          <w:rFonts w:hint="eastAsia" w:ascii="宋体" w:hAnsi="宋体"/>
          <w:szCs w:val="21"/>
        </w:rPr>
        <w:t>文件规定的规格、参数、质量、价格、有效期、售后服务等要求。</w:t>
      </w:r>
    </w:p>
    <w:p w14:paraId="26B52F2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w:t>
      </w:r>
      <w:r>
        <w:rPr>
          <w:rFonts w:hint="eastAsia" w:ascii="宋体" w:hAnsi="宋体"/>
          <w:szCs w:val="21"/>
          <w:lang w:eastAsia="zh-CN"/>
        </w:rPr>
        <w:t>征集</w:t>
      </w:r>
      <w:r>
        <w:rPr>
          <w:rFonts w:hint="eastAsia" w:ascii="宋体" w:hAnsi="宋体"/>
          <w:szCs w:val="21"/>
        </w:rPr>
        <w:t>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w:t>
      </w:r>
      <w:r>
        <w:rPr>
          <w:rFonts w:hint="eastAsia" w:ascii="宋体" w:hAnsi="宋体"/>
          <w:szCs w:val="21"/>
          <w:lang w:eastAsia="zh-CN"/>
        </w:rPr>
        <w:t>征集</w:t>
      </w:r>
      <w:r>
        <w:rPr>
          <w:rFonts w:hint="eastAsia" w:ascii="宋体" w:hAnsi="宋体"/>
          <w:szCs w:val="21"/>
        </w:rPr>
        <w:t>公告有其他要求的，亦应符合其要求。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征集</w:t>
      </w:r>
      <w:r>
        <w:rPr>
          <w:rFonts w:hint="eastAsia" w:ascii="宋体" w:hAnsi="宋体"/>
          <w:szCs w:val="21"/>
        </w:rPr>
        <w:t>公告有其他要求的，亦应符合其要求。</w:t>
      </w:r>
    </w:p>
    <w:p w14:paraId="03AB9CC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7CB46EE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1"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1"/>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45BD45A2">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2" w:name="_Toc27847"/>
      <w:r>
        <w:rPr>
          <w:rFonts w:hint="eastAsia" w:ascii="宋体" w:hAnsi="宋体"/>
          <w:b/>
          <w:bCs/>
          <w:szCs w:val="21"/>
        </w:rPr>
        <w:t>其他</w:t>
      </w:r>
      <w:bookmarkEnd w:id="102"/>
    </w:p>
    <w:p w14:paraId="20835FF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18D56482">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0953B09">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bookmarkStart w:id="103" w:name="_Hlk21592778"/>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w:t>
      </w:r>
      <w:bookmarkStart w:id="104" w:name="_Hlk21591509"/>
      <w:r>
        <w:rPr>
          <w:rFonts w:hint="eastAsia" w:asciiTheme="minorEastAsia" w:hAnsiTheme="minorEastAsia" w:eastAsiaTheme="minorEastAsia"/>
          <w:color w:val="auto"/>
          <w:szCs w:val="21"/>
          <w:highlight w:val="none"/>
        </w:rPr>
        <w:t>供应商限制参与政府采购</w:t>
      </w:r>
      <w:bookmarkEnd w:id="104"/>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w:t>
      </w:r>
      <w:bookmarkEnd w:id="103"/>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深圳市政府采购监管网（zfcg.sz.gov.cn）查询相关主体信用记录，对不符合《中华人民共和国政府采购法》第二十二条规定条件的供应商限制参与政府采购。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征集文件</w:t>
      </w:r>
    </w:p>
    <w:p w14:paraId="1C971EE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征集文件注意事项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文件后，应仔细检查</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文件所有的事项、格式、条款和规范要求等，如果投标人的投标文件没有按</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文件要求提交全部资料或者投标文件没有对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文件澄清的目的是澄清、解答投标人在查阅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文件后或现场踏勘中可能提出的与投标有关的疑问或询问。</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文件的修改性文件，如补充、澄清文件或</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文件修订说明同样具有法律效力。</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文件进行澄清或者对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文件有限制性、倾向性条款提出</w:t>
      </w:r>
      <w:r>
        <w:rPr>
          <w:rFonts w:hint="eastAsia" w:cs="宋体" w:asciiTheme="minorEastAsia" w:hAnsiTheme="minorEastAsia"/>
          <w:bCs/>
          <w:color w:val="auto"/>
          <w:szCs w:val="21"/>
          <w:highlight w:val="none"/>
          <w:lang w:val="en-US" w:eastAsia="zh-CN"/>
        </w:rPr>
        <w:t>征集答疑</w:t>
      </w:r>
      <w:r>
        <w:rPr>
          <w:rFonts w:hint="eastAsia" w:cs="宋体" w:asciiTheme="minorEastAsia" w:hAnsiTheme="minorEastAsia" w:eastAsiaTheme="minorEastAsia"/>
          <w:bCs/>
          <w:color w:val="auto"/>
          <w:szCs w:val="21"/>
          <w:highlight w:val="none"/>
        </w:rPr>
        <w:t>的投标人，均应于“</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文件进行必要的澄清或是根据投标人的要求对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文件发出后，在投标截止日期前任何时候，确需要变更</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文件修改补充通知内容均以书面明确的内容为准。当</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文件澄清（答疑）纪要和</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文件修改补充通知在投标截止时间前以网站公开发布形式或书面形式发送给所有投标人。为使投标人在编写投标文件时有充分时间对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162D3CE0">
      <w:pPr>
        <w:numPr>
          <w:ilvl w:val="0"/>
          <w:numId w:val="0"/>
        </w:numPr>
        <w:adjustRightInd w:val="0"/>
        <w:snapToGrid w:val="0"/>
        <w:spacing w:line="360" w:lineRule="auto"/>
        <w:ind w:leftChars="0"/>
        <w:rPr>
          <w:rFonts w:hint="eastAsia" w:cs="宋体" w:asciiTheme="minorEastAsia" w:hAnsiTheme="minorEastAsia"/>
          <w:bCs/>
          <w:color w:val="auto"/>
          <w:szCs w:val="21"/>
          <w:highlight w:val="none"/>
          <w:lang w:val="en-US" w:eastAsia="zh-CN"/>
        </w:rPr>
      </w:pPr>
      <w:r>
        <w:rPr>
          <w:rFonts w:hint="eastAsia" w:cs="宋体" w:asciiTheme="minorEastAsia" w:hAnsiTheme="minorEastAsia"/>
          <w:bCs/>
          <w:color w:val="auto"/>
          <w:szCs w:val="21"/>
          <w:highlight w:val="none"/>
          <w:lang w:val="en-US" w:eastAsia="zh-CN"/>
        </w:rPr>
        <w:t>5.10.征集文件由深圳市福田区第二人民医院负责解释。</w:t>
      </w:r>
    </w:p>
    <w:p w14:paraId="59DC293A">
      <w:pPr>
        <w:numPr>
          <w:ilvl w:val="0"/>
          <w:numId w:val="0"/>
        </w:numPr>
        <w:adjustRightInd w:val="0"/>
        <w:snapToGrid w:val="0"/>
        <w:spacing w:line="360" w:lineRule="auto"/>
        <w:ind w:leftChars="0"/>
        <w:rPr>
          <w:rFonts w:hint="eastAsia" w:ascii="宋体" w:hAnsi="宋体"/>
          <w:szCs w:val="21"/>
        </w:rPr>
      </w:pPr>
      <w:r>
        <w:rPr>
          <w:rFonts w:hint="eastAsia" w:cs="宋体" w:asciiTheme="minorEastAsia" w:hAnsiTheme="minorEastAsia"/>
          <w:bCs/>
          <w:color w:val="auto"/>
          <w:szCs w:val="21"/>
          <w:highlight w:val="none"/>
          <w:lang w:val="en-US" w:eastAsia="zh-CN"/>
        </w:rPr>
        <w:t>5.11.</w:t>
      </w:r>
      <w:r>
        <w:rPr>
          <w:rFonts w:hint="eastAsia" w:ascii="宋体" w:hAnsi="宋体"/>
          <w:szCs w:val="21"/>
        </w:rPr>
        <w:t>本次招投标的最终解释权归</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所有。本文件未作须知明示，而又有相关法律、法规规定的，</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将对此解释为依据有关法律、法规的规定。</w:t>
      </w:r>
    </w:p>
    <w:p w14:paraId="65742B83">
      <w:pPr>
        <w:numPr>
          <w:ilvl w:val="0"/>
          <w:numId w:val="0"/>
        </w:numPr>
        <w:adjustRightInd w:val="0"/>
        <w:snapToGrid w:val="0"/>
        <w:spacing w:line="360" w:lineRule="auto"/>
        <w:ind w:leftChars="0"/>
        <w:rPr>
          <w:rFonts w:hint="default" w:cs="宋体" w:asciiTheme="minorEastAsia" w:hAnsiTheme="minorEastAsia"/>
          <w:bCs/>
          <w:color w:val="auto"/>
          <w:szCs w:val="21"/>
          <w:highlight w:val="none"/>
          <w:lang w:val="en-US" w:eastAsia="zh-CN"/>
        </w:rPr>
      </w:pPr>
    </w:p>
    <w:p w14:paraId="71E88C04">
      <w:pPr>
        <w:pStyle w:val="4"/>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05" w:name="_Toc438223138"/>
      <w:bookmarkStart w:id="106" w:name="_Toc435516652"/>
      <w:bookmarkStart w:id="107" w:name="_Toc22222"/>
      <w:bookmarkStart w:id="108" w:name="_Toc15510"/>
      <w:bookmarkStart w:id="109" w:name="_Toc435174935"/>
      <w:r>
        <w:rPr>
          <w:rFonts w:hint="eastAsia" w:asciiTheme="majorEastAsia" w:hAnsiTheme="majorEastAsia" w:eastAsiaTheme="majorEastAsia"/>
          <w:sz w:val="30"/>
          <w:szCs w:val="30"/>
          <w:lang w:eastAsia="zh-TW"/>
        </w:rPr>
        <w:t>投标文件的编制</w:t>
      </w:r>
      <w:bookmarkEnd w:id="105"/>
      <w:bookmarkEnd w:id="106"/>
      <w:bookmarkEnd w:id="107"/>
      <w:bookmarkEnd w:id="108"/>
      <w:bookmarkEnd w:id="109"/>
    </w:p>
    <w:p w14:paraId="5EBD4F7D">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0" w:name="_Toc27317"/>
      <w:r>
        <w:rPr>
          <w:rFonts w:hint="eastAsia" w:ascii="宋体" w:hAnsi="宋体"/>
          <w:b/>
          <w:bCs/>
          <w:szCs w:val="21"/>
        </w:rPr>
        <w:t>投标的语言</w:t>
      </w:r>
      <w:bookmarkEnd w:id="110"/>
      <w:r>
        <w:rPr>
          <w:rFonts w:hint="eastAsia" w:ascii="宋体" w:hAnsi="宋体"/>
          <w:b/>
          <w:bCs/>
          <w:szCs w:val="21"/>
          <w:lang w:val="en-US" w:eastAsia="zh-CN"/>
        </w:rPr>
        <w:t>及度量单位</w:t>
      </w:r>
    </w:p>
    <w:p w14:paraId="60E51897">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EB2D7D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1" w:name="_Toc2446"/>
      <w:r>
        <w:rPr>
          <w:rFonts w:hint="eastAsia" w:ascii="宋体" w:hAnsi="宋体"/>
          <w:b/>
          <w:bCs/>
          <w:szCs w:val="21"/>
        </w:rPr>
        <w:t>投标文件的构成</w:t>
      </w:r>
      <w:bookmarkEnd w:id="111"/>
    </w:p>
    <w:p w14:paraId="57D603E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19B7BC5">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w:t>
      </w:r>
      <w:r>
        <w:rPr>
          <w:rFonts w:hint="eastAsia" w:ascii="宋体" w:hAnsi="宋体" w:cs="宋体"/>
          <w:szCs w:val="21"/>
          <w:lang w:eastAsia="zh-CN"/>
        </w:rPr>
        <w:t>征集</w:t>
      </w:r>
      <w:r>
        <w:rPr>
          <w:rFonts w:hint="eastAsia" w:ascii="宋体" w:hAnsi="宋体" w:cs="宋体"/>
          <w:szCs w:val="21"/>
        </w:rPr>
        <w:t>文件的要求。</w:t>
      </w:r>
    </w:p>
    <w:p w14:paraId="0F86CEF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2" w:name="_Toc11091"/>
      <w:r>
        <w:rPr>
          <w:rFonts w:hint="eastAsia" w:ascii="宋体" w:hAnsi="宋体"/>
          <w:b/>
          <w:bCs/>
          <w:szCs w:val="21"/>
        </w:rPr>
        <w:t>投标文件的编写</w:t>
      </w:r>
      <w:bookmarkEnd w:id="112"/>
    </w:p>
    <w:p w14:paraId="3AA1BCA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w:t>
      </w:r>
      <w:r>
        <w:rPr>
          <w:rFonts w:hint="eastAsia" w:ascii="宋体" w:hAnsi="宋体" w:cs="宋体"/>
          <w:szCs w:val="21"/>
          <w:lang w:eastAsia="zh-CN"/>
        </w:rPr>
        <w:t>征集</w:t>
      </w:r>
      <w:r>
        <w:rPr>
          <w:rFonts w:hint="eastAsia" w:ascii="宋体" w:hAnsi="宋体" w:cs="宋体"/>
          <w:szCs w:val="21"/>
        </w:rPr>
        <w:t>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2476390D">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EC5433C">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w:t>
      </w:r>
      <w:r>
        <w:rPr>
          <w:rFonts w:hint="eastAsia" w:ascii="宋体" w:hAnsi="宋体" w:cs="宋体"/>
          <w:szCs w:val="21"/>
          <w:lang w:eastAsia="zh-CN"/>
        </w:rPr>
        <w:t>征集</w:t>
      </w:r>
      <w:r>
        <w:rPr>
          <w:rFonts w:hint="eastAsia" w:ascii="宋体" w:hAnsi="宋体" w:cs="宋体"/>
          <w:szCs w:val="21"/>
        </w:rPr>
        <w:t>文件要求的部分内容和附件，或没有提供</w:t>
      </w:r>
      <w:r>
        <w:rPr>
          <w:rFonts w:hint="eastAsia" w:ascii="宋体" w:hAnsi="宋体" w:cs="宋体"/>
          <w:szCs w:val="21"/>
          <w:lang w:eastAsia="zh-CN"/>
        </w:rPr>
        <w:t>征集</w:t>
      </w:r>
      <w:r>
        <w:rPr>
          <w:rFonts w:hint="eastAsia" w:ascii="宋体" w:hAnsi="宋体" w:cs="宋体"/>
          <w:szCs w:val="21"/>
        </w:rPr>
        <w:t>文件中所要求的资料及数据，由此造成的后果和责任由投标人承担。</w:t>
      </w:r>
    </w:p>
    <w:p w14:paraId="274B42DA">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w:t>
      </w:r>
      <w:r>
        <w:rPr>
          <w:rFonts w:hint="eastAsia" w:ascii="宋体" w:hAnsi="宋体" w:cs="宋体"/>
          <w:szCs w:val="21"/>
          <w:lang w:eastAsia="zh-CN"/>
        </w:rPr>
        <w:t>征集</w:t>
      </w:r>
      <w:r>
        <w:rPr>
          <w:rFonts w:hint="eastAsia" w:ascii="宋体" w:hAnsi="宋体" w:cs="宋体"/>
          <w:szCs w:val="21"/>
        </w:rPr>
        <w:t>文件的全部内容（包括所有的补充、修改内容重要事项、格式、条款和技术规范、参数及要求等）。投标人没有按照</w:t>
      </w:r>
      <w:r>
        <w:rPr>
          <w:rFonts w:hint="eastAsia" w:ascii="宋体" w:hAnsi="宋体" w:cs="宋体"/>
          <w:szCs w:val="21"/>
          <w:lang w:eastAsia="zh-CN"/>
        </w:rPr>
        <w:t>征集</w:t>
      </w:r>
      <w:r>
        <w:rPr>
          <w:rFonts w:hint="eastAsia" w:ascii="宋体" w:hAnsi="宋体" w:cs="宋体"/>
          <w:szCs w:val="21"/>
        </w:rPr>
        <w:t>文件要求提交资料，或者投标文件没有对</w:t>
      </w:r>
      <w:r>
        <w:rPr>
          <w:rFonts w:hint="eastAsia" w:ascii="宋体" w:hAnsi="宋体" w:cs="宋体"/>
          <w:szCs w:val="21"/>
          <w:lang w:eastAsia="zh-CN"/>
        </w:rPr>
        <w:t>征集</w:t>
      </w:r>
      <w:r>
        <w:rPr>
          <w:rFonts w:hint="eastAsia" w:ascii="宋体" w:hAnsi="宋体" w:cs="宋体"/>
          <w:szCs w:val="21"/>
        </w:rPr>
        <w:t>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w:t>
      </w:r>
      <w:r>
        <w:rPr>
          <w:rFonts w:hint="eastAsia" w:ascii="宋体" w:hAnsi="宋体" w:cs="宋体"/>
          <w:szCs w:val="21"/>
          <w:lang w:eastAsia="zh-CN"/>
        </w:rPr>
        <w:t>征集</w:t>
      </w:r>
      <w:r>
        <w:rPr>
          <w:rFonts w:hint="eastAsia" w:ascii="宋体" w:hAnsi="宋体" w:cs="宋体"/>
          <w:szCs w:val="21"/>
        </w:rPr>
        <w:t>文件提供了投标文件格式，则投标人提交的投标文件必须毫无例外地使用</w:t>
      </w:r>
      <w:r>
        <w:rPr>
          <w:rFonts w:hint="eastAsia" w:ascii="宋体" w:hAnsi="宋体" w:cs="宋体"/>
          <w:szCs w:val="21"/>
          <w:lang w:eastAsia="zh-CN"/>
        </w:rPr>
        <w:t>征集</w:t>
      </w:r>
      <w:r>
        <w:rPr>
          <w:rFonts w:hint="eastAsia" w:ascii="宋体" w:hAnsi="宋体" w:cs="宋体"/>
          <w:szCs w:val="21"/>
        </w:rPr>
        <w:t>文件所提供的相应格式（表格可以按同样格式扩展）。</w:t>
      </w:r>
    </w:p>
    <w:p w14:paraId="17A80A8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3" w:name="_Toc7497"/>
      <w:r>
        <w:rPr>
          <w:rFonts w:hint="eastAsia" w:ascii="宋体" w:hAnsi="宋体"/>
          <w:b/>
          <w:bCs/>
          <w:szCs w:val="21"/>
        </w:rPr>
        <w:t>投标报价</w:t>
      </w:r>
      <w:bookmarkEnd w:id="113"/>
    </w:p>
    <w:p w14:paraId="34667E9C">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4C0B591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7BEEE35F">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w:t>
      </w:r>
      <w:r>
        <w:rPr>
          <w:rFonts w:hint="eastAsia" w:ascii="宋体" w:hAnsi="宋体" w:cs="宋体"/>
          <w:szCs w:val="21"/>
          <w:lang w:eastAsia="zh-CN"/>
        </w:rPr>
        <w:t>征集</w:t>
      </w:r>
      <w:r>
        <w:rPr>
          <w:rFonts w:hint="eastAsia" w:ascii="宋体" w:hAnsi="宋体" w:cs="宋体"/>
          <w:szCs w:val="21"/>
        </w:rPr>
        <w:t>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46B2DB31">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3708B8C6">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36D75F9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w:t>
      </w:r>
      <w:r>
        <w:rPr>
          <w:rFonts w:hint="eastAsia" w:ascii="宋体" w:hAnsi="宋体"/>
          <w:szCs w:val="21"/>
          <w:lang w:eastAsia="zh-CN"/>
        </w:rPr>
        <w:t>征集</w:t>
      </w:r>
      <w:r>
        <w:rPr>
          <w:rFonts w:hint="eastAsia" w:ascii="宋体" w:hAnsi="宋体"/>
          <w:szCs w:val="21"/>
        </w:rPr>
        <w:t>不接受选择性报价，</w:t>
      </w:r>
      <w:r>
        <w:rPr>
          <w:rFonts w:hint="eastAsia" w:ascii="宋体" w:hAnsi="宋体" w:cs="宋体"/>
          <w:szCs w:val="21"/>
        </w:rPr>
        <w:t>否则将被视为无效投标。</w:t>
      </w:r>
    </w:p>
    <w:p w14:paraId="32B5E02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w:t>
      </w:r>
      <w:r>
        <w:rPr>
          <w:rFonts w:hint="eastAsia" w:ascii="宋体" w:hAnsi="宋体"/>
          <w:szCs w:val="21"/>
          <w:lang w:eastAsia="zh-CN"/>
        </w:rPr>
        <w:t>征集</w:t>
      </w:r>
      <w:r>
        <w:rPr>
          <w:rFonts w:hint="eastAsia" w:ascii="宋体" w:hAnsi="宋体"/>
          <w:szCs w:val="21"/>
        </w:rPr>
        <w:t>不接受具有附加条件的报价，</w:t>
      </w:r>
      <w:r>
        <w:rPr>
          <w:rFonts w:hint="eastAsia" w:ascii="宋体" w:hAnsi="宋体" w:cs="宋体"/>
          <w:szCs w:val="21"/>
        </w:rPr>
        <w:t>否则将被视为无效投标。</w:t>
      </w:r>
    </w:p>
    <w:p w14:paraId="2B358E2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4" w:name="_Toc2827"/>
      <w:r>
        <w:rPr>
          <w:rFonts w:hint="eastAsia" w:ascii="宋体" w:hAnsi="宋体"/>
          <w:b/>
          <w:bCs/>
          <w:szCs w:val="21"/>
        </w:rPr>
        <w:t>投标货币</w:t>
      </w:r>
      <w:bookmarkEnd w:id="114"/>
    </w:p>
    <w:p w14:paraId="75F25268">
      <w:pPr>
        <w:numPr>
          <w:ilvl w:val="1"/>
          <w:numId w:val="17"/>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74EED5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5" w:name="_Toc23174"/>
      <w:r>
        <w:rPr>
          <w:rFonts w:hint="eastAsia" w:ascii="宋体" w:hAnsi="宋体"/>
          <w:b/>
          <w:bCs/>
          <w:szCs w:val="21"/>
        </w:rPr>
        <w:t>联合体投标</w:t>
      </w:r>
      <w:bookmarkEnd w:id="115"/>
    </w:p>
    <w:p w14:paraId="1C1E2EC5">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5EFCE26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7D7ADB5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168C4E3F">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7120FC">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1D5AF8E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6" w:name="_Toc14020"/>
      <w:r>
        <w:rPr>
          <w:rFonts w:hint="eastAsia" w:ascii="宋体" w:hAnsi="宋体"/>
          <w:b/>
          <w:bCs/>
          <w:szCs w:val="21"/>
        </w:rPr>
        <w:t>证明投标人合格和资格的文件</w:t>
      </w:r>
      <w:bookmarkEnd w:id="116"/>
    </w:p>
    <w:p w14:paraId="5439B54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2E771B7C">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62D8239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7" w:name="_Toc17198"/>
      <w:r>
        <w:rPr>
          <w:rFonts w:ascii="宋体" w:hAnsi="宋体"/>
          <w:b/>
          <w:bCs/>
          <w:szCs w:val="21"/>
        </w:rPr>
        <w:t>证明投标标的的合格性和符合</w:t>
      </w:r>
      <w:r>
        <w:rPr>
          <w:rFonts w:hint="eastAsia" w:ascii="宋体" w:hAnsi="宋体"/>
          <w:b/>
          <w:bCs/>
          <w:szCs w:val="21"/>
          <w:lang w:eastAsia="zh-CN"/>
        </w:rPr>
        <w:t>征集</w:t>
      </w:r>
      <w:r>
        <w:rPr>
          <w:rFonts w:ascii="宋体" w:hAnsi="宋体"/>
          <w:b/>
          <w:bCs/>
          <w:szCs w:val="21"/>
        </w:rPr>
        <w:t>文件规定的文件</w:t>
      </w:r>
      <w:bookmarkEnd w:id="117"/>
    </w:p>
    <w:p w14:paraId="6B9702A6">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w:t>
      </w:r>
      <w:r>
        <w:rPr>
          <w:rFonts w:hint="eastAsia" w:ascii="宋体" w:hAnsi="宋体" w:cs="宋体"/>
          <w:szCs w:val="21"/>
          <w:lang w:eastAsia="zh-CN"/>
        </w:rPr>
        <w:t>征集</w:t>
      </w:r>
      <w:r>
        <w:rPr>
          <w:rFonts w:hint="eastAsia" w:ascii="宋体" w:hAnsi="宋体" w:cs="宋体"/>
          <w:szCs w:val="21"/>
        </w:rPr>
        <w:t>文件规定。该证明文件作为投标文件的一部分。</w:t>
      </w:r>
    </w:p>
    <w:p w14:paraId="2283C2D1">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4664144">
      <w:pPr>
        <w:numPr>
          <w:ilvl w:val="1"/>
          <w:numId w:val="17"/>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w:t>
      </w:r>
      <w:r>
        <w:rPr>
          <w:rFonts w:hint="eastAsia" w:ascii="宋体" w:hAnsi="宋体" w:cs="宋体"/>
          <w:color w:val="auto"/>
          <w:szCs w:val="21"/>
          <w:lang w:eastAsia="zh-CN"/>
        </w:rPr>
        <w:t>征集</w:t>
      </w:r>
      <w:r>
        <w:rPr>
          <w:rFonts w:hint="eastAsia" w:ascii="宋体" w:hAnsi="宋体" w:cs="宋体"/>
          <w:color w:val="auto"/>
          <w:szCs w:val="21"/>
        </w:rPr>
        <w:t>文件的要求相一致的文件，可以是文字资料、图纸和数据。</w:t>
      </w:r>
    </w:p>
    <w:p w14:paraId="4D4BF8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8" w:name="_Toc20270"/>
      <w:r>
        <w:rPr>
          <w:rFonts w:hint="eastAsia" w:ascii="宋体" w:hAnsi="宋体"/>
          <w:b/>
          <w:bCs/>
          <w:szCs w:val="21"/>
        </w:rPr>
        <w:t>投标文件的式样和签署、密封</w:t>
      </w:r>
      <w:bookmarkEnd w:id="118"/>
    </w:p>
    <w:p w14:paraId="669ADE1D">
      <w:pPr>
        <w:numPr>
          <w:ilvl w:val="1"/>
          <w:numId w:val="17"/>
        </w:numPr>
        <w:autoSpaceDE w:val="0"/>
        <w:autoSpaceDN w:val="0"/>
        <w:adjustRightInd w:val="0"/>
        <w:snapToGrid w:val="0"/>
        <w:spacing w:line="360" w:lineRule="auto"/>
        <w:rPr>
          <w:rFonts w:ascii="宋体" w:hAnsi="宋体" w:cs="黑体"/>
          <w:b/>
          <w:bCs/>
          <w:szCs w:val="21"/>
        </w:rPr>
      </w:pPr>
      <w:bookmarkStart w:id="119" w:name="_Toc438223139"/>
      <w:bookmarkStart w:id="120" w:name="_Toc435516653"/>
      <w:bookmarkStart w:id="121" w:name="_Toc435174936"/>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征集须知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33C4C948">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w:t>
      </w:r>
      <w:r>
        <w:rPr>
          <w:rFonts w:hint="eastAsia" w:ascii="宋体" w:hAnsi="宋体" w:cs="宋体"/>
          <w:szCs w:val="21"/>
          <w:lang w:eastAsia="zh-CN"/>
        </w:rPr>
        <w:t>征集</w:t>
      </w:r>
      <w:r>
        <w:rPr>
          <w:rFonts w:hint="eastAsia" w:ascii="宋体" w:hAnsi="宋体" w:cs="宋体"/>
          <w:szCs w:val="21"/>
        </w:rPr>
        <w:t>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2956E498">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17D5B1D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w:t>
      </w:r>
      <w:r>
        <w:rPr>
          <w:rFonts w:hint="eastAsia" w:ascii="宋体" w:hAnsi="宋体" w:cs="宋体"/>
          <w:szCs w:val="21"/>
          <w:lang w:eastAsia="zh-CN"/>
        </w:rPr>
        <w:t>征集</w:t>
      </w:r>
      <w:r>
        <w:rPr>
          <w:rFonts w:hint="eastAsia" w:ascii="宋体" w:hAnsi="宋体" w:cs="宋体"/>
          <w:szCs w:val="21"/>
        </w:rPr>
        <w:t>文件要求签名的由法定代表人或经其正式授权的代表签字或盖章，以及</w:t>
      </w:r>
      <w:r>
        <w:rPr>
          <w:rFonts w:hint="eastAsia" w:ascii="宋体" w:hAnsi="宋体" w:cs="宋体"/>
          <w:szCs w:val="21"/>
          <w:lang w:eastAsia="zh-CN"/>
        </w:rPr>
        <w:t>征集</w:t>
      </w:r>
      <w:r>
        <w:rPr>
          <w:rFonts w:hint="eastAsia" w:ascii="宋体" w:hAnsi="宋体" w:cs="宋体"/>
          <w:szCs w:val="21"/>
        </w:rPr>
        <w:t>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087BEF45">
      <w:pPr>
        <w:numPr>
          <w:ilvl w:val="2"/>
          <w:numId w:val="17"/>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3179F55C">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10B9B55B">
      <w:pPr>
        <w:numPr>
          <w:ilvl w:val="2"/>
          <w:numId w:val="17"/>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lang w:eastAsia="zh-CN"/>
        </w:rPr>
        <w:t>征集</w:t>
      </w:r>
      <w:r>
        <w:rPr>
          <w:rFonts w:hint="eastAsia" w:ascii="宋体" w:hAnsi="宋体" w:cs="宋体"/>
          <w:szCs w:val="21"/>
        </w:rPr>
        <w:t>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2761954F">
      <w:pPr>
        <w:pStyle w:val="4"/>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bookmarkStart w:id="122" w:name="_Toc5252"/>
      <w:bookmarkStart w:id="123" w:name="_Toc28883"/>
      <w:r>
        <w:rPr>
          <w:rFonts w:hint="eastAsia" w:asciiTheme="majorEastAsia" w:hAnsiTheme="majorEastAsia" w:eastAsiaTheme="majorEastAsia"/>
          <w:sz w:val="30"/>
          <w:szCs w:val="30"/>
          <w:lang w:eastAsia="zh-TW"/>
        </w:rPr>
        <w:t>投标文件的递交</w:t>
      </w:r>
      <w:bookmarkEnd w:id="119"/>
      <w:bookmarkEnd w:id="120"/>
      <w:bookmarkEnd w:id="121"/>
      <w:bookmarkEnd w:id="122"/>
      <w:bookmarkEnd w:id="123"/>
    </w:p>
    <w:p w14:paraId="340197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4" w:name="_Toc13202"/>
      <w:r>
        <w:rPr>
          <w:rFonts w:hint="eastAsia" w:ascii="宋体" w:hAnsi="宋体"/>
          <w:b/>
          <w:bCs/>
          <w:szCs w:val="21"/>
        </w:rPr>
        <w:t>投标文件递交</w:t>
      </w:r>
      <w:bookmarkEnd w:id="124"/>
    </w:p>
    <w:p w14:paraId="6CF7C752">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C3AF87B">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逾期送达或者未按照</w:t>
      </w:r>
      <w:r>
        <w:rPr>
          <w:rFonts w:hint="eastAsia" w:ascii="宋体" w:hAnsi="宋体"/>
          <w:lang w:eastAsia="zh-CN"/>
        </w:rPr>
        <w:t>征集</w:t>
      </w:r>
      <w:r>
        <w:rPr>
          <w:rFonts w:hint="eastAsia" w:ascii="宋体" w:hAnsi="宋体"/>
        </w:rPr>
        <w:t>文件要求密封的投标文件，采购人应当拒收。</w:t>
      </w:r>
    </w:p>
    <w:p w14:paraId="4E5AD5BF">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w:t>
      </w:r>
      <w:r>
        <w:rPr>
          <w:rFonts w:hint="eastAsia" w:ascii="宋体" w:hAnsi="宋体"/>
          <w:lang w:eastAsia="zh-CN"/>
        </w:rPr>
        <w:t>征集</w:t>
      </w:r>
      <w:r>
        <w:rPr>
          <w:rFonts w:hint="eastAsia" w:ascii="宋体" w:hAnsi="宋体"/>
        </w:rPr>
        <w:t>公告中规定的开标时间）前不准启封的字样。</w:t>
      </w:r>
    </w:p>
    <w:p w14:paraId="5C42D29C">
      <w:pPr>
        <w:numPr>
          <w:ilvl w:val="1"/>
          <w:numId w:val="17"/>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5FB9A84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5" w:name="_Toc22017"/>
      <w:r>
        <w:rPr>
          <w:rFonts w:hint="eastAsia" w:ascii="宋体" w:hAnsi="宋体"/>
          <w:b/>
          <w:bCs/>
          <w:szCs w:val="21"/>
        </w:rPr>
        <w:t>投标文件的修改和撤回、撤销</w:t>
      </w:r>
      <w:bookmarkEnd w:id="125"/>
    </w:p>
    <w:p w14:paraId="6E8E5B6D">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w:t>
      </w:r>
      <w:r>
        <w:rPr>
          <w:rFonts w:hint="eastAsia" w:ascii="宋体" w:hAnsi="宋体" w:cs="宋体"/>
          <w:szCs w:val="21"/>
          <w:lang w:eastAsia="zh-CN"/>
        </w:rPr>
        <w:t>征集</w:t>
      </w:r>
      <w:r>
        <w:rPr>
          <w:rFonts w:hint="eastAsia" w:ascii="宋体" w:hAnsi="宋体" w:cs="宋体"/>
          <w:szCs w:val="21"/>
        </w:rPr>
        <w:t>文件要求签署、盖章、密封后，并作为投标文件的组成部分。在投标截止时间之后，投标人不得对其投标文件做任何修改和补充。</w:t>
      </w:r>
    </w:p>
    <w:p w14:paraId="00F01FD5">
      <w:pPr>
        <w:numPr>
          <w:ilvl w:val="1"/>
          <w:numId w:val="17"/>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w:t>
      </w:r>
      <w:r>
        <w:rPr>
          <w:rFonts w:hint="eastAsia" w:ascii="宋体" w:hAnsi="宋体"/>
          <w:bCs/>
          <w:lang w:eastAsia="zh-CN"/>
        </w:rPr>
        <w:t>征集</w:t>
      </w:r>
      <w:r>
        <w:rPr>
          <w:rFonts w:hint="eastAsia" w:ascii="宋体" w:hAnsi="宋体"/>
          <w:bCs/>
        </w:rPr>
        <w:t>文件中规定的投标有效期内不可撤销其投标。</w:t>
      </w:r>
      <w:r>
        <w:rPr>
          <w:rFonts w:hint="eastAsia" w:ascii="宋体" w:hAnsi="宋体"/>
        </w:rPr>
        <w:t>投标人所提交的投标文件在本项目投标截止时间后均不予退还。</w:t>
      </w:r>
    </w:p>
    <w:p w14:paraId="6D72A899">
      <w:pPr>
        <w:numPr>
          <w:ilvl w:val="0"/>
          <w:numId w:val="17"/>
        </w:numPr>
        <w:autoSpaceDE w:val="0"/>
        <w:autoSpaceDN w:val="0"/>
        <w:adjustRightInd w:val="0"/>
        <w:snapToGrid w:val="0"/>
        <w:spacing w:line="360" w:lineRule="auto"/>
        <w:ind w:left="449" w:hanging="449" w:hangingChars="213"/>
        <w:outlineLvl w:val="1"/>
        <w:rPr>
          <w:rFonts w:ascii="宋体" w:hAnsi="宋体" w:cs="黑体"/>
          <w:bCs/>
          <w:szCs w:val="21"/>
        </w:rPr>
      </w:pPr>
      <w:bookmarkStart w:id="126" w:name="_Toc18853"/>
      <w:r>
        <w:rPr>
          <w:rFonts w:hint="eastAsia" w:ascii="宋体" w:hAnsi="宋体"/>
          <w:b/>
          <w:bCs/>
          <w:szCs w:val="21"/>
        </w:rPr>
        <w:t>质疑</w:t>
      </w:r>
      <w:bookmarkEnd w:id="126"/>
    </w:p>
    <w:p w14:paraId="40FAED7F">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95E23B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285D781C">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09A5D385">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4AC2CB6D">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119713E8">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43876402">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720447C5">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44F2E68E">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3B078DA">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743620BC">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见征集公告</w:t>
      </w:r>
      <w:r>
        <w:rPr>
          <w:rFonts w:hint="eastAsia" w:ascii="宋体" w:hAnsi="宋体" w:eastAsia="宋体" w:cs="宋体"/>
          <w:szCs w:val="21"/>
        </w:rPr>
        <w:t>。</w:t>
      </w:r>
    </w:p>
    <w:p w14:paraId="263985DD">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25732EA9">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7"/>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74E07005">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7" w:name="_Toc19729"/>
      <w:r>
        <w:rPr>
          <w:rFonts w:hint="eastAsia" w:ascii="宋体" w:hAnsi="宋体"/>
          <w:b/>
          <w:bCs/>
          <w:szCs w:val="21"/>
        </w:rPr>
        <w:t>中标通知书</w:t>
      </w:r>
      <w:bookmarkEnd w:id="127"/>
    </w:p>
    <w:p w14:paraId="0275F8BA">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1A6AFA14">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FF9917A">
      <w:pPr>
        <w:pStyle w:val="4"/>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28" w:name="_Toc435516655"/>
      <w:bookmarkStart w:id="129" w:name="_Toc438223141"/>
      <w:bookmarkStart w:id="130" w:name="_Toc20050"/>
      <w:bookmarkStart w:id="131" w:name="_Toc435174938"/>
      <w:bookmarkStart w:id="132" w:name="_Toc6704"/>
      <w:r>
        <w:rPr>
          <w:rFonts w:hint="eastAsia" w:asciiTheme="majorEastAsia" w:hAnsiTheme="majorEastAsia" w:eastAsiaTheme="majorEastAsia"/>
          <w:sz w:val="30"/>
          <w:szCs w:val="30"/>
          <w:lang w:eastAsia="zh-TW"/>
        </w:rPr>
        <w:t>授予合同</w:t>
      </w:r>
      <w:bookmarkEnd w:id="128"/>
      <w:bookmarkEnd w:id="129"/>
      <w:bookmarkEnd w:id="130"/>
      <w:bookmarkEnd w:id="131"/>
      <w:bookmarkEnd w:id="132"/>
    </w:p>
    <w:p w14:paraId="58EF321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3" w:name="_Toc23713"/>
      <w:bookmarkStart w:id="134" w:name="_Toc5467"/>
      <w:r>
        <w:rPr>
          <w:rFonts w:hint="eastAsia" w:ascii="宋体" w:hAnsi="宋体"/>
          <w:b/>
          <w:bCs/>
          <w:szCs w:val="21"/>
        </w:rPr>
        <w:t>合同的订立</w:t>
      </w:r>
      <w:bookmarkEnd w:id="133"/>
      <w:bookmarkEnd w:id="134"/>
    </w:p>
    <w:p w14:paraId="4D85A81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w:t>
      </w:r>
      <w:r>
        <w:rPr>
          <w:rFonts w:hint="eastAsia" w:ascii="宋体" w:hAnsi="宋体" w:cs="宋体"/>
          <w:szCs w:val="21"/>
          <w:lang w:eastAsia="zh-CN"/>
        </w:rPr>
        <w:t>征集</w:t>
      </w:r>
      <w:r>
        <w:rPr>
          <w:rFonts w:hint="eastAsia" w:ascii="宋体" w:hAnsi="宋体" w:cs="宋体"/>
          <w:szCs w:val="21"/>
        </w:rPr>
        <w:t>文件和中标人投标文件的约定，与中标人签订书面合同。所签订的合同不得对</w:t>
      </w:r>
      <w:r>
        <w:rPr>
          <w:rFonts w:hint="eastAsia" w:ascii="宋体" w:hAnsi="宋体" w:cs="宋体"/>
          <w:szCs w:val="21"/>
          <w:lang w:eastAsia="zh-CN"/>
        </w:rPr>
        <w:t>征集</w:t>
      </w:r>
      <w:r>
        <w:rPr>
          <w:rFonts w:hint="eastAsia" w:ascii="宋体" w:hAnsi="宋体" w:cs="宋体"/>
          <w:szCs w:val="21"/>
        </w:rPr>
        <w:t>文件和中标人投标文件作实质性修改。</w:t>
      </w:r>
    </w:p>
    <w:p w14:paraId="6A8641E7">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5A4F68F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608A44D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38113B0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5" w:name="_Toc5053"/>
      <w:bookmarkStart w:id="136" w:name="_Toc560"/>
      <w:r>
        <w:rPr>
          <w:rFonts w:hint="eastAsia" w:ascii="宋体" w:hAnsi="宋体"/>
          <w:b/>
          <w:bCs/>
          <w:szCs w:val="21"/>
        </w:rPr>
        <w:t>合同的履行</w:t>
      </w:r>
      <w:bookmarkEnd w:id="135"/>
      <w:bookmarkEnd w:id="136"/>
    </w:p>
    <w:p w14:paraId="5265F92B">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0B352265">
      <w:pPr>
        <w:numPr>
          <w:ilvl w:val="1"/>
          <w:numId w:val="17"/>
        </w:numPr>
        <w:autoSpaceDE w:val="0"/>
        <w:autoSpaceDN w:val="0"/>
        <w:adjustRightInd w:val="0"/>
        <w:snapToGrid w:val="0"/>
        <w:spacing w:line="360" w:lineRule="auto"/>
        <w:rPr>
          <w:rFonts w:hint="eastAsia" w:ascii="黑体" w:hAnsi="宋体" w:eastAsia="黑体" w:cs="黑体"/>
          <w:b/>
          <w:bCs/>
          <w:kern w:val="44"/>
          <w:sz w:val="44"/>
          <w:szCs w:val="44"/>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bookmarkStart w:id="137" w:name="_Toc6953"/>
    </w:p>
    <w:p w14:paraId="5B5517A4">
      <w:pPr>
        <w:pStyle w:val="3"/>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62B0181">
      <w:pPr>
        <w:pStyle w:val="3"/>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3DF0F3B">
      <w:pPr>
        <w:pStyle w:val="3"/>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6BB0921">
      <w:pPr>
        <w:pStyle w:val="3"/>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803C8D8">
      <w:pPr>
        <w:pStyle w:val="3"/>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5C6F6BA8">
      <w:pPr>
        <w:pStyle w:val="3"/>
        <w:widowControl/>
        <w:numPr>
          <w:ilvl w:val="0"/>
          <w:numId w:val="0"/>
        </w:numPr>
        <w:spacing w:before="0" w:beforeAutospacing="0" w:after="0" w:afterAutospacing="0"/>
        <w:ind w:left="0" w:leftChars="0" w:firstLine="0" w:firstLineChars="0"/>
        <w:jc w:val="both"/>
        <w:outlineLvl w:val="9"/>
        <w:rPr>
          <w:rFonts w:hint="eastAsia" w:ascii="黑体" w:hAnsi="宋体" w:eastAsia="黑体" w:cs="黑体"/>
          <w:b/>
          <w:bCs/>
          <w:kern w:val="44"/>
          <w:sz w:val="44"/>
          <w:szCs w:val="44"/>
        </w:rPr>
      </w:pPr>
    </w:p>
    <w:p w14:paraId="14AE1EFA">
      <w:pPr>
        <w:pStyle w:val="3"/>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46234DE">
      <w:pPr>
        <w:pStyle w:val="3"/>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C2332A4">
      <w:pPr>
        <w:pStyle w:val="3"/>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567B637">
      <w:pPr>
        <w:pStyle w:val="3"/>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77F369F">
      <w:pPr>
        <w:pStyle w:val="3"/>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DFD1B82">
      <w:pPr>
        <w:pStyle w:val="3"/>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FD4DA5F">
      <w:pPr>
        <w:pStyle w:val="3"/>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6827F9DC">
      <w:pPr>
        <w:pStyle w:val="3"/>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3F5D706">
      <w:pPr>
        <w:rPr>
          <w:rFonts w:hint="eastAsia" w:ascii="黑体" w:hAnsi="宋体" w:eastAsia="黑体" w:cs="黑体"/>
          <w:b/>
          <w:bCs/>
          <w:kern w:val="44"/>
          <w:sz w:val="44"/>
          <w:szCs w:val="44"/>
        </w:rPr>
      </w:pPr>
    </w:p>
    <w:p w14:paraId="3C195DDC">
      <w:pPr>
        <w:rPr>
          <w:rFonts w:hint="eastAsia" w:ascii="黑体" w:hAnsi="宋体" w:eastAsia="黑体" w:cs="黑体"/>
          <w:b/>
          <w:bCs/>
          <w:kern w:val="44"/>
          <w:sz w:val="44"/>
          <w:szCs w:val="44"/>
        </w:rPr>
      </w:pPr>
    </w:p>
    <w:p w14:paraId="669EE19B">
      <w:pPr>
        <w:rPr>
          <w:rFonts w:hint="eastAsia" w:ascii="黑体" w:hAnsi="宋体" w:eastAsia="黑体" w:cs="黑体"/>
          <w:b/>
          <w:bCs/>
          <w:kern w:val="44"/>
          <w:sz w:val="44"/>
          <w:szCs w:val="44"/>
        </w:rPr>
      </w:pPr>
    </w:p>
    <w:p w14:paraId="5BF0ADAF">
      <w:pPr>
        <w:pStyle w:val="3"/>
        <w:widowControl/>
        <w:numPr>
          <w:ilvl w:val="0"/>
          <w:numId w:val="0"/>
        </w:numPr>
        <w:spacing w:before="0" w:beforeAutospacing="0" w:after="0" w:afterAutospacing="0"/>
        <w:ind w:left="0" w:leftChars="0" w:firstLine="0" w:firstLineChars="0"/>
        <w:jc w:val="center"/>
        <w:outlineLvl w:val="9"/>
        <w:rPr>
          <w:rFonts w:hint="eastAsia" w:ascii="黑体" w:hAnsi="宋体" w:eastAsia="黑体" w:cs="Times New Roman"/>
          <w:kern w:val="2"/>
          <w:sz w:val="21"/>
          <w:szCs w:val="21"/>
        </w:rPr>
      </w:pPr>
      <w:r>
        <w:rPr>
          <w:rFonts w:hint="eastAsia" w:ascii="黑体" w:hAnsi="宋体" w:eastAsia="黑体" w:cs="黑体"/>
          <w:b/>
          <w:bCs/>
          <w:kern w:val="44"/>
          <w:sz w:val="44"/>
          <w:szCs w:val="44"/>
        </w:rPr>
        <w:t>合同格式</w:t>
      </w:r>
      <w:bookmarkEnd w:id="137"/>
    </w:p>
    <w:p w14:paraId="144919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b/>
          <w:bCs/>
          <w:color w:val="FF0000"/>
          <w:kern w:val="2"/>
          <w:sz w:val="21"/>
          <w:szCs w:val="21"/>
          <w:highlight w:val="none"/>
          <w:lang w:val="en-US" w:eastAsia="zh-CN" w:bidi="ar"/>
        </w:rPr>
        <w:t>（此部分仅供参考，具体以实际签订为准）</w:t>
      </w:r>
    </w:p>
    <w:p w14:paraId="09180E1A">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BDB2344">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合同编号：</w:t>
      </w:r>
      <w:r>
        <w:rPr>
          <w:rFonts w:hint="eastAsia" w:ascii="仿宋" w:hAnsi="仿宋" w:eastAsia="仿宋" w:cs="Times New Roman"/>
          <w:b/>
          <w:bCs w:val="0"/>
          <w:kern w:val="2"/>
          <w:sz w:val="32"/>
          <w:szCs w:val="32"/>
          <w:lang w:val="en-US" w:eastAsia="zh-CN" w:bidi="ar"/>
        </w:rPr>
        <w:t xml:space="preserve"> </w:t>
      </w:r>
    </w:p>
    <w:p w14:paraId="7B5A5D2C">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1954386D">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6023CF0F">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Times New Roman"/>
          <w:b/>
          <w:bCs w:val="0"/>
          <w:kern w:val="2"/>
          <w:sz w:val="21"/>
          <w:szCs w:val="21"/>
          <w:lang w:val="en-US" w:eastAsia="zh-CN" w:bidi="ar"/>
        </w:rPr>
        <w:t xml:space="preserve"> </w:t>
      </w:r>
    </w:p>
    <w:p w14:paraId="02EDA3B9">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72"/>
          <w:szCs w:val="72"/>
        </w:rPr>
      </w:pPr>
      <w:r>
        <w:rPr>
          <w:rFonts w:hint="eastAsia" w:ascii="宋体" w:hAnsi="宋体" w:eastAsia="宋体" w:cs="宋体"/>
          <w:b/>
          <w:bCs/>
          <w:kern w:val="2"/>
          <w:sz w:val="72"/>
          <w:szCs w:val="72"/>
          <w:lang w:val="en-US" w:eastAsia="zh-CN" w:bidi="ar"/>
        </w:rPr>
        <w:t>福田区卫生系统医用设备采购合同</w:t>
      </w:r>
    </w:p>
    <w:p w14:paraId="511DCED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814D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FCEDB1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A9CD2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E3DE5F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042832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FDD660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379846F8">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rPr>
      </w:pPr>
      <w:r>
        <w:rPr>
          <w:rFonts w:hint="eastAsia" w:ascii="仿宋_GB2312" w:hAnsi="Times New Roman" w:eastAsia="仿宋_GB2312" w:cs="仿宋_GB2312"/>
          <w:bCs/>
          <w:kern w:val="2"/>
          <w:sz w:val="32"/>
          <w:szCs w:val="32"/>
          <w:lang w:val="en-US" w:eastAsia="zh-CN" w:bidi="ar"/>
        </w:rPr>
        <w:t>项目名称：</w:t>
      </w:r>
      <w:r>
        <w:rPr>
          <w:rFonts w:hint="eastAsia" w:ascii="仿宋_GB2312" w:hAnsi="Times New Roman" w:eastAsia="仿宋_GB2312" w:cs="仿宋_GB2312"/>
          <w:bCs/>
          <w:kern w:val="2"/>
          <w:sz w:val="32"/>
          <w:szCs w:val="32"/>
          <w:u w:val="single"/>
          <w:lang w:val="en-US" w:eastAsia="zh-CN" w:bidi="ar"/>
        </w:rPr>
        <w:t xml:space="preserve">                               </w:t>
      </w:r>
    </w:p>
    <w:p w14:paraId="5FE8EE7C">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甲    方：</w:t>
      </w:r>
      <w:r>
        <w:rPr>
          <w:rFonts w:hint="eastAsia" w:ascii="仿宋_GB2312" w:hAnsi="Times New Roman" w:eastAsia="仿宋_GB2312" w:cs="仿宋_GB2312"/>
          <w:kern w:val="2"/>
          <w:sz w:val="32"/>
          <w:szCs w:val="32"/>
          <w:u w:val="single"/>
          <w:lang w:val="en-US" w:eastAsia="zh-CN" w:bidi="ar"/>
        </w:rPr>
        <w:t xml:space="preserve">    深圳市福田区第二人民医院   </w:t>
      </w:r>
    </w:p>
    <w:p w14:paraId="391FCCB2">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乙    方：</w:t>
      </w:r>
      <w:r>
        <w:rPr>
          <w:rFonts w:hint="eastAsia" w:ascii="仿宋_GB2312" w:hAnsi="Times New Roman" w:eastAsia="仿宋_GB2312" w:cs="仿宋_GB2312"/>
          <w:bCs/>
          <w:kern w:val="2"/>
          <w:sz w:val="32"/>
          <w:szCs w:val="32"/>
          <w:u w:val="single"/>
          <w:lang w:val="en-US" w:eastAsia="zh-CN" w:bidi="ar"/>
        </w:rPr>
        <w:t xml:space="preserve">                           </w:t>
      </w:r>
      <w:r>
        <w:rPr>
          <w:rFonts w:hint="eastAsia" w:ascii="仿宋_GB2312" w:hAnsi="Times New Roman" w:eastAsia="仿宋_GB2312" w:cs="仿宋_GB2312"/>
          <w:bCs/>
          <w:color w:val="FF0000"/>
          <w:kern w:val="2"/>
          <w:sz w:val="32"/>
          <w:szCs w:val="32"/>
          <w:u w:val="single"/>
          <w:lang w:val="en-US" w:eastAsia="zh-CN" w:bidi="ar"/>
        </w:rPr>
        <w:t xml:space="preserve"> </w:t>
      </w:r>
      <w:r>
        <w:rPr>
          <w:rFonts w:hint="eastAsia" w:ascii="仿宋_GB2312" w:hAnsi="Times New Roman" w:eastAsia="仿宋_GB2312" w:cs="仿宋_GB2312"/>
          <w:bCs/>
          <w:kern w:val="2"/>
          <w:sz w:val="32"/>
          <w:szCs w:val="32"/>
          <w:u w:val="single"/>
          <w:lang w:val="en-US" w:eastAsia="zh-CN" w:bidi="ar"/>
        </w:rPr>
        <w:t xml:space="preserve">   </w:t>
      </w:r>
    </w:p>
    <w:p w14:paraId="4F59B20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07517EA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3CCED6E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r>
        <w:rPr>
          <w:rFonts w:hint="default" w:ascii="Times New Roman" w:hAnsi="Times New Roman" w:eastAsia="宋体" w:cs="Times New Roman"/>
          <w:kern w:val="2"/>
          <w:sz w:val="48"/>
          <w:szCs w:val="48"/>
          <w:lang w:val="en-US" w:eastAsia="zh-CN" w:bidi="ar"/>
        </w:rPr>
        <w:t xml:space="preserve"> </w:t>
      </w:r>
    </w:p>
    <w:p w14:paraId="4AA5236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8D762C3">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57CBAB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7005833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DDCA062">
      <w:pPr>
        <w:keepNext w:val="0"/>
        <w:keepLines w:val="0"/>
        <w:widowControl/>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方正小标宋简体" w:hAnsi="方正小标宋简体" w:eastAsia="方正小标宋简体" w:cs="方正小标宋简体"/>
          <w:kern w:val="2"/>
          <w:sz w:val="44"/>
          <w:szCs w:val="44"/>
          <w:lang w:val="en-US" w:eastAsia="zh-CN" w:bidi="ar"/>
        </w:rPr>
        <w:t>福田区卫生系统医用设备采购合同</w:t>
      </w:r>
    </w:p>
    <w:p w14:paraId="79729736">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甲方（采购人）：深圳市福田区第二人民医院</w:t>
      </w:r>
    </w:p>
    <w:p w14:paraId="3C39095F">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法定代表人/负责人或授权代表：</w:t>
      </w:r>
    </w:p>
    <w:p w14:paraId="02A429C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地址：</w:t>
      </w:r>
    </w:p>
    <w:p w14:paraId="314251D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305A9A1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E127DC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color w:val="000000" w:themeColor="text1"/>
          <w:kern w:val="2"/>
          <w:sz w:val="28"/>
          <w:szCs w:val="28"/>
          <w:u w:val="single"/>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乙方（供应商）：</w:t>
      </w:r>
    </w:p>
    <w:p w14:paraId="52868DA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法定代表人或授权代表：</w:t>
      </w:r>
    </w:p>
    <w:p w14:paraId="697044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地址：</w:t>
      </w:r>
    </w:p>
    <w:p w14:paraId="76DC256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5D062FA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default" w:ascii="Times New Roman" w:hAnsi="Times New Roman" w:eastAsia="宋体" w:cs="Times New Roman"/>
          <w:kern w:val="2"/>
          <w:sz w:val="21"/>
          <w:szCs w:val="21"/>
        </w:rPr>
      </w:pPr>
      <w:r>
        <w:rPr>
          <w:rFonts w:hint="eastAsia" w:ascii="仿宋_GB2312" w:hAnsi="Times New Roman" w:eastAsia="仿宋_GB2312" w:cs="仿宋_GB2312"/>
          <w:color w:val="000000"/>
          <w:kern w:val="2"/>
          <w:sz w:val="28"/>
          <w:szCs w:val="28"/>
          <w:lang w:val="en-US" w:eastAsia="zh-CN" w:bidi="ar"/>
        </w:rPr>
        <w:t>甲、乙双方</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根据 2024年XX月XX日“XXXX”（征集编号：XXXX）采购项目的结果，按照《中华人民共和国民法典》《中华人民共和国</w:t>
      </w:r>
      <w:r>
        <w:rPr>
          <w:rFonts w:hint="eastAsia" w:ascii="仿宋_GB2312" w:hAnsi="Times New Roman" w:eastAsia="仿宋_GB2312" w:cs="仿宋_GB2312"/>
          <w:kern w:val="2"/>
          <w:sz w:val="28"/>
          <w:szCs w:val="28"/>
          <w:lang w:val="en-US" w:eastAsia="zh-CN" w:bidi="ar"/>
        </w:rPr>
        <w:t>政府采购法》《深圳经济特区政府采购条例》《深圳经济特区政府采购条例实施细则》等相关法律法规的规定，经双方协商一致，达成以下合同条款：</w:t>
      </w:r>
    </w:p>
    <w:p w14:paraId="5E99CF32">
      <w:pPr>
        <w:keepNext w:val="0"/>
        <w:keepLines w:val="0"/>
        <w:widowControl w:val="0"/>
        <w:suppressLineNumbers w:val="0"/>
        <w:adjustRightInd w:val="0"/>
        <w:snapToGrid w:val="0"/>
        <w:spacing w:before="0" w:beforeAutospacing="0" w:after="0" w:afterAutospacing="0" w:line="560" w:lineRule="exact"/>
        <w:ind w:left="0" w:leftChars="0" w:right="0" w:right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第一条  合同标的</w:t>
      </w:r>
    </w:p>
    <w:tbl>
      <w:tblPr>
        <w:tblStyle w:val="16"/>
        <w:tblW w:w="6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2"/>
        <w:gridCol w:w="1001"/>
        <w:gridCol w:w="870"/>
        <w:gridCol w:w="1083"/>
        <w:gridCol w:w="1116"/>
        <w:gridCol w:w="658"/>
        <w:gridCol w:w="794"/>
        <w:gridCol w:w="554"/>
        <w:gridCol w:w="1275"/>
        <w:gridCol w:w="1162"/>
        <w:gridCol w:w="465"/>
        <w:gridCol w:w="474"/>
        <w:gridCol w:w="801"/>
      </w:tblGrid>
      <w:tr w14:paraId="3FD0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F0EB10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1058" w:type="dxa"/>
            <w:tcBorders>
              <w:top w:val="single" w:color="auto" w:sz="4" w:space="0"/>
              <w:left w:val="nil"/>
              <w:bottom w:val="single" w:color="auto" w:sz="4" w:space="0"/>
              <w:right w:val="single" w:color="auto" w:sz="4" w:space="0"/>
            </w:tcBorders>
            <w:shd w:val="clear" w:color="auto" w:fill="auto"/>
            <w:vAlign w:val="center"/>
          </w:tcPr>
          <w:p w14:paraId="78A043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w:t>
            </w:r>
          </w:p>
          <w:p w14:paraId="50AC90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名称</w:t>
            </w:r>
          </w:p>
        </w:tc>
        <w:tc>
          <w:tcPr>
            <w:tcW w:w="919" w:type="dxa"/>
            <w:tcBorders>
              <w:top w:val="single" w:color="auto" w:sz="4" w:space="0"/>
              <w:left w:val="nil"/>
              <w:bottom w:val="single" w:color="auto" w:sz="4" w:space="0"/>
              <w:right w:val="single" w:color="auto" w:sz="4" w:space="0"/>
            </w:tcBorders>
            <w:shd w:val="clear" w:color="auto" w:fill="auto"/>
            <w:vAlign w:val="center"/>
          </w:tcPr>
          <w:p w14:paraId="07CCF94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产地</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品牌</w:t>
            </w:r>
          </w:p>
        </w:tc>
        <w:tc>
          <w:tcPr>
            <w:tcW w:w="1144" w:type="dxa"/>
            <w:tcBorders>
              <w:top w:val="single" w:color="auto" w:sz="4" w:space="0"/>
              <w:left w:val="nil"/>
              <w:bottom w:val="single" w:color="auto" w:sz="4" w:space="0"/>
              <w:right w:val="single" w:color="auto" w:sz="4" w:space="0"/>
            </w:tcBorders>
            <w:shd w:val="clear" w:color="auto" w:fill="auto"/>
            <w:vAlign w:val="center"/>
          </w:tcPr>
          <w:p w14:paraId="36E0222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规格型号</w:t>
            </w:r>
          </w:p>
        </w:tc>
        <w:tc>
          <w:tcPr>
            <w:tcW w:w="1179" w:type="dxa"/>
            <w:tcBorders>
              <w:top w:val="single" w:color="auto" w:sz="4" w:space="0"/>
              <w:left w:val="nil"/>
              <w:bottom w:val="single" w:color="auto" w:sz="4" w:space="0"/>
              <w:right w:val="single" w:color="auto" w:sz="4" w:space="0"/>
            </w:tcBorders>
            <w:shd w:val="clear" w:color="auto" w:fill="auto"/>
            <w:vAlign w:val="center"/>
          </w:tcPr>
          <w:p w14:paraId="06BCE06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注册证名</w:t>
            </w:r>
          </w:p>
        </w:tc>
        <w:tc>
          <w:tcPr>
            <w:tcW w:w="695" w:type="dxa"/>
            <w:tcBorders>
              <w:top w:val="single" w:color="auto" w:sz="4" w:space="0"/>
              <w:left w:val="nil"/>
              <w:bottom w:val="single" w:color="auto" w:sz="4" w:space="0"/>
              <w:right w:val="single" w:color="auto" w:sz="4" w:space="0"/>
            </w:tcBorders>
            <w:shd w:val="clear" w:color="auto" w:fill="auto"/>
            <w:vAlign w:val="center"/>
          </w:tcPr>
          <w:p w14:paraId="48A795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注册证号</w:t>
            </w:r>
          </w:p>
        </w:tc>
        <w:tc>
          <w:tcPr>
            <w:tcW w:w="839" w:type="dxa"/>
            <w:tcBorders>
              <w:top w:val="single" w:color="auto" w:sz="4" w:space="0"/>
              <w:left w:val="nil"/>
              <w:bottom w:val="single" w:color="auto" w:sz="4" w:space="0"/>
              <w:right w:val="single" w:color="auto" w:sz="4" w:space="0"/>
            </w:tcBorders>
            <w:shd w:val="clear" w:color="auto" w:fill="auto"/>
            <w:vAlign w:val="center"/>
          </w:tcPr>
          <w:p w14:paraId="3193F87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单位</w:t>
            </w:r>
          </w:p>
        </w:tc>
        <w:tc>
          <w:tcPr>
            <w:tcW w:w="585" w:type="dxa"/>
            <w:tcBorders>
              <w:top w:val="single" w:color="auto" w:sz="4" w:space="0"/>
              <w:left w:val="nil"/>
              <w:bottom w:val="single" w:color="auto" w:sz="4" w:space="0"/>
              <w:right w:val="single" w:color="auto" w:sz="4" w:space="0"/>
            </w:tcBorders>
            <w:shd w:val="clear" w:color="auto" w:fill="auto"/>
            <w:vAlign w:val="center"/>
          </w:tcPr>
          <w:p w14:paraId="2F52B8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数量</w:t>
            </w:r>
          </w:p>
        </w:tc>
        <w:tc>
          <w:tcPr>
            <w:tcW w:w="1347" w:type="dxa"/>
            <w:tcBorders>
              <w:top w:val="single" w:color="auto" w:sz="4" w:space="0"/>
              <w:left w:val="nil"/>
              <w:bottom w:val="single" w:color="auto" w:sz="4" w:space="0"/>
              <w:right w:val="single" w:color="auto" w:sz="4" w:space="0"/>
            </w:tcBorders>
            <w:shd w:val="clear" w:color="auto" w:fill="auto"/>
            <w:vAlign w:val="center"/>
          </w:tcPr>
          <w:p w14:paraId="6DB72FA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单价（元）</w:t>
            </w:r>
          </w:p>
        </w:tc>
        <w:tc>
          <w:tcPr>
            <w:tcW w:w="1228" w:type="dxa"/>
            <w:tcBorders>
              <w:top w:val="single" w:color="auto" w:sz="4" w:space="0"/>
              <w:left w:val="nil"/>
              <w:bottom w:val="single" w:color="auto" w:sz="4" w:space="0"/>
              <w:right w:val="single" w:color="auto" w:sz="4" w:space="0"/>
            </w:tcBorders>
            <w:shd w:val="clear" w:color="auto" w:fill="auto"/>
            <w:vAlign w:val="center"/>
          </w:tcPr>
          <w:p w14:paraId="5793F15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总价（元）</w:t>
            </w:r>
          </w:p>
        </w:tc>
        <w:tc>
          <w:tcPr>
            <w:tcW w:w="491" w:type="dxa"/>
            <w:tcBorders>
              <w:top w:val="single" w:color="auto" w:sz="4" w:space="0"/>
              <w:left w:val="nil"/>
              <w:bottom w:val="single" w:color="auto" w:sz="4" w:space="0"/>
              <w:right w:val="single" w:color="auto" w:sz="4" w:space="0"/>
            </w:tcBorders>
            <w:shd w:val="clear" w:color="auto" w:fill="auto"/>
            <w:vAlign w:val="center"/>
          </w:tcPr>
          <w:p w14:paraId="54EF476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随机配件</w:t>
            </w:r>
          </w:p>
        </w:tc>
        <w:tc>
          <w:tcPr>
            <w:tcW w:w="501" w:type="dxa"/>
            <w:tcBorders>
              <w:top w:val="single" w:color="auto" w:sz="4" w:space="0"/>
              <w:left w:val="nil"/>
              <w:bottom w:val="single" w:color="auto" w:sz="4" w:space="0"/>
              <w:right w:val="single" w:color="auto" w:sz="4" w:space="0"/>
            </w:tcBorders>
            <w:shd w:val="clear" w:color="auto" w:fill="auto"/>
            <w:vAlign w:val="center"/>
          </w:tcPr>
          <w:p w14:paraId="3AF54D1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使用科室</w:t>
            </w:r>
          </w:p>
        </w:tc>
        <w:tc>
          <w:tcPr>
            <w:tcW w:w="846" w:type="dxa"/>
            <w:tcBorders>
              <w:top w:val="single" w:color="auto" w:sz="4" w:space="0"/>
              <w:left w:val="nil"/>
              <w:bottom w:val="single" w:color="auto" w:sz="4" w:space="0"/>
              <w:right w:val="single" w:color="auto" w:sz="4" w:space="0"/>
            </w:tcBorders>
            <w:shd w:val="clear" w:color="auto" w:fill="auto"/>
            <w:vAlign w:val="center"/>
          </w:tcPr>
          <w:p w14:paraId="058F80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设备用途</w:t>
            </w:r>
          </w:p>
        </w:tc>
      </w:tr>
      <w:tr w14:paraId="6BF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D8498A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1058" w:type="dxa"/>
            <w:tcBorders>
              <w:top w:val="single" w:color="auto" w:sz="4" w:space="0"/>
              <w:left w:val="nil"/>
              <w:bottom w:val="single" w:color="auto" w:sz="4" w:space="0"/>
              <w:right w:val="single" w:color="auto" w:sz="4" w:space="0"/>
            </w:tcBorders>
            <w:shd w:val="clear" w:color="auto" w:fill="auto"/>
            <w:vAlign w:val="center"/>
          </w:tcPr>
          <w:p w14:paraId="2DC199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28E6FA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10DCF5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79" w:type="dxa"/>
            <w:tcBorders>
              <w:top w:val="single" w:color="auto" w:sz="4" w:space="0"/>
              <w:left w:val="nil"/>
              <w:bottom w:val="single" w:color="auto" w:sz="4" w:space="0"/>
              <w:right w:val="single" w:color="auto" w:sz="4" w:space="0"/>
            </w:tcBorders>
            <w:shd w:val="clear" w:color="auto" w:fill="auto"/>
            <w:vAlign w:val="center"/>
          </w:tcPr>
          <w:p w14:paraId="02ACD9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695" w:type="dxa"/>
            <w:tcBorders>
              <w:top w:val="single" w:color="auto" w:sz="4" w:space="0"/>
              <w:left w:val="nil"/>
              <w:bottom w:val="single" w:color="auto" w:sz="4" w:space="0"/>
              <w:right w:val="single" w:color="auto" w:sz="4" w:space="0"/>
            </w:tcBorders>
            <w:shd w:val="clear" w:color="auto" w:fill="auto"/>
            <w:vAlign w:val="center"/>
          </w:tcPr>
          <w:p w14:paraId="5C20AFF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839" w:type="dxa"/>
            <w:tcBorders>
              <w:top w:val="single" w:color="auto" w:sz="4" w:space="0"/>
              <w:left w:val="nil"/>
              <w:bottom w:val="single" w:color="auto" w:sz="4" w:space="0"/>
              <w:right w:val="single" w:color="auto" w:sz="4" w:space="0"/>
            </w:tcBorders>
            <w:shd w:val="clear" w:color="auto" w:fill="auto"/>
            <w:vAlign w:val="center"/>
          </w:tcPr>
          <w:p w14:paraId="3776F7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585" w:type="dxa"/>
            <w:tcBorders>
              <w:top w:val="single" w:color="auto" w:sz="4" w:space="0"/>
              <w:left w:val="nil"/>
              <w:bottom w:val="single" w:color="auto" w:sz="4" w:space="0"/>
              <w:right w:val="single" w:color="auto" w:sz="4" w:space="0"/>
            </w:tcBorders>
            <w:shd w:val="clear" w:color="auto" w:fill="auto"/>
            <w:vAlign w:val="center"/>
          </w:tcPr>
          <w:p w14:paraId="6A1BBB9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B3276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228" w:type="dxa"/>
            <w:tcBorders>
              <w:top w:val="single" w:color="auto" w:sz="4" w:space="0"/>
              <w:left w:val="nil"/>
              <w:bottom w:val="single" w:color="auto" w:sz="4" w:space="0"/>
              <w:right w:val="single" w:color="auto" w:sz="4" w:space="0"/>
            </w:tcBorders>
            <w:shd w:val="clear" w:color="auto" w:fill="auto"/>
            <w:vAlign w:val="center"/>
          </w:tcPr>
          <w:p w14:paraId="644A5CF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491" w:type="dxa"/>
            <w:tcBorders>
              <w:top w:val="single" w:color="auto" w:sz="4" w:space="0"/>
              <w:left w:val="nil"/>
              <w:bottom w:val="single" w:color="auto" w:sz="4" w:space="0"/>
              <w:right w:val="single" w:color="auto" w:sz="4" w:space="0"/>
            </w:tcBorders>
            <w:shd w:val="clear" w:color="auto" w:fill="auto"/>
            <w:vAlign w:val="center"/>
          </w:tcPr>
          <w:p w14:paraId="5CBC59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r>
              <w:rPr>
                <w:rFonts w:hint="eastAsia" w:ascii="宋体" w:hAnsi="宋体" w:eastAsia="宋体" w:cs="宋体"/>
                <w:kern w:val="2"/>
                <w:sz w:val="21"/>
                <w:szCs w:val="21"/>
                <w:lang w:val="en-US" w:eastAsia="zh-CN" w:bidi="ar"/>
              </w:rPr>
              <w:t>详见配置清单</w:t>
            </w:r>
          </w:p>
        </w:tc>
        <w:tc>
          <w:tcPr>
            <w:tcW w:w="501" w:type="dxa"/>
            <w:tcBorders>
              <w:top w:val="single" w:color="auto" w:sz="4" w:space="0"/>
              <w:left w:val="nil"/>
              <w:bottom w:val="single" w:color="auto" w:sz="4" w:space="0"/>
              <w:right w:val="single" w:color="auto" w:sz="4" w:space="0"/>
            </w:tcBorders>
            <w:shd w:val="clear" w:color="auto" w:fill="auto"/>
            <w:vAlign w:val="top"/>
          </w:tcPr>
          <w:p w14:paraId="69888EB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p>
        </w:tc>
        <w:tc>
          <w:tcPr>
            <w:tcW w:w="846" w:type="dxa"/>
            <w:tcBorders>
              <w:top w:val="single" w:color="auto" w:sz="4" w:space="0"/>
              <w:left w:val="nil"/>
              <w:bottom w:val="single" w:color="auto" w:sz="4" w:space="0"/>
              <w:right w:val="single" w:color="auto" w:sz="4" w:space="0"/>
            </w:tcBorders>
            <w:shd w:val="clear" w:color="auto" w:fill="auto"/>
            <w:vAlign w:val="top"/>
          </w:tcPr>
          <w:p w14:paraId="7AACBB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2F048F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55CF71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r>
      <w:tr w14:paraId="3378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1137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6583CD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合计人民币：</w:t>
            </w:r>
            <w:r>
              <w:rPr>
                <w:rFonts w:hint="default" w:ascii="Times New Roman" w:hAnsi="Times New Roman" w:eastAsia="宋体" w:cs="Times New Roman"/>
                <w:kern w:val="2"/>
                <w:sz w:val="21"/>
                <w:szCs w:val="21"/>
                <w:lang w:val="en-US" w:eastAsia="zh-CN" w:bidi="ar"/>
              </w:rPr>
              <w:t>XXXX</w:t>
            </w:r>
            <w:r>
              <w:rPr>
                <w:rFonts w:hint="eastAsia" w:ascii="宋体" w:hAnsi="宋体" w:eastAsia="宋体" w:cs="宋体"/>
                <w:kern w:val="2"/>
                <w:sz w:val="21"/>
                <w:szCs w:val="21"/>
                <w:lang w:val="en-US" w:eastAsia="zh-CN" w:bidi="ar"/>
              </w:rPr>
              <w:t xml:space="preserve">元整（￥ </w:t>
            </w:r>
            <w:r>
              <w:rPr>
                <w:rFonts w:hint="default" w:ascii="Times New Roman" w:hAnsi="Times New Roman" w:eastAsia="宋体" w:cs="Times New Roman"/>
                <w:kern w:val="2"/>
                <w:sz w:val="21"/>
                <w:szCs w:val="21"/>
                <w:lang w:val="en-US" w:eastAsia="zh-CN" w:bidi="ar"/>
              </w:rPr>
              <w:t>XXXX.00</w:t>
            </w:r>
            <w:r>
              <w:rPr>
                <w:rFonts w:hint="eastAsia" w:ascii="宋体" w:hAnsi="宋体" w:eastAsia="宋体" w:cs="宋体"/>
                <w:kern w:val="2"/>
                <w:sz w:val="21"/>
                <w:szCs w:val="21"/>
                <w:lang w:val="en-US" w:eastAsia="zh-CN" w:bidi="ar"/>
              </w:rPr>
              <w:t>元）</w:t>
            </w:r>
          </w:p>
        </w:tc>
      </w:tr>
    </w:tbl>
    <w:p w14:paraId="34CBD8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 xml:space="preserve"> </w:t>
      </w:r>
    </w:p>
    <w:p w14:paraId="55128311">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第二条 合同价款</w:t>
      </w:r>
    </w:p>
    <w:p w14:paraId="2C6C2F13">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1.本合同项下甲乙双方买卖</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设备含税总价款为：大写人民币</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XXXX</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元整（￥</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 xml:space="preserve"> XXXX.00元</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）。此价款为甲方履行本合同义务而产生的一切费用，除此以外甲方不再对乙方承担任何支付价款或以外费用的责任。此价款包括但不限于报装费、设计费、设备</w:t>
      </w:r>
      <w:r>
        <w:rPr>
          <w:rFonts w:hint="eastAsia" w:ascii="仿宋_GB2312" w:hAnsi="Times New Roman" w:eastAsia="仿宋_GB2312" w:cs="仿宋_GB2312"/>
          <w:kern w:val="2"/>
          <w:sz w:val="28"/>
          <w:szCs w:val="28"/>
          <w:lang w:val="en-US" w:eastAsia="zh-CN" w:bidi="ar"/>
        </w:rPr>
        <w:t>制造费、包装费、仓储费、运输费、安装调试费、验收和保修期届满前备品备件费用以及与本合同设备及服务相关的税和费。合同总价款不因通货膨胀、市场行情等市场价格的变动而变动，但本合同另有约定的除外。</w:t>
      </w:r>
    </w:p>
    <w:p w14:paraId="00F9F27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
          <w:bCs w:val="0"/>
          <w:kern w:val="2"/>
          <w:sz w:val="28"/>
          <w:szCs w:val="28"/>
        </w:rPr>
      </w:pPr>
      <w:r>
        <w:rPr>
          <w:rFonts w:hint="eastAsia" w:ascii="仿宋_GB2312" w:hAnsi="Times New Roman" w:eastAsia="仿宋_GB2312" w:cs="仿宋_GB2312"/>
          <w:kern w:val="2"/>
          <w:sz w:val="28"/>
          <w:szCs w:val="28"/>
          <w:lang w:val="en-US" w:eastAsia="zh-CN" w:bidi="ar"/>
        </w:rPr>
        <w:t>2.合同价款的支付方式（双方应共同选择一项，并在所选项□内打“√”）：</w:t>
      </w:r>
    </w:p>
    <w:p w14:paraId="64AF812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一次性支付</w:t>
      </w:r>
    </w:p>
    <w:p w14:paraId="249405F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货到安装、调试验收合格后，乙方应按本合同全额价款出具正规税务发票，甲方财务科收到乙方发票等相关资料后</w:t>
      </w:r>
      <w:r>
        <w:rPr>
          <w:rFonts w:hint="eastAsia" w:ascii="仿宋_GB2312" w:hAnsi="Times New Roman" w:eastAsia="仿宋_GB2312" w:cs="仿宋_GB2312"/>
          <w:color w:val="000000"/>
          <w:kern w:val="2"/>
          <w:sz w:val="28"/>
          <w:szCs w:val="28"/>
          <w:u w:val="single"/>
          <w:lang w:val="en-US" w:eastAsia="zh-CN" w:bidi="ar"/>
        </w:rPr>
        <w:t>10</w:t>
      </w:r>
      <w:r>
        <w:rPr>
          <w:rFonts w:hint="eastAsia" w:ascii="仿宋_GB2312" w:hAnsi="Times New Roman" w:eastAsia="仿宋_GB2312" w:cs="仿宋_GB2312"/>
          <w:color w:val="000000"/>
          <w:kern w:val="2"/>
          <w:sz w:val="28"/>
          <w:szCs w:val="28"/>
          <w:lang w:val="en-US" w:eastAsia="zh-CN" w:bidi="ar"/>
        </w:rPr>
        <w:t>个工作日内向乙方支付合同全款。</w:t>
      </w:r>
    </w:p>
    <w:p w14:paraId="66857BA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分笔支付</w:t>
      </w:r>
    </w:p>
    <w:p w14:paraId="65E4F97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且财政资金下达后，乙方应按本合同全额价款出具正规税务发票，甲方财务科收到乙方发票等相关资料后15日内向乙方支付合同价款的90%；若财政当次下达资金未达合同价款的90%，则以当次实际下达资金为准，直至付款至合同价款的90%。货款余额（合同价款的10%）在项目结算并下达尾款资金后支付。</w:t>
      </w:r>
    </w:p>
    <w:p w14:paraId="7F6EF68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3.乙方指定的收款账户：</w:t>
      </w:r>
    </w:p>
    <w:p w14:paraId="1EA9958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户名：</w:t>
      </w:r>
    </w:p>
    <w:p w14:paraId="0832B23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银行账号</w:t>
      </w:r>
      <w:r>
        <w:rPr>
          <w:rFonts w:hint="eastAsia" w:ascii="仿宋_GB2312" w:hAnsi="Times New Roman" w:eastAsia="仿宋_GB2312" w:cs="仿宋_GB2312"/>
          <w:kern w:val="2"/>
          <w:sz w:val="28"/>
          <w:szCs w:val="28"/>
          <w:lang w:val="en-US" w:eastAsia="zh-CN" w:bidi="ar"/>
        </w:rPr>
        <w:t>：</w:t>
      </w:r>
    </w:p>
    <w:p w14:paraId="4660AF9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开户行：</w:t>
      </w:r>
    </w:p>
    <w:p w14:paraId="1AAFC1EE">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第三条  质量标准</w:t>
      </w:r>
    </w:p>
    <w:p w14:paraId="50F884C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1.乙方在本合同项下向甲方提供的</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质量和技术规格应符合以下标准：</w:t>
      </w:r>
    </w:p>
    <w:p w14:paraId="527B30E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（1）项目的中标通知书、征集文件、答疑及补充通知；</w:t>
      </w:r>
    </w:p>
    <w:p w14:paraId="0F52D3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（2）乙方的投标文件；</w:t>
      </w:r>
    </w:p>
    <w:p w14:paraId="32546F1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kern w:val="2"/>
          <w:sz w:val="28"/>
          <w:szCs w:val="28"/>
          <w:lang w:val="en-US" w:eastAsia="zh-CN" w:bidi="ar"/>
        </w:rPr>
        <w:t>（3）本合同附件</w:t>
      </w:r>
      <w:r>
        <w:rPr>
          <w:rFonts w:hint="eastAsia" w:ascii="仿宋_GB2312" w:hAnsi="Times New Roman" w:eastAsia="仿宋_GB2312" w:cs="仿宋_GB2312"/>
          <w:bCs/>
          <w:kern w:val="2"/>
          <w:sz w:val="28"/>
          <w:szCs w:val="28"/>
          <w:lang w:val="en-US" w:eastAsia="zh-CN" w:bidi="ar"/>
        </w:rPr>
        <w:t>的约定；</w:t>
      </w:r>
    </w:p>
    <w:p w14:paraId="3011BCE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（4）国家关于该类设备的设计和制造生产标准；</w:t>
      </w:r>
    </w:p>
    <w:p w14:paraId="59F70D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（5）国家关于该类设备质量的行业标准；</w:t>
      </w:r>
    </w:p>
    <w:p w14:paraId="6855ACB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（6）符合国家有关安全、环保等规范和要求（乙方须提供设备测验报告）；</w:t>
      </w:r>
    </w:p>
    <w:p w14:paraId="76C7E7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（7）进口设备具有进口注册证书、《入境设备检验检疫证明》等中国海关商检合格证明</w:t>
      </w:r>
    </w:p>
    <w:p w14:paraId="475DF8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设备注册证名、产地品牌、规格型号应与在行政部门登记的注册证描述一致并在有效期内。消毒设备在注册证号栏中分别填入注册证号、卫生许可证号、卫生许可证批号。合同设备如属《中华人民共和国进口计量器具型式审查目录》或《中华人民共和国强制检定的工作计量器具目录》内的，乙方需提供计量合格证，所有上述证照办理的费用均包含在合同总价内。</w:t>
      </w:r>
    </w:p>
    <w:p w14:paraId="127CB9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3.如合同设备属于国家规定的强检设备，由乙方负责完成首次计量强制检定，验收前乙方必须附上计量检定合格报告。</w:t>
      </w:r>
    </w:p>
    <w:p w14:paraId="632E43A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w:t>
      </w:r>
      <w:r>
        <w:rPr>
          <w:rFonts w:hint="eastAsia" w:ascii="仿宋_GB2312" w:hAnsi="Times New Roman" w:eastAsia="仿宋_GB2312" w:cs="仿宋_GB2312"/>
          <w:bCs/>
          <w:color w:val="000000"/>
          <w:kern w:val="2"/>
          <w:sz w:val="28"/>
          <w:szCs w:val="28"/>
          <w:lang w:val="en-US" w:eastAsia="zh-CN" w:bidi="ar"/>
        </w:rPr>
        <w:t>如合同设备需要甲方信息端口，则由乙方负责甲方信息系统端口连接的安装工作及费用（包含信息系统方的接口开发费）。甲方协助乙方完成信息系统安装，确保设备稳定运行。</w:t>
      </w:r>
    </w:p>
    <w:p w14:paraId="2E910D0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 </w:t>
      </w:r>
    </w:p>
    <w:p w14:paraId="28EAC693">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第四条  质量保证及售后服务</w:t>
      </w:r>
    </w:p>
    <w:p w14:paraId="4A74E58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FF0000"/>
          <w:kern w:val="2"/>
          <w:sz w:val="28"/>
          <w:szCs w:val="28"/>
        </w:rPr>
      </w:pPr>
      <w:r>
        <w:rPr>
          <w:rFonts w:hint="eastAsia" w:ascii="仿宋_GB2312" w:hAnsi="Times New Roman" w:eastAsia="仿宋_GB2312" w:cs="仿宋_GB2312"/>
          <w:bCs/>
          <w:kern w:val="2"/>
          <w:sz w:val="28"/>
          <w:szCs w:val="28"/>
          <w:lang w:val="en-US" w:eastAsia="zh-CN" w:bidi="ar"/>
        </w:rPr>
        <w:t>1.乙方应保证设备是全新、未使用过的原装合格正品（包括零部件），设备到达甲方安装现场时外包装应完好无损，最新生产批次且经检验合格的产品。</w:t>
      </w:r>
    </w:p>
    <w:p w14:paraId="48CE813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2.乙方对本合同设备提供质</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保期</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3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年（</w:t>
      </w:r>
      <w:r>
        <w:rPr>
          <w:rFonts w:hint="eastAsia" w:ascii="仿宋_GB2312" w:hAnsi="Times New Roman" w:eastAsia="仿宋_GB2312" w:cs="仿宋_GB2312"/>
          <w:bCs/>
          <w:kern w:val="2"/>
          <w:sz w:val="28"/>
          <w:szCs w:val="28"/>
          <w:lang w:val="en-US" w:eastAsia="zh-CN" w:bidi="ar"/>
        </w:rPr>
        <w:t>自验收合格之日起算），终身维护。质保期内免费提供每年2次定期保养。设备出现故障时乙方应在接到甲方通知时4小时响应，24小时内到位，若乙方未能在24小时内消除障碍，甲方有权聘请第三方消除障碍，</w:t>
      </w:r>
      <w:r>
        <w:rPr>
          <w:rFonts w:hint="eastAsia" w:ascii="仿宋_GB2312" w:hAnsi="Times New Roman" w:eastAsia="仿宋_GB2312" w:cs="仿宋_GB2312"/>
          <w:kern w:val="2"/>
          <w:sz w:val="28"/>
          <w:szCs w:val="28"/>
          <w:lang w:val="en-US" w:eastAsia="zh-CN" w:bidi="ar"/>
        </w:rPr>
        <w:t>所发生的费用由乙方全部承担，乙方应于故障发生后</w:t>
      </w:r>
      <w:r>
        <w:rPr>
          <w:rFonts w:hint="eastAsia" w:ascii="仿宋_GB2312" w:hAnsi="Times New Roman" w:eastAsia="仿宋_GB2312" w:cs="仿宋_GB2312"/>
          <w:bCs/>
          <w:kern w:val="2"/>
          <w:sz w:val="28"/>
          <w:szCs w:val="28"/>
          <w:u w:val="single"/>
          <w:lang w:val="en-US" w:eastAsia="zh-CN" w:bidi="ar"/>
        </w:rPr>
        <w:t xml:space="preserve"> 15 </w:t>
      </w:r>
      <w:r>
        <w:rPr>
          <w:rFonts w:hint="eastAsia" w:ascii="仿宋_GB2312" w:hAnsi="Times New Roman" w:eastAsia="仿宋_GB2312" w:cs="仿宋_GB2312"/>
          <w:kern w:val="2"/>
          <w:sz w:val="28"/>
          <w:szCs w:val="28"/>
          <w:lang w:val="en-US" w:eastAsia="zh-CN" w:bidi="ar"/>
        </w:rPr>
        <w:t>日内支付。</w:t>
      </w:r>
    </w:p>
    <w:p w14:paraId="3867D0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3.质保期内非因甲方人为原因而出现的质量问题，由乙方负责包修、包换或者包退，并承担修理、调换或退货的实际费用。乙方不能修理或不能调换，按不能交货处理。</w:t>
      </w:r>
    </w:p>
    <w:p w14:paraId="2CF296A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必须提供由设备生产原厂签署承诺的合法有效的保修、维修证明（售后服务承诺函，盖厂家公章），厂家签署承诺的保修期应与投标供应商承诺的保修期一致；必须由原厂工程师及技术人员直接提供保修、维修、免费技术培训服务。</w:t>
      </w:r>
    </w:p>
    <w:p w14:paraId="00ADCC3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5.保修期届满后，乙方应按其在深圳地区同类产品的优惠价格提供维保服务，具体设备维护事宜由双方另行协商。</w:t>
      </w:r>
    </w:p>
    <w:p w14:paraId="41941F25">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第五条  进口设备手续（进口设备方使用该条款）</w:t>
      </w:r>
    </w:p>
    <w:p w14:paraId="214316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乙方提供的进口设备必须具有合法的进口手续，并负责办理设备进口报关等手续。</w:t>
      </w:r>
    </w:p>
    <w:p w14:paraId="23575CE2">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第六条  包装</w:t>
      </w:r>
    </w:p>
    <w:p w14:paraId="3598D3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设备运输至本合同指定的交货地点所需要的包装，包装费用由乙方承担，包装物不返还，归甲方所有。设备的包装均应有良好的防湿、防锈、防潮、防雨、防腐及防碰撞的措施，符合产品标准关于包装的要求。凡由于包装问题造成的损失和由此产生的费用均由乙方承担。</w:t>
      </w:r>
    </w:p>
    <w:p w14:paraId="02E7C3D4">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第七条  交付</w:t>
      </w:r>
    </w:p>
    <w:p w14:paraId="24E4037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1.交货时间：合同签订并接甲方</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通知后</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w:t>
      </w:r>
    </w:p>
    <w:p w14:paraId="503DD4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2.交货地点：运输及卸车搬至甲方指定地点。运输费用及风险由乙方承担。在乙方将设备送至该交货地点前，甲方有权单方变更该交货地点，但应提前</w:t>
      </w:r>
      <w:r>
        <w:rPr>
          <w:rFonts w:hint="eastAsia" w:ascii="仿宋_GB2312" w:hAnsi="Times New Roman" w:eastAsia="仿宋_GB2312" w:cs="仿宋_GB2312"/>
          <w:bCs/>
          <w:kern w:val="2"/>
          <w:sz w:val="28"/>
          <w:szCs w:val="28"/>
          <w:u w:val="single"/>
          <w:lang w:val="en-US" w:eastAsia="zh-CN" w:bidi="ar"/>
        </w:rPr>
        <w:t xml:space="preserve"> 1 </w:t>
      </w:r>
      <w:r>
        <w:rPr>
          <w:rFonts w:hint="eastAsia" w:ascii="仿宋_GB2312" w:hAnsi="Times New Roman" w:eastAsia="仿宋_GB2312" w:cs="仿宋_GB2312"/>
          <w:bCs/>
          <w:kern w:val="2"/>
          <w:sz w:val="28"/>
          <w:szCs w:val="28"/>
          <w:lang w:val="en-US" w:eastAsia="zh-CN" w:bidi="ar"/>
        </w:rPr>
        <w:t>日通知乙方，乙方应无条件服从，因此产生的费用由乙方承担。</w:t>
      </w:r>
    </w:p>
    <w:p w14:paraId="1D62D960">
      <w:pPr>
        <w:pStyle w:val="14"/>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Calibri" w:eastAsia="仿宋_GB2312" w:cs="仿宋_GB2312"/>
          <w:bCs/>
          <w:kern w:val="2"/>
          <w:sz w:val="28"/>
          <w:szCs w:val="28"/>
          <w:lang w:val="en-US" w:eastAsia="zh-CN" w:bidi="ar"/>
        </w:rPr>
        <w:t>3.乙方应随设备向甲方交付设备中文版《使用说明书》等与本合同设备使用有关的所有资料。如为进口设备，乙方还应提供进口设备原产地证、检测报告、检验检疫证明、进口报关手续等资料。</w:t>
      </w:r>
    </w:p>
    <w:p w14:paraId="2780DE8F">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第八条  安装调试</w:t>
      </w:r>
    </w:p>
    <w:p w14:paraId="341EA76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000000" w:themeColor="text1"/>
          <w:kern w:val="2"/>
          <w:sz w:val="28"/>
          <w:szCs w:val="28"/>
          <w14:textFill>
            <w14:solidFill>
              <w14:schemeClr w14:val="tx1"/>
            </w14:solidFill>
          </w14:textFill>
        </w:rPr>
      </w:pPr>
      <w:r>
        <w:rPr>
          <w:rFonts w:hint="eastAsia" w:ascii="仿宋_GB2312" w:hAnsi="Times New Roman" w:eastAsia="仿宋_GB2312" w:cs="仿宋_GB2312"/>
          <w:bCs/>
          <w:kern w:val="2"/>
          <w:sz w:val="28"/>
          <w:szCs w:val="28"/>
          <w:lang w:val="en-US" w:eastAsia="zh-CN" w:bidi="ar"/>
        </w:rPr>
        <w:t>1.安装调试时间</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：自交货</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日内完成。</w:t>
      </w:r>
    </w:p>
    <w:p w14:paraId="5F47CA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2.乙方负责合同项下设备的安装、调</w:t>
      </w:r>
      <w:r>
        <w:rPr>
          <w:rFonts w:hint="eastAsia" w:ascii="仿宋_GB2312" w:hAnsi="Times New Roman" w:eastAsia="仿宋_GB2312" w:cs="仿宋_GB2312"/>
          <w:bCs/>
          <w:kern w:val="2"/>
          <w:sz w:val="28"/>
          <w:szCs w:val="28"/>
          <w:lang w:val="en-US" w:eastAsia="zh-CN" w:bidi="ar"/>
        </w:rPr>
        <w:t>试，一切费用及责任由乙方承担。</w:t>
      </w:r>
    </w:p>
    <w:p w14:paraId="0950F28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设备安装需施工的，乙方应在合同签订前提供设备安装施工图纸，甲方与乙方共同签字确定安装场地施工方案，确保安装场地（包括消防、环保等）适合设备安装，如因乙方延迟提供材料或未及时签字确认方案等致设备无法如期安装所造成的损失由乙方承担。安装前乙方通知甲方使用科室、设备科三方共同到场开箱，并填写开箱记录。乙方应提供与设备相符且完整的资料，提供包括但不限于如下资料：①产品安装、操作和维修手册②中文版使用说明书③出厂合格证（进口产品提供进口报关单及检疫证明）④到货清单。</w:t>
      </w:r>
    </w:p>
    <w:p w14:paraId="4A93200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安装时须对安装场地及场地内的其他设备、设施有良好保护措施。如因乙方原因造成甲方场地或场地内其他设备、设施损坏，由乙方承担赔偿责任。如安装地点不适合应当书面通知甲方调换合适的地点，设备运送、安装调试以及计量检测所产生的费用由乙方负责。</w:t>
      </w:r>
    </w:p>
    <w:p w14:paraId="21A3797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Cs/>
          <w:kern w:val="2"/>
          <w:sz w:val="28"/>
          <w:szCs w:val="28"/>
          <w:lang w:val="en-US" w:eastAsia="zh-CN" w:bidi="ar"/>
        </w:rPr>
        <w:t>5.如乙方人员（包括受乙方委托提供送货、安装、调试等服务的人员）应提供安全、专业的服务，如在送货、安装、调试过程中造成乙方及乙方服务人员自身、甲方及甲方人员或者任何第三方的人身或财产损害，应由乙方自行承担责任；</w:t>
      </w:r>
    </w:p>
    <w:p w14:paraId="66E68496">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第九条  验收</w:t>
      </w:r>
    </w:p>
    <w:p w14:paraId="5A4AD28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1.验收时间：设备安装调试完毕，并正常运行后</w:t>
      </w:r>
      <w:r>
        <w:rPr>
          <w:rFonts w:hint="eastAsia" w:ascii="仿宋_GB2312" w:hAnsi="Times New Roman" w:eastAsia="仿宋_GB2312" w:cs="仿宋_GB2312"/>
          <w:bCs/>
          <w:color w:val="FF0000"/>
          <w:kern w:val="2"/>
          <w:sz w:val="28"/>
          <w:szCs w:val="28"/>
          <w:u w:val="single"/>
          <w:lang w:val="en-US" w:eastAsia="zh-CN" w:bidi="ar"/>
        </w:rPr>
        <w:t xml:space="preserve">  </w:t>
      </w:r>
      <w:r>
        <w:rPr>
          <w:rFonts w:hint="eastAsia" w:ascii="仿宋_GB2312" w:hAnsi="Times New Roman" w:eastAsia="仿宋_GB2312" w:cs="仿宋_GB2312"/>
          <w:bCs/>
          <w:kern w:val="2"/>
          <w:sz w:val="28"/>
          <w:szCs w:val="28"/>
          <w:lang w:val="en-US" w:eastAsia="zh-CN" w:bidi="ar"/>
        </w:rPr>
        <w:t>日内。</w:t>
      </w:r>
    </w:p>
    <w:p w14:paraId="666954D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验收日期前乙方必须完成合同约定的各项培训，包括对甲方相关人员进行设备使用培训及日常保养培训并提供培训记录。现场验收时乙方提供必要的技术支持并协助甲方完成各项指标和功能的测试，否则因验收延误产生的后果由乙方负责。</w:t>
      </w:r>
    </w:p>
    <w:p w14:paraId="5628763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3.合同设备安装调试完毕后，乙方应及时书面提请验收。甲乙双方共同对</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的包装、外观、数量、商标、型号、规格、质量以及设备随附单证、资料等进行验收。经双方验收后，由双方共同签署验收报告。乙方提供的设备及其随附物件的风险在经验收合格后转移至甲方。因乙方未及时书面提请验收造成付款延误的，由乙方自行承担责任。</w:t>
      </w:r>
    </w:p>
    <w:p w14:paraId="6085CCA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验收按本合同要求及国家有关的规定、规范进行。验收时如发现所交付的设备有短装、次品、损坏或其它不符合本合同规定之情形者，甲方可作现场记录，或由甲乙双方签署备忘录。此现场记录或备忘录可用作换货、补充缺失、更换损坏部件和追责的有效证据。由此产生的有关费用由乙方承担。乙方提供的各种文件载明的内容必须真实，甲方对产品的技术数据置疑时，有权要求乙方按照双方认可的第三方检测机构出具的检验方法进行检测（检测费用由乙方承担），检测结果必须证明乙方提供的技术数据是真实的，否则视为不合格。</w:t>
      </w:r>
    </w:p>
    <w:p w14:paraId="738C1179">
      <w:pPr>
        <w:keepNext w:val="0"/>
        <w:keepLines w:val="0"/>
        <w:widowControl w:val="0"/>
        <w:suppressLineNumbers w:val="0"/>
        <w:tabs>
          <w:tab w:val="left" w:pos="780"/>
        </w:tabs>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验收发现设备短装、损坏或质量不符合本合同之规定，不论何种原因导致，在甲方提出换货要求的情况下，乙方应及时安排换货，以保证合同设备如期安装、通过验收。换货的相关费用和相应后果由乙方承担，验收时间不予顺延。</w:t>
      </w:r>
    </w:p>
    <w:p w14:paraId="581AEB88">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第十条 权利保证</w:t>
      </w:r>
    </w:p>
    <w:p w14:paraId="6DEBE08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乙方保证所提供的设备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设备造成的全部损失、律师费、诉讼费、取证费、差旅费、保全费、担保费、鉴证费、公证费、执行费以及间接损失等。</w:t>
      </w:r>
    </w:p>
    <w:p w14:paraId="0E5F35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2.乙方保证所提供的设备符合征集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设备的损失及因纠纷造成的其他损失（如被保全等）、甲方为解决纠纷支出的律师费、诉讼费、保全费、担保费、差旅费、鉴证费、公证费、执行费等全部费用以及全部间接损失。</w:t>
      </w:r>
    </w:p>
    <w:p w14:paraId="74A5506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3.如有关法院、仲裁机构或行政机关禁止甲方继续使用本合同项目下设备的部分或全部，乙方应酌情采取以下措施之一：</w:t>
      </w:r>
    </w:p>
    <w:p w14:paraId="68CEDF5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（1）使甲方重新免费获得使用上述设备的权利； </w:t>
      </w:r>
    </w:p>
    <w:p w14:paraId="1CBDBA2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（2）免费更换或改造上述设备，使甲方不受上述禁令限制继续使用该设备。</w:t>
      </w:r>
    </w:p>
    <w:p w14:paraId="748CF3D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乙方采取上述措施不能免除乙方就甲方因此遭受的损失进行赔偿的义务。</w:t>
      </w:r>
    </w:p>
    <w:p w14:paraId="034A79A9">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第十一条  违约责任</w:t>
      </w:r>
    </w:p>
    <w:p w14:paraId="2DAF2192">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1.甲方无正当理由拒收设备、拒付设备款的，甲方向乙方偿付其所拒收设备总值的</w:t>
      </w:r>
      <w:r>
        <w:rPr>
          <w:rFonts w:hint="eastAsia" w:ascii="仿宋_GB2312" w:hAnsi="Times New Roman" w:eastAsia="仿宋_GB2312" w:cs="仿宋_GB2312"/>
          <w:kern w:val="2"/>
          <w:sz w:val="28"/>
          <w:szCs w:val="28"/>
          <w:u w:val="single"/>
          <w:lang w:val="en-US" w:eastAsia="zh-CN" w:bidi="ar"/>
        </w:rPr>
        <w:t xml:space="preserve"> 10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73CAB818">
      <w:pPr>
        <w:pStyle w:val="45"/>
        <w:widowControl/>
        <w:adjustRightInd w:val="0"/>
        <w:snapToGrid w:val="0"/>
        <w:spacing w:line="560" w:lineRule="exact"/>
        <w:ind w:left="0" w:firstLine="602"/>
        <w:jc w:val="left"/>
        <w:rPr>
          <w:rFonts w:hint="default" w:ascii="Calibri" w:hAnsi="Calibri" w:eastAsia="宋体" w:cs="Times New Roman"/>
          <w:kern w:val="2"/>
          <w:sz w:val="24"/>
          <w:szCs w:val="24"/>
        </w:rPr>
      </w:pPr>
      <w:r>
        <w:rPr>
          <w:rFonts w:hint="eastAsia" w:ascii="仿宋_GB2312" w:eastAsia="仿宋_GB2312" w:cs="仿宋_GB2312"/>
          <w:bCs/>
          <w:kern w:val="2"/>
          <w:sz w:val="28"/>
          <w:szCs w:val="28"/>
        </w:rPr>
        <w:t>2.甲方逾期付设备款的，甲方向乙方每日偿付欠款总额</w:t>
      </w:r>
      <w:r>
        <w:rPr>
          <w:rFonts w:hint="eastAsia" w:ascii="仿宋_GB2312" w:eastAsia="仿宋_GB2312" w:cs="仿宋_GB2312"/>
          <w:kern w:val="2"/>
          <w:sz w:val="28"/>
          <w:szCs w:val="28"/>
          <w:u w:val="single"/>
        </w:rPr>
        <w:t xml:space="preserve">  1  </w:t>
      </w:r>
      <w:r>
        <w:rPr>
          <w:rFonts w:hint="eastAsia" w:ascii="仿宋_GB2312" w:eastAsia="仿宋_GB2312" w:cs="仿宋_GB2312"/>
          <w:kern w:val="2"/>
          <w:sz w:val="28"/>
          <w:szCs w:val="28"/>
        </w:rPr>
        <w:t>‰</w:t>
      </w:r>
      <w:r>
        <w:rPr>
          <w:rFonts w:hint="eastAsia" w:ascii="仿宋_GB2312" w:eastAsia="仿宋_GB2312" w:cs="仿宋_GB2312"/>
          <w:bCs/>
          <w:kern w:val="2"/>
          <w:sz w:val="28"/>
          <w:szCs w:val="28"/>
        </w:rPr>
        <w:t>的违约金，违约金总额最高不超过逾期支付设备款项的5%。但因甲方使用的是财政资金，甲方应在约定期限内办理财政支付申请手续（不含政府财政支付部门审核的时间）。因财政支付流程造成的延误，应视为甲方依约履行，甲方不承担任何逾期付款的违约责任。</w:t>
      </w:r>
    </w:p>
    <w:p w14:paraId="443668E0">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3.乙方逾期交付设备的，每逾期1日，乙方向甲方偿付</w:t>
      </w:r>
      <w:r>
        <w:rPr>
          <w:rFonts w:hint="eastAsia" w:ascii="仿宋_GB2312" w:hAnsi="Times New Roman" w:eastAsia="仿宋_GB2312" w:cs="仿宋_GB2312"/>
          <w:bCs/>
          <w:kern w:val="2"/>
          <w:sz w:val="28"/>
          <w:szCs w:val="28"/>
          <w:lang w:val="en-US" w:eastAsia="zh-CN" w:bidi="ar"/>
        </w:rPr>
        <w:t>本合同总价款</w:t>
      </w:r>
      <w:r>
        <w:rPr>
          <w:rFonts w:hint="eastAsia" w:ascii="仿宋_GB2312" w:hAnsi="Times New Roman" w:eastAsia="仿宋_GB2312" w:cs="仿宋_GB2312"/>
          <w:kern w:val="2"/>
          <w:sz w:val="28"/>
          <w:szCs w:val="28"/>
          <w:u w:val="single"/>
          <w:lang w:val="en-US" w:eastAsia="zh-CN" w:bidi="ar"/>
        </w:rPr>
        <w:t xml:space="preserve">  5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r>
        <w:rPr>
          <w:rFonts w:hint="eastAsia" w:ascii="仿宋_GB2312" w:hAnsi="Times New Roman" w:eastAsia="仿宋_GB2312" w:cs="仿宋_GB2312"/>
          <w:kern w:val="2"/>
          <w:sz w:val="28"/>
          <w:szCs w:val="28"/>
          <w:lang w:val="en-US" w:eastAsia="zh-CN" w:bidi="ar"/>
        </w:rPr>
        <w:t>。如乙方逾期交货达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日，甲方有权单方解除合同，同时乙方应向甲方</w:t>
      </w:r>
      <w:r>
        <w:rPr>
          <w:rFonts w:hint="eastAsia" w:ascii="仿宋_GB2312" w:hAnsi="Times New Roman" w:eastAsia="仿宋_GB2312" w:cs="仿宋_GB2312"/>
          <w:bCs/>
          <w:kern w:val="2"/>
          <w:sz w:val="28"/>
          <w:szCs w:val="28"/>
          <w:lang w:val="en-US" w:eastAsia="zh-CN" w:bidi="ar"/>
        </w:rPr>
        <w:t>支付合同总价款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25819B11">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4.乙方所交付的设备品种、型号、规格、质量标准等不符合合同约定的，甲方有权要求乙方进行退换货处理;设备已安装的，乙方须按照甲方要求的时间、方式拆除处置乙方设备，由此产生一切费用（含恢复原状费用）由乙方承担。乙方在甲方要求时间内不予处置的，甲方有权自行处置，乙方应向甲方支付货款总额</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％的违约金。乙方因退换货造成逾期交货的，按本条第3点的约定执行。</w:t>
      </w:r>
    </w:p>
    <w:p w14:paraId="6F6DC6D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5.在乙方承诺的或国家规定的质量保证期内（取两者中最长的期限），如经乙方两次维修或更换，设备仍不能达到合同约定的质量标准，甲方有权单方解除合同，乙方应退回全部货款并赔偿甲方因此遭受的损失，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46B6D9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6.乙方未履行本合同项下的其他义务或违反征集文件的要求或其在投标文件中的相关承诺的，乙方须在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内改正，未能在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内改正且无正当理由的，甲方有权单方解除合同，乙方应退回全部货款，同时乙方应向甲方支付合同总价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B50EAB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7.乙方在承担上述一项或多项违约责任后，仍应继续履行合同规定的义务（甲方解除合同的除外）。甲方未能及时追究乙方的任何一项违约责任并不表明甲方放弃追究乙方该项或其他违约责任。</w:t>
      </w:r>
    </w:p>
    <w:p w14:paraId="7DCC9C7C">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8.合同双方认为应补充的内容（不违反招投标文件及相关法律法规）：</w:t>
      </w:r>
      <w:r>
        <w:rPr>
          <w:rFonts w:hint="eastAsia" w:ascii="仿宋_GB2312" w:hAnsi="Times New Roman" w:eastAsia="仿宋_GB2312" w:cs="仿宋_GB2312"/>
          <w:kern w:val="2"/>
          <w:sz w:val="28"/>
          <w:szCs w:val="28"/>
          <w:u w:val="single"/>
          <w:lang w:val="en-US" w:eastAsia="zh-CN" w:bidi="ar"/>
        </w:rPr>
        <w:t xml:space="preserve">   无   </w:t>
      </w:r>
    </w:p>
    <w:p w14:paraId="6FF5175D">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第十二条  不可抗力</w:t>
      </w:r>
    </w:p>
    <w:p w14:paraId="4E4FA3D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4）</w:t>
      </w:r>
      <w:r>
        <w:rPr>
          <w:rFonts w:hint="eastAsia" w:ascii="仿宋_GB2312" w:hAnsi="Times New Roman" w:eastAsia="仿宋_GB2312" w:cs="仿宋_GB2312"/>
          <w:kern w:val="2"/>
          <w:sz w:val="28"/>
          <w:szCs w:val="28"/>
          <w:lang w:val="en-US" w:eastAsia="zh-CN" w:bidi="ar"/>
        </w:rPr>
        <w:t>突发公共卫生事件</w:t>
      </w:r>
      <w:r>
        <w:rPr>
          <w:rFonts w:hint="eastAsia" w:ascii="仿宋_GB2312" w:hAnsi="Times New Roman" w:eastAsia="仿宋_GB2312" w:cs="仿宋_GB2312"/>
          <w:bCs/>
          <w:kern w:val="2"/>
          <w:sz w:val="28"/>
          <w:szCs w:val="28"/>
          <w:lang w:val="en-US" w:eastAsia="zh-CN" w:bidi="ar"/>
        </w:rPr>
        <w:t>等。</w:t>
      </w:r>
    </w:p>
    <w:p w14:paraId="033C406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4278B0B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3170BE3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6116D662">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u w:val="single"/>
        </w:rPr>
      </w:pPr>
      <w:r>
        <w:rPr>
          <w:rFonts w:hint="eastAsia" w:ascii="仿宋_GB2312" w:hAnsi="Times New Roman" w:eastAsia="仿宋_GB2312" w:cs="仿宋_GB2312"/>
          <w:b/>
          <w:bCs w:val="0"/>
          <w:kern w:val="2"/>
          <w:sz w:val="28"/>
          <w:szCs w:val="28"/>
          <w:lang w:val="en-US" w:eastAsia="zh-CN" w:bidi="ar"/>
        </w:rPr>
        <w:t>第十三条 变更、终止条款</w:t>
      </w:r>
    </w:p>
    <w:p w14:paraId="7473535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1.除继续履行将损害国家利益和社会公共利益的外，双方不得擅自变更或者终止合同，确有需要的，甲乙双方应根据相关规定完成合同变更程序。</w:t>
      </w:r>
    </w:p>
    <w:p w14:paraId="7A67EE9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2.如继续履行将损害国家利益和社会公共利益的，主张变更或终止权利一方应在终止事件或情形发生时通知另一方。双方另行签订变更或终止协议。</w:t>
      </w:r>
    </w:p>
    <w:p w14:paraId="6227716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28"/>
          <w:szCs w:val="28"/>
          <w:lang w:val="en-US" w:eastAsia="zh-CN" w:bidi="ar"/>
        </w:rPr>
        <w:t>3.合同履行期间，相关法律、法规、规章、规范性文件和政策发生变化或者颁布新的规定，导致本合同的履行依据发生变化的，双方可以按照修改后或者新的规定执行，并另行签订变更协议。</w:t>
      </w:r>
    </w:p>
    <w:p w14:paraId="694F3FFF">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第十四条  争议解决</w:t>
      </w:r>
    </w:p>
    <w:p w14:paraId="54A4032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1.因设备的质量问题发生争议，由国家和市政府指定的技术单位进行质量鉴定，该鉴定结论是终局的，甲乙双方应当接受。</w:t>
      </w:r>
    </w:p>
    <w:p w14:paraId="4488280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2.因履行本合同引起的或与本合同有关的争议，甲、乙双方应首先通过友好协商解决，如果协商不能解决争议，则向甲方所在地有管辖权的人民法院提起诉讼。</w:t>
      </w:r>
    </w:p>
    <w:p w14:paraId="4DE7BD5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3.有关本协议的效力、解释及可执行性的所有问题均应当受中华人民共和国法律管辖并按照其法律进行解释。</w:t>
      </w:r>
    </w:p>
    <w:p w14:paraId="1308FC55">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第十五条  保密责任</w:t>
      </w:r>
    </w:p>
    <w:p w14:paraId="0122AC3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847E6C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bCs/>
          <w:kern w:val="2"/>
          <w:sz w:val="28"/>
          <w:szCs w:val="28"/>
          <w:lang w:val="en-US" w:eastAsia="zh-CN" w:bidi="ar"/>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255E804D">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第十六条  通信送达</w:t>
      </w:r>
    </w:p>
    <w:p w14:paraId="624E538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1.乙方履行本合同的指定联系人及授</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权代表为</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；职务</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销售经理</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；联系电话</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；电子邮箱</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。在履行合同过程中，该指定联系人及授权代表的行为、意思表示及对甲方所作的任何</w:t>
      </w:r>
      <w:r>
        <w:rPr>
          <w:rFonts w:hint="eastAsia" w:ascii="仿宋_GB2312" w:hAnsi="Times New Roman" w:eastAsia="仿宋_GB2312" w:cs="仿宋_GB2312"/>
          <w:bCs/>
          <w:kern w:val="2"/>
          <w:sz w:val="28"/>
          <w:szCs w:val="28"/>
          <w:lang w:val="en-US" w:eastAsia="zh-CN" w:bidi="ar"/>
        </w:rPr>
        <w:t>承诺、通知等，都对乙方直接具有约束力；甲方通知送达该联系人及授权代表时，即视为通知送达乙方。</w:t>
      </w:r>
    </w:p>
    <w:p w14:paraId="339E78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2.乙方的指定联系人、授权代表的信息发生变化的，或乙方联系地址、电话等发生变化的，应提前5个工作日书面通知到甲方。否则相关送达的不利后果及责任，由乙方自行承担。</w:t>
      </w:r>
    </w:p>
    <w:p w14:paraId="5543FC9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3.如上述地址无法送达的，以双方当事人的注册地址作为送达地址。</w:t>
      </w:r>
    </w:p>
    <w:p w14:paraId="1C321F4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第十七条  廉洁合作</w:t>
      </w:r>
    </w:p>
    <w:p w14:paraId="4300A40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14E0434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8E4A2A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第十八条  附则</w:t>
      </w:r>
    </w:p>
    <w:p w14:paraId="21CD95D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1.本合同一式</w:t>
      </w:r>
      <w:r>
        <w:rPr>
          <w:rFonts w:hint="eastAsia" w:ascii="仿宋_GB2312" w:hAnsi="Times New Roman" w:eastAsia="仿宋_GB2312" w:cs="仿宋_GB2312"/>
          <w:kern w:val="2"/>
          <w:sz w:val="28"/>
          <w:szCs w:val="28"/>
          <w:u w:val="single"/>
          <w:lang w:val="en-US" w:eastAsia="zh-CN" w:bidi="ar"/>
        </w:rPr>
        <w:t xml:space="preserve"> 陆 </w:t>
      </w:r>
      <w:r>
        <w:rPr>
          <w:rFonts w:hint="eastAsia" w:ascii="仿宋_GB2312" w:hAnsi="Times New Roman" w:eastAsia="仿宋_GB2312" w:cs="仿宋_GB2312"/>
          <w:bCs/>
          <w:kern w:val="2"/>
          <w:sz w:val="28"/>
          <w:szCs w:val="28"/>
          <w:lang w:val="en-US" w:eastAsia="zh-CN" w:bidi="ar"/>
        </w:rPr>
        <w:t>份，甲方执</w:t>
      </w:r>
      <w:r>
        <w:rPr>
          <w:rFonts w:hint="eastAsia" w:ascii="仿宋_GB2312" w:hAnsi="Times New Roman" w:eastAsia="仿宋_GB2312" w:cs="仿宋_GB2312"/>
          <w:kern w:val="2"/>
          <w:sz w:val="28"/>
          <w:szCs w:val="28"/>
          <w:u w:val="single"/>
          <w:lang w:val="en-US" w:eastAsia="zh-CN" w:bidi="ar"/>
        </w:rPr>
        <w:t xml:space="preserve"> 伍 </w:t>
      </w:r>
      <w:r>
        <w:rPr>
          <w:rFonts w:hint="eastAsia" w:ascii="仿宋_GB2312" w:hAnsi="Times New Roman" w:eastAsia="仿宋_GB2312" w:cs="仿宋_GB2312"/>
          <w:bCs/>
          <w:kern w:val="2"/>
          <w:sz w:val="28"/>
          <w:szCs w:val="28"/>
          <w:lang w:val="en-US" w:eastAsia="zh-CN" w:bidi="ar"/>
        </w:rPr>
        <w:t>份、乙方执</w:t>
      </w:r>
      <w:r>
        <w:rPr>
          <w:rFonts w:hint="eastAsia" w:ascii="仿宋_GB2312" w:hAnsi="Times New Roman" w:eastAsia="仿宋_GB2312" w:cs="仿宋_GB2312"/>
          <w:kern w:val="2"/>
          <w:sz w:val="28"/>
          <w:szCs w:val="28"/>
          <w:u w:val="single"/>
          <w:lang w:val="en-US" w:eastAsia="zh-CN" w:bidi="ar"/>
        </w:rPr>
        <w:t xml:space="preserve"> 壹 </w:t>
      </w:r>
      <w:r>
        <w:rPr>
          <w:rFonts w:hint="eastAsia" w:ascii="仿宋_GB2312" w:hAnsi="Times New Roman" w:eastAsia="仿宋_GB2312" w:cs="仿宋_GB2312"/>
          <w:bCs/>
          <w:kern w:val="2"/>
          <w:sz w:val="28"/>
          <w:szCs w:val="28"/>
          <w:lang w:val="en-US" w:eastAsia="zh-CN" w:bidi="ar"/>
        </w:rPr>
        <w:t>份，具有同等法律效力。本合同自双方法定代表人或有权代理人签字并加盖双方公章或合同专用章之日起生效。</w:t>
      </w:r>
    </w:p>
    <w:p w14:paraId="30BA3AC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2.本合同未尽事宜，由双方协商处理，经协商一致可签订补充协议。</w:t>
      </w:r>
    </w:p>
    <w:p w14:paraId="30A3ABE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3.如有设备相关耗材、试剂或易损器械，设备及主要维修配件，乙方应提供并分别列出它们的优惠价格。</w:t>
      </w:r>
    </w:p>
    <w:p w14:paraId="7F4E540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第十九条  合同组成文件</w:t>
      </w:r>
    </w:p>
    <w:p w14:paraId="7EADE49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下列文件为本合同的组成部分，并构成一个整体，需综合解释、相互补充。如果下列文件内容出现不一致的情形，在保证按照采购文件确定的事项的前提下，组成本合同的多个文件的优先适用顺序如下：</w:t>
      </w:r>
    </w:p>
    <w:p w14:paraId="66D58A3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1.本合同及其附件、补充合同、变更协议；</w:t>
      </w:r>
    </w:p>
    <w:p w14:paraId="28FF17B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2.中标通知书；</w:t>
      </w:r>
    </w:p>
    <w:p w14:paraId="566848FE">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3.投标文件（含澄清或者说明文件）；</w:t>
      </w:r>
    </w:p>
    <w:p w14:paraId="5702877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4.征集文件（含澄清或者修改文件）；</w:t>
      </w:r>
    </w:p>
    <w:p w14:paraId="7FBE8B5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5.其他相关采购文件。</w:t>
      </w:r>
    </w:p>
    <w:p w14:paraId="1DBDB0B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附件一：中标通知书</w:t>
      </w:r>
    </w:p>
    <w:p w14:paraId="1CDC973A">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附件二：廉洁合作承诺书（企业承诺）</w:t>
      </w:r>
    </w:p>
    <w:p w14:paraId="79CA7C50">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附件三：廉洁从业承诺书（员工承诺）</w:t>
      </w:r>
    </w:p>
    <w:p w14:paraId="1EFC61B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附件四：配置清单</w:t>
      </w:r>
    </w:p>
    <w:p w14:paraId="138DABC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附件五：技术偏离表</w:t>
      </w:r>
    </w:p>
    <w:p w14:paraId="00F6C0A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附件六：售后服务承诺（含厂家）</w:t>
      </w:r>
    </w:p>
    <w:p w14:paraId="501FDF1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附件七：每年二次的维护计划</w:t>
      </w:r>
    </w:p>
    <w:p w14:paraId="61B1BB1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6F7AE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7BF623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283FF78">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br w:type="page"/>
      </w:r>
    </w:p>
    <w:p w14:paraId="7094F3A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（本页无正文</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，为《XXXX》签署页</w:t>
      </w:r>
      <w:r>
        <w:rPr>
          <w:rFonts w:hint="eastAsia" w:ascii="仿宋_GB2312" w:hAnsi="Times New Roman" w:eastAsia="仿宋_GB2312" w:cs="仿宋_GB2312"/>
          <w:kern w:val="2"/>
          <w:sz w:val="28"/>
          <w:szCs w:val="28"/>
          <w:lang w:val="en-US" w:eastAsia="zh-CN" w:bidi="ar"/>
        </w:rPr>
        <w:t>）</w:t>
      </w:r>
    </w:p>
    <w:p w14:paraId="4F8276B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2EEB678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5D9DE3D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tbl>
      <w:tblPr>
        <w:tblStyle w:val="17"/>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62"/>
        <w:gridCol w:w="4160"/>
      </w:tblGrid>
      <w:tr w14:paraId="13BE996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14D854B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甲方：深圳市福田区第二人民医院</w:t>
            </w:r>
          </w:p>
        </w:tc>
        <w:tc>
          <w:tcPr>
            <w:tcW w:w="2441" w:type="pct"/>
            <w:tcBorders>
              <w:top w:val="nil"/>
              <w:left w:val="nil"/>
              <w:bottom w:val="nil"/>
              <w:right w:val="nil"/>
            </w:tcBorders>
            <w:shd w:val="clear" w:color="auto" w:fill="auto"/>
            <w:vAlign w:val="top"/>
          </w:tcPr>
          <w:p w14:paraId="3C71B5C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乙方：</w:t>
            </w:r>
          </w:p>
        </w:tc>
      </w:tr>
      <w:tr w14:paraId="223952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1358CA2">
            <w:pPr>
              <w:keepNext w:val="0"/>
              <w:keepLines w:val="0"/>
              <w:widowControl w:val="0"/>
              <w:suppressLineNumbers w:val="0"/>
              <w:spacing w:before="0" w:beforeAutospacing="0" w:after="0" w:afterAutospacing="0" w:line="360" w:lineRule="auto"/>
              <w:ind w:left="0" w:right="0" w:firstLine="840" w:firstLineChars="30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地址：</w:t>
            </w:r>
          </w:p>
        </w:tc>
        <w:tc>
          <w:tcPr>
            <w:tcW w:w="2441" w:type="pct"/>
            <w:tcBorders>
              <w:top w:val="nil"/>
              <w:left w:val="nil"/>
              <w:bottom w:val="nil"/>
              <w:right w:val="nil"/>
            </w:tcBorders>
            <w:shd w:val="clear" w:color="auto" w:fill="auto"/>
            <w:vAlign w:val="top"/>
          </w:tcPr>
          <w:p w14:paraId="344D2F8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址：</w:t>
            </w:r>
          </w:p>
        </w:tc>
      </w:tr>
      <w:tr w14:paraId="1DC6AC5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4BC953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p w14:paraId="2A2D2CB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4DAE673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tc>
      </w:tr>
      <w:tr w14:paraId="338836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F1B7B5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p w14:paraId="2B13E92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69E7D06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tc>
      </w:tr>
      <w:tr w14:paraId="066AEE4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9AF21A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c>
          <w:tcPr>
            <w:tcW w:w="2441" w:type="pct"/>
            <w:tcBorders>
              <w:top w:val="nil"/>
              <w:left w:val="nil"/>
              <w:bottom w:val="nil"/>
              <w:right w:val="nil"/>
            </w:tcBorders>
            <w:shd w:val="clear" w:color="auto" w:fill="auto"/>
            <w:vAlign w:val="top"/>
          </w:tcPr>
          <w:p w14:paraId="245F03F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r>
      <w:tr w14:paraId="1B1150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CD57FB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c>
          <w:tcPr>
            <w:tcW w:w="2441" w:type="pct"/>
            <w:tcBorders>
              <w:top w:val="nil"/>
              <w:left w:val="nil"/>
              <w:bottom w:val="nil"/>
              <w:right w:val="nil"/>
            </w:tcBorders>
            <w:shd w:val="clear" w:color="auto" w:fill="auto"/>
            <w:vAlign w:val="top"/>
          </w:tcPr>
          <w:p w14:paraId="0C5397A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r>
      <w:tr w14:paraId="3641142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EA15F9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c>
          <w:tcPr>
            <w:tcW w:w="2441" w:type="pct"/>
            <w:tcBorders>
              <w:top w:val="nil"/>
              <w:left w:val="nil"/>
              <w:bottom w:val="nil"/>
              <w:right w:val="nil"/>
            </w:tcBorders>
            <w:shd w:val="clear" w:color="auto" w:fill="auto"/>
            <w:vAlign w:val="top"/>
          </w:tcPr>
          <w:p w14:paraId="05A37C2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r>
      <w:tr w14:paraId="546728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4C27A9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c>
          <w:tcPr>
            <w:tcW w:w="2441" w:type="pct"/>
            <w:tcBorders>
              <w:top w:val="nil"/>
              <w:left w:val="nil"/>
              <w:bottom w:val="nil"/>
              <w:right w:val="nil"/>
            </w:tcBorders>
            <w:shd w:val="clear" w:color="auto" w:fill="auto"/>
            <w:vAlign w:val="top"/>
          </w:tcPr>
          <w:p w14:paraId="73E6F5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r>
    </w:tbl>
    <w:p w14:paraId="48D2DAA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FDF13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6B3E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F751C3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3BA9FD39">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仿宋_GB2312" w:eastAsia="仿宋_GB2312" w:cs="仿宋_GB2312"/>
          <w:b/>
          <w:bCs/>
          <w:kern w:val="0"/>
          <w:sz w:val="28"/>
          <w:szCs w:val="28"/>
        </w:rPr>
      </w:pPr>
      <w:r>
        <w:rPr>
          <w:rFonts w:hint="eastAsia" w:ascii="仿宋_GB2312" w:hAnsi="Times New Roman" w:eastAsia="仿宋_GB2312" w:cs="仿宋_GB2312"/>
          <w:b/>
          <w:bCs/>
          <w:kern w:val="0"/>
          <w:sz w:val="28"/>
          <w:szCs w:val="28"/>
          <w:lang w:val="en-US" w:eastAsia="zh-CN" w:bidi="ar"/>
        </w:rPr>
        <w:t>附件一：中标通知书</w:t>
      </w:r>
    </w:p>
    <w:p w14:paraId="3C84B435">
      <w:pPr>
        <w:keepNext w:val="0"/>
        <w:keepLines w:val="0"/>
        <w:widowControl/>
        <w:suppressLineNumbers w:val="0"/>
        <w:spacing w:before="0" w:beforeAutospacing="0" w:after="0" w:afterAutospacing="0"/>
        <w:ind w:left="0" w:right="0"/>
        <w:jc w:val="left"/>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 xml:space="preserve"> </w:t>
      </w:r>
    </w:p>
    <w:p w14:paraId="37E6A5D3">
      <w:pPr>
        <w:keepNext w:val="0"/>
        <w:keepLines w:val="0"/>
        <w:widowControl/>
        <w:suppressLineNumbers w:val="0"/>
        <w:spacing w:before="0" w:beforeAutospacing="0" w:after="0" w:afterAutospacing="0"/>
        <w:ind w:left="0" w:right="0"/>
        <w:jc w:val="left"/>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2"/>
          <w:sz w:val="28"/>
          <w:szCs w:val="28"/>
          <w:lang w:val="en-US" w:eastAsia="zh-CN" w:bidi="ar"/>
        </w:rPr>
        <w:br w:type="page"/>
      </w:r>
    </w:p>
    <w:p w14:paraId="362DF27A">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方正小标宋_GBK" w:hAnsi="方正小标宋_GBK" w:eastAsia="方正小标宋_GBK" w:cs="方正小标宋_GBK"/>
          <w:b/>
          <w:bCs/>
          <w:kern w:val="0"/>
          <w:sz w:val="44"/>
          <w:szCs w:val="44"/>
        </w:rPr>
      </w:pPr>
      <w:r>
        <w:rPr>
          <w:rFonts w:hint="eastAsia" w:ascii="仿宋_GB2312" w:hAnsi="Times New Roman" w:eastAsia="仿宋_GB2312" w:cs="仿宋_GB2312"/>
          <w:b/>
          <w:bCs w:val="0"/>
          <w:kern w:val="0"/>
          <w:sz w:val="28"/>
          <w:szCs w:val="28"/>
          <w:lang w:val="en-US" w:eastAsia="zh-CN" w:bidi="ar"/>
        </w:rPr>
        <w:t>附件二：廉洁合作承诺书（企业承诺）</w:t>
      </w:r>
    </w:p>
    <w:p w14:paraId="3F649317">
      <w:pPr>
        <w:pStyle w:val="14"/>
        <w:keepNext w:val="0"/>
        <w:keepLines w:val="0"/>
        <w:widowControl/>
        <w:suppressLineNumbers w:val="0"/>
        <w:tabs>
          <w:tab w:val="left" w:pos="7497"/>
        </w:tabs>
        <w:spacing w:before="0" w:beforeAutospacing="1" w:after="120" w:afterLines="50" w:afterAutospacing="0" w:line="600" w:lineRule="exact"/>
        <w:ind w:left="0" w:right="0"/>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廉洁合作承诺书</w:t>
      </w:r>
    </w:p>
    <w:p w14:paraId="70CCDE80">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（企业承诺）</w:t>
      </w:r>
    </w:p>
    <w:p w14:paraId="0C7FE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本公司决定参加项目投标。为维护公平竞争的市场秩序，促进企业廉洁从业、诚实守信，特承诺如下：</w:t>
      </w:r>
    </w:p>
    <w:p w14:paraId="5498C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一、严格遵守《中华人民共和国征集投标法》、《中华人民共和国政府采购法》等法律法规，决不发生以下行为：</w:t>
      </w:r>
    </w:p>
    <w:p w14:paraId="05B6A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1.以他人名义投标，允许其他单位或个人使用本单位资质投标；</w:t>
      </w:r>
    </w:p>
    <w:p w14:paraId="30DBB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2.提供虚假材料，或以其他方式弄虚作假骗取中标；</w:t>
      </w:r>
    </w:p>
    <w:p w14:paraId="6CDDC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3.与征集人或者其他投标人相互串通投标；</w:t>
      </w:r>
    </w:p>
    <w:p w14:paraId="56CFF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4.中标后将项目转包，或违法分包；</w:t>
      </w:r>
    </w:p>
    <w:p w14:paraId="27320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5.中标后与征集人签订背离投标文件及合同实质性内容的私下协议；</w:t>
      </w:r>
    </w:p>
    <w:p w14:paraId="19B58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6.其他违反征集投标、政府采购等法律法规的行为。</w:t>
      </w:r>
    </w:p>
    <w:p w14:paraId="680C4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二、不以任何理由给予采购单位、主管部门、相关单位及其工作人员以下好处：</w:t>
      </w:r>
    </w:p>
    <w:p w14:paraId="6BCA9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0F4FE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3776D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7BD19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4.提供宴请、健身、旅游、娱乐等高消费活动； </w:t>
      </w:r>
    </w:p>
    <w:p w14:paraId="6CB9B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73BFB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三、不以任何理由为采购单位、主管部门、相关单位的工作人员及其配偶、子女等亲属的工作安排以及出国（境）等提供方便。</w:t>
      </w:r>
    </w:p>
    <w:p w14:paraId="68BC2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四、自觉接受有关部门和派驻廉政监察组等机构的监督，积极配合采购单位开展廉政文化进工程工作，加强廉洁从业环境宣传、项目管理制度建设，多种形式开展廉洁教育。</w:t>
      </w:r>
    </w:p>
    <w:p w14:paraId="19F8A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上述承诺如有违反，愿接受录入诚信档案的处理，构成违纪违法的，由相关部门依纪依法作出处理。</w:t>
      </w:r>
    </w:p>
    <w:p w14:paraId="4877F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（本承诺书由投标人法定代表人签名，并加盖公章；一式贰份，采购单位与履约供应商各持壹份。）</w:t>
      </w:r>
    </w:p>
    <w:p w14:paraId="150BE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 xml:space="preserve"> </w:t>
      </w:r>
    </w:p>
    <w:p w14:paraId="76269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  </w:t>
      </w:r>
    </w:p>
    <w:p w14:paraId="17047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法定代表人签名：</w:t>
      </w:r>
    </w:p>
    <w:p w14:paraId="67FFC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承诺单位（公章）：</w:t>
      </w:r>
    </w:p>
    <w:p w14:paraId="70C02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0"/>
          <w:sz w:val="28"/>
          <w:szCs w:val="28"/>
          <w:lang w:val="en-US" w:eastAsia="zh-CN" w:bidi="ar"/>
        </w:rPr>
        <w:t>承诺日期：</w:t>
      </w:r>
      <w:r>
        <w:rPr>
          <w:rFonts w:hint="eastAsia" w:ascii="仿宋_GB2312" w:hAnsi="Times New Roman" w:eastAsia="仿宋_GB2312" w:cs="仿宋_GB2312"/>
          <w:kern w:val="2"/>
          <w:sz w:val="28"/>
          <w:szCs w:val="28"/>
          <w:lang w:val="en-US" w:eastAsia="zh-CN" w:bidi="ar"/>
        </w:rPr>
        <w:br w:type="page"/>
      </w:r>
    </w:p>
    <w:p w14:paraId="26DE5847">
      <w:pPr>
        <w:keepNext w:val="0"/>
        <w:keepLines w:val="0"/>
        <w:widowControl/>
        <w:suppressLineNumbers w:val="0"/>
        <w:spacing w:before="0" w:beforeAutospacing="0" w:after="0" w:afterAutospacing="0"/>
        <w:ind w:left="0" w:leftChars="0" w:right="0" w:rightChars="0"/>
        <w:jc w:val="left"/>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附件三：廉洁从业承诺书（员工承诺）</w:t>
      </w:r>
    </w:p>
    <w:p w14:paraId="15EB66DC">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bCs/>
          <w:kern w:val="2"/>
          <w:sz w:val="44"/>
          <w:szCs w:val="44"/>
        </w:rPr>
      </w:pPr>
      <w:r>
        <w:rPr>
          <w:rFonts w:hint="eastAsia" w:ascii="方正小标宋_GBK" w:hAnsi="方正小标宋_GBK" w:eastAsia="方正小标宋_GBK" w:cs="方正小标宋_GBK"/>
          <w:bCs/>
          <w:kern w:val="2"/>
          <w:sz w:val="44"/>
          <w:szCs w:val="44"/>
          <w:lang w:val="en-US" w:eastAsia="zh-CN" w:bidi="ar"/>
        </w:rPr>
        <w:t>廉洁从业承诺书</w:t>
      </w:r>
    </w:p>
    <w:p w14:paraId="36F8610E">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（员工承诺）</w:t>
      </w:r>
    </w:p>
    <w:p w14:paraId="160FF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本人决定自愿参加本项目。为了更好的树立公司对外形象，更好地打造公司的品牌，促进个人廉洁从业、诚实守信，特承诺如下：</w:t>
      </w:r>
    </w:p>
    <w:p w14:paraId="14C70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一、不以任何理由给予采购单位、主管部门、相关单位及其工作人员以下好处：</w:t>
      </w:r>
    </w:p>
    <w:p w14:paraId="37FDC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73AF2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409FE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6CE6F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4.提供宴请、健身、旅游、娱乐等高消费活动；</w:t>
      </w:r>
    </w:p>
    <w:p w14:paraId="49386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291ED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二、不以任何理由为采购单位、主管部门、相关单位的工作人员及其配偶、子女等亲属的工作安排以及出国（境）等提供方便。</w:t>
      </w:r>
    </w:p>
    <w:p w14:paraId="164A1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三、自觉接受有关部门和派驻廉政监察组等机构的监督。</w:t>
      </w:r>
    </w:p>
    <w:p w14:paraId="419BE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以上承诺接受公司和广大员工的监督。本人如有违反承诺，自愿承担违诺责任和法律后果。</w:t>
      </w:r>
    </w:p>
    <w:p w14:paraId="1B3B6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（本承诺书由项目人员签名，一式贰份。公司与项目人员各持壹份。）</w:t>
      </w:r>
    </w:p>
    <w:p w14:paraId="0CBF6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承诺人：</w:t>
      </w:r>
    </w:p>
    <w:p w14:paraId="797BA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承诺日期：</w:t>
      </w:r>
    </w:p>
    <w:p w14:paraId="328685BE">
      <w:pPr>
        <w:pStyle w:val="14"/>
        <w:keepNext w:val="0"/>
        <w:keepLines w:val="0"/>
        <w:widowControl/>
        <w:suppressLineNumbers w:val="0"/>
        <w:adjustRightInd w:val="0"/>
        <w:snapToGrid w:val="0"/>
        <w:spacing w:before="0" w:beforeAutospacing="1" w:after="0" w:afterAutospacing="1" w:line="579" w:lineRule="exact"/>
        <w:ind w:left="0" w:right="0"/>
        <w:jc w:val="left"/>
        <w:rPr>
          <w:rFonts w:hint="default" w:ascii="Times New Roman" w:hAnsi="Times New Roman" w:cs="Times New Roman"/>
          <w:color w:val="FFFFFF"/>
          <w:kern w:val="2"/>
          <w:sz w:val="16"/>
          <w:szCs w:val="16"/>
          <w:shd w:val="clear" w:fill="000000"/>
        </w:rPr>
      </w:pPr>
      <w:r>
        <w:rPr>
          <w:rFonts w:hint="eastAsia" w:ascii="仿宋_GB2312" w:hAnsi="Times New Roman" w:eastAsia="仿宋_GB2312" w:cs="仿宋_GB2312"/>
          <w:b/>
          <w:bCs/>
          <w:kern w:val="0"/>
          <w:sz w:val="28"/>
          <w:szCs w:val="28"/>
          <w:lang w:val="en-US" w:eastAsia="zh-CN" w:bidi="ar"/>
        </w:rPr>
        <w:t>附件四：配置清单</w:t>
      </w:r>
    </w:p>
    <w:p w14:paraId="042C0A6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0F829A2F">
      <w:pPr>
        <w:keepNext w:val="0"/>
        <w:keepLines w:val="0"/>
        <w:widowControl w:val="0"/>
        <w:suppressLineNumbers w:val="0"/>
        <w:spacing w:before="0" w:beforeAutospacing="0" w:after="0" w:afterAutospacing="0"/>
        <w:ind w:left="0" w:right="0"/>
        <w:jc w:val="left"/>
        <w:rPr>
          <w:rFonts w:hint="eastAsia" w:ascii="仿宋" w:hAnsi="仿宋" w:eastAsia="仿宋" w:cs="Times New Roman"/>
          <w:b/>
          <w:bCs w:val="0"/>
          <w:color w:val="FF0000"/>
          <w:kern w:val="2"/>
          <w:sz w:val="28"/>
          <w:szCs w:val="28"/>
        </w:rPr>
      </w:pPr>
      <w:r>
        <w:rPr>
          <w:rFonts w:hint="eastAsia" w:ascii="仿宋" w:hAnsi="仿宋" w:eastAsia="仿宋" w:cs="仿宋"/>
          <w:b/>
          <w:bCs w:val="0"/>
          <w:kern w:val="2"/>
          <w:sz w:val="28"/>
          <w:szCs w:val="28"/>
          <w:lang w:val="en-US" w:eastAsia="zh-CN" w:bidi="ar"/>
        </w:rPr>
        <w:t>附件五：技术参数偏离表</w:t>
      </w:r>
    </w:p>
    <w:p w14:paraId="4881B7C8">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74263C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24BB280">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122DB1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
          <w:bCs/>
          <w:kern w:val="2"/>
          <w:sz w:val="28"/>
          <w:szCs w:val="28"/>
          <w:lang w:val="en-US" w:eastAsia="zh-CN" w:bidi="ar"/>
        </w:rPr>
        <w:t>附件六：售后服务承诺（含厂家）</w:t>
      </w:r>
    </w:p>
    <w:p w14:paraId="6EDEECB2">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43C1B1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0"/>
          <w:sz w:val="32"/>
          <w:szCs w:val="32"/>
        </w:rPr>
      </w:pPr>
      <w:r>
        <w:rPr>
          <w:rFonts w:hint="eastAsia" w:ascii="仿宋_GB2312" w:hAnsi="Times New Roman" w:eastAsia="仿宋_GB2312" w:cs="仿宋_GB2312"/>
          <w:b/>
          <w:bCs/>
          <w:kern w:val="2"/>
          <w:sz w:val="28"/>
          <w:szCs w:val="28"/>
          <w:lang w:val="en-US" w:eastAsia="zh-CN" w:bidi="ar"/>
        </w:rPr>
        <w:t>附件七：每年二次的维护计划</w:t>
      </w:r>
    </w:p>
    <w:p w14:paraId="6D05C46A">
      <w:pPr>
        <w:pStyle w:val="23"/>
        <w:ind w:left="0" w:leftChars="0" w:firstLine="0" w:firstLineChars="0"/>
        <w:rPr>
          <w:rFonts w:hint="eastAsia" w:ascii="宋体" w:hAnsi="宋体" w:cs="宋体"/>
          <w:color w:val="000000" w:themeColor="text1"/>
          <w:szCs w:val="21"/>
          <w:lang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5189924-00FE-4532-B858-C555B0C2122F}"/>
  </w:font>
  <w:font w:name="黑体">
    <w:panose1 w:val="02010609060101010101"/>
    <w:charset w:val="86"/>
    <w:family w:val="auto"/>
    <w:pitch w:val="default"/>
    <w:sig w:usb0="800002BF" w:usb1="38CF7CFA" w:usb2="00000016" w:usb3="00000000" w:csb0="00040001" w:csb1="00000000"/>
    <w:embedRegular r:id="rId2" w:fontKey="{E1F5F488-6EC9-4356-B7B6-EEE79ECEEB4F}"/>
  </w:font>
  <w:font w:name="Courier New">
    <w:panose1 w:val="02070309020205020404"/>
    <w:charset w:val="01"/>
    <w:family w:val="modern"/>
    <w:pitch w:val="default"/>
    <w:sig w:usb0="E0002EFF" w:usb1="C0007843" w:usb2="00000009" w:usb3="00000000" w:csb0="400001FF" w:csb1="FFFF0000"/>
    <w:embedRegular r:id="rId3" w:fontKey="{3048EFA7-3A09-4EEA-8A8A-4A978F84EC4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FF43502F-F5A3-4B7F-91BC-8E756A655FA9}"/>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52BB8C57-F828-48AF-AB7A-A4DF6504E514}"/>
  </w:font>
  <w:font w:name="微软雅黑">
    <w:panose1 w:val="020B0503020204020204"/>
    <w:charset w:val="86"/>
    <w:family w:val="swiss"/>
    <w:pitch w:val="default"/>
    <w:sig w:usb0="80000287" w:usb1="2ACF3C50" w:usb2="00000016" w:usb3="00000000" w:csb0="0004001F" w:csb1="00000000"/>
  </w:font>
  <w:font w:name="华文宋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6" w:fontKey="{AD51C0CE-398D-4C00-8840-C6A4FC0E45D8}"/>
  </w:font>
  <w:font w:name="Wingdings 2">
    <w:panose1 w:val="05020102010507070707"/>
    <w:charset w:val="00"/>
    <w:family w:val="auto"/>
    <w:pitch w:val="default"/>
    <w:sig w:usb0="00000000" w:usb1="00000000" w:usb2="00000000" w:usb3="00000000" w:csb0="80000000" w:csb1="00000000"/>
    <w:embedRegular r:id="rId7" w:fontKey="{EC513833-BB81-4689-B5F8-BBE269750A9E}"/>
  </w:font>
  <w:font w:name="方正仿宋_GBK">
    <w:altName w:val="微软雅黑"/>
    <w:panose1 w:val="00000000000000000000"/>
    <w:charset w:val="86"/>
    <w:family w:val="auto"/>
    <w:pitch w:val="default"/>
    <w:sig w:usb0="00000000" w:usb1="00000000" w:usb2="00000000" w:usb3="00000000" w:csb0="00040000" w:csb1="00000000"/>
    <w:embedRegular r:id="rId8" w:fontKey="{4F9E7C82-6F33-498C-B794-3E5211426228}"/>
  </w:font>
  <w:font w:name="楷体_GB2312">
    <w:altName w:val="楷体"/>
    <w:panose1 w:val="00000000000000000000"/>
    <w:charset w:val="00"/>
    <w:family w:val="auto"/>
    <w:pitch w:val="default"/>
    <w:sig w:usb0="00000000" w:usb1="00000000" w:usb2="00000000" w:usb3="00000000" w:csb0="00000000" w:csb1="00000000"/>
    <w:embedRegular r:id="rId9" w:fontKey="{309F57F4-9B22-4938-B353-F9966A3B938E}"/>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embedRegular r:id="rId10" w:fontKey="{CC7A63D2-9AD1-486B-98CF-AE87542737C7}"/>
  </w:font>
  <w:font w:name="方正小标宋简体">
    <w:panose1 w:val="02010600010101010101"/>
    <w:charset w:val="86"/>
    <w:family w:val="auto"/>
    <w:pitch w:val="default"/>
    <w:sig w:usb0="00000001" w:usb1="080E0000" w:usb2="00000000" w:usb3="00000000" w:csb0="00040000" w:csb1="00000000"/>
    <w:embedRegular r:id="rId11" w:fontKey="{B19AEED4-645E-4F9F-8027-2A6A4ABEB68A}"/>
  </w:font>
  <w:font w:name="方正小标宋_GBK">
    <w:panose1 w:val="02000000000000000000"/>
    <w:charset w:val="86"/>
    <w:family w:val="auto"/>
    <w:pitch w:val="default"/>
    <w:sig w:usb0="A00002BF" w:usb1="38CF7CFA" w:usb2="00082016" w:usb3="00000000" w:csb0="00040001" w:csb1="00000000"/>
    <w:embedRegular r:id="rId12" w:fontKey="{4BDBA40E-EA86-4829-8773-76F7177FD3B2}"/>
  </w:font>
  <w:font w:name="WPSEMBED1">
    <w:panose1 w:val="05020102010507070707"/>
    <w:charset w:val="00"/>
    <w:family w:val="auto"/>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0"/>
      <w:jc w:val="center"/>
      <w:rPr>
        <w:rStyle w:val="20"/>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p w14:paraId="5AE7A01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1"/>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F3313"/>
    <w:multiLevelType w:val="singleLevel"/>
    <w:tmpl w:val="C2FF3313"/>
    <w:lvl w:ilvl="0" w:tentative="0">
      <w:start w:val="3"/>
      <w:numFmt w:val="chineseCounting"/>
      <w:suff w:val="space"/>
      <w:lvlText w:val="（%1）"/>
      <w:lvlJc w:val="left"/>
      <w:rPr>
        <w:rFonts w:hint="eastAsia"/>
      </w:rPr>
    </w:lvl>
  </w:abstractNum>
  <w:abstractNum w:abstractNumId="1">
    <w:nsid w:val="D9602B2F"/>
    <w:multiLevelType w:val="singleLevel"/>
    <w:tmpl w:val="D9602B2F"/>
    <w:lvl w:ilvl="0" w:tentative="0">
      <w:start w:val="1"/>
      <w:numFmt w:val="chineseCounting"/>
      <w:suff w:val="space"/>
      <w:lvlText w:val="%1、"/>
      <w:lvlJc w:val="left"/>
      <w:rPr>
        <w:rFonts w:hint="eastAsia"/>
      </w:rPr>
    </w:lvl>
  </w:abstractNum>
  <w:abstractNum w:abstractNumId="2">
    <w:nsid w:val="F4421C38"/>
    <w:multiLevelType w:val="singleLevel"/>
    <w:tmpl w:val="F4421C38"/>
    <w:lvl w:ilvl="0" w:tentative="0">
      <w:start w:val="1"/>
      <w:numFmt w:val="chineseCounting"/>
      <w:suff w:val="space"/>
      <w:lvlText w:val="第%1章"/>
      <w:lvlJc w:val="left"/>
      <w:rPr>
        <w:rFonts w:hint="eastAsia"/>
      </w:rPr>
    </w:lvl>
  </w:abstractNum>
  <w:abstractNum w:abstractNumId="3">
    <w:nsid w:val="07486699"/>
    <w:multiLevelType w:val="singleLevel"/>
    <w:tmpl w:val="07486699"/>
    <w:lvl w:ilvl="0" w:tentative="0">
      <w:start w:val="1"/>
      <w:numFmt w:val="decimal"/>
      <w:lvlText w:val="%1."/>
      <w:lvlJc w:val="left"/>
      <w:pPr>
        <w:tabs>
          <w:tab w:val="left" w:pos="312"/>
        </w:tabs>
      </w:pPr>
    </w:lvl>
  </w:abstractNum>
  <w:abstractNum w:abstractNumId="4">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6">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8">
    <w:nsid w:val="4C5BCD0C"/>
    <w:multiLevelType w:val="singleLevel"/>
    <w:tmpl w:val="4C5BCD0C"/>
    <w:lvl w:ilvl="0" w:tentative="0">
      <w:start w:val="6"/>
      <w:numFmt w:val="chineseCounting"/>
      <w:suff w:val="space"/>
      <w:lvlText w:val="第%1章"/>
      <w:lvlJc w:val="left"/>
      <w:rPr>
        <w:rFonts w:hint="eastAsia"/>
      </w:rPr>
    </w:lvl>
  </w:abstractNum>
  <w:abstractNum w:abstractNumId="9">
    <w:nsid w:val="507A66DD"/>
    <w:multiLevelType w:val="singleLevel"/>
    <w:tmpl w:val="507A66DD"/>
    <w:lvl w:ilvl="0" w:tentative="0">
      <w:start w:val="5"/>
      <w:numFmt w:val="chineseCounting"/>
      <w:suff w:val="nothing"/>
      <w:lvlText w:val="%1、"/>
      <w:lvlJc w:val="left"/>
      <w:rPr>
        <w:rFonts w:hint="eastAsia"/>
      </w:rPr>
    </w:lvl>
  </w:abstractNum>
  <w:abstractNum w:abstractNumId="10">
    <w:nsid w:val="50FB4E67"/>
    <w:multiLevelType w:val="singleLevel"/>
    <w:tmpl w:val="50FB4E67"/>
    <w:lvl w:ilvl="0" w:tentative="0">
      <w:start w:val="1"/>
      <w:numFmt w:val="decimal"/>
      <w:suff w:val="space"/>
      <w:lvlText w:val="%1."/>
      <w:lvlJc w:val="left"/>
    </w:lvl>
  </w:abstractNum>
  <w:abstractNum w:abstractNumId="11">
    <w:nsid w:val="59215DE2"/>
    <w:multiLevelType w:val="singleLevel"/>
    <w:tmpl w:val="59215DE2"/>
    <w:lvl w:ilvl="0" w:tentative="0">
      <w:start w:val="2"/>
      <w:numFmt w:val="decimal"/>
      <w:suff w:val="nothing"/>
      <w:lvlText w:val="（%1）"/>
      <w:lvlJc w:val="left"/>
    </w:lvl>
  </w:abstractNum>
  <w:abstractNum w:abstractNumId="1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3">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9"/>
  </w:num>
  <w:num w:numId="5">
    <w:abstractNumId w:val="6"/>
  </w:num>
  <w:num w:numId="6">
    <w:abstractNumId w:val="4"/>
  </w:num>
  <w:num w:numId="7">
    <w:abstractNumId w:val="14"/>
  </w:num>
  <w:num w:numId="8">
    <w:abstractNumId w:val="0"/>
  </w:num>
  <w:num w:numId="9">
    <w:abstractNumId w:val="10"/>
  </w:num>
  <w:num w:numId="10">
    <w:abstractNumId w:val="7"/>
  </w:num>
  <w:num w:numId="11">
    <w:abstractNumId w:val="5"/>
  </w:num>
  <w:num w:numId="12">
    <w:abstractNumId w:val="3"/>
  </w:num>
  <w:num w:numId="13">
    <w:abstractNumId w:val="16"/>
  </w:num>
  <w:num w:numId="14">
    <w:abstractNumId w:val="12"/>
  </w:num>
  <w:num w:numId="15">
    <w:abstractNumId w:val="1"/>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DYyYmQ1ZDA0NDE2ZWMxMTVjMTBjNjZlNGMxZWM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26253"/>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D4B18"/>
    <w:rsid w:val="00DE0DB1"/>
    <w:rsid w:val="00DF281B"/>
    <w:rsid w:val="00E309D1"/>
    <w:rsid w:val="00E70B1C"/>
    <w:rsid w:val="00EE5E48"/>
    <w:rsid w:val="00FC1F7B"/>
    <w:rsid w:val="00FD6AFE"/>
    <w:rsid w:val="00FF2DFF"/>
    <w:rsid w:val="02A9777F"/>
    <w:rsid w:val="02AF66E0"/>
    <w:rsid w:val="031E1CC9"/>
    <w:rsid w:val="0320670E"/>
    <w:rsid w:val="034B4BE6"/>
    <w:rsid w:val="03D86CBB"/>
    <w:rsid w:val="0407590C"/>
    <w:rsid w:val="046F3F65"/>
    <w:rsid w:val="047E7636"/>
    <w:rsid w:val="05830AC6"/>
    <w:rsid w:val="05B34ED2"/>
    <w:rsid w:val="05C7701E"/>
    <w:rsid w:val="05E163D0"/>
    <w:rsid w:val="06A974F2"/>
    <w:rsid w:val="0729050F"/>
    <w:rsid w:val="0744295F"/>
    <w:rsid w:val="075E2523"/>
    <w:rsid w:val="07711AD4"/>
    <w:rsid w:val="07AB1C61"/>
    <w:rsid w:val="07FB70D8"/>
    <w:rsid w:val="080655EC"/>
    <w:rsid w:val="0861098D"/>
    <w:rsid w:val="08D364DD"/>
    <w:rsid w:val="098008CA"/>
    <w:rsid w:val="09A06388"/>
    <w:rsid w:val="0B89451B"/>
    <w:rsid w:val="0C415C2B"/>
    <w:rsid w:val="0C775C71"/>
    <w:rsid w:val="0CA95AF4"/>
    <w:rsid w:val="0D2F59DD"/>
    <w:rsid w:val="0DD34C1E"/>
    <w:rsid w:val="0F2B57C3"/>
    <w:rsid w:val="0F3833E7"/>
    <w:rsid w:val="0FEF647A"/>
    <w:rsid w:val="1099323E"/>
    <w:rsid w:val="11170236"/>
    <w:rsid w:val="113F716A"/>
    <w:rsid w:val="11547CE6"/>
    <w:rsid w:val="11A46535"/>
    <w:rsid w:val="12DD6F01"/>
    <w:rsid w:val="12EC5AC1"/>
    <w:rsid w:val="13251FF4"/>
    <w:rsid w:val="133438E9"/>
    <w:rsid w:val="14103048"/>
    <w:rsid w:val="14784417"/>
    <w:rsid w:val="14BB18F8"/>
    <w:rsid w:val="15E056F0"/>
    <w:rsid w:val="165B02D3"/>
    <w:rsid w:val="16E878A8"/>
    <w:rsid w:val="16FD7F75"/>
    <w:rsid w:val="17422DCB"/>
    <w:rsid w:val="17BE6A0B"/>
    <w:rsid w:val="17C0574B"/>
    <w:rsid w:val="182D25C2"/>
    <w:rsid w:val="187C40C2"/>
    <w:rsid w:val="18CD0295"/>
    <w:rsid w:val="18D1626C"/>
    <w:rsid w:val="19C34D79"/>
    <w:rsid w:val="19E23181"/>
    <w:rsid w:val="1A2A0151"/>
    <w:rsid w:val="1AF57CC6"/>
    <w:rsid w:val="1BCD1BBD"/>
    <w:rsid w:val="1CB04F5A"/>
    <w:rsid w:val="1CF04135"/>
    <w:rsid w:val="1D0B2FB0"/>
    <w:rsid w:val="1E1B7543"/>
    <w:rsid w:val="1E287231"/>
    <w:rsid w:val="1FB10D31"/>
    <w:rsid w:val="201B5E8D"/>
    <w:rsid w:val="20533A26"/>
    <w:rsid w:val="205729C5"/>
    <w:rsid w:val="20B61DE1"/>
    <w:rsid w:val="20FE7400"/>
    <w:rsid w:val="210D20DA"/>
    <w:rsid w:val="21307DB2"/>
    <w:rsid w:val="220311B7"/>
    <w:rsid w:val="22E70F8C"/>
    <w:rsid w:val="22F35ED1"/>
    <w:rsid w:val="230949B3"/>
    <w:rsid w:val="231B2B24"/>
    <w:rsid w:val="239F6B5C"/>
    <w:rsid w:val="23C063DE"/>
    <w:rsid w:val="24106E72"/>
    <w:rsid w:val="24487A08"/>
    <w:rsid w:val="24BE1867"/>
    <w:rsid w:val="25DE2164"/>
    <w:rsid w:val="262C78E7"/>
    <w:rsid w:val="268564DD"/>
    <w:rsid w:val="26A900A8"/>
    <w:rsid w:val="271324B7"/>
    <w:rsid w:val="274550D1"/>
    <w:rsid w:val="275859A0"/>
    <w:rsid w:val="27BB7CDD"/>
    <w:rsid w:val="29833AC2"/>
    <w:rsid w:val="2A786D8D"/>
    <w:rsid w:val="2A802951"/>
    <w:rsid w:val="2B4C1378"/>
    <w:rsid w:val="2BE90BA6"/>
    <w:rsid w:val="2C150838"/>
    <w:rsid w:val="2C3E49FC"/>
    <w:rsid w:val="2D18339C"/>
    <w:rsid w:val="2D8D5C78"/>
    <w:rsid w:val="2EE67D35"/>
    <w:rsid w:val="2F623005"/>
    <w:rsid w:val="2F807931"/>
    <w:rsid w:val="3153125F"/>
    <w:rsid w:val="315F792B"/>
    <w:rsid w:val="32674CE9"/>
    <w:rsid w:val="32BB4225"/>
    <w:rsid w:val="33EC55F9"/>
    <w:rsid w:val="348651FA"/>
    <w:rsid w:val="34FE4919"/>
    <w:rsid w:val="35294DAE"/>
    <w:rsid w:val="355369E9"/>
    <w:rsid w:val="35F51174"/>
    <w:rsid w:val="35F76384"/>
    <w:rsid w:val="364E3EA8"/>
    <w:rsid w:val="366D7269"/>
    <w:rsid w:val="36865435"/>
    <w:rsid w:val="37206CBB"/>
    <w:rsid w:val="37743C09"/>
    <w:rsid w:val="37753A04"/>
    <w:rsid w:val="38AA1DD4"/>
    <w:rsid w:val="38E30E42"/>
    <w:rsid w:val="38EF30F5"/>
    <w:rsid w:val="3B273268"/>
    <w:rsid w:val="3C844841"/>
    <w:rsid w:val="3D626DA6"/>
    <w:rsid w:val="3E896739"/>
    <w:rsid w:val="3ED82EA8"/>
    <w:rsid w:val="3F951D49"/>
    <w:rsid w:val="3FB3156E"/>
    <w:rsid w:val="3FF9372A"/>
    <w:rsid w:val="4000052B"/>
    <w:rsid w:val="40624EF6"/>
    <w:rsid w:val="41B77024"/>
    <w:rsid w:val="437A1489"/>
    <w:rsid w:val="45FD1696"/>
    <w:rsid w:val="46614FB8"/>
    <w:rsid w:val="480F755D"/>
    <w:rsid w:val="486B29D8"/>
    <w:rsid w:val="48C4659A"/>
    <w:rsid w:val="48DB3851"/>
    <w:rsid w:val="494A4D03"/>
    <w:rsid w:val="49F56077"/>
    <w:rsid w:val="4A4B30A6"/>
    <w:rsid w:val="4A673681"/>
    <w:rsid w:val="4BA80704"/>
    <w:rsid w:val="4BB057D6"/>
    <w:rsid w:val="4C186067"/>
    <w:rsid w:val="4CFC253C"/>
    <w:rsid w:val="4D4B557E"/>
    <w:rsid w:val="4E287B8F"/>
    <w:rsid w:val="4E2B2C17"/>
    <w:rsid w:val="4F276100"/>
    <w:rsid w:val="4F337933"/>
    <w:rsid w:val="4F7227C9"/>
    <w:rsid w:val="51CA5707"/>
    <w:rsid w:val="52662470"/>
    <w:rsid w:val="52796647"/>
    <w:rsid w:val="52835739"/>
    <w:rsid w:val="528965FF"/>
    <w:rsid w:val="54034D64"/>
    <w:rsid w:val="546465A8"/>
    <w:rsid w:val="54707634"/>
    <w:rsid w:val="548605A3"/>
    <w:rsid w:val="55223429"/>
    <w:rsid w:val="55301E37"/>
    <w:rsid w:val="564156CE"/>
    <w:rsid w:val="5703767D"/>
    <w:rsid w:val="570C231F"/>
    <w:rsid w:val="57641802"/>
    <w:rsid w:val="58EB2CD9"/>
    <w:rsid w:val="592204BC"/>
    <w:rsid w:val="5B0F6FF4"/>
    <w:rsid w:val="5D045FFD"/>
    <w:rsid w:val="5DAE1F62"/>
    <w:rsid w:val="5DE35818"/>
    <w:rsid w:val="5DED21E0"/>
    <w:rsid w:val="5DFC0378"/>
    <w:rsid w:val="5E533026"/>
    <w:rsid w:val="5F7F1015"/>
    <w:rsid w:val="5F8F74AA"/>
    <w:rsid w:val="603040BD"/>
    <w:rsid w:val="61131A15"/>
    <w:rsid w:val="63DA5557"/>
    <w:rsid w:val="651F6AF8"/>
    <w:rsid w:val="6591642E"/>
    <w:rsid w:val="65AF2FC0"/>
    <w:rsid w:val="664D7777"/>
    <w:rsid w:val="66FB3482"/>
    <w:rsid w:val="672B148E"/>
    <w:rsid w:val="6773695A"/>
    <w:rsid w:val="67775E34"/>
    <w:rsid w:val="67B840B0"/>
    <w:rsid w:val="68921DB9"/>
    <w:rsid w:val="69D81A4D"/>
    <w:rsid w:val="69EE0DB5"/>
    <w:rsid w:val="6A507835"/>
    <w:rsid w:val="6B1E5ABE"/>
    <w:rsid w:val="6B7258C3"/>
    <w:rsid w:val="6B9D7D0A"/>
    <w:rsid w:val="6CA908B2"/>
    <w:rsid w:val="6D6134B1"/>
    <w:rsid w:val="6EF015E7"/>
    <w:rsid w:val="6FA3559F"/>
    <w:rsid w:val="700B526E"/>
    <w:rsid w:val="70497201"/>
    <w:rsid w:val="7083201C"/>
    <w:rsid w:val="708A7E9A"/>
    <w:rsid w:val="70A95EF1"/>
    <w:rsid w:val="70C67989"/>
    <w:rsid w:val="72207836"/>
    <w:rsid w:val="723039E4"/>
    <w:rsid w:val="72367718"/>
    <w:rsid w:val="72ED6ADA"/>
    <w:rsid w:val="73C80160"/>
    <w:rsid w:val="73F85F77"/>
    <w:rsid w:val="744F0493"/>
    <w:rsid w:val="74B661AA"/>
    <w:rsid w:val="755469EE"/>
    <w:rsid w:val="76074F9A"/>
    <w:rsid w:val="76525A3A"/>
    <w:rsid w:val="76764645"/>
    <w:rsid w:val="77187ACC"/>
    <w:rsid w:val="77785B42"/>
    <w:rsid w:val="77813724"/>
    <w:rsid w:val="77CB584B"/>
    <w:rsid w:val="780A23D9"/>
    <w:rsid w:val="786D4A31"/>
    <w:rsid w:val="788039DC"/>
    <w:rsid w:val="78B60C02"/>
    <w:rsid w:val="78FA0D3D"/>
    <w:rsid w:val="7A2747BD"/>
    <w:rsid w:val="7A7430CC"/>
    <w:rsid w:val="7B2C15E1"/>
    <w:rsid w:val="7BC4348B"/>
    <w:rsid w:val="7C22504E"/>
    <w:rsid w:val="7CA61410"/>
    <w:rsid w:val="7D0D1FD1"/>
    <w:rsid w:val="7D806106"/>
    <w:rsid w:val="7D863BB0"/>
    <w:rsid w:val="7D986F5E"/>
    <w:rsid w:val="7E060C3F"/>
    <w:rsid w:val="7E370052"/>
    <w:rsid w:val="7ED11769"/>
    <w:rsid w:val="7F0D1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widowControl/>
      <w:jc w:val="left"/>
      <w:outlineLvl w:val="0"/>
    </w:pPr>
    <w:rPr>
      <w:b/>
      <w:bCs/>
      <w:kern w:val="0"/>
      <w:sz w:val="24"/>
    </w:rPr>
  </w:style>
  <w:style w:type="paragraph" w:styleId="4">
    <w:name w:val="heading 2"/>
    <w:basedOn w:val="1"/>
    <w:next w:val="1"/>
    <w:qFormat/>
    <w:uiPriority w:val="0"/>
    <w:pPr>
      <w:outlineLvl w:val="1"/>
    </w:pPr>
    <w:rPr>
      <w:rFonts w:ascii="Cambria" w:hAnsi="Cambria" w:cs="宋体"/>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Normal Indent"/>
    <w:basedOn w:val="1"/>
    <w:next w:val="2"/>
    <w:qFormat/>
    <w:uiPriority w:val="99"/>
    <w:pPr>
      <w:ind w:firstLine="420" w:firstLineChars="200"/>
    </w:pPr>
  </w:style>
  <w:style w:type="paragraph" w:styleId="6">
    <w:name w:val="annotation text"/>
    <w:basedOn w:val="1"/>
    <w:qFormat/>
    <w:uiPriority w:val="0"/>
    <w:pPr>
      <w:jc w:val="left"/>
    </w:pPr>
    <w:rPr>
      <w:rFonts w:asciiTheme="minorHAnsi" w:hAnsiTheme="minorHAnsi" w:eastAsiaTheme="minorEastAsia" w:cstheme="minorBidi"/>
    </w:rPr>
  </w:style>
  <w:style w:type="paragraph" w:styleId="7">
    <w:name w:val="Body Text Indent"/>
    <w:basedOn w:val="1"/>
    <w:qFormat/>
    <w:uiPriority w:val="0"/>
    <w:pPr>
      <w:spacing w:line="560" w:lineRule="exact"/>
      <w:ind w:left="300"/>
    </w:pPr>
    <w:rPr>
      <w:sz w:val="24"/>
    </w:rPr>
  </w:style>
  <w:style w:type="paragraph" w:styleId="8">
    <w:name w:val="toc 3"/>
    <w:basedOn w:val="1"/>
    <w:next w:val="1"/>
    <w:semiHidden/>
    <w:unhideWhenUsed/>
    <w:qFormat/>
    <w:uiPriority w:val="39"/>
    <w:pPr>
      <w:ind w:left="840" w:leftChars="400"/>
    </w:pPr>
  </w:style>
  <w:style w:type="paragraph" w:styleId="9">
    <w:name w:val="Plain Text"/>
    <w:basedOn w:val="1"/>
    <w:link w:val="26"/>
    <w:semiHidden/>
    <w:unhideWhenUsed/>
    <w:qFormat/>
    <w:uiPriority w:val="99"/>
    <w:rPr>
      <w:rFonts w:ascii="宋体" w:hAnsi="Courier New" w:eastAsia="宋体" w:cs="Times New Roman"/>
      <w:szCs w:val="20"/>
    </w:rPr>
  </w:style>
  <w:style w:type="paragraph" w:styleId="10">
    <w:name w:val="footer"/>
    <w:basedOn w:val="1"/>
    <w:link w:val="25"/>
    <w:semiHidden/>
    <w:unhideWhenUsed/>
    <w:qFormat/>
    <w:uiPriority w:val="99"/>
    <w:pPr>
      <w:tabs>
        <w:tab w:val="center" w:pos="4153"/>
        <w:tab w:val="right" w:pos="8306"/>
      </w:tabs>
      <w:snapToGrid w:val="0"/>
      <w:jc w:val="left"/>
    </w:pPr>
    <w:rPr>
      <w:sz w:val="18"/>
      <w:szCs w:val="18"/>
    </w:rPr>
  </w:style>
  <w:style w:type="paragraph" w:styleId="11">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5">
    <w:name w:val="Body Text First Indent 2"/>
    <w:basedOn w:val="7"/>
    <w:qFormat/>
    <w:uiPriority w:val="0"/>
    <w:pPr>
      <w:ind w:firstLine="420" w:firstLineChars="200"/>
    </w:pPr>
    <w:rPr>
      <w:sz w:val="21"/>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Strong"/>
    <w:basedOn w:val="18"/>
    <w:qFormat/>
    <w:uiPriority w:val="0"/>
    <w:rPr>
      <w:b/>
      <w:bCs/>
    </w:rPr>
  </w:style>
  <w:style w:type="character" w:styleId="20">
    <w:name w:val="page number"/>
    <w:basedOn w:val="18"/>
    <w:qFormat/>
    <w:uiPriority w:val="0"/>
  </w:style>
  <w:style w:type="character" w:styleId="21">
    <w:name w:val="Emphasis"/>
    <w:basedOn w:val="18"/>
    <w:qFormat/>
    <w:uiPriority w:val="0"/>
    <w:rPr>
      <w:i/>
      <w:iCs/>
    </w:rPr>
  </w:style>
  <w:style w:type="character" w:styleId="22">
    <w:name w:val="Hyperlink"/>
    <w:qFormat/>
    <w:uiPriority w:val="99"/>
    <w:rPr>
      <w:color w:val="0000FF"/>
      <w:u w:val="single"/>
    </w:rPr>
  </w:style>
  <w:style w:type="paragraph" w:customStyle="1" w:styleId="23">
    <w:name w:val="文档正文"/>
    <w:basedOn w:val="1"/>
    <w:qFormat/>
    <w:uiPriority w:val="99"/>
    <w:pPr>
      <w:adjustRightInd w:val="0"/>
      <w:spacing w:line="480" w:lineRule="atLeast"/>
      <w:ind w:firstLine="567" w:firstLineChars="200"/>
      <w:textAlignment w:val="baseline"/>
    </w:pPr>
    <w:rPr>
      <w:rFonts w:ascii="长城仿宋"/>
      <w:szCs w:val="20"/>
    </w:rPr>
  </w:style>
  <w:style w:type="character" w:customStyle="1" w:styleId="24">
    <w:name w:val="页眉 Char"/>
    <w:basedOn w:val="18"/>
    <w:link w:val="11"/>
    <w:semiHidden/>
    <w:qFormat/>
    <w:uiPriority w:val="99"/>
    <w:rPr>
      <w:sz w:val="18"/>
      <w:szCs w:val="18"/>
    </w:rPr>
  </w:style>
  <w:style w:type="character" w:customStyle="1" w:styleId="25">
    <w:name w:val="页脚 Char"/>
    <w:basedOn w:val="18"/>
    <w:link w:val="10"/>
    <w:semiHidden/>
    <w:qFormat/>
    <w:uiPriority w:val="99"/>
    <w:rPr>
      <w:sz w:val="18"/>
      <w:szCs w:val="18"/>
    </w:rPr>
  </w:style>
  <w:style w:type="character" w:customStyle="1" w:styleId="26">
    <w:name w:val="纯文本 Char"/>
    <w:basedOn w:val="18"/>
    <w:link w:val="9"/>
    <w:semiHidden/>
    <w:qFormat/>
    <w:uiPriority w:val="99"/>
    <w:rPr>
      <w:rFonts w:ascii="宋体" w:hAnsi="Courier New" w:eastAsia="宋体" w:cs="Times New Roman"/>
      <w:szCs w:val="20"/>
    </w:rPr>
  </w:style>
  <w:style w:type="paragraph" w:customStyle="1" w:styleId="27">
    <w:name w:val="列出段落11"/>
    <w:basedOn w:val="1"/>
    <w:qFormat/>
    <w:uiPriority w:val="0"/>
    <w:pPr>
      <w:ind w:firstLine="420" w:firstLineChars="200"/>
    </w:pPr>
  </w:style>
  <w:style w:type="paragraph" w:styleId="28">
    <w:name w:val="List Paragraph"/>
    <w:basedOn w:val="1"/>
    <w:autoRedefine/>
    <w:qFormat/>
    <w:uiPriority w:val="34"/>
    <w:pPr>
      <w:ind w:firstLine="420" w:firstLineChars="200"/>
    </w:pPr>
    <w:rPr>
      <w:rFonts w:ascii="Calibri" w:hAnsi="Calibri"/>
      <w:szCs w:val="22"/>
    </w:rPr>
  </w:style>
  <w:style w:type="character" w:customStyle="1" w:styleId="29">
    <w:name w:val="font11"/>
    <w:basedOn w:val="18"/>
    <w:qFormat/>
    <w:uiPriority w:val="0"/>
    <w:rPr>
      <w:rFonts w:hint="eastAsia" w:ascii="宋体" w:hAnsi="宋体" w:eastAsia="宋体" w:cs="宋体"/>
      <w:color w:val="000000"/>
      <w:sz w:val="24"/>
      <w:szCs w:val="24"/>
      <w:u w:val="none"/>
    </w:rPr>
  </w:style>
  <w:style w:type="character" w:customStyle="1" w:styleId="30">
    <w:name w:val="font41"/>
    <w:basedOn w:val="18"/>
    <w:qFormat/>
    <w:uiPriority w:val="0"/>
    <w:rPr>
      <w:rFonts w:hint="default" w:ascii="Times New Roman" w:hAnsi="Times New Roman" w:cs="Times New Roman"/>
      <w:color w:val="000000"/>
      <w:sz w:val="24"/>
      <w:szCs w:val="24"/>
      <w:u w:val="none"/>
    </w:rPr>
  </w:style>
  <w:style w:type="paragraph" w:customStyle="1" w:styleId="31">
    <w:name w:val="*正文"/>
    <w:basedOn w:val="1"/>
    <w:qFormat/>
    <w:uiPriority w:val="0"/>
    <w:pPr>
      <w:spacing w:line="360" w:lineRule="auto"/>
      <w:ind w:firstLine="200" w:firstLineChars="200"/>
    </w:pPr>
    <w:rPr>
      <w:rFonts w:ascii="宋体" w:hAnsi="宋体"/>
      <w:kern w:val="0"/>
      <w:sz w:val="22"/>
      <w:szCs w:val="24"/>
    </w:rPr>
  </w:style>
  <w:style w:type="paragraph" w:customStyle="1" w:styleId="3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3">
    <w:name w:val="_Style 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列出段落1"/>
    <w:basedOn w:val="1"/>
    <w:autoRedefine/>
    <w:qFormat/>
    <w:uiPriority w:val="34"/>
    <w:pPr>
      <w:ind w:firstLine="420" w:firstLineChars="200"/>
    </w:pPr>
  </w:style>
  <w:style w:type="table" w:customStyle="1" w:styleId="35">
    <w:name w:val="网格型1"/>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
    <w:name w:val="font21"/>
    <w:basedOn w:val="18"/>
    <w:qFormat/>
    <w:uiPriority w:val="0"/>
    <w:rPr>
      <w:rFonts w:hint="eastAsia" w:ascii="宋体" w:hAnsi="宋体" w:eastAsia="宋体" w:cs="宋体"/>
      <w:color w:val="000000"/>
      <w:sz w:val="22"/>
      <w:szCs w:val="22"/>
      <w:u w:val="none"/>
    </w:rPr>
  </w:style>
  <w:style w:type="character" w:customStyle="1" w:styleId="37">
    <w:name w:val="font71"/>
    <w:basedOn w:val="18"/>
    <w:qFormat/>
    <w:uiPriority w:val="0"/>
    <w:rPr>
      <w:rFonts w:hint="eastAsia" w:ascii="微软雅黑" w:hAnsi="微软雅黑" w:eastAsia="微软雅黑" w:cs="微软雅黑"/>
      <w:color w:val="FF0000"/>
      <w:sz w:val="22"/>
      <w:szCs w:val="22"/>
      <w:u w:val="none"/>
    </w:rPr>
  </w:style>
  <w:style w:type="character" w:customStyle="1" w:styleId="38">
    <w:name w:val="font81"/>
    <w:basedOn w:val="18"/>
    <w:qFormat/>
    <w:uiPriority w:val="0"/>
    <w:rPr>
      <w:rFonts w:hint="eastAsia" w:ascii="宋体" w:hAnsi="宋体" w:eastAsia="宋体" w:cs="宋体"/>
      <w:color w:val="000000"/>
      <w:sz w:val="22"/>
      <w:szCs w:val="22"/>
      <w:u w:val="none"/>
    </w:rPr>
  </w:style>
  <w:style w:type="character" w:customStyle="1" w:styleId="39">
    <w:name w:val="font91"/>
    <w:basedOn w:val="18"/>
    <w:qFormat/>
    <w:uiPriority w:val="0"/>
    <w:rPr>
      <w:rFonts w:hint="default" w:ascii="Times New Roman" w:hAnsi="Times New Roman" w:cs="Times New Roman"/>
      <w:color w:val="FF0000"/>
      <w:sz w:val="22"/>
      <w:szCs w:val="22"/>
      <w:u w:val="none"/>
    </w:rPr>
  </w:style>
  <w:style w:type="character" w:customStyle="1" w:styleId="40">
    <w:name w:val="font101"/>
    <w:basedOn w:val="18"/>
    <w:qFormat/>
    <w:uiPriority w:val="0"/>
    <w:rPr>
      <w:rFonts w:hint="eastAsia" w:ascii="宋体" w:hAnsi="宋体" w:eastAsia="宋体" w:cs="宋体"/>
      <w:color w:val="FF0000"/>
      <w:sz w:val="22"/>
      <w:szCs w:val="22"/>
      <w:u w:val="none"/>
    </w:rPr>
  </w:style>
  <w:style w:type="character" w:customStyle="1" w:styleId="41">
    <w:name w:val="font51"/>
    <w:basedOn w:val="18"/>
    <w:qFormat/>
    <w:uiPriority w:val="0"/>
    <w:rPr>
      <w:rFonts w:hint="default" w:ascii="华文宋体" w:hAnsi="华文宋体" w:eastAsia="华文宋体" w:cs="华文宋体"/>
      <w:color w:val="000000"/>
      <w:sz w:val="22"/>
      <w:szCs w:val="22"/>
      <w:u w:val="none"/>
    </w:rPr>
  </w:style>
  <w:style w:type="character" w:customStyle="1" w:styleId="42">
    <w:name w:val="font121"/>
    <w:basedOn w:val="18"/>
    <w:qFormat/>
    <w:uiPriority w:val="0"/>
    <w:rPr>
      <w:rFonts w:hint="default" w:ascii="华文宋体" w:hAnsi="华文宋体" w:eastAsia="华文宋体" w:cs="华文宋体"/>
      <w:color w:val="FF0000"/>
      <w:sz w:val="22"/>
      <w:szCs w:val="22"/>
      <w:u w:val="none"/>
    </w:rPr>
  </w:style>
  <w:style w:type="character" w:customStyle="1" w:styleId="43">
    <w:name w:val="font111"/>
    <w:basedOn w:val="18"/>
    <w:qFormat/>
    <w:uiPriority w:val="0"/>
    <w:rPr>
      <w:rFonts w:ascii="Arial" w:hAnsi="Arial" w:cs="Arial"/>
      <w:color w:val="000000"/>
      <w:sz w:val="22"/>
      <w:szCs w:val="22"/>
      <w:u w:val="none"/>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样式1 Char Char"/>
    <w:basedOn w:val="1"/>
    <w:qFormat/>
    <w:uiPriority w:val="0"/>
    <w:pPr>
      <w:keepNext w:val="0"/>
      <w:keepLines w:val="0"/>
      <w:widowControl w:val="0"/>
      <w:suppressLineNumbers w:val="0"/>
      <w:spacing w:before="0" w:beforeAutospacing="0" w:after="0" w:afterAutospacing="0" w:line="360" w:lineRule="auto"/>
      <w:ind w:left="0" w:right="0" w:firstLine="516" w:firstLineChars="215"/>
      <w:jc w:val="both"/>
    </w:pPr>
    <w:rPr>
      <w:rFonts w:hint="default" w:ascii="Calibri" w:hAnsi="Calibri" w:eastAsia="宋体" w:cs="Times New Roman"/>
      <w:kern w:val="2"/>
      <w:sz w:val="24"/>
      <w:szCs w:val="24"/>
      <w:lang w:val="en-US" w:eastAsia="zh-CN" w:bidi="ar"/>
    </w:rPr>
  </w:style>
  <w:style w:type="character" w:customStyle="1" w:styleId="46">
    <w:name w:val="font31"/>
    <w:basedOn w:val="18"/>
    <w:qFormat/>
    <w:uiPriority w:val="0"/>
    <w:rPr>
      <w:rFonts w:hint="eastAsia" w:ascii="宋体" w:hAnsi="宋体" w:eastAsia="宋体" w:cs="宋体"/>
      <w:color w:val="FF0000"/>
      <w:sz w:val="22"/>
      <w:szCs w:val="22"/>
      <w:u w:val="none"/>
    </w:rPr>
  </w:style>
  <w:style w:type="character" w:customStyle="1" w:styleId="47">
    <w:name w:val="font61"/>
    <w:basedOn w:val="18"/>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94</Pages>
  <Words>2366</Words>
  <Characters>2371</Characters>
  <Lines>1</Lines>
  <Paragraphs>1</Paragraphs>
  <TotalTime>44</TotalTime>
  <ScaleCrop>false</ScaleCrop>
  <LinksUpToDate>false</LinksUpToDate>
  <CharactersWithSpaces>2463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2026-06-29T00:13:29Z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88A03493831E496AACC3C060E7836E67_13</vt:lpwstr>
  </property>
  <property fmtid="{D5CDD505-2E9C-101B-9397-08002B2CF9AE}" pid="4" name="KSOTemplateDocerSaveRecord">
    <vt:lpwstr>eyJoZGlkIjoiM2EyNDYyYmQ1ZDA0NDE2ZWMxMTVjMTBjNjZlNGMxZWMiLCJ1c2VySWQiOiIxOTQ5NzkyNTQifQ==</vt:lpwstr>
  </property>
</Properties>
</file>