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29098"/>
      <w:bookmarkStart w:id="1" w:name="_Toc3689"/>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E1C8BC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5D6319E1">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6DECBE30">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F0792E2">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（一）在采购活动中应当回避而未回避的；</w:t>
      </w:r>
    </w:p>
    <w:p w14:paraId="3420769B">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（二）未按本条例规定签订、履行采购合同，造成严重后果的；</w:t>
      </w:r>
    </w:p>
    <w:p w14:paraId="10BB6117">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（三）隐瞒真实情况，提供虚假资料的；</w:t>
      </w:r>
    </w:p>
    <w:p w14:paraId="516D278A">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（四）以非法手段排斥其他供应商参与竞争的；</w:t>
      </w:r>
    </w:p>
    <w:p w14:paraId="265E2088">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（五）与其他采购参加人串通投标的；</w:t>
      </w:r>
    </w:p>
    <w:p w14:paraId="026422C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（六）恶意投诉的；</w:t>
      </w:r>
    </w:p>
    <w:p w14:paraId="4D895328">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（七）向采购项目相关人行贿或者提供其他不当利益的；</w:t>
      </w:r>
    </w:p>
    <w:p w14:paraId="1EAA76C2">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（八）阻碍、抗拒主管部门监督检查的；</w:t>
      </w:r>
    </w:p>
    <w:p w14:paraId="50BEA35E">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（九）其他违反本条例规定的行为。</w:t>
      </w:r>
    </w:p>
    <w:p w14:paraId="4D31945B">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二、《深圳经济特区政府采购条例实施细则》第七十五条 供应商有下列情形的，属于采购条例所称的串通投标行为，按照采购条例第五十七条有关规定处理：</w:t>
      </w:r>
    </w:p>
    <w:p w14:paraId="7E49B85B">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（一）投标供应商之间相互约定给予未中标的供应商利益补偿；</w:t>
      </w:r>
    </w:p>
    <w:p w14:paraId="43871BD9">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（二）不同投标供应商的法定代表人、主要经营负责人、项目投标授权代表人、项目负责人、主要技术人员为同一人、属同一单位或者在同一单位缴纳社会保险；</w:t>
      </w:r>
    </w:p>
    <w:p w14:paraId="179C1FB8">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（三）不同投标供应商的投标文件由同一单位或者同一人编制，或者由同一人分阶段参与编制的；</w:t>
      </w:r>
    </w:p>
    <w:p w14:paraId="69CA4D1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（四）不同投标供应商的投标文件或部分投标文件相互混装；</w:t>
      </w:r>
    </w:p>
    <w:p w14:paraId="78CFEB09">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（五）不同投标供应商的投标文件内容存在非正常一致；</w:t>
      </w:r>
    </w:p>
    <w:p w14:paraId="203B615D">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（六）由同一单位工作人员为两家以上（含两家）供应商进行同一项投标活动的；</w:t>
      </w:r>
    </w:p>
    <w:p w14:paraId="3077D9CD">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（七）主管部门依照法律、法规认定的其他情形。</w:t>
      </w:r>
    </w:p>
    <w:p w14:paraId="4C5B3757">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三、《深圳经济特区政府采购条例实施细则》第七十七条 供应商有下列情形之一的，属于隐瞒真实情况，提供虚假资料，按照采购条例第五十</w:t>
      </w:r>
      <w:r>
        <w:rPr>
          <w:rFonts w:hint="eastAsia" w:ascii="宋体" w:hAnsi="宋体" w:eastAsia="宋体" w:cs="宋体"/>
          <w:color w:val="FF0000"/>
          <w:sz w:val="24"/>
          <w:szCs w:val="24"/>
          <w:highlight w:val="none"/>
          <w:lang w:eastAsia="zh-CN"/>
        </w:rPr>
        <w:t>七条</w:t>
      </w:r>
      <w:r>
        <w:rPr>
          <w:rFonts w:hint="eastAsia" w:ascii="宋体" w:hAnsi="宋体" w:eastAsia="宋体" w:cs="宋体"/>
          <w:color w:val="FF0000"/>
          <w:sz w:val="24"/>
          <w:szCs w:val="24"/>
          <w:highlight w:val="none"/>
        </w:rPr>
        <w:t>的有关规定处理：</w:t>
      </w:r>
    </w:p>
    <w:p w14:paraId="5BB1E01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（一）通过转让或者租借等方式从其他单位获取资格或者资质证书投标的；</w:t>
      </w:r>
    </w:p>
    <w:p w14:paraId="704BA04E">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（二）由其他单位或者其他单位负责人在投标供应商编制的投标文件上加盖印章或者签字的；</w:t>
      </w:r>
    </w:p>
    <w:p w14:paraId="41552F06">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（三）项目负责人或者主要技术人员不是本单位人员的；</w:t>
      </w:r>
    </w:p>
    <w:p w14:paraId="7E815BE1">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（四）投标保证金不是从投标供应商基本账户转出的；</w:t>
      </w:r>
    </w:p>
    <w:p w14:paraId="50EED3FF">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（五）其他隐瞒真实情况、提供虚假资料的行为。</w:t>
      </w:r>
    </w:p>
    <w:p w14:paraId="71367C0E">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投标供应商不能提供项目负责人或者主要技术人员的劳动合同、社会保险等劳动关系证明材料的，视为存在前款第（三）项规定的情形。</w:t>
      </w:r>
    </w:p>
    <w:p w14:paraId="0ACD8E0A">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12CC135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五、请投标供应商阅读《政府采购违法行为风险知悉确认书》（内容详见“投标文件（编制参考模板）</w:t>
      </w:r>
      <w:r>
        <w:rPr>
          <w:rFonts w:hint="eastAsia" w:ascii="宋体" w:hAnsi="宋体" w:eastAsia="宋体" w:cs="宋体"/>
          <w:color w:val="FF0000"/>
          <w:sz w:val="24"/>
          <w:szCs w:val="24"/>
          <w:highlight w:val="none"/>
          <w:lang w:val="en-US" w:eastAsia="zh-CN"/>
        </w:rPr>
        <w:t>第十四项</w:t>
      </w:r>
      <w:r>
        <w:rPr>
          <w:rFonts w:hint="eastAsia" w:ascii="宋体" w:hAnsi="宋体" w:eastAsia="宋体" w:cs="宋体"/>
          <w:color w:val="FF0000"/>
          <w:sz w:val="24"/>
          <w:szCs w:val="24"/>
          <w:highlight w:val="none"/>
        </w:rPr>
        <w:t>”），并经各投标供应商负责人签字并加盖单位公章后，与投标文件一并提交。</w:t>
      </w:r>
    </w:p>
    <w:p w14:paraId="54303A14">
      <w:pPr>
        <w:ind w:firstLine="480" w:firstLineChars="200"/>
        <w:outlineLvl w:val="9"/>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六、《中华人民共和国政府采购法实施条例》第十八条 单位负责人为同一人或者存在直接控股、管理关系的不同供应商，不得参加同一合同项下的政府采购活动。</w:t>
      </w:r>
    </w:p>
    <w:p w14:paraId="1DC160D6">
      <w:pPr>
        <w:ind w:firstLine="480" w:firstLineChars="200"/>
        <w:outlineLvl w:val="9"/>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除单一来源采购项目外，为采购项目提供整体设计、规范编制或者项目管理、监 理、检测等服务的供应商，不得再参加该采购项目的其他采购活动。</w:t>
      </w:r>
    </w:p>
    <w:p w14:paraId="09EF303C">
      <w:pPr>
        <w:ind w:firstLine="480" w:firstLineChars="200"/>
        <w:outlineLvl w:val="9"/>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注：“特别警示条款”和《政府采购违法行为风险知悉确认书》用于对供应商违法行为的提醒，不作为供应商资格性审查及符合性审查条件。</w:t>
      </w:r>
    </w:p>
    <w:p w14:paraId="4F3151A7">
      <w:pPr>
        <w:jc w:val="center"/>
        <w:rPr>
          <w:rFonts w:hint="eastAsia" w:ascii="宋体" w:hAnsi="宋体" w:eastAsia="宋体" w:cs="宋体"/>
          <w:b/>
          <w:sz w:val="32"/>
          <w:szCs w:val="32"/>
          <w:highlight w:val="none"/>
        </w:rPr>
      </w:pPr>
    </w:p>
    <w:p w14:paraId="68F166CC">
      <w:pPr>
        <w:jc w:val="center"/>
        <w:rPr>
          <w:rFonts w:hint="eastAsia" w:ascii="宋体" w:hAnsi="宋体" w:eastAsia="宋体" w:cs="宋体"/>
          <w:b/>
          <w:sz w:val="32"/>
          <w:szCs w:val="32"/>
          <w:highlight w:val="none"/>
        </w:rPr>
      </w:pPr>
    </w:p>
    <w:p w14:paraId="527FD46D">
      <w:pPr>
        <w:jc w:val="center"/>
        <w:rPr>
          <w:rFonts w:hint="eastAsia" w:ascii="宋体" w:hAnsi="宋体" w:eastAsia="宋体" w:cs="宋体"/>
          <w:b/>
          <w:sz w:val="32"/>
          <w:szCs w:val="32"/>
          <w:highlight w:val="none"/>
        </w:rPr>
      </w:pPr>
    </w:p>
    <w:p w14:paraId="46F4EE58">
      <w:pPr>
        <w:jc w:val="center"/>
        <w:rPr>
          <w:rFonts w:hint="eastAsia" w:ascii="宋体" w:hAnsi="宋体" w:eastAsia="宋体" w:cs="宋体"/>
          <w:b/>
          <w:sz w:val="32"/>
          <w:szCs w:val="32"/>
          <w:highlight w:val="none"/>
        </w:rPr>
      </w:pPr>
    </w:p>
    <w:p w14:paraId="7AA3AC79">
      <w:pPr>
        <w:jc w:val="center"/>
        <w:rPr>
          <w:rFonts w:hint="eastAsia" w:ascii="宋体" w:hAnsi="宋体" w:eastAsia="宋体" w:cs="宋体"/>
          <w:b/>
          <w:sz w:val="32"/>
          <w:szCs w:val="32"/>
          <w:highlight w:val="none"/>
        </w:rPr>
      </w:pPr>
    </w:p>
    <w:p w14:paraId="09CE9C04">
      <w:pPr>
        <w:jc w:val="center"/>
        <w:rPr>
          <w:rFonts w:hint="eastAsia" w:ascii="宋体" w:hAnsi="宋体" w:eastAsia="宋体" w:cs="宋体"/>
          <w:b/>
          <w:sz w:val="32"/>
          <w:szCs w:val="32"/>
          <w:highlight w:val="none"/>
        </w:rPr>
      </w:pPr>
    </w:p>
    <w:p w14:paraId="38E63B5E">
      <w:pPr>
        <w:jc w:val="center"/>
        <w:rPr>
          <w:rFonts w:hint="eastAsia" w:ascii="宋体" w:hAnsi="宋体" w:eastAsia="宋体" w:cs="宋体"/>
          <w:b/>
          <w:sz w:val="32"/>
          <w:szCs w:val="32"/>
          <w:highlight w:val="none"/>
        </w:rPr>
      </w:pPr>
    </w:p>
    <w:p w14:paraId="298ED411">
      <w:pPr>
        <w:jc w:val="center"/>
        <w:rPr>
          <w:rFonts w:hint="eastAsia" w:ascii="宋体" w:hAnsi="宋体" w:eastAsia="宋体" w:cs="宋体"/>
          <w:b/>
          <w:sz w:val="32"/>
          <w:szCs w:val="32"/>
          <w:highlight w:val="none"/>
        </w:rPr>
      </w:pPr>
    </w:p>
    <w:p w14:paraId="53D14B69">
      <w:pPr>
        <w:jc w:val="center"/>
        <w:rPr>
          <w:rFonts w:hint="eastAsia" w:ascii="宋体" w:hAnsi="宋体" w:eastAsia="宋体" w:cs="宋体"/>
          <w:b/>
          <w:sz w:val="32"/>
          <w:szCs w:val="32"/>
          <w:highlight w:val="none"/>
        </w:rPr>
      </w:pPr>
    </w:p>
    <w:p w14:paraId="74B921E1">
      <w:pPr>
        <w:jc w:val="center"/>
        <w:rPr>
          <w:rFonts w:hint="eastAsia" w:ascii="宋体" w:hAnsi="宋体" w:eastAsia="宋体" w:cs="宋体"/>
          <w:b/>
          <w:sz w:val="32"/>
          <w:szCs w:val="32"/>
          <w:highlight w:val="none"/>
        </w:rPr>
      </w:pPr>
    </w:p>
    <w:p w14:paraId="75470BA9">
      <w:pPr>
        <w:jc w:val="center"/>
        <w:rPr>
          <w:rFonts w:hint="eastAsia" w:ascii="宋体" w:hAnsi="宋体" w:eastAsia="宋体" w:cs="宋体"/>
          <w:b/>
          <w:sz w:val="32"/>
          <w:szCs w:val="32"/>
          <w:highlight w:val="none"/>
        </w:rPr>
      </w:pPr>
    </w:p>
    <w:p w14:paraId="66DD41D4">
      <w:pPr>
        <w:jc w:val="center"/>
        <w:rPr>
          <w:rFonts w:hint="eastAsia" w:ascii="宋体" w:hAnsi="宋体" w:eastAsia="宋体" w:cs="宋体"/>
          <w:b/>
          <w:sz w:val="32"/>
          <w:szCs w:val="32"/>
          <w:highlight w:val="none"/>
        </w:rPr>
      </w:pPr>
    </w:p>
    <w:p w14:paraId="2D128FB0">
      <w:pPr>
        <w:jc w:val="center"/>
        <w:rPr>
          <w:rFonts w:hint="eastAsia" w:ascii="宋体" w:hAnsi="宋体" w:eastAsia="宋体" w:cs="宋体"/>
          <w:b/>
          <w:sz w:val="32"/>
          <w:szCs w:val="32"/>
          <w:highlight w:val="none"/>
        </w:rPr>
      </w:pPr>
    </w:p>
    <w:p w14:paraId="2DBC95A2">
      <w:pPr>
        <w:jc w:val="center"/>
        <w:rPr>
          <w:rFonts w:hint="eastAsia" w:ascii="宋体" w:hAnsi="宋体" w:eastAsia="宋体" w:cs="宋体"/>
          <w:b/>
          <w:sz w:val="32"/>
          <w:szCs w:val="32"/>
          <w:highlight w:val="none"/>
        </w:rPr>
      </w:pPr>
    </w:p>
    <w:p w14:paraId="78764A72">
      <w:pPr>
        <w:jc w:val="center"/>
        <w:rPr>
          <w:rFonts w:hint="eastAsia" w:ascii="宋体" w:hAnsi="宋体" w:eastAsia="宋体" w:cs="宋体"/>
          <w:b/>
          <w:sz w:val="32"/>
          <w:szCs w:val="32"/>
          <w:highlight w:val="none"/>
        </w:rPr>
      </w:pPr>
    </w:p>
    <w:p w14:paraId="66324949">
      <w:pPr>
        <w:jc w:val="center"/>
        <w:rPr>
          <w:rFonts w:hint="eastAsia" w:ascii="宋体" w:hAnsi="宋体" w:eastAsia="宋体" w:cs="宋体"/>
          <w:b/>
          <w:sz w:val="32"/>
          <w:szCs w:val="32"/>
          <w:highlight w:val="none"/>
        </w:rPr>
      </w:pPr>
    </w:p>
    <w:p w14:paraId="0F548225">
      <w:pPr>
        <w:jc w:val="center"/>
        <w:rPr>
          <w:rFonts w:hint="eastAsia" w:ascii="宋体" w:hAnsi="宋体" w:eastAsia="宋体" w:cs="宋体"/>
          <w:b/>
          <w:sz w:val="32"/>
          <w:szCs w:val="32"/>
          <w:highlight w:val="none"/>
        </w:rPr>
      </w:pPr>
    </w:p>
    <w:p w14:paraId="0DEAD5AF">
      <w:pPr>
        <w:jc w:val="center"/>
        <w:rPr>
          <w:rFonts w:hint="eastAsia" w:ascii="宋体" w:hAnsi="宋体" w:eastAsia="宋体" w:cs="宋体"/>
          <w:b/>
          <w:sz w:val="32"/>
          <w:szCs w:val="32"/>
          <w:highlight w:val="none"/>
        </w:r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09E23FEC">
      <w:pPr>
        <w:bidi w:val="0"/>
        <w:jc w:val="left"/>
        <w:rPr>
          <w:rFonts w:hint="eastAsia" w:asciiTheme="minorHAnsi" w:hAnsiTheme="minorHAnsi" w:eastAsiaTheme="minorEastAsia"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40"/>
          <w:szCs w:val="52"/>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rFonts w:ascii="宋体" w:hAnsi="宋体" w:eastAsia="宋体"/>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7C5015A4">
          <w:pPr>
            <w:spacing w:before="0" w:beforeLines="0" w:after="0" w:afterLines="0" w:line="240" w:lineRule="auto"/>
            <w:ind w:left="0" w:leftChars="0" w:right="0" w:rightChars="0" w:firstLine="0" w:firstLineChars="0"/>
            <w:jc w:val="center"/>
            <w:rPr>
              <w:rFonts w:ascii="宋体" w:hAnsi="宋体" w:eastAsia="宋体"/>
              <w:sz w:val="48"/>
              <w:szCs w:val="56"/>
            </w:rPr>
          </w:pPr>
        </w:p>
        <w:p w14:paraId="647A82DB">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TOC \o "1-3" \h \u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_Toc28227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val="en-US" w:eastAsia="zh-CN"/>
            </w:rPr>
            <w:t>第一章 征集公告</w:t>
          </w:r>
          <w:r>
            <w:rPr>
              <w:sz w:val="44"/>
              <w:szCs w:val="44"/>
            </w:rPr>
            <w:tab/>
          </w:r>
          <w:r>
            <w:rPr>
              <w:sz w:val="44"/>
              <w:szCs w:val="44"/>
            </w:rPr>
            <w:fldChar w:fldCharType="begin"/>
          </w:r>
          <w:r>
            <w:rPr>
              <w:sz w:val="44"/>
              <w:szCs w:val="44"/>
            </w:rPr>
            <w:instrText xml:space="preserve"> PAGEREF _Toc28227 \h </w:instrText>
          </w:r>
          <w:r>
            <w:rPr>
              <w:sz w:val="44"/>
              <w:szCs w:val="44"/>
            </w:rPr>
            <w:fldChar w:fldCharType="separate"/>
          </w:r>
          <w:r>
            <w:rPr>
              <w:sz w:val="44"/>
              <w:szCs w:val="44"/>
            </w:rPr>
            <w:t>7</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5AC7A956">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_Toc9103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val="en-US" w:eastAsia="zh-CN"/>
            </w:rPr>
            <w:t>第二章 用户需求书</w:t>
          </w:r>
          <w:r>
            <w:rPr>
              <w:sz w:val="44"/>
              <w:szCs w:val="44"/>
            </w:rPr>
            <w:tab/>
          </w:r>
          <w:r>
            <w:rPr>
              <w:sz w:val="44"/>
              <w:szCs w:val="44"/>
            </w:rPr>
            <w:fldChar w:fldCharType="begin"/>
          </w:r>
          <w:r>
            <w:rPr>
              <w:sz w:val="44"/>
              <w:szCs w:val="44"/>
            </w:rPr>
            <w:instrText xml:space="preserve"> PAGEREF _Toc9103 \h </w:instrText>
          </w:r>
          <w:r>
            <w:rPr>
              <w:sz w:val="44"/>
              <w:szCs w:val="44"/>
            </w:rPr>
            <w:fldChar w:fldCharType="separate"/>
          </w:r>
          <w:r>
            <w:rPr>
              <w:sz w:val="44"/>
              <w:szCs w:val="44"/>
            </w:rPr>
            <w:t>11</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07DBB3F9">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_Toc12659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cstheme="majorEastAsia"/>
              <w:kern w:val="2"/>
              <w:sz w:val="44"/>
              <w:szCs w:val="44"/>
              <w:lang w:val="en-US" w:eastAsia="zh-CN" w:bidi="ar-SA"/>
            </w:rPr>
            <w:t xml:space="preserve">第三章 </w:t>
          </w:r>
          <w:r>
            <w:rPr>
              <w:rFonts w:hint="eastAsia" w:asciiTheme="majorEastAsia" w:hAnsiTheme="majorEastAsia" w:eastAsiaTheme="majorEastAsia" w:cstheme="majorEastAsia"/>
              <w:sz w:val="44"/>
              <w:szCs w:val="44"/>
            </w:rPr>
            <w:t>开标、评标、定标</w:t>
          </w:r>
          <w:r>
            <w:rPr>
              <w:sz w:val="44"/>
              <w:szCs w:val="44"/>
            </w:rPr>
            <w:tab/>
          </w:r>
          <w:r>
            <w:rPr>
              <w:sz w:val="44"/>
              <w:szCs w:val="44"/>
            </w:rPr>
            <w:fldChar w:fldCharType="begin"/>
          </w:r>
          <w:r>
            <w:rPr>
              <w:sz w:val="44"/>
              <w:szCs w:val="44"/>
            </w:rPr>
            <w:instrText xml:space="preserve"> PAGEREF _Toc12659 \h </w:instrText>
          </w:r>
          <w:r>
            <w:rPr>
              <w:sz w:val="44"/>
              <w:szCs w:val="44"/>
            </w:rPr>
            <w:fldChar w:fldCharType="separate"/>
          </w:r>
          <w:r>
            <w:rPr>
              <w:sz w:val="44"/>
              <w:szCs w:val="44"/>
            </w:rPr>
            <w:t>15</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158B2E77">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_Toc31939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val="en-US" w:eastAsia="zh-CN"/>
            </w:rPr>
            <w:t xml:space="preserve">第四章 </w:t>
          </w:r>
          <w:r>
            <w:rPr>
              <w:rFonts w:hint="eastAsia" w:asciiTheme="majorEastAsia" w:hAnsiTheme="majorEastAsia" w:eastAsiaTheme="majorEastAsia"/>
              <w:sz w:val="44"/>
              <w:szCs w:val="44"/>
            </w:rPr>
            <w:t>投标文件</w:t>
          </w:r>
          <w:r>
            <w:rPr>
              <w:rFonts w:hint="eastAsia" w:asciiTheme="majorEastAsia" w:hAnsiTheme="majorEastAsia" w:eastAsiaTheme="majorEastAsia"/>
              <w:sz w:val="44"/>
              <w:szCs w:val="44"/>
              <w:lang w:eastAsia="zh-CN"/>
            </w:rPr>
            <w:t>（</w:t>
          </w:r>
          <w:r>
            <w:rPr>
              <w:rFonts w:hint="eastAsia" w:asciiTheme="majorEastAsia" w:hAnsiTheme="majorEastAsia" w:eastAsiaTheme="majorEastAsia"/>
              <w:sz w:val="44"/>
              <w:szCs w:val="44"/>
              <w:lang w:val="en-US" w:eastAsia="zh-CN"/>
            </w:rPr>
            <w:t>编制</w:t>
          </w:r>
          <w:r>
            <w:rPr>
              <w:rFonts w:hint="eastAsia" w:asciiTheme="majorEastAsia" w:hAnsiTheme="majorEastAsia" w:eastAsiaTheme="majorEastAsia"/>
              <w:sz w:val="44"/>
              <w:szCs w:val="44"/>
            </w:rPr>
            <w:t>参考</w:t>
          </w:r>
          <w:r>
            <w:rPr>
              <w:rFonts w:hint="eastAsia" w:asciiTheme="majorEastAsia" w:hAnsiTheme="majorEastAsia" w:eastAsiaTheme="majorEastAsia"/>
              <w:sz w:val="44"/>
              <w:szCs w:val="44"/>
              <w:lang w:val="en-US" w:eastAsia="zh-CN"/>
            </w:rPr>
            <w:t>模板</w:t>
          </w:r>
          <w:r>
            <w:rPr>
              <w:rFonts w:hint="eastAsia" w:asciiTheme="majorEastAsia" w:hAnsiTheme="majorEastAsia" w:eastAsiaTheme="majorEastAsia"/>
              <w:sz w:val="44"/>
              <w:szCs w:val="44"/>
              <w:lang w:eastAsia="zh-CN"/>
            </w:rPr>
            <w:t>）</w:t>
          </w:r>
          <w:r>
            <w:rPr>
              <w:sz w:val="44"/>
              <w:szCs w:val="44"/>
            </w:rPr>
            <w:tab/>
          </w:r>
          <w:r>
            <w:rPr>
              <w:sz w:val="44"/>
              <w:szCs w:val="44"/>
            </w:rPr>
            <w:fldChar w:fldCharType="begin"/>
          </w:r>
          <w:r>
            <w:rPr>
              <w:sz w:val="44"/>
              <w:szCs w:val="44"/>
            </w:rPr>
            <w:instrText xml:space="preserve"> PAGEREF _Toc31939 \h </w:instrText>
          </w:r>
          <w:r>
            <w:rPr>
              <w:sz w:val="44"/>
              <w:szCs w:val="44"/>
            </w:rPr>
            <w:fldChar w:fldCharType="separate"/>
          </w:r>
          <w:r>
            <w:rPr>
              <w:sz w:val="44"/>
              <w:szCs w:val="44"/>
            </w:rPr>
            <w:t>24</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2BAA590C">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_Toc5025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eastAsia="zh-TW"/>
            </w:rPr>
            <w:t xml:space="preserve">第五章 </w:t>
          </w:r>
          <w:r>
            <w:rPr>
              <w:rFonts w:asciiTheme="majorEastAsia" w:hAnsiTheme="majorEastAsia" w:eastAsiaTheme="majorEastAsia"/>
              <w:sz w:val="44"/>
              <w:szCs w:val="44"/>
              <w:lang w:eastAsia="zh-TW"/>
            </w:rPr>
            <w:t>说 明</w:t>
          </w:r>
          <w:r>
            <w:rPr>
              <w:sz w:val="44"/>
              <w:szCs w:val="44"/>
            </w:rPr>
            <w:tab/>
          </w:r>
          <w:r>
            <w:rPr>
              <w:sz w:val="44"/>
              <w:szCs w:val="44"/>
            </w:rPr>
            <w:fldChar w:fldCharType="begin"/>
          </w:r>
          <w:r>
            <w:rPr>
              <w:sz w:val="44"/>
              <w:szCs w:val="44"/>
            </w:rPr>
            <w:instrText xml:space="preserve"> PAGEREF _Toc5025 \h </w:instrText>
          </w:r>
          <w:r>
            <w:rPr>
              <w:sz w:val="44"/>
              <w:szCs w:val="44"/>
            </w:rPr>
            <w:fldChar w:fldCharType="separate"/>
          </w:r>
          <w:r>
            <w:rPr>
              <w:sz w:val="44"/>
              <w:szCs w:val="44"/>
            </w:rPr>
            <w:t>62</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61DCBEBE">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_Toc3591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cs="宋体" w:asciiTheme="majorEastAsia" w:hAnsiTheme="majorEastAsia" w:eastAsiaTheme="majorEastAsia"/>
              <w:kern w:val="2"/>
              <w:sz w:val="44"/>
              <w:szCs w:val="44"/>
              <w:lang w:val="en-US" w:eastAsia="zh-CN" w:bidi="ar-SA"/>
            </w:rPr>
            <w:t xml:space="preserve">第六章 </w:t>
          </w:r>
          <w:r>
            <w:rPr>
              <w:rFonts w:hint="eastAsia" w:cs="宋体" w:asciiTheme="majorEastAsia" w:hAnsiTheme="majorEastAsia" w:eastAsiaTheme="majorEastAsia"/>
              <w:kern w:val="2"/>
              <w:sz w:val="44"/>
              <w:szCs w:val="44"/>
              <w:highlight w:val="none"/>
              <w:lang w:val="en-US" w:eastAsia="zh-CN" w:bidi="ar-SA"/>
            </w:rPr>
            <w:t>评标信息（综合评分法）</w:t>
          </w:r>
          <w:r>
            <w:rPr>
              <w:sz w:val="44"/>
              <w:szCs w:val="44"/>
            </w:rPr>
            <w:tab/>
          </w:r>
          <w:r>
            <w:rPr>
              <w:sz w:val="44"/>
              <w:szCs w:val="44"/>
            </w:rPr>
            <w:fldChar w:fldCharType="begin"/>
          </w:r>
          <w:r>
            <w:rPr>
              <w:sz w:val="44"/>
              <w:szCs w:val="44"/>
            </w:rPr>
            <w:instrText xml:space="preserve"> PAGEREF _Toc3591 \h </w:instrText>
          </w:r>
          <w:r>
            <w:rPr>
              <w:sz w:val="44"/>
              <w:szCs w:val="44"/>
            </w:rPr>
            <w:fldChar w:fldCharType="separate"/>
          </w:r>
          <w:r>
            <w:rPr>
              <w:sz w:val="44"/>
              <w:szCs w:val="44"/>
            </w:rPr>
            <w:t>91</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39B5DC3E">
          <w:pPr>
            <w:rPr>
              <w:rFonts w:hint="eastAsia" w:asciiTheme="minorEastAsia" w:hAnsiTheme="minorEastAsia" w:eastAsiaTheme="minorEastAsia" w:cstheme="minorEastAsia"/>
              <w:bCs/>
              <w:kern w:val="2"/>
              <w:sz w:val="40"/>
              <w:szCs w:val="52"/>
              <w:lang w:val="en-US" w:eastAsia="zh-CN" w:bidi="ar-SA"/>
            </w:rPr>
          </w:pPr>
          <w:r>
            <w:rPr>
              <w:rFonts w:hint="eastAsia" w:asciiTheme="minorEastAsia" w:hAnsiTheme="minorEastAsia" w:eastAsiaTheme="minorEastAsia" w:cstheme="minorEastAsia"/>
              <w:bCs/>
              <w:kern w:val="2"/>
              <w:sz w:val="44"/>
              <w:szCs w:val="44"/>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bookmarkStart w:id="188" w:name="_GoBack"/>
      <w:bookmarkEnd w:id="188"/>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28227"/>
      <w:r>
        <w:rPr>
          <w:rFonts w:hint="eastAsia" w:asciiTheme="majorEastAsia" w:hAnsiTheme="majorEastAsia" w:eastAsiaTheme="majorEastAsia"/>
          <w:sz w:val="32"/>
          <w:szCs w:val="32"/>
          <w:lang w:val="en-US" w:eastAsia="zh-CN"/>
        </w:rPr>
        <w:t>征集公告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1"/>
      <w:bookmarkStart w:id="4" w:name="OLE_LINK3"/>
      <w:r>
        <w:rPr>
          <w:rFonts w:hint="eastAsia" w:ascii="宋体" w:hAnsi="宋体"/>
          <w:szCs w:val="28"/>
        </w:rPr>
        <w:t>项目概况</w:t>
      </w:r>
    </w:p>
    <w:p w14:paraId="307C97A8">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8"/>
        </w:rPr>
      </w:pPr>
      <w:bookmarkStart w:id="5" w:name="OLE_LINK2"/>
      <w:r>
        <w:rPr>
          <w:rFonts w:hint="eastAsia" w:ascii="宋体" w:hAnsi="宋体" w:eastAsia="宋体" w:cs="宋体"/>
          <w:snapToGrid/>
          <w:color w:val="auto"/>
          <w:spacing w:val="0"/>
          <w:kern w:val="2"/>
          <w:sz w:val="21"/>
          <w:szCs w:val="24"/>
          <w:highlight w:val="none"/>
          <w:u w:val="single"/>
          <w:lang w:val="en-US" w:eastAsia="zh-CN" w:bidi="ar-SA"/>
        </w:rPr>
        <w:t>普通耗材一批</w:t>
      </w:r>
      <w:r>
        <w:rPr>
          <w:rFonts w:hint="eastAsia" w:ascii="宋体" w:hAnsi="宋体"/>
          <w:szCs w:val="28"/>
          <w:lang w:eastAsia="zh-CN"/>
        </w:rPr>
        <w:t>征集</w:t>
      </w:r>
      <w:r>
        <w:rPr>
          <w:rFonts w:hint="eastAsia" w:ascii="宋体" w:hAnsi="宋体"/>
          <w:szCs w:val="28"/>
        </w:rPr>
        <w:t>项目的潜在</w:t>
      </w:r>
      <w:r>
        <w:rPr>
          <w:rFonts w:hint="eastAsia" w:ascii="宋体" w:hAnsi="宋体"/>
          <w:szCs w:val="28"/>
          <w:highlight w:val="none"/>
        </w:rPr>
        <w:t>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szCs w:val="28"/>
          <w:highlight w:val="none"/>
          <w:u w:val="single"/>
        </w:rPr>
        <w:t>年</w:t>
      </w:r>
      <w:r>
        <w:rPr>
          <w:rFonts w:hint="eastAsia" w:ascii="宋体" w:hAnsi="宋体"/>
          <w:szCs w:val="28"/>
          <w:highlight w:val="none"/>
          <w:u w:val="single"/>
          <w:lang w:val="en-US" w:eastAsia="zh-CN"/>
        </w:rPr>
        <w:t>7</w:t>
      </w:r>
      <w:r>
        <w:rPr>
          <w:rFonts w:hint="eastAsia" w:ascii="宋体" w:hAnsi="宋体"/>
          <w:szCs w:val="28"/>
          <w:highlight w:val="none"/>
          <w:u w:val="single"/>
        </w:rPr>
        <w:t>月</w:t>
      </w:r>
      <w:r>
        <w:rPr>
          <w:rFonts w:hint="eastAsia" w:ascii="宋体" w:hAnsi="宋体"/>
          <w:szCs w:val="28"/>
          <w:highlight w:val="none"/>
          <w:u w:val="single"/>
          <w:lang w:val="en-US" w:eastAsia="zh-CN"/>
        </w:rPr>
        <w:t>28</w:t>
      </w:r>
      <w:r>
        <w:rPr>
          <w:rFonts w:hint="eastAsia" w:ascii="宋体" w:hAnsi="宋体"/>
          <w:szCs w:val="28"/>
          <w:highlight w:val="none"/>
          <w:u w:val="single"/>
        </w:rPr>
        <w:t>日</w:t>
      </w:r>
      <w:r>
        <w:rPr>
          <w:rFonts w:hint="eastAsia" w:ascii="宋体" w:hAnsi="宋体"/>
          <w:szCs w:val="28"/>
          <w:highlight w:val="none"/>
          <w:u w:val="single"/>
          <w:lang w:val="en-US" w:eastAsia="zh-CN"/>
        </w:rPr>
        <w:t>14</w:t>
      </w:r>
      <w:r>
        <w:rPr>
          <w:rFonts w:hint="eastAsia" w:ascii="宋体" w:hAnsi="宋体"/>
          <w:szCs w:val="28"/>
          <w:highlight w:val="none"/>
          <w:u w:val="single"/>
        </w:rPr>
        <w:t>点30分</w:t>
      </w:r>
      <w:r>
        <w:rPr>
          <w:rFonts w:hint="eastAsia" w:ascii="宋体" w:hAnsi="宋体"/>
          <w:szCs w:val="28"/>
          <w:highlight w:val="none"/>
        </w:rPr>
        <w:t>（北京时间）前递交投标文件。</w:t>
      </w:r>
    </w:p>
    <w:p w14:paraId="1F60D2D8">
      <w:pPr>
        <w:spacing w:line="360" w:lineRule="auto"/>
        <w:ind w:firstLine="420" w:firstLineChars="200"/>
        <w:rPr>
          <w:rFonts w:hint="eastAsia" w:ascii="宋体" w:hAnsi="宋体"/>
        </w:rPr>
      </w:pPr>
    </w:p>
    <w:p w14:paraId="445E017D">
      <w:pPr>
        <w:spacing w:line="360" w:lineRule="auto"/>
        <w:ind w:firstLine="420" w:firstLineChars="200"/>
        <w:outlineLvl w:val="9"/>
        <w:rPr>
          <w:rFonts w:ascii="宋体" w:hAnsi="宋体"/>
          <w:b/>
        </w:rPr>
      </w:pPr>
      <w:r>
        <w:rPr>
          <w:rFonts w:hint="eastAsia" w:ascii="宋体" w:hAnsi="宋体"/>
        </w:rPr>
        <w:t>一、项目基本情况</w:t>
      </w:r>
    </w:p>
    <w:p w14:paraId="3B864C84">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FTEY-FYC-015</w:t>
      </w:r>
    </w:p>
    <w:p w14:paraId="4161526A">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w:t>
      </w:r>
      <w:r>
        <w:rPr>
          <w:rFonts w:hint="eastAsia" w:ascii="宋体" w:hAnsi="宋体" w:eastAsia="宋体" w:cs="宋体"/>
          <w:snapToGrid/>
          <w:color w:val="auto"/>
          <w:spacing w:val="0"/>
          <w:kern w:val="2"/>
          <w:sz w:val="21"/>
          <w:szCs w:val="24"/>
          <w:highlight w:val="none"/>
          <w:lang w:val="en-US" w:eastAsia="zh-CN" w:bidi="ar-SA"/>
        </w:rPr>
        <w:t>普通耗材一批</w:t>
      </w:r>
    </w:p>
    <w:p w14:paraId="635B5100">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1D9B6FD7">
      <w:pPr>
        <w:spacing w:line="360" w:lineRule="auto"/>
        <w:ind w:firstLine="420" w:firstLineChars="200"/>
        <w:rPr>
          <w:rFonts w:ascii="宋体" w:hAnsi="宋体"/>
          <w:u w:val="single"/>
        </w:rPr>
      </w:pPr>
      <w:r>
        <w:rPr>
          <w:rFonts w:hint="eastAsia" w:ascii="宋体" w:hAnsi="宋体"/>
        </w:rPr>
        <w:t>采购</w:t>
      </w:r>
      <w:r>
        <w:rPr>
          <w:rFonts w:hint="eastAsia" w:ascii="宋体" w:hAnsi="宋体"/>
          <w:lang w:val="en-US" w:eastAsia="zh-CN"/>
        </w:rPr>
        <w:t>内容及</w:t>
      </w:r>
      <w:r>
        <w:rPr>
          <w:rFonts w:hint="eastAsia" w:ascii="宋体" w:hAnsi="宋体"/>
        </w:rPr>
        <w:t>需求：详见</w:t>
      </w:r>
      <w:r>
        <w:rPr>
          <w:rFonts w:hint="eastAsia" w:ascii="宋体" w:hAnsi="宋体"/>
          <w:lang w:eastAsia="zh-CN"/>
        </w:rPr>
        <w:t>征集</w:t>
      </w:r>
      <w:r>
        <w:rPr>
          <w:rFonts w:hint="eastAsia" w:ascii="宋体" w:hAnsi="宋体"/>
        </w:rPr>
        <w:t>文件</w:t>
      </w:r>
    </w:p>
    <w:p w14:paraId="2E35D31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548DA9DD">
      <w:pPr>
        <w:spacing w:line="360" w:lineRule="auto"/>
        <w:ind w:firstLine="420" w:firstLineChars="200"/>
        <w:rPr>
          <w:rFonts w:hint="eastAsia" w:ascii="宋体" w:hAnsi="宋体"/>
        </w:rPr>
      </w:pPr>
      <w:r>
        <w:rPr>
          <w:rFonts w:hint="eastAsia" w:ascii="宋体" w:hAnsi="宋体"/>
        </w:rPr>
        <w:t>本项目不接受联合体投标。</w:t>
      </w:r>
    </w:p>
    <w:p w14:paraId="748BE984">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6"/>
    </w:p>
    <w:p w14:paraId="7D1C39FC">
      <w:pPr>
        <w:spacing w:line="360" w:lineRule="auto"/>
        <w:ind w:firstLine="420" w:firstLineChars="200"/>
        <w:rPr>
          <w:rFonts w:hint="eastAsia" w:ascii="宋体" w:hAnsi="宋体"/>
          <w:lang w:eastAsia="zh-CN"/>
        </w:rPr>
      </w:pPr>
      <w:r>
        <w:rPr>
          <w:rFonts w:hint="eastAsia" w:ascii="宋体" w:hAnsi="宋体"/>
        </w:rPr>
        <w:t>2、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文件均按无效投标处理；</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C85CA31">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①如投标人为所投产品的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第一类医疗器械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的，投标人须提供监督管理部门签发的涵盖所投医疗器械的有效《医疗器械生产备案凭证》（提供复印件加盖公章，原件备查）；</w:t>
      </w:r>
    </w:p>
    <w:p w14:paraId="67FBFCF6">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②如投标人为所投产品的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的，投标人须提供监督管理部门签发的涵盖所投医疗器械的有效《医疗器械生产许可证》（提供复印件加盖公章，原件备查）；</w:t>
      </w:r>
    </w:p>
    <w:p w14:paraId="0F7ADFDD">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③如投标人为所投产品的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的，投标人须提供监督管理部门签发的涵盖所投医疗器械的有效《医疗器械经营备案凭证》（提供复印件加盖公章，原件备查）；</w:t>
      </w:r>
    </w:p>
    <w:p w14:paraId="1A37BA1C">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④如投标人为所投产品的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的，投标人须提供监督管理部门签发的涵盖所投医疗器械的有效《医疗器械经营许可证》（提供复印件加盖公章，原件备查）；</w:t>
      </w:r>
    </w:p>
    <w:p w14:paraId="6C86640C">
      <w:pPr>
        <w:pStyle w:val="36"/>
        <w:numPr>
          <w:ilvl w:val="0"/>
          <w:numId w:val="0"/>
        </w:numPr>
        <w:adjustRightInd w:val="0"/>
        <w:snapToGrid w:val="0"/>
        <w:spacing w:line="400" w:lineRule="exact"/>
        <w:ind w:left="0" w:leftChars="0" w:firstLine="420" w:firstLineChars="200"/>
        <w:jc w:val="left"/>
        <w:rPr>
          <w:rFonts w:hint="eastAsia" w:ascii="仿宋" w:hAnsi="仿宋" w:eastAsia="仿宋" w:cs="仿宋"/>
          <w:kern w:val="2"/>
          <w:sz w:val="24"/>
          <w:szCs w:val="24"/>
          <w:lang w:val="en-US" w:eastAsia="zh-CN" w:bidi="ar-SA"/>
        </w:rPr>
      </w:pPr>
      <w:r>
        <w:rPr>
          <w:rFonts w:hint="eastAsia" w:ascii="宋体" w:hAnsi="宋体" w:eastAsiaTheme="minorEastAsia" w:cstheme="minorBidi"/>
          <w:kern w:val="2"/>
          <w:sz w:val="21"/>
          <w:szCs w:val="24"/>
          <w:lang w:val="en-US" w:eastAsia="zh-CN" w:bidi="ar-SA"/>
        </w:rPr>
        <w:t>⑤如投标人所投产品不属于第一、二、三类医疗器械的，投标人无需提供医疗器械生产/经营资格相关证明材料，但需提供投标人关于所投产品不属于医疗器械的相关说明（加盖投标人公章）。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耗材</w:t>
      </w:r>
      <w:r>
        <w:rPr>
          <w:rFonts w:hint="eastAsia" w:ascii="宋体" w:hAnsi="宋体"/>
          <w:b/>
          <w:bCs/>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highlight w:val="none"/>
          <w:lang w:val="en-US" w:eastAsia="zh-CN"/>
        </w:rPr>
        <w:t>相关招投标时间及地点信息</w:t>
      </w:r>
    </w:p>
    <w:p w14:paraId="62E5105C">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报名时间：2026年7月16日8时00分至2026年7月22日17时00分止。</w:t>
      </w:r>
    </w:p>
    <w:p w14:paraId="3DAA5D10">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r>
        <w:rPr>
          <w:rFonts w:hint="eastAsia" w:ascii="宋体" w:hAnsi="宋体"/>
          <w:bCs/>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0A7C7C0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BB7DE44">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E22C871">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767B93CE">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1B720DDB">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highlight w:val="none"/>
          <w:lang w:val="en-US" w:eastAsia="zh-CN"/>
        </w:rPr>
      </w:pPr>
      <w:r>
        <w:rPr>
          <w:rFonts w:hint="eastAsia" w:ascii="宋体" w:hAnsi="宋体"/>
          <w:szCs w:val="21"/>
          <w:highlight w:val="none"/>
          <w:lang w:val="en-US" w:eastAsia="zh-CN"/>
        </w:rPr>
        <w:t>深圳市福田区第二人民医院</w:t>
      </w:r>
    </w:p>
    <w:p w14:paraId="1B01E0D4">
      <w:pPr>
        <w:spacing w:line="400" w:lineRule="exact"/>
        <w:ind w:firstLine="420" w:firstLineChars="200"/>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15</w:t>
      </w:r>
      <w:r>
        <w:rPr>
          <w:rFonts w:hint="eastAsia" w:ascii="宋体" w:hAnsi="宋体"/>
          <w:highlight w:val="none"/>
        </w:rPr>
        <w:t>日</w:t>
      </w:r>
      <w:bookmarkEnd w:id="3"/>
      <w:bookmarkEnd w:id="4"/>
      <w:bookmarkEnd w:id="5"/>
    </w:p>
    <w:p w14:paraId="685DEE00">
      <w:pPr>
        <w:spacing w:line="400" w:lineRule="exact"/>
        <w:ind w:firstLine="420" w:firstLineChars="200"/>
        <w:jc w:val="right"/>
        <w:rPr>
          <w:rFonts w:hint="eastAsia" w:ascii="宋体" w:hAnsi="宋体"/>
          <w:highlight w:val="none"/>
        </w:rPr>
      </w:pPr>
    </w:p>
    <w:p w14:paraId="28185072">
      <w:pPr>
        <w:spacing w:line="400" w:lineRule="exact"/>
        <w:ind w:firstLine="420" w:firstLineChars="200"/>
        <w:jc w:val="right"/>
        <w:rPr>
          <w:rFonts w:hint="eastAsia" w:ascii="宋体" w:hAnsi="宋体"/>
          <w:highlight w:val="none"/>
        </w:rPr>
      </w:pPr>
    </w:p>
    <w:p w14:paraId="73B59929">
      <w:pPr>
        <w:spacing w:line="400" w:lineRule="exact"/>
        <w:ind w:firstLine="420" w:firstLineChars="200"/>
        <w:jc w:val="right"/>
        <w:rPr>
          <w:rFonts w:hint="eastAsia" w:ascii="宋体" w:hAnsi="宋体"/>
          <w:highlight w:val="none"/>
        </w:rPr>
      </w:pPr>
    </w:p>
    <w:p w14:paraId="2E3CD428">
      <w:pPr>
        <w:spacing w:line="400" w:lineRule="exact"/>
        <w:jc w:val="both"/>
        <w:rPr>
          <w:rFonts w:hint="eastAsia" w:ascii="宋体" w:hAnsi="宋体"/>
          <w:highlight w:val="none"/>
        </w:rPr>
      </w:pPr>
    </w:p>
    <w:p w14:paraId="0D51A14F">
      <w:pPr>
        <w:spacing w:line="400" w:lineRule="exact"/>
        <w:jc w:val="both"/>
        <w:rPr>
          <w:rFonts w:hint="eastAsia" w:ascii="宋体" w:hAnsi="宋体"/>
          <w:highlight w:val="none"/>
        </w:rPr>
      </w:pPr>
    </w:p>
    <w:p w14:paraId="14D2D6CF">
      <w:pPr>
        <w:spacing w:line="400" w:lineRule="exact"/>
        <w:jc w:val="both"/>
        <w:rPr>
          <w:rFonts w:hint="eastAsia" w:ascii="宋体" w:hAnsi="宋体"/>
          <w:highlight w:val="none"/>
        </w:rPr>
      </w:pPr>
    </w:p>
    <w:p w14:paraId="093B19DE">
      <w:pPr>
        <w:spacing w:line="400" w:lineRule="exact"/>
        <w:jc w:val="both"/>
        <w:rPr>
          <w:rFonts w:hint="eastAsia" w:ascii="宋体" w:hAnsi="宋体"/>
          <w:highlight w:val="none"/>
        </w:rPr>
      </w:pPr>
    </w:p>
    <w:p w14:paraId="73D9E0D0">
      <w:pPr>
        <w:spacing w:line="400" w:lineRule="exact"/>
        <w:jc w:val="both"/>
        <w:rPr>
          <w:rFonts w:hint="eastAsia" w:ascii="宋体" w:hAnsi="宋体"/>
          <w:highlight w:val="none"/>
        </w:rPr>
      </w:pPr>
    </w:p>
    <w:p w14:paraId="6240B18A">
      <w:pPr>
        <w:spacing w:line="400" w:lineRule="exact"/>
        <w:jc w:val="both"/>
        <w:rPr>
          <w:rFonts w:hint="eastAsia" w:ascii="宋体" w:hAnsi="宋体"/>
          <w:highlight w:val="none"/>
        </w:rPr>
      </w:pPr>
    </w:p>
    <w:p w14:paraId="2A7E87E1">
      <w:pPr>
        <w:spacing w:line="400" w:lineRule="exact"/>
        <w:jc w:val="both"/>
        <w:rPr>
          <w:rFonts w:hint="eastAsia" w:ascii="宋体" w:hAnsi="宋体"/>
          <w:highlight w:val="none"/>
        </w:rPr>
      </w:pPr>
    </w:p>
    <w:p w14:paraId="3B3E1AF2">
      <w:pPr>
        <w:spacing w:line="400" w:lineRule="exact"/>
        <w:jc w:val="both"/>
        <w:rPr>
          <w:rFonts w:hint="eastAsia" w:ascii="宋体" w:hAnsi="宋体"/>
          <w:highlight w:val="none"/>
        </w:rPr>
      </w:pPr>
    </w:p>
    <w:p w14:paraId="2AA9A414">
      <w:pPr>
        <w:spacing w:line="400" w:lineRule="exact"/>
        <w:jc w:val="both"/>
        <w:rPr>
          <w:rFonts w:hint="eastAsia" w:ascii="宋体" w:hAnsi="宋体"/>
          <w:highlight w:val="none"/>
        </w:rPr>
      </w:pPr>
    </w:p>
    <w:p w14:paraId="2028FBFB">
      <w:pPr>
        <w:spacing w:line="400" w:lineRule="exact"/>
        <w:jc w:val="both"/>
        <w:rPr>
          <w:rFonts w:hint="eastAsia" w:ascii="宋体" w:hAnsi="宋体"/>
          <w:highlight w:val="none"/>
        </w:rPr>
      </w:pPr>
    </w:p>
    <w:p w14:paraId="4B407AD5">
      <w:pPr>
        <w:spacing w:line="400" w:lineRule="exact"/>
        <w:jc w:val="both"/>
        <w:rPr>
          <w:rFonts w:hint="eastAsia" w:ascii="宋体" w:hAnsi="宋体"/>
          <w:highlight w:val="none"/>
        </w:rPr>
      </w:pPr>
    </w:p>
    <w:p w14:paraId="5BA9C235">
      <w:pPr>
        <w:spacing w:line="400" w:lineRule="exact"/>
        <w:jc w:val="both"/>
        <w:rPr>
          <w:rFonts w:hint="eastAsia" w:ascii="宋体" w:hAnsi="宋体"/>
          <w:highlight w:val="none"/>
        </w:rPr>
      </w:pPr>
    </w:p>
    <w:p w14:paraId="2401A3B0">
      <w:pPr>
        <w:spacing w:line="400" w:lineRule="exact"/>
        <w:jc w:val="both"/>
        <w:rPr>
          <w:rFonts w:hint="eastAsia" w:ascii="宋体" w:hAnsi="宋体"/>
          <w:highlight w:val="none"/>
        </w:rPr>
      </w:pPr>
    </w:p>
    <w:p w14:paraId="1D91D890">
      <w:pPr>
        <w:spacing w:line="400" w:lineRule="exact"/>
        <w:jc w:val="both"/>
        <w:rPr>
          <w:rFonts w:hint="eastAsia" w:ascii="宋体" w:hAnsi="宋体"/>
          <w:highlight w:val="none"/>
        </w:rPr>
      </w:pPr>
    </w:p>
    <w:p w14:paraId="34F2CCE7">
      <w:pPr>
        <w:spacing w:line="400" w:lineRule="exact"/>
        <w:jc w:val="both"/>
        <w:rPr>
          <w:rFonts w:hint="eastAsia" w:ascii="宋体" w:hAnsi="宋体"/>
          <w:highlight w:val="none"/>
        </w:rPr>
      </w:pPr>
    </w:p>
    <w:p w14:paraId="54C117CF">
      <w:pPr>
        <w:spacing w:line="400" w:lineRule="exact"/>
        <w:jc w:val="both"/>
        <w:rPr>
          <w:rFonts w:hint="eastAsia" w:ascii="宋体" w:hAnsi="宋体"/>
          <w:highlight w:val="none"/>
        </w:rPr>
      </w:pPr>
    </w:p>
    <w:p w14:paraId="77809E70">
      <w:pPr>
        <w:spacing w:line="400" w:lineRule="exact"/>
        <w:jc w:val="both"/>
        <w:rPr>
          <w:rFonts w:hint="eastAsia" w:ascii="宋体" w:hAnsi="宋体"/>
          <w:highlight w:val="none"/>
        </w:rPr>
      </w:pPr>
    </w:p>
    <w:p w14:paraId="1D94FECC">
      <w:pPr>
        <w:spacing w:line="400" w:lineRule="exact"/>
        <w:jc w:val="both"/>
        <w:rPr>
          <w:rFonts w:hint="eastAsia" w:ascii="宋体" w:hAnsi="宋体"/>
          <w:highlight w:val="none"/>
        </w:rPr>
      </w:pPr>
    </w:p>
    <w:p w14:paraId="175F65D0">
      <w:pPr>
        <w:spacing w:line="400" w:lineRule="exact"/>
        <w:jc w:val="both"/>
        <w:rPr>
          <w:rFonts w:hint="eastAsia" w:ascii="宋体" w:hAnsi="宋体"/>
          <w:highlight w:val="none"/>
        </w:rPr>
      </w:pPr>
    </w:p>
    <w:p w14:paraId="068C022F">
      <w:pPr>
        <w:spacing w:line="400" w:lineRule="exact"/>
        <w:jc w:val="both"/>
        <w:rPr>
          <w:rFonts w:hint="eastAsia" w:ascii="宋体" w:hAnsi="宋体"/>
          <w:highlight w:val="none"/>
        </w:rPr>
      </w:pPr>
    </w:p>
    <w:p w14:paraId="493A09D5">
      <w:pPr>
        <w:spacing w:line="400" w:lineRule="exact"/>
        <w:jc w:val="both"/>
        <w:rPr>
          <w:rFonts w:hint="eastAsia" w:ascii="宋体" w:hAnsi="宋体"/>
          <w:highlight w:val="none"/>
        </w:rPr>
      </w:pPr>
    </w:p>
    <w:p w14:paraId="382BFB15">
      <w:pPr>
        <w:spacing w:line="400" w:lineRule="exact"/>
        <w:jc w:val="both"/>
        <w:rPr>
          <w:rFonts w:hint="eastAsia" w:ascii="宋体" w:hAnsi="宋体"/>
          <w:highlight w:val="none"/>
        </w:rPr>
      </w:pPr>
    </w:p>
    <w:p w14:paraId="1EDC6451">
      <w:pPr>
        <w:spacing w:line="400" w:lineRule="exact"/>
        <w:jc w:val="both"/>
        <w:rPr>
          <w:rFonts w:hint="eastAsia" w:ascii="宋体" w:hAnsi="宋体"/>
          <w:highlight w:val="none"/>
        </w:rPr>
      </w:pPr>
    </w:p>
    <w:p w14:paraId="44C809B5">
      <w:pPr>
        <w:spacing w:line="400" w:lineRule="exact"/>
        <w:jc w:val="both"/>
        <w:rPr>
          <w:rFonts w:hint="eastAsia" w:ascii="宋体" w:hAnsi="宋体"/>
          <w:highlight w:val="none"/>
        </w:rPr>
      </w:pPr>
    </w:p>
    <w:p w14:paraId="77CCA68F">
      <w:pPr>
        <w:spacing w:line="400" w:lineRule="exact"/>
        <w:jc w:val="both"/>
        <w:rPr>
          <w:rFonts w:hint="eastAsia" w:ascii="宋体" w:hAnsi="宋体"/>
          <w:highlight w:val="none"/>
        </w:rPr>
      </w:pPr>
    </w:p>
    <w:p w14:paraId="3140EDDA">
      <w:pPr>
        <w:spacing w:line="400" w:lineRule="exact"/>
        <w:jc w:val="both"/>
        <w:rPr>
          <w:rFonts w:hint="eastAsia" w:ascii="宋体" w:hAnsi="宋体"/>
          <w:highlight w:val="none"/>
        </w:rPr>
      </w:pPr>
    </w:p>
    <w:p w14:paraId="4ECB3B7F">
      <w:pPr>
        <w:spacing w:line="400" w:lineRule="exact"/>
        <w:jc w:val="both"/>
        <w:rPr>
          <w:rFonts w:hint="eastAsia" w:ascii="宋体" w:hAnsi="宋体"/>
          <w:highlight w:val="none"/>
        </w:rPr>
      </w:pPr>
    </w:p>
    <w:p w14:paraId="132060DF">
      <w:pPr>
        <w:spacing w:line="400" w:lineRule="exact"/>
        <w:jc w:val="both"/>
        <w:rPr>
          <w:rFonts w:hint="eastAsia" w:ascii="宋体" w:hAnsi="宋体"/>
          <w:highlight w:val="none"/>
        </w:rPr>
      </w:pPr>
    </w:p>
    <w:p w14:paraId="5EFCF128">
      <w:pPr>
        <w:spacing w:line="400" w:lineRule="exact"/>
        <w:jc w:val="both"/>
        <w:rPr>
          <w:rFonts w:hint="eastAsia" w:ascii="宋体" w:hAnsi="宋体"/>
          <w:highlight w:val="none"/>
        </w:rPr>
      </w:pPr>
    </w:p>
    <w:p w14:paraId="3E51B426">
      <w:pPr>
        <w:spacing w:line="400" w:lineRule="exact"/>
        <w:jc w:val="both"/>
        <w:rPr>
          <w:rFonts w:hint="eastAsia" w:ascii="宋体" w:hAnsi="宋体"/>
          <w:highlight w:val="none"/>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9103"/>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5E039CC0">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w:t>
      </w:r>
      <w:r>
        <w:rPr>
          <w:rFonts w:hint="eastAsia" w:ascii="宋体" w:hAnsi="宋体" w:eastAsia="宋体" w:cs="宋体"/>
          <w:b/>
          <w:bCs/>
          <w:color w:val="000000" w:themeColor="text1"/>
          <w:szCs w:val="21"/>
          <w:highlight w:val="none"/>
          <w14:textFill>
            <w14:solidFill>
              <w14:schemeClr w14:val="tx1"/>
            </w14:solidFill>
          </w14:textFill>
        </w:rPr>
        <w:t>心产品，投标人应在《</w:t>
      </w:r>
      <w:r>
        <w:rPr>
          <w:rFonts w:hint="eastAsia" w:ascii="宋体" w:hAnsi="宋体" w:eastAsia="宋体" w:cs="宋体"/>
          <w:b/>
          <w:bCs/>
          <w:color w:val="000000" w:themeColor="text1"/>
          <w:szCs w:val="21"/>
          <w:highlight w:val="none"/>
          <w:lang w:val="en-US" w:eastAsia="zh-CN"/>
          <w14:textFill>
            <w14:solidFill>
              <w14:schemeClr w14:val="tx1"/>
            </w14:solidFill>
          </w14:textFill>
        </w:rPr>
        <w:t>开标一栏表</w:t>
      </w:r>
      <w:r>
        <w:rPr>
          <w:rFonts w:hint="eastAsia" w:ascii="宋体" w:hAnsi="宋体" w:eastAsia="宋体" w:cs="宋体"/>
          <w:b/>
          <w:bCs/>
          <w:color w:val="000000" w:themeColor="text1"/>
          <w:szCs w:val="21"/>
          <w:highlight w:val="none"/>
          <w14:textFill>
            <w14:solidFill>
              <w14:schemeClr w14:val="tx1"/>
            </w14:solidFill>
          </w14:textFill>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1712"/>
        <w:gridCol w:w="2297"/>
        <w:gridCol w:w="1847"/>
        <w:gridCol w:w="1195"/>
      </w:tblGrid>
      <w:tr w14:paraId="6C4D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1867" w:type="dxa"/>
            <w:shd w:val="clear" w:color="auto" w:fill="EEECE1"/>
            <w:vAlign w:val="center"/>
          </w:tcPr>
          <w:p w14:paraId="0FE71578">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1712" w:type="dxa"/>
            <w:shd w:val="clear" w:color="auto" w:fill="EEECE1"/>
            <w:vAlign w:val="center"/>
          </w:tcPr>
          <w:p w14:paraId="1CADF51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297" w:type="dxa"/>
            <w:shd w:val="clear" w:color="auto" w:fill="EEECE1"/>
            <w:vAlign w:val="center"/>
          </w:tcPr>
          <w:p w14:paraId="76EE808F">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合同履行期限</w:t>
            </w:r>
          </w:p>
        </w:tc>
        <w:tc>
          <w:tcPr>
            <w:tcW w:w="1847" w:type="dxa"/>
            <w:shd w:val="clear" w:color="auto" w:fill="EEECE1"/>
            <w:vAlign w:val="center"/>
          </w:tcPr>
          <w:p w14:paraId="2D286FB1">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预算金额</w:t>
            </w:r>
          </w:p>
        </w:tc>
        <w:tc>
          <w:tcPr>
            <w:tcW w:w="1195" w:type="dxa"/>
            <w:shd w:val="clear" w:color="auto" w:fill="EEECE1"/>
            <w:vAlign w:val="center"/>
          </w:tcPr>
          <w:p w14:paraId="49128F0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6D7F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867" w:type="dxa"/>
            <w:vAlign w:val="center"/>
          </w:tcPr>
          <w:p w14:paraId="4829076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普通耗材一批</w:t>
            </w:r>
          </w:p>
        </w:tc>
        <w:tc>
          <w:tcPr>
            <w:tcW w:w="1712" w:type="dxa"/>
            <w:vAlign w:val="center"/>
          </w:tcPr>
          <w:p w14:paraId="4A2056A5">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2297" w:type="dxa"/>
            <w:vAlign w:val="center"/>
          </w:tcPr>
          <w:p w14:paraId="6D2539E2">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1847" w:type="dxa"/>
            <w:vAlign w:val="center"/>
          </w:tcPr>
          <w:p w14:paraId="36A935AB">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见货品清单及技术要求</w:t>
            </w:r>
          </w:p>
        </w:tc>
        <w:tc>
          <w:tcPr>
            <w:tcW w:w="1195" w:type="dxa"/>
            <w:vAlign w:val="center"/>
          </w:tcPr>
          <w:p w14:paraId="218D6544">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3D1FE2A1">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077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887"/>
        <w:gridCol w:w="4368"/>
        <w:gridCol w:w="2316"/>
        <w:gridCol w:w="914"/>
        <w:gridCol w:w="1287"/>
      </w:tblGrid>
      <w:tr w14:paraId="7FDA66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EEECE1" w:themeFill="background2"/>
            <w:vAlign w:val="center"/>
          </w:tcPr>
          <w:p w14:paraId="3EBFC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4368" w:type="dxa"/>
            <w:tcBorders>
              <w:tl2br w:val="nil"/>
              <w:tr2bl w:val="nil"/>
            </w:tcBorders>
            <w:shd w:val="clear" w:color="auto" w:fill="EEECE1" w:themeFill="background2"/>
            <w:vAlign w:val="center"/>
          </w:tcPr>
          <w:p w14:paraId="4871B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2316" w:type="dxa"/>
            <w:tcBorders>
              <w:tl2br w:val="nil"/>
              <w:tr2bl w:val="nil"/>
            </w:tcBorders>
            <w:shd w:val="clear" w:color="auto" w:fill="EEECE1" w:themeFill="background2"/>
            <w:vAlign w:val="center"/>
          </w:tcPr>
          <w:p w14:paraId="04257D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14" w:type="dxa"/>
            <w:tcBorders>
              <w:tl2br w:val="nil"/>
              <w:tr2bl w:val="nil"/>
            </w:tcBorders>
            <w:shd w:val="clear" w:color="auto" w:fill="EEECE1" w:themeFill="background2"/>
            <w:vAlign w:val="center"/>
          </w:tcPr>
          <w:p w14:paraId="13798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7" w:type="dxa"/>
            <w:tcBorders>
              <w:tl2br w:val="nil"/>
              <w:tr2bl w:val="nil"/>
            </w:tcBorders>
            <w:shd w:val="clear" w:color="auto" w:fill="EEECE1" w:themeFill="background2"/>
            <w:vAlign w:val="center"/>
          </w:tcPr>
          <w:p w14:paraId="0E1E2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预算金额（元）</w:t>
            </w:r>
          </w:p>
        </w:tc>
      </w:tr>
      <w:tr w14:paraId="301D41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26379F64">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氧气流量表</w:t>
            </w:r>
          </w:p>
        </w:tc>
        <w:tc>
          <w:tcPr>
            <w:tcW w:w="4368" w:type="dxa"/>
            <w:tcBorders>
              <w:tl2br w:val="nil"/>
              <w:tr2bl w:val="nil"/>
            </w:tcBorders>
            <w:shd w:val="clear" w:color="auto" w:fill="auto"/>
            <w:vAlign w:val="center"/>
          </w:tcPr>
          <w:p w14:paraId="15D7C52F">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lang w:val="en-US" w:eastAsia="zh-CN" w:bidi="ar-SA"/>
              </w:rPr>
              <w:t>1.</w:t>
            </w:r>
            <w:r>
              <w:rPr>
                <w:rFonts w:hint="eastAsia" w:ascii="宋体" w:hAnsi="宋体" w:eastAsia="宋体" w:cs="宋体"/>
                <w:snapToGrid/>
                <w:color w:val="auto"/>
                <w:spacing w:val="0"/>
                <w:kern w:val="2"/>
                <w:sz w:val="21"/>
                <w:szCs w:val="24"/>
                <w:highlight w:val="none"/>
                <w:lang w:val="en-US" w:eastAsia="zh-CN" w:bidi="ar-SA"/>
              </w:rPr>
              <w:t>用于急救给氧和缺氧病人氧气吸入。</w:t>
            </w:r>
          </w:p>
          <w:p w14:paraId="3AEB474C">
            <w:pPr>
              <w:keepNext w:val="0"/>
              <w:keepLines w:val="0"/>
              <w:numPr>
                <w:ilvl w:val="0"/>
                <w:numId w:val="0"/>
              </w:numPr>
              <w:suppressLineNumbers w:val="0"/>
              <w:spacing w:before="0" w:beforeAutospacing="0" w:after="0" w:afterAutospacing="0"/>
              <w:ind w:right="0" w:rightChars="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2.可连接于氧气桶。</w:t>
            </w:r>
          </w:p>
        </w:tc>
        <w:tc>
          <w:tcPr>
            <w:tcW w:w="2316" w:type="dxa"/>
            <w:tcBorders>
              <w:tl2br w:val="nil"/>
              <w:tr2bl w:val="nil"/>
            </w:tcBorders>
            <w:shd w:val="clear" w:color="auto" w:fill="auto"/>
            <w:vAlign w:val="center"/>
          </w:tcPr>
          <w:p w14:paraId="2CF9776F">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浮标式 单表</w:t>
            </w:r>
          </w:p>
        </w:tc>
        <w:tc>
          <w:tcPr>
            <w:tcW w:w="914" w:type="dxa"/>
            <w:tcBorders>
              <w:tl2br w:val="nil"/>
              <w:tr2bl w:val="nil"/>
            </w:tcBorders>
            <w:shd w:val="clear" w:color="auto" w:fill="auto"/>
            <w:vAlign w:val="center"/>
          </w:tcPr>
          <w:p w14:paraId="712F3EAC">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台</w:t>
            </w:r>
          </w:p>
        </w:tc>
        <w:tc>
          <w:tcPr>
            <w:tcW w:w="1287" w:type="dxa"/>
            <w:tcBorders>
              <w:tl2br w:val="nil"/>
              <w:tr2bl w:val="nil"/>
            </w:tcBorders>
            <w:shd w:val="clear" w:color="auto" w:fill="auto"/>
            <w:vAlign w:val="center"/>
          </w:tcPr>
          <w:p w14:paraId="01689EE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265.00 </w:t>
            </w:r>
          </w:p>
        </w:tc>
      </w:tr>
      <w:tr w14:paraId="3B6FA3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16ADA424">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一次性压舌板</w:t>
            </w:r>
          </w:p>
        </w:tc>
        <w:tc>
          <w:tcPr>
            <w:tcW w:w="4368" w:type="dxa"/>
            <w:tcBorders>
              <w:tl2br w:val="nil"/>
              <w:tr2bl w:val="nil"/>
            </w:tcBorders>
            <w:shd w:val="clear" w:color="auto" w:fill="auto"/>
            <w:vAlign w:val="center"/>
          </w:tcPr>
          <w:p w14:paraId="3250981F">
            <w:pPr>
              <w:keepNext w:val="0"/>
              <w:keepLines w:val="0"/>
              <w:suppressLineNumbers w:val="0"/>
              <w:spacing w:before="0" w:beforeAutospacing="0" w:after="0" w:afterAutospacing="0"/>
              <w:ind w:left="0" w:right="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3.由木质或其他材料制成,用于检查时压低舌部。</w:t>
            </w:r>
          </w:p>
        </w:tc>
        <w:tc>
          <w:tcPr>
            <w:tcW w:w="2316" w:type="dxa"/>
            <w:tcBorders>
              <w:tl2br w:val="nil"/>
              <w:tr2bl w:val="nil"/>
            </w:tcBorders>
            <w:shd w:val="clear" w:color="auto" w:fill="auto"/>
            <w:vAlign w:val="center"/>
          </w:tcPr>
          <w:p w14:paraId="1AAC1568">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08962F38">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片</w:t>
            </w:r>
          </w:p>
        </w:tc>
        <w:tc>
          <w:tcPr>
            <w:tcW w:w="1287" w:type="dxa"/>
            <w:tcBorders>
              <w:tl2br w:val="nil"/>
              <w:tr2bl w:val="nil"/>
            </w:tcBorders>
            <w:shd w:val="clear" w:color="auto" w:fill="auto"/>
            <w:vAlign w:val="center"/>
          </w:tcPr>
          <w:p w14:paraId="5B6A939A">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0.07 </w:t>
            </w:r>
          </w:p>
        </w:tc>
      </w:tr>
      <w:tr w14:paraId="3241F1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87" w:type="dxa"/>
            <w:tcBorders>
              <w:tl2br w:val="nil"/>
              <w:tr2bl w:val="nil"/>
            </w:tcBorders>
            <w:shd w:val="clear" w:color="auto" w:fill="auto"/>
            <w:vAlign w:val="center"/>
          </w:tcPr>
          <w:p w14:paraId="6ED8FD6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听诊器</w:t>
            </w:r>
          </w:p>
        </w:tc>
        <w:tc>
          <w:tcPr>
            <w:tcW w:w="4368" w:type="dxa"/>
            <w:tcBorders>
              <w:tl2br w:val="nil"/>
              <w:tr2bl w:val="nil"/>
            </w:tcBorders>
            <w:shd w:val="clear" w:color="auto" w:fill="auto"/>
            <w:vAlign w:val="center"/>
          </w:tcPr>
          <w:p w14:paraId="0F03386F">
            <w:pPr>
              <w:keepNext w:val="0"/>
              <w:keepLines w:val="0"/>
              <w:suppressLineNumbers w:val="0"/>
              <w:spacing w:before="0" w:beforeAutospacing="0" w:after="0" w:afterAutospacing="0"/>
              <w:ind w:left="0" w:right="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4.用于收集和放大从心脏、肺部、动脉、静脉和其他内脏器官处发出的声音。</w:t>
            </w:r>
          </w:p>
        </w:tc>
        <w:tc>
          <w:tcPr>
            <w:tcW w:w="2316" w:type="dxa"/>
            <w:tcBorders>
              <w:tl2br w:val="nil"/>
              <w:tr2bl w:val="nil"/>
            </w:tcBorders>
            <w:shd w:val="clear" w:color="auto" w:fill="auto"/>
            <w:vAlign w:val="center"/>
          </w:tcPr>
          <w:p w14:paraId="63A0C0BE">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单用 （全铜听头）</w:t>
            </w:r>
          </w:p>
        </w:tc>
        <w:tc>
          <w:tcPr>
            <w:tcW w:w="914" w:type="dxa"/>
            <w:tcBorders>
              <w:tl2br w:val="nil"/>
              <w:tr2bl w:val="nil"/>
            </w:tcBorders>
            <w:shd w:val="clear" w:color="auto" w:fill="auto"/>
            <w:vAlign w:val="center"/>
          </w:tcPr>
          <w:p w14:paraId="23DE13D1">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个</w:t>
            </w:r>
          </w:p>
        </w:tc>
        <w:tc>
          <w:tcPr>
            <w:tcW w:w="1287" w:type="dxa"/>
            <w:tcBorders>
              <w:tl2br w:val="nil"/>
              <w:tr2bl w:val="nil"/>
            </w:tcBorders>
            <w:shd w:val="clear" w:color="auto" w:fill="auto"/>
            <w:vAlign w:val="center"/>
          </w:tcPr>
          <w:p w14:paraId="41AF5490">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31.00 </w:t>
            </w:r>
          </w:p>
        </w:tc>
      </w:tr>
      <w:tr w14:paraId="650107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13014FF0">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捆扎止血带</w:t>
            </w:r>
          </w:p>
        </w:tc>
        <w:tc>
          <w:tcPr>
            <w:tcW w:w="4368" w:type="dxa"/>
            <w:tcBorders>
              <w:tl2br w:val="nil"/>
              <w:tr2bl w:val="nil"/>
            </w:tcBorders>
            <w:shd w:val="clear" w:color="auto" w:fill="auto"/>
            <w:vAlign w:val="center"/>
          </w:tcPr>
          <w:p w14:paraId="61EE7F9B">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5.用于静脉输液或抽血时暂时阻断静脉回流。</w:t>
            </w:r>
          </w:p>
        </w:tc>
        <w:tc>
          <w:tcPr>
            <w:tcW w:w="2316" w:type="dxa"/>
            <w:tcBorders>
              <w:tl2br w:val="nil"/>
              <w:tr2bl w:val="nil"/>
            </w:tcBorders>
            <w:shd w:val="clear" w:color="auto" w:fill="auto"/>
            <w:vAlign w:val="center"/>
          </w:tcPr>
          <w:p w14:paraId="6EC09E51">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6D550311">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米</w:t>
            </w:r>
          </w:p>
        </w:tc>
        <w:tc>
          <w:tcPr>
            <w:tcW w:w="1287" w:type="dxa"/>
            <w:tcBorders>
              <w:tl2br w:val="nil"/>
              <w:tr2bl w:val="nil"/>
            </w:tcBorders>
            <w:shd w:val="clear" w:color="auto" w:fill="auto"/>
            <w:vAlign w:val="center"/>
          </w:tcPr>
          <w:p w14:paraId="1D167E35">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2.10 </w:t>
            </w:r>
          </w:p>
        </w:tc>
      </w:tr>
      <w:tr w14:paraId="0087C6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7B05720A">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电子血压计</w:t>
            </w:r>
          </w:p>
        </w:tc>
        <w:tc>
          <w:tcPr>
            <w:tcW w:w="4368" w:type="dxa"/>
            <w:tcBorders>
              <w:tl2br w:val="nil"/>
              <w:tr2bl w:val="nil"/>
            </w:tcBorders>
            <w:shd w:val="clear" w:color="auto" w:fill="auto"/>
            <w:vAlign w:val="center"/>
          </w:tcPr>
          <w:p w14:paraId="027D47E6">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6.以示波法测量成人舒张压、收缩压、脉率，其数值供诊断参考。</w:t>
            </w:r>
          </w:p>
        </w:tc>
        <w:tc>
          <w:tcPr>
            <w:tcW w:w="2316" w:type="dxa"/>
            <w:tcBorders>
              <w:tl2br w:val="nil"/>
              <w:tr2bl w:val="nil"/>
            </w:tcBorders>
            <w:shd w:val="clear" w:color="auto" w:fill="auto"/>
            <w:vAlign w:val="center"/>
          </w:tcPr>
          <w:p w14:paraId="4ED862A6">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手腕式</w:t>
            </w:r>
          </w:p>
        </w:tc>
        <w:tc>
          <w:tcPr>
            <w:tcW w:w="914" w:type="dxa"/>
            <w:tcBorders>
              <w:tl2br w:val="nil"/>
              <w:tr2bl w:val="nil"/>
            </w:tcBorders>
            <w:shd w:val="clear" w:color="auto" w:fill="auto"/>
            <w:vAlign w:val="center"/>
          </w:tcPr>
          <w:p w14:paraId="2D7A509E">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台</w:t>
            </w:r>
          </w:p>
        </w:tc>
        <w:tc>
          <w:tcPr>
            <w:tcW w:w="1287" w:type="dxa"/>
            <w:tcBorders>
              <w:tl2br w:val="nil"/>
              <w:tr2bl w:val="nil"/>
            </w:tcBorders>
            <w:shd w:val="clear" w:color="auto" w:fill="auto"/>
            <w:vAlign w:val="center"/>
          </w:tcPr>
          <w:p w14:paraId="52BAD6F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320.00 </w:t>
            </w:r>
          </w:p>
        </w:tc>
      </w:tr>
      <w:tr w14:paraId="587A73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22F2912F">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电子血压计</w:t>
            </w:r>
          </w:p>
        </w:tc>
        <w:tc>
          <w:tcPr>
            <w:tcW w:w="4368" w:type="dxa"/>
            <w:tcBorders>
              <w:tl2br w:val="nil"/>
              <w:tr2bl w:val="nil"/>
            </w:tcBorders>
            <w:shd w:val="clear" w:color="auto" w:fill="auto"/>
            <w:vAlign w:val="center"/>
          </w:tcPr>
          <w:p w14:paraId="6DA36E77">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7.以示波法测量成人舒张压、收缩压、脉率，其数值供诊断参考。</w:t>
            </w:r>
          </w:p>
        </w:tc>
        <w:tc>
          <w:tcPr>
            <w:tcW w:w="2316" w:type="dxa"/>
            <w:tcBorders>
              <w:tl2br w:val="nil"/>
              <w:tr2bl w:val="nil"/>
            </w:tcBorders>
            <w:shd w:val="clear" w:color="auto" w:fill="auto"/>
            <w:vAlign w:val="center"/>
          </w:tcPr>
          <w:p w14:paraId="023159E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上臂式</w:t>
            </w:r>
          </w:p>
        </w:tc>
        <w:tc>
          <w:tcPr>
            <w:tcW w:w="914" w:type="dxa"/>
            <w:tcBorders>
              <w:tl2br w:val="nil"/>
              <w:tr2bl w:val="nil"/>
            </w:tcBorders>
            <w:shd w:val="clear" w:color="auto" w:fill="auto"/>
            <w:vAlign w:val="center"/>
          </w:tcPr>
          <w:p w14:paraId="74545EA3">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台</w:t>
            </w:r>
          </w:p>
        </w:tc>
        <w:tc>
          <w:tcPr>
            <w:tcW w:w="1287" w:type="dxa"/>
            <w:tcBorders>
              <w:tl2br w:val="nil"/>
              <w:tr2bl w:val="nil"/>
            </w:tcBorders>
            <w:shd w:val="clear" w:color="auto" w:fill="auto"/>
            <w:vAlign w:val="center"/>
          </w:tcPr>
          <w:p w14:paraId="6EAB1E2A">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300.00 </w:t>
            </w:r>
          </w:p>
        </w:tc>
      </w:tr>
      <w:tr w14:paraId="3AD1A2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FFFFFF"/>
            <w:vAlign w:val="center"/>
          </w:tcPr>
          <w:p w14:paraId="5ED4E25F">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电子血压计臂带</w:t>
            </w:r>
          </w:p>
        </w:tc>
        <w:tc>
          <w:tcPr>
            <w:tcW w:w="4368" w:type="dxa"/>
            <w:tcBorders>
              <w:tl2br w:val="nil"/>
              <w:tr2bl w:val="nil"/>
            </w:tcBorders>
            <w:shd w:val="clear" w:color="auto" w:fill="FFFFFF"/>
            <w:vAlign w:val="center"/>
          </w:tcPr>
          <w:p w14:paraId="615B4799">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8.通过充气和放气过程，暂时阻断并恢复手臂动脉的血流，从而让电子血压计能准确感知并计算出血压和心率。</w:t>
            </w:r>
          </w:p>
        </w:tc>
        <w:tc>
          <w:tcPr>
            <w:tcW w:w="2316" w:type="dxa"/>
            <w:tcBorders>
              <w:tl2br w:val="nil"/>
              <w:tr2bl w:val="nil"/>
            </w:tcBorders>
            <w:shd w:val="clear" w:color="auto" w:fill="FFFFFF"/>
            <w:vAlign w:val="center"/>
          </w:tcPr>
          <w:p w14:paraId="1EEFF9DA">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FFFFFF"/>
            <w:vAlign w:val="center"/>
          </w:tcPr>
          <w:p w14:paraId="478B4B1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套</w:t>
            </w:r>
          </w:p>
        </w:tc>
        <w:tc>
          <w:tcPr>
            <w:tcW w:w="1287" w:type="dxa"/>
            <w:tcBorders>
              <w:tl2br w:val="nil"/>
              <w:tr2bl w:val="nil"/>
            </w:tcBorders>
            <w:shd w:val="clear" w:color="auto" w:fill="FFFFFF"/>
            <w:vAlign w:val="center"/>
          </w:tcPr>
          <w:p w14:paraId="2EBE5047">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92.00 </w:t>
            </w:r>
          </w:p>
        </w:tc>
      </w:tr>
      <w:tr w14:paraId="1DD32A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5629E92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氧气袋</w:t>
            </w:r>
          </w:p>
        </w:tc>
        <w:tc>
          <w:tcPr>
            <w:tcW w:w="4368" w:type="dxa"/>
            <w:tcBorders>
              <w:tl2br w:val="nil"/>
              <w:tr2bl w:val="nil"/>
            </w:tcBorders>
            <w:shd w:val="clear" w:color="auto" w:fill="auto"/>
            <w:vAlign w:val="center"/>
          </w:tcPr>
          <w:p w14:paraId="3D1DC363">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9.由无毒材料制成的医疗用具，用于装载氧气，具有质量轻、易携带、易贮存等特点，适用于家庭保健及医疗急救转运。其通常为蓝色，配备加压装置，操作简便，可满足不同场景输氧需求。</w:t>
            </w:r>
          </w:p>
        </w:tc>
        <w:tc>
          <w:tcPr>
            <w:tcW w:w="2316" w:type="dxa"/>
            <w:tcBorders>
              <w:tl2br w:val="nil"/>
              <w:tr2bl w:val="nil"/>
            </w:tcBorders>
            <w:shd w:val="clear" w:color="auto" w:fill="auto"/>
            <w:vAlign w:val="center"/>
          </w:tcPr>
          <w:p w14:paraId="4C00EA85">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容量≥42L</w:t>
            </w:r>
          </w:p>
        </w:tc>
        <w:tc>
          <w:tcPr>
            <w:tcW w:w="914" w:type="dxa"/>
            <w:tcBorders>
              <w:tl2br w:val="nil"/>
              <w:tr2bl w:val="nil"/>
            </w:tcBorders>
            <w:shd w:val="clear" w:color="auto" w:fill="auto"/>
            <w:vAlign w:val="center"/>
          </w:tcPr>
          <w:p w14:paraId="433B2355">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个</w:t>
            </w:r>
          </w:p>
        </w:tc>
        <w:tc>
          <w:tcPr>
            <w:tcW w:w="1287" w:type="dxa"/>
            <w:tcBorders>
              <w:tl2br w:val="nil"/>
              <w:tr2bl w:val="nil"/>
            </w:tcBorders>
            <w:shd w:val="clear" w:color="auto" w:fill="auto"/>
            <w:vAlign w:val="center"/>
          </w:tcPr>
          <w:p w14:paraId="5F6F505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42.00 </w:t>
            </w:r>
          </w:p>
        </w:tc>
      </w:tr>
      <w:tr w14:paraId="7E3951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747A4B7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液体石蜡油</w:t>
            </w:r>
          </w:p>
        </w:tc>
        <w:tc>
          <w:tcPr>
            <w:tcW w:w="4368" w:type="dxa"/>
            <w:tcBorders>
              <w:tl2br w:val="nil"/>
              <w:tr2bl w:val="nil"/>
            </w:tcBorders>
            <w:shd w:val="clear" w:color="auto" w:fill="auto"/>
            <w:vAlign w:val="center"/>
          </w:tcPr>
          <w:p w14:paraId="42042EB2">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10.主要适用作为润滑剂。</w:t>
            </w:r>
          </w:p>
        </w:tc>
        <w:tc>
          <w:tcPr>
            <w:tcW w:w="2316" w:type="dxa"/>
            <w:tcBorders>
              <w:tl2br w:val="nil"/>
              <w:tr2bl w:val="nil"/>
            </w:tcBorders>
            <w:shd w:val="clear" w:color="auto" w:fill="auto"/>
            <w:vAlign w:val="center"/>
          </w:tcPr>
          <w:p w14:paraId="062B9BC1">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2961D84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ml</w:t>
            </w:r>
          </w:p>
        </w:tc>
        <w:tc>
          <w:tcPr>
            <w:tcW w:w="1287" w:type="dxa"/>
            <w:tcBorders>
              <w:tl2br w:val="nil"/>
              <w:tr2bl w:val="nil"/>
            </w:tcBorders>
            <w:shd w:val="clear" w:color="auto" w:fill="auto"/>
            <w:vAlign w:val="center"/>
          </w:tcPr>
          <w:p w14:paraId="00DC7E8E">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0.024 </w:t>
            </w:r>
          </w:p>
        </w:tc>
      </w:tr>
      <w:tr w14:paraId="6D6E41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6E47852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医用白凡士林</w:t>
            </w:r>
          </w:p>
        </w:tc>
        <w:tc>
          <w:tcPr>
            <w:tcW w:w="4368" w:type="dxa"/>
            <w:tcBorders>
              <w:tl2br w:val="nil"/>
              <w:tr2bl w:val="nil"/>
            </w:tcBorders>
            <w:shd w:val="clear" w:color="auto" w:fill="auto"/>
            <w:vAlign w:val="center"/>
          </w:tcPr>
          <w:p w14:paraId="4E517813">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11.主要适用作为润滑剂、软膏基质。</w:t>
            </w:r>
          </w:p>
        </w:tc>
        <w:tc>
          <w:tcPr>
            <w:tcW w:w="2316" w:type="dxa"/>
            <w:tcBorders>
              <w:tl2br w:val="nil"/>
              <w:tr2bl w:val="nil"/>
            </w:tcBorders>
            <w:shd w:val="clear" w:color="auto" w:fill="auto"/>
            <w:vAlign w:val="center"/>
          </w:tcPr>
          <w:p w14:paraId="7EE85F7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0FF55B1F">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g</w:t>
            </w:r>
          </w:p>
        </w:tc>
        <w:tc>
          <w:tcPr>
            <w:tcW w:w="1287" w:type="dxa"/>
            <w:tcBorders>
              <w:tl2br w:val="nil"/>
              <w:tr2bl w:val="nil"/>
            </w:tcBorders>
            <w:shd w:val="clear" w:color="auto" w:fill="auto"/>
            <w:vAlign w:val="center"/>
          </w:tcPr>
          <w:p w14:paraId="214B5DA7">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0.024 </w:t>
            </w:r>
          </w:p>
        </w:tc>
      </w:tr>
      <w:tr w14:paraId="5E59D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5BC4915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医用三角巾急救包</w:t>
            </w:r>
          </w:p>
        </w:tc>
        <w:tc>
          <w:tcPr>
            <w:tcW w:w="4368" w:type="dxa"/>
            <w:tcBorders>
              <w:tl2br w:val="nil"/>
              <w:tr2bl w:val="nil"/>
            </w:tcBorders>
            <w:shd w:val="clear" w:color="auto" w:fill="auto"/>
            <w:vAlign w:val="center"/>
          </w:tcPr>
          <w:p w14:paraId="47F7FB4A">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12.由三角巾、固定敷料垫、活动敷料垫组成，经压缩成型，一次性使用产品，真空包装，经辐照灭菌，产品无菌。主要用于非慢性创面的护理或用于对创面敷料或肢体提供束缚力，以起到包扎、固定作用。</w:t>
            </w:r>
          </w:p>
        </w:tc>
        <w:tc>
          <w:tcPr>
            <w:tcW w:w="2316" w:type="dxa"/>
            <w:tcBorders>
              <w:tl2br w:val="nil"/>
              <w:tr2bl w:val="nil"/>
            </w:tcBorders>
            <w:shd w:val="clear" w:color="auto" w:fill="auto"/>
            <w:vAlign w:val="center"/>
          </w:tcPr>
          <w:p w14:paraId="40711C65">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561B5AAD">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个</w:t>
            </w:r>
          </w:p>
        </w:tc>
        <w:tc>
          <w:tcPr>
            <w:tcW w:w="1287" w:type="dxa"/>
            <w:tcBorders>
              <w:tl2br w:val="nil"/>
              <w:tr2bl w:val="nil"/>
            </w:tcBorders>
            <w:shd w:val="clear" w:color="auto" w:fill="auto"/>
            <w:vAlign w:val="center"/>
          </w:tcPr>
          <w:p w14:paraId="2A0CE37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30.00 </w:t>
            </w:r>
          </w:p>
        </w:tc>
      </w:tr>
      <w:tr w14:paraId="1210E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2C829C2B">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病历夹ABS(塑料加厚)</w:t>
            </w:r>
          </w:p>
        </w:tc>
        <w:tc>
          <w:tcPr>
            <w:tcW w:w="4368" w:type="dxa"/>
            <w:tcBorders>
              <w:tl2br w:val="nil"/>
              <w:tr2bl w:val="nil"/>
            </w:tcBorders>
            <w:shd w:val="clear" w:color="auto" w:fill="auto"/>
            <w:vAlign w:val="center"/>
          </w:tcPr>
          <w:p w14:paraId="7C049A79">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13.材质由ABS制成(塑料加厚）。</w:t>
            </w:r>
          </w:p>
        </w:tc>
        <w:tc>
          <w:tcPr>
            <w:tcW w:w="2316" w:type="dxa"/>
            <w:tcBorders>
              <w:tl2br w:val="nil"/>
              <w:tr2bl w:val="nil"/>
            </w:tcBorders>
            <w:shd w:val="clear" w:color="auto" w:fill="auto"/>
            <w:vAlign w:val="center"/>
          </w:tcPr>
          <w:p w14:paraId="562C8D57">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长度≥32cm</w:t>
            </w:r>
          </w:p>
          <w:p w14:paraId="37A2A588">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宽度≥23cm</w:t>
            </w:r>
          </w:p>
        </w:tc>
        <w:tc>
          <w:tcPr>
            <w:tcW w:w="914" w:type="dxa"/>
            <w:tcBorders>
              <w:tl2br w:val="nil"/>
              <w:tr2bl w:val="nil"/>
            </w:tcBorders>
            <w:shd w:val="clear" w:color="auto" w:fill="auto"/>
            <w:vAlign w:val="center"/>
          </w:tcPr>
          <w:p w14:paraId="5E487630">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个</w:t>
            </w:r>
          </w:p>
        </w:tc>
        <w:tc>
          <w:tcPr>
            <w:tcW w:w="1287" w:type="dxa"/>
            <w:tcBorders>
              <w:tl2br w:val="nil"/>
              <w:tr2bl w:val="nil"/>
            </w:tcBorders>
            <w:shd w:val="clear" w:color="auto" w:fill="auto"/>
            <w:vAlign w:val="center"/>
          </w:tcPr>
          <w:p w14:paraId="5515DC58">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27.00 </w:t>
            </w:r>
          </w:p>
        </w:tc>
      </w:tr>
      <w:tr w14:paraId="6846B5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253BA226">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体重秤</w:t>
            </w:r>
          </w:p>
        </w:tc>
        <w:tc>
          <w:tcPr>
            <w:tcW w:w="4368" w:type="dxa"/>
            <w:tcBorders>
              <w:tl2br w:val="nil"/>
              <w:tr2bl w:val="nil"/>
            </w:tcBorders>
            <w:shd w:val="clear" w:color="auto" w:fill="auto"/>
            <w:vAlign w:val="center"/>
          </w:tcPr>
          <w:p w14:paraId="1BFFDEDC">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14.主要使用于测量身高、体重使用。</w:t>
            </w:r>
          </w:p>
        </w:tc>
        <w:tc>
          <w:tcPr>
            <w:tcW w:w="2316" w:type="dxa"/>
            <w:tcBorders>
              <w:tl2br w:val="nil"/>
              <w:tr2bl w:val="nil"/>
            </w:tcBorders>
            <w:shd w:val="clear" w:color="auto" w:fill="auto"/>
            <w:vAlign w:val="center"/>
          </w:tcPr>
          <w:p w14:paraId="5BCA1036">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指针式附身高尺</w:t>
            </w:r>
          </w:p>
        </w:tc>
        <w:tc>
          <w:tcPr>
            <w:tcW w:w="914" w:type="dxa"/>
            <w:tcBorders>
              <w:tl2br w:val="nil"/>
              <w:tr2bl w:val="nil"/>
            </w:tcBorders>
            <w:shd w:val="clear" w:color="auto" w:fill="auto"/>
            <w:vAlign w:val="center"/>
          </w:tcPr>
          <w:p w14:paraId="2179E8F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台</w:t>
            </w:r>
          </w:p>
        </w:tc>
        <w:tc>
          <w:tcPr>
            <w:tcW w:w="1287" w:type="dxa"/>
            <w:tcBorders>
              <w:tl2br w:val="nil"/>
              <w:tr2bl w:val="nil"/>
            </w:tcBorders>
            <w:shd w:val="clear" w:color="auto" w:fill="auto"/>
            <w:vAlign w:val="center"/>
          </w:tcPr>
          <w:p w14:paraId="1ED0A34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450.00 </w:t>
            </w:r>
          </w:p>
        </w:tc>
      </w:tr>
      <w:tr w14:paraId="17AD8E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22A5888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不锈钢氧气瓶推车</w:t>
            </w:r>
          </w:p>
        </w:tc>
        <w:tc>
          <w:tcPr>
            <w:tcW w:w="4368" w:type="dxa"/>
            <w:tcBorders>
              <w:tl2br w:val="nil"/>
              <w:tr2bl w:val="nil"/>
            </w:tcBorders>
            <w:shd w:val="clear" w:color="auto" w:fill="auto"/>
            <w:vAlign w:val="center"/>
          </w:tcPr>
          <w:p w14:paraId="12E2A403">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15.用作于转移氧气瓶（≥40L）使用。</w:t>
            </w:r>
          </w:p>
        </w:tc>
        <w:tc>
          <w:tcPr>
            <w:tcW w:w="2316" w:type="dxa"/>
            <w:tcBorders>
              <w:tl2br w:val="nil"/>
              <w:tr2bl w:val="nil"/>
            </w:tcBorders>
            <w:shd w:val="clear" w:color="auto" w:fill="auto"/>
            <w:vAlign w:val="center"/>
          </w:tcPr>
          <w:p w14:paraId="14500DB0">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5A6D11BD">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台</w:t>
            </w:r>
          </w:p>
        </w:tc>
        <w:tc>
          <w:tcPr>
            <w:tcW w:w="1287" w:type="dxa"/>
            <w:tcBorders>
              <w:tl2br w:val="nil"/>
              <w:tr2bl w:val="nil"/>
            </w:tcBorders>
            <w:shd w:val="clear" w:color="auto" w:fill="auto"/>
            <w:vAlign w:val="center"/>
          </w:tcPr>
          <w:p w14:paraId="1AD90D5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480.00 </w:t>
            </w:r>
          </w:p>
        </w:tc>
      </w:tr>
      <w:tr w14:paraId="5485F0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0C8D57D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紫外线灭菌灯管</w:t>
            </w:r>
          </w:p>
        </w:tc>
        <w:tc>
          <w:tcPr>
            <w:tcW w:w="4368" w:type="dxa"/>
            <w:tcBorders>
              <w:tl2br w:val="nil"/>
              <w:tr2bl w:val="nil"/>
            </w:tcBorders>
            <w:shd w:val="clear" w:color="auto" w:fill="auto"/>
            <w:vAlign w:val="center"/>
          </w:tcPr>
          <w:p w14:paraId="7BE01C62">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16.紫外线杀菌灯采用石英玻璃管材，本品通过辐射外线破坏微生物DNA，杀灭微生物。该产品能有效杀灭肠杆菌、金黄色葡萄球菌、白色葡萄球菌、枯草杆菌黑色变种芽孢。广泛适用于医疗卫生作为一般物体表面及空气消毒。</w:t>
            </w:r>
          </w:p>
        </w:tc>
        <w:tc>
          <w:tcPr>
            <w:tcW w:w="2316" w:type="dxa"/>
            <w:tcBorders>
              <w:tl2br w:val="nil"/>
              <w:tr2bl w:val="nil"/>
            </w:tcBorders>
            <w:shd w:val="clear" w:color="auto" w:fill="auto"/>
            <w:vAlign w:val="center"/>
          </w:tcPr>
          <w:p w14:paraId="0D121AF9">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40W</w:t>
            </w:r>
          </w:p>
        </w:tc>
        <w:tc>
          <w:tcPr>
            <w:tcW w:w="914" w:type="dxa"/>
            <w:tcBorders>
              <w:tl2br w:val="nil"/>
              <w:tr2bl w:val="nil"/>
            </w:tcBorders>
            <w:shd w:val="clear" w:color="auto" w:fill="auto"/>
            <w:vAlign w:val="center"/>
          </w:tcPr>
          <w:p w14:paraId="31329DF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支</w:t>
            </w:r>
          </w:p>
        </w:tc>
        <w:tc>
          <w:tcPr>
            <w:tcW w:w="1287" w:type="dxa"/>
            <w:tcBorders>
              <w:tl2br w:val="nil"/>
              <w:tr2bl w:val="nil"/>
            </w:tcBorders>
            <w:shd w:val="clear" w:color="auto" w:fill="auto"/>
            <w:vAlign w:val="center"/>
          </w:tcPr>
          <w:p w14:paraId="2CAA853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68.00 </w:t>
            </w:r>
          </w:p>
        </w:tc>
      </w:tr>
      <w:tr w14:paraId="4F6BC1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1E003757">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紫外线灭菌灯管</w:t>
            </w:r>
          </w:p>
        </w:tc>
        <w:tc>
          <w:tcPr>
            <w:tcW w:w="4368" w:type="dxa"/>
            <w:tcBorders>
              <w:tl2br w:val="nil"/>
              <w:tr2bl w:val="nil"/>
            </w:tcBorders>
            <w:shd w:val="clear" w:color="auto" w:fill="auto"/>
            <w:vAlign w:val="center"/>
          </w:tcPr>
          <w:p w14:paraId="23F0D045">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17.紫外线杀菌灯采用石英玻璃管材，本品通过辐射外线破坏微生物DNA，杀灭微生物。该产品能有效杀灭肠杆菌、金黄色葡萄球菌、白色葡萄球菌、枯草杆菌黑色变种芽孢。广泛适用于医疗卫生作为一般物体表面及空气消毒。</w:t>
            </w:r>
          </w:p>
        </w:tc>
        <w:tc>
          <w:tcPr>
            <w:tcW w:w="2316" w:type="dxa"/>
            <w:tcBorders>
              <w:tl2br w:val="nil"/>
              <w:tr2bl w:val="nil"/>
            </w:tcBorders>
            <w:shd w:val="clear" w:color="auto" w:fill="auto"/>
            <w:vAlign w:val="center"/>
          </w:tcPr>
          <w:p w14:paraId="6F06C1C6">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30W</w:t>
            </w:r>
          </w:p>
        </w:tc>
        <w:tc>
          <w:tcPr>
            <w:tcW w:w="914" w:type="dxa"/>
            <w:tcBorders>
              <w:tl2br w:val="nil"/>
              <w:tr2bl w:val="nil"/>
            </w:tcBorders>
            <w:shd w:val="clear" w:color="auto" w:fill="auto"/>
            <w:vAlign w:val="center"/>
          </w:tcPr>
          <w:p w14:paraId="609D0A28">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支</w:t>
            </w:r>
          </w:p>
        </w:tc>
        <w:tc>
          <w:tcPr>
            <w:tcW w:w="1287" w:type="dxa"/>
            <w:tcBorders>
              <w:tl2br w:val="nil"/>
              <w:tr2bl w:val="nil"/>
            </w:tcBorders>
            <w:shd w:val="clear" w:color="auto" w:fill="auto"/>
            <w:vAlign w:val="center"/>
          </w:tcPr>
          <w:p w14:paraId="684A27E4">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36.00 </w:t>
            </w:r>
          </w:p>
        </w:tc>
      </w:tr>
      <w:tr w14:paraId="0452AE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53C159D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灭菌用封口胶带</w:t>
            </w:r>
          </w:p>
        </w:tc>
        <w:tc>
          <w:tcPr>
            <w:tcW w:w="4368" w:type="dxa"/>
            <w:tcBorders>
              <w:tl2br w:val="nil"/>
              <w:tr2bl w:val="nil"/>
            </w:tcBorders>
            <w:shd w:val="clear" w:color="auto" w:fill="auto"/>
            <w:vAlign w:val="center"/>
          </w:tcPr>
          <w:p w14:paraId="6749B35C">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18.适用于消毒使用的外包装封口用。</w:t>
            </w:r>
          </w:p>
        </w:tc>
        <w:tc>
          <w:tcPr>
            <w:tcW w:w="2316" w:type="dxa"/>
            <w:tcBorders>
              <w:tl2br w:val="nil"/>
              <w:tr2bl w:val="nil"/>
            </w:tcBorders>
            <w:shd w:val="clear" w:color="auto" w:fill="auto"/>
            <w:vAlign w:val="center"/>
          </w:tcPr>
          <w:p w14:paraId="22B17E73">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宽≥1.8cm</w:t>
            </w:r>
          </w:p>
        </w:tc>
        <w:tc>
          <w:tcPr>
            <w:tcW w:w="914" w:type="dxa"/>
            <w:tcBorders>
              <w:tl2br w:val="nil"/>
              <w:tr2bl w:val="nil"/>
            </w:tcBorders>
            <w:shd w:val="clear" w:color="auto" w:fill="auto"/>
            <w:vAlign w:val="center"/>
          </w:tcPr>
          <w:p w14:paraId="5523ED9D">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卷</w:t>
            </w:r>
          </w:p>
        </w:tc>
        <w:tc>
          <w:tcPr>
            <w:tcW w:w="1287" w:type="dxa"/>
            <w:tcBorders>
              <w:tl2br w:val="nil"/>
              <w:tr2bl w:val="nil"/>
            </w:tcBorders>
            <w:shd w:val="clear" w:color="auto" w:fill="auto"/>
            <w:vAlign w:val="center"/>
          </w:tcPr>
          <w:p w14:paraId="7CFBF83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2.40 </w:t>
            </w:r>
          </w:p>
        </w:tc>
      </w:tr>
      <w:tr w14:paraId="74C5DF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3885D964">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蒸汽灭菌指示胶带</w:t>
            </w:r>
          </w:p>
        </w:tc>
        <w:tc>
          <w:tcPr>
            <w:tcW w:w="4368" w:type="dxa"/>
            <w:tcBorders>
              <w:tl2br w:val="nil"/>
              <w:tr2bl w:val="nil"/>
            </w:tcBorders>
            <w:shd w:val="clear" w:color="auto" w:fill="auto"/>
            <w:vAlign w:val="center"/>
          </w:tcPr>
          <w:p w14:paraId="59C4B36F">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19.适用于适用于高温灭菌包的封包。</w:t>
            </w:r>
          </w:p>
        </w:tc>
        <w:tc>
          <w:tcPr>
            <w:tcW w:w="2316" w:type="dxa"/>
            <w:tcBorders>
              <w:tl2br w:val="nil"/>
              <w:tr2bl w:val="nil"/>
            </w:tcBorders>
            <w:shd w:val="clear" w:color="auto" w:fill="auto"/>
            <w:vAlign w:val="center"/>
          </w:tcPr>
          <w:p w14:paraId="015AFC6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62AEB4C3">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卷</w:t>
            </w:r>
          </w:p>
        </w:tc>
        <w:tc>
          <w:tcPr>
            <w:tcW w:w="1287" w:type="dxa"/>
            <w:tcBorders>
              <w:tl2br w:val="nil"/>
              <w:tr2bl w:val="nil"/>
            </w:tcBorders>
            <w:shd w:val="clear" w:color="auto" w:fill="auto"/>
            <w:vAlign w:val="center"/>
          </w:tcPr>
          <w:p w14:paraId="27E07BAA">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72.00 </w:t>
            </w:r>
          </w:p>
        </w:tc>
      </w:tr>
      <w:tr w14:paraId="297AA7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25FCE703">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压力蒸汽灭菌包内化学指示卡</w:t>
            </w:r>
          </w:p>
        </w:tc>
        <w:tc>
          <w:tcPr>
            <w:tcW w:w="4368" w:type="dxa"/>
            <w:tcBorders>
              <w:tl2br w:val="nil"/>
              <w:tr2bl w:val="nil"/>
            </w:tcBorders>
            <w:shd w:val="clear" w:color="auto" w:fill="auto"/>
            <w:vAlign w:val="center"/>
          </w:tcPr>
          <w:p w14:paraId="026EAF35">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20.适用于医疗防疫机构对132°C-134°C的预真空压力蒸汽灭菌处理的监测。</w:t>
            </w:r>
          </w:p>
        </w:tc>
        <w:tc>
          <w:tcPr>
            <w:tcW w:w="2316" w:type="dxa"/>
            <w:tcBorders>
              <w:tl2br w:val="nil"/>
              <w:tr2bl w:val="nil"/>
            </w:tcBorders>
            <w:shd w:val="clear" w:color="auto" w:fill="auto"/>
            <w:vAlign w:val="center"/>
          </w:tcPr>
          <w:p w14:paraId="4240A294">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78468324">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片</w:t>
            </w:r>
          </w:p>
        </w:tc>
        <w:tc>
          <w:tcPr>
            <w:tcW w:w="1287" w:type="dxa"/>
            <w:tcBorders>
              <w:tl2br w:val="nil"/>
              <w:tr2bl w:val="nil"/>
            </w:tcBorders>
            <w:shd w:val="clear" w:color="auto" w:fill="auto"/>
            <w:vAlign w:val="center"/>
          </w:tcPr>
          <w:p w14:paraId="5B193282">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1.4375 </w:t>
            </w:r>
          </w:p>
        </w:tc>
      </w:tr>
      <w:tr w14:paraId="03E709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87" w:type="dxa"/>
            <w:tcBorders>
              <w:tl2br w:val="nil"/>
              <w:tr2bl w:val="nil"/>
            </w:tcBorders>
            <w:shd w:val="clear" w:color="auto" w:fill="auto"/>
            <w:vAlign w:val="center"/>
          </w:tcPr>
          <w:p w14:paraId="40B21404">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压力蒸汽灭菌包内化学指示卡(爬行式)</w:t>
            </w:r>
          </w:p>
        </w:tc>
        <w:tc>
          <w:tcPr>
            <w:tcW w:w="4368" w:type="dxa"/>
            <w:tcBorders>
              <w:tl2br w:val="nil"/>
              <w:tr2bl w:val="nil"/>
            </w:tcBorders>
            <w:shd w:val="clear" w:color="auto" w:fill="auto"/>
            <w:vAlign w:val="center"/>
          </w:tcPr>
          <w:p w14:paraId="1C73EC4B">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21.适用于医疗防疫机构对121°C-135°C压力蒸汽灭菌效果的监测。</w:t>
            </w:r>
          </w:p>
        </w:tc>
        <w:tc>
          <w:tcPr>
            <w:tcW w:w="2316" w:type="dxa"/>
            <w:tcBorders>
              <w:tl2br w:val="nil"/>
              <w:tr2bl w:val="nil"/>
            </w:tcBorders>
            <w:shd w:val="clear" w:color="auto" w:fill="auto"/>
            <w:vAlign w:val="center"/>
          </w:tcPr>
          <w:p w14:paraId="43631E01">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各规格型号</w:t>
            </w:r>
          </w:p>
        </w:tc>
        <w:tc>
          <w:tcPr>
            <w:tcW w:w="914" w:type="dxa"/>
            <w:tcBorders>
              <w:tl2br w:val="nil"/>
              <w:tr2bl w:val="nil"/>
            </w:tcBorders>
            <w:shd w:val="clear" w:color="auto" w:fill="auto"/>
            <w:vAlign w:val="center"/>
          </w:tcPr>
          <w:p w14:paraId="28FC37AC">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片</w:t>
            </w:r>
          </w:p>
        </w:tc>
        <w:tc>
          <w:tcPr>
            <w:tcW w:w="1287" w:type="dxa"/>
            <w:tcBorders>
              <w:tl2br w:val="nil"/>
              <w:tr2bl w:val="nil"/>
            </w:tcBorders>
            <w:shd w:val="clear" w:color="auto" w:fill="auto"/>
            <w:vAlign w:val="center"/>
          </w:tcPr>
          <w:p w14:paraId="4EA692BF">
            <w:pPr>
              <w:keepNext w:val="0"/>
              <w:keepLines w:val="0"/>
              <w:suppressLineNumbers w:val="0"/>
              <w:spacing w:before="0" w:beforeAutospacing="0" w:after="0" w:afterAutospacing="0"/>
              <w:ind w:left="0" w:right="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4.00 </w:t>
            </w:r>
          </w:p>
        </w:tc>
      </w:tr>
    </w:tbl>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11.2投标人的投标报价超过预算金额的视为无效投标。报价应包括并不限于耗材试剂费、税费、运费、安装调试费、培训费等费用。</w:t>
      </w:r>
    </w:p>
    <w:p w14:paraId="7B6C4EF0">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0C04F0D8">
      <w:pPr>
        <w:rPr>
          <w:rFonts w:hint="eastAsia" w:asciiTheme="majorEastAsia" w:hAnsiTheme="majorEastAsia" w:eastAsiaTheme="majorEastAsia" w:cstheme="majorEastAsia"/>
          <w:kern w:val="2"/>
          <w:sz w:val="32"/>
          <w:szCs w:val="32"/>
          <w:lang w:val="en-US" w:eastAsia="zh-CN" w:bidi="ar-SA"/>
        </w:rPr>
      </w:pPr>
    </w:p>
    <w:p w14:paraId="2DBB1A5B">
      <w:pPr>
        <w:rPr>
          <w:rFonts w:hint="eastAsia" w:asciiTheme="majorEastAsia" w:hAnsiTheme="majorEastAsia" w:eastAsiaTheme="majorEastAsia" w:cstheme="majorEastAsia"/>
          <w:kern w:val="2"/>
          <w:sz w:val="32"/>
          <w:szCs w:val="32"/>
          <w:lang w:val="en-US" w:eastAsia="zh-CN" w:bidi="ar-SA"/>
        </w:rPr>
      </w:pPr>
    </w:p>
    <w:p w14:paraId="0FB8874F">
      <w:pPr>
        <w:rPr>
          <w:rFonts w:hint="eastAsia" w:asciiTheme="majorEastAsia" w:hAnsiTheme="majorEastAsia" w:eastAsiaTheme="majorEastAsia" w:cstheme="majorEastAsia"/>
          <w:kern w:val="2"/>
          <w:sz w:val="32"/>
          <w:szCs w:val="32"/>
          <w:lang w:val="en-US" w:eastAsia="zh-CN" w:bidi="ar-SA"/>
        </w:rPr>
      </w:pPr>
    </w:p>
    <w:p w14:paraId="61C88129">
      <w:pPr>
        <w:rPr>
          <w:rFonts w:hint="eastAsia" w:asciiTheme="majorEastAsia" w:hAnsiTheme="majorEastAsia" w:eastAsiaTheme="majorEastAsia" w:cstheme="majorEastAsia"/>
          <w:kern w:val="2"/>
          <w:sz w:val="32"/>
          <w:szCs w:val="32"/>
          <w:lang w:val="en-US" w:eastAsia="zh-CN" w:bidi="ar-SA"/>
        </w:rPr>
      </w:pPr>
    </w:p>
    <w:p w14:paraId="4F16049E">
      <w:pPr>
        <w:rPr>
          <w:rFonts w:hint="eastAsia" w:asciiTheme="majorEastAsia" w:hAnsiTheme="majorEastAsia" w:eastAsiaTheme="majorEastAsia" w:cstheme="majorEastAsia"/>
          <w:kern w:val="2"/>
          <w:sz w:val="32"/>
          <w:szCs w:val="32"/>
          <w:lang w:val="en-US" w:eastAsia="zh-CN" w:bidi="ar-SA"/>
        </w:rPr>
      </w:pPr>
    </w:p>
    <w:p w14:paraId="31F21DB8">
      <w:pPr>
        <w:rPr>
          <w:rFonts w:hint="eastAsia" w:asciiTheme="majorEastAsia" w:hAnsiTheme="majorEastAsia" w:eastAsiaTheme="majorEastAsia" w:cstheme="majorEastAsia"/>
          <w:kern w:val="2"/>
          <w:sz w:val="32"/>
          <w:szCs w:val="32"/>
          <w:lang w:val="en-US" w:eastAsia="zh-CN" w:bidi="ar-SA"/>
        </w:rPr>
      </w:pPr>
    </w:p>
    <w:p w14:paraId="1FCE5F28">
      <w:pPr>
        <w:rPr>
          <w:rFonts w:hint="eastAsia" w:asciiTheme="majorEastAsia" w:hAnsiTheme="majorEastAsia" w:eastAsiaTheme="majorEastAsia" w:cstheme="majorEastAsia"/>
          <w:kern w:val="2"/>
          <w:sz w:val="32"/>
          <w:szCs w:val="32"/>
          <w:lang w:val="en-US" w:eastAsia="zh-CN" w:bidi="ar-SA"/>
        </w:rPr>
      </w:pPr>
    </w:p>
    <w:p w14:paraId="331BA1A2">
      <w:pPr>
        <w:rPr>
          <w:rFonts w:hint="eastAsia" w:asciiTheme="majorEastAsia" w:hAnsiTheme="majorEastAsia" w:eastAsiaTheme="majorEastAsia" w:cstheme="majorEastAsia"/>
          <w:kern w:val="2"/>
          <w:sz w:val="32"/>
          <w:szCs w:val="32"/>
          <w:lang w:val="en-US" w:eastAsia="zh-CN" w:bidi="ar-SA"/>
        </w:rPr>
      </w:pPr>
    </w:p>
    <w:p w14:paraId="031480B8">
      <w:pPr>
        <w:rPr>
          <w:rFonts w:hint="eastAsia" w:asciiTheme="majorEastAsia" w:hAnsiTheme="majorEastAsia" w:eastAsiaTheme="majorEastAsia" w:cstheme="majorEastAsia"/>
          <w:kern w:val="2"/>
          <w:sz w:val="32"/>
          <w:szCs w:val="32"/>
          <w:lang w:val="en-US" w:eastAsia="zh-CN" w:bidi="ar-SA"/>
        </w:rPr>
      </w:pPr>
    </w:p>
    <w:p w14:paraId="7C2E222D">
      <w:pPr>
        <w:rPr>
          <w:rFonts w:hint="eastAsia" w:asciiTheme="majorEastAsia" w:hAnsiTheme="majorEastAsia" w:eastAsiaTheme="majorEastAsia" w:cstheme="majorEastAsia"/>
          <w:kern w:val="2"/>
          <w:sz w:val="32"/>
          <w:szCs w:val="32"/>
          <w:lang w:val="en-US" w:eastAsia="zh-CN" w:bidi="ar-SA"/>
        </w:rPr>
      </w:pPr>
    </w:p>
    <w:p w14:paraId="0E7EE3C4">
      <w:pPr>
        <w:rPr>
          <w:rFonts w:hint="eastAsia" w:asciiTheme="majorEastAsia" w:hAnsiTheme="majorEastAsia" w:eastAsiaTheme="majorEastAsia" w:cstheme="majorEastAsia"/>
          <w:kern w:val="2"/>
          <w:sz w:val="32"/>
          <w:szCs w:val="32"/>
          <w:lang w:val="en-US" w:eastAsia="zh-CN" w:bidi="ar-SA"/>
        </w:rPr>
      </w:pPr>
    </w:p>
    <w:p w14:paraId="16A29136">
      <w:pPr>
        <w:rPr>
          <w:rFonts w:hint="eastAsia" w:asciiTheme="majorEastAsia" w:hAnsiTheme="majorEastAsia" w:eastAsiaTheme="majorEastAsia" w:cstheme="majorEastAsia"/>
          <w:kern w:val="2"/>
          <w:sz w:val="32"/>
          <w:szCs w:val="32"/>
          <w:lang w:val="en-US" w:eastAsia="zh-CN" w:bidi="ar-SA"/>
        </w:rPr>
      </w:pPr>
    </w:p>
    <w:p w14:paraId="4A764597">
      <w:pPr>
        <w:rPr>
          <w:rFonts w:hint="eastAsia" w:asciiTheme="majorEastAsia" w:hAnsiTheme="majorEastAsia" w:eastAsiaTheme="majorEastAsia" w:cstheme="majorEastAsia"/>
          <w:kern w:val="2"/>
          <w:sz w:val="32"/>
          <w:szCs w:val="32"/>
          <w:lang w:val="en-US" w:eastAsia="zh-CN" w:bidi="ar-SA"/>
        </w:rPr>
      </w:pPr>
    </w:p>
    <w:p w14:paraId="0563769B">
      <w:pPr>
        <w:rPr>
          <w:rFonts w:hint="eastAsia" w:asciiTheme="majorEastAsia" w:hAnsiTheme="majorEastAsia" w:eastAsiaTheme="majorEastAsia" w:cstheme="majorEastAsia"/>
          <w:kern w:val="2"/>
          <w:sz w:val="32"/>
          <w:szCs w:val="32"/>
          <w:lang w:val="en-US" w:eastAsia="zh-CN" w:bidi="ar-SA"/>
        </w:rPr>
      </w:pPr>
    </w:p>
    <w:p w14:paraId="78EDE63D">
      <w:pPr>
        <w:rPr>
          <w:rFonts w:hint="eastAsia" w:asciiTheme="majorEastAsia" w:hAnsiTheme="majorEastAsia" w:eastAsiaTheme="majorEastAsia" w:cstheme="majorEastAsia"/>
          <w:kern w:val="2"/>
          <w:sz w:val="32"/>
          <w:szCs w:val="32"/>
          <w:lang w:val="en-US" w:eastAsia="zh-CN" w:bidi="ar-SA"/>
        </w:rPr>
      </w:pPr>
    </w:p>
    <w:p w14:paraId="4F7F6516">
      <w:pPr>
        <w:rPr>
          <w:rFonts w:hint="eastAsia" w:asciiTheme="majorEastAsia" w:hAnsiTheme="majorEastAsia" w:eastAsiaTheme="majorEastAsia" w:cstheme="majorEastAsia"/>
          <w:kern w:val="2"/>
          <w:sz w:val="32"/>
          <w:szCs w:val="32"/>
          <w:lang w:val="en-US" w:eastAsia="zh-CN" w:bidi="ar-SA"/>
        </w:rPr>
      </w:pPr>
    </w:p>
    <w:p w14:paraId="2007EAA4">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bookmarkStart w:id="9" w:name="_Toc12659"/>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1988"/>
      <w:bookmarkStart w:id="11" w:name="_Toc18467"/>
      <w:bookmarkStart w:id="12" w:name="_Toc15209"/>
      <w:bookmarkStart w:id="13" w:name="_Toc10794"/>
      <w:bookmarkStart w:id="14" w:name="_Toc24015563"/>
      <w:r>
        <w:rPr>
          <w:rFonts w:hint="eastAsia" w:ascii="宋体" w:hAnsi="宋体" w:cs="宋体" w:eastAsiaTheme="minorEastAsia"/>
          <w:kern w:val="2"/>
          <w:sz w:val="21"/>
          <w:szCs w:val="21"/>
          <w:lang w:val="en-US" w:eastAsia="zh-CN" w:bidi="ar-SA"/>
        </w:rPr>
        <w:t>资格性审查表</w:t>
      </w:r>
      <w:bookmarkEnd w:id="10"/>
      <w:bookmarkEnd w:id="11"/>
      <w:bookmarkEnd w:id="12"/>
      <w:bookmarkEnd w:id="13"/>
      <w:bookmarkEnd w:id="14"/>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5"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r w14:paraId="43B8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139C125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286" w:type="dxa"/>
            <w:noWrap w:val="0"/>
            <w:vAlign w:val="center"/>
          </w:tcPr>
          <w:p w14:paraId="6060FB41">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default" w:cs="Times New Roman"/>
              </w:rPr>
              <w:t>法律、法规规定的属于投标无效的其他情形</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5"/>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6" w:name="_Toc11989"/>
      <w:bookmarkStart w:id="17" w:name="_Toc9711"/>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6"/>
      <w:bookmarkEnd w:id="17"/>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将一个包或一个标段的内容拆开投标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投标文件及开标一览表未按</w:t>
            </w:r>
            <w:r>
              <w:rPr>
                <w:rFonts w:hint="eastAsia"/>
                <w:lang w:val="en-US" w:eastAsia="zh-CN"/>
              </w:rPr>
              <w:t>征集</w:t>
            </w:r>
            <w:r>
              <w:rPr>
                <w:rFonts w:hint="eastAsia"/>
              </w:rPr>
              <w:t>文件规定密封、签字、盖章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未按照</w:t>
            </w:r>
            <w:r>
              <w:rPr>
                <w:rFonts w:hint="eastAsia"/>
                <w:lang w:val="en-US" w:eastAsia="zh-CN"/>
              </w:rPr>
              <w:t>征集</w:t>
            </w:r>
            <w:r>
              <w:rPr>
                <w:rFonts w:hint="eastAsia"/>
              </w:rPr>
              <w:t>文件规定要求签署、盖章或投标文件没有法定代表人签字，或签字人没有法定代表人有效授权书的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bCs/>
                <w:color w:val="000000"/>
                <w:sz w:val="21"/>
                <w:szCs w:val="21"/>
                <w:highlight w:val="none"/>
              </w:rPr>
              <w:t>根据《关于推动解决政府采购异常低价问题的通知》（财库〔2026〕2号）要求，结合本项目实际情况，本项目评审中出现异常低价情形之一的，评审委员会应当启动异常低价投标（响应）审查程序。</w:t>
            </w:r>
            <w:r>
              <w:rPr>
                <w:rFonts w:hint="eastAsia" w:ascii="宋体" w:hAnsi="宋体" w:eastAsia="宋体" w:cs="宋体"/>
                <w:bCs/>
                <w:color w:val="000000"/>
                <w:sz w:val="21"/>
                <w:szCs w:val="21"/>
                <w:highlight w:val="none"/>
                <w:lang w:val="en-US" w:eastAsia="zh-CN"/>
              </w:rPr>
              <w:t>后附“异常低价审查表”</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71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shd w:val="clear" w:color="auto" w:fill="auto"/>
            <w:noWrap w:val="0"/>
            <w:vAlign w:val="center"/>
          </w:tcPr>
          <w:p w14:paraId="027256D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1BC36255">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5EAB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shd w:val="clear" w:color="auto" w:fill="auto"/>
            <w:noWrap w:val="0"/>
            <w:vAlign w:val="center"/>
          </w:tcPr>
          <w:p w14:paraId="7F91EF82">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9319" w:type="dxa"/>
            <w:shd w:val="clear" w:color="auto" w:fill="auto"/>
            <w:noWrap w:val="0"/>
            <w:vAlign w:val="center"/>
          </w:tcPr>
          <w:p w14:paraId="2B3ADC4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default" w:cs="Times New Roman"/>
              </w:rPr>
              <w:t>法律、法规规定的属于投标无效的其他情形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bookmarkStart w:id="18" w:name="_Toc15909"/>
      <w:r>
        <w:rPr>
          <w:rFonts w:hint="eastAsia" w:ascii="宋体" w:hAnsi="宋体" w:cs="宋体" w:eastAsiaTheme="minorEastAsia"/>
          <w:kern w:val="2"/>
          <w:sz w:val="21"/>
          <w:szCs w:val="21"/>
          <w:lang w:val="en-US" w:eastAsia="zh-CN" w:bidi="ar-SA"/>
        </w:rPr>
        <w:t>福田区自行采购供应商资格审查表</w:t>
      </w:r>
      <w:bookmarkEnd w:id="18"/>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D79F9F6">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bookmarkStart w:id="19" w:name="_Toc23328"/>
      <w:r>
        <w:rPr>
          <w:rFonts w:hint="eastAsia" w:hAnsi="宋体"/>
          <w:b/>
          <w:bCs/>
        </w:rPr>
        <w:t>开标</w:t>
      </w:r>
      <w:bookmarkEnd w:id="19"/>
    </w:p>
    <w:p w14:paraId="069C9231">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0" w:name="_Toc9227"/>
      <w:r>
        <w:rPr>
          <w:rFonts w:hint="eastAsia" w:ascii="宋体" w:hAnsi="宋体" w:cs="宋体"/>
          <w:szCs w:val="21"/>
          <w:lang w:val="en-US" w:eastAsia="zh-CN"/>
        </w:rPr>
        <w:t>1.1. 应在规定的日期、时间和地点组织公开开标。开标时邀请所有投标人代表参加。参加开标的代表应签名报到以证明其出席。</w:t>
      </w:r>
      <w:bookmarkEnd w:id="20"/>
    </w:p>
    <w:p w14:paraId="45B9A2AB">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1" w:name="_Toc14248"/>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bookmarkEnd w:id="21"/>
    </w:p>
    <w:p w14:paraId="3E406D95">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2" w:name="_Toc2018"/>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bookmarkEnd w:id="22"/>
    </w:p>
    <w:p w14:paraId="0C42C018">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3" w:name="_Toc13171"/>
      <w:r>
        <w:rPr>
          <w:rFonts w:hint="eastAsia" w:ascii="宋体" w:hAnsi="宋体" w:cs="宋体"/>
          <w:szCs w:val="21"/>
          <w:lang w:val="en-US" w:eastAsia="zh-CN"/>
        </w:rPr>
        <w:t>1.4. 投标人未参加开标的，视同认可开标结果。</w:t>
      </w:r>
      <w:bookmarkEnd w:id="23"/>
    </w:p>
    <w:p w14:paraId="7EEFCE0B">
      <w:pPr>
        <w:pStyle w:val="30"/>
        <w:widowControl/>
        <w:numPr>
          <w:ilvl w:val="0"/>
          <w:numId w:val="0"/>
        </w:numPr>
        <w:spacing w:line="360" w:lineRule="auto"/>
        <w:ind w:leftChars="0"/>
        <w:jc w:val="left"/>
        <w:outlineLvl w:val="1"/>
        <w:rPr>
          <w:rFonts w:hint="eastAsia" w:ascii="宋体" w:hAnsi="宋体" w:cs="宋体"/>
          <w:szCs w:val="21"/>
        </w:rPr>
      </w:pPr>
      <w:bookmarkStart w:id="24" w:name="_Toc25526"/>
      <w:r>
        <w:rPr>
          <w:rFonts w:hint="eastAsia" w:hAnsi="宋体"/>
          <w:b/>
          <w:lang w:val="en-US" w:eastAsia="zh-CN"/>
        </w:rPr>
        <w:t>2.  评标委员会的组成</w:t>
      </w:r>
      <w:bookmarkEnd w:id="24"/>
    </w:p>
    <w:p w14:paraId="625E4982">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5" w:name="_Toc25341"/>
      <w:r>
        <w:rPr>
          <w:rFonts w:hint="eastAsia" w:ascii="宋体" w:hAnsi="宋体" w:cs="宋体"/>
          <w:szCs w:val="21"/>
          <w:lang w:val="en-US" w:eastAsia="zh-CN"/>
        </w:rPr>
        <w:t>2.1. 评标委员会依法组建，由3人或以上单数组成。</w:t>
      </w:r>
      <w:bookmarkEnd w:id="25"/>
    </w:p>
    <w:p w14:paraId="0EA1849B">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6" w:name="_Toc31272"/>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bookmarkEnd w:id="26"/>
    </w:p>
    <w:p w14:paraId="1A8F301E">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0D8316">
      <w:pPr>
        <w:pStyle w:val="30"/>
        <w:widowControl/>
        <w:numPr>
          <w:ilvl w:val="0"/>
          <w:numId w:val="0"/>
        </w:numPr>
        <w:spacing w:line="360" w:lineRule="auto"/>
        <w:ind w:leftChars="0"/>
        <w:jc w:val="left"/>
        <w:outlineLvl w:val="9"/>
        <w:rPr>
          <w:rFonts w:hAnsi="宋体"/>
          <w:b/>
        </w:rPr>
      </w:pPr>
      <w:r>
        <w:rPr>
          <w:rFonts w:hint="eastAsia" w:hAnsi="宋体"/>
          <w:b/>
          <w:lang w:val="en-US" w:eastAsia="zh-CN"/>
        </w:rPr>
        <w:t>3.  投标文件初审</w:t>
      </w:r>
    </w:p>
    <w:p w14:paraId="04739DE4">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594EAB2C">
      <w:pPr>
        <w:pStyle w:val="30"/>
        <w:widowControl/>
        <w:numPr>
          <w:ilvl w:val="0"/>
          <w:numId w:val="0"/>
        </w:numPr>
        <w:spacing w:line="360" w:lineRule="auto"/>
        <w:ind w:leftChars="0"/>
        <w:jc w:val="left"/>
        <w:outlineLvl w:val="9"/>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1E3C9D97">
      <w:pPr>
        <w:pStyle w:val="27"/>
        <w:widowControl/>
        <w:numPr>
          <w:ilvl w:val="0"/>
          <w:numId w:val="0"/>
        </w:numPr>
        <w:spacing w:line="360" w:lineRule="auto"/>
        <w:ind w:leftChars="0"/>
        <w:jc w:val="left"/>
        <w:outlineLvl w:val="9"/>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0"/>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bookmarkStart w:id="27" w:name="_Toc26129"/>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bookmarkEnd w:id="27"/>
    </w:p>
    <w:p w14:paraId="33596E13">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0"/>
        <w:widowControl/>
        <w:numPr>
          <w:ilvl w:val="0"/>
          <w:numId w:val="0"/>
        </w:numPr>
        <w:spacing w:line="360" w:lineRule="auto"/>
        <w:ind w:leftChars="0"/>
        <w:jc w:val="left"/>
        <w:outlineLvl w:val="9"/>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75B83923">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0"/>
        <w:widowControl/>
        <w:numPr>
          <w:ilvl w:val="0"/>
          <w:numId w:val="0"/>
        </w:numPr>
        <w:spacing w:line="360" w:lineRule="auto"/>
        <w:ind w:leftChars="0"/>
        <w:jc w:val="left"/>
        <w:outlineLvl w:val="9"/>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3730FE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50E9BD9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303166F2">
      <w:pPr>
        <w:tabs>
          <w:tab w:val="left" w:pos="426"/>
        </w:tabs>
        <w:spacing w:line="30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该项目候选中标供应商数量为两家，中标供应商</w:t>
      </w:r>
      <w:r>
        <w:rPr>
          <w:rFonts w:hint="eastAsia" w:ascii="宋体" w:hAnsi="宋体" w:cstheme="minorBidi"/>
          <w:color w:val="auto"/>
          <w:kern w:val="2"/>
          <w:sz w:val="21"/>
          <w:szCs w:val="21"/>
          <w:lang w:val="en-US" w:eastAsia="zh-CN" w:bidi="ar-SA"/>
        </w:rPr>
        <w:t>数量为一家</w:t>
      </w:r>
      <w:r>
        <w:rPr>
          <w:rFonts w:hint="eastAsia" w:ascii="宋体" w:hAnsi="宋体" w:eastAsiaTheme="minorEastAsia" w:cstheme="minorBidi"/>
          <w:color w:val="auto"/>
          <w:kern w:val="2"/>
          <w:sz w:val="21"/>
          <w:szCs w:val="21"/>
          <w:lang w:val="en-US" w:eastAsia="zh-CN" w:bidi="ar-SA"/>
        </w:rPr>
        <w:t>。</w:t>
      </w:r>
    </w:p>
    <w:p w14:paraId="5B9FCC83">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中标供应商，排名第二的投标人为候选中标供应商。中标供应商放弃中标资格的或中标资格被依法确认无效的，因情况紧急，重新组织采购不能满足采购人要求时，可依法从其他候选中标供应商中确定替补中标供应商。</w:t>
      </w:r>
    </w:p>
    <w:p w14:paraId="33C1534F">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w:t>
      </w:r>
      <w:r>
        <w:rPr>
          <w:rFonts w:hint="eastAsia" w:ascii="宋体" w:hAnsi="宋体" w:cstheme="minorBidi"/>
          <w:color w:val="auto"/>
          <w:kern w:val="2"/>
          <w:sz w:val="21"/>
          <w:szCs w:val="21"/>
          <w:lang w:val="en-US" w:eastAsia="zh-CN" w:bidi="ar-SA"/>
        </w:rPr>
        <w:t>组织</w:t>
      </w:r>
      <w:r>
        <w:rPr>
          <w:rFonts w:hint="eastAsia" w:ascii="宋体" w:hAnsi="宋体" w:eastAsiaTheme="minorEastAsia" w:cstheme="minorBidi"/>
          <w:color w:val="auto"/>
          <w:kern w:val="2"/>
          <w:sz w:val="21"/>
          <w:szCs w:val="21"/>
          <w:lang w:val="en-US" w:eastAsia="zh-CN" w:bidi="ar-SA"/>
        </w:rPr>
        <w:t>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E77B7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09899960">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2BE9D4B2">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BE29A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4C0C2E69">
      <w:pPr>
        <w:pStyle w:val="27"/>
        <w:widowControl/>
        <w:numPr>
          <w:ilvl w:val="0"/>
          <w:numId w:val="0"/>
        </w:numPr>
        <w:spacing w:line="360" w:lineRule="auto"/>
        <w:ind w:leftChars="0"/>
        <w:jc w:val="left"/>
        <w:rPr>
          <w:rFonts w:hint="default"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7.10.本项目不提交（收取）投标保证金和履约保证金。</w:t>
      </w:r>
    </w:p>
    <w:p w14:paraId="2601EC18">
      <w:pPr>
        <w:pStyle w:val="30"/>
        <w:widowControl/>
        <w:numPr>
          <w:ilvl w:val="0"/>
          <w:numId w:val="0"/>
        </w:numPr>
        <w:spacing w:line="360" w:lineRule="auto"/>
        <w:ind w:leftChars="0"/>
        <w:jc w:val="left"/>
        <w:outlineLvl w:val="9"/>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4D66DD2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5ECF97E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440404A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2D9DF7F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40C44C3B">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558EF15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5F9E0E31">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0F799B5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587BE903">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430A8F">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093AF3EC">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194321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94AED3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EDBCDA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A8AE07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678F262">
      <w:pPr>
        <w:widowControl/>
        <w:numPr>
          <w:ilvl w:val="0"/>
          <w:numId w:val="0"/>
        </w:numPr>
        <w:ind w:leftChars="0"/>
        <w:jc w:val="both"/>
        <w:outlineLvl w:val="0"/>
        <w:rPr>
          <w:rFonts w:hint="eastAsia" w:asciiTheme="majorEastAsia" w:hAnsiTheme="majorEastAsia" w:eastAsiaTheme="majorEastAsia"/>
          <w:sz w:val="32"/>
          <w:szCs w:val="32"/>
          <w:lang w:val="en-US" w:eastAsia="zh-CN"/>
        </w:rPr>
      </w:pPr>
    </w:p>
    <w:p w14:paraId="3098F824">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266B21D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C263EFB">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57135722">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3A9CAD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B241B8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02CF426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2B7A18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D55DB9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A92AB1F">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0C60B510">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F66D5C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28" w:name="_Toc31939"/>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28"/>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7"/>
              <w:spacing w:line="360" w:lineRule="auto"/>
              <w:ind w:firstLine="482" w:firstLineChars="150"/>
              <w:rPr>
                <w:rFonts w:ascii="仿宋_GB2312" w:eastAsia="仿宋_GB2312"/>
                <w:b/>
                <w:sz w:val="32"/>
              </w:rPr>
            </w:pPr>
          </w:p>
          <w:p w14:paraId="5DD66652">
            <w:pPr>
              <w:pStyle w:val="7"/>
              <w:spacing w:line="360" w:lineRule="auto"/>
              <w:ind w:firstLine="482" w:firstLineChars="150"/>
              <w:rPr>
                <w:rFonts w:ascii="仿宋_GB2312" w:eastAsia="仿宋_GB2312"/>
                <w:b/>
                <w:sz w:val="32"/>
              </w:rPr>
            </w:pPr>
          </w:p>
          <w:p w14:paraId="4F96A7D5">
            <w:pPr>
              <w:pStyle w:val="7"/>
              <w:spacing w:line="360" w:lineRule="auto"/>
              <w:ind w:firstLine="482" w:firstLineChars="150"/>
              <w:rPr>
                <w:rFonts w:ascii="仿宋_GB2312" w:eastAsia="仿宋_GB2312"/>
                <w:b/>
                <w:sz w:val="32"/>
              </w:rPr>
            </w:pPr>
          </w:p>
          <w:p w14:paraId="24E0C28B">
            <w:pPr>
              <w:pStyle w:val="7"/>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7"/>
              <w:spacing w:line="360" w:lineRule="auto"/>
              <w:rPr>
                <w:rFonts w:ascii="仿宋_GB2312" w:eastAsia="仿宋_GB2312"/>
                <w:b/>
                <w:sz w:val="32"/>
              </w:rPr>
            </w:pPr>
          </w:p>
          <w:p w14:paraId="408DEE70">
            <w:pPr>
              <w:pStyle w:val="7"/>
              <w:spacing w:line="360" w:lineRule="auto"/>
              <w:rPr>
                <w:rFonts w:ascii="仿宋_GB2312" w:eastAsia="仿宋_GB2312"/>
                <w:b/>
                <w:sz w:val="32"/>
              </w:rPr>
            </w:pPr>
          </w:p>
          <w:p w14:paraId="1F535991">
            <w:pPr>
              <w:pStyle w:val="7"/>
              <w:spacing w:line="360" w:lineRule="auto"/>
              <w:rPr>
                <w:rFonts w:ascii="仿宋_GB2312" w:eastAsia="仿宋_GB2312"/>
                <w:b/>
                <w:sz w:val="32"/>
              </w:rPr>
            </w:pPr>
          </w:p>
          <w:p w14:paraId="18F76FDC">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6AE90F56">
      <w:pPr>
        <w:tabs>
          <w:tab w:val="left" w:pos="426"/>
        </w:tabs>
        <w:adjustRightInd/>
        <w:snapToGrid/>
        <w:spacing w:before="280" w:after="290" w:line="377" w:lineRule="auto"/>
        <w:jc w:val="center"/>
        <w:outlineLvl w:val="2"/>
        <w:rPr>
          <w:b w:val="0"/>
          <w:bCs/>
          <w:sz w:val="32"/>
          <w:szCs w:val="32"/>
        </w:rPr>
      </w:pPr>
      <w:bookmarkStart w:id="29" w:name="_Toc7513"/>
      <w:r>
        <w:rPr>
          <w:rFonts w:hint="eastAsia"/>
          <w:b w:val="0"/>
          <w:bCs/>
          <w:sz w:val="32"/>
          <w:szCs w:val="32"/>
        </w:rPr>
        <w:t>投标文件目录（目录格式自定）</w:t>
      </w:r>
      <w:bookmarkEnd w:id="29"/>
    </w:p>
    <w:p w14:paraId="76711A46">
      <w:pPr>
        <w:jc w:val="center"/>
        <w:rPr>
          <w:rFonts w:hint="eastAsia"/>
          <w:sz w:val="24"/>
          <w:szCs w:val="32"/>
          <w:highlight w:val="none"/>
        </w:rPr>
      </w:pPr>
      <w:r>
        <w:rPr>
          <w:rFonts w:hint="eastAsia"/>
          <w:sz w:val="24"/>
          <w:szCs w:val="32"/>
          <w:highlight w:val="none"/>
        </w:rPr>
        <w:t>按照</w:t>
      </w:r>
      <w:r>
        <w:rPr>
          <w:rFonts w:hint="eastAsia"/>
          <w:sz w:val="24"/>
          <w:szCs w:val="32"/>
          <w:highlight w:val="none"/>
          <w:lang w:val="en-US" w:eastAsia="zh-CN"/>
        </w:rPr>
        <w:t>征集</w:t>
      </w:r>
      <w:r>
        <w:rPr>
          <w:rFonts w:hint="eastAsia"/>
          <w:sz w:val="24"/>
          <w:szCs w:val="32"/>
          <w:highlight w:val="none"/>
        </w:rPr>
        <w:t>文件的要求编制投标文件相应内容，请标明各部分内容的页码。</w:t>
      </w:r>
    </w:p>
    <w:p w14:paraId="6B137903">
      <w:pPr>
        <w:jc w:val="both"/>
        <w:rPr>
          <w:rFonts w:hint="eastAsia" w:asciiTheme="minorEastAsia" w:hAnsiTheme="minorEastAsia" w:cstheme="minorEastAsia"/>
          <w:b/>
          <w:bCs/>
          <w:sz w:val="28"/>
          <w:szCs w:val="28"/>
          <w:lang w:eastAsia="zh-CN"/>
        </w:rPr>
      </w:pPr>
    </w:p>
    <w:p w14:paraId="07D3BACD">
      <w:pPr>
        <w:jc w:val="both"/>
        <w:rPr>
          <w:rFonts w:hint="eastAsia" w:asciiTheme="minorEastAsia" w:hAnsiTheme="minorEastAsia" w:cstheme="minorEastAsia"/>
          <w:b/>
          <w:bCs/>
          <w:sz w:val="28"/>
          <w:szCs w:val="28"/>
          <w:lang w:eastAsia="zh-CN"/>
        </w:rPr>
      </w:pPr>
    </w:p>
    <w:p w14:paraId="3A1E2D4F">
      <w:pPr>
        <w:jc w:val="both"/>
        <w:rPr>
          <w:rFonts w:hint="eastAsia" w:asciiTheme="minorEastAsia" w:hAnsiTheme="minorEastAsia" w:cstheme="minorEastAsia"/>
          <w:b/>
          <w:bCs/>
          <w:sz w:val="28"/>
          <w:szCs w:val="28"/>
          <w:lang w:eastAsia="zh-CN"/>
        </w:rPr>
      </w:pPr>
    </w:p>
    <w:p w14:paraId="1FD6A196">
      <w:pPr>
        <w:jc w:val="both"/>
        <w:rPr>
          <w:rFonts w:hint="eastAsia" w:asciiTheme="minorEastAsia" w:hAnsiTheme="minorEastAsia" w:cstheme="minorEastAsia"/>
          <w:b/>
          <w:bCs/>
          <w:sz w:val="28"/>
          <w:szCs w:val="28"/>
          <w:lang w:eastAsia="zh-CN"/>
        </w:rPr>
      </w:pPr>
    </w:p>
    <w:p w14:paraId="2B53A0FD">
      <w:pPr>
        <w:jc w:val="both"/>
        <w:rPr>
          <w:rFonts w:hint="eastAsia" w:asciiTheme="minorEastAsia" w:hAnsiTheme="minorEastAsia" w:cstheme="minorEastAsia"/>
          <w:b/>
          <w:bCs/>
          <w:sz w:val="28"/>
          <w:szCs w:val="28"/>
          <w:lang w:eastAsia="zh-CN"/>
        </w:rPr>
      </w:pPr>
    </w:p>
    <w:p w14:paraId="25B0E874">
      <w:pPr>
        <w:jc w:val="both"/>
        <w:rPr>
          <w:rFonts w:hint="eastAsia" w:asciiTheme="minorEastAsia" w:hAnsiTheme="minorEastAsia" w:cstheme="minorEastAsia"/>
          <w:b/>
          <w:bCs/>
          <w:sz w:val="28"/>
          <w:szCs w:val="28"/>
          <w:lang w:eastAsia="zh-CN"/>
        </w:rPr>
      </w:pPr>
    </w:p>
    <w:p w14:paraId="4D0AE1D0">
      <w:pPr>
        <w:jc w:val="both"/>
        <w:rPr>
          <w:rFonts w:hint="eastAsia" w:asciiTheme="minorEastAsia" w:hAnsiTheme="minorEastAsia" w:cstheme="minorEastAsia"/>
          <w:b/>
          <w:bCs/>
          <w:sz w:val="28"/>
          <w:szCs w:val="28"/>
          <w:lang w:eastAsia="zh-CN"/>
        </w:rPr>
      </w:pPr>
    </w:p>
    <w:p w14:paraId="35640EB4">
      <w:pPr>
        <w:jc w:val="both"/>
        <w:rPr>
          <w:rFonts w:hint="eastAsia" w:asciiTheme="minorEastAsia" w:hAnsiTheme="minorEastAsia" w:cstheme="minorEastAsia"/>
          <w:b/>
          <w:bCs/>
          <w:sz w:val="28"/>
          <w:szCs w:val="28"/>
          <w:lang w:eastAsia="zh-CN"/>
        </w:rPr>
      </w:pPr>
    </w:p>
    <w:p w14:paraId="4C3C517C">
      <w:pPr>
        <w:jc w:val="both"/>
        <w:rPr>
          <w:rFonts w:hint="eastAsia" w:asciiTheme="minorEastAsia" w:hAnsiTheme="minorEastAsia" w:cstheme="minorEastAsia"/>
          <w:b/>
          <w:bCs/>
          <w:sz w:val="28"/>
          <w:szCs w:val="28"/>
          <w:lang w:eastAsia="zh-CN"/>
        </w:rPr>
      </w:pPr>
    </w:p>
    <w:p w14:paraId="55736CBC">
      <w:pPr>
        <w:jc w:val="both"/>
        <w:rPr>
          <w:rFonts w:hint="eastAsia" w:asciiTheme="minorEastAsia" w:hAnsiTheme="minorEastAsia" w:cstheme="minorEastAsia"/>
          <w:b/>
          <w:bCs/>
          <w:sz w:val="28"/>
          <w:szCs w:val="28"/>
          <w:lang w:eastAsia="zh-CN"/>
        </w:rPr>
      </w:pPr>
    </w:p>
    <w:p w14:paraId="01A4D4FD">
      <w:pPr>
        <w:jc w:val="both"/>
        <w:rPr>
          <w:rFonts w:hint="eastAsia" w:asciiTheme="minorEastAsia" w:hAnsiTheme="minorEastAsia" w:cstheme="minorEastAsia"/>
          <w:b/>
          <w:bCs/>
          <w:sz w:val="28"/>
          <w:szCs w:val="28"/>
          <w:lang w:eastAsia="zh-CN"/>
        </w:rPr>
      </w:pPr>
    </w:p>
    <w:p w14:paraId="3FF7447B">
      <w:pPr>
        <w:jc w:val="both"/>
        <w:rPr>
          <w:rFonts w:hint="eastAsia" w:asciiTheme="minorEastAsia" w:hAnsiTheme="minorEastAsia" w:cstheme="minorEastAsia"/>
          <w:b/>
          <w:bCs/>
          <w:sz w:val="28"/>
          <w:szCs w:val="28"/>
          <w:lang w:eastAsia="zh-CN"/>
        </w:rPr>
      </w:pPr>
    </w:p>
    <w:p w14:paraId="06CFBA98">
      <w:pPr>
        <w:jc w:val="both"/>
        <w:rPr>
          <w:rFonts w:hint="eastAsia" w:asciiTheme="minorEastAsia" w:hAnsiTheme="minorEastAsia" w:cstheme="minorEastAsia"/>
          <w:b/>
          <w:bCs/>
          <w:sz w:val="28"/>
          <w:szCs w:val="28"/>
          <w:lang w:eastAsia="zh-CN"/>
        </w:rPr>
      </w:pPr>
    </w:p>
    <w:p w14:paraId="646A9D2F">
      <w:pPr>
        <w:jc w:val="both"/>
        <w:rPr>
          <w:rFonts w:hint="eastAsia" w:asciiTheme="minorEastAsia" w:hAnsiTheme="minorEastAsia" w:cstheme="minorEastAsia"/>
          <w:b/>
          <w:bCs/>
          <w:sz w:val="28"/>
          <w:szCs w:val="28"/>
          <w:lang w:eastAsia="zh-CN"/>
        </w:rPr>
      </w:pPr>
    </w:p>
    <w:p w14:paraId="1F383F82">
      <w:pPr>
        <w:jc w:val="both"/>
        <w:rPr>
          <w:rFonts w:hint="eastAsia" w:asciiTheme="minorEastAsia" w:hAnsiTheme="minorEastAsia" w:cstheme="minorEastAsia"/>
          <w:b/>
          <w:bCs/>
          <w:sz w:val="28"/>
          <w:szCs w:val="28"/>
          <w:lang w:eastAsia="zh-CN"/>
        </w:rPr>
      </w:pPr>
    </w:p>
    <w:p w14:paraId="4884CD7D">
      <w:pPr>
        <w:jc w:val="both"/>
        <w:rPr>
          <w:rFonts w:hint="eastAsia" w:asciiTheme="minorEastAsia" w:hAnsiTheme="minorEastAsia" w:cstheme="minorEastAsia"/>
          <w:b/>
          <w:bCs/>
          <w:sz w:val="28"/>
          <w:szCs w:val="28"/>
          <w:lang w:eastAsia="zh-CN"/>
        </w:rPr>
      </w:pPr>
    </w:p>
    <w:p w14:paraId="5CF4FF2E">
      <w:pPr>
        <w:jc w:val="both"/>
        <w:rPr>
          <w:rFonts w:hint="eastAsia" w:asciiTheme="minorEastAsia" w:hAnsiTheme="minorEastAsia" w:cstheme="minorEastAsia"/>
          <w:b/>
          <w:bCs/>
          <w:sz w:val="28"/>
          <w:szCs w:val="28"/>
          <w:lang w:eastAsia="zh-CN"/>
        </w:rPr>
      </w:pPr>
    </w:p>
    <w:p w14:paraId="430C2BC3">
      <w:pPr>
        <w:jc w:val="both"/>
        <w:rPr>
          <w:rFonts w:hint="eastAsia" w:asciiTheme="minorEastAsia" w:hAnsiTheme="minorEastAsia" w:cstheme="minorEastAsia"/>
          <w:b/>
          <w:bCs/>
          <w:sz w:val="28"/>
          <w:szCs w:val="28"/>
          <w:lang w:eastAsia="zh-CN"/>
        </w:rPr>
      </w:pPr>
    </w:p>
    <w:p w14:paraId="54063E26">
      <w:pPr>
        <w:jc w:val="both"/>
        <w:rPr>
          <w:rFonts w:hint="eastAsia" w:asciiTheme="minorEastAsia" w:hAnsiTheme="minorEastAsia" w:cstheme="minorEastAsia"/>
          <w:b/>
          <w:bCs/>
          <w:sz w:val="28"/>
          <w:szCs w:val="28"/>
          <w:lang w:eastAsia="zh-CN"/>
        </w:rPr>
      </w:pPr>
    </w:p>
    <w:p w14:paraId="423C4655">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30" w:name="_Toc6779"/>
      <w:bookmarkStart w:id="31" w:name="_Toc25542"/>
      <w:bookmarkStart w:id="32" w:name="_Toc29125"/>
      <w:r>
        <w:rPr>
          <w:rFonts w:hint="eastAsia" w:cs="宋体" w:asciiTheme="majorEastAsia" w:hAnsiTheme="majorEastAsia" w:eastAsiaTheme="majorEastAsia"/>
          <w:kern w:val="2"/>
          <w:sz w:val="30"/>
          <w:szCs w:val="30"/>
          <w:lang w:val="en-US" w:eastAsia="zh-CN" w:bidi="ar-SA"/>
        </w:rPr>
        <w:t>资格性自查表</w:t>
      </w:r>
      <w:bookmarkEnd w:id="30"/>
      <w:bookmarkEnd w:id="31"/>
      <w:bookmarkEnd w:id="32"/>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E30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DC2A2BB">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1D0FE191">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EF46CC8">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442E370C">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38B5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1BDB9E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szCs w:val="21"/>
                <w:highlight w:val="none"/>
              </w:rPr>
            </w:pPr>
            <w:r>
              <w:rPr>
                <w:rFonts w:hint="eastAsia" w:ascii="宋体" w:hAnsi="宋体" w:eastAsia="宋体" w:cs="宋体"/>
                <w:color w:val="000000"/>
                <w:sz w:val="21"/>
                <w:szCs w:val="21"/>
              </w:rPr>
              <w:t>1</w:t>
            </w:r>
          </w:p>
        </w:tc>
        <w:tc>
          <w:tcPr>
            <w:tcW w:w="6518" w:type="dxa"/>
            <w:vAlign w:val="center"/>
          </w:tcPr>
          <w:p w14:paraId="7E3978BD">
            <w:pPr>
              <w:keepNext w:val="0"/>
              <w:keepLines w:val="0"/>
              <w:suppressLineNumbers w:val="0"/>
              <w:spacing w:before="0" w:beforeAutospacing="0" w:after="0" w:afterAutospacing="0"/>
              <w:ind w:left="0" w:leftChars="0" w:right="0" w:rightChars="0"/>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29CB16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B668090">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D8A849F">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4760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52E5449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000000"/>
                <w:sz w:val="21"/>
                <w:szCs w:val="21"/>
              </w:rPr>
              <w:t>2</w:t>
            </w:r>
          </w:p>
        </w:tc>
        <w:tc>
          <w:tcPr>
            <w:tcW w:w="6518" w:type="dxa"/>
            <w:vAlign w:val="center"/>
          </w:tcPr>
          <w:p w14:paraId="0DD6455D">
            <w:pPr>
              <w:keepNext w:val="0"/>
              <w:keepLines w:val="0"/>
              <w:suppressLineNumbers w:val="0"/>
              <w:spacing w:before="0" w:beforeAutospacing="0" w:after="0" w:afterAutospacing="0"/>
              <w:ind w:left="0" w:leftChars="0" w:right="0" w:rightChars="0"/>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889F9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9427D7">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591AFE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518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E837509">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val="en-US" w:eastAsia="zh-CN"/>
              </w:rPr>
            </w:pPr>
            <w:r>
              <w:rPr>
                <w:rFonts w:hint="eastAsia" w:ascii="宋体" w:hAnsi="宋体" w:eastAsia="宋体" w:cs="宋体"/>
                <w:color w:val="000000"/>
                <w:sz w:val="21"/>
                <w:szCs w:val="21"/>
                <w:lang w:val="en-US" w:eastAsia="zh-CN"/>
              </w:rPr>
              <w:t>3</w:t>
            </w:r>
          </w:p>
        </w:tc>
        <w:tc>
          <w:tcPr>
            <w:tcW w:w="6518" w:type="dxa"/>
            <w:vAlign w:val="center"/>
          </w:tcPr>
          <w:p w14:paraId="06F489CE">
            <w:pPr>
              <w:keepNext w:val="0"/>
              <w:keepLines w:val="0"/>
              <w:suppressLineNumbers w:val="0"/>
              <w:spacing w:before="0" w:beforeAutospacing="0" w:after="0" w:afterAutospacing="0"/>
              <w:ind w:left="0" w:leftChars="0" w:right="0" w:rightChars="0"/>
              <w:rPr>
                <w:rFonts w:hint="eastAsia" w:ascii="宋体" w:hAnsi="宋体" w:eastAsia="宋体" w:cs="宋体"/>
                <w:color w:val="000000"/>
                <w:sz w:val="21"/>
                <w:szCs w:val="21"/>
                <w:lang w:eastAsia="zh-CN"/>
              </w:rPr>
            </w:pPr>
            <w:r>
              <w:rPr>
                <w:rFonts w:hint="default" w:cs="Times New Roman"/>
              </w:rPr>
              <w:t>法律、法规规定的属于投标无效的其他情形</w:t>
            </w:r>
          </w:p>
        </w:tc>
        <w:tc>
          <w:tcPr>
            <w:tcW w:w="1244" w:type="dxa"/>
            <w:vAlign w:val="center"/>
          </w:tcPr>
          <w:p w14:paraId="32E8D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B9F168E">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0711494B">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33" w:name="_Toc29213"/>
      <w:bookmarkStart w:id="34" w:name="_Toc25959"/>
      <w:bookmarkStart w:id="35" w:name="_Toc21714"/>
      <w:r>
        <w:rPr>
          <w:rFonts w:hint="eastAsia" w:cs="宋体" w:asciiTheme="majorEastAsia" w:hAnsiTheme="majorEastAsia" w:eastAsiaTheme="majorEastAsia"/>
          <w:kern w:val="2"/>
          <w:sz w:val="30"/>
          <w:szCs w:val="30"/>
          <w:lang w:val="en-US" w:eastAsia="zh-CN" w:bidi="ar-SA"/>
        </w:rPr>
        <w:t>符合性自查表</w:t>
      </w:r>
      <w:bookmarkEnd w:id="33"/>
      <w:bookmarkEnd w:id="34"/>
      <w:bookmarkEnd w:id="35"/>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4EE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4EFDC3">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1F31F7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61264B9D">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220A6000">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940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59B7810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6519" w:type="dxa"/>
            <w:shd w:val="clear" w:color="auto" w:fill="auto"/>
            <w:vAlign w:val="center"/>
          </w:tcPr>
          <w:p w14:paraId="60901144">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将一个包或一个标段的内容拆开投标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9577A5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974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D6B09F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6519" w:type="dxa"/>
            <w:shd w:val="clear" w:color="auto" w:fill="auto"/>
            <w:vAlign w:val="center"/>
          </w:tcPr>
          <w:p w14:paraId="164F2446">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投标文件及开标一览表未按</w:t>
            </w:r>
            <w:r>
              <w:rPr>
                <w:rFonts w:hint="eastAsia"/>
                <w:lang w:val="en-US" w:eastAsia="zh-CN"/>
              </w:rPr>
              <w:t>征集</w:t>
            </w:r>
            <w:r>
              <w:rPr>
                <w:rFonts w:hint="eastAsia"/>
              </w:rPr>
              <w:t>文件规定密封、签字、盖章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5B5A610F">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957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0991A8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6519" w:type="dxa"/>
            <w:shd w:val="clear" w:color="auto" w:fill="auto"/>
            <w:vAlign w:val="center"/>
          </w:tcPr>
          <w:p w14:paraId="021195A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2B71F21">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175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CBAE89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w:t>
            </w:r>
          </w:p>
        </w:tc>
        <w:tc>
          <w:tcPr>
            <w:tcW w:w="6519" w:type="dxa"/>
            <w:shd w:val="clear" w:color="auto" w:fill="auto"/>
            <w:vAlign w:val="center"/>
          </w:tcPr>
          <w:p w14:paraId="5AB800E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未按照</w:t>
            </w:r>
            <w:r>
              <w:rPr>
                <w:rFonts w:hint="eastAsia"/>
                <w:lang w:val="en-US" w:eastAsia="zh-CN"/>
              </w:rPr>
              <w:t>征集</w:t>
            </w:r>
            <w:r>
              <w:rPr>
                <w:rFonts w:hint="eastAsia"/>
              </w:rPr>
              <w:t>文件规定要求签署、盖章或投标文件没有法定代表人签字，或签字人没有法定代表人有效授权书的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95EA3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C01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70CDB3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6519" w:type="dxa"/>
            <w:shd w:val="clear" w:color="auto" w:fill="auto"/>
            <w:vAlign w:val="center"/>
          </w:tcPr>
          <w:p w14:paraId="2D035C0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1BF77DD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68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8" w:type="dxa"/>
            <w:shd w:val="clear" w:color="auto" w:fill="auto"/>
            <w:vAlign w:val="center"/>
          </w:tcPr>
          <w:p w14:paraId="03C39B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6519" w:type="dxa"/>
            <w:shd w:val="clear" w:color="auto" w:fill="auto"/>
            <w:vAlign w:val="center"/>
          </w:tcPr>
          <w:p w14:paraId="41BC988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B823F4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E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C1C730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6519" w:type="dxa"/>
            <w:shd w:val="clear" w:color="auto" w:fill="auto"/>
            <w:vAlign w:val="center"/>
          </w:tcPr>
          <w:p w14:paraId="248838D4">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bCs/>
                <w:color w:val="000000"/>
                <w:sz w:val="21"/>
                <w:szCs w:val="21"/>
                <w:highlight w:val="none"/>
              </w:rPr>
              <w:t>根据《关于推动解决政府采购异常低价问题的通知》（财库〔2026〕2号）要求，结合本项目实际情况，本项目评审中出现异常低价情形之一的，评审委员会应当启动异常低价投标（响应）审查程序。</w:t>
            </w:r>
            <w:r>
              <w:rPr>
                <w:rFonts w:hint="eastAsia" w:ascii="宋体" w:hAnsi="宋体" w:eastAsia="宋体" w:cs="宋体"/>
                <w:bCs/>
                <w:color w:val="000000"/>
                <w:sz w:val="21"/>
                <w:szCs w:val="21"/>
                <w:highlight w:val="none"/>
                <w:lang w:val="en-US" w:eastAsia="zh-CN"/>
              </w:rPr>
              <w:t>后附“异常低价审查表”</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53915F7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47B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12BF40B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6519" w:type="dxa"/>
            <w:shd w:val="clear" w:color="auto" w:fill="auto"/>
            <w:vAlign w:val="center"/>
          </w:tcPr>
          <w:p w14:paraId="26D486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5BBC053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9D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D54A32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c>
          <w:tcPr>
            <w:tcW w:w="6519" w:type="dxa"/>
            <w:shd w:val="clear" w:color="auto" w:fill="auto"/>
            <w:vAlign w:val="center"/>
          </w:tcPr>
          <w:p w14:paraId="41F5C90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4751D0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DD2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5A0E200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519" w:type="dxa"/>
            <w:shd w:val="clear" w:color="auto" w:fill="auto"/>
            <w:vAlign w:val="center"/>
          </w:tcPr>
          <w:p w14:paraId="0800ADF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733F23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454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56FB380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6519" w:type="dxa"/>
            <w:shd w:val="clear" w:color="auto" w:fill="auto"/>
            <w:vAlign w:val="center"/>
          </w:tcPr>
          <w:p w14:paraId="08FF8B9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1E01C5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F44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002A0488">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6519" w:type="dxa"/>
            <w:shd w:val="clear" w:color="auto" w:fill="auto"/>
            <w:vAlign w:val="center"/>
          </w:tcPr>
          <w:p w14:paraId="1D71DA61">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default" w:cs="Times New Roman"/>
              </w:rPr>
              <w:t>法律、法规规定的属于投标无效的其他情形</w:t>
            </w:r>
          </w:p>
        </w:tc>
        <w:tc>
          <w:tcPr>
            <w:tcW w:w="1240" w:type="dxa"/>
            <w:vAlign w:val="center"/>
          </w:tcPr>
          <w:p w14:paraId="5CF258E7">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4B0546D">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AB0D6C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3" w:type="default"/>
          <w:footerReference r:id="rId4"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36" w:name="_Toc1526"/>
      <w:bookmarkStart w:id="37" w:name="_Toc20641"/>
      <w:bookmarkStart w:id="38" w:name="_Toc15743"/>
      <w:r>
        <w:rPr>
          <w:rFonts w:hint="eastAsia" w:cs="宋体" w:asciiTheme="majorEastAsia" w:hAnsiTheme="majorEastAsia" w:eastAsiaTheme="majorEastAsia"/>
          <w:kern w:val="2"/>
          <w:sz w:val="30"/>
          <w:szCs w:val="30"/>
          <w:lang w:val="en-US" w:eastAsia="zh-CN" w:bidi="ar-SA"/>
        </w:rPr>
        <w:t>（三）警示情形自查确认表</w:t>
      </w:r>
      <w:bookmarkEnd w:id="36"/>
      <w:bookmarkEnd w:id="37"/>
      <w:bookmarkEnd w:id="38"/>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39" w:name="_Toc19243"/>
      <w:bookmarkStart w:id="40" w:name="_Toc30883"/>
      <w:bookmarkStart w:id="41" w:name="_Toc15495"/>
      <w:r>
        <w:rPr>
          <w:rFonts w:hint="eastAsia" w:asciiTheme="majorEastAsia" w:hAnsiTheme="majorEastAsia" w:eastAsiaTheme="majorEastAsia"/>
          <w:sz w:val="30"/>
          <w:szCs w:val="30"/>
          <w:lang w:val="en-US" w:eastAsia="zh-CN"/>
        </w:rPr>
        <w:t>综合评分指引</w:t>
      </w:r>
      <w:bookmarkEnd w:id="39"/>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bookmarkStart w:id="42" w:name="_Toc4991"/>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lang w:val="en-US" w:eastAsia="zh-CN"/>
        </w:rPr>
        <w:t>资格证明</w:t>
      </w:r>
      <w:r>
        <w:rPr>
          <w:rFonts w:hint="eastAsia" w:asciiTheme="majorEastAsia" w:hAnsiTheme="majorEastAsia" w:eastAsiaTheme="majorEastAsia"/>
          <w:sz w:val="30"/>
          <w:szCs w:val="30"/>
        </w:rPr>
        <w:t>文件</w:t>
      </w:r>
      <w:bookmarkEnd w:id="40"/>
      <w:bookmarkEnd w:id="41"/>
      <w:bookmarkEnd w:id="42"/>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43" w:name="_Toc3308"/>
      <w:bookmarkStart w:id="44" w:name="_Toc31601"/>
      <w:bookmarkStart w:id="45" w:name="_Toc5508"/>
      <w:r>
        <w:rPr>
          <w:rFonts w:hint="eastAsia" w:cs="宋体" w:asciiTheme="majorEastAsia" w:hAnsiTheme="majorEastAsia" w:eastAsiaTheme="majorEastAsia"/>
          <w:kern w:val="2"/>
          <w:sz w:val="30"/>
          <w:szCs w:val="30"/>
          <w:lang w:val="en-US" w:eastAsia="zh-CN" w:bidi="ar-SA"/>
        </w:rPr>
        <w:t>（六）诚信及信用信息证明</w:t>
      </w:r>
      <w:bookmarkEnd w:id="43"/>
      <w:bookmarkEnd w:id="44"/>
      <w:bookmarkEnd w:id="45"/>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）的有效截图（深圳市政府采购监管网需含一般行政处罚和严重违法行为的查询截图）。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46" w:name="_Toc11281"/>
      <w:bookmarkStart w:id="47" w:name="_Toc12322"/>
      <w:bookmarkStart w:id="48" w:name="_Toc30228"/>
      <w:bookmarkStart w:id="49" w:name="_Toc2713"/>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46"/>
      <w:bookmarkEnd w:id="47"/>
      <w:bookmarkEnd w:id="48"/>
      <w:bookmarkEnd w:id="4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50" w:name="_Toc2271"/>
      <w:bookmarkStart w:id="51" w:name="_Toc518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50"/>
      <w:bookmarkEnd w:id="51"/>
    </w:p>
    <w:p w14:paraId="5C981CD0">
      <w:pPr>
        <w:spacing w:line="360" w:lineRule="exact"/>
        <w:rPr>
          <w:rFonts w:hint="eastAsia"/>
          <w:b/>
          <w:color w:val="auto"/>
          <w:sz w:val="24"/>
        </w:rPr>
      </w:pPr>
      <w:r>
        <w:rPr>
          <w:rFonts w:hint="eastAsia" w:ascii="黑体" w:hAnsi="宋体" w:eastAsia="黑体"/>
          <w:bCs/>
          <w:color w:val="auto"/>
          <w:szCs w:val="32"/>
        </w:rPr>
        <w:t>备注：该部分内容由供应商根据自身情况提供相关内容，不符合要求的供应商可以不提供。</w:t>
      </w: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r>
        <w:rPr>
          <w:rFonts w:hint="eastAsia" w:ascii="Times New Roman" w:hAnsi="Times New Roman" w:cs="Times New Roman"/>
          <w:color w:val="FF0000"/>
          <w:highlight w:val="none"/>
          <w:lang w:eastAsia="zh-CN"/>
        </w:rPr>
        <w:t>（</w:t>
      </w:r>
      <w:r>
        <w:rPr>
          <w:rFonts w:hint="eastAsia" w:ascii="Times New Roman" w:hAnsi="Times New Roman" w:cs="Times New Roman"/>
          <w:color w:val="FF0000"/>
          <w:highlight w:val="none"/>
        </w:rPr>
        <w:t>小微企业报价优惠：10 %</w:t>
      </w:r>
      <w:r>
        <w:rPr>
          <w:rFonts w:hint="eastAsia" w:ascii="Times New Roman" w:hAnsi="Times New Roman" w:cs="Times New Roman"/>
          <w:color w:val="FF0000"/>
          <w:highlight w:val="none"/>
          <w:lang w:eastAsia="zh-CN"/>
        </w:rPr>
        <w:t>，</w:t>
      </w:r>
      <w:r>
        <w:rPr>
          <w:rFonts w:hint="eastAsia" w:ascii="Times New Roman" w:hAnsi="Times New Roman" w:cs="Times New Roman"/>
          <w:color w:val="FF0000"/>
          <w:highlight w:val="none"/>
        </w:rPr>
        <w:t>采购标的对应的中小企业划分标准所属行业：</w:t>
      </w:r>
      <w:r>
        <w:rPr>
          <w:rFonts w:hint="eastAsia" w:ascii="Times New Roman" w:hAnsi="Times New Roman" w:cs="Times New Roman"/>
          <w:color w:val="FF0000"/>
          <w:highlight w:val="none"/>
          <w:lang w:val="en-US" w:eastAsia="zh-CN"/>
        </w:rPr>
        <w:t>工</w:t>
      </w:r>
      <w:r>
        <w:rPr>
          <w:rFonts w:hint="eastAsia" w:ascii="Times New Roman" w:hAnsi="Times New Roman" w:cs="Times New Roman"/>
          <w:color w:val="FF0000"/>
          <w:highlight w:val="none"/>
        </w:rPr>
        <w:t>业</w:t>
      </w:r>
      <w:r>
        <w:rPr>
          <w:rFonts w:hint="eastAsia" w:ascii="Times New Roman" w:hAnsi="Times New Roman" w:cs="Times New Roman"/>
          <w:color w:val="FF0000"/>
          <w:highlight w:val="none"/>
          <w:lang w:eastAsia="zh-CN"/>
        </w:rPr>
        <w:t>）</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52" w:name="_Hlk72259001"/>
      <w:r>
        <w:rPr>
          <w:rFonts w:hint="eastAsia"/>
          <w:b/>
          <w:bCs/>
          <w:color w:val="auto"/>
          <w:lang w:eastAsia="zh-CN"/>
        </w:rPr>
        <w:t>征集</w:t>
      </w:r>
      <w:r>
        <w:rPr>
          <w:rFonts w:hint="eastAsia"/>
          <w:b/>
          <w:bCs/>
          <w:color w:val="auto"/>
        </w:rPr>
        <w:t>文件</w:t>
      </w:r>
      <w:bookmarkEnd w:id="52"/>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7"/>
        <w:rPr>
          <w:color w:val="auto"/>
        </w:rPr>
      </w:pPr>
    </w:p>
    <w:p w14:paraId="04F8DE87">
      <w:pPr>
        <w:spacing w:after="60"/>
        <w:jc w:val="center"/>
        <w:outlineLvl w:val="9"/>
        <w:rPr>
          <w:b/>
          <w:color w:val="auto"/>
        </w:rPr>
      </w:pPr>
      <w:r>
        <w:rPr>
          <w:rFonts w:hint="eastAsia"/>
          <w:b/>
          <w:color w:val="auto"/>
        </w:rPr>
        <w:t>1、中小企业声明函</w:t>
      </w:r>
    </w:p>
    <w:p w14:paraId="260C3881">
      <w:pPr>
        <w:pStyle w:val="7"/>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7"/>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7"/>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7"/>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1D29C215">
      <w:pPr>
        <w:spacing w:line="360" w:lineRule="exact"/>
        <w:ind w:firstLine="424" w:firstLineChars="202"/>
        <w:outlineLvl w:val="9"/>
        <w:rPr>
          <w:rFonts w:hint="eastAsia" w:asciiTheme="minorEastAsia" w:hAnsiTheme="minorEastAsia" w:cstheme="minorEastAsia"/>
          <w:b/>
          <w:bCs/>
          <w:sz w:val="28"/>
          <w:szCs w:val="28"/>
          <w:lang w:eastAsia="zh-CN"/>
        </w:rPr>
      </w:pPr>
      <w:r>
        <w:rPr>
          <w:rFonts w:hint="eastAsia" w:ascii="宋体" w:hAnsi="宋体"/>
          <w:color w:val="auto"/>
          <w:szCs w:val="21"/>
        </w:rPr>
        <w:t xml:space="preserve">                                     </w:t>
      </w: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28" w:type="pct"/>
        <w:jc w:val="center"/>
        <w:tblLayout w:type="autofit"/>
        <w:tblCellMar>
          <w:top w:w="0" w:type="dxa"/>
          <w:left w:w="108" w:type="dxa"/>
          <w:bottom w:w="0" w:type="dxa"/>
          <w:right w:w="108" w:type="dxa"/>
        </w:tblCellMar>
      </w:tblPr>
      <w:tblGrid>
        <w:gridCol w:w="2375"/>
        <w:gridCol w:w="1533"/>
        <w:gridCol w:w="787"/>
        <w:gridCol w:w="1257"/>
        <w:gridCol w:w="1909"/>
        <w:gridCol w:w="1601"/>
        <w:gridCol w:w="1114"/>
      </w:tblGrid>
      <w:tr w14:paraId="2767ADD0">
        <w:tblPrEx>
          <w:tblCellMar>
            <w:top w:w="0" w:type="dxa"/>
            <w:left w:w="108" w:type="dxa"/>
            <w:bottom w:w="0" w:type="dxa"/>
            <w:right w:w="108" w:type="dxa"/>
          </w:tblCellMar>
        </w:tblPrEx>
        <w:trPr>
          <w:trHeight w:val="636" w:hRule="exact"/>
          <w:jc w:val="center"/>
        </w:trPr>
        <w:tc>
          <w:tcPr>
            <w:tcW w:w="1122"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4"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2"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4"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2"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6"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6" w:hRule="exact"/>
          <w:jc w:val="center"/>
        </w:trPr>
        <w:tc>
          <w:tcPr>
            <w:tcW w:w="1122"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4"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6"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4"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4" w:hRule="exact"/>
          <w:jc w:val="center"/>
        </w:trPr>
        <w:tc>
          <w:tcPr>
            <w:tcW w:w="1122"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6"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5"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4"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2"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6"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3" w:hRule="exact"/>
          <w:jc w:val="center"/>
        </w:trPr>
        <w:tc>
          <w:tcPr>
            <w:tcW w:w="1122"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2"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6"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4"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6"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6"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4"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6"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6" w:hRule="exact"/>
          <w:jc w:val="center"/>
        </w:trPr>
        <w:tc>
          <w:tcPr>
            <w:tcW w:w="1122"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6"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4"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2" w:hRule="exact"/>
          <w:jc w:val="center"/>
        </w:trPr>
        <w:tc>
          <w:tcPr>
            <w:tcW w:w="1122"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6"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4"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6"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2" w:hRule="exact"/>
          <w:jc w:val="center"/>
        </w:trPr>
        <w:tc>
          <w:tcPr>
            <w:tcW w:w="1122"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4"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06" w:hRule="exact"/>
          <w:jc w:val="center"/>
        </w:trPr>
        <w:tc>
          <w:tcPr>
            <w:tcW w:w="1122"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4"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35" w:hRule="exact"/>
          <w:jc w:val="center"/>
        </w:trPr>
        <w:tc>
          <w:tcPr>
            <w:tcW w:w="1122"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4"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4"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2"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4" w:hRule="exact"/>
          <w:jc w:val="center"/>
        </w:trPr>
        <w:tc>
          <w:tcPr>
            <w:tcW w:w="1122"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2"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6" w:hRule="exact"/>
          <w:jc w:val="center"/>
        </w:trPr>
        <w:tc>
          <w:tcPr>
            <w:tcW w:w="1122"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4"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18" w:hRule="exact"/>
          <w:jc w:val="center"/>
        </w:trPr>
        <w:tc>
          <w:tcPr>
            <w:tcW w:w="1122"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6"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87"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4"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2"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2"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6"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4"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6"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2"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6"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4"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5" w:hRule="exact"/>
          <w:jc w:val="center"/>
        </w:trPr>
        <w:tc>
          <w:tcPr>
            <w:tcW w:w="1122"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2"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6"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42" w:hRule="exact"/>
          <w:jc w:val="center"/>
        </w:trPr>
        <w:tc>
          <w:tcPr>
            <w:tcW w:w="1122"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4"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after="60" w:line="360" w:lineRule="exact"/>
        <w:jc w:val="center"/>
        <w:outlineLvl w:val="9"/>
        <w:rPr>
          <w:rFonts w:hint="eastAsia"/>
          <w:b/>
          <w:color w:val="auto"/>
          <w:lang w:val="en-US" w:eastAsia="zh-CN"/>
        </w:rPr>
      </w:pPr>
    </w:p>
    <w:p w14:paraId="02D96363">
      <w:pPr>
        <w:spacing w:after="60" w:line="360" w:lineRule="exact"/>
        <w:jc w:val="center"/>
        <w:outlineLvl w:val="9"/>
        <w:rPr>
          <w:rFonts w:hint="eastAsia"/>
          <w:b/>
          <w:color w:val="auto"/>
        </w:rPr>
      </w:pPr>
      <w:bookmarkStart w:id="53" w:name="_Toc29547"/>
      <w:r>
        <w:rPr>
          <w:rFonts w:hint="eastAsia"/>
          <w:b/>
          <w:color w:val="auto"/>
          <w:lang w:val="en-US" w:eastAsia="zh-CN"/>
        </w:rPr>
        <w:t>4、国务院办公厅关于在政府采购中实施本国产品标准及相关政策的通知</w:t>
      </w:r>
    </w:p>
    <w:p w14:paraId="55FC96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6"/>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7"/>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7"/>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7"/>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272E3883">
      <w:pPr>
        <w:jc w:val="center"/>
        <w:outlineLvl w:val="0"/>
        <w:rPr>
          <w:rFonts w:hint="eastAsia"/>
          <w:b/>
          <w:color w:val="auto"/>
          <w:lang w:val="en-US" w:eastAsia="zh-CN"/>
        </w:rPr>
      </w:pPr>
    </w:p>
    <w:p w14:paraId="2C03DCC8">
      <w:pPr>
        <w:jc w:val="center"/>
        <w:outlineLvl w:val="0"/>
        <w:rPr>
          <w:rFonts w:hint="eastAsia"/>
          <w:b/>
          <w:color w:val="auto"/>
          <w:lang w:val="en-US" w:eastAsia="zh-CN"/>
        </w:rPr>
      </w:pPr>
    </w:p>
    <w:p w14:paraId="06FCA348">
      <w:pPr>
        <w:jc w:val="center"/>
        <w:outlineLvl w:val="0"/>
        <w:rPr>
          <w:rFonts w:hint="eastAsia"/>
          <w:b/>
          <w:color w:val="auto"/>
          <w:lang w:val="en-US" w:eastAsia="zh-CN"/>
        </w:rPr>
      </w:pPr>
    </w:p>
    <w:p w14:paraId="4E105A68">
      <w:pPr>
        <w:jc w:val="center"/>
        <w:outlineLvl w:val="0"/>
        <w:rPr>
          <w:rFonts w:hint="eastAsia"/>
          <w:b/>
          <w:color w:val="auto"/>
          <w:lang w:val="en-US" w:eastAsia="zh-CN"/>
        </w:rPr>
      </w:pPr>
    </w:p>
    <w:p w14:paraId="324D6763">
      <w:pPr>
        <w:jc w:val="center"/>
        <w:outlineLvl w:val="0"/>
        <w:rPr>
          <w:rFonts w:hint="eastAsia"/>
          <w:b/>
          <w:color w:val="auto"/>
          <w:lang w:val="en-US" w:eastAsia="zh-CN"/>
        </w:rPr>
      </w:pPr>
    </w:p>
    <w:p w14:paraId="7CBB71CB">
      <w:pPr>
        <w:jc w:val="center"/>
        <w:outlineLvl w:val="0"/>
        <w:rPr>
          <w:rFonts w:hint="eastAsia"/>
          <w:b/>
          <w:color w:val="auto"/>
          <w:lang w:val="en-US" w:eastAsia="zh-CN"/>
        </w:rPr>
      </w:pPr>
    </w:p>
    <w:p w14:paraId="79867BC2">
      <w:pPr>
        <w:jc w:val="center"/>
        <w:outlineLvl w:val="0"/>
        <w:rPr>
          <w:rFonts w:hint="eastAsia"/>
          <w:b/>
          <w:color w:val="auto"/>
          <w:lang w:val="en-US" w:eastAsia="zh-CN"/>
        </w:rPr>
      </w:pPr>
    </w:p>
    <w:p w14:paraId="361FE2FD">
      <w:pPr>
        <w:jc w:val="center"/>
        <w:outlineLvl w:val="0"/>
        <w:rPr>
          <w:rFonts w:hint="eastAsia"/>
          <w:b/>
          <w:color w:val="auto"/>
          <w:lang w:val="en-US" w:eastAsia="zh-CN"/>
        </w:rPr>
      </w:pPr>
    </w:p>
    <w:p w14:paraId="2BB8B1AB">
      <w:pPr>
        <w:jc w:val="center"/>
        <w:outlineLvl w:val="0"/>
        <w:rPr>
          <w:rFonts w:hint="eastAsia"/>
          <w:b/>
          <w:color w:val="auto"/>
          <w:lang w:val="en-US" w:eastAsia="zh-CN"/>
        </w:rPr>
      </w:pPr>
    </w:p>
    <w:p w14:paraId="72A8EBF1">
      <w:pPr>
        <w:jc w:val="center"/>
        <w:outlineLvl w:val="0"/>
        <w:rPr>
          <w:rFonts w:hint="eastAsia"/>
          <w:b/>
          <w:color w:val="auto"/>
          <w:lang w:val="en-US" w:eastAsia="zh-CN"/>
        </w:rPr>
      </w:pPr>
    </w:p>
    <w:p w14:paraId="38406F9F">
      <w:pPr>
        <w:jc w:val="center"/>
        <w:outlineLvl w:val="0"/>
        <w:rPr>
          <w:rFonts w:hint="eastAsia"/>
          <w:b/>
          <w:color w:val="auto"/>
          <w:lang w:val="en-US" w:eastAsia="zh-CN"/>
        </w:rPr>
      </w:pPr>
    </w:p>
    <w:p w14:paraId="1472FE27">
      <w:pPr>
        <w:jc w:val="center"/>
        <w:outlineLvl w:val="0"/>
        <w:rPr>
          <w:rFonts w:hint="eastAsia"/>
          <w:b/>
          <w:color w:val="auto"/>
          <w:lang w:val="en-US" w:eastAsia="zh-CN"/>
        </w:rPr>
      </w:pPr>
    </w:p>
    <w:p w14:paraId="618BB2AD">
      <w:pPr>
        <w:jc w:val="center"/>
        <w:outlineLvl w:val="0"/>
        <w:rPr>
          <w:rFonts w:hint="eastAsia"/>
          <w:b/>
          <w:color w:val="auto"/>
          <w:lang w:val="en-US" w:eastAsia="zh-CN"/>
        </w:rPr>
      </w:pPr>
    </w:p>
    <w:p w14:paraId="65301232">
      <w:pPr>
        <w:jc w:val="center"/>
        <w:outlineLvl w:val="0"/>
        <w:rPr>
          <w:rFonts w:hint="eastAsia"/>
          <w:b/>
          <w:color w:val="auto"/>
          <w:lang w:val="en-US" w:eastAsia="zh-CN"/>
        </w:rPr>
      </w:pPr>
    </w:p>
    <w:p w14:paraId="270A3A17">
      <w:pPr>
        <w:jc w:val="center"/>
        <w:outlineLvl w:val="0"/>
        <w:rPr>
          <w:rFonts w:hint="eastAsia"/>
          <w:b/>
          <w:color w:val="auto"/>
          <w:lang w:val="en-US" w:eastAsia="zh-CN"/>
        </w:rPr>
      </w:pPr>
    </w:p>
    <w:p w14:paraId="48B499F0">
      <w:pPr>
        <w:jc w:val="center"/>
        <w:outlineLvl w:val="0"/>
        <w:rPr>
          <w:rFonts w:hint="eastAsia"/>
          <w:b/>
          <w:color w:val="auto"/>
          <w:lang w:val="en-US" w:eastAsia="zh-CN"/>
        </w:rPr>
      </w:pPr>
    </w:p>
    <w:p w14:paraId="20FB7F7B">
      <w:pPr>
        <w:jc w:val="center"/>
        <w:outlineLvl w:val="0"/>
        <w:rPr>
          <w:rFonts w:hint="eastAsia"/>
          <w:b/>
          <w:color w:val="auto"/>
          <w:lang w:val="en-US" w:eastAsia="zh-CN"/>
        </w:rPr>
      </w:pPr>
    </w:p>
    <w:p w14:paraId="4ECB29FB">
      <w:pPr>
        <w:jc w:val="center"/>
        <w:outlineLvl w:val="0"/>
        <w:rPr>
          <w:rFonts w:hint="eastAsia"/>
          <w:b/>
          <w:color w:val="auto"/>
          <w:lang w:val="en-US" w:eastAsia="zh-CN"/>
        </w:rPr>
      </w:pPr>
    </w:p>
    <w:p w14:paraId="4BF5B9FD">
      <w:pPr>
        <w:jc w:val="center"/>
        <w:outlineLvl w:val="0"/>
        <w:rPr>
          <w:rFonts w:hint="eastAsia"/>
          <w:b/>
          <w:color w:val="auto"/>
          <w:lang w:val="en-US" w:eastAsia="zh-CN"/>
        </w:rPr>
      </w:pPr>
    </w:p>
    <w:p w14:paraId="2B82F55F">
      <w:pPr>
        <w:jc w:val="both"/>
        <w:outlineLvl w:val="0"/>
        <w:rPr>
          <w:rFonts w:hint="eastAsia"/>
          <w:b/>
          <w:color w:val="auto"/>
          <w:lang w:val="en-US" w:eastAsia="zh-CN"/>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54" w:name="_Toc24304"/>
      <w:r>
        <w:rPr>
          <w:rFonts w:hint="eastAsia" w:cs="宋体" w:asciiTheme="majorEastAsia" w:hAnsiTheme="majorEastAsia" w:eastAsiaTheme="majorEastAsia"/>
          <w:kern w:val="2"/>
          <w:sz w:val="30"/>
          <w:szCs w:val="30"/>
          <w:lang w:val="en-US" w:eastAsia="zh-CN" w:bidi="ar-SA"/>
        </w:rPr>
        <w:t>（九）福田区第二人民医院</w:t>
      </w:r>
      <w:bookmarkEnd w:id="53"/>
      <w:r>
        <w:rPr>
          <w:rFonts w:hint="eastAsia" w:cs="宋体" w:asciiTheme="majorEastAsia" w:hAnsiTheme="majorEastAsia" w:eastAsiaTheme="majorEastAsia"/>
          <w:kern w:val="2"/>
          <w:sz w:val="30"/>
          <w:szCs w:val="30"/>
          <w:lang w:val="en-US" w:eastAsia="zh-CN" w:bidi="ar-SA"/>
        </w:rPr>
        <w:t>开标一览表</w:t>
      </w:r>
      <w:bookmarkEnd w:id="54"/>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3"/>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3"/>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AA725FB">
      <w:pPr>
        <w:spacing w:afterLines="25" w:line="300" w:lineRule="auto"/>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55" w:name="_Toc14502"/>
      <w:bookmarkStart w:id="56"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55"/>
      <w:bookmarkEnd w:id="56"/>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551E94B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58184F4">
      <w:pPr>
        <w:rPr>
          <w:rFonts w:hint="eastAsia" w:ascii="宋体" w:hAnsi="宋体" w:cs="宋体"/>
          <w:color w:val="000000" w:themeColor="text1"/>
          <w:szCs w:val="21"/>
          <w14:textFill>
            <w14:solidFill>
              <w14:schemeClr w14:val="tx1"/>
            </w14:solidFill>
          </w14:textFill>
        </w:rPr>
      </w:pPr>
    </w:p>
    <w:p w14:paraId="4B1EBC3B">
      <w:pPr>
        <w:rPr>
          <w:rFonts w:hint="eastAsia" w:ascii="宋体" w:hAnsi="宋体" w:cs="宋体"/>
          <w:color w:val="000000" w:themeColor="text1"/>
          <w:szCs w:val="21"/>
          <w14:textFill>
            <w14:solidFill>
              <w14:schemeClr w14:val="tx1"/>
            </w14:solidFill>
          </w14:textFill>
        </w:rPr>
      </w:pP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57" w:name="_Toc29077"/>
      <w:bookmarkStart w:id="58" w:name="_Toc16893"/>
      <w:bookmarkStart w:id="59" w:name="_Toc24434"/>
      <w:bookmarkStart w:id="60" w:name="_Toc1762"/>
      <w:bookmarkStart w:id="61" w:name="_Toc20322_WPSOffice_Level1"/>
      <w:bookmarkStart w:id="62" w:name="_Toc9447"/>
      <w:bookmarkStart w:id="63" w:name="_Toc435514854"/>
      <w:bookmarkStart w:id="64" w:name="_Toc275865605"/>
      <w:bookmarkStart w:id="65" w:name="_Toc435515294"/>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57"/>
      <w:bookmarkEnd w:id="58"/>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66" w:name="_Toc28894"/>
      <w:bookmarkStart w:id="67" w:name="_Toc22399"/>
      <w:r>
        <w:rPr>
          <w:rFonts w:hint="eastAsia" w:cs="宋体" w:asciiTheme="majorEastAsia" w:hAnsiTheme="majorEastAsia" w:eastAsiaTheme="majorEastAsia"/>
          <w:b w:val="0"/>
          <w:kern w:val="2"/>
          <w:sz w:val="30"/>
          <w:szCs w:val="30"/>
          <w:lang w:val="en-US" w:eastAsia="zh-CN" w:bidi="ar-SA"/>
        </w:rPr>
        <w:t>（十二）投标函</w:t>
      </w:r>
      <w:bookmarkEnd w:id="59"/>
      <w:bookmarkEnd w:id="60"/>
      <w:bookmarkEnd w:id="61"/>
      <w:bookmarkEnd w:id="62"/>
      <w:bookmarkEnd w:id="63"/>
      <w:bookmarkEnd w:id="64"/>
      <w:bookmarkEnd w:id="65"/>
      <w:bookmarkEnd w:id="66"/>
      <w:bookmarkEnd w:id="67"/>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8" w:name="_Toc26831"/>
      <w:bookmarkStart w:id="69" w:name="_Toc4649"/>
      <w:bookmarkStart w:id="70" w:name="_Toc435515295"/>
      <w:bookmarkStart w:id="71" w:name="_Toc7805"/>
      <w:bookmarkStart w:id="72" w:name="_Toc25493"/>
      <w:bookmarkStart w:id="73" w:name="_Toc24650"/>
      <w:bookmarkStart w:id="74" w:name="_Toc435514855"/>
      <w:bookmarkStart w:id="75" w:name="_Toc275865606"/>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68"/>
      <w:bookmarkEnd w:id="69"/>
      <w:bookmarkEnd w:id="70"/>
      <w:bookmarkEnd w:id="71"/>
      <w:bookmarkEnd w:id="72"/>
      <w:bookmarkEnd w:id="73"/>
      <w:bookmarkEnd w:id="74"/>
      <w:bookmarkEnd w:id="75"/>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76" w:name="_承诺函"/>
      <w:bookmarkEnd w:id="76"/>
      <w:bookmarkStart w:id="77" w:name="_Toc21707"/>
      <w:bookmarkStart w:id="78" w:name="_Toc30192"/>
      <w:bookmarkStart w:id="79" w:name="_Toc32186"/>
      <w:bookmarkStart w:id="80" w:name="_Toc50737297"/>
      <w:bookmarkStart w:id="81" w:name="_Toc50736477"/>
      <w:bookmarkStart w:id="82" w:name="_Toc50737329"/>
      <w:bookmarkStart w:id="83" w:name="_Toc24149"/>
      <w:bookmarkStart w:id="84" w:name="_Toc52165081"/>
      <w:bookmarkStart w:id="85" w:name="_Toc275865607"/>
      <w:bookmarkStart w:id="86" w:name="_Toc435514859"/>
      <w:bookmarkStart w:id="87" w:name="_Toc435515299"/>
      <w:bookmarkStart w:id="88" w:name="_Toc27672"/>
      <w:bookmarkStart w:id="89" w:name="_Toc52165080"/>
      <w:bookmarkStart w:id="90" w:name="_Toc50736476"/>
      <w:bookmarkStart w:id="91" w:name="_Toc50737328"/>
      <w:bookmarkStart w:id="92" w:name="_Toc50691034"/>
      <w:bookmarkStart w:id="93" w:name="_Toc50737296"/>
      <w:r>
        <w:rPr>
          <w:rFonts w:hint="eastAsia" w:cs="宋体" w:asciiTheme="majorEastAsia" w:hAnsiTheme="majorEastAsia" w:eastAsiaTheme="majorEastAsia"/>
          <w:kern w:val="2"/>
          <w:sz w:val="30"/>
          <w:szCs w:val="30"/>
          <w:lang w:val="en-US" w:eastAsia="zh-CN" w:bidi="ar-SA"/>
        </w:rPr>
        <w:t>（十四）政府采购违法行为风险知悉确认书</w:t>
      </w:r>
      <w:bookmarkEnd w:id="77"/>
      <w:bookmarkEnd w:id="78"/>
      <w:bookmarkEnd w:id="79"/>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94" w:name="_Toc24374"/>
      <w:bookmarkStart w:id="95" w:name="_Toc1469"/>
      <w:bookmarkStart w:id="96" w:name="_Toc13791"/>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80"/>
      <w:bookmarkEnd w:id="81"/>
      <w:bookmarkEnd w:id="82"/>
      <w:bookmarkEnd w:id="83"/>
      <w:bookmarkEnd w:id="84"/>
      <w:bookmarkEnd w:id="85"/>
      <w:bookmarkEnd w:id="86"/>
      <w:bookmarkEnd w:id="87"/>
      <w:bookmarkEnd w:id="88"/>
      <w:bookmarkEnd w:id="94"/>
      <w:bookmarkEnd w:id="95"/>
      <w:bookmarkEnd w:id="96"/>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7"/>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97" w:name="_Toc275865608"/>
      <w:bookmarkStart w:id="98" w:name="_Toc435514860"/>
      <w:bookmarkStart w:id="99" w:name="_Toc435515300"/>
      <w:bookmarkStart w:id="100"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89"/>
    <w:bookmarkEnd w:id="90"/>
    <w:bookmarkEnd w:id="91"/>
    <w:bookmarkEnd w:id="92"/>
    <w:bookmarkEnd w:id="93"/>
    <w:bookmarkEnd w:id="97"/>
    <w:bookmarkEnd w:id="98"/>
    <w:bookmarkEnd w:id="99"/>
    <w:bookmarkEnd w:id="100"/>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101" w:name="_Toc424"/>
      <w:bookmarkStart w:id="102" w:name="_Toc6666"/>
      <w:bookmarkStart w:id="103" w:name="_Toc571"/>
      <w:bookmarkStart w:id="104" w:name="_Toc21402"/>
      <w:bookmarkStart w:id="105"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101"/>
      <w:bookmarkEnd w:id="102"/>
      <w:bookmarkEnd w:id="103"/>
      <w:bookmarkEnd w:id="104"/>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106" w:name="_Toc19489"/>
      <w:bookmarkStart w:id="107" w:name="_Toc24233"/>
      <w:bookmarkStart w:id="108" w:name="_Toc10390"/>
      <w:bookmarkStart w:id="109" w:name="_Toc2926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105"/>
      <w:bookmarkEnd w:id="106"/>
      <w:bookmarkEnd w:id="107"/>
      <w:bookmarkEnd w:id="108"/>
      <w:bookmarkEnd w:id="10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110" w:name="_Toc12666"/>
      <w:bookmarkStart w:id="111" w:name="_Toc24644"/>
      <w:bookmarkStart w:id="112" w:name="_Toc23830"/>
      <w:bookmarkStart w:id="113" w:name="_Toc30412"/>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110"/>
      <w:bookmarkEnd w:id="111"/>
      <w:bookmarkEnd w:id="112"/>
      <w:bookmarkEnd w:id="113"/>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114" w:name="_Toc7126"/>
      <w:bookmarkStart w:id="115" w:name="_Toc15871"/>
      <w:bookmarkStart w:id="116" w:name="_Toc777"/>
      <w:bookmarkStart w:id="117" w:name="_Toc11352"/>
      <w:bookmarkStart w:id="118" w:name="_Toc25910"/>
      <w:bookmarkStart w:id="119" w:name="_Toc11926"/>
      <w:bookmarkStart w:id="120" w:name="_Toc29905"/>
      <w:bookmarkStart w:id="121" w:name="_Toc1903"/>
      <w:bookmarkStart w:id="122" w:name="_Toc2305"/>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114"/>
      <w:bookmarkEnd w:id="115"/>
      <w:bookmarkEnd w:id="116"/>
      <w:bookmarkEnd w:id="117"/>
      <w:bookmarkEnd w:id="118"/>
      <w:bookmarkEnd w:id="119"/>
      <w:bookmarkEnd w:id="120"/>
      <w:bookmarkEnd w:id="121"/>
      <w:bookmarkEnd w:id="122"/>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7"/>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123" w:name="_Toc11555"/>
      <w:bookmarkStart w:id="124" w:name="_Toc19351"/>
      <w:bookmarkStart w:id="125" w:name="_Toc23208"/>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123"/>
      <w:bookmarkEnd w:id="124"/>
      <w:bookmarkEnd w:id="125"/>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126" w:name="_Toc7852"/>
      <w:bookmarkStart w:id="127" w:name="_Toc13335"/>
      <w:bookmarkStart w:id="128"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126"/>
      <w:bookmarkEnd w:id="127"/>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129" w:name="_Toc1681"/>
      <w:bookmarkStart w:id="130" w:name="_Toc9651"/>
      <w:r>
        <w:rPr>
          <w:rFonts w:hint="eastAsia" w:cs="宋体" w:asciiTheme="majorEastAsia" w:hAnsiTheme="majorEastAsia" w:eastAsiaTheme="majorEastAsia"/>
          <w:kern w:val="2"/>
          <w:sz w:val="30"/>
          <w:szCs w:val="30"/>
          <w:lang w:val="en-US" w:eastAsia="zh-CN" w:bidi="ar-SA"/>
        </w:rPr>
        <w:t>（二十二）</w:t>
      </w:r>
      <w:bookmarkEnd w:id="128"/>
      <w:r>
        <w:rPr>
          <w:rFonts w:hint="eastAsia" w:cs="宋体" w:asciiTheme="majorEastAsia" w:hAnsiTheme="majorEastAsia" w:eastAsiaTheme="majorEastAsia"/>
          <w:kern w:val="2"/>
          <w:sz w:val="30"/>
          <w:szCs w:val="30"/>
          <w:lang w:val="en-US" w:eastAsia="zh-CN" w:bidi="ar-SA"/>
        </w:rPr>
        <w:t>配送方案</w:t>
      </w:r>
      <w:bookmarkEnd w:id="129"/>
      <w:bookmarkEnd w:id="130"/>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131" w:name="_Toc13283"/>
      <w:bookmarkStart w:id="132"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131"/>
      <w:bookmarkEnd w:id="132"/>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68DA1438">
      <w:pPr>
        <w:numPr>
          <w:ilvl w:val="0"/>
          <w:numId w:val="0"/>
        </w:numPr>
        <w:spacing w:after="60"/>
        <w:rPr>
          <w:rFonts w:hint="eastAsia" w:ascii="宋体" w:hAnsi="宋体" w:eastAsia="宋体" w:cs="宋体"/>
          <w:kern w:val="0"/>
          <w:szCs w:val="21"/>
          <w:lang w:eastAsia="zh-CN"/>
        </w:rPr>
      </w:pPr>
      <w:r>
        <w:rPr>
          <w:rFonts w:hint="eastAsia" w:ascii="宋体" w:hAnsi="宋体" w:eastAsia="宋体" w:cs="宋体"/>
          <w:kern w:val="2"/>
          <w:sz w:val="21"/>
          <w:szCs w:val="21"/>
          <w:highlight w:val="none"/>
          <w:lang w:val="en-US" w:eastAsia="zh-CN" w:bidi="ar-SA"/>
        </w:rPr>
        <w:t>1.投标人自</w:t>
      </w:r>
      <w:r>
        <w:rPr>
          <w:rFonts w:hint="eastAsia" w:ascii="宋体" w:hAnsi="宋体" w:eastAsia="宋体" w:cs="宋体"/>
          <w:sz w:val="21"/>
          <w:szCs w:val="21"/>
          <w:highlight w:val="none"/>
          <w:lang w:val="en-US" w:eastAsia="zh-CN"/>
        </w:rPr>
        <w:t>2024年1月1日至本项目投标截止之日（以合同签订日期为准）完成的</w:t>
      </w:r>
      <w:r>
        <w:rPr>
          <w:rFonts w:hint="eastAsia" w:ascii="宋体" w:hAnsi="宋体" w:eastAsia="宋体" w:cs="宋体"/>
          <w:sz w:val="21"/>
          <w:szCs w:val="21"/>
          <w:highlight w:val="none"/>
        </w:rPr>
        <w:t>同类产品</w:t>
      </w:r>
      <w:r>
        <w:rPr>
          <w:rFonts w:hint="eastAsia" w:ascii="宋体" w:hAnsi="宋体" w:eastAsia="宋体" w:cs="宋体"/>
          <w:sz w:val="21"/>
          <w:szCs w:val="21"/>
          <w:highlight w:val="none"/>
          <w:lang w:val="en-US" w:eastAsia="zh-CN"/>
        </w:rPr>
        <w:t>（所投核心产品同品牌同型号的产品）</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eastAsia="宋体" w:cs="宋体"/>
          <w:sz w:val="21"/>
          <w:szCs w:val="21"/>
          <w:highlight w:val="none"/>
          <w:lang w:eastAsia="zh-CN"/>
        </w:rPr>
        <w:t>。</w:t>
      </w: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B303D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33" w:name="_Toc9116"/>
      <w:bookmarkStart w:id="134" w:name="_Toc17243"/>
      <w:r>
        <w:rPr>
          <w:rFonts w:hint="eastAsia" w:asciiTheme="majorEastAsia" w:hAnsiTheme="majorEastAsia" w:eastAsiaTheme="majorEastAsia"/>
          <w:sz w:val="30"/>
          <w:szCs w:val="30"/>
          <w:lang w:val="en-US" w:eastAsia="zh-CN"/>
        </w:rPr>
        <w:t>（二十四）履约评价</w:t>
      </w:r>
      <w:bookmarkEnd w:id="133"/>
      <w:bookmarkEnd w:id="134"/>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0B76194">
      <w:pPr>
        <w:rPr>
          <w:rFonts w:hint="eastAsia"/>
          <w:lang w:eastAsia="zh-CN"/>
        </w:rPr>
      </w:pPr>
    </w:p>
    <w:p w14:paraId="12E474A3">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35" w:name="_Toc23393"/>
      <w:bookmarkStart w:id="136" w:name="_Toc31639"/>
      <w:r>
        <w:rPr>
          <w:rFonts w:hint="eastAsia" w:asciiTheme="majorEastAsia" w:hAnsiTheme="majorEastAsia" w:eastAsiaTheme="majorEastAsia"/>
          <w:sz w:val="30"/>
          <w:szCs w:val="30"/>
          <w:lang w:val="en-US" w:eastAsia="zh-CN"/>
        </w:rPr>
        <w:t>（二十五）</w:t>
      </w:r>
      <w:r>
        <w:rPr>
          <w:rFonts w:hint="eastAsia" w:hAnsi="宋体" w:cs="Times New Roman" w:eastAsiaTheme="majorEastAsia"/>
          <w:sz w:val="30"/>
          <w:szCs w:val="30"/>
          <w:lang w:val="en-US" w:eastAsia="zh-CN"/>
        </w:rPr>
        <w:t>征集文件要求的其他内容及投标人认为需要加以说明其他内容</w:t>
      </w:r>
      <w:bookmarkEnd w:id="135"/>
      <w:bookmarkEnd w:id="136"/>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37" w:name="_Toc435174933"/>
      <w:bookmarkStart w:id="138" w:name="_Toc1658"/>
      <w:bookmarkStart w:id="139" w:name="_Toc435516650"/>
      <w:bookmarkStart w:id="140" w:name="_Toc438223136"/>
      <w:bookmarkStart w:id="141" w:name="_Toc11652"/>
      <w:bookmarkStart w:id="142" w:name="_Toc14580"/>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43" w:name="_Toc5025"/>
      <w:r>
        <w:rPr>
          <w:rFonts w:asciiTheme="majorEastAsia" w:hAnsiTheme="majorEastAsia" w:eastAsiaTheme="majorEastAsia"/>
          <w:sz w:val="32"/>
          <w:szCs w:val="32"/>
          <w:lang w:eastAsia="zh-TW"/>
        </w:rPr>
        <w:t>说 明</w:t>
      </w:r>
      <w:bookmarkEnd w:id="137"/>
      <w:bookmarkEnd w:id="138"/>
      <w:bookmarkEnd w:id="139"/>
      <w:bookmarkEnd w:id="140"/>
      <w:bookmarkEnd w:id="141"/>
      <w:bookmarkEnd w:id="142"/>
      <w:bookmarkEnd w:id="143"/>
      <w:bookmarkStart w:id="144"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7"/>
        </w:numPr>
        <w:autoSpaceDE w:val="0"/>
        <w:autoSpaceDN w:val="0"/>
        <w:adjustRightInd w:val="0"/>
        <w:snapToGrid w:val="0"/>
        <w:spacing w:line="360" w:lineRule="auto"/>
        <w:outlineLvl w:val="1"/>
        <w:rPr>
          <w:rFonts w:ascii="宋体" w:hAnsi="宋体"/>
          <w:b/>
          <w:bCs/>
          <w:szCs w:val="21"/>
        </w:rPr>
      </w:pPr>
      <w:bookmarkStart w:id="145" w:name="_Toc27456"/>
      <w:r>
        <w:rPr>
          <w:rFonts w:hint="eastAsia" w:ascii="宋体" w:hAnsi="宋体"/>
          <w:b/>
          <w:bCs/>
          <w:szCs w:val="21"/>
        </w:rPr>
        <w:t>适用范围</w:t>
      </w:r>
      <w:bookmarkEnd w:id="145"/>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146" w:name="_Toc17952"/>
      <w:r>
        <w:rPr>
          <w:rFonts w:hint="eastAsia" w:ascii="宋体" w:hAnsi="宋体"/>
          <w:b/>
          <w:szCs w:val="21"/>
        </w:rPr>
        <w:t>定义</w:t>
      </w:r>
      <w:bookmarkEnd w:id="146"/>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47" w:name="_Toc3448"/>
      <w:r>
        <w:rPr>
          <w:rFonts w:hint="eastAsia" w:ascii="宋体" w:hAnsi="宋体"/>
          <w:b/>
          <w:bCs/>
          <w:szCs w:val="21"/>
        </w:rPr>
        <w:t>合格的货物和服务</w:t>
      </w:r>
      <w:bookmarkEnd w:id="147"/>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48"/>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49" w:name="_Toc30712"/>
      <w:r>
        <w:rPr>
          <w:rFonts w:hint="eastAsia" w:ascii="宋体" w:hAnsi="宋体"/>
          <w:b/>
          <w:bCs/>
          <w:szCs w:val="21"/>
        </w:rPr>
        <w:t>其他</w:t>
      </w:r>
      <w:bookmarkEnd w:id="149"/>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0" w:name="_Toc23948"/>
      <w:r>
        <w:rPr>
          <w:rFonts w:hint="eastAsia" w:ascii="宋体" w:hAnsi="宋体"/>
          <w:b/>
          <w:bCs/>
          <w:szCs w:val="21"/>
          <w:lang w:val="en-US" w:eastAsia="zh-CN"/>
        </w:rPr>
        <w:t>征集文件注意事项</w:t>
      </w:r>
      <w:bookmarkEnd w:id="150"/>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51" w:name="_Toc18824"/>
      <w:r>
        <w:rPr>
          <w:rFonts w:hint="eastAsia" w:asciiTheme="majorEastAsia" w:hAnsiTheme="majorEastAsia" w:eastAsiaTheme="majorEastAsia"/>
          <w:sz w:val="30"/>
          <w:szCs w:val="30"/>
          <w:lang w:eastAsia="zh-TW"/>
        </w:rPr>
        <w:t>投标文件的编制</w:t>
      </w:r>
      <w:bookmarkEnd w:id="151"/>
    </w:p>
    <w:p w14:paraId="55F387D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2" w:name="_Toc19352"/>
      <w:r>
        <w:rPr>
          <w:rFonts w:hint="eastAsia" w:ascii="宋体" w:hAnsi="宋体"/>
          <w:b/>
          <w:bCs/>
          <w:szCs w:val="21"/>
        </w:rPr>
        <w:t>投标的语言</w:t>
      </w:r>
      <w:r>
        <w:rPr>
          <w:rFonts w:hint="eastAsia" w:ascii="宋体" w:hAnsi="宋体"/>
          <w:b/>
          <w:bCs/>
          <w:szCs w:val="21"/>
          <w:lang w:val="en-US" w:eastAsia="zh-CN"/>
        </w:rPr>
        <w:t>及度量单位</w:t>
      </w:r>
      <w:bookmarkEnd w:id="152"/>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3" w:name="_Toc24268"/>
      <w:r>
        <w:rPr>
          <w:rFonts w:hint="eastAsia" w:ascii="宋体" w:hAnsi="宋体"/>
          <w:b/>
          <w:bCs/>
          <w:szCs w:val="21"/>
        </w:rPr>
        <w:t>投标文件的构成</w:t>
      </w:r>
      <w:bookmarkEnd w:id="153"/>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4" w:name="_Toc22197"/>
      <w:r>
        <w:rPr>
          <w:rFonts w:hint="eastAsia" w:ascii="宋体" w:hAnsi="宋体"/>
          <w:b/>
          <w:bCs/>
          <w:szCs w:val="21"/>
        </w:rPr>
        <w:t>投标文件的编写</w:t>
      </w:r>
      <w:bookmarkEnd w:id="154"/>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5" w:name="_Toc8541"/>
      <w:r>
        <w:rPr>
          <w:rFonts w:hint="eastAsia" w:ascii="宋体" w:hAnsi="宋体"/>
          <w:b/>
          <w:bCs/>
          <w:szCs w:val="21"/>
        </w:rPr>
        <w:t>投标报价</w:t>
      </w:r>
      <w:bookmarkEnd w:id="155"/>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6" w:name="_Toc5488"/>
      <w:r>
        <w:rPr>
          <w:rFonts w:hint="eastAsia" w:ascii="宋体" w:hAnsi="宋体"/>
          <w:b/>
          <w:bCs/>
          <w:szCs w:val="21"/>
        </w:rPr>
        <w:t>投标货币</w:t>
      </w:r>
      <w:bookmarkEnd w:id="156"/>
    </w:p>
    <w:p w14:paraId="107E9840">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7" w:name="_Toc15232"/>
      <w:r>
        <w:rPr>
          <w:rFonts w:hint="eastAsia" w:ascii="宋体" w:hAnsi="宋体"/>
          <w:b/>
          <w:bCs/>
          <w:szCs w:val="21"/>
        </w:rPr>
        <w:t>联合体投标</w:t>
      </w:r>
      <w:bookmarkEnd w:id="157"/>
    </w:p>
    <w:p w14:paraId="13263501">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8" w:name="_Toc1829"/>
      <w:r>
        <w:rPr>
          <w:rFonts w:hint="eastAsia" w:ascii="宋体" w:hAnsi="宋体"/>
          <w:b/>
          <w:bCs/>
          <w:szCs w:val="21"/>
        </w:rPr>
        <w:t>证明投标人合格和资格的文件</w:t>
      </w:r>
      <w:bookmarkEnd w:id="158"/>
    </w:p>
    <w:p w14:paraId="0423D23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9" w:name="_Toc23722"/>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59"/>
    </w:p>
    <w:p w14:paraId="21DCD9E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0" w:name="_Toc7404"/>
      <w:r>
        <w:rPr>
          <w:rFonts w:hint="eastAsia" w:ascii="宋体" w:hAnsi="宋体"/>
          <w:b/>
          <w:bCs/>
          <w:szCs w:val="21"/>
        </w:rPr>
        <w:t>投标文件的式样和签署、密封</w:t>
      </w:r>
      <w:bookmarkEnd w:id="160"/>
    </w:p>
    <w:p w14:paraId="5606D12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1" w:name="_Toc6947"/>
      <w:r>
        <w:rPr>
          <w:rFonts w:hint="eastAsia" w:ascii="宋体" w:hAnsi="宋体"/>
          <w:b/>
          <w:bCs/>
          <w:szCs w:val="21"/>
        </w:rPr>
        <w:t>投标文件递交</w:t>
      </w:r>
      <w:bookmarkEnd w:id="161"/>
    </w:p>
    <w:p w14:paraId="62E7BD0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2" w:name="_Toc7996"/>
      <w:r>
        <w:rPr>
          <w:rFonts w:hint="eastAsia" w:ascii="宋体" w:hAnsi="宋体"/>
          <w:b/>
          <w:bCs/>
          <w:szCs w:val="21"/>
        </w:rPr>
        <w:t>投标文件的修改和撤回、撤销</w:t>
      </w:r>
      <w:bookmarkEnd w:id="162"/>
    </w:p>
    <w:p w14:paraId="76103B6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63" w:name="_Toc9126"/>
      <w:r>
        <w:rPr>
          <w:rFonts w:hint="eastAsia" w:ascii="宋体" w:hAnsi="宋体"/>
          <w:b/>
          <w:bCs/>
          <w:szCs w:val="21"/>
        </w:rPr>
        <w:t>质疑</w:t>
      </w:r>
      <w:bookmarkEnd w:id="163"/>
    </w:p>
    <w:p w14:paraId="18EEFB3E">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4" w:name="_Toc32121"/>
      <w:r>
        <w:rPr>
          <w:rFonts w:hint="eastAsia" w:ascii="宋体" w:hAnsi="宋体"/>
          <w:b/>
          <w:bCs/>
          <w:szCs w:val="21"/>
          <w:lang w:val="en-US" w:eastAsia="zh-CN"/>
        </w:rPr>
        <w:t>违约责任</w:t>
      </w:r>
      <w:bookmarkEnd w:id="164"/>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5" w:name="_Toc12090"/>
      <w:r>
        <w:rPr>
          <w:rFonts w:hint="eastAsia" w:ascii="宋体" w:hAnsi="宋体"/>
          <w:b/>
          <w:bCs/>
          <w:szCs w:val="21"/>
        </w:rPr>
        <w:t>中标通知书</w:t>
      </w:r>
      <w:bookmarkEnd w:id="165"/>
    </w:p>
    <w:p w14:paraId="29FDC44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66" w:name="_Toc16125"/>
      <w:r>
        <w:rPr>
          <w:rFonts w:hint="eastAsia" w:asciiTheme="majorEastAsia" w:hAnsiTheme="majorEastAsia" w:eastAsiaTheme="majorEastAsia"/>
          <w:sz w:val="30"/>
          <w:szCs w:val="30"/>
          <w:lang w:eastAsia="zh-TW"/>
        </w:rPr>
        <w:t>授予合同</w:t>
      </w:r>
      <w:bookmarkEnd w:id="166"/>
    </w:p>
    <w:p w14:paraId="3B3556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7" w:name="_Toc14483"/>
      <w:r>
        <w:rPr>
          <w:rFonts w:hint="eastAsia" w:ascii="宋体" w:hAnsi="宋体"/>
          <w:b/>
          <w:bCs/>
          <w:szCs w:val="21"/>
        </w:rPr>
        <w:t>合同的订立</w:t>
      </w:r>
      <w:bookmarkEnd w:id="167"/>
    </w:p>
    <w:p w14:paraId="0B51708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8" w:name="_Toc18783"/>
      <w:r>
        <w:rPr>
          <w:rFonts w:hint="eastAsia" w:ascii="宋体" w:hAnsi="宋体"/>
          <w:b/>
          <w:bCs/>
          <w:szCs w:val="21"/>
        </w:rPr>
        <w:t>合同的履行</w:t>
      </w:r>
      <w:bookmarkEnd w:id="168"/>
    </w:p>
    <w:p w14:paraId="1A067EE9">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7"/>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44"/>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69" w:name="_Toc128037689"/>
      <w:bookmarkStart w:id="170" w:name="_Toc532"/>
      <w:bookmarkStart w:id="171" w:name="_Toc109889663"/>
      <w:bookmarkStart w:id="172" w:name="_Toc318878971"/>
      <w:bookmarkStart w:id="173" w:name="_Toc374439153"/>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74" w:name="_Toc13149_WPSOffice_Level1"/>
      <w:r>
        <w:rPr>
          <w:rFonts w:hint="eastAsia" w:ascii="仿宋_GB2312" w:hAnsi="仿宋_GB2312" w:eastAsia="仿宋_GB2312" w:cs="仿宋_GB2312"/>
          <w:b/>
          <w:color w:val="auto"/>
          <w:sz w:val="28"/>
          <w:szCs w:val="28"/>
          <w:highlight w:val="none"/>
        </w:rPr>
        <w:t>第一条  合同标的</w:t>
      </w:r>
      <w:bookmarkEnd w:id="174"/>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75" w:name="_Toc663_WPSOffice_Level1"/>
      <w:r>
        <w:rPr>
          <w:rFonts w:hint="eastAsia" w:ascii="仿宋_GB2312" w:hAnsi="仿宋_GB2312" w:eastAsia="仿宋_GB2312" w:cs="仿宋_GB2312"/>
          <w:b/>
          <w:color w:val="auto"/>
          <w:sz w:val="28"/>
          <w:szCs w:val="28"/>
          <w:highlight w:val="none"/>
        </w:rPr>
        <w:t>第二条  合同价款</w:t>
      </w:r>
      <w:bookmarkEnd w:id="175"/>
    </w:p>
    <w:p w14:paraId="2AA3628C">
      <w:pPr>
        <w:pStyle w:val="6"/>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76" w:name="_Toc13895"/>
      <w:bookmarkStart w:id="177" w:name="_Toc30143"/>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76"/>
      <w:bookmarkEnd w:id="177"/>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78" w:name="_Toc2412_WPSOffice_Level1"/>
      <w:r>
        <w:rPr>
          <w:rFonts w:hint="eastAsia" w:ascii="仿宋_GB2312" w:hAnsi="仿宋_GB2312" w:eastAsia="仿宋_GB2312" w:cs="仿宋_GB2312"/>
          <w:b/>
          <w:color w:val="auto"/>
          <w:sz w:val="28"/>
          <w:szCs w:val="28"/>
          <w:highlight w:val="none"/>
        </w:rPr>
        <w:t>第九条 质量保证及售后服务</w:t>
      </w:r>
      <w:bookmarkEnd w:id="178"/>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79"/>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80"/>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81"/>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82" w:name="_Toc12695_WPSOffice_Level1"/>
      <w:r>
        <w:rPr>
          <w:rFonts w:hint="eastAsia" w:ascii="仿宋_GB2312" w:hAnsi="仿宋_GB2312" w:eastAsia="仿宋_GB2312" w:cs="仿宋_GB2312"/>
          <w:b/>
          <w:color w:val="auto"/>
          <w:sz w:val="28"/>
          <w:szCs w:val="28"/>
          <w:highlight w:val="none"/>
        </w:rPr>
        <w:t>附则</w:t>
      </w:r>
      <w:bookmarkEnd w:id="182"/>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83"/>
      <w:bookmarkStart w:id="184"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84"/>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85" w:name="_Toc28445_WPSOffice_Level1"/>
      <w:r>
        <w:rPr>
          <w:rFonts w:hint="eastAsia" w:ascii="仿宋_GB2312" w:hAnsi="仿宋_GB2312" w:eastAsia="仿宋_GB2312" w:cs="仿宋_GB2312"/>
          <w:color w:val="auto"/>
          <w:sz w:val="28"/>
          <w:szCs w:val="28"/>
          <w:highlight w:val="none"/>
        </w:rPr>
        <w:t>附件三：廉洁从业承诺书（员工承诺</w:t>
      </w:r>
      <w:bookmarkEnd w:id="1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69"/>
      <w:bookmarkEnd w:id="170"/>
      <w:bookmarkEnd w:id="171"/>
      <w:bookmarkEnd w:id="172"/>
      <w:bookmarkEnd w:id="173"/>
    </w:p>
    <w:p w14:paraId="753611B7">
      <w:pPr>
        <w:rPr>
          <w:rFonts w:ascii="宋体" w:hAnsi="宋体" w:cs="宋体"/>
          <w:color w:val="000000" w:themeColor="text1"/>
          <w:szCs w:val="21"/>
          <w14:textFill>
            <w14:solidFill>
              <w14:schemeClr w14:val="tx1"/>
            </w14:solidFill>
          </w14:textFill>
        </w:rPr>
      </w:pPr>
    </w:p>
    <w:p w14:paraId="7ECA77B4">
      <w:pPr>
        <w:numPr>
          <w:ilvl w:val="0"/>
          <w:numId w:val="16"/>
        </w:numPr>
        <w:spacing w:after="60"/>
        <w:ind w:left="0" w:leftChars="0" w:firstLine="0" w:firstLineChars="0"/>
        <w:jc w:val="center"/>
        <w:outlineLvl w:val="0"/>
        <w:rPr>
          <w:rFonts w:hint="eastAsia" w:cs="宋体" w:asciiTheme="majorEastAsia" w:hAnsiTheme="majorEastAsia" w:eastAsiaTheme="majorEastAsia"/>
          <w:kern w:val="2"/>
          <w:sz w:val="32"/>
          <w:szCs w:val="32"/>
          <w:highlight w:val="none"/>
          <w:lang w:val="en-US" w:eastAsia="zh-CN" w:bidi="ar-SA"/>
        </w:rPr>
      </w:pPr>
      <w:bookmarkStart w:id="186" w:name="_Toc16484"/>
      <w:bookmarkStart w:id="187" w:name="_Toc3591"/>
      <w:r>
        <w:rPr>
          <w:rFonts w:hint="eastAsia" w:cs="宋体" w:asciiTheme="majorEastAsia" w:hAnsiTheme="majorEastAsia" w:eastAsiaTheme="majorEastAsia"/>
          <w:kern w:val="2"/>
          <w:sz w:val="32"/>
          <w:szCs w:val="32"/>
          <w:highlight w:val="none"/>
          <w:lang w:val="en-US" w:eastAsia="zh-CN" w:bidi="ar-SA"/>
        </w:rPr>
        <w:t>评标信息 （综合评分法）</w:t>
      </w:r>
      <w:bookmarkEnd w:id="186"/>
      <w:bookmarkEnd w:id="187"/>
    </w:p>
    <w:p w14:paraId="16E70C5E">
      <w:pPr>
        <w:tabs>
          <w:tab w:val="left"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一、评标定标信息</w:t>
      </w:r>
    </w:p>
    <w:p w14:paraId="1B86F78A">
      <w:pPr>
        <w:tabs>
          <w:tab w:val="left"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本项目为非评定分离项目。</w:t>
      </w:r>
    </w:p>
    <w:p w14:paraId="0849DD8C">
      <w:pPr>
        <w:tabs>
          <w:tab w:val="left"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评标方法：综合评分法</w:t>
      </w:r>
    </w:p>
    <w:p w14:paraId="61B1E597">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bCs/>
          <w:szCs w:val="21"/>
        </w:rPr>
        <w:t>候选中标供应商家数：</w:t>
      </w:r>
      <w:r>
        <w:rPr>
          <w:rFonts w:hint="eastAsia" w:ascii="Times New Roman" w:hAnsi="Times New Roman" w:cs="Times New Roman"/>
          <w:bCs/>
          <w:szCs w:val="21"/>
          <w:lang w:val="en-US" w:eastAsia="zh-CN"/>
        </w:rPr>
        <w:t>2</w:t>
      </w:r>
      <w:r>
        <w:rPr>
          <w:rFonts w:hint="eastAsia"/>
          <w:szCs w:val="21"/>
        </w:rPr>
        <w:t>（中标供应商拒绝与采购人签订合同的，采购人可以按照评审报告推荐的中标候选人名单排序，确定下一候选人为中标供应商，也可以重新开展政府采购活动）</w:t>
      </w:r>
    </w:p>
    <w:p w14:paraId="7390779B">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bCs/>
          <w:szCs w:val="21"/>
        </w:rPr>
        <w:t>中标供应商家数：</w:t>
      </w:r>
      <w:r>
        <w:rPr>
          <w:rFonts w:ascii="Times New Roman" w:hAnsi="Times New Roman" w:cs="Times New Roman"/>
          <w:bCs/>
          <w:szCs w:val="21"/>
        </w:rPr>
        <w:t>1</w:t>
      </w:r>
    </w:p>
    <w:p w14:paraId="34B1338E">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bCs/>
          <w:szCs w:val="21"/>
        </w:rPr>
        <w:t>二、评审方法</w:t>
      </w:r>
    </w:p>
    <w:p w14:paraId="03A15A15">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szCs w:val="21"/>
        </w:rPr>
        <w:t>本项目采用综合评分法评审，投标文件应满足</w:t>
      </w:r>
      <w:r>
        <w:rPr>
          <w:rFonts w:hint="eastAsia" w:ascii="Times New Roman" w:hAnsi="Times New Roman" w:cs="Times New Roman"/>
          <w:szCs w:val="21"/>
          <w:lang w:val="en-US" w:eastAsia="zh-CN"/>
        </w:rPr>
        <w:t>征集</w:t>
      </w:r>
      <w:r>
        <w:rPr>
          <w:rFonts w:hint="eastAsia" w:ascii="Times New Roman" w:hAnsi="Times New Roman" w:cs="Times New Roman"/>
          <w:szCs w:val="21"/>
        </w:rPr>
        <w:t>文件全部实质性要求，且按照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Pr>
          <w:rFonts w:hint="eastAsia" w:ascii="Times New Roman" w:hAnsi="Times New Roman" w:cs="Times New Roman"/>
          <w:bCs/>
          <w:szCs w:val="21"/>
        </w:rPr>
        <w:t>。</w:t>
      </w:r>
    </w:p>
    <w:p w14:paraId="1D1CFB13">
      <w:pPr>
        <w:tabs>
          <w:tab w:val="left" w:pos="426"/>
        </w:tabs>
        <w:spacing w:line="300" w:lineRule="auto"/>
        <w:ind w:firstLine="420" w:firstLineChars="200"/>
        <w:rPr>
          <w:rFonts w:ascii="Times New Roman" w:hAnsi="Times New Roman" w:cs="Times New Roman"/>
        </w:rPr>
      </w:pPr>
      <w:r>
        <w:rPr>
          <w:rFonts w:hint="eastAsia" w:ascii="Times New Roman" w:hAnsi="Times New Roman" w:cs="Times New Roman"/>
          <w:szCs w:val="21"/>
        </w:rPr>
        <w:t>候选中标供应商按评审总得分由高到低顺序排列，排名第一的投标人为第一候选中标供应商，排名第二的投标人为第二候选中标供应商，排名第三的投标人为第三候选中标供应商。</w:t>
      </w:r>
    </w:p>
    <w:p w14:paraId="6B78B187">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szCs w:val="21"/>
        </w:rPr>
        <w:t>候选中标供应商评审总得分相同的，按投标报价由低到高顺序排列；得分且投标报价相同的，按技术指标或服务方案优劣顺序排列；得分且投标报价相同的且技术指标或服务方案优劣相同的，</w:t>
      </w:r>
      <w:r>
        <w:rPr>
          <w:rFonts w:hint="eastAsia" w:ascii="Times New Roman" w:hAnsi="Times New Roman" w:cs="Times New Roman"/>
          <w:bCs/>
          <w:szCs w:val="21"/>
        </w:rPr>
        <w:t>采取随机抽取方式确定候选中标供应商的推荐资格。</w:t>
      </w:r>
    </w:p>
    <w:p w14:paraId="15614A72">
      <w:pPr>
        <w:tabs>
          <w:tab w:val="left" w:pos="426"/>
        </w:tabs>
        <w:spacing w:line="300" w:lineRule="auto"/>
        <w:ind w:firstLine="420" w:firstLineChars="200"/>
        <w:rPr>
          <w:rFonts w:ascii="Times New Roman" w:hAnsi="Times New Roman" w:cs="Times New Roman"/>
        </w:rPr>
      </w:pPr>
      <w:r>
        <w:rPr>
          <w:rFonts w:hint="eastAsia" w:ascii="Times New Roman" w:hAnsi="Times New Roman"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5CCE94AE">
      <w:pPr>
        <w:tabs>
          <w:tab w:val="left" w:pos="426"/>
        </w:tabs>
        <w:spacing w:line="300" w:lineRule="auto"/>
        <w:ind w:firstLine="420" w:firstLineChars="200"/>
        <w:rPr>
          <w:rFonts w:ascii="Times New Roman" w:hAnsi="Times New Roman" w:cs="Times New Roman"/>
        </w:rPr>
      </w:pPr>
      <w:r>
        <w:rPr>
          <w:rFonts w:hint="eastAsia" w:ascii="Times New Roman" w:hAnsi="Times New Roman" w:cs="Times New Roman"/>
        </w:rPr>
        <w:t>供应商提供报价合理性说明的方式，包括但不限于现场提交、电子邮件提交等其他便捷方式。若评审委员会成员对是否须由投标人作出报价合理性说明，以及书面说明是否采纳等判断不一致的，按照</w:t>
      </w:r>
      <w:r>
        <w:rPr>
          <w:rFonts w:ascii="Times New Roman" w:hAnsi="Times New Roman" w:cs="Times New Roman"/>
        </w:rPr>
        <w:t>“</w:t>
      </w:r>
      <w:r>
        <w:rPr>
          <w:rFonts w:hint="eastAsia" w:ascii="Times New Roman" w:hAnsi="Times New Roman" w:cs="Times New Roman"/>
        </w:rPr>
        <w:t>少数服从多数</w:t>
      </w:r>
      <w:r>
        <w:rPr>
          <w:rFonts w:ascii="Times New Roman" w:hAnsi="Times New Roman" w:cs="Times New Roman"/>
        </w:rPr>
        <w:t>”</w:t>
      </w:r>
      <w:r>
        <w:rPr>
          <w:rFonts w:hint="eastAsia" w:ascii="Times New Roman" w:hAnsi="Times New Roman" w:cs="Times New Roman"/>
        </w:rPr>
        <w:t>的原则确定评审委员会的意见。</w:t>
      </w:r>
    </w:p>
    <w:p w14:paraId="2E79F59D">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三、价格分计算方法</w:t>
      </w:r>
    </w:p>
    <w:p w14:paraId="382E0367">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依据《深圳市财政局关于严格执行财政部</w:t>
      </w:r>
      <w:r>
        <w:rPr>
          <w:rFonts w:ascii="Times New Roman" w:hAnsi="Times New Roman" w:cs="Times New Roman"/>
          <w:szCs w:val="21"/>
        </w:rPr>
        <w:t>87</w:t>
      </w:r>
      <w:r>
        <w:rPr>
          <w:rFonts w:hint="eastAsia" w:ascii="Times New Roman" w:hAnsi="Times New Roman" w:cs="Times New Roman"/>
          <w:szCs w:val="21"/>
        </w:rPr>
        <w:t>号令价格分计算规定的通知》（深财购〔</w:t>
      </w:r>
      <w:r>
        <w:rPr>
          <w:rFonts w:ascii="Times New Roman" w:hAnsi="Times New Roman" w:cs="Times New Roman"/>
          <w:szCs w:val="21"/>
        </w:rPr>
        <w:t>2018</w:t>
      </w:r>
      <w:r>
        <w:rPr>
          <w:rFonts w:hint="eastAsia" w:ascii="Times New Roman" w:hAnsi="Times New Roman" w:cs="Times New Roman"/>
          <w:szCs w:val="21"/>
        </w:rPr>
        <w:t>〕</w:t>
      </w:r>
      <w:r>
        <w:rPr>
          <w:rFonts w:ascii="Times New Roman" w:hAnsi="Times New Roman" w:cs="Times New Roman"/>
          <w:szCs w:val="21"/>
        </w:rPr>
        <w:t>33</w:t>
      </w:r>
      <w:r>
        <w:rPr>
          <w:rFonts w:hint="eastAsia" w:ascii="Times New Roman" w:hAnsi="Times New Roman" w:cs="Times New Roman"/>
          <w:szCs w:val="21"/>
        </w:rPr>
        <w:t>号）、《政府采购货物和服务招标投标管理办法》（财政部令第</w:t>
      </w:r>
      <w:r>
        <w:rPr>
          <w:rFonts w:ascii="Times New Roman" w:hAnsi="Times New Roman" w:cs="Times New Roman"/>
          <w:szCs w:val="21"/>
        </w:rPr>
        <w:t>87</w:t>
      </w:r>
      <w:r>
        <w:rPr>
          <w:rFonts w:hint="eastAsia" w:ascii="Times New Roman" w:hAnsi="Times New Roman" w:cs="Times New Roman"/>
          <w:szCs w:val="21"/>
        </w:rPr>
        <w:t>号）第五十五条第六款之规定：价格分应当采用低价优先法计算，即满足招标文件要求且投标价格最低的投标报价为评标基准价，其价格分为满分。其他投标人的价格分统一按照下列公式计算：</w:t>
      </w:r>
    </w:p>
    <w:p w14:paraId="151C4D37">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投标报价得分</w:t>
      </w:r>
      <w:r>
        <w:rPr>
          <w:rFonts w:ascii="Times New Roman" w:hAnsi="Times New Roman" w:cs="Times New Roman"/>
          <w:szCs w:val="21"/>
        </w:rPr>
        <w:t>=(</w:t>
      </w:r>
      <w:r>
        <w:rPr>
          <w:rFonts w:hint="eastAsia" w:ascii="Times New Roman" w:hAnsi="Times New Roman" w:cs="Times New Roman"/>
          <w:szCs w:val="21"/>
        </w:rPr>
        <w:t>评标基准价／投标报价</w:t>
      </w:r>
      <w:r>
        <w:rPr>
          <w:rFonts w:ascii="Times New Roman" w:hAnsi="Times New Roman" w:cs="Times New Roman"/>
          <w:szCs w:val="21"/>
        </w:rPr>
        <w:t>)×100</w:t>
      </w:r>
    </w:p>
    <w:p w14:paraId="770F6869">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评标总得分＝</w:t>
      </w:r>
      <w:r>
        <w:rPr>
          <w:rFonts w:ascii="Times New Roman" w:hAnsi="Times New Roman" w:cs="Times New Roman"/>
          <w:szCs w:val="21"/>
        </w:rPr>
        <w:t>F1×A1</w:t>
      </w:r>
      <w:r>
        <w:rPr>
          <w:rFonts w:hint="eastAsia" w:ascii="Times New Roman" w:hAnsi="Times New Roman" w:cs="Times New Roman"/>
          <w:szCs w:val="21"/>
        </w:rPr>
        <w:t>＋</w:t>
      </w:r>
      <w:r>
        <w:rPr>
          <w:rFonts w:ascii="Times New Roman" w:hAnsi="Times New Roman" w:cs="Times New Roman"/>
          <w:szCs w:val="21"/>
        </w:rPr>
        <w:t>F2×A2</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Fn×An</w:t>
      </w:r>
    </w:p>
    <w:p w14:paraId="28250539">
      <w:pPr>
        <w:tabs>
          <w:tab w:val="left" w:pos="426"/>
        </w:tabs>
        <w:spacing w:after="120" w:line="300" w:lineRule="auto"/>
        <w:ind w:firstLine="420" w:firstLineChars="200"/>
        <w:rPr>
          <w:rFonts w:ascii="Times New Roman" w:hAnsi="Times New Roman" w:cs="Times New Roman"/>
          <w:szCs w:val="21"/>
        </w:rPr>
      </w:pP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F2……Fn</w:t>
      </w:r>
      <w:r>
        <w:rPr>
          <w:rFonts w:hint="eastAsia" w:ascii="Times New Roman" w:hAnsi="Times New Roman" w:cs="Times New Roman"/>
          <w:szCs w:val="21"/>
        </w:rPr>
        <w:t>分别为各项评审因素的得分；</w:t>
      </w:r>
    </w:p>
    <w:p w14:paraId="208C9334">
      <w:pPr>
        <w:tabs>
          <w:tab w:val="left" w:pos="426"/>
        </w:tabs>
        <w:spacing w:after="120" w:line="300" w:lineRule="auto"/>
        <w:ind w:firstLine="420" w:firstLineChars="200"/>
        <w:rPr>
          <w:rFonts w:ascii="Times New Roman" w:hAnsi="Times New Roman" w:cs="Times New Roman"/>
          <w:szCs w:val="21"/>
        </w:rPr>
      </w:pPr>
      <w:r>
        <w:rPr>
          <w:rFonts w:ascii="Times New Roman" w:hAnsi="Times New Roman" w:cs="Times New Roman"/>
          <w:szCs w:val="21"/>
        </w:rPr>
        <w:t>A1</w:t>
      </w:r>
      <w:r>
        <w:rPr>
          <w:rFonts w:hint="eastAsia" w:ascii="Times New Roman" w:hAnsi="Times New Roman" w:cs="Times New Roman"/>
          <w:szCs w:val="21"/>
        </w:rPr>
        <w:t>、</w:t>
      </w:r>
      <w:r>
        <w:rPr>
          <w:rFonts w:ascii="Times New Roman" w:hAnsi="Times New Roman" w:cs="Times New Roman"/>
          <w:szCs w:val="21"/>
        </w:rPr>
        <w:t>A2</w:t>
      </w:r>
      <w:r>
        <w:rPr>
          <w:rFonts w:hint="eastAsia" w:ascii="Times New Roman" w:hAnsi="Times New Roman" w:cs="Times New Roman"/>
          <w:szCs w:val="21"/>
        </w:rPr>
        <w:t>、</w:t>
      </w:r>
      <w:r>
        <w:rPr>
          <w:rFonts w:ascii="Times New Roman" w:hAnsi="Times New Roman" w:cs="Times New Roman"/>
          <w:szCs w:val="21"/>
        </w:rPr>
        <w:t xml:space="preserve">……An </w:t>
      </w:r>
      <w:r>
        <w:rPr>
          <w:rFonts w:hint="eastAsia" w:ascii="Times New Roman" w:hAnsi="Times New Roman" w:cs="Times New Roman"/>
          <w:szCs w:val="21"/>
        </w:rPr>
        <w:t>分别为各项评审因素所占的权重</w:t>
      </w:r>
      <w:r>
        <w:rPr>
          <w:rFonts w:ascii="Times New Roman" w:hAnsi="Times New Roman" w:cs="Times New Roman"/>
          <w:szCs w:val="21"/>
        </w:rPr>
        <w:t>(A1</w:t>
      </w:r>
      <w:r>
        <w:rPr>
          <w:rFonts w:hint="eastAsia" w:ascii="Times New Roman" w:hAnsi="Times New Roman" w:cs="Times New Roman"/>
          <w:szCs w:val="21"/>
        </w:rPr>
        <w:t>＋</w:t>
      </w:r>
      <w:r>
        <w:rPr>
          <w:rFonts w:ascii="Times New Roman" w:hAnsi="Times New Roman" w:cs="Times New Roman"/>
          <w:szCs w:val="21"/>
        </w:rPr>
        <w:t>A2</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An</w:t>
      </w: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w:t>
      </w:r>
    </w:p>
    <w:p w14:paraId="5BF68436">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评标过程中，不得去掉报价中的最高报价和最低报价。</w:t>
      </w:r>
    </w:p>
    <w:p w14:paraId="05CAB605">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因落实政府采购政策进行价格调整的，以调整后的价格计算评标基准价和投标报价。</w:t>
      </w:r>
    </w:p>
    <w:p w14:paraId="04060EB5">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在实际评标过程中，《评分细则表》中的</w:t>
      </w:r>
      <w:r>
        <w:rPr>
          <w:rFonts w:ascii="Times New Roman" w:hAnsi="Times New Roman" w:cs="Times New Roman"/>
          <w:szCs w:val="21"/>
        </w:rPr>
        <w:t>“</w:t>
      </w:r>
      <w:r>
        <w:rPr>
          <w:rFonts w:hint="eastAsia" w:ascii="Times New Roman" w:hAnsi="Times New Roman" w:cs="Times New Roman"/>
          <w:szCs w:val="21"/>
        </w:rPr>
        <w:t>分值</w:t>
      </w:r>
      <w:r>
        <w:rPr>
          <w:rFonts w:ascii="Times New Roman" w:hAnsi="Times New Roman" w:cs="Times New Roman"/>
          <w:szCs w:val="21"/>
        </w:rPr>
        <w:t>”</w:t>
      </w:r>
      <w:r>
        <w:rPr>
          <w:rFonts w:hint="eastAsia" w:ascii="Times New Roman" w:hAnsi="Times New Roman" w:cs="Times New Roman"/>
          <w:szCs w:val="21"/>
        </w:rPr>
        <w:t>项为各项评审因素的实际分</w:t>
      </w:r>
      <w:r>
        <w:rPr>
          <w:rFonts w:ascii="Times New Roman" w:hAnsi="Times New Roman" w:cs="Times New Roman"/>
          <w:szCs w:val="21"/>
        </w:rPr>
        <w:t>Sn</w:t>
      </w:r>
      <w:r>
        <w:rPr>
          <w:rFonts w:hint="eastAsia" w:ascii="Times New Roman" w:hAnsi="Times New Roman" w:cs="Times New Roman"/>
          <w:szCs w:val="21"/>
        </w:rPr>
        <w:t>，</w:t>
      </w:r>
      <w:r>
        <w:rPr>
          <w:rFonts w:ascii="Times New Roman" w:hAnsi="Times New Roman" w:cs="Times New Roman"/>
          <w:szCs w:val="21"/>
        </w:rPr>
        <w:t>Sn=Fn×An</w:t>
      </w:r>
      <w:r>
        <w:rPr>
          <w:rFonts w:hint="eastAsia" w:ascii="Times New Roman" w:hAnsi="Times New Roman" w:cs="Times New Roman"/>
          <w:szCs w:val="21"/>
        </w:rPr>
        <w:t>，评标总得分</w:t>
      </w:r>
      <w:r>
        <w:rPr>
          <w:rFonts w:ascii="Times New Roman" w:hAnsi="Times New Roman" w:cs="Times New Roman"/>
          <w:szCs w:val="21"/>
        </w:rPr>
        <w:t>=S1</w:t>
      </w:r>
      <w:r>
        <w:rPr>
          <w:rFonts w:hint="eastAsia" w:ascii="Times New Roman" w:hAnsi="Times New Roman" w:cs="Times New Roman"/>
          <w:szCs w:val="21"/>
        </w:rPr>
        <w:t>＋</w:t>
      </w:r>
      <w:r>
        <w:rPr>
          <w:rFonts w:ascii="Times New Roman" w:hAnsi="Times New Roman" w:cs="Times New Roman"/>
          <w:szCs w:val="21"/>
        </w:rPr>
        <w:t>S2</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Sn</w:t>
      </w:r>
      <w:r>
        <w:rPr>
          <w:rFonts w:hint="eastAsia" w:ascii="Times New Roman" w:hAnsi="Times New Roman" w:cs="Times New Roman"/>
          <w:szCs w:val="21"/>
        </w:rPr>
        <w:t>，投标报价的实际分</w:t>
      </w:r>
      <w:r>
        <w:rPr>
          <w:rFonts w:ascii="Times New Roman" w:hAnsi="Times New Roman" w:cs="Times New Roman"/>
          <w:szCs w:val="21"/>
        </w:rPr>
        <w:t>=(</w:t>
      </w:r>
      <w:r>
        <w:rPr>
          <w:rFonts w:hint="eastAsia" w:ascii="Times New Roman" w:hAnsi="Times New Roman" w:cs="Times New Roman"/>
          <w:szCs w:val="21"/>
        </w:rPr>
        <w:t>评标基准价／投标报价</w:t>
      </w:r>
      <w:r>
        <w:rPr>
          <w:rFonts w:ascii="Times New Roman" w:hAnsi="Times New Roman" w:cs="Times New Roman"/>
          <w:szCs w:val="21"/>
        </w:rPr>
        <w:t>)×100×</w:t>
      </w:r>
      <w:r>
        <w:rPr>
          <w:rFonts w:hint="eastAsia" w:ascii="Times New Roman" w:hAnsi="Times New Roman" w:cs="Times New Roman"/>
          <w:szCs w:val="21"/>
        </w:rPr>
        <w:t>价格权重。</w:t>
      </w:r>
    </w:p>
    <w:p w14:paraId="151E9DAC">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四、详细评审</w:t>
      </w:r>
    </w:p>
    <w:p w14:paraId="62A48003">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（一）评标专家应对通过投标文件初审进入评标程序的投标文件先评技术标、再评商务标；</w:t>
      </w:r>
    </w:p>
    <w:p w14:paraId="106706EF">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（二）评标专家需按</w:t>
      </w:r>
      <w:r>
        <w:rPr>
          <w:rFonts w:hint="eastAsia" w:ascii="Times New Roman" w:hAnsi="Times New Roman" w:cs="Times New Roman"/>
          <w:szCs w:val="21"/>
          <w:lang w:val="en-US" w:eastAsia="zh-CN"/>
        </w:rPr>
        <w:t>征集</w:t>
      </w:r>
      <w:r>
        <w:rPr>
          <w:rFonts w:hint="eastAsia" w:ascii="Times New Roman" w:hAnsi="Times New Roman" w:cs="Times New Roman"/>
          <w:szCs w:val="21"/>
        </w:rPr>
        <w:t>文件规定的评审标准对投标人提交的投标文件进行评审，投标文件中与评审标准无关的内容不作为评审内容。</w:t>
      </w:r>
    </w:p>
    <w:p w14:paraId="68578C00">
      <w:pPr>
        <w:tabs>
          <w:tab w:val="left" w:pos="426"/>
        </w:tabs>
        <w:spacing w:line="30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（三）评标委员会在评标时，应按照以下量化的评审因素，对各投标文件进行分析和比较：</w:t>
      </w:r>
    </w:p>
    <w:p w14:paraId="35C4B6EA">
      <w:pPr>
        <w:tabs>
          <w:tab w:val="left" w:pos="426"/>
        </w:tabs>
        <w:spacing w:line="300" w:lineRule="auto"/>
        <w:ind w:firstLine="420" w:firstLineChars="200"/>
        <w:rPr>
          <w:rFonts w:hint="eastAsia" w:ascii="Times New Roman" w:hAnsi="Times New Roman" w:cs="Times New Roman"/>
          <w:szCs w:val="21"/>
        </w:rPr>
      </w:pPr>
    </w:p>
    <w:p w14:paraId="3CA6FF1F">
      <w:pPr>
        <w:keepNext w:val="0"/>
        <w:keepLines w:val="0"/>
        <w:suppressLineNumbers w:val="0"/>
        <w:tabs>
          <w:tab w:val="left" w:pos="426"/>
        </w:tabs>
        <w:spacing w:before="0" w:beforeAutospacing="0" w:after="0" w:afterAutospacing="0" w:line="300" w:lineRule="auto"/>
        <w:ind w:left="0" w:right="0" w:firstLine="482" w:firstLineChars="200"/>
        <w:jc w:val="center"/>
        <w:rPr>
          <w:rFonts w:hint="default" w:cs="宋体" w:asciiTheme="majorEastAsia" w:hAnsiTheme="majorEastAsia" w:eastAsiaTheme="majorEastAsia"/>
          <w:kern w:val="2"/>
          <w:sz w:val="32"/>
          <w:szCs w:val="32"/>
          <w:highlight w:val="none"/>
          <w:lang w:val="en-US" w:eastAsia="zh-CN" w:bidi="ar-SA"/>
        </w:rPr>
      </w:pPr>
      <w:r>
        <w:rPr>
          <w:rFonts w:hint="eastAsia" w:ascii="宋体" w:hAnsi="宋体"/>
          <w:b/>
          <w:bCs w:val="0"/>
          <w:sz w:val="24"/>
          <w:szCs w:val="24"/>
        </w:rPr>
        <w:t>评分细则表</w:t>
      </w:r>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3181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28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B15">
            <w:pPr>
              <w:spacing w:line="240" w:lineRule="exact"/>
              <w:jc w:val="both"/>
              <w:rPr>
                <w:rFonts w:hint="eastAsia" w:ascii="宋体" w:hAnsi="宋体" w:cs="宋体"/>
                <w:szCs w:val="21"/>
                <w:highlight w:val="none"/>
              </w:rPr>
            </w:pPr>
            <w:r>
              <w:rPr>
                <w:rFonts w:hint="eastAsia" w:ascii="宋体" w:hAnsi="宋体" w:cs="宋体"/>
                <w:szCs w:val="21"/>
                <w:highlight w:val="none"/>
              </w:rPr>
              <w:t>技术规格偏离情况</w:t>
            </w:r>
          </w:p>
          <w:p w14:paraId="72EF4190">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6BD52B03">
            <w:pPr>
              <w:rPr>
                <w:rFonts w:hint="eastAsia" w:ascii="宋体" w:hAnsi="宋体" w:cs="宋体"/>
                <w:kern w:val="0"/>
                <w:szCs w:val="21"/>
                <w:highlight w:val="none"/>
              </w:rPr>
            </w:pPr>
            <w:r>
              <w:rPr>
                <w:rFonts w:hint="eastAsia" w:ascii="宋体" w:hAnsi="宋体" w:cs="宋体"/>
                <w:kern w:val="0"/>
                <w:szCs w:val="21"/>
                <w:highlight w:val="none"/>
              </w:rPr>
              <w:t>投标人应</w:t>
            </w:r>
            <w:r>
              <w:rPr>
                <w:rFonts w:hint="eastAsia" w:ascii="宋体" w:hAnsi="宋体" w:cs="宋体"/>
                <w:b/>
                <w:bCs/>
                <w:kern w:val="0"/>
                <w:szCs w:val="21"/>
                <w:highlight w:val="none"/>
                <w:u w:val="single"/>
              </w:rPr>
              <w:t>“</w:t>
            </w:r>
            <w:r>
              <w:rPr>
                <w:rFonts w:hint="eastAsia" w:ascii="宋体" w:hAnsi="宋体" w:cs="宋体"/>
                <w:b/>
                <w:bCs/>
                <w:i w:val="0"/>
                <w:iCs w:val="0"/>
                <w:kern w:val="0"/>
                <w:szCs w:val="21"/>
                <w:highlight w:val="none"/>
                <w:u w:val="single"/>
              </w:rPr>
              <w:t>用户需求书-</w:t>
            </w:r>
            <w:r>
              <w:rPr>
                <w:rFonts w:hint="eastAsia" w:hAnsi="宋体"/>
                <w:b/>
                <w:i w:val="0"/>
                <w:iCs w:val="0"/>
                <w:color w:val="auto"/>
                <w:u w:val="single"/>
                <w:lang w:val="en-US" w:eastAsia="zh-CN"/>
              </w:rPr>
              <w:t>货品清单及</w:t>
            </w:r>
            <w:r>
              <w:rPr>
                <w:rFonts w:hint="eastAsia" w:hAnsi="宋体"/>
                <w:b/>
                <w:i w:val="0"/>
                <w:iCs w:val="0"/>
                <w:color w:val="auto"/>
                <w:u w:val="single"/>
              </w:rPr>
              <w:t>技术要求</w:t>
            </w:r>
            <w:r>
              <w:rPr>
                <w:rFonts w:hint="eastAsia" w:ascii="宋体" w:hAnsi="宋体" w:cs="宋体"/>
                <w:b/>
                <w:bCs/>
                <w:i w:val="0"/>
                <w:iCs w:val="0"/>
                <w:kern w:val="0"/>
                <w:szCs w:val="21"/>
                <w:highlight w:val="none"/>
                <w:u w:val="single"/>
              </w:rPr>
              <w:t>”</w:t>
            </w:r>
            <w:r>
              <w:rPr>
                <w:rFonts w:hint="eastAsia" w:ascii="宋体" w:hAnsi="宋体" w:cs="宋体"/>
                <w:kern w:val="0"/>
                <w:szCs w:val="21"/>
                <w:highlight w:val="none"/>
              </w:rPr>
              <w:t>如实填写《技术规格</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主要需求</w:t>
            </w:r>
            <w:r>
              <w:rPr>
                <w:rFonts w:hint="eastAsia" w:ascii="宋体" w:hAnsi="宋体" w:cs="宋体"/>
                <w:kern w:val="0"/>
                <w:szCs w:val="21"/>
                <w:highlight w:val="none"/>
                <w:lang w:eastAsia="zh-CN"/>
              </w:rPr>
              <w:t>）</w:t>
            </w:r>
            <w:r>
              <w:rPr>
                <w:rFonts w:hint="eastAsia" w:ascii="宋体" w:hAnsi="宋体" w:cs="宋体"/>
                <w:kern w:val="0"/>
                <w:szCs w:val="21"/>
                <w:highlight w:val="none"/>
              </w:rPr>
              <w:t>偏离表》，评审委员会根据投标人对用户需求技术参数响应情况进行打分，各项技术参数全部满足得</w:t>
            </w:r>
            <w:r>
              <w:rPr>
                <w:rFonts w:hint="eastAsia" w:ascii="宋体" w:hAnsi="宋体" w:cs="宋体"/>
                <w:kern w:val="0"/>
                <w:szCs w:val="21"/>
                <w:highlight w:val="none"/>
                <w:lang w:val="en-US" w:eastAsia="zh-CN"/>
              </w:rPr>
              <w:t>42</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rPr>
              <w:t>每负偏离一项扣</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扣完为止</w:t>
            </w:r>
            <w:r>
              <w:rPr>
                <w:rFonts w:hint="eastAsia" w:ascii="宋体" w:hAnsi="宋体" w:cs="宋体"/>
                <w:kern w:val="0"/>
                <w:szCs w:val="21"/>
                <w:highlight w:val="none"/>
              </w:rPr>
              <w:t>。</w:t>
            </w:r>
          </w:p>
          <w:p w14:paraId="07C1F228">
            <w:pPr>
              <w:numPr>
                <w:ilvl w:val="0"/>
                <w:numId w:val="0"/>
              </w:numPr>
              <w:wordWrap w:val="0"/>
              <w:snapToGrid w:val="0"/>
              <w:rPr>
                <w:rFonts w:ascii="宋体" w:hAnsi="宋体" w:cs="宋体"/>
                <w:b/>
                <w:bCs/>
                <w:snapToGrid w:val="0"/>
                <w:kern w:val="0"/>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1A4FA29">
            <w:pPr>
              <w:pStyle w:val="5"/>
              <w:ind w:firstLine="0"/>
              <w:rPr>
                <w:rFonts w:ascii="宋体" w:hAnsi="宋体" w:cs="宋体"/>
                <w:snapToGrid w:val="0"/>
                <w:kern w:val="0"/>
                <w:szCs w:val="21"/>
                <w:highlight w:val="none"/>
              </w:rPr>
            </w:pPr>
            <w:r>
              <w:rPr>
                <w:rFonts w:hint="eastAsia" w:ascii="宋体" w:hAnsi="宋体" w:cs="宋体"/>
                <w:kern w:val="0"/>
                <w:szCs w:val="21"/>
                <w:highlight w:val="none"/>
              </w:rPr>
              <w:t>1、投标人需提供</w:t>
            </w:r>
            <w:r>
              <w:rPr>
                <w:rFonts w:hint="eastAsia" w:ascii="宋体" w:hAnsi="宋体" w:cs="宋体"/>
                <w:snapToGrid w:val="0"/>
                <w:kern w:val="0"/>
                <w:szCs w:val="21"/>
                <w:highlight w:val="none"/>
              </w:rPr>
              <w:t>相关证明材料（技术白皮书或制造商原厂彩页或产品说明书或第三方出具的检测报告等，</w:t>
            </w:r>
            <w:r>
              <w:rPr>
                <w:rFonts w:hint="eastAsia" w:ascii="宋体" w:hAnsi="宋体" w:cs="宋体"/>
                <w:kern w:val="0"/>
                <w:szCs w:val="21"/>
                <w:highlight w:val="none"/>
              </w:rPr>
              <w:t>如厂家的产品使用说明书为英文版，请同时提供中文版</w:t>
            </w:r>
            <w:r>
              <w:rPr>
                <w:rFonts w:hint="eastAsia" w:ascii="宋体" w:hAnsi="宋体" w:cs="宋体"/>
                <w:snapToGrid w:val="0"/>
                <w:kern w:val="0"/>
                <w:szCs w:val="21"/>
                <w:highlight w:val="none"/>
              </w:rPr>
              <w:t>），</w:t>
            </w:r>
            <w:r>
              <w:rPr>
                <w:rFonts w:hint="eastAsia" w:ascii="宋体" w:hAnsi="宋体" w:cs="宋体"/>
                <w:kern w:val="0"/>
                <w:szCs w:val="21"/>
                <w:highlight w:val="none"/>
              </w:rPr>
              <w:t>否则评标委员会有权视相应技术参数响应不符合</w:t>
            </w:r>
            <w:r>
              <w:rPr>
                <w:rFonts w:hint="eastAsia" w:ascii="宋体" w:hAnsi="宋体" w:cs="宋体"/>
                <w:kern w:val="0"/>
                <w:szCs w:val="21"/>
                <w:highlight w:val="none"/>
                <w:lang w:val="en-US" w:eastAsia="zh-CN"/>
              </w:rPr>
              <w:t>征集</w:t>
            </w:r>
            <w:r>
              <w:rPr>
                <w:rFonts w:hint="eastAsia" w:ascii="宋体" w:hAnsi="宋体" w:cs="宋体"/>
                <w:kern w:val="0"/>
                <w:szCs w:val="21"/>
                <w:highlight w:val="none"/>
              </w:rPr>
              <w:t>要求</w:t>
            </w:r>
            <w:r>
              <w:rPr>
                <w:rFonts w:hint="eastAsia" w:ascii="宋体" w:hAnsi="宋体" w:cs="宋体"/>
                <w:snapToGrid w:val="0"/>
                <w:kern w:val="0"/>
                <w:szCs w:val="21"/>
                <w:highlight w:val="none"/>
              </w:rPr>
              <w:t>。</w:t>
            </w:r>
          </w:p>
          <w:p w14:paraId="1D6AAAF1">
            <w:pPr>
              <w:pStyle w:val="5"/>
              <w:ind w:firstLine="0"/>
              <w:rPr>
                <w:rFonts w:ascii="宋体" w:hAnsi="宋体" w:cs="宋体"/>
                <w:snapToGrid w:val="0"/>
                <w:kern w:val="0"/>
                <w:szCs w:val="21"/>
                <w:highlight w:val="none"/>
              </w:rPr>
            </w:pPr>
            <w:r>
              <w:rPr>
                <w:rFonts w:hint="eastAsia" w:ascii="宋体" w:hAnsi="宋体" w:cs="宋体"/>
                <w:snapToGrid w:val="0"/>
                <w:kern w:val="0"/>
                <w:szCs w:val="21"/>
                <w:highlight w:val="none"/>
              </w:rPr>
              <w:t>2、注明证明材料在投标文件中的具体位置，如投标人不按照</w:t>
            </w:r>
            <w:r>
              <w:rPr>
                <w:rFonts w:hint="eastAsia" w:ascii="宋体" w:hAnsi="宋体" w:cs="宋体"/>
                <w:snapToGrid w:val="0"/>
                <w:kern w:val="0"/>
                <w:szCs w:val="21"/>
                <w:highlight w:val="none"/>
                <w:lang w:val="en-US" w:eastAsia="zh-CN"/>
              </w:rPr>
              <w:t>征集</w:t>
            </w:r>
            <w:r>
              <w:rPr>
                <w:rFonts w:hint="eastAsia" w:ascii="宋体" w:hAnsi="宋体" w:cs="宋体"/>
                <w:snapToGrid w:val="0"/>
                <w:kern w:val="0"/>
                <w:szCs w:val="21"/>
                <w:highlight w:val="none"/>
              </w:rPr>
              <w:t>文件要求放置证明材料，</w:t>
            </w:r>
            <w:r>
              <w:rPr>
                <w:rFonts w:hint="eastAsia" w:ascii="宋体" w:hAnsi="宋体" w:cs="宋体"/>
                <w:kern w:val="0"/>
                <w:szCs w:val="21"/>
                <w:highlight w:val="none"/>
              </w:rPr>
              <w:t>评标委员会有权视相应技术参数响应不符合</w:t>
            </w:r>
            <w:r>
              <w:rPr>
                <w:rFonts w:hint="eastAsia" w:ascii="宋体" w:hAnsi="宋体" w:cs="宋体"/>
                <w:kern w:val="0"/>
                <w:szCs w:val="21"/>
                <w:highlight w:val="none"/>
                <w:lang w:val="en-US" w:eastAsia="zh-CN"/>
              </w:rPr>
              <w:t>征集</w:t>
            </w:r>
            <w:r>
              <w:rPr>
                <w:rFonts w:hint="eastAsia" w:ascii="宋体" w:hAnsi="宋体" w:cs="宋体"/>
                <w:kern w:val="0"/>
                <w:szCs w:val="21"/>
                <w:highlight w:val="none"/>
              </w:rPr>
              <w:t>要求</w:t>
            </w:r>
            <w:r>
              <w:rPr>
                <w:rFonts w:hint="eastAsia" w:ascii="宋体" w:hAnsi="宋体" w:cs="宋体"/>
                <w:snapToGrid w:val="0"/>
                <w:kern w:val="0"/>
                <w:szCs w:val="21"/>
                <w:highlight w:val="none"/>
              </w:rPr>
              <w:t>，按负偏离进行扣分。</w:t>
            </w:r>
          </w:p>
          <w:p w14:paraId="4995CAA9">
            <w:pPr>
              <w:pStyle w:val="5"/>
              <w:ind w:left="0" w:leftChars="0" w:firstLine="0" w:firstLineChars="0"/>
              <w:rPr>
                <w:rFonts w:hint="eastAsia"/>
                <w:lang w:eastAsia="zh-CN"/>
              </w:rPr>
            </w:pPr>
            <w:r>
              <w:rPr>
                <w:rFonts w:hint="eastAsia" w:ascii="宋体" w:hAnsi="宋体" w:cs="宋体"/>
                <w:snapToGrid w:val="0"/>
                <w:kern w:val="0"/>
                <w:szCs w:val="21"/>
                <w:highlight w:val="none"/>
              </w:rPr>
              <w:t>3、提供的证明资料显示不符合</w:t>
            </w:r>
            <w:r>
              <w:rPr>
                <w:rFonts w:hint="eastAsia" w:ascii="宋体" w:hAnsi="宋体" w:cs="宋体"/>
                <w:snapToGrid w:val="0"/>
                <w:kern w:val="0"/>
                <w:szCs w:val="21"/>
                <w:highlight w:val="none"/>
                <w:lang w:val="en-US" w:eastAsia="zh-CN"/>
              </w:rPr>
              <w:t>征集</w:t>
            </w:r>
            <w:r>
              <w:rPr>
                <w:rFonts w:hint="eastAsia" w:ascii="宋体" w:hAnsi="宋体" w:cs="宋体"/>
                <w:snapToGrid w:val="0"/>
                <w:kern w:val="0"/>
                <w:szCs w:val="21"/>
                <w:highlight w:val="none"/>
              </w:rPr>
              <w:t>文件要求、模糊不清无法判断或未显示是否满足</w:t>
            </w:r>
            <w:r>
              <w:rPr>
                <w:rFonts w:hint="eastAsia" w:ascii="宋体" w:hAnsi="宋体" w:cs="宋体"/>
                <w:snapToGrid w:val="0"/>
                <w:kern w:val="0"/>
                <w:szCs w:val="21"/>
                <w:highlight w:val="none"/>
                <w:lang w:val="en-US" w:eastAsia="zh-CN"/>
              </w:rPr>
              <w:t>征集</w:t>
            </w:r>
            <w:r>
              <w:rPr>
                <w:rFonts w:hint="eastAsia" w:ascii="宋体" w:hAnsi="宋体" w:cs="宋体"/>
                <w:snapToGrid w:val="0"/>
                <w:kern w:val="0"/>
                <w:szCs w:val="21"/>
                <w:highlight w:val="none"/>
              </w:rPr>
              <w:t>文件参数，且投标人偏离程度响应为“无偏离或正偏离”，</w:t>
            </w:r>
            <w:r>
              <w:rPr>
                <w:rFonts w:hint="eastAsia" w:ascii="宋体" w:hAnsi="宋体" w:cs="宋体"/>
                <w:kern w:val="0"/>
                <w:szCs w:val="21"/>
                <w:highlight w:val="none"/>
              </w:rPr>
              <w:t>评标委员会有权视相应技术参数响应不符合</w:t>
            </w:r>
            <w:r>
              <w:rPr>
                <w:rFonts w:hint="eastAsia" w:ascii="宋体" w:hAnsi="宋体" w:cs="宋体"/>
                <w:kern w:val="0"/>
                <w:szCs w:val="21"/>
                <w:highlight w:val="none"/>
                <w:lang w:val="en-US" w:eastAsia="zh-CN"/>
              </w:rPr>
              <w:t>征集</w:t>
            </w:r>
            <w:r>
              <w:rPr>
                <w:rFonts w:hint="eastAsia" w:ascii="宋体" w:hAnsi="宋体" w:cs="宋体"/>
                <w:kern w:val="0"/>
                <w:szCs w:val="21"/>
                <w:highlight w:val="none"/>
              </w:rPr>
              <w:t>要求</w:t>
            </w:r>
            <w:r>
              <w:rPr>
                <w:rFonts w:hint="eastAsia" w:ascii="宋体" w:hAnsi="宋体" w:cs="宋体"/>
                <w:snapToGrid w:val="0"/>
                <w:kern w:val="0"/>
                <w:szCs w:val="21"/>
                <w:highlight w:val="none"/>
              </w:rPr>
              <w:t>，按负偏离进行扣分。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6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left w:val="single" w:color="000000" w:sz="4" w:space="0"/>
              <w:right w:val="single" w:color="000000" w:sz="4" w:space="0"/>
            </w:tcBorders>
            <w:shd w:val="clear" w:color="auto" w:fill="auto"/>
            <w:vAlign w:val="center"/>
          </w:tcPr>
          <w:p w14:paraId="498094E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一点可得2分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1、投标人按要求提供样品得6分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样品或提供不全的本项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hint="eastAsia" w:ascii="宋体" w:hAnsi="宋体" w:eastAsia="宋体" w:cs="宋体"/>
                <w:sz w:val="21"/>
                <w:szCs w:val="21"/>
                <w:highlight w:val="none"/>
                <w:lang w:val="en-US" w:eastAsia="zh-CN"/>
              </w:rPr>
              <w:t>2024年1月1日至本项目投标截止之日（以合同签订日期为准）完成的</w:t>
            </w:r>
            <w:r>
              <w:rPr>
                <w:rFonts w:hint="eastAsia" w:ascii="宋体" w:hAnsi="宋体" w:eastAsia="宋体" w:cs="宋体"/>
                <w:sz w:val="21"/>
                <w:szCs w:val="21"/>
                <w:highlight w:val="none"/>
              </w:rPr>
              <w:t>同类产品</w:t>
            </w:r>
            <w:r>
              <w:rPr>
                <w:rFonts w:hint="eastAsia" w:ascii="宋体" w:hAnsi="宋体" w:eastAsia="宋体" w:cs="宋体"/>
                <w:sz w:val="21"/>
                <w:szCs w:val="21"/>
                <w:highlight w:val="none"/>
                <w:lang w:val="en-US" w:eastAsia="zh-CN"/>
              </w:rPr>
              <w:t>（所投核心产品同品牌同型号的产品）</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eastAsia="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AF667CA">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1.提供合同关键页（关键信息包括但不限于含签订合同双方的单位名称、货物名称、签订合同双方的落款盖章等（合同乙方须为投标人））。</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2.如未按要求提供证明材料，或所提供的证明材料未能体现上述评分内容的，一律作不得分处理。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3A165143">
            <w:pPr>
              <w:keepNext w:val="0"/>
              <w:keepLines w:val="0"/>
              <w:widowControl/>
              <w:suppressLineNumbers w:val="0"/>
              <w:jc w:val="left"/>
              <w:textAlignment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投标人提供上述同类项目被认定为有效的业绩中，能够提供用户出具的履约评价书，且评价为优或满意以上的，每提供1份得1分，本项最高得2分。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kern w:val="2"/>
                <w:sz w:val="21"/>
                <w:szCs w:val="24"/>
                <w:highlight w:val="none"/>
                <w:lang w:val="en-US" w:eastAsia="zh-CN" w:bidi="ar-SA"/>
              </w:rPr>
              <w:t>须提供用户出具的履约评价书扫描件或复印件，并加盖用户公章，原件备查。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lang w:val="en-US" w:eastAsia="zh-CN"/>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文件要求且投标价格最低的投标报价为评标基准价，其价格分为满分。其他投标人的价格分统一按照下列</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5D9560-7E9D-4454-9EFC-CCC492C26B94}"/>
  </w:font>
  <w:font w:name="黑体">
    <w:panose1 w:val="02010609060101010101"/>
    <w:charset w:val="86"/>
    <w:family w:val="auto"/>
    <w:pitch w:val="default"/>
    <w:sig w:usb0="800002BF" w:usb1="38CF7CFA" w:usb2="00000016" w:usb3="00000000" w:csb0="00040001" w:csb1="00000000"/>
    <w:embedRegular r:id="rId2" w:fontKey="{2AFF41AF-E6F9-4676-B33D-AFA03709447F}"/>
  </w:font>
  <w:font w:name="Courier New">
    <w:panose1 w:val="02070309020205020404"/>
    <w:charset w:val="01"/>
    <w:family w:val="modern"/>
    <w:pitch w:val="default"/>
    <w:sig w:usb0="E0002EFF" w:usb1="C0007843" w:usb2="00000009" w:usb3="00000000" w:csb0="400001FF" w:csb1="FFFF0000"/>
    <w:embedRegular r:id="rId3" w:fontKey="{74FDE822-3D5C-4485-A107-9806D5572DC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1C66DFF-8614-4838-83D2-8833165ABA82}"/>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E58AC379-9BE3-49F9-9EBE-93FB4CC687AD}"/>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77E03FEB-9B15-4502-BFBC-A0117DE70F4D}"/>
  </w:font>
  <w:font w:name="Wingdings 2">
    <w:panose1 w:val="05020102010507070707"/>
    <w:charset w:val="00"/>
    <w:family w:val="auto"/>
    <w:pitch w:val="default"/>
    <w:sig w:usb0="00000000" w:usb1="00000000" w:usb2="00000000" w:usb3="00000000" w:csb0="80000000" w:csb1="00000000"/>
    <w:embedRegular r:id="rId7" w:fontKey="{DF1EF72F-6739-4767-96A9-90BA14DF8085}"/>
  </w:font>
  <w:font w:name="方正仿宋_GBK">
    <w:altName w:val="微软雅黑"/>
    <w:panose1 w:val="00000000000000000000"/>
    <w:charset w:val="86"/>
    <w:family w:val="auto"/>
    <w:pitch w:val="default"/>
    <w:sig w:usb0="00000000" w:usb1="00000000" w:usb2="00000000" w:usb3="00000000" w:csb0="00040000" w:csb1="00000000"/>
    <w:embedRegular r:id="rId8" w:fontKey="{2E2A6DC2-DAE3-46EF-907E-8821B4EDC67F}"/>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9" w:fontKey="{B359D1BF-837A-4E7D-85B9-3D3ACC16EFB4}"/>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0" w:fontKey="{01C3ADF3-ED1B-41E4-8BCC-478B0193C6A7}"/>
  </w:font>
  <w:font w:name="方正小标宋_GBK">
    <w:panose1 w:val="02000000000000000000"/>
    <w:charset w:val="86"/>
    <w:family w:val="script"/>
    <w:pitch w:val="default"/>
    <w:sig w:usb0="A00002BF" w:usb1="38CF7CFA" w:usb2="00082016" w:usb3="00000000" w:csb0="00040001" w:csb1="00000000"/>
    <w:embedRegular r:id="rId11" w:fontKey="{560E7477-BA65-4731-A8B0-D404EC71CFEA}"/>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0B8F3126"/>
    <w:multiLevelType w:val="singleLevel"/>
    <w:tmpl w:val="0B8F3126"/>
    <w:lvl w:ilvl="0" w:tentative="0">
      <w:start w:val="3"/>
      <w:numFmt w:val="chineseCounting"/>
      <w:suff w:val="nothing"/>
      <w:lvlText w:val="%1、"/>
      <w:lvlJc w:val="left"/>
      <w:rPr>
        <w:rFonts w:hint="eastAsia"/>
      </w:r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E85C6F"/>
    <w:multiLevelType w:val="singleLevel"/>
    <w:tmpl w:val="37E85C6F"/>
    <w:lvl w:ilvl="0" w:tentative="0">
      <w:start w:val="1"/>
      <w:numFmt w:val="decimal"/>
      <w:lvlText w:val="%1."/>
      <w:lvlJc w:val="left"/>
      <w:pPr>
        <w:tabs>
          <w:tab w:val="left" w:pos="312"/>
        </w:tabs>
      </w:pPr>
    </w:lvl>
  </w:abstractNum>
  <w:abstractNum w:abstractNumId="6">
    <w:nsid w:val="40EC10D5"/>
    <w:multiLevelType w:val="singleLevel"/>
    <w:tmpl w:val="40EC10D5"/>
    <w:lvl w:ilvl="0" w:tentative="0">
      <w:start w:val="1"/>
      <w:numFmt w:val="chineseCounting"/>
      <w:suff w:val="space"/>
      <w:lvlText w:val="第%1章"/>
      <w:lvlJc w:val="left"/>
      <w:rPr>
        <w:rFonts w:hint="eastAsia"/>
      </w:r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FD0FAC"/>
    <w:multiLevelType w:val="singleLevel"/>
    <w:tmpl w:val="70FD0FAC"/>
    <w:lvl w:ilvl="0" w:tentative="0">
      <w:start w:val="5"/>
      <w:numFmt w:val="chineseCounting"/>
      <w:suff w:val="space"/>
      <w:lvlText w:val="第%1章"/>
      <w:lvlJc w:val="left"/>
      <w:rPr>
        <w:rFonts w:hint="eastAsia"/>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9"/>
  </w:num>
  <w:num w:numId="6">
    <w:abstractNumId w:val="7"/>
  </w:num>
  <w:num w:numId="7">
    <w:abstractNumId w:val="4"/>
  </w:num>
  <w:num w:numId="8">
    <w:abstractNumId w:val="5"/>
  </w:num>
  <w:num w:numId="9">
    <w:abstractNumId w:val="14"/>
  </w:num>
  <w:num w:numId="10">
    <w:abstractNumId w:val="1"/>
  </w:num>
  <w:num w:numId="11">
    <w:abstractNumId w:val="10"/>
  </w:num>
  <w:num w:numId="12">
    <w:abstractNumId w:val="2"/>
  </w:num>
  <w:num w:numId="13">
    <w:abstractNumId w:val="8"/>
  </w:num>
  <w:num w:numId="14">
    <w:abstractNumId w:val="17"/>
  </w:num>
  <w:num w:numId="15">
    <w:abstractNumId w:val="12"/>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3722D"/>
    <w:rsid w:val="00CB48A0"/>
    <w:rsid w:val="00D076D9"/>
    <w:rsid w:val="00D27E74"/>
    <w:rsid w:val="00D36759"/>
    <w:rsid w:val="00D70391"/>
    <w:rsid w:val="00DE0DB1"/>
    <w:rsid w:val="00DF281B"/>
    <w:rsid w:val="00E309D1"/>
    <w:rsid w:val="00E70B1C"/>
    <w:rsid w:val="00EE5E48"/>
    <w:rsid w:val="00FC1F7B"/>
    <w:rsid w:val="00FD6AFE"/>
    <w:rsid w:val="00FF2DFF"/>
    <w:rsid w:val="01842D0A"/>
    <w:rsid w:val="01A10A62"/>
    <w:rsid w:val="01FD42EF"/>
    <w:rsid w:val="02515E13"/>
    <w:rsid w:val="02A03E0F"/>
    <w:rsid w:val="03824295"/>
    <w:rsid w:val="03CA1333"/>
    <w:rsid w:val="03D86CBB"/>
    <w:rsid w:val="04723471"/>
    <w:rsid w:val="04A41E29"/>
    <w:rsid w:val="04F056CF"/>
    <w:rsid w:val="0586171E"/>
    <w:rsid w:val="062A1835"/>
    <w:rsid w:val="095B27C3"/>
    <w:rsid w:val="09C910B6"/>
    <w:rsid w:val="0A915F9D"/>
    <w:rsid w:val="0BBE064B"/>
    <w:rsid w:val="0C20477B"/>
    <w:rsid w:val="0C732455"/>
    <w:rsid w:val="0C831895"/>
    <w:rsid w:val="0C9462C4"/>
    <w:rsid w:val="0E0A4D0C"/>
    <w:rsid w:val="0E1B2C35"/>
    <w:rsid w:val="0EDD06E3"/>
    <w:rsid w:val="0F847DFE"/>
    <w:rsid w:val="101C0036"/>
    <w:rsid w:val="10437371"/>
    <w:rsid w:val="10EC5674"/>
    <w:rsid w:val="11820193"/>
    <w:rsid w:val="13272F7A"/>
    <w:rsid w:val="13CA0FD2"/>
    <w:rsid w:val="14DA7639"/>
    <w:rsid w:val="155F0204"/>
    <w:rsid w:val="16354792"/>
    <w:rsid w:val="16575BBC"/>
    <w:rsid w:val="167968A8"/>
    <w:rsid w:val="168261AD"/>
    <w:rsid w:val="175224D1"/>
    <w:rsid w:val="183B62C6"/>
    <w:rsid w:val="183D0B4A"/>
    <w:rsid w:val="19C51BDF"/>
    <w:rsid w:val="1A0F0637"/>
    <w:rsid w:val="1AC75CBA"/>
    <w:rsid w:val="1ACD08AB"/>
    <w:rsid w:val="1C7D53A8"/>
    <w:rsid w:val="1D740F3F"/>
    <w:rsid w:val="1DA500B9"/>
    <w:rsid w:val="1E304F2A"/>
    <w:rsid w:val="1EA731C1"/>
    <w:rsid w:val="1F3216D9"/>
    <w:rsid w:val="1FB40BCE"/>
    <w:rsid w:val="1FC04AB6"/>
    <w:rsid w:val="20573F48"/>
    <w:rsid w:val="20857E4D"/>
    <w:rsid w:val="20947F1B"/>
    <w:rsid w:val="2110276B"/>
    <w:rsid w:val="217A1947"/>
    <w:rsid w:val="21BA145D"/>
    <w:rsid w:val="225047E7"/>
    <w:rsid w:val="22DA20BB"/>
    <w:rsid w:val="230B6382"/>
    <w:rsid w:val="24590191"/>
    <w:rsid w:val="24CC6443"/>
    <w:rsid w:val="25F413E1"/>
    <w:rsid w:val="26EF3957"/>
    <w:rsid w:val="27A32756"/>
    <w:rsid w:val="28774BB2"/>
    <w:rsid w:val="28CF3A40"/>
    <w:rsid w:val="292F0982"/>
    <w:rsid w:val="294C0405"/>
    <w:rsid w:val="2AD85138"/>
    <w:rsid w:val="2BC25ADE"/>
    <w:rsid w:val="2BEF1BE2"/>
    <w:rsid w:val="2C2F1E92"/>
    <w:rsid w:val="2CAA6F1D"/>
    <w:rsid w:val="2E063599"/>
    <w:rsid w:val="2F6D61D7"/>
    <w:rsid w:val="2F746B39"/>
    <w:rsid w:val="2FEF24C1"/>
    <w:rsid w:val="312863E3"/>
    <w:rsid w:val="317E15FD"/>
    <w:rsid w:val="328227CD"/>
    <w:rsid w:val="32A7178F"/>
    <w:rsid w:val="32A80CDA"/>
    <w:rsid w:val="3311052A"/>
    <w:rsid w:val="331B1406"/>
    <w:rsid w:val="33BE7EEE"/>
    <w:rsid w:val="344E622F"/>
    <w:rsid w:val="348C0A37"/>
    <w:rsid w:val="34D04DC8"/>
    <w:rsid w:val="34D95BA1"/>
    <w:rsid w:val="353327D7"/>
    <w:rsid w:val="36F16FEE"/>
    <w:rsid w:val="37436ACA"/>
    <w:rsid w:val="37F963E3"/>
    <w:rsid w:val="38312021"/>
    <w:rsid w:val="38404012"/>
    <w:rsid w:val="389C5DF9"/>
    <w:rsid w:val="39C9473C"/>
    <w:rsid w:val="3A4F4F44"/>
    <w:rsid w:val="3ADB6274"/>
    <w:rsid w:val="3C6E4B61"/>
    <w:rsid w:val="3CC20B68"/>
    <w:rsid w:val="3CFF2687"/>
    <w:rsid w:val="3D691D61"/>
    <w:rsid w:val="3EA0791F"/>
    <w:rsid w:val="3EA62CD7"/>
    <w:rsid w:val="3FF83425"/>
    <w:rsid w:val="402E42D9"/>
    <w:rsid w:val="409674F3"/>
    <w:rsid w:val="40D432EC"/>
    <w:rsid w:val="41894625"/>
    <w:rsid w:val="42961172"/>
    <w:rsid w:val="42A15057"/>
    <w:rsid w:val="430D265D"/>
    <w:rsid w:val="43236A0A"/>
    <w:rsid w:val="4344275E"/>
    <w:rsid w:val="439D6EBC"/>
    <w:rsid w:val="44B33DBE"/>
    <w:rsid w:val="44ED4447"/>
    <w:rsid w:val="457353A7"/>
    <w:rsid w:val="46062A6F"/>
    <w:rsid w:val="460A6E42"/>
    <w:rsid w:val="466C27DB"/>
    <w:rsid w:val="466F1003"/>
    <w:rsid w:val="46D421B5"/>
    <w:rsid w:val="46E84D7E"/>
    <w:rsid w:val="473F08E4"/>
    <w:rsid w:val="474D4A8F"/>
    <w:rsid w:val="47507FEA"/>
    <w:rsid w:val="47E748ED"/>
    <w:rsid w:val="484A4A39"/>
    <w:rsid w:val="49871B07"/>
    <w:rsid w:val="49BE56DF"/>
    <w:rsid w:val="4A01054C"/>
    <w:rsid w:val="4A0517DE"/>
    <w:rsid w:val="4BA66D85"/>
    <w:rsid w:val="4C8147A2"/>
    <w:rsid w:val="4CB9218D"/>
    <w:rsid w:val="4D01600E"/>
    <w:rsid w:val="4DAD7DEB"/>
    <w:rsid w:val="4E08517B"/>
    <w:rsid w:val="4E8100AD"/>
    <w:rsid w:val="4E8E5256"/>
    <w:rsid w:val="4F0F12CA"/>
    <w:rsid w:val="4F560168"/>
    <w:rsid w:val="50E616CF"/>
    <w:rsid w:val="511864D9"/>
    <w:rsid w:val="51A065CC"/>
    <w:rsid w:val="51D63AF4"/>
    <w:rsid w:val="52104D2C"/>
    <w:rsid w:val="521F3077"/>
    <w:rsid w:val="52AD3817"/>
    <w:rsid w:val="536429ED"/>
    <w:rsid w:val="537D5CC3"/>
    <w:rsid w:val="53CB3B5A"/>
    <w:rsid w:val="540B0156"/>
    <w:rsid w:val="5417770D"/>
    <w:rsid w:val="54A417A8"/>
    <w:rsid w:val="54F63F7F"/>
    <w:rsid w:val="558214CD"/>
    <w:rsid w:val="559776ED"/>
    <w:rsid w:val="56E36785"/>
    <w:rsid w:val="57C95578"/>
    <w:rsid w:val="580B4B95"/>
    <w:rsid w:val="58AF7528"/>
    <w:rsid w:val="58C53577"/>
    <w:rsid w:val="59EC3BA2"/>
    <w:rsid w:val="5A2F6381"/>
    <w:rsid w:val="5A52311B"/>
    <w:rsid w:val="5A6432D8"/>
    <w:rsid w:val="5B4A22D1"/>
    <w:rsid w:val="5B7272AC"/>
    <w:rsid w:val="5BC7458E"/>
    <w:rsid w:val="5CAC08DD"/>
    <w:rsid w:val="5CEC7157"/>
    <w:rsid w:val="5D045FFD"/>
    <w:rsid w:val="5F0D6E5C"/>
    <w:rsid w:val="5F630463"/>
    <w:rsid w:val="5FC919FA"/>
    <w:rsid w:val="5FE64BF0"/>
    <w:rsid w:val="628945AC"/>
    <w:rsid w:val="62B272BD"/>
    <w:rsid w:val="62E95396"/>
    <w:rsid w:val="62F26C21"/>
    <w:rsid w:val="63016A4E"/>
    <w:rsid w:val="63D10B67"/>
    <w:rsid w:val="64A6327C"/>
    <w:rsid w:val="65265113"/>
    <w:rsid w:val="65E57895"/>
    <w:rsid w:val="6602326A"/>
    <w:rsid w:val="66732499"/>
    <w:rsid w:val="66E143F0"/>
    <w:rsid w:val="672A5D0A"/>
    <w:rsid w:val="677C4433"/>
    <w:rsid w:val="67BA5260"/>
    <w:rsid w:val="67BA634C"/>
    <w:rsid w:val="68A23D9A"/>
    <w:rsid w:val="69E7776E"/>
    <w:rsid w:val="6AA14535"/>
    <w:rsid w:val="6ACC2680"/>
    <w:rsid w:val="6B6A0563"/>
    <w:rsid w:val="6B80006E"/>
    <w:rsid w:val="6BB74550"/>
    <w:rsid w:val="6CF30DA6"/>
    <w:rsid w:val="6D704509"/>
    <w:rsid w:val="6DD15131"/>
    <w:rsid w:val="70A24B63"/>
    <w:rsid w:val="71027B4D"/>
    <w:rsid w:val="72AC65F9"/>
    <w:rsid w:val="72AF5315"/>
    <w:rsid w:val="730B15A2"/>
    <w:rsid w:val="74055651"/>
    <w:rsid w:val="74F44506"/>
    <w:rsid w:val="75BD51FF"/>
    <w:rsid w:val="75D6321A"/>
    <w:rsid w:val="75EF3075"/>
    <w:rsid w:val="774A4416"/>
    <w:rsid w:val="781B7C50"/>
    <w:rsid w:val="79B06BCF"/>
    <w:rsid w:val="79B17029"/>
    <w:rsid w:val="7B49325B"/>
    <w:rsid w:val="7BFC15FE"/>
    <w:rsid w:val="7BFD00E4"/>
    <w:rsid w:val="7C4E5B9F"/>
    <w:rsid w:val="7CA6561B"/>
    <w:rsid w:val="7CDB38D7"/>
    <w:rsid w:val="7CEF6AAD"/>
    <w:rsid w:val="7D4A21B7"/>
    <w:rsid w:val="7DBC7F52"/>
    <w:rsid w:val="7E3B5A67"/>
    <w:rsid w:val="7EAE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 w:type="paragraph" w:customStyle="1" w:styleId="36">
    <w:name w:val="彩色列表 - 强调文字颜色 11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5212</Words>
  <Characters>5519</Characters>
  <Lines>31</Lines>
  <Paragraphs>8</Paragraphs>
  <TotalTime>0</TotalTime>
  <ScaleCrop>false</ScaleCrop>
  <LinksUpToDate>false</LinksUpToDate>
  <CharactersWithSpaces>5617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2026-07-15T00:50:17Z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8D1BF2416CAC42F690F8EB1486BD3DCB_13</vt:lpwstr>
  </property>
  <property fmtid="{D5CDD505-2E9C-101B-9397-08002B2CF9AE}" pid="4" name="KSOTemplateDocerSaveRecord">
    <vt:lpwstr>eyJoZGlkIjoiM2EyNDYyYmQ1ZDA0NDE2ZWMxMTVjMTBjNjZlNGMxZWMiLCJ1c2VySWQiOiIxOTQ5NzkyNTQifQ==</vt:lpwstr>
  </property>
</Properties>
</file>