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12.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68098E4">
      <w:pPr>
        <w:spacing w:line="360" w:lineRule="auto"/>
        <w:jc w:val="right"/>
        <w:rPr>
          <w:rFonts w:hint="default" w:ascii="仿宋" w:hAnsi="仿宋" w:eastAsia="仿宋" w:cs="Arial"/>
          <w:b/>
          <w:sz w:val="40"/>
          <w:szCs w:val="40"/>
          <w:lang w:val="en-US" w:eastAsia="zh-CN"/>
        </w:rPr>
      </w:pPr>
      <w:r>
        <w:rPr>
          <w:rFonts w:hint="eastAsia" w:ascii="仿宋" w:hAnsi="仿宋" w:eastAsia="仿宋" w:cs="Arial"/>
          <w:b/>
          <w:sz w:val="40"/>
          <w:szCs w:val="40"/>
          <w:lang w:val="en-US" w:eastAsia="zh-CN"/>
        </w:rPr>
        <w:t>项目</w:t>
      </w:r>
      <w:r>
        <w:rPr>
          <w:rFonts w:hint="eastAsia" w:ascii="仿宋" w:hAnsi="仿宋" w:eastAsia="仿宋" w:cs="Arial"/>
          <w:b/>
          <w:sz w:val="40"/>
          <w:szCs w:val="40"/>
        </w:rPr>
        <w:t>编号：</w:t>
      </w:r>
      <w:r>
        <w:rPr>
          <w:rFonts w:hint="eastAsia" w:ascii="仿宋" w:hAnsi="仿宋" w:eastAsia="仿宋" w:cs="Arial"/>
          <w:b/>
          <w:sz w:val="40"/>
          <w:szCs w:val="40"/>
          <w:highlight w:val="none"/>
          <w:lang w:val="en-US" w:eastAsia="zh-CN"/>
        </w:rPr>
        <w:t>FTEY-202601-YW001</w:t>
      </w:r>
    </w:p>
    <w:p w14:paraId="1E763DA2">
      <w:pPr>
        <w:jc w:val="center"/>
        <w:rPr>
          <w:rFonts w:ascii="黑体" w:hAnsi="Arial" w:eastAsia="黑体" w:cs="Arial"/>
          <w:sz w:val="52"/>
          <w:szCs w:val="52"/>
        </w:rPr>
      </w:pPr>
    </w:p>
    <w:p w14:paraId="70D24D3D">
      <w:pPr>
        <w:jc w:val="center"/>
        <w:rPr>
          <w:rFonts w:ascii="黑体" w:hAnsi="Arial" w:eastAsia="黑体" w:cs="Arial"/>
          <w:sz w:val="52"/>
          <w:szCs w:val="52"/>
        </w:rPr>
      </w:pPr>
    </w:p>
    <w:p w14:paraId="1D0655D7">
      <w:pPr>
        <w:jc w:val="center"/>
        <w:rPr>
          <w:rFonts w:ascii="黑体" w:hAnsi="Arial" w:eastAsia="黑体" w:cs="Arial"/>
          <w:sz w:val="52"/>
          <w:szCs w:val="52"/>
        </w:rPr>
      </w:pPr>
    </w:p>
    <w:p w14:paraId="626F87A9">
      <w:pPr>
        <w:jc w:val="center"/>
        <w:rPr>
          <w:rFonts w:ascii="黑体" w:hAnsi="Arial" w:eastAsia="黑体" w:cs="Arial"/>
          <w:sz w:val="52"/>
          <w:szCs w:val="52"/>
        </w:rPr>
      </w:pPr>
    </w:p>
    <w:p w14:paraId="2DAFCD5B">
      <w:pPr>
        <w:jc w:val="center"/>
        <w:rPr>
          <w:rFonts w:ascii="黑体" w:hAnsi="Arial" w:eastAsia="黑体" w:cs="Arial"/>
          <w:sz w:val="52"/>
          <w:szCs w:val="52"/>
        </w:rPr>
      </w:pPr>
    </w:p>
    <w:p w14:paraId="3927401A">
      <w:pPr>
        <w:spacing w:line="360" w:lineRule="auto"/>
        <w:jc w:val="center"/>
        <w:rPr>
          <w:rFonts w:hint="eastAsia" w:ascii="黑体" w:hAnsi="宋体" w:eastAsia="黑体"/>
          <w:b/>
          <w:sz w:val="56"/>
          <w:szCs w:val="56"/>
          <w:u w:val="single"/>
        </w:rPr>
      </w:pPr>
      <w:r>
        <w:rPr>
          <w:rFonts w:hint="eastAsia" w:ascii="黑体" w:hAnsi="Arial" w:eastAsia="黑体" w:cs="Arial"/>
          <w:b/>
          <w:sz w:val="56"/>
          <w:szCs w:val="56"/>
        </w:rPr>
        <w:t>【货物类】</w:t>
      </w:r>
    </w:p>
    <w:p w14:paraId="31D2ED87">
      <w:pPr>
        <w:jc w:val="center"/>
        <w:rPr>
          <w:rFonts w:hint="eastAsia" w:ascii="黑体" w:hAnsi="宋体" w:eastAsia="黑体"/>
          <w:b/>
          <w:sz w:val="48"/>
          <w:szCs w:val="48"/>
          <w:u w:val="single"/>
        </w:rPr>
      </w:pPr>
    </w:p>
    <w:p w14:paraId="61380011">
      <w:pPr>
        <w:jc w:val="center"/>
        <w:rPr>
          <w:rFonts w:hint="eastAsia" w:ascii="黑体" w:hAnsi="宋体" w:eastAsia="黑体"/>
          <w:b/>
          <w:sz w:val="48"/>
          <w:szCs w:val="48"/>
          <w:u w:val="single"/>
        </w:rPr>
      </w:pPr>
    </w:p>
    <w:p w14:paraId="0C689BD1">
      <w:pPr>
        <w:jc w:val="center"/>
        <w:rPr>
          <w:rFonts w:hint="eastAsia" w:ascii="黑体" w:hAnsi="宋体" w:eastAsia="黑体"/>
          <w:b/>
          <w:sz w:val="48"/>
          <w:szCs w:val="48"/>
          <w:u w:val="single"/>
        </w:rPr>
      </w:pPr>
    </w:p>
    <w:p w14:paraId="456A4C20">
      <w:pPr>
        <w:jc w:val="center"/>
        <w:rPr>
          <w:rFonts w:hint="eastAsia" w:ascii="黑体" w:hAnsi="宋体" w:eastAsia="黑体"/>
          <w:b/>
          <w:sz w:val="48"/>
          <w:szCs w:val="48"/>
          <w:u w:val="single"/>
          <w:lang w:eastAsia="zh-CN"/>
        </w:rPr>
      </w:pPr>
      <w:r>
        <w:rPr>
          <w:rFonts w:hint="eastAsia" w:ascii="黑体" w:hAnsi="宋体" w:eastAsia="黑体"/>
          <w:b/>
          <w:sz w:val="48"/>
          <w:szCs w:val="48"/>
          <w:u w:val="single"/>
          <w:lang w:eastAsia="zh-CN"/>
        </w:rPr>
        <w:t>紧急医学救援队伍急救背囊装备</w:t>
      </w:r>
    </w:p>
    <w:p w14:paraId="53962195">
      <w:pPr>
        <w:jc w:val="center"/>
        <w:rPr>
          <w:rFonts w:hint="eastAsia" w:ascii="黑体" w:hAnsi="宋体" w:eastAsia="黑体"/>
          <w:b/>
          <w:sz w:val="48"/>
          <w:szCs w:val="48"/>
          <w:u w:val="single"/>
          <w:lang w:eastAsia="zh-CN"/>
        </w:rPr>
      </w:pPr>
      <w:r>
        <w:rPr>
          <w:rFonts w:hint="eastAsia" w:ascii="黑体" w:hAnsi="宋体" w:eastAsia="黑体"/>
          <w:b/>
          <w:sz w:val="48"/>
          <w:szCs w:val="48"/>
          <w:u w:val="single"/>
          <w:lang w:val="en-US" w:eastAsia="zh-CN"/>
        </w:rPr>
        <w:t>征集文件</w:t>
      </w:r>
    </w:p>
    <w:p w14:paraId="41934259">
      <w:pPr>
        <w:jc w:val="center"/>
        <w:rPr>
          <w:rFonts w:ascii="黑体" w:hAnsi="Arial" w:eastAsia="黑体" w:cs="Arial"/>
          <w:sz w:val="52"/>
          <w:szCs w:val="52"/>
        </w:rPr>
      </w:pPr>
    </w:p>
    <w:p w14:paraId="33C2FE5E">
      <w:pPr>
        <w:spacing w:line="360" w:lineRule="auto"/>
        <w:jc w:val="both"/>
        <w:rPr>
          <w:rFonts w:hint="eastAsia" w:ascii="仿宋" w:hAnsi="仿宋" w:eastAsia="仿宋" w:cs="Arial"/>
          <w:b/>
          <w:sz w:val="40"/>
          <w:szCs w:val="40"/>
          <w:lang w:val="en-US" w:eastAsia="zh-CN"/>
        </w:rPr>
      </w:pPr>
    </w:p>
    <w:p w14:paraId="64EC78F7">
      <w:pPr>
        <w:spacing w:line="360" w:lineRule="auto"/>
        <w:jc w:val="both"/>
        <w:rPr>
          <w:rFonts w:hint="eastAsia" w:ascii="仿宋" w:hAnsi="仿宋" w:eastAsia="仿宋" w:cs="Arial"/>
          <w:b/>
          <w:sz w:val="40"/>
          <w:szCs w:val="40"/>
          <w:lang w:val="en-US" w:eastAsia="zh-CN"/>
        </w:rPr>
      </w:pPr>
    </w:p>
    <w:p w14:paraId="2B16ECCD">
      <w:pPr>
        <w:spacing w:line="360" w:lineRule="auto"/>
        <w:jc w:val="center"/>
        <w:rPr>
          <w:rFonts w:hint="eastAsia" w:ascii="仿宋" w:hAnsi="仿宋" w:eastAsia="仿宋" w:cs="Arial"/>
          <w:b/>
          <w:sz w:val="40"/>
          <w:szCs w:val="40"/>
        </w:rPr>
      </w:pPr>
    </w:p>
    <w:p w14:paraId="0168A006">
      <w:pPr>
        <w:spacing w:line="360" w:lineRule="auto"/>
        <w:jc w:val="center"/>
        <w:rPr>
          <w:rFonts w:hint="eastAsia" w:ascii="仿宋" w:hAnsi="仿宋" w:eastAsia="仿宋" w:cs="Arial"/>
          <w:b/>
          <w:sz w:val="40"/>
          <w:szCs w:val="40"/>
        </w:rPr>
      </w:pPr>
    </w:p>
    <w:p w14:paraId="373F8757">
      <w:pPr>
        <w:spacing w:line="360" w:lineRule="auto"/>
        <w:jc w:val="center"/>
        <w:rPr>
          <w:rFonts w:hint="eastAsia" w:ascii="仿宋" w:hAnsi="仿宋" w:eastAsia="仿宋" w:cs="Arial"/>
          <w:b/>
          <w:sz w:val="40"/>
          <w:szCs w:val="40"/>
        </w:rPr>
      </w:pPr>
    </w:p>
    <w:p w14:paraId="273ED2AD">
      <w:pPr>
        <w:spacing w:line="360" w:lineRule="auto"/>
        <w:jc w:val="center"/>
        <w:rPr>
          <w:rFonts w:hint="eastAsia" w:ascii="宋体" w:hAnsi="宋体" w:eastAsia="宋体" w:cs="宋体"/>
          <w:b/>
          <w:bCs/>
          <w:color w:val="FF0000"/>
          <w:kern w:val="44"/>
          <w:sz w:val="44"/>
          <w:szCs w:val="44"/>
          <w:highlight w:val="none"/>
          <w:lang w:eastAsia="zh-CN"/>
        </w:rPr>
      </w:pPr>
      <w:r>
        <w:rPr>
          <w:rFonts w:hint="eastAsia" w:ascii="仿宋" w:hAnsi="仿宋" w:eastAsia="仿宋" w:cs="Arial"/>
          <w:b/>
          <w:sz w:val="40"/>
          <w:szCs w:val="40"/>
          <w:lang w:val="en-US" w:eastAsia="zh-CN"/>
        </w:rPr>
        <w:t>深圳市福田区第二人民医院</w:t>
      </w:r>
    </w:p>
    <w:p w14:paraId="0F08CA56">
      <w:pPr>
        <w:jc w:val="center"/>
        <w:outlineLvl w:val="9"/>
        <w:rPr>
          <w:rFonts w:hint="eastAsia" w:ascii="宋体" w:hAnsi="宋体" w:eastAsia="宋体" w:cs="宋体"/>
          <w:b/>
          <w:bCs/>
          <w:color w:val="FF0000"/>
          <w:kern w:val="44"/>
          <w:sz w:val="36"/>
          <w:szCs w:val="36"/>
          <w:highlight w:val="none"/>
          <w:lang w:eastAsia="zh-CN"/>
        </w:rPr>
      </w:pPr>
      <w:bookmarkStart w:id="0" w:name="_Toc3689"/>
      <w:bookmarkStart w:id="1" w:name="_Toc29098"/>
    </w:p>
    <w:p w14:paraId="4E47FF13">
      <w:pPr>
        <w:jc w:val="center"/>
        <w:outlineLvl w:val="9"/>
        <w:rPr>
          <w:rFonts w:hint="eastAsia" w:ascii="宋体" w:hAnsi="宋体" w:eastAsia="宋体" w:cs="宋体"/>
          <w:b/>
          <w:bCs/>
          <w:color w:val="FF0000"/>
          <w:sz w:val="36"/>
          <w:szCs w:val="36"/>
          <w:highlight w:val="none"/>
          <w:lang w:val="en-US" w:eastAsia="zh-CN"/>
        </w:rPr>
      </w:pPr>
      <w:r>
        <w:rPr>
          <w:rFonts w:hint="eastAsia" w:ascii="宋体" w:hAnsi="宋体" w:eastAsia="宋体" w:cs="宋体"/>
          <w:b/>
          <w:bCs/>
          <w:color w:val="FF0000"/>
          <w:kern w:val="44"/>
          <w:sz w:val="36"/>
          <w:szCs w:val="36"/>
          <w:highlight w:val="none"/>
          <w:lang w:eastAsia="zh-CN"/>
        </w:rPr>
        <w:t>特别</w:t>
      </w:r>
      <w:r>
        <w:rPr>
          <w:rFonts w:hint="eastAsia" w:ascii="宋体" w:hAnsi="宋体" w:eastAsia="宋体" w:cs="宋体"/>
          <w:b/>
          <w:bCs/>
          <w:color w:val="FF0000"/>
          <w:kern w:val="44"/>
          <w:sz w:val="36"/>
          <w:szCs w:val="36"/>
          <w:highlight w:val="none"/>
        </w:rPr>
        <w:t>警示条款</w:t>
      </w:r>
      <w:bookmarkEnd w:id="0"/>
      <w:bookmarkEnd w:id="1"/>
    </w:p>
    <w:p w14:paraId="6BD7F2C5">
      <w:pPr>
        <w:keepNext w:val="0"/>
        <w:keepLines w:val="0"/>
        <w:pageBreakBefore w:val="0"/>
        <w:widowControl w:val="0"/>
        <w:kinsoku/>
        <w:wordWrap/>
        <w:overflowPunct/>
        <w:topLinePunct w:val="0"/>
        <w:autoSpaceDE/>
        <w:autoSpaceDN/>
        <w:bidi w:val="0"/>
        <w:adjustRightInd/>
        <w:snapToGrid/>
        <w:spacing w:after="313" w:afterLines="100" w:line="400" w:lineRule="exact"/>
        <w:ind w:firstLine="562" w:firstLineChars="200"/>
        <w:jc w:val="both"/>
        <w:textAlignment w:val="auto"/>
        <w:rPr>
          <w:rFonts w:hint="eastAsia" w:ascii="宋体" w:hAnsi="宋体" w:eastAsia="宋体" w:cs="宋体"/>
          <w:b/>
          <w:bCs/>
          <w:color w:val="FF0000"/>
          <w:sz w:val="28"/>
          <w:szCs w:val="28"/>
          <w:highlight w:val="none"/>
          <w:lang w:val="en-US" w:eastAsia="zh-CN"/>
        </w:rPr>
      </w:pPr>
      <w:r>
        <w:rPr>
          <w:rFonts w:hint="eastAsia" w:ascii="宋体" w:hAnsi="宋体" w:eastAsia="宋体" w:cs="宋体"/>
          <w:b/>
          <w:bCs/>
          <w:color w:val="FF0000"/>
          <w:sz w:val="28"/>
          <w:szCs w:val="28"/>
          <w:highlight w:val="none"/>
          <w:lang w:val="en-US" w:eastAsia="zh-CN"/>
        </w:rPr>
        <w:t>参与本项目采购活动的供应商应认真阅读以下特别警示条款，不得存在以下所列禁止情形，一旦发现，将被处以记入供应商诚信档案、取消参与项目采购资格等处罚；构成犯罪的，依法追究刑事责任。</w:t>
      </w:r>
    </w:p>
    <w:tbl>
      <w:tblPr>
        <w:tblStyle w:val="2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55"/>
        <w:gridCol w:w="7711"/>
      </w:tblGrid>
      <w:tr w14:paraId="11D06F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1155" w:type="dxa"/>
            <w:noWrap w:val="0"/>
            <w:vAlign w:val="center"/>
          </w:tcPr>
          <w:p w14:paraId="6D5726F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FF0000"/>
                <w:sz w:val="28"/>
                <w:szCs w:val="28"/>
                <w:highlight w:val="none"/>
                <w:lang w:val="en-US" w:eastAsia="zh-CN"/>
              </w:rPr>
            </w:pPr>
            <w:r>
              <w:rPr>
                <w:rFonts w:hint="eastAsia" w:ascii="宋体" w:hAnsi="宋体" w:eastAsia="宋体" w:cs="宋体"/>
                <w:b/>
                <w:bCs/>
                <w:color w:val="FF0000"/>
                <w:sz w:val="30"/>
                <w:szCs w:val="30"/>
                <w:highlight w:val="none"/>
                <w:lang w:val="en-US" w:eastAsia="zh-CN"/>
              </w:rPr>
              <w:t>序号</w:t>
            </w:r>
          </w:p>
        </w:tc>
        <w:tc>
          <w:tcPr>
            <w:tcW w:w="7711" w:type="dxa"/>
            <w:noWrap w:val="0"/>
            <w:vAlign w:val="center"/>
          </w:tcPr>
          <w:p w14:paraId="1E90D79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FF0000"/>
                <w:sz w:val="28"/>
                <w:szCs w:val="28"/>
                <w:highlight w:val="none"/>
                <w:lang w:val="en-US" w:eastAsia="zh-CN"/>
              </w:rPr>
            </w:pPr>
            <w:r>
              <w:rPr>
                <w:rFonts w:hint="eastAsia" w:ascii="宋体" w:hAnsi="宋体" w:eastAsia="宋体" w:cs="宋体"/>
                <w:b/>
                <w:bCs/>
                <w:color w:val="FF0000"/>
                <w:sz w:val="30"/>
                <w:szCs w:val="30"/>
                <w:highlight w:val="none"/>
                <w:lang w:val="en-US" w:eastAsia="zh-CN"/>
              </w:rPr>
              <w:t>供应商参与投标禁止情形</w:t>
            </w:r>
          </w:p>
        </w:tc>
      </w:tr>
      <w:tr w14:paraId="4DAFB1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55" w:type="dxa"/>
            <w:noWrap w:val="0"/>
            <w:vAlign w:val="center"/>
          </w:tcPr>
          <w:p w14:paraId="49C2455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FF0000"/>
                <w:sz w:val="28"/>
                <w:szCs w:val="28"/>
                <w:highlight w:val="none"/>
                <w:lang w:val="en-US" w:eastAsia="zh-CN"/>
              </w:rPr>
            </w:pPr>
            <w:r>
              <w:rPr>
                <w:rFonts w:hint="eastAsia" w:ascii="宋体" w:hAnsi="宋体" w:eastAsia="宋体" w:cs="宋体"/>
                <w:color w:val="FF0000"/>
                <w:sz w:val="28"/>
                <w:szCs w:val="28"/>
                <w:highlight w:val="none"/>
                <w:lang w:val="en-US" w:eastAsia="zh-CN"/>
              </w:rPr>
              <w:t>1</w:t>
            </w:r>
          </w:p>
        </w:tc>
        <w:tc>
          <w:tcPr>
            <w:tcW w:w="7711" w:type="dxa"/>
            <w:noWrap w:val="0"/>
            <w:vAlign w:val="center"/>
          </w:tcPr>
          <w:p w14:paraId="0025E20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hint="eastAsia" w:ascii="宋体" w:hAnsi="宋体" w:eastAsia="宋体" w:cs="宋体"/>
                <w:color w:val="FF0000"/>
                <w:sz w:val="28"/>
                <w:szCs w:val="28"/>
                <w:highlight w:val="none"/>
                <w:lang w:val="en-US" w:eastAsia="zh-CN"/>
              </w:rPr>
            </w:pPr>
            <w:r>
              <w:rPr>
                <w:rFonts w:hint="eastAsia" w:ascii="宋体" w:hAnsi="宋体" w:eastAsia="宋体" w:cs="宋体"/>
                <w:color w:val="FF0000"/>
                <w:sz w:val="28"/>
                <w:szCs w:val="28"/>
                <w:highlight w:val="none"/>
                <w:lang w:val="en-US" w:eastAsia="zh-CN"/>
              </w:rPr>
              <w:t>与其他投标供应商的法定代表人、主要经营负责人、投标授权代表人、项目负责人、主要技术人员为</w:t>
            </w:r>
            <w:r>
              <w:rPr>
                <w:rFonts w:hint="eastAsia" w:ascii="宋体" w:hAnsi="宋体" w:eastAsia="宋体" w:cs="宋体"/>
                <w:b/>
                <w:bCs/>
                <w:color w:val="FF0000"/>
                <w:sz w:val="28"/>
                <w:szCs w:val="28"/>
                <w:highlight w:val="none"/>
                <w:lang w:val="en-US" w:eastAsia="zh-CN"/>
              </w:rPr>
              <w:t>同一人、属同一单位或者在同一单位缴纳社会保险</w:t>
            </w:r>
            <w:r>
              <w:rPr>
                <w:rFonts w:hint="eastAsia" w:ascii="宋体" w:hAnsi="宋体" w:eastAsia="宋体" w:cs="宋体"/>
                <w:color w:val="FF0000"/>
                <w:sz w:val="28"/>
                <w:szCs w:val="28"/>
                <w:highlight w:val="none"/>
                <w:lang w:val="en-US" w:eastAsia="zh-CN"/>
              </w:rPr>
              <w:t>。</w:t>
            </w:r>
          </w:p>
        </w:tc>
      </w:tr>
      <w:tr w14:paraId="03DED8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155" w:type="dxa"/>
            <w:noWrap w:val="0"/>
            <w:vAlign w:val="center"/>
          </w:tcPr>
          <w:p w14:paraId="621A64C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FF0000"/>
                <w:sz w:val="28"/>
                <w:szCs w:val="28"/>
                <w:highlight w:val="none"/>
                <w:lang w:val="en-US" w:eastAsia="zh-CN"/>
              </w:rPr>
            </w:pPr>
            <w:r>
              <w:rPr>
                <w:rFonts w:hint="eastAsia" w:ascii="宋体" w:hAnsi="宋体" w:eastAsia="宋体" w:cs="宋体"/>
                <w:color w:val="FF0000"/>
                <w:sz w:val="28"/>
                <w:szCs w:val="28"/>
                <w:highlight w:val="none"/>
                <w:lang w:val="en-US" w:eastAsia="zh-CN"/>
              </w:rPr>
              <w:t>2</w:t>
            </w:r>
          </w:p>
        </w:tc>
        <w:tc>
          <w:tcPr>
            <w:tcW w:w="7711" w:type="dxa"/>
            <w:noWrap w:val="0"/>
            <w:vAlign w:val="center"/>
          </w:tcPr>
          <w:p w14:paraId="1B184D4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hint="eastAsia" w:ascii="宋体" w:hAnsi="宋体" w:eastAsia="宋体" w:cs="宋体"/>
                <w:color w:val="FF0000"/>
                <w:sz w:val="28"/>
                <w:szCs w:val="28"/>
                <w:highlight w:val="none"/>
                <w:lang w:val="en-US" w:eastAsia="zh-CN"/>
              </w:rPr>
            </w:pPr>
            <w:r>
              <w:rPr>
                <w:rFonts w:hint="eastAsia" w:ascii="宋体" w:hAnsi="宋体" w:eastAsia="宋体" w:cs="宋体"/>
                <w:color w:val="FF0000"/>
                <w:sz w:val="28"/>
                <w:szCs w:val="28"/>
                <w:highlight w:val="none"/>
                <w:lang w:val="en-US" w:eastAsia="zh-CN"/>
              </w:rPr>
              <w:t>参与本项目采购活动时，与其他投标供应商存在单位负责人为</w:t>
            </w:r>
            <w:r>
              <w:rPr>
                <w:rFonts w:hint="eastAsia" w:ascii="宋体" w:hAnsi="宋体" w:eastAsia="宋体" w:cs="宋体"/>
                <w:b/>
                <w:bCs/>
                <w:color w:val="FF0000"/>
                <w:sz w:val="28"/>
                <w:szCs w:val="28"/>
                <w:highlight w:val="none"/>
                <w:lang w:val="en-US" w:eastAsia="zh-CN"/>
              </w:rPr>
              <w:t>同一人或直接控股、管理关系</w:t>
            </w:r>
            <w:r>
              <w:rPr>
                <w:rFonts w:hint="eastAsia" w:ascii="宋体" w:hAnsi="宋体" w:eastAsia="宋体" w:cs="宋体"/>
                <w:color w:val="FF0000"/>
                <w:sz w:val="28"/>
                <w:szCs w:val="28"/>
                <w:highlight w:val="none"/>
                <w:lang w:val="en-US" w:eastAsia="zh-CN"/>
              </w:rPr>
              <w:t>。</w:t>
            </w:r>
          </w:p>
        </w:tc>
      </w:tr>
      <w:tr w14:paraId="16F699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55" w:type="dxa"/>
            <w:noWrap w:val="0"/>
            <w:vAlign w:val="center"/>
          </w:tcPr>
          <w:p w14:paraId="53F4B05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FF0000"/>
                <w:sz w:val="28"/>
                <w:szCs w:val="28"/>
                <w:highlight w:val="none"/>
                <w:lang w:val="en-US" w:eastAsia="zh-CN"/>
              </w:rPr>
            </w:pPr>
            <w:r>
              <w:rPr>
                <w:rFonts w:hint="eastAsia" w:ascii="宋体" w:hAnsi="宋体" w:eastAsia="宋体" w:cs="宋体"/>
                <w:color w:val="FF0000"/>
                <w:sz w:val="28"/>
                <w:szCs w:val="28"/>
                <w:highlight w:val="none"/>
                <w:lang w:val="en-US" w:eastAsia="zh-CN"/>
              </w:rPr>
              <w:t>3</w:t>
            </w:r>
          </w:p>
        </w:tc>
        <w:tc>
          <w:tcPr>
            <w:tcW w:w="7711" w:type="dxa"/>
            <w:noWrap w:val="0"/>
            <w:vAlign w:val="center"/>
          </w:tcPr>
          <w:p w14:paraId="75A13CF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hint="eastAsia" w:ascii="宋体" w:hAnsi="宋体" w:eastAsia="宋体" w:cs="宋体"/>
                <w:color w:val="FF0000"/>
                <w:sz w:val="28"/>
                <w:szCs w:val="28"/>
                <w:highlight w:val="none"/>
                <w:lang w:val="en-US" w:eastAsia="zh-CN"/>
              </w:rPr>
            </w:pPr>
            <w:r>
              <w:rPr>
                <w:rFonts w:hint="eastAsia" w:ascii="宋体" w:hAnsi="宋体" w:eastAsia="宋体" w:cs="宋体"/>
                <w:color w:val="FF0000"/>
                <w:sz w:val="28"/>
                <w:szCs w:val="28"/>
                <w:highlight w:val="none"/>
                <w:lang w:val="en-US" w:eastAsia="zh-CN"/>
              </w:rPr>
              <w:t>与其他投标供应商的投标文件或部分投标文件</w:t>
            </w:r>
            <w:r>
              <w:rPr>
                <w:rFonts w:hint="eastAsia" w:ascii="宋体" w:hAnsi="宋体" w:eastAsia="宋体" w:cs="宋体"/>
                <w:b/>
                <w:bCs/>
                <w:color w:val="FF0000"/>
                <w:sz w:val="28"/>
                <w:szCs w:val="28"/>
                <w:highlight w:val="none"/>
                <w:lang w:val="en-US" w:eastAsia="zh-CN"/>
              </w:rPr>
              <w:t>相互混装或存在非正常一致</w:t>
            </w:r>
            <w:r>
              <w:rPr>
                <w:rFonts w:hint="eastAsia" w:ascii="宋体" w:hAnsi="宋体" w:eastAsia="宋体" w:cs="宋体"/>
                <w:color w:val="FF0000"/>
                <w:sz w:val="28"/>
                <w:szCs w:val="28"/>
                <w:highlight w:val="none"/>
                <w:lang w:val="en-US" w:eastAsia="zh-CN"/>
              </w:rPr>
              <w:t>。</w:t>
            </w:r>
          </w:p>
        </w:tc>
      </w:tr>
      <w:tr w14:paraId="1E50FF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5" w:hRule="atLeast"/>
          <w:jc w:val="center"/>
        </w:trPr>
        <w:tc>
          <w:tcPr>
            <w:tcW w:w="1155" w:type="dxa"/>
            <w:noWrap w:val="0"/>
            <w:vAlign w:val="center"/>
          </w:tcPr>
          <w:p w14:paraId="2A394B9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FF0000"/>
                <w:sz w:val="28"/>
                <w:szCs w:val="28"/>
                <w:highlight w:val="none"/>
                <w:lang w:val="en-US" w:eastAsia="zh-CN"/>
              </w:rPr>
            </w:pPr>
            <w:r>
              <w:rPr>
                <w:rFonts w:hint="eastAsia" w:ascii="宋体" w:hAnsi="宋体" w:eastAsia="宋体" w:cs="宋体"/>
                <w:color w:val="FF0000"/>
                <w:sz w:val="28"/>
                <w:szCs w:val="28"/>
                <w:highlight w:val="none"/>
                <w:lang w:val="en-US" w:eastAsia="zh-CN"/>
              </w:rPr>
              <w:t>4</w:t>
            </w:r>
          </w:p>
        </w:tc>
        <w:tc>
          <w:tcPr>
            <w:tcW w:w="7711" w:type="dxa"/>
            <w:noWrap w:val="0"/>
            <w:vAlign w:val="center"/>
          </w:tcPr>
          <w:p w14:paraId="581C5C0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hint="eastAsia" w:ascii="宋体" w:hAnsi="宋体" w:eastAsia="宋体" w:cs="宋体"/>
                <w:color w:val="FF0000"/>
                <w:kern w:val="2"/>
                <w:sz w:val="28"/>
                <w:szCs w:val="28"/>
                <w:highlight w:val="none"/>
                <w:lang w:val="en-US" w:eastAsia="zh-CN" w:bidi="ar-SA"/>
              </w:rPr>
            </w:pPr>
            <w:r>
              <w:rPr>
                <w:rFonts w:hint="eastAsia" w:ascii="宋体" w:hAnsi="宋体" w:eastAsia="宋体" w:cs="宋体"/>
                <w:color w:val="FF0000"/>
                <w:sz w:val="28"/>
                <w:szCs w:val="28"/>
                <w:highlight w:val="none"/>
                <w:lang w:val="en-US" w:eastAsia="zh-CN"/>
              </w:rPr>
              <w:t>与其他投标供应商的投标文件由</w:t>
            </w:r>
            <w:r>
              <w:rPr>
                <w:rFonts w:hint="eastAsia" w:ascii="宋体" w:hAnsi="宋体" w:eastAsia="宋体" w:cs="宋体"/>
                <w:b/>
                <w:bCs/>
                <w:color w:val="FF0000"/>
                <w:sz w:val="28"/>
                <w:szCs w:val="28"/>
                <w:highlight w:val="none"/>
                <w:lang w:val="en-US" w:eastAsia="zh-CN"/>
              </w:rPr>
              <w:t>同一单位或者同一人编制</w:t>
            </w:r>
            <w:r>
              <w:rPr>
                <w:rFonts w:hint="eastAsia" w:ascii="宋体" w:hAnsi="宋体" w:eastAsia="宋体" w:cs="宋体"/>
                <w:color w:val="FF0000"/>
                <w:sz w:val="28"/>
                <w:szCs w:val="28"/>
                <w:highlight w:val="none"/>
                <w:lang w:val="en-US" w:eastAsia="zh-CN"/>
              </w:rPr>
              <w:t>，或者使用</w:t>
            </w:r>
            <w:r>
              <w:rPr>
                <w:rFonts w:hint="eastAsia" w:ascii="宋体" w:hAnsi="宋体" w:eastAsia="宋体" w:cs="宋体"/>
                <w:b/>
                <w:bCs/>
                <w:color w:val="FF0000"/>
                <w:sz w:val="28"/>
                <w:szCs w:val="28"/>
                <w:highlight w:val="none"/>
                <w:lang w:val="en-US" w:eastAsia="zh-CN"/>
              </w:rPr>
              <w:t>同一设备编制</w:t>
            </w:r>
            <w:r>
              <w:rPr>
                <w:rFonts w:hint="eastAsia" w:ascii="宋体" w:hAnsi="宋体" w:eastAsia="宋体" w:cs="宋体"/>
                <w:color w:val="FF0000"/>
                <w:sz w:val="28"/>
                <w:szCs w:val="28"/>
                <w:highlight w:val="none"/>
                <w:lang w:val="en-US" w:eastAsia="zh-CN"/>
              </w:rPr>
              <w:t>（“文件制作机器码”“文件创建标识码”一致）。</w:t>
            </w:r>
          </w:p>
        </w:tc>
      </w:tr>
      <w:tr w14:paraId="13D819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5" w:hRule="atLeast"/>
          <w:jc w:val="center"/>
        </w:trPr>
        <w:tc>
          <w:tcPr>
            <w:tcW w:w="1155" w:type="dxa"/>
            <w:noWrap w:val="0"/>
            <w:vAlign w:val="center"/>
          </w:tcPr>
          <w:p w14:paraId="26C1530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FF0000"/>
                <w:sz w:val="28"/>
                <w:szCs w:val="28"/>
                <w:highlight w:val="none"/>
                <w:lang w:val="en-US" w:eastAsia="zh-CN"/>
              </w:rPr>
            </w:pPr>
            <w:r>
              <w:rPr>
                <w:rFonts w:hint="eastAsia" w:ascii="宋体" w:hAnsi="宋体" w:eastAsia="宋体" w:cs="宋体"/>
                <w:color w:val="FF0000"/>
                <w:sz w:val="28"/>
                <w:szCs w:val="28"/>
                <w:highlight w:val="none"/>
                <w:lang w:val="en-US" w:eastAsia="zh-CN"/>
              </w:rPr>
              <w:t>5</w:t>
            </w:r>
          </w:p>
        </w:tc>
        <w:tc>
          <w:tcPr>
            <w:tcW w:w="7711" w:type="dxa"/>
            <w:noWrap w:val="0"/>
            <w:vAlign w:val="center"/>
          </w:tcPr>
          <w:p w14:paraId="403AF6E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hint="eastAsia" w:ascii="宋体" w:hAnsi="宋体" w:eastAsia="宋体" w:cs="宋体"/>
                <w:color w:val="FF0000"/>
                <w:sz w:val="28"/>
                <w:szCs w:val="28"/>
                <w:highlight w:val="none"/>
                <w:lang w:val="en-US" w:eastAsia="zh-CN"/>
              </w:rPr>
            </w:pPr>
            <w:r>
              <w:rPr>
                <w:rFonts w:hint="eastAsia" w:ascii="宋体" w:hAnsi="宋体" w:eastAsia="宋体" w:cs="宋体"/>
                <w:color w:val="FF0000"/>
                <w:sz w:val="28"/>
                <w:szCs w:val="28"/>
                <w:highlight w:val="none"/>
                <w:lang w:val="en-US" w:eastAsia="zh-CN"/>
              </w:rPr>
              <w:t>提供</w:t>
            </w:r>
            <w:r>
              <w:rPr>
                <w:rFonts w:hint="eastAsia" w:ascii="宋体" w:hAnsi="宋体" w:eastAsia="宋体" w:cs="宋体"/>
                <w:b/>
                <w:bCs/>
                <w:color w:val="FF0000"/>
                <w:sz w:val="28"/>
                <w:szCs w:val="28"/>
                <w:highlight w:val="none"/>
                <w:lang w:val="en-US" w:eastAsia="zh-CN"/>
              </w:rPr>
              <w:t>未经出具机构核实</w:t>
            </w:r>
            <w:r>
              <w:rPr>
                <w:rFonts w:hint="eastAsia" w:ascii="宋体" w:hAnsi="宋体" w:eastAsia="宋体" w:cs="宋体"/>
                <w:color w:val="FF0000"/>
                <w:sz w:val="28"/>
                <w:szCs w:val="28"/>
                <w:highlight w:val="none"/>
                <w:lang w:val="en-US" w:eastAsia="zh-CN"/>
              </w:rPr>
              <w:t>的虚假的检验检测报告、业绩材料、社保缴纳证明、学历学位证书、职称认证证书等材料。</w:t>
            </w:r>
          </w:p>
        </w:tc>
      </w:tr>
      <w:tr w14:paraId="585DFD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jc w:val="center"/>
        </w:trPr>
        <w:tc>
          <w:tcPr>
            <w:tcW w:w="1155" w:type="dxa"/>
            <w:noWrap w:val="0"/>
            <w:vAlign w:val="center"/>
          </w:tcPr>
          <w:p w14:paraId="520788D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FF0000"/>
                <w:sz w:val="28"/>
                <w:szCs w:val="28"/>
                <w:highlight w:val="none"/>
                <w:lang w:val="en-US" w:eastAsia="zh-CN"/>
              </w:rPr>
            </w:pPr>
            <w:r>
              <w:rPr>
                <w:rFonts w:hint="eastAsia" w:ascii="宋体" w:hAnsi="宋体" w:eastAsia="宋体" w:cs="宋体"/>
                <w:color w:val="FF0000"/>
                <w:sz w:val="28"/>
                <w:szCs w:val="28"/>
                <w:highlight w:val="none"/>
                <w:lang w:val="en-US" w:eastAsia="zh-CN"/>
              </w:rPr>
              <w:t>6</w:t>
            </w:r>
          </w:p>
        </w:tc>
        <w:tc>
          <w:tcPr>
            <w:tcW w:w="7711" w:type="dxa"/>
            <w:noWrap w:val="0"/>
            <w:vAlign w:val="center"/>
          </w:tcPr>
          <w:p w14:paraId="4B0D6CB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hint="eastAsia" w:ascii="宋体" w:hAnsi="宋体" w:eastAsia="宋体" w:cs="宋体"/>
                <w:color w:val="FF0000"/>
                <w:kern w:val="2"/>
                <w:sz w:val="28"/>
                <w:szCs w:val="28"/>
                <w:highlight w:val="none"/>
                <w:lang w:val="en-US" w:eastAsia="zh-CN" w:bidi="ar-SA"/>
              </w:rPr>
            </w:pPr>
            <w:r>
              <w:rPr>
                <w:rFonts w:hint="eastAsia" w:ascii="宋体" w:hAnsi="宋体" w:eastAsia="宋体" w:cs="宋体"/>
                <w:color w:val="FF0000"/>
                <w:sz w:val="28"/>
                <w:szCs w:val="28"/>
                <w:highlight w:val="none"/>
                <w:lang w:val="en-US" w:eastAsia="zh-CN"/>
              </w:rPr>
              <w:t>擅自将投标密钥</w:t>
            </w:r>
            <w:r>
              <w:rPr>
                <w:rFonts w:hint="eastAsia" w:ascii="宋体" w:hAnsi="宋体" w:eastAsia="宋体" w:cs="宋体"/>
                <w:color w:val="FF0000"/>
                <w:sz w:val="28"/>
                <w:szCs w:val="28"/>
                <w:highlight w:val="none"/>
                <w:lang w:eastAsia="zh-CN"/>
              </w:rPr>
              <w:t>或</w:t>
            </w:r>
            <w:r>
              <w:rPr>
                <w:rFonts w:hint="eastAsia" w:ascii="宋体" w:hAnsi="宋体" w:eastAsia="宋体" w:cs="宋体"/>
                <w:color w:val="FF0000"/>
                <w:sz w:val="28"/>
                <w:szCs w:val="28"/>
                <w:highlight w:val="none"/>
                <w:lang w:val="en-US" w:eastAsia="zh-CN"/>
              </w:rPr>
              <w:t>电子营业执照出借他人使用或未妥善保管。</w:t>
            </w:r>
          </w:p>
        </w:tc>
      </w:tr>
    </w:tbl>
    <w:p w14:paraId="179585CB">
      <w:pPr>
        <w:rPr>
          <w:rFonts w:asciiTheme="minorEastAsia" w:hAnsiTheme="minorEastAsia" w:cstheme="minorEastAsia"/>
          <w:szCs w:val="21"/>
        </w:rPr>
      </w:pPr>
    </w:p>
    <w:p w14:paraId="10E164FD">
      <w:pPr>
        <w:rPr>
          <w:rFonts w:hint="eastAsia" w:asciiTheme="minorEastAsia" w:hAnsiTheme="minorEastAsia" w:cstheme="minorEastAsia"/>
          <w:szCs w:val="21"/>
        </w:rPr>
      </w:pPr>
      <w:r>
        <w:rPr>
          <w:rFonts w:hint="eastAsia" w:asciiTheme="minorEastAsia" w:hAnsiTheme="minorEastAsia" w:cstheme="minorEastAsia"/>
          <w:szCs w:val="21"/>
        </w:rPr>
        <w:t xml:space="preserve"> </w:t>
      </w:r>
    </w:p>
    <w:p w14:paraId="538F311D">
      <w:pPr>
        <w:rPr>
          <w:rFonts w:hint="eastAsia" w:asciiTheme="minorEastAsia" w:hAnsiTheme="minorEastAsia" w:cstheme="minorEastAsia"/>
          <w:szCs w:val="21"/>
        </w:rPr>
      </w:pPr>
    </w:p>
    <w:p w14:paraId="1D12076D">
      <w:pPr>
        <w:rPr>
          <w:rFonts w:hint="eastAsia" w:asciiTheme="minorEastAsia" w:hAnsiTheme="minorEastAsia" w:cstheme="minorEastAsia"/>
          <w:szCs w:val="21"/>
        </w:rPr>
      </w:pPr>
    </w:p>
    <w:p w14:paraId="0592315D">
      <w:pPr>
        <w:rPr>
          <w:rFonts w:hint="eastAsia" w:asciiTheme="minorEastAsia" w:hAnsiTheme="minorEastAsia" w:cstheme="minorEastAsia"/>
          <w:szCs w:val="21"/>
        </w:rPr>
      </w:pPr>
    </w:p>
    <w:p w14:paraId="2277D1FB">
      <w:pPr>
        <w:rPr>
          <w:rFonts w:hint="eastAsia" w:asciiTheme="minorEastAsia" w:hAnsiTheme="minorEastAsia" w:cstheme="minorEastAsia"/>
          <w:szCs w:val="21"/>
        </w:rPr>
      </w:pPr>
    </w:p>
    <w:p w14:paraId="5A35ED88">
      <w:pPr>
        <w:rPr>
          <w:rFonts w:hint="eastAsia" w:asciiTheme="minorEastAsia" w:hAnsiTheme="minorEastAsia" w:cstheme="minorEastAsia"/>
          <w:szCs w:val="21"/>
        </w:rPr>
      </w:pPr>
    </w:p>
    <w:p w14:paraId="2FF3BF78">
      <w:pPr>
        <w:rPr>
          <w:rFonts w:hint="eastAsia" w:asciiTheme="minorEastAsia" w:hAnsiTheme="minorEastAsia" w:cstheme="minorEastAsia"/>
          <w:szCs w:val="21"/>
        </w:rPr>
      </w:pPr>
    </w:p>
    <w:p w14:paraId="135AA796">
      <w:pPr>
        <w:rPr>
          <w:rFonts w:hint="eastAsia" w:asciiTheme="minorEastAsia" w:hAnsiTheme="minorEastAsia" w:cstheme="minorEastAsia"/>
          <w:szCs w:val="21"/>
        </w:rPr>
      </w:pPr>
    </w:p>
    <w:p w14:paraId="189AF714">
      <w:pPr>
        <w:rPr>
          <w:rFonts w:hint="eastAsia" w:asciiTheme="minorEastAsia" w:hAnsiTheme="minorEastAsia" w:cstheme="minorEastAsia"/>
          <w:szCs w:val="21"/>
        </w:rPr>
      </w:pPr>
    </w:p>
    <w:p w14:paraId="458ADCBE">
      <w:pPr>
        <w:rPr>
          <w:rFonts w:hint="eastAsia" w:asciiTheme="minorEastAsia" w:hAnsiTheme="minorEastAsia" w:cstheme="minorEastAsia"/>
          <w:szCs w:val="21"/>
        </w:rPr>
      </w:pPr>
    </w:p>
    <w:p w14:paraId="42E54434">
      <w:pPr>
        <w:rPr>
          <w:rFonts w:hint="eastAsia" w:asciiTheme="minorEastAsia" w:hAnsiTheme="minorEastAsia" w:cstheme="minorEastAsia"/>
          <w:szCs w:val="21"/>
        </w:rPr>
      </w:pPr>
    </w:p>
    <w:p w14:paraId="01F3185B">
      <w:pPr>
        <w:rPr>
          <w:rFonts w:hint="eastAsia" w:asciiTheme="minorEastAsia" w:hAnsiTheme="minorEastAsia" w:cstheme="minorEastAsia"/>
          <w:szCs w:val="21"/>
        </w:rPr>
      </w:pPr>
    </w:p>
    <w:p w14:paraId="65721845">
      <w:pPr>
        <w:rPr>
          <w:rFonts w:hint="eastAsia" w:asciiTheme="minorEastAsia" w:hAnsiTheme="minorEastAsia" w:cstheme="minorEastAsia"/>
          <w:szCs w:val="21"/>
        </w:rPr>
      </w:pPr>
    </w:p>
    <w:p w14:paraId="7BC49D61">
      <w:pPr>
        <w:rPr>
          <w:rFonts w:hint="eastAsia" w:asciiTheme="minorEastAsia" w:hAnsiTheme="minorEastAsia" w:cstheme="minorEastAsia"/>
          <w:szCs w:val="21"/>
        </w:rPr>
      </w:pPr>
    </w:p>
    <w:p w14:paraId="577D42E0">
      <w:pPr>
        <w:rPr>
          <w:rFonts w:hint="eastAsia" w:asciiTheme="minorEastAsia" w:hAnsiTheme="minorEastAsia" w:cstheme="minorEastAsia"/>
          <w:szCs w:val="21"/>
        </w:rPr>
      </w:pPr>
    </w:p>
    <w:p w14:paraId="5A0E7C44">
      <w:pPr>
        <w:rPr>
          <w:rFonts w:hint="eastAsia" w:asciiTheme="minorEastAsia" w:hAnsiTheme="minorEastAsia" w:cstheme="minorEastAsia"/>
          <w:szCs w:val="21"/>
        </w:rPr>
      </w:pPr>
    </w:p>
    <w:p w14:paraId="761FAC16">
      <w:pPr>
        <w:rPr>
          <w:rFonts w:hint="eastAsia" w:asciiTheme="minorEastAsia" w:hAnsiTheme="minorEastAsia" w:cstheme="minorEastAsia"/>
          <w:szCs w:val="21"/>
        </w:rPr>
      </w:pPr>
    </w:p>
    <w:p w14:paraId="34E45245">
      <w:pPr>
        <w:jc w:val="both"/>
        <w:outlineLvl w:val="9"/>
        <w:rPr>
          <w:rFonts w:hint="eastAsia" w:ascii="宋体" w:hAnsi="宋体" w:eastAsia="宋体" w:cs="宋体"/>
          <w:b/>
          <w:bCs/>
          <w:color w:val="FF0000"/>
          <w:sz w:val="36"/>
          <w:szCs w:val="36"/>
          <w:highlight w:val="none"/>
          <w:lang w:val="en-US" w:eastAsia="zh-CN"/>
        </w:rPr>
      </w:pPr>
    </w:p>
    <w:p w14:paraId="3857BC07">
      <w:pPr>
        <w:jc w:val="both"/>
        <w:outlineLvl w:val="9"/>
        <w:rPr>
          <w:rFonts w:hint="eastAsia" w:ascii="宋体" w:hAnsi="宋体" w:eastAsia="宋体" w:cs="宋体"/>
          <w:b/>
          <w:bCs/>
          <w:color w:val="FF0000"/>
          <w:sz w:val="36"/>
          <w:szCs w:val="36"/>
          <w:highlight w:val="none"/>
          <w:lang w:val="en-US" w:eastAsia="zh-CN"/>
        </w:rPr>
      </w:pPr>
    </w:p>
    <w:p w14:paraId="5D6319E1">
      <w:pPr>
        <w:ind w:firstLine="723" w:firstLineChars="200"/>
        <w:jc w:val="center"/>
        <w:outlineLvl w:val="9"/>
        <w:rPr>
          <w:rFonts w:hint="eastAsia" w:ascii="宋体" w:hAnsi="宋体" w:eastAsia="宋体" w:cs="宋体"/>
          <w:b/>
          <w:bCs/>
          <w:color w:val="FF0000"/>
          <w:sz w:val="36"/>
          <w:szCs w:val="36"/>
          <w:highlight w:val="none"/>
          <w:lang w:val="en-US" w:eastAsia="zh-CN"/>
        </w:rPr>
      </w:pPr>
      <w:r>
        <w:rPr>
          <w:rFonts w:hint="eastAsia" w:ascii="宋体" w:hAnsi="宋体" w:eastAsia="宋体" w:cs="宋体"/>
          <w:b/>
          <w:bCs/>
          <w:color w:val="FF0000"/>
          <w:sz w:val="36"/>
          <w:szCs w:val="36"/>
          <w:highlight w:val="none"/>
          <w:lang w:val="en-US" w:eastAsia="zh-CN"/>
        </w:rPr>
        <w:t>警示条款</w:t>
      </w:r>
    </w:p>
    <w:p w14:paraId="474C1D07">
      <w:pPr>
        <w:ind w:firstLine="480" w:firstLineChars="200"/>
        <w:outlineLvl w:val="9"/>
        <w:rPr>
          <w:rFonts w:hint="eastAsia" w:ascii="宋体" w:hAnsi="宋体" w:eastAsia="宋体" w:cs="宋体"/>
          <w:color w:val="FF0000"/>
          <w:sz w:val="24"/>
          <w:szCs w:val="24"/>
          <w:highlight w:val="none"/>
        </w:rPr>
      </w:pPr>
      <w:r>
        <w:rPr>
          <w:rFonts w:hint="eastAsia" w:ascii="宋体" w:hAnsi="宋体" w:eastAsia="宋体" w:cs="宋体"/>
          <w:color w:val="FF0000"/>
          <w:sz w:val="24"/>
          <w:szCs w:val="24"/>
          <w:highlight w:val="none"/>
        </w:rPr>
        <w:t>一、《深圳经济特区政府采购条例》第五十七条 供应商在政府采购中，有下列行为之一的，一至三年内禁止其参与本市政府采购，并由主管部门记入供应商诚信档案，处以采购金额千分之十以上千分之二十以下的罚款；情节严重的，取消其参与本市政府采购资格，处以采购金额千分之二十以上千分之三十以下的罚款，并由市场监管部门依法吊销其营业执照；给他人造成损失的，依法承担赔偿责任；构成犯罪的，依法追究刑事责任：</w:t>
      </w:r>
    </w:p>
    <w:p w14:paraId="2316AF09">
      <w:pPr>
        <w:ind w:firstLine="480" w:firstLineChars="200"/>
        <w:outlineLvl w:val="9"/>
        <w:rPr>
          <w:rFonts w:hint="eastAsia" w:ascii="宋体" w:hAnsi="宋体" w:eastAsia="宋体" w:cs="宋体"/>
          <w:color w:val="FF0000"/>
          <w:sz w:val="24"/>
          <w:szCs w:val="24"/>
          <w:highlight w:val="none"/>
        </w:rPr>
      </w:pPr>
      <w:r>
        <w:rPr>
          <w:rFonts w:hint="eastAsia" w:ascii="宋体" w:hAnsi="宋体" w:eastAsia="宋体" w:cs="宋体"/>
          <w:color w:val="FF0000"/>
          <w:sz w:val="24"/>
          <w:szCs w:val="24"/>
          <w:highlight w:val="none"/>
        </w:rPr>
        <w:t>（一）在采购活动中应当回避而未回避的；</w:t>
      </w:r>
    </w:p>
    <w:p w14:paraId="37EEE270">
      <w:pPr>
        <w:ind w:firstLine="480" w:firstLineChars="200"/>
        <w:outlineLvl w:val="9"/>
        <w:rPr>
          <w:rFonts w:hint="eastAsia" w:ascii="宋体" w:hAnsi="宋体" w:eastAsia="宋体" w:cs="宋体"/>
          <w:color w:val="FF0000"/>
          <w:sz w:val="24"/>
          <w:szCs w:val="24"/>
          <w:highlight w:val="none"/>
        </w:rPr>
      </w:pPr>
      <w:r>
        <w:rPr>
          <w:rFonts w:hint="eastAsia" w:ascii="宋体" w:hAnsi="宋体" w:eastAsia="宋体" w:cs="宋体"/>
          <w:color w:val="FF0000"/>
          <w:sz w:val="24"/>
          <w:szCs w:val="24"/>
          <w:highlight w:val="none"/>
        </w:rPr>
        <w:t>（二）未按本条例规定签订、履行采购合同，造成严重后果的；</w:t>
      </w:r>
    </w:p>
    <w:p w14:paraId="4808C232">
      <w:pPr>
        <w:ind w:firstLine="480" w:firstLineChars="200"/>
        <w:outlineLvl w:val="9"/>
        <w:rPr>
          <w:rFonts w:hint="eastAsia" w:ascii="宋体" w:hAnsi="宋体" w:eastAsia="宋体" w:cs="宋体"/>
          <w:color w:val="FF0000"/>
          <w:sz w:val="24"/>
          <w:szCs w:val="24"/>
          <w:highlight w:val="none"/>
        </w:rPr>
      </w:pPr>
      <w:r>
        <w:rPr>
          <w:rFonts w:hint="eastAsia" w:ascii="宋体" w:hAnsi="宋体" w:eastAsia="宋体" w:cs="宋体"/>
          <w:color w:val="FF0000"/>
          <w:sz w:val="24"/>
          <w:szCs w:val="24"/>
          <w:highlight w:val="none"/>
        </w:rPr>
        <w:t>（三）隐瞒真实情况，提供虚假资料的；</w:t>
      </w:r>
    </w:p>
    <w:p w14:paraId="5345B83E">
      <w:pPr>
        <w:ind w:firstLine="480" w:firstLineChars="200"/>
        <w:outlineLvl w:val="9"/>
        <w:rPr>
          <w:rFonts w:hint="eastAsia" w:ascii="宋体" w:hAnsi="宋体" w:eastAsia="宋体" w:cs="宋体"/>
          <w:color w:val="FF0000"/>
          <w:sz w:val="24"/>
          <w:szCs w:val="24"/>
          <w:highlight w:val="none"/>
        </w:rPr>
      </w:pPr>
      <w:r>
        <w:rPr>
          <w:rFonts w:hint="eastAsia" w:ascii="宋体" w:hAnsi="宋体" w:eastAsia="宋体" w:cs="宋体"/>
          <w:color w:val="FF0000"/>
          <w:sz w:val="24"/>
          <w:szCs w:val="24"/>
          <w:highlight w:val="none"/>
        </w:rPr>
        <w:t>（四）以非法手段排斥其他供应商参与竞争的；</w:t>
      </w:r>
    </w:p>
    <w:p w14:paraId="3340A433">
      <w:pPr>
        <w:ind w:firstLine="480" w:firstLineChars="200"/>
        <w:outlineLvl w:val="9"/>
        <w:rPr>
          <w:rFonts w:hint="eastAsia" w:ascii="宋体" w:hAnsi="宋体" w:eastAsia="宋体" w:cs="宋体"/>
          <w:color w:val="FF0000"/>
          <w:sz w:val="24"/>
          <w:szCs w:val="24"/>
          <w:highlight w:val="none"/>
        </w:rPr>
      </w:pPr>
      <w:r>
        <w:rPr>
          <w:rFonts w:hint="eastAsia" w:ascii="宋体" w:hAnsi="宋体" w:eastAsia="宋体" w:cs="宋体"/>
          <w:color w:val="FF0000"/>
          <w:sz w:val="24"/>
          <w:szCs w:val="24"/>
          <w:highlight w:val="none"/>
        </w:rPr>
        <w:t>（五）与其他采购参加人串通投标的；</w:t>
      </w:r>
    </w:p>
    <w:p w14:paraId="0136FED1">
      <w:pPr>
        <w:ind w:firstLine="480" w:firstLineChars="200"/>
        <w:outlineLvl w:val="9"/>
        <w:rPr>
          <w:rFonts w:hint="eastAsia" w:ascii="宋体" w:hAnsi="宋体" w:eastAsia="宋体" w:cs="宋体"/>
          <w:color w:val="FF0000"/>
          <w:sz w:val="24"/>
          <w:szCs w:val="24"/>
          <w:highlight w:val="none"/>
        </w:rPr>
      </w:pPr>
      <w:r>
        <w:rPr>
          <w:rFonts w:hint="eastAsia" w:ascii="宋体" w:hAnsi="宋体" w:eastAsia="宋体" w:cs="宋体"/>
          <w:color w:val="FF0000"/>
          <w:sz w:val="24"/>
          <w:szCs w:val="24"/>
          <w:highlight w:val="none"/>
        </w:rPr>
        <w:t>（六）恶意投诉的；</w:t>
      </w:r>
    </w:p>
    <w:p w14:paraId="59253FC5">
      <w:pPr>
        <w:ind w:firstLine="480" w:firstLineChars="200"/>
        <w:outlineLvl w:val="9"/>
        <w:rPr>
          <w:rFonts w:hint="eastAsia" w:ascii="宋体" w:hAnsi="宋体" w:eastAsia="宋体" w:cs="宋体"/>
          <w:color w:val="FF0000"/>
          <w:sz w:val="24"/>
          <w:szCs w:val="24"/>
          <w:highlight w:val="none"/>
        </w:rPr>
      </w:pPr>
      <w:r>
        <w:rPr>
          <w:rFonts w:hint="eastAsia" w:ascii="宋体" w:hAnsi="宋体" w:eastAsia="宋体" w:cs="宋体"/>
          <w:color w:val="FF0000"/>
          <w:sz w:val="24"/>
          <w:szCs w:val="24"/>
          <w:highlight w:val="none"/>
        </w:rPr>
        <w:t>（七）向采购项目相关人行贿或者提供其他不当利益的；</w:t>
      </w:r>
    </w:p>
    <w:p w14:paraId="1F389C19">
      <w:pPr>
        <w:ind w:firstLine="480" w:firstLineChars="200"/>
        <w:outlineLvl w:val="9"/>
        <w:rPr>
          <w:rFonts w:hint="eastAsia" w:ascii="宋体" w:hAnsi="宋体" w:eastAsia="宋体" w:cs="宋体"/>
          <w:color w:val="FF0000"/>
          <w:sz w:val="24"/>
          <w:szCs w:val="24"/>
          <w:highlight w:val="none"/>
        </w:rPr>
      </w:pPr>
      <w:r>
        <w:rPr>
          <w:rFonts w:hint="eastAsia" w:ascii="宋体" w:hAnsi="宋体" w:eastAsia="宋体" w:cs="宋体"/>
          <w:color w:val="FF0000"/>
          <w:sz w:val="24"/>
          <w:szCs w:val="24"/>
          <w:highlight w:val="none"/>
        </w:rPr>
        <w:t>（八）阻碍、抗拒主管部门监督检查的；</w:t>
      </w:r>
    </w:p>
    <w:p w14:paraId="02FF8D10">
      <w:pPr>
        <w:ind w:firstLine="480" w:firstLineChars="200"/>
        <w:outlineLvl w:val="9"/>
        <w:rPr>
          <w:rFonts w:hint="eastAsia" w:ascii="宋体" w:hAnsi="宋体" w:eastAsia="宋体" w:cs="宋体"/>
          <w:color w:val="FF0000"/>
          <w:sz w:val="24"/>
          <w:szCs w:val="24"/>
          <w:highlight w:val="none"/>
        </w:rPr>
      </w:pPr>
      <w:r>
        <w:rPr>
          <w:rFonts w:hint="eastAsia" w:ascii="宋体" w:hAnsi="宋体" w:eastAsia="宋体" w:cs="宋体"/>
          <w:color w:val="FF0000"/>
          <w:sz w:val="24"/>
          <w:szCs w:val="24"/>
          <w:highlight w:val="none"/>
        </w:rPr>
        <w:t>（九）其他违反本条例规定的行为。</w:t>
      </w:r>
    </w:p>
    <w:p w14:paraId="51EEDF7A">
      <w:pPr>
        <w:ind w:firstLine="480" w:firstLineChars="200"/>
        <w:outlineLvl w:val="9"/>
        <w:rPr>
          <w:rFonts w:hint="eastAsia" w:ascii="宋体" w:hAnsi="宋体" w:eastAsia="宋体" w:cs="宋体"/>
          <w:color w:val="FF0000"/>
          <w:sz w:val="24"/>
          <w:szCs w:val="24"/>
          <w:highlight w:val="none"/>
        </w:rPr>
      </w:pPr>
      <w:r>
        <w:rPr>
          <w:rFonts w:hint="eastAsia" w:ascii="宋体" w:hAnsi="宋体" w:eastAsia="宋体" w:cs="宋体"/>
          <w:color w:val="FF0000"/>
          <w:sz w:val="24"/>
          <w:szCs w:val="24"/>
          <w:highlight w:val="none"/>
        </w:rPr>
        <w:t>二、《深圳经济特区政府采购条例实施细则》第七十五条 供应商有下列情形的，属于采购条例所称的串通投标行为，按照采购条例第五十七条有关规定处理：</w:t>
      </w:r>
    </w:p>
    <w:p w14:paraId="2ADCC08D">
      <w:pPr>
        <w:ind w:firstLine="480" w:firstLineChars="200"/>
        <w:outlineLvl w:val="9"/>
        <w:rPr>
          <w:rFonts w:hint="eastAsia" w:ascii="宋体" w:hAnsi="宋体" w:eastAsia="宋体" w:cs="宋体"/>
          <w:color w:val="FF0000"/>
          <w:sz w:val="24"/>
          <w:szCs w:val="24"/>
          <w:highlight w:val="none"/>
        </w:rPr>
      </w:pPr>
      <w:r>
        <w:rPr>
          <w:rFonts w:hint="eastAsia" w:ascii="宋体" w:hAnsi="宋体" w:eastAsia="宋体" w:cs="宋体"/>
          <w:color w:val="FF0000"/>
          <w:sz w:val="24"/>
          <w:szCs w:val="24"/>
          <w:highlight w:val="none"/>
        </w:rPr>
        <w:t>（一）投标供应商之间相互约定给予未中标的供应商利益补偿；</w:t>
      </w:r>
    </w:p>
    <w:p w14:paraId="55ED5229">
      <w:pPr>
        <w:ind w:firstLine="480" w:firstLineChars="200"/>
        <w:outlineLvl w:val="9"/>
        <w:rPr>
          <w:rFonts w:hint="eastAsia" w:ascii="宋体" w:hAnsi="宋体" w:eastAsia="宋体" w:cs="宋体"/>
          <w:color w:val="FF0000"/>
          <w:sz w:val="24"/>
          <w:szCs w:val="24"/>
          <w:highlight w:val="none"/>
        </w:rPr>
      </w:pPr>
      <w:r>
        <w:rPr>
          <w:rFonts w:hint="eastAsia" w:ascii="宋体" w:hAnsi="宋体" w:eastAsia="宋体" w:cs="宋体"/>
          <w:color w:val="FF0000"/>
          <w:sz w:val="24"/>
          <w:szCs w:val="24"/>
          <w:highlight w:val="none"/>
        </w:rPr>
        <w:t>（二）不同投标供应商的法定代表人、主要经营负责人、项目投标授权代表人、项目负责人、主要技术人员为同一人、属同一单位或者在同一单位缴纳社会保险；</w:t>
      </w:r>
    </w:p>
    <w:p w14:paraId="78F14F4A">
      <w:pPr>
        <w:ind w:firstLine="480" w:firstLineChars="200"/>
        <w:outlineLvl w:val="9"/>
        <w:rPr>
          <w:rFonts w:hint="eastAsia" w:ascii="宋体" w:hAnsi="宋体" w:eastAsia="宋体" w:cs="宋体"/>
          <w:color w:val="FF0000"/>
          <w:sz w:val="24"/>
          <w:szCs w:val="24"/>
          <w:highlight w:val="none"/>
        </w:rPr>
      </w:pPr>
      <w:r>
        <w:rPr>
          <w:rFonts w:hint="eastAsia" w:ascii="宋体" w:hAnsi="宋体" w:eastAsia="宋体" w:cs="宋体"/>
          <w:color w:val="FF0000"/>
          <w:sz w:val="24"/>
          <w:szCs w:val="24"/>
          <w:highlight w:val="none"/>
        </w:rPr>
        <w:t>（三）不同投标供应商的投标文件由同一单位或者同一人编制，或者由同一人分阶段参与编制的；</w:t>
      </w:r>
    </w:p>
    <w:p w14:paraId="16658C61">
      <w:pPr>
        <w:ind w:firstLine="480" w:firstLineChars="200"/>
        <w:outlineLvl w:val="9"/>
        <w:rPr>
          <w:rFonts w:hint="eastAsia" w:ascii="宋体" w:hAnsi="宋体" w:eastAsia="宋体" w:cs="宋体"/>
          <w:color w:val="FF0000"/>
          <w:sz w:val="24"/>
          <w:szCs w:val="24"/>
          <w:highlight w:val="none"/>
        </w:rPr>
      </w:pPr>
      <w:r>
        <w:rPr>
          <w:rFonts w:hint="eastAsia" w:ascii="宋体" w:hAnsi="宋体" w:eastAsia="宋体" w:cs="宋体"/>
          <w:color w:val="FF0000"/>
          <w:sz w:val="24"/>
          <w:szCs w:val="24"/>
          <w:highlight w:val="none"/>
        </w:rPr>
        <w:t>（四）不同投标供应商的投标文件或部分投标文件相互混装；</w:t>
      </w:r>
    </w:p>
    <w:p w14:paraId="51962992">
      <w:pPr>
        <w:ind w:firstLine="480" w:firstLineChars="200"/>
        <w:outlineLvl w:val="9"/>
        <w:rPr>
          <w:rFonts w:hint="eastAsia" w:ascii="宋体" w:hAnsi="宋体" w:eastAsia="宋体" w:cs="宋体"/>
          <w:color w:val="FF0000"/>
          <w:sz w:val="24"/>
          <w:szCs w:val="24"/>
          <w:highlight w:val="none"/>
        </w:rPr>
      </w:pPr>
      <w:r>
        <w:rPr>
          <w:rFonts w:hint="eastAsia" w:ascii="宋体" w:hAnsi="宋体" w:eastAsia="宋体" w:cs="宋体"/>
          <w:color w:val="FF0000"/>
          <w:sz w:val="24"/>
          <w:szCs w:val="24"/>
          <w:highlight w:val="none"/>
        </w:rPr>
        <w:t>（五）不同投标供应商的投标文件内容存在非正常一致；</w:t>
      </w:r>
    </w:p>
    <w:p w14:paraId="434F021A">
      <w:pPr>
        <w:ind w:firstLine="480" w:firstLineChars="200"/>
        <w:outlineLvl w:val="9"/>
        <w:rPr>
          <w:rFonts w:hint="eastAsia" w:ascii="宋体" w:hAnsi="宋体" w:eastAsia="宋体" w:cs="宋体"/>
          <w:color w:val="FF0000"/>
          <w:sz w:val="24"/>
          <w:szCs w:val="24"/>
          <w:highlight w:val="none"/>
        </w:rPr>
      </w:pPr>
      <w:r>
        <w:rPr>
          <w:rFonts w:hint="eastAsia" w:ascii="宋体" w:hAnsi="宋体" w:eastAsia="宋体" w:cs="宋体"/>
          <w:color w:val="FF0000"/>
          <w:sz w:val="24"/>
          <w:szCs w:val="24"/>
          <w:highlight w:val="none"/>
        </w:rPr>
        <w:t>（六）由同一单位工作人员为两家以上（含两家）供应商进行同一项投标活动的；</w:t>
      </w:r>
    </w:p>
    <w:p w14:paraId="4A398EC5">
      <w:pPr>
        <w:ind w:firstLine="480" w:firstLineChars="200"/>
        <w:outlineLvl w:val="9"/>
        <w:rPr>
          <w:rFonts w:hint="eastAsia" w:ascii="宋体" w:hAnsi="宋体" w:eastAsia="宋体" w:cs="宋体"/>
          <w:color w:val="FF0000"/>
          <w:sz w:val="24"/>
          <w:szCs w:val="24"/>
          <w:highlight w:val="none"/>
        </w:rPr>
      </w:pPr>
      <w:r>
        <w:rPr>
          <w:rFonts w:hint="eastAsia" w:ascii="宋体" w:hAnsi="宋体" w:eastAsia="宋体" w:cs="宋体"/>
          <w:color w:val="FF0000"/>
          <w:sz w:val="24"/>
          <w:szCs w:val="24"/>
          <w:highlight w:val="none"/>
        </w:rPr>
        <w:t>（七）主管部门依照法律、法规认定的其他情形。</w:t>
      </w:r>
    </w:p>
    <w:p w14:paraId="79CD4B54">
      <w:pPr>
        <w:ind w:firstLine="480" w:firstLineChars="200"/>
        <w:outlineLvl w:val="9"/>
        <w:rPr>
          <w:rFonts w:hint="eastAsia" w:ascii="宋体" w:hAnsi="宋体" w:eastAsia="宋体" w:cs="宋体"/>
          <w:color w:val="FF0000"/>
          <w:sz w:val="24"/>
          <w:szCs w:val="24"/>
          <w:highlight w:val="none"/>
        </w:rPr>
      </w:pPr>
      <w:r>
        <w:rPr>
          <w:rFonts w:hint="eastAsia" w:ascii="宋体" w:hAnsi="宋体" w:eastAsia="宋体" w:cs="宋体"/>
          <w:color w:val="FF0000"/>
          <w:sz w:val="24"/>
          <w:szCs w:val="24"/>
          <w:highlight w:val="none"/>
        </w:rPr>
        <w:t>三、《深圳经济特区政府采购条例实施细则》第七十七条 供应商有下列情形之一的，属于隐瞒真实情况，提供虚假资料，按照采购条例第五十</w:t>
      </w:r>
      <w:r>
        <w:rPr>
          <w:rFonts w:hint="eastAsia" w:ascii="宋体" w:hAnsi="宋体" w:eastAsia="宋体" w:cs="宋体"/>
          <w:color w:val="FF0000"/>
          <w:sz w:val="24"/>
          <w:szCs w:val="24"/>
          <w:highlight w:val="none"/>
          <w:lang w:eastAsia="zh-CN"/>
        </w:rPr>
        <w:t>七条</w:t>
      </w:r>
      <w:r>
        <w:rPr>
          <w:rFonts w:hint="eastAsia" w:ascii="宋体" w:hAnsi="宋体" w:eastAsia="宋体" w:cs="宋体"/>
          <w:color w:val="FF0000"/>
          <w:sz w:val="24"/>
          <w:szCs w:val="24"/>
          <w:highlight w:val="none"/>
        </w:rPr>
        <w:t>的有关规定处理：</w:t>
      </w:r>
    </w:p>
    <w:p w14:paraId="741CCB3A">
      <w:pPr>
        <w:ind w:firstLine="480" w:firstLineChars="200"/>
        <w:outlineLvl w:val="9"/>
        <w:rPr>
          <w:rFonts w:hint="eastAsia" w:ascii="宋体" w:hAnsi="宋体" w:eastAsia="宋体" w:cs="宋体"/>
          <w:color w:val="FF0000"/>
          <w:sz w:val="24"/>
          <w:szCs w:val="24"/>
          <w:highlight w:val="none"/>
        </w:rPr>
      </w:pPr>
      <w:r>
        <w:rPr>
          <w:rFonts w:hint="eastAsia" w:ascii="宋体" w:hAnsi="宋体" w:eastAsia="宋体" w:cs="宋体"/>
          <w:color w:val="FF0000"/>
          <w:sz w:val="24"/>
          <w:szCs w:val="24"/>
          <w:highlight w:val="none"/>
        </w:rPr>
        <w:t>（一）通过转让或者租借等方式从其他单位获取资格或者资质证书投标的；</w:t>
      </w:r>
    </w:p>
    <w:p w14:paraId="596ABDAF">
      <w:pPr>
        <w:ind w:firstLine="480" w:firstLineChars="200"/>
        <w:outlineLvl w:val="9"/>
        <w:rPr>
          <w:rFonts w:hint="eastAsia" w:ascii="宋体" w:hAnsi="宋体" w:eastAsia="宋体" w:cs="宋体"/>
          <w:color w:val="FF0000"/>
          <w:sz w:val="24"/>
          <w:szCs w:val="24"/>
          <w:highlight w:val="none"/>
        </w:rPr>
      </w:pPr>
      <w:r>
        <w:rPr>
          <w:rFonts w:hint="eastAsia" w:ascii="宋体" w:hAnsi="宋体" w:eastAsia="宋体" w:cs="宋体"/>
          <w:color w:val="FF0000"/>
          <w:sz w:val="24"/>
          <w:szCs w:val="24"/>
          <w:highlight w:val="none"/>
        </w:rPr>
        <w:t>（二）由其他单位或者其他单位负责人在投标供应商编制的投标文件上加盖印章或者签字的；</w:t>
      </w:r>
    </w:p>
    <w:p w14:paraId="34B94082">
      <w:pPr>
        <w:ind w:firstLine="480" w:firstLineChars="200"/>
        <w:outlineLvl w:val="9"/>
        <w:rPr>
          <w:rFonts w:hint="eastAsia" w:ascii="宋体" w:hAnsi="宋体" w:eastAsia="宋体" w:cs="宋体"/>
          <w:color w:val="FF0000"/>
          <w:sz w:val="24"/>
          <w:szCs w:val="24"/>
          <w:highlight w:val="none"/>
        </w:rPr>
      </w:pPr>
      <w:r>
        <w:rPr>
          <w:rFonts w:hint="eastAsia" w:ascii="宋体" w:hAnsi="宋体" w:eastAsia="宋体" w:cs="宋体"/>
          <w:color w:val="FF0000"/>
          <w:sz w:val="24"/>
          <w:szCs w:val="24"/>
          <w:highlight w:val="none"/>
        </w:rPr>
        <w:t>（三）项目负责人或者主要技术人员不是本单位人员的；</w:t>
      </w:r>
    </w:p>
    <w:p w14:paraId="17A63479">
      <w:pPr>
        <w:ind w:firstLine="480" w:firstLineChars="200"/>
        <w:outlineLvl w:val="9"/>
        <w:rPr>
          <w:rFonts w:hint="eastAsia" w:ascii="宋体" w:hAnsi="宋体" w:eastAsia="宋体" w:cs="宋体"/>
          <w:color w:val="FF0000"/>
          <w:sz w:val="24"/>
          <w:szCs w:val="24"/>
          <w:highlight w:val="none"/>
        </w:rPr>
      </w:pPr>
      <w:r>
        <w:rPr>
          <w:rFonts w:hint="eastAsia" w:ascii="宋体" w:hAnsi="宋体" w:eastAsia="宋体" w:cs="宋体"/>
          <w:color w:val="FF0000"/>
          <w:sz w:val="24"/>
          <w:szCs w:val="24"/>
          <w:highlight w:val="none"/>
        </w:rPr>
        <w:t>（四）投标保证金不是从投标供应商基本账户转出的；</w:t>
      </w:r>
    </w:p>
    <w:p w14:paraId="52EF6864">
      <w:pPr>
        <w:ind w:firstLine="480" w:firstLineChars="200"/>
        <w:outlineLvl w:val="9"/>
        <w:rPr>
          <w:rFonts w:hint="eastAsia" w:ascii="宋体" w:hAnsi="宋体" w:eastAsia="宋体" w:cs="宋体"/>
          <w:color w:val="FF0000"/>
          <w:sz w:val="24"/>
          <w:szCs w:val="24"/>
          <w:highlight w:val="none"/>
        </w:rPr>
      </w:pPr>
      <w:r>
        <w:rPr>
          <w:rFonts w:hint="eastAsia" w:ascii="宋体" w:hAnsi="宋体" w:eastAsia="宋体" w:cs="宋体"/>
          <w:color w:val="FF0000"/>
          <w:sz w:val="24"/>
          <w:szCs w:val="24"/>
          <w:highlight w:val="none"/>
        </w:rPr>
        <w:t>（五）其他隐瞒真实情况、提供虚假资料的行为。</w:t>
      </w:r>
    </w:p>
    <w:p w14:paraId="06D64191">
      <w:pPr>
        <w:ind w:firstLine="480" w:firstLineChars="200"/>
        <w:outlineLvl w:val="9"/>
        <w:rPr>
          <w:rFonts w:hint="eastAsia" w:ascii="宋体" w:hAnsi="宋体" w:eastAsia="宋体" w:cs="宋体"/>
          <w:color w:val="FF0000"/>
          <w:sz w:val="24"/>
          <w:szCs w:val="24"/>
          <w:highlight w:val="none"/>
        </w:rPr>
      </w:pPr>
      <w:r>
        <w:rPr>
          <w:rFonts w:hint="eastAsia" w:ascii="宋体" w:hAnsi="宋体" w:eastAsia="宋体" w:cs="宋体"/>
          <w:color w:val="FF0000"/>
          <w:sz w:val="24"/>
          <w:szCs w:val="24"/>
          <w:highlight w:val="none"/>
        </w:rPr>
        <w:t>投标供应商不能提供项目负责人或者主要技术人员的劳动合同、社会保险等劳动关系证明材料的，视为存在前款第（三）项规定的情形。</w:t>
      </w:r>
    </w:p>
    <w:p w14:paraId="70767587">
      <w:pPr>
        <w:ind w:firstLine="480" w:firstLineChars="200"/>
        <w:outlineLvl w:val="9"/>
        <w:rPr>
          <w:rFonts w:hint="eastAsia" w:ascii="宋体" w:hAnsi="宋体" w:eastAsia="宋体" w:cs="宋体"/>
          <w:color w:val="FF0000"/>
          <w:sz w:val="24"/>
          <w:szCs w:val="24"/>
          <w:highlight w:val="none"/>
        </w:rPr>
      </w:pPr>
      <w:r>
        <w:rPr>
          <w:rFonts w:hint="eastAsia" w:ascii="宋体" w:hAnsi="宋体" w:eastAsia="宋体" w:cs="宋体"/>
          <w:color w:val="FF0000"/>
          <w:sz w:val="24"/>
          <w:szCs w:val="24"/>
          <w:highlight w:val="none"/>
        </w:rPr>
        <w:t>四、投标供应商严格核实所提交检测报告的真实性，除通过国家市场监督管理总局的全国认证认可信息公共服务平台核实报告编号、出具机构等基础信息外，还应尽可能通过检测报告出具机构的官网、邮箱、电话等可靠途径查询所提交检测报告具体内容的真实性（不可轻信检测报告上载明的网址、电话、二维码等），并留存核实过程证据备查，避免因未尽核实义务在投标文件中提交伪造、变造的虚假检测报告而被相关部门予以行政处罚。</w:t>
      </w:r>
    </w:p>
    <w:p w14:paraId="12CC135C">
      <w:pPr>
        <w:ind w:firstLine="480" w:firstLineChars="200"/>
        <w:outlineLvl w:val="9"/>
        <w:rPr>
          <w:rFonts w:hint="eastAsia" w:ascii="宋体" w:hAnsi="宋体" w:eastAsia="宋体" w:cs="宋体"/>
          <w:color w:val="FF0000"/>
          <w:sz w:val="24"/>
          <w:szCs w:val="24"/>
          <w:highlight w:val="none"/>
        </w:rPr>
      </w:pPr>
      <w:r>
        <w:rPr>
          <w:rFonts w:hint="eastAsia" w:ascii="宋体" w:hAnsi="宋体" w:eastAsia="宋体" w:cs="宋体"/>
          <w:color w:val="FF0000"/>
          <w:sz w:val="24"/>
          <w:szCs w:val="24"/>
          <w:highlight w:val="none"/>
        </w:rPr>
        <w:t>五、请投标供应商阅读《政府采购违法行为风险知悉确认书》（内容详见“投标文件（编制参考模板）</w:t>
      </w:r>
      <w:r>
        <w:rPr>
          <w:rFonts w:hint="eastAsia" w:ascii="宋体" w:hAnsi="宋体" w:eastAsia="宋体" w:cs="宋体"/>
          <w:color w:val="FF0000"/>
          <w:sz w:val="24"/>
          <w:szCs w:val="24"/>
          <w:highlight w:val="none"/>
          <w:lang w:val="en-US" w:eastAsia="zh-CN"/>
        </w:rPr>
        <w:t>第十四项</w:t>
      </w:r>
      <w:r>
        <w:rPr>
          <w:rFonts w:hint="eastAsia" w:ascii="宋体" w:hAnsi="宋体" w:eastAsia="宋体" w:cs="宋体"/>
          <w:color w:val="FF0000"/>
          <w:sz w:val="24"/>
          <w:szCs w:val="24"/>
          <w:highlight w:val="none"/>
        </w:rPr>
        <w:t>”），并经各投标供应商负责人签字并加盖单位公章后，与投标文件一并提交。</w:t>
      </w:r>
    </w:p>
    <w:p w14:paraId="54303A14">
      <w:pPr>
        <w:ind w:firstLine="480" w:firstLineChars="200"/>
        <w:outlineLvl w:val="9"/>
        <w:rPr>
          <w:rFonts w:hint="eastAsia" w:ascii="宋体" w:hAnsi="宋体" w:eastAsia="宋体" w:cs="宋体"/>
          <w:color w:val="FF0000"/>
          <w:sz w:val="24"/>
          <w:szCs w:val="24"/>
          <w:highlight w:val="none"/>
          <w:lang w:val="en-US" w:eastAsia="zh-CN"/>
        </w:rPr>
      </w:pPr>
      <w:r>
        <w:rPr>
          <w:rFonts w:hint="eastAsia" w:ascii="宋体" w:hAnsi="宋体" w:eastAsia="宋体" w:cs="宋体"/>
          <w:color w:val="FF0000"/>
          <w:sz w:val="24"/>
          <w:szCs w:val="24"/>
          <w:highlight w:val="none"/>
          <w:lang w:val="en-US" w:eastAsia="zh-CN"/>
        </w:rPr>
        <w:t>六、《中华人民共和国政府采购法实施条例》第十八条 单位负责人为同一人或者存在直接控股、管理关系的不同供应商，不得参加同一合同项下的政府采购活动。</w:t>
      </w:r>
    </w:p>
    <w:p w14:paraId="1DC160D6">
      <w:pPr>
        <w:ind w:firstLine="480" w:firstLineChars="200"/>
        <w:outlineLvl w:val="9"/>
        <w:rPr>
          <w:rFonts w:hint="eastAsia" w:ascii="宋体" w:hAnsi="宋体" w:eastAsia="宋体" w:cs="宋体"/>
          <w:color w:val="FF0000"/>
          <w:sz w:val="24"/>
          <w:szCs w:val="24"/>
          <w:highlight w:val="none"/>
          <w:lang w:val="en-US" w:eastAsia="zh-CN"/>
        </w:rPr>
      </w:pPr>
      <w:r>
        <w:rPr>
          <w:rFonts w:hint="eastAsia" w:ascii="宋体" w:hAnsi="宋体" w:eastAsia="宋体" w:cs="宋体"/>
          <w:color w:val="FF0000"/>
          <w:sz w:val="24"/>
          <w:szCs w:val="24"/>
          <w:highlight w:val="none"/>
          <w:lang w:val="en-US" w:eastAsia="zh-CN"/>
        </w:rPr>
        <w:t>除单一来源采购项目外，为采购项目提供整体设计、规范编制或者项目管理、监 理、检测等服务的供应商，不得再参加该采购项目的其他采购活动。</w:t>
      </w:r>
    </w:p>
    <w:p w14:paraId="09EF303C">
      <w:pPr>
        <w:ind w:firstLine="480" w:firstLineChars="200"/>
        <w:outlineLvl w:val="9"/>
        <w:rPr>
          <w:rFonts w:hint="eastAsia" w:ascii="宋体" w:hAnsi="宋体" w:eastAsia="宋体" w:cs="宋体"/>
          <w:color w:val="FF0000"/>
          <w:sz w:val="24"/>
          <w:szCs w:val="24"/>
          <w:highlight w:val="none"/>
          <w:lang w:val="en-US" w:eastAsia="zh-CN"/>
        </w:rPr>
      </w:pPr>
      <w:r>
        <w:rPr>
          <w:rFonts w:hint="eastAsia" w:ascii="宋体" w:hAnsi="宋体" w:eastAsia="宋体" w:cs="宋体"/>
          <w:color w:val="FF0000"/>
          <w:sz w:val="24"/>
          <w:szCs w:val="24"/>
          <w:highlight w:val="none"/>
          <w:lang w:val="en-US" w:eastAsia="zh-CN"/>
        </w:rPr>
        <w:t>注：“特别警示条款”和《政府采购违法行为风险知悉确认书》用于对供应商违法行为的提醒，不作为供应商资格性审查及符合性审查条件。</w:t>
      </w:r>
    </w:p>
    <w:p w14:paraId="191943C1">
      <w:pPr>
        <w:jc w:val="center"/>
        <w:rPr>
          <w:rFonts w:hint="eastAsia" w:ascii="宋体" w:hAnsi="宋体" w:eastAsia="宋体" w:cs="宋体"/>
          <w:b/>
          <w:sz w:val="32"/>
          <w:szCs w:val="32"/>
          <w:highlight w:val="none"/>
        </w:rPr>
      </w:pPr>
    </w:p>
    <w:p w14:paraId="5AD8C285">
      <w:pPr>
        <w:jc w:val="center"/>
        <w:rPr>
          <w:rFonts w:hint="eastAsia" w:ascii="宋体" w:hAnsi="宋体" w:eastAsia="宋体" w:cs="宋体"/>
          <w:b/>
          <w:sz w:val="32"/>
          <w:szCs w:val="32"/>
          <w:highlight w:val="none"/>
        </w:rPr>
      </w:pPr>
    </w:p>
    <w:p w14:paraId="495C1FD1">
      <w:pPr>
        <w:jc w:val="center"/>
        <w:rPr>
          <w:rFonts w:hint="eastAsia" w:ascii="宋体" w:hAnsi="宋体" w:eastAsia="宋体" w:cs="宋体"/>
          <w:b/>
          <w:sz w:val="32"/>
          <w:szCs w:val="32"/>
          <w:highlight w:val="none"/>
        </w:rPr>
      </w:pPr>
    </w:p>
    <w:p w14:paraId="7563BCC5">
      <w:pPr>
        <w:jc w:val="center"/>
        <w:rPr>
          <w:rFonts w:hint="eastAsia" w:ascii="宋体" w:hAnsi="宋体" w:eastAsia="宋体" w:cs="宋体"/>
          <w:b/>
          <w:sz w:val="32"/>
          <w:szCs w:val="32"/>
          <w:highlight w:val="none"/>
        </w:rPr>
      </w:pPr>
    </w:p>
    <w:p w14:paraId="57E07ABD">
      <w:pPr>
        <w:jc w:val="center"/>
        <w:rPr>
          <w:rFonts w:hint="eastAsia" w:ascii="宋体" w:hAnsi="宋体" w:eastAsia="宋体" w:cs="宋体"/>
          <w:b/>
          <w:sz w:val="32"/>
          <w:szCs w:val="32"/>
          <w:highlight w:val="none"/>
        </w:rPr>
      </w:pPr>
    </w:p>
    <w:p w14:paraId="1CC4582F">
      <w:pPr>
        <w:jc w:val="center"/>
        <w:rPr>
          <w:rFonts w:hint="eastAsia" w:ascii="宋体" w:hAnsi="宋体" w:eastAsia="宋体" w:cs="宋体"/>
          <w:b/>
          <w:sz w:val="32"/>
          <w:szCs w:val="32"/>
          <w:highlight w:val="none"/>
        </w:rPr>
      </w:pPr>
    </w:p>
    <w:p w14:paraId="7F89AD23">
      <w:pPr>
        <w:jc w:val="center"/>
        <w:rPr>
          <w:rFonts w:hint="eastAsia" w:ascii="宋体" w:hAnsi="宋体" w:eastAsia="宋体" w:cs="宋体"/>
          <w:b/>
          <w:sz w:val="32"/>
          <w:szCs w:val="32"/>
          <w:highlight w:val="none"/>
        </w:rPr>
      </w:pPr>
    </w:p>
    <w:p w14:paraId="5DAEDA22">
      <w:pPr>
        <w:jc w:val="center"/>
        <w:rPr>
          <w:rFonts w:hint="eastAsia" w:ascii="宋体" w:hAnsi="宋体" w:eastAsia="宋体" w:cs="宋体"/>
          <w:b/>
          <w:sz w:val="32"/>
          <w:szCs w:val="32"/>
          <w:highlight w:val="none"/>
        </w:rPr>
      </w:pPr>
    </w:p>
    <w:p w14:paraId="1F255A35">
      <w:pPr>
        <w:jc w:val="center"/>
        <w:rPr>
          <w:rFonts w:hint="eastAsia" w:ascii="宋体" w:hAnsi="宋体" w:eastAsia="宋体" w:cs="宋体"/>
          <w:b/>
          <w:sz w:val="32"/>
          <w:szCs w:val="32"/>
          <w:highlight w:val="none"/>
        </w:rPr>
      </w:pPr>
    </w:p>
    <w:p w14:paraId="032CF264">
      <w:pPr>
        <w:jc w:val="center"/>
        <w:rPr>
          <w:rFonts w:hint="eastAsia" w:ascii="宋体" w:hAnsi="宋体" w:eastAsia="宋体" w:cs="宋体"/>
          <w:b/>
          <w:sz w:val="32"/>
          <w:szCs w:val="32"/>
          <w:highlight w:val="none"/>
        </w:rPr>
      </w:pPr>
    </w:p>
    <w:p w14:paraId="16EE13F7">
      <w:pPr>
        <w:jc w:val="center"/>
        <w:rPr>
          <w:rFonts w:hint="eastAsia" w:ascii="宋体" w:hAnsi="宋体" w:eastAsia="宋体" w:cs="宋体"/>
          <w:b/>
          <w:sz w:val="32"/>
          <w:szCs w:val="32"/>
          <w:highlight w:val="none"/>
        </w:rPr>
      </w:pPr>
    </w:p>
    <w:p w14:paraId="57E2BA82">
      <w:pPr>
        <w:jc w:val="center"/>
        <w:rPr>
          <w:rFonts w:hint="eastAsia" w:ascii="宋体" w:hAnsi="宋体" w:eastAsia="宋体" w:cs="宋体"/>
          <w:b/>
          <w:sz w:val="32"/>
          <w:szCs w:val="32"/>
          <w:highlight w:val="none"/>
        </w:rPr>
      </w:pPr>
    </w:p>
    <w:p w14:paraId="3E23D7FC">
      <w:pPr>
        <w:jc w:val="center"/>
        <w:rPr>
          <w:rFonts w:hint="eastAsia" w:ascii="宋体" w:hAnsi="宋体" w:eastAsia="宋体" w:cs="宋体"/>
          <w:b/>
          <w:sz w:val="32"/>
          <w:szCs w:val="32"/>
          <w:highlight w:val="none"/>
        </w:rPr>
      </w:pPr>
    </w:p>
    <w:p w14:paraId="08E9A76A">
      <w:pPr>
        <w:jc w:val="center"/>
        <w:rPr>
          <w:rFonts w:hint="eastAsia" w:ascii="宋体" w:hAnsi="宋体" w:eastAsia="宋体" w:cs="宋体"/>
          <w:b/>
          <w:sz w:val="32"/>
          <w:szCs w:val="32"/>
          <w:highlight w:val="none"/>
        </w:rPr>
      </w:pPr>
    </w:p>
    <w:p w14:paraId="6B9E7D71">
      <w:pPr>
        <w:jc w:val="center"/>
        <w:rPr>
          <w:rFonts w:hint="eastAsia" w:ascii="宋体" w:hAnsi="宋体" w:eastAsia="宋体" w:cs="宋体"/>
          <w:b/>
          <w:sz w:val="32"/>
          <w:szCs w:val="32"/>
          <w:highlight w:val="none"/>
        </w:rPr>
      </w:pPr>
    </w:p>
    <w:p w14:paraId="1B6F6483">
      <w:pPr>
        <w:jc w:val="center"/>
        <w:rPr>
          <w:rFonts w:hint="eastAsia" w:ascii="宋体" w:hAnsi="宋体" w:eastAsia="宋体" w:cs="宋体"/>
          <w:b/>
          <w:sz w:val="32"/>
          <w:szCs w:val="32"/>
          <w:highlight w:val="none"/>
        </w:rPr>
      </w:pPr>
    </w:p>
    <w:p w14:paraId="70E7584F">
      <w:pPr>
        <w:jc w:val="center"/>
        <w:rPr>
          <w:rFonts w:hint="eastAsia" w:ascii="宋体" w:hAnsi="宋体" w:eastAsia="宋体" w:cs="宋体"/>
          <w:b/>
          <w:sz w:val="32"/>
          <w:szCs w:val="32"/>
          <w:highlight w:val="none"/>
        </w:rPr>
      </w:pPr>
    </w:p>
    <w:p w14:paraId="4C3A21C0">
      <w:pPr>
        <w:jc w:val="center"/>
        <w:rPr>
          <w:rFonts w:hint="eastAsia" w:ascii="宋体" w:hAnsi="宋体" w:eastAsia="宋体" w:cs="宋体"/>
          <w:b/>
          <w:sz w:val="32"/>
          <w:szCs w:val="32"/>
          <w:highlight w:val="none"/>
        </w:rPr>
      </w:pPr>
    </w:p>
    <w:p w14:paraId="6DD6C5A3">
      <w:pPr>
        <w:jc w:val="center"/>
        <w:rPr>
          <w:rFonts w:hint="eastAsia" w:ascii="宋体" w:hAnsi="宋体" w:eastAsia="宋体" w:cs="宋体"/>
          <w:b/>
          <w:sz w:val="32"/>
          <w:szCs w:val="32"/>
          <w:highlight w:val="none"/>
        </w:rPr>
      </w:pPr>
    </w:p>
    <w:p w14:paraId="77FC1E81">
      <w:pPr>
        <w:jc w:val="center"/>
        <w:rPr>
          <w:rFonts w:hint="eastAsia" w:ascii="宋体" w:hAnsi="宋体" w:eastAsia="宋体" w:cs="宋体"/>
          <w:b/>
          <w:sz w:val="32"/>
          <w:szCs w:val="32"/>
          <w:highlight w:val="none"/>
        </w:rPr>
      </w:pPr>
    </w:p>
    <w:p w14:paraId="62CC7F3E">
      <w:pPr>
        <w:jc w:val="center"/>
        <w:rPr>
          <w:rFonts w:hint="eastAsia" w:ascii="宋体" w:hAnsi="宋体" w:eastAsia="宋体" w:cs="宋体"/>
          <w:b/>
          <w:sz w:val="32"/>
          <w:szCs w:val="32"/>
          <w:highlight w:val="none"/>
        </w:rPr>
      </w:pPr>
    </w:p>
    <w:p w14:paraId="7A95538A">
      <w:pPr>
        <w:jc w:val="center"/>
        <w:rPr>
          <w:rFonts w:hint="eastAsia" w:ascii="宋体" w:hAnsi="宋体" w:eastAsia="宋体" w:cs="宋体"/>
          <w:b/>
          <w:sz w:val="32"/>
          <w:szCs w:val="32"/>
          <w:highlight w:val="none"/>
        </w:rPr>
      </w:pPr>
    </w:p>
    <w:p w14:paraId="10A81449">
      <w:pPr>
        <w:jc w:val="center"/>
        <w:rPr>
          <w:rFonts w:hint="eastAsia" w:ascii="宋体" w:hAnsi="宋体" w:eastAsia="宋体" w:cs="宋体"/>
          <w:b/>
          <w:sz w:val="32"/>
          <w:szCs w:val="32"/>
          <w:highlight w:val="none"/>
        </w:rPr>
      </w:pPr>
    </w:p>
    <w:p w14:paraId="0C40F559">
      <w:pPr>
        <w:jc w:val="center"/>
        <w:rPr>
          <w:rFonts w:hint="eastAsia" w:ascii="宋体" w:hAnsi="宋体" w:eastAsia="宋体" w:cs="宋体"/>
          <w:b/>
          <w:sz w:val="32"/>
          <w:szCs w:val="32"/>
          <w:highlight w:val="none"/>
        </w:rPr>
      </w:pPr>
    </w:p>
    <w:p w14:paraId="7E4EA099">
      <w:pPr>
        <w:jc w:val="center"/>
        <w:rPr>
          <w:rFonts w:hint="eastAsia" w:ascii="宋体" w:hAnsi="宋体" w:eastAsia="宋体" w:cs="宋体"/>
          <w:b/>
          <w:sz w:val="32"/>
          <w:szCs w:val="32"/>
          <w:highlight w:val="none"/>
        </w:rPr>
      </w:pPr>
    </w:p>
    <w:p w14:paraId="08424518">
      <w:pPr>
        <w:jc w:val="center"/>
        <w:rPr>
          <w:rFonts w:hint="eastAsia" w:ascii="宋体" w:hAnsi="宋体" w:eastAsia="宋体" w:cs="宋体"/>
          <w:b/>
          <w:sz w:val="32"/>
          <w:szCs w:val="32"/>
          <w:highlight w:val="none"/>
        </w:rPr>
      </w:pPr>
    </w:p>
    <w:p w14:paraId="21CC3886">
      <w:pPr>
        <w:jc w:val="center"/>
        <w:rPr>
          <w:rFonts w:hint="eastAsia" w:ascii="宋体" w:hAnsi="宋体" w:eastAsia="宋体" w:cs="宋体"/>
          <w:b/>
          <w:sz w:val="32"/>
          <w:szCs w:val="32"/>
          <w:highlight w:val="none"/>
        </w:rPr>
      </w:pPr>
    </w:p>
    <w:p w14:paraId="075C18DA">
      <w:pPr>
        <w:jc w:val="center"/>
        <w:rPr>
          <w:rFonts w:hint="eastAsia" w:ascii="宋体" w:hAnsi="宋体" w:eastAsia="宋体" w:cs="宋体"/>
          <w:b/>
          <w:sz w:val="32"/>
          <w:szCs w:val="32"/>
          <w:highlight w:val="none"/>
        </w:rPr>
      </w:pPr>
    </w:p>
    <w:p w14:paraId="4835AF48">
      <w:pPr>
        <w:jc w:val="both"/>
        <w:rPr>
          <w:rFonts w:hint="eastAsia" w:ascii="宋体" w:hAnsi="宋体" w:eastAsia="宋体" w:cs="宋体"/>
          <w:b/>
          <w:sz w:val="32"/>
          <w:szCs w:val="32"/>
          <w:highlight w:val="none"/>
        </w:rPr>
      </w:pPr>
    </w:p>
    <w:p w14:paraId="631F895F">
      <w:pPr>
        <w:jc w:val="center"/>
        <w:rPr>
          <w:rFonts w:hint="eastAsia" w:ascii="宋体" w:hAnsi="宋体" w:eastAsia="宋体" w:cs="宋体"/>
          <w:b/>
          <w:sz w:val="32"/>
          <w:szCs w:val="32"/>
          <w:highlight w:val="none"/>
        </w:rPr>
      </w:pPr>
    </w:p>
    <w:p w14:paraId="05CF0733">
      <w:pPr>
        <w:jc w:val="center"/>
        <w:rPr>
          <w:rFonts w:hint="eastAsia" w:ascii="宋体" w:hAnsi="宋体" w:eastAsia="宋体" w:cs="宋体"/>
          <w:b/>
          <w:sz w:val="32"/>
          <w:szCs w:val="32"/>
          <w:highlight w:val="none"/>
        </w:rPr>
      </w:pPr>
    </w:p>
    <w:p w14:paraId="06CB2F47">
      <w:pPr>
        <w:jc w:val="center"/>
        <w:rPr>
          <w:rFonts w:hint="eastAsia" w:ascii="宋体" w:hAnsi="宋体" w:eastAsia="宋体" w:cs="宋体"/>
          <w:b/>
          <w:sz w:val="32"/>
          <w:szCs w:val="32"/>
          <w:highlight w:val="none"/>
        </w:rPr>
      </w:pPr>
    </w:p>
    <w:p w14:paraId="0D27806F">
      <w:pPr>
        <w:jc w:val="center"/>
        <w:rPr>
          <w:rFonts w:hint="eastAsia" w:ascii="宋体" w:hAnsi="宋体" w:eastAsia="宋体" w:cs="宋体"/>
          <w:b/>
          <w:sz w:val="36"/>
          <w:szCs w:val="36"/>
          <w:highlight w:val="none"/>
        </w:rPr>
      </w:pPr>
      <w:r>
        <w:rPr>
          <w:rFonts w:hint="eastAsia" w:ascii="宋体" w:hAnsi="宋体" w:eastAsia="宋体" w:cs="宋体"/>
          <w:b/>
          <w:sz w:val="36"/>
          <w:szCs w:val="36"/>
          <w:highlight w:val="none"/>
        </w:rPr>
        <w:t>温 馨 提 示</w:t>
      </w:r>
    </w:p>
    <w:p w14:paraId="1FAD975D">
      <w:pPr>
        <w:jc w:val="center"/>
        <w:rPr>
          <w:rFonts w:hint="eastAsia" w:ascii="宋体" w:hAnsi="宋体" w:eastAsia="宋体" w:cs="宋体"/>
          <w:b/>
          <w:sz w:val="36"/>
          <w:szCs w:val="36"/>
          <w:highlight w:val="none"/>
        </w:rPr>
      </w:pPr>
    </w:p>
    <w:p w14:paraId="3621BD62">
      <w:pPr>
        <w:numPr>
          <w:ilvl w:val="0"/>
          <w:numId w:val="1"/>
        </w:numPr>
        <w:tabs>
          <w:tab w:val="left" w:pos="851"/>
        </w:tabs>
        <w:spacing w:line="360" w:lineRule="auto"/>
        <w:ind w:left="851" w:hanging="851"/>
        <w:rPr>
          <w:rFonts w:hint="eastAsia" w:ascii="宋体" w:hAnsi="宋体" w:eastAsia="宋体" w:cs="宋体"/>
          <w:sz w:val="28"/>
          <w:szCs w:val="28"/>
          <w:highlight w:val="none"/>
        </w:rPr>
      </w:pPr>
      <w:r>
        <w:rPr>
          <w:rFonts w:hint="eastAsia" w:ascii="宋体" w:hAnsi="宋体" w:eastAsia="宋体" w:cs="宋体"/>
          <w:sz w:val="28"/>
          <w:szCs w:val="28"/>
          <w:highlight w:val="none"/>
        </w:rPr>
        <w:t>如无另行说明，投标文件递交时间为</w:t>
      </w:r>
      <w:r>
        <w:rPr>
          <w:rFonts w:hint="eastAsia" w:ascii="宋体" w:hAnsi="宋体" w:eastAsia="宋体" w:cs="宋体"/>
          <w:b/>
          <w:bCs/>
          <w:sz w:val="28"/>
          <w:szCs w:val="28"/>
          <w:highlight w:val="none"/>
          <w:u w:val="single"/>
          <w:lang w:val="en-US" w:eastAsia="zh-CN"/>
        </w:rPr>
        <w:t>开标</w:t>
      </w:r>
      <w:r>
        <w:rPr>
          <w:rFonts w:hint="eastAsia" w:ascii="宋体" w:hAnsi="宋体" w:eastAsia="宋体" w:cs="宋体"/>
          <w:b/>
          <w:bCs/>
          <w:sz w:val="28"/>
          <w:szCs w:val="28"/>
          <w:highlight w:val="none"/>
          <w:u w:val="single"/>
        </w:rPr>
        <w:t>截止</w:t>
      </w:r>
      <w:r>
        <w:rPr>
          <w:rFonts w:hint="eastAsia" w:ascii="宋体" w:hAnsi="宋体" w:eastAsia="宋体" w:cs="宋体"/>
          <w:b/>
          <w:sz w:val="28"/>
          <w:szCs w:val="28"/>
          <w:highlight w:val="none"/>
          <w:u w:val="single"/>
        </w:rPr>
        <w:t>时间之前30分</w:t>
      </w:r>
      <w:r>
        <w:rPr>
          <w:rFonts w:hint="eastAsia" w:ascii="宋体" w:hAnsi="宋体" w:eastAsia="宋体" w:cs="宋体"/>
          <w:b/>
          <w:bCs w:val="0"/>
          <w:sz w:val="28"/>
          <w:szCs w:val="28"/>
          <w:highlight w:val="none"/>
          <w:u w:val="single"/>
        </w:rPr>
        <w:t>钟内</w:t>
      </w:r>
      <w:r>
        <w:rPr>
          <w:rFonts w:hint="eastAsia" w:ascii="宋体" w:hAnsi="宋体" w:eastAsia="宋体" w:cs="宋体"/>
          <w:sz w:val="28"/>
          <w:szCs w:val="28"/>
          <w:highlight w:val="none"/>
        </w:rPr>
        <w:t>。</w:t>
      </w:r>
    </w:p>
    <w:p w14:paraId="3DBA86A7">
      <w:pPr>
        <w:numPr>
          <w:ilvl w:val="0"/>
          <w:numId w:val="1"/>
        </w:numPr>
        <w:tabs>
          <w:tab w:val="left" w:pos="851"/>
        </w:tabs>
        <w:spacing w:line="360" w:lineRule="auto"/>
        <w:ind w:left="851" w:hanging="851"/>
        <w:rPr>
          <w:rFonts w:hint="eastAsia" w:ascii="宋体" w:hAnsi="宋体" w:eastAsia="宋体" w:cs="宋体"/>
          <w:sz w:val="28"/>
          <w:szCs w:val="28"/>
          <w:highlight w:val="none"/>
        </w:rPr>
      </w:pPr>
      <w:r>
        <w:rPr>
          <w:rFonts w:hint="eastAsia" w:ascii="宋体" w:hAnsi="宋体" w:eastAsia="宋体" w:cs="宋体"/>
          <w:sz w:val="28"/>
          <w:szCs w:val="28"/>
          <w:highlight w:val="none"/>
        </w:rPr>
        <w:t>为避免因迟到而失去投标资格，请</w:t>
      </w:r>
      <w:r>
        <w:rPr>
          <w:rFonts w:hint="eastAsia" w:ascii="宋体" w:hAnsi="宋体" w:eastAsia="宋体" w:cs="宋体"/>
          <w:b/>
          <w:sz w:val="28"/>
          <w:szCs w:val="28"/>
          <w:highlight w:val="none"/>
          <w:u w:val="single"/>
        </w:rPr>
        <w:t>适当提前到达</w:t>
      </w:r>
      <w:r>
        <w:rPr>
          <w:rFonts w:hint="eastAsia" w:ascii="宋体" w:hAnsi="宋体" w:eastAsia="宋体" w:cs="宋体"/>
          <w:sz w:val="28"/>
          <w:szCs w:val="28"/>
          <w:highlight w:val="none"/>
        </w:rPr>
        <w:t>。</w:t>
      </w:r>
    </w:p>
    <w:p w14:paraId="462579F1">
      <w:pPr>
        <w:numPr>
          <w:ilvl w:val="0"/>
          <w:numId w:val="1"/>
        </w:numPr>
        <w:tabs>
          <w:tab w:val="left" w:pos="851"/>
        </w:tabs>
        <w:spacing w:line="360" w:lineRule="auto"/>
        <w:ind w:left="851" w:hanging="851"/>
        <w:rPr>
          <w:rFonts w:hint="eastAsia" w:ascii="宋体" w:hAnsi="宋体" w:eastAsia="宋体" w:cs="宋体"/>
          <w:sz w:val="28"/>
          <w:szCs w:val="28"/>
          <w:highlight w:val="none"/>
        </w:rPr>
      </w:pPr>
      <w:r>
        <w:rPr>
          <w:rFonts w:hint="eastAsia" w:ascii="宋体" w:hAnsi="宋体" w:eastAsia="宋体" w:cs="宋体"/>
          <w:sz w:val="28"/>
          <w:szCs w:val="28"/>
          <w:highlight w:val="none"/>
        </w:rPr>
        <w:t>投标文件</w:t>
      </w:r>
      <w:r>
        <w:rPr>
          <w:rFonts w:hint="eastAsia" w:ascii="宋体" w:hAnsi="宋体" w:eastAsia="宋体" w:cs="宋体"/>
          <w:b/>
          <w:bCs/>
          <w:sz w:val="28"/>
          <w:szCs w:val="28"/>
          <w:highlight w:val="none"/>
          <w:u w:val="single"/>
        </w:rPr>
        <w:t>应</w:t>
      </w:r>
      <w:r>
        <w:rPr>
          <w:rFonts w:hint="eastAsia" w:ascii="宋体" w:hAnsi="宋体" w:eastAsia="宋体" w:cs="宋体"/>
          <w:b/>
          <w:bCs/>
          <w:sz w:val="28"/>
          <w:szCs w:val="28"/>
          <w:highlight w:val="none"/>
          <w:u w:val="single"/>
          <w:lang w:val="en-US" w:eastAsia="zh-CN"/>
        </w:rPr>
        <w:t>有目录并</w:t>
      </w:r>
      <w:r>
        <w:rPr>
          <w:rFonts w:hint="eastAsia" w:ascii="宋体" w:hAnsi="宋体" w:eastAsia="宋体" w:cs="宋体"/>
          <w:b/>
          <w:bCs/>
          <w:sz w:val="28"/>
          <w:szCs w:val="28"/>
          <w:highlight w:val="none"/>
          <w:u w:val="single"/>
        </w:rPr>
        <w:t>按顺序编</w:t>
      </w:r>
      <w:r>
        <w:rPr>
          <w:rFonts w:hint="eastAsia" w:ascii="宋体" w:hAnsi="宋体" w:eastAsia="宋体" w:cs="宋体"/>
          <w:b/>
          <w:sz w:val="28"/>
          <w:szCs w:val="28"/>
          <w:highlight w:val="none"/>
          <w:u w:val="single"/>
        </w:rPr>
        <w:t>制页码</w:t>
      </w:r>
      <w:r>
        <w:rPr>
          <w:rFonts w:hint="eastAsia" w:ascii="宋体" w:hAnsi="宋体" w:eastAsia="宋体" w:cs="宋体"/>
          <w:sz w:val="28"/>
          <w:szCs w:val="28"/>
          <w:highlight w:val="none"/>
        </w:rPr>
        <w:t>。</w:t>
      </w:r>
    </w:p>
    <w:p w14:paraId="14FE4251">
      <w:pPr>
        <w:numPr>
          <w:ilvl w:val="0"/>
          <w:numId w:val="1"/>
        </w:numPr>
        <w:tabs>
          <w:tab w:val="left" w:pos="851"/>
        </w:tabs>
        <w:spacing w:line="360" w:lineRule="auto"/>
        <w:ind w:left="851" w:hanging="851"/>
        <w:rPr>
          <w:rFonts w:hint="eastAsia" w:ascii="宋体" w:hAnsi="宋体" w:eastAsia="宋体" w:cs="宋体"/>
          <w:sz w:val="28"/>
          <w:szCs w:val="28"/>
          <w:highlight w:val="none"/>
        </w:rPr>
      </w:pPr>
      <w:r>
        <w:rPr>
          <w:rFonts w:hint="eastAsia" w:ascii="宋体" w:hAnsi="宋体" w:eastAsia="宋体" w:cs="宋体"/>
          <w:sz w:val="28"/>
          <w:szCs w:val="28"/>
          <w:highlight w:val="none"/>
        </w:rPr>
        <w:t>请仔细检查投标文件是否已按</w:t>
      </w:r>
      <w:r>
        <w:rPr>
          <w:rFonts w:hint="eastAsia" w:ascii="宋体" w:hAnsi="宋体" w:eastAsia="宋体" w:cs="宋体"/>
          <w:sz w:val="28"/>
          <w:szCs w:val="28"/>
          <w:highlight w:val="none"/>
          <w:lang w:eastAsia="zh-CN"/>
        </w:rPr>
        <w:t>征集</w:t>
      </w:r>
      <w:r>
        <w:rPr>
          <w:rFonts w:hint="eastAsia" w:ascii="宋体" w:hAnsi="宋体" w:eastAsia="宋体" w:cs="宋体"/>
          <w:sz w:val="28"/>
          <w:szCs w:val="28"/>
          <w:highlight w:val="none"/>
        </w:rPr>
        <w:t>文件要求</w:t>
      </w:r>
      <w:r>
        <w:rPr>
          <w:rFonts w:hint="eastAsia" w:ascii="宋体" w:hAnsi="宋体" w:eastAsia="宋体" w:cs="宋体"/>
          <w:b/>
          <w:sz w:val="28"/>
          <w:szCs w:val="28"/>
          <w:highlight w:val="none"/>
          <w:u w:val="single"/>
        </w:rPr>
        <w:t>盖章、签名及密封</w:t>
      </w:r>
      <w:r>
        <w:rPr>
          <w:rFonts w:hint="eastAsia" w:ascii="宋体" w:hAnsi="宋体" w:eastAsia="宋体" w:cs="宋体"/>
          <w:sz w:val="28"/>
          <w:szCs w:val="28"/>
          <w:highlight w:val="none"/>
        </w:rPr>
        <w:t>。</w:t>
      </w:r>
    </w:p>
    <w:p w14:paraId="0F349339">
      <w:pPr>
        <w:numPr>
          <w:ilvl w:val="0"/>
          <w:numId w:val="1"/>
        </w:numPr>
        <w:tabs>
          <w:tab w:val="left" w:pos="851"/>
        </w:tabs>
        <w:spacing w:line="360" w:lineRule="auto"/>
        <w:ind w:left="851" w:hanging="851"/>
        <w:rPr>
          <w:rFonts w:hint="eastAsia" w:ascii="宋体" w:hAnsi="宋体" w:eastAsia="宋体" w:cs="宋体"/>
          <w:sz w:val="28"/>
          <w:szCs w:val="28"/>
          <w:highlight w:val="none"/>
        </w:rPr>
      </w:pPr>
      <w:r>
        <w:rPr>
          <w:rFonts w:hint="eastAsia" w:ascii="宋体" w:hAnsi="宋体" w:eastAsia="宋体" w:cs="宋体"/>
          <w:sz w:val="28"/>
          <w:szCs w:val="28"/>
          <w:highlight w:val="none"/>
        </w:rPr>
        <w:t>请正确填写《开标一览表》，封装在单独的唱标信封当中</w:t>
      </w:r>
      <w:r>
        <w:rPr>
          <w:rFonts w:hint="eastAsia" w:ascii="宋体" w:hAnsi="宋体" w:eastAsia="宋体" w:cs="宋体"/>
          <w:sz w:val="28"/>
          <w:szCs w:val="28"/>
          <w:highlight w:val="none"/>
          <w:lang w:eastAsia="zh-CN"/>
        </w:rPr>
        <w:t>，</w:t>
      </w:r>
      <w:r>
        <w:rPr>
          <w:rFonts w:hint="eastAsia" w:ascii="宋体" w:hAnsi="宋体" w:eastAsia="宋体" w:cs="宋体"/>
          <w:b/>
          <w:sz w:val="28"/>
          <w:szCs w:val="28"/>
          <w:highlight w:val="none"/>
          <w:u w:val="single"/>
        </w:rPr>
        <w:t>多包项目请每包单独封装</w:t>
      </w:r>
      <w:r>
        <w:rPr>
          <w:rFonts w:hint="eastAsia" w:ascii="宋体" w:hAnsi="宋体" w:eastAsia="宋体" w:cs="宋体"/>
          <w:sz w:val="28"/>
          <w:szCs w:val="28"/>
          <w:highlight w:val="none"/>
        </w:rPr>
        <w:t>，并请仔细检查包号，包号与包名称必须对应。</w:t>
      </w:r>
    </w:p>
    <w:p w14:paraId="58F21969">
      <w:pPr>
        <w:numPr>
          <w:ilvl w:val="0"/>
          <w:numId w:val="1"/>
        </w:numPr>
        <w:tabs>
          <w:tab w:val="left" w:pos="851"/>
        </w:tabs>
        <w:spacing w:line="360" w:lineRule="auto"/>
        <w:ind w:left="851" w:hanging="851"/>
        <w:rPr>
          <w:rFonts w:hint="eastAsia" w:ascii="宋体" w:hAnsi="宋体" w:eastAsia="宋体" w:cs="宋体"/>
          <w:sz w:val="28"/>
          <w:szCs w:val="28"/>
          <w:highlight w:val="none"/>
        </w:rPr>
      </w:pPr>
      <w:r>
        <w:rPr>
          <w:rFonts w:hint="eastAsia" w:ascii="宋体" w:hAnsi="宋体" w:eastAsia="宋体" w:cs="宋体"/>
          <w:sz w:val="28"/>
          <w:szCs w:val="28"/>
          <w:highlight w:val="none"/>
          <w:lang w:eastAsia="zh-CN"/>
        </w:rPr>
        <w:t>征集</w:t>
      </w:r>
      <w:r>
        <w:rPr>
          <w:rFonts w:hint="eastAsia" w:ascii="宋体" w:hAnsi="宋体" w:eastAsia="宋体" w:cs="宋体"/>
          <w:sz w:val="28"/>
          <w:szCs w:val="28"/>
          <w:highlight w:val="none"/>
        </w:rPr>
        <w:t>项目内或所投包号内有多项设备或报价内容的，</w:t>
      </w:r>
      <w:r>
        <w:rPr>
          <w:rFonts w:hint="eastAsia" w:ascii="宋体" w:hAnsi="宋体" w:eastAsia="宋体" w:cs="宋体"/>
          <w:b/>
          <w:sz w:val="28"/>
          <w:szCs w:val="28"/>
          <w:highlight w:val="none"/>
          <w:u w:val="single"/>
        </w:rPr>
        <w:t>应加总后报总价</w:t>
      </w:r>
      <w:r>
        <w:rPr>
          <w:rFonts w:hint="eastAsia" w:ascii="宋体" w:hAnsi="宋体" w:eastAsia="宋体" w:cs="宋体"/>
          <w:sz w:val="28"/>
          <w:szCs w:val="28"/>
          <w:highlight w:val="none"/>
        </w:rPr>
        <w:t>。</w:t>
      </w:r>
    </w:p>
    <w:p w14:paraId="63565041">
      <w:pPr>
        <w:numPr>
          <w:ilvl w:val="0"/>
          <w:numId w:val="1"/>
        </w:numPr>
        <w:tabs>
          <w:tab w:val="left" w:pos="851"/>
        </w:tabs>
        <w:spacing w:line="360" w:lineRule="auto"/>
        <w:ind w:left="851" w:hanging="851"/>
        <w:rPr>
          <w:rFonts w:hint="eastAsia" w:ascii="宋体" w:hAnsi="宋体" w:eastAsia="宋体" w:cs="宋体"/>
          <w:sz w:val="28"/>
          <w:szCs w:val="28"/>
          <w:highlight w:val="none"/>
        </w:rPr>
      </w:pPr>
      <w:r>
        <w:rPr>
          <w:rFonts w:hint="eastAsia" w:ascii="宋体" w:hAnsi="宋体" w:eastAsia="宋体" w:cs="宋体"/>
          <w:sz w:val="28"/>
          <w:szCs w:val="28"/>
          <w:highlight w:val="none"/>
        </w:rPr>
        <w:t>如投标人以非独立法人注册的分公司名义代表总公司盖章和签署文件的，须提供总公司的营业执照副本复印件及总公司针对本项目投标的授权书原件。</w:t>
      </w:r>
    </w:p>
    <w:p w14:paraId="2FC136FF">
      <w:pPr>
        <w:tabs>
          <w:tab w:val="left" w:pos="851"/>
        </w:tabs>
        <w:spacing w:line="360" w:lineRule="auto"/>
        <w:ind w:left="850" w:hanging="1134" w:hangingChars="405"/>
        <w:rPr>
          <w:rFonts w:hint="eastAsia" w:ascii="宋体" w:hAnsi="宋体" w:eastAsia="宋体" w:cs="宋体"/>
          <w:sz w:val="28"/>
          <w:szCs w:val="28"/>
          <w:highlight w:val="none"/>
        </w:rPr>
      </w:pPr>
      <w:r>
        <w:rPr>
          <w:rFonts w:hint="eastAsia" w:ascii="宋体" w:hAnsi="宋体" w:eastAsia="宋体" w:cs="宋体"/>
          <w:sz w:val="28"/>
          <w:szCs w:val="28"/>
          <w:highlight w:val="none"/>
        </w:rPr>
        <w:tab/>
      </w:r>
      <w:r>
        <w:rPr>
          <w:rFonts w:hint="eastAsia" w:ascii="宋体" w:hAnsi="宋体" w:eastAsia="宋体" w:cs="宋体"/>
          <w:sz w:val="28"/>
          <w:szCs w:val="28"/>
          <w:highlight w:val="none"/>
        </w:rPr>
        <w:t>（以上提示内容</w:t>
      </w:r>
      <w:r>
        <w:rPr>
          <w:rFonts w:hint="eastAsia" w:ascii="宋体" w:hAnsi="宋体" w:eastAsia="宋体" w:cs="宋体"/>
          <w:sz w:val="28"/>
          <w:szCs w:val="28"/>
          <w:highlight w:val="none"/>
          <w:lang w:eastAsia="zh-CN"/>
        </w:rPr>
        <w:t>仅是</w:t>
      </w:r>
      <w:r>
        <w:rPr>
          <w:rFonts w:hint="eastAsia" w:ascii="宋体" w:hAnsi="宋体" w:eastAsia="宋体" w:cs="宋体"/>
          <w:sz w:val="28"/>
          <w:szCs w:val="28"/>
          <w:highlight w:val="none"/>
        </w:rPr>
        <w:t>一般项提醒，如与实际</w:t>
      </w:r>
      <w:r>
        <w:rPr>
          <w:rFonts w:hint="eastAsia" w:ascii="宋体" w:hAnsi="宋体" w:eastAsia="宋体" w:cs="宋体"/>
          <w:sz w:val="28"/>
          <w:szCs w:val="28"/>
          <w:highlight w:val="none"/>
          <w:lang w:eastAsia="zh-CN"/>
        </w:rPr>
        <w:t>征集</w:t>
      </w:r>
      <w:r>
        <w:rPr>
          <w:rFonts w:hint="eastAsia" w:ascii="宋体" w:hAnsi="宋体" w:eastAsia="宋体" w:cs="宋体"/>
          <w:sz w:val="28"/>
          <w:szCs w:val="28"/>
          <w:highlight w:val="none"/>
        </w:rPr>
        <w:t>项目要求有不一致，以</w:t>
      </w:r>
      <w:r>
        <w:rPr>
          <w:rFonts w:hint="eastAsia" w:ascii="宋体" w:hAnsi="宋体" w:eastAsia="宋体" w:cs="宋体"/>
          <w:sz w:val="28"/>
          <w:szCs w:val="28"/>
          <w:highlight w:val="none"/>
          <w:lang w:eastAsia="zh-CN"/>
        </w:rPr>
        <w:t>征集</w:t>
      </w:r>
      <w:r>
        <w:rPr>
          <w:rFonts w:hint="eastAsia" w:ascii="宋体" w:hAnsi="宋体" w:eastAsia="宋体" w:cs="宋体"/>
          <w:sz w:val="28"/>
          <w:szCs w:val="28"/>
          <w:highlight w:val="none"/>
        </w:rPr>
        <w:t>文件为准）</w:t>
      </w:r>
    </w:p>
    <w:p w14:paraId="16CAAC3F">
      <w:pPr>
        <w:rPr>
          <w:rFonts w:hint="eastAsia" w:asciiTheme="minorEastAsia" w:hAnsiTheme="minorEastAsia" w:cstheme="minorEastAsia"/>
          <w:szCs w:val="21"/>
        </w:rPr>
      </w:pPr>
    </w:p>
    <w:p w14:paraId="47039B92">
      <w:pPr>
        <w:rPr>
          <w:rFonts w:hint="eastAsia" w:asciiTheme="minorEastAsia" w:hAnsiTheme="minorEastAsia" w:cstheme="minorEastAsia"/>
          <w:szCs w:val="21"/>
        </w:rPr>
      </w:pPr>
    </w:p>
    <w:p w14:paraId="7B13E3C0">
      <w:pPr>
        <w:rPr>
          <w:rFonts w:hint="eastAsia" w:asciiTheme="minorEastAsia" w:hAnsiTheme="minorEastAsia" w:cstheme="minorEastAsia"/>
          <w:szCs w:val="21"/>
        </w:rPr>
      </w:pPr>
    </w:p>
    <w:p w14:paraId="5A64B025">
      <w:pPr>
        <w:rPr>
          <w:rFonts w:hint="eastAsia" w:asciiTheme="minorEastAsia" w:hAnsiTheme="minorEastAsia" w:cstheme="minorEastAsia"/>
          <w:szCs w:val="21"/>
        </w:rPr>
      </w:pPr>
    </w:p>
    <w:p w14:paraId="34556B53">
      <w:pPr>
        <w:rPr>
          <w:rFonts w:hint="eastAsia" w:asciiTheme="minorEastAsia" w:hAnsiTheme="minorEastAsia" w:cstheme="minorEastAsia"/>
          <w:szCs w:val="21"/>
        </w:rPr>
      </w:pPr>
    </w:p>
    <w:p w14:paraId="63B3F4CA">
      <w:pPr>
        <w:rPr>
          <w:rFonts w:hint="eastAsia" w:asciiTheme="minorEastAsia" w:hAnsiTheme="minorEastAsia" w:cstheme="minorEastAsia"/>
          <w:szCs w:val="21"/>
        </w:rPr>
      </w:pPr>
    </w:p>
    <w:p w14:paraId="238999D2">
      <w:pPr>
        <w:rPr>
          <w:rFonts w:hint="eastAsia" w:asciiTheme="minorEastAsia" w:hAnsiTheme="minorEastAsia" w:cstheme="minorEastAsia"/>
          <w:szCs w:val="21"/>
        </w:rPr>
      </w:pPr>
    </w:p>
    <w:p w14:paraId="5EE83BD7">
      <w:pPr>
        <w:rPr>
          <w:rFonts w:hint="eastAsia" w:asciiTheme="minorEastAsia" w:hAnsiTheme="minorEastAsia" w:cstheme="minorEastAsia"/>
          <w:szCs w:val="21"/>
        </w:rPr>
      </w:pPr>
    </w:p>
    <w:p w14:paraId="1A7B06A3">
      <w:pPr>
        <w:rPr>
          <w:rFonts w:hint="eastAsia" w:asciiTheme="minorEastAsia" w:hAnsiTheme="minorEastAsia" w:cstheme="minorEastAsia"/>
          <w:szCs w:val="21"/>
        </w:rPr>
      </w:pPr>
    </w:p>
    <w:p w14:paraId="0BE9234F">
      <w:pPr>
        <w:rPr>
          <w:rFonts w:hint="eastAsia" w:asciiTheme="minorEastAsia" w:hAnsiTheme="minorEastAsia" w:cstheme="minorEastAsia"/>
          <w:szCs w:val="21"/>
        </w:rPr>
      </w:pPr>
    </w:p>
    <w:p w14:paraId="6AFB3A9E">
      <w:pPr>
        <w:rPr>
          <w:rFonts w:hint="eastAsia" w:asciiTheme="minorEastAsia" w:hAnsiTheme="minorEastAsia" w:cstheme="minorEastAsia"/>
          <w:szCs w:val="21"/>
        </w:rPr>
      </w:pPr>
    </w:p>
    <w:p w14:paraId="3251FB3B">
      <w:pPr>
        <w:rPr>
          <w:rFonts w:hint="eastAsia" w:asciiTheme="minorEastAsia" w:hAnsiTheme="minorEastAsia" w:cstheme="minorEastAsia"/>
          <w:szCs w:val="21"/>
        </w:rPr>
      </w:pPr>
    </w:p>
    <w:p w14:paraId="0EF5ADC6">
      <w:pPr>
        <w:rPr>
          <w:rFonts w:hint="eastAsia" w:asciiTheme="minorEastAsia" w:hAnsiTheme="minorEastAsia" w:cstheme="minorEastAsia"/>
          <w:szCs w:val="21"/>
        </w:rPr>
      </w:pPr>
    </w:p>
    <w:p w14:paraId="2CE665B9">
      <w:pPr>
        <w:rPr>
          <w:rFonts w:hint="eastAsia" w:asciiTheme="minorEastAsia" w:hAnsiTheme="minorEastAsia" w:cstheme="minorEastAsia"/>
          <w:szCs w:val="21"/>
        </w:rPr>
      </w:pPr>
    </w:p>
    <w:p w14:paraId="53D7BD1D">
      <w:pPr>
        <w:rPr>
          <w:rFonts w:hint="eastAsia" w:asciiTheme="minorEastAsia" w:hAnsiTheme="minorEastAsia" w:cstheme="minorEastAsia"/>
          <w:szCs w:val="21"/>
        </w:rPr>
      </w:pPr>
    </w:p>
    <w:p w14:paraId="6607EFBE">
      <w:pPr>
        <w:rPr>
          <w:rFonts w:hint="eastAsia" w:asciiTheme="minorEastAsia" w:hAnsiTheme="minorEastAsia" w:cstheme="minorEastAsia"/>
          <w:szCs w:val="21"/>
        </w:rPr>
      </w:pPr>
    </w:p>
    <w:p w14:paraId="3B8FF10C">
      <w:pPr>
        <w:rPr>
          <w:rFonts w:hint="eastAsia" w:asciiTheme="minorEastAsia" w:hAnsiTheme="minorEastAsia" w:cstheme="minorEastAsia"/>
          <w:szCs w:val="21"/>
        </w:rPr>
      </w:pPr>
      <w:r>
        <w:rPr>
          <w:rFonts w:hint="eastAsia" w:asciiTheme="minorEastAsia" w:hAnsiTheme="minorEastAsia" w:cstheme="minorEastAsia"/>
          <w:szCs w:val="21"/>
        </w:rPr>
        <w:t xml:space="preserve">                                             </w:t>
      </w:r>
    </w:p>
    <w:p w14:paraId="38395D03">
      <w:pPr>
        <w:jc w:val="center"/>
        <w:rPr>
          <w:rFonts w:hint="eastAsia" w:asciiTheme="minorEastAsia" w:hAnsiTheme="minorEastAsia" w:cstheme="minorEastAsia"/>
          <w:sz w:val="36"/>
          <w:szCs w:val="36"/>
          <w:lang w:val="en-US" w:eastAsia="zh-CN"/>
        </w:rPr>
      </w:pPr>
    </w:p>
    <w:p w14:paraId="4D764082">
      <w:pPr>
        <w:jc w:val="center"/>
        <w:rPr>
          <w:rFonts w:hint="eastAsia" w:asciiTheme="minorEastAsia" w:hAnsiTheme="minorEastAsia" w:cstheme="minorEastAsia"/>
          <w:sz w:val="36"/>
          <w:szCs w:val="36"/>
          <w:lang w:val="en-US" w:eastAsia="zh-CN"/>
        </w:rPr>
      </w:pPr>
    </w:p>
    <w:p w14:paraId="51B6ABE7">
      <w:pPr>
        <w:jc w:val="center"/>
        <w:rPr>
          <w:rFonts w:hint="eastAsia" w:asciiTheme="minorEastAsia" w:hAnsiTheme="minorEastAsia" w:cstheme="minorEastAsia"/>
          <w:sz w:val="36"/>
          <w:szCs w:val="36"/>
          <w:lang w:val="en-US" w:eastAsia="zh-CN"/>
        </w:rPr>
      </w:pPr>
    </w:p>
    <w:p w14:paraId="015693CC">
      <w:pPr>
        <w:jc w:val="center"/>
        <w:rPr>
          <w:rFonts w:hint="eastAsia" w:asciiTheme="minorEastAsia" w:hAnsiTheme="minorEastAsia" w:cstheme="minorEastAsia"/>
          <w:sz w:val="36"/>
          <w:szCs w:val="36"/>
          <w:lang w:val="en-US" w:eastAsia="zh-CN"/>
        </w:rPr>
      </w:pPr>
    </w:p>
    <w:p w14:paraId="7BEFF80F">
      <w:pPr>
        <w:jc w:val="both"/>
        <w:rPr>
          <w:rFonts w:hint="eastAsia" w:asciiTheme="minorEastAsia" w:hAnsiTheme="minorEastAsia" w:cstheme="minorEastAsia"/>
          <w:sz w:val="36"/>
          <w:szCs w:val="36"/>
          <w:lang w:val="en-US" w:eastAsia="zh-CN"/>
        </w:rPr>
      </w:pPr>
    </w:p>
    <w:sdt>
      <w:sdtPr>
        <w:rPr>
          <w:rFonts w:ascii="宋体" w:hAnsi="宋体" w:eastAsia="宋体" w:cstheme="minorBidi"/>
          <w:kern w:val="2"/>
          <w:sz w:val="56"/>
          <w:szCs w:val="72"/>
          <w:lang w:val="en-US" w:eastAsia="zh-CN" w:bidi="ar-SA"/>
        </w:rPr>
        <w:id w:val="147465074"/>
        <w15:color w:val="DBDBDB"/>
        <w:docPartObj>
          <w:docPartGallery w:val="Table of Contents"/>
          <w:docPartUnique/>
        </w:docPartObj>
      </w:sdtPr>
      <w:sdtEndPr>
        <w:rPr>
          <w:rFonts w:asciiTheme="minorHAnsi" w:hAnsiTheme="minorHAnsi" w:eastAsiaTheme="minorEastAsia" w:cstheme="minorBidi"/>
          <w:kern w:val="2"/>
          <w:sz w:val="21"/>
          <w:szCs w:val="24"/>
          <w:lang w:val="en-US" w:eastAsia="zh-CN" w:bidi="ar-SA"/>
        </w:rPr>
      </w:sdtEndPr>
      <w:sdtContent>
        <w:p w14:paraId="53C0C78A">
          <w:pPr>
            <w:spacing w:before="0" w:beforeLines="0" w:after="0" w:afterLines="0" w:line="240" w:lineRule="auto"/>
            <w:ind w:left="0" w:leftChars="0" w:right="0" w:rightChars="0" w:firstLine="0" w:firstLineChars="0"/>
            <w:jc w:val="center"/>
            <w:rPr>
              <w:rFonts w:ascii="宋体" w:hAnsi="宋体" w:eastAsia="宋体"/>
              <w:sz w:val="56"/>
              <w:szCs w:val="72"/>
            </w:rPr>
          </w:pPr>
          <w:bookmarkStart w:id="187" w:name="_GoBack"/>
          <w:bookmarkEnd w:id="187"/>
          <w:r>
            <w:rPr>
              <w:rFonts w:ascii="宋体" w:hAnsi="宋体" w:eastAsia="宋体"/>
              <w:sz w:val="56"/>
              <w:szCs w:val="72"/>
            </w:rPr>
            <w:t>目录</w:t>
          </w:r>
        </w:p>
        <w:p w14:paraId="7D744D07">
          <w:pPr>
            <w:spacing w:before="0" w:beforeLines="0" w:after="0" w:afterLines="0" w:line="240" w:lineRule="auto"/>
            <w:ind w:left="0" w:leftChars="0" w:right="0" w:rightChars="0" w:firstLine="0" w:firstLineChars="0"/>
            <w:jc w:val="center"/>
            <w:rPr>
              <w:rFonts w:ascii="宋体" w:hAnsi="宋体" w:eastAsia="宋体"/>
              <w:sz w:val="56"/>
              <w:szCs w:val="72"/>
            </w:rPr>
          </w:pPr>
        </w:p>
        <w:p w14:paraId="4544B408">
          <w:pPr>
            <w:pStyle w:val="15"/>
            <w:keepNext w:val="0"/>
            <w:keepLines w:val="0"/>
            <w:pageBreakBefore w:val="0"/>
            <w:widowControl w:val="0"/>
            <w:tabs>
              <w:tab w:val="right" w:leader="dot" w:pos="9354"/>
            </w:tabs>
            <w:kinsoku/>
            <w:wordWrap/>
            <w:overflowPunct/>
            <w:topLinePunct w:val="0"/>
            <w:autoSpaceDE/>
            <w:autoSpaceDN/>
            <w:bidi w:val="0"/>
            <w:adjustRightInd/>
            <w:snapToGrid/>
            <w:spacing w:line="360" w:lineRule="auto"/>
            <w:textAlignment w:val="auto"/>
            <w:rPr>
              <w:sz w:val="44"/>
              <w:szCs w:val="52"/>
            </w:rPr>
          </w:pPr>
          <w:r>
            <w:rPr>
              <w:rFonts w:asciiTheme="minorHAnsi" w:hAnsiTheme="minorHAnsi" w:eastAsiaTheme="minorEastAsia" w:cstheme="minorBidi"/>
              <w:kern w:val="2"/>
              <w:sz w:val="21"/>
              <w:szCs w:val="24"/>
              <w:lang w:val="en-US" w:eastAsia="zh-CN" w:bidi="ar-SA"/>
            </w:rPr>
            <w:fldChar w:fldCharType="begin"/>
          </w:r>
          <w:r>
            <w:rPr>
              <w:rFonts w:asciiTheme="minorHAnsi" w:hAnsiTheme="minorHAnsi" w:eastAsiaTheme="minorEastAsia" w:cstheme="minorBidi"/>
              <w:kern w:val="2"/>
              <w:sz w:val="21"/>
              <w:szCs w:val="24"/>
              <w:lang w:val="en-US" w:eastAsia="zh-CN" w:bidi="ar-SA"/>
            </w:rPr>
            <w:instrText xml:space="preserve">TOC \o "1-1" \h \u </w:instrText>
          </w:r>
          <w:r>
            <w:rPr>
              <w:rFonts w:asciiTheme="minorHAnsi" w:hAnsiTheme="minorHAnsi" w:eastAsiaTheme="minorEastAsia" w:cstheme="minorBidi"/>
              <w:kern w:val="2"/>
              <w:sz w:val="21"/>
              <w:szCs w:val="24"/>
              <w:lang w:val="en-US" w:eastAsia="zh-CN" w:bidi="ar-SA"/>
            </w:rPr>
            <w:fldChar w:fldCharType="separate"/>
          </w:r>
          <w:r>
            <w:rPr>
              <w:rFonts w:asciiTheme="minorHAnsi" w:hAnsiTheme="minorHAnsi" w:eastAsiaTheme="minorEastAsia" w:cstheme="minorBidi"/>
              <w:kern w:val="2"/>
              <w:sz w:val="44"/>
              <w:szCs w:val="52"/>
              <w:lang w:val="en-US" w:eastAsia="zh-CN" w:bidi="ar-SA"/>
            </w:rPr>
            <w:fldChar w:fldCharType="begin"/>
          </w:r>
          <w:r>
            <w:rPr>
              <w:rFonts w:asciiTheme="minorHAnsi" w:hAnsiTheme="minorHAnsi" w:eastAsiaTheme="minorEastAsia" w:cstheme="minorBidi"/>
              <w:kern w:val="2"/>
              <w:sz w:val="44"/>
              <w:szCs w:val="52"/>
              <w:lang w:val="en-US" w:eastAsia="zh-CN" w:bidi="ar-SA"/>
            </w:rPr>
            <w:instrText xml:space="preserve"> HYPERLINK \l _Toc16484 </w:instrText>
          </w:r>
          <w:r>
            <w:rPr>
              <w:rFonts w:asciiTheme="minorHAnsi" w:hAnsiTheme="minorHAnsi" w:eastAsiaTheme="minorEastAsia" w:cstheme="minorBidi"/>
              <w:kern w:val="2"/>
              <w:sz w:val="44"/>
              <w:szCs w:val="52"/>
              <w:lang w:val="en-US" w:eastAsia="zh-CN" w:bidi="ar-SA"/>
            </w:rPr>
            <w:fldChar w:fldCharType="separate"/>
          </w:r>
          <w:r>
            <w:rPr>
              <w:rFonts w:hint="eastAsia" w:cs="宋体" w:asciiTheme="majorEastAsia" w:hAnsiTheme="majorEastAsia" w:eastAsiaTheme="majorEastAsia"/>
              <w:kern w:val="2"/>
              <w:sz w:val="44"/>
              <w:szCs w:val="60"/>
              <w:lang w:val="en-US" w:eastAsia="zh-CN" w:bidi="ar-SA"/>
            </w:rPr>
            <w:t xml:space="preserve">第一章 </w:t>
          </w:r>
          <w:r>
            <w:rPr>
              <w:rFonts w:hint="eastAsia" w:cs="宋体" w:asciiTheme="majorEastAsia" w:hAnsiTheme="majorEastAsia" w:eastAsiaTheme="majorEastAsia"/>
              <w:kern w:val="2"/>
              <w:sz w:val="44"/>
              <w:szCs w:val="60"/>
              <w:highlight w:val="none"/>
              <w:lang w:val="en-US" w:eastAsia="zh-CN" w:bidi="ar-SA"/>
            </w:rPr>
            <w:t>评标信息（综合评分法）</w:t>
          </w:r>
          <w:r>
            <w:rPr>
              <w:sz w:val="44"/>
              <w:szCs w:val="52"/>
            </w:rPr>
            <w:tab/>
          </w:r>
          <w:r>
            <w:rPr>
              <w:sz w:val="44"/>
              <w:szCs w:val="52"/>
            </w:rPr>
            <w:fldChar w:fldCharType="begin"/>
          </w:r>
          <w:r>
            <w:rPr>
              <w:sz w:val="44"/>
              <w:szCs w:val="52"/>
            </w:rPr>
            <w:instrText xml:space="preserve"> PAGEREF _Toc16484 \h </w:instrText>
          </w:r>
          <w:r>
            <w:rPr>
              <w:sz w:val="44"/>
              <w:szCs w:val="52"/>
            </w:rPr>
            <w:fldChar w:fldCharType="separate"/>
          </w:r>
          <w:r>
            <w:rPr>
              <w:sz w:val="44"/>
              <w:szCs w:val="52"/>
            </w:rPr>
            <w:t>7</w:t>
          </w:r>
          <w:r>
            <w:rPr>
              <w:sz w:val="44"/>
              <w:szCs w:val="52"/>
            </w:rPr>
            <w:fldChar w:fldCharType="end"/>
          </w:r>
          <w:r>
            <w:rPr>
              <w:rFonts w:asciiTheme="minorHAnsi" w:hAnsiTheme="minorHAnsi" w:eastAsiaTheme="minorEastAsia" w:cstheme="minorBidi"/>
              <w:kern w:val="2"/>
              <w:sz w:val="44"/>
              <w:szCs w:val="52"/>
              <w:lang w:val="en-US" w:eastAsia="zh-CN" w:bidi="ar-SA"/>
            </w:rPr>
            <w:fldChar w:fldCharType="end"/>
          </w:r>
        </w:p>
        <w:p w14:paraId="5B0EB9C5">
          <w:pPr>
            <w:pStyle w:val="15"/>
            <w:keepNext w:val="0"/>
            <w:keepLines w:val="0"/>
            <w:pageBreakBefore w:val="0"/>
            <w:widowControl w:val="0"/>
            <w:tabs>
              <w:tab w:val="right" w:leader="dot" w:pos="9354"/>
            </w:tabs>
            <w:kinsoku/>
            <w:wordWrap/>
            <w:overflowPunct/>
            <w:topLinePunct w:val="0"/>
            <w:autoSpaceDE/>
            <w:autoSpaceDN/>
            <w:bidi w:val="0"/>
            <w:adjustRightInd/>
            <w:snapToGrid/>
            <w:spacing w:line="360" w:lineRule="auto"/>
            <w:textAlignment w:val="auto"/>
            <w:rPr>
              <w:sz w:val="44"/>
              <w:szCs w:val="52"/>
            </w:rPr>
          </w:pPr>
          <w:r>
            <w:rPr>
              <w:rFonts w:asciiTheme="minorHAnsi" w:hAnsiTheme="minorHAnsi" w:eastAsiaTheme="minorEastAsia" w:cstheme="minorBidi"/>
              <w:kern w:val="2"/>
              <w:sz w:val="44"/>
              <w:szCs w:val="52"/>
              <w:lang w:val="en-US" w:eastAsia="zh-CN" w:bidi="ar-SA"/>
            </w:rPr>
            <w:fldChar w:fldCharType="begin"/>
          </w:r>
          <w:r>
            <w:rPr>
              <w:rFonts w:asciiTheme="minorHAnsi" w:hAnsiTheme="minorHAnsi" w:eastAsiaTheme="minorEastAsia" w:cstheme="minorBidi"/>
              <w:kern w:val="2"/>
              <w:sz w:val="44"/>
              <w:szCs w:val="52"/>
              <w:lang w:val="en-US" w:eastAsia="zh-CN" w:bidi="ar-SA"/>
            </w:rPr>
            <w:instrText xml:space="preserve"> HYPERLINK \l _Toc12920 </w:instrText>
          </w:r>
          <w:r>
            <w:rPr>
              <w:rFonts w:asciiTheme="minorHAnsi" w:hAnsiTheme="minorHAnsi" w:eastAsiaTheme="minorEastAsia" w:cstheme="minorBidi"/>
              <w:kern w:val="2"/>
              <w:sz w:val="44"/>
              <w:szCs w:val="52"/>
              <w:lang w:val="en-US" w:eastAsia="zh-CN" w:bidi="ar-SA"/>
            </w:rPr>
            <w:fldChar w:fldCharType="separate"/>
          </w:r>
          <w:r>
            <w:rPr>
              <w:rFonts w:hint="eastAsia" w:asciiTheme="majorEastAsia" w:hAnsiTheme="majorEastAsia" w:eastAsiaTheme="majorEastAsia"/>
              <w:sz w:val="44"/>
              <w:szCs w:val="60"/>
              <w:lang w:val="en-US" w:eastAsia="zh-CN"/>
            </w:rPr>
            <w:t>第二章 征集公告</w:t>
          </w:r>
          <w:r>
            <w:rPr>
              <w:sz w:val="44"/>
              <w:szCs w:val="52"/>
            </w:rPr>
            <w:tab/>
          </w:r>
          <w:r>
            <w:rPr>
              <w:sz w:val="44"/>
              <w:szCs w:val="52"/>
            </w:rPr>
            <w:fldChar w:fldCharType="begin"/>
          </w:r>
          <w:r>
            <w:rPr>
              <w:sz w:val="44"/>
              <w:szCs w:val="52"/>
            </w:rPr>
            <w:instrText xml:space="preserve"> PAGEREF _Toc12920 \h </w:instrText>
          </w:r>
          <w:r>
            <w:rPr>
              <w:sz w:val="44"/>
              <w:szCs w:val="52"/>
            </w:rPr>
            <w:fldChar w:fldCharType="separate"/>
          </w:r>
          <w:r>
            <w:rPr>
              <w:sz w:val="44"/>
              <w:szCs w:val="52"/>
            </w:rPr>
            <w:t>9</w:t>
          </w:r>
          <w:r>
            <w:rPr>
              <w:sz w:val="44"/>
              <w:szCs w:val="52"/>
            </w:rPr>
            <w:fldChar w:fldCharType="end"/>
          </w:r>
          <w:r>
            <w:rPr>
              <w:rFonts w:asciiTheme="minorHAnsi" w:hAnsiTheme="minorHAnsi" w:eastAsiaTheme="minorEastAsia" w:cstheme="minorBidi"/>
              <w:kern w:val="2"/>
              <w:sz w:val="44"/>
              <w:szCs w:val="52"/>
              <w:lang w:val="en-US" w:eastAsia="zh-CN" w:bidi="ar-SA"/>
            </w:rPr>
            <w:fldChar w:fldCharType="end"/>
          </w:r>
        </w:p>
        <w:p w14:paraId="2B3D7DF0">
          <w:pPr>
            <w:pStyle w:val="15"/>
            <w:keepNext w:val="0"/>
            <w:keepLines w:val="0"/>
            <w:pageBreakBefore w:val="0"/>
            <w:widowControl w:val="0"/>
            <w:tabs>
              <w:tab w:val="right" w:leader="dot" w:pos="9354"/>
            </w:tabs>
            <w:kinsoku/>
            <w:wordWrap/>
            <w:overflowPunct/>
            <w:topLinePunct w:val="0"/>
            <w:autoSpaceDE/>
            <w:autoSpaceDN/>
            <w:bidi w:val="0"/>
            <w:adjustRightInd/>
            <w:snapToGrid/>
            <w:spacing w:line="360" w:lineRule="auto"/>
            <w:textAlignment w:val="auto"/>
            <w:rPr>
              <w:sz w:val="44"/>
              <w:szCs w:val="52"/>
            </w:rPr>
          </w:pPr>
          <w:r>
            <w:rPr>
              <w:rFonts w:asciiTheme="minorHAnsi" w:hAnsiTheme="minorHAnsi" w:eastAsiaTheme="minorEastAsia" w:cstheme="minorBidi"/>
              <w:kern w:val="2"/>
              <w:sz w:val="44"/>
              <w:szCs w:val="52"/>
              <w:lang w:val="en-US" w:eastAsia="zh-CN" w:bidi="ar-SA"/>
            </w:rPr>
            <w:fldChar w:fldCharType="begin"/>
          </w:r>
          <w:r>
            <w:rPr>
              <w:rFonts w:asciiTheme="minorHAnsi" w:hAnsiTheme="minorHAnsi" w:eastAsiaTheme="minorEastAsia" w:cstheme="minorBidi"/>
              <w:kern w:val="2"/>
              <w:sz w:val="44"/>
              <w:szCs w:val="52"/>
              <w:lang w:val="en-US" w:eastAsia="zh-CN" w:bidi="ar-SA"/>
            </w:rPr>
            <w:instrText xml:space="preserve"> HYPERLINK \l _Toc2752 </w:instrText>
          </w:r>
          <w:r>
            <w:rPr>
              <w:rFonts w:asciiTheme="minorHAnsi" w:hAnsiTheme="minorHAnsi" w:eastAsiaTheme="minorEastAsia" w:cstheme="minorBidi"/>
              <w:kern w:val="2"/>
              <w:sz w:val="44"/>
              <w:szCs w:val="52"/>
              <w:lang w:val="en-US" w:eastAsia="zh-CN" w:bidi="ar-SA"/>
            </w:rPr>
            <w:fldChar w:fldCharType="separate"/>
          </w:r>
          <w:r>
            <w:rPr>
              <w:rFonts w:hint="eastAsia" w:asciiTheme="majorEastAsia" w:hAnsiTheme="majorEastAsia" w:eastAsiaTheme="majorEastAsia"/>
              <w:sz w:val="44"/>
              <w:szCs w:val="60"/>
              <w:lang w:val="en-US" w:eastAsia="zh-CN"/>
            </w:rPr>
            <w:t>第三章 用户需求书</w:t>
          </w:r>
          <w:r>
            <w:rPr>
              <w:sz w:val="44"/>
              <w:szCs w:val="52"/>
            </w:rPr>
            <w:tab/>
          </w:r>
          <w:r>
            <w:rPr>
              <w:sz w:val="44"/>
              <w:szCs w:val="52"/>
            </w:rPr>
            <w:fldChar w:fldCharType="begin"/>
          </w:r>
          <w:r>
            <w:rPr>
              <w:sz w:val="44"/>
              <w:szCs w:val="52"/>
            </w:rPr>
            <w:instrText xml:space="preserve"> PAGEREF _Toc2752 \h </w:instrText>
          </w:r>
          <w:r>
            <w:rPr>
              <w:sz w:val="44"/>
              <w:szCs w:val="52"/>
            </w:rPr>
            <w:fldChar w:fldCharType="separate"/>
          </w:r>
          <w:r>
            <w:rPr>
              <w:sz w:val="44"/>
              <w:szCs w:val="52"/>
            </w:rPr>
            <w:t>13</w:t>
          </w:r>
          <w:r>
            <w:rPr>
              <w:sz w:val="44"/>
              <w:szCs w:val="52"/>
            </w:rPr>
            <w:fldChar w:fldCharType="end"/>
          </w:r>
          <w:r>
            <w:rPr>
              <w:rFonts w:asciiTheme="minorHAnsi" w:hAnsiTheme="minorHAnsi" w:eastAsiaTheme="minorEastAsia" w:cstheme="minorBidi"/>
              <w:kern w:val="2"/>
              <w:sz w:val="44"/>
              <w:szCs w:val="52"/>
              <w:lang w:val="en-US" w:eastAsia="zh-CN" w:bidi="ar-SA"/>
            </w:rPr>
            <w:fldChar w:fldCharType="end"/>
          </w:r>
        </w:p>
        <w:p w14:paraId="563ECD74">
          <w:pPr>
            <w:pStyle w:val="15"/>
            <w:keepNext w:val="0"/>
            <w:keepLines w:val="0"/>
            <w:pageBreakBefore w:val="0"/>
            <w:widowControl w:val="0"/>
            <w:tabs>
              <w:tab w:val="right" w:leader="dot" w:pos="9354"/>
            </w:tabs>
            <w:kinsoku/>
            <w:wordWrap/>
            <w:overflowPunct/>
            <w:topLinePunct w:val="0"/>
            <w:autoSpaceDE/>
            <w:autoSpaceDN/>
            <w:bidi w:val="0"/>
            <w:adjustRightInd/>
            <w:snapToGrid/>
            <w:spacing w:line="360" w:lineRule="auto"/>
            <w:textAlignment w:val="auto"/>
            <w:rPr>
              <w:sz w:val="44"/>
              <w:szCs w:val="52"/>
            </w:rPr>
          </w:pPr>
          <w:r>
            <w:rPr>
              <w:rFonts w:asciiTheme="minorHAnsi" w:hAnsiTheme="minorHAnsi" w:eastAsiaTheme="minorEastAsia" w:cstheme="minorBidi"/>
              <w:kern w:val="2"/>
              <w:sz w:val="44"/>
              <w:szCs w:val="52"/>
              <w:lang w:val="en-US" w:eastAsia="zh-CN" w:bidi="ar-SA"/>
            </w:rPr>
            <w:fldChar w:fldCharType="begin"/>
          </w:r>
          <w:r>
            <w:rPr>
              <w:rFonts w:asciiTheme="minorHAnsi" w:hAnsiTheme="minorHAnsi" w:eastAsiaTheme="minorEastAsia" w:cstheme="minorBidi"/>
              <w:kern w:val="2"/>
              <w:sz w:val="44"/>
              <w:szCs w:val="52"/>
              <w:lang w:val="en-US" w:eastAsia="zh-CN" w:bidi="ar-SA"/>
            </w:rPr>
            <w:instrText xml:space="preserve"> HYPERLINK \l _Toc10317 </w:instrText>
          </w:r>
          <w:r>
            <w:rPr>
              <w:rFonts w:asciiTheme="minorHAnsi" w:hAnsiTheme="minorHAnsi" w:eastAsiaTheme="minorEastAsia" w:cstheme="minorBidi"/>
              <w:kern w:val="2"/>
              <w:sz w:val="44"/>
              <w:szCs w:val="52"/>
              <w:lang w:val="en-US" w:eastAsia="zh-CN" w:bidi="ar-SA"/>
            </w:rPr>
            <w:fldChar w:fldCharType="separate"/>
          </w:r>
          <w:r>
            <w:rPr>
              <w:rFonts w:hint="eastAsia" w:asciiTheme="majorEastAsia" w:hAnsiTheme="majorEastAsia" w:eastAsiaTheme="majorEastAsia" w:cstheme="majorEastAsia"/>
              <w:kern w:val="2"/>
              <w:sz w:val="44"/>
              <w:szCs w:val="60"/>
              <w:lang w:val="en-US" w:eastAsia="zh-CN" w:bidi="ar-SA"/>
            </w:rPr>
            <w:t xml:space="preserve">第四章 </w:t>
          </w:r>
          <w:r>
            <w:rPr>
              <w:rFonts w:hint="eastAsia" w:asciiTheme="majorEastAsia" w:hAnsiTheme="majorEastAsia" w:eastAsiaTheme="majorEastAsia" w:cstheme="majorEastAsia"/>
              <w:sz w:val="44"/>
              <w:szCs w:val="60"/>
            </w:rPr>
            <w:t>开标、评标、定标</w:t>
          </w:r>
          <w:r>
            <w:rPr>
              <w:sz w:val="44"/>
              <w:szCs w:val="52"/>
            </w:rPr>
            <w:tab/>
          </w:r>
          <w:r>
            <w:rPr>
              <w:sz w:val="44"/>
              <w:szCs w:val="52"/>
            </w:rPr>
            <w:fldChar w:fldCharType="begin"/>
          </w:r>
          <w:r>
            <w:rPr>
              <w:sz w:val="44"/>
              <w:szCs w:val="52"/>
            </w:rPr>
            <w:instrText xml:space="preserve"> PAGEREF _Toc10317 \h </w:instrText>
          </w:r>
          <w:r>
            <w:rPr>
              <w:sz w:val="44"/>
              <w:szCs w:val="52"/>
            </w:rPr>
            <w:fldChar w:fldCharType="separate"/>
          </w:r>
          <w:r>
            <w:rPr>
              <w:sz w:val="44"/>
              <w:szCs w:val="52"/>
            </w:rPr>
            <w:t>24</w:t>
          </w:r>
          <w:r>
            <w:rPr>
              <w:sz w:val="44"/>
              <w:szCs w:val="52"/>
            </w:rPr>
            <w:fldChar w:fldCharType="end"/>
          </w:r>
          <w:r>
            <w:rPr>
              <w:rFonts w:asciiTheme="minorHAnsi" w:hAnsiTheme="minorHAnsi" w:eastAsiaTheme="minorEastAsia" w:cstheme="minorBidi"/>
              <w:kern w:val="2"/>
              <w:sz w:val="44"/>
              <w:szCs w:val="52"/>
              <w:lang w:val="en-US" w:eastAsia="zh-CN" w:bidi="ar-SA"/>
            </w:rPr>
            <w:fldChar w:fldCharType="end"/>
          </w:r>
        </w:p>
        <w:p w14:paraId="0341CF50">
          <w:pPr>
            <w:pStyle w:val="15"/>
            <w:keepNext w:val="0"/>
            <w:keepLines w:val="0"/>
            <w:pageBreakBefore w:val="0"/>
            <w:widowControl w:val="0"/>
            <w:tabs>
              <w:tab w:val="right" w:leader="dot" w:pos="9354"/>
            </w:tabs>
            <w:kinsoku/>
            <w:wordWrap/>
            <w:overflowPunct/>
            <w:topLinePunct w:val="0"/>
            <w:autoSpaceDE/>
            <w:autoSpaceDN/>
            <w:bidi w:val="0"/>
            <w:adjustRightInd/>
            <w:snapToGrid/>
            <w:spacing w:line="360" w:lineRule="auto"/>
            <w:textAlignment w:val="auto"/>
            <w:rPr>
              <w:sz w:val="44"/>
              <w:szCs w:val="52"/>
            </w:rPr>
          </w:pPr>
          <w:r>
            <w:rPr>
              <w:rFonts w:asciiTheme="minorHAnsi" w:hAnsiTheme="minorHAnsi" w:eastAsiaTheme="minorEastAsia" w:cstheme="minorBidi"/>
              <w:kern w:val="2"/>
              <w:sz w:val="44"/>
              <w:szCs w:val="52"/>
              <w:lang w:val="en-US" w:eastAsia="zh-CN" w:bidi="ar-SA"/>
            </w:rPr>
            <w:fldChar w:fldCharType="begin"/>
          </w:r>
          <w:r>
            <w:rPr>
              <w:rFonts w:asciiTheme="minorHAnsi" w:hAnsiTheme="minorHAnsi" w:eastAsiaTheme="minorEastAsia" w:cstheme="minorBidi"/>
              <w:kern w:val="2"/>
              <w:sz w:val="44"/>
              <w:szCs w:val="52"/>
              <w:lang w:val="en-US" w:eastAsia="zh-CN" w:bidi="ar-SA"/>
            </w:rPr>
            <w:instrText xml:space="preserve"> HYPERLINK \l _Toc7421 </w:instrText>
          </w:r>
          <w:r>
            <w:rPr>
              <w:rFonts w:asciiTheme="minorHAnsi" w:hAnsiTheme="minorHAnsi" w:eastAsiaTheme="minorEastAsia" w:cstheme="minorBidi"/>
              <w:kern w:val="2"/>
              <w:sz w:val="44"/>
              <w:szCs w:val="52"/>
              <w:lang w:val="en-US" w:eastAsia="zh-CN" w:bidi="ar-SA"/>
            </w:rPr>
            <w:fldChar w:fldCharType="separate"/>
          </w:r>
          <w:r>
            <w:rPr>
              <w:rFonts w:hint="eastAsia" w:asciiTheme="majorEastAsia" w:hAnsiTheme="majorEastAsia" w:eastAsiaTheme="majorEastAsia"/>
              <w:sz w:val="44"/>
              <w:szCs w:val="60"/>
              <w:lang w:val="en-US" w:eastAsia="zh-CN"/>
            </w:rPr>
            <w:t xml:space="preserve">第五章 </w:t>
          </w:r>
          <w:r>
            <w:rPr>
              <w:rFonts w:hint="eastAsia" w:asciiTheme="majorEastAsia" w:hAnsiTheme="majorEastAsia" w:eastAsiaTheme="majorEastAsia"/>
              <w:sz w:val="44"/>
              <w:szCs w:val="60"/>
            </w:rPr>
            <w:t>投标文件</w:t>
          </w:r>
          <w:r>
            <w:rPr>
              <w:rFonts w:hint="eastAsia" w:asciiTheme="majorEastAsia" w:hAnsiTheme="majorEastAsia" w:eastAsiaTheme="majorEastAsia"/>
              <w:sz w:val="44"/>
              <w:szCs w:val="60"/>
              <w:lang w:eastAsia="zh-CN"/>
            </w:rPr>
            <w:t>（</w:t>
          </w:r>
          <w:r>
            <w:rPr>
              <w:rFonts w:hint="eastAsia" w:asciiTheme="majorEastAsia" w:hAnsiTheme="majorEastAsia" w:eastAsiaTheme="majorEastAsia"/>
              <w:sz w:val="44"/>
              <w:szCs w:val="60"/>
              <w:lang w:val="en-US" w:eastAsia="zh-CN"/>
            </w:rPr>
            <w:t>编制</w:t>
          </w:r>
          <w:r>
            <w:rPr>
              <w:rFonts w:hint="eastAsia" w:asciiTheme="majorEastAsia" w:hAnsiTheme="majorEastAsia" w:eastAsiaTheme="majorEastAsia"/>
              <w:sz w:val="44"/>
              <w:szCs w:val="60"/>
            </w:rPr>
            <w:t>参考</w:t>
          </w:r>
          <w:r>
            <w:rPr>
              <w:rFonts w:hint="eastAsia" w:asciiTheme="majorEastAsia" w:hAnsiTheme="majorEastAsia" w:eastAsiaTheme="majorEastAsia"/>
              <w:sz w:val="44"/>
              <w:szCs w:val="60"/>
              <w:lang w:val="en-US" w:eastAsia="zh-CN"/>
            </w:rPr>
            <w:t>模板</w:t>
          </w:r>
          <w:r>
            <w:rPr>
              <w:rFonts w:hint="eastAsia" w:asciiTheme="majorEastAsia" w:hAnsiTheme="majorEastAsia" w:eastAsiaTheme="majorEastAsia"/>
              <w:sz w:val="44"/>
              <w:szCs w:val="60"/>
              <w:lang w:eastAsia="zh-CN"/>
            </w:rPr>
            <w:t>）</w:t>
          </w:r>
          <w:r>
            <w:rPr>
              <w:sz w:val="44"/>
              <w:szCs w:val="52"/>
            </w:rPr>
            <w:tab/>
          </w:r>
          <w:r>
            <w:rPr>
              <w:sz w:val="44"/>
              <w:szCs w:val="52"/>
            </w:rPr>
            <w:fldChar w:fldCharType="begin"/>
          </w:r>
          <w:r>
            <w:rPr>
              <w:sz w:val="44"/>
              <w:szCs w:val="52"/>
            </w:rPr>
            <w:instrText xml:space="preserve"> PAGEREF _Toc7421 \h </w:instrText>
          </w:r>
          <w:r>
            <w:rPr>
              <w:sz w:val="44"/>
              <w:szCs w:val="52"/>
            </w:rPr>
            <w:fldChar w:fldCharType="separate"/>
          </w:r>
          <w:r>
            <w:rPr>
              <w:sz w:val="44"/>
              <w:szCs w:val="52"/>
            </w:rPr>
            <w:t>32</w:t>
          </w:r>
          <w:r>
            <w:rPr>
              <w:sz w:val="44"/>
              <w:szCs w:val="52"/>
            </w:rPr>
            <w:fldChar w:fldCharType="end"/>
          </w:r>
          <w:r>
            <w:rPr>
              <w:rFonts w:asciiTheme="minorHAnsi" w:hAnsiTheme="minorHAnsi" w:eastAsiaTheme="minorEastAsia" w:cstheme="minorBidi"/>
              <w:kern w:val="2"/>
              <w:sz w:val="44"/>
              <w:szCs w:val="52"/>
              <w:lang w:val="en-US" w:eastAsia="zh-CN" w:bidi="ar-SA"/>
            </w:rPr>
            <w:fldChar w:fldCharType="end"/>
          </w:r>
        </w:p>
        <w:p w14:paraId="0D95A8BF">
          <w:pPr>
            <w:pStyle w:val="15"/>
            <w:keepNext w:val="0"/>
            <w:keepLines w:val="0"/>
            <w:pageBreakBefore w:val="0"/>
            <w:widowControl w:val="0"/>
            <w:tabs>
              <w:tab w:val="right" w:leader="dot" w:pos="9354"/>
            </w:tabs>
            <w:kinsoku/>
            <w:wordWrap/>
            <w:overflowPunct/>
            <w:topLinePunct w:val="0"/>
            <w:autoSpaceDE/>
            <w:autoSpaceDN/>
            <w:bidi w:val="0"/>
            <w:adjustRightInd/>
            <w:snapToGrid/>
            <w:spacing w:line="360" w:lineRule="auto"/>
            <w:textAlignment w:val="auto"/>
            <w:rPr>
              <w:sz w:val="44"/>
              <w:szCs w:val="52"/>
            </w:rPr>
          </w:pPr>
          <w:r>
            <w:rPr>
              <w:rFonts w:asciiTheme="minorHAnsi" w:hAnsiTheme="minorHAnsi" w:eastAsiaTheme="minorEastAsia" w:cstheme="minorBidi"/>
              <w:kern w:val="2"/>
              <w:sz w:val="44"/>
              <w:szCs w:val="52"/>
              <w:lang w:val="en-US" w:eastAsia="zh-CN" w:bidi="ar-SA"/>
            </w:rPr>
            <w:fldChar w:fldCharType="begin"/>
          </w:r>
          <w:r>
            <w:rPr>
              <w:rFonts w:asciiTheme="minorHAnsi" w:hAnsiTheme="minorHAnsi" w:eastAsiaTheme="minorEastAsia" w:cstheme="minorBidi"/>
              <w:kern w:val="2"/>
              <w:sz w:val="44"/>
              <w:szCs w:val="52"/>
              <w:lang w:val="en-US" w:eastAsia="zh-CN" w:bidi="ar-SA"/>
            </w:rPr>
            <w:instrText xml:space="preserve"> HYPERLINK \l _Toc5245 </w:instrText>
          </w:r>
          <w:r>
            <w:rPr>
              <w:rFonts w:asciiTheme="minorHAnsi" w:hAnsiTheme="minorHAnsi" w:eastAsiaTheme="minorEastAsia" w:cstheme="minorBidi"/>
              <w:kern w:val="2"/>
              <w:sz w:val="44"/>
              <w:szCs w:val="52"/>
              <w:lang w:val="en-US" w:eastAsia="zh-CN" w:bidi="ar-SA"/>
            </w:rPr>
            <w:fldChar w:fldCharType="separate"/>
          </w:r>
          <w:r>
            <w:rPr>
              <w:rFonts w:hint="eastAsia" w:asciiTheme="majorEastAsia" w:hAnsiTheme="majorEastAsia" w:eastAsiaTheme="majorEastAsia"/>
              <w:sz w:val="44"/>
              <w:szCs w:val="60"/>
              <w:lang w:eastAsia="zh-TW"/>
            </w:rPr>
            <w:t xml:space="preserve">第六章 </w:t>
          </w:r>
          <w:r>
            <w:rPr>
              <w:rFonts w:asciiTheme="majorEastAsia" w:hAnsiTheme="majorEastAsia" w:eastAsiaTheme="majorEastAsia"/>
              <w:sz w:val="44"/>
              <w:szCs w:val="60"/>
              <w:lang w:eastAsia="zh-TW"/>
            </w:rPr>
            <w:t>说 明</w:t>
          </w:r>
          <w:r>
            <w:rPr>
              <w:sz w:val="44"/>
              <w:szCs w:val="52"/>
            </w:rPr>
            <w:tab/>
          </w:r>
          <w:r>
            <w:rPr>
              <w:sz w:val="44"/>
              <w:szCs w:val="52"/>
            </w:rPr>
            <w:fldChar w:fldCharType="begin"/>
          </w:r>
          <w:r>
            <w:rPr>
              <w:sz w:val="44"/>
              <w:szCs w:val="52"/>
            </w:rPr>
            <w:instrText xml:space="preserve"> PAGEREF _Toc5245 \h </w:instrText>
          </w:r>
          <w:r>
            <w:rPr>
              <w:sz w:val="44"/>
              <w:szCs w:val="52"/>
            </w:rPr>
            <w:fldChar w:fldCharType="separate"/>
          </w:r>
          <w:r>
            <w:rPr>
              <w:sz w:val="44"/>
              <w:szCs w:val="52"/>
            </w:rPr>
            <w:t>71</w:t>
          </w:r>
          <w:r>
            <w:rPr>
              <w:sz w:val="44"/>
              <w:szCs w:val="52"/>
            </w:rPr>
            <w:fldChar w:fldCharType="end"/>
          </w:r>
          <w:r>
            <w:rPr>
              <w:rFonts w:asciiTheme="minorHAnsi" w:hAnsiTheme="minorHAnsi" w:eastAsiaTheme="minorEastAsia" w:cstheme="minorBidi"/>
              <w:kern w:val="2"/>
              <w:sz w:val="44"/>
              <w:szCs w:val="52"/>
              <w:lang w:val="en-US" w:eastAsia="zh-CN" w:bidi="ar-SA"/>
            </w:rPr>
            <w:fldChar w:fldCharType="end"/>
          </w:r>
        </w:p>
        <w:p w14:paraId="6A5C77F7">
          <w:pPr>
            <w:pStyle w:val="15"/>
            <w:tabs>
              <w:tab w:val="right" w:leader="dot" w:pos="9354"/>
            </w:tabs>
          </w:pPr>
        </w:p>
        <w:p w14:paraId="3B657D6A">
          <w:pPr>
            <w:rPr>
              <w:rFonts w:asciiTheme="minorHAnsi" w:hAnsiTheme="minorHAnsi" w:eastAsiaTheme="minorEastAsia" w:cstheme="minorBidi"/>
              <w:kern w:val="2"/>
              <w:sz w:val="21"/>
              <w:szCs w:val="24"/>
              <w:lang w:val="en-US" w:eastAsia="zh-CN" w:bidi="ar-SA"/>
            </w:rPr>
          </w:pPr>
          <w:r>
            <w:rPr>
              <w:rFonts w:asciiTheme="minorHAnsi" w:hAnsiTheme="minorHAnsi" w:eastAsiaTheme="minorEastAsia" w:cstheme="minorBidi"/>
              <w:kern w:val="2"/>
              <w:szCs w:val="24"/>
              <w:lang w:val="en-US" w:eastAsia="zh-CN" w:bidi="ar-SA"/>
            </w:rPr>
            <w:fldChar w:fldCharType="end"/>
          </w:r>
        </w:p>
      </w:sdtContent>
    </w:sdt>
    <w:p w14:paraId="4B020EC8">
      <w:pPr>
        <w:rPr>
          <w:rFonts w:asciiTheme="minorHAnsi" w:hAnsiTheme="minorHAnsi" w:eastAsiaTheme="minorEastAsia" w:cstheme="minorBidi"/>
          <w:kern w:val="2"/>
          <w:sz w:val="21"/>
          <w:szCs w:val="24"/>
          <w:lang w:val="en-US" w:eastAsia="zh-CN" w:bidi="ar-SA"/>
        </w:rPr>
      </w:pPr>
    </w:p>
    <w:p w14:paraId="0CF51C02"/>
    <w:p w14:paraId="2EC45284">
      <w:pPr>
        <w:pStyle w:val="4"/>
        <w:numPr>
          <w:ilvl w:val="0"/>
          <w:numId w:val="0"/>
        </w:numPr>
        <w:spacing w:line="240" w:lineRule="auto"/>
        <w:ind w:left="0" w:leftChars="0" w:firstLine="0" w:firstLineChars="0"/>
        <w:jc w:val="both"/>
        <w:outlineLvl w:val="9"/>
        <w:rPr>
          <w:rFonts w:hint="eastAsia" w:cs="宋体" w:asciiTheme="majorEastAsia" w:hAnsiTheme="majorEastAsia" w:eastAsiaTheme="majorEastAsia"/>
          <w:kern w:val="2"/>
          <w:sz w:val="32"/>
          <w:szCs w:val="32"/>
          <w:highlight w:val="none"/>
          <w:lang w:val="en-US" w:eastAsia="zh-CN" w:bidi="ar-SA"/>
        </w:rPr>
      </w:pPr>
      <w:r>
        <w:rPr>
          <w:highlight w:val="none"/>
        </w:rPr>
        <w:br w:type="page"/>
      </w:r>
      <w:bookmarkStart w:id="2" w:name="_Toc28823"/>
      <w:bookmarkStart w:id="3" w:name="_Toc24015566"/>
    </w:p>
    <w:bookmarkEnd w:id="2"/>
    <w:bookmarkEnd w:id="3"/>
    <w:p w14:paraId="549DA7AA">
      <w:pPr>
        <w:widowControl/>
        <w:numPr>
          <w:ilvl w:val="0"/>
          <w:numId w:val="2"/>
        </w:numPr>
        <w:ind w:firstLine="640" w:firstLineChars="200"/>
        <w:jc w:val="center"/>
        <w:outlineLvl w:val="0"/>
        <w:rPr>
          <w:rFonts w:hint="eastAsia" w:cs="宋体" w:asciiTheme="majorEastAsia" w:hAnsiTheme="majorEastAsia" w:eastAsiaTheme="majorEastAsia"/>
          <w:kern w:val="2"/>
          <w:sz w:val="32"/>
          <w:szCs w:val="32"/>
          <w:highlight w:val="none"/>
          <w:lang w:val="en-US" w:eastAsia="zh-CN" w:bidi="ar-SA"/>
        </w:rPr>
      </w:pPr>
      <w:bookmarkStart w:id="4" w:name="_Toc16484"/>
      <w:r>
        <w:rPr>
          <w:rFonts w:hint="eastAsia" w:cs="宋体" w:asciiTheme="majorEastAsia" w:hAnsiTheme="majorEastAsia" w:eastAsiaTheme="majorEastAsia"/>
          <w:kern w:val="2"/>
          <w:sz w:val="32"/>
          <w:szCs w:val="32"/>
          <w:highlight w:val="none"/>
          <w:lang w:val="en-US" w:eastAsia="zh-CN" w:bidi="ar-SA"/>
        </w:rPr>
        <w:t>评标信息 （综合评分法）</w:t>
      </w:r>
      <w:bookmarkEnd w:id="4"/>
    </w:p>
    <w:p w14:paraId="16E70C5E">
      <w:pPr>
        <w:tabs>
          <w:tab w:val="left" w:pos="426"/>
        </w:tabs>
        <w:spacing w:line="300" w:lineRule="auto"/>
        <w:ind w:firstLine="420" w:firstLineChars="200"/>
        <w:rPr>
          <w:rFonts w:ascii="Times New Roman" w:hAnsi="Times New Roman" w:cs="Times New Roman"/>
          <w:bCs/>
          <w:szCs w:val="21"/>
        </w:rPr>
      </w:pPr>
      <w:r>
        <w:rPr>
          <w:rFonts w:ascii="Times New Roman" w:hAnsi="Times New Roman" w:cs="Times New Roman"/>
          <w:bCs/>
          <w:szCs w:val="21"/>
        </w:rPr>
        <w:t>一、评标定标信息</w:t>
      </w:r>
    </w:p>
    <w:p w14:paraId="1B86F78A">
      <w:pPr>
        <w:tabs>
          <w:tab w:val="left" w:pos="426"/>
        </w:tabs>
        <w:spacing w:line="300" w:lineRule="auto"/>
        <w:ind w:firstLine="420" w:firstLineChars="200"/>
        <w:rPr>
          <w:rFonts w:ascii="Times New Roman" w:hAnsi="Times New Roman" w:cs="Times New Roman"/>
          <w:bCs/>
          <w:szCs w:val="21"/>
        </w:rPr>
      </w:pPr>
      <w:r>
        <w:rPr>
          <w:rFonts w:ascii="Times New Roman" w:hAnsi="Times New Roman" w:cs="Times New Roman"/>
          <w:bCs/>
          <w:szCs w:val="21"/>
        </w:rPr>
        <w:t>本项目为非评定分离项目。</w:t>
      </w:r>
    </w:p>
    <w:p w14:paraId="0849DD8C">
      <w:pPr>
        <w:tabs>
          <w:tab w:val="left" w:pos="426"/>
        </w:tabs>
        <w:spacing w:line="300" w:lineRule="auto"/>
        <w:ind w:firstLine="420" w:firstLineChars="200"/>
        <w:rPr>
          <w:rFonts w:ascii="Times New Roman" w:hAnsi="Times New Roman" w:cs="Times New Roman"/>
          <w:bCs/>
          <w:szCs w:val="21"/>
        </w:rPr>
      </w:pPr>
      <w:r>
        <w:rPr>
          <w:rFonts w:ascii="Times New Roman" w:hAnsi="Times New Roman" w:cs="Times New Roman"/>
          <w:bCs/>
          <w:szCs w:val="21"/>
        </w:rPr>
        <w:t>评标方法：综合评分法</w:t>
      </w:r>
    </w:p>
    <w:p w14:paraId="61B1E597">
      <w:pPr>
        <w:tabs>
          <w:tab w:val="left" w:pos="426"/>
        </w:tabs>
        <w:spacing w:line="300" w:lineRule="auto"/>
        <w:ind w:firstLine="420" w:firstLineChars="200"/>
        <w:rPr>
          <w:rFonts w:ascii="Times New Roman" w:hAnsi="Times New Roman" w:cs="Times New Roman"/>
          <w:bCs/>
          <w:szCs w:val="21"/>
        </w:rPr>
      </w:pPr>
      <w:r>
        <w:rPr>
          <w:rFonts w:hint="eastAsia" w:ascii="Times New Roman" w:hAnsi="Times New Roman" w:cs="Times New Roman"/>
          <w:bCs/>
          <w:szCs w:val="21"/>
        </w:rPr>
        <w:t>候选中标供应商家数：</w:t>
      </w:r>
      <w:r>
        <w:rPr>
          <w:rFonts w:hint="eastAsia" w:ascii="Times New Roman" w:hAnsi="Times New Roman" w:cs="Times New Roman"/>
          <w:bCs/>
          <w:szCs w:val="21"/>
          <w:lang w:val="en-US" w:eastAsia="zh-CN"/>
        </w:rPr>
        <w:t>2</w:t>
      </w:r>
      <w:r>
        <w:rPr>
          <w:rFonts w:hint="eastAsia"/>
          <w:szCs w:val="21"/>
        </w:rPr>
        <w:t>（中标供应商拒绝与采购人签订合同的，采购人可以按照评审报告推荐的中标候选人名单排序，确定下一候选人为中标供应商，也可以重新开展政府采购活动）</w:t>
      </w:r>
    </w:p>
    <w:p w14:paraId="7390779B">
      <w:pPr>
        <w:tabs>
          <w:tab w:val="left" w:pos="426"/>
        </w:tabs>
        <w:spacing w:line="300" w:lineRule="auto"/>
        <w:ind w:firstLine="420" w:firstLineChars="200"/>
        <w:rPr>
          <w:rFonts w:ascii="Times New Roman" w:hAnsi="Times New Roman" w:cs="Times New Roman"/>
          <w:bCs/>
          <w:szCs w:val="21"/>
        </w:rPr>
      </w:pPr>
      <w:r>
        <w:rPr>
          <w:rFonts w:hint="eastAsia" w:ascii="Times New Roman" w:hAnsi="Times New Roman" w:cs="Times New Roman"/>
          <w:bCs/>
          <w:szCs w:val="21"/>
        </w:rPr>
        <w:t>中标供应商家数：</w:t>
      </w:r>
      <w:r>
        <w:rPr>
          <w:rFonts w:ascii="Times New Roman" w:hAnsi="Times New Roman" w:cs="Times New Roman"/>
          <w:bCs/>
          <w:szCs w:val="21"/>
        </w:rPr>
        <w:t>1</w:t>
      </w:r>
    </w:p>
    <w:p w14:paraId="34B1338E">
      <w:pPr>
        <w:tabs>
          <w:tab w:val="left" w:pos="426"/>
        </w:tabs>
        <w:spacing w:line="300" w:lineRule="auto"/>
        <w:ind w:firstLine="420" w:firstLineChars="200"/>
        <w:rPr>
          <w:rFonts w:ascii="Times New Roman" w:hAnsi="Times New Roman" w:cs="Times New Roman"/>
          <w:bCs/>
          <w:szCs w:val="21"/>
        </w:rPr>
      </w:pPr>
      <w:r>
        <w:rPr>
          <w:rFonts w:hint="eastAsia" w:ascii="Times New Roman" w:hAnsi="Times New Roman" w:cs="Times New Roman"/>
          <w:bCs/>
          <w:szCs w:val="21"/>
        </w:rPr>
        <w:t>二、评审方法</w:t>
      </w:r>
    </w:p>
    <w:p w14:paraId="03A15A15">
      <w:pPr>
        <w:tabs>
          <w:tab w:val="left" w:pos="426"/>
        </w:tabs>
        <w:spacing w:line="300" w:lineRule="auto"/>
        <w:ind w:firstLine="420" w:firstLineChars="200"/>
        <w:rPr>
          <w:rFonts w:ascii="Times New Roman" w:hAnsi="Times New Roman" w:cs="Times New Roman"/>
          <w:bCs/>
          <w:szCs w:val="21"/>
        </w:rPr>
      </w:pPr>
      <w:r>
        <w:rPr>
          <w:rFonts w:hint="eastAsia" w:ascii="Times New Roman" w:hAnsi="Times New Roman" w:cs="Times New Roman"/>
          <w:szCs w:val="21"/>
        </w:rPr>
        <w:t>本项目采用综合评分法评审，投标文件应满足</w:t>
      </w:r>
      <w:r>
        <w:rPr>
          <w:rFonts w:hint="eastAsia" w:ascii="Times New Roman" w:hAnsi="Times New Roman" w:cs="Times New Roman"/>
          <w:szCs w:val="21"/>
          <w:lang w:val="en-US" w:eastAsia="zh-CN"/>
        </w:rPr>
        <w:t>征集</w:t>
      </w:r>
      <w:r>
        <w:rPr>
          <w:rFonts w:hint="eastAsia" w:ascii="Times New Roman" w:hAnsi="Times New Roman" w:cs="Times New Roman"/>
          <w:szCs w:val="21"/>
        </w:rPr>
        <w:t>文件全部实质性要求，且按照评审因素的量化指标进行评审。评审委员会各成员应当独立对每个通过资格性审查和符合性审查且报价不超过预算控制金额的投标人的投标文件进行评审，并汇总每个投标人每项评分因素的评分、评标委员会各成员对每个投标人评分的和，取算术平均值确定每个投标人的评审总得分，并出具评审结论</w:t>
      </w:r>
      <w:r>
        <w:rPr>
          <w:rFonts w:hint="eastAsia" w:ascii="Times New Roman" w:hAnsi="Times New Roman" w:cs="Times New Roman"/>
          <w:bCs/>
          <w:szCs w:val="21"/>
        </w:rPr>
        <w:t>。</w:t>
      </w:r>
    </w:p>
    <w:p w14:paraId="1D1CFB13">
      <w:pPr>
        <w:tabs>
          <w:tab w:val="left" w:pos="426"/>
        </w:tabs>
        <w:spacing w:line="300" w:lineRule="auto"/>
        <w:ind w:firstLine="420" w:firstLineChars="200"/>
        <w:rPr>
          <w:rFonts w:ascii="Times New Roman" w:hAnsi="Times New Roman" w:cs="Times New Roman"/>
        </w:rPr>
      </w:pPr>
      <w:r>
        <w:rPr>
          <w:rFonts w:hint="eastAsia" w:ascii="Times New Roman" w:hAnsi="Times New Roman" w:cs="Times New Roman"/>
          <w:szCs w:val="21"/>
        </w:rPr>
        <w:t>候选中标供应商按评审总得分由高到低顺序排列，排名第一的投标人为第一候选中标供应商，排名第二的投标人为第二候选中标供应商，排名第三的投标人为第三候选中标供应商。</w:t>
      </w:r>
    </w:p>
    <w:p w14:paraId="6B78B187">
      <w:pPr>
        <w:tabs>
          <w:tab w:val="left" w:pos="426"/>
        </w:tabs>
        <w:spacing w:line="300" w:lineRule="auto"/>
        <w:ind w:firstLine="420" w:firstLineChars="200"/>
        <w:rPr>
          <w:rFonts w:ascii="Times New Roman" w:hAnsi="Times New Roman" w:cs="Times New Roman"/>
          <w:bCs/>
          <w:szCs w:val="21"/>
        </w:rPr>
      </w:pPr>
      <w:r>
        <w:rPr>
          <w:rFonts w:hint="eastAsia" w:ascii="Times New Roman" w:hAnsi="Times New Roman" w:cs="Times New Roman"/>
          <w:szCs w:val="21"/>
        </w:rPr>
        <w:t>候选中标供应商评审总得分相同的，按投标报价由低到高顺序排列；得分且投标报价相同的，按技术指标或服务方案优劣顺序排列；得分且投标报价相同的且技术指标或服务方案优劣相同的，</w:t>
      </w:r>
      <w:r>
        <w:rPr>
          <w:rFonts w:hint="eastAsia" w:ascii="Times New Roman" w:hAnsi="Times New Roman" w:cs="Times New Roman"/>
          <w:bCs/>
          <w:szCs w:val="21"/>
        </w:rPr>
        <w:t>采取随机抽取方式确定候选中标供应商的推荐资格。</w:t>
      </w:r>
    </w:p>
    <w:p w14:paraId="15614A72">
      <w:pPr>
        <w:tabs>
          <w:tab w:val="left" w:pos="426"/>
        </w:tabs>
        <w:spacing w:line="300" w:lineRule="auto"/>
        <w:ind w:firstLine="420" w:firstLineChars="200"/>
        <w:rPr>
          <w:rFonts w:ascii="Times New Roman" w:hAnsi="Times New Roman" w:cs="Times New Roman"/>
        </w:rPr>
      </w:pPr>
      <w:r>
        <w:rPr>
          <w:rFonts w:hint="eastAsia" w:ascii="Times New Roman" w:hAnsi="Times New Roman" w:cs="Times New Roman"/>
        </w:rPr>
        <w:t>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投标无效处理。</w:t>
      </w:r>
    </w:p>
    <w:p w14:paraId="5CCE94AE">
      <w:pPr>
        <w:tabs>
          <w:tab w:val="left" w:pos="426"/>
        </w:tabs>
        <w:spacing w:line="300" w:lineRule="auto"/>
        <w:ind w:firstLine="420" w:firstLineChars="200"/>
        <w:rPr>
          <w:rFonts w:ascii="Times New Roman" w:hAnsi="Times New Roman" w:cs="Times New Roman"/>
        </w:rPr>
      </w:pPr>
      <w:r>
        <w:rPr>
          <w:rFonts w:hint="eastAsia" w:ascii="Times New Roman" w:hAnsi="Times New Roman" w:cs="Times New Roman"/>
        </w:rPr>
        <w:t>供应商提供报价合理性说明的方式，包括但不限于现场提交、电子邮件提交等其他便捷方式。若评审委员会成员对是否须由投标人作出报价合理性说明，以及书面说明是否采纳等判断不一致的，按照</w:t>
      </w:r>
      <w:r>
        <w:rPr>
          <w:rFonts w:ascii="Times New Roman" w:hAnsi="Times New Roman" w:cs="Times New Roman"/>
        </w:rPr>
        <w:t>“</w:t>
      </w:r>
      <w:r>
        <w:rPr>
          <w:rFonts w:hint="eastAsia" w:ascii="Times New Roman" w:hAnsi="Times New Roman" w:cs="Times New Roman"/>
        </w:rPr>
        <w:t>少数服从多数</w:t>
      </w:r>
      <w:r>
        <w:rPr>
          <w:rFonts w:ascii="Times New Roman" w:hAnsi="Times New Roman" w:cs="Times New Roman"/>
        </w:rPr>
        <w:t>”</w:t>
      </w:r>
      <w:r>
        <w:rPr>
          <w:rFonts w:hint="eastAsia" w:ascii="Times New Roman" w:hAnsi="Times New Roman" w:cs="Times New Roman"/>
        </w:rPr>
        <w:t>的原则确定评审委员会的意见。</w:t>
      </w:r>
    </w:p>
    <w:p w14:paraId="2E79F59D">
      <w:pPr>
        <w:tabs>
          <w:tab w:val="left" w:pos="426"/>
        </w:tabs>
        <w:spacing w:line="300" w:lineRule="auto"/>
        <w:ind w:firstLine="420" w:firstLineChars="200"/>
        <w:rPr>
          <w:rFonts w:ascii="Times New Roman" w:hAnsi="Times New Roman" w:cs="Times New Roman"/>
          <w:szCs w:val="21"/>
        </w:rPr>
      </w:pPr>
      <w:r>
        <w:rPr>
          <w:rFonts w:hint="eastAsia" w:ascii="Times New Roman" w:hAnsi="Times New Roman" w:cs="Times New Roman"/>
          <w:szCs w:val="21"/>
        </w:rPr>
        <w:t>三、价格分计算方法</w:t>
      </w:r>
    </w:p>
    <w:p w14:paraId="382E0367">
      <w:pPr>
        <w:tabs>
          <w:tab w:val="left" w:pos="426"/>
        </w:tabs>
        <w:spacing w:after="120" w:line="300" w:lineRule="auto"/>
        <w:ind w:firstLine="420" w:firstLineChars="200"/>
        <w:rPr>
          <w:rFonts w:ascii="Times New Roman" w:hAnsi="Times New Roman" w:cs="Times New Roman"/>
          <w:szCs w:val="21"/>
        </w:rPr>
      </w:pPr>
      <w:r>
        <w:rPr>
          <w:rFonts w:hint="eastAsia" w:ascii="Times New Roman" w:hAnsi="Times New Roman" w:cs="Times New Roman"/>
          <w:szCs w:val="21"/>
        </w:rPr>
        <w:t>依据《深圳市财政局关于严格执行财政部</w:t>
      </w:r>
      <w:r>
        <w:rPr>
          <w:rFonts w:ascii="Times New Roman" w:hAnsi="Times New Roman" w:cs="Times New Roman"/>
          <w:szCs w:val="21"/>
        </w:rPr>
        <w:t>87</w:t>
      </w:r>
      <w:r>
        <w:rPr>
          <w:rFonts w:hint="eastAsia" w:ascii="Times New Roman" w:hAnsi="Times New Roman" w:cs="Times New Roman"/>
          <w:szCs w:val="21"/>
        </w:rPr>
        <w:t>号令价格分计算规定的通知》（深财购〔</w:t>
      </w:r>
      <w:r>
        <w:rPr>
          <w:rFonts w:ascii="Times New Roman" w:hAnsi="Times New Roman" w:cs="Times New Roman"/>
          <w:szCs w:val="21"/>
        </w:rPr>
        <w:t>2018</w:t>
      </w:r>
      <w:r>
        <w:rPr>
          <w:rFonts w:hint="eastAsia" w:ascii="Times New Roman" w:hAnsi="Times New Roman" w:cs="Times New Roman"/>
          <w:szCs w:val="21"/>
        </w:rPr>
        <w:t>〕</w:t>
      </w:r>
      <w:r>
        <w:rPr>
          <w:rFonts w:ascii="Times New Roman" w:hAnsi="Times New Roman" w:cs="Times New Roman"/>
          <w:szCs w:val="21"/>
        </w:rPr>
        <w:t>33</w:t>
      </w:r>
      <w:r>
        <w:rPr>
          <w:rFonts w:hint="eastAsia" w:ascii="Times New Roman" w:hAnsi="Times New Roman" w:cs="Times New Roman"/>
          <w:szCs w:val="21"/>
        </w:rPr>
        <w:t>号）、《政府采购货物和服务招标投标管理办法》（财政部令第</w:t>
      </w:r>
      <w:r>
        <w:rPr>
          <w:rFonts w:ascii="Times New Roman" w:hAnsi="Times New Roman" w:cs="Times New Roman"/>
          <w:szCs w:val="21"/>
        </w:rPr>
        <w:t>87</w:t>
      </w:r>
      <w:r>
        <w:rPr>
          <w:rFonts w:hint="eastAsia" w:ascii="Times New Roman" w:hAnsi="Times New Roman" w:cs="Times New Roman"/>
          <w:szCs w:val="21"/>
        </w:rPr>
        <w:t>号）第五十五条第六款之规定：价格分应当采用低价优先法计算，即满足招标文件要求且投标价格最低的投标报价为评标基准价，其价格分为满分。其他投标人的价格分统一按照下列公式计算：</w:t>
      </w:r>
    </w:p>
    <w:p w14:paraId="151C4D37">
      <w:pPr>
        <w:tabs>
          <w:tab w:val="left" w:pos="426"/>
        </w:tabs>
        <w:spacing w:after="120" w:line="300" w:lineRule="auto"/>
        <w:ind w:firstLine="420" w:firstLineChars="200"/>
        <w:rPr>
          <w:rFonts w:ascii="Times New Roman" w:hAnsi="Times New Roman" w:cs="Times New Roman"/>
          <w:szCs w:val="21"/>
        </w:rPr>
      </w:pPr>
      <w:r>
        <w:rPr>
          <w:rFonts w:hint="eastAsia" w:ascii="Times New Roman" w:hAnsi="Times New Roman" w:cs="Times New Roman"/>
          <w:szCs w:val="21"/>
        </w:rPr>
        <w:t>投标报价得分</w:t>
      </w:r>
      <w:r>
        <w:rPr>
          <w:rFonts w:ascii="Times New Roman" w:hAnsi="Times New Roman" w:cs="Times New Roman"/>
          <w:szCs w:val="21"/>
        </w:rPr>
        <w:t>=(</w:t>
      </w:r>
      <w:r>
        <w:rPr>
          <w:rFonts w:hint="eastAsia" w:ascii="Times New Roman" w:hAnsi="Times New Roman" w:cs="Times New Roman"/>
          <w:szCs w:val="21"/>
        </w:rPr>
        <w:t>评标基准价／投标报价</w:t>
      </w:r>
      <w:r>
        <w:rPr>
          <w:rFonts w:ascii="Times New Roman" w:hAnsi="Times New Roman" w:cs="Times New Roman"/>
          <w:szCs w:val="21"/>
        </w:rPr>
        <w:t>)×100</w:t>
      </w:r>
    </w:p>
    <w:p w14:paraId="770F6869">
      <w:pPr>
        <w:tabs>
          <w:tab w:val="left" w:pos="426"/>
        </w:tabs>
        <w:spacing w:after="120" w:line="300" w:lineRule="auto"/>
        <w:ind w:firstLine="420" w:firstLineChars="200"/>
        <w:rPr>
          <w:rFonts w:ascii="Times New Roman" w:hAnsi="Times New Roman" w:cs="Times New Roman"/>
          <w:szCs w:val="21"/>
        </w:rPr>
      </w:pPr>
      <w:r>
        <w:rPr>
          <w:rFonts w:hint="eastAsia" w:ascii="Times New Roman" w:hAnsi="Times New Roman" w:cs="Times New Roman"/>
          <w:szCs w:val="21"/>
        </w:rPr>
        <w:t>评标总得分＝</w:t>
      </w:r>
      <w:r>
        <w:rPr>
          <w:rFonts w:ascii="Times New Roman" w:hAnsi="Times New Roman" w:cs="Times New Roman"/>
          <w:szCs w:val="21"/>
        </w:rPr>
        <w:t>F1×A1</w:t>
      </w:r>
      <w:r>
        <w:rPr>
          <w:rFonts w:hint="eastAsia" w:ascii="Times New Roman" w:hAnsi="Times New Roman" w:cs="Times New Roman"/>
          <w:szCs w:val="21"/>
        </w:rPr>
        <w:t>＋</w:t>
      </w:r>
      <w:r>
        <w:rPr>
          <w:rFonts w:ascii="Times New Roman" w:hAnsi="Times New Roman" w:cs="Times New Roman"/>
          <w:szCs w:val="21"/>
        </w:rPr>
        <w:t>F2×A2</w:t>
      </w:r>
      <w:r>
        <w:rPr>
          <w:rFonts w:hint="eastAsia" w:ascii="Times New Roman" w:hAnsi="Times New Roman" w:cs="Times New Roman"/>
          <w:szCs w:val="21"/>
        </w:rPr>
        <w:t>＋</w:t>
      </w:r>
      <w:r>
        <w:rPr>
          <w:rFonts w:ascii="Times New Roman" w:hAnsi="Times New Roman" w:cs="Times New Roman"/>
          <w:szCs w:val="21"/>
        </w:rPr>
        <w:t>……</w:t>
      </w:r>
      <w:r>
        <w:rPr>
          <w:rFonts w:hint="eastAsia" w:ascii="Times New Roman" w:hAnsi="Times New Roman" w:cs="Times New Roman"/>
          <w:szCs w:val="21"/>
        </w:rPr>
        <w:t>＋</w:t>
      </w:r>
      <w:r>
        <w:rPr>
          <w:rFonts w:ascii="Times New Roman" w:hAnsi="Times New Roman" w:cs="Times New Roman"/>
          <w:szCs w:val="21"/>
        </w:rPr>
        <w:t>Fn×An</w:t>
      </w:r>
    </w:p>
    <w:p w14:paraId="28250539">
      <w:pPr>
        <w:tabs>
          <w:tab w:val="left" w:pos="426"/>
        </w:tabs>
        <w:spacing w:after="120" w:line="300" w:lineRule="auto"/>
        <w:ind w:firstLine="420" w:firstLineChars="200"/>
        <w:rPr>
          <w:rFonts w:ascii="Times New Roman" w:hAnsi="Times New Roman" w:cs="Times New Roman"/>
          <w:szCs w:val="21"/>
        </w:rPr>
      </w:pPr>
      <w:r>
        <w:rPr>
          <w:rFonts w:ascii="Times New Roman" w:hAnsi="Times New Roman" w:cs="Times New Roman"/>
          <w:szCs w:val="21"/>
        </w:rPr>
        <w:t>F1</w:t>
      </w:r>
      <w:r>
        <w:rPr>
          <w:rFonts w:hint="eastAsia" w:ascii="Times New Roman" w:hAnsi="Times New Roman" w:cs="Times New Roman"/>
          <w:szCs w:val="21"/>
        </w:rPr>
        <w:t>、</w:t>
      </w:r>
      <w:r>
        <w:rPr>
          <w:rFonts w:ascii="Times New Roman" w:hAnsi="Times New Roman" w:cs="Times New Roman"/>
          <w:szCs w:val="21"/>
        </w:rPr>
        <w:t>F2……Fn</w:t>
      </w:r>
      <w:r>
        <w:rPr>
          <w:rFonts w:hint="eastAsia" w:ascii="Times New Roman" w:hAnsi="Times New Roman" w:cs="Times New Roman"/>
          <w:szCs w:val="21"/>
        </w:rPr>
        <w:t>分别为各项评审因素的得分；</w:t>
      </w:r>
    </w:p>
    <w:p w14:paraId="208C9334">
      <w:pPr>
        <w:tabs>
          <w:tab w:val="left" w:pos="426"/>
        </w:tabs>
        <w:spacing w:after="120" w:line="300" w:lineRule="auto"/>
        <w:ind w:firstLine="420" w:firstLineChars="200"/>
        <w:rPr>
          <w:rFonts w:ascii="Times New Roman" w:hAnsi="Times New Roman" w:cs="Times New Roman"/>
          <w:szCs w:val="21"/>
        </w:rPr>
      </w:pPr>
      <w:r>
        <w:rPr>
          <w:rFonts w:ascii="Times New Roman" w:hAnsi="Times New Roman" w:cs="Times New Roman"/>
          <w:szCs w:val="21"/>
        </w:rPr>
        <w:t>A1</w:t>
      </w:r>
      <w:r>
        <w:rPr>
          <w:rFonts w:hint="eastAsia" w:ascii="Times New Roman" w:hAnsi="Times New Roman" w:cs="Times New Roman"/>
          <w:szCs w:val="21"/>
        </w:rPr>
        <w:t>、</w:t>
      </w:r>
      <w:r>
        <w:rPr>
          <w:rFonts w:ascii="Times New Roman" w:hAnsi="Times New Roman" w:cs="Times New Roman"/>
          <w:szCs w:val="21"/>
        </w:rPr>
        <w:t>A2</w:t>
      </w:r>
      <w:r>
        <w:rPr>
          <w:rFonts w:hint="eastAsia" w:ascii="Times New Roman" w:hAnsi="Times New Roman" w:cs="Times New Roman"/>
          <w:szCs w:val="21"/>
        </w:rPr>
        <w:t>、</w:t>
      </w:r>
      <w:r>
        <w:rPr>
          <w:rFonts w:ascii="Times New Roman" w:hAnsi="Times New Roman" w:cs="Times New Roman"/>
          <w:szCs w:val="21"/>
        </w:rPr>
        <w:t xml:space="preserve">……An </w:t>
      </w:r>
      <w:r>
        <w:rPr>
          <w:rFonts w:hint="eastAsia" w:ascii="Times New Roman" w:hAnsi="Times New Roman" w:cs="Times New Roman"/>
          <w:szCs w:val="21"/>
        </w:rPr>
        <w:t>分别为各项评审因素所占的权重</w:t>
      </w:r>
      <w:r>
        <w:rPr>
          <w:rFonts w:ascii="Times New Roman" w:hAnsi="Times New Roman" w:cs="Times New Roman"/>
          <w:szCs w:val="21"/>
        </w:rPr>
        <w:t>(A1</w:t>
      </w:r>
      <w:r>
        <w:rPr>
          <w:rFonts w:hint="eastAsia" w:ascii="Times New Roman" w:hAnsi="Times New Roman" w:cs="Times New Roman"/>
          <w:szCs w:val="21"/>
        </w:rPr>
        <w:t>＋</w:t>
      </w:r>
      <w:r>
        <w:rPr>
          <w:rFonts w:ascii="Times New Roman" w:hAnsi="Times New Roman" w:cs="Times New Roman"/>
          <w:szCs w:val="21"/>
        </w:rPr>
        <w:t>A2</w:t>
      </w:r>
      <w:r>
        <w:rPr>
          <w:rFonts w:hint="eastAsia" w:ascii="Times New Roman" w:hAnsi="Times New Roman" w:cs="Times New Roman"/>
          <w:szCs w:val="21"/>
        </w:rPr>
        <w:t>＋</w:t>
      </w:r>
      <w:r>
        <w:rPr>
          <w:rFonts w:ascii="Times New Roman" w:hAnsi="Times New Roman" w:cs="Times New Roman"/>
          <w:szCs w:val="21"/>
        </w:rPr>
        <w:t>……</w:t>
      </w:r>
      <w:r>
        <w:rPr>
          <w:rFonts w:hint="eastAsia" w:ascii="Times New Roman" w:hAnsi="Times New Roman" w:cs="Times New Roman"/>
          <w:szCs w:val="21"/>
        </w:rPr>
        <w:t>＋</w:t>
      </w:r>
      <w:r>
        <w:rPr>
          <w:rFonts w:ascii="Times New Roman" w:hAnsi="Times New Roman" w:cs="Times New Roman"/>
          <w:szCs w:val="21"/>
        </w:rPr>
        <w:t>An</w:t>
      </w:r>
      <w:r>
        <w:rPr>
          <w:rFonts w:hint="eastAsia" w:ascii="Times New Roman" w:hAnsi="Times New Roman" w:cs="Times New Roman"/>
          <w:szCs w:val="21"/>
        </w:rPr>
        <w:t>＝</w:t>
      </w:r>
      <w:r>
        <w:rPr>
          <w:rFonts w:ascii="Times New Roman" w:hAnsi="Times New Roman" w:cs="Times New Roman"/>
          <w:szCs w:val="21"/>
        </w:rPr>
        <w:t>1)</w:t>
      </w:r>
      <w:r>
        <w:rPr>
          <w:rFonts w:hint="eastAsia" w:ascii="Times New Roman" w:hAnsi="Times New Roman" w:cs="Times New Roman"/>
          <w:szCs w:val="21"/>
        </w:rPr>
        <w:t>。</w:t>
      </w:r>
    </w:p>
    <w:p w14:paraId="5BF68436">
      <w:pPr>
        <w:tabs>
          <w:tab w:val="left" w:pos="426"/>
        </w:tabs>
        <w:spacing w:after="120" w:line="300" w:lineRule="auto"/>
        <w:ind w:firstLine="420" w:firstLineChars="200"/>
        <w:rPr>
          <w:rFonts w:ascii="Times New Roman" w:hAnsi="Times New Roman" w:cs="Times New Roman"/>
          <w:szCs w:val="21"/>
        </w:rPr>
      </w:pPr>
      <w:r>
        <w:rPr>
          <w:rFonts w:hint="eastAsia" w:ascii="Times New Roman" w:hAnsi="Times New Roman" w:cs="Times New Roman"/>
          <w:szCs w:val="21"/>
        </w:rPr>
        <w:t>评标过程中，不得去掉报价中的最高报价和最低报价。</w:t>
      </w:r>
    </w:p>
    <w:p w14:paraId="05CAB605">
      <w:pPr>
        <w:tabs>
          <w:tab w:val="left" w:pos="426"/>
        </w:tabs>
        <w:spacing w:after="120" w:line="300" w:lineRule="auto"/>
        <w:ind w:firstLine="420" w:firstLineChars="200"/>
        <w:rPr>
          <w:rFonts w:ascii="Times New Roman" w:hAnsi="Times New Roman" w:cs="Times New Roman"/>
          <w:szCs w:val="21"/>
        </w:rPr>
      </w:pPr>
      <w:r>
        <w:rPr>
          <w:rFonts w:hint="eastAsia" w:ascii="Times New Roman" w:hAnsi="Times New Roman" w:cs="Times New Roman"/>
          <w:szCs w:val="21"/>
        </w:rPr>
        <w:t>因落实政府采购政策进行价格调整的，以调整后的价格计算评标基准价和投标报价。</w:t>
      </w:r>
    </w:p>
    <w:p w14:paraId="04060EB5">
      <w:pPr>
        <w:tabs>
          <w:tab w:val="left" w:pos="426"/>
        </w:tabs>
        <w:spacing w:after="120" w:line="300" w:lineRule="auto"/>
        <w:ind w:firstLine="420" w:firstLineChars="200"/>
        <w:rPr>
          <w:rFonts w:ascii="Times New Roman" w:hAnsi="Times New Roman" w:cs="Times New Roman"/>
          <w:szCs w:val="21"/>
        </w:rPr>
      </w:pPr>
      <w:r>
        <w:rPr>
          <w:rFonts w:hint="eastAsia" w:ascii="Times New Roman" w:hAnsi="Times New Roman" w:cs="Times New Roman"/>
          <w:szCs w:val="21"/>
        </w:rPr>
        <w:t>在实际评标过程中，《评分细则表》中的</w:t>
      </w:r>
      <w:r>
        <w:rPr>
          <w:rFonts w:ascii="Times New Roman" w:hAnsi="Times New Roman" w:cs="Times New Roman"/>
          <w:szCs w:val="21"/>
        </w:rPr>
        <w:t>“</w:t>
      </w:r>
      <w:r>
        <w:rPr>
          <w:rFonts w:hint="eastAsia" w:ascii="Times New Roman" w:hAnsi="Times New Roman" w:cs="Times New Roman"/>
          <w:szCs w:val="21"/>
        </w:rPr>
        <w:t>分值</w:t>
      </w:r>
      <w:r>
        <w:rPr>
          <w:rFonts w:ascii="Times New Roman" w:hAnsi="Times New Roman" w:cs="Times New Roman"/>
          <w:szCs w:val="21"/>
        </w:rPr>
        <w:t>”</w:t>
      </w:r>
      <w:r>
        <w:rPr>
          <w:rFonts w:hint="eastAsia" w:ascii="Times New Roman" w:hAnsi="Times New Roman" w:cs="Times New Roman"/>
          <w:szCs w:val="21"/>
        </w:rPr>
        <w:t>项为各项评审因素的实际分</w:t>
      </w:r>
      <w:r>
        <w:rPr>
          <w:rFonts w:ascii="Times New Roman" w:hAnsi="Times New Roman" w:cs="Times New Roman"/>
          <w:szCs w:val="21"/>
        </w:rPr>
        <w:t>Sn</w:t>
      </w:r>
      <w:r>
        <w:rPr>
          <w:rFonts w:hint="eastAsia" w:ascii="Times New Roman" w:hAnsi="Times New Roman" w:cs="Times New Roman"/>
          <w:szCs w:val="21"/>
        </w:rPr>
        <w:t>，</w:t>
      </w:r>
      <w:r>
        <w:rPr>
          <w:rFonts w:ascii="Times New Roman" w:hAnsi="Times New Roman" w:cs="Times New Roman"/>
          <w:szCs w:val="21"/>
        </w:rPr>
        <w:t>Sn=Fn×An</w:t>
      </w:r>
      <w:r>
        <w:rPr>
          <w:rFonts w:hint="eastAsia" w:ascii="Times New Roman" w:hAnsi="Times New Roman" w:cs="Times New Roman"/>
          <w:szCs w:val="21"/>
        </w:rPr>
        <w:t>，评标总得分</w:t>
      </w:r>
      <w:r>
        <w:rPr>
          <w:rFonts w:ascii="Times New Roman" w:hAnsi="Times New Roman" w:cs="Times New Roman"/>
          <w:szCs w:val="21"/>
        </w:rPr>
        <w:t>=S1</w:t>
      </w:r>
      <w:r>
        <w:rPr>
          <w:rFonts w:hint="eastAsia" w:ascii="Times New Roman" w:hAnsi="Times New Roman" w:cs="Times New Roman"/>
          <w:szCs w:val="21"/>
        </w:rPr>
        <w:t>＋</w:t>
      </w:r>
      <w:r>
        <w:rPr>
          <w:rFonts w:ascii="Times New Roman" w:hAnsi="Times New Roman" w:cs="Times New Roman"/>
          <w:szCs w:val="21"/>
        </w:rPr>
        <w:t>S2</w:t>
      </w:r>
      <w:r>
        <w:rPr>
          <w:rFonts w:hint="eastAsia" w:ascii="Times New Roman" w:hAnsi="Times New Roman" w:cs="Times New Roman"/>
          <w:szCs w:val="21"/>
        </w:rPr>
        <w:t>＋</w:t>
      </w:r>
      <w:r>
        <w:rPr>
          <w:rFonts w:ascii="Times New Roman" w:hAnsi="Times New Roman" w:cs="Times New Roman"/>
          <w:szCs w:val="21"/>
        </w:rPr>
        <w:t>……</w:t>
      </w:r>
      <w:r>
        <w:rPr>
          <w:rFonts w:hint="eastAsia" w:ascii="Times New Roman" w:hAnsi="Times New Roman" w:cs="Times New Roman"/>
          <w:szCs w:val="21"/>
        </w:rPr>
        <w:t>＋</w:t>
      </w:r>
      <w:r>
        <w:rPr>
          <w:rFonts w:ascii="Times New Roman" w:hAnsi="Times New Roman" w:cs="Times New Roman"/>
          <w:szCs w:val="21"/>
        </w:rPr>
        <w:t>Sn</w:t>
      </w:r>
      <w:r>
        <w:rPr>
          <w:rFonts w:hint="eastAsia" w:ascii="Times New Roman" w:hAnsi="Times New Roman" w:cs="Times New Roman"/>
          <w:szCs w:val="21"/>
        </w:rPr>
        <w:t>，投标报价的实际分</w:t>
      </w:r>
      <w:r>
        <w:rPr>
          <w:rFonts w:ascii="Times New Roman" w:hAnsi="Times New Roman" w:cs="Times New Roman"/>
          <w:szCs w:val="21"/>
        </w:rPr>
        <w:t>=(</w:t>
      </w:r>
      <w:r>
        <w:rPr>
          <w:rFonts w:hint="eastAsia" w:ascii="Times New Roman" w:hAnsi="Times New Roman" w:cs="Times New Roman"/>
          <w:szCs w:val="21"/>
        </w:rPr>
        <w:t>评标基准价／投标报价</w:t>
      </w:r>
      <w:r>
        <w:rPr>
          <w:rFonts w:ascii="Times New Roman" w:hAnsi="Times New Roman" w:cs="Times New Roman"/>
          <w:szCs w:val="21"/>
        </w:rPr>
        <w:t>)×100×</w:t>
      </w:r>
      <w:r>
        <w:rPr>
          <w:rFonts w:hint="eastAsia" w:ascii="Times New Roman" w:hAnsi="Times New Roman" w:cs="Times New Roman"/>
          <w:szCs w:val="21"/>
        </w:rPr>
        <w:t>价格权重。</w:t>
      </w:r>
    </w:p>
    <w:p w14:paraId="151E9DAC">
      <w:pPr>
        <w:tabs>
          <w:tab w:val="left" w:pos="426"/>
        </w:tabs>
        <w:spacing w:line="300" w:lineRule="auto"/>
        <w:ind w:firstLine="420" w:firstLineChars="200"/>
        <w:rPr>
          <w:rFonts w:ascii="Times New Roman" w:hAnsi="Times New Roman" w:cs="Times New Roman"/>
          <w:szCs w:val="21"/>
        </w:rPr>
      </w:pPr>
      <w:r>
        <w:rPr>
          <w:rFonts w:hint="eastAsia" w:ascii="Times New Roman" w:hAnsi="Times New Roman" w:cs="Times New Roman"/>
          <w:szCs w:val="21"/>
        </w:rPr>
        <w:t>四、详细评审</w:t>
      </w:r>
    </w:p>
    <w:p w14:paraId="62A48003">
      <w:pPr>
        <w:tabs>
          <w:tab w:val="left" w:pos="426"/>
        </w:tabs>
        <w:spacing w:line="300" w:lineRule="auto"/>
        <w:ind w:firstLine="420" w:firstLineChars="200"/>
        <w:rPr>
          <w:rFonts w:ascii="Times New Roman" w:hAnsi="Times New Roman" w:cs="Times New Roman"/>
          <w:szCs w:val="21"/>
        </w:rPr>
      </w:pPr>
      <w:r>
        <w:rPr>
          <w:rFonts w:hint="eastAsia" w:ascii="Times New Roman" w:hAnsi="Times New Roman" w:cs="Times New Roman"/>
          <w:szCs w:val="21"/>
        </w:rPr>
        <w:t>（一）评标专家应对通过投标文件初审进入评标程序的投标文件先评技术标、再评商务标；</w:t>
      </w:r>
    </w:p>
    <w:p w14:paraId="106706EF">
      <w:pPr>
        <w:tabs>
          <w:tab w:val="left" w:pos="426"/>
        </w:tabs>
        <w:spacing w:line="300" w:lineRule="auto"/>
        <w:ind w:firstLine="420" w:firstLineChars="200"/>
        <w:rPr>
          <w:rFonts w:ascii="Times New Roman" w:hAnsi="Times New Roman" w:cs="Times New Roman"/>
          <w:szCs w:val="21"/>
        </w:rPr>
      </w:pPr>
      <w:r>
        <w:rPr>
          <w:rFonts w:hint="eastAsia" w:ascii="Times New Roman" w:hAnsi="Times New Roman" w:cs="Times New Roman"/>
          <w:szCs w:val="21"/>
        </w:rPr>
        <w:t>（二）评标专家需按</w:t>
      </w:r>
      <w:r>
        <w:rPr>
          <w:rFonts w:hint="eastAsia" w:ascii="Times New Roman" w:hAnsi="Times New Roman" w:cs="Times New Roman"/>
          <w:szCs w:val="21"/>
          <w:lang w:val="en-US" w:eastAsia="zh-CN"/>
        </w:rPr>
        <w:t>征集</w:t>
      </w:r>
      <w:r>
        <w:rPr>
          <w:rFonts w:hint="eastAsia" w:ascii="Times New Roman" w:hAnsi="Times New Roman" w:cs="Times New Roman"/>
          <w:szCs w:val="21"/>
        </w:rPr>
        <w:t>文件规定的评审标准对投标人提交的投标文件进行评审，投标文件中与评审标准无关的内容不作为评审内容。</w:t>
      </w:r>
    </w:p>
    <w:p w14:paraId="68578C00">
      <w:pPr>
        <w:tabs>
          <w:tab w:val="left" w:pos="426"/>
        </w:tabs>
        <w:spacing w:line="300" w:lineRule="auto"/>
        <w:ind w:firstLine="420" w:firstLineChars="200"/>
        <w:rPr>
          <w:rFonts w:hint="eastAsia" w:ascii="Times New Roman" w:hAnsi="Times New Roman" w:cs="Times New Roman"/>
          <w:szCs w:val="21"/>
        </w:rPr>
      </w:pPr>
      <w:r>
        <w:rPr>
          <w:rFonts w:hint="eastAsia" w:ascii="Times New Roman" w:hAnsi="Times New Roman" w:cs="Times New Roman"/>
          <w:szCs w:val="21"/>
        </w:rPr>
        <w:t>（三）评标委员会在评标时，应按照以下量化的评审因素，对各投标文件进行分析和比较：</w:t>
      </w:r>
    </w:p>
    <w:p w14:paraId="67991690">
      <w:pPr>
        <w:tabs>
          <w:tab w:val="left" w:pos="426"/>
        </w:tabs>
        <w:spacing w:line="300" w:lineRule="auto"/>
        <w:ind w:firstLine="420" w:firstLineChars="200"/>
        <w:rPr>
          <w:rFonts w:hint="eastAsia" w:ascii="Times New Roman" w:hAnsi="Times New Roman" w:cs="Times New Roman"/>
          <w:szCs w:val="21"/>
        </w:rPr>
      </w:pPr>
    </w:p>
    <w:tbl>
      <w:tblPr>
        <w:tblStyle w:val="21"/>
        <w:tblW w:w="9829"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037"/>
        <w:gridCol w:w="647"/>
        <w:gridCol w:w="7443"/>
        <w:gridCol w:w="702"/>
      </w:tblGrid>
      <w:tr w14:paraId="18A361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90" w:hRule="atLeast"/>
          <w:jc w:val="center"/>
        </w:trPr>
        <w:tc>
          <w:tcPr>
            <w:tcW w:w="9829" w:type="dxa"/>
            <w:gridSpan w:val="4"/>
            <w:tcBorders>
              <w:top w:val="nil"/>
              <w:left w:val="nil"/>
              <w:bottom w:val="nil"/>
              <w:right w:val="nil"/>
            </w:tcBorders>
            <w:shd w:val="clear" w:color="auto" w:fill="auto"/>
            <w:noWrap/>
            <w:vAlign w:val="center"/>
          </w:tcPr>
          <w:p w14:paraId="38A70D40">
            <w:pPr>
              <w:keepNext w:val="0"/>
              <w:keepLines w:val="0"/>
              <w:suppressLineNumbers w:val="0"/>
              <w:tabs>
                <w:tab w:val="left" w:pos="426"/>
              </w:tabs>
              <w:spacing w:before="0" w:beforeAutospacing="0" w:after="0" w:afterAutospacing="0" w:line="300" w:lineRule="auto"/>
              <w:ind w:left="0" w:right="0" w:firstLine="482" w:firstLineChars="200"/>
              <w:jc w:val="center"/>
              <w:rPr>
                <w:rFonts w:hint="default" w:ascii="宋体" w:hAnsi="宋体"/>
                <w:b/>
                <w:bCs w:val="0"/>
                <w:sz w:val="24"/>
                <w:szCs w:val="24"/>
                <w:highlight w:val="none"/>
              </w:rPr>
            </w:pPr>
            <w:r>
              <w:rPr>
                <w:rFonts w:hint="eastAsia" w:ascii="宋体" w:hAnsi="宋体"/>
                <w:b/>
                <w:bCs w:val="0"/>
                <w:sz w:val="24"/>
                <w:szCs w:val="24"/>
                <w:highlight w:val="none"/>
              </w:rPr>
              <w:t>评分细则表</w:t>
            </w:r>
          </w:p>
          <w:p w14:paraId="67E2404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Style w:val="35"/>
                <w:sz w:val="21"/>
                <w:szCs w:val="21"/>
                <w:lang w:val="en-US" w:eastAsia="zh-CN" w:bidi="ar"/>
              </w:rPr>
              <w:t>项目名称：                         征集编号：</w:t>
            </w:r>
          </w:p>
        </w:tc>
      </w:tr>
      <w:tr w14:paraId="0EA4D9F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jc w:val="center"/>
        </w:trPr>
        <w:tc>
          <w:tcPr>
            <w:tcW w:w="10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359AB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评分项目</w:t>
            </w:r>
          </w:p>
        </w:tc>
        <w:tc>
          <w:tcPr>
            <w:tcW w:w="6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B426E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序号</w:t>
            </w:r>
          </w:p>
        </w:tc>
        <w:tc>
          <w:tcPr>
            <w:tcW w:w="74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727C6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评分因素</w:t>
            </w:r>
          </w:p>
        </w:tc>
        <w:tc>
          <w:tcPr>
            <w:tcW w:w="7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B1238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分值</w:t>
            </w:r>
          </w:p>
        </w:tc>
      </w:tr>
      <w:tr w14:paraId="27E6FA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jc w:val="center"/>
        </w:trPr>
        <w:tc>
          <w:tcPr>
            <w:tcW w:w="1037" w:type="dxa"/>
            <w:vMerge w:val="restart"/>
            <w:tcBorders>
              <w:top w:val="single" w:color="000000" w:sz="4" w:space="0"/>
              <w:left w:val="single" w:color="000000" w:sz="4" w:space="0"/>
              <w:bottom w:val="nil"/>
              <w:right w:val="single" w:color="000000" w:sz="4" w:space="0"/>
            </w:tcBorders>
            <w:shd w:val="clear" w:color="auto" w:fill="auto"/>
            <w:vAlign w:val="center"/>
          </w:tcPr>
          <w:p w14:paraId="06E8233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技术部分</w:t>
            </w:r>
          </w:p>
        </w:tc>
        <w:tc>
          <w:tcPr>
            <w:tcW w:w="6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78326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74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1D77C2">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18"/>
                <w:szCs w:val="18"/>
                <w:u w:val="none"/>
                <w:lang w:val="en-US"/>
              </w:rPr>
            </w:pPr>
            <w:r>
              <w:rPr>
                <w:rFonts w:hint="eastAsia" w:ascii="宋体" w:hAnsi="宋体" w:eastAsia="宋体" w:cs="宋体"/>
                <w:i w:val="0"/>
                <w:iCs w:val="0"/>
                <w:color w:val="000000"/>
                <w:kern w:val="0"/>
                <w:sz w:val="18"/>
                <w:szCs w:val="18"/>
                <w:u w:val="none"/>
                <w:lang w:val="en-US" w:eastAsia="zh-CN" w:bidi="ar"/>
              </w:rPr>
              <w:t>技术参数响应情况                                                               投标供应商应如实填写《技术规格偏离表》，评审委员会根据技术需求参数响应情况进行打分，每1项负偏离的，扣0.3分；扣完为止，本小项最低为0分。</w:t>
            </w:r>
          </w:p>
        </w:tc>
        <w:tc>
          <w:tcPr>
            <w:tcW w:w="7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E9C94D">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47</w:t>
            </w:r>
          </w:p>
        </w:tc>
      </w:tr>
      <w:tr w14:paraId="298D2A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57" w:hRule="atLeast"/>
          <w:jc w:val="center"/>
        </w:trPr>
        <w:tc>
          <w:tcPr>
            <w:tcW w:w="1037" w:type="dxa"/>
            <w:vMerge w:val="continue"/>
            <w:tcBorders>
              <w:top w:val="single" w:color="000000" w:sz="4" w:space="0"/>
              <w:left w:val="single" w:color="000000" w:sz="4" w:space="0"/>
              <w:bottom w:val="nil"/>
              <w:right w:val="single" w:color="000000" w:sz="4" w:space="0"/>
            </w:tcBorders>
            <w:shd w:val="clear" w:color="auto" w:fill="auto"/>
            <w:vAlign w:val="center"/>
          </w:tcPr>
          <w:p w14:paraId="7BF0D3F7">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6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CF858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2</w:t>
            </w:r>
          </w:p>
        </w:tc>
        <w:tc>
          <w:tcPr>
            <w:tcW w:w="74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1761A6">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项目实施方案</w:t>
            </w:r>
          </w:p>
          <w:p w14:paraId="0E6486F2">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根据征集文件要求提供实施方案，内容应包括：</w:t>
            </w:r>
          </w:p>
          <w:p w14:paraId="3221D80B">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1.供货计划及进度安排</w:t>
            </w:r>
          </w:p>
          <w:p w14:paraId="53C02127">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2.到货验收组织方案</w:t>
            </w:r>
          </w:p>
          <w:p w14:paraId="575748E9">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3.供货应急方案</w:t>
            </w:r>
          </w:p>
          <w:p w14:paraId="3ECBA6D0">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每提供上述任意一项内容得2分，本项最高得 6</w:t>
            </w:r>
            <w:r>
              <w:rPr>
                <w:rFonts w:hint="eastAsia" w:ascii="宋体" w:hAnsi="宋体" w:eastAsia="宋体" w:cs="宋体"/>
                <w:i w:val="0"/>
                <w:iCs w:val="0"/>
                <w:color w:val="000000"/>
                <w:kern w:val="0"/>
                <w:sz w:val="18"/>
                <w:szCs w:val="18"/>
                <w:u w:val="none"/>
                <w:lang w:val="zh-CN" w:eastAsia="zh-CN" w:bidi="ar"/>
              </w:rPr>
              <w:t>分。</w:t>
            </w:r>
          </w:p>
          <w:p w14:paraId="3328A092">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在此基础上，专家根据各供应商的具体响应内容按照量化的评审因素指标进一步评审：</w:t>
            </w:r>
          </w:p>
          <w:p w14:paraId="61083352">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1.方案整体科学合理、针对性强、可操作性强，评审为优的，加3分；</w:t>
            </w:r>
          </w:p>
          <w:p w14:paraId="60D99CF3">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2.方案较合理、有一定针对性、一定可操作性，评审为良的，加2分；</w:t>
            </w:r>
          </w:p>
          <w:p w14:paraId="43134ACC">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3.方案不尽合理、针对性一般、可操作性一般，评审为中的，加1分；</w:t>
            </w:r>
          </w:p>
          <w:p w14:paraId="59AD80CD">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4.方案不合理、无针对性、无可操作性，评审为差的，加0分。</w:t>
            </w:r>
          </w:p>
        </w:tc>
        <w:tc>
          <w:tcPr>
            <w:tcW w:w="7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6C914D">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lang w:val="en-US"/>
              </w:rPr>
            </w:pPr>
            <w:r>
              <w:rPr>
                <w:rFonts w:hint="eastAsia" w:ascii="宋体" w:hAnsi="宋体" w:eastAsia="宋体" w:cs="宋体"/>
                <w:i w:val="0"/>
                <w:iCs w:val="0"/>
                <w:color w:val="000000"/>
                <w:kern w:val="0"/>
                <w:sz w:val="18"/>
                <w:szCs w:val="18"/>
                <w:u w:val="none"/>
                <w:lang w:val="en-US" w:eastAsia="zh-CN" w:bidi="ar"/>
              </w:rPr>
              <w:t>9</w:t>
            </w:r>
          </w:p>
        </w:tc>
      </w:tr>
      <w:tr w14:paraId="5BE4BC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jc w:val="center"/>
        </w:trPr>
        <w:tc>
          <w:tcPr>
            <w:tcW w:w="1037" w:type="dxa"/>
            <w:vMerge w:val="restart"/>
            <w:tcBorders>
              <w:top w:val="single" w:color="000000" w:sz="4" w:space="0"/>
              <w:left w:val="single" w:color="000000" w:sz="4" w:space="0"/>
              <w:right w:val="single" w:color="000000" w:sz="4" w:space="0"/>
            </w:tcBorders>
            <w:shd w:val="clear" w:color="auto" w:fill="auto"/>
            <w:vAlign w:val="center"/>
          </w:tcPr>
          <w:p w14:paraId="7B75A5A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商务部分</w:t>
            </w:r>
          </w:p>
        </w:tc>
        <w:tc>
          <w:tcPr>
            <w:tcW w:w="6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EA324E">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w:t>
            </w:r>
          </w:p>
        </w:tc>
        <w:tc>
          <w:tcPr>
            <w:tcW w:w="74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A261E7">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cs="宋体"/>
                <w:color w:val="auto"/>
                <w:kern w:val="0"/>
                <w:szCs w:val="21"/>
                <w:highlight w:val="none"/>
              </w:rPr>
              <w:t>售后服务方案</w:t>
            </w:r>
          </w:p>
          <w:p w14:paraId="7118CB97">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根据投标人提供的售后服务方案进行评审，内容包括但不限于：</w:t>
            </w:r>
          </w:p>
          <w:p w14:paraId="79E1E854">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1.售后服务体系及人员配置</w:t>
            </w:r>
          </w:p>
          <w:p w14:paraId="3B954F08">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2.故障响应及维修处置方案</w:t>
            </w:r>
          </w:p>
          <w:p w14:paraId="3F3EEBA7">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3.备用装备保障方案</w:t>
            </w:r>
          </w:p>
          <w:p w14:paraId="64935F5A">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4.维护及技术支持方案</w:t>
            </w:r>
          </w:p>
          <w:p w14:paraId="6B591034">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每满足以上一项要求得1分，本项最高得4分。</w:t>
            </w:r>
          </w:p>
          <w:p w14:paraId="06CEA09A">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在此基础上，专家根据各投标单位的具体响应内容进一步评审，评审标准如下：</w:t>
            </w:r>
          </w:p>
          <w:p w14:paraId="6923D9BF">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（1）售后服务方案内容全面具体，针对性强，科学合理，可操作性强，加 3 分；</w:t>
            </w:r>
          </w:p>
          <w:p w14:paraId="2D52516F">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（2）售后服务方案内容全面，针对性较强，整体合理，可操作性较强，加 2 分；</w:t>
            </w:r>
          </w:p>
          <w:p w14:paraId="248D4124">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（3）售后服务方案内容一般，针对性一般，基本合理，可操作性一般，加 1 分；</w:t>
            </w:r>
          </w:p>
          <w:p w14:paraId="20463402">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（4）其他情况不得分。</w:t>
            </w:r>
          </w:p>
        </w:tc>
        <w:tc>
          <w:tcPr>
            <w:tcW w:w="7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382EC9">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7</w:t>
            </w:r>
          </w:p>
        </w:tc>
      </w:tr>
      <w:tr w14:paraId="6BACA5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jc w:val="center"/>
        </w:trPr>
        <w:tc>
          <w:tcPr>
            <w:tcW w:w="1037" w:type="dxa"/>
            <w:vMerge w:val="continue"/>
            <w:tcBorders>
              <w:left w:val="single" w:color="000000" w:sz="4" w:space="0"/>
              <w:right w:val="single" w:color="000000" w:sz="4" w:space="0"/>
            </w:tcBorders>
            <w:shd w:val="clear" w:color="auto" w:fill="auto"/>
            <w:vAlign w:val="center"/>
          </w:tcPr>
          <w:p w14:paraId="79D6F53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p>
        </w:tc>
        <w:tc>
          <w:tcPr>
            <w:tcW w:w="6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A5FD0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2</w:t>
            </w:r>
          </w:p>
        </w:tc>
        <w:tc>
          <w:tcPr>
            <w:tcW w:w="74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00BBBF">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有效业绩                                                                        提供1项有效业绩的，得1分；以此类推，最高不超过2分。不提供或者不能有效证明的，得0分。</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有效业绩定义：（同时满足以下全部要求同类业绩才属于有效业绩）</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1.为投标供应商所投产品的同类业绩（所投核心产品同品牌同型号的产品）。</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2.合同签订时间为2024年1月1日至投标截止时间前。</w:t>
            </w:r>
          </w:p>
          <w:p w14:paraId="520CBE2B">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3.合同中的乙方（或供货方）必须是该投标供应商。</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证明文件：</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供应商必须提供项目合同关键页（首页、体现采购内容页、签字盖章页、签订时间页），未提供证明资料或者专家无法凭所提供资料判断是否得分的情况，一律作不得分处理。</w:t>
            </w:r>
          </w:p>
        </w:tc>
        <w:tc>
          <w:tcPr>
            <w:tcW w:w="7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CCFBB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2</w:t>
            </w:r>
          </w:p>
        </w:tc>
      </w:tr>
      <w:tr w14:paraId="368D53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jc w:val="center"/>
        </w:trPr>
        <w:tc>
          <w:tcPr>
            <w:tcW w:w="1037" w:type="dxa"/>
            <w:vMerge w:val="continue"/>
            <w:tcBorders>
              <w:left w:val="single" w:color="000000" w:sz="4" w:space="0"/>
              <w:bottom w:val="nil"/>
              <w:right w:val="single" w:color="000000" w:sz="4" w:space="0"/>
            </w:tcBorders>
            <w:shd w:val="clear" w:color="auto" w:fill="auto"/>
            <w:vAlign w:val="center"/>
          </w:tcPr>
          <w:p w14:paraId="3F305F5C">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6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7AEFBC">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3</w:t>
            </w:r>
          </w:p>
        </w:tc>
        <w:tc>
          <w:tcPr>
            <w:tcW w:w="74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4EBAA1">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诚信</w:t>
            </w:r>
          </w:p>
          <w:p w14:paraId="52E5F74F">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投标人在参与政府采购活动中存在诚信相关问题且在主管部门相关处理措施实施期限内的；投标人存在《深圳市财政局 政府采购供应商信用信息管理办法》（深财规〔2023〕3号）列明的一般行政处罚信息、一般违法失信记录信息的，本项不得分，否则得满分。</w:t>
            </w:r>
          </w:p>
          <w:p w14:paraId="6643565B">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证明文件：</w:t>
            </w:r>
          </w:p>
          <w:p w14:paraId="01CE7CB9">
            <w:pPr>
              <w:keepNext w:val="0"/>
              <w:keepLines w:val="0"/>
              <w:widowControl/>
              <w:suppressLineNumbers w:val="0"/>
              <w:spacing w:before="0" w:beforeAutospacing="0" w:after="0" w:afterAutospacing="0"/>
              <w:ind w:left="0" w:right="0"/>
              <w:jc w:val="left"/>
              <w:textAlignment w:val="center"/>
              <w:rPr>
                <w:rFonts w:hint="eastAsia" w:ascii="宋体" w:hAnsi="宋体" w:cs="宋体" w:eastAsiaTheme="minorEastAsia"/>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投标人无需提供任何证明材料，由工作人员向评审委员会提供相关信息。</w:t>
            </w:r>
          </w:p>
        </w:tc>
        <w:tc>
          <w:tcPr>
            <w:tcW w:w="7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43F600">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w:t>
            </w:r>
          </w:p>
        </w:tc>
      </w:tr>
      <w:tr w14:paraId="0AEF33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6" w:hRule="atLeast"/>
          <w:jc w:val="center"/>
        </w:trPr>
        <w:tc>
          <w:tcPr>
            <w:tcW w:w="10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19576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价格部分</w:t>
            </w:r>
          </w:p>
        </w:tc>
        <w:tc>
          <w:tcPr>
            <w:tcW w:w="6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B7CF5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74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77A562">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 xml:space="preserve">采用低价优先法计算，即满足征集文件要求且投标价格最低的投标报价为评标基准价，其价格分为满分。其他投标人的价格分统一按照下列公式计算： </w:t>
            </w:r>
          </w:p>
          <w:p w14:paraId="4FE03FDE">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投标报价得分=(基准价／扣除后的报价)×30</w:t>
            </w:r>
          </w:p>
        </w:tc>
        <w:tc>
          <w:tcPr>
            <w:tcW w:w="7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8764B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w:t>
            </w:r>
          </w:p>
        </w:tc>
      </w:tr>
      <w:tr w14:paraId="51920C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jc w:val="center"/>
        </w:trPr>
        <w:tc>
          <w:tcPr>
            <w:tcW w:w="912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A9E732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合计</w:t>
            </w:r>
          </w:p>
        </w:tc>
        <w:tc>
          <w:tcPr>
            <w:tcW w:w="7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E8223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r>
    </w:tbl>
    <w:p w14:paraId="3E733A93">
      <w:pPr>
        <w:widowControl/>
        <w:jc w:val="left"/>
        <w:rPr>
          <w:rFonts w:hint="eastAsia" w:ascii="宋体" w:cs="宋体"/>
          <w:snapToGrid w:val="0"/>
          <w:kern w:val="0"/>
        </w:rPr>
      </w:pPr>
      <w:r>
        <w:rPr>
          <w:rFonts w:hint="eastAsia" w:ascii="宋体" w:cs="宋体"/>
          <w:snapToGrid w:val="0"/>
          <w:kern w:val="0"/>
        </w:rPr>
        <w:t>备注：</w:t>
      </w:r>
    </w:p>
    <w:p w14:paraId="473E4B7C">
      <w:pPr>
        <w:spacing w:line="240" w:lineRule="auto"/>
      </w:pPr>
      <w:r>
        <w:rPr>
          <w:rFonts w:hint="eastAsia"/>
        </w:rPr>
        <w:t>1.每一项的得分均不能超过该项最高分值。</w:t>
      </w:r>
    </w:p>
    <w:p w14:paraId="760A847C">
      <w:pPr>
        <w:spacing w:line="240" w:lineRule="auto"/>
      </w:pPr>
      <w:r>
        <w:rPr>
          <w:rFonts w:hint="eastAsia"/>
        </w:rPr>
        <w:t>2.缺项则该项为0分或不合格为0分。</w:t>
      </w:r>
    </w:p>
    <w:p w14:paraId="2C1A9024">
      <w:pPr>
        <w:spacing w:line="240" w:lineRule="auto"/>
      </w:pPr>
      <w:r>
        <w:rPr>
          <w:rFonts w:hint="eastAsia"/>
        </w:rPr>
        <w:t>3.价格、技术、商务部分为针对项目具体情况设置项目，累加满分为100分。</w:t>
      </w:r>
    </w:p>
    <w:p w14:paraId="6BA35CC1">
      <w:pPr>
        <w:spacing w:line="240" w:lineRule="auto"/>
        <w:rPr>
          <w:rFonts w:ascii="Arial" w:hAnsi="Arial" w:cs="Arial"/>
          <w:snapToGrid w:val="0"/>
          <w:szCs w:val="18"/>
        </w:rPr>
      </w:pPr>
      <w:r>
        <w:rPr>
          <w:rFonts w:hint="eastAsia"/>
        </w:rPr>
        <w:t>4.综合以上</w:t>
      </w:r>
      <w:r>
        <w:rPr>
          <w:rFonts w:hint="eastAsia"/>
          <w:snapToGrid w:val="0"/>
        </w:rPr>
        <w:t>分析比较，</w:t>
      </w:r>
      <w:r>
        <w:rPr>
          <w:rFonts w:hint="eastAsia" w:ascii="宋体" w:hAnsi="宋体" w:cstheme="minorBidi"/>
          <w:color w:val="auto"/>
          <w:kern w:val="2"/>
          <w:sz w:val="21"/>
          <w:szCs w:val="21"/>
          <w:lang w:val="en-US" w:eastAsia="zh-CN" w:bidi="ar-SA"/>
        </w:rPr>
        <w:t>评标委员会</w:t>
      </w:r>
      <w:r>
        <w:rPr>
          <w:rFonts w:hint="eastAsia"/>
          <w:snapToGrid w:val="0"/>
        </w:rPr>
        <w:t>将对各投标文件进行书面的量化评定</w:t>
      </w:r>
      <w:r>
        <w:rPr>
          <w:rFonts w:hint="eastAsia" w:ascii="Arial" w:hAnsi="Arial" w:cs="Arial"/>
          <w:snapToGrid w:val="0"/>
          <w:szCs w:val="18"/>
        </w:rPr>
        <w:t>。</w:t>
      </w:r>
    </w:p>
    <w:p w14:paraId="6A1A1A41">
      <w:pPr>
        <w:spacing w:line="240" w:lineRule="auto"/>
        <w:rPr>
          <w:rFonts w:hint="eastAsia" w:eastAsiaTheme="minorEastAsia"/>
          <w:lang w:eastAsia="zh-CN"/>
        </w:rPr>
        <w:sectPr>
          <w:pgSz w:w="11906" w:h="16838"/>
          <w:pgMar w:top="1134" w:right="1134" w:bottom="1134" w:left="1418" w:header="851" w:footer="992" w:gutter="0"/>
          <w:cols w:space="720" w:num="1"/>
          <w:docGrid w:linePitch="462" w:charSpace="0"/>
        </w:sectPr>
      </w:pPr>
      <w:r>
        <w:rPr>
          <w:rFonts w:hint="eastAsia"/>
        </w:rPr>
        <w:t>5.客观评分项，所有评审专家应当统一打分分值；主观评分项，评审专家应当按照打分标准独立打分</w:t>
      </w:r>
      <w:r>
        <w:rPr>
          <w:rFonts w:hint="eastAsia"/>
          <w:lang w:eastAsia="zh-CN"/>
        </w:rPr>
        <w:t>。</w:t>
      </w:r>
    </w:p>
    <w:p w14:paraId="7C88F462">
      <w:pPr>
        <w:widowControl/>
        <w:numPr>
          <w:ilvl w:val="0"/>
          <w:numId w:val="2"/>
        </w:numPr>
        <w:ind w:left="0" w:leftChars="0" w:firstLine="640" w:firstLineChars="200"/>
        <w:jc w:val="center"/>
        <w:outlineLvl w:val="0"/>
        <w:rPr>
          <w:rFonts w:hint="eastAsia" w:asciiTheme="majorEastAsia" w:hAnsiTheme="majorEastAsia" w:eastAsiaTheme="majorEastAsia"/>
          <w:sz w:val="32"/>
          <w:szCs w:val="32"/>
          <w:lang w:val="en-US" w:eastAsia="zh-CN"/>
        </w:rPr>
      </w:pPr>
      <w:bookmarkStart w:id="5" w:name="_Toc12920"/>
      <w:r>
        <w:rPr>
          <w:rFonts w:hint="eastAsia" w:asciiTheme="majorEastAsia" w:hAnsiTheme="majorEastAsia" w:eastAsiaTheme="majorEastAsia"/>
          <w:sz w:val="32"/>
          <w:szCs w:val="32"/>
          <w:lang w:val="en-US" w:eastAsia="zh-CN"/>
        </w:rPr>
        <w:t>征集公告</w:t>
      </w:r>
      <w:bookmarkEnd w:id="5"/>
    </w:p>
    <w:p w14:paraId="37A5CB8D">
      <w:pPr>
        <w:pStyle w:val="4"/>
        <w:spacing w:before="0" w:after="0" w:line="240" w:lineRule="auto"/>
        <w:jc w:val="both"/>
        <w:outlineLvl w:val="9"/>
      </w:pPr>
    </w:p>
    <w:p w14:paraId="6E7EA3BB">
      <w:pPr>
        <w:pBdr>
          <w:top w:val="single" w:color="auto" w:sz="4" w:space="1"/>
          <w:left w:val="single" w:color="auto" w:sz="4" w:space="4"/>
          <w:bottom w:val="single" w:color="auto" w:sz="4" w:space="1"/>
          <w:right w:val="single" w:color="auto" w:sz="4" w:space="4"/>
        </w:pBdr>
        <w:spacing w:line="360" w:lineRule="auto"/>
        <w:ind w:firstLine="420" w:firstLineChars="200"/>
        <w:rPr>
          <w:rFonts w:ascii="宋体" w:hAnsi="宋体"/>
          <w:szCs w:val="28"/>
        </w:rPr>
      </w:pPr>
      <w:bookmarkStart w:id="6" w:name="OLE_LINK1"/>
      <w:bookmarkStart w:id="7" w:name="OLE_LINK3"/>
      <w:r>
        <w:rPr>
          <w:rFonts w:hint="eastAsia" w:ascii="宋体" w:hAnsi="宋体"/>
          <w:szCs w:val="28"/>
        </w:rPr>
        <w:t>项目概况</w:t>
      </w:r>
    </w:p>
    <w:p w14:paraId="6AAB3004">
      <w:pPr>
        <w:pBdr>
          <w:top w:val="single" w:color="auto" w:sz="4" w:space="1"/>
          <w:left w:val="single" w:color="auto" w:sz="4" w:space="4"/>
          <w:bottom w:val="single" w:color="auto" w:sz="4" w:space="1"/>
          <w:right w:val="single" w:color="auto" w:sz="4" w:space="4"/>
        </w:pBdr>
        <w:spacing w:line="360" w:lineRule="auto"/>
        <w:ind w:firstLine="420" w:firstLineChars="200"/>
        <w:rPr>
          <w:rFonts w:ascii="宋体" w:hAnsi="宋体"/>
          <w:szCs w:val="28"/>
        </w:rPr>
      </w:pPr>
      <w:r>
        <w:rPr>
          <w:rFonts w:hint="eastAsia" w:ascii="宋体" w:hAnsi="宋体"/>
          <w:szCs w:val="28"/>
          <w:u w:val="single"/>
          <w:lang w:val="en-US" w:eastAsia="zh-CN"/>
        </w:rPr>
        <w:t>紧急医学救援队伍急救背囊装备</w:t>
      </w:r>
      <w:r>
        <w:rPr>
          <w:rFonts w:hint="eastAsia" w:ascii="宋体" w:hAnsi="宋体"/>
          <w:szCs w:val="28"/>
          <w:highlight w:val="none"/>
          <w:lang w:eastAsia="zh-CN"/>
        </w:rPr>
        <w:t>征集</w:t>
      </w:r>
      <w:r>
        <w:rPr>
          <w:rFonts w:hint="eastAsia" w:ascii="宋体" w:hAnsi="宋体"/>
          <w:szCs w:val="28"/>
          <w:highlight w:val="none"/>
        </w:rPr>
        <w:t>项目的潜在投标人应在</w:t>
      </w:r>
      <w:r>
        <w:rPr>
          <w:rFonts w:hint="eastAsia" w:ascii="宋体" w:hAnsi="宋体"/>
          <w:szCs w:val="28"/>
          <w:highlight w:val="none"/>
          <w:lang w:val="en-US" w:eastAsia="zh-CN"/>
        </w:rPr>
        <w:t>深圳市福田区第二人民医院</w:t>
      </w:r>
      <w:r>
        <w:rPr>
          <w:rFonts w:hint="eastAsia" w:ascii="宋体" w:hAnsi="宋体"/>
          <w:szCs w:val="28"/>
          <w:highlight w:val="none"/>
        </w:rPr>
        <w:t>获取</w:t>
      </w:r>
      <w:r>
        <w:rPr>
          <w:rFonts w:hint="eastAsia" w:ascii="宋体" w:hAnsi="宋体"/>
          <w:szCs w:val="28"/>
          <w:highlight w:val="none"/>
          <w:lang w:eastAsia="zh-CN"/>
        </w:rPr>
        <w:t>征集</w:t>
      </w:r>
      <w:r>
        <w:rPr>
          <w:rFonts w:hint="eastAsia" w:ascii="宋体" w:hAnsi="宋体"/>
          <w:szCs w:val="28"/>
          <w:highlight w:val="none"/>
        </w:rPr>
        <w:t>文件，并于</w:t>
      </w:r>
      <w:r>
        <w:rPr>
          <w:rFonts w:hint="eastAsia" w:ascii="宋体" w:hAnsi="宋体"/>
          <w:szCs w:val="28"/>
          <w:highlight w:val="none"/>
          <w:u w:val="single"/>
        </w:rPr>
        <w:t>202</w:t>
      </w:r>
      <w:r>
        <w:rPr>
          <w:rFonts w:hint="eastAsia" w:ascii="宋体" w:hAnsi="宋体"/>
          <w:szCs w:val="28"/>
          <w:highlight w:val="none"/>
          <w:u w:val="single"/>
          <w:lang w:val="en-US" w:eastAsia="zh-CN"/>
        </w:rPr>
        <w:t>6</w:t>
      </w:r>
      <w:r>
        <w:rPr>
          <w:rFonts w:hint="eastAsia" w:ascii="宋体" w:hAnsi="宋体"/>
          <w:bCs/>
          <w:szCs w:val="28"/>
          <w:highlight w:val="none"/>
          <w:u w:val="single"/>
        </w:rPr>
        <w:t>年</w:t>
      </w:r>
      <w:r>
        <w:rPr>
          <w:rFonts w:hint="eastAsia" w:ascii="宋体" w:hAnsi="宋体"/>
          <w:bCs/>
          <w:szCs w:val="28"/>
          <w:highlight w:val="none"/>
          <w:u w:val="single"/>
          <w:lang w:val="en-US" w:eastAsia="zh-CN"/>
        </w:rPr>
        <w:t>8</w:t>
      </w:r>
      <w:r>
        <w:rPr>
          <w:rFonts w:hint="eastAsia" w:ascii="宋体" w:hAnsi="宋体"/>
          <w:bCs/>
          <w:szCs w:val="28"/>
          <w:highlight w:val="none"/>
          <w:u w:val="single"/>
        </w:rPr>
        <w:t>月</w:t>
      </w:r>
      <w:r>
        <w:rPr>
          <w:rFonts w:hint="eastAsia" w:ascii="宋体" w:hAnsi="宋体"/>
          <w:bCs/>
          <w:szCs w:val="28"/>
          <w:highlight w:val="none"/>
          <w:u w:val="single"/>
          <w:lang w:val="en-US" w:eastAsia="zh-CN"/>
        </w:rPr>
        <w:t>25</w:t>
      </w:r>
      <w:r>
        <w:rPr>
          <w:rFonts w:hint="eastAsia" w:ascii="宋体" w:hAnsi="宋体"/>
          <w:bCs/>
          <w:szCs w:val="28"/>
          <w:highlight w:val="none"/>
          <w:u w:val="single"/>
        </w:rPr>
        <w:t>日</w:t>
      </w:r>
      <w:r>
        <w:rPr>
          <w:rFonts w:hint="eastAsia" w:ascii="宋体" w:hAnsi="宋体"/>
          <w:bCs/>
          <w:szCs w:val="28"/>
          <w:highlight w:val="none"/>
          <w:u w:val="single"/>
          <w:lang w:val="en-US" w:eastAsia="zh-CN"/>
        </w:rPr>
        <w:t>9</w:t>
      </w:r>
      <w:r>
        <w:rPr>
          <w:rFonts w:hint="eastAsia" w:ascii="宋体" w:hAnsi="宋体"/>
          <w:bCs/>
          <w:szCs w:val="28"/>
          <w:highlight w:val="none"/>
          <w:u w:val="single"/>
        </w:rPr>
        <w:t>点</w:t>
      </w:r>
      <w:r>
        <w:rPr>
          <w:rFonts w:hint="eastAsia" w:ascii="宋体" w:hAnsi="宋体"/>
          <w:bCs/>
          <w:szCs w:val="28"/>
          <w:highlight w:val="none"/>
          <w:u w:val="single"/>
          <w:lang w:val="en-US" w:eastAsia="zh-CN"/>
        </w:rPr>
        <w:t>0</w:t>
      </w:r>
      <w:r>
        <w:rPr>
          <w:rFonts w:hint="eastAsia" w:ascii="宋体" w:hAnsi="宋体"/>
          <w:bCs/>
          <w:szCs w:val="28"/>
          <w:highlight w:val="none"/>
          <w:u w:val="single"/>
        </w:rPr>
        <w:t>0分</w:t>
      </w:r>
      <w:r>
        <w:rPr>
          <w:rFonts w:hint="eastAsia" w:ascii="宋体" w:hAnsi="宋体"/>
          <w:bCs/>
          <w:szCs w:val="28"/>
          <w:highlight w:val="none"/>
          <w:u w:val="none"/>
        </w:rPr>
        <w:t>（</w:t>
      </w:r>
      <w:r>
        <w:rPr>
          <w:rFonts w:hint="eastAsia" w:ascii="宋体" w:hAnsi="宋体"/>
          <w:bCs/>
          <w:szCs w:val="28"/>
          <w:highlight w:val="none"/>
        </w:rPr>
        <w:t>北京时间）前递交投标</w:t>
      </w:r>
      <w:r>
        <w:rPr>
          <w:rFonts w:ascii="宋体" w:hAnsi="宋体"/>
          <w:bCs/>
          <w:szCs w:val="28"/>
          <w:highlight w:val="none"/>
        </w:rPr>
        <w:t>文</w:t>
      </w:r>
      <w:r>
        <w:rPr>
          <w:rFonts w:ascii="宋体" w:hAnsi="宋体"/>
          <w:bCs/>
          <w:szCs w:val="28"/>
        </w:rPr>
        <w:t>件</w:t>
      </w:r>
      <w:r>
        <w:rPr>
          <w:rFonts w:hint="eastAsia" w:ascii="宋体" w:hAnsi="宋体"/>
          <w:szCs w:val="28"/>
        </w:rPr>
        <w:t>。</w:t>
      </w:r>
    </w:p>
    <w:p w14:paraId="75F49FC0">
      <w:pPr>
        <w:spacing w:line="360" w:lineRule="auto"/>
        <w:ind w:firstLine="420" w:firstLineChars="200"/>
        <w:rPr>
          <w:rFonts w:hint="eastAsia" w:ascii="宋体" w:hAnsi="宋体"/>
        </w:rPr>
      </w:pPr>
      <w:bookmarkStart w:id="8" w:name="OLE_LINK2"/>
    </w:p>
    <w:p w14:paraId="445E017D">
      <w:pPr>
        <w:spacing w:line="360" w:lineRule="auto"/>
        <w:ind w:firstLine="420" w:firstLineChars="200"/>
        <w:outlineLvl w:val="9"/>
        <w:rPr>
          <w:rFonts w:ascii="宋体" w:hAnsi="宋体"/>
          <w:b/>
        </w:rPr>
      </w:pPr>
      <w:r>
        <w:rPr>
          <w:rFonts w:hint="eastAsia" w:ascii="宋体" w:hAnsi="宋体"/>
        </w:rPr>
        <w:t>一、项目基本情况</w:t>
      </w:r>
    </w:p>
    <w:p w14:paraId="656BF1CC">
      <w:pPr>
        <w:spacing w:line="360" w:lineRule="auto"/>
        <w:ind w:firstLine="420" w:firstLineChars="200"/>
        <w:rPr>
          <w:rFonts w:hint="default" w:ascii="宋体" w:hAnsi="宋体" w:eastAsiaTheme="minorEastAsia"/>
          <w:lang w:val="en-US" w:eastAsia="zh-CN"/>
        </w:rPr>
      </w:pPr>
      <w:r>
        <w:rPr>
          <w:rFonts w:hint="eastAsia" w:ascii="宋体" w:hAnsi="宋体"/>
        </w:rPr>
        <w:t>项目编号：</w:t>
      </w:r>
      <w:r>
        <w:rPr>
          <w:rFonts w:hint="eastAsia" w:ascii="宋体" w:hAnsi="宋体"/>
          <w:lang w:val="en-US" w:eastAsia="zh-CN"/>
        </w:rPr>
        <w:t>FTEY-202601-YW001</w:t>
      </w:r>
    </w:p>
    <w:p w14:paraId="792813B2">
      <w:pPr>
        <w:spacing w:line="360" w:lineRule="auto"/>
        <w:ind w:firstLine="420" w:firstLineChars="200"/>
        <w:rPr>
          <w:rFonts w:hint="default" w:ascii="宋体" w:hAnsi="宋体"/>
          <w:lang w:val="en-US" w:eastAsia="zh-CN"/>
        </w:rPr>
      </w:pPr>
      <w:r>
        <w:rPr>
          <w:rFonts w:hint="eastAsia" w:ascii="宋体" w:hAnsi="宋体"/>
        </w:rPr>
        <w:t>项目名称：</w:t>
      </w:r>
      <w:r>
        <w:rPr>
          <w:rFonts w:hint="eastAsia" w:ascii="宋体" w:hAnsi="宋体"/>
          <w:lang w:val="en-US" w:eastAsia="zh-CN"/>
        </w:rPr>
        <w:t>紧急医学救援队伍急救背囊装备</w:t>
      </w:r>
    </w:p>
    <w:p w14:paraId="118885C8">
      <w:pPr>
        <w:spacing w:line="360" w:lineRule="auto"/>
        <w:ind w:firstLine="420" w:firstLineChars="200"/>
        <w:rPr>
          <w:rFonts w:hint="eastAsia" w:ascii="宋体" w:hAnsi="宋体"/>
          <w:szCs w:val="21"/>
        </w:rPr>
      </w:pPr>
      <w:r>
        <w:rPr>
          <w:rFonts w:hint="eastAsia" w:ascii="宋体" w:hAnsi="宋体"/>
        </w:rPr>
        <w:t>预算金额：人民币玖万</w:t>
      </w:r>
      <w:r>
        <w:rPr>
          <w:rFonts w:hint="eastAsia" w:ascii="宋体" w:hAnsi="宋体"/>
          <w:lang w:val="en-US" w:eastAsia="zh-CN"/>
        </w:rPr>
        <w:t>玖</w:t>
      </w:r>
      <w:r>
        <w:rPr>
          <w:rFonts w:hint="eastAsia" w:ascii="宋体" w:hAnsi="宋体"/>
        </w:rPr>
        <w:t>仟</w:t>
      </w:r>
      <w:r>
        <w:rPr>
          <w:rFonts w:hint="eastAsia" w:ascii="宋体" w:hAnsi="宋体"/>
          <w:lang w:val="en-US" w:eastAsia="zh-CN"/>
        </w:rPr>
        <w:t>捌佰元</w:t>
      </w:r>
      <w:r>
        <w:rPr>
          <w:rFonts w:hint="eastAsia" w:ascii="宋体" w:hAnsi="宋体"/>
        </w:rPr>
        <w:t>整（¥</w:t>
      </w:r>
      <w:r>
        <w:rPr>
          <w:rFonts w:hint="eastAsia" w:ascii="宋体" w:hAnsi="宋体"/>
          <w:lang w:val="en-US" w:eastAsia="zh-CN"/>
        </w:rPr>
        <w:t>99800</w:t>
      </w:r>
      <w:r>
        <w:rPr>
          <w:rFonts w:hint="eastAsia" w:ascii="宋体" w:hAnsi="宋体"/>
        </w:rPr>
        <w:t>.00元）</w:t>
      </w:r>
    </w:p>
    <w:p w14:paraId="11B5D75C">
      <w:pPr>
        <w:spacing w:line="360" w:lineRule="auto"/>
        <w:ind w:firstLine="420" w:firstLineChars="200"/>
        <w:rPr>
          <w:rFonts w:hint="default" w:ascii="宋体" w:hAnsi="宋体" w:eastAsiaTheme="minorEastAsia"/>
          <w:szCs w:val="21"/>
          <w:lang w:val="en-US" w:eastAsia="zh-CN"/>
        </w:rPr>
      </w:pPr>
      <w:r>
        <w:rPr>
          <w:rFonts w:hint="eastAsia" w:ascii="宋体" w:hAnsi="宋体"/>
          <w:szCs w:val="21"/>
          <w:lang w:val="en-US" w:eastAsia="zh-CN"/>
        </w:rPr>
        <w:t>采购方式：公开征集</w:t>
      </w:r>
    </w:p>
    <w:p w14:paraId="3D8115B5">
      <w:pPr>
        <w:spacing w:line="360" w:lineRule="auto"/>
        <w:ind w:firstLine="420" w:firstLineChars="200"/>
        <w:rPr>
          <w:rFonts w:ascii="宋体" w:hAnsi="宋体"/>
          <w:u w:val="single"/>
        </w:rPr>
      </w:pPr>
      <w:r>
        <w:rPr>
          <w:rFonts w:hint="eastAsia" w:ascii="宋体" w:hAnsi="宋体"/>
        </w:rPr>
        <w:t>采购需求：详见</w:t>
      </w:r>
      <w:r>
        <w:rPr>
          <w:rFonts w:hint="eastAsia" w:ascii="宋体" w:hAnsi="宋体"/>
          <w:lang w:eastAsia="zh-CN"/>
        </w:rPr>
        <w:t>征集</w:t>
      </w:r>
      <w:r>
        <w:rPr>
          <w:rFonts w:hint="eastAsia" w:ascii="宋体" w:hAnsi="宋体"/>
        </w:rPr>
        <w:t>文件</w:t>
      </w:r>
    </w:p>
    <w:p w14:paraId="1C2AA89B">
      <w:pPr>
        <w:spacing w:line="360" w:lineRule="auto"/>
        <w:ind w:firstLine="420" w:firstLineChars="200"/>
        <w:rPr>
          <w:rFonts w:ascii="宋体" w:hAnsi="宋体"/>
          <w:u w:val="single"/>
        </w:rPr>
      </w:pPr>
      <w:r>
        <w:rPr>
          <w:rFonts w:hint="eastAsia" w:ascii="宋体" w:hAnsi="宋体"/>
        </w:rPr>
        <w:t>合同履行期限：详见</w:t>
      </w:r>
      <w:r>
        <w:rPr>
          <w:rFonts w:hint="eastAsia" w:ascii="宋体" w:hAnsi="宋体"/>
          <w:lang w:eastAsia="zh-CN"/>
        </w:rPr>
        <w:t>征集</w:t>
      </w:r>
      <w:r>
        <w:rPr>
          <w:rFonts w:hint="eastAsia" w:ascii="宋体" w:hAnsi="宋体"/>
        </w:rPr>
        <w:t>文件</w:t>
      </w:r>
    </w:p>
    <w:p w14:paraId="22B32CBD">
      <w:pPr>
        <w:spacing w:line="360" w:lineRule="auto"/>
        <w:ind w:firstLine="420" w:firstLineChars="200"/>
        <w:rPr>
          <w:rFonts w:hint="eastAsia" w:ascii="宋体" w:hAnsi="宋体"/>
        </w:rPr>
      </w:pPr>
      <w:r>
        <w:rPr>
          <w:rFonts w:hint="eastAsia" w:ascii="宋体" w:hAnsi="宋体"/>
        </w:rPr>
        <w:t>本项目不接受联合体投标。</w:t>
      </w:r>
    </w:p>
    <w:p w14:paraId="25206CE6">
      <w:pPr>
        <w:spacing w:line="360" w:lineRule="auto"/>
        <w:ind w:firstLine="420" w:firstLineChars="200"/>
        <w:rPr>
          <w:rFonts w:hint="eastAsia" w:ascii="宋体" w:hAnsi="宋体"/>
        </w:rPr>
      </w:pPr>
    </w:p>
    <w:p w14:paraId="1FCF967D">
      <w:pPr>
        <w:spacing w:line="360" w:lineRule="auto"/>
        <w:ind w:firstLine="420" w:firstLineChars="200"/>
        <w:outlineLvl w:val="9"/>
        <w:rPr>
          <w:rFonts w:ascii="宋体" w:hAnsi="宋体"/>
          <w:b/>
        </w:rPr>
      </w:pPr>
      <w:r>
        <w:rPr>
          <w:rFonts w:hint="eastAsia" w:ascii="宋体" w:hAnsi="宋体"/>
        </w:rPr>
        <w:t>二、申请人的资格要求：</w:t>
      </w:r>
    </w:p>
    <w:p w14:paraId="79CCFECA">
      <w:pPr>
        <w:pStyle w:val="4"/>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20" w:firstLineChars="200"/>
        <w:jc w:val="both"/>
        <w:textAlignment w:val="auto"/>
        <w:outlineLvl w:val="9"/>
        <w:rPr>
          <w:rFonts w:hint="eastAsia" w:ascii="宋体" w:hAnsi="宋体" w:eastAsiaTheme="minorEastAsia" w:cstheme="minorBidi"/>
          <w:kern w:val="2"/>
          <w:sz w:val="21"/>
          <w:szCs w:val="24"/>
          <w:lang w:val="en-US" w:eastAsia="zh-CN" w:bidi="ar-SA"/>
        </w:rPr>
      </w:pPr>
      <w:bookmarkStart w:id="9" w:name="_Toc27076"/>
      <w:r>
        <w:rPr>
          <w:rFonts w:hint="eastAsia" w:ascii="宋体" w:hAnsi="宋体" w:eastAsiaTheme="minorEastAsia" w:cstheme="minorBidi"/>
          <w:kern w:val="2"/>
          <w:sz w:val="21"/>
          <w:szCs w:val="24"/>
          <w:lang w:val="en-US" w:eastAsia="zh-CN" w:bidi="ar-SA"/>
        </w:rPr>
        <w:t>1、满足《中华人民共和国政府采购法》第二十二条规定（由供应商在《投标人资格声明函及履约承诺函》中作出声明</w:t>
      </w:r>
      <w:r>
        <w:rPr>
          <w:rFonts w:hint="eastAsia" w:ascii="宋体" w:hAnsi="宋体" w:cstheme="minorBidi"/>
          <w:kern w:val="2"/>
          <w:sz w:val="21"/>
          <w:szCs w:val="24"/>
          <w:lang w:val="en-US" w:eastAsia="zh-CN" w:bidi="ar-SA"/>
        </w:rPr>
        <w:t>，</w:t>
      </w:r>
      <w:r>
        <w:rPr>
          <w:rFonts w:hint="eastAsia" w:ascii="宋体" w:hAnsi="宋体" w:eastAsiaTheme="minorEastAsia" w:cstheme="minorBidi"/>
          <w:kern w:val="2"/>
          <w:sz w:val="21"/>
          <w:szCs w:val="24"/>
          <w:lang w:val="en-US" w:eastAsia="zh-CN" w:bidi="ar-SA"/>
        </w:rPr>
        <w:t>见</w:t>
      </w:r>
      <w:r>
        <w:rPr>
          <w:rFonts w:hint="eastAsia" w:ascii="宋体" w:hAnsi="宋体" w:cstheme="minorBidi"/>
          <w:kern w:val="2"/>
          <w:sz w:val="21"/>
          <w:szCs w:val="24"/>
          <w:lang w:val="en-US" w:eastAsia="zh-CN" w:bidi="ar-SA"/>
        </w:rPr>
        <w:t>征集</w:t>
      </w:r>
      <w:r>
        <w:rPr>
          <w:rFonts w:hint="eastAsia" w:ascii="宋体" w:hAnsi="宋体" w:eastAsiaTheme="minorEastAsia" w:cstheme="minorBidi"/>
          <w:kern w:val="2"/>
          <w:sz w:val="21"/>
          <w:szCs w:val="24"/>
          <w:lang w:val="en-US" w:eastAsia="zh-CN" w:bidi="ar-SA"/>
        </w:rPr>
        <w:t>文件第五章 投标文件（编制参考模板）的第十</w:t>
      </w:r>
      <w:r>
        <w:rPr>
          <w:rFonts w:hint="eastAsia" w:ascii="宋体" w:hAnsi="宋体" w:cstheme="minorBidi"/>
          <w:kern w:val="2"/>
          <w:sz w:val="21"/>
          <w:szCs w:val="24"/>
          <w:lang w:val="en-US" w:eastAsia="zh-CN" w:bidi="ar-SA"/>
        </w:rPr>
        <w:t>二</w:t>
      </w:r>
      <w:r>
        <w:rPr>
          <w:rFonts w:hint="eastAsia" w:ascii="宋体" w:hAnsi="宋体" w:eastAsiaTheme="minorEastAsia" w:cstheme="minorBidi"/>
          <w:kern w:val="2"/>
          <w:sz w:val="21"/>
          <w:szCs w:val="24"/>
          <w:lang w:val="en-US" w:eastAsia="zh-CN" w:bidi="ar-SA"/>
        </w:rPr>
        <w:t>和第二十</w:t>
      </w:r>
      <w:r>
        <w:rPr>
          <w:rFonts w:hint="eastAsia" w:ascii="宋体" w:hAnsi="宋体" w:cstheme="minorBidi"/>
          <w:kern w:val="2"/>
          <w:sz w:val="21"/>
          <w:szCs w:val="24"/>
          <w:lang w:val="en-US" w:eastAsia="zh-CN" w:bidi="ar-SA"/>
        </w:rPr>
        <w:t>一</w:t>
      </w:r>
      <w:r>
        <w:rPr>
          <w:rFonts w:hint="eastAsia" w:ascii="宋体" w:hAnsi="宋体" w:eastAsiaTheme="minorEastAsia" w:cstheme="minorBidi"/>
          <w:kern w:val="2"/>
          <w:sz w:val="21"/>
          <w:szCs w:val="24"/>
          <w:lang w:val="en-US" w:eastAsia="zh-CN" w:bidi="ar-SA"/>
        </w:rPr>
        <w:t>）；</w:t>
      </w:r>
      <w:bookmarkEnd w:id="9"/>
    </w:p>
    <w:p w14:paraId="4857933A">
      <w:pPr>
        <w:spacing w:line="360" w:lineRule="auto"/>
        <w:ind w:firstLine="420" w:firstLineChars="200"/>
        <w:rPr>
          <w:rFonts w:hint="eastAsia" w:ascii="宋体" w:hAnsi="宋体"/>
          <w:lang w:eastAsia="zh-CN"/>
        </w:rPr>
      </w:pPr>
      <w:r>
        <w:rPr>
          <w:rFonts w:hint="eastAsia" w:ascii="宋体" w:hAnsi="宋体"/>
        </w:rPr>
        <w:t>2、具有独立法人资格或是具有独立承担民事责任能力的其它组织（提供营业执照或事业单位法人证书等证明资料扫描件，原件备查）。如参与投标的供应商为分公司，则须提供分公司营业执照、其所属总公司营业执照及其出具的授权函或承诺书，但只接受直接授权，不接受逐级授权。不接受同一总公司授权两家或以上分公司同时参与本项目投标，也不接受总公司与分公司同时参与本项目投标，如出现上述情形，以上供应商的投标文件均按无效投标处理；</w:t>
      </w:r>
    </w:p>
    <w:p w14:paraId="4D702BE4">
      <w:pPr>
        <w:spacing w:line="360" w:lineRule="auto"/>
        <w:ind w:firstLine="420" w:firstLineChars="200"/>
        <w:rPr>
          <w:rFonts w:hint="eastAsia" w:ascii="宋体" w:hAnsi="宋体"/>
        </w:rPr>
      </w:pPr>
      <w:r>
        <w:rPr>
          <w:rFonts w:hint="eastAsia" w:ascii="宋体" w:hAnsi="宋体"/>
          <w:lang w:val="en-US" w:eastAsia="zh-CN"/>
        </w:rPr>
        <w:t>3、</w:t>
      </w:r>
      <w:r>
        <w:rPr>
          <w:rFonts w:hint="eastAsia" w:ascii="宋体" w:hAnsi="宋体"/>
        </w:rPr>
        <w:t>投标人的医疗器械生产/经营资格：</w:t>
      </w:r>
    </w:p>
    <w:p w14:paraId="6C85CA31">
      <w:pPr>
        <w:pStyle w:val="57"/>
        <w:numPr>
          <w:ilvl w:val="0"/>
          <w:numId w:val="0"/>
        </w:numPr>
        <w:adjustRightInd w:val="0"/>
        <w:snapToGrid w:val="0"/>
        <w:spacing w:line="400" w:lineRule="exact"/>
        <w:ind w:left="0" w:leftChars="0" w:firstLine="420" w:firstLineChars="200"/>
        <w:jc w:val="left"/>
        <w:rPr>
          <w:rFonts w:hint="default" w:ascii="宋体" w:hAnsi="宋体" w:eastAsiaTheme="minorEastAsia" w:cstheme="minorBidi"/>
          <w:kern w:val="2"/>
          <w:sz w:val="21"/>
          <w:szCs w:val="24"/>
          <w:lang w:val="en-US" w:eastAsia="zh-CN" w:bidi="ar-SA"/>
        </w:rPr>
      </w:pPr>
      <w:r>
        <w:rPr>
          <w:rFonts w:hint="eastAsia" w:ascii="宋体" w:hAnsi="宋体" w:eastAsiaTheme="minorEastAsia" w:cstheme="minorBidi"/>
          <w:kern w:val="2"/>
          <w:sz w:val="21"/>
          <w:szCs w:val="24"/>
          <w:lang w:val="en-US" w:eastAsia="zh-CN" w:bidi="ar-SA"/>
        </w:rPr>
        <w:t>①如投标人为所投产品的</w:t>
      </w:r>
      <w:r>
        <w:rPr>
          <w:rFonts w:hint="eastAsia" w:ascii="宋体" w:hAnsi="宋体" w:eastAsiaTheme="minorEastAsia" w:cstheme="minorBidi"/>
          <w:b/>
          <w:bCs/>
          <w:kern w:val="2"/>
          <w:sz w:val="21"/>
          <w:szCs w:val="24"/>
          <w:lang w:val="en-US" w:eastAsia="zh-CN" w:bidi="ar-SA"/>
        </w:rPr>
        <w:t>生产企业</w:t>
      </w:r>
      <w:r>
        <w:rPr>
          <w:rFonts w:hint="eastAsia" w:ascii="宋体" w:hAnsi="宋体" w:eastAsiaTheme="minorEastAsia" w:cstheme="minorBidi"/>
          <w:kern w:val="2"/>
          <w:sz w:val="21"/>
          <w:szCs w:val="24"/>
          <w:lang w:val="en-US" w:eastAsia="zh-CN" w:bidi="ar-SA"/>
        </w:rPr>
        <w:t>且所投产品为</w:t>
      </w:r>
      <w:r>
        <w:rPr>
          <w:rFonts w:hint="eastAsia" w:ascii="宋体" w:hAnsi="宋体" w:eastAsiaTheme="minorEastAsia" w:cstheme="minorBidi"/>
          <w:b/>
          <w:bCs/>
          <w:kern w:val="2"/>
          <w:sz w:val="21"/>
          <w:szCs w:val="24"/>
          <w:lang w:val="en-US" w:eastAsia="zh-CN" w:bidi="ar-SA"/>
        </w:rPr>
        <w:t>第一类医疗器械</w:t>
      </w:r>
      <w:r>
        <w:rPr>
          <w:rFonts w:hint="eastAsia" w:ascii="宋体" w:hAnsi="宋体" w:eastAsiaTheme="minorEastAsia" w:cstheme="minorBidi"/>
          <w:kern w:val="2"/>
          <w:sz w:val="21"/>
          <w:szCs w:val="24"/>
          <w:lang w:val="en-US" w:eastAsia="zh-CN" w:bidi="ar-SA"/>
        </w:rPr>
        <w:t>的，投标人须提供监督管理部门签发的涵盖所投医疗器械的有效《医疗器械生产备案凭证》（提供复印件加盖公章，原件备查）；</w:t>
      </w:r>
      <w:r>
        <w:rPr>
          <w:rFonts w:hint="eastAsia" w:ascii="宋体" w:hAnsi="宋体" w:cstheme="minorBidi"/>
          <w:kern w:val="2"/>
          <w:sz w:val="21"/>
          <w:szCs w:val="24"/>
          <w:lang w:val="en-US" w:eastAsia="zh-CN" w:bidi="ar-SA"/>
        </w:rPr>
        <w:t xml:space="preserve"> </w:t>
      </w:r>
    </w:p>
    <w:p w14:paraId="67FBFCF6">
      <w:pPr>
        <w:pStyle w:val="57"/>
        <w:numPr>
          <w:ilvl w:val="0"/>
          <w:numId w:val="0"/>
        </w:numPr>
        <w:adjustRightInd w:val="0"/>
        <w:snapToGrid w:val="0"/>
        <w:spacing w:line="400" w:lineRule="exact"/>
        <w:ind w:left="0" w:leftChars="0" w:firstLine="420" w:firstLineChars="200"/>
        <w:jc w:val="left"/>
        <w:rPr>
          <w:rFonts w:hint="eastAsia" w:ascii="宋体" w:hAnsi="宋体" w:eastAsiaTheme="minorEastAsia" w:cstheme="minorBidi"/>
          <w:kern w:val="2"/>
          <w:sz w:val="21"/>
          <w:szCs w:val="24"/>
          <w:lang w:val="en-US" w:eastAsia="zh-CN" w:bidi="ar-SA"/>
        </w:rPr>
      </w:pPr>
      <w:r>
        <w:rPr>
          <w:rFonts w:hint="eastAsia" w:ascii="宋体" w:hAnsi="宋体" w:eastAsiaTheme="minorEastAsia" w:cstheme="minorBidi"/>
          <w:kern w:val="2"/>
          <w:sz w:val="21"/>
          <w:szCs w:val="24"/>
          <w:lang w:val="en-US" w:eastAsia="zh-CN" w:bidi="ar-SA"/>
        </w:rPr>
        <w:t>②如投标人为所投产品的</w:t>
      </w:r>
      <w:r>
        <w:rPr>
          <w:rFonts w:hint="eastAsia" w:ascii="宋体" w:hAnsi="宋体" w:eastAsiaTheme="minorEastAsia" w:cstheme="minorBidi"/>
          <w:b/>
          <w:bCs/>
          <w:kern w:val="2"/>
          <w:sz w:val="21"/>
          <w:szCs w:val="24"/>
          <w:lang w:val="en-US" w:eastAsia="zh-CN" w:bidi="ar-SA"/>
        </w:rPr>
        <w:t>生产企业</w:t>
      </w:r>
      <w:r>
        <w:rPr>
          <w:rFonts w:hint="eastAsia" w:ascii="宋体" w:hAnsi="宋体" w:eastAsiaTheme="minorEastAsia" w:cstheme="minorBidi"/>
          <w:kern w:val="2"/>
          <w:sz w:val="21"/>
          <w:szCs w:val="24"/>
          <w:lang w:val="en-US" w:eastAsia="zh-CN" w:bidi="ar-SA"/>
        </w:rPr>
        <w:t>且所投产品为</w:t>
      </w:r>
      <w:r>
        <w:rPr>
          <w:rFonts w:hint="eastAsia" w:ascii="宋体" w:hAnsi="宋体" w:eastAsiaTheme="minorEastAsia" w:cstheme="minorBidi"/>
          <w:b/>
          <w:bCs/>
          <w:kern w:val="2"/>
          <w:sz w:val="21"/>
          <w:szCs w:val="24"/>
          <w:lang w:val="en-US" w:eastAsia="zh-CN" w:bidi="ar-SA"/>
        </w:rPr>
        <w:t>第二、三类医疗器械</w:t>
      </w:r>
      <w:r>
        <w:rPr>
          <w:rFonts w:hint="eastAsia" w:ascii="宋体" w:hAnsi="宋体" w:eastAsiaTheme="minorEastAsia" w:cstheme="minorBidi"/>
          <w:kern w:val="2"/>
          <w:sz w:val="21"/>
          <w:szCs w:val="24"/>
          <w:lang w:val="en-US" w:eastAsia="zh-CN" w:bidi="ar-SA"/>
        </w:rPr>
        <w:t>的，投标人须提供监督管理部门签发的涵盖所投医疗器械的有效《医疗器械生产许可证》（提供复印件加盖公章，原件备查）；</w:t>
      </w:r>
    </w:p>
    <w:p w14:paraId="0F7ADFDD">
      <w:pPr>
        <w:pStyle w:val="57"/>
        <w:numPr>
          <w:ilvl w:val="0"/>
          <w:numId w:val="0"/>
        </w:numPr>
        <w:adjustRightInd w:val="0"/>
        <w:snapToGrid w:val="0"/>
        <w:spacing w:line="400" w:lineRule="exact"/>
        <w:ind w:left="0" w:leftChars="0" w:firstLine="420" w:firstLineChars="200"/>
        <w:jc w:val="left"/>
        <w:rPr>
          <w:rFonts w:hint="eastAsia" w:ascii="宋体" w:hAnsi="宋体" w:eastAsiaTheme="minorEastAsia" w:cstheme="minorBidi"/>
          <w:kern w:val="2"/>
          <w:sz w:val="21"/>
          <w:szCs w:val="24"/>
          <w:lang w:val="en-US" w:eastAsia="zh-CN" w:bidi="ar-SA"/>
        </w:rPr>
      </w:pPr>
      <w:r>
        <w:rPr>
          <w:rFonts w:hint="eastAsia" w:ascii="宋体" w:hAnsi="宋体" w:eastAsiaTheme="minorEastAsia" w:cstheme="minorBidi"/>
          <w:kern w:val="2"/>
          <w:sz w:val="21"/>
          <w:szCs w:val="24"/>
          <w:lang w:val="en-US" w:eastAsia="zh-CN" w:bidi="ar-SA"/>
        </w:rPr>
        <w:t>③如投标人为所投产品的</w:t>
      </w:r>
      <w:r>
        <w:rPr>
          <w:rFonts w:hint="eastAsia" w:ascii="宋体" w:hAnsi="宋体" w:eastAsiaTheme="minorEastAsia" w:cstheme="minorBidi"/>
          <w:b/>
          <w:bCs/>
          <w:kern w:val="2"/>
          <w:sz w:val="21"/>
          <w:szCs w:val="24"/>
          <w:lang w:val="en-US" w:eastAsia="zh-CN" w:bidi="ar-SA"/>
        </w:rPr>
        <w:t>经营企业</w:t>
      </w:r>
      <w:r>
        <w:rPr>
          <w:rFonts w:hint="eastAsia" w:ascii="宋体" w:hAnsi="宋体" w:eastAsiaTheme="minorEastAsia" w:cstheme="minorBidi"/>
          <w:kern w:val="2"/>
          <w:sz w:val="21"/>
          <w:szCs w:val="24"/>
          <w:lang w:val="en-US" w:eastAsia="zh-CN" w:bidi="ar-SA"/>
        </w:rPr>
        <w:t>且所投产品为</w:t>
      </w:r>
      <w:r>
        <w:rPr>
          <w:rFonts w:hint="eastAsia" w:ascii="宋体" w:hAnsi="宋体" w:eastAsiaTheme="minorEastAsia" w:cstheme="minorBidi"/>
          <w:b/>
          <w:bCs/>
          <w:kern w:val="2"/>
          <w:sz w:val="21"/>
          <w:szCs w:val="24"/>
          <w:lang w:val="en-US" w:eastAsia="zh-CN" w:bidi="ar-SA"/>
        </w:rPr>
        <w:t>第二类医疗器械</w:t>
      </w:r>
      <w:r>
        <w:rPr>
          <w:rFonts w:hint="eastAsia" w:ascii="宋体" w:hAnsi="宋体" w:eastAsiaTheme="minorEastAsia" w:cstheme="minorBidi"/>
          <w:kern w:val="2"/>
          <w:sz w:val="21"/>
          <w:szCs w:val="24"/>
          <w:lang w:val="en-US" w:eastAsia="zh-CN" w:bidi="ar-SA"/>
        </w:rPr>
        <w:t>的，投标人须提供监督管理部门签发的涵盖所投医疗器械的有效《医疗器械经营备案凭证》（提供复印件加盖公章，原件备查）；</w:t>
      </w:r>
    </w:p>
    <w:p w14:paraId="1A37BA1C">
      <w:pPr>
        <w:pStyle w:val="57"/>
        <w:numPr>
          <w:ilvl w:val="0"/>
          <w:numId w:val="0"/>
        </w:numPr>
        <w:adjustRightInd w:val="0"/>
        <w:snapToGrid w:val="0"/>
        <w:spacing w:line="400" w:lineRule="exact"/>
        <w:ind w:left="0" w:leftChars="0" w:firstLine="420" w:firstLineChars="200"/>
        <w:jc w:val="left"/>
        <w:rPr>
          <w:rFonts w:hint="eastAsia" w:ascii="宋体" w:hAnsi="宋体" w:eastAsiaTheme="minorEastAsia" w:cstheme="minorBidi"/>
          <w:kern w:val="2"/>
          <w:sz w:val="21"/>
          <w:szCs w:val="24"/>
          <w:lang w:val="en-US" w:eastAsia="zh-CN" w:bidi="ar-SA"/>
        </w:rPr>
      </w:pPr>
      <w:r>
        <w:rPr>
          <w:rFonts w:hint="eastAsia" w:ascii="宋体" w:hAnsi="宋体" w:eastAsiaTheme="minorEastAsia" w:cstheme="minorBidi"/>
          <w:kern w:val="2"/>
          <w:sz w:val="21"/>
          <w:szCs w:val="24"/>
          <w:lang w:val="en-US" w:eastAsia="zh-CN" w:bidi="ar-SA"/>
        </w:rPr>
        <w:t>④如投标人为所投产品的</w:t>
      </w:r>
      <w:r>
        <w:rPr>
          <w:rFonts w:hint="eastAsia" w:ascii="宋体" w:hAnsi="宋体" w:eastAsiaTheme="minorEastAsia" w:cstheme="minorBidi"/>
          <w:b/>
          <w:bCs/>
          <w:kern w:val="2"/>
          <w:sz w:val="21"/>
          <w:szCs w:val="24"/>
          <w:lang w:val="en-US" w:eastAsia="zh-CN" w:bidi="ar-SA"/>
        </w:rPr>
        <w:t>经营企业</w:t>
      </w:r>
      <w:r>
        <w:rPr>
          <w:rFonts w:hint="eastAsia" w:ascii="宋体" w:hAnsi="宋体" w:eastAsiaTheme="minorEastAsia" w:cstheme="minorBidi"/>
          <w:kern w:val="2"/>
          <w:sz w:val="21"/>
          <w:szCs w:val="24"/>
          <w:lang w:val="en-US" w:eastAsia="zh-CN" w:bidi="ar-SA"/>
        </w:rPr>
        <w:t>且所投产品为</w:t>
      </w:r>
      <w:r>
        <w:rPr>
          <w:rFonts w:hint="eastAsia" w:ascii="宋体" w:hAnsi="宋体" w:eastAsiaTheme="minorEastAsia" w:cstheme="minorBidi"/>
          <w:b/>
          <w:bCs/>
          <w:kern w:val="2"/>
          <w:sz w:val="21"/>
          <w:szCs w:val="24"/>
          <w:lang w:val="en-US" w:eastAsia="zh-CN" w:bidi="ar-SA"/>
        </w:rPr>
        <w:t>第三类医疗器械</w:t>
      </w:r>
      <w:r>
        <w:rPr>
          <w:rFonts w:hint="eastAsia" w:ascii="宋体" w:hAnsi="宋体" w:eastAsiaTheme="minorEastAsia" w:cstheme="minorBidi"/>
          <w:kern w:val="2"/>
          <w:sz w:val="21"/>
          <w:szCs w:val="24"/>
          <w:lang w:val="en-US" w:eastAsia="zh-CN" w:bidi="ar-SA"/>
        </w:rPr>
        <w:t>的，投标人须提供监督管理部门签发的涵盖所投医疗器械的有效《医疗器械经营许可证》（提供复印件加盖公章，原件备查）；</w:t>
      </w:r>
    </w:p>
    <w:p w14:paraId="672C9B98">
      <w:pPr>
        <w:pStyle w:val="57"/>
        <w:numPr>
          <w:ilvl w:val="0"/>
          <w:numId w:val="0"/>
        </w:numPr>
        <w:adjustRightInd w:val="0"/>
        <w:snapToGrid w:val="0"/>
        <w:spacing w:line="400" w:lineRule="exact"/>
        <w:ind w:left="0" w:leftChars="0" w:firstLine="420" w:firstLineChars="200"/>
        <w:jc w:val="left"/>
        <w:rPr>
          <w:rFonts w:hint="eastAsia" w:ascii="宋体" w:hAnsi="宋体" w:eastAsiaTheme="minorEastAsia" w:cstheme="minorBidi"/>
          <w:kern w:val="2"/>
          <w:sz w:val="21"/>
          <w:szCs w:val="24"/>
          <w:lang w:val="en-US" w:eastAsia="zh-CN" w:bidi="ar-SA"/>
        </w:rPr>
      </w:pPr>
      <w:r>
        <w:rPr>
          <w:rFonts w:hint="eastAsia" w:ascii="宋体" w:hAnsi="宋体" w:eastAsiaTheme="minorEastAsia" w:cstheme="minorBidi"/>
          <w:kern w:val="2"/>
          <w:sz w:val="21"/>
          <w:szCs w:val="24"/>
          <w:lang w:val="en-US" w:eastAsia="zh-CN" w:bidi="ar-SA"/>
        </w:rPr>
        <w:t>⑤如投标人所投产品不属于第一、二、三类医疗器械的，投标人无需提供医疗器械生产/经营资格相关证明材料，但需提供投标人关于所投产品不属于医疗器械的相关说明（加盖投标人公章）。</w:t>
      </w:r>
    </w:p>
    <w:p w14:paraId="62B7FE0C">
      <w:pPr>
        <w:spacing w:line="360" w:lineRule="auto"/>
        <w:ind w:firstLine="420" w:firstLineChars="200"/>
        <w:rPr>
          <w:rFonts w:ascii="宋体" w:hAnsi="宋体"/>
        </w:rPr>
      </w:pPr>
      <w:r>
        <w:rPr>
          <w:rFonts w:hint="eastAsia" w:ascii="宋体" w:hAnsi="宋体"/>
          <w:lang w:val="en-US" w:eastAsia="zh-CN"/>
        </w:rPr>
        <w:t>4</w:t>
      </w:r>
      <w:r>
        <w:rPr>
          <w:rFonts w:hint="eastAsia" w:ascii="宋体" w:hAnsi="宋体"/>
        </w:rPr>
        <w:t>、本项目</w:t>
      </w:r>
      <w:r>
        <w:rPr>
          <w:rFonts w:hint="eastAsia" w:ascii="宋体" w:hAnsi="宋体"/>
          <w:b/>
          <w:lang w:val="en-US" w:eastAsia="zh-CN"/>
        </w:rPr>
        <w:t>不</w:t>
      </w:r>
      <w:r>
        <w:rPr>
          <w:rFonts w:hint="eastAsia" w:ascii="宋体" w:hAnsi="宋体"/>
          <w:b/>
        </w:rPr>
        <w:t>接受</w:t>
      </w:r>
      <w:r>
        <w:rPr>
          <w:rFonts w:hint="eastAsia" w:ascii="宋体" w:hAnsi="宋体"/>
        </w:rPr>
        <w:t>供应商选用进口产品参与投标（进口产品是指通过中国海关报关验收进入中国境内且产自境外的产品）；</w:t>
      </w:r>
    </w:p>
    <w:p w14:paraId="4799F45E">
      <w:pPr>
        <w:pStyle w:val="4"/>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20" w:firstLineChars="200"/>
        <w:jc w:val="both"/>
        <w:textAlignment w:val="auto"/>
        <w:outlineLvl w:val="9"/>
        <w:rPr>
          <w:rFonts w:ascii="宋体" w:hAnsi="宋体"/>
        </w:rPr>
      </w:pPr>
      <w:bookmarkStart w:id="10" w:name="_Toc27695"/>
      <w:r>
        <w:rPr>
          <w:rFonts w:hint="eastAsia" w:ascii="宋体" w:hAnsi="宋体"/>
          <w:lang w:val="en-US" w:eastAsia="zh-CN"/>
        </w:rPr>
        <w:t>5</w:t>
      </w:r>
      <w:r>
        <w:rPr>
          <w:rFonts w:hint="eastAsia" w:ascii="宋体" w:hAnsi="宋体"/>
        </w:rPr>
        <w:t>、参与本项目投标前三年内，在经营活动中没有重大违法记录</w:t>
      </w:r>
      <w:r>
        <w:rPr>
          <w:rFonts w:hint="eastAsia" w:ascii="宋体" w:hAnsi="宋体" w:eastAsiaTheme="minorEastAsia" w:cstheme="minorBidi"/>
          <w:kern w:val="2"/>
          <w:sz w:val="21"/>
          <w:szCs w:val="24"/>
          <w:lang w:val="en-US" w:eastAsia="zh-CN" w:bidi="ar-SA"/>
        </w:rPr>
        <w:t>（由供应商在《投标人资格声明函及履约承诺函》中作出声明</w:t>
      </w:r>
      <w:r>
        <w:rPr>
          <w:rFonts w:hint="eastAsia" w:ascii="宋体" w:hAnsi="宋体" w:cstheme="minorBidi"/>
          <w:kern w:val="2"/>
          <w:sz w:val="21"/>
          <w:szCs w:val="24"/>
          <w:lang w:val="en-US" w:eastAsia="zh-CN" w:bidi="ar-SA"/>
        </w:rPr>
        <w:t>，</w:t>
      </w:r>
      <w:r>
        <w:rPr>
          <w:rFonts w:hint="eastAsia" w:ascii="宋体" w:hAnsi="宋体" w:eastAsiaTheme="minorEastAsia" w:cstheme="minorBidi"/>
          <w:kern w:val="2"/>
          <w:sz w:val="21"/>
          <w:szCs w:val="24"/>
          <w:lang w:val="en-US" w:eastAsia="zh-CN" w:bidi="ar-SA"/>
        </w:rPr>
        <w:t>见</w:t>
      </w:r>
      <w:r>
        <w:rPr>
          <w:rFonts w:hint="eastAsia" w:ascii="宋体" w:hAnsi="宋体" w:cstheme="minorBidi"/>
          <w:kern w:val="2"/>
          <w:sz w:val="21"/>
          <w:szCs w:val="24"/>
          <w:lang w:val="en-US" w:eastAsia="zh-CN" w:bidi="ar-SA"/>
        </w:rPr>
        <w:t>征集</w:t>
      </w:r>
      <w:r>
        <w:rPr>
          <w:rFonts w:hint="eastAsia" w:ascii="宋体" w:hAnsi="宋体" w:eastAsiaTheme="minorEastAsia" w:cstheme="minorBidi"/>
          <w:kern w:val="2"/>
          <w:sz w:val="21"/>
          <w:szCs w:val="24"/>
          <w:lang w:val="en-US" w:eastAsia="zh-CN" w:bidi="ar-SA"/>
        </w:rPr>
        <w:t>文件第五章 投标文件（编制参考模板）的第十</w:t>
      </w:r>
      <w:r>
        <w:rPr>
          <w:rFonts w:hint="eastAsia" w:ascii="宋体" w:hAnsi="宋体" w:cstheme="minorBidi"/>
          <w:kern w:val="2"/>
          <w:sz w:val="21"/>
          <w:szCs w:val="24"/>
          <w:lang w:val="en-US" w:eastAsia="zh-CN" w:bidi="ar-SA"/>
        </w:rPr>
        <w:t>二</w:t>
      </w:r>
      <w:r>
        <w:rPr>
          <w:rFonts w:hint="eastAsia" w:ascii="宋体" w:hAnsi="宋体" w:eastAsiaTheme="minorEastAsia" w:cstheme="minorBidi"/>
          <w:kern w:val="2"/>
          <w:sz w:val="21"/>
          <w:szCs w:val="24"/>
          <w:lang w:val="en-US" w:eastAsia="zh-CN" w:bidi="ar-SA"/>
        </w:rPr>
        <w:t>和第二十</w:t>
      </w:r>
      <w:r>
        <w:rPr>
          <w:rFonts w:hint="eastAsia" w:ascii="宋体" w:hAnsi="宋体" w:cstheme="minorBidi"/>
          <w:kern w:val="2"/>
          <w:sz w:val="21"/>
          <w:szCs w:val="24"/>
          <w:lang w:val="en-US" w:eastAsia="zh-CN" w:bidi="ar-SA"/>
        </w:rPr>
        <w:t>一</w:t>
      </w:r>
      <w:r>
        <w:rPr>
          <w:rFonts w:hint="eastAsia" w:ascii="宋体" w:hAnsi="宋体" w:eastAsiaTheme="minorEastAsia" w:cstheme="minorBidi"/>
          <w:kern w:val="2"/>
          <w:sz w:val="21"/>
          <w:szCs w:val="24"/>
          <w:lang w:val="en-US" w:eastAsia="zh-CN" w:bidi="ar-SA"/>
        </w:rPr>
        <w:t>）；</w:t>
      </w:r>
      <w:bookmarkEnd w:id="10"/>
    </w:p>
    <w:p w14:paraId="7875783B">
      <w:pPr>
        <w:spacing w:line="360" w:lineRule="auto"/>
        <w:ind w:firstLine="420" w:firstLineChars="200"/>
        <w:rPr>
          <w:rFonts w:hint="eastAsia" w:ascii="宋体" w:hAnsi="宋体" w:eastAsiaTheme="minorEastAsia" w:cstheme="minorBidi"/>
          <w:kern w:val="2"/>
          <w:sz w:val="21"/>
          <w:szCs w:val="24"/>
          <w:lang w:val="en-US" w:eastAsia="zh-CN" w:bidi="ar-SA"/>
        </w:rPr>
      </w:pPr>
      <w:r>
        <w:rPr>
          <w:rFonts w:hint="eastAsia" w:ascii="宋体" w:hAnsi="宋体"/>
          <w:lang w:val="en-US" w:eastAsia="zh-CN"/>
        </w:rPr>
        <w:t>6</w:t>
      </w:r>
      <w:r>
        <w:rPr>
          <w:rFonts w:hint="eastAsia" w:ascii="宋体" w:hAnsi="宋体"/>
        </w:rPr>
        <w:t>、参与本项目政府采购活动时不存在被有关部门禁止参与政府采购活动且在有效期内的情况</w:t>
      </w:r>
      <w:r>
        <w:rPr>
          <w:rFonts w:hint="eastAsia" w:ascii="宋体" w:hAnsi="宋体" w:eastAsiaTheme="minorEastAsia" w:cstheme="minorBidi"/>
          <w:kern w:val="2"/>
          <w:sz w:val="21"/>
          <w:szCs w:val="24"/>
          <w:lang w:val="en-US" w:eastAsia="zh-CN" w:bidi="ar-SA"/>
        </w:rPr>
        <w:t>（由供应商在《投标人资格声明函及履约承诺函》中作出声明</w:t>
      </w:r>
      <w:r>
        <w:rPr>
          <w:rFonts w:hint="eastAsia" w:ascii="宋体" w:hAnsi="宋体" w:cstheme="minorBidi"/>
          <w:kern w:val="2"/>
          <w:sz w:val="21"/>
          <w:szCs w:val="24"/>
          <w:lang w:val="en-US" w:eastAsia="zh-CN" w:bidi="ar-SA"/>
        </w:rPr>
        <w:t>，</w:t>
      </w:r>
      <w:r>
        <w:rPr>
          <w:rFonts w:hint="eastAsia" w:ascii="宋体" w:hAnsi="宋体" w:eastAsiaTheme="minorEastAsia" w:cstheme="minorBidi"/>
          <w:kern w:val="2"/>
          <w:sz w:val="21"/>
          <w:szCs w:val="24"/>
          <w:lang w:val="en-US" w:eastAsia="zh-CN" w:bidi="ar-SA"/>
        </w:rPr>
        <w:t>见</w:t>
      </w:r>
      <w:r>
        <w:rPr>
          <w:rFonts w:hint="eastAsia" w:ascii="宋体" w:hAnsi="宋体" w:cstheme="minorBidi"/>
          <w:kern w:val="2"/>
          <w:sz w:val="21"/>
          <w:szCs w:val="24"/>
          <w:lang w:val="en-US" w:eastAsia="zh-CN" w:bidi="ar-SA"/>
        </w:rPr>
        <w:t>征集</w:t>
      </w:r>
      <w:r>
        <w:rPr>
          <w:rFonts w:hint="eastAsia" w:ascii="宋体" w:hAnsi="宋体" w:eastAsiaTheme="minorEastAsia" w:cstheme="minorBidi"/>
          <w:kern w:val="2"/>
          <w:sz w:val="21"/>
          <w:szCs w:val="24"/>
          <w:lang w:val="en-US" w:eastAsia="zh-CN" w:bidi="ar-SA"/>
        </w:rPr>
        <w:t>文件第五章 投标文件（编制参考模板）的第十</w:t>
      </w:r>
      <w:r>
        <w:rPr>
          <w:rFonts w:hint="eastAsia" w:ascii="宋体" w:hAnsi="宋体" w:cstheme="minorBidi"/>
          <w:kern w:val="2"/>
          <w:sz w:val="21"/>
          <w:szCs w:val="24"/>
          <w:lang w:val="en-US" w:eastAsia="zh-CN" w:bidi="ar-SA"/>
        </w:rPr>
        <w:t>二</w:t>
      </w:r>
      <w:r>
        <w:rPr>
          <w:rFonts w:hint="eastAsia" w:ascii="宋体" w:hAnsi="宋体" w:eastAsiaTheme="minorEastAsia" w:cstheme="minorBidi"/>
          <w:kern w:val="2"/>
          <w:sz w:val="21"/>
          <w:szCs w:val="24"/>
          <w:lang w:val="en-US" w:eastAsia="zh-CN" w:bidi="ar-SA"/>
        </w:rPr>
        <w:t>和第二十</w:t>
      </w:r>
      <w:r>
        <w:rPr>
          <w:rFonts w:hint="eastAsia" w:ascii="宋体" w:hAnsi="宋体" w:cstheme="minorBidi"/>
          <w:kern w:val="2"/>
          <w:sz w:val="21"/>
          <w:szCs w:val="24"/>
          <w:lang w:val="en-US" w:eastAsia="zh-CN" w:bidi="ar-SA"/>
        </w:rPr>
        <w:t>一</w:t>
      </w:r>
      <w:r>
        <w:rPr>
          <w:rFonts w:hint="eastAsia" w:ascii="宋体" w:hAnsi="宋体" w:eastAsiaTheme="minorEastAsia" w:cstheme="minorBidi"/>
          <w:kern w:val="2"/>
          <w:sz w:val="21"/>
          <w:szCs w:val="24"/>
          <w:lang w:val="en-US" w:eastAsia="zh-CN" w:bidi="ar-SA"/>
        </w:rPr>
        <w:t>）；</w:t>
      </w:r>
    </w:p>
    <w:p w14:paraId="5396B01A">
      <w:pPr>
        <w:spacing w:line="360" w:lineRule="auto"/>
        <w:ind w:firstLine="420" w:firstLineChars="200"/>
        <w:rPr>
          <w:rFonts w:hint="eastAsia" w:ascii="宋体" w:hAnsi="宋体" w:eastAsiaTheme="minorEastAsia" w:cstheme="minorBidi"/>
          <w:kern w:val="2"/>
          <w:sz w:val="21"/>
          <w:szCs w:val="24"/>
          <w:lang w:val="en-US" w:eastAsia="zh-CN" w:bidi="ar-SA"/>
        </w:rPr>
      </w:pPr>
      <w:r>
        <w:rPr>
          <w:rFonts w:hint="eastAsia" w:ascii="宋体" w:hAnsi="宋体"/>
          <w:lang w:val="en-US" w:eastAsia="zh-CN"/>
        </w:rPr>
        <w:t>7</w:t>
      </w:r>
      <w:r>
        <w:rPr>
          <w:rFonts w:hint="eastAsia" w:ascii="宋体" w:hAnsi="宋体"/>
        </w:rPr>
        <w:t>、供应商未被列入失信被执行人、重大税收违法案件当事人名单、政府采购严重违法失信行为记录名单，不存在《深圳市财政局政府采购供应商信用信息管理办法》（深财规〔2023〕3 号）列明的严重违法失信行为</w:t>
      </w:r>
      <w:r>
        <w:rPr>
          <w:rFonts w:hint="eastAsia" w:ascii="宋体" w:hAnsi="宋体" w:eastAsiaTheme="minorEastAsia" w:cstheme="minorBidi"/>
          <w:kern w:val="2"/>
          <w:sz w:val="21"/>
          <w:szCs w:val="24"/>
          <w:lang w:val="en-US" w:eastAsia="zh-CN" w:bidi="ar-SA"/>
        </w:rPr>
        <w:t>（由供应商在《投标人资格声明函及履约承诺函》中作出声明</w:t>
      </w:r>
      <w:r>
        <w:rPr>
          <w:rFonts w:hint="eastAsia" w:ascii="宋体" w:hAnsi="宋体" w:cstheme="minorBidi"/>
          <w:kern w:val="2"/>
          <w:sz w:val="21"/>
          <w:szCs w:val="24"/>
          <w:lang w:val="en-US" w:eastAsia="zh-CN" w:bidi="ar-SA"/>
        </w:rPr>
        <w:t>，</w:t>
      </w:r>
      <w:r>
        <w:rPr>
          <w:rFonts w:hint="eastAsia" w:ascii="宋体" w:hAnsi="宋体" w:eastAsiaTheme="minorEastAsia" w:cstheme="minorBidi"/>
          <w:kern w:val="2"/>
          <w:sz w:val="21"/>
          <w:szCs w:val="24"/>
          <w:lang w:val="en-US" w:eastAsia="zh-CN" w:bidi="ar-SA"/>
        </w:rPr>
        <w:t>见</w:t>
      </w:r>
      <w:r>
        <w:rPr>
          <w:rFonts w:hint="eastAsia" w:ascii="宋体" w:hAnsi="宋体" w:cstheme="minorBidi"/>
          <w:kern w:val="2"/>
          <w:sz w:val="21"/>
          <w:szCs w:val="24"/>
          <w:lang w:val="en-US" w:eastAsia="zh-CN" w:bidi="ar-SA"/>
        </w:rPr>
        <w:t>征集</w:t>
      </w:r>
      <w:r>
        <w:rPr>
          <w:rFonts w:hint="eastAsia" w:ascii="宋体" w:hAnsi="宋体" w:eastAsiaTheme="minorEastAsia" w:cstheme="minorBidi"/>
          <w:kern w:val="2"/>
          <w:sz w:val="21"/>
          <w:szCs w:val="24"/>
          <w:lang w:val="en-US" w:eastAsia="zh-CN" w:bidi="ar-SA"/>
        </w:rPr>
        <w:t>文件第五章 投标文件（编制参考模板）的第十</w:t>
      </w:r>
      <w:r>
        <w:rPr>
          <w:rFonts w:hint="eastAsia" w:ascii="宋体" w:hAnsi="宋体" w:cstheme="minorBidi"/>
          <w:kern w:val="2"/>
          <w:sz w:val="21"/>
          <w:szCs w:val="24"/>
          <w:lang w:val="en-US" w:eastAsia="zh-CN" w:bidi="ar-SA"/>
        </w:rPr>
        <w:t>二</w:t>
      </w:r>
      <w:r>
        <w:rPr>
          <w:rFonts w:hint="eastAsia" w:ascii="宋体" w:hAnsi="宋体" w:eastAsiaTheme="minorEastAsia" w:cstheme="minorBidi"/>
          <w:kern w:val="2"/>
          <w:sz w:val="21"/>
          <w:szCs w:val="24"/>
          <w:lang w:val="en-US" w:eastAsia="zh-CN" w:bidi="ar-SA"/>
        </w:rPr>
        <w:t>和第二十</w:t>
      </w:r>
      <w:r>
        <w:rPr>
          <w:rFonts w:hint="eastAsia" w:ascii="宋体" w:hAnsi="宋体" w:cstheme="minorBidi"/>
          <w:kern w:val="2"/>
          <w:sz w:val="21"/>
          <w:szCs w:val="24"/>
          <w:lang w:val="en-US" w:eastAsia="zh-CN" w:bidi="ar-SA"/>
        </w:rPr>
        <w:t>一</w:t>
      </w:r>
      <w:r>
        <w:rPr>
          <w:rFonts w:hint="eastAsia" w:ascii="宋体" w:hAnsi="宋体" w:eastAsiaTheme="minorEastAsia" w:cstheme="minorBidi"/>
          <w:kern w:val="2"/>
          <w:sz w:val="21"/>
          <w:szCs w:val="24"/>
          <w:lang w:val="en-US" w:eastAsia="zh-CN" w:bidi="ar-SA"/>
        </w:rPr>
        <w:t>）；</w:t>
      </w:r>
    </w:p>
    <w:p w14:paraId="763DD6D8">
      <w:pPr>
        <w:spacing w:line="360" w:lineRule="auto"/>
        <w:ind w:firstLine="420" w:firstLineChars="200"/>
        <w:rPr>
          <w:rFonts w:ascii="宋体" w:hAnsi="宋体"/>
        </w:rPr>
      </w:pPr>
      <w:r>
        <w:rPr>
          <w:rFonts w:hint="eastAsia" w:ascii="宋体" w:hAnsi="宋体"/>
          <w:lang w:val="en-US" w:eastAsia="zh-CN"/>
        </w:rPr>
        <w:t>8</w:t>
      </w:r>
      <w:r>
        <w:rPr>
          <w:rFonts w:hint="eastAsia" w:ascii="宋体" w:hAnsi="宋体"/>
        </w:rPr>
        <w:t>、本项目不接受联合体投标，不允许分包、转包。</w:t>
      </w:r>
    </w:p>
    <w:p w14:paraId="47C6FE71">
      <w:pPr>
        <w:spacing w:line="360" w:lineRule="auto"/>
        <w:ind w:firstLine="420" w:firstLineChars="200"/>
        <w:rPr>
          <w:rFonts w:hint="eastAsia" w:ascii="宋体" w:hAnsi="宋体" w:eastAsiaTheme="minorEastAsia" w:cstheme="minorBidi"/>
          <w:kern w:val="2"/>
          <w:sz w:val="21"/>
          <w:szCs w:val="24"/>
          <w:lang w:val="en-US" w:eastAsia="zh-CN" w:bidi="ar-SA"/>
        </w:rPr>
      </w:pPr>
      <w:r>
        <w:rPr>
          <w:rFonts w:hint="eastAsia" w:ascii="宋体" w:hAnsi="宋体"/>
          <w:lang w:val="en-US" w:eastAsia="zh-CN"/>
        </w:rPr>
        <w:t>9</w:t>
      </w:r>
      <w:r>
        <w:rPr>
          <w:rFonts w:hint="eastAsia" w:ascii="宋体" w:hAnsi="宋体"/>
        </w:rPr>
        <w:t>、单位负责人为同一人或者存在直接控股、管理关系的不同供应商，不得参加同一合同项下的政府采购活动；为采购项目提供整体设计、规范编制或者项目管理、监理、检测等服务的供应商，不得再参加该采购项目的其他采购活动（</w:t>
      </w:r>
      <w:r>
        <w:rPr>
          <w:rFonts w:hint="eastAsia" w:ascii="宋体" w:hAnsi="宋体" w:eastAsiaTheme="minorEastAsia" w:cstheme="minorBidi"/>
          <w:kern w:val="2"/>
          <w:sz w:val="21"/>
          <w:szCs w:val="24"/>
          <w:lang w:val="en-US" w:eastAsia="zh-CN" w:bidi="ar-SA"/>
        </w:rPr>
        <w:t>由供应商在《投标人资格声明函及履约承诺函》中作出声明</w:t>
      </w:r>
      <w:r>
        <w:rPr>
          <w:rFonts w:hint="eastAsia" w:ascii="宋体" w:hAnsi="宋体" w:cstheme="minorBidi"/>
          <w:kern w:val="2"/>
          <w:sz w:val="21"/>
          <w:szCs w:val="24"/>
          <w:lang w:val="en-US" w:eastAsia="zh-CN" w:bidi="ar-SA"/>
        </w:rPr>
        <w:t>，</w:t>
      </w:r>
      <w:r>
        <w:rPr>
          <w:rFonts w:hint="eastAsia" w:ascii="宋体" w:hAnsi="宋体" w:eastAsiaTheme="minorEastAsia" w:cstheme="minorBidi"/>
          <w:kern w:val="2"/>
          <w:sz w:val="21"/>
          <w:szCs w:val="24"/>
          <w:lang w:val="en-US" w:eastAsia="zh-CN" w:bidi="ar-SA"/>
        </w:rPr>
        <w:t>见</w:t>
      </w:r>
      <w:r>
        <w:rPr>
          <w:rFonts w:hint="eastAsia" w:ascii="宋体" w:hAnsi="宋体" w:cstheme="minorBidi"/>
          <w:kern w:val="2"/>
          <w:sz w:val="21"/>
          <w:szCs w:val="24"/>
          <w:lang w:val="en-US" w:eastAsia="zh-CN" w:bidi="ar-SA"/>
        </w:rPr>
        <w:t>征集</w:t>
      </w:r>
      <w:r>
        <w:rPr>
          <w:rFonts w:hint="eastAsia" w:ascii="宋体" w:hAnsi="宋体" w:eastAsiaTheme="minorEastAsia" w:cstheme="minorBidi"/>
          <w:kern w:val="2"/>
          <w:sz w:val="21"/>
          <w:szCs w:val="24"/>
          <w:lang w:val="en-US" w:eastAsia="zh-CN" w:bidi="ar-SA"/>
        </w:rPr>
        <w:t>文件第五章 投标文件（编制参考模板）的第十</w:t>
      </w:r>
      <w:r>
        <w:rPr>
          <w:rFonts w:hint="eastAsia" w:ascii="宋体" w:hAnsi="宋体" w:cstheme="minorBidi"/>
          <w:kern w:val="2"/>
          <w:sz w:val="21"/>
          <w:szCs w:val="24"/>
          <w:lang w:val="en-US" w:eastAsia="zh-CN" w:bidi="ar-SA"/>
        </w:rPr>
        <w:t>二</w:t>
      </w:r>
      <w:r>
        <w:rPr>
          <w:rFonts w:hint="eastAsia" w:ascii="宋体" w:hAnsi="宋体" w:eastAsiaTheme="minorEastAsia" w:cstheme="minorBidi"/>
          <w:kern w:val="2"/>
          <w:sz w:val="21"/>
          <w:szCs w:val="24"/>
          <w:lang w:val="en-US" w:eastAsia="zh-CN" w:bidi="ar-SA"/>
        </w:rPr>
        <w:t>和第二十</w:t>
      </w:r>
      <w:r>
        <w:rPr>
          <w:rFonts w:hint="eastAsia" w:ascii="宋体" w:hAnsi="宋体" w:cstheme="minorBidi"/>
          <w:kern w:val="2"/>
          <w:sz w:val="21"/>
          <w:szCs w:val="24"/>
          <w:lang w:val="en-US" w:eastAsia="zh-CN" w:bidi="ar-SA"/>
        </w:rPr>
        <w:t>一</w:t>
      </w:r>
      <w:r>
        <w:rPr>
          <w:rFonts w:hint="eastAsia" w:ascii="宋体" w:hAnsi="宋体" w:eastAsiaTheme="minorEastAsia" w:cstheme="minorBidi"/>
          <w:kern w:val="2"/>
          <w:sz w:val="21"/>
          <w:szCs w:val="24"/>
          <w:lang w:val="en-US" w:eastAsia="zh-CN" w:bidi="ar-SA"/>
        </w:rPr>
        <w:t>）；</w:t>
      </w:r>
    </w:p>
    <w:p w14:paraId="5E1264F4">
      <w:pPr>
        <w:spacing w:line="360" w:lineRule="auto"/>
        <w:ind w:firstLine="420" w:firstLineChars="200"/>
        <w:rPr>
          <w:rFonts w:ascii="宋体" w:hAnsi="宋体"/>
        </w:rPr>
      </w:pPr>
      <w:r>
        <w:rPr>
          <w:rFonts w:hint="eastAsia" w:ascii="宋体" w:hAnsi="宋体"/>
          <w:lang w:val="en-US" w:eastAsia="zh-CN"/>
        </w:rPr>
        <w:t>10</w:t>
      </w:r>
      <w:r>
        <w:rPr>
          <w:rFonts w:hint="eastAsia" w:ascii="宋体" w:hAnsi="宋体"/>
        </w:rPr>
        <w:t>、本项目是（否）专门面向中小企业采购：</w:t>
      </w:r>
      <w:r>
        <w:rPr>
          <w:rFonts w:hint="eastAsia" w:ascii="宋体" w:hAnsi="宋体"/>
          <w:lang w:val="en-US" w:eastAsia="zh-CN"/>
        </w:rPr>
        <w:t>否</w:t>
      </w:r>
      <w:r>
        <w:rPr>
          <w:rFonts w:hint="eastAsia" w:ascii="宋体" w:hAnsi="宋体"/>
        </w:rPr>
        <w:t>。</w:t>
      </w:r>
    </w:p>
    <w:p w14:paraId="066F3206">
      <w:pPr>
        <w:spacing w:line="360" w:lineRule="auto"/>
        <w:ind w:firstLine="420" w:firstLineChars="200"/>
        <w:rPr>
          <w:rFonts w:hint="eastAsia" w:ascii="宋体" w:hAnsi="宋体" w:eastAsiaTheme="minorEastAsia" w:cstheme="minorBidi"/>
          <w:kern w:val="2"/>
          <w:sz w:val="21"/>
          <w:szCs w:val="24"/>
          <w:lang w:val="en-US" w:eastAsia="zh-CN" w:bidi="ar-SA"/>
        </w:rPr>
      </w:pPr>
      <w:r>
        <w:rPr>
          <w:rFonts w:hint="eastAsia" w:ascii="宋体" w:hAnsi="宋体"/>
        </w:rPr>
        <w:t>1</w:t>
      </w:r>
      <w:r>
        <w:rPr>
          <w:rFonts w:hint="eastAsia" w:ascii="宋体" w:hAnsi="宋体"/>
          <w:lang w:val="en-US" w:eastAsia="zh-CN"/>
        </w:rPr>
        <w:t>1</w:t>
      </w:r>
      <w:r>
        <w:rPr>
          <w:rFonts w:hint="eastAsia" w:ascii="宋体" w:hAnsi="宋体"/>
        </w:rPr>
        <w:t>、不同供应商的法定代表人、主要经营负责人、项目投标授权代表人、项目负责人、主要技术人员不得为同一人、属同一单位或者在同一单位缴纳社会保险；不同投标供应商的投标文件不得由同一单位或者同一人编制；单位负责人为同一人或者存在直接控股、管理关系的不同供应商，不得参加本项目政府采购活动</w:t>
      </w:r>
      <w:r>
        <w:rPr>
          <w:rFonts w:hint="eastAsia" w:ascii="宋体" w:hAnsi="宋体" w:eastAsiaTheme="minorEastAsia" w:cstheme="minorBidi"/>
          <w:kern w:val="2"/>
          <w:sz w:val="21"/>
          <w:szCs w:val="24"/>
          <w:lang w:val="en-US" w:eastAsia="zh-CN" w:bidi="ar-SA"/>
        </w:rPr>
        <w:t>（由供应商在《投标人资格声明函及履约承诺函》中作出声明</w:t>
      </w:r>
      <w:r>
        <w:rPr>
          <w:rFonts w:hint="eastAsia" w:ascii="宋体" w:hAnsi="宋体" w:cstheme="minorBidi"/>
          <w:kern w:val="2"/>
          <w:sz w:val="21"/>
          <w:szCs w:val="24"/>
          <w:lang w:val="en-US" w:eastAsia="zh-CN" w:bidi="ar-SA"/>
        </w:rPr>
        <w:t>，</w:t>
      </w:r>
      <w:r>
        <w:rPr>
          <w:rFonts w:hint="eastAsia" w:ascii="宋体" w:hAnsi="宋体" w:eastAsiaTheme="minorEastAsia" w:cstheme="minorBidi"/>
          <w:kern w:val="2"/>
          <w:sz w:val="21"/>
          <w:szCs w:val="24"/>
          <w:lang w:val="en-US" w:eastAsia="zh-CN" w:bidi="ar-SA"/>
        </w:rPr>
        <w:t>见</w:t>
      </w:r>
      <w:r>
        <w:rPr>
          <w:rFonts w:hint="eastAsia" w:ascii="宋体" w:hAnsi="宋体" w:cstheme="minorBidi"/>
          <w:kern w:val="2"/>
          <w:sz w:val="21"/>
          <w:szCs w:val="24"/>
          <w:lang w:val="en-US" w:eastAsia="zh-CN" w:bidi="ar-SA"/>
        </w:rPr>
        <w:t>征集</w:t>
      </w:r>
      <w:r>
        <w:rPr>
          <w:rFonts w:hint="eastAsia" w:ascii="宋体" w:hAnsi="宋体" w:eastAsiaTheme="minorEastAsia" w:cstheme="minorBidi"/>
          <w:kern w:val="2"/>
          <w:sz w:val="21"/>
          <w:szCs w:val="24"/>
          <w:lang w:val="en-US" w:eastAsia="zh-CN" w:bidi="ar-SA"/>
        </w:rPr>
        <w:t>文件第五章 投标文件（编制参考模板）的第十</w:t>
      </w:r>
      <w:r>
        <w:rPr>
          <w:rFonts w:hint="eastAsia" w:ascii="宋体" w:hAnsi="宋体" w:cstheme="minorBidi"/>
          <w:kern w:val="2"/>
          <w:sz w:val="21"/>
          <w:szCs w:val="24"/>
          <w:lang w:val="en-US" w:eastAsia="zh-CN" w:bidi="ar-SA"/>
        </w:rPr>
        <w:t>二</w:t>
      </w:r>
      <w:r>
        <w:rPr>
          <w:rFonts w:hint="eastAsia" w:ascii="宋体" w:hAnsi="宋体" w:eastAsiaTheme="minorEastAsia" w:cstheme="minorBidi"/>
          <w:kern w:val="2"/>
          <w:sz w:val="21"/>
          <w:szCs w:val="24"/>
          <w:lang w:val="en-US" w:eastAsia="zh-CN" w:bidi="ar-SA"/>
        </w:rPr>
        <w:t>和第二十</w:t>
      </w:r>
      <w:r>
        <w:rPr>
          <w:rFonts w:hint="eastAsia" w:ascii="宋体" w:hAnsi="宋体" w:cstheme="minorBidi"/>
          <w:kern w:val="2"/>
          <w:sz w:val="21"/>
          <w:szCs w:val="24"/>
          <w:lang w:val="en-US" w:eastAsia="zh-CN" w:bidi="ar-SA"/>
        </w:rPr>
        <w:t>一</w:t>
      </w:r>
      <w:r>
        <w:rPr>
          <w:rFonts w:hint="eastAsia" w:ascii="宋体" w:hAnsi="宋体" w:eastAsiaTheme="minorEastAsia" w:cstheme="minorBidi"/>
          <w:kern w:val="2"/>
          <w:sz w:val="21"/>
          <w:szCs w:val="24"/>
          <w:lang w:val="en-US" w:eastAsia="zh-CN" w:bidi="ar-SA"/>
        </w:rPr>
        <w:t>）；</w:t>
      </w:r>
    </w:p>
    <w:p w14:paraId="02B7BA36">
      <w:pPr>
        <w:spacing w:line="360" w:lineRule="auto"/>
        <w:ind w:firstLine="420" w:firstLineChars="200"/>
        <w:rPr>
          <w:rFonts w:ascii="宋体" w:hAnsi="宋体"/>
        </w:rPr>
      </w:pPr>
      <w:r>
        <w:rPr>
          <w:rFonts w:hint="eastAsia" w:ascii="宋体" w:hAnsi="宋体"/>
        </w:rPr>
        <w:t>注：（1）“信用中国”（www.creditchina.gov.cn）、“中国政府采购网”（www.ccgp.gov.cn）、“深圳市政府采购监管网”（http://zfcg.sz.gov.cn）以及市、区财政部门认定的其他渠道为供应商信用信息的查询渠道，相关信息以</w:t>
      </w:r>
      <w:r>
        <w:rPr>
          <w:rFonts w:hint="eastAsia" w:ascii="宋体" w:hAnsi="宋体"/>
          <w:lang w:val="en-US" w:eastAsia="zh-CN"/>
        </w:rPr>
        <w:t>采购人</w:t>
      </w:r>
      <w:r>
        <w:rPr>
          <w:rFonts w:hint="eastAsia" w:ascii="宋体" w:hAnsi="宋体"/>
        </w:rPr>
        <w:t>开标当日的查询结果为准。</w:t>
      </w:r>
    </w:p>
    <w:p w14:paraId="54EF219F">
      <w:pPr>
        <w:numPr>
          <w:ilvl w:val="0"/>
          <w:numId w:val="3"/>
        </w:numPr>
        <w:spacing w:line="360" w:lineRule="auto"/>
        <w:ind w:firstLine="420" w:firstLineChars="200"/>
        <w:rPr>
          <w:rFonts w:hint="eastAsia" w:ascii="宋体" w:hAnsi="宋体"/>
        </w:rPr>
      </w:pPr>
      <w:r>
        <w:rPr>
          <w:rFonts w:hint="eastAsia" w:ascii="宋体" w:hAnsi="宋体"/>
        </w:rPr>
        <w:t>供应商之间单位负责人是否为同一人或者是否存在直接控股、管理关系，以国家企业信用信息公示系统（https://www.gsxt.gov.cn/index.html）、机关赋码和事业单位登记管理网（http://www.gjsy.gov.cn/sydwfrxxcx/）、全国社会组织信用信息公示平台（https://xxgs.chinanpo.mca.gov.cn/gsxt/newList）等网站的查询结果为准。</w:t>
      </w:r>
    </w:p>
    <w:p w14:paraId="0D24330A">
      <w:pPr>
        <w:spacing w:line="360" w:lineRule="auto"/>
        <w:ind w:firstLine="420" w:firstLineChars="200"/>
        <w:rPr>
          <w:rFonts w:hint="eastAsia" w:ascii="宋体" w:hAnsi="宋体"/>
          <w:lang w:val="en-US" w:eastAsia="zh-CN"/>
        </w:rPr>
      </w:pPr>
    </w:p>
    <w:p w14:paraId="2E0B1E6D">
      <w:pPr>
        <w:spacing w:line="360" w:lineRule="auto"/>
        <w:ind w:firstLine="420" w:firstLineChars="200"/>
        <w:rPr>
          <w:rFonts w:hint="default" w:ascii="宋体" w:hAnsi="宋体"/>
          <w:bCs/>
          <w:highlight w:val="none"/>
          <w:lang w:val="en-US" w:eastAsia="zh-CN"/>
        </w:rPr>
      </w:pPr>
      <w:r>
        <w:rPr>
          <w:rFonts w:hint="eastAsia" w:ascii="宋体" w:hAnsi="宋体"/>
          <w:bCs/>
          <w:highlight w:val="none"/>
          <w:lang w:val="en-US" w:eastAsia="zh-CN"/>
        </w:rPr>
        <w:t>三</w:t>
      </w:r>
      <w:r>
        <w:rPr>
          <w:rFonts w:hint="eastAsia" w:ascii="宋体" w:hAnsi="宋体"/>
          <w:bCs/>
          <w:highlight w:val="none"/>
        </w:rPr>
        <w:t>、</w:t>
      </w:r>
      <w:r>
        <w:rPr>
          <w:rFonts w:hint="eastAsia" w:ascii="宋体" w:hAnsi="宋体"/>
          <w:bCs/>
          <w:highlight w:val="none"/>
          <w:lang w:val="en-US" w:eastAsia="zh-CN"/>
        </w:rPr>
        <w:t>相关招投标时间及地点信息</w:t>
      </w:r>
    </w:p>
    <w:p w14:paraId="0B3C7589">
      <w:pPr>
        <w:numPr>
          <w:ilvl w:val="0"/>
          <w:numId w:val="0"/>
        </w:numPr>
        <w:spacing w:line="360" w:lineRule="auto"/>
        <w:ind w:firstLine="420" w:firstLineChars="200"/>
        <w:outlineLvl w:val="9"/>
        <w:rPr>
          <w:rFonts w:hint="eastAsia" w:ascii="宋体" w:hAnsi="宋体" w:eastAsiaTheme="minorEastAsia" w:cstheme="minorBidi"/>
          <w:bCs/>
          <w:kern w:val="2"/>
          <w:sz w:val="21"/>
          <w:szCs w:val="24"/>
          <w:highlight w:val="none"/>
          <w:lang w:val="en-US" w:eastAsia="zh-CN" w:bidi="ar-SA"/>
        </w:rPr>
      </w:pPr>
      <w:r>
        <w:rPr>
          <w:rFonts w:hint="eastAsia" w:ascii="宋体" w:hAnsi="宋体" w:eastAsiaTheme="minorEastAsia" w:cstheme="minorBidi"/>
          <w:bCs/>
          <w:kern w:val="2"/>
          <w:sz w:val="21"/>
          <w:szCs w:val="24"/>
          <w:highlight w:val="none"/>
          <w:lang w:val="en-US" w:eastAsia="zh-CN" w:bidi="ar-SA"/>
        </w:rPr>
        <w:t>1、</w:t>
      </w:r>
      <w:r>
        <w:rPr>
          <w:rFonts w:hint="eastAsia" w:ascii="宋体" w:hAnsi="宋体" w:eastAsia="宋体" w:cs="宋体"/>
          <w:i w:val="0"/>
          <w:iCs w:val="0"/>
          <w:caps w:val="0"/>
          <w:strike w:val="0"/>
          <w:dstrike w:val="0"/>
          <w:color w:val="000000" w:themeColor="text1"/>
          <w:spacing w:val="0"/>
          <w:kern w:val="0"/>
          <w:sz w:val="21"/>
          <w:szCs w:val="21"/>
          <w:highlight w:val="none"/>
          <w:shd w:val="clear" w:fill="FFFFFF"/>
          <w:lang w:val="en-US" w:eastAsia="zh-CN" w:bidi="ar"/>
          <w14:textFill>
            <w14:solidFill>
              <w14:schemeClr w14:val="tx1"/>
            </w14:solidFill>
          </w14:textFill>
        </w:rPr>
        <w:t>报名时间：2026年8月15日8时00分至2026年8月21日17时00分止</w:t>
      </w:r>
    </w:p>
    <w:p w14:paraId="6B4EADFE">
      <w:pPr>
        <w:spacing w:line="360" w:lineRule="auto"/>
        <w:ind w:firstLine="420" w:firstLineChars="200"/>
        <w:rPr>
          <w:rFonts w:ascii="宋体" w:hAnsi="宋体"/>
          <w:bCs/>
          <w:highlight w:val="none"/>
        </w:rPr>
      </w:pPr>
      <w:r>
        <w:rPr>
          <w:rFonts w:hint="eastAsia" w:ascii="宋体" w:hAnsi="宋体"/>
          <w:bCs/>
          <w:highlight w:val="none"/>
          <w:lang w:val="en-US" w:eastAsia="zh-CN"/>
        </w:rPr>
        <w:t>2</w:t>
      </w:r>
      <w:r>
        <w:rPr>
          <w:rFonts w:hint="eastAsia" w:ascii="宋体" w:hAnsi="宋体"/>
          <w:bCs/>
          <w:highlight w:val="none"/>
        </w:rPr>
        <w:t>、投标文件递交时间：</w:t>
      </w:r>
      <w:r>
        <w:rPr>
          <w:rFonts w:hint="eastAsia" w:ascii="宋体" w:hAnsi="宋体"/>
          <w:highlight w:val="none"/>
        </w:rPr>
        <w:t>202</w:t>
      </w:r>
      <w:r>
        <w:rPr>
          <w:rFonts w:hint="eastAsia" w:ascii="宋体" w:hAnsi="宋体"/>
          <w:highlight w:val="none"/>
          <w:lang w:val="en-US" w:eastAsia="zh-CN"/>
        </w:rPr>
        <w:t>6</w:t>
      </w:r>
      <w:r>
        <w:rPr>
          <w:rFonts w:hint="eastAsia" w:ascii="宋体" w:hAnsi="宋体"/>
          <w:highlight w:val="none"/>
        </w:rPr>
        <w:t>年</w:t>
      </w:r>
      <w:r>
        <w:rPr>
          <w:rFonts w:hint="eastAsia" w:ascii="宋体" w:hAnsi="宋体"/>
          <w:highlight w:val="none"/>
          <w:lang w:val="en-US" w:eastAsia="zh-CN"/>
        </w:rPr>
        <w:t>8</w:t>
      </w:r>
      <w:r>
        <w:rPr>
          <w:rFonts w:hint="eastAsia" w:ascii="宋体" w:hAnsi="宋体"/>
          <w:highlight w:val="none"/>
        </w:rPr>
        <w:t>月</w:t>
      </w:r>
      <w:r>
        <w:rPr>
          <w:rFonts w:hint="eastAsia" w:ascii="宋体" w:hAnsi="宋体"/>
          <w:highlight w:val="none"/>
          <w:lang w:val="en-US" w:eastAsia="zh-CN"/>
        </w:rPr>
        <w:t>25</w:t>
      </w:r>
      <w:r>
        <w:rPr>
          <w:rFonts w:hint="eastAsia" w:ascii="宋体" w:hAnsi="宋体"/>
          <w:highlight w:val="none"/>
        </w:rPr>
        <w:t>日</w:t>
      </w:r>
      <w:r>
        <w:rPr>
          <w:rFonts w:hint="eastAsia" w:ascii="宋体" w:hAnsi="宋体"/>
          <w:highlight w:val="none"/>
          <w:lang w:val="en-US" w:eastAsia="zh-CN"/>
        </w:rPr>
        <w:t>8</w:t>
      </w:r>
      <w:r>
        <w:rPr>
          <w:rFonts w:hint="eastAsia" w:ascii="宋体" w:hAnsi="宋体"/>
          <w:bCs/>
          <w:highlight w:val="none"/>
        </w:rPr>
        <w:t>:</w:t>
      </w:r>
      <w:r>
        <w:rPr>
          <w:rFonts w:hint="eastAsia" w:ascii="宋体" w:hAnsi="宋体"/>
          <w:bCs/>
          <w:highlight w:val="none"/>
          <w:lang w:val="en-US" w:eastAsia="zh-CN"/>
        </w:rPr>
        <w:t>3</w:t>
      </w:r>
      <w:r>
        <w:rPr>
          <w:rFonts w:hint="eastAsia" w:ascii="宋体" w:hAnsi="宋体"/>
          <w:bCs/>
          <w:highlight w:val="none"/>
        </w:rPr>
        <w:t>0至</w:t>
      </w:r>
      <w:r>
        <w:rPr>
          <w:rFonts w:hint="eastAsia" w:ascii="宋体" w:hAnsi="宋体"/>
          <w:bCs/>
          <w:highlight w:val="none"/>
          <w:lang w:val="en-US" w:eastAsia="zh-CN"/>
        </w:rPr>
        <w:t>9</w:t>
      </w:r>
      <w:r>
        <w:rPr>
          <w:rFonts w:hint="eastAsia" w:ascii="宋体" w:hAnsi="宋体"/>
          <w:bCs/>
          <w:highlight w:val="none"/>
        </w:rPr>
        <w:t>:</w:t>
      </w:r>
      <w:r>
        <w:rPr>
          <w:rFonts w:hint="eastAsia" w:ascii="宋体" w:hAnsi="宋体"/>
          <w:bCs/>
          <w:highlight w:val="none"/>
          <w:lang w:val="en-US" w:eastAsia="zh-CN"/>
        </w:rPr>
        <w:t>0</w:t>
      </w:r>
      <w:r>
        <w:rPr>
          <w:rFonts w:hint="eastAsia" w:ascii="宋体" w:hAnsi="宋体"/>
          <w:bCs/>
          <w:highlight w:val="none"/>
        </w:rPr>
        <w:t>0（北京时间）</w:t>
      </w:r>
    </w:p>
    <w:p w14:paraId="17E14462">
      <w:pPr>
        <w:spacing w:line="360" w:lineRule="auto"/>
        <w:ind w:firstLine="420" w:firstLineChars="200"/>
        <w:rPr>
          <w:rFonts w:hint="default" w:ascii="宋体" w:hAnsi="宋体"/>
          <w:bCs/>
          <w:highlight w:val="none"/>
          <w:lang w:val="en-US"/>
        </w:rPr>
      </w:pPr>
      <w:r>
        <w:rPr>
          <w:rFonts w:hint="eastAsia" w:ascii="宋体" w:hAnsi="宋体"/>
          <w:bCs/>
          <w:highlight w:val="none"/>
          <w:lang w:val="en-US" w:eastAsia="zh-CN"/>
        </w:rPr>
        <w:t>3</w:t>
      </w:r>
      <w:r>
        <w:rPr>
          <w:rFonts w:hint="eastAsia" w:ascii="宋体" w:hAnsi="宋体"/>
          <w:bCs/>
          <w:highlight w:val="none"/>
        </w:rPr>
        <w:t>、投标文件递交地点：</w:t>
      </w:r>
      <w:r>
        <w:rPr>
          <w:rFonts w:hint="eastAsia" w:ascii="宋体"/>
          <w:bCs/>
          <w:color w:val="auto"/>
          <w:szCs w:val="20"/>
          <w:highlight w:val="none"/>
          <w:lang w:val="en-US" w:eastAsia="zh-CN"/>
        </w:rPr>
        <w:t>深圳市福田区梅林路上梅林社区健康服务中心116室（9号线梅村地铁站C2口）</w:t>
      </w:r>
    </w:p>
    <w:p w14:paraId="34BC3515">
      <w:pPr>
        <w:spacing w:line="360" w:lineRule="auto"/>
        <w:ind w:firstLine="420" w:firstLineChars="200"/>
        <w:rPr>
          <w:rFonts w:ascii="宋体" w:hAnsi="宋体"/>
          <w:bCs/>
          <w:highlight w:val="none"/>
        </w:rPr>
      </w:pPr>
      <w:r>
        <w:rPr>
          <w:rFonts w:hint="eastAsia" w:ascii="宋体" w:hAnsi="宋体"/>
          <w:bCs/>
          <w:highlight w:val="none"/>
          <w:lang w:val="en-US" w:eastAsia="zh-CN"/>
        </w:rPr>
        <w:t>4</w:t>
      </w:r>
      <w:r>
        <w:rPr>
          <w:rFonts w:hint="eastAsia" w:ascii="宋体" w:hAnsi="宋体"/>
          <w:bCs/>
          <w:highlight w:val="none"/>
        </w:rPr>
        <w:t>、递交投标文件截止时间：</w:t>
      </w:r>
      <w:r>
        <w:rPr>
          <w:rFonts w:hint="eastAsia" w:ascii="宋体" w:hAnsi="宋体"/>
          <w:highlight w:val="none"/>
        </w:rPr>
        <w:t>202</w:t>
      </w:r>
      <w:r>
        <w:rPr>
          <w:rFonts w:hint="eastAsia" w:ascii="宋体" w:hAnsi="宋体"/>
          <w:highlight w:val="none"/>
          <w:lang w:val="en-US" w:eastAsia="zh-CN"/>
        </w:rPr>
        <w:t>6</w:t>
      </w:r>
      <w:r>
        <w:rPr>
          <w:rFonts w:hint="eastAsia" w:ascii="宋体" w:hAnsi="宋体"/>
          <w:highlight w:val="none"/>
        </w:rPr>
        <w:t>年</w:t>
      </w:r>
      <w:r>
        <w:rPr>
          <w:rFonts w:hint="eastAsia" w:ascii="宋体" w:hAnsi="宋体"/>
          <w:highlight w:val="none"/>
          <w:lang w:val="en-US" w:eastAsia="zh-CN"/>
        </w:rPr>
        <w:t>8</w:t>
      </w:r>
      <w:r>
        <w:rPr>
          <w:rFonts w:hint="eastAsia" w:ascii="宋体" w:hAnsi="宋体"/>
          <w:highlight w:val="none"/>
        </w:rPr>
        <w:t>月</w:t>
      </w:r>
      <w:r>
        <w:rPr>
          <w:rFonts w:hint="eastAsia" w:ascii="宋体" w:hAnsi="宋体"/>
          <w:highlight w:val="none"/>
          <w:lang w:val="en-US" w:eastAsia="zh-CN"/>
        </w:rPr>
        <w:t>25</w:t>
      </w:r>
      <w:r>
        <w:rPr>
          <w:rFonts w:hint="eastAsia" w:ascii="宋体" w:hAnsi="宋体"/>
          <w:highlight w:val="none"/>
        </w:rPr>
        <w:t>日</w:t>
      </w:r>
      <w:r>
        <w:rPr>
          <w:rFonts w:hint="eastAsia" w:ascii="宋体" w:hAnsi="宋体"/>
          <w:highlight w:val="none"/>
          <w:lang w:val="en-US" w:eastAsia="zh-CN"/>
        </w:rPr>
        <w:t>9</w:t>
      </w:r>
      <w:r>
        <w:rPr>
          <w:rFonts w:hint="eastAsia" w:ascii="宋体" w:hAnsi="宋体"/>
          <w:bCs/>
          <w:highlight w:val="none"/>
        </w:rPr>
        <w:t>:</w:t>
      </w:r>
      <w:r>
        <w:rPr>
          <w:rFonts w:hint="eastAsia" w:ascii="宋体" w:hAnsi="宋体"/>
          <w:bCs/>
          <w:highlight w:val="none"/>
          <w:lang w:val="en-US" w:eastAsia="zh-CN"/>
        </w:rPr>
        <w:t>0</w:t>
      </w:r>
      <w:r>
        <w:rPr>
          <w:rFonts w:hint="eastAsia" w:ascii="宋体" w:hAnsi="宋体"/>
          <w:bCs/>
          <w:highlight w:val="none"/>
        </w:rPr>
        <w:t>0（北京时间）</w:t>
      </w:r>
      <w:r>
        <w:rPr>
          <w:rFonts w:hint="eastAsia" w:ascii="宋体" w:hAnsi="宋体"/>
          <w:bCs/>
          <w:highlight w:val="none"/>
          <w:lang w:eastAsia="zh-CN"/>
        </w:rPr>
        <w:t>，</w:t>
      </w:r>
      <w:r>
        <w:rPr>
          <w:rFonts w:hint="eastAsia" w:ascii="宋体" w:hAnsi="宋体"/>
          <w:bCs/>
          <w:highlight w:val="none"/>
        </w:rPr>
        <w:t>所有投标文件应于投标截止时间之前递交，迟交的投标文件将拒绝接收</w:t>
      </w:r>
    </w:p>
    <w:p w14:paraId="7E6EEB0F">
      <w:pPr>
        <w:spacing w:line="360" w:lineRule="auto"/>
        <w:ind w:firstLine="420" w:firstLineChars="200"/>
        <w:rPr>
          <w:rFonts w:ascii="宋体" w:hAnsi="宋体"/>
          <w:bCs/>
          <w:highlight w:val="none"/>
        </w:rPr>
      </w:pPr>
      <w:r>
        <w:rPr>
          <w:rFonts w:hint="eastAsia" w:ascii="宋体" w:hAnsi="宋体"/>
          <w:bCs/>
          <w:highlight w:val="none"/>
          <w:lang w:val="en-US" w:eastAsia="zh-CN"/>
        </w:rPr>
        <w:t>5</w:t>
      </w:r>
      <w:r>
        <w:rPr>
          <w:rFonts w:hint="eastAsia" w:ascii="宋体" w:hAnsi="宋体"/>
          <w:bCs/>
          <w:highlight w:val="none"/>
        </w:rPr>
        <w:t>、开标时间：</w:t>
      </w:r>
      <w:r>
        <w:rPr>
          <w:rFonts w:hint="eastAsia" w:ascii="宋体" w:hAnsi="宋体"/>
          <w:highlight w:val="none"/>
        </w:rPr>
        <w:t>202</w:t>
      </w:r>
      <w:r>
        <w:rPr>
          <w:rFonts w:hint="eastAsia" w:ascii="宋体" w:hAnsi="宋体"/>
          <w:highlight w:val="none"/>
          <w:lang w:val="en-US" w:eastAsia="zh-CN"/>
        </w:rPr>
        <w:t>6</w:t>
      </w:r>
      <w:r>
        <w:rPr>
          <w:rFonts w:hint="eastAsia" w:ascii="宋体" w:hAnsi="宋体"/>
          <w:highlight w:val="none"/>
        </w:rPr>
        <w:t>年</w:t>
      </w:r>
      <w:r>
        <w:rPr>
          <w:rFonts w:hint="eastAsia" w:ascii="宋体" w:hAnsi="宋体"/>
          <w:highlight w:val="none"/>
          <w:lang w:val="en-US" w:eastAsia="zh-CN"/>
        </w:rPr>
        <w:t>8</w:t>
      </w:r>
      <w:r>
        <w:rPr>
          <w:rFonts w:hint="eastAsia" w:ascii="宋体" w:hAnsi="宋体"/>
          <w:highlight w:val="none"/>
        </w:rPr>
        <w:t>月</w:t>
      </w:r>
      <w:r>
        <w:rPr>
          <w:rFonts w:hint="eastAsia" w:ascii="宋体" w:hAnsi="宋体"/>
          <w:highlight w:val="none"/>
          <w:lang w:val="en-US" w:eastAsia="zh-CN"/>
        </w:rPr>
        <w:t>25</w:t>
      </w:r>
      <w:r>
        <w:rPr>
          <w:rFonts w:hint="eastAsia" w:ascii="宋体" w:hAnsi="宋体"/>
          <w:highlight w:val="none"/>
        </w:rPr>
        <w:t>日</w:t>
      </w:r>
      <w:r>
        <w:rPr>
          <w:rFonts w:hint="eastAsia" w:ascii="宋体" w:hAnsi="宋体"/>
          <w:highlight w:val="none"/>
          <w:lang w:val="en-US" w:eastAsia="zh-CN"/>
        </w:rPr>
        <w:t>9</w:t>
      </w:r>
      <w:r>
        <w:rPr>
          <w:rFonts w:hint="eastAsia" w:ascii="宋体" w:hAnsi="宋体"/>
          <w:bCs/>
          <w:highlight w:val="none"/>
        </w:rPr>
        <w:t>:</w:t>
      </w:r>
      <w:r>
        <w:rPr>
          <w:rFonts w:hint="eastAsia" w:ascii="宋体" w:hAnsi="宋体"/>
          <w:bCs/>
          <w:highlight w:val="none"/>
          <w:lang w:val="en-US" w:eastAsia="zh-CN"/>
        </w:rPr>
        <w:t>0</w:t>
      </w:r>
      <w:r>
        <w:rPr>
          <w:rFonts w:hint="eastAsia" w:ascii="宋体" w:hAnsi="宋体"/>
          <w:bCs/>
          <w:highlight w:val="none"/>
        </w:rPr>
        <w:t>0（北京时间）</w:t>
      </w:r>
    </w:p>
    <w:p w14:paraId="269BE0D9">
      <w:pPr>
        <w:spacing w:line="360" w:lineRule="auto"/>
        <w:ind w:firstLine="420" w:firstLineChars="200"/>
        <w:rPr>
          <w:rFonts w:hint="eastAsia" w:ascii="宋体"/>
          <w:bCs/>
          <w:color w:val="auto"/>
          <w:szCs w:val="20"/>
          <w:highlight w:val="none"/>
          <w:lang w:val="en-US" w:eastAsia="zh-CN"/>
        </w:rPr>
      </w:pPr>
      <w:r>
        <w:rPr>
          <w:rFonts w:hint="eastAsia" w:ascii="宋体" w:hAnsi="宋体"/>
          <w:bCs/>
          <w:highlight w:val="none"/>
          <w:lang w:val="en-US" w:eastAsia="zh-CN"/>
        </w:rPr>
        <w:t>6</w:t>
      </w:r>
      <w:r>
        <w:rPr>
          <w:rFonts w:hint="eastAsia" w:ascii="宋体" w:hAnsi="宋体"/>
          <w:bCs/>
          <w:highlight w:val="none"/>
        </w:rPr>
        <w:t>、开标地点：</w:t>
      </w:r>
      <w:r>
        <w:rPr>
          <w:rFonts w:hint="eastAsia" w:ascii="宋体"/>
          <w:bCs/>
          <w:color w:val="auto"/>
          <w:szCs w:val="20"/>
          <w:highlight w:val="none"/>
          <w:lang w:val="en-US" w:eastAsia="zh-CN"/>
        </w:rPr>
        <w:t>深圳市福田区梅林路上梅林社区健康服务中心116室（9号线梅村地铁站C2口）</w:t>
      </w:r>
    </w:p>
    <w:p w14:paraId="70E013AF">
      <w:pPr>
        <w:spacing w:line="360" w:lineRule="auto"/>
        <w:ind w:firstLine="420" w:firstLineChars="200"/>
        <w:rPr>
          <w:rFonts w:hint="default" w:ascii="宋体"/>
          <w:bCs/>
          <w:color w:val="auto"/>
          <w:szCs w:val="20"/>
          <w:highlight w:val="none"/>
          <w:lang w:val="en-US" w:eastAsia="zh-CN"/>
        </w:rPr>
      </w:pPr>
      <w:r>
        <w:rPr>
          <w:rFonts w:hint="eastAsia" w:ascii="宋体"/>
          <w:bCs/>
          <w:color w:val="auto"/>
          <w:szCs w:val="20"/>
          <w:highlight w:val="none"/>
          <w:lang w:val="en-US" w:eastAsia="zh-CN"/>
        </w:rPr>
        <w:t>7、开标地点停车不便，建议绿色出行</w:t>
      </w:r>
    </w:p>
    <w:p w14:paraId="03165666">
      <w:pPr>
        <w:spacing w:line="360" w:lineRule="auto"/>
        <w:ind w:firstLine="420" w:firstLineChars="200"/>
        <w:rPr>
          <w:rFonts w:hint="eastAsia" w:ascii="宋体" w:hAnsi="宋体"/>
          <w:lang w:val="en-US" w:eastAsia="zh-CN"/>
        </w:rPr>
      </w:pPr>
    </w:p>
    <w:p w14:paraId="3A925972">
      <w:pPr>
        <w:spacing w:line="360" w:lineRule="auto"/>
        <w:ind w:firstLine="420" w:firstLineChars="200"/>
        <w:outlineLvl w:val="9"/>
        <w:rPr>
          <w:rFonts w:ascii="宋体" w:hAnsi="宋体"/>
          <w:b/>
        </w:rPr>
      </w:pPr>
      <w:r>
        <w:rPr>
          <w:rFonts w:hint="eastAsia" w:ascii="宋体" w:hAnsi="宋体"/>
          <w:lang w:val="en-US" w:eastAsia="zh-CN"/>
        </w:rPr>
        <w:t>四</w:t>
      </w:r>
      <w:r>
        <w:rPr>
          <w:rFonts w:hint="eastAsia" w:ascii="宋体" w:hAnsi="宋体"/>
        </w:rPr>
        <w:t>、公告期限</w:t>
      </w:r>
    </w:p>
    <w:p w14:paraId="53BA3E0E">
      <w:pPr>
        <w:spacing w:line="360" w:lineRule="auto"/>
        <w:ind w:firstLine="420" w:firstLineChars="200"/>
        <w:rPr>
          <w:rFonts w:ascii="宋体" w:hAnsi="宋体"/>
          <w:kern w:val="0"/>
        </w:rPr>
      </w:pPr>
      <w:r>
        <w:rPr>
          <w:rFonts w:hint="eastAsia" w:ascii="宋体" w:hAnsi="宋体"/>
          <w:kern w:val="0"/>
        </w:rPr>
        <w:t>自本公告发布之日起5个工作日。</w:t>
      </w:r>
    </w:p>
    <w:p w14:paraId="790F53A0">
      <w:pPr>
        <w:spacing w:line="360" w:lineRule="auto"/>
        <w:ind w:firstLine="420" w:firstLineChars="200"/>
        <w:rPr>
          <w:rFonts w:hint="eastAsia" w:ascii="宋体" w:hAnsi="宋体"/>
          <w:lang w:val="en-US" w:eastAsia="zh-CN"/>
        </w:rPr>
      </w:pPr>
    </w:p>
    <w:p w14:paraId="0972B18F">
      <w:pPr>
        <w:numPr>
          <w:ilvl w:val="0"/>
          <w:numId w:val="4"/>
        </w:numPr>
        <w:spacing w:line="360" w:lineRule="auto"/>
        <w:ind w:firstLine="420" w:firstLineChars="200"/>
        <w:outlineLvl w:val="9"/>
        <w:rPr>
          <w:rFonts w:hint="default" w:ascii="宋体" w:hAnsi="宋体"/>
          <w:lang w:val="en-US" w:eastAsia="zh-CN"/>
        </w:rPr>
      </w:pPr>
      <w:r>
        <w:rPr>
          <w:rFonts w:hint="eastAsia" w:ascii="宋体" w:hAnsi="宋体"/>
          <w:lang w:val="en-US" w:eastAsia="zh-CN"/>
        </w:rPr>
        <w:t>报名事宜</w:t>
      </w:r>
    </w:p>
    <w:p w14:paraId="5920D85F">
      <w:pPr>
        <w:numPr>
          <w:ilvl w:val="0"/>
          <w:numId w:val="0"/>
        </w:numPr>
        <w:spacing w:line="360" w:lineRule="auto"/>
        <w:ind w:firstLine="420" w:firstLineChars="200"/>
        <w:rPr>
          <w:rFonts w:hint="eastAsia" w:ascii="宋体" w:hAnsi="宋体"/>
          <w:lang w:val="en-US" w:eastAsia="zh-CN"/>
        </w:rPr>
      </w:pPr>
      <w:r>
        <w:rPr>
          <w:rFonts w:hint="eastAsia" w:ascii="宋体" w:hAnsi="宋体"/>
          <w:lang w:val="en-US" w:eastAsia="zh-CN"/>
        </w:rPr>
        <w:t>有意参与投标的供应商需将附件一.报名文件填写完毕并加盖公章后，发送至邮箱zbcgb@ft2yy.cn进行报名。</w:t>
      </w:r>
    </w:p>
    <w:p w14:paraId="5AAE8624">
      <w:pPr>
        <w:numPr>
          <w:ilvl w:val="0"/>
          <w:numId w:val="0"/>
        </w:numPr>
        <w:spacing w:line="360" w:lineRule="auto"/>
        <w:ind w:firstLine="420" w:firstLineChars="200"/>
        <w:rPr>
          <w:rFonts w:hint="default" w:ascii="宋体" w:hAnsi="宋体"/>
          <w:lang w:val="en-US" w:eastAsia="zh-CN"/>
        </w:rPr>
      </w:pPr>
    </w:p>
    <w:p w14:paraId="4F2DF4E0">
      <w:pPr>
        <w:numPr>
          <w:ilvl w:val="0"/>
          <w:numId w:val="4"/>
        </w:numPr>
        <w:spacing w:line="360" w:lineRule="auto"/>
        <w:ind w:firstLine="420" w:firstLineChars="200"/>
        <w:outlineLvl w:val="9"/>
        <w:rPr>
          <w:rFonts w:hint="eastAsia" w:ascii="宋体" w:hAnsi="宋体"/>
        </w:rPr>
      </w:pPr>
      <w:r>
        <w:rPr>
          <w:rFonts w:hint="eastAsia" w:ascii="宋体" w:hAnsi="宋体"/>
        </w:rPr>
        <w:t>其他补充事宜</w:t>
      </w:r>
    </w:p>
    <w:p w14:paraId="49A5F522">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default" w:ascii="宋体" w:hAnsi="宋体"/>
          <w:lang w:val="en-US" w:eastAsia="zh-CN"/>
        </w:rPr>
      </w:pPr>
      <w:r>
        <w:rPr>
          <w:rFonts w:hint="eastAsia" w:ascii="宋体" w:hAnsi="宋体"/>
          <w:lang w:val="en-US" w:eastAsia="zh-CN"/>
        </w:rPr>
        <w:t>1.报名的供应商若因任何原因无法应标，请在开标时间前1个日历日书面告知。</w:t>
      </w:r>
    </w:p>
    <w:p w14:paraId="30405C17">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bCs/>
          <w:color w:val="auto"/>
          <w:szCs w:val="20"/>
          <w:highlight w:val="none"/>
          <w:lang w:val="en-US" w:eastAsia="zh-CN"/>
        </w:rPr>
      </w:pPr>
      <w:r>
        <w:rPr>
          <w:rFonts w:hint="eastAsia" w:ascii="宋体" w:hAnsi="宋体"/>
          <w:lang w:val="en-US" w:eastAsia="zh-CN"/>
        </w:rPr>
        <w:t>2.</w:t>
      </w:r>
      <w:r>
        <w:rPr>
          <w:rFonts w:hint="eastAsia" w:ascii="宋体" w:hAnsi="宋体"/>
        </w:rPr>
        <w:t>投标人有义务在</w:t>
      </w:r>
      <w:r>
        <w:rPr>
          <w:rFonts w:hint="eastAsia" w:ascii="宋体" w:hAnsi="宋体"/>
          <w:lang w:eastAsia="zh-CN"/>
        </w:rPr>
        <w:t>征集</w:t>
      </w:r>
      <w:r>
        <w:rPr>
          <w:rFonts w:hint="eastAsia" w:ascii="宋体" w:hAnsi="宋体"/>
        </w:rPr>
        <w:t>活动期间浏览</w:t>
      </w:r>
      <w:r>
        <w:rPr>
          <w:rFonts w:hint="eastAsia" w:ascii="宋体" w:hAnsi="宋体"/>
          <w:lang w:val="en-US" w:eastAsia="zh-CN"/>
        </w:rPr>
        <w:t>深圳市福田区第二人民医院</w:t>
      </w:r>
      <w:r>
        <w:rPr>
          <w:rFonts w:hint="eastAsia" w:ascii="宋体"/>
          <w:bCs/>
          <w:color w:val="auto"/>
          <w:szCs w:val="20"/>
          <w:highlight w:val="none"/>
          <w:lang w:val="en-US" w:eastAsia="zh-CN"/>
        </w:rPr>
        <w:t>网站（https://www.ft2yy.cn/）。相关公告在上述媒体上公布之日即视为有效送达，不再另行通知。</w:t>
      </w:r>
    </w:p>
    <w:p w14:paraId="28D320D8">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bCs/>
          <w:color w:val="auto"/>
          <w:szCs w:val="20"/>
          <w:highlight w:val="none"/>
          <w:lang w:val="en-US" w:eastAsia="zh-CN"/>
        </w:rPr>
      </w:pPr>
    </w:p>
    <w:p w14:paraId="3019BE1D">
      <w:pPr>
        <w:spacing w:line="360" w:lineRule="auto"/>
        <w:ind w:firstLine="420" w:firstLineChars="200"/>
        <w:outlineLvl w:val="9"/>
        <w:rPr>
          <w:rFonts w:hint="eastAsia" w:ascii="宋体" w:hAnsi="宋体"/>
        </w:rPr>
      </w:pPr>
      <w:r>
        <w:rPr>
          <w:rFonts w:hint="eastAsia" w:ascii="宋体" w:hAnsi="宋体"/>
          <w:lang w:val="en-US" w:eastAsia="zh-CN"/>
        </w:rPr>
        <w:t>七</w:t>
      </w:r>
      <w:r>
        <w:rPr>
          <w:rFonts w:hint="eastAsia" w:ascii="宋体" w:hAnsi="宋体"/>
        </w:rPr>
        <w:t>、对本次</w:t>
      </w:r>
      <w:r>
        <w:rPr>
          <w:rFonts w:hint="eastAsia" w:ascii="宋体" w:hAnsi="宋体"/>
          <w:lang w:eastAsia="zh-CN"/>
        </w:rPr>
        <w:t>征集</w:t>
      </w:r>
      <w:r>
        <w:rPr>
          <w:rFonts w:hint="eastAsia" w:ascii="宋体" w:hAnsi="宋体"/>
        </w:rPr>
        <w:t>提出询问，请按以下方式联系。</w:t>
      </w:r>
    </w:p>
    <w:p w14:paraId="4F679AC3">
      <w:pPr>
        <w:spacing w:line="360" w:lineRule="auto"/>
        <w:ind w:firstLine="420" w:firstLineChars="200"/>
        <w:outlineLvl w:val="9"/>
        <w:rPr>
          <w:rFonts w:hint="default" w:ascii="宋体" w:hAnsi="宋体"/>
          <w:lang w:val="en-US" w:eastAsia="zh-CN"/>
        </w:rPr>
      </w:pPr>
      <w:r>
        <w:rPr>
          <w:rFonts w:hint="eastAsia" w:ascii="宋体" w:hAnsi="宋体"/>
          <w:lang w:val="en-US" w:eastAsia="zh-CN"/>
        </w:rPr>
        <w:t>项目归口部门联系人</w:t>
      </w:r>
      <w:r>
        <w:rPr>
          <w:rFonts w:hint="eastAsia" w:ascii="宋体" w:hAnsi="宋体"/>
        </w:rPr>
        <w:t>：</w:t>
      </w:r>
      <w:r>
        <w:rPr>
          <w:rFonts w:hint="eastAsia" w:ascii="宋体" w:hAnsi="宋体"/>
          <w:lang w:val="en-US" w:eastAsia="zh-CN"/>
        </w:rPr>
        <w:t>李老师 0755-83272323</w:t>
      </w:r>
    </w:p>
    <w:p w14:paraId="1D33796B">
      <w:pPr>
        <w:spacing w:line="360" w:lineRule="auto"/>
        <w:ind w:firstLine="420" w:firstLineChars="200"/>
        <w:outlineLvl w:val="9"/>
        <w:rPr>
          <w:rFonts w:hint="eastAsia" w:ascii="宋体" w:hAnsi="宋体"/>
        </w:rPr>
      </w:pPr>
      <w:r>
        <w:rPr>
          <w:rFonts w:hint="eastAsia" w:ascii="宋体" w:hAnsi="宋体"/>
          <w:lang w:val="en-US" w:eastAsia="zh-CN"/>
        </w:rPr>
        <w:t>招标采购办联系人：吴老师 0755-83279817</w:t>
      </w:r>
    </w:p>
    <w:p w14:paraId="4B886C7A">
      <w:pPr>
        <w:spacing w:line="400" w:lineRule="exact"/>
        <w:rPr>
          <w:rFonts w:ascii="宋体" w:hAnsi="宋体"/>
          <w:szCs w:val="21"/>
          <w:u w:val="single"/>
        </w:rPr>
      </w:pPr>
    </w:p>
    <w:p w14:paraId="12B3098F">
      <w:pPr>
        <w:spacing w:line="400" w:lineRule="exact"/>
        <w:ind w:firstLine="420" w:firstLineChars="200"/>
        <w:jc w:val="right"/>
        <w:rPr>
          <w:rFonts w:hint="eastAsia" w:ascii="宋体" w:hAnsi="宋体"/>
          <w:szCs w:val="21"/>
          <w:lang w:val="en-US" w:eastAsia="zh-CN"/>
        </w:rPr>
      </w:pPr>
      <w:r>
        <w:rPr>
          <w:rFonts w:hint="eastAsia" w:ascii="宋体" w:hAnsi="宋体"/>
          <w:szCs w:val="21"/>
          <w:lang w:val="en-US" w:eastAsia="zh-CN"/>
        </w:rPr>
        <w:t>深圳市福田区第二人民医院</w:t>
      </w:r>
    </w:p>
    <w:p w14:paraId="7EBFFE83">
      <w:pPr>
        <w:spacing w:line="400" w:lineRule="exact"/>
        <w:ind w:firstLine="7140" w:firstLineChars="3400"/>
        <w:jc w:val="both"/>
        <w:rPr>
          <w:rFonts w:hint="eastAsia" w:ascii="宋体" w:hAnsi="宋体"/>
          <w:highlight w:val="none"/>
        </w:rPr>
      </w:pPr>
      <w:r>
        <w:rPr>
          <w:rFonts w:hint="eastAsia" w:ascii="宋体" w:hAnsi="宋体"/>
          <w:highlight w:val="none"/>
        </w:rPr>
        <w:t>202</w:t>
      </w:r>
      <w:r>
        <w:rPr>
          <w:rFonts w:hint="eastAsia" w:ascii="宋体" w:hAnsi="宋体"/>
          <w:highlight w:val="none"/>
          <w:lang w:val="en-US" w:eastAsia="zh-CN"/>
        </w:rPr>
        <w:t>6</w:t>
      </w:r>
      <w:r>
        <w:rPr>
          <w:rFonts w:hint="eastAsia" w:ascii="宋体" w:hAnsi="宋体"/>
          <w:highlight w:val="none"/>
        </w:rPr>
        <w:t>年</w:t>
      </w:r>
      <w:r>
        <w:rPr>
          <w:rFonts w:hint="eastAsia" w:ascii="宋体" w:hAnsi="宋体"/>
          <w:highlight w:val="none"/>
          <w:lang w:val="en-US" w:eastAsia="zh-CN"/>
        </w:rPr>
        <w:t>8</w:t>
      </w:r>
      <w:r>
        <w:rPr>
          <w:rFonts w:hint="eastAsia" w:ascii="宋体" w:hAnsi="宋体"/>
          <w:highlight w:val="none"/>
        </w:rPr>
        <w:t>月</w:t>
      </w:r>
      <w:r>
        <w:rPr>
          <w:rFonts w:hint="eastAsia" w:ascii="宋体" w:hAnsi="宋体"/>
          <w:highlight w:val="none"/>
          <w:lang w:val="en-US" w:eastAsia="zh-CN"/>
        </w:rPr>
        <w:t>14</w:t>
      </w:r>
      <w:r>
        <w:rPr>
          <w:rFonts w:hint="eastAsia" w:ascii="宋体" w:hAnsi="宋体"/>
          <w:highlight w:val="none"/>
        </w:rPr>
        <w:t>日</w:t>
      </w:r>
      <w:bookmarkEnd w:id="6"/>
      <w:bookmarkEnd w:id="7"/>
      <w:bookmarkEnd w:id="8"/>
    </w:p>
    <w:p w14:paraId="5364245B">
      <w:pPr>
        <w:spacing w:line="400" w:lineRule="exact"/>
        <w:ind w:firstLine="7140" w:firstLineChars="3400"/>
        <w:jc w:val="both"/>
        <w:rPr>
          <w:rFonts w:hint="eastAsia" w:ascii="宋体" w:hAnsi="宋体"/>
          <w:highlight w:val="none"/>
        </w:rPr>
      </w:pPr>
    </w:p>
    <w:p w14:paraId="6748B8CC">
      <w:pPr>
        <w:spacing w:line="400" w:lineRule="exact"/>
        <w:ind w:firstLine="7140" w:firstLineChars="3400"/>
        <w:jc w:val="both"/>
        <w:rPr>
          <w:rFonts w:hint="eastAsia" w:ascii="宋体" w:hAnsi="宋体"/>
          <w:highlight w:val="none"/>
        </w:rPr>
      </w:pPr>
    </w:p>
    <w:p w14:paraId="1A4AB828">
      <w:pPr>
        <w:spacing w:line="400" w:lineRule="exact"/>
        <w:ind w:firstLine="7140" w:firstLineChars="3400"/>
        <w:jc w:val="both"/>
        <w:rPr>
          <w:rFonts w:hint="eastAsia" w:ascii="宋体" w:hAnsi="宋体"/>
          <w:highlight w:val="none"/>
        </w:rPr>
      </w:pPr>
    </w:p>
    <w:p w14:paraId="753627CC">
      <w:pPr>
        <w:spacing w:line="400" w:lineRule="exact"/>
        <w:ind w:firstLine="7140" w:firstLineChars="3400"/>
        <w:jc w:val="both"/>
        <w:rPr>
          <w:rFonts w:hint="eastAsia" w:ascii="宋体" w:hAnsi="宋体"/>
          <w:highlight w:val="none"/>
        </w:rPr>
      </w:pPr>
    </w:p>
    <w:p w14:paraId="6CDA53FB">
      <w:pPr>
        <w:spacing w:line="400" w:lineRule="exact"/>
        <w:ind w:firstLine="7140" w:firstLineChars="3400"/>
        <w:jc w:val="both"/>
        <w:rPr>
          <w:rFonts w:hint="eastAsia" w:ascii="宋体" w:hAnsi="宋体"/>
          <w:highlight w:val="none"/>
        </w:rPr>
      </w:pPr>
    </w:p>
    <w:p w14:paraId="350129E6">
      <w:pPr>
        <w:spacing w:line="400" w:lineRule="exact"/>
        <w:ind w:firstLine="7140" w:firstLineChars="3400"/>
        <w:jc w:val="both"/>
        <w:rPr>
          <w:rFonts w:hint="eastAsia" w:ascii="宋体" w:hAnsi="宋体"/>
          <w:highlight w:val="none"/>
        </w:rPr>
      </w:pPr>
    </w:p>
    <w:p w14:paraId="65B5552A">
      <w:pPr>
        <w:spacing w:line="400" w:lineRule="exact"/>
        <w:ind w:firstLine="7140" w:firstLineChars="3400"/>
        <w:jc w:val="both"/>
        <w:rPr>
          <w:rFonts w:hint="eastAsia" w:ascii="宋体" w:hAnsi="宋体"/>
          <w:highlight w:val="none"/>
        </w:rPr>
      </w:pPr>
    </w:p>
    <w:p w14:paraId="696C6E03">
      <w:pPr>
        <w:spacing w:line="400" w:lineRule="exact"/>
        <w:ind w:firstLine="7140" w:firstLineChars="3400"/>
        <w:jc w:val="both"/>
        <w:rPr>
          <w:rFonts w:hint="eastAsia" w:ascii="宋体" w:hAnsi="宋体"/>
          <w:highlight w:val="none"/>
        </w:rPr>
      </w:pPr>
    </w:p>
    <w:p w14:paraId="0B6E1717">
      <w:pPr>
        <w:spacing w:line="400" w:lineRule="exact"/>
        <w:ind w:firstLine="7140" w:firstLineChars="3400"/>
        <w:jc w:val="both"/>
        <w:rPr>
          <w:rFonts w:hint="eastAsia" w:ascii="宋体" w:hAnsi="宋体"/>
          <w:highlight w:val="none"/>
        </w:rPr>
      </w:pPr>
    </w:p>
    <w:p w14:paraId="15207C99">
      <w:pPr>
        <w:spacing w:line="400" w:lineRule="exact"/>
        <w:ind w:firstLine="7140" w:firstLineChars="3400"/>
        <w:jc w:val="both"/>
        <w:rPr>
          <w:rFonts w:hint="eastAsia" w:ascii="宋体" w:hAnsi="宋体"/>
          <w:highlight w:val="none"/>
        </w:rPr>
      </w:pPr>
    </w:p>
    <w:p w14:paraId="21018BCA">
      <w:pPr>
        <w:spacing w:line="400" w:lineRule="exact"/>
        <w:ind w:firstLine="7140" w:firstLineChars="3400"/>
        <w:jc w:val="both"/>
        <w:rPr>
          <w:rFonts w:hint="eastAsia" w:ascii="宋体" w:hAnsi="宋体"/>
          <w:highlight w:val="none"/>
        </w:rPr>
      </w:pPr>
    </w:p>
    <w:p w14:paraId="7389900A">
      <w:pPr>
        <w:spacing w:line="400" w:lineRule="exact"/>
        <w:ind w:firstLine="7140" w:firstLineChars="3400"/>
        <w:jc w:val="both"/>
        <w:rPr>
          <w:rFonts w:hint="eastAsia" w:ascii="宋体" w:hAnsi="宋体"/>
          <w:highlight w:val="none"/>
        </w:rPr>
      </w:pPr>
    </w:p>
    <w:p w14:paraId="2DF2EA72">
      <w:pPr>
        <w:spacing w:line="400" w:lineRule="exact"/>
        <w:ind w:firstLine="7140" w:firstLineChars="3400"/>
        <w:jc w:val="both"/>
        <w:rPr>
          <w:rFonts w:hint="eastAsia" w:ascii="宋体" w:hAnsi="宋体"/>
          <w:highlight w:val="none"/>
        </w:rPr>
      </w:pPr>
    </w:p>
    <w:p w14:paraId="03C99986">
      <w:pPr>
        <w:spacing w:line="400" w:lineRule="exact"/>
        <w:ind w:firstLine="7140" w:firstLineChars="3400"/>
        <w:jc w:val="both"/>
        <w:rPr>
          <w:rFonts w:hint="eastAsia" w:ascii="宋体" w:hAnsi="宋体"/>
          <w:highlight w:val="none"/>
        </w:rPr>
      </w:pPr>
    </w:p>
    <w:p w14:paraId="14E22CF6">
      <w:pPr>
        <w:spacing w:line="400" w:lineRule="exact"/>
        <w:ind w:firstLine="7140" w:firstLineChars="3400"/>
        <w:jc w:val="both"/>
        <w:rPr>
          <w:rFonts w:hint="eastAsia" w:ascii="宋体" w:hAnsi="宋体"/>
          <w:highlight w:val="none"/>
        </w:rPr>
      </w:pPr>
    </w:p>
    <w:p w14:paraId="1C25E5C6">
      <w:pPr>
        <w:spacing w:line="400" w:lineRule="exact"/>
        <w:ind w:firstLine="7140" w:firstLineChars="3400"/>
        <w:jc w:val="both"/>
        <w:rPr>
          <w:rFonts w:hint="eastAsia" w:ascii="宋体" w:hAnsi="宋体"/>
          <w:highlight w:val="none"/>
        </w:rPr>
      </w:pPr>
    </w:p>
    <w:p w14:paraId="41BC23CC">
      <w:pPr>
        <w:spacing w:line="400" w:lineRule="exact"/>
        <w:ind w:firstLine="7140" w:firstLineChars="3400"/>
        <w:jc w:val="both"/>
        <w:rPr>
          <w:rFonts w:hint="eastAsia" w:ascii="宋体" w:hAnsi="宋体"/>
          <w:highlight w:val="none"/>
        </w:rPr>
      </w:pPr>
    </w:p>
    <w:p w14:paraId="4A7FB244">
      <w:pPr>
        <w:spacing w:line="400" w:lineRule="exact"/>
        <w:ind w:firstLine="7140" w:firstLineChars="3400"/>
        <w:jc w:val="both"/>
        <w:rPr>
          <w:rFonts w:hint="eastAsia" w:ascii="宋体" w:hAnsi="宋体"/>
          <w:highlight w:val="none"/>
        </w:rPr>
      </w:pPr>
    </w:p>
    <w:p w14:paraId="333D06A2">
      <w:pPr>
        <w:spacing w:line="400" w:lineRule="exact"/>
        <w:ind w:firstLine="7140" w:firstLineChars="3400"/>
        <w:jc w:val="both"/>
        <w:rPr>
          <w:rFonts w:hint="eastAsia" w:ascii="宋体" w:hAnsi="宋体"/>
          <w:highlight w:val="none"/>
        </w:rPr>
      </w:pPr>
    </w:p>
    <w:p w14:paraId="47B47766">
      <w:pPr>
        <w:spacing w:line="400" w:lineRule="exact"/>
        <w:ind w:firstLine="7140" w:firstLineChars="3400"/>
        <w:jc w:val="both"/>
        <w:rPr>
          <w:rFonts w:hint="eastAsia" w:ascii="宋体" w:hAnsi="宋体"/>
          <w:highlight w:val="none"/>
        </w:rPr>
      </w:pPr>
    </w:p>
    <w:p w14:paraId="72289FED">
      <w:pPr>
        <w:spacing w:line="400" w:lineRule="exact"/>
        <w:ind w:firstLine="7140" w:firstLineChars="3400"/>
        <w:jc w:val="both"/>
        <w:rPr>
          <w:rFonts w:hint="eastAsia" w:ascii="宋体" w:hAnsi="宋体"/>
          <w:highlight w:val="none"/>
        </w:rPr>
      </w:pPr>
    </w:p>
    <w:p w14:paraId="1AA89AC1">
      <w:pPr>
        <w:spacing w:line="400" w:lineRule="exact"/>
        <w:ind w:firstLine="7140" w:firstLineChars="3400"/>
        <w:jc w:val="both"/>
        <w:rPr>
          <w:rFonts w:hint="eastAsia" w:ascii="宋体" w:hAnsi="宋体"/>
          <w:highlight w:val="none"/>
        </w:rPr>
      </w:pPr>
    </w:p>
    <w:p w14:paraId="40168579">
      <w:pPr>
        <w:spacing w:line="400" w:lineRule="exact"/>
        <w:ind w:firstLine="7140" w:firstLineChars="3400"/>
        <w:jc w:val="both"/>
        <w:rPr>
          <w:rFonts w:hint="eastAsia" w:ascii="宋体" w:hAnsi="宋体"/>
          <w:highlight w:val="none"/>
        </w:rPr>
      </w:pPr>
    </w:p>
    <w:p w14:paraId="3F2F8630">
      <w:pPr>
        <w:spacing w:line="400" w:lineRule="exact"/>
        <w:ind w:firstLine="7140" w:firstLineChars="3400"/>
        <w:jc w:val="both"/>
        <w:rPr>
          <w:rFonts w:hint="eastAsia" w:ascii="宋体" w:hAnsi="宋体"/>
          <w:highlight w:val="none"/>
        </w:rPr>
      </w:pPr>
    </w:p>
    <w:p w14:paraId="7AF5DD6D">
      <w:pPr>
        <w:spacing w:line="400" w:lineRule="exact"/>
        <w:ind w:firstLine="7140" w:firstLineChars="3400"/>
        <w:jc w:val="both"/>
        <w:rPr>
          <w:rFonts w:hint="eastAsia" w:ascii="宋体" w:hAnsi="宋体"/>
          <w:highlight w:val="none"/>
        </w:rPr>
      </w:pPr>
    </w:p>
    <w:p w14:paraId="39C080E8">
      <w:pPr>
        <w:spacing w:line="400" w:lineRule="exact"/>
        <w:ind w:firstLine="7140" w:firstLineChars="3400"/>
        <w:jc w:val="both"/>
        <w:rPr>
          <w:rFonts w:hint="eastAsia" w:ascii="宋体" w:hAnsi="宋体"/>
          <w:highlight w:val="none"/>
        </w:rPr>
      </w:pPr>
    </w:p>
    <w:p w14:paraId="3C4660FC">
      <w:pPr>
        <w:spacing w:line="400" w:lineRule="exact"/>
        <w:ind w:firstLine="7140" w:firstLineChars="3400"/>
        <w:jc w:val="both"/>
        <w:rPr>
          <w:rFonts w:hint="eastAsia" w:ascii="宋体" w:hAnsi="宋体"/>
          <w:highlight w:val="none"/>
        </w:rPr>
      </w:pPr>
    </w:p>
    <w:p w14:paraId="001360A1">
      <w:pPr>
        <w:spacing w:line="400" w:lineRule="exact"/>
        <w:ind w:firstLine="7140" w:firstLineChars="3400"/>
        <w:jc w:val="both"/>
        <w:rPr>
          <w:rFonts w:hint="eastAsia" w:ascii="宋体" w:hAnsi="宋体"/>
          <w:highlight w:val="none"/>
        </w:rPr>
      </w:pPr>
    </w:p>
    <w:p w14:paraId="670BB84B">
      <w:pPr>
        <w:spacing w:line="400" w:lineRule="exact"/>
        <w:ind w:firstLine="7140" w:firstLineChars="3400"/>
        <w:jc w:val="both"/>
        <w:rPr>
          <w:rFonts w:hint="eastAsia" w:ascii="宋体" w:hAnsi="宋体"/>
          <w:highlight w:val="none"/>
        </w:rPr>
      </w:pPr>
    </w:p>
    <w:p w14:paraId="6A8D97A9">
      <w:pPr>
        <w:spacing w:line="400" w:lineRule="exact"/>
        <w:ind w:firstLine="7140" w:firstLineChars="3400"/>
        <w:jc w:val="both"/>
        <w:rPr>
          <w:rFonts w:hint="eastAsia" w:ascii="宋体" w:hAnsi="宋体"/>
          <w:highlight w:val="none"/>
        </w:rPr>
      </w:pPr>
    </w:p>
    <w:p w14:paraId="510CD319">
      <w:pPr>
        <w:spacing w:line="400" w:lineRule="exact"/>
        <w:ind w:firstLine="7140" w:firstLineChars="3400"/>
        <w:jc w:val="both"/>
        <w:rPr>
          <w:rFonts w:hint="eastAsia" w:ascii="宋体" w:hAnsi="宋体"/>
          <w:highlight w:val="none"/>
          <w:lang w:val="en-US" w:eastAsia="zh-CN"/>
        </w:rPr>
      </w:pPr>
    </w:p>
    <w:p w14:paraId="3F56D25A">
      <w:pPr>
        <w:widowControl/>
        <w:numPr>
          <w:ilvl w:val="0"/>
          <w:numId w:val="2"/>
        </w:numPr>
        <w:ind w:left="0" w:leftChars="0" w:firstLine="640" w:firstLineChars="200"/>
        <w:jc w:val="center"/>
        <w:outlineLvl w:val="0"/>
        <w:rPr>
          <w:rFonts w:hint="eastAsia" w:asciiTheme="majorEastAsia" w:hAnsiTheme="majorEastAsia" w:eastAsiaTheme="majorEastAsia"/>
          <w:sz w:val="32"/>
          <w:szCs w:val="32"/>
          <w:lang w:val="en-US" w:eastAsia="zh-CN"/>
        </w:rPr>
      </w:pPr>
      <w:bookmarkStart w:id="11" w:name="_Toc2752"/>
      <w:r>
        <w:rPr>
          <w:rFonts w:hint="eastAsia" w:asciiTheme="majorEastAsia" w:hAnsiTheme="majorEastAsia" w:eastAsiaTheme="majorEastAsia"/>
          <w:sz w:val="32"/>
          <w:szCs w:val="32"/>
          <w:lang w:val="en-US" w:eastAsia="zh-CN"/>
        </w:rPr>
        <w:t>用户需求书</w:t>
      </w:r>
      <w:bookmarkEnd w:id="11"/>
    </w:p>
    <w:p w14:paraId="1A0964E7">
      <w:pPr>
        <w:snapToGrid w:val="0"/>
        <w:spacing w:line="360" w:lineRule="auto"/>
        <w:rPr>
          <w:rFonts w:ascii="宋体"/>
          <w:b/>
          <w:bCs/>
          <w:szCs w:val="20"/>
        </w:rPr>
      </w:pPr>
      <w:r>
        <w:rPr>
          <w:rFonts w:hint="eastAsia" w:ascii="宋体"/>
          <w:b/>
          <w:bCs/>
          <w:szCs w:val="20"/>
        </w:rPr>
        <w:t>说明：</w:t>
      </w:r>
    </w:p>
    <w:p w14:paraId="41B0864D">
      <w:pPr>
        <w:numPr>
          <w:ilvl w:val="0"/>
          <w:numId w:val="5"/>
        </w:numPr>
        <w:snapToGrid w:val="0"/>
        <w:spacing w:line="360" w:lineRule="auto"/>
        <w:ind w:left="422" w:hanging="422" w:hangingChars="200"/>
        <w:rPr>
          <w:rFonts w:ascii="宋体"/>
          <w:b/>
          <w:bCs/>
          <w:color w:val="auto"/>
          <w:szCs w:val="20"/>
        </w:rPr>
      </w:pPr>
      <w:r>
        <w:rPr>
          <w:rFonts w:hint="eastAsia" w:ascii="宋体"/>
          <w:b/>
          <w:bCs/>
          <w:szCs w:val="20"/>
        </w:rPr>
        <w:t>投标人</w:t>
      </w:r>
      <w:r>
        <w:rPr>
          <w:rFonts w:hint="eastAsia" w:ascii="宋体"/>
          <w:b/>
          <w:bCs/>
          <w:color w:val="auto"/>
          <w:szCs w:val="20"/>
        </w:rPr>
        <w:t>须对本项目的</w:t>
      </w:r>
      <w:r>
        <w:rPr>
          <w:rFonts w:hint="eastAsia" w:asciiTheme="minorEastAsia" w:hAnsiTheme="minorEastAsia" w:eastAsiaTheme="minorEastAsia"/>
          <w:b/>
          <w:bCs/>
          <w:color w:val="auto"/>
          <w:szCs w:val="21"/>
        </w:rPr>
        <w:t>采购标的或服务内容</w:t>
      </w:r>
      <w:r>
        <w:rPr>
          <w:rFonts w:hint="eastAsia" w:ascii="宋体"/>
          <w:b/>
          <w:bCs/>
          <w:color w:val="auto"/>
          <w:szCs w:val="20"/>
        </w:rPr>
        <w:t>进行整体响应，任何只对</w:t>
      </w:r>
      <w:r>
        <w:rPr>
          <w:rFonts w:hint="eastAsia" w:asciiTheme="minorEastAsia" w:hAnsiTheme="minorEastAsia" w:eastAsiaTheme="minorEastAsia"/>
          <w:b/>
          <w:bCs/>
          <w:color w:val="auto"/>
          <w:szCs w:val="21"/>
        </w:rPr>
        <w:t>采购标的或服务内容</w:t>
      </w:r>
      <w:r>
        <w:rPr>
          <w:rFonts w:hint="eastAsia" w:ascii="宋体"/>
          <w:b/>
          <w:bCs/>
          <w:color w:val="auto"/>
          <w:szCs w:val="20"/>
        </w:rPr>
        <w:t>其中一部分内容进行的响应都被视为无效投标。</w:t>
      </w:r>
    </w:p>
    <w:p w14:paraId="43676C16">
      <w:pPr>
        <w:numPr>
          <w:ilvl w:val="0"/>
          <w:numId w:val="5"/>
        </w:numPr>
        <w:snapToGrid w:val="0"/>
        <w:spacing w:line="360" w:lineRule="auto"/>
        <w:ind w:left="422" w:hanging="422" w:hangingChars="200"/>
        <w:rPr>
          <w:rFonts w:hint="eastAsia" w:asciiTheme="minorEastAsia" w:hAnsiTheme="minorEastAsia" w:eastAsiaTheme="minorEastAsia"/>
          <w:b/>
          <w:bCs/>
          <w:color w:val="auto"/>
          <w:szCs w:val="21"/>
        </w:rPr>
      </w:pPr>
      <w:r>
        <w:rPr>
          <w:rFonts w:hint="eastAsia" w:asciiTheme="minorEastAsia" w:hAnsiTheme="minorEastAsia" w:eastAsiaTheme="minorEastAsia"/>
          <w:b/>
          <w:bCs/>
          <w:color w:val="auto"/>
          <w:szCs w:val="21"/>
        </w:rPr>
        <w:t>用户需求书中打“★”号条款为实质性条款，有任何一条负偏离则导致无效投标。</w:t>
      </w:r>
    </w:p>
    <w:p w14:paraId="4D99824F">
      <w:pPr>
        <w:numPr>
          <w:ilvl w:val="0"/>
          <w:numId w:val="5"/>
        </w:numPr>
        <w:snapToGrid w:val="0"/>
        <w:spacing w:line="360" w:lineRule="auto"/>
        <w:ind w:left="422" w:hanging="422" w:hangingChars="200"/>
        <w:rPr>
          <w:rFonts w:hint="eastAsia" w:asciiTheme="minorEastAsia" w:hAnsiTheme="minorEastAsia" w:eastAsiaTheme="minorEastAsia"/>
          <w:b/>
          <w:bCs/>
          <w:color w:val="auto"/>
          <w:szCs w:val="21"/>
        </w:rPr>
      </w:pPr>
      <w:r>
        <w:rPr>
          <w:rFonts w:hint="eastAsia" w:asciiTheme="minorEastAsia" w:hAnsiTheme="minorEastAsia" w:eastAsiaTheme="minorEastAsia"/>
          <w:b/>
          <w:bCs/>
          <w:color w:val="auto"/>
          <w:szCs w:val="21"/>
        </w:rPr>
        <w:t>用户需求书中打“▲”号条款为重要技术参数，但不作为无效投标条款。</w:t>
      </w:r>
    </w:p>
    <w:p w14:paraId="36AC43F5">
      <w:pPr>
        <w:numPr>
          <w:ilvl w:val="0"/>
          <w:numId w:val="5"/>
        </w:numPr>
        <w:snapToGrid w:val="0"/>
        <w:spacing w:line="360" w:lineRule="auto"/>
        <w:ind w:left="422" w:hanging="422" w:hangingChars="200"/>
        <w:rPr>
          <w:rFonts w:hint="eastAsia" w:asciiTheme="minorEastAsia" w:hAnsiTheme="minorEastAsia" w:eastAsiaTheme="minorEastAsia"/>
          <w:b/>
          <w:bCs/>
          <w:color w:val="auto"/>
          <w:szCs w:val="21"/>
        </w:rPr>
      </w:pPr>
      <w:r>
        <w:rPr>
          <w:rFonts w:hint="eastAsia" w:asciiTheme="minorEastAsia" w:hAnsiTheme="minorEastAsia" w:eastAsiaTheme="minorEastAsia"/>
          <w:b/>
          <w:bCs/>
          <w:color w:val="auto"/>
          <w:szCs w:val="21"/>
        </w:rPr>
        <w:t>用户需求书中打“●”号的为采购的核心产品，投标人应在《投标报价</w:t>
      </w:r>
      <w:r>
        <w:rPr>
          <w:rFonts w:hint="eastAsia" w:asciiTheme="minorEastAsia" w:hAnsiTheme="minorEastAsia" w:eastAsiaTheme="minorEastAsia"/>
          <w:b/>
          <w:bCs/>
          <w:color w:val="auto"/>
          <w:szCs w:val="21"/>
          <w:lang w:val="en-US" w:eastAsia="zh-CN"/>
        </w:rPr>
        <w:t>明细</w:t>
      </w:r>
      <w:r>
        <w:rPr>
          <w:rFonts w:hint="eastAsia" w:asciiTheme="minorEastAsia" w:hAnsiTheme="minorEastAsia" w:eastAsiaTheme="minorEastAsia"/>
          <w:b/>
          <w:bCs/>
          <w:color w:val="auto"/>
          <w:szCs w:val="21"/>
        </w:rPr>
        <w:t>表》中清晰列明“产品名称、品牌”。</w:t>
      </w:r>
    </w:p>
    <w:p w14:paraId="5AAF2DBC">
      <w:pPr>
        <w:pStyle w:val="12"/>
        <w:numPr>
          <w:ilvl w:val="0"/>
          <w:numId w:val="6"/>
        </w:numPr>
        <w:tabs>
          <w:tab w:val="left" w:pos="540"/>
        </w:tabs>
        <w:adjustRightInd w:val="0"/>
        <w:snapToGrid w:val="0"/>
        <w:spacing w:line="360" w:lineRule="auto"/>
        <w:ind w:left="420" w:leftChars="0" w:hanging="420" w:firstLineChars="0"/>
        <w:outlineLvl w:val="9"/>
        <w:rPr>
          <w:color w:val="auto"/>
        </w:rPr>
      </w:pPr>
      <w:r>
        <w:rPr>
          <w:rFonts w:hint="eastAsia"/>
          <w:b/>
          <w:color w:val="auto"/>
          <w:szCs w:val="20"/>
        </w:rPr>
        <w:t>项目</w:t>
      </w:r>
      <w:r>
        <w:rPr>
          <w:rFonts w:hint="eastAsia"/>
          <w:b/>
          <w:color w:val="auto"/>
          <w:szCs w:val="20"/>
          <w:lang w:val="en-US" w:eastAsia="zh-CN"/>
        </w:rPr>
        <w:t>一览表</w:t>
      </w:r>
      <w:r>
        <w:rPr>
          <w:rFonts w:hint="eastAsia"/>
          <w:b/>
          <w:color w:val="auto"/>
          <w:szCs w:val="20"/>
        </w:rPr>
        <w:t>：</w:t>
      </w:r>
    </w:p>
    <w:tbl>
      <w:tblPr>
        <w:tblStyle w:val="21"/>
        <w:tblW w:w="967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39"/>
        <w:gridCol w:w="874"/>
        <w:gridCol w:w="2166"/>
        <w:gridCol w:w="2110"/>
        <w:gridCol w:w="1346"/>
        <w:gridCol w:w="1143"/>
      </w:tblGrid>
      <w:tr w14:paraId="3CF262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8" w:hRule="atLeast"/>
          <w:jc w:val="center"/>
        </w:trPr>
        <w:tc>
          <w:tcPr>
            <w:tcW w:w="2039" w:type="dxa"/>
            <w:shd w:val="clear" w:color="auto" w:fill="EEECE1"/>
            <w:vAlign w:val="center"/>
          </w:tcPr>
          <w:p w14:paraId="515F1896">
            <w:pPr>
              <w:keepNext w:val="0"/>
              <w:keepLines w:val="0"/>
              <w:suppressLineNumbers w:val="0"/>
              <w:spacing w:before="0" w:beforeAutospacing="0" w:after="0" w:afterAutospacing="0"/>
              <w:ind w:left="0" w:leftChars="0" w:right="0" w:rightChars="0"/>
              <w:jc w:val="center"/>
              <w:rPr>
                <w:rFonts w:hint="eastAsia" w:ascii="宋体" w:hAnsi="宋体" w:eastAsia="宋体" w:cs="宋体"/>
                <w:b/>
                <w:color w:val="auto"/>
                <w:szCs w:val="21"/>
              </w:rPr>
            </w:pPr>
            <w:r>
              <w:rPr>
                <w:rFonts w:hint="eastAsia" w:ascii="宋体" w:hAnsi="宋体" w:eastAsia="宋体" w:cs="宋体"/>
                <w:b/>
                <w:color w:val="auto"/>
                <w:szCs w:val="21"/>
                <w:highlight w:val="none"/>
              </w:rPr>
              <w:t>采购内容</w:t>
            </w:r>
          </w:p>
        </w:tc>
        <w:tc>
          <w:tcPr>
            <w:tcW w:w="874" w:type="dxa"/>
            <w:shd w:val="clear" w:color="auto" w:fill="EEECE1"/>
            <w:vAlign w:val="center"/>
          </w:tcPr>
          <w:p w14:paraId="6E527C4A">
            <w:pPr>
              <w:keepNext w:val="0"/>
              <w:keepLines w:val="0"/>
              <w:suppressLineNumbers w:val="0"/>
              <w:spacing w:before="0" w:beforeAutospacing="0" w:after="0" w:afterAutospacing="0"/>
              <w:ind w:left="0" w:leftChars="0" w:right="0" w:rightChars="0"/>
              <w:jc w:val="center"/>
              <w:rPr>
                <w:rFonts w:hint="eastAsia" w:ascii="宋体" w:hAnsi="宋体" w:eastAsia="宋体" w:cs="宋体"/>
                <w:b/>
                <w:color w:val="auto"/>
                <w:szCs w:val="21"/>
              </w:rPr>
            </w:pPr>
            <w:r>
              <w:rPr>
                <w:rFonts w:hint="eastAsia" w:ascii="宋体" w:hAnsi="宋体" w:eastAsia="宋体" w:cs="宋体"/>
                <w:b/>
                <w:color w:val="auto"/>
                <w:szCs w:val="21"/>
                <w:highlight w:val="none"/>
              </w:rPr>
              <w:t>数量</w:t>
            </w:r>
          </w:p>
        </w:tc>
        <w:tc>
          <w:tcPr>
            <w:tcW w:w="2166" w:type="dxa"/>
            <w:shd w:val="clear" w:color="auto" w:fill="EEECE1"/>
            <w:vAlign w:val="center"/>
          </w:tcPr>
          <w:p w14:paraId="1F7013D0">
            <w:pPr>
              <w:keepNext w:val="0"/>
              <w:keepLines w:val="0"/>
              <w:suppressLineNumbers w:val="0"/>
              <w:spacing w:before="0" w:beforeAutospacing="0" w:after="0" w:afterAutospacing="0"/>
              <w:ind w:left="0" w:leftChars="0" w:right="0" w:rightChars="0"/>
              <w:jc w:val="center"/>
              <w:rPr>
                <w:rFonts w:hint="eastAsia" w:ascii="宋体" w:hAnsi="宋体" w:eastAsia="宋体" w:cs="宋体"/>
                <w:b/>
                <w:color w:val="auto"/>
                <w:szCs w:val="21"/>
              </w:rPr>
            </w:pPr>
            <w:r>
              <w:rPr>
                <w:rFonts w:hint="eastAsia" w:ascii="宋体" w:hAnsi="宋体" w:eastAsia="宋体" w:cs="宋体"/>
                <w:b/>
                <w:color w:val="auto"/>
                <w:szCs w:val="21"/>
                <w:highlight w:val="none"/>
              </w:rPr>
              <w:t>交货期</w:t>
            </w:r>
          </w:p>
        </w:tc>
        <w:tc>
          <w:tcPr>
            <w:tcW w:w="2110" w:type="dxa"/>
            <w:shd w:val="clear" w:color="auto" w:fill="EEECE1"/>
            <w:vAlign w:val="center"/>
          </w:tcPr>
          <w:p w14:paraId="16D9626C">
            <w:pPr>
              <w:keepNext w:val="0"/>
              <w:keepLines w:val="0"/>
              <w:suppressLineNumbers w:val="0"/>
              <w:spacing w:before="0" w:beforeAutospacing="0" w:after="0" w:afterAutospacing="0"/>
              <w:ind w:left="0" w:leftChars="0" w:right="0" w:rightChars="0"/>
              <w:jc w:val="center"/>
              <w:rPr>
                <w:rFonts w:hint="eastAsia" w:ascii="宋体" w:hAnsi="宋体" w:eastAsia="宋体" w:cs="宋体"/>
                <w:b/>
                <w:color w:val="auto"/>
                <w:szCs w:val="21"/>
                <w:highlight w:val="none"/>
              </w:rPr>
            </w:pPr>
            <w:r>
              <w:rPr>
                <w:rFonts w:hint="eastAsia" w:ascii="宋体" w:hAnsi="宋体" w:eastAsia="宋体" w:cs="宋体"/>
                <w:b/>
                <w:color w:val="auto"/>
                <w:szCs w:val="21"/>
                <w:highlight w:val="none"/>
                <w:lang w:val="en-US" w:eastAsia="zh-CN"/>
              </w:rPr>
              <w:t>预算金额</w:t>
            </w:r>
          </w:p>
        </w:tc>
        <w:tc>
          <w:tcPr>
            <w:tcW w:w="1346" w:type="dxa"/>
            <w:shd w:val="clear" w:color="auto" w:fill="EEECE1"/>
            <w:vAlign w:val="center"/>
          </w:tcPr>
          <w:p w14:paraId="77A1679F">
            <w:pPr>
              <w:keepNext w:val="0"/>
              <w:keepLines w:val="0"/>
              <w:suppressLineNumbers w:val="0"/>
              <w:spacing w:before="0" w:beforeAutospacing="0" w:after="0" w:afterAutospacing="0"/>
              <w:ind w:left="0" w:leftChars="0" w:right="0" w:rightChars="0"/>
              <w:jc w:val="center"/>
              <w:rPr>
                <w:rFonts w:hint="eastAsia" w:ascii="宋体" w:hAnsi="宋体" w:eastAsia="宋体" w:cs="宋体"/>
                <w:b/>
                <w:color w:val="auto"/>
                <w:szCs w:val="21"/>
              </w:rPr>
            </w:pPr>
            <w:r>
              <w:rPr>
                <w:rFonts w:hint="eastAsia" w:ascii="宋体" w:hAnsi="宋体" w:eastAsia="宋体" w:cs="宋体"/>
                <w:b/>
                <w:color w:val="auto"/>
                <w:szCs w:val="21"/>
                <w:highlight w:val="none"/>
              </w:rPr>
              <w:t>最高限价</w:t>
            </w:r>
          </w:p>
        </w:tc>
        <w:tc>
          <w:tcPr>
            <w:tcW w:w="1143" w:type="dxa"/>
            <w:shd w:val="clear" w:color="auto" w:fill="EEECE1"/>
            <w:vAlign w:val="center"/>
          </w:tcPr>
          <w:p w14:paraId="20EB26C1">
            <w:pPr>
              <w:keepNext w:val="0"/>
              <w:keepLines w:val="0"/>
              <w:suppressLineNumbers w:val="0"/>
              <w:spacing w:before="0" w:beforeAutospacing="0" w:after="0" w:afterAutospacing="0"/>
              <w:ind w:left="0" w:leftChars="0" w:right="0" w:rightChars="0"/>
              <w:jc w:val="center"/>
              <w:rPr>
                <w:rFonts w:hint="eastAsia" w:ascii="宋体" w:hAnsi="宋体" w:eastAsia="宋体" w:cs="宋体"/>
                <w:b/>
                <w:color w:val="auto"/>
                <w:szCs w:val="21"/>
              </w:rPr>
            </w:pPr>
            <w:r>
              <w:rPr>
                <w:rFonts w:hint="eastAsia" w:ascii="宋体" w:hAnsi="宋体" w:eastAsia="宋体" w:cs="宋体"/>
                <w:b/>
                <w:color w:val="auto"/>
                <w:szCs w:val="21"/>
              </w:rPr>
              <w:t>所属行业</w:t>
            </w:r>
          </w:p>
        </w:tc>
      </w:tr>
      <w:tr w14:paraId="0A1298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68" w:hRule="atLeast"/>
          <w:jc w:val="center"/>
        </w:trPr>
        <w:tc>
          <w:tcPr>
            <w:tcW w:w="2039" w:type="dxa"/>
            <w:vAlign w:val="center"/>
          </w:tcPr>
          <w:p w14:paraId="262358C2">
            <w:pPr>
              <w:keepNext w:val="0"/>
              <w:keepLines w:val="0"/>
              <w:suppressLineNumbers w:val="0"/>
              <w:spacing w:before="0" w:beforeAutospacing="0" w:after="0" w:afterAutospacing="0"/>
              <w:ind w:left="0" w:leftChars="0" w:right="0" w:rightChars="0"/>
              <w:jc w:val="center"/>
              <w:rPr>
                <w:rFonts w:hint="default"/>
                <w:color w:val="auto"/>
                <w:highlight w:val="none"/>
                <w:lang w:val="en-US" w:eastAsia="zh-CN"/>
              </w:rPr>
            </w:pPr>
            <w:r>
              <w:rPr>
                <w:rFonts w:hint="eastAsia" w:ascii="宋体" w:hAnsi="宋体"/>
                <w:lang w:val="en-US" w:eastAsia="zh-CN"/>
              </w:rPr>
              <w:t>紧急医学救援队伍急救背囊装备</w:t>
            </w:r>
          </w:p>
        </w:tc>
        <w:tc>
          <w:tcPr>
            <w:tcW w:w="874" w:type="dxa"/>
            <w:vAlign w:val="center"/>
          </w:tcPr>
          <w:p w14:paraId="390AF9D4">
            <w:pPr>
              <w:keepNext w:val="0"/>
              <w:keepLines w:val="0"/>
              <w:suppressLineNumbers w:val="0"/>
              <w:spacing w:before="0" w:beforeAutospacing="0" w:after="0" w:afterAutospacing="0"/>
              <w:ind w:left="0" w:leftChars="0" w:right="0" w:rightChars="0"/>
              <w:jc w:val="center"/>
              <w:rPr>
                <w:rFonts w:hint="default"/>
                <w:color w:val="auto"/>
                <w:highlight w:val="none"/>
                <w:lang w:val="en-US" w:eastAsia="zh-CN"/>
              </w:rPr>
            </w:pPr>
            <w:r>
              <w:rPr>
                <w:rFonts w:hint="eastAsia"/>
                <w:color w:val="auto"/>
                <w:highlight w:val="none"/>
                <w:lang w:val="en-US" w:eastAsia="zh-CN"/>
              </w:rPr>
              <w:t>1项</w:t>
            </w:r>
          </w:p>
        </w:tc>
        <w:tc>
          <w:tcPr>
            <w:tcW w:w="2166" w:type="dxa"/>
            <w:vAlign w:val="center"/>
          </w:tcPr>
          <w:p w14:paraId="36A3EC96">
            <w:pPr>
              <w:keepNext w:val="0"/>
              <w:keepLines w:val="0"/>
              <w:suppressLineNumbers w:val="0"/>
              <w:spacing w:before="0" w:beforeAutospacing="0" w:after="0" w:afterAutospacing="0"/>
              <w:ind w:left="0" w:leftChars="0" w:right="0" w:rightChars="0"/>
              <w:jc w:val="center"/>
              <w:rPr>
                <w:rFonts w:hint="eastAsia"/>
                <w:color w:val="auto"/>
                <w:highlight w:val="none"/>
                <w:lang w:val="en-US" w:eastAsia="zh-CN"/>
              </w:rPr>
            </w:pPr>
            <w:r>
              <w:rPr>
                <w:rFonts w:hint="eastAsia"/>
                <w:color w:val="auto"/>
                <w:highlight w:val="none"/>
                <w:lang w:val="en-US" w:eastAsia="zh-CN"/>
              </w:rPr>
              <w:t>签订合同之日起10天内交货</w:t>
            </w:r>
          </w:p>
        </w:tc>
        <w:tc>
          <w:tcPr>
            <w:tcW w:w="2110" w:type="dxa"/>
            <w:vAlign w:val="center"/>
          </w:tcPr>
          <w:p w14:paraId="5EB8399A">
            <w:pPr>
              <w:keepNext w:val="0"/>
              <w:keepLines w:val="0"/>
              <w:suppressLineNumbers w:val="0"/>
              <w:spacing w:before="0" w:beforeAutospacing="0" w:after="0" w:afterAutospacing="0"/>
              <w:ind w:left="0" w:leftChars="0" w:right="0" w:rightChars="0"/>
              <w:jc w:val="center"/>
              <w:rPr>
                <w:rFonts w:hint="eastAsia"/>
                <w:color w:val="auto"/>
                <w:highlight w:val="none"/>
                <w:lang w:val="en-US" w:eastAsia="zh-CN"/>
              </w:rPr>
            </w:pPr>
            <w:r>
              <w:rPr>
                <w:rFonts w:hint="eastAsia"/>
                <w:color w:val="auto"/>
                <w:highlight w:val="none"/>
                <w:lang w:val="en-US" w:eastAsia="zh-CN"/>
              </w:rPr>
              <w:t>人民币99800.00元</w:t>
            </w:r>
          </w:p>
        </w:tc>
        <w:tc>
          <w:tcPr>
            <w:tcW w:w="1346" w:type="dxa"/>
            <w:vAlign w:val="center"/>
          </w:tcPr>
          <w:p w14:paraId="113A87B9">
            <w:pPr>
              <w:keepNext w:val="0"/>
              <w:keepLines w:val="0"/>
              <w:suppressLineNumbers w:val="0"/>
              <w:spacing w:before="0" w:beforeAutospacing="0" w:after="0" w:afterAutospacing="0"/>
              <w:ind w:left="0" w:leftChars="0" w:right="0" w:rightChars="0"/>
              <w:jc w:val="center"/>
              <w:rPr>
                <w:rFonts w:hint="eastAsia"/>
                <w:color w:val="auto"/>
                <w:highlight w:val="none"/>
                <w:lang w:val="en-US" w:eastAsia="zh-CN"/>
              </w:rPr>
            </w:pPr>
            <w:r>
              <w:rPr>
                <w:rFonts w:hint="eastAsia"/>
                <w:color w:val="auto"/>
                <w:highlight w:val="none"/>
                <w:lang w:val="en-US" w:eastAsia="zh-CN"/>
              </w:rPr>
              <w:t>/</w:t>
            </w:r>
          </w:p>
        </w:tc>
        <w:tc>
          <w:tcPr>
            <w:tcW w:w="1143" w:type="dxa"/>
            <w:vAlign w:val="center"/>
          </w:tcPr>
          <w:p w14:paraId="6694BA19">
            <w:pPr>
              <w:keepNext w:val="0"/>
              <w:keepLines w:val="0"/>
              <w:suppressLineNumbers w:val="0"/>
              <w:spacing w:before="0" w:beforeAutospacing="0" w:after="0" w:afterAutospacing="0"/>
              <w:ind w:left="0" w:leftChars="0" w:right="0" w:rightChars="0"/>
              <w:jc w:val="center"/>
              <w:rPr>
                <w:rFonts w:hint="eastAsia"/>
                <w:color w:val="auto"/>
                <w:highlight w:val="none"/>
                <w:lang w:val="en-US" w:eastAsia="zh-CN"/>
              </w:rPr>
            </w:pPr>
            <w:r>
              <w:rPr>
                <w:rFonts w:hint="eastAsia"/>
                <w:color w:val="auto"/>
                <w:highlight w:val="none"/>
                <w:lang w:val="en-US" w:eastAsia="zh-CN"/>
              </w:rPr>
              <w:t>工业</w:t>
            </w:r>
          </w:p>
        </w:tc>
      </w:tr>
    </w:tbl>
    <w:p w14:paraId="70B3C683">
      <w:pPr>
        <w:pStyle w:val="12"/>
        <w:tabs>
          <w:tab w:val="left" w:pos="540"/>
        </w:tabs>
        <w:adjustRightInd w:val="0"/>
        <w:snapToGrid w:val="0"/>
        <w:spacing w:line="360" w:lineRule="auto"/>
        <w:rPr>
          <w:rFonts w:hAnsi="宋体"/>
          <w:b/>
          <w:color w:val="auto"/>
        </w:rPr>
      </w:pPr>
    </w:p>
    <w:p w14:paraId="3142D659">
      <w:pPr>
        <w:pStyle w:val="12"/>
        <w:numPr>
          <w:ilvl w:val="0"/>
          <w:numId w:val="6"/>
        </w:numPr>
        <w:tabs>
          <w:tab w:val="left" w:pos="540"/>
        </w:tabs>
        <w:adjustRightInd w:val="0"/>
        <w:snapToGrid w:val="0"/>
        <w:spacing w:line="360" w:lineRule="auto"/>
        <w:ind w:left="420" w:leftChars="0" w:hanging="420" w:firstLineChars="0"/>
        <w:outlineLvl w:val="9"/>
        <w:rPr>
          <w:rFonts w:hAnsi="宋体"/>
          <w:b/>
          <w:color w:val="auto"/>
        </w:rPr>
      </w:pPr>
      <w:r>
        <w:rPr>
          <w:rFonts w:hint="eastAsia" w:hAnsi="宋体"/>
          <w:b/>
          <w:color w:val="auto"/>
        </w:rPr>
        <w:t>项目采购标的清单</w:t>
      </w:r>
      <w:r>
        <w:rPr>
          <w:rFonts w:hint="eastAsia" w:ascii="宋体" w:hAnsi="宋体" w:eastAsia="宋体"/>
          <w:b/>
          <w:color w:val="auto"/>
          <w:lang w:eastAsia="zh-CN"/>
        </w:rPr>
        <w:t>：</w:t>
      </w:r>
    </w:p>
    <w:tbl>
      <w:tblPr>
        <w:tblStyle w:val="22"/>
        <w:tblW w:w="939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48"/>
        <w:gridCol w:w="2972"/>
        <w:gridCol w:w="1000"/>
        <w:gridCol w:w="1108"/>
        <w:gridCol w:w="1770"/>
        <w:gridCol w:w="1494"/>
      </w:tblGrid>
      <w:tr w14:paraId="3329B3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48" w:type="dxa"/>
            <w:shd w:val="clear" w:color="auto" w:fill="EEECE1" w:themeFill="background2"/>
            <w:vAlign w:val="center"/>
          </w:tcPr>
          <w:p w14:paraId="31685FAE">
            <w:pPr>
              <w:pStyle w:val="34"/>
              <w:keepNext w:val="0"/>
              <w:keepLines w:val="0"/>
              <w:suppressLineNumbers w:val="0"/>
              <w:spacing w:before="0" w:beforeAutospacing="0" w:after="0" w:afterAutospacing="0"/>
              <w:ind w:left="0" w:leftChars="0" w:right="0" w:rightChars="0" w:firstLine="0" w:firstLineChars="0"/>
              <w:jc w:val="center"/>
              <w:rPr>
                <w:rFonts w:hint="eastAsia" w:ascii="宋体" w:hAnsi="宋体" w:eastAsia="宋体" w:cs="宋体"/>
                <w:b/>
                <w:bCs w:val="0"/>
                <w:color w:val="auto"/>
                <w:vertAlign w:val="baseline"/>
                <w:lang w:val="en-US" w:eastAsia="zh-CN"/>
              </w:rPr>
            </w:pPr>
            <w:r>
              <w:rPr>
                <w:rFonts w:hint="eastAsia" w:ascii="宋体" w:hAnsi="宋体" w:eastAsia="宋体" w:cs="宋体"/>
                <w:b/>
                <w:bCs w:val="0"/>
                <w:color w:val="auto"/>
                <w:vertAlign w:val="baseline"/>
                <w:lang w:val="en-US" w:eastAsia="zh-CN"/>
              </w:rPr>
              <w:t>序号</w:t>
            </w:r>
          </w:p>
        </w:tc>
        <w:tc>
          <w:tcPr>
            <w:tcW w:w="2972" w:type="dxa"/>
            <w:shd w:val="clear" w:color="auto" w:fill="EEECE1" w:themeFill="background2"/>
            <w:vAlign w:val="center"/>
          </w:tcPr>
          <w:p w14:paraId="69748C28">
            <w:pPr>
              <w:pStyle w:val="34"/>
              <w:keepNext w:val="0"/>
              <w:keepLines w:val="0"/>
              <w:suppressLineNumbers w:val="0"/>
              <w:spacing w:before="0" w:beforeAutospacing="0" w:after="0" w:afterAutospacing="0"/>
              <w:ind w:left="0" w:leftChars="0" w:right="0" w:rightChars="0" w:firstLine="0" w:firstLineChars="0"/>
              <w:jc w:val="center"/>
              <w:rPr>
                <w:rFonts w:hint="eastAsia" w:ascii="宋体" w:hAnsi="宋体" w:eastAsia="宋体" w:cs="宋体"/>
                <w:b/>
                <w:bCs w:val="0"/>
                <w:color w:val="auto"/>
                <w:vertAlign w:val="baseline"/>
                <w:lang w:val="en-US" w:eastAsia="zh-CN"/>
              </w:rPr>
            </w:pPr>
            <w:r>
              <w:rPr>
                <w:rFonts w:hint="eastAsia" w:ascii="宋体" w:hAnsi="宋体" w:eastAsia="宋体" w:cs="宋体"/>
                <w:b/>
                <w:bCs w:val="0"/>
                <w:color w:val="auto"/>
                <w:vertAlign w:val="baseline"/>
                <w:lang w:val="en-US" w:eastAsia="zh-CN"/>
              </w:rPr>
              <w:t>货物名称</w:t>
            </w:r>
          </w:p>
        </w:tc>
        <w:tc>
          <w:tcPr>
            <w:tcW w:w="1000" w:type="dxa"/>
            <w:shd w:val="clear" w:color="auto" w:fill="EEECE1" w:themeFill="background2"/>
            <w:vAlign w:val="center"/>
          </w:tcPr>
          <w:p w14:paraId="4F3D85F1">
            <w:pPr>
              <w:pStyle w:val="34"/>
              <w:keepNext w:val="0"/>
              <w:keepLines w:val="0"/>
              <w:suppressLineNumbers w:val="0"/>
              <w:spacing w:before="0" w:beforeAutospacing="0" w:after="0" w:afterAutospacing="0"/>
              <w:ind w:left="0" w:leftChars="0" w:right="0" w:rightChars="0" w:firstLine="0" w:firstLineChars="0"/>
              <w:jc w:val="center"/>
              <w:rPr>
                <w:rFonts w:hint="eastAsia" w:ascii="宋体" w:hAnsi="宋体" w:eastAsia="宋体" w:cs="宋体"/>
                <w:b/>
                <w:bCs w:val="0"/>
                <w:color w:val="auto"/>
                <w:vertAlign w:val="baseline"/>
                <w:lang w:val="en-US" w:eastAsia="zh-CN"/>
              </w:rPr>
            </w:pPr>
            <w:r>
              <w:rPr>
                <w:rFonts w:hint="eastAsia" w:ascii="宋体" w:hAnsi="宋体" w:eastAsia="宋体" w:cs="宋体"/>
                <w:b/>
                <w:bCs w:val="0"/>
                <w:color w:val="auto"/>
                <w:vertAlign w:val="baseline"/>
                <w:lang w:val="en-US" w:eastAsia="zh-CN"/>
              </w:rPr>
              <w:t>数量</w:t>
            </w:r>
          </w:p>
        </w:tc>
        <w:tc>
          <w:tcPr>
            <w:tcW w:w="1108" w:type="dxa"/>
            <w:shd w:val="clear" w:color="auto" w:fill="EEECE1" w:themeFill="background2"/>
            <w:vAlign w:val="center"/>
          </w:tcPr>
          <w:p w14:paraId="211C175B">
            <w:pPr>
              <w:pStyle w:val="34"/>
              <w:keepNext w:val="0"/>
              <w:keepLines w:val="0"/>
              <w:suppressLineNumbers w:val="0"/>
              <w:spacing w:before="0" w:beforeAutospacing="0" w:after="0" w:afterAutospacing="0"/>
              <w:ind w:left="0" w:leftChars="0" w:right="0" w:rightChars="0" w:firstLine="0" w:firstLineChars="0"/>
              <w:jc w:val="center"/>
              <w:rPr>
                <w:rFonts w:hint="eastAsia" w:ascii="宋体" w:hAnsi="宋体" w:eastAsia="宋体" w:cs="宋体"/>
                <w:b/>
                <w:bCs w:val="0"/>
                <w:color w:val="auto"/>
                <w:vertAlign w:val="baseline"/>
                <w:lang w:val="en-US" w:eastAsia="zh-CN"/>
              </w:rPr>
            </w:pPr>
            <w:r>
              <w:rPr>
                <w:rFonts w:hint="eastAsia" w:ascii="宋体" w:hAnsi="宋体" w:eastAsia="宋体" w:cs="宋体"/>
                <w:b/>
                <w:bCs w:val="0"/>
                <w:color w:val="auto"/>
                <w:vertAlign w:val="baseline"/>
                <w:lang w:val="en-US" w:eastAsia="zh-CN"/>
              </w:rPr>
              <w:t>单位</w:t>
            </w:r>
          </w:p>
        </w:tc>
        <w:tc>
          <w:tcPr>
            <w:tcW w:w="1770" w:type="dxa"/>
            <w:shd w:val="clear" w:color="auto" w:fill="EEECE1" w:themeFill="background2"/>
            <w:vAlign w:val="center"/>
          </w:tcPr>
          <w:p w14:paraId="4E504C0B">
            <w:pPr>
              <w:keepNext w:val="0"/>
              <w:keepLines w:val="0"/>
              <w:widowControl/>
              <w:suppressLineNumbers w:val="0"/>
              <w:spacing w:before="0" w:beforeAutospacing="0" w:after="0" w:afterAutospacing="0"/>
              <w:ind w:left="0" w:leftChars="0" w:right="0" w:rightChars="0"/>
              <w:jc w:val="center"/>
              <w:textAlignment w:val="center"/>
              <w:rPr>
                <w:rFonts w:hint="default" w:ascii="宋体" w:hAnsi="宋体" w:eastAsia="宋体" w:cs="宋体"/>
                <w:b/>
                <w:bCs/>
                <w:i w:val="0"/>
                <w:iCs w:val="0"/>
                <w:color w:val="000000"/>
                <w:kern w:val="0"/>
                <w:sz w:val="20"/>
                <w:szCs w:val="20"/>
                <w:u w:val="none"/>
                <w:lang w:val="en-US" w:eastAsia="zh-CN" w:bidi="ar"/>
              </w:rPr>
            </w:pPr>
            <w:r>
              <w:rPr>
                <w:rFonts w:hint="eastAsia" w:ascii="宋体" w:hAnsi="宋体" w:eastAsia="宋体" w:cs="宋体"/>
                <w:b/>
                <w:bCs/>
                <w:i w:val="0"/>
                <w:iCs w:val="0"/>
                <w:color w:val="000000"/>
                <w:kern w:val="0"/>
                <w:sz w:val="20"/>
                <w:szCs w:val="20"/>
                <w:u w:val="none"/>
                <w:lang w:val="en-US" w:eastAsia="zh-CN" w:bidi="ar"/>
              </w:rPr>
              <w:t>备注</w:t>
            </w:r>
          </w:p>
        </w:tc>
        <w:tc>
          <w:tcPr>
            <w:tcW w:w="1494" w:type="dxa"/>
            <w:shd w:val="clear" w:color="auto" w:fill="EEECE1" w:themeFill="background2"/>
            <w:vAlign w:val="center"/>
          </w:tcPr>
          <w:p w14:paraId="2DB29E8C">
            <w:pPr>
              <w:keepNext w:val="0"/>
              <w:keepLines w:val="0"/>
              <w:widowControl/>
              <w:suppressLineNumbers w:val="0"/>
              <w:spacing w:before="0" w:beforeAutospacing="0" w:after="0" w:afterAutospacing="0"/>
              <w:ind w:left="0" w:leftChars="0" w:right="0" w:rightChars="0"/>
              <w:jc w:val="center"/>
              <w:textAlignment w:val="center"/>
              <w:rPr>
                <w:rFonts w:hint="default" w:ascii="宋体" w:hAnsi="宋体" w:eastAsia="宋体" w:cs="宋体"/>
                <w:b/>
                <w:bCs/>
                <w:i w:val="0"/>
                <w:iCs w:val="0"/>
                <w:color w:val="000000"/>
                <w:kern w:val="0"/>
                <w:sz w:val="20"/>
                <w:szCs w:val="20"/>
                <w:u w:val="none"/>
                <w:lang w:val="en-US" w:eastAsia="zh-CN" w:bidi="ar"/>
              </w:rPr>
            </w:pPr>
            <w:r>
              <w:rPr>
                <w:rFonts w:hint="eastAsia" w:ascii="宋体" w:hAnsi="宋体" w:eastAsia="宋体" w:cs="宋体"/>
                <w:b/>
                <w:bCs/>
                <w:i w:val="0"/>
                <w:iCs w:val="0"/>
                <w:color w:val="000000"/>
                <w:kern w:val="0"/>
                <w:sz w:val="20"/>
                <w:szCs w:val="20"/>
                <w:u w:val="none"/>
                <w:lang w:val="en-US" w:eastAsia="zh-CN" w:bidi="ar"/>
              </w:rPr>
              <w:t>是否接受进口</w:t>
            </w:r>
          </w:p>
        </w:tc>
      </w:tr>
      <w:tr w14:paraId="74B82D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48" w:type="dxa"/>
            <w:vAlign w:val="center"/>
          </w:tcPr>
          <w:p w14:paraId="111891CB">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1</w:t>
            </w:r>
          </w:p>
        </w:tc>
        <w:tc>
          <w:tcPr>
            <w:tcW w:w="2972" w:type="dxa"/>
            <w:shd w:val="clear" w:color="auto" w:fill="auto"/>
            <w:vAlign w:val="center"/>
          </w:tcPr>
          <w:p w14:paraId="02F7A62B">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Theme="minorEastAsia" w:hAnsiTheme="minorEastAsia" w:eastAsiaTheme="minorEastAsia"/>
                <w:b/>
                <w:bCs/>
                <w:color w:val="auto"/>
                <w:szCs w:val="21"/>
              </w:rPr>
              <w:t>●</w:t>
            </w:r>
            <w:r>
              <w:rPr>
                <w:rFonts w:hint="eastAsia" w:ascii="宋体" w:hAnsi="宋体" w:eastAsia="宋体" w:cs="宋体"/>
                <w:i w:val="0"/>
                <w:iCs w:val="0"/>
                <w:color w:val="auto"/>
                <w:kern w:val="0"/>
                <w:sz w:val="21"/>
                <w:szCs w:val="21"/>
                <w:u w:val="none"/>
                <w:lang w:val="en-US" w:eastAsia="zh-CN" w:bidi="ar"/>
              </w:rPr>
              <w:t>急救背囊包</w:t>
            </w:r>
          </w:p>
        </w:tc>
        <w:tc>
          <w:tcPr>
            <w:tcW w:w="1000" w:type="dxa"/>
            <w:shd w:val="clear" w:color="auto" w:fill="auto"/>
            <w:vAlign w:val="center"/>
          </w:tcPr>
          <w:p w14:paraId="498A6DB5">
            <w:pPr>
              <w:keepNext w:val="0"/>
              <w:keepLines w:val="0"/>
              <w:widowControl/>
              <w:suppressLineNumbers w:val="0"/>
              <w:spacing w:before="0" w:beforeAutospacing="0" w:after="0" w:afterAutospacing="0"/>
              <w:ind w:left="0" w:leftChars="0" w:right="0" w:rightChars="0"/>
              <w:jc w:val="center"/>
              <w:textAlignment w:val="center"/>
              <w:rPr>
                <w:rFonts w:hint="default"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20</w:t>
            </w:r>
          </w:p>
        </w:tc>
        <w:tc>
          <w:tcPr>
            <w:tcW w:w="1108" w:type="dxa"/>
            <w:shd w:val="clear" w:color="auto" w:fill="auto"/>
            <w:vAlign w:val="center"/>
          </w:tcPr>
          <w:p w14:paraId="72BDBA08">
            <w:pPr>
              <w:keepNext w:val="0"/>
              <w:keepLines w:val="0"/>
              <w:widowControl/>
              <w:suppressLineNumbers w:val="0"/>
              <w:spacing w:before="0" w:beforeAutospacing="0" w:after="0" w:afterAutospacing="0"/>
              <w:ind w:left="0" w:leftChars="0" w:right="0" w:rightChars="0"/>
              <w:jc w:val="center"/>
              <w:textAlignment w:val="center"/>
              <w:rPr>
                <w:rFonts w:hint="default"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个</w:t>
            </w:r>
          </w:p>
        </w:tc>
        <w:tc>
          <w:tcPr>
            <w:tcW w:w="1770" w:type="dxa"/>
            <w:vAlign w:val="center"/>
          </w:tcPr>
          <w:p w14:paraId="47FE27CB">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p>
        </w:tc>
        <w:tc>
          <w:tcPr>
            <w:tcW w:w="1494" w:type="dxa"/>
            <w:vMerge w:val="restart"/>
            <w:vAlign w:val="center"/>
          </w:tcPr>
          <w:p w14:paraId="4A4BA98C">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不接受进口</w:t>
            </w:r>
          </w:p>
        </w:tc>
      </w:tr>
      <w:tr w14:paraId="1AF2AF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48" w:type="dxa"/>
            <w:vAlign w:val="center"/>
          </w:tcPr>
          <w:p w14:paraId="6FE4E66D">
            <w:pPr>
              <w:keepNext w:val="0"/>
              <w:keepLines w:val="0"/>
              <w:widowControl/>
              <w:suppressLineNumbers w:val="0"/>
              <w:spacing w:before="0" w:beforeAutospacing="0" w:after="0" w:afterAutospacing="0"/>
              <w:ind w:left="0" w:leftChars="0" w:right="0" w:rightChars="0"/>
              <w:jc w:val="center"/>
              <w:textAlignment w:val="center"/>
              <w:rPr>
                <w:rFonts w:hint="default"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2</w:t>
            </w:r>
          </w:p>
        </w:tc>
        <w:tc>
          <w:tcPr>
            <w:tcW w:w="2972" w:type="dxa"/>
            <w:shd w:val="clear" w:color="auto" w:fill="auto"/>
            <w:vAlign w:val="center"/>
          </w:tcPr>
          <w:p w14:paraId="75D81FD9">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队服</w:t>
            </w:r>
          </w:p>
        </w:tc>
        <w:tc>
          <w:tcPr>
            <w:tcW w:w="1000" w:type="dxa"/>
            <w:shd w:val="clear" w:color="auto" w:fill="auto"/>
            <w:vAlign w:val="center"/>
          </w:tcPr>
          <w:p w14:paraId="64AC6AA1">
            <w:pPr>
              <w:keepNext w:val="0"/>
              <w:keepLines w:val="0"/>
              <w:widowControl/>
              <w:suppressLineNumbers w:val="0"/>
              <w:spacing w:before="0" w:beforeAutospacing="0" w:after="0" w:afterAutospacing="0"/>
              <w:ind w:left="0" w:leftChars="0" w:right="0" w:rightChars="0"/>
              <w:jc w:val="center"/>
              <w:textAlignment w:val="center"/>
              <w:rPr>
                <w:rFonts w:hint="default"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20</w:t>
            </w:r>
          </w:p>
        </w:tc>
        <w:tc>
          <w:tcPr>
            <w:tcW w:w="1108" w:type="dxa"/>
            <w:shd w:val="clear" w:color="auto" w:fill="auto"/>
            <w:vAlign w:val="center"/>
          </w:tcPr>
          <w:p w14:paraId="7191D7FB">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套</w:t>
            </w:r>
          </w:p>
        </w:tc>
        <w:tc>
          <w:tcPr>
            <w:tcW w:w="1770" w:type="dxa"/>
            <w:vAlign w:val="center"/>
          </w:tcPr>
          <w:p w14:paraId="04942212">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p>
        </w:tc>
        <w:tc>
          <w:tcPr>
            <w:tcW w:w="1494" w:type="dxa"/>
            <w:vMerge w:val="continue"/>
            <w:vAlign w:val="center"/>
          </w:tcPr>
          <w:p w14:paraId="4DE7EE85">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p>
        </w:tc>
      </w:tr>
      <w:tr w14:paraId="5A0DFA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48" w:type="dxa"/>
            <w:vAlign w:val="center"/>
          </w:tcPr>
          <w:p w14:paraId="7C0428A0">
            <w:pPr>
              <w:keepNext w:val="0"/>
              <w:keepLines w:val="0"/>
              <w:widowControl/>
              <w:suppressLineNumbers w:val="0"/>
              <w:spacing w:before="0" w:beforeAutospacing="0" w:after="0" w:afterAutospacing="0"/>
              <w:ind w:left="0" w:leftChars="0" w:right="0" w:rightChars="0"/>
              <w:jc w:val="center"/>
              <w:textAlignment w:val="center"/>
              <w:rPr>
                <w:rFonts w:hint="default"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3</w:t>
            </w:r>
          </w:p>
        </w:tc>
        <w:tc>
          <w:tcPr>
            <w:tcW w:w="2972" w:type="dxa"/>
            <w:shd w:val="clear" w:color="auto" w:fill="auto"/>
            <w:vAlign w:val="center"/>
          </w:tcPr>
          <w:p w14:paraId="6865518F">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帽子</w:t>
            </w:r>
          </w:p>
        </w:tc>
        <w:tc>
          <w:tcPr>
            <w:tcW w:w="1000" w:type="dxa"/>
            <w:shd w:val="clear" w:color="auto" w:fill="auto"/>
            <w:vAlign w:val="center"/>
          </w:tcPr>
          <w:p w14:paraId="42E0F341">
            <w:pPr>
              <w:keepNext w:val="0"/>
              <w:keepLines w:val="0"/>
              <w:widowControl/>
              <w:suppressLineNumbers w:val="0"/>
              <w:spacing w:before="0" w:beforeAutospacing="0" w:after="0" w:afterAutospacing="0"/>
              <w:ind w:left="0" w:leftChars="0" w:right="0" w:rightChars="0"/>
              <w:jc w:val="center"/>
              <w:textAlignment w:val="center"/>
              <w:rPr>
                <w:rFonts w:hint="default"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20</w:t>
            </w:r>
          </w:p>
        </w:tc>
        <w:tc>
          <w:tcPr>
            <w:tcW w:w="1108" w:type="dxa"/>
            <w:shd w:val="clear" w:color="auto" w:fill="auto"/>
            <w:vAlign w:val="center"/>
          </w:tcPr>
          <w:p w14:paraId="70351B40">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顶</w:t>
            </w:r>
          </w:p>
        </w:tc>
        <w:tc>
          <w:tcPr>
            <w:tcW w:w="1770" w:type="dxa"/>
            <w:vAlign w:val="center"/>
          </w:tcPr>
          <w:p w14:paraId="62616C09">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p>
        </w:tc>
        <w:tc>
          <w:tcPr>
            <w:tcW w:w="1494" w:type="dxa"/>
            <w:vMerge w:val="continue"/>
            <w:vAlign w:val="center"/>
          </w:tcPr>
          <w:p w14:paraId="1D0A8DDC">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p>
        </w:tc>
      </w:tr>
      <w:tr w14:paraId="6F8A9D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48" w:type="dxa"/>
            <w:vAlign w:val="center"/>
          </w:tcPr>
          <w:p w14:paraId="279452E9">
            <w:pPr>
              <w:keepNext w:val="0"/>
              <w:keepLines w:val="0"/>
              <w:widowControl/>
              <w:suppressLineNumbers w:val="0"/>
              <w:spacing w:before="0" w:beforeAutospacing="0" w:after="0" w:afterAutospacing="0"/>
              <w:ind w:left="0" w:leftChars="0" w:right="0" w:rightChars="0"/>
              <w:jc w:val="center"/>
              <w:textAlignment w:val="center"/>
              <w:rPr>
                <w:rFonts w:hint="default"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4</w:t>
            </w:r>
          </w:p>
        </w:tc>
        <w:tc>
          <w:tcPr>
            <w:tcW w:w="2972" w:type="dxa"/>
            <w:shd w:val="clear" w:color="auto" w:fill="auto"/>
            <w:vAlign w:val="center"/>
          </w:tcPr>
          <w:p w14:paraId="7ACA7069">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防穿刺鞋</w:t>
            </w:r>
          </w:p>
        </w:tc>
        <w:tc>
          <w:tcPr>
            <w:tcW w:w="1000" w:type="dxa"/>
            <w:shd w:val="clear" w:color="auto" w:fill="auto"/>
            <w:vAlign w:val="center"/>
          </w:tcPr>
          <w:p w14:paraId="7A9DA268">
            <w:pPr>
              <w:keepNext w:val="0"/>
              <w:keepLines w:val="0"/>
              <w:widowControl/>
              <w:suppressLineNumbers w:val="0"/>
              <w:spacing w:before="0" w:beforeAutospacing="0" w:after="0" w:afterAutospacing="0"/>
              <w:ind w:left="0" w:leftChars="0" w:right="0" w:rightChars="0"/>
              <w:jc w:val="center"/>
              <w:textAlignment w:val="center"/>
              <w:rPr>
                <w:rFonts w:hint="default"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20</w:t>
            </w:r>
          </w:p>
        </w:tc>
        <w:tc>
          <w:tcPr>
            <w:tcW w:w="1108" w:type="dxa"/>
            <w:shd w:val="clear" w:color="auto" w:fill="auto"/>
            <w:vAlign w:val="center"/>
          </w:tcPr>
          <w:p w14:paraId="0D1F7CE0">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双</w:t>
            </w:r>
          </w:p>
        </w:tc>
        <w:tc>
          <w:tcPr>
            <w:tcW w:w="1770" w:type="dxa"/>
            <w:vAlign w:val="center"/>
          </w:tcPr>
          <w:p w14:paraId="18B80E33">
            <w:pPr>
              <w:keepNext w:val="0"/>
              <w:keepLines w:val="0"/>
              <w:widowControl/>
              <w:suppressLineNumbers w:val="0"/>
              <w:spacing w:before="0" w:beforeAutospacing="0" w:after="0" w:afterAutospacing="0"/>
              <w:ind w:left="0" w:leftChars="0" w:right="0" w:rightChars="0"/>
              <w:jc w:val="center"/>
              <w:textAlignment w:val="center"/>
              <w:rPr>
                <w:rFonts w:hint="default" w:ascii="宋体" w:hAnsi="宋体" w:eastAsia="宋体" w:cs="宋体"/>
                <w:i w:val="0"/>
                <w:iCs w:val="0"/>
                <w:color w:val="auto"/>
                <w:kern w:val="0"/>
                <w:sz w:val="21"/>
                <w:szCs w:val="21"/>
                <w:u w:val="none"/>
                <w:lang w:val="en-US" w:eastAsia="zh-CN" w:bidi="ar"/>
              </w:rPr>
            </w:pPr>
          </w:p>
        </w:tc>
        <w:tc>
          <w:tcPr>
            <w:tcW w:w="1494" w:type="dxa"/>
            <w:vMerge w:val="continue"/>
            <w:vAlign w:val="center"/>
          </w:tcPr>
          <w:p w14:paraId="4833A7CE">
            <w:pPr>
              <w:keepNext w:val="0"/>
              <w:keepLines w:val="0"/>
              <w:widowControl/>
              <w:suppressLineNumbers w:val="0"/>
              <w:spacing w:before="0" w:beforeAutospacing="0" w:after="0" w:afterAutospacing="0"/>
              <w:ind w:left="0" w:leftChars="0" w:right="0" w:rightChars="0"/>
              <w:jc w:val="center"/>
              <w:textAlignment w:val="center"/>
              <w:rPr>
                <w:rFonts w:hint="default" w:ascii="宋体" w:hAnsi="宋体" w:eastAsia="宋体" w:cs="宋体"/>
                <w:i w:val="0"/>
                <w:iCs w:val="0"/>
                <w:color w:val="auto"/>
                <w:kern w:val="0"/>
                <w:sz w:val="21"/>
                <w:szCs w:val="21"/>
                <w:u w:val="none"/>
                <w:lang w:val="en-US" w:eastAsia="zh-CN" w:bidi="ar"/>
              </w:rPr>
            </w:pPr>
          </w:p>
        </w:tc>
      </w:tr>
      <w:tr w14:paraId="166131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48" w:type="dxa"/>
            <w:vAlign w:val="center"/>
          </w:tcPr>
          <w:p w14:paraId="41BAD9A0">
            <w:pPr>
              <w:keepNext w:val="0"/>
              <w:keepLines w:val="0"/>
              <w:widowControl/>
              <w:suppressLineNumbers w:val="0"/>
              <w:spacing w:before="0" w:beforeAutospacing="0" w:after="0" w:afterAutospacing="0"/>
              <w:ind w:left="0" w:leftChars="0" w:right="0" w:rightChars="0"/>
              <w:jc w:val="center"/>
              <w:textAlignment w:val="center"/>
              <w:rPr>
                <w:rFonts w:hint="default"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5</w:t>
            </w:r>
          </w:p>
        </w:tc>
        <w:tc>
          <w:tcPr>
            <w:tcW w:w="2972" w:type="dxa"/>
            <w:shd w:val="clear" w:color="auto" w:fill="auto"/>
            <w:vAlign w:val="center"/>
          </w:tcPr>
          <w:p w14:paraId="5FE888DF">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防穿刺手套</w:t>
            </w:r>
          </w:p>
        </w:tc>
        <w:tc>
          <w:tcPr>
            <w:tcW w:w="1000" w:type="dxa"/>
            <w:shd w:val="clear" w:color="auto" w:fill="auto"/>
            <w:vAlign w:val="center"/>
          </w:tcPr>
          <w:p w14:paraId="5FD1AE37">
            <w:pPr>
              <w:keepNext w:val="0"/>
              <w:keepLines w:val="0"/>
              <w:widowControl/>
              <w:suppressLineNumbers w:val="0"/>
              <w:spacing w:before="0" w:beforeAutospacing="0" w:after="0" w:afterAutospacing="0"/>
              <w:ind w:left="0" w:leftChars="0" w:right="0" w:rightChars="0"/>
              <w:jc w:val="center"/>
              <w:textAlignment w:val="center"/>
              <w:rPr>
                <w:rFonts w:hint="default"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20</w:t>
            </w:r>
          </w:p>
        </w:tc>
        <w:tc>
          <w:tcPr>
            <w:tcW w:w="1108" w:type="dxa"/>
            <w:shd w:val="clear" w:color="auto" w:fill="auto"/>
            <w:vAlign w:val="center"/>
          </w:tcPr>
          <w:p w14:paraId="07C6CCCB">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双</w:t>
            </w:r>
          </w:p>
        </w:tc>
        <w:tc>
          <w:tcPr>
            <w:tcW w:w="1770" w:type="dxa"/>
            <w:vAlign w:val="center"/>
          </w:tcPr>
          <w:p w14:paraId="0D3E14D5">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p>
        </w:tc>
        <w:tc>
          <w:tcPr>
            <w:tcW w:w="1494" w:type="dxa"/>
            <w:vMerge w:val="continue"/>
            <w:vAlign w:val="center"/>
          </w:tcPr>
          <w:p w14:paraId="750291EF">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p>
        </w:tc>
      </w:tr>
      <w:tr w14:paraId="5AB655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48" w:type="dxa"/>
            <w:vAlign w:val="center"/>
          </w:tcPr>
          <w:p w14:paraId="3BD14E7B">
            <w:pPr>
              <w:keepNext w:val="0"/>
              <w:keepLines w:val="0"/>
              <w:widowControl/>
              <w:suppressLineNumbers w:val="0"/>
              <w:spacing w:before="0" w:beforeAutospacing="0" w:after="0" w:afterAutospacing="0"/>
              <w:ind w:left="0" w:leftChars="0" w:right="0" w:rightChars="0"/>
              <w:jc w:val="center"/>
              <w:textAlignment w:val="center"/>
              <w:rPr>
                <w:rFonts w:hint="default"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6</w:t>
            </w:r>
          </w:p>
        </w:tc>
        <w:tc>
          <w:tcPr>
            <w:tcW w:w="2972" w:type="dxa"/>
            <w:shd w:val="clear" w:color="auto" w:fill="auto"/>
            <w:vAlign w:val="center"/>
          </w:tcPr>
          <w:p w14:paraId="39BDC15E">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护目镜</w:t>
            </w:r>
          </w:p>
        </w:tc>
        <w:tc>
          <w:tcPr>
            <w:tcW w:w="1000" w:type="dxa"/>
            <w:shd w:val="clear" w:color="auto" w:fill="auto"/>
            <w:vAlign w:val="center"/>
          </w:tcPr>
          <w:p w14:paraId="4F2385A7">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20</w:t>
            </w:r>
          </w:p>
        </w:tc>
        <w:tc>
          <w:tcPr>
            <w:tcW w:w="1108" w:type="dxa"/>
            <w:shd w:val="clear" w:color="auto" w:fill="auto"/>
            <w:vAlign w:val="center"/>
          </w:tcPr>
          <w:p w14:paraId="55CE5271">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个</w:t>
            </w:r>
          </w:p>
        </w:tc>
        <w:tc>
          <w:tcPr>
            <w:tcW w:w="1770" w:type="dxa"/>
            <w:vAlign w:val="center"/>
          </w:tcPr>
          <w:p w14:paraId="3883CC34">
            <w:pPr>
              <w:keepNext w:val="0"/>
              <w:keepLines w:val="0"/>
              <w:widowControl/>
              <w:suppressLineNumbers w:val="0"/>
              <w:spacing w:before="0" w:beforeAutospacing="0" w:after="0" w:afterAutospacing="0"/>
              <w:ind w:left="0" w:leftChars="0" w:right="0" w:rightChars="0"/>
              <w:jc w:val="center"/>
              <w:textAlignment w:val="center"/>
              <w:rPr>
                <w:rFonts w:hint="default"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属医疗器械管理</w:t>
            </w:r>
          </w:p>
        </w:tc>
        <w:tc>
          <w:tcPr>
            <w:tcW w:w="1494" w:type="dxa"/>
            <w:vMerge w:val="continue"/>
            <w:vAlign w:val="center"/>
          </w:tcPr>
          <w:p w14:paraId="38423ED9">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p>
        </w:tc>
      </w:tr>
      <w:tr w14:paraId="5D4F8B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48" w:type="dxa"/>
            <w:vAlign w:val="center"/>
          </w:tcPr>
          <w:p w14:paraId="592B72B3">
            <w:pPr>
              <w:keepNext w:val="0"/>
              <w:keepLines w:val="0"/>
              <w:widowControl/>
              <w:suppressLineNumbers w:val="0"/>
              <w:spacing w:before="0" w:beforeAutospacing="0" w:after="0" w:afterAutospacing="0"/>
              <w:ind w:left="0" w:leftChars="0" w:right="0" w:rightChars="0"/>
              <w:jc w:val="center"/>
              <w:textAlignment w:val="center"/>
              <w:rPr>
                <w:rFonts w:hint="default"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7</w:t>
            </w:r>
          </w:p>
        </w:tc>
        <w:tc>
          <w:tcPr>
            <w:tcW w:w="2972" w:type="dxa"/>
            <w:shd w:val="clear" w:color="auto" w:fill="auto"/>
            <w:vAlign w:val="center"/>
          </w:tcPr>
          <w:p w14:paraId="3DD3CD77">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多功能剪</w:t>
            </w:r>
          </w:p>
        </w:tc>
        <w:tc>
          <w:tcPr>
            <w:tcW w:w="1000" w:type="dxa"/>
            <w:shd w:val="clear" w:color="auto" w:fill="auto"/>
            <w:vAlign w:val="center"/>
          </w:tcPr>
          <w:p w14:paraId="00253A72">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20</w:t>
            </w:r>
          </w:p>
        </w:tc>
        <w:tc>
          <w:tcPr>
            <w:tcW w:w="1108" w:type="dxa"/>
            <w:shd w:val="clear" w:color="auto" w:fill="auto"/>
            <w:vAlign w:val="center"/>
          </w:tcPr>
          <w:p w14:paraId="02C44FE2">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把</w:t>
            </w:r>
          </w:p>
        </w:tc>
        <w:tc>
          <w:tcPr>
            <w:tcW w:w="1770" w:type="dxa"/>
            <w:vAlign w:val="center"/>
          </w:tcPr>
          <w:p w14:paraId="557B0BE1">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p>
        </w:tc>
        <w:tc>
          <w:tcPr>
            <w:tcW w:w="1494" w:type="dxa"/>
            <w:vMerge w:val="continue"/>
            <w:vAlign w:val="center"/>
          </w:tcPr>
          <w:p w14:paraId="19AE9002">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p>
        </w:tc>
      </w:tr>
      <w:tr w14:paraId="36FEDC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48" w:type="dxa"/>
            <w:vAlign w:val="center"/>
          </w:tcPr>
          <w:p w14:paraId="5C08AAF3">
            <w:pPr>
              <w:keepNext w:val="0"/>
              <w:keepLines w:val="0"/>
              <w:widowControl/>
              <w:suppressLineNumbers w:val="0"/>
              <w:spacing w:before="0" w:beforeAutospacing="0" w:after="0" w:afterAutospacing="0"/>
              <w:ind w:left="0" w:leftChars="0" w:right="0" w:rightChars="0"/>
              <w:jc w:val="center"/>
              <w:textAlignment w:val="center"/>
              <w:rPr>
                <w:rFonts w:hint="default"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8</w:t>
            </w:r>
          </w:p>
        </w:tc>
        <w:tc>
          <w:tcPr>
            <w:tcW w:w="2972" w:type="dxa"/>
            <w:shd w:val="clear" w:color="auto" w:fill="auto"/>
            <w:vAlign w:val="center"/>
          </w:tcPr>
          <w:p w14:paraId="5BB127EC">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防水记号笔</w:t>
            </w:r>
          </w:p>
        </w:tc>
        <w:tc>
          <w:tcPr>
            <w:tcW w:w="1000" w:type="dxa"/>
            <w:shd w:val="clear" w:color="auto" w:fill="auto"/>
            <w:vAlign w:val="center"/>
          </w:tcPr>
          <w:p w14:paraId="45A357F0">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40</w:t>
            </w:r>
          </w:p>
        </w:tc>
        <w:tc>
          <w:tcPr>
            <w:tcW w:w="1108" w:type="dxa"/>
            <w:shd w:val="clear" w:color="auto" w:fill="auto"/>
            <w:vAlign w:val="center"/>
          </w:tcPr>
          <w:p w14:paraId="48EFC218">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支</w:t>
            </w:r>
          </w:p>
        </w:tc>
        <w:tc>
          <w:tcPr>
            <w:tcW w:w="1770" w:type="dxa"/>
            <w:vAlign w:val="center"/>
          </w:tcPr>
          <w:p w14:paraId="6D71B9CA">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p>
        </w:tc>
        <w:tc>
          <w:tcPr>
            <w:tcW w:w="1494" w:type="dxa"/>
            <w:vMerge w:val="continue"/>
            <w:vAlign w:val="center"/>
          </w:tcPr>
          <w:p w14:paraId="65EAC245">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p>
        </w:tc>
      </w:tr>
      <w:tr w14:paraId="06A889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48" w:type="dxa"/>
            <w:vAlign w:val="center"/>
          </w:tcPr>
          <w:p w14:paraId="6B871969">
            <w:pPr>
              <w:keepNext w:val="0"/>
              <w:keepLines w:val="0"/>
              <w:widowControl/>
              <w:suppressLineNumbers w:val="0"/>
              <w:spacing w:before="0" w:beforeAutospacing="0" w:after="0" w:afterAutospacing="0"/>
              <w:ind w:left="0" w:leftChars="0" w:right="0" w:rightChars="0"/>
              <w:jc w:val="center"/>
              <w:textAlignment w:val="center"/>
              <w:rPr>
                <w:rFonts w:hint="default"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9</w:t>
            </w:r>
          </w:p>
        </w:tc>
        <w:tc>
          <w:tcPr>
            <w:tcW w:w="2972" w:type="dxa"/>
            <w:shd w:val="clear" w:color="auto" w:fill="auto"/>
            <w:vAlign w:val="center"/>
          </w:tcPr>
          <w:p w14:paraId="21B99C99">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皮面笔记本</w:t>
            </w:r>
          </w:p>
        </w:tc>
        <w:tc>
          <w:tcPr>
            <w:tcW w:w="1000" w:type="dxa"/>
            <w:shd w:val="clear" w:color="auto" w:fill="auto"/>
            <w:vAlign w:val="center"/>
          </w:tcPr>
          <w:p w14:paraId="35058CCF">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20</w:t>
            </w:r>
          </w:p>
        </w:tc>
        <w:tc>
          <w:tcPr>
            <w:tcW w:w="1108" w:type="dxa"/>
            <w:shd w:val="clear" w:color="auto" w:fill="auto"/>
            <w:vAlign w:val="center"/>
          </w:tcPr>
          <w:p w14:paraId="1C6994A0">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本</w:t>
            </w:r>
          </w:p>
        </w:tc>
        <w:tc>
          <w:tcPr>
            <w:tcW w:w="1770" w:type="dxa"/>
            <w:vAlign w:val="center"/>
          </w:tcPr>
          <w:p w14:paraId="50185BF2">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p>
        </w:tc>
        <w:tc>
          <w:tcPr>
            <w:tcW w:w="1494" w:type="dxa"/>
            <w:vMerge w:val="continue"/>
            <w:vAlign w:val="center"/>
          </w:tcPr>
          <w:p w14:paraId="229D539D">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p>
        </w:tc>
      </w:tr>
      <w:tr w14:paraId="78A30B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48" w:type="dxa"/>
            <w:vAlign w:val="center"/>
          </w:tcPr>
          <w:p w14:paraId="278A47E4">
            <w:pPr>
              <w:keepNext w:val="0"/>
              <w:keepLines w:val="0"/>
              <w:widowControl/>
              <w:suppressLineNumbers w:val="0"/>
              <w:spacing w:before="0" w:beforeAutospacing="0" w:after="0" w:afterAutospacing="0"/>
              <w:ind w:left="0" w:leftChars="0" w:right="0" w:rightChars="0"/>
              <w:jc w:val="center"/>
              <w:textAlignment w:val="center"/>
              <w:rPr>
                <w:rFonts w:hint="default"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10</w:t>
            </w:r>
          </w:p>
        </w:tc>
        <w:tc>
          <w:tcPr>
            <w:tcW w:w="2972" w:type="dxa"/>
            <w:shd w:val="clear" w:color="auto" w:fill="auto"/>
            <w:vAlign w:val="center"/>
          </w:tcPr>
          <w:p w14:paraId="69C12200">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口哨</w:t>
            </w:r>
          </w:p>
        </w:tc>
        <w:tc>
          <w:tcPr>
            <w:tcW w:w="1000" w:type="dxa"/>
            <w:shd w:val="clear" w:color="auto" w:fill="auto"/>
            <w:vAlign w:val="center"/>
          </w:tcPr>
          <w:p w14:paraId="0AA75CA0">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20</w:t>
            </w:r>
          </w:p>
        </w:tc>
        <w:tc>
          <w:tcPr>
            <w:tcW w:w="1108" w:type="dxa"/>
            <w:shd w:val="clear" w:color="auto" w:fill="auto"/>
            <w:vAlign w:val="center"/>
          </w:tcPr>
          <w:p w14:paraId="0E0ED257">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个</w:t>
            </w:r>
          </w:p>
        </w:tc>
        <w:tc>
          <w:tcPr>
            <w:tcW w:w="1770" w:type="dxa"/>
            <w:vAlign w:val="center"/>
          </w:tcPr>
          <w:p w14:paraId="53A7311B">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p>
        </w:tc>
        <w:tc>
          <w:tcPr>
            <w:tcW w:w="1494" w:type="dxa"/>
            <w:vMerge w:val="continue"/>
            <w:vAlign w:val="center"/>
          </w:tcPr>
          <w:p w14:paraId="6F7B80FA">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p>
        </w:tc>
      </w:tr>
      <w:tr w14:paraId="07E89F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48" w:type="dxa"/>
            <w:vAlign w:val="center"/>
          </w:tcPr>
          <w:p w14:paraId="6ED29AC9">
            <w:pPr>
              <w:keepNext w:val="0"/>
              <w:keepLines w:val="0"/>
              <w:widowControl/>
              <w:suppressLineNumbers w:val="0"/>
              <w:spacing w:before="0" w:beforeAutospacing="0" w:after="0" w:afterAutospacing="0"/>
              <w:ind w:left="0" w:leftChars="0" w:right="0" w:rightChars="0"/>
              <w:jc w:val="center"/>
              <w:textAlignment w:val="center"/>
              <w:rPr>
                <w:rFonts w:hint="default"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11</w:t>
            </w:r>
          </w:p>
        </w:tc>
        <w:tc>
          <w:tcPr>
            <w:tcW w:w="2972" w:type="dxa"/>
            <w:shd w:val="clear" w:color="auto" w:fill="auto"/>
            <w:vAlign w:val="center"/>
          </w:tcPr>
          <w:p w14:paraId="7005190D">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防蚊水</w:t>
            </w:r>
          </w:p>
        </w:tc>
        <w:tc>
          <w:tcPr>
            <w:tcW w:w="1000" w:type="dxa"/>
            <w:shd w:val="clear" w:color="auto" w:fill="auto"/>
            <w:vAlign w:val="center"/>
          </w:tcPr>
          <w:p w14:paraId="040458A0">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20</w:t>
            </w:r>
          </w:p>
        </w:tc>
        <w:tc>
          <w:tcPr>
            <w:tcW w:w="1108" w:type="dxa"/>
            <w:shd w:val="clear" w:color="auto" w:fill="auto"/>
            <w:vAlign w:val="center"/>
          </w:tcPr>
          <w:p w14:paraId="7B9E7736">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瓶</w:t>
            </w:r>
          </w:p>
        </w:tc>
        <w:tc>
          <w:tcPr>
            <w:tcW w:w="1770" w:type="dxa"/>
            <w:vAlign w:val="center"/>
          </w:tcPr>
          <w:p w14:paraId="76C76E08">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p>
        </w:tc>
        <w:tc>
          <w:tcPr>
            <w:tcW w:w="1494" w:type="dxa"/>
            <w:vMerge w:val="continue"/>
            <w:vAlign w:val="center"/>
          </w:tcPr>
          <w:p w14:paraId="0FF6F1EA">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p>
        </w:tc>
      </w:tr>
      <w:tr w14:paraId="29B46F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48" w:type="dxa"/>
            <w:vAlign w:val="center"/>
          </w:tcPr>
          <w:p w14:paraId="492FDAAD">
            <w:pPr>
              <w:keepNext w:val="0"/>
              <w:keepLines w:val="0"/>
              <w:widowControl/>
              <w:suppressLineNumbers w:val="0"/>
              <w:spacing w:before="0" w:beforeAutospacing="0" w:after="0" w:afterAutospacing="0"/>
              <w:ind w:left="0" w:leftChars="0" w:right="0" w:rightChars="0"/>
              <w:jc w:val="center"/>
              <w:textAlignment w:val="center"/>
              <w:rPr>
                <w:rFonts w:hint="default"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12</w:t>
            </w:r>
          </w:p>
        </w:tc>
        <w:tc>
          <w:tcPr>
            <w:tcW w:w="2972" w:type="dxa"/>
            <w:shd w:val="clear" w:color="auto" w:fill="auto"/>
            <w:vAlign w:val="center"/>
          </w:tcPr>
          <w:p w14:paraId="5562EA34">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头灯</w:t>
            </w:r>
          </w:p>
        </w:tc>
        <w:tc>
          <w:tcPr>
            <w:tcW w:w="1000" w:type="dxa"/>
            <w:shd w:val="clear" w:color="auto" w:fill="auto"/>
            <w:vAlign w:val="center"/>
          </w:tcPr>
          <w:p w14:paraId="46385491">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20</w:t>
            </w:r>
          </w:p>
        </w:tc>
        <w:tc>
          <w:tcPr>
            <w:tcW w:w="1108" w:type="dxa"/>
            <w:shd w:val="clear" w:color="auto" w:fill="auto"/>
            <w:vAlign w:val="center"/>
          </w:tcPr>
          <w:p w14:paraId="06021EDB">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个</w:t>
            </w:r>
          </w:p>
        </w:tc>
        <w:tc>
          <w:tcPr>
            <w:tcW w:w="1770" w:type="dxa"/>
            <w:vAlign w:val="center"/>
          </w:tcPr>
          <w:p w14:paraId="7E2A5A73">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p>
        </w:tc>
        <w:tc>
          <w:tcPr>
            <w:tcW w:w="1494" w:type="dxa"/>
            <w:vMerge w:val="continue"/>
            <w:vAlign w:val="center"/>
          </w:tcPr>
          <w:p w14:paraId="6629A110">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p>
        </w:tc>
      </w:tr>
      <w:tr w14:paraId="2C6CD9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48" w:type="dxa"/>
            <w:vAlign w:val="center"/>
          </w:tcPr>
          <w:p w14:paraId="7F6319D6">
            <w:pPr>
              <w:keepNext w:val="0"/>
              <w:keepLines w:val="0"/>
              <w:widowControl/>
              <w:suppressLineNumbers w:val="0"/>
              <w:spacing w:before="0" w:beforeAutospacing="0" w:after="0" w:afterAutospacing="0"/>
              <w:ind w:left="0" w:leftChars="0" w:right="0" w:rightChars="0"/>
              <w:jc w:val="center"/>
              <w:textAlignment w:val="center"/>
              <w:rPr>
                <w:rFonts w:hint="default"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13</w:t>
            </w:r>
          </w:p>
        </w:tc>
        <w:tc>
          <w:tcPr>
            <w:tcW w:w="2972" w:type="dxa"/>
            <w:shd w:val="clear" w:color="auto" w:fill="auto"/>
            <w:vAlign w:val="center"/>
          </w:tcPr>
          <w:p w14:paraId="647E3020">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手电筒</w:t>
            </w:r>
          </w:p>
        </w:tc>
        <w:tc>
          <w:tcPr>
            <w:tcW w:w="1000" w:type="dxa"/>
            <w:shd w:val="clear" w:color="auto" w:fill="auto"/>
            <w:vAlign w:val="center"/>
          </w:tcPr>
          <w:p w14:paraId="695D211B">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20</w:t>
            </w:r>
          </w:p>
        </w:tc>
        <w:tc>
          <w:tcPr>
            <w:tcW w:w="1108" w:type="dxa"/>
            <w:shd w:val="clear" w:color="auto" w:fill="auto"/>
            <w:vAlign w:val="center"/>
          </w:tcPr>
          <w:p w14:paraId="0613C6CB">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个</w:t>
            </w:r>
          </w:p>
        </w:tc>
        <w:tc>
          <w:tcPr>
            <w:tcW w:w="1770" w:type="dxa"/>
            <w:vAlign w:val="center"/>
          </w:tcPr>
          <w:p w14:paraId="61736A94">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p>
        </w:tc>
        <w:tc>
          <w:tcPr>
            <w:tcW w:w="1494" w:type="dxa"/>
            <w:vMerge w:val="continue"/>
            <w:vAlign w:val="center"/>
          </w:tcPr>
          <w:p w14:paraId="748386EC">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p>
        </w:tc>
      </w:tr>
      <w:tr w14:paraId="227761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48" w:type="dxa"/>
            <w:vAlign w:val="center"/>
          </w:tcPr>
          <w:p w14:paraId="770A8037">
            <w:pPr>
              <w:keepNext w:val="0"/>
              <w:keepLines w:val="0"/>
              <w:widowControl/>
              <w:suppressLineNumbers w:val="0"/>
              <w:spacing w:before="0" w:beforeAutospacing="0" w:after="0" w:afterAutospacing="0"/>
              <w:ind w:left="0" w:leftChars="0" w:right="0" w:rightChars="0"/>
              <w:jc w:val="center"/>
              <w:textAlignment w:val="center"/>
              <w:rPr>
                <w:rFonts w:hint="default"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14</w:t>
            </w:r>
          </w:p>
        </w:tc>
        <w:tc>
          <w:tcPr>
            <w:tcW w:w="2972" w:type="dxa"/>
            <w:shd w:val="clear" w:color="auto" w:fill="auto"/>
            <w:vAlign w:val="center"/>
          </w:tcPr>
          <w:p w14:paraId="7D7F3C82">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充电宝</w:t>
            </w:r>
          </w:p>
        </w:tc>
        <w:tc>
          <w:tcPr>
            <w:tcW w:w="1000" w:type="dxa"/>
            <w:shd w:val="clear" w:color="auto" w:fill="auto"/>
            <w:vAlign w:val="center"/>
          </w:tcPr>
          <w:p w14:paraId="439266BE">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20</w:t>
            </w:r>
          </w:p>
        </w:tc>
        <w:tc>
          <w:tcPr>
            <w:tcW w:w="1108" w:type="dxa"/>
            <w:shd w:val="clear" w:color="auto" w:fill="auto"/>
            <w:vAlign w:val="center"/>
          </w:tcPr>
          <w:p w14:paraId="55CD41A9">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个</w:t>
            </w:r>
          </w:p>
        </w:tc>
        <w:tc>
          <w:tcPr>
            <w:tcW w:w="1770" w:type="dxa"/>
            <w:vAlign w:val="center"/>
          </w:tcPr>
          <w:p w14:paraId="012B847F">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p>
        </w:tc>
        <w:tc>
          <w:tcPr>
            <w:tcW w:w="1494" w:type="dxa"/>
            <w:vMerge w:val="continue"/>
            <w:vAlign w:val="center"/>
          </w:tcPr>
          <w:p w14:paraId="294C089F">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p>
        </w:tc>
      </w:tr>
      <w:tr w14:paraId="738BB3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48" w:type="dxa"/>
            <w:vAlign w:val="center"/>
          </w:tcPr>
          <w:p w14:paraId="559EC419">
            <w:pPr>
              <w:keepNext w:val="0"/>
              <w:keepLines w:val="0"/>
              <w:widowControl/>
              <w:suppressLineNumbers w:val="0"/>
              <w:spacing w:before="0" w:beforeAutospacing="0" w:after="0" w:afterAutospacing="0"/>
              <w:ind w:left="0" w:leftChars="0" w:right="0" w:rightChars="0"/>
              <w:jc w:val="center"/>
              <w:textAlignment w:val="center"/>
              <w:rPr>
                <w:rFonts w:hint="default"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15</w:t>
            </w:r>
          </w:p>
        </w:tc>
        <w:tc>
          <w:tcPr>
            <w:tcW w:w="2972" w:type="dxa"/>
            <w:shd w:val="clear" w:color="auto" w:fill="auto"/>
            <w:vAlign w:val="center"/>
          </w:tcPr>
          <w:p w14:paraId="64B63F8F">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防风打火机</w:t>
            </w:r>
          </w:p>
        </w:tc>
        <w:tc>
          <w:tcPr>
            <w:tcW w:w="1000" w:type="dxa"/>
            <w:shd w:val="clear" w:color="auto" w:fill="auto"/>
            <w:vAlign w:val="center"/>
          </w:tcPr>
          <w:p w14:paraId="6AB93C11">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20</w:t>
            </w:r>
          </w:p>
        </w:tc>
        <w:tc>
          <w:tcPr>
            <w:tcW w:w="1108" w:type="dxa"/>
            <w:shd w:val="clear" w:color="auto" w:fill="auto"/>
            <w:vAlign w:val="center"/>
          </w:tcPr>
          <w:p w14:paraId="6E25F4AA">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个</w:t>
            </w:r>
          </w:p>
        </w:tc>
        <w:tc>
          <w:tcPr>
            <w:tcW w:w="1770" w:type="dxa"/>
            <w:vAlign w:val="center"/>
          </w:tcPr>
          <w:p w14:paraId="6843D8AA">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p>
        </w:tc>
        <w:tc>
          <w:tcPr>
            <w:tcW w:w="1494" w:type="dxa"/>
            <w:vMerge w:val="continue"/>
            <w:vAlign w:val="center"/>
          </w:tcPr>
          <w:p w14:paraId="2B8822AF">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p>
        </w:tc>
      </w:tr>
      <w:tr w14:paraId="668A3D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48" w:type="dxa"/>
            <w:vAlign w:val="center"/>
          </w:tcPr>
          <w:p w14:paraId="67D8C983">
            <w:pPr>
              <w:keepNext w:val="0"/>
              <w:keepLines w:val="0"/>
              <w:widowControl/>
              <w:suppressLineNumbers w:val="0"/>
              <w:spacing w:before="0" w:beforeAutospacing="0" w:after="0" w:afterAutospacing="0"/>
              <w:ind w:left="0" w:leftChars="0" w:right="0" w:rightChars="0"/>
              <w:jc w:val="center"/>
              <w:textAlignment w:val="center"/>
              <w:rPr>
                <w:rFonts w:hint="default"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16</w:t>
            </w:r>
          </w:p>
        </w:tc>
        <w:tc>
          <w:tcPr>
            <w:tcW w:w="2972" w:type="dxa"/>
            <w:shd w:val="clear" w:color="auto" w:fill="auto"/>
            <w:vAlign w:val="center"/>
          </w:tcPr>
          <w:p w14:paraId="7C723507">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雨衣</w:t>
            </w:r>
          </w:p>
        </w:tc>
        <w:tc>
          <w:tcPr>
            <w:tcW w:w="1000" w:type="dxa"/>
            <w:shd w:val="clear" w:color="auto" w:fill="auto"/>
            <w:vAlign w:val="center"/>
          </w:tcPr>
          <w:p w14:paraId="67CECD57">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20</w:t>
            </w:r>
          </w:p>
        </w:tc>
        <w:tc>
          <w:tcPr>
            <w:tcW w:w="1108" w:type="dxa"/>
            <w:shd w:val="clear" w:color="auto" w:fill="auto"/>
            <w:vAlign w:val="center"/>
          </w:tcPr>
          <w:p w14:paraId="51A80C6E">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件</w:t>
            </w:r>
          </w:p>
        </w:tc>
        <w:tc>
          <w:tcPr>
            <w:tcW w:w="1770" w:type="dxa"/>
            <w:vAlign w:val="center"/>
          </w:tcPr>
          <w:p w14:paraId="4B15B2EA">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p>
        </w:tc>
        <w:tc>
          <w:tcPr>
            <w:tcW w:w="1494" w:type="dxa"/>
            <w:vMerge w:val="continue"/>
            <w:vAlign w:val="center"/>
          </w:tcPr>
          <w:p w14:paraId="26BC5AE7">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p>
        </w:tc>
      </w:tr>
      <w:tr w14:paraId="1FFA0D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48" w:type="dxa"/>
            <w:vAlign w:val="center"/>
          </w:tcPr>
          <w:p w14:paraId="1D95A6CC">
            <w:pPr>
              <w:keepNext w:val="0"/>
              <w:keepLines w:val="0"/>
              <w:widowControl/>
              <w:suppressLineNumbers w:val="0"/>
              <w:spacing w:before="0" w:beforeAutospacing="0" w:after="0" w:afterAutospacing="0"/>
              <w:ind w:left="0" w:leftChars="0" w:right="0" w:rightChars="0"/>
              <w:jc w:val="center"/>
              <w:textAlignment w:val="center"/>
              <w:rPr>
                <w:rFonts w:hint="default"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17</w:t>
            </w:r>
          </w:p>
        </w:tc>
        <w:tc>
          <w:tcPr>
            <w:tcW w:w="2972" w:type="dxa"/>
            <w:shd w:val="clear" w:color="auto" w:fill="auto"/>
            <w:vAlign w:val="center"/>
          </w:tcPr>
          <w:p w14:paraId="65996CEC">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可塑夹板</w:t>
            </w:r>
          </w:p>
        </w:tc>
        <w:tc>
          <w:tcPr>
            <w:tcW w:w="1000" w:type="dxa"/>
            <w:shd w:val="clear" w:color="auto" w:fill="auto"/>
            <w:vAlign w:val="center"/>
          </w:tcPr>
          <w:p w14:paraId="6E1E7DAE">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40</w:t>
            </w:r>
          </w:p>
        </w:tc>
        <w:tc>
          <w:tcPr>
            <w:tcW w:w="1108" w:type="dxa"/>
            <w:shd w:val="clear" w:color="auto" w:fill="auto"/>
            <w:vAlign w:val="center"/>
          </w:tcPr>
          <w:p w14:paraId="028F2D83">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卷</w:t>
            </w:r>
          </w:p>
        </w:tc>
        <w:tc>
          <w:tcPr>
            <w:tcW w:w="1770" w:type="dxa"/>
            <w:vAlign w:val="center"/>
          </w:tcPr>
          <w:p w14:paraId="5A6C8296">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p>
        </w:tc>
        <w:tc>
          <w:tcPr>
            <w:tcW w:w="1494" w:type="dxa"/>
            <w:vMerge w:val="continue"/>
            <w:vAlign w:val="center"/>
          </w:tcPr>
          <w:p w14:paraId="4D1FD0BC">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p>
        </w:tc>
      </w:tr>
      <w:tr w14:paraId="42C127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48" w:type="dxa"/>
            <w:vAlign w:val="center"/>
          </w:tcPr>
          <w:p w14:paraId="33448BDA">
            <w:pPr>
              <w:keepNext w:val="0"/>
              <w:keepLines w:val="0"/>
              <w:widowControl/>
              <w:suppressLineNumbers w:val="0"/>
              <w:spacing w:before="0" w:beforeAutospacing="0" w:after="0" w:afterAutospacing="0"/>
              <w:ind w:left="0" w:leftChars="0" w:right="0" w:rightChars="0"/>
              <w:jc w:val="center"/>
              <w:textAlignment w:val="center"/>
              <w:rPr>
                <w:rFonts w:hint="default"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18</w:t>
            </w:r>
          </w:p>
        </w:tc>
        <w:tc>
          <w:tcPr>
            <w:tcW w:w="2972" w:type="dxa"/>
            <w:shd w:val="clear" w:color="auto" w:fill="auto"/>
            <w:vAlign w:val="center"/>
          </w:tcPr>
          <w:p w14:paraId="038DF049">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自粘绷带</w:t>
            </w:r>
          </w:p>
        </w:tc>
        <w:tc>
          <w:tcPr>
            <w:tcW w:w="1000" w:type="dxa"/>
            <w:shd w:val="clear" w:color="auto" w:fill="auto"/>
            <w:vAlign w:val="center"/>
          </w:tcPr>
          <w:p w14:paraId="0E0CBC9E">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40</w:t>
            </w:r>
          </w:p>
        </w:tc>
        <w:tc>
          <w:tcPr>
            <w:tcW w:w="1108" w:type="dxa"/>
            <w:shd w:val="clear" w:color="auto" w:fill="auto"/>
            <w:vAlign w:val="center"/>
          </w:tcPr>
          <w:p w14:paraId="10256A18">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卷</w:t>
            </w:r>
          </w:p>
        </w:tc>
        <w:tc>
          <w:tcPr>
            <w:tcW w:w="1770" w:type="dxa"/>
            <w:vAlign w:val="center"/>
          </w:tcPr>
          <w:p w14:paraId="5C744384">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属医疗器械管理</w:t>
            </w:r>
          </w:p>
        </w:tc>
        <w:tc>
          <w:tcPr>
            <w:tcW w:w="1494" w:type="dxa"/>
            <w:vMerge w:val="continue"/>
            <w:vAlign w:val="center"/>
          </w:tcPr>
          <w:p w14:paraId="1169226F">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p>
        </w:tc>
      </w:tr>
      <w:tr w14:paraId="1D80A5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48" w:type="dxa"/>
            <w:vAlign w:val="center"/>
          </w:tcPr>
          <w:p w14:paraId="4E499A12">
            <w:pPr>
              <w:keepNext w:val="0"/>
              <w:keepLines w:val="0"/>
              <w:widowControl/>
              <w:suppressLineNumbers w:val="0"/>
              <w:spacing w:before="0" w:beforeAutospacing="0" w:after="0" w:afterAutospacing="0"/>
              <w:ind w:left="0" w:leftChars="0" w:right="0" w:rightChars="0"/>
              <w:jc w:val="center"/>
              <w:textAlignment w:val="center"/>
              <w:rPr>
                <w:rFonts w:hint="default"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19</w:t>
            </w:r>
          </w:p>
        </w:tc>
        <w:tc>
          <w:tcPr>
            <w:tcW w:w="2972" w:type="dxa"/>
            <w:shd w:val="clear" w:color="auto" w:fill="auto"/>
            <w:vAlign w:val="center"/>
          </w:tcPr>
          <w:p w14:paraId="4DE1D112">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三角巾棉布</w:t>
            </w:r>
          </w:p>
        </w:tc>
        <w:tc>
          <w:tcPr>
            <w:tcW w:w="1000" w:type="dxa"/>
            <w:shd w:val="clear" w:color="auto" w:fill="auto"/>
            <w:vAlign w:val="center"/>
          </w:tcPr>
          <w:p w14:paraId="0CA931D9">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100</w:t>
            </w:r>
          </w:p>
        </w:tc>
        <w:tc>
          <w:tcPr>
            <w:tcW w:w="1108" w:type="dxa"/>
            <w:shd w:val="clear" w:color="auto" w:fill="auto"/>
            <w:vAlign w:val="center"/>
          </w:tcPr>
          <w:p w14:paraId="5FCCE2B7">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个</w:t>
            </w:r>
          </w:p>
        </w:tc>
        <w:tc>
          <w:tcPr>
            <w:tcW w:w="1770" w:type="dxa"/>
            <w:vAlign w:val="center"/>
          </w:tcPr>
          <w:p w14:paraId="48FE4D18">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p>
        </w:tc>
        <w:tc>
          <w:tcPr>
            <w:tcW w:w="1494" w:type="dxa"/>
            <w:vMerge w:val="continue"/>
            <w:vAlign w:val="center"/>
          </w:tcPr>
          <w:p w14:paraId="0A501255">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p>
        </w:tc>
      </w:tr>
      <w:tr w14:paraId="5AFDEB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48" w:type="dxa"/>
            <w:vAlign w:val="center"/>
          </w:tcPr>
          <w:p w14:paraId="44238F4F">
            <w:pPr>
              <w:keepNext w:val="0"/>
              <w:keepLines w:val="0"/>
              <w:widowControl/>
              <w:suppressLineNumbers w:val="0"/>
              <w:spacing w:before="0" w:beforeAutospacing="0" w:after="0" w:afterAutospacing="0"/>
              <w:ind w:left="0" w:leftChars="0" w:right="0" w:rightChars="0"/>
              <w:jc w:val="center"/>
              <w:textAlignment w:val="center"/>
              <w:rPr>
                <w:rFonts w:hint="default"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20</w:t>
            </w:r>
          </w:p>
        </w:tc>
        <w:tc>
          <w:tcPr>
            <w:tcW w:w="2972" w:type="dxa"/>
            <w:shd w:val="clear" w:color="auto" w:fill="auto"/>
            <w:vAlign w:val="center"/>
          </w:tcPr>
          <w:p w14:paraId="6B49EF41">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金属硬质眼罩</w:t>
            </w:r>
          </w:p>
        </w:tc>
        <w:tc>
          <w:tcPr>
            <w:tcW w:w="1000" w:type="dxa"/>
            <w:shd w:val="clear" w:color="auto" w:fill="auto"/>
            <w:vAlign w:val="center"/>
          </w:tcPr>
          <w:p w14:paraId="48862ADE">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20</w:t>
            </w:r>
          </w:p>
        </w:tc>
        <w:tc>
          <w:tcPr>
            <w:tcW w:w="1108" w:type="dxa"/>
            <w:shd w:val="clear" w:color="auto" w:fill="auto"/>
            <w:vAlign w:val="center"/>
          </w:tcPr>
          <w:p w14:paraId="32EEDB3D">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个</w:t>
            </w:r>
          </w:p>
        </w:tc>
        <w:tc>
          <w:tcPr>
            <w:tcW w:w="1770" w:type="dxa"/>
            <w:vAlign w:val="center"/>
          </w:tcPr>
          <w:p w14:paraId="013D8BA7">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p>
        </w:tc>
        <w:tc>
          <w:tcPr>
            <w:tcW w:w="1494" w:type="dxa"/>
            <w:vMerge w:val="continue"/>
            <w:vAlign w:val="center"/>
          </w:tcPr>
          <w:p w14:paraId="4E2812F2">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p>
        </w:tc>
      </w:tr>
      <w:tr w14:paraId="59907C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48" w:type="dxa"/>
            <w:vAlign w:val="center"/>
          </w:tcPr>
          <w:p w14:paraId="576884AF">
            <w:pPr>
              <w:keepNext w:val="0"/>
              <w:keepLines w:val="0"/>
              <w:widowControl/>
              <w:suppressLineNumbers w:val="0"/>
              <w:spacing w:before="0" w:beforeAutospacing="0" w:after="0" w:afterAutospacing="0"/>
              <w:ind w:left="0" w:leftChars="0" w:right="0" w:rightChars="0"/>
              <w:jc w:val="center"/>
              <w:textAlignment w:val="center"/>
              <w:rPr>
                <w:rFonts w:hint="default"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21</w:t>
            </w:r>
          </w:p>
        </w:tc>
        <w:tc>
          <w:tcPr>
            <w:tcW w:w="2972" w:type="dxa"/>
            <w:shd w:val="clear" w:color="auto" w:fill="auto"/>
            <w:vAlign w:val="center"/>
          </w:tcPr>
          <w:p w14:paraId="5EF016AD">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医用胶水</w:t>
            </w:r>
          </w:p>
        </w:tc>
        <w:tc>
          <w:tcPr>
            <w:tcW w:w="1000" w:type="dxa"/>
            <w:shd w:val="clear" w:color="auto" w:fill="auto"/>
            <w:vAlign w:val="center"/>
          </w:tcPr>
          <w:p w14:paraId="2621EEC4">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20</w:t>
            </w:r>
          </w:p>
        </w:tc>
        <w:tc>
          <w:tcPr>
            <w:tcW w:w="1108" w:type="dxa"/>
            <w:shd w:val="clear" w:color="auto" w:fill="auto"/>
            <w:vAlign w:val="center"/>
          </w:tcPr>
          <w:p w14:paraId="1B7D21E5">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盒</w:t>
            </w:r>
          </w:p>
        </w:tc>
        <w:tc>
          <w:tcPr>
            <w:tcW w:w="1770" w:type="dxa"/>
            <w:vAlign w:val="center"/>
          </w:tcPr>
          <w:p w14:paraId="0D17627C">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属医疗器械管理</w:t>
            </w:r>
          </w:p>
        </w:tc>
        <w:tc>
          <w:tcPr>
            <w:tcW w:w="1494" w:type="dxa"/>
            <w:vMerge w:val="continue"/>
            <w:vAlign w:val="center"/>
          </w:tcPr>
          <w:p w14:paraId="185688EF">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p>
        </w:tc>
      </w:tr>
      <w:tr w14:paraId="1FFDE8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48" w:type="dxa"/>
            <w:vAlign w:val="center"/>
          </w:tcPr>
          <w:p w14:paraId="385ACB3D">
            <w:pPr>
              <w:keepNext w:val="0"/>
              <w:keepLines w:val="0"/>
              <w:widowControl/>
              <w:suppressLineNumbers w:val="0"/>
              <w:spacing w:before="0" w:beforeAutospacing="0" w:after="0" w:afterAutospacing="0"/>
              <w:ind w:left="0" w:leftChars="0" w:right="0" w:rightChars="0"/>
              <w:jc w:val="center"/>
              <w:textAlignment w:val="center"/>
              <w:rPr>
                <w:rFonts w:hint="default"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22</w:t>
            </w:r>
          </w:p>
        </w:tc>
        <w:tc>
          <w:tcPr>
            <w:tcW w:w="2972" w:type="dxa"/>
            <w:shd w:val="clear" w:color="auto" w:fill="auto"/>
            <w:vAlign w:val="center"/>
          </w:tcPr>
          <w:p w14:paraId="46AF6D79">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表式血压计</w:t>
            </w:r>
          </w:p>
        </w:tc>
        <w:tc>
          <w:tcPr>
            <w:tcW w:w="1000" w:type="dxa"/>
            <w:shd w:val="clear" w:color="auto" w:fill="auto"/>
            <w:vAlign w:val="center"/>
          </w:tcPr>
          <w:p w14:paraId="2FF6A2B4">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20</w:t>
            </w:r>
          </w:p>
        </w:tc>
        <w:tc>
          <w:tcPr>
            <w:tcW w:w="1108" w:type="dxa"/>
            <w:shd w:val="clear" w:color="auto" w:fill="auto"/>
            <w:vAlign w:val="center"/>
          </w:tcPr>
          <w:p w14:paraId="4867144B">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个</w:t>
            </w:r>
          </w:p>
        </w:tc>
        <w:tc>
          <w:tcPr>
            <w:tcW w:w="1770" w:type="dxa"/>
            <w:vAlign w:val="center"/>
          </w:tcPr>
          <w:p w14:paraId="26BFF552">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属医疗器械管理</w:t>
            </w:r>
          </w:p>
        </w:tc>
        <w:tc>
          <w:tcPr>
            <w:tcW w:w="1494" w:type="dxa"/>
            <w:vMerge w:val="continue"/>
            <w:vAlign w:val="center"/>
          </w:tcPr>
          <w:p w14:paraId="37247936">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p>
        </w:tc>
      </w:tr>
      <w:tr w14:paraId="6ADE5F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48" w:type="dxa"/>
            <w:vAlign w:val="center"/>
          </w:tcPr>
          <w:p w14:paraId="453F62C3">
            <w:pPr>
              <w:keepNext w:val="0"/>
              <w:keepLines w:val="0"/>
              <w:widowControl/>
              <w:suppressLineNumbers w:val="0"/>
              <w:spacing w:before="0" w:beforeAutospacing="0" w:after="0" w:afterAutospacing="0"/>
              <w:ind w:left="0" w:leftChars="0" w:right="0" w:rightChars="0"/>
              <w:jc w:val="center"/>
              <w:textAlignment w:val="center"/>
              <w:rPr>
                <w:rFonts w:hint="default"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23</w:t>
            </w:r>
          </w:p>
        </w:tc>
        <w:tc>
          <w:tcPr>
            <w:tcW w:w="2972" w:type="dxa"/>
            <w:shd w:val="clear" w:color="auto" w:fill="auto"/>
            <w:vAlign w:val="center"/>
          </w:tcPr>
          <w:p w14:paraId="5E57E338">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听诊器</w:t>
            </w:r>
          </w:p>
        </w:tc>
        <w:tc>
          <w:tcPr>
            <w:tcW w:w="1000" w:type="dxa"/>
            <w:shd w:val="clear" w:color="auto" w:fill="auto"/>
            <w:vAlign w:val="center"/>
          </w:tcPr>
          <w:p w14:paraId="11DC9A01">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20</w:t>
            </w:r>
          </w:p>
        </w:tc>
        <w:tc>
          <w:tcPr>
            <w:tcW w:w="1108" w:type="dxa"/>
            <w:shd w:val="clear" w:color="auto" w:fill="auto"/>
            <w:vAlign w:val="center"/>
          </w:tcPr>
          <w:p w14:paraId="3BE3817E">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个</w:t>
            </w:r>
          </w:p>
        </w:tc>
        <w:tc>
          <w:tcPr>
            <w:tcW w:w="1770" w:type="dxa"/>
            <w:vAlign w:val="center"/>
          </w:tcPr>
          <w:p w14:paraId="79012960">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属医疗器械管理</w:t>
            </w:r>
          </w:p>
        </w:tc>
        <w:tc>
          <w:tcPr>
            <w:tcW w:w="1494" w:type="dxa"/>
            <w:vMerge w:val="continue"/>
            <w:vAlign w:val="center"/>
          </w:tcPr>
          <w:p w14:paraId="4A7DAA33">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p>
        </w:tc>
      </w:tr>
      <w:tr w14:paraId="6CCF9C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48" w:type="dxa"/>
            <w:vAlign w:val="center"/>
          </w:tcPr>
          <w:p w14:paraId="2970B4B7">
            <w:pPr>
              <w:keepNext w:val="0"/>
              <w:keepLines w:val="0"/>
              <w:widowControl/>
              <w:suppressLineNumbers w:val="0"/>
              <w:spacing w:before="0" w:beforeAutospacing="0" w:after="0" w:afterAutospacing="0"/>
              <w:ind w:left="0" w:leftChars="0" w:right="0" w:rightChars="0"/>
              <w:jc w:val="center"/>
              <w:textAlignment w:val="center"/>
              <w:rPr>
                <w:rFonts w:hint="default"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24</w:t>
            </w:r>
          </w:p>
        </w:tc>
        <w:tc>
          <w:tcPr>
            <w:tcW w:w="2972" w:type="dxa"/>
            <w:shd w:val="clear" w:color="auto" w:fill="auto"/>
            <w:vAlign w:val="center"/>
          </w:tcPr>
          <w:p w14:paraId="2D9E25B7">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测温枪</w:t>
            </w:r>
          </w:p>
        </w:tc>
        <w:tc>
          <w:tcPr>
            <w:tcW w:w="1000" w:type="dxa"/>
            <w:shd w:val="clear" w:color="auto" w:fill="auto"/>
            <w:vAlign w:val="center"/>
          </w:tcPr>
          <w:p w14:paraId="3B935E08">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20</w:t>
            </w:r>
          </w:p>
        </w:tc>
        <w:tc>
          <w:tcPr>
            <w:tcW w:w="1108" w:type="dxa"/>
            <w:shd w:val="clear" w:color="auto" w:fill="auto"/>
            <w:vAlign w:val="center"/>
          </w:tcPr>
          <w:p w14:paraId="052E9783">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个</w:t>
            </w:r>
          </w:p>
        </w:tc>
        <w:tc>
          <w:tcPr>
            <w:tcW w:w="1770" w:type="dxa"/>
            <w:vAlign w:val="center"/>
          </w:tcPr>
          <w:p w14:paraId="5E8EEA5D">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属医疗器械管理</w:t>
            </w:r>
          </w:p>
        </w:tc>
        <w:tc>
          <w:tcPr>
            <w:tcW w:w="1494" w:type="dxa"/>
            <w:vMerge w:val="continue"/>
            <w:vAlign w:val="center"/>
          </w:tcPr>
          <w:p w14:paraId="71240804">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p>
        </w:tc>
      </w:tr>
      <w:tr w14:paraId="116B8E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48" w:type="dxa"/>
            <w:vAlign w:val="center"/>
          </w:tcPr>
          <w:p w14:paraId="272C3CE2">
            <w:pPr>
              <w:keepNext w:val="0"/>
              <w:keepLines w:val="0"/>
              <w:widowControl/>
              <w:suppressLineNumbers w:val="0"/>
              <w:spacing w:before="0" w:beforeAutospacing="0" w:after="0" w:afterAutospacing="0"/>
              <w:ind w:left="0" w:leftChars="0" w:right="0" w:rightChars="0"/>
              <w:jc w:val="center"/>
              <w:textAlignment w:val="center"/>
              <w:rPr>
                <w:rFonts w:hint="default"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25</w:t>
            </w:r>
          </w:p>
        </w:tc>
        <w:tc>
          <w:tcPr>
            <w:tcW w:w="2972" w:type="dxa"/>
            <w:shd w:val="clear" w:color="auto" w:fill="auto"/>
            <w:vAlign w:val="center"/>
          </w:tcPr>
          <w:p w14:paraId="430A8693">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检伤腕带</w:t>
            </w:r>
          </w:p>
        </w:tc>
        <w:tc>
          <w:tcPr>
            <w:tcW w:w="1000" w:type="dxa"/>
            <w:shd w:val="clear" w:color="auto" w:fill="auto"/>
            <w:vAlign w:val="center"/>
          </w:tcPr>
          <w:p w14:paraId="1BCE5D33">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200</w:t>
            </w:r>
          </w:p>
        </w:tc>
        <w:tc>
          <w:tcPr>
            <w:tcW w:w="1108" w:type="dxa"/>
            <w:shd w:val="clear" w:color="auto" w:fill="auto"/>
            <w:vAlign w:val="center"/>
          </w:tcPr>
          <w:p w14:paraId="121867DA">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套</w:t>
            </w:r>
          </w:p>
        </w:tc>
        <w:tc>
          <w:tcPr>
            <w:tcW w:w="1770" w:type="dxa"/>
            <w:vAlign w:val="center"/>
          </w:tcPr>
          <w:p w14:paraId="03D8195B">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p>
        </w:tc>
        <w:tc>
          <w:tcPr>
            <w:tcW w:w="1494" w:type="dxa"/>
            <w:vMerge w:val="continue"/>
            <w:vAlign w:val="center"/>
          </w:tcPr>
          <w:p w14:paraId="434151C2">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p>
        </w:tc>
      </w:tr>
      <w:tr w14:paraId="377C8C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48" w:type="dxa"/>
            <w:vAlign w:val="center"/>
          </w:tcPr>
          <w:p w14:paraId="2F599777">
            <w:pPr>
              <w:keepNext w:val="0"/>
              <w:keepLines w:val="0"/>
              <w:widowControl/>
              <w:suppressLineNumbers w:val="0"/>
              <w:spacing w:before="0" w:beforeAutospacing="0" w:after="0" w:afterAutospacing="0"/>
              <w:ind w:left="0" w:leftChars="0" w:right="0" w:rightChars="0"/>
              <w:jc w:val="center"/>
              <w:textAlignment w:val="center"/>
              <w:rPr>
                <w:rFonts w:hint="default"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26</w:t>
            </w:r>
          </w:p>
        </w:tc>
        <w:tc>
          <w:tcPr>
            <w:tcW w:w="2972" w:type="dxa"/>
            <w:shd w:val="clear" w:color="auto" w:fill="auto"/>
            <w:vAlign w:val="center"/>
          </w:tcPr>
          <w:p w14:paraId="20A5E295">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瞳孔笔</w:t>
            </w:r>
          </w:p>
        </w:tc>
        <w:tc>
          <w:tcPr>
            <w:tcW w:w="1000" w:type="dxa"/>
            <w:shd w:val="clear" w:color="auto" w:fill="auto"/>
            <w:vAlign w:val="center"/>
          </w:tcPr>
          <w:p w14:paraId="0EC35B8D">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20</w:t>
            </w:r>
          </w:p>
        </w:tc>
        <w:tc>
          <w:tcPr>
            <w:tcW w:w="1108" w:type="dxa"/>
            <w:shd w:val="clear" w:color="auto" w:fill="auto"/>
            <w:vAlign w:val="center"/>
          </w:tcPr>
          <w:p w14:paraId="376CC3D0">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支</w:t>
            </w:r>
          </w:p>
        </w:tc>
        <w:tc>
          <w:tcPr>
            <w:tcW w:w="1770" w:type="dxa"/>
            <w:vAlign w:val="center"/>
          </w:tcPr>
          <w:p w14:paraId="3F71B5B9">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p>
        </w:tc>
        <w:tc>
          <w:tcPr>
            <w:tcW w:w="1494" w:type="dxa"/>
            <w:vMerge w:val="continue"/>
            <w:vAlign w:val="center"/>
          </w:tcPr>
          <w:p w14:paraId="08570722">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p>
        </w:tc>
      </w:tr>
      <w:tr w14:paraId="46180E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48" w:type="dxa"/>
            <w:vAlign w:val="center"/>
          </w:tcPr>
          <w:p w14:paraId="266763BF">
            <w:pPr>
              <w:keepNext w:val="0"/>
              <w:keepLines w:val="0"/>
              <w:widowControl/>
              <w:suppressLineNumbers w:val="0"/>
              <w:spacing w:before="0" w:beforeAutospacing="0" w:after="0" w:afterAutospacing="0"/>
              <w:ind w:left="0" w:leftChars="0" w:right="0" w:rightChars="0"/>
              <w:jc w:val="center"/>
              <w:textAlignment w:val="center"/>
              <w:rPr>
                <w:rFonts w:hint="default"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27</w:t>
            </w:r>
          </w:p>
        </w:tc>
        <w:tc>
          <w:tcPr>
            <w:tcW w:w="2972" w:type="dxa"/>
            <w:shd w:val="clear" w:color="auto" w:fill="auto"/>
            <w:vAlign w:val="center"/>
          </w:tcPr>
          <w:p w14:paraId="083F69AF">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血氧仪</w:t>
            </w:r>
          </w:p>
        </w:tc>
        <w:tc>
          <w:tcPr>
            <w:tcW w:w="1000" w:type="dxa"/>
            <w:shd w:val="clear" w:color="auto" w:fill="auto"/>
            <w:vAlign w:val="center"/>
          </w:tcPr>
          <w:p w14:paraId="334FCAFA">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20</w:t>
            </w:r>
          </w:p>
        </w:tc>
        <w:tc>
          <w:tcPr>
            <w:tcW w:w="1108" w:type="dxa"/>
            <w:shd w:val="clear" w:color="auto" w:fill="auto"/>
            <w:vAlign w:val="center"/>
          </w:tcPr>
          <w:p w14:paraId="7C0EE9F9">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个</w:t>
            </w:r>
          </w:p>
        </w:tc>
        <w:tc>
          <w:tcPr>
            <w:tcW w:w="1770" w:type="dxa"/>
            <w:vAlign w:val="center"/>
          </w:tcPr>
          <w:p w14:paraId="239A6BAB">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属医疗器械管理</w:t>
            </w:r>
          </w:p>
        </w:tc>
        <w:tc>
          <w:tcPr>
            <w:tcW w:w="1494" w:type="dxa"/>
            <w:vMerge w:val="continue"/>
            <w:vAlign w:val="center"/>
          </w:tcPr>
          <w:p w14:paraId="394F8988">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p>
        </w:tc>
      </w:tr>
      <w:tr w14:paraId="5B57A6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48" w:type="dxa"/>
            <w:vAlign w:val="center"/>
          </w:tcPr>
          <w:p w14:paraId="05799FE3">
            <w:pPr>
              <w:keepNext w:val="0"/>
              <w:keepLines w:val="0"/>
              <w:widowControl/>
              <w:suppressLineNumbers w:val="0"/>
              <w:spacing w:before="0" w:beforeAutospacing="0" w:after="0" w:afterAutospacing="0"/>
              <w:ind w:left="0" w:leftChars="0" w:right="0" w:rightChars="0"/>
              <w:jc w:val="center"/>
              <w:textAlignment w:val="center"/>
              <w:rPr>
                <w:rFonts w:hint="default"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28</w:t>
            </w:r>
          </w:p>
        </w:tc>
        <w:tc>
          <w:tcPr>
            <w:tcW w:w="2972" w:type="dxa"/>
            <w:shd w:val="clear" w:color="auto" w:fill="auto"/>
            <w:vAlign w:val="center"/>
          </w:tcPr>
          <w:p w14:paraId="5AD929A3">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保温毯</w:t>
            </w:r>
          </w:p>
        </w:tc>
        <w:tc>
          <w:tcPr>
            <w:tcW w:w="1000" w:type="dxa"/>
            <w:shd w:val="clear" w:color="auto" w:fill="auto"/>
            <w:vAlign w:val="center"/>
          </w:tcPr>
          <w:p w14:paraId="171C514E">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20</w:t>
            </w:r>
          </w:p>
        </w:tc>
        <w:tc>
          <w:tcPr>
            <w:tcW w:w="1108" w:type="dxa"/>
            <w:shd w:val="clear" w:color="auto" w:fill="auto"/>
            <w:vAlign w:val="center"/>
          </w:tcPr>
          <w:p w14:paraId="7D61590F">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件</w:t>
            </w:r>
          </w:p>
        </w:tc>
        <w:tc>
          <w:tcPr>
            <w:tcW w:w="1770" w:type="dxa"/>
            <w:vAlign w:val="center"/>
          </w:tcPr>
          <w:p w14:paraId="448333E5">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p>
        </w:tc>
        <w:tc>
          <w:tcPr>
            <w:tcW w:w="1494" w:type="dxa"/>
            <w:vMerge w:val="continue"/>
            <w:vAlign w:val="center"/>
          </w:tcPr>
          <w:p w14:paraId="46001661">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p>
        </w:tc>
      </w:tr>
    </w:tbl>
    <w:p w14:paraId="68C6DDA6">
      <w:pPr>
        <w:pStyle w:val="54"/>
        <w:ind w:firstLine="422"/>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备注：</w:t>
      </w:r>
    </w:p>
    <w:p w14:paraId="4F7D7FF1">
      <w:pPr>
        <w:pStyle w:val="54"/>
        <w:ind w:firstLine="422"/>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1.注明“接受进口”的产品（产品名称）允许供应商选用进口产品参与投标，但不排斥国内产品。</w:t>
      </w:r>
    </w:p>
    <w:p w14:paraId="7A1CA4C9">
      <w:pPr>
        <w:pStyle w:val="54"/>
        <w:ind w:firstLine="422"/>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2.注明“不接受进口”的产品（产品名称）均不接受供应商选用进口产品参与投标。</w:t>
      </w:r>
    </w:p>
    <w:p w14:paraId="08CBC14D">
      <w:pPr>
        <w:pStyle w:val="54"/>
        <w:shd w:val="clear" w:color="auto" w:fill="auto"/>
        <w:ind w:firstLine="422"/>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进口产品系指：通过海关验放进入中国境内且产自关境外的产品。即所谓进口产品是指制造过程均在国外，如果产品在国内组装，其中的零部件（包括核心部件）是进口产品，则应当视为非进口产品。采用“接受进口”的产品优先采购向我国企业转让技术、与我国企业签订消化吸收再创新方案的供应商的进口产品，相关内容以财库〔2007〕119 号文和财办库〔2008〕248 号文的相关规定为准。</w:t>
      </w:r>
    </w:p>
    <w:p w14:paraId="209231EE">
      <w:pPr>
        <w:pStyle w:val="54"/>
        <w:shd w:val="clear" w:color="auto" w:fill="auto"/>
        <w:ind w:firstLine="422"/>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4.本项目为非单一产品采购，本项目核心产品为：1.</w:t>
      </w:r>
      <w:r>
        <w:rPr>
          <w:rFonts w:hint="eastAsia" w:ascii="宋体" w:hAnsi="宋体" w:eastAsia="宋体" w:cs="宋体"/>
          <w:i w:val="0"/>
          <w:iCs w:val="0"/>
          <w:color w:val="auto"/>
          <w:kern w:val="0"/>
          <w:sz w:val="21"/>
          <w:szCs w:val="21"/>
          <w:u w:val="none"/>
          <w:lang w:val="en-US" w:eastAsia="zh-CN" w:bidi="ar"/>
        </w:rPr>
        <w:t>急救背囊包</w:t>
      </w:r>
      <w:r>
        <w:rPr>
          <w:rFonts w:hint="eastAsia" w:ascii="宋体" w:hAnsi="宋体" w:eastAsia="宋体" w:cs="宋体"/>
          <w:i w:val="0"/>
          <w:iCs w:val="0"/>
          <w:color w:val="000000"/>
          <w:kern w:val="0"/>
          <w:sz w:val="21"/>
          <w:szCs w:val="21"/>
          <w:u w:val="none"/>
          <w:lang w:val="en-US" w:eastAsia="zh-CN" w:bidi="ar"/>
        </w:rPr>
        <w:t>。</w:t>
      </w:r>
    </w:p>
    <w:p w14:paraId="0B46E42C">
      <w:pPr>
        <w:pStyle w:val="54"/>
        <w:shd w:val="clear" w:color="auto" w:fill="auto"/>
        <w:ind w:firstLine="422"/>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5.当多家投标人提供的核心产品品牌相同的，按一家投标人计算。根据《政府采购货物和服务招标投标管理办法》（中华人民共和国财政部令第87号）第三十一条相关规定：非单一产品采购项目，采购人应当根据采购项目技术构成、产品价格比重等合理确定核心产品，提供核心产品为相同品牌且通过资格审查、符合性审查的不同投标人，按一家投标人计算，评审后得分最高的同品牌投标人获得中标人推荐资格；评审得分相同的，采取随机抽取方式确定中标人推荐资格。其他综合评分总分次之的不同品牌投标人顺推获得中标人推荐资格。</w:t>
      </w:r>
    </w:p>
    <w:p w14:paraId="5453A9EA">
      <w:pPr>
        <w:pStyle w:val="12"/>
        <w:numPr>
          <w:ilvl w:val="0"/>
          <w:numId w:val="0"/>
        </w:numPr>
        <w:tabs>
          <w:tab w:val="left" w:pos="540"/>
        </w:tabs>
        <w:adjustRightInd w:val="0"/>
        <w:snapToGrid w:val="0"/>
        <w:spacing w:line="360" w:lineRule="auto"/>
        <w:ind w:leftChars="0"/>
        <w:outlineLvl w:val="9"/>
        <w:rPr>
          <w:rFonts w:hAnsi="宋体"/>
          <w:b/>
          <w:color w:val="auto"/>
        </w:rPr>
      </w:pPr>
    </w:p>
    <w:p w14:paraId="705CA8FA">
      <w:pPr>
        <w:pStyle w:val="12"/>
        <w:numPr>
          <w:ilvl w:val="0"/>
          <w:numId w:val="6"/>
        </w:numPr>
        <w:tabs>
          <w:tab w:val="left" w:pos="540"/>
        </w:tabs>
        <w:adjustRightInd w:val="0"/>
        <w:snapToGrid w:val="0"/>
        <w:spacing w:line="360" w:lineRule="auto"/>
        <w:ind w:left="420" w:leftChars="0" w:hanging="420" w:firstLineChars="0"/>
        <w:outlineLvl w:val="9"/>
        <w:rPr>
          <w:rFonts w:hAnsi="宋体"/>
          <w:b/>
          <w:color w:val="auto"/>
        </w:rPr>
      </w:pPr>
      <w:r>
        <w:rPr>
          <w:rFonts w:hint="eastAsia" w:hAnsi="宋体"/>
          <w:b/>
          <w:color w:val="auto"/>
        </w:rPr>
        <w:t>技术要求：</w:t>
      </w:r>
    </w:p>
    <w:tbl>
      <w:tblPr>
        <w:tblStyle w:val="21"/>
        <w:tblW w:w="9649" w:type="dxa"/>
        <w:jc w:val="center"/>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Layout w:type="autofit"/>
        <w:tblCellMar>
          <w:top w:w="0" w:type="dxa"/>
          <w:left w:w="108" w:type="dxa"/>
          <w:bottom w:w="0" w:type="dxa"/>
          <w:right w:w="108" w:type="dxa"/>
        </w:tblCellMar>
      </w:tblPr>
      <w:tblGrid>
        <w:gridCol w:w="1754"/>
        <w:gridCol w:w="6743"/>
        <w:gridCol w:w="1152"/>
      </w:tblGrid>
      <w:tr w14:paraId="7FB416D7">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567" w:hRule="atLeast"/>
          <w:jc w:val="center"/>
        </w:trPr>
        <w:tc>
          <w:tcPr>
            <w:tcW w:w="1754" w:type="dxa"/>
            <w:tcBorders>
              <w:tl2br w:val="nil"/>
              <w:tr2bl w:val="nil"/>
            </w:tcBorders>
            <w:shd w:val="clear" w:color="auto" w:fill="EEECE1" w:themeFill="background2"/>
            <w:vAlign w:val="center"/>
          </w:tcPr>
          <w:p w14:paraId="447475A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货物名称</w:t>
            </w:r>
          </w:p>
        </w:tc>
        <w:tc>
          <w:tcPr>
            <w:tcW w:w="6743" w:type="dxa"/>
            <w:tcBorders>
              <w:tl2br w:val="nil"/>
              <w:tr2bl w:val="nil"/>
            </w:tcBorders>
            <w:shd w:val="clear" w:color="auto" w:fill="EEECE1" w:themeFill="background2"/>
            <w:vAlign w:val="center"/>
          </w:tcPr>
          <w:p w14:paraId="45189D3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技术要求</w:t>
            </w:r>
          </w:p>
        </w:tc>
        <w:tc>
          <w:tcPr>
            <w:tcW w:w="1152" w:type="dxa"/>
            <w:tcBorders>
              <w:tl2br w:val="nil"/>
              <w:tr2bl w:val="nil"/>
            </w:tcBorders>
            <w:shd w:val="clear" w:color="auto" w:fill="EEECE1" w:themeFill="background2"/>
            <w:vAlign w:val="center"/>
          </w:tcPr>
          <w:p w14:paraId="653EA361">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b/>
                <w:bCs/>
                <w:i w:val="0"/>
                <w:iCs w:val="0"/>
                <w:color w:val="auto"/>
                <w:kern w:val="0"/>
                <w:sz w:val="21"/>
                <w:szCs w:val="21"/>
                <w:u w:val="none"/>
                <w:lang w:val="en-US" w:eastAsia="zh-CN" w:bidi="ar"/>
              </w:rPr>
            </w:pPr>
            <w:r>
              <w:rPr>
                <w:rFonts w:hint="eastAsia" w:ascii="宋体" w:hAnsi="宋体" w:eastAsia="宋体" w:cs="宋体"/>
                <w:b/>
                <w:bCs/>
                <w:i w:val="0"/>
                <w:iCs w:val="0"/>
                <w:color w:val="auto"/>
                <w:kern w:val="0"/>
                <w:sz w:val="21"/>
                <w:szCs w:val="21"/>
                <w:u w:val="none"/>
                <w:lang w:val="en-US" w:eastAsia="zh-CN" w:bidi="ar"/>
              </w:rPr>
              <w:t>标注</w:t>
            </w:r>
          </w:p>
        </w:tc>
      </w:tr>
      <w:tr w14:paraId="3A1E6243">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754" w:type="dxa"/>
            <w:vMerge w:val="restart"/>
            <w:tcBorders>
              <w:tl2br w:val="nil"/>
              <w:tr2bl w:val="nil"/>
            </w:tcBorders>
            <w:shd w:val="clear" w:color="auto" w:fill="auto"/>
            <w:vAlign w:val="center"/>
          </w:tcPr>
          <w:p w14:paraId="1ED5D7A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lang w:val="en-US" w:eastAsia="zh-CN"/>
              </w:rPr>
              <w:t>紧急医学救援队伍急救背囊装备</w:t>
            </w:r>
          </w:p>
        </w:tc>
        <w:tc>
          <w:tcPr>
            <w:tcW w:w="6743" w:type="dxa"/>
            <w:tcBorders>
              <w:tl2br w:val="nil"/>
              <w:tr2bl w:val="nil"/>
            </w:tcBorders>
            <w:shd w:val="clear" w:color="auto" w:fill="auto"/>
            <w:vAlign w:val="center"/>
          </w:tcPr>
          <w:p w14:paraId="2F55B7BA">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b/>
                <w:bCs/>
                <w:snapToGrid/>
                <w:color w:val="auto"/>
                <w:spacing w:val="0"/>
                <w:kern w:val="2"/>
                <w:sz w:val="21"/>
                <w:szCs w:val="24"/>
                <w:highlight w:val="none"/>
                <w:lang w:val="en-US" w:eastAsia="zh-CN" w:bidi="ar-SA"/>
              </w:rPr>
              <w:t>一．急救背囊包</w:t>
            </w:r>
          </w:p>
        </w:tc>
        <w:tc>
          <w:tcPr>
            <w:tcW w:w="1152" w:type="dxa"/>
            <w:tcBorders>
              <w:tl2br w:val="nil"/>
              <w:tr2bl w:val="nil"/>
            </w:tcBorders>
            <w:shd w:val="clear" w:color="auto" w:fill="auto"/>
            <w:vAlign w:val="center"/>
          </w:tcPr>
          <w:p w14:paraId="2DFC33B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snapToGrid/>
                <w:color w:val="auto"/>
                <w:spacing w:val="0"/>
                <w:kern w:val="2"/>
                <w:sz w:val="21"/>
                <w:szCs w:val="24"/>
                <w:highlight w:val="none"/>
                <w:lang w:val="en-US" w:eastAsia="zh-CN" w:bidi="ar-SA"/>
              </w:rPr>
            </w:pPr>
          </w:p>
        </w:tc>
      </w:tr>
      <w:tr w14:paraId="2DF83DAE">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754" w:type="dxa"/>
            <w:vMerge w:val="continue"/>
            <w:tcBorders>
              <w:tl2br w:val="nil"/>
              <w:tr2bl w:val="nil"/>
            </w:tcBorders>
            <w:shd w:val="clear" w:color="auto" w:fill="auto"/>
            <w:vAlign w:val="center"/>
          </w:tcPr>
          <w:p w14:paraId="1FFD23B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0"/>
                <w:szCs w:val="20"/>
                <w:u w:val="none"/>
                <w:lang w:val="en-US" w:eastAsia="zh-CN" w:bidi="ar"/>
              </w:rPr>
            </w:pPr>
          </w:p>
        </w:tc>
        <w:tc>
          <w:tcPr>
            <w:tcW w:w="6743" w:type="dxa"/>
            <w:tcBorders>
              <w:tl2br w:val="nil"/>
              <w:tr2bl w:val="nil"/>
            </w:tcBorders>
            <w:shd w:val="clear" w:color="auto" w:fill="auto"/>
            <w:vAlign w:val="center"/>
          </w:tcPr>
          <w:p w14:paraId="7B9FED03">
            <w:pPr>
              <w:pStyle w:val="9"/>
              <w:keepNext w:val="0"/>
              <w:keepLines w:val="0"/>
              <w:suppressLineNumbers w:val="0"/>
              <w:spacing w:before="0" w:beforeAutospacing="0" w:after="0" w:afterAutospacing="0"/>
              <w:ind w:left="0" w:right="0"/>
              <w:rPr>
                <w:rFonts w:hint="eastAsia"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1.主料:</w:t>
            </w:r>
            <w:r>
              <w:rPr>
                <w:rFonts w:hint="eastAsia"/>
                <w:lang w:val="en-US" w:eastAsia="zh-CN"/>
              </w:rPr>
              <w:t>采用高强度纤维材质，强度不低于420D等效标准</w:t>
            </w:r>
          </w:p>
        </w:tc>
        <w:tc>
          <w:tcPr>
            <w:tcW w:w="1152" w:type="dxa"/>
            <w:tcBorders>
              <w:tl2br w:val="nil"/>
              <w:tr2bl w:val="nil"/>
            </w:tcBorders>
            <w:shd w:val="clear" w:color="auto" w:fill="auto"/>
            <w:vAlign w:val="center"/>
          </w:tcPr>
          <w:p w14:paraId="0CF639F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snapToGrid/>
                <w:color w:val="auto"/>
                <w:spacing w:val="0"/>
                <w:kern w:val="2"/>
                <w:sz w:val="21"/>
                <w:szCs w:val="24"/>
                <w:highlight w:val="none"/>
                <w:lang w:val="en-US" w:eastAsia="zh-CN" w:bidi="ar-SA"/>
              </w:rPr>
            </w:pPr>
          </w:p>
        </w:tc>
      </w:tr>
      <w:tr w14:paraId="5445C7F8">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754" w:type="dxa"/>
            <w:vMerge w:val="continue"/>
            <w:tcBorders>
              <w:tl2br w:val="nil"/>
              <w:tr2bl w:val="nil"/>
            </w:tcBorders>
            <w:shd w:val="clear" w:color="auto" w:fill="auto"/>
            <w:vAlign w:val="center"/>
          </w:tcPr>
          <w:p w14:paraId="21487CF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0"/>
                <w:szCs w:val="20"/>
                <w:u w:val="none"/>
                <w:lang w:val="en-US" w:eastAsia="zh-CN" w:bidi="ar"/>
              </w:rPr>
            </w:pPr>
          </w:p>
        </w:tc>
        <w:tc>
          <w:tcPr>
            <w:tcW w:w="6743" w:type="dxa"/>
            <w:tcBorders>
              <w:tl2br w:val="nil"/>
              <w:tr2bl w:val="nil"/>
            </w:tcBorders>
            <w:shd w:val="clear" w:color="auto" w:fill="auto"/>
            <w:vAlign w:val="center"/>
          </w:tcPr>
          <w:p w14:paraId="232A68B0">
            <w:pPr>
              <w:pStyle w:val="9"/>
              <w:keepNext w:val="0"/>
              <w:keepLines w:val="0"/>
              <w:suppressLineNumbers w:val="0"/>
              <w:spacing w:before="0" w:beforeAutospacing="0" w:after="0" w:afterAutospacing="0"/>
              <w:ind w:left="0" w:right="0"/>
              <w:rPr>
                <w:rFonts w:hint="eastAsia"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2.配料:</w:t>
            </w:r>
            <w:r>
              <w:rPr>
                <w:rFonts w:hint="eastAsia"/>
                <w:lang w:val="en-US" w:eastAsia="zh-CN"/>
              </w:rPr>
              <w:t>采用耐磨防水面料，强度不低于400D等效标准</w:t>
            </w:r>
          </w:p>
        </w:tc>
        <w:tc>
          <w:tcPr>
            <w:tcW w:w="1152" w:type="dxa"/>
            <w:tcBorders>
              <w:tl2br w:val="nil"/>
              <w:tr2bl w:val="nil"/>
            </w:tcBorders>
            <w:shd w:val="clear" w:color="auto" w:fill="auto"/>
            <w:vAlign w:val="center"/>
          </w:tcPr>
          <w:p w14:paraId="5897589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snapToGrid/>
                <w:color w:val="auto"/>
                <w:spacing w:val="0"/>
                <w:kern w:val="2"/>
                <w:sz w:val="21"/>
                <w:szCs w:val="24"/>
                <w:highlight w:val="none"/>
                <w:lang w:val="en-US" w:eastAsia="zh-CN" w:bidi="ar-SA"/>
              </w:rPr>
            </w:pPr>
          </w:p>
        </w:tc>
      </w:tr>
      <w:tr w14:paraId="40DCD2FC">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754" w:type="dxa"/>
            <w:vMerge w:val="continue"/>
            <w:tcBorders>
              <w:tl2br w:val="nil"/>
              <w:tr2bl w:val="nil"/>
            </w:tcBorders>
            <w:shd w:val="clear" w:color="auto" w:fill="auto"/>
            <w:vAlign w:val="center"/>
          </w:tcPr>
          <w:p w14:paraId="269457C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0"/>
                <w:szCs w:val="20"/>
                <w:u w:val="none"/>
                <w:lang w:val="en-US" w:eastAsia="zh-CN" w:bidi="ar"/>
              </w:rPr>
            </w:pPr>
          </w:p>
        </w:tc>
        <w:tc>
          <w:tcPr>
            <w:tcW w:w="6743" w:type="dxa"/>
            <w:tcBorders>
              <w:tl2br w:val="nil"/>
              <w:tr2bl w:val="nil"/>
            </w:tcBorders>
            <w:shd w:val="clear" w:color="auto" w:fill="auto"/>
            <w:vAlign w:val="center"/>
          </w:tcPr>
          <w:p w14:paraId="518FB591">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3.里料:防静电天鹅绒</w:t>
            </w:r>
          </w:p>
        </w:tc>
        <w:tc>
          <w:tcPr>
            <w:tcW w:w="1152" w:type="dxa"/>
            <w:tcBorders>
              <w:tl2br w:val="nil"/>
              <w:tr2bl w:val="nil"/>
            </w:tcBorders>
            <w:shd w:val="clear" w:color="auto" w:fill="auto"/>
            <w:vAlign w:val="center"/>
          </w:tcPr>
          <w:p w14:paraId="12E2BA9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snapToGrid/>
                <w:color w:val="auto"/>
                <w:spacing w:val="0"/>
                <w:kern w:val="2"/>
                <w:sz w:val="21"/>
                <w:szCs w:val="24"/>
                <w:highlight w:val="none"/>
                <w:lang w:val="en-US" w:eastAsia="zh-CN" w:bidi="ar-SA"/>
              </w:rPr>
            </w:pPr>
          </w:p>
        </w:tc>
      </w:tr>
      <w:tr w14:paraId="7182CBFA">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754" w:type="dxa"/>
            <w:vMerge w:val="continue"/>
            <w:tcBorders>
              <w:tl2br w:val="nil"/>
              <w:tr2bl w:val="nil"/>
            </w:tcBorders>
            <w:shd w:val="clear" w:color="auto" w:fill="auto"/>
            <w:vAlign w:val="center"/>
          </w:tcPr>
          <w:p w14:paraId="103FD9B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0"/>
                <w:szCs w:val="20"/>
                <w:u w:val="none"/>
                <w:lang w:val="en-US" w:eastAsia="zh-CN" w:bidi="ar"/>
              </w:rPr>
            </w:pPr>
          </w:p>
        </w:tc>
        <w:tc>
          <w:tcPr>
            <w:tcW w:w="6743" w:type="dxa"/>
            <w:tcBorders>
              <w:tl2br w:val="nil"/>
              <w:tr2bl w:val="nil"/>
            </w:tcBorders>
            <w:shd w:val="clear" w:color="auto" w:fill="auto"/>
            <w:vAlign w:val="center"/>
          </w:tcPr>
          <w:p w14:paraId="4BEB039C">
            <w:pPr>
              <w:pStyle w:val="9"/>
              <w:keepNext w:val="0"/>
              <w:keepLines w:val="0"/>
              <w:suppressLineNumbers w:val="0"/>
              <w:spacing w:before="0" w:beforeAutospacing="0" w:after="0" w:afterAutospacing="0"/>
              <w:ind w:left="0" w:right="0"/>
              <w:rPr>
                <w:rFonts w:hint="default"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4.里布:</w:t>
            </w:r>
            <w:r>
              <w:rPr>
                <w:rFonts w:hint="eastAsia"/>
                <w:lang w:val="en-US" w:eastAsia="zh-CN"/>
              </w:rPr>
              <w:t>采用防水涂层面料，强度不低于210D等效标准</w:t>
            </w:r>
          </w:p>
        </w:tc>
        <w:tc>
          <w:tcPr>
            <w:tcW w:w="1152" w:type="dxa"/>
            <w:tcBorders>
              <w:tl2br w:val="nil"/>
              <w:tr2bl w:val="nil"/>
            </w:tcBorders>
            <w:shd w:val="clear" w:color="auto" w:fill="auto"/>
            <w:vAlign w:val="center"/>
          </w:tcPr>
          <w:p w14:paraId="3F71667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snapToGrid/>
                <w:color w:val="auto"/>
                <w:spacing w:val="0"/>
                <w:kern w:val="2"/>
                <w:sz w:val="21"/>
                <w:szCs w:val="24"/>
                <w:highlight w:val="none"/>
                <w:lang w:val="en-US" w:eastAsia="zh-CN" w:bidi="ar-SA"/>
              </w:rPr>
            </w:pPr>
          </w:p>
        </w:tc>
      </w:tr>
      <w:tr w14:paraId="312A031C">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754" w:type="dxa"/>
            <w:vMerge w:val="continue"/>
            <w:tcBorders>
              <w:tl2br w:val="nil"/>
              <w:tr2bl w:val="nil"/>
            </w:tcBorders>
            <w:shd w:val="clear" w:color="auto" w:fill="auto"/>
            <w:vAlign w:val="center"/>
          </w:tcPr>
          <w:p w14:paraId="50D0067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0"/>
                <w:szCs w:val="20"/>
                <w:u w:val="none"/>
                <w:lang w:val="en-US" w:eastAsia="zh-CN" w:bidi="ar"/>
              </w:rPr>
            </w:pPr>
          </w:p>
        </w:tc>
        <w:tc>
          <w:tcPr>
            <w:tcW w:w="6743" w:type="dxa"/>
            <w:tcBorders>
              <w:tl2br w:val="nil"/>
              <w:tr2bl w:val="nil"/>
            </w:tcBorders>
            <w:shd w:val="clear" w:color="auto" w:fill="auto"/>
            <w:vAlign w:val="center"/>
          </w:tcPr>
          <w:p w14:paraId="5A20FF25">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5.织带:坑纹加厚织带</w:t>
            </w:r>
          </w:p>
        </w:tc>
        <w:tc>
          <w:tcPr>
            <w:tcW w:w="1152" w:type="dxa"/>
            <w:tcBorders>
              <w:tl2br w:val="nil"/>
              <w:tr2bl w:val="nil"/>
            </w:tcBorders>
            <w:shd w:val="clear" w:color="auto" w:fill="auto"/>
            <w:vAlign w:val="center"/>
          </w:tcPr>
          <w:p w14:paraId="5ACDDB7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snapToGrid/>
                <w:color w:val="auto"/>
                <w:spacing w:val="0"/>
                <w:kern w:val="2"/>
                <w:sz w:val="21"/>
                <w:szCs w:val="24"/>
                <w:highlight w:val="none"/>
                <w:lang w:val="en-US" w:eastAsia="zh-CN" w:bidi="ar-SA"/>
              </w:rPr>
            </w:pPr>
          </w:p>
        </w:tc>
      </w:tr>
      <w:tr w14:paraId="771241CB">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754" w:type="dxa"/>
            <w:vMerge w:val="continue"/>
            <w:tcBorders>
              <w:tl2br w:val="nil"/>
              <w:tr2bl w:val="nil"/>
            </w:tcBorders>
            <w:shd w:val="clear" w:color="auto" w:fill="auto"/>
            <w:vAlign w:val="center"/>
          </w:tcPr>
          <w:p w14:paraId="51C26C1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0"/>
                <w:szCs w:val="20"/>
                <w:u w:val="none"/>
                <w:lang w:val="en-US" w:eastAsia="zh-CN" w:bidi="ar"/>
              </w:rPr>
            </w:pPr>
          </w:p>
        </w:tc>
        <w:tc>
          <w:tcPr>
            <w:tcW w:w="6743" w:type="dxa"/>
            <w:tcBorders>
              <w:tl2br w:val="nil"/>
              <w:tr2bl w:val="nil"/>
            </w:tcBorders>
            <w:shd w:val="clear" w:color="auto" w:fill="auto"/>
            <w:vAlign w:val="center"/>
          </w:tcPr>
          <w:p w14:paraId="0F6EED27">
            <w:pPr>
              <w:pStyle w:val="9"/>
              <w:keepNext w:val="0"/>
              <w:keepLines w:val="0"/>
              <w:suppressLineNumbers w:val="0"/>
              <w:spacing w:before="0" w:beforeAutospacing="0" w:after="0" w:afterAutospacing="0"/>
              <w:ind w:left="0" w:right="0"/>
              <w:rPr>
                <w:rFonts w:hint="default" w:ascii="宋体" w:hAnsi="宋体" w:eastAsia="宋体" w:cs="宋体"/>
                <w:snapToGrid/>
                <w:color w:val="000000" w:themeColor="text1"/>
                <w:spacing w:val="0"/>
                <w:kern w:val="2"/>
                <w:sz w:val="21"/>
                <w:szCs w:val="24"/>
                <w:highlight w:val="none"/>
                <w:lang w:val="en-US" w:eastAsia="zh-CN" w:bidi="ar-SA"/>
                <w14:textFill>
                  <w14:solidFill>
                    <w14:schemeClr w14:val="tx1"/>
                  </w14:solidFill>
                </w14:textFill>
              </w:rPr>
            </w:pPr>
            <w:r>
              <w:rPr>
                <w:rFonts w:hint="eastAsia" w:ascii="宋体" w:hAnsi="宋体" w:eastAsia="宋体" w:cs="宋体"/>
                <w:b/>
                <w:bCs/>
                <w:snapToGrid/>
                <w:color w:val="000000" w:themeColor="text1"/>
                <w:spacing w:val="0"/>
                <w:kern w:val="2"/>
                <w:sz w:val="21"/>
                <w:szCs w:val="24"/>
                <w:highlight w:val="none"/>
                <w:lang w:val="en-US" w:eastAsia="zh-CN" w:bidi="ar-SA"/>
                <w14:textFill>
                  <w14:solidFill>
                    <w14:schemeClr w14:val="tx1"/>
                  </w14:solidFill>
                </w14:textFill>
              </w:rPr>
              <w:t>二.队服</w:t>
            </w:r>
          </w:p>
        </w:tc>
        <w:tc>
          <w:tcPr>
            <w:tcW w:w="1152" w:type="dxa"/>
            <w:tcBorders>
              <w:tl2br w:val="nil"/>
              <w:tr2bl w:val="nil"/>
            </w:tcBorders>
            <w:shd w:val="clear" w:color="auto" w:fill="auto"/>
            <w:vAlign w:val="center"/>
          </w:tcPr>
          <w:p w14:paraId="6DB3469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snapToGrid/>
                <w:color w:val="auto"/>
                <w:spacing w:val="0"/>
                <w:kern w:val="2"/>
                <w:sz w:val="21"/>
                <w:szCs w:val="24"/>
                <w:highlight w:val="none"/>
                <w:lang w:val="en-US" w:eastAsia="zh-CN" w:bidi="ar-SA"/>
              </w:rPr>
            </w:pPr>
          </w:p>
        </w:tc>
      </w:tr>
      <w:tr w14:paraId="7EEC1B73">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1754" w:type="dxa"/>
            <w:vMerge w:val="continue"/>
            <w:tcBorders>
              <w:tl2br w:val="nil"/>
              <w:tr2bl w:val="nil"/>
            </w:tcBorders>
            <w:shd w:val="clear" w:color="auto" w:fill="auto"/>
            <w:vAlign w:val="center"/>
          </w:tcPr>
          <w:p w14:paraId="1CD8555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0"/>
                <w:szCs w:val="20"/>
                <w:u w:val="none"/>
                <w:lang w:val="en-US" w:eastAsia="zh-CN" w:bidi="ar"/>
              </w:rPr>
            </w:pPr>
          </w:p>
        </w:tc>
        <w:tc>
          <w:tcPr>
            <w:tcW w:w="6743" w:type="dxa"/>
            <w:tcBorders>
              <w:tl2br w:val="nil"/>
              <w:tr2bl w:val="nil"/>
            </w:tcBorders>
            <w:shd w:val="clear" w:color="auto" w:fill="auto"/>
            <w:vAlign w:val="center"/>
          </w:tcPr>
          <w:p w14:paraId="2F8EDEF2">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snapToGrid/>
                <w:color w:val="000000" w:themeColor="text1"/>
                <w:spacing w:val="0"/>
                <w:kern w:val="2"/>
                <w:sz w:val="21"/>
                <w:szCs w:val="24"/>
                <w:highlight w:val="none"/>
                <w:lang w:val="en-US" w:eastAsia="zh-CN" w:bidi="ar-SA"/>
                <w14:textFill>
                  <w14:solidFill>
                    <w14:schemeClr w14:val="tx1"/>
                  </w14:solidFill>
                </w14:textFill>
              </w:rPr>
            </w:pPr>
            <w:r>
              <w:rPr>
                <w:rFonts w:hint="eastAsia" w:ascii="宋体" w:hAnsi="宋体" w:eastAsia="宋体" w:cs="宋体"/>
                <w:snapToGrid/>
                <w:color w:val="000000" w:themeColor="text1"/>
                <w:spacing w:val="0"/>
                <w:kern w:val="2"/>
                <w:sz w:val="21"/>
                <w:szCs w:val="24"/>
                <w:highlight w:val="none"/>
                <w:lang w:val="en-US" w:eastAsia="zh-CN" w:bidi="ar-SA"/>
                <w14:textFill>
                  <w14:solidFill>
                    <w14:schemeClr w14:val="tx1"/>
                  </w14:solidFill>
                </w14:textFill>
              </w:rPr>
              <w:t>6.面料：夏季采用速干透气面料，含棉量≥35%，克重≥180g/㎡；冬季抓绒采用摇粒绒，克重≥300g/㎡</w:t>
            </w:r>
          </w:p>
        </w:tc>
        <w:tc>
          <w:tcPr>
            <w:tcW w:w="1152" w:type="dxa"/>
            <w:tcBorders>
              <w:tl2br w:val="nil"/>
              <w:tr2bl w:val="nil"/>
            </w:tcBorders>
            <w:shd w:val="clear" w:color="auto" w:fill="auto"/>
            <w:vAlign w:val="center"/>
          </w:tcPr>
          <w:p w14:paraId="6BBDFD3E">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snapToGrid/>
                <w:color w:val="auto"/>
                <w:spacing w:val="0"/>
                <w:kern w:val="2"/>
                <w:sz w:val="21"/>
                <w:szCs w:val="24"/>
                <w:highlight w:val="none"/>
                <w:lang w:val="en-US" w:eastAsia="zh-CN" w:bidi="ar-SA"/>
              </w:rPr>
            </w:pPr>
          </w:p>
        </w:tc>
      </w:tr>
      <w:tr w14:paraId="2814F4E8">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754" w:type="dxa"/>
            <w:vMerge w:val="continue"/>
            <w:tcBorders>
              <w:tl2br w:val="nil"/>
              <w:tr2bl w:val="nil"/>
            </w:tcBorders>
            <w:shd w:val="clear" w:color="auto" w:fill="auto"/>
            <w:vAlign w:val="center"/>
          </w:tcPr>
          <w:p w14:paraId="0BCDFEC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0"/>
                <w:szCs w:val="20"/>
                <w:u w:val="none"/>
                <w:lang w:val="en-US" w:eastAsia="zh-CN" w:bidi="ar"/>
              </w:rPr>
            </w:pPr>
          </w:p>
        </w:tc>
        <w:tc>
          <w:tcPr>
            <w:tcW w:w="6743" w:type="dxa"/>
            <w:tcBorders>
              <w:tl2br w:val="nil"/>
              <w:tr2bl w:val="nil"/>
            </w:tcBorders>
            <w:shd w:val="clear" w:color="auto" w:fill="auto"/>
            <w:vAlign w:val="center"/>
          </w:tcPr>
          <w:p w14:paraId="3DAC1A0D">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snapToGrid/>
                <w:color w:val="000000" w:themeColor="text1"/>
                <w:spacing w:val="0"/>
                <w:kern w:val="2"/>
                <w:sz w:val="21"/>
                <w:szCs w:val="24"/>
                <w:highlight w:val="none"/>
                <w:lang w:val="en-US" w:eastAsia="zh-CN" w:bidi="ar-SA"/>
                <w14:textFill>
                  <w14:solidFill>
                    <w14:schemeClr w14:val="tx1"/>
                  </w14:solidFill>
                </w14:textFill>
              </w:rPr>
            </w:pPr>
            <w:r>
              <w:rPr>
                <w:rFonts w:hint="eastAsia" w:ascii="宋体" w:hAnsi="宋体" w:eastAsia="宋体" w:cs="宋体"/>
                <w:snapToGrid/>
                <w:color w:val="000000" w:themeColor="text1"/>
                <w:spacing w:val="0"/>
                <w:kern w:val="2"/>
                <w:sz w:val="21"/>
                <w:szCs w:val="24"/>
                <w:highlight w:val="none"/>
                <w:lang w:val="en-US" w:eastAsia="zh-CN" w:bidi="ar-SA"/>
                <w14:textFill>
                  <w14:solidFill>
                    <w14:schemeClr w14:val="tx1"/>
                  </w14:solidFill>
                </w14:textFill>
              </w:rPr>
              <w:t>7.颜色：救援主体色，前胸后背印有"医学救援"标识和反光条</w:t>
            </w:r>
          </w:p>
        </w:tc>
        <w:tc>
          <w:tcPr>
            <w:tcW w:w="1152" w:type="dxa"/>
            <w:tcBorders>
              <w:tl2br w:val="nil"/>
              <w:tr2bl w:val="nil"/>
            </w:tcBorders>
            <w:shd w:val="clear" w:color="auto" w:fill="auto"/>
            <w:vAlign w:val="center"/>
          </w:tcPr>
          <w:p w14:paraId="535869F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snapToGrid/>
                <w:color w:val="auto"/>
                <w:spacing w:val="0"/>
                <w:kern w:val="2"/>
                <w:sz w:val="21"/>
                <w:szCs w:val="24"/>
                <w:highlight w:val="none"/>
                <w:lang w:val="en-US" w:eastAsia="zh-CN" w:bidi="ar-SA"/>
              </w:rPr>
            </w:pPr>
          </w:p>
        </w:tc>
      </w:tr>
      <w:tr w14:paraId="39FA9BB1">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754" w:type="dxa"/>
            <w:vMerge w:val="continue"/>
            <w:tcBorders>
              <w:tl2br w:val="nil"/>
              <w:tr2bl w:val="nil"/>
            </w:tcBorders>
            <w:shd w:val="clear" w:color="auto" w:fill="auto"/>
            <w:vAlign w:val="center"/>
          </w:tcPr>
          <w:p w14:paraId="09674AC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0"/>
                <w:szCs w:val="20"/>
                <w:u w:val="none"/>
                <w:lang w:val="en-US" w:eastAsia="zh-CN" w:bidi="ar"/>
              </w:rPr>
            </w:pPr>
          </w:p>
        </w:tc>
        <w:tc>
          <w:tcPr>
            <w:tcW w:w="6743" w:type="dxa"/>
            <w:tcBorders>
              <w:tl2br w:val="nil"/>
              <w:tr2bl w:val="nil"/>
            </w:tcBorders>
            <w:shd w:val="clear" w:color="auto" w:fill="auto"/>
            <w:vAlign w:val="center"/>
          </w:tcPr>
          <w:p w14:paraId="5E55D93A">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snapToGrid/>
                <w:color w:val="000000" w:themeColor="text1"/>
                <w:spacing w:val="0"/>
                <w:kern w:val="2"/>
                <w:sz w:val="21"/>
                <w:szCs w:val="24"/>
                <w:highlight w:val="none"/>
                <w:lang w:val="en-US" w:eastAsia="zh-CN" w:bidi="ar-SA"/>
                <w14:textFill>
                  <w14:solidFill>
                    <w14:schemeClr w14:val="tx1"/>
                  </w14:solidFill>
                </w14:textFill>
              </w:rPr>
            </w:pPr>
            <w:r>
              <w:rPr>
                <w:rFonts w:hint="eastAsia" w:ascii="宋体" w:hAnsi="宋体" w:eastAsia="宋体" w:cs="宋体"/>
                <w:snapToGrid/>
                <w:color w:val="000000" w:themeColor="text1"/>
                <w:spacing w:val="0"/>
                <w:kern w:val="2"/>
                <w:sz w:val="21"/>
                <w:szCs w:val="24"/>
                <w:highlight w:val="none"/>
                <w:lang w:val="en-US" w:eastAsia="zh-CN" w:bidi="ar-SA"/>
                <w14:textFill>
                  <w14:solidFill>
                    <w14:schemeClr w14:val="tx1"/>
                  </w14:solidFill>
                </w14:textFill>
              </w:rPr>
              <w:t>8.工艺：双线锁边，袖口裤脚可调节，多口袋设计</w:t>
            </w:r>
          </w:p>
        </w:tc>
        <w:tc>
          <w:tcPr>
            <w:tcW w:w="1152" w:type="dxa"/>
            <w:tcBorders>
              <w:tl2br w:val="nil"/>
              <w:tr2bl w:val="nil"/>
            </w:tcBorders>
            <w:shd w:val="clear" w:color="auto" w:fill="auto"/>
            <w:vAlign w:val="center"/>
          </w:tcPr>
          <w:p w14:paraId="5358870D">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snapToGrid/>
                <w:color w:val="auto"/>
                <w:spacing w:val="0"/>
                <w:kern w:val="2"/>
                <w:sz w:val="21"/>
                <w:szCs w:val="24"/>
                <w:highlight w:val="none"/>
                <w:lang w:val="en-US" w:eastAsia="zh-CN" w:bidi="ar-SA"/>
              </w:rPr>
            </w:pPr>
          </w:p>
        </w:tc>
      </w:tr>
      <w:tr w14:paraId="7D3622D6">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754" w:type="dxa"/>
            <w:vMerge w:val="continue"/>
            <w:tcBorders>
              <w:tl2br w:val="nil"/>
              <w:tr2bl w:val="nil"/>
            </w:tcBorders>
            <w:shd w:val="clear" w:color="auto" w:fill="auto"/>
            <w:vAlign w:val="center"/>
          </w:tcPr>
          <w:p w14:paraId="18D88C6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0"/>
                <w:szCs w:val="20"/>
                <w:u w:val="none"/>
                <w:lang w:val="en-US" w:eastAsia="zh-CN" w:bidi="ar"/>
              </w:rPr>
            </w:pPr>
          </w:p>
        </w:tc>
        <w:tc>
          <w:tcPr>
            <w:tcW w:w="6743" w:type="dxa"/>
            <w:tcBorders>
              <w:tl2br w:val="nil"/>
              <w:tr2bl w:val="nil"/>
            </w:tcBorders>
            <w:shd w:val="clear" w:color="auto" w:fill="auto"/>
            <w:vAlign w:val="center"/>
          </w:tcPr>
          <w:p w14:paraId="3C6D2F04">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snapToGrid/>
                <w:color w:val="000000" w:themeColor="text1"/>
                <w:spacing w:val="0"/>
                <w:kern w:val="2"/>
                <w:sz w:val="21"/>
                <w:szCs w:val="24"/>
                <w:highlight w:val="none"/>
                <w:lang w:val="en-US" w:eastAsia="zh-CN" w:bidi="ar-SA"/>
                <w14:textFill>
                  <w14:solidFill>
                    <w14:schemeClr w14:val="tx1"/>
                  </w14:solidFill>
                </w14:textFill>
              </w:rPr>
            </w:pPr>
            <w:r>
              <w:rPr>
                <w:rFonts w:hint="eastAsia" w:ascii="宋体" w:hAnsi="宋体" w:eastAsia="宋体" w:cs="宋体"/>
                <w:snapToGrid/>
                <w:color w:val="000000" w:themeColor="text1"/>
                <w:spacing w:val="0"/>
                <w:kern w:val="2"/>
                <w:sz w:val="21"/>
                <w:szCs w:val="24"/>
                <w:highlight w:val="none"/>
                <w:lang w:val="en-US" w:eastAsia="zh-CN" w:bidi="ar-SA"/>
                <w14:textFill>
                  <w14:solidFill>
                    <w14:schemeClr w14:val="tx1"/>
                  </w14:solidFill>
                </w14:textFill>
              </w:rPr>
              <w:t>9.尺码：提供S-XXL多种尺码可选，投标时需提供尺码表</w:t>
            </w:r>
          </w:p>
        </w:tc>
        <w:tc>
          <w:tcPr>
            <w:tcW w:w="1152" w:type="dxa"/>
            <w:tcBorders>
              <w:tl2br w:val="nil"/>
              <w:tr2bl w:val="nil"/>
            </w:tcBorders>
            <w:shd w:val="clear" w:color="auto" w:fill="auto"/>
            <w:vAlign w:val="center"/>
          </w:tcPr>
          <w:p w14:paraId="5130853B">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snapToGrid/>
                <w:color w:val="auto"/>
                <w:spacing w:val="0"/>
                <w:kern w:val="2"/>
                <w:sz w:val="21"/>
                <w:szCs w:val="24"/>
                <w:highlight w:val="none"/>
                <w:lang w:val="en-US" w:eastAsia="zh-CN" w:bidi="ar-SA"/>
              </w:rPr>
            </w:pPr>
          </w:p>
        </w:tc>
      </w:tr>
      <w:tr w14:paraId="2EE5B9B0">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754" w:type="dxa"/>
            <w:vMerge w:val="continue"/>
            <w:tcBorders>
              <w:tl2br w:val="nil"/>
              <w:tr2bl w:val="nil"/>
            </w:tcBorders>
            <w:shd w:val="clear" w:color="auto" w:fill="auto"/>
            <w:vAlign w:val="center"/>
          </w:tcPr>
          <w:p w14:paraId="39BCD52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0"/>
                <w:szCs w:val="20"/>
                <w:u w:val="none"/>
                <w:lang w:val="en-US" w:eastAsia="zh-CN" w:bidi="ar"/>
              </w:rPr>
            </w:pPr>
          </w:p>
        </w:tc>
        <w:tc>
          <w:tcPr>
            <w:tcW w:w="6743" w:type="dxa"/>
            <w:tcBorders>
              <w:tl2br w:val="nil"/>
              <w:tr2bl w:val="nil"/>
            </w:tcBorders>
            <w:shd w:val="clear" w:color="auto" w:fill="auto"/>
            <w:vAlign w:val="center"/>
          </w:tcPr>
          <w:p w14:paraId="0869E93E">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snapToGrid/>
                <w:color w:val="000000" w:themeColor="text1"/>
                <w:spacing w:val="0"/>
                <w:kern w:val="2"/>
                <w:sz w:val="21"/>
                <w:szCs w:val="24"/>
                <w:highlight w:val="none"/>
                <w:lang w:val="en-US" w:eastAsia="zh-CN" w:bidi="ar-SA"/>
                <w14:textFill>
                  <w14:solidFill>
                    <w14:schemeClr w14:val="tx1"/>
                  </w14:solidFill>
                </w14:textFill>
              </w:rPr>
            </w:pPr>
            <w:r>
              <w:rPr>
                <w:rFonts w:hint="eastAsia" w:ascii="宋体" w:hAnsi="宋体" w:eastAsia="宋体" w:cs="宋体"/>
                <w:b/>
                <w:bCs/>
                <w:snapToGrid/>
                <w:color w:val="000000" w:themeColor="text1"/>
                <w:spacing w:val="0"/>
                <w:kern w:val="2"/>
                <w:sz w:val="21"/>
                <w:szCs w:val="24"/>
                <w:highlight w:val="none"/>
                <w:lang w:val="en-US" w:eastAsia="zh-CN" w:bidi="ar-SA"/>
                <w14:textFill>
                  <w14:solidFill>
                    <w14:schemeClr w14:val="tx1"/>
                  </w14:solidFill>
                </w14:textFill>
              </w:rPr>
              <w:t>三．帽子</w:t>
            </w:r>
          </w:p>
        </w:tc>
        <w:tc>
          <w:tcPr>
            <w:tcW w:w="1152" w:type="dxa"/>
            <w:tcBorders>
              <w:tl2br w:val="nil"/>
              <w:tr2bl w:val="nil"/>
            </w:tcBorders>
            <w:shd w:val="clear" w:color="auto" w:fill="auto"/>
            <w:vAlign w:val="center"/>
          </w:tcPr>
          <w:p w14:paraId="3CC9D773">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snapToGrid/>
                <w:color w:val="auto"/>
                <w:spacing w:val="0"/>
                <w:kern w:val="2"/>
                <w:sz w:val="21"/>
                <w:szCs w:val="24"/>
                <w:highlight w:val="none"/>
                <w:lang w:val="en-US" w:eastAsia="zh-CN" w:bidi="ar-SA"/>
              </w:rPr>
            </w:pPr>
          </w:p>
        </w:tc>
      </w:tr>
      <w:tr w14:paraId="48274133">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754" w:type="dxa"/>
            <w:vMerge w:val="continue"/>
            <w:tcBorders>
              <w:tl2br w:val="nil"/>
              <w:tr2bl w:val="nil"/>
            </w:tcBorders>
            <w:shd w:val="clear" w:color="auto" w:fill="auto"/>
            <w:vAlign w:val="center"/>
          </w:tcPr>
          <w:p w14:paraId="40B58EE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0"/>
                <w:szCs w:val="20"/>
                <w:u w:val="none"/>
                <w:lang w:val="en-US" w:eastAsia="zh-CN" w:bidi="ar"/>
              </w:rPr>
            </w:pPr>
          </w:p>
        </w:tc>
        <w:tc>
          <w:tcPr>
            <w:tcW w:w="6743" w:type="dxa"/>
            <w:tcBorders>
              <w:tl2br w:val="nil"/>
              <w:tr2bl w:val="nil"/>
            </w:tcBorders>
            <w:shd w:val="clear" w:color="auto" w:fill="auto"/>
            <w:vAlign w:val="center"/>
          </w:tcPr>
          <w:p w14:paraId="19EBD931">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snapToGrid/>
                <w:color w:val="000000" w:themeColor="text1"/>
                <w:spacing w:val="0"/>
                <w:kern w:val="2"/>
                <w:sz w:val="21"/>
                <w:szCs w:val="24"/>
                <w:highlight w:val="none"/>
                <w:lang w:val="en-US" w:eastAsia="zh-CN" w:bidi="ar-SA"/>
                <w14:textFill>
                  <w14:solidFill>
                    <w14:schemeClr w14:val="tx1"/>
                  </w14:solidFill>
                </w14:textFill>
              </w:rPr>
            </w:pPr>
            <w:r>
              <w:rPr>
                <w:rFonts w:hint="eastAsia" w:ascii="宋体" w:hAnsi="宋体" w:eastAsia="宋体" w:cs="宋体"/>
                <w:snapToGrid/>
                <w:color w:val="000000" w:themeColor="text1"/>
                <w:spacing w:val="0"/>
                <w:kern w:val="2"/>
                <w:sz w:val="21"/>
                <w:szCs w:val="24"/>
                <w:highlight w:val="none"/>
                <w:lang w:val="en-US" w:eastAsia="zh-CN" w:bidi="ar-SA"/>
                <w14:textFill>
                  <w14:solidFill>
                    <w14:schemeClr w14:val="tx1"/>
                  </w14:solidFill>
                </w14:textFill>
              </w:rPr>
              <w:t>10.款式：棒球帽或奔尼帽款式，可调节头围</w:t>
            </w:r>
          </w:p>
        </w:tc>
        <w:tc>
          <w:tcPr>
            <w:tcW w:w="1152" w:type="dxa"/>
            <w:tcBorders>
              <w:tl2br w:val="nil"/>
              <w:tr2bl w:val="nil"/>
            </w:tcBorders>
            <w:shd w:val="clear" w:color="auto" w:fill="auto"/>
            <w:vAlign w:val="center"/>
          </w:tcPr>
          <w:p w14:paraId="2D013BA5">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snapToGrid/>
                <w:color w:val="auto"/>
                <w:spacing w:val="0"/>
                <w:kern w:val="2"/>
                <w:sz w:val="21"/>
                <w:szCs w:val="24"/>
                <w:highlight w:val="none"/>
                <w:lang w:val="en-US" w:eastAsia="zh-CN" w:bidi="ar-SA"/>
              </w:rPr>
            </w:pPr>
          </w:p>
        </w:tc>
      </w:tr>
      <w:tr w14:paraId="77AF0C3E">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754" w:type="dxa"/>
            <w:vMerge w:val="continue"/>
            <w:tcBorders>
              <w:tl2br w:val="nil"/>
              <w:tr2bl w:val="nil"/>
            </w:tcBorders>
            <w:shd w:val="clear" w:color="auto" w:fill="auto"/>
            <w:vAlign w:val="center"/>
          </w:tcPr>
          <w:p w14:paraId="1FC0DC8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0"/>
                <w:szCs w:val="20"/>
                <w:u w:val="none"/>
                <w:lang w:val="en-US" w:eastAsia="zh-CN" w:bidi="ar"/>
              </w:rPr>
            </w:pPr>
          </w:p>
        </w:tc>
        <w:tc>
          <w:tcPr>
            <w:tcW w:w="6743" w:type="dxa"/>
            <w:tcBorders>
              <w:tl2br w:val="nil"/>
              <w:tr2bl w:val="nil"/>
            </w:tcBorders>
            <w:shd w:val="clear" w:color="auto" w:fill="auto"/>
            <w:vAlign w:val="center"/>
          </w:tcPr>
          <w:p w14:paraId="0AD12D81">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snapToGrid/>
                <w:color w:val="000000" w:themeColor="text1"/>
                <w:spacing w:val="0"/>
                <w:kern w:val="2"/>
                <w:sz w:val="21"/>
                <w:szCs w:val="24"/>
                <w:highlight w:val="none"/>
                <w:lang w:val="en-US" w:eastAsia="zh-CN" w:bidi="ar-SA"/>
                <w14:textFill>
                  <w14:solidFill>
                    <w14:schemeClr w14:val="tx1"/>
                  </w14:solidFill>
                </w14:textFill>
              </w:rPr>
            </w:pPr>
            <w:r>
              <w:rPr>
                <w:rFonts w:hint="eastAsia" w:ascii="宋体" w:hAnsi="宋体" w:eastAsia="宋体" w:cs="宋体"/>
                <w:snapToGrid/>
                <w:color w:val="000000" w:themeColor="text1"/>
                <w:spacing w:val="0"/>
                <w:kern w:val="2"/>
                <w:sz w:val="21"/>
                <w:szCs w:val="24"/>
                <w:highlight w:val="none"/>
                <w:lang w:val="en-US" w:eastAsia="zh-CN" w:bidi="ar-SA"/>
                <w14:textFill>
                  <w14:solidFill>
                    <w14:schemeClr w14:val="tx1"/>
                  </w14:solidFill>
                </w14:textFill>
              </w:rPr>
              <w:t>11.面料：涤棉，克重≥200g/㎡</w:t>
            </w:r>
          </w:p>
        </w:tc>
        <w:tc>
          <w:tcPr>
            <w:tcW w:w="1152" w:type="dxa"/>
            <w:tcBorders>
              <w:tl2br w:val="nil"/>
              <w:tr2bl w:val="nil"/>
            </w:tcBorders>
            <w:shd w:val="clear" w:color="auto" w:fill="auto"/>
            <w:vAlign w:val="center"/>
          </w:tcPr>
          <w:p w14:paraId="50F8467F">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snapToGrid/>
                <w:color w:val="auto"/>
                <w:spacing w:val="0"/>
                <w:kern w:val="2"/>
                <w:sz w:val="21"/>
                <w:szCs w:val="24"/>
                <w:highlight w:val="none"/>
                <w:lang w:val="en-US" w:eastAsia="zh-CN" w:bidi="ar-SA"/>
              </w:rPr>
            </w:pPr>
          </w:p>
        </w:tc>
      </w:tr>
      <w:tr w14:paraId="660AE6B4">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754" w:type="dxa"/>
            <w:vMerge w:val="continue"/>
            <w:tcBorders>
              <w:tl2br w:val="nil"/>
              <w:tr2bl w:val="nil"/>
            </w:tcBorders>
            <w:shd w:val="clear" w:color="auto" w:fill="auto"/>
            <w:vAlign w:val="center"/>
          </w:tcPr>
          <w:p w14:paraId="572DD47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0"/>
                <w:szCs w:val="20"/>
                <w:u w:val="none"/>
                <w:lang w:val="en-US" w:eastAsia="zh-CN" w:bidi="ar"/>
              </w:rPr>
            </w:pPr>
          </w:p>
        </w:tc>
        <w:tc>
          <w:tcPr>
            <w:tcW w:w="6743" w:type="dxa"/>
            <w:tcBorders>
              <w:tl2br w:val="nil"/>
              <w:tr2bl w:val="nil"/>
            </w:tcBorders>
            <w:shd w:val="clear" w:color="auto" w:fill="auto"/>
            <w:vAlign w:val="center"/>
          </w:tcPr>
          <w:p w14:paraId="520F0961">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snapToGrid/>
                <w:color w:val="000000" w:themeColor="text1"/>
                <w:spacing w:val="0"/>
                <w:kern w:val="2"/>
                <w:sz w:val="21"/>
                <w:szCs w:val="24"/>
                <w:highlight w:val="none"/>
                <w:lang w:val="en-US" w:eastAsia="zh-CN" w:bidi="ar-SA"/>
                <w14:textFill>
                  <w14:solidFill>
                    <w14:schemeClr w14:val="tx1"/>
                  </w14:solidFill>
                </w14:textFill>
              </w:rPr>
            </w:pPr>
            <w:r>
              <w:rPr>
                <w:rFonts w:hint="eastAsia" w:ascii="宋体" w:hAnsi="宋体" w:eastAsia="宋体" w:cs="宋体"/>
                <w:snapToGrid/>
                <w:color w:val="000000" w:themeColor="text1"/>
                <w:spacing w:val="0"/>
                <w:kern w:val="2"/>
                <w:sz w:val="21"/>
                <w:szCs w:val="24"/>
                <w:highlight w:val="none"/>
                <w:lang w:val="en-US" w:eastAsia="zh-CN" w:bidi="ar-SA"/>
                <w14:textFill>
                  <w14:solidFill>
                    <w14:schemeClr w14:val="tx1"/>
                  </w14:solidFill>
                </w14:textFill>
              </w:rPr>
              <w:t>12.颜色：与队服同色系，正面绣有"医学救援"标识</w:t>
            </w:r>
          </w:p>
        </w:tc>
        <w:tc>
          <w:tcPr>
            <w:tcW w:w="1152" w:type="dxa"/>
            <w:tcBorders>
              <w:tl2br w:val="nil"/>
              <w:tr2bl w:val="nil"/>
            </w:tcBorders>
            <w:shd w:val="clear" w:color="auto" w:fill="auto"/>
            <w:vAlign w:val="center"/>
          </w:tcPr>
          <w:p w14:paraId="2597B869">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snapToGrid/>
                <w:color w:val="auto"/>
                <w:spacing w:val="0"/>
                <w:kern w:val="2"/>
                <w:sz w:val="21"/>
                <w:szCs w:val="24"/>
                <w:highlight w:val="none"/>
                <w:lang w:val="en-US" w:eastAsia="zh-CN" w:bidi="ar-SA"/>
              </w:rPr>
            </w:pPr>
          </w:p>
        </w:tc>
      </w:tr>
      <w:tr w14:paraId="00E5502B">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754" w:type="dxa"/>
            <w:vMerge w:val="continue"/>
            <w:tcBorders>
              <w:tl2br w:val="nil"/>
              <w:tr2bl w:val="nil"/>
            </w:tcBorders>
            <w:shd w:val="clear" w:color="auto" w:fill="auto"/>
            <w:vAlign w:val="center"/>
          </w:tcPr>
          <w:p w14:paraId="5D31136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0"/>
                <w:szCs w:val="20"/>
                <w:u w:val="none"/>
                <w:lang w:val="en-US" w:eastAsia="zh-CN" w:bidi="ar"/>
              </w:rPr>
            </w:pPr>
          </w:p>
        </w:tc>
        <w:tc>
          <w:tcPr>
            <w:tcW w:w="6743" w:type="dxa"/>
            <w:tcBorders>
              <w:tl2br w:val="nil"/>
              <w:tr2bl w:val="nil"/>
            </w:tcBorders>
            <w:shd w:val="clear" w:color="auto" w:fill="auto"/>
            <w:vAlign w:val="center"/>
          </w:tcPr>
          <w:p w14:paraId="3D006143">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snapToGrid/>
                <w:color w:val="000000" w:themeColor="text1"/>
                <w:spacing w:val="0"/>
                <w:kern w:val="2"/>
                <w:sz w:val="21"/>
                <w:szCs w:val="24"/>
                <w:highlight w:val="none"/>
                <w:lang w:val="en-US" w:eastAsia="zh-CN" w:bidi="ar-SA"/>
                <w14:textFill>
                  <w14:solidFill>
                    <w14:schemeClr w14:val="tx1"/>
                  </w14:solidFill>
                </w14:textFill>
              </w:rPr>
            </w:pPr>
            <w:r>
              <w:rPr>
                <w:rFonts w:hint="eastAsia" w:ascii="宋体" w:hAnsi="宋体" w:eastAsia="宋体" w:cs="宋体"/>
                <w:snapToGrid/>
                <w:color w:val="000000" w:themeColor="text1"/>
                <w:spacing w:val="0"/>
                <w:kern w:val="2"/>
                <w:sz w:val="21"/>
                <w:szCs w:val="24"/>
                <w:highlight w:val="none"/>
                <w:lang w:val="en-US" w:eastAsia="zh-CN" w:bidi="ar-SA"/>
                <w14:textFill>
                  <w14:solidFill>
                    <w14:schemeClr w14:val="tx1"/>
                  </w14:solidFill>
                </w14:textFill>
              </w:rPr>
              <w:t>13.功能：具备防晒、透气功能，帽檐宽度≥6cm</w:t>
            </w:r>
          </w:p>
        </w:tc>
        <w:tc>
          <w:tcPr>
            <w:tcW w:w="1152" w:type="dxa"/>
            <w:tcBorders>
              <w:tl2br w:val="nil"/>
              <w:tr2bl w:val="nil"/>
            </w:tcBorders>
            <w:shd w:val="clear" w:color="auto" w:fill="auto"/>
            <w:vAlign w:val="center"/>
          </w:tcPr>
          <w:p w14:paraId="53EA7289">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snapToGrid/>
                <w:color w:val="auto"/>
                <w:spacing w:val="0"/>
                <w:kern w:val="2"/>
                <w:sz w:val="21"/>
                <w:szCs w:val="24"/>
                <w:highlight w:val="none"/>
                <w:lang w:val="en-US" w:eastAsia="zh-CN" w:bidi="ar-SA"/>
              </w:rPr>
            </w:pPr>
          </w:p>
        </w:tc>
      </w:tr>
      <w:tr w14:paraId="58D64220">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754" w:type="dxa"/>
            <w:vMerge w:val="continue"/>
            <w:tcBorders>
              <w:tl2br w:val="nil"/>
              <w:tr2bl w:val="nil"/>
            </w:tcBorders>
            <w:shd w:val="clear" w:color="auto" w:fill="auto"/>
            <w:vAlign w:val="center"/>
          </w:tcPr>
          <w:p w14:paraId="413DAB9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0"/>
                <w:szCs w:val="20"/>
                <w:u w:val="none"/>
                <w:lang w:val="en-US" w:eastAsia="zh-CN" w:bidi="ar"/>
              </w:rPr>
            </w:pPr>
          </w:p>
        </w:tc>
        <w:tc>
          <w:tcPr>
            <w:tcW w:w="6743" w:type="dxa"/>
            <w:tcBorders>
              <w:tl2br w:val="nil"/>
              <w:tr2bl w:val="nil"/>
            </w:tcBorders>
            <w:shd w:val="clear" w:color="auto" w:fill="auto"/>
            <w:vAlign w:val="center"/>
          </w:tcPr>
          <w:p w14:paraId="0E2B791E">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snapToGrid/>
                <w:color w:val="000000" w:themeColor="text1"/>
                <w:spacing w:val="0"/>
                <w:kern w:val="2"/>
                <w:sz w:val="21"/>
                <w:szCs w:val="24"/>
                <w:highlight w:val="none"/>
                <w:lang w:val="en-US" w:eastAsia="zh-CN" w:bidi="ar-SA"/>
                <w14:textFill>
                  <w14:solidFill>
                    <w14:schemeClr w14:val="tx1"/>
                  </w14:solidFill>
                </w14:textFill>
              </w:rPr>
            </w:pPr>
            <w:r>
              <w:rPr>
                <w:rFonts w:hint="eastAsia" w:ascii="宋体" w:hAnsi="宋体" w:eastAsia="宋体" w:cs="宋体"/>
                <w:b/>
                <w:bCs/>
                <w:snapToGrid/>
                <w:color w:val="000000" w:themeColor="text1"/>
                <w:spacing w:val="0"/>
                <w:kern w:val="2"/>
                <w:sz w:val="21"/>
                <w:szCs w:val="24"/>
                <w:highlight w:val="none"/>
                <w:lang w:val="en-US" w:eastAsia="zh-CN" w:bidi="ar-SA"/>
                <w14:textFill>
                  <w14:solidFill>
                    <w14:schemeClr w14:val="tx1"/>
                  </w14:solidFill>
                </w14:textFill>
              </w:rPr>
              <w:t>四．防穿刺鞋</w:t>
            </w:r>
          </w:p>
        </w:tc>
        <w:tc>
          <w:tcPr>
            <w:tcW w:w="1152" w:type="dxa"/>
            <w:tcBorders>
              <w:tl2br w:val="nil"/>
              <w:tr2bl w:val="nil"/>
            </w:tcBorders>
            <w:shd w:val="clear" w:color="auto" w:fill="auto"/>
            <w:vAlign w:val="center"/>
          </w:tcPr>
          <w:p w14:paraId="2D1F29AC">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snapToGrid/>
                <w:color w:val="auto"/>
                <w:spacing w:val="0"/>
                <w:kern w:val="2"/>
                <w:sz w:val="21"/>
                <w:szCs w:val="24"/>
                <w:highlight w:val="none"/>
                <w:lang w:val="en-US" w:eastAsia="zh-CN" w:bidi="ar-SA"/>
              </w:rPr>
            </w:pPr>
          </w:p>
        </w:tc>
      </w:tr>
      <w:tr w14:paraId="3BE2F599">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754" w:type="dxa"/>
            <w:vMerge w:val="continue"/>
            <w:tcBorders>
              <w:tl2br w:val="nil"/>
              <w:tr2bl w:val="nil"/>
            </w:tcBorders>
            <w:shd w:val="clear" w:color="auto" w:fill="auto"/>
            <w:vAlign w:val="center"/>
          </w:tcPr>
          <w:p w14:paraId="106DC34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0"/>
                <w:szCs w:val="20"/>
                <w:u w:val="none"/>
                <w:lang w:val="en-US" w:eastAsia="zh-CN" w:bidi="ar"/>
              </w:rPr>
            </w:pPr>
          </w:p>
        </w:tc>
        <w:tc>
          <w:tcPr>
            <w:tcW w:w="6743" w:type="dxa"/>
            <w:tcBorders>
              <w:tl2br w:val="nil"/>
              <w:tr2bl w:val="nil"/>
            </w:tcBorders>
            <w:shd w:val="clear" w:color="auto" w:fill="auto"/>
            <w:vAlign w:val="center"/>
          </w:tcPr>
          <w:p w14:paraId="57837F99">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snapToGrid/>
                <w:color w:val="000000" w:themeColor="text1"/>
                <w:spacing w:val="0"/>
                <w:kern w:val="2"/>
                <w:sz w:val="21"/>
                <w:szCs w:val="24"/>
                <w:highlight w:val="none"/>
                <w:lang w:val="en-US" w:eastAsia="zh-CN" w:bidi="ar-SA"/>
                <w14:textFill>
                  <w14:solidFill>
                    <w14:schemeClr w14:val="tx1"/>
                  </w14:solidFill>
                </w14:textFill>
              </w:rPr>
            </w:pPr>
            <w:r>
              <w:rPr>
                <w:rFonts w:hint="eastAsia" w:ascii="宋体" w:hAnsi="宋体" w:eastAsia="宋体" w:cs="宋体"/>
                <w:snapToGrid/>
                <w:color w:val="000000" w:themeColor="text1"/>
                <w:spacing w:val="0"/>
                <w:kern w:val="2"/>
                <w:sz w:val="21"/>
                <w:szCs w:val="24"/>
                <w:highlight w:val="none"/>
                <w:lang w:val="en-US" w:eastAsia="zh-CN" w:bidi="ar-SA"/>
                <w14:textFill>
                  <w14:solidFill>
                    <w14:schemeClr w14:val="tx1"/>
                  </w14:solidFill>
                </w14:textFill>
              </w:rPr>
              <w:t>14.防穿刺性能：中底抗刺穿力≥1100N（GB 21148标准）</w:t>
            </w:r>
          </w:p>
        </w:tc>
        <w:tc>
          <w:tcPr>
            <w:tcW w:w="1152" w:type="dxa"/>
            <w:tcBorders>
              <w:tl2br w:val="nil"/>
              <w:tr2bl w:val="nil"/>
            </w:tcBorders>
            <w:shd w:val="clear" w:color="auto" w:fill="auto"/>
            <w:vAlign w:val="center"/>
          </w:tcPr>
          <w:p w14:paraId="01C9E021">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snapToGrid/>
                <w:color w:val="auto"/>
                <w:spacing w:val="0"/>
                <w:kern w:val="2"/>
                <w:sz w:val="21"/>
                <w:szCs w:val="24"/>
                <w:highlight w:val="none"/>
                <w:lang w:val="en-US" w:eastAsia="zh-CN" w:bidi="ar-SA"/>
              </w:rPr>
            </w:pPr>
          </w:p>
        </w:tc>
      </w:tr>
      <w:tr w14:paraId="5C13A626">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754" w:type="dxa"/>
            <w:vMerge w:val="continue"/>
            <w:tcBorders>
              <w:tl2br w:val="nil"/>
              <w:tr2bl w:val="nil"/>
            </w:tcBorders>
            <w:shd w:val="clear" w:color="auto" w:fill="auto"/>
            <w:vAlign w:val="center"/>
          </w:tcPr>
          <w:p w14:paraId="746C35B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0"/>
                <w:szCs w:val="20"/>
                <w:u w:val="none"/>
                <w:lang w:val="en-US" w:eastAsia="zh-CN" w:bidi="ar"/>
              </w:rPr>
            </w:pPr>
          </w:p>
        </w:tc>
        <w:tc>
          <w:tcPr>
            <w:tcW w:w="6743" w:type="dxa"/>
            <w:tcBorders>
              <w:tl2br w:val="nil"/>
              <w:tr2bl w:val="nil"/>
            </w:tcBorders>
            <w:shd w:val="clear" w:color="auto" w:fill="auto"/>
            <w:vAlign w:val="center"/>
          </w:tcPr>
          <w:p w14:paraId="00F3442E">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snapToGrid/>
                <w:color w:val="000000" w:themeColor="text1"/>
                <w:spacing w:val="0"/>
                <w:kern w:val="2"/>
                <w:sz w:val="21"/>
                <w:szCs w:val="24"/>
                <w:highlight w:val="none"/>
                <w:lang w:val="en-US" w:eastAsia="zh-CN" w:bidi="ar-SA"/>
                <w14:textFill>
                  <w14:solidFill>
                    <w14:schemeClr w14:val="tx1"/>
                  </w14:solidFill>
                </w14:textFill>
              </w:rPr>
            </w:pPr>
            <w:r>
              <w:rPr>
                <w:rFonts w:hint="eastAsia" w:ascii="宋体" w:hAnsi="宋体" w:eastAsia="宋体" w:cs="宋体"/>
                <w:snapToGrid/>
                <w:color w:val="000000" w:themeColor="text1"/>
                <w:spacing w:val="0"/>
                <w:kern w:val="2"/>
                <w:sz w:val="21"/>
                <w:szCs w:val="24"/>
                <w:highlight w:val="none"/>
                <w:lang w:val="en-US" w:eastAsia="zh-CN" w:bidi="ar-SA"/>
                <w14:textFill>
                  <w14:solidFill>
                    <w14:schemeClr w14:val="tx1"/>
                  </w14:solidFill>
                </w14:textFill>
              </w:rPr>
              <w:t>15.鞋面：头层牛皮</w:t>
            </w:r>
          </w:p>
        </w:tc>
        <w:tc>
          <w:tcPr>
            <w:tcW w:w="1152" w:type="dxa"/>
            <w:tcBorders>
              <w:tl2br w:val="nil"/>
              <w:tr2bl w:val="nil"/>
            </w:tcBorders>
            <w:shd w:val="clear" w:color="auto" w:fill="auto"/>
            <w:vAlign w:val="center"/>
          </w:tcPr>
          <w:p w14:paraId="7183AB11">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snapToGrid/>
                <w:color w:val="auto"/>
                <w:spacing w:val="0"/>
                <w:kern w:val="2"/>
                <w:sz w:val="21"/>
                <w:szCs w:val="24"/>
                <w:highlight w:val="none"/>
                <w:lang w:val="en-US" w:eastAsia="zh-CN" w:bidi="ar-SA"/>
              </w:rPr>
            </w:pPr>
          </w:p>
        </w:tc>
      </w:tr>
      <w:tr w14:paraId="02DE780D">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754" w:type="dxa"/>
            <w:vMerge w:val="continue"/>
            <w:tcBorders>
              <w:tl2br w:val="nil"/>
              <w:tr2bl w:val="nil"/>
            </w:tcBorders>
            <w:shd w:val="clear" w:color="auto" w:fill="auto"/>
            <w:vAlign w:val="center"/>
          </w:tcPr>
          <w:p w14:paraId="3888087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0"/>
                <w:szCs w:val="20"/>
                <w:u w:val="none"/>
                <w:lang w:val="en-US" w:eastAsia="zh-CN" w:bidi="ar"/>
              </w:rPr>
            </w:pPr>
          </w:p>
        </w:tc>
        <w:tc>
          <w:tcPr>
            <w:tcW w:w="6743" w:type="dxa"/>
            <w:tcBorders>
              <w:tl2br w:val="nil"/>
              <w:tr2bl w:val="nil"/>
            </w:tcBorders>
            <w:shd w:val="clear" w:color="auto" w:fill="auto"/>
            <w:vAlign w:val="center"/>
          </w:tcPr>
          <w:p w14:paraId="7047F8B3">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snapToGrid/>
                <w:color w:val="000000" w:themeColor="text1"/>
                <w:spacing w:val="0"/>
                <w:kern w:val="2"/>
                <w:sz w:val="21"/>
                <w:szCs w:val="24"/>
                <w:highlight w:val="none"/>
                <w:lang w:val="en-US" w:eastAsia="zh-CN" w:bidi="ar-SA"/>
                <w14:textFill>
                  <w14:solidFill>
                    <w14:schemeClr w14:val="tx1"/>
                  </w14:solidFill>
                </w14:textFill>
              </w:rPr>
            </w:pPr>
            <w:r>
              <w:rPr>
                <w:rFonts w:hint="eastAsia" w:ascii="宋体" w:hAnsi="宋体" w:eastAsia="宋体" w:cs="宋体"/>
                <w:snapToGrid/>
                <w:color w:val="000000" w:themeColor="text1"/>
                <w:spacing w:val="0"/>
                <w:kern w:val="2"/>
                <w:sz w:val="21"/>
                <w:szCs w:val="24"/>
                <w:highlight w:val="none"/>
                <w:lang w:val="en-US" w:eastAsia="zh-CN" w:bidi="ar-SA"/>
                <w14:textFill>
                  <w14:solidFill>
                    <w14:schemeClr w14:val="tx1"/>
                  </w14:solidFill>
                </w14:textFill>
              </w:rPr>
              <w:t>16.鞋底：橡胶大底，防滑花纹设计，防滑等级≥SRA</w:t>
            </w:r>
          </w:p>
        </w:tc>
        <w:tc>
          <w:tcPr>
            <w:tcW w:w="1152" w:type="dxa"/>
            <w:tcBorders>
              <w:tl2br w:val="nil"/>
              <w:tr2bl w:val="nil"/>
            </w:tcBorders>
            <w:shd w:val="clear" w:color="auto" w:fill="auto"/>
            <w:vAlign w:val="center"/>
          </w:tcPr>
          <w:p w14:paraId="78F5B532">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snapToGrid/>
                <w:color w:val="auto"/>
                <w:spacing w:val="0"/>
                <w:kern w:val="2"/>
                <w:sz w:val="21"/>
                <w:szCs w:val="24"/>
                <w:highlight w:val="none"/>
                <w:lang w:val="en-US" w:eastAsia="zh-CN" w:bidi="ar-SA"/>
              </w:rPr>
            </w:pPr>
          </w:p>
        </w:tc>
      </w:tr>
      <w:tr w14:paraId="384F548D">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754" w:type="dxa"/>
            <w:vMerge w:val="continue"/>
            <w:tcBorders>
              <w:tl2br w:val="nil"/>
              <w:tr2bl w:val="nil"/>
            </w:tcBorders>
            <w:shd w:val="clear" w:color="auto" w:fill="auto"/>
            <w:vAlign w:val="center"/>
          </w:tcPr>
          <w:p w14:paraId="48CAC7E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0"/>
                <w:szCs w:val="20"/>
                <w:u w:val="none"/>
                <w:lang w:val="en-US" w:eastAsia="zh-CN" w:bidi="ar"/>
              </w:rPr>
            </w:pPr>
          </w:p>
        </w:tc>
        <w:tc>
          <w:tcPr>
            <w:tcW w:w="6743" w:type="dxa"/>
            <w:tcBorders>
              <w:tl2br w:val="nil"/>
              <w:tr2bl w:val="nil"/>
            </w:tcBorders>
            <w:shd w:val="clear" w:color="auto" w:fill="auto"/>
            <w:vAlign w:val="center"/>
          </w:tcPr>
          <w:p w14:paraId="5D7BE7FC">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snapToGrid/>
                <w:color w:val="000000" w:themeColor="text1"/>
                <w:spacing w:val="0"/>
                <w:kern w:val="2"/>
                <w:sz w:val="21"/>
                <w:szCs w:val="24"/>
                <w:highlight w:val="none"/>
                <w:lang w:val="en-US" w:eastAsia="zh-CN" w:bidi="ar-SA"/>
                <w14:textFill>
                  <w14:solidFill>
                    <w14:schemeClr w14:val="tx1"/>
                  </w14:solidFill>
                </w14:textFill>
              </w:rPr>
            </w:pPr>
            <w:r>
              <w:rPr>
                <w:rFonts w:hint="eastAsia" w:ascii="宋体" w:hAnsi="宋体" w:eastAsia="宋体" w:cs="宋体"/>
                <w:snapToGrid/>
                <w:color w:val="000000" w:themeColor="text1"/>
                <w:spacing w:val="0"/>
                <w:kern w:val="2"/>
                <w:sz w:val="21"/>
                <w:szCs w:val="24"/>
                <w:highlight w:val="none"/>
                <w:lang w:val="en-US" w:eastAsia="zh-CN" w:bidi="ar-SA"/>
                <w14:textFill>
                  <w14:solidFill>
                    <w14:schemeClr w14:val="tx1"/>
                  </w14:solidFill>
                </w14:textFill>
              </w:rPr>
              <w:t>17.内衬：透气网布，吸湿排汗</w:t>
            </w:r>
          </w:p>
        </w:tc>
        <w:tc>
          <w:tcPr>
            <w:tcW w:w="1152" w:type="dxa"/>
            <w:tcBorders>
              <w:tl2br w:val="nil"/>
              <w:tr2bl w:val="nil"/>
            </w:tcBorders>
            <w:shd w:val="clear" w:color="auto" w:fill="auto"/>
            <w:vAlign w:val="center"/>
          </w:tcPr>
          <w:p w14:paraId="11836962">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snapToGrid/>
                <w:color w:val="auto"/>
                <w:spacing w:val="0"/>
                <w:kern w:val="2"/>
                <w:sz w:val="21"/>
                <w:szCs w:val="24"/>
                <w:highlight w:val="none"/>
                <w:lang w:val="en-US" w:eastAsia="zh-CN" w:bidi="ar-SA"/>
              </w:rPr>
            </w:pPr>
          </w:p>
        </w:tc>
      </w:tr>
      <w:tr w14:paraId="2E572EAE">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754" w:type="dxa"/>
            <w:vMerge w:val="continue"/>
            <w:tcBorders>
              <w:tl2br w:val="nil"/>
              <w:tr2bl w:val="nil"/>
            </w:tcBorders>
            <w:shd w:val="clear" w:color="auto" w:fill="auto"/>
            <w:vAlign w:val="center"/>
          </w:tcPr>
          <w:p w14:paraId="76A227B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0"/>
                <w:szCs w:val="20"/>
                <w:u w:val="none"/>
                <w:lang w:val="en-US" w:eastAsia="zh-CN" w:bidi="ar"/>
              </w:rPr>
            </w:pPr>
          </w:p>
        </w:tc>
        <w:tc>
          <w:tcPr>
            <w:tcW w:w="6743" w:type="dxa"/>
            <w:tcBorders>
              <w:tl2br w:val="nil"/>
              <w:tr2bl w:val="nil"/>
            </w:tcBorders>
            <w:shd w:val="clear" w:color="auto" w:fill="auto"/>
            <w:vAlign w:val="center"/>
          </w:tcPr>
          <w:p w14:paraId="2154820C">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snapToGrid/>
                <w:color w:val="000000" w:themeColor="text1"/>
                <w:spacing w:val="0"/>
                <w:kern w:val="2"/>
                <w:sz w:val="21"/>
                <w:szCs w:val="24"/>
                <w:highlight w:val="none"/>
                <w:lang w:val="en-US" w:eastAsia="zh-CN" w:bidi="ar-SA"/>
                <w14:textFill>
                  <w14:solidFill>
                    <w14:schemeClr w14:val="tx1"/>
                  </w14:solidFill>
                </w14:textFill>
              </w:rPr>
            </w:pPr>
            <w:r>
              <w:rPr>
                <w:rFonts w:hint="eastAsia" w:ascii="宋体" w:hAnsi="宋体" w:eastAsia="宋体" w:cs="宋体"/>
                <w:snapToGrid/>
                <w:color w:val="000000" w:themeColor="text1"/>
                <w:spacing w:val="0"/>
                <w:kern w:val="2"/>
                <w:sz w:val="21"/>
                <w:szCs w:val="24"/>
                <w:highlight w:val="none"/>
                <w:lang w:val="en-US" w:eastAsia="zh-CN" w:bidi="ar-SA"/>
                <w14:textFill>
                  <w14:solidFill>
                    <w14:schemeClr w14:val="tx1"/>
                  </w14:solidFill>
                </w14:textFill>
              </w:rPr>
              <w:t>18.尺码：提供35-50码可选</w:t>
            </w:r>
          </w:p>
        </w:tc>
        <w:tc>
          <w:tcPr>
            <w:tcW w:w="1152" w:type="dxa"/>
            <w:tcBorders>
              <w:tl2br w:val="nil"/>
              <w:tr2bl w:val="nil"/>
            </w:tcBorders>
            <w:shd w:val="clear" w:color="auto" w:fill="auto"/>
            <w:vAlign w:val="center"/>
          </w:tcPr>
          <w:p w14:paraId="224A2F48">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snapToGrid/>
                <w:color w:val="auto"/>
                <w:spacing w:val="0"/>
                <w:kern w:val="2"/>
                <w:sz w:val="21"/>
                <w:szCs w:val="24"/>
                <w:highlight w:val="none"/>
                <w:lang w:val="en-US" w:eastAsia="zh-CN" w:bidi="ar-SA"/>
              </w:rPr>
            </w:pPr>
          </w:p>
        </w:tc>
      </w:tr>
      <w:tr w14:paraId="669E45DB">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754" w:type="dxa"/>
            <w:vMerge w:val="continue"/>
            <w:tcBorders>
              <w:tl2br w:val="nil"/>
              <w:tr2bl w:val="nil"/>
            </w:tcBorders>
            <w:shd w:val="clear" w:color="auto" w:fill="auto"/>
            <w:vAlign w:val="center"/>
          </w:tcPr>
          <w:p w14:paraId="0DB925E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0"/>
                <w:szCs w:val="20"/>
                <w:u w:val="none"/>
                <w:lang w:val="en-US" w:eastAsia="zh-CN" w:bidi="ar"/>
              </w:rPr>
            </w:pPr>
          </w:p>
        </w:tc>
        <w:tc>
          <w:tcPr>
            <w:tcW w:w="6743" w:type="dxa"/>
            <w:tcBorders>
              <w:tl2br w:val="nil"/>
              <w:tr2bl w:val="nil"/>
            </w:tcBorders>
            <w:shd w:val="clear" w:color="auto" w:fill="auto"/>
            <w:vAlign w:val="center"/>
          </w:tcPr>
          <w:p w14:paraId="3BD67F3C">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snapToGrid/>
                <w:color w:val="000000" w:themeColor="text1"/>
                <w:spacing w:val="0"/>
                <w:kern w:val="2"/>
                <w:sz w:val="21"/>
                <w:szCs w:val="24"/>
                <w:highlight w:val="none"/>
                <w:lang w:val="en-US" w:eastAsia="zh-CN" w:bidi="ar-SA"/>
                <w14:textFill>
                  <w14:solidFill>
                    <w14:schemeClr w14:val="tx1"/>
                  </w14:solidFill>
                </w14:textFill>
              </w:rPr>
            </w:pPr>
            <w:r>
              <w:rPr>
                <w:rFonts w:hint="eastAsia" w:ascii="宋体" w:hAnsi="宋体" w:eastAsia="宋体" w:cs="宋体"/>
                <w:snapToGrid/>
                <w:color w:val="000000" w:themeColor="text1"/>
                <w:spacing w:val="0"/>
                <w:kern w:val="2"/>
                <w:sz w:val="21"/>
                <w:szCs w:val="24"/>
                <w:highlight w:val="none"/>
                <w:lang w:val="en-US" w:eastAsia="zh-CN" w:bidi="ar-SA"/>
                <w14:textFill>
                  <w14:solidFill>
                    <w14:schemeClr w14:val="tx1"/>
                  </w14:solidFill>
                </w14:textFill>
              </w:rPr>
              <w:t>19.其他：鞋带为耐磨尼龙材质，鞋帮高度≥15cm</w:t>
            </w:r>
          </w:p>
        </w:tc>
        <w:tc>
          <w:tcPr>
            <w:tcW w:w="1152" w:type="dxa"/>
            <w:tcBorders>
              <w:tl2br w:val="nil"/>
              <w:tr2bl w:val="nil"/>
            </w:tcBorders>
            <w:shd w:val="clear" w:color="auto" w:fill="auto"/>
            <w:vAlign w:val="center"/>
          </w:tcPr>
          <w:p w14:paraId="22ADB5BB">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snapToGrid/>
                <w:color w:val="auto"/>
                <w:spacing w:val="0"/>
                <w:kern w:val="2"/>
                <w:sz w:val="21"/>
                <w:szCs w:val="24"/>
                <w:highlight w:val="none"/>
                <w:lang w:val="en-US" w:eastAsia="zh-CN" w:bidi="ar-SA"/>
              </w:rPr>
            </w:pPr>
          </w:p>
        </w:tc>
      </w:tr>
      <w:tr w14:paraId="384614A1">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754" w:type="dxa"/>
            <w:vMerge w:val="continue"/>
            <w:tcBorders>
              <w:tl2br w:val="nil"/>
              <w:tr2bl w:val="nil"/>
            </w:tcBorders>
            <w:shd w:val="clear" w:color="auto" w:fill="auto"/>
            <w:vAlign w:val="center"/>
          </w:tcPr>
          <w:p w14:paraId="7FE6695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0"/>
                <w:szCs w:val="20"/>
                <w:u w:val="none"/>
                <w:lang w:val="en-US" w:eastAsia="zh-CN" w:bidi="ar"/>
              </w:rPr>
            </w:pPr>
          </w:p>
        </w:tc>
        <w:tc>
          <w:tcPr>
            <w:tcW w:w="6743" w:type="dxa"/>
            <w:tcBorders>
              <w:tl2br w:val="nil"/>
              <w:tr2bl w:val="nil"/>
            </w:tcBorders>
            <w:shd w:val="clear" w:color="auto" w:fill="auto"/>
            <w:vAlign w:val="center"/>
          </w:tcPr>
          <w:p w14:paraId="7863E756">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snapToGrid/>
                <w:color w:val="000000" w:themeColor="text1"/>
                <w:spacing w:val="0"/>
                <w:kern w:val="2"/>
                <w:sz w:val="21"/>
                <w:szCs w:val="24"/>
                <w:highlight w:val="none"/>
                <w:lang w:val="en-US" w:eastAsia="zh-CN" w:bidi="ar-SA"/>
                <w14:textFill>
                  <w14:solidFill>
                    <w14:schemeClr w14:val="tx1"/>
                  </w14:solidFill>
                </w14:textFill>
              </w:rPr>
            </w:pPr>
            <w:r>
              <w:rPr>
                <w:rFonts w:hint="eastAsia" w:ascii="宋体" w:hAnsi="宋体" w:eastAsia="宋体" w:cs="宋体"/>
                <w:b/>
                <w:bCs/>
                <w:snapToGrid/>
                <w:color w:val="000000" w:themeColor="text1"/>
                <w:spacing w:val="0"/>
                <w:kern w:val="2"/>
                <w:sz w:val="21"/>
                <w:szCs w:val="24"/>
                <w:highlight w:val="none"/>
                <w:lang w:val="en-US" w:eastAsia="zh-CN" w:bidi="ar-SA"/>
                <w14:textFill>
                  <w14:solidFill>
                    <w14:schemeClr w14:val="tx1"/>
                  </w14:solidFill>
                </w14:textFill>
              </w:rPr>
              <w:t>五．防穿刺手套</w:t>
            </w:r>
          </w:p>
        </w:tc>
        <w:tc>
          <w:tcPr>
            <w:tcW w:w="1152" w:type="dxa"/>
            <w:tcBorders>
              <w:tl2br w:val="nil"/>
              <w:tr2bl w:val="nil"/>
            </w:tcBorders>
            <w:shd w:val="clear" w:color="auto" w:fill="auto"/>
            <w:vAlign w:val="center"/>
          </w:tcPr>
          <w:p w14:paraId="1AEE32B8">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snapToGrid/>
                <w:color w:val="auto"/>
                <w:spacing w:val="0"/>
                <w:kern w:val="2"/>
                <w:sz w:val="21"/>
                <w:szCs w:val="24"/>
                <w:highlight w:val="none"/>
                <w:lang w:val="en-US" w:eastAsia="zh-CN" w:bidi="ar-SA"/>
              </w:rPr>
            </w:pPr>
          </w:p>
        </w:tc>
      </w:tr>
      <w:tr w14:paraId="1DFC7C0C">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754" w:type="dxa"/>
            <w:vMerge w:val="continue"/>
            <w:tcBorders>
              <w:tl2br w:val="nil"/>
              <w:tr2bl w:val="nil"/>
            </w:tcBorders>
            <w:shd w:val="clear" w:color="auto" w:fill="auto"/>
            <w:vAlign w:val="center"/>
          </w:tcPr>
          <w:p w14:paraId="77AAD9A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0"/>
                <w:szCs w:val="20"/>
                <w:u w:val="none"/>
                <w:lang w:val="en-US" w:eastAsia="zh-CN" w:bidi="ar"/>
              </w:rPr>
            </w:pPr>
          </w:p>
        </w:tc>
        <w:tc>
          <w:tcPr>
            <w:tcW w:w="6743" w:type="dxa"/>
            <w:tcBorders>
              <w:tl2br w:val="nil"/>
              <w:tr2bl w:val="nil"/>
            </w:tcBorders>
            <w:shd w:val="clear" w:color="auto" w:fill="auto"/>
            <w:vAlign w:val="center"/>
          </w:tcPr>
          <w:p w14:paraId="1829ED68">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snapToGrid/>
                <w:color w:val="000000" w:themeColor="text1"/>
                <w:spacing w:val="0"/>
                <w:kern w:val="2"/>
                <w:sz w:val="21"/>
                <w:szCs w:val="24"/>
                <w:highlight w:val="none"/>
                <w:lang w:val="en-US" w:eastAsia="zh-CN" w:bidi="ar-SA"/>
                <w14:textFill>
                  <w14:solidFill>
                    <w14:schemeClr w14:val="tx1"/>
                  </w14:solidFill>
                </w14:textFill>
              </w:rPr>
            </w:pPr>
            <w:r>
              <w:rPr>
                <w:rFonts w:hint="eastAsia" w:ascii="宋体" w:hAnsi="宋体" w:eastAsia="宋体" w:cs="宋体"/>
                <w:snapToGrid/>
                <w:color w:val="000000" w:themeColor="text1"/>
                <w:spacing w:val="0"/>
                <w:kern w:val="2"/>
                <w:sz w:val="21"/>
                <w:szCs w:val="24"/>
                <w:highlight w:val="none"/>
                <w:lang w:val="en-US" w:eastAsia="zh-CN" w:bidi="ar-SA"/>
                <w14:textFill>
                  <w14:solidFill>
                    <w14:schemeClr w14:val="tx1"/>
                  </w14:solidFill>
                </w14:textFill>
              </w:rPr>
              <w:t>20.防切割等级：≥5级（EN 388标准）</w:t>
            </w:r>
          </w:p>
        </w:tc>
        <w:tc>
          <w:tcPr>
            <w:tcW w:w="1152" w:type="dxa"/>
            <w:tcBorders>
              <w:tl2br w:val="nil"/>
              <w:tr2bl w:val="nil"/>
            </w:tcBorders>
            <w:shd w:val="clear" w:color="auto" w:fill="auto"/>
            <w:vAlign w:val="center"/>
          </w:tcPr>
          <w:p w14:paraId="65397EFB">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snapToGrid/>
                <w:color w:val="auto"/>
                <w:spacing w:val="0"/>
                <w:kern w:val="2"/>
                <w:sz w:val="21"/>
                <w:szCs w:val="24"/>
                <w:highlight w:val="none"/>
                <w:lang w:val="en-US" w:eastAsia="zh-CN" w:bidi="ar-SA"/>
              </w:rPr>
            </w:pPr>
          </w:p>
        </w:tc>
      </w:tr>
      <w:tr w14:paraId="2679F396">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754" w:type="dxa"/>
            <w:vMerge w:val="continue"/>
            <w:tcBorders>
              <w:tl2br w:val="nil"/>
              <w:tr2bl w:val="nil"/>
            </w:tcBorders>
            <w:shd w:val="clear" w:color="auto" w:fill="auto"/>
            <w:vAlign w:val="center"/>
          </w:tcPr>
          <w:p w14:paraId="000E283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0"/>
                <w:szCs w:val="20"/>
                <w:u w:val="none"/>
                <w:lang w:val="en-US" w:eastAsia="zh-CN" w:bidi="ar"/>
              </w:rPr>
            </w:pPr>
          </w:p>
        </w:tc>
        <w:tc>
          <w:tcPr>
            <w:tcW w:w="6743" w:type="dxa"/>
            <w:tcBorders>
              <w:tl2br w:val="nil"/>
              <w:tr2bl w:val="nil"/>
            </w:tcBorders>
            <w:shd w:val="clear" w:color="auto" w:fill="auto"/>
            <w:vAlign w:val="center"/>
          </w:tcPr>
          <w:p w14:paraId="3D6A5632">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snapToGrid/>
                <w:color w:val="000000" w:themeColor="text1"/>
                <w:spacing w:val="0"/>
                <w:kern w:val="2"/>
                <w:sz w:val="21"/>
                <w:szCs w:val="24"/>
                <w:highlight w:val="none"/>
                <w:lang w:val="en-US" w:eastAsia="zh-CN" w:bidi="ar-SA"/>
                <w14:textFill>
                  <w14:solidFill>
                    <w14:schemeClr w14:val="tx1"/>
                  </w14:solidFill>
                </w14:textFill>
              </w:rPr>
            </w:pPr>
            <w:r>
              <w:rPr>
                <w:rFonts w:hint="eastAsia" w:ascii="宋体" w:hAnsi="宋体" w:eastAsia="宋体" w:cs="宋体"/>
                <w:snapToGrid/>
                <w:color w:val="000000" w:themeColor="text1"/>
                <w:spacing w:val="0"/>
                <w:kern w:val="2"/>
                <w:sz w:val="21"/>
                <w:szCs w:val="24"/>
                <w:highlight w:val="none"/>
                <w:lang w:val="en-US" w:eastAsia="zh-CN" w:bidi="ar-SA"/>
                <w14:textFill>
                  <w14:solidFill>
                    <w14:schemeClr w14:val="tx1"/>
                  </w14:solidFill>
                </w14:textFill>
              </w:rPr>
              <w:t>21.防穿刺性能：指尖及掌部抗穿刺力≥60N</w:t>
            </w:r>
          </w:p>
        </w:tc>
        <w:tc>
          <w:tcPr>
            <w:tcW w:w="1152" w:type="dxa"/>
            <w:tcBorders>
              <w:tl2br w:val="nil"/>
              <w:tr2bl w:val="nil"/>
            </w:tcBorders>
            <w:shd w:val="clear" w:color="auto" w:fill="auto"/>
            <w:vAlign w:val="center"/>
          </w:tcPr>
          <w:p w14:paraId="0AAF7F12">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snapToGrid/>
                <w:color w:val="auto"/>
                <w:spacing w:val="0"/>
                <w:kern w:val="2"/>
                <w:sz w:val="21"/>
                <w:szCs w:val="24"/>
                <w:highlight w:val="none"/>
                <w:lang w:val="en-US" w:eastAsia="zh-CN" w:bidi="ar-SA"/>
              </w:rPr>
            </w:pPr>
          </w:p>
        </w:tc>
      </w:tr>
      <w:tr w14:paraId="4EC59C31">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754" w:type="dxa"/>
            <w:vMerge w:val="continue"/>
            <w:tcBorders>
              <w:tl2br w:val="nil"/>
              <w:tr2bl w:val="nil"/>
            </w:tcBorders>
            <w:shd w:val="clear" w:color="auto" w:fill="auto"/>
            <w:vAlign w:val="center"/>
          </w:tcPr>
          <w:p w14:paraId="6D86760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0"/>
                <w:szCs w:val="20"/>
                <w:u w:val="none"/>
                <w:lang w:val="en-US" w:eastAsia="zh-CN" w:bidi="ar"/>
              </w:rPr>
            </w:pPr>
          </w:p>
        </w:tc>
        <w:tc>
          <w:tcPr>
            <w:tcW w:w="6743" w:type="dxa"/>
            <w:tcBorders>
              <w:tl2br w:val="nil"/>
              <w:tr2bl w:val="nil"/>
            </w:tcBorders>
            <w:shd w:val="clear" w:color="auto" w:fill="auto"/>
            <w:vAlign w:val="center"/>
          </w:tcPr>
          <w:p w14:paraId="22A3BAC8">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snapToGrid/>
                <w:color w:val="000000" w:themeColor="text1"/>
                <w:spacing w:val="0"/>
                <w:kern w:val="2"/>
                <w:sz w:val="21"/>
                <w:szCs w:val="24"/>
                <w:highlight w:val="none"/>
                <w:lang w:val="en-US" w:eastAsia="zh-CN" w:bidi="ar-SA"/>
                <w14:textFill>
                  <w14:solidFill>
                    <w14:schemeClr w14:val="tx1"/>
                  </w14:solidFill>
                </w14:textFill>
              </w:rPr>
            </w:pPr>
            <w:r>
              <w:rPr>
                <w:rFonts w:hint="eastAsia" w:ascii="宋体" w:hAnsi="宋体" w:eastAsia="宋体" w:cs="宋体"/>
                <w:snapToGrid/>
                <w:color w:val="000000" w:themeColor="text1"/>
                <w:spacing w:val="0"/>
                <w:kern w:val="2"/>
                <w:sz w:val="21"/>
                <w:szCs w:val="24"/>
                <w:highlight w:val="none"/>
                <w:lang w:val="en-US" w:eastAsia="zh-CN" w:bidi="ar-SA"/>
                <w14:textFill>
                  <w14:solidFill>
                    <w14:schemeClr w14:val="tx1"/>
                  </w14:solidFill>
                </w14:textFill>
              </w:rPr>
              <w:t>22.材质：外层采用高强度聚乙烯纤维（如UHMWPE、HPPE等同等性能纤维）编织</w:t>
            </w:r>
          </w:p>
        </w:tc>
        <w:tc>
          <w:tcPr>
            <w:tcW w:w="1152" w:type="dxa"/>
            <w:tcBorders>
              <w:tl2br w:val="nil"/>
              <w:tr2bl w:val="nil"/>
            </w:tcBorders>
            <w:shd w:val="clear" w:color="auto" w:fill="auto"/>
            <w:vAlign w:val="center"/>
          </w:tcPr>
          <w:p w14:paraId="27F5AE50">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snapToGrid/>
                <w:color w:val="auto"/>
                <w:spacing w:val="0"/>
                <w:kern w:val="2"/>
                <w:sz w:val="21"/>
                <w:szCs w:val="24"/>
                <w:highlight w:val="none"/>
                <w:lang w:val="en-US" w:eastAsia="zh-CN" w:bidi="ar-SA"/>
              </w:rPr>
            </w:pPr>
          </w:p>
        </w:tc>
      </w:tr>
      <w:tr w14:paraId="1B0BFA2C">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754" w:type="dxa"/>
            <w:vMerge w:val="continue"/>
            <w:tcBorders>
              <w:tl2br w:val="nil"/>
              <w:tr2bl w:val="nil"/>
            </w:tcBorders>
            <w:shd w:val="clear" w:color="auto" w:fill="auto"/>
            <w:vAlign w:val="center"/>
          </w:tcPr>
          <w:p w14:paraId="472359D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0"/>
                <w:szCs w:val="20"/>
                <w:u w:val="none"/>
                <w:lang w:val="en-US" w:eastAsia="zh-CN" w:bidi="ar"/>
              </w:rPr>
            </w:pPr>
          </w:p>
        </w:tc>
        <w:tc>
          <w:tcPr>
            <w:tcW w:w="6743" w:type="dxa"/>
            <w:tcBorders>
              <w:tl2br w:val="nil"/>
              <w:tr2bl w:val="nil"/>
            </w:tcBorders>
            <w:shd w:val="clear" w:color="auto" w:fill="auto"/>
            <w:vAlign w:val="center"/>
          </w:tcPr>
          <w:p w14:paraId="605798C1">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snapToGrid/>
                <w:color w:val="000000" w:themeColor="text1"/>
                <w:spacing w:val="0"/>
                <w:kern w:val="2"/>
                <w:sz w:val="21"/>
                <w:szCs w:val="24"/>
                <w:highlight w:val="none"/>
                <w:lang w:val="en-US" w:eastAsia="zh-CN" w:bidi="ar-SA"/>
                <w14:textFill>
                  <w14:solidFill>
                    <w14:schemeClr w14:val="tx1"/>
                  </w14:solidFill>
                </w14:textFill>
              </w:rPr>
            </w:pPr>
            <w:r>
              <w:rPr>
                <w:rFonts w:hint="eastAsia" w:ascii="宋体" w:hAnsi="宋体" w:eastAsia="宋体" w:cs="宋体"/>
                <w:snapToGrid/>
                <w:color w:val="000000" w:themeColor="text1"/>
                <w:spacing w:val="0"/>
                <w:kern w:val="2"/>
                <w:sz w:val="21"/>
                <w:szCs w:val="24"/>
                <w:highlight w:val="none"/>
                <w:lang w:val="en-US" w:eastAsia="zh-CN" w:bidi="ar-SA"/>
                <w14:textFill>
                  <w14:solidFill>
                    <w14:schemeClr w14:val="tx1"/>
                  </w14:solidFill>
                </w14:textFill>
              </w:rPr>
              <w:t>23.尺寸：提供XS/S/M/L/XL尺码可选</w:t>
            </w:r>
          </w:p>
        </w:tc>
        <w:tc>
          <w:tcPr>
            <w:tcW w:w="1152" w:type="dxa"/>
            <w:tcBorders>
              <w:tl2br w:val="nil"/>
              <w:tr2bl w:val="nil"/>
            </w:tcBorders>
            <w:shd w:val="clear" w:color="auto" w:fill="auto"/>
            <w:vAlign w:val="center"/>
          </w:tcPr>
          <w:p w14:paraId="77477414">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snapToGrid/>
                <w:color w:val="auto"/>
                <w:spacing w:val="0"/>
                <w:kern w:val="2"/>
                <w:sz w:val="21"/>
                <w:szCs w:val="24"/>
                <w:highlight w:val="none"/>
                <w:lang w:val="en-US" w:eastAsia="zh-CN" w:bidi="ar-SA"/>
              </w:rPr>
            </w:pPr>
          </w:p>
        </w:tc>
      </w:tr>
      <w:tr w14:paraId="111CA6BE">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754" w:type="dxa"/>
            <w:vMerge w:val="continue"/>
            <w:tcBorders>
              <w:tl2br w:val="nil"/>
              <w:tr2bl w:val="nil"/>
            </w:tcBorders>
            <w:shd w:val="clear" w:color="auto" w:fill="auto"/>
            <w:vAlign w:val="center"/>
          </w:tcPr>
          <w:p w14:paraId="694C073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0"/>
                <w:szCs w:val="20"/>
                <w:u w:val="none"/>
                <w:lang w:val="en-US" w:eastAsia="zh-CN" w:bidi="ar"/>
              </w:rPr>
            </w:pPr>
          </w:p>
        </w:tc>
        <w:tc>
          <w:tcPr>
            <w:tcW w:w="6743" w:type="dxa"/>
            <w:tcBorders>
              <w:tl2br w:val="nil"/>
              <w:tr2bl w:val="nil"/>
            </w:tcBorders>
            <w:shd w:val="clear" w:color="auto" w:fill="auto"/>
            <w:vAlign w:val="center"/>
          </w:tcPr>
          <w:p w14:paraId="769EC7BD">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snapToGrid/>
                <w:color w:val="000000" w:themeColor="text1"/>
                <w:spacing w:val="0"/>
                <w:kern w:val="2"/>
                <w:sz w:val="21"/>
                <w:szCs w:val="24"/>
                <w:highlight w:val="none"/>
                <w:lang w:val="en-US" w:eastAsia="zh-CN" w:bidi="ar-SA"/>
                <w14:textFill>
                  <w14:solidFill>
                    <w14:schemeClr w14:val="tx1"/>
                  </w14:solidFill>
                </w14:textFill>
              </w:rPr>
            </w:pPr>
            <w:r>
              <w:rPr>
                <w:rFonts w:hint="eastAsia" w:ascii="宋体" w:hAnsi="宋体" w:eastAsia="宋体" w:cs="宋体"/>
                <w:snapToGrid/>
                <w:color w:val="000000" w:themeColor="text1"/>
                <w:spacing w:val="0"/>
                <w:kern w:val="2"/>
                <w:sz w:val="21"/>
                <w:szCs w:val="24"/>
                <w:highlight w:val="none"/>
                <w:lang w:val="en-US" w:eastAsia="zh-CN" w:bidi="ar-SA"/>
                <w14:textFill>
                  <w14:solidFill>
                    <w14:schemeClr w14:val="tx1"/>
                  </w14:solidFill>
                </w14:textFill>
              </w:rPr>
              <w:t>24.功能：防割、耐磨、透气功能</w:t>
            </w:r>
          </w:p>
        </w:tc>
        <w:tc>
          <w:tcPr>
            <w:tcW w:w="1152" w:type="dxa"/>
            <w:tcBorders>
              <w:tl2br w:val="nil"/>
              <w:tr2bl w:val="nil"/>
            </w:tcBorders>
            <w:shd w:val="clear" w:color="auto" w:fill="auto"/>
            <w:vAlign w:val="center"/>
          </w:tcPr>
          <w:p w14:paraId="2FD4B7CA">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snapToGrid/>
                <w:color w:val="auto"/>
                <w:spacing w:val="0"/>
                <w:kern w:val="2"/>
                <w:sz w:val="21"/>
                <w:szCs w:val="24"/>
                <w:highlight w:val="none"/>
                <w:lang w:val="en-US" w:eastAsia="zh-CN" w:bidi="ar-SA"/>
              </w:rPr>
            </w:pPr>
          </w:p>
        </w:tc>
      </w:tr>
      <w:tr w14:paraId="2C5AD11E">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754" w:type="dxa"/>
            <w:vMerge w:val="continue"/>
            <w:tcBorders>
              <w:tl2br w:val="nil"/>
              <w:tr2bl w:val="nil"/>
            </w:tcBorders>
            <w:shd w:val="clear" w:color="auto" w:fill="auto"/>
            <w:vAlign w:val="center"/>
          </w:tcPr>
          <w:p w14:paraId="0738FE9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0"/>
                <w:szCs w:val="20"/>
                <w:u w:val="none"/>
                <w:lang w:val="en-US" w:eastAsia="zh-CN" w:bidi="ar"/>
              </w:rPr>
            </w:pPr>
          </w:p>
        </w:tc>
        <w:tc>
          <w:tcPr>
            <w:tcW w:w="6743" w:type="dxa"/>
            <w:tcBorders>
              <w:tl2br w:val="nil"/>
              <w:tr2bl w:val="nil"/>
            </w:tcBorders>
            <w:shd w:val="clear" w:color="auto" w:fill="auto"/>
            <w:vAlign w:val="center"/>
          </w:tcPr>
          <w:p w14:paraId="375ACDDD">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snapToGrid/>
                <w:color w:val="000000" w:themeColor="text1"/>
                <w:spacing w:val="0"/>
                <w:kern w:val="2"/>
                <w:sz w:val="21"/>
                <w:szCs w:val="24"/>
                <w:highlight w:val="none"/>
                <w:lang w:val="en-US" w:eastAsia="zh-CN" w:bidi="ar-SA"/>
                <w14:textFill>
                  <w14:solidFill>
                    <w14:schemeClr w14:val="tx1"/>
                  </w14:solidFill>
                </w14:textFill>
              </w:rPr>
            </w:pPr>
            <w:r>
              <w:rPr>
                <w:rFonts w:hint="eastAsia" w:ascii="宋体" w:hAnsi="宋体" w:eastAsia="宋体" w:cs="宋体"/>
                <w:snapToGrid/>
                <w:color w:val="000000" w:themeColor="text1"/>
                <w:spacing w:val="0"/>
                <w:kern w:val="2"/>
                <w:sz w:val="21"/>
                <w:szCs w:val="24"/>
                <w:highlight w:val="none"/>
                <w:lang w:val="en-US" w:eastAsia="zh-CN" w:bidi="ar-SA"/>
                <w14:textFill>
                  <w14:solidFill>
                    <w14:schemeClr w14:val="tx1"/>
                  </w14:solidFill>
                </w14:textFill>
              </w:rPr>
              <w:t>25.工艺：无缝编织</w:t>
            </w:r>
          </w:p>
        </w:tc>
        <w:tc>
          <w:tcPr>
            <w:tcW w:w="1152" w:type="dxa"/>
            <w:tcBorders>
              <w:tl2br w:val="nil"/>
              <w:tr2bl w:val="nil"/>
            </w:tcBorders>
            <w:shd w:val="clear" w:color="auto" w:fill="auto"/>
            <w:vAlign w:val="center"/>
          </w:tcPr>
          <w:p w14:paraId="59744B34">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snapToGrid/>
                <w:color w:val="auto"/>
                <w:spacing w:val="0"/>
                <w:kern w:val="2"/>
                <w:sz w:val="21"/>
                <w:szCs w:val="24"/>
                <w:highlight w:val="none"/>
                <w:lang w:val="en-US" w:eastAsia="zh-CN" w:bidi="ar-SA"/>
              </w:rPr>
            </w:pPr>
          </w:p>
        </w:tc>
      </w:tr>
      <w:tr w14:paraId="331F87F4">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754" w:type="dxa"/>
            <w:vMerge w:val="continue"/>
            <w:tcBorders>
              <w:tl2br w:val="nil"/>
              <w:tr2bl w:val="nil"/>
            </w:tcBorders>
            <w:shd w:val="clear" w:color="auto" w:fill="auto"/>
            <w:vAlign w:val="center"/>
          </w:tcPr>
          <w:p w14:paraId="6792330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0"/>
                <w:szCs w:val="20"/>
                <w:u w:val="none"/>
                <w:lang w:val="en-US" w:eastAsia="zh-CN" w:bidi="ar"/>
              </w:rPr>
            </w:pPr>
          </w:p>
        </w:tc>
        <w:tc>
          <w:tcPr>
            <w:tcW w:w="6743" w:type="dxa"/>
            <w:tcBorders>
              <w:tl2br w:val="nil"/>
              <w:tr2bl w:val="nil"/>
            </w:tcBorders>
            <w:shd w:val="clear" w:color="auto" w:fill="auto"/>
            <w:vAlign w:val="center"/>
          </w:tcPr>
          <w:p w14:paraId="31282419">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snapToGrid/>
                <w:color w:val="000000" w:themeColor="text1"/>
                <w:spacing w:val="0"/>
                <w:kern w:val="2"/>
                <w:sz w:val="21"/>
                <w:szCs w:val="24"/>
                <w:highlight w:val="none"/>
                <w:lang w:val="en-US" w:eastAsia="zh-CN" w:bidi="ar-SA"/>
                <w14:textFill>
                  <w14:solidFill>
                    <w14:schemeClr w14:val="tx1"/>
                  </w14:solidFill>
                </w14:textFill>
              </w:rPr>
            </w:pPr>
            <w:r>
              <w:rPr>
                <w:rFonts w:hint="eastAsia" w:ascii="宋体" w:hAnsi="宋体" w:eastAsia="宋体" w:cs="宋体"/>
                <w:b/>
                <w:bCs/>
                <w:snapToGrid/>
                <w:color w:val="000000" w:themeColor="text1"/>
                <w:spacing w:val="0"/>
                <w:kern w:val="2"/>
                <w:sz w:val="21"/>
                <w:szCs w:val="24"/>
                <w:highlight w:val="none"/>
                <w:lang w:val="en-US" w:eastAsia="zh-CN" w:bidi="ar-SA"/>
                <w14:textFill>
                  <w14:solidFill>
                    <w14:schemeClr w14:val="tx1"/>
                  </w14:solidFill>
                </w14:textFill>
              </w:rPr>
              <w:t>六.护目镜</w:t>
            </w:r>
          </w:p>
        </w:tc>
        <w:tc>
          <w:tcPr>
            <w:tcW w:w="1152" w:type="dxa"/>
            <w:tcBorders>
              <w:tl2br w:val="nil"/>
              <w:tr2bl w:val="nil"/>
            </w:tcBorders>
            <w:shd w:val="clear" w:color="auto" w:fill="auto"/>
            <w:vAlign w:val="center"/>
          </w:tcPr>
          <w:p w14:paraId="29E594AC">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snapToGrid/>
                <w:color w:val="auto"/>
                <w:spacing w:val="0"/>
                <w:kern w:val="2"/>
                <w:sz w:val="21"/>
                <w:szCs w:val="24"/>
                <w:highlight w:val="none"/>
                <w:lang w:val="en-US" w:eastAsia="zh-CN" w:bidi="ar-SA"/>
              </w:rPr>
            </w:pPr>
          </w:p>
        </w:tc>
      </w:tr>
      <w:tr w14:paraId="4522289F">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754" w:type="dxa"/>
            <w:vMerge w:val="continue"/>
            <w:tcBorders>
              <w:tl2br w:val="nil"/>
              <w:tr2bl w:val="nil"/>
            </w:tcBorders>
            <w:shd w:val="clear" w:color="auto" w:fill="auto"/>
            <w:vAlign w:val="center"/>
          </w:tcPr>
          <w:p w14:paraId="0E77F64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0"/>
                <w:szCs w:val="20"/>
                <w:u w:val="none"/>
                <w:lang w:val="en-US" w:eastAsia="zh-CN" w:bidi="ar"/>
              </w:rPr>
            </w:pPr>
          </w:p>
        </w:tc>
        <w:tc>
          <w:tcPr>
            <w:tcW w:w="6743" w:type="dxa"/>
            <w:tcBorders>
              <w:tl2br w:val="nil"/>
              <w:tr2bl w:val="nil"/>
            </w:tcBorders>
            <w:shd w:val="clear" w:color="auto" w:fill="auto"/>
            <w:vAlign w:val="center"/>
          </w:tcPr>
          <w:p w14:paraId="3985C2FC">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snapToGrid/>
                <w:color w:val="000000" w:themeColor="text1"/>
                <w:spacing w:val="0"/>
                <w:kern w:val="2"/>
                <w:sz w:val="21"/>
                <w:szCs w:val="24"/>
                <w:highlight w:val="none"/>
                <w:lang w:val="en-US" w:eastAsia="zh-CN" w:bidi="ar-SA"/>
                <w14:textFill>
                  <w14:solidFill>
                    <w14:schemeClr w14:val="tx1"/>
                  </w14:solidFill>
                </w14:textFill>
              </w:rPr>
            </w:pPr>
            <w:r>
              <w:rPr>
                <w:rFonts w:hint="eastAsia" w:ascii="宋体" w:hAnsi="宋体" w:eastAsia="宋体" w:cs="宋体"/>
                <w:snapToGrid/>
                <w:color w:val="000000" w:themeColor="text1"/>
                <w:spacing w:val="0"/>
                <w:kern w:val="2"/>
                <w:sz w:val="21"/>
                <w:szCs w:val="24"/>
                <w:highlight w:val="none"/>
                <w:lang w:val="en-US" w:eastAsia="zh-CN" w:bidi="ar-SA"/>
                <w14:textFill>
                  <w14:solidFill>
                    <w14:schemeClr w14:val="tx1"/>
                  </w14:solidFill>
                </w14:textFill>
              </w:rPr>
              <w:t>26.采用聚碳酸酯或同等光学性能、抗冲击性能的透明材料材质镜片</w:t>
            </w:r>
          </w:p>
        </w:tc>
        <w:tc>
          <w:tcPr>
            <w:tcW w:w="1152" w:type="dxa"/>
            <w:tcBorders>
              <w:tl2br w:val="nil"/>
              <w:tr2bl w:val="nil"/>
            </w:tcBorders>
            <w:shd w:val="clear" w:color="auto" w:fill="auto"/>
            <w:vAlign w:val="center"/>
          </w:tcPr>
          <w:p w14:paraId="0CB6843D">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snapToGrid/>
                <w:color w:val="auto"/>
                <w:spacing w:val="0"/>
                <w:kern w:val="2"/>
                <w:sz w:val="21"/>
                <w:szCs w:val="24"/>
                <w:highlight w:val="none"/>
                <w:lang w:val="en-US" w:eastAsia="zh-CN" w:bidi="ar-SA"/>
              </w:rPr>
            </w:pPr>
          </w:p>
        </w:tc>
      </w:tr>
      <w:tr w14:paraId="79E3EB95">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754" w:type="dxa"/>
            <w:vMerge w:val="continue"/>
            <w:tcBorders>
              <w:tl2br w:val="nil"/>
              <w:tr2bl w:val="nil"/>
            </w:tcBorders>
            <w:shd w:val="clear" w:color="auto" w:fill="auto"/>
            <w:vAlign w:val="center"/>
          </w:tcPr>
          <w:p w14:paraId="615DB50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0"/>
                <w:szCs w:val="20"/>
                <w:u w:val="none"/>
                <w:lang w:val="en-US" w:eastAsia="zh-CN" w:bidi="ar"/>
              </w:rPr>
            </w:pPr>
          </w:p>
        </w:tc>
        <w:tc>
          <w:tcPr>
            <w:tcW w:w="6743" w:type="dxa"/>
            <w:tcBorders>
              <w:tl2br w:val="nil"/>
              <w:tr2bl w:val="nil"/>
            </w:tcBorders>
            <w:shd w:val="clear" w:color="auto" w:fill="auto"/>
            <w:vAlign w:val="center"/>
          </w:tcPr>
          <w:p w14:paraId="48A30ED0">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snapToGrid/>
                <w:color w:val="000000" w:themeColor="text1"/>
                <w:spacing w:val="0"/>
                <w:kern w:val="2"/>
                <w:sz w:val="21"/>
                <w:szCs w:val="24"/>
                <w:highlight w:val="none"/>
                <w:lang w:val="en-US" w:eastAsia="zh-CN" w:bidi="ar-SA"/>
                <w14:textFill>
                  <w14:solidFill>
                    <w14:schemeClr w14:val="tx1"/>
                  </w14:solidFill>
                </w14:textFill>
              </w:rPr>
            </w:pPr>
            <w:r>
              <w:rPr>
                <w:rFonts w:hint="eastAsia" w:ascii="宋体" w:hAnsi="宋体" w:eastAsia="宋体" w:cs="宋体"/>
                <w:snapToGrid/>
                <w:color w:val="000000" w:themeColor="text1"/>
                <w:spacing w:val="0"/>
                <w:kern w:val="2"/>
                <w:sz w:val="21"/>
                <w:szCs w:val="24"/>
                <w:highlight w:val="none"/>
                <w:lang w:val="en-US" w:eastAsia="zh-CN" w:bidi="ar-SA"/>
                <w14:textFill>
                  <w14:solidFill>
                    <w14:schemeClr w14:val="tx1"/>
                  </w14:solidFill>
                </w14:textFill>
              </w:rPr>
              <w:t>27.具有柔性PVC围边</w:t>
            </w:r>
          </w:p>
        </w:tc>
        <w:tc>
          <w:tcPr>
            <w:tcW w:w="1152" w:type="dxa"/>
            <w:tcBorders>
              <w:tl2br w:val="nil"/>
              <w:tr2bl w:val="nil"/>
            </w:tcBorders>
            <w:shd w:val="clear" w:color="auto" w:fill="auto"/>
            <w:vAlign w:val="center"/>
          </w:tcPr>
          <w:p w14:paraId="12ED73FF">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snapToGrid/>
                <w:color w:val="auto"/>
                <w:spacing w:val="0"/>
                <w:kern w:val="2"/>
                <w:sz w:val="21"/>
                <w:szCs w:val="24"/>
                <w:highlight w:val="none"/>
                <w:lang w:val="en-US" w:eastAsia="zh-CN" w:bidi="ar-SA"/>
              </w:rPr>
            </w:pPr>
          </w:p>
        </w:tc>
      </w:tr>
      <w:tr w14:paraId="7A41D699">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754" w:type="dxa"/>
            <w:vMerge w:val="continue"/>
            <w:tcBorders>
              <w:tl2br w:val="nil"/>
              <w:tr2bl w:val="nil"/>
            </w:tcBorders>
            <w:shd w:val="clear" w:color="auto" w:fill="auto"/>
            <w:vAlign w:val="center"/>
          </w:tcPr>
          <w:p w14:paraId="2CF1BA1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0"/>
                <w:szCs w:val="20"/>
                <w:u w:val="none"/>
                <w:lang w:val="en-US" w:eastAsia="zh-CN" w:bidi="ar"/>
              </w:rPr>
            </w:pPr>
          </w:p>
        </w:tc>
        <w:tc>
          <w:tcPr>
            <w:tcW w:w="6743" w:type="dxa"/>
            <w:tcBorders>
              <w:tl2br w:val="nil"/>
              <w:tr2bl w:val="nil"/>
            </w:tcBorders>
            <w:shd w:val="clear" w:color="auto" w:fill="auto"/>
            <w:vAlign w:val="center"/>
          </w:tcPr>
          <w:p w14:paraId="2F048767">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snapToGrid/>
                <w:color w:val="000000" w:themeColor="text1"/>
                <w:spacing w:val="0"/>
                <w:kern w:val="2"/>
                <w:sz w:val="21"/>
                <w:szCs w:val="24"/>
                <w:highlight w:val="none"/>
                <w:lang w:val="en-US" w:eastAsia="zh-CN" w:bidi="ar-SA"/>
                <w14:textFill>
                  <w14:solidFill>
                    <w14:schemeClr w14:val="tx1"/>
                  </w14:solidFill>
                </w14:textFill>
              </w:rPr>
            </w:pPr>
            <w:r>
              <w:rPr>
                <w:rFonts w:hint="eastAsia" w:ascii="宋体" w:hAnsi="宋体" w:eastAsia="宋体" w:cs="宋体"/>
                <w:snapToGrid/>
                <w:color w:val="000000" w:themeColor="text1"/>
                <w:spacing w:val="0"/>
                <w:kern w:val="2"/>
                <w:sz w:val="21"/>
                <w:szCs w:val="24"/>
                <w:highlight w:val="none"/>
                <w:lang w:val="en-US" w:eastAsia="zh-CN" w:bidi="ar-SA"/>
                <w14:textFill>
                  <w14:solidFill>
                    <w14:schemeClr w14:val="tx1"/>
                  </w14:solidFill>
                </w14:textFill>
              </w:rPr>
              <w:t>28.眼部密闭式，有单向透气阀</w:t>
            </w:r>
          </w:p>
        </w:tc>
        <w:tc>
          <w:tcPr>
            <w:tcW w:w="1152" w:type="dxa"/>
            <w:tcBorders>
              <w:tl2br w:val="nil"/>
              <w:tr2bl w:val="nil"/>
            </w:tcBorders>
            <w:shd w:val="clear" w:color="auto" w:fill="auto"/>
            <w:vAlign w:val="center"/>
          </w:tcPr>
          <w:p w14:paraId="2E2C3311">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snapToGrid/>
                <w:color w:val="auto"/>
                <w:spacing w:val="0"/>
                <w:kern w:val="2"/>
                <w:sz w:val="21"/>
                <w:szCs w:val="24"/>
                <w:highlight w:val="none"/>
                <w:lang w:val="en-US" w:eastAsia="zh-CN" w:bidi="ar-SA"/>
              </w:rPr>
            </w:pPr>
          </w:p>
        </w:tc>
      </w:tr>
      <w:tr w14:paraId="32317F1D">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754" w:type="dxa"/>
            <w:vMerge w:val="continue"/>
            <w:tcBorders>
              <w:tl2br w:val="nil"/>
              <w:tr2bl w:val="nil"/>
            </w:tcBorders>
            <w:shd w:val="clear" w:color="auto" w:fill="auto"/>
            <w:vAlign w:val="center"/>
          </w:tcPr>
          <w:p w14:paraId="0FF07FE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0"/>
                <w:szCs w:val="20"/>
                <w:u w:val="none"/>
                <w:lang w:val="en-US" w:eastAsia="zh-CN" w:bidi="ar"/>
              </w:rPr>
            </w:pPr>
          </w:p>
        </w:tc>
        <w:tc>
          <w:tcPr>
            <w:tcW w:w="6743" w:type="dxa"/>
            <w:tcBorders>
              <w:tl2br w:val="nil"/>
              <w:tr2bl w:val="nil"/>
            </w:tcBorders>
            <w:shd w:val="clear" w:color="auto" w:fill="auto"/>
            <w:vAlign w:val="center"/>
          </w:tcPr>
          <w:p w14:paraId="4384AF91">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snapToGrid/>
                <w:color w:val="000000" w:themeColor="text1"/>
                <w:spacing w:val="0"/>
                <w:kern w:val="2"/>
                <w:sz w:val="21"/>
                <w:szCs w:val="24"/>
                <w:highlight w:val="none"/>
                <w:lang w:val="en-US" w:eastAsia="zh-CN" w:bidi="ar-SA"/>
                <w14:textFill>
                  <w14:solidFill>
                    <w14:schemeClr w14:val="tx1"/>
                  </w14:solidFill>
                </w14:textFill>
              </w:rPr>
            </w:pPr>
            <w:r>
              <w:rPr>
                <w:rFonts w:hint="eastAsia" w:ascii="宋体" w:hAnsi="宋体" w:eastAsia="宋体" w:cs="宋体"/>
                <w:snapToGrid/>
                <w:color w:val="000000" w:themeColor="text1"/>
                <w:spacing w:val="0"/>
                <w:kern w:val="2"/>
                <w:sz w:val="21"/>
                <w:szCs w:val="24"/>
                <w:highlight w:val="none"/>
                <w:lang w:val="en-US" w:eastAsia="zh-CN" w:bidi="ar-SA"/>
                <w14:textFill>
                  <w14:solidFill>
                    <w14:schemeClr w14:val="tx1"/>
                  </w14:solidFill>
                </w14:textFill>
              </w:rPr>
              <w:t>29.可见光透射比误差≤10%；</w:t>
            </w:r>
          </w:p>
        </w:tc>
        <w:tc>
          <w:tcPr>
            <w:tcW w:w="1152" w:type="dxa"/>
            <w:tcBorders>
              <w:tl2br w:val="nil"/>
              <w:tr2bl w:val="nil"/>
            </w:tcBorders>
            <w:shd w:val="clear" w:color="auto" w:fill="auto"/>
            <w:vAlign w:val="center"/>
          </w:tcPr>
          <w:p w14:paraId="0C19455B">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snapToGrid/>
                <w:color w:val="auto"/>
                <w:spacing w:val="0"/>
                <w:kern w:val="2"/>
                <w:sz w:val="21"/>
                <w:szCs w:val="24"/>
                <w:highlight w:val="none"/>
                <w:lang w:val="en-US" w:eastAsia="zh-CN" w:bidi="ar-SA"/>
              </w:rPr>
            </w:pPr>
          </w:p>
        </w:tc>
      </w:tr>
      <w:tr w14:paraId="588006C7">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754" w:type="dxa"/>
            <w:vMerge w:val="continue"/>
            <w:tcBorders>
              <w:tl2br w:val="nil"/>
              <w:tr2bl w:val="nil"/>
            </w:tcBorders>
            <w:shd w:val="clear" w:color="auto" w:fill="auto"/>
            <w:vAlign w:val="center"/>
          </w:tcPr>
          <w:p w14:paraId="7D74BDF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0"/>
                <w:szCs w:val="20"/>
                <w:u w:val="none"/>
                <w:lang w:val="en-US" w:eastAsia="zh-CN" w:bidi="ar"/>
              </w:rPr>
            </w:pPr>
          </w:p>
        </w:tc>
        <w:tc>
          <w:tcPr>
            <w:tcW w:w="6743" w:type="dxa"/>
            <w:tcBorders>
              <w:tl2br w:val="nil"/>
              <w:tr2bl w:val="nil"/>
            </w:tcBorders>
            <w:shd w:val="clear" w:color="auto" w:fill="auto"/>
            <w:vAlign w:val="center"/>
          </w:tcPr>
          <w:p w14:paraId="047F4376">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snapToGrid/>
                <w:color w:val="000000" w:themeColor="text1"/>
                <w:spacing w:val="0"/>
                <w:kern w:val="2"/>
                <w:sz w:val="21"/>
                <w:szCs w:val="24"/>
                <w:highlight w:val="none"/>
                <w:lang w:val="en-US" w:eastAsia="zh-CN" w:bidi="ar-SA"/>
                <w14:textFill>
                  <w14:solidFill>
                    <w14:schemeClr w14:val="tx1"/>
                  </w14:solidFill>
                </w14:textFill>
              </w:rPr>
            </w:pPr>
            <w:r>
              <w:rPr>
                <w:rFonts w:hint="eastAsia" w:ascii="宋体" w:hAnsi="宋体" w:eastAsia="宋体" w:cs="宋体"/>
                <w:snapToGrid/>
                <w:color w:val="000000" w:themeColor="text1"/>
                <w:spacing w:val="0"/>
                <w:kern w:val="2"/>
                <w:sz w:val="21"/>
                <w:szCs w:val="24"/>
                <w:highlight w:val="none"/>
                <w:lang w:val="en-US" w:eastAsia="zh-CN" w:bidi="ar-SA"/>
                <w14:textFill>
                  <w14:solidFill>
                    <w14:schemeClr w14:val="tx1"/>
                  </w14:solidFill>
                </w14:textFill>
              </w:rPr>
              <w:t>30.适用于化学品防护、疾控防疫和生化应急处置</w:t>
            </w:r>
          </w:p>
        </w:tc>
        <w:tc>
          <w:tcPr>
            <w:tcW w:w="1152" w:type="dxa"/>
            <w:tcBorders>
              <w:tl2br w:val="nil"/>
              <w:tr2bl w:val="nil"/>
            </w:tcBorders>
            <w:shd w:val="clear" w:color="auto" w:fill="auto"/>
            <w:vAlign w:val="center"/>
          </w:tcPr>
          <w:p w14:paraId="0F3B4E1B">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snapToGrid/>
                <w:color w:val="auto"/>
                <w:spacing w:val="0"/>
                <w:kern w:val="2"/>
                <w:sz w:val="21"/>
                <w:szCs w:val="24"/>
                <w:highlight w:val="none"/>
                <w:lang w:val="en-US" w:eastAsia="zh-CN" w:bidi="ar-SA"/>
              </w:rPr>
            </w:pPr>
          </w:p>
        </w:tc>
      </w:tr>
      <w:tr w14:paraId="086D4436">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754" w:type="dxa"/>
            <w:vMerge w:val="continue"/>
            <w:tcBorders>
              <w:tl2br w:val="nil"/>
              <w:tr2bl w:val="nil"/>
            </w:tcBorders>
            <w:shd w:val="clear" w:color="auto" w:fill="auto"/>
            <w:vAlign w:val="center"/>
          </w:tcPr>
          <w:p w14:paraId="78F6172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0"/>
                <w:szCs w:val="20"/>
                <w:u w:val="none"/>
                <w:lang w:val="en-US" w:eastAsia="zh-CN" w:bidi="ar"/>
              </w:rPr>
            </w:pPr>
          </w:p>
        </w:tc>
        <w:tc>
          <w:tcPr>
            <w:tcW w:w="6743" w:type="dxa"/>
            <w:tcBorders>
              <w:tl2br w:val="nil"/>
              <w:tr2bl w:val="nil"/>
            </w:tcBorders>
            <w:shd w:val="clear" w:color="auto" w:fill="auto"/>
            <w:vAlign w:val="center"/>
          </w:tcPr>
          <w:p w14:paraId="38537321">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snapToGrid/>
                <w:color w:val="000000" w:themeColor="text1"/>
                <w:spacing w:val="0"/>
                <w:kern w:val="2"/>
                <w:sz w:val="21"/>
                <w:szCs w:val="24"/>
                <w:highlight w:val="none"/>
                <w:lang w:val="en-US" w:eastAsia="zh-CN" w:bidi="ar-SA"/>
                <w14:textFill>
                  <w14:solidFill>
                    <w14:schemeClr w14:val="tx1"/>
                  </w14:solidFill>
                </w14:textFill>
              </w:rPr>
            </w:pPr>
            <w:r>
              <w:rPr>
                <w:rFonts w:hint="eastAsia" w:ascii="宋体" w:hAnsi="宋体" w:eastAsia="宋体" w:cs="宋体"/>
                <w:b/>
                <w:bCs/>
                <w:snapToGrid/>
                <w:color w:val="000000" w:themeColor="text1"/>
                <w:spacing w:val="0"/>
                <w:kern w:val="2"/>
                <w:sz w:val="21"/>
                <w:szCs w:val="24"/>
                <w:highlight w:val="none"/>
                <w:lang w:val="en-US" w:eastAsia="zh-CN" w:bidi="ar-SA"/>
                <w14:textFill>
                  <w14:solidFill>
                    <w14:schemeClr w14:val="tx1"/>
                  </w14:solidFill>
                </w14:textFill>
              </w:rPr>
              <w:t>七．多功能剪</w:t>
            </w:r>
          </w:p>
        </w:tc>
        <w:tc>
          <w:tcPr>
            <w:tcW w:w="1152" w:type="dxa"/>
            <w:tcBorders>
              <w:tl2br w:val="nil"/>
              <w:tr2bl w:val="nil"/>
            </w:tcBorders>
            <w:shd w:val="clear" w:color="auto" w:fill="auto"/>
            <w:vAlign w:val="center"/>
          </w:tcPr>
          <w:p w14:paraId="15C3163D">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snapToGrid/>
                <w:color w:val="auto"/>
                <w:spacing w:val="0"/>
                <w:kern w:val="2"/>
                <w:sz w:val="21"/>
                <w:szCs w:val="24"/>
                <w:highlight w:val="none"/>
                <w:lang w:val="en-US" w:eastAsia="zh-CN" w:bidi="ar-SA"/>
              </w:rPr>
            </w:pPr>
          </w:p>
        </w:tc>
      </w:tr>
      <w:tr w14:paraId="786780A3">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754" w:type="dxa"/>
            <w:vMerge w:val="continue"/>
            <w:tcBorders>
              <w:tl2br w:val="nil"/>
              <w:tr2bl w:val="nil"/>
            </w:tcBorders>
            <w:shd w:val="clear" w:color="auto" w:fill="auto"/>
            <w:vAlign w:val="center"/>
          </w:tcPr>
          <w:p w14:paraId="64470DC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0"/>
                <w:szCs w:val="20"/>
                <w:u w:val="none"/>
                <w:lang w:val="en-US" w:eastAsia="zh-CN" w:bidi="ar"/>
              </w:rPr>
            </w:pPr>
          </w:p>
        </w:tc>
        <w:tc>
          <w:tcPr>
            <w:tcW w:w="6743" w:type="dxa"/>
            <w:tcBorders>
              <w:tl2br w:val="nil"/>
              <w:tr2bl w:val="nil"/>
            </w:tcBorders>
            <w:shd w:val="clear" w:color="auto" w:fill="auto"/>
            <w:vAlign w:val="center"/>
          </w:tcPr>
          <w:p w14:paraId="3CBCBB1D">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snapToGrid/>
                <w:color w:val="000000" w:themeColor="text1"/>
                <w:spacing w:val="0"/>
                <w:kern w:val="2"/>
                <w:sz w:val="21"/>
                <w:szCs w:val="24"/>
                <w:highlight w:val="none"/>
                <w:lang w:val="en-US" w:eastAsia="zh-CN" w:bidi="ar-SA"/>
                <w14:textFill>
                  <w14:solidFill>
                    <w14:schemeClr w14:val="tx1"/>
                  </w14:solidFill>
                </w14:textFill>
              </w:rPr>
            </w:pPr>
            <w:r>
              <w:rPr>
                <w:rFonts w:hint="eastAsia" w:ascii="宋体" w:hAnsi="宋体" w:eastAsia="宋体" w:cs="宋体"/>
                <w:snapToGrid/>
                <w:color w:val="000000" w:themeColor="text1"/>
                <w:spacing w:val="0"/>
                <w:kern w:val="2"/>
                <w:sz w:val="21"/>
                <w:szCs w:val="24"/>
                <w:highlight w:val="none"/>
                <w:lang w:val="en-US" w:eastAsia="zh-CN" w:bidi="ar-SA"/>
                <w14:textFill>
                  <w14:solidFill>
                    <w14:schemeClr w14:val="tx1"/>
                  </w14:solidFill>
                </w14:textFill>
              </w:rPr>
              <w:t>31.材质：采用医用级马氏体不锈钢，重量≥150g</w:t>
            </w:r>
          </w:p>
        </w:tc>
        <w:tc>
          <w:tcPr>
            <w:tcW w:w="1152" w:type="dxa"/>
            <w:tcBorders>
              <w:tl2br w:val="nil"/>
              <w:tr2bl w:val="nil"/>
            </w:tcBorders>
            <w:shd w:val="clear" w:color="auto" w:fill="auto"/>
            <w:vAlign w:val="center"/>
          </w:tcPr>
          <w:p w14:paraId="4DABB9E2">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snapToGrid/>
                <w:color w:val="auto"/>
                <w:spacing w:val="0"/>
                <w:kern w:val="2"/>
                <w:sz w:val="21"/>
                <w:szCs w:val="24"/>
                <w:highlight w:val="none"/>
                <w:lang w:val="en-US" w:eastAsia="zh-CN" w:bidi="ar-SA"/>
              </w:rPr>
            </w:pPr>
          </w:p>
        </w:tc>
      </w:tr>
      <w:tr w14:paraId="40B8F7A0">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754" w:type="dxa"/>
            <w:vMerge w:val="continue"/>
            <w:tcBorders>
              <w:tl2br w:val="nil"/>
              <w:tr2bl w:val="nil"/>
            </w:tcBorders>
            <w:shd w:val="clear" w:color="auto" w:fill="auto"/>
            <w:vAlign w:val="center"/>
          </w:tcPr>
          <w:p w14:paraId="3E097FE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0"/>
                <w:szCs w:val="20"/>
                <w:u w:val="none"/>
                <w:lang w:val="en-US" w:eastAsia="zh-CN" w:bidi="ar"/>
              </w:rPr>
            </w:pPr>
          </w:p>
        </w:tc>
        <w:tc>
          <w:tcPr>
            <w:tcW w:w="6743" w:type="dxa"/>
            <w:tcBorders>
              <w:tl2br w:val="nil"/>
              <w:tr2bl w:val="nil"/>
            </w:tcBorders>
            <w:shd w:val="clear" w:color="auto" w:fill="auto"/>
            <w:vAlign w:val="center"/>
          </w:tcPr>
          <w:p w14:paraId="18ED420A">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snapToGrid/>
                <w:color w:val="000000" w:themeColor="text1"/>
                <w:spacing w:val="0"/>
                <w:kern w:val="2"/>
                <w:sz w:val="21"/>
                <w:szCs w:val="24"/>
                <w:highlight w:val="none"/>
                <w:lang w:val="en-US" w:eastAsia="zh-CN" w:bidi="ar-SA"/>
                <w14:textFill>
                  <w14:solidFill>
                    <w14:schemeClr w14:val="tx1"/>
                  </w14:solidFill>
                </w14:textFill>
              </w:rPr>
            </w:pPr>
            <w:r>
              <w:rPr>
                <w:rFonts w:hint="eastAsia" w:ascii="宋体" w:hAnsi="宋体" w:eastAsia="宋体" w:cs="宋体"/>
                <w:snapToGrid/>
                <w:color w:val="000000" w:themeColor="text1"/>
                <w:spacing w:val="0"/>
                <w:kern w:val="2"/>
                <w:sz w:val="21"/>
                <w:szCs w:val="24"/>
                <w:highlight w:val="none"/>
                <w:lang w:val="en-US" w:eastAsia="zh-CN" w:bidi="ar-SA"/>
                <w14:textFill>
                  <w14:solidFill>
                    <w14:schemeClr w14:val="tx1"/>
                  </w14:solidFill>
                </w14:textFill>
              </w:rPr>
              <w:t>32.功能：具备绷带剪、纱布剪、安全带剪等功能</w:t>
            </w:r>
          </w:p>
        </w:tc>
        <w:tc>
          <w:tcPr>
            <w:tcW w:w="1152" w:type="dxa"/>
            <w:tcBorders>
              <w:tl2br w:val="nil"/>
              <w:tr2bl w:val="nil"/>
            </w:tcBorders>
            <w:shd w:val="clear" w:color="auto" w:fill="auto"/>
            <w:vAlign w:val="center"/>
          </w:tcPr>
          <w:p w14:paraId="4EC93072">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snapToGrid/>
                <w:color w:val="auto"/>
                <w:spacing w:val="0"/>
                <w:kern w:val="2"/>
                <w:sz w:val="21"/>
                <w:szCs w:val="24"/>
                <w:highlight w:val="none"/>
                <w:lang w:val="en-US" w:eastAsia="zh-CN" w:bidi="ar-SA"/>
              </w:rPr>
            </w:pPr>
          </w:p>
        </w:tc>
      </w:tr>
      <w:tr w14:paraId="5BC30299">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754" w:type="dxa"/>
            <w:vMerge w:val="continue"/>
            <w:tcBorders>
              <w:tl2br w:val="nil"/>
              <w:tr2bl w:val="nil"/>
            </w:tcBorders>
            <w:shd w:val="clear" w:color="auto" w:fill="auto"/>
            <w:vAlign w:val="center"/>
          </w:tcPr>
          <w:p w14:paraId="570FDA9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0"/>
                <w:szCs w:val="20"/>
                <w:u w:val="none"/>
                <w:lang w:val="en-US" w:eastAsia="zh-CN" w:bidi="ar"/>
              </w:rPr>
            </w:pPr>
          </w:p>
        </w:tc>
        <w:tc>
          <w:tcPr>
            <w:tcW w:w="6743" w:type="dxa"/>
            <w:tcBorders>
              <w:tl2br w:val="nil"/>
              <w:tr2bl w:val="nil"/>
            </w:tcBorders>
            <w:shd w:val="clear" w:color="auto" w:fill="auto"/>
            <w:vAlign w:val="center"/>
          </w:tcPr>
          <w:p w14:paraId="612045AE">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snapToGrid/>
                <w:color w:val="000000" w:themeColor="text1"/>
                <w:spacing w:val="0"/>
                <w:kern w:val="2"/>
                <w:sz w:val="21"/>
                <w:szCs w:val="24"/>
                <w:highlight w:val="none"/>
                <w:lang w:val="en-US" w:eastAsia="zh-CN" w:bidi="ar-SA"/>
                <w14:textFill>
                  <w14:solidFill>
                    <w14:schemeClr w14:val="tx1"/>
                  </w14:solidFill>
                </w14:textFill>
              </w:rPr>
            </w:pPr>
            <w:r>
              <w:rPr>
                <w:rFonts w:hint="eastAsia" w:ascii="宋体" w:hAnsi="宋体" w:eastAsia="宋体" w:cs="宋体"/>
                <w:snapToGrid/>
                <w:color w:val="000000" w:themeColor="text1"/>
                <w:spacing w:val="0"/>
                <w:kern w:val="2"/>
                <w:sz w:val="21"/>
                <w:szCs w:val="24"/>
                <w:highlight w:val="none"/>
                <w:lang w:val="en-US" w:eastAsia="zh-CN" w:bidi="ar-SA"/>
                <w14:textFill>
                  <w14:solidFill>
                    <w14:schemeClr w14:val="tx1"/>
                  </w14:solidFill>
                </w14:textFill>
              </w:rPr>
              <w:t>33.尺寸：全长≥19cm，闭合长度≥12cm</w:t>
            </w:r>
          </w:p>
        </w:tc>
        <w:tc>
          <w:tcPr>
            <w:tcW w:w="1152" w:type="dxa"/>
            <w:tcBorders>
              <w:tl2br w:val="nil"/>
              <w:tr2bl w:val="nil"/>
            </w:tcBorders>
            <w:shd w:val="clear" w:color="auto" w:fill="auto"/>
            <w:vAlign w:val="center"/>
          </w:tcPr>
          <w:p w14:paraId="0198AFED">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snapToGrid/>
                <w:color w:val="auto"/>
                <w:spacing w:val="0"/>
                <w:kern w:val="2"/>
                <w:sz w:val="21"/>
                <w:szCs w:val="24"/>
                <w:highlight w:val="none"/>
                <w:lang w:val="en-US" w:eastAsia="zh-CN" w:bidi="ar-SA"/>
              </w:rPr>
            </w:pPr>
          </w:p>
        </w:tc>
      </w:tr>
      <w:tr w14:paraId="60CC762E">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754" w:type="dxa"/>
            <w:vMerge w:val="continue"/>
            <w:tcBorders>
              <w:tl2br w:val="nil"/>
              <w:tr2bl w:val="nil"/>
            </w:tcBorders>
            <w:shd w:val="clear" w:color="auto" w:fill="auto"/>
            <w:vAlign w:val="center"/>
          </w:tcPr>
          <w:p w14:paraId="255F0D2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0"/>
                <w:szCs w:val="20"/>
                <w:u w:val="none"/>
                <w:lang w:val="en-US" w:eastAsia="zh-CN" w:bidi="ar"/>
              </w:rPr>
            </w:pPr>
          </w:p>
        </w:tc>
        <w:tc>
          <w:tcPr>
            <w:tcW w:w="6743" w:type="dxa"/>
            <w:tcBorders>
              <w:tl2br w:val="nil"/>
              <w:tr2bl w:val="nil"/>
            </w:tcBorders>
            <w:shd w:val="clear" w:color="auto" w:fill="auto"/>
            <w:vAlign w:val="center"/>
          </w:tcPr>
          <w:p w14:paraId="28F6E6D5">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snapToGrid/>
                <w:color w:val="000000" w:themeColor="text1"/>
                <w:spacing w:val="0"/>
                <w:kern w:val="2"/>
                <w:sz w:val="21"/>
                <w:szCs w:val="24"/>
                <w:highlight w:val="none"/>
                <w:lang w:val="en-US" w:eastAsia="zh-CN" w:bidi="ar-SA"/>
                <w14:textFill>
                  <w14:solidFill>
                    <w14:schemeClr w14:val="tx1"/>
                  </w14:solidFill>
                </w14:textFill>
              </w:rPr>
            </w:pPr>
            <w:r>
              <w:rPr>
                <w:rFonts w:hint="eastAsia" w:ascii="宋体" w:hAnsi="宋体" w:eastAsia="宋体" w:cs="宋体"/>
                <w:snapToGrid/>
                <w:color w:val="000000" w:themeColor="text1"/>
                <w:spacing w:val="0"/>
                <w:kern w:val="2"/>
                <w:sz w:val="21"/>
                <w:szCs w:val="24"/>
                <w:highlight w:val="none"/>
                <w:lang w:val="en-US" w:eastAsia="zh-CN" w:bidi="ar-SA"/>
                <w14:textFill>
                  <w14:solidFill>
                    <w14:schemeClr w14:val="tx1"/>
                  </w14:solidFill>
                </w14:textFill>
              </w:rPr>
              <w:t>34.手柄：防滑橡塑手柄，人体工学设计</w:t>
            </w:r>
          </w:p>
        </w:tc>
        <w:tc>
          <w:tcPr>
            <w:tcW w:w="1152" w:type="dxa"/>
            <w:tcBorders>
              <w:tl2br w:val="nil"/>
              <w:tr2bl w:val="nil"/>
            </w:tcBorders>
            <w:shd w:val="clear" w:color="auto" w:fill="auto"/>
            <w:vAlign w:val="center"/>
          </w:tcPr>
          <w:p w14:paraId="42A04B9C">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snapToGrid/>
                <w:color w:val="auto"/>
                <w:spacing w:val="0"/>
                <w:kern w:val="2"/>
                <w:sz w:val="21"/>
                <w:szCs w:val="24"/>
                <w:highlight w:val="none"/>
                <w:lang w:val="en-US" w:eastAsia="zh-CN" w:bidi="ar-SA"/>
              </w:rPr>
            </w:pPr>
          </w:p>
        </w:tc>
      </w:tr>
      <w:tr w14:paraId="0406DBCE">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754" w:type="dxa"/>
            <w:vMerge w:val="continue"/>
            <w:tcBorders>
              <w:tl2br w:val="nil"/>
              <w:tr2bl w:val="nil"/>
            </w:tcBorders>
            <w:shd w:val="clear" w:color="auto" w:fill="auto"/>
            <w:vAlign w:val="center"/>
          </w:tcPr>
          <w:p w14:paraId="337ECA1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0"/>
                <w:szCs w:val="20"/>
                <w:u w:val="none"/>
                <w:lang w:val="en-US" w:eastAsia="zh-CN" w:bidi="ar"/>
              </w:rPr>
            </w:pPr>
          </w:p>
        </w:tc>
        <w:tc>
          <w:tcPr>
            <w:tcW w:w="6743" w:type="dxa"/>
            <w:tcBorders>
              <w:tl2br w:val="nil"/>
              <w:tr2bl w:val="nil"/>
            </w:tcBorders>
            <w:shd w:val="clear" w:color="auto" w:fill="auto"/>
            <w:vAlign w:val="center"/>
          </w:tcPr>
          <w:p w14:paraId="2CBA58D6">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snapToGrid/>
                <w:color w:val="000000" w:themeColor="text1"/>
                <w:spacing w:val="0"/>
                <w:kern w:val="2"/>
                <w:sz w:val="21"/>
                <w:szCs w:val="24"/>
                <w:highlight w:val="none"/>
                <w:lang w:val="en-US" w:eastAsia="zh-CN" w:bidi="ar-SA"/>
                <w14:textFill>
                  <w14:solidFill>
                    <w14:schemeClr w14:val="tx1"/>
                  </w14:solidFill>
                </w14:textFill>
              </w:rPr>
            </w:pPr>
            <w:r>
              <w:rPr>
                <w:rFonts w:hint="eastAsia" w:ascii="宋体" w:hAnsi="宋体" w:eastAsia="宋体" w:cs="宋体"/>
                <w:snapToGrid/>
                <w:color w:val="000000" w:themeColor="text1"/>
                <w:spacing w:val="0"/>
                <w:kern w:val="2"/>
                <w:sz w:val="21"/>
                <w:szCs w:val="24"/>
                <w:highlight w:val="none"/>
                <w:lang w:val="en-US" w:eastAsia="zh-CN" w:bidi="ar-SA"/>
                <w14:textFill>
                  <w14:solidFill>
                    <w14:schemeClr w14:val="tx1"/>
                  </w14:solidFill>
                </w14:textFill>
              </w:rPr>
              <w:t>35.其他：可折叠</w:t>
            </w:r>
          </w:p>
        </w:tc>
        <w:tc>
          <w:tcPr>
            <w:tcW w:w="1152" w:type="dxa"/>
            <w:tcBorders>
              <w:tl2br w:val="nil"/>
              <w:tr2bl w:val="nil"/>
            </w:tcBorders>
            <w:shd w:val="clear" w:color="auto" w:fill="auto"/>
            <w:vAlign w:val="center"/>
          </w:tcPr>
          <w:p w14:paraId="7F54D7F2">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snapToGrid/>
                <w:color w:val="auto"/>
                <w:spacing w:val="0"/>
                <w:kern w:val="2"/>
                <w:sz w:val="21"/>
                <w:szCs w:val="24"/>
                <w:highlight w:val="none"/>
                <w:lang w:val="en-US" w:eastAsia="zh-CN" w:bidi="ar-SA"/>
              </w:rPr>
            </w:pPr>
          </w:p>
        </w:tc>
      </w:tr>
      <w:tr w14:paraId="059A4927">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754" w:type="dxa"/>
            <w:vMerge w:val="continue"/>
            <w:tcBorders>
              <w:tl2br w:val="nil"/>
              <w:tr2bl w:val="nil"/>
            </w:tcBorders>
            <w:shd w:val="clear" w:color="auto" w:fill="auto"/>
            <w:vAlign w:val="center"/>
          </w:tcPr>
          <w:p w14:paraId="3D683A0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0"/>
                <w:szCs w:val="20"/>
                <w:u w:val="none"/>
                <w:lang w:val="en-US" w:eastAsia="zh-CN" w:bidi="ar"/>
              </w:rPr>
            </w:pPr>
          </w:p>
        </w:tc>
        <w:tc>
          <w:tcPr>
            <w:tcW w:w="6743" w:type="dxa"/>
            <w:tcBorders>
              <w:tl2br w:val="nil"/>
              <w:tr2bl w:val="nil"/>
            </w:tcBorders>
            <w:shd w:val="clear" w:color="auto" w:fill="auto"/>
            <w:vAlign w:val="center"/>
          </w:tcPr>
          <w:p w14:paraId="1CFE703F">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snapToGrid/>
                <w:color w:val="000000" w:themeColor="text1"/>
                <w:spacing w:val="0"/>
                <w:kern w:val="2"/>
                <w:sz w:val="21"/>
                <w:szCs w:val="24"/>
                <w:highlight w:val="none"/>
                <w:lang w:val="en-US" w:eastAsia="zh-CN" w:bidi="ar-SA"/>
                <w14:textFill>
                  <w14:solidFill>
                    <w14:schemeClr w14:val="tx1"/>
                  </w14:solidFill>
                </w14:textFill>
              </w:rPr>
            </w:pPr>
            <w:r>
              <w:rPr>
                <w:rFonts w:hint="eastAsia" w:ascii="宋体" w:hAnsi="宋体" w:eastAsia="宋体" w:cs="宋体"/>
                <w:b/>
                <w:bCs/>
                <w:snapToGrid/>
                <w:color w:val="000000" w:themeColor="text1"/>
                <w:spacing w:val="0"/>
                <w:kern w:val="2"/>
                <w:sz w:val="21"/>
                <w:szCs w:val="24"/>
                <w:highlight w:val="none"/>
                <w:lang w:val="en-US" w:eastAsia="zh-CN" w:bidi="ar-SA"/>
                <w14:textFill>
                  <w14:solidFill>
                    <w14:schemeClr w14:val="tx1"/>
                  </w14:solidFill>
                </w14:textFill>
              </w:rPr>
              <w:t>八．防水记号笔</w:t>
            </w:r>
          </w:p>
        </w:tc>
        <w:tc>
          <w:tcPr>
            <w:tcW w:w="1152" w:type="dxa"/>
            <w:tcBorders>
              <w:tl2br w:val="nil"/>
              <w:tr2bl w:val="nil"/>
            </w:tcBorders>
            <w:shd w:val="clear" w:color="auto" w:fill="auto"/>
            <w:vAlign w:val="center"/>
          </w:tcPr>
          <w:p w14:paraId="6EAC07A9">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snapToGrid/>
                <w:color w:val="auto"/>
                <w:spacing w:val="0"/>
                <w:kern w:val="2"/>
                <w:sz w:val="21"/>
                <w:szCs w:val="24"/>
                <w:highlight w:val="none"/>
                <w:lang w:val="en-US" w:eastAsia="zh-CN" w:bidi="ar-SA"/>
              </w:rPr>
            </w:pPr>
          </w:p>
        </w:tc>
      </w:tr>
      <w:tr w14:paraId="1E8EEF15">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754" w:type="dxa"/>
            <w:vMerge w:val="continue"/>
            <w:tcBorders>
              <w:tl2br w:val="nil"/>
              <w:tr2bl w:val="nil"/>
            </w:tcBorders>
            <w:shd w:val="clear" w:color="auto" w:fill="auto"/>
            <w:vAlign w:val="center"/>
          </w:tcPr>
          <w:p w14:paraId="461CDE1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0"/>
                <w:szCs w:val="20"/>
                <w:u w:val="none"/>
                <w:lang w:val="en-US" w:eastAsia="zh-CN" w:bidi="ar"/>
              </w:rPr>
            </w:pPr>
          </w:p>
        </w:tc>
        <w:tc>
          <w:tcPr>
            <w:tcW w:w="6743" w:type="dxa"/>
            <w:tcBorders>
              <w:tl2br w:val="nil"/>
              <w:tr2bl w:val="nil"/>
            </w:tcBorders>
            <w:shd w:val="clear" w:color="auto" w:fill="auto"/>
            <w:vAlign w:val="center"/>
          </w:tcPr>
          <w:p w14:paraId="64B0F923">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snapToGrid/>
                <w:color w:val="000000" w:themeColor="text1"/>
                <w:spacing w:val="0"/>
                <w:kern w:val="2"/>
                <w:sz w:val="21"/>
                <w:szCs w:val="24"/>
                <w:highlight w:val="none"/>
                <w:lang w:val="en-US" w:eastAsia="zh-CN" w:bidi="ar-SA"/>
                <w14:textFill>
                  <w14:solidFill>
                    <w14:schemeClr w14:val="tx1"/>
                  </w14:solidFill>
                </w14:textFill>
              </w:rPr>
            </w:pPr>
            <w:r>
              <w:rPr>
                <w:rFonts w:hint="eastAsia" w:ascii="宋体" w:hAnsi="宋体" w:eastAsia="宋体" w:cs="宋体"/>
                <w:snapToGrid/>
                <w:color w:val="000000" w:themeColor="text1"/>
                <w:spacing w:val="0"/>
                <w:kern w:val="2"/>
                <w:sz w:val="21"/>
                <w:szCs w:val="24"/>
                <w:highlight w:val="none"/>
                <w:lang w:val="en-US" w:eastAsia="zh-CN" w:bidi="ar-SA"/>
                <w14:textFill>
                  <w14:solidFill>
                    <w14:schemeClr w14:val="tx1"/>
                  </w14:solidFill>
                </w14:textFill>
              </w:rPr>
              <w:t>36.类型：油性记号笔，防水、速干、碳纤维笔头</w:t>
            </w:r>
          </w:p>
        </w:tc>
        <w:tc>
          <w:tcPr>
            <w:tcW w:w="1152" w:type="dxa"/>
            <w:tcBorders>
              <w:tl2br w:val="nil"/>
              <w:tr2bl w:val="nil"/>
            </w:tcBorders>
            <w:shd w:val="clear" w:color="auto" w:fill="auto"/>
            <w:vAlign w:val="center"/>
          </w:tcPr>
          <w:p w14:paraId="1A76C891">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snapToGrid/>
                <w:color w:val="auto"/>
                <w:spacing w:val="0"/>
                <w:kern w:val="2"/>
                <w:sz w:val="21"/>
                <w:szCs w:val="24"/>
                <w:highlight w:val="none"/>
                <w:lang w:val="en-US" w:eastAsia="zh-CN" w:bidi="ar-SA"/>
              </w:rPr>
            </w:pPr>
          </w:p>
        </w:tc>
      </w:tr>
      <w:tr w14:paraId="0CC2FD56">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754" w:type="dxa"/>
            <w:vMerge w:val="continue"/>
            <w:tcBorders>
              <w:tl2br w:val="nil"/>
              <w:tr2bl w:val="nil"/>
            </w:tcBorders>
            <w:shd w:val="clear" w:color="auto" w:fill="auto"/>
            <w:vAlign w:val="center"/>
          </w:tcPr>
          <w:p w14:paraId="1431D79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0"/>
                <w:szCs w:val="20"/>
                <w:u w:val="none"/>
                <w:lang w:val="en-US" w:eastAsia="zh-CN" w:bidi="ar"/>
              </w:rPr>
            </w:pPr>
          </w:p>
        </w:tc>
        <w:tc>
          <w:tcPr>
            <w:tcW w:w="6743" w:type="dxa"/>
            <w:tcBorders>
              <w:tl2br w:val="nil"/>
              <w:tr2bl w:val="nil"/>
            </w:tcBorders>
            <w:shd w:val="clear" w:color="auto" w:fill="auto"/>
            <w:vAlign w:val="center"/>
          </w:tcPr>
          <w:p w14:paraId="6D4EB326">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snapToGrid/>
                <w:color w:val="000000" w:themeColor="text1"/>
                <w:spacing w:val="0"/>
                <w:kern w:val="2"/>
                <w:sz w:val="21"/>
                <w:szCs w:val="24"/>
                <w:highlight w:val="none"/>
                <w:lang w:val="en-US" w:eastAsia="zh-CN" w:bidi="ar-SA"/>
                <w14:textFill>
                  <w14:solidFill>
                    <w14:schemeClr w14:val="tx1"/>
                  </w14:solidFill>
                </w14:textFill>
              </w:rPr>
            </w:pPr>
            <w:r>
              <w:rPr>
                <w:rFonts w:hint="eastAsia" w:ascii="宋体" w:hAnsi="宋体" w:eastAsia="宋体" w:cs="宋体"/>
                <w:snapToGrid/>
                <w:color w:val="000000" w:themeColor="text1"/>
                <w:spacing w:val="0"/>
                <w:kern w:val="2"/>
                <w:sz w:val="21"/>
                <w:szCs w:val="24"/>
                <w:highlight w:val="none"/>
                <w:lang w:val="en-US" w:eastAsia="zh-CN" w:bidi="ar-SA"/>
                <w14:textFill>
                  <w14:solidFill>
                    <w14:schemeClr w14:val="tx1"/>
                  </w14:solidFill>
                </w14:textFill>
              </w:rPr>
              <w:t>37.颜色：黑色</w:t>
            </w:r>
          </w:p>
        </w:tc>
        <w:tc>
          <w:tcPr>
            <w:tcW w:w="1152" w:type="dxa"/>
            <w:tcBorders>
              <w:tl2br w:val="nil"/>
              <w:tr2bl w:val="nil"/>
            </w:tcBorders>
            <w:shd w:val="clear" w:color="auto" w:fill="auto"/>
            <w:vAlign w:val="center"/>
          </w:tcPr>
          <w:p w14:paraId="022157D3">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snapToGrid/>
                <w:color w:val="auto"/>
                <w:spacing w:val="0"/>
                <w:kern w:val="2"/>
                <w:sz w:val="21"/>
                <w:szCs w:val="24"/>
                <w:highlight w:val="none"/>
                <w:lang w:val="en-US" w:eastAsia="zh-CN" w:bidi="ar-SA"/>
              </w:rPr>
            </w:pPr>
          </w:p>
        </w:tc>
      </w:tr>
      <w:tr w14:paraId="13A57C4F">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754" w:type="dxa"/>
            <w:vMerge w:val="continue"/>
            <w:tcBorders>
              <w:tl2br w:val="nil"/>
              <w:tr2bl w:val="nil"/>
            </w:tcBorders>
            <w:shd w:val="clear" w:color="auto" w:fill="auto"/>
            <w:vAlign w:val="center"/>
          </w:tcPr>
          <w:p w14:paraId="572D69E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0"/>
                <w:szCs w:val="20"/>
                <w:u w:val="none"/>
                <w:lang w:val="en-US" w:eastAsia="zh-CN" w:bidi="ar"/>
              </w:rPr>
            </w:pPr>
          </w:p>
        </w:tc>
        <w:tc>
          <w:tcPr>
            <w:tcW w:w="6743" w:type="dxa"/>
            <w:tcBorders>
              <w:tl2br w:val="nil"/>
              <w:tr2bl w:val="nil"/>
            </w:tcBorders>
            <w:shd w:val="clear" w:color="auto" w:fill="auto"/>
            <w:vAlign w:val="center"/>
          </w:tcPr>
          <w:p w14:paraId="6412A5E0">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snapToGrid/>
                <w:color w:val="000000" w:themeColor="text1"/>
                <w:spacing w:val="0"/>
                <w:kern w:val="2"/>
                <w:sz w:val="21"/>
                <w:szCs w:val="24"/>
                <w:highlight w:val="none"/>
                <w:lang w:val="en-US" w:eastAsia="zh-CN" w:bidi="ar-SA"/>
                <w14:textFill>
                  <w14:solidFill>
                    <w14:schemeClr w14:val="tx1"/>
                  </w14:solidFill>
                </w14:textFill>
              </w:rPr>
            </w:pPr>
            <w:r>
              <w:rPr>
                <w:rFonts w:hint="eastAsia" w:ascii="宋体" w:hAnsi="宋体" w:eastAsia="宋体" w:cs="宋体"/>
                <w:snapToGrid/>
                <w:color w:val="000000" w:themeColor="text1"/>
                <w:spacing w:val="0"/>
                <w:kern w:val="2"/>
                <w:sz w:val="21"/>
                <w:szCs w:val="24"/>
                <w:highlight w:val="none"/>
                <w:lang w:val="en-US" w:eastAsia="zh-CN" w:bidi="ar-SA"/>
                <w14:textFill>
                  <w14:solidFill>
                    <w14:schemeClr w14:val="tx1"/>
                  </w14:solidFill>
                </w14:textFill>
              </w:rPr>
              <w:t>38.笔身：塑料笔身，带笔夹，长度≥14cm</w:t>
            </w:r>
          </w:p>
        </w:tc>
        <w:tc>
          <w:tcPr>
            <w:tcW w:w="1152" w:type="dxa"/>
            <w:tcBorders>
              <w:tl2br w:val="nil"/>
              <w:tr2bl w:val="nil"/>
            </w:tcBorders>
            <w:shd w:val="clear" w:color="auto" w:fill="auto"/>
            <w:vAlign w:val="center"/>
          </w:tcPr>
          <w:p w14:paraId="45924580">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snapToGrid/>
                <w:color w:val="auto"/>
                <w:spacing w:val="0"/>
                <w:kern w:val="2"/>
                <w:sz w:val="21"/>
                <w:szCs w:val="24"/>
                <w:highlight w:val="none"/>
                <w:lang w:val="en-US" w:eastAsia="zh-CN" w:bidi="ar-SA"/>
              </w:rPr>
            </w:pPr>
          </w:p>
        </w:tc>
      </w:tr>
      <w:tr w14:paraId="67EFD093">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754" w:type="dxa"/>
            <w:vMerge w:val="continue"/>
            <w:tcBorders>
              <w:tl2br w:val="nil"/>
              <w:tr2bl w:val="nil"/>
            </w:tcBorders>
            <w:shd w:val="clear" w:color="auto" w:fill="auto"/>
            <w:vAlign w:val="center"/>
          </w:tcPr>
          <w:p w14:paraId="3FB2D76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0"/>
                <w:szCs w:val="20"/>
                <w:u w:val="none"/>
                <w:lang w:val="en-US" w:eastAsia="zh-CN" w:bidi="ar"/>
              </w:rPr>
            </w:pPr>
          </w:p>
        </w:tc>
        <w:tc>
          <w:tcPr>
            <w:tcW w:w="6743" w:type="dxa"/>
            <w:tcBorders>
              <w:tl2br w:val="nil"/>
              <w:tr2bl w:val="nil"/>
            </w:tcBorders>
            <w:shd w:val="clear" w:color="auto" w:fill="auto"/>
            <w:vAlign w:val="center"/>
          </w:tcPr>
          <w:p w14:paraId="53C618EC">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snapToGrid/>
                <w:color w:val="000000" w:themeColor="text1"/>
                <w:spacing w:val="0"/>
                <w:kern w:val="2"/>
                <w:sz w:val="21"/>
                <w:szCs w:val="24"/>
                <w:highlight w:val="none"/>
                <w:lang w:val="en-US" w:eastAsia="zh-CN" w:bidi="ar-SA"/>
                <w14:textFill>
                  <w14:solidFill>
                    <w14:schemeClr w14:val="tx1"/>
                  </w14:solidFill>
                </w14:textFill>
              </w:rPr>
            </w:pPr>
            <w:r>
              <w:rPr>
                <w:rFonts w:hint="eastAsia" w:ascii="宋体" w:hAnsi="宋体" w:eastAsia="宋体" w:cs="宋体"/>
                <w:b/>
                <w:bCs/>
                <w:snapToGrid/>
                <w:color w:val="000000" w:themeColor="text1"/>
                <w:spacing w:val="0"/>
                <w:kern w:val="2"/>
                <w:sz w:val="21"/>
                <w:szCs w:val="24"/>
                <w:highlight w:val="none"/>
                <w:lang w:val="en-US" w:eastAsia="zh-CN" w:bidi="ar-SA"/>
                <w14:textFill>
                  <w14:solidFill>
                    <w14:schemeClr w14:val="tx1"/>
                  </w14:solidFill>
                </w14:textFill>
              </w:rPr>
              <w:t>九．皮面笔记本</w:t>
            </w:r>
          </w:p>
        </w:tc>
        <w:tc>
          <w:tcPr>
            <w:tcW w:w="1152" w:type="dxa"/>
            <w:tcBorders>
              <w:tl2br w:val="nil"/>
              <w:tr2bl w:val="nil"/>
            </w:tcBorders>
            <w:shd w:val="clear" w:color="auto" w:fill="auto"/>
            <w:vAlign w:val="center"/>
          </w:tcPr>
          <w:p w14:paraId="1CBE438B">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snapToGrid/>
                <w:color w:val="auto"/>
                <w:spacing w:val="0"/>
                <w:kern w:val="2"/>
                <w:sz w:val="21"/>
                <w:szCs w:val="24"/>
                <w:highlight w:val="none"/>
                <w:lang w:val="en-US" w:eastAsia="zh-CN" w:bidi="ar-SA"/>
              </w:rPr>
            </w:pPr>
          </w:p>
        </w:tc>
      </w:tr>
      <w:tr w14:paraId="555C0A3B">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754" w:type="dxa"/>
            <w:vMerge w:val="continue"/>
            <w:tcBorders>
              <w:tl2br w:val="nil"/>
              <w:tr2bl w:val="nil"/>
            </w:tcBorders>
            <w:shd w:val="clear" w:color="auto" w:fill="auto"/>
            <w:vAlign w:val="center"/>
          </w:tcPr>
          <w:p w14:paraId="0FDB402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0"/>
                <w:szCs w:val="20"/>
                <w:u w:val="none"/>
                <w:lang w:val="en-US" w:eastAsia="zh-CN" w:bidi="ar"/>
              </w:rPr>
            </w:pPr>
          </w:p>
        </w:tc>
        <w:tc>
          <w:tcPr>
            <w:tcW w:w="6743" w:type="dxa"/>
            <w:tcBorders>
              <w:tl2br w:val="nil"/>
              <w:tr2bl w:val="nil"/>
            </w:tcBorders>
            <w:shd w:val="clear" w:color="auto" w:fill="auto"/>
            <w:vAlign w:val="center"/>
          </w:tcPr>
          <w:p w14:paraId="27994F90">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snapToGrid/>
                <w:color w:val="000000" w:themeColor="text1"/>
                <w:spacing w:val="0"/>
                <w:kern w:val="2"/>
                <w:sz w:val="21"/>
                <w:szCs w:val="24"/>
                <w:highlight w:val="none"/>
                <w:lang w:val="en-US" w:eastAsia="zh-CN" w:bidi="ar-SA"/>
                <w14:textFill>
                  <w14:solidFill>
                    <w14:schemeClr w14:val="tx1"/>
                  </w14:solidFill>
                </w14:textFill>
              </w:rPr>
            </w:pPr>
            <w:r>
              <w:rPr>
                <w:rFonts w:hint="eastAsia" w:ascii="宋体" w:hAnsi="宋体" w:eastAsia="宋体" w:cs="宋体"/>
                <w:snapToGrid/>
                <w:color w:val="000000" w:themeColor="text1"/>
                <w:spacing w:val="0"/>
                <w:kern w:val="2"/>
                <w:sz w:val="21"/>
                <w:szCs w:val="24"/>
                <w:highlight w:val="none"/>
                <w:lang w:val="en-US" w:eastAsia="zh-CN" w:bidi="ar-SA"/>
                <w14:textFill>
                  <w14:solidFill>
                    <w14:schemeClr w14:val="tx1"/>
                  </w14:solidFill>
                </w14:textFill>
              </w:rPr>
              <w:t>39.规格尺寸：A5</w:t>
            </w:r>
          </w:p>
        </w:tc>
        <w:tc>
          <w:tcPr>
            <w:tcW w:w="1152" w:type="dxa"/>
            <w:tcBorders>
              <w:tl2br w:val="nil"/>
              <w:tr2bl w:val="nil"/>
            </w:tcBorders>
            <w:shd w:val="clear" w:color="auto" w:fill="auto"/>
            <w:vAlign w:val="center"/>
          </w:tcPr>
          <w:p w14:paraId="1E1089C1">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snapToGrid/>
                <w:color w:val="auto"/>
                <w:spacing w:val="0"/>
                <w:kern w:val="2"/>
                <w:sz w:val="21"/>
                <w:szCs w:val="24"/>
                <w:highlight w:val="none"/>
                <w:lang w:val="en-US" w:eastAsia="zh-CN" w:bidi="ar-SA"/>
              </w:rPr>
            </w:pPr>
          </w:p>
        </w:tc>
      </w:tr>
      <w:tr w14:paraId="2B2CE9E7">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754" w:type="dxa"/>
            <w:vMerge w:val="continue"/>
            <w:tcBorders>
              <w:tl2br w:val="nil"/>
              <w:tr2bl w:val="nil"/>
            </w:tcBorders>
            <w:shd w:val="clear" w:color="auto" w:fill="auto"/>
            <w:vAlign w:val="center"/>
          </w:tcPr>
          <w:p w14:paraId="31B61C4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0"/>
                <w:szCs w:val="20"/>
                <w:u w:val="none"/>
                <w:lang w:val="en-US" w:eastAsia="zh-CN" w:bidi="ar"/>
              </w:rPr>
            </w:pPr>
          </w:p>
        </w:tc>
        <w:tc>
          <w:tcPr>
            <w:tcW w:w="6743" w:type="dxa"/>
            <w:tcBorders>
              <w:tl2br w:val="nil"/>
              <w:tr2bl w:val="nil"/>
            </w:tcBorders>
            <w:shd w:val="clear" w:color="auto" w:fill="auto"/>
            <w:vAlign w:val="center"/>
          </w:tcPr>
          <w:p w14:paraId="716E3341">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snapToGrid/>
                <w:color w:val="000000" w:themeColor="text1"/>
                <w:spacing w:val="0"/>
                <w:kern w:val="2"/>
                <w:sz w:val="21"/>
                <w:szCs w:val="24"/>
                <w:highlight w:val="none"/>
                <w:lang w:val="en-US" w:eastAsia="zh-CN" w:bidi="ar-SA"/>
                <w14:textFill>
                  <w14:solidFill>
                    <w14:schemeClr w14:val="tx1"/>
                  </w14:solidFill>
                </w14:textFill>
              </w:rPr>
            </w:pPr>
            <w:r>
              <w:rPr>
                <w:rFonts w:hint="eastAsia" w:ascii="宋体" w:hAnsi="宋体" w:eastAsia="宋体" w:cs="宋体"/>
                <w:snapToGrid/>
                <w:color w:val="000000" w:themeColor="text1"/>
                <w:spacing w:val="0"/>
                <w:kern w:val="2"/>
                <w:sz w:val="21"/>
                <w:szCs w:val="24"/>
                <w:highlight w:val="none"/>
                <w:lang w:val="en-US" w:eastAsia="zh-CN" w:bidi="ar-SA"/>
                <w14:textFill>
                  <w14:solidFill>
                    <w14:schemeClr w14:val="tx1"/>
                  </w14:solidFill>
                </w14:textFill>
              </w:rPr>
              <w:t>40.外壳材质：羊巴皮（仿皮革/软皮面）</w:t>
            </w:r>
          </w:p>
        </w:tc>
        <w:tc>
          <w:tcPr>
            <w:tcW w:w="1152" w:type="dxa"/>
            <w:tcBorders>
              <w:tl2br w:val="nil"/>
              <w:tr2bl w:val="nil"/>
            </w:tcBorders>
            <w:shd w:val="clear" w:color="auto" w:fill="auto"/>
            <w:vAlign w:val="center"/>
          </w:tcPr>
          <w:p w14:paraId="56D4A112">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snapToGrid/>
                <w:color w:val="auto"/>
                <w:spacing w:val="0"/>
                <w:kern w:val="2"/>
                <w:sz w:val="21"/>
                <w:szCs w:val="24"/>
                <w:highlight w:val="none"/>
                <w:lang w:val="en-US" w:eastAsia="zh-CN" w:bidi="ar-SA"/>
              </w:rPr>
            </w:pPr>
          </w:p>
        </w:tc>
      </w:tr>
      <w:tr w14:paraId="743256F6">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754" w:type="dxa"/>
            <w:vMerge w:val="continue"/>
            <w:tcBorders>
              <w:tl2br w:val="nil"/>
              <w:tr2bl w:val="nil"/>
            </w:tcBorders>
            <w:shd w:val="clear" w:color="auto" w:fill="auto"/>
            <w:vAlign w:val="center"/>
          </w:tcPr>
          <w:p w14:paraId="4E67BC9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0"/>
                <w:szCs w:val="20"/>
                <w:u w:val="none"/>
                <w:lang w:val="en-US" w:eastAsia="zh-CN" w:bidi="ar"/>
              </w:rPr>
            </w:pPr>
          </w:p>
        </w:tc>
        <w:tc>
          <w:tcPr>
            <w:tcW w:w="6743" w:type="dxa"/>
            <w:tcBorders>
              <w:tl2br w:val="nil"/>
              <w:tr2bl w:val="nil"/>
            </w:tcBorders>
            <w:shd w:val="clear" w:color="auto" w:fill="auto"/>
            <w:vAlign w:val="center"/>
          </w:tcPr>
          <w:p w14:paraId="76790A36">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41.展开角度：支持0°–180°平摊书写</w:t>
            </w:r>
          </w:p>
        </w:tc>
        <w:tc>
          <w:tcPr>
            <w:tcW w:w="1152" w:type="dxa"/>
            <w:tcBorders>
              <w:tl2br w:val="nil"/>
              <w:tr2bl w:val="nil"/>
            </w:tcBorders>
            <w:shd w:val="clear" w:color="auto" w:fill="auto"/>
            <w:vAlign w:val="center"/>
          </w:tcPr>
          <w:p w14:paraId="6EAD51DB">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snapToGrid/>
                <w:color w:val="auto"/>
                <w:spacing w:val="0"/>
                <w:kern w:val="2"/>
                <w:sz w:val="21"/>
                <w:szCs w:val="24"/>
                <w:highlight w:val="none"/>
                <w:lang w:val="en-US" w:eastAsia="zh-CN" w:bidi="ar-SA"/>
              </w:rPr>
            </w:pPr>
          </w:p>
        </w:tc>
      </w:tr>
      <w:tr w14:paraId="112D00EB">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754" w:type="dxa"/>
            <w:vMerge w:val="continue"/>
            <w:tcBorders>
              <w:tl2br w:val="nil"/>
              <w:tr2bl w:val="nil"/>
            </w:tcBorders>
            <w:shd w:val="clear" w:color="auto" w:fill="auto"/>
            <w:vAlign w:val="center"/>
          </w:tcPr>
          <w:p w14:paraId="6052A9E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0"/>
                <w:szCs w:val="20"/>
                <w:u w:val="none"/>
                <w:lang w:val="en-US" w:eastAsia="zh-CN" w:bidi="ar"/>
              </w:rPr>
            </w:pPr>
          </w:p>
        </w:tc>
        <w:tc>
          <w:tcPr>
            <w:tcW w:w="6743" w:type="dxa"/>
            <w:tcBorders>
              <w:tl2br w:val="nil"/>
              <w:tr2bl w:val="nil"/>
            </w:tcBorders>
            <w:shd w:val="clear" w:color="auto" w:fill="auto"/>
            <w:vAlign w:val="center"/>
          </w:tcPr>
          <w:p w14:paraId="4A970011">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b/>
                <w:bCs/>
                <w:snapToGrid/>
                <w:color w:val="auto"/>
                <w:spacing w:val="0"/>
                <w:kern w:val="2"/>
                <w:sz w:val="21"/>
                <w:szCs w:val="24"/>
                <w:highlight w:val="none"/>
                <w:lang w:val="en-US" w:eastAsia="zh-CN" w:bidi="ar-SA"/>
              </w:rPr>
              <w:t>十．口哨</w:t>
            </w:r>
          </w:p>
        </w:tc>
        <w:tc>
          <w:tcPr>
            <w:tcW w:w="1152" w:type="dxa"/>
            <w:tcBorders>
              <w:tl2br w:val="nil"/>
              <w:tr2bl w:val="nil"/>
            </w:tcBorders>
            <w:shd w:val="clear" w:color="auto" w:fill="auto"/>
            <w:vAlign w:val="center"/>
          </w:tcPr>
          <w:p w14:paraId="73E6BE8E">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snapToGrid/>
                <w:color w:val="auto"/>
                <w:spacing w:val="0"/>
                <w:kern w:val="2"/>
                <w:sz w:val="21"/>
                <w:szCs w:val="24"/>
                <w:highlight w:val="none"/>
                <w:lang w:val="en-US" w:eastAsia="zh-CN" w:bidi="ar-SA"/>
              </w:rPr>
            </w:pPr>
          </w:p>
        </w:tc>
      </w:tr>
      <w:tr w14:paraId="43EC2D56">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754" w:type="dxa"/>
            <w:vMerge w:val="continue"/>
            <w:tcBorders>
              <w:tl2br w:val="nil"/>
              <w:tr2bl w:val="nil"/>
            </w:tcBorders>
            <w:shd w:val="clear" w:color="auto" w:fill="auto"/>
            <w:vAlign w:val="center"/>
          </w:tcPr>
          <w:p w14:paraId="6C8E621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0"/>
                <w:szCs w:val="20"/>
                <w:u w:val="none"/>
                <w:lang w:val="en-US" w:eastAsia="zh-CN" w:bidi="ar"/>
              </w:rPr>
            </w:pPr>
          </w:p>
        </w:tc>
        <w:tc>
          <w:tcPr>
            <w:tcW w:w="6743" w:type="dxa"/>
            <w:tcBorders>
              <w:tl2br w:val="nil"/>
              <w:tr2bl w:val="nil"/>
            </w:tcBorders>
            <w:shd w:val="clear" w:color="auto" w:fill="auto"/>
            <w:vAlign w:val="center"/>
          </w:tcPr>
          <w:p w14:paraId="1269639E">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42.材质：不锈钢</w:t>
            </w:r>
          </w:p>
        </w:tc>
        <w:tc>
          <w:tcPr>
            <w:tcW w:w="1152" w:type="dxa"/>
            <w:tcBorders>
              <w:tl2br w:val="nil"/>
              <w:tr2bl w:val="nil"/>
            </w:tcBorders>
            <w:shd w:val="clear" w:color="auto" w:fill="auto"/>
            <w:vAlign w:val="center"/>
          </w:tcPr>
          <w:p w14:paraId="2C27C97E">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snapToGrid/>
                <w:color w:val="auto"/>
                <w:spacing w:val="0"/>
                <w:kern w:val="2"/>
                <w:sz w:val="21"/>
                <w:szCs w:val="24"/>
                <w:highlight w:val="none"/>
                <w:lang w:val="en-US" w:eastAsia="zh-CN" w:bidi="ar-SA"/>
              </w:rPr>
            </w:pPr>
          </w:p>
        </w:tc>
      </w:tr>
      <w:tr w14:paraId="4E331F9F">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754" w:type="dxa"/>
            <w:vMerge w:val="continue"/>
            <w:tcBorders>
              <w:tl2br w:val="nil"/>
              <w:tr2bl w:val="nil"/>
            </w:tcBorders>
            <w:shd w:val="clear" w:color="auto" w:fill="auto"/>
            <w:vAlign w:val="center"/>
          </w:tcPr>
          <w:p w14:paraId="3B10842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0"/>
                <w:szCs w:val="20"/>
                <w:u w:val="none"/>
                <w:lang w:val="en-US" w:eastAsia="zh-CN" w:bidi="ar"/>
              </w:rPr>
            </w:pPr>
          </w:p>
        </w:tc>
        <w:tc>
          <w:tcPr>
            <w:tcW w:w="6743" w:type="dxa"/>
            <w:tcBorders>
              <w:tl2br w:val="nil"/>
              <w:tr2bl w:val="nil"/>
            </w:tcBorders>
            <w:shd w:val="clear" w:color="auto" w:fill="auto"/>
            <w:vAlign w:val="center"/>
          </w:tcPr>
          <w:p w14:paraId="4ADEF55B">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43.配件挂绳</w:t>
            </w:r>
          </w:p>
        </w:tc>
        <w:tc>
          <w:tcPr>
            <w:tcW w:w="1152" w:type="dxa"/>
            <w:tcBorders>
              <w:tl2br w:val="nil"/>
              <w:tr2bl w:val="nil"/>
            </w:tcBorders>
            <w:shd w:val="clear" w:color="auto" w:fill="auto"/>
            <w:vAlign w:val="center"/>
          </w:tcPr>
          <w:p w14:paraId="29C20C85">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snapToGrid/>
                <w:color w:val="auto"/>
                <w:spacing w:val="0"/>
                <w:kern w:val="2"/>
                <w:sz w:val="21"/>
                <w:szCs w:val="24"/>
                <w:highlight w:val="none"/>
                <w:lang w:val="en-US" w:eastAsia="zh-CN" w:bidi="ar-SA"/>
              </w:rPr>
            </w:pPr>
          </w:p>
        </w:tc>
      </w:tr>
      <w:tr w14:paraId="4E2E4DD6">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754" w:type="dxa"/>
            <w:vMerge w:val="continue"/>
            <w:tcBorders>
              <w:tl2br w:val="nil"/>
              <w:tr2bl w:val="nil"/>
            </w:tcBorders>
            <w:shd w:val="clear" w:color="auto" w:fill="auto"/>
            <w:vAlign w:val="center"/>
          </w:tcPr>
          <w:p w14:paraId="02CEED3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0"/>
                <w:szCs w:val="20"/>
                <w:u w:val="none"/>
                <w:lang w:val="en-US" w:eastAsia="zh-CN" w:bidi="ar"/>
              </w:rPr>
            </w:pPr>
          </w:p>
        </w:tc>
        <w:tc>
          <w:tcPr>
            <w:tcW w:w="6743" w:type="dxa"/>
            <w:tcBorders>
              <w:tl2br w:val="nil"/>
              <w:tr2bl w:val="nil"/>
            </w:tcBorders>
            <w:shd w:val="clear" w:color="auto" w:fill="auto"/>
            <w:vAlign w:val="center"/>
          </w:tcPr>
          <w:p w14:paraId="36F7F5AD">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44.净重：≤17g</w:t>
            </w:r>
          </w:p>
        </w:tc>
        <w:tc>
          <w:tcPr>
            <w:tcW w:w="1152" w:type="dxa"/>
            <w:tcBorders>
              <w:tl2br w:val="nil"/>
              <w:tr2bl w:val="nil"/>
            </w:tcBorders>
            <w:shd w:val="clear" w:color="auto" w:fill="auto"/>
            <w:vAlign w:val="center"/>
          </w:tcPr>
          <w:p w14:paraId="266525D0">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snapToGrid/>
                <w:color w:val="auto"/>
                <w:spacing w:val="0"/>
                <w:kern w:val="2"/>
                <w:sz w:val="21"/>
                <w:szCs w:val="24"/>
                <w:highlight w:val="none"/>
                <w:lang w:val="en-US" w:eastAsia="zh-CN" w:bidi="ar-SA"/>
              </w:rPr>
            </w:pPr>
          </w:p>
        </w:tc>
      </w:tr>
      <w:tr w14:paraId="2FBAA2FC">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754" w:type="dxa"/>
            <w:vMerge w:val="continue"/>
            <w:tcBorders>
              <w:tl2br w:val="nil"/>
              <w:tr2bl w:val="nil"/>
            </w:tcBorders>
            <w:shd w:val="clear" w:color="auto" w:fill="auto"/>
            <w:vAlign w:val="center"/>
          </w:tcPr>
          <w:p w14:paraId="241DA18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0"/>
                <w:szCs w:val="20"/>
                <w:u w:val="none"/>
                <w:lang w:val="en-US" w:eastAsia="zh-CN" w:bidi="ar"/>
              </w:rPr>
            </w:pPr>
          </w:p>
        </w:tc>
        <w:tc>
          <w:tcPr>
            <w:tcW w:w="6743" w:type="dxa"/>
            <w:tcBorders>
              <w:tl2br w:val="nil"/>
              <w:tr2bl w:val="nil"/>
            </w:tcBorders>
            <w:shd w:val="clear" w:color="auto" w:fill="auto"/>
            <w:vAlign w:val="center"/>
          </w:tcPr>
          <w:p w14:paraId="451C45DD">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 xml:space="preserve">45.口哨长度：≤6.8cm  </w:t>
            </w:r>
          </w:p>
        </w:tc>
        <w:tc>
          <w:tcPr>
            <w:tcW w:w="1152" w:type="dxa"/>
            <w:tcBorders>
              <w:tl2br w:val="nil"/>
              <w:tr2bl w:val="nil"/>
            </w:tcBorders>
            <w:shd w:val="clear" w:color="auto" w:fill="auto"/>
            <w:vAlign w:val="center"/>
          </w:tcPr>
          <w:p w14:paraId="44849392">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snapToGrid/>
                <w:color w:val="auto"/>
                <w:spacing w:val="0"/>
                <w:kern w:val="2"/>
                <w:sz w:val="21"/>
                <w:szCs w:val="24"/>
                <w:highlight w:val="none"/>
                <w:lang w:val="en-US" w:eastAsia="zh-CN" w:bidi="ar-SA"/>
              </w:rPr>
            </w:pPr>
          </w:p>
        </w:tc>
      </w:tr>
      <w:tr w14:paraId="2ABE391A">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754" w:type="dxa"/>
            <w:vMerge w:val="continue"/>
            <w:tcBorders>
              <w:tl2br w:val="nil"/>
              <w:tr2bl w:val="nil"/>
            </w:tcBorders>
            <w:shd w:val="clear" w:color="auto" w:fill="auto"/>
            <w:vAlign w:val="center"/>
          </w:tcPr>
          <w:p w14:paraId="5856048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0"/>
                <w:szCs w:val="20"/>
                <w:u w:val="none"/>
                <w:lang w:val="en-US" w:eastAsia="zh-CN" w:bidi="ar"/>
              </w:rPr>
            </w:pPr>
          </w:p>
        </w:tc>
        <w:tc>
          <w:tcPr>
            <w:tcW w:w="6743" w:type="dxa"/>
            <w:tcBorders>
              <w:tl2br w:val="nil"/>
              <w:tr2bl w:val="nil"/>
            </w:tcBorders>
            <w:shd w:val="clear" w:color="auto" w:fill="auto"/>
            <w:vAlign w:val="center"/>
          </w:tcPr>
          <w:p w14:paraId="788126F9">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46.采用双腔设计，分贝高</w:t>
            </w:r>
          </w:p>
        </w:tc>
        <w:tc>
          <w:tcPr>
            <w:tcW w:w="1152" w:type="dxa"/>
            <w:tcBorders>
              <w:tl2br w:val="nil"/>
              <w:tr2bl w:val="nil"/>
            </w:tcBorders>
            <w:shd w:val="clear" w:color="auto" w:fill="auto"/>
            <w:vAlign w:val="center"/>
          </w:tcPr>
          <w:p w14:paraId="75C03E5E">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snapToGrid/>
                <w:color w:val="auto"/>
                <w:spacing w:val="0"/>
                <w:kern w:val="2"/>
                <w:sz w:val="21"/>
                <w:szCs w:val="24"/>
                <w:highlight w:val="none"/>
                <w:lang w:val="en-US" w:eastAsia="zh-CN" w:bidi="ar-SA"/>
              </w:rPr>
            </w:pPr>
          </w:p>
        </w:tc>
      </w:tr>
      <w:tr w14:paraId="10CFFDAF">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754" w:type="dxa"/>
            <w:vMerge w:val="continue"/>
            <w:tcBorders>
              <w:tl2br w:val="nil"/>
              <w:tr2bl w:val="nil"/>
            </w:tcBorders>
            <w:shd w:val="clear" w:color="auto" w:fill="auto"/>
            <w:vAlign w:val="center"/>
          </w:tcPr>
          <w:p w14:paraId="7AF2D4C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0"/>
                <w:szCs w:val="20"/>
                <w:u w:val="none"/>
                <w:lang w:val="en-US" w:eastAsia="zh-CN" w:bidi="ar"/>
              </w:rPr>
            </w:pPr>
          </w:p>
        </w:tc>
        <w:tc>
          <w:tcPr>
            <w:tcW w:w="6743" w:type="dxa"/>
            <w:tcBorders>
              <w:tl2br w:val="nil"/>
              <w:tr2bl w:val="nil"/>
            </w:tcBorders>
            <w:shd w:val="clear" w:color="auto" w:fill="auto"/>
            <w:vAlign w:val="center"/>
          </w:tcPr>
          <w:p w14:paraId="276D2F78">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47.加大口径，高频更响亮，传输距离远</w:t>
            </w:r>
          </w:p>
        </w:tc>
        <w:tc>
          <w:tcPr>
            <w:tcW w:w="1152" w:type="dxa"/>
            <w:tcBorders>
              <w:tl2br w:val="nil"/>
              <w:tr2bl w:val="nil"/>
            </w:tcBorders>
            <w:shd w:val="clear" w:color="auto" w:fill="auto"/>
            <w:vAlign w:val="center"/>
          </w:tcPr>
          <w:p w14:paraId="6679885C">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snapToGrid/>
                <w:color w:val="auto"/>
                <w:spacing w:val="0"/>
                <w:kern w:val="2"/>
                <w:sz w:val="21"/>
                <w:szCs w:val="24"/>
                <w:highlight w:val="none"/>
                <w:lang w:val="en-US" w:eastAsia="zh-CN" w:bidi="ar-SA"/>
              </w:rPr>
            </w:pPr>
          </w:p>
        </w:tc>
      </w:tr>
      <w:tr w14:paraId="00291FB3">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754" w:type="dxa"/>
            <w:vMerge w:val="continue"/>
            <w:tcBorders>
              <w:tl2br w:val="nil"/>
              <w:tr2bl w:val="nil"/>
            </w:tcBorders>
            <w:shd w:val="clear" w:color="auto" w:fill="auto"/>
            <w:vAlign w:val="center"/>
          </w:tcPr>
          <w:p w14:paraId="501E61F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0"/>
                <w:szCs w:val="20"/>
                <w:u w:val="none"/>
                <w:lang w:val="en-US" w:eastAsia="zh-CN" w:bidi="ar"/>
              </w:rPr>
            </w:pPr>
          </w:p>
        </w:tc>
        <w:tc>
          <w:tcPr>
            <w:tcW w:w="6743" w:type="dxa"/>
            <w:tcBorders>
              <w:tl2br w:val="nil"/>
              <w:tr2bl w:val="nil"/>
            </w:tcBorders>
            <w:shd w:val="clear" w:color="auto" w:fill="auto"/>
            <w:vAlign w:val="center"/>
          </w:tcPr>
          <w:p w14:paraId="2E7513EA">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b/>
                <w:bCs/>
                <w:snapToGrid/>
                <w:color w:val="auto"/>
                <w:spacing w:val="0"/>
                <w:kern w:val="2"/>
                <w:sz w:val="21"/>
                <w:szCs w:val="24"/>
                <w:highlight w:val="none"/>
                <w:lang w:val="en-US" w:eastAsia="zh-CN" w:bidi="ar-SA"/>
              </w:rPr>
              <w:t>十一．防蚊水</w:t>
            </w:r>
          </w:p>
        </w:tc>
        <w:tc>
          <w:tcPr>
            <w:tcW w:w="1152" w:type="dxa"/>
            <w:tcBorders>
              <w:tl2br w:val="nil"/>
              <w:tr2bl w:val="nil"/>
            </w:tcBorders>
            <w:shd w:val="clear" w:color="auto" w:fill="auto"/>
            <w:vAlign w:val="center"/>
          </w:tcPr>
          <w:p w14:paraId="047360A2">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snapToGrid/>
                <w:color w:val="auto"/>
                <w:spacing w:val="0"/>
                <w:kern w:val="2"/>
                <w:sz w:val="21"/>
                <w:szCs w:val="24"/>
                <w:highlight w:val="none"/>
                <w:lang w:val="en-US" w:eastAsia="zh-CN" w:bidi="ar-SA"/>
              </w:rPr>
            </w:pPr>
          </w:p>
        </w:tc>
      </w:tr>
      <w:tr w14:paraId="2B4AAC11">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754" w:type="dxa"/>
            <w:vMerge w:val="continue"/>
            <w:tcBorders>
              <w:tl2br w:val="nil"/>
              <w:tr2bl w:val="nil"/>
            </w:tcBorders>
            <w:shd w:val="clear" w:color="auto" w:fill="auto"/>
            <w:vAlign w:val="center"/>
          </w:tcPr>
          <w:p w14:paraId="18D388D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0"/>
                <w:szCs w:val="20"/>
                <w:u w:val="none"/>
                <w:lang w:val="en-US" w:eastAsia="zh-CN" w:bidi="ar"/>
              </w:rPr>
            </w:pPr>
          </w:p>
        </w:tc>
        <w:tc>
          <w:tcPr>
            <w:tcW w:w="6743" w:type="dxa"/>
            <w:tcBorders>
              <w:tl2br w:val="nil"/>
              <w:tr2bl w:val="nil"/>
            </w:tcBorders>
            <w:shd w:val="clear" w:color="auto" w:fill="auto"/>
            <w:vAlign w:val="center"/>
          </w:tcPr>
          <w:p w14:paraId="5B36A238">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48.规格：100ml/瓶，喷雾型</w:t>
            </w:r>
          </w:p>
        </w:tc>
        <w:tc>
          <w:tcPr>
            <w:tcW w:w="1152" w:type="dxa"/>
            <w:tcBorders>
              <w:tl2br w:val="nil"/>
              <w:tr2bl w:val="nil"/>
            </w:tcBorders>
            <w:shd w:val="clear" w:color="auto" w:fill="auto"/>
            <w:vAlign w:val="center"/>
          </w:tcPr>
          <w:p w14:paraId="350498B6">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snapToGrid/>
                <w:color w:val="auto"/>
                <w:spacing w:val="0"/>
                <w:kern w:val="2"/>
                <w:sz w:val="21"/>
                <w:szCs w:val="24"/>
                <w:highlight w:val="none"/>
                <w:lang w:val="en-US" w:eastAsia="zh-CN" w:bidi="ar-SA"/>
              </w:rPr>
            </w:pPr>
          </w:p>
        </w:tc>
      </w:tr>
      <w:tr w14:paraId="1921713D">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754" w:type="dxa"/>
            <w:vMerge w:val="continue"/>
            <w:tcBorders>
              <w:tl2br w:val="nil"/>
              <w:tr2bl w:val="nil"/>
            </w:tcBorders>
            <w:shd w:val="clear" w:color="auto" w:fill="auto"/>
            <w:vAlign w:val="center"/>
          </w:tcPr>
          <w:p w14:paraId="4C80834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0"/>
                <w:szCs w:val="20"/>
                <w:u w:val="none"/>
                <w:lang w:val="en-US" w:eastAsia="zh-CN" w:bidi="ar"/>
              </w:rPr>
            </w:pPr>
          </w:p>
        </w:tc>
        <w:tc>
          <w:tcPr>
            <w:tcW w:w="6743" w:type="dxa"/>
            <w:tcBorders>
              <w:tl2br w:val="nil"/>
              <w:tr2bl w:val="nil"/>
            </w:tcBorders>
            <w:shd w:val="clear" w:color="auto" w:fill="auto"/>
            <w:vAlign w:val="center"/>
          </w:tcPr>
          <w:p w14:paraId="57ABFA3A">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49.有效成分：含避蚊胺（DEET）7%</w:t>
            </w:r>
          </w:p>
        </w:tc>
        <w:tc>
          <w:tcPr>
            <w:tcW w:w="1152" w:type="dxa"/>
            <w:tcBorders>
              <w:tl2br w:val="nil"/>
              <w:tr2bl w:val="nil"/>
            </w:tcBorders>
            <w:shd w:val="clear" w:color="auto" w:fill="auto"/>
            <w:vAlign w:val="center"/>
          </w:tcPr>
          <w:p w14:paraId="6E1A8AC5">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snapToGrid/>
                <w:color w:val="auto"/>
                <w:spacing w:val="0"/>
                <w:kern w:val="2"/>
                <w:sz w:val="21"/>
                <w:szCs w:val="24"/>
                <w:highlight w:val="none"/>
                <w:lang w:val="en-US" w:eastAsia="zh-CN" w:bidi="ar-SA"/>
              </w:rPr>
            </w:pPr>
          </w:p>
        </w:tc>
      </w:tr>
      <w:tr w14:paraId="2B3AC2D6">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754" w:type="dxa"/>
            <w:vMerge w:val="continue"/>
            <w:tcBorders>
              <w:tl2br w:val="nil"/>
              <w:tr2bl w:val="nil"/>
            </w:tcBorders>
            <w:shd w:val="clear" w:color="auto" w:fill="auto"/>
            <w:vAlign w:val="center"/>
          </w:tcPr>
          <w:p w14:paraId="4B68C77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0"/>
                <w:szCs w:val="20"/>
                <w:u w:val="none"/>
                <w:lang w:val="en-US" w:eastAsia="zh-CN" w:bidi="ar"/>
              </w:rPr>
            </w:pPr>
          </w:p>
        </w:tc>
        <w:tc>
          <w:tcPr>
            <w:tcW w:w="6743" w:type="dxa"/>
            <w:tcBorders>
              <w:tl2br w:val="nil"/>
              <w:tr2bl w:val="nil"/>
            </w:tcBorders>
            <w:shd w:val="clear" w:color="auto" w:fill="auto"/>
            <w:vAlign w:val="center"/>
          </w:tcPr>
          <w:p w14:paraId="6269A21B">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50.防护时间：有效驱蚊时间4小时</w:t>
            </w:r>
          </w:p>
        </w:tc>
        <w:tc>
          <w:tcPr>
            <w:tcW w:w="1152" w:type="dxa"/>
            <w:tcBorders>
              <w:tl2br w:val="nil"/>
              <w:tr2bl w:val="nil"/>
            </w:tcBorders>
            <w:shd w:val="clear" w:color="auto" w:fill="auto"/>
            <w:vAlign w:val="center"/>
          </w:tcPr>
          <w:p w14:paraId="68A5ABD3">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snapToGrid/>
                <w:color w:val="auto"/>
                <w:spacing w:val="0"/>
                <w:kern w:val="2"/>
                <w:sz w:val="21"/>
                <w:szCs w:val="24"/>
                <w:highlight w:val="none"/>
                <w:lang w:val="en-US" w:eastAsia="zh-CN" w:bidi="ar-SA"/>
              </w:rPr>
            </w:pPr>
          </w:p>
        </w:tc>
      </w:tr>
      <w:tr w14:paraId="237087E9">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754" w:type="dxa"/>
            <w:vMerge w:val="continue"/>
            <w:tcBorders>
              <w:tl2br w:val="nil"/>
              <w:tr2bl w:val="nil"/>
            </w:tcBorders>
            <w:shd w:val="clear" w:color="auto" w:fill="auto"/>
            <w:vAlign w:val="center"/>
          </w:tcPr>
          <w:p w14:paraId="2675DE0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0"/>
                <w:szCs w:val="20"/>
                <w:u w:val="none"/>
                <w:lang w:val="en-US" w:eastAsia="zh-CN" w:bidi="ar"/>
              </w:rPr>
            </w:pPr>
          </w:p>
        </w:tc>
        <w:tc>
          <w:tcPr>
            <w:tcW w:w="6743" w:type="dxa"/>
            <w:tcBorders>
              <w:tl2br w:val="nil"/>
              <w:tr2bl w:val="nil"/>
            </w:tcBorders>
            <w:shd w:val="clear" w:color="auto" w:fill="auto"/>
            <w:vAlign w:val="center"/>
          </w:tcPr>
          <w:p w14:paraId="72DA8A8F">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51.安全性：皮肤刺激性低，通过皮肤过敏测试</w:t>
            </w:r>
          </w:p>
        </w:tc>
        <w:tc>
          <w:tcPr>
            <w:tcW w:w="1152" w:type="dxa"/>
            <w:tcBorders>
              <w:tl2br w:val="nil"/>
              <w:tr2bl w:val="nil"/>
            </w:tcBorders>
            <w:shd w:val="clear" w:color="auto" w:fill="auto"/>
            <w:vAlign w:val="center"/>
          </w:tcPr>
          <w:p w14:paraId="2B8F6F6F">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snapToGrid/>
                <w:color w:val="auto"/>
                <w:spacing w:val="0"/>
                <w:kern w:val="2"/>
                <w:sz w:val="21"/>
                <w:szCs w:val="24"/>
                <w:highlight w:val="none"/>
                <w:lang w:val="en-US" w:eastAsia="zh-CN" w:bidi="ar-SA"/>
              </w:rPr>
            </w:pPr>
          </w:p>
        </w:tc>
      </w:tr>
      <w:tr w14:paraId="75595DE2">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754" w:type="dxa"/>
            <w:vMerge w:val="continue"/>
            <w:tcBorders>
              <w:tl2br w:val="nil"/>
              <w:tr2bl w:val="nil"/>
            </w:tcBorders>
            <w:shd w:val="clear" w:color="auto" w:fill="auto"/>
            <w:vAlign w:val="center"/>
          </w:tcPr>
          <w:p w14:paraId="2D49E7E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0"/>
                <w:szCs w:val="20"/>
                <w:u w:val="none"/>
                <w:lang w:val="en-US" w:eastAsia="zh-CN" w:bidi="ar"/>
              </w:rPr>
            </w:pPr>
          </w:p>
        </w:tc>
        <w:tc>
          <w:tcPr>
            <w:tcW w:w="6743" w:type="dxa"/>
            <w:tcBorders>
              <w:tl2br w:val="nil"/>
              <w:tr2bl w:val="nil"/>
            </w:tcBorders>
            <w:shd w:val="clear" w:color="auto" w:fill="auto"/>
            <w:vAlign w:val="center"/>
          </w:tcPr>
          <w:p w14:paraId="7E58CAE3">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52.包装：便携喷雾瓶，防漏设计，保质期≥2年</w:t>
            </w:r>
          </w:p>
        </w:tc>
        <w:tc>
          <w:tcPr>
            <w:tcW w:w="1152" w:type="dxa"/>
            <w:tcBorders>
              <w:tl2br w:val="nil"/>
              <w:tr2bl w:val="nil"/>
            </w:tcBorders>
            <w:shd w:val="clear" w:color="auto" w:fill="auto"/>
            <w:vAlign w:val="center"/>
          </w:tcPr>
          <w:p w14:paraId="722FD19D">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snapToGrid/>
                <w:color w:val="auto"/>
                <w:spacing w:val="0"/>
                <w:kern w:val="2"/>
                <w:sz w:val="21"/>
                <w:szCs w:val="24"/>
                <w:highlight w:val="none"/>
                <w:lang w:val="en-US" w:eastAsia="zh-CN" w:bidi="ar-SA"/>
              </w:rPr>
            </w:pPr>
          </w:p>
        </w:tc>
      </w:tr>
      <w:tr w14:paraId="596D8451">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754" w:type="dxa"/>
            <w:vMerge w:val="continue"/>
            <w:tcBorders>
              <w:tl2br w:val="nil"/>
              <w:tr2bl w:val="nil"/>
            </w:tcBorders>
            <w:shd w:val="clear" w:color="auto" w:fill="auto"/>
            <w:vAlign w:val="center"/>
          </w:tcPr>
          <w:p w14:paraId="3C21525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0"/>
                <w:szCs w:val="20"/>
                <w:u w:val="none"/>
                <w:lang w:val="en-US" w:eastAsia="zh-CN" w:bidi="ar"/>
              </w:rPr>
            </w:pPr>
          </w:p>
        </w:tc>
        <w:tc>
          <w:tcPr>
            <w:tcW w:w="6743" w:type="dxa"/>
            <w:tcBorders>
              <w:tl2br w:val="nil"/>
              <w:tr2bl w:val="nil"/>
            </w:tcBorders>
            <w:shd w:val="clear" w:color="auto" w:fill="auto"/>
            <w:vAlign w:val="center"/>
          </w:tcPr>
          <w:p w14:paraId="58538A23">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b/>
                <w:bCs/>
                <w:snapToGrid/>
                <w:color w:val="auto"/>
                <w:spacing w:val="0"/>
                <w:kern w:val="2"/>
                <w:sz w:val="21"/>
                <w:szCs w:val="24"/>
                <w:highlight w:val="none"/>
                <w:lang w:val="en-US" w:eastAsia="zh-CN" w:bidi="ar-SA"/>
              </w:rPr>
              <w:t>十二．头灯</w:t>
            </w:r>
          </w:p>
        </w:tc>
        <w:tc>
          <w:tcPr>
            <w:tcW w:w="1152" w:type="dxa"/>
            <w:tcBorders>
              <w:tl2br w:val="nil"/>
              <w:tr2bl w:val="nil"/>
            </w:tcBorders>
            <w:shd w:val="clear" w:color="auto" w:fill="auto"/>
            <w:vAlign w:val="center"/>
          </w:tcPr>
          <w:p w14:paraId="17D1C631">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snapToGrid/>
                <w:color w:val="auto"/>
                <w:spacing w:val="0"/>
                <w:kern w:val="2"/>
                <w:sz w:val="21"/>
                <w:szCs w:val="24"/>
                <w:highlight w:val="none"/>
                <w:lang w:val="en-US" w:eastAsia="zh-CN" w:bidi="ar-SA"/>
              </w:rPr>
            </w:pPr>
          </w:p>
        </w:tc>
      </w:tr>
      <w:tr w14:paraId="6E7A5508">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754" w:type="dxa"/>
            <w:vMerge w:val="continue"/>
            <w:tcBorders>
              <w:tl2br w:val="nil"/>
              <w:tr2bl w:val="nil"/>
            </w:tcBorders>
            <w:shd w:val="clear" w:color="auto" w:fill="auto"/>
            <w:vAlign w:val="center"/>
          </w:tcPr>
          <w:p w14:paraId="3C8CD77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0"/>
                <w:szCs w:val="20"/>
                <w:u w:val="none"/>
                <w:lang w:val="en-US" w:eastAsia="zh-CN" w:bidi="ar"/>
              </w:rPr>
            </w:pPr>
          </w:p>
        </w:tc>
        <w:tc>
          <w:tcPr>
            <w:tcW w:w="6743" w:type="dxa"/>
            <w:tcBorders>
              <w:tl2br w:val="nil"/>
              <w:tr2bl w:val="nil"/>
            </w:tcBorders>
            <w:shd w:val="clear" w:color="auto" w:fill="auto"/>
            <w:vAlign w:val="center"/>
          </w:tcPr>
          <w:p w14:paraId="126B4D51">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53.光源：LED光源，最大亮度不低于110流明；</w:t>
            </w:r>
          </w:p>
        </w:tc>
        <w:tc>
          <w:tcPr>
            <w:tcW w:w="1152" w:type="dxa"/>
            <w:tcBorders>
              <w:tl2br w:val="nil"/>
              <w:tr2bl w:val="nil"/>
            </w:tcBorders>
            <w:shd w:val="clear" w:color="auto" w:fill="auto"/>
            <w:vAlign w:val="center"/>
          </w:tcPr>
          <w:p w14:paraId="50A694DD">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snapToGrid/>
                <w:color w:val="auto"/>
                <w:spacing w:val="0"/>
                <w:kern w:val="2"/>
                <w:sz w:val="21"/>
                <w:szCs w:val="24"/>
                <w:highlight w:val="none"/>
                <w:lang w:val="en-US" w:eastAsia="zh-CN" w:bidi="ar-SA"/>
              </w:rPr>
            </w:pPr>
          </w:p>
        </w:tc>
      </w:tr>
      <w:tr w14:paraId="2B44D68C">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754" w:type="dxa"/>
            <w:vMerge w:val="continue"/>
            <w:tcBorders>
              <w:tl2br w:val="nil"/>
              <w:tr2bl w:val="nil"/>
            </w:tcBorders>
            <w:shd w:val="clear" w:color="auto" w:fill="auto"/>
            <w:vAlign w:val="center"/>
          </w:tcPr>
          <w:p w14:paraId="7426803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0"/>
                <w:szCs w:val="20"/>
                <w:u w:val="none"/>
                <w:lang w:val="en-US" w:eastAsia="zh-CN" w:bidi="ar"/>
              </w:rPr>
            </w:pPr>
          </w:p>
        </w:tc>
        <w:tc>
          <w:tcPr>
            <w:tcW w:w="6743" w:type="dxa"/>
            <w:tcBorders>
              <w:tl2br w:val="nil"/>
              <w:tr2bl w:val="nil"/>
            </w:tcBorders>
            <w:shd w:val="clear" w:color="auto" w:fill="auto"/>
            <w:vAlign w:val="center"/>
          </w:tcPr>
          <w:p w14:paraId="2E21E442">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54.续航：高亮模式≥4小时，低亮模式≥8小时</w:t>
            </w:r>
          </w:p>
        </w:tc>
        <w:tc>
          <w:tcPr>
            <w:tcW w:w="1152" w:type="dxa"/>
            <w:tcBorders>
              <w:tl2br w:val="nil"/>
              <w:tr2bl w:val="nil"/>
            </w:tcBorders>
            <w:shd w:val="clear" w:color="auto" w:fill="auto"/>
            <w:vAlign w:val="center"/>
          </w:tcPr>
          <w:p w14:paraId="10D79BB0">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snapToGrid/>
                <w:color w:val="auto"/>
                <w:spacing w:val="0"/>
                <w:kern w:val="2"/>
                <w:sz w:val="21"/>
                <w:szCs w:val="24"/>
                <w:highlight w:val="none"/>
                <w:lang w:val="en-US" w:eastAsia="zh-CN" w:bidi="ar-SA"/>
              </w:rPr>
            </w:pPr>
          </w:p>
        </w:tc>
      </w:tr>
      <w:tr w14:paraId="1A23309B">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754" w:type="dxa"/>
            <w:vMerge w:val="continue"/>
            <w:tcBorders>
              <w:tl2br w:val="nil"/>
              <w:tr2bl w:val="nil"/>
            </w:tcBorders>
            <w:shd w:val="clear" w:color="auto" w:fill="auto"/>
            <w:vAlign w:val="center"/>
          </w:tcPr>
          <w:p w14:paraId="3680C15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0"/>
                <w:szCs w:val="20"/>
                <w:u w:val="none"/>
                <w:lang w:val="en-US" w:eastAsia="zh-CN" w:bidi="ar"/>
              </w:rPr>
            </w:pPr>
          </w:p>
        </w:tc>
        <w:tc>
          <w:tcPr>
            <w:tcW w:w="6743" w:type="dxa"/>
            <w:tcBorders>
              <w:tl2br w:val="nil"/>
              <w:tr2bl w:val="nil"/>
            </w:tcBorders>
            <w:shd w:val="clear" w:color="auto" w:fill="auto"/>
            <w:vAlign w:val="center"/>
          </w:tcPr>
          <w:p w14:paraId="2AE112C4">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55.档位：≥4档亮度调节（高亮/低亮），带爆闪-SOS闪烁模式</w:t>
            </w:r>
          </w:p>
        </w:tc>
        <w:tc>
          <w:tcPr>
            <w:tcW w:w="1152" w:type="dxa"/>
            <w:tcBorders>
              <w:tl2br w:val="nil"/>
              <w:tr2bl w:val="nil"/>
            </w:tcBorders>
            <w:shd w:val="clear" w:color="auto" w:fill="auto"/>
            <w:vAlign w:val="center"/>
          </w:tcPr>
          <w:p w14:paraId="4AFFE3AB">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snapToGrid/>
                <w:color w:val="auto"/>
                <w:spacing w:val="0"/>
                <w:kern w:val="2"/>
                <w:sz w:val="21"/>
                <w:szCs w:val="24"/>
                <w:highlight w:val="none"/>
                <w:lang w:val="en-US" w:eastAsia="zh-CN" w:bidi="ar-SA"/>
              </w:rPr>
            </w:pPr>
          </w:p>
        </w:tc>
      </w:tr>
      <w:tr w14:paraId="4E194305">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754" w:type="dxa"/>
            <w:vMerge w:val="continue"/>
            <w:tcBorders>
              <w:tl2br w:val="nil"/>
              <w:tr2bl w:val="nil"/>
            </w:tcBorders>
            <w:shd w:val="clear" w:color="auto" w:fill="auto"/>
            <w:vAlign w:val="center"/>
          </w:tcPr>
          <w:p w14:paraId="6FC1256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0"/>
                <w:szCs w:val="20"/>
                <w:u w:val="none"/>
                <w:lang w:val="en-US" w:eastAsia="zh-CN" w:bidi="ar"/>
              </w:rPr>
            </w:pPr>
          </w:p>
        </w:tc>
        <w:tc>
          <w:tcPr>
            <w:tcW w:w="6743" w:type="dxa"/>
            <w:tcBorders>
              <w:tl2br w:val="nil"/>
              <w:tr2bl w:val="nil"/>
            </w:tcBorders>
            <w:shd w:val="clear" w:color="auto" w:fill="auto"/>
            <w:vAlign w:val="center"/>
          </w:tcPr>
          <w:p w14:paraId="5CEA410F">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56.供电：内置14500/500mAh可充电锂电池</w:t>
            </w:r>
          </w:p>
        </w:tc>
        <w:tc>
          <w:tcPr>
            <w:tcW w:w="1152" w:type="dxa"/>
            <w:tcBorders>
              <w:tl2br w:val="nil"/>
              <w:tr2bl w:val="nil"/>
            </w:tcBorders>
            <w:shd w:val="clear" w:color="auto" w:fill="auto"/>
            <w:vAlign w:val="center"/>
          </w:tcPr>
          <w:p w14:paraId="669F723D">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snapToGrid/>
                <w:color w:val="auto"/>
                <w:spacing w:val="0"/>
                <w:kern w:val="2"/>
                <w:sz w:val="21"/>
                <w:szCs w:val="24"/>
                <w:highlight w:val="none"/>
                <w:lang w:val="en-US" w:eastAsia="zh-CN" w:bidi="ar-SA"/>
              </w:rPr>
            </w:pPr>
          </w:p>
        </w:tc>
      </w:tr>
      <w:tr w14:paraId="45DCECF9">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754" w:type="dxa"/>
            <w:vMerge w:val="continue"/>
            <w:tcBorders>
              <w:tl2br w:val="nil"/>
              <w:tr2bl w:val="nil"/>
            </w:tcBorders>
            <w:shd w:val="clear" w:color="auto" w:fill="auto"/>
            <w:vAlign w:val="center"/>
          </w:tcPr>
          <w:p w14:paraId="0A0A928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0"/>
                <w:szCs w:val="20"/>
                <w:u w:val="none"/>
                <w:lang w:val="en-US" w:eastAsia="zh-CN" w:bidi="ar"/>
              </w:rPr>
            </w:pPr>
          </w:p>
        </w:tc>
        <w:tc>
          <w:tcPr>
            <w:tcW w:w="6743" w:type="dxa"/>
            <w:tcBorders>
              <w:tl2br w:val="nil"/>
              <w:tr2bl w:val="nil"/>
            </w:tcBorders>
            <w:shd w:val="clear" w:color="auto" w:fill="auto"/>
            <w:vAlign w:val="center"/>
          </w:tcPr>
          <w:p w14:paraId="632DDE3B">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57.防水：不低于IP44防水等级</w:t>
            </w:r>
          </w:p>
        </w:tc>
        <w:tc>
          <w:tcPr>
            <w:tcW w:w="1152" w:type="dxa"/>
            <w:tcBorders>
              <w:tl2br w:val="nil"/>
              <w:tr2bl w:val="nil"/>
            </w:tcBorders>
            <w:shd w:val="clear" w:color="auto" w:fill="auto"/>
            <w:vAlign w:val="center"/>
          </w:tcPr>
          <w:p w14:paraId="1DD9C561">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snapToGrid/>
                <w:color w:val="auto"/>
                <w:spacing w:val="0"/>
                <w:kern w:val="2"/>
                <w:sz w:val="21"/>
                <w:szCs w:val="24"/>
                <w:highlight w:val="none"/>
                <w:lang w:val="en-US" w:eastAsia="zh-CN" w:bidi="ar-SA"/>
              </w:rPr>
            </w:pPr>
          </w:p>
        </w:tc>
      </w:tr>
      <w:tr w14:paraId="53C99A06">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754" w:type="dxa"/>
            <w:vMerge w:val="continue"/>
            <w:tcBorders>
              <w:tl2br w:val="nil"/>
              <w:tr2bl w:val="nil"/>
            </w:tcBorders>
            <w:shd w:val="clear" w:color="auto" w:fill="auto"/>
            <w:vAlign w:val="center"/>
          </w:tcPr>
          <w:p w14:paraId="2FC443C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0"/>
                <w:szCs w:val="20"/>
                <w:u w:val="none"/>
                <w:lang w:val="en-US" w:eastAsia="zh-CN" w:bidi="ar"/>
              </w:rPr>
            </w:pPr>
          </w:p>
        </w:tc>
        <w:tc>
          <w:tcPr>
            <w:tcW w:w="6743" w:type="dxa"/>
            <w:tcBorders>
              <w:tl2br w:val="nil"/>
              <w:tr2bl w:val="nil"/>
            </w:tcBorders>
            <w:shd w:val="clear" w:color="auto" w:fill="auto"/>
            <w:vAlign w:val="center"/>
          </w:tcPr>
          <w:p w14:paraId="1E482BD5">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58.重量：含电池≤100g</w:t>
            </w:r>
          </w:p>
        </w:tc>
        <w:tc>
          <w:tcPr>
            <w:tcW w:w="1152" w:type="dxa"/>
            <w:tcBorders>
              <w:tl2br w:val="nil"/>
              <w:tr2bl w:val="nil"/>
            </w:tcBorders>
            <w:shd w:val="clear" w:color="auto" w:fill="auto"/>
            <w:vAlign w:val="center"/>
          </w:tcPr>
          <w:p w14:paraId="1A5A64B6">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snapToGrid/>
                <w:color w:val="auto"/>
                <w:spacing w:val="0"/>
                <w:kern w:val="2"/>
                <w:sz w:val="21"/>
                <w:szCs w:val="24"/>
                <w:highlight w:val="none"/>
                <w:lang w:val="en-US" w:eastAsia="zh-CN" w:bidi="ar-SA"/>
              </w:rPr>
            </w:pPr>
          </w:p>
        </w:tc>
      </w:tr>
      <w:tr w14:paraId="616D3814">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754" w:type="dxa"/>
            <w:vMerge w:val="continue"/>
            <w:tcBorders>
              <w:tl2br w:val="nil"/>
              <w:tr2bl w:val="nil"/>
            </w:tcBorders>
            <w:shd w:val="clear" w:color="auto" w:fill="auto"/>
            <w:vAlign w:val="center"/>
          </w:tcPr>
          <w:p w14:paraId="6E9F1DE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0"/>
                <w:szCs w:val="20"/>
                <w:u w:val="none"/>
                <w:lang w:val="en-US" w:eastAsia="zh-CN" w:bidi="ar"/>
              </w:rPr>
            </w:pPr>
          </w:p>
        </w:tc>
        <w:tc>
          <w:tcPr>
            <w:tcW w:w="6743" w:type="dxa"/>
            <w:tcBorders>
              <w:tl2br w:val="nil"/>
              <w:tr2bl w:val="nil"/>
            </w:tcBorders>
            <w:shd w:val="clear" w:color="auto" w:fill="auto"/>
            <w:vAlign w:val="center"/>
          </w:tcPr>
          <w:p w14:paraId="19B3EBD7">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59.其他：可调节照射角度，头带可调节，带红光模式</w:t>
            </w:r>
          </w:p>
        </w:tc>
        <w:tc>
          <w:tcPr>
            <w:tcW w:w="1152" w:type="dxa"/>
            <w:tcBorders>
              <w:tl2br w:val="nil"/>
              <w:tr2bl w:val="nil"/>
            </w:tcBorders>
            <w:shd w:val="clear" w:color="auto" w:fill="auto"/>
            <w:vAlign w:val="center"/>
          </w:tcPr>
          <w:p w14:paraId="061DE7E1">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snapToGrid/>
                <w:color w:val="auto"/>
                <w:spacing w:val="0"/>
                <w:kern w:val="2"/>
                <w:sz w:val="21"/>
                <w:szCs w:val="24"/>
                <w:highlight w:val="none"/>
                <w:lang w:val="en-US" w:eastAsia="zh-CN" w:bidi="ar-SA"/>
              </w:rPr>
            </w:pPr>
          </w:p>
        </w:tc>
      </w:tr>
      <w:tr w14:paraId="5DBB47D2">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754" w:type="dxa"/>
            <w:vMerge w:val="continue"/>
            <w:tcBorders>
              <w:tl2br w:val="nil"/>
              <w:tr2bl w:val="nil"/>
            </w:tcBorders>
            <w:shd w:val="clear" w:color="auto" w:fill="auto"/>
            <w:vAlign w:val="center"/>
          </w:tcPr>
          <w:p w14:paraId="10BB26E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0"/>
                <w:szCs w:val="20"/>
                <w:u w:val="none"/>
                <w:lang w:val="en-US" w:eastAsia="zh-CN" w:bidi="ar"/>
              </w:rPr>
            </w:pPr>
          </w:p>
        </w:tc>
        <w:tc>
          <w:tcPr>
            <w:tcW w:w="6743" w:type="dxa"/>
            <w:tcBorders>
              <w:tl2br w:val="nil"/>
              <w:tr2bl w:val="nil"/>
            </w:tcBorders>
            <w:shd w:val="clear" w:color="auto" w:fill="auto"/>
            <w:vAlign w:val="center"/>
          </w:tcPr>
          <w:p w14:paraId="627EA258">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b/>
                <w:bCs/>
                <w:snapToGrid/>
                <w:color w:val="auto"/>
                <w:spacing w:val="0"/>
                <w:kern w:val="2"/>
                <w:sz w:val="21"/>
                <w:szCs w:val="24"/>
                <w:highlight w:val="none"/>
                <w:lang w:val="en-US" w:eastAsia="zh-CN" w:bidi="ar-SA"/>
              </w:rPr>
              <w:t>十三．手电筒</w:t>
            </w:r>
          </w:p>
        </w:tc>
        <w:tc>
          <w:tcPr>
            <w:tcW w:w="1152" w:type="dxa"/>
            <w:tcBorders>
              <w:tl2br w:val="nil"/>
              <w:tr2bl w:val="nil"/>
            </w:tcBorders>
            <w:shd w:val="clear" w:color="auto" w:fill="auto"/>
            <w:vAlign w:val="center"/>
          </w:tcPr>
          <w:p w14:paraId="15D9AADD">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snapToGrid/>
                <w:color w:val="auto"/>
                <w:spacing w:val="0"/>
                <w:kern w:val="2"/>
                <w:sz w:val="21"/>
                <w:szCs w:val="24"/>
                <w:highlight w:val="none"/>
                <w:lang w:val="en-US" w:eastAsia="zh-CN" w:bidi="ar-SA"/>
              </w:rPr>
            </w:pPr>
          </w:p>
        </w:tc>
      </w:tr>
      <w:tr w14:paraId="56F2BB6C">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754" w:type="dxa"/>
            <w:vMerge w:val="continue"/>
            <w:tcBorders>
              <w:tl2br w:val="nil"/>
              <w:tr2bl w:val="nil"/>
            </w:tcBorders>
            <w:shd w:val="clear" w:color="auto" w:fill="auto"/>
            <w:vAlign w:val="center"/>
          </w:tcPr>
          <w:p w14:paraId="6C836E9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0"/>
                <w:szCs w:val="20"/>
                <w:u w:val="none"/>
                <w:lang w:val="en-US" w:eastAsia="zh-CN" w:bidi="ar"/>
              </w:rPr>
            </w:pPr>
          </w:p>
        </w:tc>
        <w:tc>
          <w:tcPr>
            <w:tcW w:w="6743" w:type="dxa"/>
            <w:tcBorders>
              <w:tl2br w:val="nil"/>
              <w:tr2bl w:val="nil"/>
            </w:tcBorders>
            <w:shd w:val="clear" w:color="auto" w:fill="auto"/>
            <w:vAlign w:val="center"/>
          </w:tcPr>
          <w:p w14:paraId="48AA8E74">
            <w:pPr>
              <w:keepNext w:val="0"/>
              <w:keepLines w:val="0"/>
              <w:widowControl/>
              <w:suppressLineNumbers w:val="0"/>
              <w:spacing w:before="0" w:beforeAutospacing="0" w:after="0" w:afterAutospacing="0"/>
              <w:ind w:left="0" w:right="0"/>
              <w:jc w:val="left"/>
              <w:textAlignment w:val="center"/>
              <w:rPr>
                <w:rFonts w:hint="default" w:ascii="宋体" w:hAnsi="宋体" w:cs="宋体" w:eastAsiaTheme="minorEastAsia"/>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60.手电尺寸:长度15-18cm，最大直径≤4cm，允差±5%</w:t>
            </w:r>
          </w:p>
        </w:tc>
        <w:tc>
          <w:tcPr>
            <w:tcW w:w="1152" w:type="dxa"/>
            <w:tcBorders>
              <w:tl2br w:val="nil"/>
              <w:tr2bl w:val="nil"/>
            </w:tcBorders>
            <w:shd w:val="clear" w:color="auto" w:fill="auto"/>
            <w:vAlign w:val="center"/>
          </w:tcPr>
          <w:p w14:paraId="18D1F923">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snapToGrid/>
                <w:color w:val="auto"/>
                <w:spacing w:val="0"/>
                <w:kern w:val="2"/>
                <w:sz w:val="21"/>
                <w:szCs w:val="24"/>
                <w:highlight w:val="none"/>
                <w:lang w:val="en-US" w:eastAsia="zh-CN" w:bidi="ar-SA"/>
              </w:rPr>
            </w:pPr>
          </w:p>
        </w:tc>
      </w:tr>
      <w:tr w14:paraId="48A0E98E">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754" w:type="dxa"/>
            <w:vMerge w:val="continue"/>
            <w:tcBorders>
              <w:tl2br w:val="nil"/>
              <w:tr2bl w:val="nil"/>
            </w:tcBorders>
            <w:shd w:val="clear" w:color="auto" w:fill="auto"/>
            <w:vAlign w:val="center"/>
          </w:tcPr>
          <w:p w14:paraId="2598632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0"/>
                <w:szCs w:val="20"/>
                <w:u w:val="none"/>
                <w:lang w:val="en-US" w:eastAsia="zh-CN" w:bidi="ar"/>
              </w:rPr>
            </w:pPr>
          </w:p>
        </w:tc>
        <w:tc>
          <w:tcPr>
            <w:tcW w:w="6743" w:type="dxa"/>
            <w:tcBorders>
              <w:tl2br w:val="nil"/>
              <w:tr2bl w:val="nil"/>
            </w:tcBorders>
            <w:shd w:val="clear" w:color="auto" w:fill="auto"/>
            <w:vAlign w:val="center"/>
          </w:tcPr>
          <w:p w14:paraId="372CAF67">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61.充电方式:DC直充</w:t>
            </w:r>
          </w:p>
        </w:tc>
        <w:tc>
          <w:tcPr>
            <w:tcW w:w="1152" w:type="dxa"/>
            <w:tcBorders>
              <w:tl2br w:val="nil"/>
              <w:tr2bl w:val="nil"/>
            </w:tcBorders>
            <w:shd w:val="clear" w:color="auto" w:fill="auto"/>
            <w:vAlign w:val="center"/>
          </w:tcPr>
          <w:p w14:paraId="442434AA">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snapToGrid/>
                <w:color w:val="auto"/>
                <w:spacing w:val="0"/>
                <w:kern w:val="2"/>
                <w:sz w:val="21"/>
                <w:szCs w:val="24"/>
                <w:highlight w:val="none"/>
                <w:lang w:val="en-US" w:eastAsia="zh-CN" w:bidi="ar-SA"/>
              </w:rPr>
            </w:pPr>
          </w:p>
        </w:tc>
      </w:tr>
      <w:tr w14:paraId="1F46A4E3">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754" w:type="dxa"/>
            <w:vMerge w:val="continue"/>
            <w:tcBorders>
              <w:tl2br w:val="nil"/>
              <w:tr2bl w:val="nil"/>
            </w:tcBorders>
            <w:shd w:val="clear" w:color="auto" w:fill="auto"/>
            <w:vAlign w:val="center"/>
          </w:tcPr>
          <w:p w14:paraId="1CDBC25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0"/>
                <w:szCs w:val="20"/>
                <w:u w:val="none"/>
                <w:lang w:val="en-US" w:eastAsia="zh-CN" w:bidi="ar"/>
              </w:rPr>
            </w:pPr>
          </w:p>
        </w:tc>
        <w:tc>
          <w:tcPr>
            <w:tcW w:w="6743" w:type="dxa"/>
            <w:tcBorders>
              <w:tl2br w:val="nil"/>
              <w:tr2bl w:val="nil"/>
            </w:tcBorders>
            <w:shd w:val="clear" w:color="auto" w:fill="auto"/>
            <w:vAlign w:val="center"/>
          </w:tcPr>
          <w:p w14:paraId="66A710DD">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 xml:space="preserve">62.手电重量:≤135g(不含电池)   </w:t>
            </w:r>
          </w:p>
        </w:tc>
        <w:tc>
          <w:tcPr>
            <w:tcW w:w="1152" w:type="dxa"/>
            <w:tcBorders>
              <w:tl2br w:val="nil"/>
              <w:tr2bl w:val="nil"/>
            </w:tcBorders>
            <w:shd w:val="clear" w:color="auto" w:fill="auto"/>
            <w:vAlign w:val="center"/>
          </w:tcPr>
          <w:p w14:paraId="2D5AB0E1">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snapToGrid/>
                <w:color w:val="auto"/>
                <w:spacing w:val="0"/>
                <w:kern w:val="2"/>
                <w:sz w:val="21"/>
                <w:szCs w:val="24"/>
                <w:highlight w:val="none"/>
                <w:lang w:val="en-US" w:eastAsia="zh-CN" w:bidi="ar-SA"/>
              </w:rPr>
            </w:pPr>
          </w:p>
        </w:tc>
      </w:tr>
      <w:tr w14:paraId="67EC0BE2">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754" w:type="dxa"/>
            <w:vMerge w:val="continue"/>
            <w:tcBorders>
              <w:tl2br w:val="nil"/>
              <w:tr2bl w:val="nil"/>
            </w:tcBorders>
            <w:shd w:val="clear" w:color="auto" w:fill="auto"/>
            <w:vAlign w:val="center"/>
          </w:tcPr>
          <w:p w14:paraId="4357E8B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0"/>
                <w:szCs w:val="20"/>
                <w:u w:val="none"/>
                <w:lang w:val="en-US" w:eastAsia="zh-CN" w:bidi="ar"/>
              </w:rPr>
            </w:pPr>
          </w:p>
        </w:tc>
        <w:tc>
          <w:tcPr>
            <w:tcW w:w="6743" w:type="dxa"/>
            <w:tcBorders>
              <w:tl2br w:val="nil"/>
              <w:tr2bl w:val="nil"/>
            </w:tcBorders>
            <w:shd w:val="clear" w:color="auto" w:fill="auto"/>
            <w:vAlign w:val="center"/>
          </w:tcPr>
          <w:p w14:paraId="3567217B">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63.防水等级:不低于生活防水等级</w:t>
            </w:r>
          </w:p>
        </w:tc>
        <w:tc>
          <w:tcPr>
            <w:tcW w:w="1152" w:type="dxa"/>
            <w:tcBorders>
              <w:tl2br w:val="nil"/>
              <w:tr2bl w:val="nil"/>
            </w:tcBorders>
            <w:shd w:val="clear" w:color="auto" w:fill="auto"/>
            <w:vAlign w:val="center"/>
          </w:tcPr>
          <w:p w14:paraId="2D583CF2">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snapToGrid/>
                <w:color w:val="auto"/>
                <w:spacing w:val="0"/>
                <w:kern w:val="2"/>
                <w:sz w:val="21"/>
                <w:szCs w:val="24"/>
                <w:highlight w:val="none"/>
                <w:lang w:val="en-US" w:eastAsia="zh-CN" w:bidi="ar-SA"/>
              </w:rPr>
            </w:pPr>
          </w:p>
        </w:tc>
      </w:tr>
      <w:tr w14:paraId="525EE46A">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754" w:type="dxa"/>
            <w:vMerge w:val="continue"/>
            <w:tcBorders>
              <w:tl2br w:val="nil"/>
              <w:tr2bl w:val="nil"/>
            </w:tcBorders>
            <w:shd w:val="clear" w:color="auto" w:fill="auto"/>
            <w:vAlign w:val="center"/>
          </w:tcPr>
          <w:p w14:paraId="12F5DE2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0"/>
                <w:szCs w:val="20"/>
                <w:u w:val="none"/>
                <w:lang w:val="en-US" w:eastAsia="zh-CN" w:bidi="ar"/>
              </w:rPr>
            </w:pPr>
          </w:p>
        </w:tc>
        <w:tc>
          <w:tcPr>
            <w:tcW w:w="6743" w:type="dxa"/>
            <w:tcBorders>
              <w:tl2br w:val="nil"/>
              <w:tr2bl w:val="nil"/>
            </w:tcBorders>
            <w:shd w:val="clear" w:color="auto" w:fill="auto"/>
            <w:vAlign w:val="center"/>
          </w:tcPr>
          <w:p w14:paraId="61ECCC05">
            <w:pPr>
              <w:pStyle w:val="9"/>
              <w:keepNext w:val="0"/>
              <w:keepLines w:val="0"/>
              <w:suppressLineNumbers w:val="0"/>
              <w:spacing w:before="0" w:beforeAutospacing="0" w:after="0" w:afterAutospacing="0"/>
              <w:ind w:left="0" w:right="0"/>
              <w:rPr>
                <w:rFonts w:hint="default"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64.照射距离:不低于500米</w:t>
            </w:r>
          </w:p>
        </w:tc>
        <w:tc>
          <w:tcPr>
            <w:tcW w:w="1152" w:type="dxa"/>
            <w:tcBorders>
              <w:tl2br w:val="nil"/>
              <w:tr2bl w:val="nil"/>
            </w:tcBorders>
            <w:shd w:val="clear" w:color="auto" w:fill="auto"/>
            <w:vAlign w:val="center"/>
          </w:tcPr>
          <w:p w14:paraId="4A48EE98">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snapToGrid/>
                <w:color w:val="auto"/>
                <w:spacing w:val="0"/>
                <w:kern w:val="2"/>
                <w:sz w:val="21"/>
                <w:szCs w:val="24"/>
                <w:highlight w:val="none"/>
                <w:lang w:val="en-US" w:eastAsia="zh-CN" w:bidi="ar-SA"/>
              </w:rPr>
            </w:pPr>
          </w:p>
        </w:tc>
      </w:tr>
      <w:tr w14:paraId="1B0D9051">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754" w:type="dxa"/>
            <w:vMerge w:val="continue"/>
            <w:tcBorders>
              <w:tl2br w:val="nil"/>
              <w:tr2bl w:val="nil"/>
            </w:tcBorders>
            <w:shd w:val="clear" w:color="auto" w:fill="auto"/>
            <w:vAlign w:val="center"/>
          </w:tcPr>
          <w:p w14:paraId="27318F5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0"/>
                <w:szCs w:val="20"/>
                <w:u w:val="none"/>
                <w:lang w:val="en-US" w:eastAsia="zh-CN" w:bidi="ar"/>
              </w:rPr>
            </w:pPr>
          </w:p>
        </w:tc>
        <w:tc>
          <w:tcPr>
            <w:tcW w:w="6743" w:type="dxa"/>
            <w:tcBorders>
              <w:tl2br w:val="nil"/>
              <w:tr2bl w:val="nil"/>
            </w:tcBorders>
            <w:shd w:val="clear" w:color="auto" w:fill="auto"/>
            <w:vAlign w:val="center"/>
          </w:tcPr>
          <w:p w14:paraId="1185CB4F">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b/>
                <w:bCs/>
                <w:snapToGrid/>
                <w:color w:val="auto"/>
                <w:spacing w:val="0"/>
                <w:kern w:val="2"/>
                <w:sz w:val="21"/>
                <w:szCs w:val="24"/>
                <w:highlight w:val="none"/>
                <w:lang w:val="en-US" w:eastAsia="zh-CN" w:bidi="ar-SA"/>
              </w:rPr>
              <w:t>十四．充电宝</w:t>
            </w:r>
          </w:p>
        </w:tc>
        <w:tc>
          <w:tcPr>
            <w:tcW w:w="1152" w:type="dxa"/>
            <w:tcBorders>
              <w:tl2br w:val="nil"/>
              <w:tr2bl w:val="nil"/>
            </w:tcBorders>
            <w:shd w:val="clear" w:color="auto" w:fill="auto"/>
            <w:vAlign w:val="center"/>
          </w:tcPr>
          <w:p w14:paraId="2D843058">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snapToGrid/>
                <w:color w:val="auto"/>
                <w:spacing w:val="0"/>
                <w:kern w:val="2"/>
                <w:sz w:val="21"/>
                <w:szCs w:val="24"/>
                <w:highlight w:val="none"/>
                <w:lang w:val="en-US" w:eastAsia="zh-CN" w:bidi="ar-SA"/>
              </w:rPr>
            </w:pPr>
          </w:p>
        </w:tc>
      </w:tr>
      <w:tr w14:paraId="0FAC326E">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754" w:type="dxa"/>
            <w:vMerge w:val="continue"/>
            <w:tcBorders>
              <w:tl2br w:val="nil"/>
              <w:tr2bl w:val="nil"/>
            </w:tcBorders>
            <w:shd w:val="clear" w:color="auto" w:fill="auto"/>
            <w:vAlign w:val="center"/>
          </w:tcPr>
          <w:p w14:paraId="348801B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0"/>
                <w:szCs w:val="20"/>
                <w:u w:val="none"/>
                <w:lang w:val="en-US" w:eastAsia="zh-CN" w:bidi="ar"/>
              </w:rPr>
            </w:pPr>
          </w:p>
        </w:tc>
        <w:tc>
          <w:tcPr>
            <w:tcW w:w="6743" w:type="dxa"/>
            <w:tcBorders>
              <w:tl2br w:val="nil"/>
              <w:tr2bl w:val="nil"/>
            </w:tcBorders>
            <w:shd w:val="clear" w:color="auto" w:fill="auto"/>
            <w:vAlign w:val="center"/>
          </w:tcPr>
          <w:p w14:paraId="49DB0285">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65.容量：≥10000mAh（额定容量≥5800mAh）</w:t>
            </w:r>
          </w:p>
        </w:tc>
        <w:tc>
          <w:tcPr>
            <w:tcW w:w="1152" w:type="dxa"/>
            <w:tcBorders>
              <w:tl2br w:val="nil"/>
              <w:tr2bl w:val="nil"/>
            </w:tcBorders>
            <w:shd w:val="clear" w:color="auto" w:fill="auto"/>
            <w:vAlign w:val="center"/>
          </w:tcPr>
          <w:p w14:paraId="6321609E">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snapToGrid/>
                <w:color w:val="auto"/>
                <w:spacing w:val="0"/>
                <w:kern w:val="2"/>
                <w:sz w:val="21"/>
                <w:szCs w:val="24"/>
                <w:highlight w:val="none"/>
                <w:lang w:val="en-US" w:eastAsia="zh-CN" w:bidi="ar-SA"/>
              </w:rPr>
            </w:pPr>
          </w:p>
        </w:tc>
      </w:tr>
      <w:tr w14:paraId="23F423B2">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754" w:type="dxa"/>
            <w:vMerge w:val="continue"/>
            <w:tcBorders>
              <w:tl2br w:val="nil"/>
              <w:tr2bl w:val="nil"/>
            </w:tcBorders>
            <w:shd w:val="clear" w:color="auto" w:fill="auto"/>
            <w:vAlign w:val="center"/>
          </w:tcPr>
          <w:p w14:paraId="20BE100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0"/>
                <w:szCs w:val="20"/>
                <w:u w:val="none"/>
                <w:lang w:val="en-US" w:eastAsia="zh-CN" w:bidi="ar"/>
              </w:rPr>
            </w:pPr>
          </w:p>
        </w:tc>
        <w:tc>
          <w:tcPr>
            <w:tcW w:w="6743" w:type="dxa"/>
            <w:tcBorders>
              <w:tl2br w:val="nil"/>
              <w:tr2bl w:val="nil"/>
            </w:tcBorders>
            <w:shd w:val="clear" w:color="auto" w:fill="auto"/>
            <w:vAlign w:val="center"/>
          </w:tcPr>
          <w:p w14:paraId="7B52080B">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66.输出：支持USB-C PD快充≥15W，USB-A输出≥5V/3A</w:t>
            </w:r>
          </w:p>
        </w:tc>
        <w:tc>
          <w:tcPr>
            <w:tcW w:w="1152" w:type="dxa"/>
            <w:tcBorders>
              <w:tl2br w:val="nil"/>
              <w:tr2bl w:val="nil"/>
            </w:tcBorders>
            <w:shd w:val="clear" w:color="auto" w:fill="auto"/>
            <w:vAlign w:val="center"/>
          </w:tcPr>
          <w:p w14:paraId="2A4D45E2">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snapToGrid/>
                <w:color w:val="auto"/>
                <w:spacing w:val="0"/>
                <w:kern w:val="2"/>
                <w:sz w:val="21"/>
                <w:szCs w:val="24"/>
                <w:highlight w:val="none"/>
                <w:lang w:val="en-US" w:eastAsia="zh-CN" w:bidi="ar-SA"/>
              </w:rPr>
            </w:pPr>
          </w:p>
        </w:tc>
      </w:tr>
      <w:tr w14:paraId="40EB01BB">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754" w:type="dxa"/>
            <w:vMerge w:val="continue"/>
            <w:tcBorders>
              <w:tl2br w:val="nil"/>
              <w:tr2bl w:val="nil"/>
            </w:tcBorders>
            <w:shd w:val="clear" w:color="auto" w:fill="auto"/>
            <w:vAlign w:val="center"/>
          </w:tcPr>
          <w:p w14:paraId="1B46ABA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0"/>
                <w:szCs w:val="20"/>
                <w:u w:val="none"/>
                <w:lang w:val="en-US" w:eastAsia="zh-CN" w:bidi="ar"/>
              </w:rPr>
            </w:pPr>
          </w:p>
        </w:tc>
        <w:tc>
          <w:tcPr>
            <w:tcW w:w="6743" w:type="dxa"/>
            <w:tcBorders>
              <w:tl2br w:val="nil"/>
              <w:tr2bl w:val="nil"/>
            </w:tcBorders>
            <w:shd w:val="clear" w:color="auto" w:fill="auto"/>
            <w:vAlign w:val="center"/>
          </w:tcPr>
          <w:p w14:paraId="43814397">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67.输入：支持USB-C USB充电，输入功率≥15W</w:t>
            </w:r>
          </w:p>
        </w:tc>
        <w:tc>
          <w:tcPr>
            <w:tcW w:w="1152" w:type="dxa"/>
            <w:tcBorders>
              <w:tl2br w:val="nil"/>
              <w:tr2bl w:val="nil"/>
            </w:tcBorders>
            <w:shd w:val="clear" w:color="auto" w:fill="auto"/>
            <w:vAlign w:val="center"/>
          </w:tcPr>
          <w:p w14:paraId="67D62A83">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snapToGrid/>
                <w:color w:val="auto"/>
                <w:spacing w:val="0"/>
                <w:kern w:val="2"/>
                <w:sz w:val="21"/>
                <w:szCs w:val="24"/>
                <w:highlight w:val="none"/>
                <w:lang w:val="en-US" w:eastAsia="zh-CN" w:bidi="ar-SA"/>
              </w:rPr>
            </w:pPr>
          </w:p>
        </w:tc>
      </w:tr>
      <w:tr w14:paraId="60FF0699">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754" w:type="dxa"/>
            <w:vMerge w:val="continue"/>
            <w:tcBorders>
              <w:tl2br w:val="nil"/>
              <w:tr2bl w:val="nil"/>
            </w:tcBorders>
            <w:shd w:val="clear" w:color="auto" w:fill="auto"/>
            <w:vAlign w:val="center"/>
          </w:tcPr>
          <w:p w14:paraId="24ED86E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0"/>
                <w:szCs w:val="20"/>
                <w:u w:val="none"/>
                <w:lang w:val="en-US" w:eastAsia="zh-CN" w:bidi="ar"/>
              </w:rPr>
            </w:pPr>
          </w:p>
        </w:tc>
        <w:tc>
          <w:tcPr>
            <w:tcW w:w="6743" w:type="dxa"/>
            <w:tcBorders>
              <w:tl2br w:val="nil"/>
              <w:tr2bl w:val="nil"/>
            </w:tcBorders>
            <w:shd w:val="clear" w:color="auto" w:fill="auto"/>
            <w:vAlign w:val="center"/>
          </w:tcPr>
          <w:p w14:paraId="1F5F4AB4">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68.电芯：采用安全可靠锂电芯，具备多重安全防护机制</w:t>
            </w:r>
          </w:p>
        </w:tc>
        <w:tc>
          <w:tcPr>
            <w:tcW w:w="1152" w:type="dxa"/>
            <w:tcBorders>
              <w:tl2br w:val="nil"/>
              <w:tr2bl w:val="nil"/>
            </w:tcBorders>
            <w:shd w:val="clear" w:color="auto" w:fill="auto"/>
            <w:vAlign w:val="center"/>
          </w:tcPr>
          <w:p w14:paraId="7F385ED0">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snapToGrid/>
                <w:color w:val="auto"/>
                <w:spacing w:val="0"/>
                <w:kern w:val="2"/>
                <w:sz w:val="21"/>
                <w:szCs w:val="24"/>
                <w:highlight w:val="none"/>
                <w:lang w:val="en-US" w:eastAsia="zh-CN" w:bidi="ar-SA"/>
              </w:rPr>
            </w:pPr>
          </w:p>
        </w:tc>
      </w:tr>
      <w:tr w14:paraId="070FE787">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754" w:type="dxa"/>
            <w:vMerge w:val="continue"/>
            <w:tcBorders>
              <w:tl2br w:val="nil"/>
              <w:tr2bl w:val="nil"/>
            </w:tcBorders>
            <w:shd w:val="clear" w:color="auto" w:fill="auto"/>
            <w:vAlign w:val="center"/>
          </w:tcPr>
          <w:p w14:paraId="2C60CDD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0"/>
                <w:szCs w:val="20"/>
                <w:u w:val="none"/>
                <w:lang w:val="en-US" w:eastAsia="zh-CN" w:bidi="ar"/>
              </w:rPr>
            </w:pPr>
          </w:p>
        </w:tc>
        <w:tc>
          <w:tcPr>
            <w:tcW w:w="6743" w:type="dxa"/>
            <w:tcBorders>
              <w:tl2br w:val="nil"/>
              <w:tr2bl w:val="nil"/>
            </w:tcBorders>
            <w:shd w:val="clear" w:color="auto" w:fill="auto"/>
            <w:vAlign w:val="center"/>
          </w:tcPr>
          <w:p w14:paraId="046B837E">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69.安全保护：至少包含过充、过放、过流、短路、过温保护</w:t>
            </w:r>
          </w:p>
        </w:tc>
        <w:tc>
          <w:tcPr>
            <w:tcW w:w="1152" w:type="dxa"/>
            <w:tcBorders>
              <w:tl2br w:val="nil"/>
              <w:tr2bl w:val="nil"/>
            </w:tcBorders>
            <w:shd w:val="clear" w:color="auto" w:fill="auto"/>
            <w:vAlign w:val="center"/>
          </w:tcPr>
          <w:p w14:paraId="3C0730E6">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snapToGrid/>
                <w:color w:val="auto"/>
                <w:spacing w:val="0"/>
                <w:kern w:val="2"/>
                <w:sz w:val="21"/>
                <w:szCs w:val="24"/>
                <w:highlight w:val="none"/>
                <w:lang w:val="en-US" w:eastAsia="zh-CN" w:bidi="ar-SA"/>
              </w:rPr>
            </w:pPr>
          </w:p>
        </w:tc>
      </w:tr>
      <w:tr w14:paraId="2EDB7A1E">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754" w:type="dxa"/>
            <w:vMerge w:val="continue"/>
            <w:tcBorders>
              <w:tl2br w:val="nil"/>
              <w:tr2bl w:val="nil"/>
            </w:tcBorders>
            <w:shd w:val="clear" w:color="auto" w:fill="auto"/>
            <w:vAlign w:val="center"/>
          </w:tcPr>
          <w:p w14:paraId="3C399E3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0"/>
                <w:szCs w:val="20"/>
                <w:u w:val="none"/>
                <w:lang w:val="en-US" w:eastAsia="zh-CN" w:bidi="ar"/>
              </w:rPr>
            </w:pPr>
          </w:p>
        </w:tc>
        <w:tc>
          <w:tcPr>
            <w:tcW w:w="6743" w:type="dxa"/>
            <w:tcBorders>
              <w:tl2br w:val="nil"/>
              <w:tr2bl w:val="nil"/>
            </w:tcBorders>
            <w:shd w:val="clear" w:color="auto" w:fill="auto"/>
            <w:vAlign w:val="center"/>
          </w:tcPr>
          <w:p w14:paraId="3A35DA23">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70.尺寸：长度≤12cm，宽度≤7cm，厚度≤3cm；</w:t>
            </w:r>
          </w:p>
        </w:tc>
        <w:tc>
          <w:tcPr>
            <w:tcW w:w="1152" w:type="dxa"/>
            <w:tcBorders>
              <w:tl2br w:val="nil"/>
              <w:tr2bl w:val="nil"/>
            </w:tcBorders>
            <w:shd w:val="clear" w:color="auto" w:fill="auto"/>
            <w:vAlign w:val="center"/>
          </w:tcPr>
          <w:p w14:paraId="66C59F2D">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snapToGrid/>
                <w:color w:val="auto"/>
                <w:spacing w:val="0"/>
                <w:kern w:val="2"/>
                <w:sz w:val="21"/>
                <w:szCs w:val="24"/>
                <w:highlight w:val="none"/>
                <w:lang w:val="en-US" w:eastAsia="zh-CN" w:bidi="ar-SA"/>
              </w:rPr>
            </w:pPr>
          </w:p>
        </w:tc>
      </w:tr>
      <w:tr w14:paraId="65AAEA32">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754" w:type="dxa"/>
            <w:vMerge w:val="continue"/>
            <w:tcBorders>
              <w:tl2br w:val="nil"/>
              <w:tr2bl w:val="nil"/>
            </w:tcBorders>
            <w:shd w:val="clear" w:color="auto" w:fill="auto"/>
            <w:vAlign w:val="center"/>
          </w:tcPr>
          <w:p w14:paraId="1647BB7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0"/>
                <w:szCs w:val="20"/>
                <w:u w:val="none"/>
                <w:lang w:val="en-US" w:eastAsia="zh-CN" w:bidi="ar"/>
              </w:rPr>
            </w:pPr>
          </w:p>
        </w:tc>
        <w:tc>
          <w:tcPr>
            <w:tcW w:w="6743" w:type="dxa"/>
            <w:tcBorders>
              <w:tl2br w:val="nil"/>
              <w:tr2bl w:val="nil"/>
            </w:tcBorders>
            <w:shd w:val="clear" w:color="auto" w:fill="auto"/>
            <w:vAlign w:val="center"/>
          </w:tcPr>
          <w:p w14:paraId="78AFC200">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71.重量：≤250g</w:t>
            </w:r>
          </w:p>
        </w:tc>
        <w:tc>
          <w:tcPr>
            <w:tcW w:w="1152" w:type="dxa"/>
            <w:tcBorders>
              <w:tl2br w:val="nil"/>
              <w:tr2bl w:val="nil"/>
            </w:tcBorders>
            <w:shd w:val="clear" w:color="auto" w:fill="auto"/>
            <w:vAlign w:val="center"/>
          </w:tcPr>
          <w:p w14:paraId="3CBE92CF">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snapToGrid/>
                <w:color w:val="auto"/>
                <w:spacing w:val="0"/>
                <w:kern w:val="2"/>
                <w:sz w:val="21"/>
                <w:szCs w:val="24"/>
                <w:highlight w:val="none"/>
                <w:lang w:val="en-US" w:eastAsia="zh-CN" w:bidi="ar-SA"/>
              </w:rPr>
            </w:pPr>
          </w:p>
        </w:tc>
      </w:tr>
      <w:tr w14:paraId="219219B3">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754" w:type="dxa"/>
            <w:vMerge w:val="continue"/>
            <w:tcBorders>
              <w:tl2br w:val="nil"/>
              <w:tr2bl w:val="nil"/>
            </w:tcBorders>
            <w:shd w:val="clear" w:color="auto" w:fill="auto"/>
            <w:vAlign w:val="center"/>
          </w:tcPr>
          <w:p w14:paraId="7610DA3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0"/>
                <w:szCs w:val="20"/>
                <w:u w:val="none"/>
                <w:lang w:val="en-US" w:eastAsia="zh-CN" w:bidi="ar"/>
              </w:rPr>
            </w:pPr>
          </w:p>
        </w:tc>
        <w:tc>
          <w:tcPr>
            <w:tcW w:w="6743" w:type="dxa"/>
            <w:tcBorders>
              <w:tl2br w:val="nil"/>
              <w:tr2bl w:val="nil"/>
            </w:tcBorders>
            <w:shd w:val="clear" w:color="auto" w:fill="auto"/>
            <w:vAlign w:val="center"/>
          </w:tcPr>
          <w:p w14:paraId="1FC44216">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72.其他：带电量指示灯，支持小电流模式</w:t>
            </w:r>
          </w:p>
        </w:tc>
        <w:tc>
          <w:tcPr>
            <w:tcW w:w="1152" w:type="dxa"/>
            <w:tcBorders>
              <w:tl2br w:val="nil"/>
              <w:tr2bl w:val="nil"/>
            </w:tcBorders>
            <w:shd w:val="clear" w:color="auto" w:fill="auto"/>
            <w:vAlign w:val="center"/>
          </w:tcPr>
          <w:p w14:paraId="0B7ED180">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snapToGrid/>
                <w:color w:val="auto"/>
                <w:spacing w:val="0"/>
                <w:kern w:val="2"/>
                <w:sz w:val="21"/>
                <w:szCs w:val="24"/>
                <w:highlight w:val="none"/>
                <w:lang w:val="en-US" w:eastAsia="zh-CN" w:bidi="ar-SA"/>
              </w:rPr>
            </w:pPr>
          </w:p>
        </w:tc>
      </w:tr>
      <w:tr w14:paraId="3C9223C2">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754" w:type="dxa"/>
            <w:vMerge w:val="continue"/>
            <w:tcBorders>
              <w:tl2br w:val="nil"/>
              <w:tr2bl w:val="nil"/>
            </w:tcBorders>
            <w:shd w:val="clear" w:color="auto" w:fill="auto"/>
            <w:vAlign w:val="center"/>
          </w:tcPr>
          <w:p w14:paraId="05E3365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0"/>
                <w:szCs w:val="20"/>
                <w:u w:val="none"/>
                <w:lang w:val="en-US" w:eastAsia="zh-CN" w:bidi="ar"/>
              </w:rPr>
            </w:pPr>
          </w:p>
        </w:tc>
        <w:tc>
          <w:tcPr>
            <w:tcW w:w="6743" w:type="dxa"/>
            <w:tcBorders>
              <w:tl2br w:val="nil"/>
              <w:tr2bl w:val="nil"/>
            </w:tcBorders>
            <w:shd w:val="clear" w:color="auto" w:fill="auto"/>
            <w:vAlign w:val="center"/>
          </w:tcPr>
          <w:p w14:paraId="09C1A277">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b/>
                <w:bCs/>
                <w:snapToGrid/>
                <w:color w:val="auto"/>
                <w:spacing w:val="0"/>
                <w:kern w:val="2"/>
                <w:sz w:val="21"/>
                <w:szCs w:val="24"/>
                <w:highlight w:val="none"/>
                <w:lang w:val="en-US" w:eastAsia="zh-CN" w:bidi="ar-SA"/>
              </w:rPr>
              <w:t>十五．防风打火机</w:t>
            </w:r>
          </w:p>
        </w:tc>
        <w:tc>
          <w:tcPr>
            <w:tcW w:w="1152" w:type="dxa"/>
            <w:tcBorders>
              <w:tl2br w:val="nil"/>
              <w:tr2bl w:val="nil"/>
            </w:tcBorders>
            <w:shd w:val="clear" w:color="auto" w:fill="auto"/>
            <w:vAlign w:val="center"/>
          </w:tcPr>
          <w:p w14:paraId="489A5C7C">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snapToGrid/>
                <w:color w:val="auto"/>
                <w:spacing w:val="0"/>
                <w:kern w:val="2"/>
                <w:sz w:val="21"/>
                <w:szCs w:val="24"/>
                <w:highlight w:val="none"/>
                <w:lang w:val="en-US" w:eastAsia="zh-CN" w:bidi="ar-SA"/>
              </w:rPr>
            </w:pPr>
          </w:p>
        </w:tc>
      </w:tr>
      <w:tr w14:paraId="0F9A910B">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754" w:type="dxa"/>
            <w:vMerge w:val="continue"/>
            <w:tcBorders>
              <w:tl2br w:val="nil"/>
              <w:tr2bl w:val="nil"/>
            </w:tcBorders>
            <w:shd w:val="clear" w:color="auto" w:fill="auto"/>
            <w:vAlign w:val="center"/>
          </w:tcPr>
          <w:p w14:paraId="3611E14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0"/>
                <w:szCs w:val="20"/>
                <w:u w:val="none"/>
                <w:lang w:val="en-US" w:eastAsia="zh-CN" w:bidi="ar"/>
              </w:rPr>
            </w:pPr>
          </w:p>
        </w:tc>
        <w:tc>
          <w:tcPr>
            <w:tcW w:w="6743" w:type="dxa"/>
            <w:tcBorders>
              <w:tl2br w:val="nil"/>
              <w:tr2bl w:val="nil"/>
            </w:tcBorders>
            <w:shd w:val="clear" w:color="auto" w:fill="auto"/>
            <w:vAlign w:val="center"/>
          </w:tcPr>
          <w:p w14:paraId="5DE98446">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73.防风性能：可在≥8级风速下正常点火</w:t>
            </w:r>
          </w:p>
        </w:tc>
        <w:tc>
          <w:tcPr>
            <w:tcW w:w="1152" w:type="dxa"/>
            <w:tcBorders>
              <w:tl2br w:val="nil"/>
              <w:tr2bl w:val="nil"/>
            </w:tcBorders>
            <w:shd w:val="clear" w:color="auto" w:fill="auto"/>
            <w:vAlign w:val="center"/>
          </w:tcPr>
          <w:p w14:paraId="662F9438">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snapToGrid/>
                <w:color w:val="auto"/>
                <w:spacing w:val="0"/>
                <w:kern w:val="2"/>
                <w:sz w:val="21"/>
                <w:szCs w:val="24"/>
                <w:highlight w:val="none"/>
                <w:lang w:val="en-US" w:eastAsia="zh-CN" w:bidi="ar-SA"/>
              </w:rPr>
            </w:pPr>
          </w:p>
        </w:tc>
      </w:tr>
      <w:tr w14:paraId="063859E2">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754" w:type="dxa"/>
            <w:vMerge w:val="continue"/>
            <w:tcBorders>
              <w:tl2br w:val="nil"/>
              <w:tr2bl w:val="nil"/>
            </w:tcBorders>
            <w:shd w:val="clear" w:color="auto" w:fill="auto"/>
            <w:vAlign w:val="center"/>
          </w:tcPr>
          <w:p w14:paraId="6460FD6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0"/>
                <w:szCs w:val="20"/>
                <w:u w:val="none"/>
                <w:lang w:val="en-US" w:eastAsia="zh-CN" w:bidi="ar"/>
              </w:rPr>
            </w:pPr>
          </w:p>
        </w:tc>
        <w:tc>
          <w:tcPr>
            <w:tcW w:w="6743" w:type="dxa"/>
            <w:tcBorders>
              <w:tl2br w:val="nil"/>
              <w:tr2bl w:val="nil"/>
            </w:tcBorders>
            <w:shd w:val="clear" w:color="auto" w:fill="auto"/>
            <w:vAlign w:val="center"/>
          </w:tcPr>
          <w:p w14:paraId="21D58903">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74.类型：充气式防风打火机</w:t>
            </w:r>
          </w:p>
        </w:tc>
        <w:tc>
          <w:tcPr>
            <w:tcW w:w="1152" w:type="dxa"/>
            <w:tcBorders>
              <w:tl2br w:val="nil"/>
              <w:tr2bl w:val="nil"/>
            </w:tcBorders>
            <w:shd w:val="clear" w:color="auto" w:fill="auto"/>
            <w:vAlign w:val="center"/>
          </w:tcPr>
          <w:p w14:paraId="52F9CF24">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snapToGrid/>
                <w:color w:val="auto"/>
                <w:spacing w:val="0"/>
                <w:kern w:val="2"/>
                <w:sz w:val="21"/>
                <w:szCs w:val="24"/>
                <w:highlight w:val="none"/>
                <w:lang w:val="en-US" w:eastAsia="zh-CN" w:bidi="ar-SA"/>
              </w:rPr>
            </w:pPr>
          </w:p>
        </w:tc>
      </w:tr>
      <w:tr w14:paraId="01445BB9">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754" w:type="dxa"/>
            <w:vMerge w:val="continue"/>
            <w:tcBorders>
              <w:tl2br w:val="nil"/>
              <w:tr2bl w:val="nil"/>
            </w:tcBorders>
            <w:shd w:val="clear" w:color="auto" w:fill="auto"/>
            <w:vAlign w:val="center"/>
          </w:tcPr>
          <w:p w14:paraId="2C59C84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0"/>
                <w:szCs w:val="20"/>
                <w:u w:val="none"/>
                <w:lang w:val="en-US" w:eastAsia="zh-CN" w:bidi="ar"/>
              </w:rPr>
            </w:pPr>
          </w:p>
        </w:tc>
        <w:tc>
          <w:tcPr>
            <w:tcW w:w="6743" w:type="dxa"/>
            <w:tcBorders>
              <w:tl2br w:val="nil"/>
              <w:tr2bl w:val="nil"/>
            </w:tcBorders>
            <w:shd w:val="clear" w:color="auto" w:fill="auto"/>
            <w:vAlign w:val="center"/>
          </w:tcPr>
          <w:p w14:paraId="2CD984CB">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75.材质：金属机身，表面防滑处理</w:t>
            </w:r>
          </w:p>
        </w:tc>
        <w:tc>
          <w:tcPr>
            <w:tcW w:w="1152" w:type="dxa"/>
            <w:tcBorders>
              <w:tl2br w:val="nil"/>
              <w:tr2bl w:val="nil"/>
            </w:tcBorders>
            <w:shd w:val="clear" w:color="auto" w:fill="auto"/>
            <w:vAlign w:val="center"/>
          </w:tcPr>
          <w:p w14:paraId="3EF5369A">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snapToGrid/>
                <w:color w:val="auto"/>
                <w:spacing w:val="0"/>
                <w:kern w:val="2"/>
                <w:sz w:val="21"/>
                <w:szCs w:val="24"/>
                <w:highlight w:val="none"/>
                <w:lang w:val="en-US" w:eastAsia="zh-CN" w:bidi="ar-SA"/>
              </w:rPr>
            </w:pPr>
          </w:p>
        </w:tc>
      </w:tr>
      <w:tr w14:paraId="6407D8AD">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754" w:type="dxa"/>
            <w:vMerge w:val="continue"/>
            <w:tcBorders>
              <w:tl2br w:val="nil"/>
              <w:tr2bl w:val="nil"/>
            </w:tcBorders>
            <w:shd w:val="clear" w:color="auto" w:fill="auto"/>
            <w:vAlign w:val="center"/>
          </w:tcPr>
          <w:p w14:paraId="79F22CA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0"/>
                <w:szCs w:val="20"/>
                <w:u w:val="none"/>
                <w:lang w:val="en-US" w:eastAsia="zh-CN" w:bidi="ar"/>
              </w:rPr>
            </w:pPr>
          </w:p>
        </w:tc>
        <w:tc>
          <w:tcPr>
            <w:tcW w:w="6743" w:type="dxa"/>
            <w:tcBorders>
              <w:tl2br w:val="nil"/>
              <w:tr2bl w:val="nil"/>
            </w:tcBorders>
            <w:shd w:val="clear" w:color="auto" w:fill="auto"/>
            <w:vAlign w:val="center"/>
          </w:tcPr>
          <w:p w14:paraId="5514E5F8">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76.火焰温度：≥1300℃</w:t>
            </w:r>
          </w:p>
        </w:tc>
        <w:tc>
          <w:tcPr>
            <w:tcW w:w="1152" w:type="dxa"/>
            <w:tcBorders>
              <w:tl2br w:val="nil"/>
              <w:tr2bl w:val="nil"/>
            </w:tcBorders>
            <w:shd w:val="clear" w:color="auto" w:fill="auto"/>
            <w:vAlign w:val="center"/>
          </w:tcPr>
          <w:p w14:paraId="4AB4B3D8">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snapToGrid/>
                <w:color w:val="auto"/>
                <w:spacing w:val="0"/>
                <w:kern w:val="2"/>
                <w:sz w:val="21"/>
                <w:szCs w:val="24"/>
                <w:highlight w:val="none"/>
                <w:lang w:val="en-US" w:eastAsia="zh-CN" w:bidi="ar-SA"/>
              </w:rPr>
            </w:pPr>
          </w:p>
        </w:tc>
      </w:tr>
      <w:tr w14:paraId="6825BF53">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754" w:type="dxa"/>
            <w:vMerge w:val="continue"/>
            <w:tcBorders>
              <w:tl2br w:val="nil"/>
              <w:tr2bl w:val="nil"/>
            </w:tcBorders>
            <w:shd w:val="clear" w:color="auto" w:fill="auto"/>
            <w:vAlign w:val="center"/>
          </w:tcPr>
          <w:p w14:paraId="6D17E2D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0"/>
                <w:szCs w:val="20"/>
                <w:u w:val="none"/>
                <w:lang w:val="en-US" w:eastAsia="zh-CN" w:bidi="ar"/>
              </w:rPr>
            </w:pPr>
          </w:p>
        </w:tc>
        <w:tc>
          <w:tcPr>
            <w:tcW w:w="6743" w:type="dxa"/>
            <w:tcBorders>
              <w:tl2br w:val="nil"/>
              <w:tr2bl w:val="nil"/>
            </w:tcBorders>
            <w:shd w:val="clear" w:color="auto" w:fill="auto"/>
            <w:vAlign w:val="center"/>
          </w:tcPr>
          <w:p w14:paraId="34C85564">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77.尺寸：长度≤8cm，重量≤50g</w:t>
            </w:r>
          </w:p>
        </w:tc>
        <w:tc>
          <w:tcPr>
            <w:tcW w:w="1152" w:type="dxa"/>
            <w:tcBorders>
              <w:tl2br w:val="nil"/>
              <w:tr2bl w:val="nil"/>
            </w:tcBorders>
            <w:shd w:val="clear" w:color="auto" w:fill="auto"/>
            <w:vAlign w:val="center"/>
          </w:tcPr>
          <w:p w14:paraId="29D9756C">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snapToGrid/>
                <w:color w:val="auto"/>
                <w:spacing w:val="0"/>
                <w:kern w:val="2"/>
                <w:sz w:val="21"/>
                <w:szCs w:val="24"/>
                <w:highlight w:val="none"/>
                <w:lang w:val="en-US" w:eastAsia="zh-CN" w:bidi="ar-SA"/>
              </w:rPr>
            </w:pPr>
          </w:p>
        </w:tc>
      </w:tr>
      <w:tr w14:paraId="56B51C7F">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754" w:type="dxa"/>
            <w:vMerge w:val="continue"/>
            <w:tcBorders>
              <w:tl2br w:val="nil"/>
              <w:tr2bl w:val="nil"/>
            </w:tcBorders>
            <w:shd w:val="clear" w:color="auto" w:fill="auto"/>
            <w:vAlign w:val="center"/>
          </w:tcPr>
          <w:p w14:paraId="4E16F3A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0"/>
                <w:szCs w:val="20"/>
                <w:u w:val="none"/>
                <w:lang w:val="en-US" w:eastAsia="zh-CN" w:bidi="ar"/>
              </w:rPr>
            </w:pPr>
          </w:p>
        </w:tc>
        <w:tc>
          <w:tcPr>
            <w:tcW w:w="6743" w:type="dxa"/>
            <w:tcBorders>
              <w:tl2br w:val="nil"/>
              <w:tr2bl w:val="nil"/>
            </w:tcBorders>
            <w:shd w:val="clear" w:color="auto" w:fill="auto"/>
            <w:vAlign w:val="center"/>
          </w:tcPr>
          <w:p w14:paraId="51192BA5">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78.其他：可调节火焰大小，带安全锁</w:t>
            </w:r>
          </w:p>
        </w:tc>
        <w:tc>
          <w:tcPr>
            <w:tcW w:w="1152" w:type="dxa"/>
            <w:tcBorders>
              <w:tl2br w:val="nil"/>
              <w:tr2bl w:val="nil"/>
            </w:tcBorders>
            <w:shd w:val="clear" w:color="auto" w:fill="auto"/>
            <w:vAlign w:val="center"/>
          </w:tcPr>
          <w:p w14:paraId="454CD447">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snapToGrid/>
                <w:color w:val="auto"/>
                <w:spacing w:val="0"/>
                <w:kern w:val="2"/>
                <w:sz w:val="21"/>
                <w:szCs w:val="24"/>
                <w:highlight w:val="none"/>
                <w:lang w:val="en-US" w:eastAsia="zh-CN" w:bidi="ar-SA"/>
              </w:rPr>
            </w:pPr>
          </w:p>
        </w:tc>
      </w:tr>
      <w:tr w14:paraId="51D71335">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754" w:type="dxa"/>
            <w:vMerge w:val="continue"/>
            <w:tcBorders>
              <w:tl2br w:val="nil"/>
              <w:tr2bl w:val="nil"/>
            </w:tcBorders>
            <w:shd w:val="clear" w:color="auto" w:fill="auto"/>
            <w:vAlign w:val="center"/>
          </w:tcPr>
          <w:p w14:paraId="6754B29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0"/>
                <w:szCs w:val="20"/>
                <w:u w:val="none"/>
                <w:lang w:val="en-US" w:eastAsia="zh-CN" w:bidi="ar"/>
              </w:rPr>
            </w:pPr>
          </w:p>
        </w:tc>
        <w:tc>
          <w:tcPr>
            <w:tcW w:w="6743" w:type="dxa"/>
            <w:tcBorders>
              <w:tl2br w:val="nil"/>
              <w:tr2bl w:val="nil"/>
            </w:tcBorders>
            <w:shd w:val="clear" w:color="auto" w:fill="auto"/>
            <w:vAlign w:val="center"/>
          </w:tcPr>
          <w:p w14:paraId="4BF1500D">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b/>
                <w:bCs/>
                <w:snapToGrid/>
                <w:color w:val="auto"/>
                <w:spacing w:val="0"/>
                <w:kern w:val="2"/>
                <w:sz w:val="21"/>
                <w:szCs w:val="24"/>
                <w:highlight w:val="none"/>
                <w:lang w:val="en-US" w:eastAsia="zh-CN" w:bidi="ar-SA"/>
              </w:rPr>
              <w:t>十六．雨衣</w:t>
            </w:r>
          </w:p>
        </w:tc>
        <w:tc>
          <w:tcPr>
            <w:tcW w:w="1152" w:type="dxa"/>
            <w:tcBorders>
              <w:tl2br w:val="nil"/>
              <w:tr2bl w:val="nil"/>
            </w:tcBorders>
            <w:shd w:val="clear" w:color="auto" w:fill="auto"/>
            <w:vAlign w:val="center"/>
          </w:tcPr>
          <w:p w14:paraId="61AB542D">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snapToGrid/>
                <w:color w:val="auto"/>
                <w:spacing w:val="0"/>
                <w:kern w:val="2"/>
                <w:sz w:val="21"/>
                <w:szCs w:val="24"/>
                <w:highlight w:val="none"/>
                <w:lang w:val="en-US" w:eastAsia="zh-CN" w:bidi="ar-SA"/>
              </w:rPr>
            </w:pPr>
          </w:p>
        </w:tc>
      </w:tr>
      <w:tr w14:paraId="1DB74590">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754" w:type="dxa"/>
            <w:vMerge w:val="continue"/>
            <w:tcBorders>
              <w:tl2br w:val="nil"/>
              <w:tr2bl w:val="nil"/>
            </w:tcBorders>
            <w:shd w:val="clear" w:color="auto" w:fill="auto"/>
            <w:vAlign w:val="center"/>
          </w:tcPr>
          <w:p w14:paraId="6CA376E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0"/>
                <w:szCs w:val="20"/>
                <w:u w:val="none"/>
                <w:lang w:val="en-US" w:eastAsia="zh-CN" w:bidi="ar"/>
              </w:rPr>
            </w:pPr>
          </w:p>
        </w:tc>
        <w:tc>
          <w:tcPr>
            <w:tcW w:w="6743" w:type="dxa"/>
            <w:tcBorders>
              <w:tl2br w:val="nil"/>
              <w:tr2bl w:val="nil"/>
            </w:tcBorders>
            <w:shd w:val="clear" w:color="auto" w:fill="auto"/>
            <w:vAlign w:val="center"/>
          </w:tcPr>
          <w:p w14:paraId="13349BBA">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79.材质：采用具有良好缓冲性、耐用性的高分子材料（如EVA、PE、PU、TPE、硅胶等）</w:t>
            </w:r>
          </w:p>
        </w:tc>
        <w:tc>
          <w:tcPr>
            <w:tcW w:w="1152" w:type="dxa"/>
            <w:tcBorders>
              <w:tl2br w:val="nil"/>
              <w:tr2bl w:val="nil"/>
            </w:tcBorders>
            <w:shd w:val="clear" w:color="auto" w:fill="auto"/>
            <w:vAlign w:val="center"/>
          </w:tcPr>
          <w:p w14:paraId="5AEEDB66">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snapToGrid/>
                <w:color w:val="auto"/>
                <w:spacing w:val="0"/>
                <w:kern w:val="2"/>
                <w:sz w:val="21"/>
                <w:szCs w:val="24"/>
                <w:highlight w:val="none"/>
                <w:lang w:val="en-US" w:eastAsia="zh-CN" w:bidi="ar-SA"/>
              </w:rPr>
            </w:pPr>
          </w:p>
        </w:tc>
      </w:tr>
      <w:tr w14:paraId="234BBE9F">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754" w:type="dxa"/>
            <w:vMerge w:val="continue"/>
            <w:tcBorders>
              <w:tl2br w:val="nil"/>
              <w:tr2bl w:val="nil"/>
            </w:tcBorders>
            <w:shd w:val="clear" w:color="auto" w:fill="auto"/>
            <w:vAlign w:val="center"/>
          </w:tcPr>
          <w:p w14:paraId="4C13183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0"/>
                <w:szCs w:val="20"/>
                <w:u w:val="none"/>
                <w:lang w:val="en-US" w:eastAsia="zh-CN" w:bidi="ar"/>
              </w:rPr>
            </w:pPr>
          </w:p>
        </w:tc>
        <w:tc>
          <w:tcPr>
            <w:tcW w:w="6743" w:type="dxa"/>
            <w:tcBorders>
              <w:tl2br w:val="nil"/>
              <w:tr2bl w:val="nil"/>
            </w:tcBorders>
            <w:shd w:val="clear" w:color="auto" w:fill="auto"/>
            <w:vAlign w:val="center"/>
          </w:tcPr>
          <w:p w14:paraId="06394D37">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80.款式：长款连体式</w:t>
            </w:r>
          </w:p>
        </w:tc>
        <w:tc>
          <w:tcPr>
            <w:tcW w:w="1152" w:type="dxa"/>
            <w:tcBorders>
              <w:tl2br w:val="nil"/>
              <w:tr2bl w:val="nil"/>
            </w:tcBorders>
            <w:shd w:val="clear" w:color="auto" w:fill="auto"/>
            <w:vAlign w:val="center"/>
          </w:tcPr>
          <w:p w14:paraId="68B5E76E">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snapToGrid/>
                <w:color w:val="auto"/>
                <w:spacing w:val="0"/>
                <w:kern w:val="2"/>
                <w:sz w:val="21"/>
                <w:szCs w:val="24"/>
                <w:highlight w:val="none"/>
                <w:lang w:val="en-US" w:eastAsia="zh-CN" w:bidi="ar-SA"/>
              </w:rPr>
            </w:pPr>
          </w:p>
        </w:tc>
      </w:tr>
      <w:tr w14:paraId="4ED95C93">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754" w:type="dxa"/>
            <w:vMerge w:val="continue"/>
            <w:tcBorders>
              <w:tl2br w:val="nil"/>
              <w:tr2bl w:val="nil"/>
            </w:tcBorders>
            <w:shd w:val="clear" w:color="auto" w:fill="auto"/>
            <w:vAlign w:val="center"/>
          </w:tcPr>
          <w:p w14:paraId="6AD3D8A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0"/>
                <w:szCs w:val="20"/>
                <w:u w:val="none"/>
                <w:lang w:val="en-US" w:eastAsia="zh-CN" w:bidi="ar"/>
              </w:rPr>
            </w:pPr>
          </w:p>
        </w:tc>
        <w:tc>
          <w:tcPr>
            <w:tcW w:w="6743" w:type="dxa"/>
            <w:tcBorders>
              <w:tl2br w:val="nil"/>
              <w:tr2bl w:val="nil"/>
            </w:tcBorders>
            <w:shd w:val="clear" w:color="auto" w:fill="auto"/>
            <w:vAlign w:val="center"/>
          </w:tcPr>
          <w:p w14:paraId="5062F07F">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81.尺寸：均码，衣长105cm-115cm</w:t>
            </w:r>
          </w:p>
        </w:tc>
        <w:tc>
          <w:tcPr>
            <w:tcW w:w="1152" w:type="dxa"/>
            <w:tcBorders>
              <w:tl2br w:val="nil"/>
              <w:tr2bl w:val="nil"/>
            </w:tcBorders>
            <w:shd w:val="clear" w:color="auto" w:fill="auto"/>
            <w:vAlign w:val="center"/>
          </w:tcPr>
          <w:p w14:paraId="6B2DE25E">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snapToGrid/>
                <w:color w:val="auto"/>
                <w:spacing w:val="0"/>
                <w:kern w:val="2"/>
                <w:sz w:val="21"/>
                <w:szCs w:val="24"/>
                <w:highlight w:val="none"/>
                <w:lang w:val="en-US" w:eastAsia="zh-CN" w:bidi="ar-SA"/>
              </w:rPr>
            </w:pPr>
          </w:p>
        </w:tc>
      </w:tr>
      <w:tr w14:paraId="336F4F10">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754" w:type="dxa"/>
            <w:vMerge w:val="continue"/>
            <w:tcBorders>
              <w:tl2br w:val="nil"/>
              <w:tr2bl w:val="nil"/>
            </w:tcBorders>
            <w:shd w:val="clear" w:color="auto" w:fill="auto"/>
            <w:vAlign w:val="center"/>
          </w:tcPr>
          <w:p w14:paraId="190CB48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0"/>
                <w:szCs w:val="20"/>
                <w:u w:val="none"/>
                <w:lang w:val="en-US" w:eastAsia="zh-CN" w:bidi="ar"/>
              </w:rPr>
            </w:pPr>
          </w:p>
        </w:tc>
        <w:tc>
          <w:tcPr>
            <w:tcW w:w="6743" w:type="dxa"/>
            <w:tcBorders>
              <w:tl2br w:val="nil"/>
              <w:tr2bl w:val="nil"/>
            </w:tcBorders>
            <w:shd w:val="clear" w:color="auto" w:fill="auto"/>
            <w:vAlign w:val="center"/>
          </w:tcPr>
          <w:p w14:paraId="151B0FF7">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82.功能：弹力袖口防止雨水倒淋、加厚抗撕拉、防雨防污渍</w:t>
            </w:r>
          </w:p>
        </w:tc>
        <w:tc>
          <w:tcPr>
            <w:tcW w:w="1152" w:type="dxa"/>
            <w:tcBorders>
              <w:tl2br w:val="nil"/>
              <w:tr2bl w:val="nil"/>
            </w:tcBorders>
            <w:shd w:val="clear" w:color="auto" w:fill="auto"/>
            <w:vAlign w:val="center"/>
          </w:tcPr>
          <w:p w14:paraId="30CDF574">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snapToGrid/>
                <w:color w:val="auto"/>
                <w:spacing w:val="0"/>
                <w:kern w:val="2"/>
                <w:sz w:val="21"/>
                <w:szCs w:val="24"/>
                <w:highlight w:val="none"/>
                <w:lang w:val="en-US" w:eastAsia="zh-CN" w:bidi="ar-SA"/>
              </w:rPr>
            </w:pPr>
          </w:p>
        </w:tc>
      </w:tr>
      <w:tr w14:paraId="1A4E8C21">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754" w:type="dxa"/>
            <w:vMerge w:val="continue"/>
            <w:tcBorders>
              <w:tl2br w:val="nil"/>
              <w:tr2bl w:val="nil"/>
            </w:tcBorders>
            <w:shd w:val="clear" w:color="auto" w:fill="auto"/>
            <w:vAlign w:val="center"/>
          </w:tcPr>
          <w:p w14:paraId="2B683F4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0"/>
                <w:szCs w:val="20"/>
                <w:u w:val="none"/>
                <w:lang w:val="en-US" w:eastAsia="zh-CN" w:bidi="ar"/>
              </w:rPr>
            </w:pPr>
          </w:p>
        </w:tc>
        <w:tc>
          <w:tcPr>
            <w:tcW w:w="6743" w:type="dxa"/>
            <w:tcBorders>
              <w:tl2br w:val="nil"/>
              <w:tr2bl w:val="nil"/>
            </w:tcBorders>
            <w:shd w:val="clear" w:color="auto" w:fill="auto"/>
            <w:vAlign w:val="center"/>
          </w:tcPr>
          <w:p w14:paraId="19EBC6EF">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83.重量：≤300g</w:t>
            </w:r>
          </w:p>
        </w:tc>
        <w:tc>
          <w:tcPr>
            <w:tcW w:w="1152" w:type="dxa"/>
            <w:tcBorders>
              <w:tl2br w:val="nil"/>
              <w:tr2bl w:val="nil"/>
            </w:tcBorders>
            <w:shd w:val="clear" w:color="auto" w:fill="auto"/>
            <w:vAlign w:val="center"/>
          </w:tcPr>
          <w:p w14:paraId="5E04CD7C">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snapToGrid/>
                <w:color w:val="auto"/>
                <w:spacing w:val="0"/>
                <w:kern w:val="2"/>
                <w:sz w:val="21"/>
                <w:szCs w:val="24"/>
                <w:highlight w:val="none"/>
                <w:lang w:val="en-US" w:eastAsia="zh-CN" w:bidi="ar-SA"/>
              </w:rPr>
            </w:pPr>
          </w:p>
        </w:tc>
      </w:tr>
      <w:tr w14:paraId="023627B1">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754" w:type="dxa"/>
            <w:vMerge w:val="continue"/>
            <w:tcBorders>
              <w:tl2br w:val="nil"/>
              <w:tr2bl w:val="nil"/>
            </w:tcBorders>
            <w:shd w:val="clear" w:color="auto" w:fill="auto"/>
            <w:vAlign w:val="center"/>
          </w:tcPr>
          <w:p w14:paraId="3D7425D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0"/>
                <w:szCs w:val="20"/>
                <w:u w:val="none"/>
                <w:lang w:val="en-US" w:eastAsia="zh-CN" w:bidi="ar"/>
              </w:rPr>
            </w:pPr>
          </w:p>
        </w:tc>
        <w:tc>
          <w:tcPr>
            <w:tcW w:w="6743" w:type="dxa"/>
            <w:tcBorders>
              <w:tl2br w:val="nil"/>
              <w:tr2bl w:val="nil"/>
            </w:tcBorders>
            <w:shd w:val="clear" w:color="auto" w:fill="auto"/>
            <w:vAlign w:val="center"/>
          </w:tcPr>
          <w:p w14:paraId="586C4A54">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84.其他：小巧便携，带收纳袋，重复使用</w:t>
            </w:r>
          </w:p>
        </w:tc>
        <w:tc>
          <w:tcPr>
            <w:tcW w:w="1152" w:type="dxa"/>
            <w:tcBorders>
              <w:tl2br w:val="nil"/>
              <w:tr2bl w:val="nil"/>
            </w:tcBorders>
            <w:shd w:val="clear" w:color="auto" w:fill="auto"/>
            <w:vAlign w:val="center"/>
          </w:tcPr>
          <w:p w14:paraId="2EC44F8A">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snapToGrid/>
                <w:color w:val="auto"/>
                <w:spacing w:val="0"/>
                <w:kern w:val="2"/>
                <w:sz w:val="21"/>
                <w:szCs w:val="24"/>
                <w:highlight w:val="none"/>
                <w:lang w:val="en-US" w:eastAsia="zh-CN" w:bidi="ar-SA"/>
              </w:rPr>
            </w:pPr>
          </w:p>
        </w:tc>
      </w:tr>
      <w:tr w14:paraId="044169AC">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754" w:type="dxa"/>
            <w:vMerge w:val="continue"/>
            <w:tcBorders>
              <w:tl2br w:val="nil"/>
              <w:tr2bl w:val="nil"/>
            </w:tcBorders>
            <w:shd w:val="clear" w:color="auto" w:fill="auto"/>
            <w:vAlign w:val="center"/>
          </w:tcPr>
          <w:p w14:paraId="3BD6430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0"/>
                <w:szCs w:val="20"/>
                <w:u w:val="none"/>
                <w:lang w:val="en-US" w:eastAsia="zh-CN" w:bidi="ar"/>
              </w:rPr>
            </w:pPr>
          </w:p>
        </w:tc>
        <w:tc>
          <w:tcPr>
            <w:tcW w:w="6743" w:type="dxa"/>
            <w:tcBorders>
              <w:tl2br w:val="nil"/>
              <w:tr2bl w:val="nil"/>
            </w:tcBorders>
            <w:shd w:val="clear" w:color="auto" w:fill="auto"/>
            <w:vAlign w:val="center"/>
          </w:tcPr>
          <w:p w14:paraId="2BABADD7">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b/>
                <w:bCs/>
                <w:snapToGrid/>
                <w:color w:val="auto"/>
                <w:spacing w:val="0"/>
                <w:kern w:val="2"/>
                <w:sz w:val="21"/>
                <w:szCs w:val="24"/>
                <w:highlight w:val="none"/>
                <w:lang w:val="en-US" w:eastAsia="zh-CN" w:bidi="ar-SA"/>
              </w:rPr>
              <w:t>十七．可塑夹板</w:t>
            </w:r>
          </w:p>
        </w:tc>
        <w:tc>
          <w:tcPr>
            <w:tcW w:w="1152" w:type="dxa"/>
            <w:tcBorders>
              <w:tl2br w:val="nil"/>
              <w:tr2bl w:val="nil"/>
            </w:tcBorders>
            <w:shd w:val="clear" w:color="auto" w:fill="auto"/>
            <w:vAlign w:val="center"/>
          </w:tcPr>
          <w:p w14:paraId="338E8EE3">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snapToGrid/>
                <w:color w:val="auto"/>
                <w:spacing w:val="0"/>
                <w:kern w:val="2"/>
                <w:sz w:val="21"/>
                <w:szCs w:val="24"/>
                <w:highlight w:val="none"/>
                <w:lang w:val="en-US" w:eastAsia="zh-CN" w:bidi="ar-SA"/>
              </w:rPr>
            </w:pPr>
          </w:p>
        </w:tc>
      </w:tr>
      <w:tr w14:paraId="64BB59C3">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754" w:type="dxa"/>
            <w:vMerge w:val="continue"/>
            <w:tcBorders>
              <w:tl2br w:val="nil"/>
              <w:tr2bl w:val="nil"/>
            </w:tcBorders>
            <w:shd w:val="clear" w:color="auto" w:fill="auto"/>
            <w:vAlign w:val="center"/>
          </w:tcPr>
          <w:p w14:paraId="3CD703E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0"/>
                <w:szCs w:val="20"/>
                <w:u w:val="none"/>
                <w:lang w:val="en-US" w:eastAsia="zh-CN" w:bidi="ar"/>
              </w:rPr>
            </w:pPr>
          </w:p>
        </w:tc>
        <w:tc>
          <w:tcPr>
            <w:tcW w:w="6743" w:type="dxa"/>
            <w:tcBorders>
              <w:tl2br w:val="nil"/>
              <w:tr2bl w:val="nil"/>
            </w:tcBorders>
            <w:shd w:val="clear" w:color="auto" w:fill="auto"/>
            <w:vAlign w:val="center"/>
          </w:tcPr>
          <w:p w14:paraId="37330736">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85.规格：11×92cm，允差±5%，可裁剪</w:t>
            </w:r>
          </w:p>
        </w:tc>
        <w:tc>
          <w:tcPr>
            <w:tcW w:w="1152" w:type="dxa"/>
            <w:tcBorders>
              <w:tl2br w:val="nil"/>
              <w:tr2bl w:val="nil"/>
            </w:tcBorders>
            <w:shd w:val="clear" w:color="auto" w:fill="auto"/>
            <w:vAlign w:val="center"/>
          </w:tcPr>
          <w:p w14:paraId="46947432">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snapToGrid/>
                <w:color w:val="auto"/>
                <w:spacing w:val="0"/>
                <w:kern w:val="2"/>
                <w:sz w:val="21"/>
                <w:szCs w:val="24"/>
                <w:highlight w:val="none"/>
                <w:lang w:val="en-US" w:eastAsia="zh-CN" w:bidi="ar-SA"/>
              </w:rPr>
            </w:pPr>
          </w:p>
        </w:tc>
      </w:tr>
      <w:tr w14:paraId="7A1AA1C9">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754" w:type="dxa"/>
            <w:vMerge w:val="continue"/>
            <w:tcBorders>
              <w:tl2br w:val="nil"/>
              <w:tr2bl w:val="nil"/>
            </w:tcBorders>
            <w:shd w:val="clear" w:color="auto" w:fill="auto"/>
            <w:vAlign w:val="center"/>
          </w:tcPr>
          <w:p w14:paraId="1EBCD9E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0"/>
                <w:szCs w:val="20"/>
                <w:u w:val="none"/>
                <w:lang w:val="en-US" w:eastAsia="zh-CN" w:bidi="ar"/>
              </w:rPr>
            </w:pPr>
          </w:p>
        </w:tc>
        <w:tc>
          <w:tcPr>
            <w:tcW w:w="6743" w:type="dxa"/>
            <w:tcBorders>
              <w:tl2br w:val="nil"/>
              <w:tr2bl w:val="nil"/>
            </w:tcBorders>
            <w:shd w:val="clear" w:color="auto" w:fill="auto"/>
            <w:vAlign w:val="center"/>
          </w:tcPr>
          <w:p w14:paraId="15C27549">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86.材质：内层铝箔+外层泡沫，可任意塑形</w:t>
            </w:r>
          </w:p>
        </w:tc>
        <w:tc>
          <w:tcPr>
            <w:tcW w:w="1152" w:type="dxa"/>
            <w:tcBorders>
              <w:tl2br w:val="nil"/>
              <w:tr2bl w:val="nil"/>
            </w:tcBorders>
            <w:shd w:val="clear" w:color="auto" w:fill="auto"/>
            <w:vAlign w:val="center"/>
          </w:tcPr>
          <w:p w14:paraId="2B75D070">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snapToGrid/>
                <w:color w:val="auto"/>
                <w:spacing w:val="0"/>
                <w:kern w:val="2"/>
                <w:sz w:val="21"/>
                <w:szCs w:val="24"/>
                <w:highlight w:val="none"/>
                <w:lang w:val="en-US" w:eastAsia="zh-CN" w:bidi="ar-SA"/>
              </w:rPr>
            </w:pPr>
          </w:p>
        </w:tc>
      </w:tr>
      <w:tr w14:paraId="1A1A7CDB">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754" w:type="dxa"/>
            <w:vMerge w:val="continue"/>
            <w:tcBorders>
              <w:tl2br w:val="nil"/>
              <w:tr2bl w:val="nil"/>
            </w:tcBorders>
            <w:shd w:val="clear" w:color="auto" w:fill="auto"/>
            <w:vAlign w:val="center"/>
          </w:tcPr>
          <w:p w14:paraId="43D8025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0"/>
                <w:szCs w:val="20"/>
                <w:u w:val="none"/>
                <w:lang w:val="en-US" w:eastAsia="zh-CN" w:bidi="ar"/>
              </w:rPr>
            </w:pPr>
          </w:p>
        </w:tc>
        <w:tc>
          <w:tcPr>
            <w:tcW w:w="6743" w:type="dxa"/>
            <w:tcBorders>
              <w:tl2br w:val="nil"/>
              <w:tr2bl w:val="nil"/>
            </w:tcBorders>
            <w:shd w:val="clear" w:color="auto" w:fill="auto"/>
            <w:vAlign w:val="center"/>
          </w:tcPr>
          <w:p w14:paraId="23775187">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87.塑形性能：常温下可自由弯曲塑形，塑形后保持形状不回弹</w:t>
            </w:r>
          </w:p>
        </w:tc>
        <w:tc>
          <w:tcPr>
            <w:tcW w:w="1152" w:type="dxa"/>
            <w:tcBorders>
              <w:tl2br w:val="nil"/>
              <w:tr2bl w:val="nil"/>
            </w:tcBorders>
            <w:shd w:val="clear" w:color="auto" w:fill="auto"/>
            <w:vAlign w:val="center"/>
          </w:tcPr>
          <w:p w14:paraId="58F22D72">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snapToGrid/>
                <w:color w:val="auto"/>
                <w:spacing w:val="0"/>
                <w:kern w:val="2"/>
                <w:sz w:val="21"/>
                <w:szCs w:val="24"/>
                <w:highlight w:val="none"/>
                <w:lang w:val="en-US" w:eastAsia="zh-CN" w:bidi="ar-SA"/>
              </w:rPr>
            </w:pPr>
          </w:p>
        </w:tc>
      </w:tr>
      <w:tr w14:paraId="68D448FA">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754" w:type="dxa"/>
            <w:vMerge w:val="continue"/>
            <w:tcBorders>
              <w:tl2br w:val="nil"/>
              <w:tr2bl w:val="nil"/>
            </w:tcBorders>
            <w:shd w:val="clear" w:color="auto" w:fill="auto"/>
            <w:vAlign w:val="center"/>
          </w:tcPr>
          <w:p w14:paraId="07CD36C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0"/>
                <w:szCs w:val="20"/>
                <w:u w:val="none"/>
                <w:lang w:val="en-US" w:eastAsia="zh-CN" w:bidi="ar"/>
              </w:rPr>
            </w:pPr>
          </w:p>
        </w:tc>
        <w:tc>
          <w:tcPr>
            <w:tcW w:w="6743" w:type="dxa"/>
            <w:tcBorders>
              <w:tl2br w:val="nil"/>
              <w:tr2bl w:val="nil"/>
            </w:tcBorders>
            <w:shd w:val="clear" w:color="auto" w:fill="auto"/>
            <w:vAlign w:val="center"/>
          </w:tcPr>
          <w:p w14:paraId="4ADE355C">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88.X射线：可透X光，不影响影像学检查</w:t>
            </w:r>
          </w:p>
        </w:tc>
        <w:tc>
          <w:tcPr>
            <w:tcW w:w="1152" w:type="dxa"/>
            <w:tcBorders>
              <w:tl2br w:val="nil"/>
              <w:tr2bl w:val="nil"/>
            </w:tcBorders>
            <w:shd w:val="clear" w:color="auto" w:fill="auto"/>
            <w:vAlign w:val="center"/>
          </w:tcPr>
          <w:p w14:paraId="61A321C4">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snapToGrid/>
                <w:color w:val="auto"/>
                <w:spacing w:val="0"/>
                <w:kern w:val="2"/>
                <w:sz w:val="21"/>
                <w:szCs w:val="24"/>
                <w:highlight w:val="none"/>
                <w:lang w:val="en-US" w:eastAsia="zh-CN" w:bidi="ar-SA"/>
              </w:rPr>
            </w:pPr>
          </w:p>
        </w:tc>
      </w:tr>
      <w:tr w14:paraId="55800478">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754" w:type="dxa"/>
            <w:vMerge w:val="continue"/>
            <w:tcBorders>
              <w:tl2br w:val="nil"/>
              <w:tr2bl w:val="nil"/>
            </w:tcBorders>
            <w:shd w:val="clear" w:color="auto" w:fill="auto"/>
            <w:vAlign w:val="center"/>
          </w:tcPr>
          <w:p w14:paraId="29D0AD5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0"/>
                <w:szCs w:val="20"/>
                <w:u w:val="none"/>
                <w:lang w:val="en-US" w:eastAsia="zh-CN" w:bidi="ar"/>
              </w:rPr>
            </w:pPr>
          </w:p>
        </w:tc>
        <w:tc>
          <w:tcPr>
            <w:tcW w:w="6743" w:type="dxa"/>
            <w:tcBorders>
              <w:tl2br w:val="nil"/>
              <w:tr2bl w:val="nil"/>
            </w:tcBorders>
            <w:shd w:val="clear" w:color="auto" w:fill="auto"/>
            <w:vAlign w:val="center"/>
          </w:tcPr>
          <w:p w14:paraId="260ED7AD">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89.重量：≤200g</w:t>
            </w:r>
          </w:p>
        </w:tc>
        <w:tc>
          <w:tcPr>
            <w:tcW w:w="1152" w:type="dxa"/>
            <w:tcBorders>
              <w:tl2br w:val="nil"/>
              <w:tr2bl w:val="nil"/>
            </w:tcBorders>
            <w:shd w:val="clear" w:color="auto" w:fill="auto"/>
            <w:vAlign w:val="center"/>
          </w:tcPr>
          <w:p w14:paraId="50058D8C">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snapToGrid/>
                <w:color w:val="auto"/>
                <w:spacing w:val="0"/>
                <w:kern w:val="2"/>
                <w:sz w:val="21"/>
                <w:szCs w:val="24"/>
                <w:highlight w:val="none"/>
                <w:lang w:val="en-US" w:eastAsia="zh-CN" w:bidi="ar-SA"/>
              </w:rPr>
            </w:pPr>
          </w:p>
        </w:tc>
      </w:tr>
      <w:tr w14:paraId="152B55B9">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754" w:type="dxa"/>
            <w:vMerge w:val="continue"/>
            <w:tcBorders>
              <w:tl2br w:val="nil"/>
              <w:tr2bl w:val="nil"/>
            </w:tcBorders>
            <w:shd w:val="clear" w:color="auto" w:fill="auto"/>
            <w:vAlign w:val="center"/>
          </w:tcPr>
          <w:p w14:paraId="6B38B2D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0"/>
                <w:szCs w:val="20"/>
                <w:u w:val="none"/>
                <w:lang w:val="en-US" w:eastAsia="zh-CN" w:bidi="ar"/>
              </w:rPr>
            </w:pPr>
          </w:p>
        </w:tc>
        <w:tc>
          <w:tcPr>
            <w:tcW w:w="6743" w:type="dxa"/>
            <w:tcBorders>
              <w:tl2br w:val="nil"/>
              <w:tr2bl w:val="nil"/>
            </w:tcBorders>
            <w:shd w:val="clear" w:color="auto" w:fill="auto"/>
            <w:vAlign w:val="center"/>
          </w:tcPr>
          <w:p w14:paraId="5DACAC80">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90.清洁：表面防水，可擦拭消毒</w:t>
            </w:r>
          </w:p>
        </w:tc>
        <w:tc>
          <w:tcPr>
            <w:tcW w:w="1152" w:type="dxa"/>
            <w:tcBorders>
              <w:tl2br w:val="nil"/>
              <w:tr2bl w:val="nil"/>
            </w:tcBorders>
            <w:shd w:val="clear" w:color="auto" w:fill="auto"/>
            <w:vAlign w:val="center"/>
          </w:tcPr>
          <w:p w14:paraId="553FAEF6">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snapToGrid/>
                <w:color w:val="auto"/>
                <w:spacing w:val="0"/>
                <w:kern w:val="2"/>
                <w:sz w:val="21"/>
                <w:szCs w:val="24"/>
                <w:highlight w:val="none"/>
                <w:lang w:val="en-US" w:eastAsia="zh-CN" w:bidi="ar-SA"/>
              </w:rPr>
            </w:pPr>
          </w:p>
        </w:tc>
      </w:tr>
      <w:tr w14:paraId="71D0C780">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754" w:type="dxa"/>
            <w:vMerge w:val="continue"/>
            <w:tcBorders>
              <w:tl2br w:val="nil"/>
              <w:tr2bl w:val="nil"/>
            </w:tcBorders>
            <w:shd w:val="clear" w:color="auto" w:fill="auto"/>
            <w:vAlign w:val="center"/>
          </w:tcPr>
          <w:p w14:paraId="5A986E3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0"/>
                <w:szCs w:val="20"/>
                <w:u w:val="none"/>
                <w:lang w:val="en-US" w:eastAsia="zh-CN" w:bidi="ar"/>
              </w:rPr>
            </w:pPr>
          </w:p>
        </w:tc>
        <w:tc>
          <w:tcPr>
            <w:tcW w:w="6743" w:type="dxa"/>
            <w:tcBorders>
              <w:tl2br w:val="nil"/>
              <w:tr2bl w:val="nil"/>
            </w:tcBorders>
            <w:shd w:val="clear" w:color="auto" w:fill="auto"/>
            <w:vAlign w:val="center"/>
          </w:tcPr>
          <w:p w14:paraId="5BAB8397">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91.其他：可重复使用，边缘光滑无毛刺</w:t>
            </w:r>
          </w:p>
        </w:tc>
        <w:tc>
          <w:tcPr>
            <w:tcW w:w="1152" w:type="dxa"/>
            <w:tcBorders>
              <w:tl2br w:val="nil"/>
              <w:tr2bl w:val="nil"/>
            </w:tcBorders>
            <w:shd w:val="clear" w:color="auto" w:fill="auto"/>
            <w:vAlign w:val="center"/>
          </w:tcPr>
          <w:p w14:paraId="4C262F6E">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snapToGrid/>
                <w:color w:val="auto"/>
                <w:spacing w:val="0"/>
                <w:kern w:val="2"/>
                <w:sz w:val="21"/>
                <w:szCs w:val="24"/>
                <w:highlight w:val="none"/>
                <w:lang w:val="en-US" w:eastAsia="zh-CN" w:bidi="ar-SA"/>
              </w:rPr>
            </w:pPr>
          </w:p>
        </w:tc>
      </w:tr>
      <w:tr w14:paraId="63BB15D6">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754" w:type="dxa"/>
            <w:vMerge w:val="continue"/>
            <w:tcBorders>
              <w:tl2br w:val="nil"/>
              <w:tr2bl w:val="nil"/>
            </w:tcBorders>
            <w:shd w:val="clear" w:color="auto" w:fill="auto"/>
            <w:vAlign w:val="center"/>
          </w:tcPr>
          <w:p w14:paraId="53E5D8E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0"/>
                <w:szCs w:val="20"/>
                <w:u w:val="none"/>
                <w:lang w:val="en-US" w:eastAsia="zh-CN" w:bidi="ar"/>
              </w:rPr>
            </w:pPr>
          </w:p>
        </w:tc>
        <w:tc>
          <w:tcPr>
            <w:tcW w:w="6743" w:type="dxa"/>
            <w:tcBorders>
              <w:tl2br w:val="nil"/>
              <w:tr2bl w:val="nil"/>
            </w:tcBorders>
            <w:shd w:val="clear" w:color="auto" w:fill="auto"/>
            <w:vAlign w:val="center"/>
          </w:tcPr>
          <w:p w14:paraId="4BF7BB10">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b/>
                <w:bCs/>
                <w:snapToGrid/>
                <w:color w:val="auto"/>
                <w:spacing w:val="0"/>
                <w:kern w:val="2"/>
                <w:sz w:val="21"/>
                <w:szCs w:val="24"/>
                <w:highlight w:val="none"/>
                <w:lang w:val="en-US" w:eastAsia="zh-CN" w:bidi="ar-SA"/>
              </w:rPr>
              <w:t>十八．自粘绷带</w:t>
            </w:r>
          </w:p>
        </w:tc>
        <w:tc>
          <w:tcPr>
            <w:tcW w:w="1152" w:type="dxa"/>
            <w:tcBorders>
              <w:tl2br w:val="nil"/>
              <w:tr2bl w:val="nil"/>
            </w:tcBorders>
            <w:shd w:val="clear" w:color="auto" w:fill="auto"/>
            <w:vAlign w:val="center"/>
          </w:tcPr>
          <w:p w14:paraId="1094BCDA">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snapToGrid/>
                <w:color w:val="auto"/>
                <w:spacing w:val="0"/>
                <w:kern w:val="2"/>
                <w:sz w:val="21"/>
                <w:szCs w:val="24"/>
                <w:highlight w:val="none"/>
                <w:lang w:val="en-US" w:eastAsia="zh-CN" w:bidi="ar-SA"/>
              </w:rPr>
            </w:pPr>
          </w:p>
        </w:tc>
      </w:tr>
      <w:tr w14:paraId="63EF446B">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754" w:type="dxa"/>
            <w:vMerge w:val="continue"/>
            <w:tcBorders>
              <w:tl2br w:val="nil"/>
              <w:tr2bl w:val="nil"/>
            </w:tcBorders>
            <w:shd w:val="clear" w:color="auto" w:fill="auto"/>
            <w:vAlign w:val="center"/>
          </w:tcPr>
          <w:p w14:paraId="4B74653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0"/>
                <w:szCs w:val="20"/>
                <w:u w:val="none"/>
                <w:lang w:val="en-US" w:eastAsia="zh-CN" w:bidi="ar"/>
              </w:rPr>
            </w:pPr>
          </w:p>
        </w:tc>
        <w:tc>
          <w:tcPr>
            <w:tcW w:w="6743" w:type="dxa"/>
            <w:tcBorders>
              <w:tl2br w:val="nil"/>
              <w:tr2bl w:val="nil"/>
            </w:tcBorders>
            <w:shd w:val="clear" w:color="auto" w:fill="auto"/>
            <w:vAlign w:val="center"/>
          </w:tcPr>
          <w:p w14:paraId="4D6CC109">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92.规格：10cm×450cm/卷</w:t>
            </w:r>
          </w:p>
        </w:tc>
        <w:tc>
          <w:tcPr>
            <w:tcW w:w="1152" w:type="dxa"/>
            <w:tcBorders>
              <w:tl2br w:val="nil"/>
              <w:tr2bl w:val="nil"/>
            </w:tcBorders>
            <w:shd w:val="clear" w:color="auto" w:fill="auto"/>
            <w:vAlign w:val="center"/>
          </w:tcPr>
          <w:p w14:paraId="1F2956DF">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snapToGrid/>
                <w:color w:val="auto"/>
                <w:spacing w:val="0"/>
                <w:kern w:val="2"/>
                <w:sz w:val="21"/>
                <w:szCs w:val="24"/>
                <w:highlight w:val="none"/>
                <w:lang w:val="en-US" w:eastAsia="zh-CN" w:bidi="ar-SA"/>
              </w:rPr>
            </w:pPr>
          </w:p>
        </w:tc>
      </w:tr>
      <w:tr w14:paraId="6CB5038D">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754" w:type="dxa"/>
            <w:vMerge w:val="continue"/>
            <w:tcBorders>
              <w:tl2br w:val="nil"/>
              <w:tr2bl w:val="nil"/>
            </w:tcBorders>
            <w:shd w:val="clear" w:color="auto" w:fill="auto"/>
            <w:vAlign w:val="center"/>
          </w:tcPr>
          <w:p w14:paraId="6B5B7BE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0"/>
                <w:szCs w:val="20"/>
                <w:u w:val="none"/>
                <w:lang w:val="en-US" w:eastAsia="zh-CN" w:bidi="ar"/>
              </w:rPr>
            </w:pPr>
          </w:p>
        </w:tc>
        <w:tc>
          <w:tcPr>
            <w:tcW w:w="6743" w:type="dxa"/>
            <w:tcBorders>
              <w:tl2br w:val="nil"/>
              <w:tr2bl w:val="nil"/>
            </w:tcBorders>
            <w:shd w:val="clear" w:color="auto" w:fill="auto"/>
            <w:vAlign w:val="center"/>
          </w:tcPr>
          <w:p w14:paraId="6A9C8CBA">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93.结构：为纺织加工而成的卷状、管状、三角形的材料</w:t>
            </w:r>
          </w:p>
        </w:tc>
        <w:tc>
          <w:tcPr>
            <w:tcW w:w="1152" w:type="dxa"/>
            <w:tcBorders>
              <w:tl2br w:val="nil"/>
              <w:tr2bl w:val="nil"/>
            </w:tcBorders>
            <w:shd w:val="clear" w:color="auto" w:fill="auto"/>
            <w:vAlign w:val="center"/>
          </w:tcPr>
          <w:p w14:paraId="3EDB78C3">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snapToGrid/>
                <w:color w:val="auto"/>
                <w:spacing w:val="0"/>
                <w:kern w:val="2"/>
                <w:sz w:val="21"/>
                <w:szCs w:val="24"/>
                <w:highlight w:val="none"/>
                <w:lang w:val="en-US" w:eastAsia="zh-CN" w:bidi="ar-SA"/>
              </w:rPr>
            </w:pPr>
          </w:p>
        </w:tc>
      </w:tr>
      <w:tr w14:paraId="3AF00B04">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754" w:type="dxa"/>
            <w:vMerge w:val="continue"/>
            <w:tcBorders>
              <w:tl2br w:val="nil"/>
              <w:tr2bl w:val="nil"/>
            </w:tcBorders>
            <w:shd w:val="clear" w:color="auto" w:fill="auto"/>
            <w:vAlign w:val="center"/>
          </w:tcPr>
          <w:p w14:paraId="71CAA22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0"/>
                <w:szCs w:val="20"/>
                <w:u w:val="none"/>
                <w:lang w:val="en-US" w:eastAsia="zh-CN" w:bidi="ar"/>
              </w:rPr>
            </w:pPr>
          </w:p>
        </w:tc>
        <w:tc>
          <w:tcPr>
            <w:tcW w:w="6743" w:type="dxa"/>
            <w:tcBorders>
              <w:tl2br w:val="nil"/>
              <w:tr2bl w:val="nil"/>
            </w:tcBorders>
            <w:shd w:val="clear" w:color="auto" w:fill="auto"/>
            <w:vAlign w:val="center"/>
          </w:tcPr>
          <w:p w14:paraId="16857FAD">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94.粘性：自粘性能好，缠绕后不松脱</w:t>
            </w:r>
          </w:p>
        </w:tc>
        <w:tc>
          <w:tcPr>
            <w:tcW w:w="1152" w:type="dxa"/>
            <w:tcBorders>
              <w:tl2br w:val="nil"/>
              <w:tr2bl w:val="nil"/>
            </w:tcBorders>
            <w:shd w:val="clear" w:color="auto" w:fill="auto"/>
            <w:vAlign w:val="center"/>
          </w:tcPr>
          <w:p w14:paraId="28E5B12B">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snapToGrid/>
                <w:color w:val="auto"/>
                <w:spacing w:val="0"/>
                <w:kern w:val="2"/>
                <w:sz w:val="21"/>
                <w:szCs w:val="24"/>
                <w:highlight w:val="none"/>
                <w:lang w:val="en-US" w:eastAsia="zh-CN" w:bidi="ar-SA"/>
              </w:rPr>
            </w:pPr>
          </w:p>
        </w:tc>
      </w:tr>
      <w:tr w14:paraId="0DC7A0CF">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754" w:type="dxa"/>
            <w:vMerge w:val="continue"/>
            <w:tcBorders>
              <w:tl2br w:val="nil"/>
              <w:tr2bl w:val="nil"/>
            </w:tcBorders>
            <w:shd w:val="clear" w:color="auto" w:fill="auto"/>
            <w:vAlign w:val="center"/>
          </w:tcPr>
          <w:p w14:paraId="400BA42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0"/>
                <w:szCs w:val="20"/>
                <w:u w:val="none"/>
                <w:lang w:val="en-US" w:eastAsia="zh-CN" w:bidi="ar"/>
              </w:rPr>
            </w:pPr>
          </w:p>
        </w:tc>
        <w:tc>
          <w:tcPr>
            <w:tcW w:w="6743" w:type="dxa"/>
            <w:tcBorders>
              <w:tl2br w:val="nil"/>
              <w:tr2bl w:val="nil"/>
            </w:tcBorders>
            <w:shd w:val="clear" w:color="auto" w:fill="auto"/>
            <w:vAlign w:val="center"/>
          </w:tcPr>
          <w:p w14:paraId="21AB1220">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95.透气性：良好的透气性</w:t>
            </w:r>
          </w:p>
        </w:tc>
        <w:tc>
          <w:tcPr>
            <w:tcW w:w="1152" w:type="dxa"/>
            <w:tcBorders>
              <w:tl2br w:val="nil"/>
              <w:tr2bl w:val="nil"/>
            </w:tcBorders>
            <w:shd w:val="clear" w:color="auto" w:fill="auto"/>
            <w:vAlign w:val="center"/>
          </w:tcPr>
          <w:p w14:paraId="62D1F115">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snapToGrid/>
                <w:color w:val="auto"/>
                <w:spacing w:val="0"/>
                <w:kern w:val="2"/>
                <w:sz w:val="21"/>
                <w:szCs w:val="24"/>
                <w:highlight w:val="none"/>
                <w:lang w:val="en-US" w:eastAsia="zh-CN" w:bidi="ar-SA"/>
              </w:rPr>
            </w:pPr>
          </w:p>
        </w:tc>
      </w:tr>
      <w:tr w14:paraId="5B1B516B">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754" w:type="dxa"/>
            <w:vMerge w:val="continue"/>
            <w:tcBorders>
              <w:tl2br w:val="nil"/>
              <w:tr2bl w:val="nil"/>
            </w:tcBorders>
            <w:shd w:val="clear" w:color="auto" w:fill="auto"/>
            <w:vAlign w:val="center"/>
          </w:tcPr>
          <w:p w14:paraId="473EA7A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0"/>
                <w:szCs w:val="20"/>
                <w:u w:val="none"/>
                <w:lang w:val="en-US" w:eastAsia="zh-CN" w:bidi="ar"/>
              </w:rPr>
            </w:pPr>
          </w:p>
        </w:tc>
        <w:tc>
          <w:tcPr>
            <w:tcW w:w="6743" w:type="dxa"/>
            <w:tcBorders>
              <w:tl2br w:val="nil"/>
              <w:tr2bl w:val="nil"/>
            </w:tcBorders>
            <w:shd w:val="clear" w:color="auto" w:fill="auto"/>
            <w:vAlign w:val="center"/>
          </w:tcPr>
          <w:p w14:paraId="25557162">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96.颜色：</w:t>
            </w:r>
            <w:r>
              <w:rPr>
                <w:rFonts w:hint="eastAsia"/>
                <w:lang w:val="en-US" w:eastAsia="zh-CN"/>
              </w:rPr>
              <w:t>浅色系（如白色、黄色等）</w:t>
            </w:r>
          </w:p>
        </w:tc>
        <w:tc>
          <w:tcPr>
            <w:tcW w:w="1152" w:type="dxa"/>
            <w:tcBorders>
              <w:tl2br w:val="nil"/>
              <w:tr2bl w:val="nil"/>
            </w:tcBorders>
            <w:shd w:val="clear" w:color="auto" w:fill="auto"/>
            <w:vAlign w:val="center"/>
          </w:tcPr>
          <w:p w14:paraId="1BC0CE88">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snapToGrid/>
                <w:color w:val="auto"/>
                <w:spacing w:val="0"/>
                <w:kern w:val="2"/>
                <w:sz w:val="21"/>
                <w:szCs w:val="24"/>
                <w:highlight w:val="none"/>
                <w:lang w:val="en-US" w:eastAsia="zh-CN" w:bidi="ar-SA"/>
              </w:rPr>
            </w:pPr>
          </w:p>
        </w:tc>
      </w:tr>
      <w:tr w14:paraId="14EE421C">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754" w:type="dxa"/>
            <w:vMerge w:val="continue"/>
            <w:tcBorders>
              <w:tl2br w:val="nil"/>
              <w:tr2bl w:val="nil"/>
            </w:tcBorders>
            <w:shd w:val="clear" w:color="auto" w:fill="auto"/>
            <w:vAlign w:val="center"/>
          </w:tcPr>
          <w:p w14:paraId="7BB2B44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0"/>
                <w:szCs w:val="20"/>
                <w:u w:val="none"/>
                <w:lang w:val="en-US" w:eastAsia="zh-CN" w:bidi="ar"/>
              </w:rPr>
            </w:pPr>
          </w:p>
        </w:tc>
        <w:tc>
          <w:tcPr>
            <w:tcW w:w="6743" w:type="dxa"/>
            <w:tcBorders>
              <w:tl2br w:val="nil"/>
              <w:tr2bl w:val="nil"/>
            </w:tcBorders>
            <w:shd w:val="clear" w:color="auto" w:fill="auto"/>
            <w:vAlign w:val="center"/>
          </w:tcPr>
          <w:p w14:paraId="27F38BB9">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97.其他：可手撕，无需剪刀</w:t>
            </w:r>
          </w:p>
        </w:tc>
        <w:tc>
          <w:tcPr>
            <w:tcW w:w="1152" w:type="dxa"/>
            <w:tcBorders>
              <w:tl2br w:val="nil"/>
              <w:tr2bl w:val="nil"/>
            </w:tcBorders>
            <w:shd w:val="clear" w:color="auto" w:fill="auto"/>
            <w:vAlign w:val="center"/>
          </w:tcPr>
          <w:p w14:paraId="51CA90D9">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snapToGrid/>
                <w:color w:val="auto"/>
                <w:spacing w:val="0"/>
                <w:kern w:val="2"/>
                <w:sz w:val="21"/>
                <w:szCs w:val="24"/>
                <w:highlight w:val="none"/>
                <w:lang w:val="en-US" w:eastAsia="zh-CN" w:bidi="ar-SA"/>
              </w:rPr>
            </w:pPr>
          </w:p>
        </w:tc>
      </w:tr>
      <w:tr w14:paraId="09882B19">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754" w:type="dxa"/>
            <w:vMerge w:val="continue"/>
            <w:tcBorders>
              <w:tl2br w:val="nil"/>
              <w:tr2bl w:val="nil"/>
            </w:tcBorders>
            <w:shd w:val="clear" w:color="auto" w:fill="auto"/>
            <w:vAlign w:val="center"/>
          </w:tcPr>
          <w:p w14:paraId="57D6526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0"/>
                <w:szCs w:val="20"/>
                <w:u w:val="none"/>
                <w:lang w:val="en-US" w:eastAsia="zh-CN" w:bidi="ar"/>
              </w:rPr>
            </w:pPr>
          </w:p>
        </w:tc>
        <w:tc>
          <w:tcPr>
            <w:tcW w:w="6743" w:type="dxa"/>
            <w:tcBorders>
              <w:tl2br w:val="nil"/>
              <w:tr2bl w:val="nil"/>
            </w:tcBorders>
            <w:shd w:val="clear" w:color="auto" w:fill="auto"/>
            <w:vAlign w:val="center"/>
          </w:tcPr>
          <w:p w14:paraId="4E12F9A9">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b/>
                <w:bCs/>
                <w:snapToGrid/>
                <w:color w:val="auto"/>
                <w:spacing w:val="0"/>
                <w:kern w:val="2"/>
                <w:sz w:val="21"/>
                <w:szCs w:val="24"/>
                <w:highlight w:val="none"/>
                <w:lang w:val="en-US" w:eastAsia="zh-CN" w:bidi="ar-SA"/>
              </w:rPr>
              <w:t>十九．三角巾棉布</w:t>
            </w:r>
          </w:p>
        </w:tc>
        <w:tc>
          <w:tcPr>
            <w:tcW w:w="1152" w:type="dxa"/>
            <w:tcBorders>
              <w:tl2br w:val="nil"/>
              <w:tr2bl w:val="nil"/>
            </w:tcBorders>
            <w:shd w:val="clear" w:color="auto" w:fill="auto"/>
            <w:vAlign w:val="center"/>
          </w:tcPr>
          <w:p w14:paraId="4B684F16">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snapToGrid/>
                <w:color w:val="auto"/>
                <w:spacing w:val="0"/>
                <w:kern w:val="2"/>
                <w:sz w:val="21"/>
                <w:szCs w:val="24"/>
                <w:highlight w:val="none"/>
                <w:lang w:val="en-US" w:eastAsia="zh-CN" w:bidi="ar-SA"/>
              </w:rPr>
            </w:pPr>
          </w:p>
        </w:tc>
      </w:tr>
      <w:tr w14:paraId="04E960C2">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754" w:type="dxa"/>
            <w:vMerge w:val="continue"/>
            <w:tcBorders>
              <w:tl2br w:val="nil"/>
              <w:tr2bl w:val="nil"/>
            </w:tcBorders>
            <w:shd w:val="clear" w:color="auto" w:fill="auto"/>
            <w:vAlign w:val="center"/>
          </w:tcPr>
          <w:p w14:paraId="73F4EC6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0"/>
                <w:szCs w:val="20"/>
                <w:u w:val="none"/>
                <w:lang w:val="en-US" w:eastAsia="zh-CN" w:bidi="ar"/>
              </w:rPr>
            </w:pPr>
          </w:p>
        </w:tc>
        <w:tc>
          <w:tcPr>
            <w:tcW w:w="6743" w:type="dxa"/>
            <w:tcBorders>
              <w:tl2br w:val="nil"/>
              <w:tr2bl w:val="nil"/>
            </w:tcBorders>
            <w:shd w:val="clear" w:color="auto" w:fill="auto"/>
            <w:vAlign w:val="center"/>
          </w:tcPr>
          <w:p w14:paraId="06FB7F10">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98.规格：96×96×136cm，允差±5%，等腰直角三角形</w:t>
            </w:r>
          </w:p>
        </w:tc>
        <w:tc>
          <w:tcPr>
            <w:tcW w:w="1152" w:type="dxa"/>
            <w:tcBorders>
              <w:tl2br w:val="nil"/>
              <w:tr2bl w:val="nil"/>
            </w:tcBorders>
            <w:shd w:val="clear" w:color="auto" w:fill="auto"/>
            <w:vAlign w:val="center"/>
          </w:tcPr>
          <w:p w14:paraId="55EC55B0">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snapToGrid/>
                <w:color w:val="auto"/>
                <w:spacing w:val="0"/>
                <w:kern w:val="2"/>
                <w:sz w:val="21"/>
                <w:szCs w:val="24"/>
                <w:highlight w:val="none"/>
                <w:lang w:val="en-US" w:eastAsia="zh-CN" w:bidi="ar-SA"/>
              </w:rPr>
            </w:pPr>
          </w:p>
        </w:tc>
      </w:tr>
      <w:tr w14:paraId="5A4688E5">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754" w:type="dxa"/>
            <w:vMerge w:val="continue"/>
            <w:tcBorders>
              <w:tl2br w:val="nil"/>
              <w:tr2bl w:val="nil"/>
            </w:tcBorders>
            <w:shd w:val="clear" w:color="auto" w:fill="auto"/>
            <w:vAlign w:val="center"/>
          </w:tcPr>
          <w:p w14:paraId="41D523B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0"/>
                <w:szCs w:val="20"/>
                <w:u w:val="none"/>
                <w:lang w:val="en-US" w:eastAsia="zh-CN" w:bidi="ar"/>
              </w:rPr>
            </w:pPr>
          </w:p>
        </w:tc>
        <w:tc>
          <w:tcPr>
            <w:tcW w:w="6743" w:type="dxa"/>
            <w:tcBorders>
              <w:tl2br w:val="nil"/>
              <w:tr2bl w:val="nil"/>
            </w:tcBorders>
            <w:shd w:val="clear" w:color="auto" w:fill="auto"/>
            <w:vAlign w:val="center"/>
          </w:tcPr>
          <w:p w14:paraId="4CFBA169">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99.材质：100%纯棉纱布，纱支≥32支</w:t>
            </w:r>
          </w:p>
        </w:tc>
        <w:tc>
          <w:tcPr>
            <w:tcW w:w="1152" w:type="dxa"/>
            <w:tcBorders>
              <w:tl2br w:val="nil"/>
              <w:tr2bl w:val="nil"/>
            </w:tcBorders>
            <w:shd w:val="clear" w:color="auto" w:fill="auto"/>
            <w:vAlign w:val="center"/>
          </w:tcPr>
          <w:p w14:paraId="59ACAFCA">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snapToGrid/>
                <w:color w:val="auto"/>
                <w:spacing w:val="0"/>
                <w:kern w:val="2"/>
                <w:sz w:val="21"/>
                <w:szCs w:val="24"/>
                <w:highlight w:val="none"/>
                <w:lang w:val="en-US" w:eastAsia="zh-CN" w:bidi="ar-SA"/>
              </w:rPr>
            </w:pPr>
          </w:p>
        </w:tc>
      </w:tr>
      <w:tr w14:paraId="1E360EFC">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754" w:type="dxa"/>
            <w:vMerge w:val="continue"/>
            <w:tcBorders>
              <w:tl2br w:val="nil"/>
              <w:tr2bl w:val="nil"/>
            </w:tcBorders>
            <w:shd w:val="clear" w:color="auto" w:fill="auto"/>
            <w:vAlign w:val="center"/>
          </w:tcPr>
          <w:p w14:paraId="61B6F8D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0"/>
                <w:szCs w:val="20"/>
                <w:u w:val="none"/>
                <w:lang w:val="en-US" w:eastAsia="zh-CN" w:bidi="ar"/>
              </w:rPr>
            </w:pPr>
          </w:p>
        </w:tc>
        <w:tc>
          <w:tcPr>
            <w:tcW w:w="6743" w:type="dxa"/>
            <w:tcBorders>
              <w:tl2br w:val="nil"/>
              <w:tr2bl w:val="nil"/>
            </w:tcBorders>
            <w:shd w:val="clear" w:color="auto" w:fill="auto"/>
            <w:vAlign w:val="center"/>
          </w:tcPr>
          <w:p w14:paraId="3C69249A">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100.重量：≥47g</w:t>
            </w:r>
          </w:p>
        </w:tc>
        <w:tc>
          <w:tcPr>
            <w:tcW w:w="1152" w:type="dxa"/>
            <w:tcBorders>
              <w:tl2br w:val="nil"/>
              <w:tr2bl w:val="nil"/>
            </w:tcBorders>
            <w:shd w:val="clear" w:color="auto" w:fill="auto"/>
            <w:vAlign w:val="center"/>
          </w:tcPr>
          <w:p w14:paraId="00F16AE3">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snapToGrid/>
                <w:color w:val="auto"/>
                <w:spacing w:val="0"/>
                <w:kern w:val="2"/>
                <w:sz w:val="21"/>
                <w:szCs w:val="24"/>
                <w:highlight w:val="none"/>
                <w:lang w:val="en-US" w:eastAsia="zh-CN" w:bidi="ar-SA"/>
              </w:rPr>
            </w:pPr>
          </w:p>
        </w:tc>
      </w:tr>
      <w:tr w14:paraId="68940B5C">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754" w:type="dxa"/>
            <w:vMerge w:val="continue"/>
            <w:tcBorders>
              <w:tl2br w:val="nil"/>
              <w:tr2bl w:val="nil"/>
            </w:tcBorders>
            <w:shd w:val="clear" w:color="auto" w:fill="auto"/>
            <w:vAlign w:val="center"/>
          </w:tcPr>
          <w:p w14:paraId="704F1AD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0"/>
                <w:szCs w:val="20"/>
                <w:u w:val="none"/>
                <w:lang w:val="en-US" w:eastAsia="zh-CN" w:bidi="ar"/>
              </w:rPr>
            </w:pPr>
          </w:p>
        </w:tc>
        <w:tc>
          <w:tcPr>
            <w:tcW w:w="6743" w:type="dxa"/>
            <w:tcBorders>
              <w:tl2br w:val="nil"/>
              <w:tr2bl w:val="nil"/>
            </w:tcBorders>
            <w:shd w:val="clear" w:color="auto" w:fill="auto"/>
            <w:vAlign w:val="center"/>
          </w:tcPr>
          <w:p w14:paraId="62C269C9">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101.缝线：四边包边处理，线头牢固</w:t>
            </w:r>
          </w:p>
        </w:tc>
        <w:tc>
          <w:tcPr>
            <w:tcW w:w="1152" w:type="dxa"/>
            <w:tcBorders>
              <w:tl2br w:val="nil"/>
              <w:tr2bl w:val="nil"/>
            </w:tcBorders>
            <w:shd w:val="clear" w:color="auto" w:fill="auto"/>
            <w:vAlign w:val="center"/>
          </w:tcPr>
          <w:p w14:paraId="57B2739C">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snapToGrid/>
                <w:color w:val="auto"/>
                <w:spacing w:val="0"/>
                <w:kern w:val="2"/>
                <w:sz w:val="21"/>
                <w:szCs w:val="24"/>
                <w:highlight w:val="none"/>
                <w:lang w:val="en-US" w:eastAsia="zh-CN" w:bidi="ar-SA"/>
              </w:rPr>
            </w:pPr>
          </w:p>
        </w:tc>
      </w:tr>
      <w:tr w14:paraId="5F60FFB9">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754" w:type="dxa"/>
            <w:vMerge w:val="continue"/>
            <w:tcBorders>
              <w:tl2br w:val="nil"/>
              <w:tr2bl w:val="nil"/>
            </w:tcBorders>
            <w:shd w:val="clear" w:color="auto" w:fill="auto"/>
            <w:vAlign w:val="center"/>
          </w:tcPr>
          <w:p w14:paraId="670D035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0"/>
                <w:szCs w:val="20"/>
                <w:u w:val="none"/>
                <w:lang w:val="en-US" w:eastAsia="zh-CN" w:bidi="ar"/>
              </w:rPr>
            </w:pPr>
          </w:p>
        </w:tc>
        <w:tc>
          <w:tcPr>
            <w:tcW w:w="6743" w:type="dxa"/>
            <w:tcBorders>
              <w:tl2br w:val="nil"/>
              <w:tr2bl w:val="nil"/>
            </w:tcBorders>
            <w:shd w:val="clear" w:color="auto" w:fill="auto"/>
            <w:vAlign w:val="center"/>
          </w:tcPr>
          <w:p w14:paraId="1DE135D5">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102.用途：可用于悬吊固定、包扎止血、骨折固定等</w:t>
            </w:r>
          </w:p>
        </w:tc>
        <w:tc>
          <w:tcPr>
            <w:tcW w:w="1152" w:type="dxa"/>
            <w:tcBorders>
              <w:tl2br w:val="nil"/>
              <w:tr2bl w:val="nil"/>
            </w:tcBorders>
            <w:shd w:val="clear" w:color="auto" w:fill="auto"/>
            <w:vAlign w:val="center"/>
          </w:tcPr>
          <w:p w14:paraId="7F022F23">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snapToGrid/>
                <w:color w:val="auto"/>
                <w:spacing w:val="0"/>
                <w:kern w:val="2"/>
                <w:sz w:val="21"/>
                <w:szCs w:val="24"/>
                <w:highlight w:val="none"/>
                <w:lang w:val="en-US" w:eastAsia="zh-CN" w:bidi="ar-SA"/>
              </w:rPr>
            </w:pPr>
          </w:p>
        </w:tc>
      </w:tr>
      <w:tr w14:paraId="68B631D0">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754" w:type="dxa"/>
            <w:vMerge w:val="continue"/>
            <w:tcBorders>
              <w:tl2br w:val="nil"/>
              <w:tr2bl w:val="nil"/>
            </w:tcBorders>
            <w:shd w:val="clear" w:color="auto" w:fill="auto"/>
            <w:vAlign w:val="center"/>
          </w:tcPr>
          <w:p w14:paraId="112A9A6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0"/>
                <w:szCs w:val="20"/>
                <w:u w:val="none"/>
                <w:lang w:val="en-US" w:eastAsia="zh-CN" w:bidi="ar"/>
              </w:rPr>
            </w:pPr>
          </w:p>
        </w:tc>
        <w:tc>
          <w:tcPr>
            <w:tcW w:w="6743" w:type="dxa"/>
            <w:tcBorders>
              <w:tl2br w:val="nil"/>
              <w:tr2bl w:val="nil"/>
            </w:tcBorders>
            <w:shd w:val="clear" w:color="auto" w:fill="auto"/>
            <w:vAlign w:val="center"/>
          </w:tcPr>
          <w:p w14:paraId="387C4282">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103.保质期：≥2年</w:t>
            </w:r>
          </w:p>
        </w:tc>
        <w:tc>
          <w:tcPr>
            <w:tcW w:w="1152" w:type="dxa"/>
            <w:tcBorders>
              <w:tl2br w:val="nil"/>
              <w:tr2bl w:val="nil"/>
            </w:tcBorders>
            <w:shd w:val="clear" w:color="auto" w:fill="auto"/>
            <w:vAlign w:val="center"/>
          </w:tcPr>
          <w:p w14:paraId="2DD8CA18">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snapToGrid/>
                <w:color w:val="auto"/>
                <w:spacing w:val="0"/>
                <w:kern w:val="2"/>
                <w:sz w:val="21"/>
                <w:szCs w:val="24"/>
                <w:highlight w:val="none"/>
                <w:lang w:val="en-US" w:eastAsia="zh-CN" w:bidi="ar-SA"/>
              </w:rPr>
            </w:pPr>
          </w:p>
        </w:tc>
      </w:tr>
      <w:tr w14:paraId="1BF95CEC">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754" w:type="dxa"/>
            <w:vMerge w:val="continue"/>
            <w:tcBorders>
              <w:tl2br w:val="nil"/>
              <w:tr2bl w:val="nil"/>
            </w:tcBorders>
            <w:shd w:val="clear" w:color="auto" w:fill="auto"/>
            <w:vAlign w:val="center"/>
          </w:tcPr>
          <w:p w14:paraId="2C97DA2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0"/>
                <w:szCs w:val="20"/>
                <w:u w:val="none"/>
                <w:lang w:val="en-US" w:eastAsia="zh-CN" w:bidi="ar"/>
              </w:rPr>
            </w:pPr>
          </w:p>
        </w:tc>
        <w:tc>
          <w:tcPr>
            <w:tcW w:w="6743" w:type="dxa"/>
            <w:tcBorders>
              <w:tl2br w:val="nil"/>
              <w:tr2bl w:val="nil"/>
            </w:tcBorders>
            <w:shd w:val="clear" w:color="auto" w:fill="auto"/>
            <w:vAlign w:val="center"/>
          </w:tcPr>
          <w:p w14:paraId="3A1A6052">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b/>
                <w:bCs/>
                <w:snapToGrid/>
                <w:color w:val="auto"/>
                <w:spacing w:val="0"/>
                <w:kern w:val="2"/>
                <w:sz w:val="21"/>
                <w:szCs w:val="24"/>
                <w:highlight w:val="none"/>
                <w:lang w:val="en-US" w:eastAsia="zh-CN" w:bidi="ar-SA"/>
              </w:rPr>
              <w:t>二十.金属硬质眼罩</w:t>
            </w:r>
          </w:p>
        </w:tc>
        <w:tc>
          <w:tcPr>
            <w:tcW w:w="1152" w:type="dxa"/>
            <w:tcBorders>
              <w:tl2br w:val="nil"/>
              <w:tr2bl w:val="nil"/>
            </w:tcBorders>
            <w:shd w:val="clear" w:color="auto" w:fill="auto"/>
            <w:vAlign w:val="center"/>
          </w:tcPr>
          <w:p w14:paraId="4733FFA7">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snapToGrid/>
                <w:color w:val="auto"/>
                <w:spacing w:val="0"/>
                <w:kern w:val="2"/>
                <w:sz w:val="21"/>
                <w:szCs w:val="24"/>
                <w:highlight w:val="none"/>
                <w:lang w:val="en-US" w:eastAsia="zh-CN" w:bidi="ar-SA"/>
              </w:rPr>
            </w:pPr>
          </w:p>
        </w:tc>
      </w:tr>
      <w:tr w14:paraId="4CC46353">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754" w:type="dxa"/>
            <w:vMerge w:val="continue"/>
            <w:tcBorders>
              <w:tl2br w:val="nil"/>
              <w:tr2bl w:val="nil"/>
            </w:tcBorders>
            <w:shd w:val="clear" w:color="auto" w:fill="auto"/>
            <w:vAlign w:val="center"/>
          </w:tcPr>
          <w:p w14:paraId="24A04F1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0"/>
                <w:szCs w:val="20"/>
                <w:u w:val="none"/>
                <w:lang w:val="en-US" w:eastAsia="zh-CN" w:bidi="ar"/>
              </w:rPr>
            </w:pPr>
          </w:p>
        </w:tc>
        <w:tc>
          <w:tcPr>
            <w:tcW w:w="6743" w:type="dxa"/>
            <w:tcBorders>
              <w:tl2br w:val="nil"/>
              <w:tr2bl w:val="nil"/>
            </w:tcBorders>
            <w:shd w:val="clear" w:color="auto" w:fill="auto"/>
            <w:vAlign w:val="center"/>
          </w:tcPr>
          <w:p w14:paraId="125F7321">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104.材质：采用医用级金属材料或同等性能的合金材料（如铝合金、不锈钢、钛合金等）</w:t>
            </w:r>
          </w:p>
        </w:tc>
        <w:tc>
          <w:tcPr>
            <w:tcW w:w="1152" w:type="dxa"/>
            <w:tcBorders>
              <w:tl2br w:val="nil"/>
              <w:tr2bl w:val="nil"/>
            </w:tcBorders>
            <w:shd w:val="clear" w:color="auto" w:fill="auto"/>
            <w:vAlign w:val="center"/>
          </w:tcPr>
          <w:p w14:paraId="4E8ED6D4">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snapToGrid/>
                <w:color w:val="auto"/>
                <w:spacing w:val="0"/>
                <w:kern w:val="2"/>
                <w:sz w:val="21"/>
                <w:szCs w:val="24"/>
                <w:highlight w:val="none"/>
                <w:lang w:val="en-US" w:eastAsia="zh-CN" w:bidi="ar-SA"/>
              </w:rPr>
            </w:pPr>
          </w:p>
        </w:tc>
      </w:tr>
      <w:tr w14:paraId="756802E6">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754" w:type="dxa"/>
            <w:vMerge w:val="continue"/>
            <w:tcBorders>
              <w:tl2br w:val="nil"/>
              <w:tr2bl w:val="nil"/>
            </w:tcBorders>
            <w:shd w:val="clear" w:color="auto" w:fill="auto"/>
            <w:vAlign w:val="center"/>
          </w:tcPr>
          <w:p w14:paraId="1DBEDF4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0"/>
                <w:szCs w:val="20"/>
                <w:u w:val="none"/>
                <w:lang w:val="en-US" w:eastAsia="zh-CN" w:bidi="ar"/>
              </w:rPr>
            </w:pPr>
          </w:p>
        </w:tc>
        <w:tc>
          <w:tcPr>
            <w:tcW w:w="6743" w:type="dxa"/>
            <w:tcBorders>
              <w:tl2br w:val="nil"/>
              <w:tr2bl w:val="nil"/>
            </w:tcBorders>
            <w:shd w:val="clear" w:color="auto" w:fill="auto"/>
            <w:vAlign w:val="center"/>
          </w:tcPr>
          <w:p w14:paraId="5240CD50">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105.防护：硬质防护罩，防止眼球受压</w:t>
            </w:r>
          </w:p>
        </w:tc>
        <w:tc>
          <w:tcPr>
            <w:tcW w:w="1152" w:type="dxa"/>
            <w:tcBorders>
              <w:tl2br w:val="nil"/>
              <w:tr2bl w:val="nil"/>
            </w:tcBorders>
            <w:shd w:val="clear" w:color="auto" w:fill="auto"/>
            <w:vAlign w:val="center"/>
          </w:tcPr>
          <w:p w14:paraId="5819661B">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snapToGrid/>
                <w:color w:val="auto"/>
                <w:spacing w:val="0"/>
                <w:kern w:val="2"/>
                <w:sz w:val="21"/>
                <w:szCs w:val="24"/>
                <w:highlight w:val="none"/>
                <w:lang w:val="en-US" w:eastAsia="zh-CN" w:bidi="ar-SA"/>
              </w:rPr>
            </w:pPr>
          </w:p>
        </w:tc>
      </w:tr>
      <w:tr w14:paraId="3719600A">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754" w:type="dxa"/>
            <w:vMerge w:val="continue"/>
            <w:tcBorders>
              <w:tl2br w:val="nil"/>
              <w:tr2bl w:val="nil"/>
            </w:tcBorders>
            <w:shd w:val="clear" w:color="auto" w:fill="auto"/>
            <w:vAlign w:val="center"/>
          </w:tcPr>
          <w:p w14:paraId="5FC0C82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0"/>
                <w:szCs w:val="20"/>
                <w:u w:val="none"/>
                <w:lang w:val="en-US" w:eastAsia="zh-CN" w:bidi="ar"/>
              </w:rPr>
            </w:pPr>
          </w:p>
        </w:tc>
        <w:tc>
          <w:tcPr>
            <w:tcW w:w="6743" w:type="dxa"/>
            <w:tcBorders>
              <w:tl2br w:val="nil"/>
              <w:tr2bl w:val="nil"/>
            </w:tcBorders>
            <w:shd w:val="clear" w:color="auto" w:fill="auto"/>
            <w:vAlign w:val="center"/>
          </w:tcPr>
          <w:p w14:paraId="6B58D63F">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106.形状：碗状或网状设计，覆盖整个眼部</w:t>
            </w:r>
          </w:p>
        </w:tc>
        <w:tc>
          <w:tcPr>
            <w:tcW w:w="1152" w:type="dxa"/>
            <w:tcBorders>
              <w:tl2br w:val="nil"/>
              <w:tr2bl w:val="nil"/>
            </w:tcBorders>
            <w:shd w:val="clear" w:color="auto" w:fill="auto"/>
            <w:vAlign w:val="center"/>
          </w:tcPr>
          <w:p w14:paraId="785B3DE7">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snapToGrid/>
                <w:color w:val="auto"/>
                <w:spacing w:val="0"/>
                <w:kern w:val="2"/>
                <w:sz w:val="21"/>
                <w:szCs w:val="24"/>
                <w:highlight w:val="none"/>
                <w:lang w:val="en-US" w:eastAsia="zh-CN" w:bidi="ar-SA"/>
              </w:rPr>
            </w:pPr>
          </w:p>
        </w:tc>
      </w:tr>
      <w:tr w14:paraId="6BC06D6C">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754" w:type="dxa"/>
            <w:vMerge w:val="continue"/>
            <w:tcBorders>
              <w:tl2br w:val="nil"/>
              <w:tr2bl w:val="nil"/>
            </w:tcBorders>
            <w:shd w:val="clear" w:color="auto" w:fill="auto"/>
            <w:vAlign w:val="center"/>
          </w:tcPr>
          <w:p w14:paraId="38DBEAC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0"/>
                <w:szCs w:val="20"/>
                <w:u w:val="none"/>
                <w:lang w:val="en-US" w:eastAsia="zh-CN" w:bidi="ar"/>
              </w:rPr>
            </w:pPr>
          </w:p>
        </w:tc>
        <w:tc>
          <w:tcPr>
            <w:tcW w:w="6743" w:type="dxa"/>
            <w:tcBorders>
              <w:tl2br w:val="nil"/>
              <w:tr2bl w:val="nil"/>
            </w:tcBorders>
            <w:shd w:val="clear" w:color="auto" w:fill="auto"/>
            <w:vAlign w:val="center"/>
          </w:tcPr>
          <w:p w14:paraId="55E0A7C3">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107.固定：配有弹性绑带，可调节松紧</w:t>
            </w:r>
          </w:p>
        </w:tc>
        <w:tc>
          <w:tcPr>
            <w:tcW w:w="1152" w:type="dxa"/>
            <w:tcBorders>
              <w:tl2br w:val="nil"/>
              <w:tr2bl w:val="nil"/>
            </w:tcBorders>
            <w:shd w:val="clear" w:color="auto" w:fill="auto"/>
            <w:vAlign w:val="center"/>
          </w:tcPr>
          <w:p w14:paraId="2F6C55BD">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snapToGrid/>
                <w:color w:val="auto"/>
                <w:spacing w:val="0"/>
                <w:kern w:val="2"/>
                <w:sz w:val="21"/>
                <w:szCs w:val="24"/>
                <w:highlight w:val="none"/>
                <w:lang w:val="en-US" w:eastAsia="zh-CN" w:bidi="ar-SA"/>
              </w:rPr>
            </w:pPr>
          </w:p>
        </w:tc>
      </w:tr>
      <w:tr w14:paraId="3495097E">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754" w:type="dxa"/>
            <w:vMerge w:val="continue"/>
            <w:tcBorders>
              <w:tl2br w:val="nil"/>
              <w:tr2bl w:val="nil"/>
            </w:tcBorders>
            <w:shd w:val="clear" w:color="auto" w:fill="auto"/>
            <w:vAlign w:val="center"/>
          </w:tcPr>
          <w:p w14:paraId="159F376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0"/>
                <w:szCs w:val="20"/>
                <w:u w:val="none"/>
                <w:lang w:val="en-US" w:eastAsia="zh-CN" w:bidi="ar"/>
              </w:rPr>
            </w:pPr>
          </w:p>
        </w:tc>
        <w:tc>
          <w:tcPr>
            <w:tcW w:w="6743" w:type="dxa"/>
            <w:tcBorders>
              <w:tl2br w:val="nil"/>
              <w:tr2bl w:val="nil"/>
            </w:tcBorders>
            <w:shd w:val="clear" w:color="auto" w:fill="auto"/>
            <w:vAlign w:val="center"/>
          </w:tcPr>
          <w:p w14:paraId="59FF23F3">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108.尺寸：直径≥7cm</w:t>
            </w:r>
          </w:p>
        </w:tc>
        <w:tc>
          <w:tcPr>
            <w:tcW w:w="1152" w:type="dxa"/>
            <w:tcBorders>
              <w:tl2br w:val="nil"/>
              <w:tr2bl w:val="nil"/>
            </w:tcBorders>
            <w:shd w:val="clear" w:color="auto" w:fill="auto"/>
            <w:vAlign w:val="center"/>
          </w:tcPr>
          <w:p w14:paraId="25D2243C">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snapToGrid/>
                <w:color w:val="auto"/>
                <w:spacing w:val="0"/>
                <w:kern w:val="2"/>
                <w:sz w:val="21"/>
                <w:szCs w:val="24"/>
                <w:highlight w:val="none"/>
                <w:lang w:val="en-US" w:eastAsia="zh-CN" w:bidi="ar-SA"/>
              </w:rPr>
            </w:pPr>
          </w:p>
        </w:tc>
      </w:tr>
      <w:tr w14:paraId="1A3E255D">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754" w:type="dxa"/>
            <w:vMerge w:val="continue"/>
            <w:tcBorders>
              <w:tl2br w:val="nil"/>
              <w:tr2bl w:val="nil"/>
            </w:tcBorders>
            <w:shd w:val="clear" w:color="auto" w:fill="auto"/>
            <w:vAlign w:val="center"/>
          </w:tcPr>
          <w:p w14:paraId="57F54DC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0"/>
                <w:szCs w:val="20"/>
                <w:u w:val="none"/>
                <w:lang w:val="en-US" w:eastAsia="zh-CN" w:bidi="ar"/>
              </w:rPr>
            </w:pPr>
          </w:p>
        </w:tc>
        <w:tc>
          <w:tcPr>
            <w:tcW w:w="6743" w:type="dxa"/>
            <w:tcBorders>
              <w:tl2br w:val="nil"/>
              <w:tr2bl w:val="nil"/>
            </w:tcBorders>
            <w:shd w:val="clear" w:color="auto" w:fill="auto"/>
            <w:vAlign w:val="center"/>
          </w:tcPr>
          <w:p w14:paraId="7DC0596B">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109.重量：≤30g</w:t>
            </w:r>
          </w:p>
        </w:tc>
        <w:tc>
          <w:tcPr>
            <w:tcW w:w="1152" w:type="dxa"/>
            <w:tcBorders>
              <w:tl2br w:val="nil"/>
              <w:tr2bl w:val="nil"/>
            </w:tcBorders>
            <w:shd w:val="clear" w:color="auto" w:fill="auto"/>
            <w:vAlign w:val="center"/>
          </w:tcPr>
          <w:p w14:paraId="1A309DE1">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snapToGrid/>
                <w:color w:val="auto"/>
                <w:spacing w:val="0"/>
                <w:kern w:val="2"/>
                <w:sz w:val="21"/>
                <w:szCs w:val="24"/>
                <w:highlight w:val="none"/>
                <w:lang w:val="en-US" w:eastAsia="zh-CN" w:bidi="ar-SA"/>
              </w:rPr>
            </w:pPr>
          </w:p>
        </w:tc>
      </w:tr>
      <w:tr w14:paraId="3E95E1E3">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754" w:type="dxa"/>
            <w:vMerge w:val="continue"/>
            <w:tcBorders>
              <w:tl2br w:val="nil"/>
              <w:tr2bl w:val="nil"/>
            </w:tcBorders>
            <w:shd w:val="clear" w:color="auto" w:fill="auto"/>
            <w:vAlign w:val="center"/>
          </w:tcPr>
          <w:p w14:paraId="0A6F95C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0"/>
                <w:szCs w:val="20"/>
                <w:u w:val="none"/>
                <w:lang w:val="en-US" w:eastAsia="zh-CN" w:bidi="ar"/>
              </w:rPr>
            </w:pPr>
          </w:p>
        </w:tc>
        <w:tc>
          <w:tcPr>
            <w:tcW w:w="6743" w:type="dxa"/>
            <w:tcBorders>
              <w:tl2br w:val="nil"/>
              <w:tr2bl w:val="nil"/>
            </w:tcBorders>
            <w:shd w:val="clear" w:color="auto" w:fill="auto"/>
            <w:vAlign w:val="center"/>
          </w:tcPr>
          <w:p w14:paraId="4A2F8A59">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110.其他：一次性使用</w:t>
            </w:r>
          </w:p>
        </w:tc>
        <w:tc>
          <w:tcPr>
            <w:tcW w:w="1152" w:type="dxa"/>
            <w:tcBorders>
              <w:tl2br w:val="nil"/>
              <w:tr2bl w:val="nil"/>
            </w:tcBorders>
            <w:shd w:val="clear" w:color="auto" w:fill="auto"/>
            <w:vAlign w:val="center"/>
          </w:tcPr>
          <w:p w14:paraId="375A78A5">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snapToGrid/>
                <w:color w:val="auto"/>
                <w:spacing w:val="0"/>
                <w:kern w:val="2"/>
                <w:sz w:val="21"/>
                <w:szCs w:val="24"/>
                <w:highlight w:val="none"/>
                <w:lang w:val="en-US" w:eastAsia="zh-CN" w:bidi="ar-SA"/>
              </w:rPr>
            </w:pPr>
          </w:p>
        </w:tc>
      </w:tr>
      <w:tr w14:paraId="05BA5624">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754" w:type="dxa"/>
            <w:vMerge w:val="continue"/>
            <w:tcBorders>
              <w:tl2br w:val="nil"/>
              <w:tr2bl w:val="nil"/>
            </w:tcBorders>
            <w:shd w:val="clear" w:color="auto" w:fill="auto"/>
            <w:vAlign w:val="center"/>
          </w:tcPr>
          <w:p w14:paraId="6E598E5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0"/>
                <w:szCs w:val="20"/>
                <w:u w:val="none"/>
                <w:lang w:val="en-US" w:eastAsia="zh-CN" w:bidi="ar"/>
              </w:rPr>
            </w:pPr>
          </w:p>
        </w:tc>
        <w:tc>
          <w:tcPr>
            <w:tcW w:w="6743" w:type="dxa"/>
            <w:tcBorders>
              <w:tl2br w:val="nil"/>
              <w:tr2bl w:val="nil"/>
            </w:tcBorders>
            <w:shd w:val="clear" w:color="auto" w:fill="auto"/>
            <w:vAlign w:val="center"/>
          </w:tcPr>
          <w:p w14:paraId="7CE656D2">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b/>
                <w:bCs/>
                <w:snapToGrid/>
                <w:color w:val="auto"/>
                <w:spacing w:val="0"/>
                <w:kern w:val="2"/>
                <w:sz w:val="21"/>
                <w:szCs w:val="24"/>
                <w:highlight w:val="none"/>
                <w:lang w:val="en-US" w:eastAsia="zh-CN" w:bidi="ar-SA"/>
              </w:rPr>
              <w:t>二十一.医用胶水</w:t>
            </w:r>
          </w:p>
        </w:tc>
        <w:tc>
          <w:tcPr>
            <w:tcW w:w="1152" w:type="dxa"/>
            <w:tcBorders>
              <w:tl2br w:val="nil"/>
              <w:tr2bl w:val="nil"/>
            </w:tcBorders>
            <w:shd w:val="clear" w:color="auto" w:fill="auto"/>
            <w:vAlign w:val="center"/>
          </w:tcPr>
          <w:p w14:paraId="6B5BF7F3">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snapToGrid/>
                <w:color w:val="auto"/>
                <w:spacing w:val="0"/>
                <w:kern w:val="2"/>
                <w:sz w:val="21"/>
                <w:szCs w:val="24"/>
                <w:highlight w:val="none"/>
                <w:lang w:val="en-US" w:eastAsia="zh-CN" w:bidi="ar-SA"/>
              </w:rPr>
            </w:pPr>
          </w:p>
        </w:tc>
      </w:tr>
      <w:tr w14:paraId="26F991F6">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754" w:type="dxa"/>
            <w:vMerge w:val="continue"/>
            <w:tcBorders>
              <w:tl2br w:val="nil"/>
              <w:tr2bl w:val="nil"/>
            </w:tcBorders>
            <w:shd w:val="clear" w:color="auto" w:fill="auto"/>
            <w:vAlign w:val="center"/>
          </w:tcPr>
          <w:p w14:paraId="087D111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0"/>
                <w:szCs w:val="20"/>
                <w:u w:val="none"/>
                <w:lang w:val="en-US" w:eastAsia="zh-CN" w:bidi="ar"/>
              </w:rPr>
            </w:pPr>
          </w:p>
        </w:tc>
        <w:tc>
          <w:tcPr>
            <w:tcW w:w="6743" w:type="dxa"/>
            <w:tcBorders>
              <w:tl2br w:val="nil"/>
              <w:tr2bl w:val="nil"/>
            </w:tcBorders>
            <w:shd w:val="clear" w:color="auto" w:fill="auto"/>
            <w:vAlign w:val="center"/>
          </w:tcPr>
          <w:p w14:paraId="40B748AD">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111.规格：0.5ml-1ml/支，医用胶涂抹型</w:t>
            </w:r>
          </w:p>
        </w:tc>
        <w:tc>
          <w:tcPr>
            <w:tcW w:w="1152" w:type="dxa"/>
            <w:tcBorders>
              <w:tl2br w:val="nil"/>
              <w:tr2bl w:val="nil"/>
            </w:tcBorders>
            <w:shd w:val="clear" w:color="auto" w:fill="auto"/>
            <w:vAlign w:val="center"/>
          </w:tcPr>
          <w:p w14:paraId="68B9624B">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snapToGrid/>
                <w:color w:val="auto"/>
                <w:spacing w:val="0"/>
                <w:kern w:val="2"/>
                <w:sz w:val="21"/>
                <w:szCs w:val="24"/>
                <w:highlight w:val="none"/>
                <w:lang w:val="en-US" w:eastAsia="zh-CN" w:bidi="ar-SA"/>
              </w:rPr>
            </w:pPr>
          </w:p>
        </w:tc>
      </w:tr>
      <w:tr w14:paraId="2E56CCA0">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754" w:type="dxa"/>
            <w:vMerge w:val="continue"/>
            <w:tcBorders>
              <w:tl2br w:val="nil"/>
              <w:tr2bl w:val="nil"/>
            </w:tcBorders>
            <w:shd w:val="clear" w:color="auto" w:fill="auto"/>
            <w:vAlign w:val="center"/>
          </w:tcPr>
          <w:p w14:paraId="5DF21FE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0"/>
                <w:szCs w:val="20"/>
                <w:u w:val="none"/>
                <w:lang w:val="en-US" w:eastAsia="zh-CN" w:bidi="ar"/>
              </w:rPr>
            </w:pPr>
          </w:p>
        </w:tc>
        <w:tc>
          <w:tcPr>
            <w:tcW w:w="6743" w:type="dxa"/>
            <w:tcBorders>
              <w:tl2br w:val="nil"/>
              <w:tr2bl w:val="nil"/>
            </w:tcBorders>
            <w:shd w:val="clear" w:color="auto" w:fill="auto"/>
            <w:vAlign w:val="center"/>
          </w:tcPr>
          <w:p w14:paraId="2ABB5285">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112.成分：α-氰基丙烯酸正丁酯或同等级医用粘合剂</w:t>
            </w:r>
          </w:p>
        </w:tc>
        <w:tc>
          <w:tcPr>
            <w:tcW w:w="1152" w:type="dxa"/>
            <w:tcBorders>
              <w:tl2br w:val="nil"/>
              <w:tr2bl w:val="nil"/>
            </w:tcBorders>
            <w:shd w:val="clear" w:color="auto" w:fill="auto"/>
            <w:vAlign w:val="center"/>
          </w:tcPr>
          <w:p w14:paraId="265B50EF">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snapToGrid/>
                <w:color w:val="auto"/>
                <w:spacing w:val="0"/>
                <w:kern w:val="2"/>
                <w:sz w:val="21"/>
                <w:szCs w:val="24"/>
                <w:highlight w:val="none"/>
                <w:lang w:val="en-US" w:eastAsia="zh-CN" w:bidi="ar-SA"/>
              </w:rPr>
            </w:pPr>
          </w:p>
        </w:tc>
      </w:tr>
      <w:tr w14:paraId="3C1179CF">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754" w:type="dxa"/>
            <w:vMerge w:val="continue"/>
            <w:tcBorders>
              <w:tl2br w:val="nil"/>
              <w:tr2bl w:val="nil"/>
            </w:tcBorders>
            <w:shd w:val="clear" w:color="auto" w:fill="auto"/>
            <w:vAlign w:val="center"/>
          </w:tcPr>
          <w:p w14:paraId="2750636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0"/>
                <w:szCs w:val="20"/>
                <w:u w:val="none"/>
                <w:lang w:val="en-US" w:eastAsia="zh-CN" w:bidi="ar"/>
              </w:rPr>
            </w:pPr>
          </w:p>
        </w:tc>
        <w:tc>
          <w:tcPr>
            <w:tcW w:w="6743" w:type="dxa"/>
            <w:tcBorders>
              <w:tl2br w:val="nil"/>
              <w:tr2bl w:val="nil"/>
            </w:tcBorders>
            <w:shd w:val="clear" w:color="auto" w:fill="auto"/>
            <w:vAlign w:val="center"/>
          </w:tcPr>
          <w:p w14:paraId="70C23203">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113.固化时间：≤60秒</w:t>
            </w:r>
          </w:p>
        </w:tc>
        <w:tc>
          <w:tcPr>
            <w:tcW w:w="1152" w:type="dxa"/>
            <w:tcBorders>
              <w:tl2br w:val="nil"/>
              <w:tr2bl w:val="nil"/>
            </w:tcBorders>
            <w:shd w:val="clear" w:color="auto" w:fill="auto"/>
            <w:vAlign w:val="center"/>
          </w:tcPr>
          <w:p w14:paraId="4DAF476C">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snapToGrid/>
                <w:color w:val="auto"/>
                <w:spacing w:val="0"/>
                <w:kern w:val="2"/>
                <w:sz w:val="21"/>
                <w:szCs w:val="24"/>
                <w:highlight w:val="none"/>
                <w:lang w:val="en-US" w:eastAsia="zh-CN" w:bidi="ar-SA"/>
              </w:rPr>
            </w:pPr>
          </w:p>
        </w:tc>
      </w:tr>
      <w:tr w14:paraId="54E62766">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754" w:type="dxa"/>
            <w:vMerge w:val="continue"/>
            <w:tcBorders>
              <w:tl2br w:val="nil"/>
              <w:tr2bl w:val="nil"/>
            </w:tcBorders>
            <w:shd w:val="clear" w:color="auto" w:fill="auto"/>
            <w:vAlign w:val="center"/>
          </w:tcPr>
          <w:p w14:paraId="1F06A97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0"/>
                <w:szCs w:val="20"/>
                <w:u w:val="none"/>
                <w:lang w:val="en-US" w:eastAsia="zh-CN" w:bidi="ar"/>
              </w:rPr>
            </w:pPr>
          </w:p>
        </w:tc>
        <w:tc>
          <w:tcPr>
            <w:tcW w:w="6743" w:type="dxa"/>
            <w:tcBorders>
              <w:tl2br w:val="nil"/>
              <w:tr2bl w:val="nil"/>
            </w:tcBorders>
            <w:shd w:val="clear" w:color="auto" w:fill="auto"/>
            <w:vAlign w:val="center"/>
          </w:tcPr>
          <w:p w14:paraId="17E7165E">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114.安全性：生物相容性好，无明显毒副作用</w:t>
            </w:r>
          </w:p>
        </w:tc>
        <w:tc>
          <w:tcPr>
            <w:tcW w:w="1152" w:type="dxa"/>
            <w:tcBorders>
              <w:tl2br w:val="nil"/>
              <w:tr2bl w:val="nil"/>
            </w:tcBorders>
            <w:shd w:val="clear" w:color="auto" w:fill="auto"/>
            <w:vAlign w:val="center"/>
          </w:tcPr>
          <w:p w14:paraId="46F982D0">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snapToGrid/>
                <w:color w:val="auto"/>
                <w:spacing w:val="0"/>
                <w:kern w:val="2"/>
                <w:sz w:val="21"/>
                <w:szCs w:val="24"/>
                <w:highlight w:val="none"/>
                <w:lang w:val="en-US" w:eastAsia="zh-CN" w:bidi="ar-SA"/>
              </w:rPr>
            </w:pPr>
          </w:p>
        </w:tc>
      </w:tr>
      <w:tr w14:paraId="2483618F">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754" w:type="dxa"/>
            <w:vMerge w:val="continue"/>
            <w:tcBorders>
              <w:tl2br w:val="nil"/>
              <w:tr2bl w:val="nil"/>
            </w:tcBorders>
            <w:shd w:val="clear" w:color="auto" w:fill="auto"/>
            <w:vAlign w:val="center"/>
          </w:tcPr>
          <w:p w14:paraId="76A7095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0"/>
                <w:szCs w:val="20"/>
                <w:u w:val="none"/>
                <w:lang w:val="en-US" w:eastAsia="zh-CN" w:bidi="ar"/>
              </w:rPr>
            </w:pPr>
          </w:p>
        </w:tc>
        <w:tc>
          <w:tcPr>
            <w:tcW w:w="6743" w:type="dxa"/>
            <w:tcBorders>
              <w:tl2br w:val="nil"/>
              <w:tr2bl w:val="nil"/>
            </w:tcBorders>
            <w:shd w:val="clear" w:color="auto" w:fill="auto"/>
            <w:vAlign w:val="center"/>
          </w:tcPr>
          <w:p w14:paraId="651FCE11">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115.包装：无菌单支包装</w:t>
            </w:r>
          </w:p>
        </w:tc>
        <w:tc>
          <w:tcPr>
            <w:tcW w:w="1152" w:type="dxa"/>
            <w:tcBorders>
              <w:tl2br w:val="nil"/>
              <w:tr2bl w:val="nil"/>
            </w:tcBorders>
            <w:shd w:val="clear" w:color="auto" w:fill="auto"/>
            <w:vAlign w:val="center"/>
          </w:tcPr>
          <w:p w14:paraId="7B2E027C">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snapToGrid/>
                <w:color w:val="auto"/>
                <w:spacing w:val="0"/>
                <w:kern w:val="2"/>
                <w:sz w:val="21"/>
                <w:szCs w:val="24"/>
                <w:highlight w:val="none"/>
                <w:lang w:val="en-US" w:eastAsia="zh-CN" w:bidi="ar-SA"/>
              </w:rPr>
            </w:pPr>
          </w:p>
        </w:tc>
      </w:tr>
      <w:tr w14:paraId="394170E2">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754" w:type="dxa"/>
            <w:vMerge w:val="continue"/>
            <w:tcBorders>
              <w:tl2br w:val="nil"/>
              <w:tr2bl w:val="nil"/>
            </w:tcBorders>
            <w:shd w:val="clear" w:color="auto" w:fill="auto"/>
            <w:vAlign w:val="center"/>
          </w:tcPr>
          <w:p w14:paraId="170715E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0"/>
                <w:szCs w:val="20"/>
                <w:u w:val="none"/>
                <w:lang w:val="en-US" w:eastAsia="zh-CN" w:bidi="ar"/>
              </w:rPr>
            </w:pPr>
          </w:p>
        </w:tc>
        <w:tc>
          <w:tcPr>
            <w:tcW w:w="6743" w:type="dxa"/>
            <w:tcBorders>
              <w:tl2br w:val="nil"/>
              <w:tr2bl w:val="nil"/>
            </w:tcBorders>
            <w:shd w:val="clear" w:color="auto" w:fill="auto"/>
            <w:vAlign w:val="center"/>
          </w:tcPr>
          <w:p w14:paraId="6ED480F5">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116.保质期≥2年</w:t>
            </w:r>
          </w:p>
        </w:tc>
        <w:tc>
          <w:tcPr>
            <w:tcW w:w="1152" w:type="dxa"/>
            <w:tcBorders>
              <w:tl2br w:val="nil"/>
              <w:tr2bl w:val="nil"/>
            </w:tcBorders>
            <w:shd w:val="clear" w:color="auto" w:fill="auto"/>
            <w:vAlign w:val="center"/>
          </w:tcPr>
          <w:p w14:paraId="6C569CDC">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snapToGrid/>
                <w:color w:val="auto"/>
                <w:spacing w:val="0"/>
                <w:kern w:val="2"/>
                <w:sz w:val="21"/>
                <w:szCs w:val="24"/>
                <w:highlight w:val="none"/>
                <w:lang w:val="en-US" w:eastAsia="zh-CN" w:bidi="ar-SA"/>
              </w:rPr>
            </w:pPr>
          </w:p>
        </w:tc>
      </w:tr>
      <w:tr w14:paraId="6B5D267E">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754" w:type="dxa"/>
            <w:vMerge w:val="continue"/>
            <w:tcBorders>
              <w:tl2br w:val="nil"/>
              <w:tr2bl w:val="nil"/>
            </w:tcBorders>
            <w:shd w:val="clear" w:color="auto" w:fill="auto"/>
            <w:vAlign w:val="center"/>
          </w:tcPr>
          <w:p w14:paraId="6CFD281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0"/>
                <w:szCs w:val="20"/>
                <w:u w:val="none"/>
                <w:lang w:val="en-US" w:eastAsia="zh-CN" w:bidi="ar"/>
              </w:rPr>
            </w:pPr>
          </w:p>
        </w:tc>
        <w:tc>
          <w:tcPr>
            <w:tcW w:w="6743" w:type="dxa"/>
            <w:tcBorders>
              <w:tl2br w:val="nil"/>
              <w:tr2bl w:val="nil"/>
            </w:tcBorders>
            <w:shd w:val="clear" w:color="auto" w:fill="auto"/>
            <w:vAlign w:val="center"/>
          </w:tcPr>
          <w:p w14:paraId="4BD68C28">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b/>
                <w:bCs/>
                <w:snapToGrid/>
                <w:color w:val="auto"/>
                <w:spacing w:val="0"/>
                <w:kern w:val="2"/>
                <w:sz w:val="21"/>
                <w:szCs w:val="24"/>
                <w:highlight w:val="none"/>
                <w:lang w:val="en-US" w:eastAsia="zh-CN" w:bidi="ar-SA"/>
              </w:rPr>
              <w:t>二十二.表式血压计</w:t>
            </w:r>
          </w:p>
        </w:tc>
        <w:tc>
          <w:tcPr>
            <w:tcW w:w="1152" w:type="dxa"/>
            <w:tcBorders>
              <w:tl2br w:val="nil"/>
              <w:tr2bl w:val="nil"/>
            </w:tcBorders>
            <w:shd w:val="clear" w:color="auto" w:fill="auto"/>
            <w:vAlign w:val="center"/>
          </w:tcPr>
          <w:p w14:paraId="5788D80A">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snapToGrid/>
                <w:color w:val="auto"/>
                <w:spacing w:val="0"/>
                <w:kern w:val="2"/>
                <w:sz w:val="21"/>
                <w:szCs w:val="24"/>
                <w:highlight w:val="none"/>
                <w:lang w:val="en-US" w:eastAsia="zh-CN" w:bidi="ar-SA"/>
              </w:rPr>
            </w:pPr>
          </w:p>
        </w:tc>
      </w:tr>
      <w:tr w14:paraId="1332B8FB">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754" w:type="dxa"/>
            <w:vMerge w:val="continue"/>
            <w:tcBorders>
              <w:tl2br w:val="nil"/>
              <w:tr2bl w:val="nil"/>
            </w:tcBorders>
            <w:shd w:val="clear" w:color="auto" w:fill="auto"/>
            <w:vAlign w:val="center"/>
          </w:tcPr>
          <w:p w14:paraId="32AAB89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0"/>
                <w:szCs w:val="20"/>
                <w:u w:val="none"/>
                <w:lang w:val="en-US" w:eastAsia="zh-CN" w:bidi="ar"/>
              </w:rPr>
            </w:pPr>
          </w:p>
        </w:tc>
        <w:tc>
          <w:tcPr>
            <w:tcW w:w="6743" w:type="dxa"/>
            <w:tcBorders>
              <w:tl2br w:val="nil"/>
              <w:tr2bl w:val="nil"/>
            </w:tcBorders>
            <w:shd w:val="clear" w:color="auto" w:fill="auto"/>
            <w:vAlign w:val="center"/>
          </w:tcPr>
          <w:p w14:paraId="1E463E8B">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117.配置组成：由表头、臂带、球阀、皮包、说明书、合格证、收纳包等组成</w:t>
            </w:r>
          </w:p>
        </w:tc>
        <w:tc>
          <w:tcPr>
            <w:tcW w:w="1152" w:type="dxa"/>
            <w:tcBorders>
              <w:tl2br w:val="nil"/>
              <w:tr2bl w:val="nil"/>
            </w:tcBorders>
            <w:shd w:val="clear" w:color="auto" w:fill="auto"/>
            <w:vAlign w:val="center"/>
          </w:tcPr>
          <w:p w14:paraId="48BC133F">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snapToGrid/>
                <w:color w:val="auto"/>
                <w:spacing w:val="0"/>
                <w:kern w:val="2"/>
                <w:sz w:val="21"/>
                <w:szCs w:val="24"/>
                <w:highlight w:val="none"/>
                <w:lang w:val="en-US" w:eastAsia="zh-CN" w:bidi="ar-SA"/>
              </w:rPr>
            </w:pPr>
          </w:p>
        </w:tc>
      </w:tr>
      <w:tr w14:paraId="29198883">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754" w:type="dxa"/>
            <w:vMerge w:val="continue"/>
            <w:tcBorders>
              <w:tl2br w:val="nil"/>
              <w:tr2bl w:val="nil"/>
            </w:tcBorders>
            <w:shd w:val="clear" w:color="auto" w:fill="auto"/>
            <w:vAlign w:val="center"/>
          </w:tcPr>
          <w:p w14:paraId="17A257C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0"/>
                <w:szCs w:val="20"/>
                <w:u w:val="none"/>
                <w:lang w:val="en-US" w:eastAsia="zh-CN" w:bidi="ar"/>
              </w:rPr>
            </w:pPr>
          </w:p>
        </w:tc>
        <w:tc>
          <w:tcPr>
            <w:tcW w:w="6743" w:type="dxa"/>
            <w:tcBorders>
              <w:tl2br w:val="nil"/>
              <w:tr2bl w:val="nil"/>
            </w:tcBorders>
            <w:shd w:val="clear" w:color="auto" w:fill="auto"/>
            <w:vAlign w:val="center"/>
          </w:tcPr>
          <w:p w14:paraId="266C1ADD">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118.使用范围：供测量人体血压用</w:t>
            </w:r>
          </w:p>
        </w:tc>
        <w:tc>
          <w:tcPr>
            <w:tcW w:w="1152" w:type="dxa"/>
            <w:tcBorders>
              <w:tl2br w:val="nil"/>
              <w:tr2bl w:val="nil"/>
            </w:tcBorders>
            <w:shd w:val="clear" w:color="auto" w:fill="auto"/>
            <w:vAlign w:val="center"/>
          </w:tcPr>
          <w:p w14:paraId="4D71CE92">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snapToGrid/>
                <w:color w:val="auto"/>
                <w:spacing w:val="0"/>
                <w:kern w:val="2"/>
                <w:sz w:val="21"/>
                <w:szCs w:val="24"/>
                <w:highlight w:val="none"/>
                <w:lang w:val="en-US" w:eastAsia="zh-CN" w:bidi="ar-SA"/>
              </w:rPr>
            </w:pPr>
          </w:p>
        </w:tc>
      </w:tr>
      <w:tr w14:paraId="0D2B3DD4">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754" w:type="dxa"/>
            <w:vMerge w:val="continue"/>
            <w:tcBorders>
              <w:tl2br w:val="nil"/>
              <w:tr2bl w:val="nil"/>
            </w:tcBorders>
            <w:shd w:val="clear" w:color="auto" w:fill="auto"/>
            <w:vAlign w:val="center"/>
          </w:tcPr>
          <w:p w14:paraId="6759D32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0"/>
                <w:szCs w:val="20"/>
                <w:u w:val="none"/>
                <w:lang w:val="en-US" w:eastAsia="zh-CN" w:bidi="ar"/>
              </w:rPr>
            </w:pPr>
          </w:p>
        </w:tc>
        <w:tc>
          <w:tcPr>
            <w:tcW w:w="6743" w:type="dxa"/>
            <w:tcBorders>
              <w:tl2br w:val="nil"/>
              <w:tr2bl w:val="nil"/>
            </w:tcBorders>
            <w:shd w:val="clear" w:color="auto" w:fill="auto"/>
            <w:vAlign w:val="center"/>
          </w:tcPr>
          <w:p w14:paraId="239A31AF">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119.采用金属表头、标尺选用氧化铝制成。 外壳坚固，各部件连接可靠，不应有明显或者影响读数的缺陷；血压表的指针应平稳，不得跳动、呆滞。乳胶球、金属阀、pvc 内胆，符合GB/T27570-2011标准</w:t>
            </w:r>
          </w:p>
        </w:tc>
        <w:tc>
          <w:tcPr>
            <w:tcW w:w="1152" w:type="dxa"/>
            <w:tcBorders>
              <w:tl2br w:val="nil"/>
              <w:tr2bl w:val="nil"/>
            </w:tcBorders>
            <w:shd w:val="clear" w:color="auto" w:fill="auto"/>
            <w:vAlign w:val="center"/>
          </w:tcPr>
          <w:p w14:paraId="772E7550">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snapToGrid/>
                <w:color w:val="auto"/>
                <w:spacing w:val="0"/>
                <w:kern w:val="2"/>
                <w:sz w:val="21"/>
                <w:szCs w:val="24"/>
                <w:highlight w:val="none"/>
                <w:lang w:val="en-US" w:eastAsia="zh-CN" w:bidi="ar-SA"/>
              </w:rPr>
            </w:pPr>
          </w:p>
        </w:tc>
      </w:tr>
      <w:tr w14:paraId="60FC2C65">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754" w:type="dxa"/>
            <w:vMerge w:val="continue"/>
            <w:tcBorders>
              <w:tl2br w:val="nil"/>
              <w:tr2bl w:val="nil"/>
            </w:tcBorders>
            <w:shd w:val="clear" w:color="auto" w:fill="auto"/>
            <w:vAlign w:val="center"/>
          </w:tcPr>
          <w:p w14:paraId="3FD1070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0"/>
                <w:szCs w:val="20"/>
                <w:u w:val="none"/>
                <w:lang w:val="en-US" w:eastAsia="zh-CN" w:bidi="ar"/>
              </w:rPr>
            </w:pPr>
          </w:p>
        </w:tc>
        <w:tc>
          <w:tcPr>
            <w:tcW w:w="6743" w:type="dxa"/>
            <w:tcBorders>
              <w:tl2br w:val="nil"/>
              <w:tr2bl w:val="nil"/>
            </w:tcBorders>
            <w:shd w:val="clear" w:color="auto" w:fill="auto"/>
            <w:vAlign w:val="center"/>
          </w:tcPr>
          <w:p w14:paraId="74AE2B6A">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120.测量范围0～40kPa(0～300mmHg)， 最小分度值为 0.5 kPa(2mmHg)，允差为±0.5 kPa(±3.75mmHg)</w:t>
            </w:r>
          </w:p>
        </w:tc>
        <w:tc>
          <w:tcPr>
            <w:tcW w:w="1152" w:type="dxa"/>
            <w:tcBorders>
              <w:tl2br w:val="nil"/>
              <w:tr2bl w:val="nil"/>
            </w:tcBorders>
            <w:shd w:val="clear" w:color="auto" w:fill="auto"/>
            <w:vAlign w:val="center"/>
          </w:tcPr>
          <w:p w14:paraId="28C1135B">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snapToGrid/>
                <w:color w:val="auto"/>
                <w:spacing w:val="0"/>
                <w:kern w:val="2"/>
                <w:sz w:val="21"/>
                <w:szCs w:val="24"/>
                <w:highlight w:val="none"/>
                <w:lang w:val="en-US" w:eastAsia="zh-CN" w:bidi="ar-SA"/>
              </w:rPr>
            </w:pPr>
          </w:p>
        </w:tc>
      </w:tr>
      <w:tr w14:paraId="336694AF">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754" w:type="dxa"/>
            <w:vMerge w:val="continue"/>
            <w:tcBorders>
              <w:tl2br w:val="nil"/>
              <w:tr2bl w:val="nil"/>
            </w:tcBorders>
            <w:shd w:val="clear" w:color="auto" w:fill="auto"/>
            <w:vAlign w:val="center"/>
          </w:tcPr>
          <w:p w14:paraId="75FDA5D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0"/>
                <w:szCs w:val="20"/>
                <w:u w:val="none"/>
                <w:lang w:val="en-US" w:eastAsia="zh-CN" w:bidi="ar"/>
              </w:rPr>
            </w:pPr>
          </w:p>
        </w:tc>
        <w:tc>
          <w:tcPr>
            <w:tcW w:w="6743" w:type="dxa"/>
            <w:tcBorders>
              <w:tl2br w:val="nil"/>
              <w:tr2bl w:val="nil"/>
            </w:tcBorders>
            <w:shd w:val="clear" w:color="auto" w:fill="auto"/>
            <w:vAlign w:val="center"/>
          </w:tcPr>
          <w:p w14:paraId="1069C82E">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b/>
                <w:bCs/>
                <w:snapToGrid/>
                <w:color w:val="auto"/>
                <w:spacing w:val="0"/>
                <w:kern w:val="2"/>
                <w:sz w:val="21"/>
                <w:szCs w:val="24"/>
                <w:highlight w:val="none"/>
                <w:lang w:val="en-US" w:eastAsia="zh-CN" w:bidi="ar-SA"/>
              </w:rPr>
              <w:t>二十三.听诊器</w:t>
            </w:r>
          </w:p>
        </w:tc>
        <w:tc>
          <w:tcPr>
            <w:tcW w:w="1152" w:type="dxa"/>
            <w:tcBorders>
              <w:tl2br w:val="nil"/>
              <w:tr2bl w:val="nil"/>
            </w:tcBorders>
            <w:shd w:val="clear" w:color="auto" w:fill="auto"/>
            <w:vAlign w:val="center"/>
          </w:tcPr>
          <w:p w14:paraId="7D69937B">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snapToGrid/>
                <w:color w:val="auto"/>
                <w:spacing w:val="0"/>
                <w:kern w:val="2"/>
                <w:sz w:val="21"/>
                <w:szCs w:val="24"/>
                <w:highlight w:val="none"/>
                <w:lang w:val="en-US" w:eastAsia="zh-CN" w:bidi="ar-SA"/>
              </w:rPr>
            </w:pPr>
          </w:p>
        </w:tc>
      </w:tr>
      <w:tr w14:paraId="42FEF979">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754" w:type="dxa"/>
            <w:vMerge w:val="continue"/>
            <w:tcBorders>
              <w:tl2br w:val="nil"/>
              <w:tr2bl w:val="nil"/>
            </w:tcBorders>
            <w:shd w:val="clear" w:color="auto" w:fill="auto"/>
            <w:vAlign w:val="center"/>
          </w:tcPr>
          <w:p w14:paraId="4238696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0"/>
                <w:szCs w:val="20"/>
                <w:u w:val="none"/>
                <w:lang w:val="en-US" w:eastAsia="zh-CN" w:bidi="ar"/>
              </w:rPr>
            </w:pPr>
          </w:p>
        </w:tc>
        <w:tc>
          <w:tcPr>
            <w:tcW w:w="6743" w:type="dxa"/>
            <w:tcBorders>
              <w:tl2br w:val="nil"/>
              <w:tr2bl w:val="nil"/>
            </w:tcBorders>
            <w:shd w:val="clear" w:color="auto" w:fill="auto"/>
            <w:vAlign w:val="center"/>
          </w:tcPr>
          <w:p w14:paraId="5CA8DDEB">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121.医用听诊器的频响曲线应符合下列要求：在100～500Hz 范围内，以测试声源为基准衰减≤16dB。在 500~1000Hz范围内，以测试声源为基准衰减≤20dB</w:t>
            </w:r>
          </w:p>
        </w:tc>
        <w:tc>
          <w:tcPr>
            <w:tcW w:w="1152" w:type="dxa"/>
            <w:tcBorders>
              <w:tl2br w:val="nil"/>
              <w:tr2bl w:val="nil"/>
            </w:tcBorders>
            <w:shd w:val="clear" w:color="auto" w:fill="auto"/>
            <w:vAlign w:val="center"/>
          </w:tcPr>
          <w:p w14:paraId="16A8EA55">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snapToGrid/>
                <w:color w:val="auto"/>
                <w:spacing w:val="0"/>
                <w:kern w:val="2"/>
                <w:sz w:val="21"/>
                <w:szCs w:val="24"/>
                <w:highlight w:val="none"/>
                <w:lang w:val="en-US" w:eastAsia="zh-CN" w:bidi="ar-SA"/>
              </w:rPr>
            </w:pPr>
          </w:p>
        </w:tc>
      </w:tr>
      <w:tr w14:paraId="2B1059D4">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754" w:type="dxa"/>
            <w:vMerge w:val="continue"/>
            <w:tcBorders>
              <w:tl2br w:val="nil"/>
              <w:tr2bl w:val="nil"/>
            </w:tcBorders>
            <w:shd w:val="clear" w:color="auto" w:fill="auto"/>
            <w:vAlign w:val="center"/>
          </w:tcPr>
          <w:p w14:paraId="7529182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0"/>
                <w:szCs w:val="20"/>
                <w:u w:val="none"/>
                <w:lang w:val="en-US" w:eastAsia="zh-CN" w:bidi="ar"/>
              </w:rPr>
            </w:pPr>
          </w:p>
        </w:tc>
        <w:tc>
          <w:tcPr>
            <w:tcW w:w="6743" w:type="dxa"/>
            <w:tcBorders>
              <w:tl2br w:val="nil"/>
              <w:tr2bl w:val="nil"/>
            </w:tcBorders>
            <w:shd w:val="clear" w:color="auto" w:fill="auto"/>
            <w:vAlign w:val="center"/>
          </w:tcPr>
          <w:p w14:paraId="7BE86BD7">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122.耳挂弹簧片的硬度应在HR15N82.9-88.4范围内</w:t>
            </w:r>
          </w:p>
        </w:tc>
        <w:tc>
          <w:tcPr>
            <w:tcW w:w="1152" w:type="dxa"/>
            <w:tcBorders>
              <w:tl2br w:val="nil"/>
              <w:tr2bl w:val="nil"/>
            </w:tcBorders>
            <w:shd w:val="clear" w:color="auto" w:fill="auto"/>
            <w:vAlign w:val="center"/>
          </w:tcPr>
          <w:p w14:paraId="6134239E">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snapToGrid/>
                <w:color w:val="auto"/>
                <w:spacing w:val="0"/>
                <w:kern w:val="2"/>
                <w:sz w:val="21"/>
                <w:szCs w:val="24"/>
                <w:highlight w:val="none"/>
                <w:lang w:val="en-US" w:eastAsia="zh-CN" w:bidi="ar-SA"/>
              </w:rPr>
            </w:pPr>
          </w:p>
        </w:tc>
      </w:tr>
      <w:tr w14:paraId="7D94E0F8">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754" w:type="dxa"/>
            <w:vMerge w:val="continue"/>
            <w:tcBorders>
              <w:tl2br w:val="nil"/>
              <w:tr2bl w:val="nil"/>
            </w:tcBorders>
            <w:shd w:val="clear" w:color="auto" w:fill="auto"/>
            <w:vAlign w:val="center"/>
          </w:tcPr>
          <w:p w14:paraId="63ABD31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0"/>
                <w:szCs w:val="20"/>
                <w:u w:val="none"/>
                <w:lang w:val="en-US" w:eastAsia="zh-CN" w:bidi="ar"/>
              </w:rPr>
            </w:pPr>
          </w:p>
        </w:tc>
        <w:tc>
          <w:tcPr>
            <w:tcW w:w="6743" w:type="dxa"/>
            <w:tcBorders>
              <w:tl2br w:val="nil"/>
              <w:tr2bl w:val="nil"/>
            </w:tcBorders>
            <w:shd w:val="clear" w:color="auto" w:fill="auto"/>
            <w:vAlign w:val="center"/>
          </w:tcPr>
          <w:p w14:paraId="4C5A3447">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123.耳挂的弹力应适宜，当二耳塞拉开140mm时，其弹力值应在1.4～5.0N范围内</w:t>
            </w:r>
          </w:p>
        </w:tc>
        <w:tc>
          <w:tcPr>
            <w:tcW w:w="1152" w:type="dxa"/>
            <w:tcBorders>
              <w:tl2br w:val="nil"/>
              <w:tr2bl w:val="nil"/>
            </w:tcBorders>
            <w:shd w:val="clear" w:color="auto" w:fill="auto"/>
            <w:vAlign w:val="center"/>
          </w:tcPr>
          <w:p w14:paraId="79577909">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snapToGrid/>
                <w:color w:val="auto"/>
                <w:spacing w:val="0"/>
                <w:kern w:val="2"/>
                <w:sz w:val="21"/>
                <w:szCs w:val="24"/>
                <w:highlight w:val="none"/>
                <w:lang w:val="en-US" w:eastAsia="zh-CN" w:bidi="ar-SA"/>
              </w:rPr>
            </w:pPr>
          </w:p>
        </w:tc>
      </w:tr>
      <w:tr w14:paraId="3B6FD5E4">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754" w:type="dxa"/>
            <w:vMerge w:val="continue"/>
            <w:tcBorders>
              <w:tl2br w:val="nil"/>
              <w:tr2bl w:val="nil"/>
            </w:tcBorders>
            <w:shd w:val="clear" w:color="auto" w:fill="auto"/>
            <w:vAlign w:val="center"/>
          </w:tcPr>
          <w:p w14:paraId="40A8246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0"/>
                <w:szCs w:val="20"/>
                <w:u w:val="none"/>
                <w:lang w:val="en-US" w:eastAsia="zh-CN" w:bidi="ar"/>
              </w:rPr>
            </w:pPr>
          </w:p>
        </w:tc>
        <w:tc>
          <w:tcPr>
            <w:tcW w:w="6743" w:type="dxa"/>
            <w:tcBorders>
              <w:tl2br w:val="nil"/>
              <w:tr2bl w:val="nil"/>
            </w:tcBorders>
            <w:shd w:val="clear" w:color="auto" w:fill="auto"/>
            <w:vAlign w:val="center"/>
          </w:tcPr>
          <w:p w14:paraId="4762C277">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124.耳挂的弹性应良好，当二耳塞拉开相距300mm时，恢复后其变形距离不大于10mm</w:t>
            </w:r>
          </w:p>
        </w:tc>
        <w:tc>
          <w:tcPr>
            <w:tcW w:w="1152" w:type="dxa"/>
            <w:tcBorders>
              <w:tl2br w:val="nil"/>
              <w:tr2bl w:val="nil"/>
            </w:tcBorders>
            <w:shd w:val="clear" w:color="auto" w:fill="auto"/>
            <w:vAlign w:val="center"/>
          </w:tcPr>
          <w:p w14:paraId="07D32231">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snapToGrid/>
                <w:color w:val="auto"/>
                <w:spacing w:val="0"/>
                <w:kern w:val="2"/>
                <w:sz w:val="21"/>
                <w:szCs w:val="24"/>
                <w:highlight w:val="none"/>
                <w:lang w:val="en-US" w:eastAsia="zh-CN" w:bidi="ar-SA"/>
              </w:rPr>
            </w:pPr>
          </w:p>
        </w:tc>
      </w:tr>
      <w:tr w14:paraId="6A35392D">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754" w:type="dxa"/>
            <w:vMerge w:val="continue"/>
            <w:tcBorders>
              <w:tl2br w:val="nil"/>
              <w:tr2bl w:val="nil"/>
            </w:tcBorders>
            <w:shd w:val="clear" w:color="auto" w:fill="auto"/>
            <w:vAlign w:val="center"/>
          </w:tcPr>
          <w:p w14:paraId="54CE1EB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0"/>
                <w:szCs w:val="20"/>
                <w:u w:val="none"/>
                <w:lang w:val="en-US" w:eastAsia="zh-CN" w:bidi="ar"/>
              </w:rPr>
            </w:pPr>
          </w:p>
        </w:tc>
        <w:tc>
          <w:tcPr>
            <w:tcW w:w="6743" w:type="dxa"/>
            <w:tcBorders>
              <w:tl2br w:val="nil"/>
              <w:tr2bl w:val="nil"/>
            </w:tcBorders>
            <w:shd w:val="clear" w:color="auto" w:fill="auto"/>
            <w:vAlign w:val="center"/>
          </w:tcPr>
          <w:p w14:paraId="5E98FBC8">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125.三通导音管应采用柔软、耐弯折、声学传递性能良好的医用级管材（如PVC、乳胶、硅胶或同等性能材料）制成，外径8-11mm，内径4-6mm，总长应≥480mm，管壁厚度均匀，无气泡及杂质</w:t>
            </w:r>
          </w:p>
        </w:tc>
        <w:tc>
          <w:tcPr>
            <w:tcW w:w="1152" w:type="dxa"/>
            <w:tcBorders>
              <w:tl2br w:val="nil"/>
              <w:tr2bl w:val="nil"/>
            </w:tcBorders>
            <w:shd w:val="clear" w:color="auto" w:fill="auto"/>
            <w:vAlign w:val="center"/>
          </w:tcPr>
          <w:p w14:paraId="0FFE0C08">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snapToGrid/>
                <w:color w:val="auto"/>
                <w:spacing w:val="0"/>
                <w:kern w:val="2"/>
                <w:sz w:val="21"/>
                <w:szCs w:val="24"/>
                <w:highlight w:val="none"/>
                <w:lang w:val="en-US" w:eastAsia="zh-CN" w:bidi="ar-SA"/>
              </w:rPr>
            </w:pPr>
          </w:p>
        </w:tc>
      </w:tr>
      <w:tr w14:paraId="0017D8B5">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754" w:type="dxa"/>
            <w:vMerge w:val="continue"/>
            <w:tcBorders>
              <w:tl2br w:val="nil"/>
              <w:tr2bl w:val="nil"/>
            </w:tcBorders>
            <w:shd w:val="clear" w:color="auto" w:fill="auto"/>
            <w:vAlign w:val="center"/>
          </w:tcPr>
          <w:p w14:paraId="0A557CB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0"/>
                <w:szCs w:val="20"/>
                <w:u w:val="none"/>
                <w:lang w:val="en-US" w:eastAsia="zh-CN" w:bidi="ar"/>
              </w:rPr>
            </w:pPr>
          </w:p>
        </w:tc>
        <w:tc>
          <w:tcPr>
            <w:tcW w:w="6743" w:type="dxa"/>
            <w:tcBorders>
              <w:tl2br w:val="nil"/>
              <w:tr2bl w:val="nil"/>
            </w:tcBorders>
            <w:shd w:val="clear" w:color="auto" w:fill="auto"/>
            <w:vAlign w:val="center"/>
          </w:tcPr>
          <w:p w14:paraId="4988A26E">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b/>
                <w:bCs/>
                <w:snapToGrid/>
                <w:color w:val="auto"/>
                <w:spacing w:val="0"/>
                <w:kern w:val="2"/>
                <w:sz w:val="21"/>
                <w:szCs w:val="24"/>
                <w:highlight w:val="none"/>
                <w:lang w:val="en-US" w:eastAsia="zh-CN" w:bidi="ar-SA"/>
              </w:rPr>
              <w:t>二十四.测温枪</w:t>
            </w:r>
          </w:p>
        </w:tc>
        <w:tc>
          <w:tcPr>
            <w:tcW w:w="1152" w:type="dxa"/>
            <w:tcBorders>
              <w:tl2br w:val="nil"/>
              <w:tr2bl w:val="nil"/>
            </w:tcBorders>
            <w:shd w:val="clear" w:color="auto" w:fill="auto"/>
            <w:vAlign w:val="center"/>
          </w:tcPr>
          <w:p w14:paraId="469BE6A1">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snapToGrid/>
                <w:color w:val="auto"/>
                <w:spacing w:val="0"/>
                <w:kern w:val="2"/>
                <w:sz w:val="21"/>
                <w:szCs w:val="24"/>
                <w:highlight w:val="none"/>
                <w:lang w:val="en-US" w:eastAsia="zh-CN" w:bidi="ar-SA"/>
              </w:rPr>
            </w:pPr>
          </w:p>
        </w:tc>
      </w:tr>
      <w:tr w14:paraId="45D19352">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754" w:type="dxa"/>
            <w:vMerge w:val="continue"/>
            <w:tcBorders>
              <w:tl2br w:val="nil"/>
              <w:tr2bl w:val="nil"/>
            </w:tcBorders>
            <w:shd w:val="clear" w:color="auto" w:fill="auto"/>
            <w:vAlign w:val="center"/>
          </w:tcPr>
          <w:p w14:paraId="457C768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0"/>
                <w:szCs w:val="20"/>
                <w:u w:val="none"/>
                <w:lang w:val="en-US" w:eastAsia="zh-CN" w:bidi="ar"/>
              </w:rPr>
            </w:pPr>
          </w:p>
        </w:tc>
        <w:tc>
          <w:tcPr>
            <w:tcW w:w="6743" w:type="dxa"/>
            <w:tcBorders>
              <w:tl2br w:val="nil"/>
              <w:tr2bl w:val="nil"/>
            </w:tcBorders>
            <w:shd w:val="clear" w:color="auto" w:fill="auto"/>
            <w:vAlign w:val="center"/>
          </w:tcPr>
          <w:p w14:paraId="4081B04F">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126.</w:t>
            </w:r>
            <w:r>
              <w:rPr>
                <w:rFonts w:hint="eastAsia"/>
                <w:lang w:val="en-US" w:eastAsia="zh-CN"/>
              </w:rPr>
              <w:t>测温方式：红外非接触式</w:t>
            </w:r>
          </w:p>
        </w:tc>
        <w:tc>
          <w:tcPr>
            <w:tcW w:w="1152" w:type="dxa"/>
            <w:tcBorders>
              <w:tl2br w:val="nil"/>
              <w:tr2bl w:val="nil"/>
            </w:tcBorders>
            <w:shd w:val="clear" w:color="auto" w:fill="auto"/>
            <w:vAlign w:val="center"/>
          </w:tcPr>
          <w:p w14:paraId="4D60826C">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snapToGrid/>
                <w:color w:val="auto"/>
                <w:spacing w:val="0"/>
                <w:kern w:val="2"/>
                <w:sz w:val="21"/>
                <w:szCs w:val="24"/>
                <w:highlight w:val="none"/>
                <w:lang w:val="en-US" w:eastAsia="zh-CN" w:bidi="ar-SA"/>
              </w:rPr>
            </w:pPr>
          </w:p>
        </w:tc>
      </w:tr>
      <w:tr w14:paraId="257CCE53">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754" w:type="dxa"/>
            <w:vMerge w:val="continue"/>
            <w:tcBorders>
              <w:tl2br w:val="nil"/>
              <w:tr2bl w:val="nil"/>
            </w:tcBorders>
            <w:shd w:val="clear" w:color="auto" w:fill="auto"/>
            <w:vAlign w:val="center"/>
          </w:tcPr>
          <w:p w14:paraId="1A62005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0"/>
                <w:szCs w:val="20"/>
                <w:u w:val="none"/>
                <w:lang w:val="en-US" w:eastAsia="zh-CN" w:bidi="ar"/>
              </w:rPr>
            </w:pPr>
          </w:p>
        </w:tc>
        <w:tc>
          <w:tcPr>
            <w:tcW w:w="6743" w:type="dxa"/>
            <w:tcBorders>
              <w:tl2br w:val="nil"/>
              <w:tr2bl w:val="nil"/>
            </w:tcBorders>
            <w:shd w:val="clear" w:color="auto" w:fill="auto"/>
            <w:vAlign w:val="center"/>
          </w:tcPr>
          <w:p w14:paraId="59BCC4C9">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127.测量范围：人体模式:32.0°C~43.0°C</w:t>
            </w:r>
          </w:p>
        </w:tc>
        <w:tc>
          <w:tcPr>
            <w:tcW w:w="1152" w:type="dxa"/>
            <w:tcBorders>
              <w:tl2br w:val="nil"/>
              <w:tr2bl w:val="nil"/>
            </w:tcBorders>
            <w:shd w:val="clear" w:color="auto" w:fill="auto"/>
            <w:vAlign w:val="center"/>
          </w:tcPr>
          <w:p w14:paraId="2606AE99">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snapToGrid/>
                <w:color w:val="auto"/>
                <w:spacing w:val="0"/>
                <w:kern w:val="2"/>
                <w:sz w:val="21"/>
                <w:szCs w:val="24"/>
                <w:highlight w:val="none"/>
                <w:lang w:val="en-US" w:eastAsia="zh-CN" w:bidi="ar-SA"/>
              </w:rPr>
            </w:pPr>
          </w:p>
        </w:tc>
      </w:tr>
      <w:tr w14:paraId="56C8AB48">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754" w:type="dxa"/>
            <w:vMerge w:val="continue"/>
            <w:tcBorders>
              <w:tl2br w:val="nil"/>
              <w:tr2bl w:val="nil"/>
            </w:tcBorders>
            <w:shd w:val="clear" w:color="auto" w:fill="auto"/>
            <w:vAlign w:val="center"/>
          </w:tcPr>
          <w:p w14:paraId="46A6FB7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0"/>
                <w:szCs w:val="20"/>
                <w:u w:val="none"/>
                <w:lang w:val="en-US" w:eastAsia="zh-CN" w:bidi="ar"/>
              </w:rPr>
            </w:pPr>
          </w:p>
        </w:tc>
        <w:tc>
          <w:tcPr>
            <w:tcW w:w="6743" w:type="dxa"/>
            <w:tcBorders>
              <w:tl2br w:val="nil"/>
              <w:tr2bl w:val="nil"/>
            </w:tcBorders>
            <w:shd w:val="clear" w:color="auto" w:fill="auto"/>
            <w:vAlign w:val="center"/>
          </w:tcPr>
          <w:p w14:paraId="5213DBAF">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128.精准度：32.0°C~34.9°C,最大允许误差±0.3°C</w:t>
            </w:r>
          </w:p>
          <w:p w14:paraId="451E3C56">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35.0°C~42.0°C,最大允许误差±0.2°C</w:t>
            </w:r>
          </w:p>
          <w:p w14:paraId="64BC9151">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42.1°C~43.0°C,最大允许误差±0.3°C</w:t>
            </w:r>
          </w:p>
        </w:tc>
        <w:tc>
          <w:tcPr>
            <w:tcW w:w="1152" w:type="dxa"/>
            <w:tcBorders>
              <w:tl2br w:val="nil"/>
              <w:tr2bl w:val="nil"/>
            </w:tcBorders>
            <w:shd w:val="clear" w:color="auto" w:fill="auto"/>
            <w:vAlign w:val="center"/>
          </w:tcPr>
          <w:p w14:paraId="037D2137">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snapToGrid/>
                <w:color w:val="auto"/>
                <w:spacing w:val="0"/>
                <w:kern w:val="2"/>
                <w:sz w:val="21"/>
                <w:szCs w:val="24"/>
                <w:highlight w:val="none"/>
                <w:lang w:val="en-US" w:eastAsia="zh-CN" w:bidi="ar-SA"/>
              </w:rPr>
            </w:pPr>
          </w:p>
        </w:tc>
      </w:tr>
      <w:tr w14:paraId="7F9D68F8">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754" w:type="dxa"/>
            <w:vMerge w:val="continue"/>
            <w:tcBorders>
              <w:tl2br w:val="nil"/>
              <w:tr2bl w:val="nil"/>
            </w:tcBorders>
            <w:shd w:val="clear" w:color="auto" w:fill="auto"/>
            <w:vAlign w:val="center"/>
          </w:tcPr>
          <w:p w14:paraId="7E4CC2B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0"/>
                <w:szCs w:val="20"/>
                <w:u w:val="none"/>
                <w:lang w:val="en-US" w:eastAsia="zh-CN" w:bidi="ar"/>
              </w:rPr>
            </w:pPr>
          </w:p>
        </w:tc>
        <w:tc>
          <w:tcPr>
            <w:tcW w:w="6743" w:type="dxa"/>
            <w:tcBorders>
              <w:tl2br w:val="nil"/>
              <w:tr2bl w:val="nil"/>
            </w:tcBorders>
            <w:shd w:val="clear" w:color="auto" w:fill="auto"/>
            <w:vAlign w:val="center"/>
          </w:tcPr>
          <w:p w14:paraId="029D6DE2">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129.显示屏：液晶显示屏</w:t>
            </w:r>
          </w:p>
        </w:tc>
        <w:tc>
          <w:tcPr>
            <w:tcW w:w="1152" w:type="dxa"/>
            <w:tcBorders>
              <w:tl2br w:val="nil"/>
              <w:tr2bl w:val="nil"/>
            </w:tcBorders>
            <w:shd w:val="clear" w:color="auto" w:fill="auto"/>
            <w:vAlign w:val="center"/>
          </w:tcPr>
          <w:p w14:paraId="0992B5EA">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snapToGrid/>
                <w:color w:val="auto"/>
                <w:spacing w:val="0"/>
                <w:kern w:val="2"/>
                <w:sz w:val="21"/>
                <w:szCs w:val="24"/>
                <w:highlight w:val="none"/>
                <w:lang w:val="en-US" w:eastAsia="zh-CN" w:bidi="ar-SA"/>
              </w:rPr>
            </w:pPr>
          </w:p>
        </w:tc>
      </w:tr>
      <w:tr w14:paraId="4B4CB22B">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754" w:type="dxa"/>
            <w:vMerge w:val="continue"/>
            <w:tcBorders>
              <w:tl2br w:val="nil"/>
              <w:tr2bl w:val="nil"/>
            </w:tcBorders>
            <w:shd w:val="clear" w:color="auto" w:fill="auto"/>
            <w:vAlign w:val="center"/>
          </w:tcPr>
          <w:p w14:paraId="3065A6B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0"/>
                <w:szCs w:val="20"/>
                <w:u w:val="none"/>
                <w:lang w:val="en-US" w:eastAsia="zh-CN" w:bidi="ar"/>
              </w:rPr>
            </w:pPr>
          </w:p>
        </w:tc>
        <w:tc>
          <w:tcPr>
            <w:tcW w:w="6743" w:type="dxa"/>
            <w:tcBorders>
              <w:tl2br w:val="nil"/>
              <w:tr2bl w:val="nil"/>
            </w:tcBorders>
            <w:shd w:val="clear" w:color="auto" w:fill="auto"/>
            <w:vAlign w:val="center"/>
          </w:tcPr>
          <w:p w14:paraId="0FA3F73E">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130.储存环境：-20°C~+50°C</w:t>
            </w:r>
          </w:p>
        </w:tc>
        <w:tc>
          <w:tcPr>
            <w:tcW w:w="1152" w:type="dxa"/>
            <w:tcBorders>
              <w:tl2br w:val="nil"/>
              <w:tr2bl w:val="nil"/>
            </w:tcBorders>
            <w:shd w:val="clear" w:color="auto" w:fill="auto"/>
            <w:vAlign w:val="center"/>
          </w:tcPr>
          <w:p w14:paraId="589381C5">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snapToGrid/>
                <w:color w:val="auto"/>
                <w:spacing w:val="0"/>
                <w:kern w:val="2"/>
                <w:sz w:val="21"/>
                <w:szCs w:val="24"/>
                <w:highlight w:val="none"/>
                <w:lang w:val="en-US" w:eastAsia="zh-CN" w:bidi="ar-SA"/>
              </w:rPr>
            </w:pPr>
          </w:p>
        </w:tc>
      </w:tr>
      <w:tr w14:paraId="57C705AA">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754" w:type="dxa"/>
            <w:vMerge w:val="continue"/>
            <w:tcBorders>
              <w:tl2br w:val="nil"/>
              <w:tr2bl w:val="nil"/>
            </w:tcBorders>
            <w:shd w:val="clear" w:color="auto" w:fill="auto"/>
            <w:vAlign w:val="center"/>
          </w:tcPr>
          <w:p w14:paraId="043462E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0"/>
                <w:szCs w:val="20"/>
                <w:u w:val="none"/>
                <w:lang w:val="en-US" w:eastAsia="zh-CN" w:bidi="ar"/>
              </w:rPr>
            </w:pPr>
          </w:p>
        </w:tc>
        <w:tc>
          <w:tcPr>
            <w:tcW w:w="6743" w:type="dxa"/>
            <w:tcBorders>
              <w:tl2br w:val="nil"/>
              <w:tr2bl w:val="nil"/>
            </w:tcBorders>
            <w:shd w:val="clear" w:color="auto" w:fill="auto"/>
            <w:vAlign w:val="center"/>
          </w:tcPr>
          <w:p w14:paraId="5C66B961">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131.自动关机：60秒后无操作后自动关机</w:t>
            </w:r>
          </w:p>
        </w:tc>
        <w:tc>
          <w:tcPr>
            <w:tcW w:w="1152" w:type="dxa"/>
            <w:tcBorders>
              <w:tl2br w:val="nil"/>
              <w:tr2bl w:val="nil"/>
            </w:tcBorders>
            <w:shd w:val="clear" w:color="auto" w:fill="auto"/>
            <w:vAlign w:val="center"/>
          </w:tcPr>
          <w:p w14:paraId="6D7144A3">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snapToGrid/>
                <w:color w:val="auto"/>
                <w:spacing w:val="0"/>
                <w:kern w:val="2"/>
                <w:sz w:val="21"/>
                <w:szCs w:val="24"/>
                <w:highlight w:val="none"/>
                <w:lang w:val="en-US" w:eastAsia="zh-CN" w:bidi="ar-SA"/>
              </w:rPr>
            </w:pPr>
          </w:p>
        </w:tc>
      </w:tr>
      <w:tr w14:paraId="7E3B9350">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754" w:type="dxa"/>
            <w:vMerge w:val="continue"/>
            <w:tcBorders>
              <w:tl2br w:val="nil"/>
              <w:tr2bl w:val="nil"/>
            </w:tcBorders>
            <w:shd w:val="clear" w:color="auto" w:fill="auto"/>
            <w:vAlign w:val="center"/>
          </w:tcPr>
          <w:p w14:paraId="43B8FA1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0"/>
                <w:szCs w:val="20"/>
                <w:u w:val="none"/>
                <w:lang w:val="en-US" w:eastAsia="zh-CN" w:bidi="ar"/>
              </w:rPr>
            </w:pPr>
          </w:p>
        </w:tc>
        <w:tc>
          <w:tcPr>
            <w:tcW w:w="6743" w:type="dxa"/>
            <w:tcBorders>
              <w:tl2br w:val="nil"/>
              <w:tr2bl w:val="nil"/>
            </w:tcBorders>
            <w:shd w:val="clear" w:color="auto" w:fill="auto"/>
            <w:vAlign w:val="center"/>
          </w:tcPr>
          <w:p w14:paraId="10ACF7C4">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132.电池：2x1.5VAAA尺寸电池</w:t>
            </w:r>
          </w:p>
        </w:tc>
        <w:tc>
          <w:tcPr>
            <w:tcW w:w="1152" w:type="dxa"/>
            <w:tcBorders>
              <w:tl2br w:val="nil"/>
              <w:tr2bl w:val="nil"/>
            </w:tcBorders>
            <w:shd w:val="clear" w:color="auto" w:fill="auto"/>
            <w:vAlign w:val="center"/>
          </w:tcPr>
          <w:p w14:paraId="787D3751">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snapToGrid/>
                <w:color w:val="auto"/>
                <w:spacing w:val="0"/>
                <w:kern w:val="2"/>
                <w:sz w:val="21"/>
                <w:szCs w:val="24"/>
                <w:highlight w:val="none"/>
                <w:lang w:val="en-US" w:eastAsia="zh-CN" w:bidi="ar-SA"/>
              </w:rPr>
            </w:pPr>
          </w:p>
        </w:tc>
      </w:tr>
      <w:tr w14:paraId="3CEE6147">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754" w:type="dxa"/>
            <w:vMerge w:val="continue"/>
            <w:tcBorders>
              <w:tl2br w:val="nil"/>
              <w:tr2bl w:val="nil"/>
            </w:tcBorders>
            <w:shd w:val="clear" w:color="auto" w:fill="auto"/>
            <w:vAlign w:val="center"/>
          </w:tcPr>
          <w:p w14:paraId="2E08366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0"/>
                <w:szCs w:val="20"/>
                <w:u w:val="none"/>
                <w:lang w:val="en-US" w:eastAsia="zh-CN" w:bidi="ar"/>
              </w:rPr>
            </w:pPr>
          </w:p>
        </w:tc>
        <w:tc>
          <w:tcPr>
            <w:tcW w:w="6743" w:type="dxa"/>
            <w:tcBorders>
              <w:tl2br w:val="nil"/>
              <w:tr2bl w:val="nil"/>
            </w:tcBorders>
            <w:shd w:val="clear" w:color="auto" w:fill="auto"/>
            <w:vAlign w:val="center"/>
          </w:tcPr>
          <w:p w14:paraId="21C5AE90">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b/>
                <w:bCs/>
                <w:snapToGrid/>
                <w:color w:val="auto"/>
                <w:spacing w:val="0"/>
                <w:kern w:val="2"/>
                <w:sz w:val="21"/>
                <w:szCs w:val="24"/>
                <w:highlight w:val="none"/>
                <w:lang w:val="en-US" w:eastAsia="zh-CN" w:bidi="ar-SA"/>
              </w:rPr>
              <w:t>二十五.检伤腕带</w:t>
            </w:r>
          </w:p>
        </w:tc>
        <w:tc>
          <w:tcPr>
            <w:tcW w:w="1152" w:type="dxa"/>
            <w:tcBorders>
              <w:tl2br w:val="nil"/>
              <w:tr2bl w:val="nil"/>
            </w:tcBorders>
            <w:shd w:val="clear" w:color="auto" w:fill="auto"/>
            <w:vAlign w:val="center"/>
          </w:tcPr>
          <w:p w14:paraId="56F96D08">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snapToGrid/>
                <w:color w:val="auto"/>
                <w:spacing w:val="0"/>
                <w:kern w:val="2"/>
                <w:sz w:val="21"/>
                <w:szCs w:val="24"/>
                <w:highlight w:val="none"/>
                <w:lang w:val="en-US" w:eastAsia="zh-CN" w:bidi="ar-SA"/>
              </w:rPr>
            </w:pPr>
          </w:p>
        </w:tc>
      </w:tr>
      <w:tr w14:paraId="313054C0">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754" w:type="dxa"/>
            <w:vMerge w:val="continue"/>
            <w:tcBorders>
              <w:tl2br w:val="nil"/>
              <w:tr2bl w:val="nil"/>
            </w:tcBorders>
            <w:shd w:val="clear" w:color="auto" w:fill="auto"/>
            <w:vAlign w:val="center"/>
          </w:tcPr>
          <w:p w14:paraId="7A2DAE1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0"/>
                <w:szCs w:val="20"/>
                <w:u w:val="none"/>
                <w:lang w:val="en-US" w:eastAsia="zh-CN" w:bidi="ar"/>
              </w:rPr>
            </w:pPr>
          </w:p>
        </w:tc>
        <w:tc>
          <w:tcPr>
            <w:tcW w:w="6743" w:type="dxa"/>
            <w:tcBorders>
              <w:tl2br w:val="nil"/>
              <w:tr2bl w:val="nil"/>
            </w:tcBorders>
            <w:shd w:val="clear" w:color="auto" w:fill="auto"/>
            <w:vAlign w:val="center"/>
          </w:tcPr>
          <w:p w14:paraId="449F9700">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133.配置：需配套红、黄、绿、黑四色检伤分类腕带各若干，共1套</w:t>
            </w:r>
          </w:p>
        </w:tc>
        <w:tc>
          <w:tcPr>
            <w:tcW w:w="1152" w:type="dxa"/>
            <w:tcBorders>
              <w:tl2br w:val="nil"/>
              <w:tr2bl w:val="nil"/>
            </w:tcBorders>
            <w:shd w:val="clear" w:color="auto" w:fill="auto"/>
            <w:vAlign w:val="center"/>
          </w:tcPr>
          <w:p w14:paraId="1018D7AA">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snapToGrid/>
                <w:color w:val="auto"/>
                <w:spacing w:val="0"/>
                <w:kern w:val="2"/>
                <w:sz w:val="21"/>
                <w:szCs w:val="24"/>
                <w:highlight w:val="none"/>
                <w:lang w:val="en-US" w:eastAsia="zh-CN" w:bidi="ar-SA"/>
              </w:rPr>
            </w:pPr>
          </w:p>
        </w:tc>
      </w:tr>
      <w:tr w14:paraId="0B8DF3AC">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754" w:type="dxa"/>
            <w:vMerge w:val="continue"/>
            <w:tcBorders>
              <w:tl2br w:val="nil"/>
              <w:tr2bl w:val="nil"/>
            </w:tcBorders>
            <w:shd w:val="clear" w:color="auto" w:fill="auto"/>
            <w:vAlign w:val="center"/>
          </w:tcPr>
          <w:p w14:paraId="1BCD380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0"/>
                <w:szCs w:val="20"/>
                <w:u w:val="none"/>
                <w:lang w:val="en-US" w:eastAsia="zh-CN" w:bidi="ar"/>
              </w:rPr>
            </w:pPr>
          </w:p>
        </w:tc>
        <w:tc>
          <w:tcPr>
            <w:tcW w:w="6743" w:type="dxa"/>
            <w:tcBorders>
              <w:tl2br w:val="nil"/>
              <w:tr2bl w:val="nil"/>
            </w:tcBorders>
            <w:shd w:val="clear" w:color="auto" w:fill="auto"/>
            <w:vAlign w:val="center"/>
          </w:tcPr>
          <w:p w14:paraId="4C8AA699">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134.材质：防水PVC反光晶格+内置弹力钢片，可重复使用</w:t>
            </w:r>
          </w:p>
        </w:tc>
        <w:tc>
          <w:tcPr>
            <w:tcW w:w="1152" w:type="dxa"/>
            <w:tcBorders>
              <w:tl2br w:val="nil"/>
              <w:tr2bl w:val="nil"/>
            </w:tcBorders>
            <w:shd w:val="clear" w:color="auto" w:fill="auto"/>
            <w:vAlign w:val="center"/>
          </w:tcPr>
          <w:p w14:paraId="751665DA">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snapToGrid/>
                <w:color w:val="auto"/>
                <w:spacing w:val="0"/>
                <w:kern w:val="2"/>
                <w:sz w:val="21"/>
                <w:szCs w:val="24"/>
                <w:highlight w:val="none"/>
                <w:lang w:val="en-US" w:eastAsia="zh-CN" w:bidi="ar-SA"/>
              </w:rPr>
            </w:pPr>
          </w:p>
        </w:tc>
      </w:tr>
      <w:tr w14:paraId="7CA9E324">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754" w:type="dxa"/>
            <w:vMerge w:val="continue"/>
            <w:tcBorders>
              <w:tl2br w:val="nil"/>
              <w:tr2bl w:val="nil"/>
            </w:tcBorders>
            <w:shd w:val="clear" w:color="auto" w:fill="auto"/>
            <w:vAlign w:val="center"/>
          </w:tcPr>
          <w:p w14:paraId="7820577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0"/>
                <w:szCs w:val="20"/>
                <w:u w:val="none"/>
                <w:lang w:val="en-US" w:eastAsia="zh-CN" w:bidi="ar"/>
              </w:rPr>
            </w:pPr>
          </w:p>
        </w:tc>
        <w:tc>
          <w:tcPr>
            <w:tcW w:w="6743" w:type="dxa"/>
            <w:tcBorders>
              <w:tl2br w:val="nil"/>
              <w:tr2bl w:val="nil"/>
            </w:tcBorders>
            <w:shd w:val="clear" w:color="auto" w:fill="auto"/>
            <w:vAlign w:val="center"/>
          </w:tcPr>
          <w:p w14:paraId="5BD3C902">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135.功能：用于现场伤员快速分类</w:t>
            </w:r>
          </w:p>
        </w:tc>
        <w:tc>
          <w:tcPr>
            <w:tcW w:w="1152" w:type="dxa"/>
            <w:tcBorders>
              <w:tl2br w:val="nil"/>
              <w:tr2bl w:val="nil"/>
            </w:tcBorders>
            <w:shd w:val="clear" w:color="auto" w:fill="auto"/>
            <w:vAlign w:val="center"/>
          </w:tcPr>
          <w:p w14:paraId="3CD3AD0E">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snapToGrid/>
                <w:color w:val="auto"/>
                <w:spacing w:val="0"/>
                <w:kern w:val="2"/>
                <w:sz w:val="21"/>
                <w:szCs w:val="24"/>
                <w:highlight w:val="none"/>
                <w:lang w:val="en-US" w:eastAsia="zh-CN" w:bidi="ar-SA"/>
              </w:rPr>
            </w:pPr>
          </w:p>
        </w:tc>
      </w:tr>
      <w:tr w14:paraId="31371B27">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754" w:type="dxa"/>
            <w:vMerge w:val="continue"/>
            <w:tcBorders>
              <w:tl2br w:val="nil"/>
              <w:tr2bl w:val="nil"/>
            </w:tcBorders>
            <w:shd w:val="clear" w:color="auto" w:fill="auto"/>
            <w:vAlign w:val="center"/>
          </w:tcPr>
          <w:p w14:paraId="42EE8A9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0"/>
                <w:szCs w:val="20"/>
                <w:u w:val="none"/>
                <w:lang w:val="en-US" w:eastAsia="zh-CN" w:bidi="ar"/>
              </w:rPr>
            </w:pPr>
          </w:p>
        </w:tc>
        <w:tc>
          <w:tcPr>
            <w:tcW w:w="6743" w:type="dxa"/>
            <w:tcBorders>
              <w:tl2br w:val="nil"/>
              <w:tr2bl w:val="nil"/>
            </w:tcBorders>
            <w:shd w:val="clear" w:color="auto" w:fill="auto"/>
            <w:vAlign w:val="center"/>
          </w:tcPr>
          <w:p w14:paraId="08E53004">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136.标识：腕带印有对应颜色的伤情等级标识和填写区</w:t>
            </w:r>
          </w:p>
        </w:tc>
        <w:tc>
          <w:tcPr>
            <w:tcW w:w="1152" w:type="dxa"/>
            <w:tcBorders>
              <w:tl2br w:val="nil"/>
              <w:tr2bl w:val="nil"/>
            </w:tcBorders>
            <w:shd w:val="clear" w:color="auto" w:fill="auto"/>
            <w:vAlign w:val="center"/>
          </w:tcPr>
          <w:p w14:paraId="2305E2D4">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snapToGrid/>
                <w:color w:val="auto"/>
                <w:spacing w:val="0"/>
                <w:kern w:val="2"/>
                <w:sz w:val="21"/>
                <w:szCs w:val="24"/>
                <w:highlight w:val="none"/>
                <w:lang w:val="en-US" w:eastAsia="zh-CN" w:bidi="ar-SA"/>
              </w:rPr>
            </w:pPr>
          </w:p>
        </w:tc>
      </w:tr>
      <w:tr w14:paraId="4D349CA6">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754" w:type="dxa"/>
            <w:vMerge w:val="continue"/>
            <w:tcBorders>
              <w:tl2br w:val="nil"/>
              <w:tr2bl w:val="nil"/>
            </w:tcBorders>
            <w:shd w:val="clear" w:color="auto" w:fill="auto"/>
            <w:vAlign w:val="center"/>
          </w:tcPr>
          <w:p w14:paraId="1CCF68A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0"/>
                <w:szCs w:val="20"/>
                <w:u w:val="none"/>
                <w:lang w:val="en-US" w:eastAsia="zh-CN" w:bidi="ar"/>
              </w:rPr>
            </w:pPr>
          </w:p>
        </w:tc>
        <w:tc>
          <w:tcPr>
            <w:tcW w:w="6743" w:type="dxa"/>
            <w:tcBorders>
              <w:tl2br w:val="nil"/>
              <w:tr2bl w:val="nil"/>
            </w:tcBorders>
            <w:shd w:val="clear" w:color="auto" w:fill="auto"/>
            <w:vAlign w:val="center"/>
          </w:tcPr>
          <w:p w14:paraId="3B2898D3">
            <w:pPr>
              <w:keepNext w:val="0"/>
              <w:keepLines w:val="0"/>
              <w:widowControl/>
              <w:suppressLineNumbers w:val="0"/>
              <w:spacing w:before="0" w:beforeAutospacing="0" w:after="0" w:afterAutospacing="0"/>
              <w:ind w:left="0" w:right="0"/>
              <w:jc w:val="left"/>
              <w:textAlignment w:val="center"/>
              <w:rPr>
                <w:rFonts w:hint="default" w:ascii="宋体" w:hAnsi="宋体" w:cs="宋体" w:eastAsiaTheme="minorEastAsia"/>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137.尺寸：长度30cm，宽度3cm</w:t>
            </w:r>
            <w:r>
              <w:rPr>
                <w:rFonts w:hint="eastAsia"/>
                <w:lang w:eastAsia="zh-CN"/>
              </w:rPr>
              <w:t>，</w:t>
            </w:r>
            <w:r>
              <w:rPr>
                <w:rFonts w:hint="eastAsia"/>
                <w:lang w:val="en-US" w:eastAsia="zh-CN"/>
              </w:rPr>
              <w:t>允差±5%</w:t>
            </w:r>
          </w:p>
        </w:tc>
        <w:tc>
          <w:tcPr>
            <w:tcW w:w="1152" w:type="dxa"/>
            <w:tcBorders>
              <w:tl2br w:val="nil"/>
              <w:tr2bl w:val="nil"/>
            </w:tcBorders>
            <w:shd w:val="clear" w:color="auto" w:fill="auto"/>
            <w:vAlign w:val="center"/>
          </w:tcPr>
          <w:p w14:paraId="1936C2B3">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snapToGrid/>
                <w:color w:val="auto"/>
                <w:spacing w:val="0"/>
                <w:kern w:val="2"/>
                <w:sz w:val="21"/>
                <w:szCs w:val="24"/>
                <w:highlight w:val="none"/>
                <w:lang w:val="en-US" w:eastAsia="zh-CN" w:bidi="ar-SA"/>
              </w:rPr>
            </w:pPr>
          </w:p>
        </w:tc>
      </w:tr>
      <w:tr w14:paraId="4B4880D1">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754" w:type="dxa"/>
            <w:vMerge w:val="continue"/>
            <w:tcBorders>
              <w:tl2br w:val="nil"/>
              <w:tr2bl w:val="nil"/>
            </w:tcBorders>
            <w:shd w:val="clear" w:color="auto" w:fill="auto"/>
            <w:vAlign w:val="center"/>
          </w:tcPr>
          <w:p w14:paraId="3A268B1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0"/>
                <w:szCs w:val="20"/>
                <w:u w:val="none"/>
                <w:lang w:val="en-US" w:eastAsia="zh-CN" w:bidi="ar"/>
              </w:rPr>
            </w:pPr>
          </w:p>
        </w:tc>
        <w:tc>
          <w:tcPr>
            <w:tcW w:w="6743" w:type="dxa"/>
            <w:tcBorders>
              <w:tl2br w:val="nil"/>
              <w:tr2bl w:val="nil"/>
            </w:tcBorders>
            <w:shd w:val="clear" w:color="auto" w:fill="auto"/>
            <w:vAlign w:val="center"/>
          </w:tcPr>
          <w:p w14:paraId="2113D314">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138.固定：弹力钢片卷起固定，不易脱落</w:t>
            </w:r>
          </w:p>
        </w:tc>
        <w:tc>
          <w:tcPr>
            <w:tcW w:w="1152" w:type="dxa"/>
            <w:tcBorders>
              <w:tl2br w:val="nil"/>
              <w:tr2bl w:val="nil"/>
            </w:tcBorders>
            <w:shd w:val="clear" w:color="auto" w:fill="auto"/>
            <w:vAlign w:val="center"/>
          </w:tcPr>
          <w:p w14:paraId="172FEDC4">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snapToGrid/>
                <w:color w:val="auto"/>
                <w:spacing w:val="0"/>
                <w:kern w:val="2"/>
                <w:sz w:val="21"/>
                <w:szCs w:val="24"/>
                <w:highlight w:val="none"/>
                <w:lang w:val="en-US" w:eastAsia="zh-CN" w:bidi="ar-SA"/>
              </w:rPr>
            </w:pPr>
          </w:p>
        </w:tc>
      </w:tr>
      <w:tr w14:paraId="2A3153D4">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754" w:type="dxa"/>
            <w:vMerge w:val="continue"/>
            <w:tcBorders>
              <w:tl2br w:val="nil"/>
              <w:tr2bl w:val="nil"/>
            </w:tcBorders>
            <w:shd w:val="clear" w:color="auto" w:fill="auto"/>
            <w:vAlign w:val="center"/>
          </w:tcPr>
          <w:p w14:paraId="66CE063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0"/>
                <w:szCs w:val="20"/>
                <w:u w:val="none"/>
                <w:lang w:val="en-US" w:eastAsia="zh-CN" w:bidi="ar"/>
              </w:rPr>
            </w:pPr>
          </w:p>
        </w:tc>
        <w:tc>
          <w:tcPr>
            <w:tcW w:w="6743" w:type="dxa"/>
            <w:tcBorders>
              <w:tl2br w:val="nil"/>
              <w:tr2bl w:val="nil"/>
            </w:tcBorders>
            <w:shd w:val="clear" w:color="auto" w:fill="auto"/>
            <w:vAlign w:val="center"/>
          </w:tcPr>
          <w:p w14:paraId="1900EA39">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b/>
                <w:bCs/>
                <w:snapToGrid/>
                <w:color w:val="auto"/>
                <w:spacing w:val="0"/>
                <w:kern w:val="2"/>
                <w:sz w:val="21"/>
                <w:szCs w:val="24"/>
                <w:highlight w:val="none"/>
                <w:lang w:val="en-US" w:eastAsia="zh-CN" w:bidi="ar-SA"/>
              </w:rPr>
              <w:t>二十六.瞳孔笔</w:t>
            </w:r>
          </w:p>
        </w:tc>
        <w:tc>
          <w:tcPr>
            <w:tcW w:w="1152" w:type="dxa"/>
            <w:tcBorders>
              <w:tl2br w:val="nil"/>
              <w:tr2bl w:val="nil"/>
            </w:tcBorders>
            <w:shd w:val="clear" w:color="auto" w:fill="auto"/>
            <w:vAlign w:val="center"/>
          </w:tcPr>
          <w:p w14:paraId="3171D70B">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snapToGrid/>
                <w:color w:val="auto"/>
                <w:spacing w:val="0"/>
                <w:kern w:val="2"/>
                <w:sz w:val="21"/>
                <w:szCs w:val="24"/>
                <w:highlight w:val="none"/>
                <w:lang w:val="en-US" w:eastAsia="zh-CN" w:bidi="ar-SA"/>
              </w:rPr>
            </w:pPr>
          </w:p>
        </w:tc>
      </w:tr>
      <w:tr w14:paraId="2C1F2EC7">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754" w:type="dxa"/>
            <w:vMerge w:val="continue"/>
            <w:tcBorders>
              <w:tl2br w:val="nil"/>
              <w:tr2bl w:val="nil"/>
            </w:tcBorders>
            <w:shd w:val="clear" w:color="auto" w:fill="auto"/>
            <w:vAlign w:val="center"/>
          </w:tcPr>
          <w:p w14:paraId="1CBE30B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0"/>
                <w:szCs w:val="20"/>
                <w:u w:val="none"/>
                <w:lang w:val="en-US" w:eastAsia="zh-CN" w:bidi="ar"/>
              </w:rPr>
            </w:pPr>
          </w:p>
        </w:tc>
        <w:tc>
          <w:tcPr>
            <w:tcW w:w="6743" w:type="dxa"/>
            <w:tcBorders>
              <w:tl2br w:val="nil"/>
              <w:tr2bl w:val="nil"/>
            </w:tcBorders>
            <w:shd w:val="clear" w:color="auto" w:fill="auto"/>
            <w:vAlign w:val="center"/>
          </w:tcPr>
          <w:p w14:paraId="5A65D921">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139.类型：笔式医用手电筒（眼底手电）</w:t>
            </w:r>
          </w:p>
        </w:tc>
        <w:tc>
          <w:tcPr>
            <w:tcW w:w="1152" w:type="dxa"/>
            <w:tcBorders>
              <w:tl2br w:val="nil"/>
              <w:tr2bl w:val="nil"/>
            </w:tcBorders>
            <w:shd w:val="clear" w:color="auto" w:fill="auto"/>
            <w:vAlign w:val="center"/>
          </w:tcPr>
          <w:p w14:paraId="617FB469">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snapToGrid/>
                <w:color w:val="auto"/>
                <w:spacing w:val="0"/>
                <w:kern w:val="2"/>
                <w:sz w:val="21"/>
                <w:szCs w:val="24"/>
                <w:highlight w:val="none"/>
                <w:lang w:val="en-US" w:eastAsia="zh-CN" w:bidi="ar-SA"/>
              </w:rPr>
            </w:pPr>
          </w:p>
        </w:tc>
      </w:tr>
      <w:tr w14:paraId="7DAA122B">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754" w:type="dxa"/>
            <w:vMerge w:val="continue"/>
            <w:tcBorders>
              <w:tl2br w:val="nil"/>
              <w:tr2bl w:val="nil"/>
            </w:tcBorders>
            <w:shd w:val="clear" w:color="auto" w:fill="auto"/>
            <w:vAlign w:val="center"/>
          </w:tcPr>
          <w:p w14:paraId="551D663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0"/>
                <w:szCs w:val="20"/>
                <w:u w:val="none"/>
                <w:lang w:val="en-US" w:eastAsia="zh-CN" w:bidi="ar"/>
              </w:rPr>
            </w:pPr>
          </w:p>
        </w:tc>
        <w:tc>
          <w:tcPr>
            <w:tcW w:w="6743" w:type="dxa"/>
            <w:tcBorders>
              <w:tl2br w:val="nil"/>
              <w:tr2bl w:val="nil"/>
            </w:tcBorders>
            <w:shd w:val="clear" w:color="auto" w:fill="auto"/>
            <w:vAlign w:val="center"/>
          </w:tcPr>
          <w:p w14:paraId="2E2EE017">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140.光源：暖黄光LED</w:t>
            </w:r>
          </w:p>
        </w:tc>
        <w:tc>
          <w:tcPr>
            <w:tcW w:w="1152" w:type="dxa"/>
            <w:tcBorders>
              <w:tl2br w:val="nil"/>
              <w:tr2bl w:val="nil"/>
            </w:tcBorders>
            <w:shd w:val="clear" w:color="auto" w:fill="auto"/>
            <w:vAlign w:val="center"/>
          </w:tcPr>
          <w:p w14:paraId="6A15F750">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snapToGrid/>
                <w:color w:val="auto"/>
                <w:spacing w:val="0"/>
                <w:kern w:val="2"/>
                <w:sz w:val="21"/>
                <w:szCs w:val="24"/>
                <w:highlight w:val="none"/>
                <w:lang w:val="en-US" w:eastAsia="zh-CN" w:bidi="ar-SA"/>
              </w:rPr>
            </w:pPr>
          </w:p>
        </w:tc>
      </w:tr>
      <w:tr w14:paraId="110F510F">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754" w:type="dxa"/>
            <w:vMerge w:val="continue"/>
            <w:tcBorders>
              <w:tl2br w:val="nil"/>
              <w:tr2bl w:val="nil"/>
            </w:tcBorders>
            <w:shd w:val="clear" w:color="auto" w:fill="auto"/>
            <w:vAlign w:val="center"/>
          </w:tcPr>
          <w:p w14:paraId="72F6F54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0"/>
                <w:szCs w:val="20"/>
                <w:u w:val="none"/>
                <w:lang w:val="en-US" w:eastAsia="zh-CN" w:bidi="ar"/>
              </w:rPr>
            </w:pPr>
          </w:p>
        </w:tc>
        <w:tc>
          <w:tcPr>
            <w:tcW w:w="6743" w:type="dxa"/>
            <w:tcBorders>
              <w:tl2br w:val="nil"/>
              <w:tr2bl w:val="nil"/>
            </w:tcBorders>
            <w:shd w:val="clear" w:color="auto" w:fill="auto"/>
            <w:vAlign w:val="center"/>
          </w:tcPr>
          <w:p w14:paraId="1B0E6858">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141.亮度：≤20流明，光斑均匀</w:t>
            </w:r>
          </w:p>
        </w:tc>
        <w:tc>
          <w:tcPr>
            <w:tcW w:w="1152" w:type="dxa"/>
            <w:tcBorders>
              <w:tl2br w:val="nil"/>
              <w:tr2bl w:val="nil"/>
            </w:tcBorders>
            <w:shd w:val="clear" w:color="auto" w:fill="auto"/>
            <w:vAlign w:val="center"/>
          </w:tcPr>
          <w:p w14:paraId="6AA7F691">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snapToGrid/>
                <w:color w:val="auto"/>
                <w:spacing w:val="0"/>
                <w:kern w:val="2"/>
                <w:sz w:val="21"/>
                <w:szCs w:val="24"/>
                <w:highlight w:val="none"/>
                <w:lang w:val="en-US" w:eastAsia="zh-CN" w:bidi="ar-SA"/>
              </w:rPr>
            </w:pPr>
          </w:p>
        </w:tc>
      </w:tr>
      <w:tr w14:paraId="110CBB6E">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754" w:type="dxa"/>
            <w:vMerge w:val="continue"/>
            <w:tcBorders>
              <w:tl2br w:val="nil"/>
              <w:tr2bl w:val="nil"/>
            </w:tcBorders>
            <w:shd w:val="clear" w:color="auto" w:fill="auto"/>
            <w:vAlign w:val="center"/>
          </w:tcPr>
          <w:p w14:paraId="6F52125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0"/>
                <w:szCs w:val="20"/>
                <w:u w:val="none"/>
                <w:lang w:val="en-US" w:eastAsia="zh-CN" w:bidi="ar"/>
              </w:rPr>
            </w:pPr>
          </w:p>
        </w:tc>
        <w:tc>
          <w:tcPr>
            <w:tcW w:w="6743" w:type="dxa"/>
            <w:tcBorders>
              <w:tl2br w:val="nil"/>
              <w:tr2bl w:val="nil"/>
            </w:tcBorders>
            <w:shd w:val="clear" w:color="auto" w:fill="auto"/>
            <w:vAlign w:val="center"/>
          </w:tcPr>
          <w:p w14:paraId="1F5A517D">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142.笔身：铝合金材质，笔夹设计，长度≤14cm</w:t>
            </w:r>
          </w:p>
        </w:tc>
        <w:tc>
          <w:tcPr>
            <w:tcW w:w="1152" w:type="dxa"/>
            <w:tcBorders>
              <w:tl2br w:val="nil"/>
              <w:tr2bl w:val="nil"/>
            </w:tcBorders>
            <w:shd w:val="clear" w:color="auto" w:fill="auto"/>
            <w:vAlign w:val="center"/>
          </w:tcPr>
          <w:p w14:paraId="7FF30F36">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snapToGrid/>
                <w:color w:val="auto"/>
                <w:spacing w:val="0"/>
                <w:kern w:val="2"/>
                <w:sz w:val="21"/>
                <w:szCs w:val="24"/>
                <w:highlight w:val="none"/>
                <w:lang w:val="en-US" w:eastAsia="zh-CN" w:bidi="ar-SA"/>
              </w:rPr>
            </w:pPr>
          </w:p>
        </w:tc>
      </w:tr>
      <w:tr w14:paraId="1EFFAC57">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754" w:type="dxa"/>
            <w:vMerge w:val="continue"/>
            <w:tcBorders>
              <w:tl2br w:val="nil"/>
              <w:tr2bl w:val="nil"/>
            </w:tcBorders>
            <w:shd w:val="clear" w:color="auto" w:fill="auto"/>
            <w:vAlign w:val="center"/>
          </w:tcPr>
          <w:p w14:paraId="5513C32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0"/>
                <w:szCs w:val="20"/>
                <w:u w:val="none"/>
                <w:lang w:val="en-US" w:eastAsia="zh-CN" w:bidi="ar"/>
              </w:rPr>
            </w:pPr>
          </w:p>
        </w:tc>
        <w:tc>
          <w:tcPr>
            <w:tcW w:w="6743" w:type="dxa"/>
            <w:tcBorders>
              <w:tl2br w:val="nil"/>
              <w:tr2bl w:val="nil"/>
            </w:tcBorders>
            <w:shd w:val="clear" w:color="auto" w:fill="auto"/>
            <w:vAlign w:val="center"/>
          </w:tcPr>
          <w:p w14:paraId="54CB964C">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143.供电：2节AAA干电池</w:t>
            </w:r>
          </w:p>
        </w:tc>
        <w:tc>
          <w:tcPr>
            <w:tcW w:w="1152" w:type="dxa"/>
            <w:tcBorders>
              <w:tl2br w:val="nil"/>
              <w:tr2bl w:val="nil"/>
            </w:tcBorders>
            <w:shd w:val="clear" w:color="auto" w:fill="auto"/>
            <w:vAlign w:val="center"/>
          </w:tcPr>
          <w:p w14:paraId="1578D262">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snapToGrid/>
                <w:color w:val="auto"/>
                <w:spacing w:val="0"/>
                <w:kern w:val="2"/>
                <w:sz w:val="21"/>
                <w:szCs w:val="24"/>
                <w:highlight w:val="none"/>
                <w:lang w:val="en-US" w:eastAsia="zh-CN" w:bidi="ar-SA"/>
              </w:rPr>
            </w:pPr>
          </w:p>
        </w:tc>
      </w:tr>
      <w:tr w14:paraId="3D82EC0F">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754" w:type="dxa"/>
            <w:vMerge w:val="continue"/>
            <w:tcBorders>
              <w:tl2br w:val="nil"/>
              <w:tr2bl w:val="nil"/>
            </w:tcBorders>
            <w:shd w:val="clear" w:color="auto" w:fill="auto"/>
            <w:vAlign w:val="center"/>
          </w:tcPr>
          <w:p w14:paraId="6D80C20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0"/>
                <w:szCs w:val="20"/>
                <w:u w:val="none"/>
                <w:lang w:val="en-US" w:eastAsia="zh-CN" w:bidi="ar"/>
              </w:rPr>
            </w:pPr>
          </w:p>
        </w:tc>
        <w:tc>
          <w:tcPr>
            <w:tcW w:w="6743" w:type="dxa"/>
            <w:tcBorders>
              <w:tl2br w:val="nil"/>
              <w:tr2bl w:val="nil"/>
            </w:tcBorders>
            <w:shd w:val="clear" w:color="auto" w:fill="auto"/>
            <w:vAlign w:val="center"/>
          </w:tcPr>
          <w:p w14:paraId="7604D228">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144.开关：尾部按压式开关</w:t>
            </w:r>
          </w:p>
        </w:tc>
        <w:tc>
          <w:tcPr>
            <w:tcW w:w="1152" w:type="dxa"/>
            <w:tcBorders>
              <w:tl2br w:val="nil"/>
              <w:tr2bl w:val="nil"/>
            </w:tcBorders>
            <w:shd w:val="clear" w:color="auto" w:fill="auto"/>
            <w:vAlign w:val="center"/>
          </w:tcPr>
          <w:p w14:paraId="32AE5681">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snapToGrid/>
                <w:color w:val="auto"/>
                <w:spacing w:val="0"/>
                <w:kern w:val="2"/>
                <w:sz w:val="21"/>
                <w:szCs w:val="24"/>
                <w:highlight w:val="none"/>
                <w:lang w:val="en-US" w:eastAsia="zh-CN" w:bidi="ar-SA"/>
              </w:rPr>
            </w:pPr>
          </w:p>
        </w:tc>
      </w:tr>
      <w:tr w14:paraId="6ADBDC74">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754" w:type="dxa"/>
            <w:vMerge w:val="continue"/>
            <w:tcBorders>
              <w:tl2br w:val="nil"/>
              <w:tr2bl w:val="nil"/>
            </w:tcBorders>
            <w:shd w:val="clear" w:color="auto" w:fill="auto"/>
            <w:vAlign w:val="center"/>
          </w:tcPr>
          <w:p w14:paraId="6D7A991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0"/>
                <w:szCs w:val="20"/>
                <w:u w:val="none"/>
                <w:lang w:val="en-US" w:eastAsia="zh-CN" w:bidi="ar"/>
              </w:rPr>
            </w:pPr>
          </w:p>
        </w:tc>
        <w:tc>
          <w:tcPr>
            <w:tcW w:w="6743" w:type="dxa"/>
            <w:tcBorders>
              <w:tl2br w:val="nil"/>
              <w:tr2bl w:val="nil"/>
            </w:tcBorders>
            <w:shd w:val="clear" w:color="auto" w:fill="auto"/>
            <w:vAlign w:val="center"/>
          </w:tcPr>
          <w:p w14:paraId="42577D11">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145.其他：重量≤20g，表面光滑处理</w:t>
            </w:r>
          </w:p>
        </w:tc>
        <w:tc>
          <w:tcPr>
            <w:tcW w:w="1152" w:type="dxa"/>
            <w:tcBorders>
              <w:tl2br w:val="nil"/>
              <w:tr2bl w:val="nil"/>
            </w:tcBorders>
            <w:shd w:val="clear" w:color="auto" w:fill="auto"/>
            <w:vAlign w:val="center"/>
          </w:tcPr>
          <w:p w14:paraId="07188352">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snapToGrid/>
                <w:color w:val="auto"/>
                <w:spacing w:val="0"/>
                <w:kern w:val="2"/>
                <w:sz w:val="21"/>
                <w:szCs w:val="24"/>
                <w:highlight w:val="none"/>
                <w:lang w:val="en-US" w:eastAsia="zh-CN" w:bidi="ar-SA"/>
              </w:rPr>
            </w:pPr>
          </w:p>
        </w:tc>
      </w:tr>
      <w:tr w14:paraId="399BD378">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754" w:type="dxa"/>
            <w:vMerge w:val="continue"/>
            <w:tcBorders>
              <w:tl2br w:val="nil"/>
              <w:tr2bl w:val="nil"/>
            </w:tcBorders>
            <w:shd w:val="clear" w:color="auto" w:fill="auto"/>
            <w:vAlign w:val="center"/>
          </w:tcPr>
          <w:p w14:paraId="1B38578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0"/>
                <w:szCs w:val="20"/>
                <w:u w:val="none"/>
                <w:lang w:val="en-US" w:eastAsia="zh-CN" w:bidi="ar"/>
              </w:rPr>
            </w:pPr>
          </w:p>
        </w:tc>
        <w:tc>
          <w:tcPr>
            <w:tcW w:w="6743" w:type="dxa"/>
            <w:tcBorders>
              <w:tl2br w:val="nil"/>
              <w:tr2bl w:val="nil"/>
            </w:tcBorders>
            <w:shd w:val="clear" w:color="auto" w:fill="auto"/>
            <w:vAlign w:val="center"/>
          </w:tcPr>
          <w:p w14:paraId="3067445D">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b/>
                <w:bCs/>
                <w:snapToGrid/>
                <w:color w:val="auto"/>
                <w:spacing w:val="0"/>
                <w:kern w:val="2"/>
                <w:sz w:val="21"/>
                <w:szCs w:val="24"/>
                <w:highlight w:val="none"/>
                <w:lang w:val="en-US" w:eastAsia="zh-CN" w:bidi="ar-SA"/>
              </w:rPr>
              <w:t>二十七.血氧仪</w:t>
            </w:r>
          </w:p>
        </w:tc>
        <w:tc>
          <w:tcPr>
            <w:tcW w:w="1152" w:type="dxa"/>
            <w:tcBorders>
              <w:tl2br w:val="nil"/>
              <w:tr2bl w:val="nil"/>
            </w:tcBorders>
            <w:shd w:val="clear" w:color="auto" w:fill="auto"/>
            <w:vAlign w:val="center"/>
          </w:tcPr>
          <w:p w14:paraId="7CCEC85B">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snapToGrid/>
                <w:color w:val="auto"/>
                <w:spacing w:val="0"/>
                <w:kern w:val="2"/>
                <w:sz w:val="21"/>
                <w:szCs w:val="24"/>
                <w:highlight w:val="none"/>
                <w:lang w:val="en-US" w:eastAsia="zh-CN" w:bidi="ar-SA"/>
              </w:rPr>
            </w:pPr>
          </w:p>
        </w:tc>
      </w:tr>
      <w:tr w14:paraId="7D53CC1E">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754" w:type="dxa"/>
            <w:vMerge w:val="continue"/>
            <w:tcBorders>
              <w:tl2br w:val="nil"/>
              <w:tr2bl w:val="nil"/>
            </w:tcBorders>
            <w:shd w:val="clear" w:color="auto" w:fill="auto"/>
            <w:vAlign w:val="center"/>
          </w:tcPr>
          <w:p w14:paraId="415C8D9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0"/>
                <w:szCs w:val="20"/>
                <w:u w:val="none"/>
                <w:lang w:val="en-US" w:eastAsia="zh-CN" w:bidi="ar"/>
              </w:rPr>
            </w:pPr>
          </w:p>
        </w:tc>
        <w:tc>
          <w:tcPr>
            <w:tcW w:w="6743" w:type="dxa"/>
            <w:tcBorders>
              <w:tl2br w:val="nil"/>
              <w:tr2bl w:val="nil"/>
            </w:tcBorders>
            <w:shd w:val="clear" w:color="auto" w:fill="auto"/>
            <w:vAlign w:val="center"/>
          </w:tcPr>
          <w:p w14:paraId="42312E22">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146.类型：指夹式脉搏血氧仪；</w:t>
            </w:r>
          </w:p>
        </w:tc>
        <w:tc>
          <w:tcPr>
            <w:tcW w:w="1152" w:type="dxa"/>
            <w:tcBorders>
              <w:tl2br w:val="nil"/>
              <w:tr2bl w:val="nil"/>
            </w:tcBorders>
            <w:shd w:val="clear" w:color="auto" w:fill="auto"/>
            <w:vAlign w:val="center"/>
          </w:tcPr>
          <w:p w14:paraId="3B494B48">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snapToGrid/>
                <w:color w:val="auto"/>
                <w:spacing w:val="0"/>
                <w:kern w:val="2"/>
                <w:sz w:val="21"/>
                <w:szCs w:val="24"/>
                <w:highlight w:val="none"/>
                <w:lang w:val="en-US" w:eastAsia="zh-CN" w:bidi="ar-SA"/>
              </w:rPr>
            </w:pPr>
          </w:p>
        </w:tc>
      </w:tr>
      <w:tr w14:paraId="1639E4C1">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754" w:type="dxa"/>
            <w:vMerge w:val="continue"/>
            <w:tcBorders>
              <w:tl2br w:val="nil"/>
              <w:tr2bl w:val="nil"/>
            </w:tcBorders>
            <w:shd w:val="clear" w:color="auto" w:fill="auto"/>
            <w:vAlign w:val="center"/>
          </w:tcPr>
          <w:p w14:paraId="79EABAB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0"/>
                <w:szCs w:val="20"/>
                <w:u w:val="none"/>
                <w:lang w:val="en-US" w:eastAsia="zh-CN" w:bidi="ar"/>
              </w:rPr>
            </w:pPr>
          </w:p>
        </w:tc>
        <w:tc>
          <w:tcPr>
            <w:tcW w:w="6743" w:type="dxa"/>
            <w:tcBorders>
              <w:tl2br w:val="nil"/>
              <w:tr2bl w:val="nil"/>
            </w:tcBorders>
            <w:shd w:val="clear" w:color="auto" w:fill="auto"/>
            <w:vAlign w:val="center"/>
          </w:tcPr>
          <w:p w14:paraId="26374C23">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147.脉搏氧饱和度显示范围35%-100%</w:t>
            </w:r>
          </w:p>
        </w:tc>
        <w:tc>
          <w:tcPr>
            <w:tcW w:w="1152" w:type="dxa"/>
            <w:tcBorders>
              <w:tl2br w:val="nil"/>
              <w:tr2bl w:val="nil"/>
            </w:tcBorders>
            <w:shd w:val="clear" w:color="auto" w:fill="auto"/>
            <w:vAlign w:val="center"/>
          </w:tcPr>
          <w:p w14:paraId="72C31DC8">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snapToGrid/>
                <w:color w:val="auto"/>
                <w:spacing w:val="0"/>
                <w:kern w:val="2"/>
                <w:sz w:val="21"/>
                <w:szCs w:val="24"/>
                <w:highlight w:val="none"/>
                <w:lang w:val="en-US" w:eastAsia="zh-CN" w:bidi="ar-SA"/>
              </w:rPr>
            </w:pPr>
          </w:p>
        </w:tc>
      </w:tr>
      <w:tr w14:paraId="126EC24C">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754" w:type="dxa"/>
            <w:vMerge w:val="continue"/>
            <w:tcBorders>
              <w:tl2br w:val="nil"/>
              <w:tr2bl w:val="nil"/>
            </w:tcBorders>
            <w:shd w:val="clear" w:color="auto" w:fill="auto"/>
            <w:vAlign w:val="center"/>
          </w:tcPr>
          <w:p w14:paraId="7C367CF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0"/>
                <w:szCs w:val="20"/>
                <w:u w:val="none"/>
                <w:lang w:val="en-US" w:eastAsia="zh-CN" w:bidi="ar"/>
              </w:rPr>
            </w:pPr>
          </w:p>
        </w:tc>
        <w:tc>
          <w:tcPr>
            <w:tcW w:w="6743" w:type="dxa"/>
            <w:tcBorders>
              <w:tl2br w:val="nil"/>
              <w:tr2bl w:val="nil"/>
            </w:tcBorders>
            <w:shd w:val="clear" w:color="auto" w:fill="auto"/>
            <w:vAlign w:val="center"/>
          </w:tcPr>
          <w:p w14:paraId="68967733">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148.脉率显示范围：25BPM-250BPM</w:t>
            </w:r>
          </w:p>
        </w:tc>
        <w:tc>
          <w:tcPr>
            <w:tcW w:w="1152" w:type="dxa"/>
            <w:tcBorders>
              <w:tl2br w:val="nil"/>
              <w:tr2bl w:val="nil"/>
            </w:tcBorders>
            <w:shd w:val="clear" w:color="auto" w:fill="auto"/>
            <w:vAlign w:val="center"/>
          </w:tcPr>
          <w:p w14:paraId="26BB9BD1">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snapToGrid/>
                <w:color w:val="auto"/>
                <w:spacing w:val="0"/>
                <w:kern w:val="2"/>
                <w:sz w:val="21"/>
                <w:szCs w:val="24"/>
                <w:highlight w:val="none"/>
                <w:lang w:val="en-US" w:eastAsia="zh-CN" w:bidi="ar-SA"/>
              </w:rPr>
            </w:pPr>
          </w:p>
        </w:tc>
      </w:tr>
      <w:tr w14:paraId="12A81433">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754" w:type="dxa"/>
            <w:vMerge w:val="continue"/>
            <w:tcBorders>
              <w:tl2br w:val="nil"/>
              <w:tr2bl w:val="nil"/>
            </w:tcBorders>
            <w:shd w:val="clear" w:color="auto" w:fill="auto"/>
            <w:vAlign w:val="center"/>
          </w:tcPr>
          <w:p w14:paraId="4A52164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0"/>
                <w:szCs w:val="20"/>
                <w:u w:val="none"/>
                <w:lang w:val="en-US" w:eastAsia="zh-CN" w:bidi="ar"/>
              </w:rPr>
            </w:pPr>
          </w:p>
        </w:tc>
        <w:tc>
          <w:tcPr>
            <w:tcW w:w="6743" w:type="dxa"/>
            <w:tcBorders>
              <w:tl2br w:val="nil"/>
              <w:tr2bl w:val="nil"/>
            </w:tcBorders>
            <w:shd w:val="clear" w:color="auto" w:fill="auto"/>
            <w:vAlign w:val="center"/>
          </w:tcPr>
          <w:p w14:paraId="78937725">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149.显示屏：LED高清大屏、双向显示</w:t>
            </w:r>
          </w:p>
        </w:tc>
        <w:tc>
          <w:tcPr>
            <w:tcW w:w="1152" w:type="dxa"/>
            <w:tcBorders>
              <w:tl2br w:val="nil"/>
              <w:tr2bl w:val="nil"/>
            </w:tcBorders>
            <w:shd w:val="clear" w:color="auto" w:fill="auto"/>
            <w:vAlign w:val="center"/>
          </w:tcPr>
          <w:p w14:paraId="73437CD5">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snapToGrid/>
                <w:color w:val="auto"/>
                <w:spacing w:val="0"/>
                <w:kern w:val="2"/>
                <w:sz w:val="21"/>
                <w:szCs w:val="24"/>
                <w:highlight w:val="none"/>
                <w:lang w:val="en-US" w:eastAsia="zh-CN" w:bidi="ar-SA"/>
              </w:rPr>
            </w:pPr>
          </w:p>
        </w:tc>
      </w:tr>
      <w:tr w14:paraId="24EC438E">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754" w:type="dxa"/>
            <w:vMerge w:val="continue"/>
            <w:tcBorders>
              <w:tl2br w:val="nil"/>
              <w:tr2bl w:val="nil"/>
            </w:tcBorders>
            <w:shd w:val="clear" w:color="auto" w:fill="auto"/>
            <w:vAlign w:val="center"/>
          </w:tcPr>
          <w:p w14:paraId="50CEC11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0"/>
                <w:szCs w:val="20"/>
                <w:u w:val="none"/>
                <w:lang w:val="en-US" w:eastAsia="zh-CN" w:bidi="ar"/>
              </w:rPr>
            </w:pPr>
          </w:p>
        </w:tc>
        <w:tc>
          <w:tcPr>
            <w:tcW w:w="6743" w:type="dxa"/>
            <w:tcBorders>
              <w:tl2br w:val="nil"/>
              <w:tr2bl w:val="nil"/>
            </w:tcBorders>
            <w:shd w:val="clear" w:color="auto" w:fill="auto"/>
            <w:vAlign w:val="center"/>
          </w:tcPr>
          <w:p w14:paraId="7CAADA8A">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150.供电：2节1.5V干电池</w:t>
            </w:r>
          </w:p>
        </w:tc>
        <w:tc>
          <w:tcPr>
            <w:tcW w:w="1152" w:type="dxa"/>
            <w:tcBorders>
              <w:tl2br w:val="nil"/>
              <w:tr2bl w:val="nil"/>
            </w:tcBorders>
            <w:shd w:val="clear" w:color="auto" w:fill="auto"/>
            <w:vAlign w:val="center"/>
          </w:tcPr>
          <w:p w14:paraId="0C56C2F3">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snapToGrid/>
                <w:color w:val="auto"/>
                <w:spacing w:val="0"/>
                <w:kern w:val="2"/>
                <w:sz w:val="21"/>
                <w:szCs w:val="24"/>
                <w:highlight w:val="none"/>
                <w:lang w:val="en-US" w:eastAsia="zh-CN" w:bidi="ar-SA"/>
              </w:rPr>
            </w:pPr>
          </w:p>
        </w:tc>
      </w:tr>
      <w:tr w14:paraId="47845587">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754" w:type="dxa"/>
            <w:vMerge w:val="continue"/>
            <w:tcBorders>
              <w:tl2br w:val="nil"/>
              <w:tr2bl w:val="nil"/>
            </w:tcBorders>
            <w:shd w:val="clear" w:color="auto" w:fill="auto"/>
            <w:vAlign w:val="center"/>
          </w:tcPr>
          <w:p w14:paraId="265688B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0"/>
                <w:szCs w:val="20"/>
                <w:u w:val="none"/>
                <w:lang w:val="en-US" w:eastAsia="zh-CN" w:bidi="ar"/>
              </w:rPr>
            </w:pPr>
          </w:p>
        </w:tc>
        <w:tc>
          <w:tcPr>
            <w:tcW w:w="6743" w:type="dxa"/>
            <w:tcBorders>
              <w:tl2br w:val="nil"/>
              <w:tr2bl w:val="nil"/>
            </w:tcBorders>
            <w:shd w:val="clear" w:color="auto" w:fill="auto"/>
            <w:vAlign w:val="center"/>
          </w:tcPr>
          <w:p w14:paraId="1506D29F">
            <w:pPr>
              <w:pStyle w:val="9"/>
              <w:keepNext w:val="0"/>
              <w:keepLines w:val="0"/>
              <w:suppressLineNumbers w:val="0"/>
              <w:spacing w:before="0" w:beforeAutospacing="0" w:after="0" w:afterAutospacing="0"/>
              <w:ind w:left="0" w:right="0"/>
              <w:rPr>
                <w:rFonts w:hint="default"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151.功能：硅胶或同等级医用级弹性指膜，无手指状态自动关机时间不大于30秒</w:t>
            </w:r>
          </w:p>
        </w:tc>
        <w:tc>
          <w:tcPr>
            <w:tcW w:w="1152" w:type="dxa"/>
            <w:tcBorders>
              <w:tl2br w:val="nil"/>
              <w:tr2bl w:val="nil"/>
            </w:tcBorders>
            <w:shd w:val="clear" w:color="auto" w:fill="auto"/>
            <w:vAlign w:val="center"/>
          </w:tcPr>
          <w:p w14:paraId="039A7AFB">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snapToGrid/>
                <w:color w:val="auto"/>
                <w:spacing w:val="0"/>
                <w:kern w:val="2"/>
                <w:sz w:val="21"/>
                <w:szCs w:val="24"/>
                <w:highlight w:val="none"/>
                <w:lang w:val="en-US" w:eastAsia="zh-CN" w:bidi="ar-SA"/>
              </w:rPr>
            </w:pPr>
          </w:p>
        </w:tc>
      </w:tr>
      <w:tr w14:paraId="1F26FD61">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754" w:type="dxa"/>
            <w:vMerge w:val="continue"/>
            <w:tcBorders>
              <w:tl2br w:val="nil"/>
              <w:tr2bl w:val="nil"/>
            </w:tcBorders>
            <w:shd w:val="clear" w:color="auto" w:fill="auto"/>
            <w:vAlign w:val="center"/>
          </w:tcPr>
          <w:p w14:paraId="2BDC493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0"/>
                <w:szCs w:val="20"/>
                <w:u w:val="none"/>
                <w:lang w:val="en-US" w:eastAsia="zh-CN" w:bidi="ar"/>
              </w:rPr>
            </w:pPr>
          </w:p>
        </w:tc>
        <w:tc>
          <w:tcPr>
            <w:tcW w:w="6743" w:type="dxa"/>
            <w:tcBorders>
              <w:tl2br w:val="nil"/>
              <w:tr2bl w:val="nil"/>
            </w:tcBorders>
            <w:shd w:val="clear" w:color="auto" w:fill="auto"/>
            <w:vAlign w:val="center"/>
          </w:tcPr>
          <w:p w14:paraId="2FC45912">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b/>
                <w:bCs/>
                <w:snapToGrid/>
                <w:color w:val="auto"/>
                <w:spacing w:val="0"/>
                <w:kern w:val="2"/>
                <w:sz w:val="21"/>
                <w:szCs w:val="24"/>
                <w:highlight w:val="none"/>
                <w:lang w:val="en-US" w:eastAsia="zh-CN" w:bidi="ar-SA"/>
              </w:rPr>
              <w:t>二十八.保温毯</w:t>
            </w:r>
          </w:p>
        </w:tc>
        <w:tc>
          <w:tcPr>
            <w:tcW w:w="1152" w:type="dxa"/>
            <w:tcBorders>
              <w:tl2br w:val="nil"/>
              <w:tr2bl w:val="nil"/>
            </w:tcBorders>
            <w:shd w:val="clear" w:color="auto" w:fill="auto"/>
            <w:vAlign w:val="center"/>
          </w:tcPr>
          <w:p w14:paraId="18F9D616">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snapToGrid/>
                <w:color w:val="auto"/>
                <w:spacing w:val="0"/>
                <w:kern w:val="2"/>
                <w:sz w:val="21"/>
                <w:szCs w:val="24"/>
                <w:highlight w:val="none"/>
                <w:lang w:val="en-US" w:eastAsia="zh-CN" w:bidi="ar-SA"/>
              </w:rPr>
            </w:pPr>
          </w:p>
        </w:tc>
      </w:tr>
      <w:tr w14:paraId="40C2E034">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754" w:type="dxa"/>
            <w:vMerge w:val="continue"/>
            <w:tcBorders>
              <w:tl2br w:val="nil"/>
              <w:tr2bl w:val="nil"/>
            </w:tcBorders>
            <w:shd w:val="clear" w:color="auto" w:fill="auto"/>
            <w:vAlign w:val="center"/>
          </w:tcPr>
          <w:p w14:paraId="7938D8A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0"/>
                <w:szCs w:val="20"/>
                <w:u w:val="none"/>
                <w:lang w:val="en-US" w:eastAsia="zh-CN" w:bidi="ar"/>
              </w:rPr>
            </w:pPr>
          </w:p>
        </w:tc>
        <w:tc>
          <w:tcPr>
            <w:tcW w:w="6743" w:type="dxa"/>
            <w:tcBorders>
              <w:tl2br w:val="nil"/>
              <w:tr2bl w:val="nil"/>
            </w:tcBorders>
            <w:shd w:val="clear" w:color="auto" w:fill="auto"/>
            <w:vAlign w:val="center"/>
          </w:tcPr>
          <w:p w14:paraId="11EE5F22">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152.规格：160×210cm，允差±5%</w:t>
            </w:r>
          </w:p>
        </w:tc>
        <w:tc>
          <w:tcPr>
            <w:tcW w:w="1152" w:type="dxa"/>
            <w:tcBorders>
              <w:tl2br w:val="nil"/>
              <w:tr2bl w:val="nil"/>
            </w:tcBorders>
            <w:shd w:val="clear" w:color="auto" w:fill="auto"/>
            <w:vAlign w:val="center"/>
          </w:tcPr>
          <w:p w14:paraId="66DCA1A1">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snapToGrid/>
                <w:color w:val="auto"/>
                <w:spacing w:val="0"/>
                <w:kern w:val="2"/>
                <w:sz w:val="21"/>
                <w:szCs w:val="24"/>
                <w:highlight w:val="none"/>
                <w:lang w:val="en-US" w:eastAsia="zh-CN" w:bidi="ar-SA"/>
              </w:rPr>
            </w:pPr>
          </w:p>
        </w:tc>
      </w:tr>
      <w:tr w14:paraId="3E05AF8D">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754" w:type="dxa"/>
            <w:vMerge w:val="continue"/>
            <w:tcBorders>
              <w:tl2br w:val="nil"/>
              <w:tr2bl w:val="nil"/>
            </w:tcBorders>
            <w:shd w:val="clear" w:color="auto" w:fill="auto"/>
            <w:vAlign w:val="center"/>
          </w:tcPr>
          <w:p w14:paraId="7690595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0"/>
                <w:szCs w:val="20"/>
                <w:u w:val="none"/>
                <w:lang w:val="en-US" w:eastAsia="zh-CN" w:bidi="ar"/>
              </w:rPr>
            </w:pPr>
          </w:p>
        </w:tc>
        <w:tc>
          <w:tcPr>
            <w:tcW w:w="6743" w:type="dxa"/>
            <w:tcBorders>
              <w:tl2br w:val="nil"/>
              <w:tr2bl w:val="nil"/>
            </w:tcBorders>
            <w:shd w:val="clear" w:color="auto" w:fill="auto"/>
            <w:vAlign w:val="center"/>
          </w:tcPr>
          <w:p w14:paraId="6FDB4CA1">
            <w:pPr>
              <w:pStyle w:val="9"/>
              <w:keepNext w:val="0"/>
              <w:keepLines w:val="0"/>
              <w:suppressLineNumbers w:val="0"/>
              <w:spacing w:before="0" w:beforeAutospacing="0" w:after="0" w:afterAutospacing="0"/>
              <w:ind w:left="0" w:right="0"/>
              <w:rPr>
                <w:rFonts w:hint="default"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153.材质：</w:t>
            </w:r>
            <w:r>
              <w:rPr>
                <w:rFonts w:hint="eastAsia"/>
                <w:lang w:val="en-US" w:eastAsia="zh-CN"/>
              </w:rPr>
              <w:t>材质：铝箔复合PET膜或同等阻隔性能的医用级复合膜</w:t>
            </w:r>
          </w:p>
        </w:tc>
        <w:tc>
          <w:tcPr>
            <w:tcW w:w="1152" w:type="dxa"/>
            <w:tcBorders>
              <w:tl2br w:val="nil"/>
              <w:tr2bl w:val="nil"/>
            </w:tcBorders>
            <w:shd w:val="clear" w:color="auto" w:fill="auto"/>
            <w:vAlign w:val="center"/>
          </w:tcPr>
          <w:p w14:paraId="29054952">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snapToGrid/>
                <w:color w:val="auto"/>
                <w:spacing w:val="0"/>
                <w:kern w:val="2"/>
                <w:sz w:val="21"/>
                <w:szCs w:val="24"/>
                <w:highlight w:val="none"/>
                <w:lang w:val="en-US" w:eastAsia="zh-CN" w:bidi="ar-SA"/>
              </w:rPr>
            </w:pPr>
          </w:p>
        </w:tc>
      </w:tr>
      <w:tr w14:paraId="7F6AC2B7">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754" w:type="dxa"/>
            <w:vMerge w:val="continue"/>
            <w:tcBorders>
              <w:tl2br w:val="nil"/>
              <w:tr2bl w:val="nil"/>
            </w:tcBorders>
            <w:shd w:val="clear" w:color="auto" w:fill="auto"/>
            <w:vAlign w:val="center"/>
          </w:tcPr>
          <w:p w14:paraId="652B9D6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0"/>
                <w:szCs w:val="20"/>
                <w:u w:val="none"/>
                <w:lang w:val="en-US" w:eastAsia="zh-CN" w:bidi="ar"/>
              </w:rPr>
            </w:pPr>
          </w:p>
        </w:tc>
        <w:tc>
          <w:tcPr>
            <w:tcW w:w="6743" w:type="dxa"/>
            <w:tcBorders>
              <w:tl2br w:val="nil"/>
              <w:tr2bl w:val="nil"/>
            </w:tcBorders>
            <w:shd w:val="clear" w:color="auto" w:fill="auto"/>
            <w:vAlign w:val="center"/>
          </w:tcPr>
          <w:p w14:paraId="4F7D38F9">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154.保温性能：反射≥90%人体热量，有效防止体温流失</w:t>
            </w:r>
          </w:p>
        </w:tc>
        <w:tc>
          <w:tcPr>
            <w:tcW w:w="1152" w:type="dxa"/>
            <w:tcBorders>
              <w:tl2br w:val="nil"/>
              <w:tr2bl w:val="nil"/>
            </w:tcBorders>
            <w:shd w:val="clear" w:color="auto" w:fill="auto"/>
            <w:vAlign w:val="center"/>
          </w:tcPr>
          <w:p w14:paraId="6E11AC8F">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snapToGrid/>
                <w:color w:val="auto"/>
                <w:spacing w:val="0"/>
                <w:kern w:val="2"/>
                <w:sz w:val="21"/>
                <w:szCs w:val="24"/>
                <w:highlight w:val="none"/>
                <w:lang w:val="en-US" w:eastAsia="zh-CN" w:bidi="ar-SA"/>
              </w:rPr>
            </w:pPr>
          </w:p>
        </w:tc>
      </w:tr>
      <w:tr w14:paraId="3E040DED">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754" w:type="dxa"/>
            <w:vMerge w:val="continue"/>
            <w:tcBorders>
              <w:tl2br w:val="nil"/>
              <w:tr2bl w:val="nil"/>
            </w:tcBorders>
            <w:shd w:val="clear" w:color="auto" w:fill="auto"/>
            <w:vAlign w:val="center"/>
          </w:tcPr>
          <w:p w14:paraId="2BCE312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0"/>
                <w:szCs w:val="20"/>
                <w:u w:val="none"/>
                <w:lang w:val="en-US" w:eastAsia="zh-CN" w:bidi="ar"/>
              </w:rPr>
            </w:pPr>
          </w:p>
        </w:tc>
        <w:tc>
          <w:tcPr>
            <w:tcW w:w="6743" w:type="dxa"/>
            <w:tcBorders>
              <w:tl2br w:val="nil"/>
              <w:tr2bl w:val="nil"/>
            </w:tcBorders>
            <w:shd w:val="clear" w:color="auto" w:fill="auto"/>
            <w:vAlign w:val="center"/>
          </w:tcPr>
          <w:p w14:paraId="0255FEE5">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155.厚度：≥12μm</w:t>
            </w:r>
          </w:p>
        </w:tc>
        <w:tc>
          <w:tcPr>
            <w:tcW w:w="1152" w:type="dxa"/>
            <w:tcBorders>
              <w:tl2br w:val="nil"/>
              <w:tr2bl w:val="nil"/>
            </w:tcBorders>
            <w:shd w:val="clear" w:color="auto" w:fill="auto"/>
            <w:vAlign w:val="center"/>
          </w:tcPr>
          <w:p w14:paraId="049BE7ED">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snapToGrid/>
                <w:color w:val="auto"/>
                <w:spacing w:val="0"/>
                <w:kern w:val="2"/>
                <w:sz w:val="21"/>
                <w:szCs w:val="24"/>
                <w:highlight w:val="none"/>
                <w:lang w:val="en-US" w:eastAsia="zh-CN" w:bidi="ar-SA"/>
              </w:rPr>
            </w:pPr>
          </w:p>
        </w:tc>
      </w:tr>
      <w:tr w14:paraId="18A79B88">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754" w:type="dxa"/>
            <w:vMerge w:val="continue"/>
            <w:tcBorders>
              <w:tl2br w:val="nil"/>
              <w:tr2bl w:val="nil"/>
            </w:tcBorders>
            <w:shd w:val="clear" w:color="auto" w:fill="auto"/>
            <w:vAlign w:val="center"/>
          </w:tcPr>
          <w:p w14:paraId="5D2DBD2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0"/>
                <w:szCs w:val="20"/>
                <w:u w:val="none"/>
                <w:lang w:val="en-US" w:eastAsia="zh-CN" w:bidi="ar"/>
              </w:rPr>
            </w:pPr>
          </w:p>
        </w:tc>
        <w:tc>
          <w:tcPr>
            <w:tcW w:w="6743" w:type="dxa"/>
            <w:tcBorders>
              <w:tl2br w:val="nil"/>
              <w:tr2bl w:val="nil"/>
            </w:tcBorders>
            <w:shd w:val="clear" w:color="auto" w:fill="auto"/>
            <w:vAlign w:val="center"/>
          </w:tcPr>
          <w:p w14:paraId="0FE3B543">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156.重量：≥50g</w:t>
            </w:r>
          </w:p>
        </w:tc>
        <w:tc>
          <w:tcPr>
            <w:tcW w:w="1152" w:type="dxa"/>
            <w:tcBorders>
              <w:tl2br w:val="nil"/>
              <w:tr2bl w:val="nil"/>
            </w:tcBorders>
            <w:shd w:val="clear" w:color="auto" w:fill="auto"/>
            <w:vAlign w:val="center"/>
          </w:tcPr>
          <w:p w14:paraId="05B04E35">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snapToGrid/>
                <w:color w:val="auto"/>
                <w:spacing w:val="0"/>
                <w:kern w:val="2"/>
                <w:sz w:val="21"/>
                <w:szCs w:val="24"/>
                <w:highlight w:val="none"/>
                <w:lang w:val="en-US" w:eastAsia="zh-CN" w:bidi="ar-SA"/>
              </w:rPr>
            </w:pPr>
          </w:p>
        </w:tc>
      </w:tr>
      <w:tr w14:paraId="446916F4">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754" w:type="dxa"/>
            <w:vMerge w:val="continue"/>
            <w:tcBorders>
              <w:tl2br w:val="nil"/>
              <w:tr2bl w:val="nil"/>
            </w:tcBorders>
            <w:shd w:val="clear" w:color="auto" w:fill="auto"/>
            <w:vAlign w:val="center"/>
          </w:tcPr>
          <w:p w14:paraId="62910AE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0"/>
                <w:szCs w:val="20"/>
                <w:u w:val="none"/>
                <w:lang w:val="en-US" w:eastAsia="zh-CN" w:bidi="ar"/>
              </w:rPr>
            </w:pPr>
          </w:p>
        </w:tc>
        <w:tc>
          <w:tcPr>
            <w:tcW w:w="6743" w:type="dxa"/>
            <w:tcBorders>
              <w:tl2br w:val="nil"/>
              <w:tr2bl w:val="nil"/>
            </w:tcBorders>
            <w:shd w:val="clear" w:color="auto" w:fill="auto"/>
            <w:vAlign w:val="center"/>
          </w:tcPr>
          <w:p w14:paraId="5F89FAA8">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157.功能：可用于保温、防晒、反光求救信号</w:t>
            </w:r>
          </w:p>
        </w:tc>
        <w:tc>
          <w:tcPr>
            <w:tcW w:w="1152" w:type="dxa"/>
            <w:tcBorders>
              <w:tl2br w:val="nil"/>
              <w:tr2bl w:val="nil"/>
            </w:tcBorders>
            <w:shd w:val="clear" w:color="auto" w:fill="auto"/>
            <w:vAlign w:val="center"/>
          </w:tcPr>
          <w:p w14:paraId="10944699">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snapToGrid/>
                <w:color w:val="auto"/>
                <w:spacing w:val="0"/>
                <w:kern w:val="2"/>
                <w:sz w:val="21"/>
                <w:szCs w:val="24"/>
                <w:highlight w:val="none"/>
                <w:lang w:val="en-US" w:eastAsia="zh-CN" w:bidi="ar-SA"/>
              </w:rPr>
            </w:pPr>
          </w:p>
        </w:tc>
      </w:tr>
      <w:tr w14:paraId="5665919C">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754" w:type="dxa"/>
            <w:vMerge w:val="continue"/>
            <w:tcBorders>
              <w:tl2br w:val="nil"/>
              <w:tr2bl w:val="nil"/>
            </w:tcBorders>
            <w:shd w:val="clear" w:color="auto" w:fill="auto"/>
            <w:vAlign w:val="center"/>
          </w:tcPr>
          <w:p w14:paraId="7BAC55B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0"/>
                <w:szCs w:val="20"/>
                <w:u w:val="none"/>
                <w:lang w:val="en-US" w:eastAsia="zh-CN" w:bidi="ar"/>
              </w:rPr>
            </w:pPr>
          </w:p>
        </w:tc>
        <w:tc>
          <w:tcPr>
            <w:tcW w:w="6743" w:type="dxa"/>
            <w:tcBorders>
              <w:tl2br w:val="nil"/>
              <w:tr2bl w:val="nil"/>
            </w:tcBorders>
            <w:shd w:val="clear" w:color="auto" w:fill="auto"/>
            <w:vAlign w:val="center"/>
          </w:tcPr>
          <w:p w14:paraId="50E2EDC4">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158.包装：独立密封包装，折叠后体积小，便于携带</w:t>
            </w:r>
          </w:p>
        </w:tc>
        <w:tc>
          <w:tcPr>
            <w:tcW w:w="1152" w:type="dxa"/>
            <w:tcBorders>
              <w:tl2br w:val="nil"/>
              <w:tr2bl w:val="nil"/>
            </w:tcBorders>
            <w:shd w:val="clear" w:color="auto" w:fill="auto"/>
            <w:vAlign w:val="center"/>
          </w:tcPr>
          <w:p w14:paraId="1B977BF3">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snapToGrid/>
                <w:color w:val="auto"/>
                <w:spacing w:val="0"/>
                <w:kern w:val="2"/>
                <w:sz w:val="21"/>
                <w:szCs w:val="24"/>
                <w:highlight w:val="none"/>
                <w:lang w:val="en-US" w:eastAsia="zh-CN" w:bidi="ar-SA"/>
              </w:rPr>
            </w:pPr>
          </w:p>
        </w:tc>
      </w:tr>
      <w:tr w14:paraId="3CD16DAA">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754" w:type="dxa"/>
            <w:vMerge w:val="continue"/>
            <w:tcBorders>
              <w:tl2br w:val="nil"/>
              <w:tr2bl w:val="nil"/>
            </w:tcBorders>
            <w:shd w:val="clear" w:color="auto" w:fill="auto"/>
            <w:vAlign w:val="center"/>
          </w:tcPr>
          <w:p w14:paraId="46B7C50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0"/>
                <w:szCs w:val="20"/>
                <w:u w:val="none"/>
                <w:lang w:val="en-US" w:eastAsia="zh-CN" w:bidi="ar"/>
              </w:rPr>
            </w:pPr>
          </w:p>
        </w:tc>
        <w:tc>
          <w:tcPr>
            <w:tcW w:w="6743" w:type="dxa"/>
            <w:tcBorders>
              <w:tl2br w:val="nil"/>
              <w:tr2bl w:val="nil"/>
            </w:tcBorders>
            <w:shd w:val="clear" w:color="auto" w:fill="auto"/>
            <w:vAlign w:val="center"/>
          </w:tcPr>
          <w:p w14:paraId="2073274F">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159.其他：防水、防风、一次性使用</w:t>
            </w:r>
          </w:p>
        </w:tc>
        <w:tc>
          <w:tcPr>
            <w:tcW w:w="1152" w:type="dxa"/>
            <w:tcBorders>
              <w:tl2br w:val="nil"/>
              <w:tr2bl w:val="nil"/>
            </w:tcBorders>
            <w:shd w:val="clear" w:color="auto" w:fill="auto"/>
            <w:vAlign w:val="center"/>
          </w:tcPr>
          <w:p w14:paraId="1571B702">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snapToGrid/>
                <w:color w:val="auto"/>
                <w:spacing w:val="0"/>
                <w:kern w:val="2"/>
                <w:sz w:val="21"/>
                <w:szCs w:val="24"/>
                <w:highlight w:val="none"/>
                <w:lang w:val="en-US" w:eastAsia="zh-CN" w:bidi="ar-SA"/>
              </w:rPr>
            </w:pPr>
          </w:p>
        </w:tc>
      </w:tr>
    </w:tbl>
    <w:p w14:paraId="58E305E5">
      <w:pPr>
        <w:pStyle w:val="12"/>
        <w:tabs>
          <w:tab w:val="left" w:pos="420"/>
          <w:tab w:val="left" w:pos="540"/>
        </w:tabs>
        <w:adjustRightInd w:val="0"/>
        <w:snapToGrid w:val="0"/>
        <w:spacing w:line="360" w:lineRule="auto"/>
        <w:rPr>
          <w:rFonts w:hAnsi="宋体"/>
          <w:b/>
          <w:color w:val="auto"/>
        </w:rPr>
      </w:pPr>
    </w:p>
    <w:p w14:paraId="7C2FC4C4">
      <w:pPr>
        <w:pStyle w:val="12"/>
        <w:numPr>
          <w:ilvl w:val="0"/>
          <w:numId w:val="6"/>
        </w:numPr>
        <w:tabs>
          <w:tab w:val="left" w:pos="540"/>
        </w:tabs>
        <w:adjustRightInd w:val="0"/>
        <w:snapToGrid w:val="0"/>
        <w:spacing w:line="360" w:lineRule="auto"/>
        <w:ind w:left="420" w:leftChars="0" w:hanging="420" w:firstLineChars="0"/>
        <w:outlineLvl w:val="9"/>
        <w:rPr>
          <w:rFonts w:hAnsi="宋体"/>
          <w:b/>
          <w:color w:val="auto"/>
        </w:rPr>
      </w:pPr>
      <w:r>
        <w:rPr>
          <w:rFonts w:hint="eastAsia" w:ascii="宋体" w:hAnsi="宋体" w:cs="宋体"/>
          <w:b/>
          <w:sz w:val="24"/>
        </w:rPr>
        <w:t>★</w:t>
      </w:r>
      <w:r>
        <w:rPr>
          <w:rFonts w:hint="eastAsia" w:hAnsi="宋体"/>
          <w:b/>
          <w:color w:val="auto"/>
        </w:rPr>
        <w:t>商务要求：</w:t>
      </w:r>
    </w:p>
    <w:tbl>
      <w:tblPr>
        <w:tblStyle w:val="21"/>
        <w:tblW w:w="9502"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19"/>
        <w:gridCol w:w="8683"/>
      </w:tblGrid>
      <w:tr w14:paraId="36F6EE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jc w:val="center"/>
        </w:trPr>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21A99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序号</w:t>
            </w:r>
          </w:p>
        </w:tc>
        <w:tc>
          <w:tcPr>
            <w:tcW w:w="8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EB425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商务条款</w:t>
            </w:r>
          </w:p>
        </w:tc>
      </w:tr>
      <w:tr w14:paraId="3F86D1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jc w:val="center"/>
        </w:trPr>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10156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1</w:t>
            </w:r>
          </w:p>
        </w:tc>
        <w:tc>
          <w:tcPr>
            <w:tcW w:w="8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E2AC1C">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交货时间：</w:t>
            </w:r>
            <w:r>
              <w:rPr>
                <w:rFonts w:hint="eastAsia" w:cs="Times New Roman"/>
                <w:color w:val="auto"/>
                <w:highlight w:val="none"/>
                <w:lang w:val="en-US" w:eastAsia="zh-CN"/>
              </w:rPr>
              <w:t>签订合同之日起10天内交货</w:t>
            </w:r>
          </w:p>
        </w:tc>
      </w:tr>
      <w:tr w14:paraId="20E50B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jc w:val="center"/>
        </w:trPr>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7AEF92">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2</w:t>
            </w:r>
          </w:p>
        </w:tc>
        <w:tc>
          <w:tcPr>
            <w:tcW w:w="8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3227E5">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交货地点：</w:t>
            </w:r>
            <w:r>
              <w:rPr>
                <w:rFonts w:hint="eastAsia" w:cs="Times New Roman"/>
                <w:color w:val="auto"/>
                <w:highlight w:val="none"/>
                <w:lang w:val="en-US" w:eastAsia="zh-CN"/>
              </w:rPr>
              <w:t>医院指定地点</w:t>
            </w:r>
          </w:p>
        </w:tc>
      </w:tr>
      <w:tr w14:paraId="35A08E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jc w:val="center"/>
        </w:trPr>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09C5E4">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3</w:t>
            </w:r>
          </w:p>
        </w:tc>
        <w:tc>
          <w:tcPr>
            <w:tcW w:w="8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18FB36">
            <w:pPr>
              <w:keepNext w:val="0"/>
              <w:keepLines w:val="0"/>
              <w:widowControl/>
              <w:suppressLineNumbers w:val="0"/>
              <w:spacing w:before="0" w:beforeAutospacing="0" w:after="0" w:afterAutospacing="0"/>
              <w:ind w:left="0" w:right="0"/>
              <w:jc w:val="left"/>
              <w:textAlignment w:val="center"/>
              <w:rPr>
                <w:rFonts w:hint="eastAsia"/>
                <w:color w:val="auto"/>
                <w:highlight w:val="none"/>
                <w:lang w:eastAsia="zh-CN"/>
              </w:rPr>
            </w:pPr>
            <w:r>
              <w:rPr>
                <w:rFonts w:hint="eastAsia"/>
                <w:color w:val="auto"/>
                <w:highlight w:val="none"/>
              </w:rPr>
              <w:t>售后服务要求</w:t>
            </w:r>
            <w:r>
              <w:rPr>
                <w:rFonts w:hint="eastAsia"/>
                <w:color w:val="auto"/>
                <w:highlight w:val="none"/>
                <w:lang w:eastAsia="zh-CN"/>
              </w:rPr>
              <w:t>：</w:t>
            </w:r>
          </w:p>
          <w:p w14:paraId="6F8E027E">
            <w:pPr>
              <w:keepNext w:val="0"/>
              <w:keepLines w:val="0"/>
              <w:widowControl/>
              <w:numPr>
                <w:ilvl w:val="0"/>
                <w:numId w:val="7"/>
              </w:numPr>
              <w:suppressLineNumbers w:val="0"/>
              <w:spacing w:before="0" w:beforeAutospacing="0" w:after="0" w:afterAutospacing="0"/>
              <w:ind w:left="0" w:right="0"/>
              <w:jc w:val="left"/>
              <w:textAlignment w:val="center"/>
              <w:rPr>
                <w:rFonts w:hint="eastAsia"/>
                <w:color w:val="auto"/>
                <w:highlight w:val="none"/>
                <w:lang w:val="en-US" w:eastAsia="zh-CN"/>
              </w:rPr>
            </w:pPr>
            <w:r>
              <w:rPr>
                <w:rFonts w:hint="eastAsia"/>
                <w:color w:val="auto"/>
                <w:highlight w:val="none"/>
                <w:lang w:val="en-US" w:eastAsia="zh-CN"/>
              </w:rPr>
              <w:t>货物免费保修期1年，时间自最终验收合格并交付使用之日起计算。</w:t>
            </w:r>
          </w:p>
          <w:p w14:paraId="037F53B5">
            <w:pPr>
              <w:keepNext w:val="0"/>
              <w:keepLines w:val="0"/>
              <w:widowControl/>
              <w:numPr>
                <w:ilvl w:val="0"/>
                <w:numId w:val="7"/>
              </w:numPr>
              <w:suppressLineNumbers w:val="0"/>
              <w:spacing w:before="0" w:beforeAutospacing="0" w:after="0" w:afterAutospacing="0"/>
              <w:ind w:left="0" w:right="0"/>
              <w:jc w:val="left"/>
              <w:textAlignment w:val="center"/>
              <w:rPr>
                <w:rFonts w:hint="eastAsia"/>
                <w:color w:val="auto"/>
                <w:highlight w:val="none"/>
                <w:lang w:val="en-US" w:eastAsia="zh-CN"/>
              </w:rPr>
            </w:pPr>
            <w:r>
              <w:rPr>
                <w:rFonts w:hint="eastAsia"/>
                <w:color w:val="auto"/>
                <w:highlight w:val="none"/>
                <w:lang w:val="en-US" w:eastAsia="zh-CN"/>
              </w:rPr>
              <w:t>在免费保修期内，一旦发生质量问题，中标人保证在接到通知4小时内赶到现场进行修理或更换。</w:t>
            </w:r>
          </w:p>
          <w:p w14:paraId="60461B7F">
            <w:pPr>
              <w:keepNext w:val="0"/>
              <w:keepLines w:val="0"/>
              <w:widowControl/>
              <w:numPr>
                <w:ilvl w:val="0"/>
                <w:numId w:val="7"/>
              </w:numPr>
              <w:suppressLineNumbers w:val="0"/>
              <w:spacing w:before="0" w:beforeAutospacing="0" w:after="0" w:afterAutospacing="0"/>
              <w:ind w:left="0" w:right="0"/>
              <w:jc w:val="left"/>
              <w:textAlignment w:val="center"/>
              <w:rPr>
                <w:rFonts w:hint="default"/>
                <w:color w:val="auto"/>
                <w:highlight w:val="none"/>
                <w:lang w:val="en-US" w:eastAsia="zh-CN"/>
              </w:rPr>
            </w:pPr>
            <w:r>
              <w:rPr>
                <w:rFonts w:hint="eastAsia"/>
                <w:color w:val="auto"/>
                <w:highlight w:val="none"/>
                <w:lang w:val="en-US" w:eastAsia="zh-CN"/>
              </w:rPr>
              <w:t>免费保修期内，所有服务及配件全部免费。</w:t>
            </w:r>
          </w:p>
        </w:tc>
      </w:tr>
      <w:tr w14:paraId="262F7E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jc w:val="center"/>
        </w:trPr>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77AC62">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4</w:t>
            </w:r>
          </w:p>
        </w:tc>
        <w:tc>
          <w:tcPr>
            <w:tcW w:w="8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0E537C">
            <w:pPr>
              <w:keepNext w:val="0"/>
              <w:keepLines w:val="0"/>
              <w:widowControl/>
              <w:suppressLineNumbers w:val="0"/>
              <w:spacing w:before="0" w:beforeAutospacing="0" w:after="0" w:afterAutospacing="0"/>
              <w:ind w:left="0" w:right="0"/>
              <w:jc w:val="left"/>
              <w:textAlignment w:val="center"/>
              <w:rPr>
                <w:rFonts w:hint="eastAsia"/>
                <w:color w:val="auto"/>
                <w:highlight w:val="none"/>
                <w:lang w:val="en-US" w:eastAsia="zh-CN"/>
              </w:rPr>
            </w:pPr>
            <w:r>
              <w:rPr>
                <w:rFonts w:hint="eastAsia"/>
                <w:color w:val="auto"/>
                <w:highlight w:val="none"/>
                <w:lang w:val="en-US" w:eastAsia="zh-CN"/>
              </w:rPr>
              <w:t>关于</w:t>
            </w:r>
            <w:r>
              <w:rPr>
                <w:rFonts w:hint="eastAsia"/>
                <w:color w:val="auto"/>
                <w:highlight w:val="none"/>
              </w:rPr>
              <w:t>验收</w:t>
            </w:r>
            <w:r>
              <w:rPr>
                <w:rFonts w:hint="eastAsia"/>
                <w:color w:val="auto"/>
                <w:highlight w:val="none"/>
                <w:lang w:val="en-US" w:eastAsia="zh-CN"/>
              </w:rPr>
              <w:t>:</w:t>
            </w:r>
          </w:p>
          <w:p w14:paraId="5767A7F8">
            <w:pPr>
              <w:keepNext w:val="0"/>
              <w:keepLines w:val="0"/>
              <w:widowControl/>
              <w:numPr>
                <w:ilvl w:val="0"/>
                <w:numId w:val="8"/>
              </w:numPr>
              <w:suppressLineNumbers w:val="0"/>
              <w:spacing w:before="0" w:beforeAutospacing="0" w:after="0" w:afterAutospacing="0"/>
              <w:ind w:left="0" w:right="0"/>
              <w:jc w:val="left"/>
              <w:textAlignment w:val="center"/>
              <w:rPr>
                <w:rFonts w:hint="eastAsia" w:cs="Times New Roman"/>
                <w:color w:val="auto"/>
                <w:highlight w:val="none"/>
                <w:lang w:val="en-US" w:eastAsia="zh-CN"/>
              </w:rPr>
            </w:pPr>
            <w:r>
              <w:rPr>
                <w:rFonts w:hint="eastAsia" w:cs="Times New Roman"/>
                <w:color w:val="auto"/>
                <w:highlight w:val="none"/>
                <w:lang w:val="en-US" w:eastAsia="zh-CN"/>
              </w:rPr>
              <w:t>供应商货物经过双方检验认可后，签署验收报告，产品质保期自验收合格之日起算，由供应商提供产品质保文件。</w:t>
            </w:r>
          </w:p>
          <w:p w14:paraId="3500EFA2">
            <w:pPr>
              <w:keepNext w:val="0"/>
              <w:keepLines w:val="0"/>
              <w:widowControl/>
              <w:numPr>
                <w:ilvl w:val="0"/>
                <w:numId w:val="8"/>
              </w:numPr>
              <w:suppressLineNumbers w:val="0"/>
              <w:spacing w:before="0" w:beforeAutospacing="0" w:after="0" w:afterAutospacing="0"/>
              <w:ind w:left="0" w:right="0"/>
              <w:jc w:val="left"/>
              <w:textAlignment w:val="center"/>
              <w:rPr>
                <w:rFonts w:hint="default" w:cs="Times New Roman"/>
                <w:color w:val="auto"/>
                <w:highlight w:val="none"/>
                <w:lang w:val="en-US" w:eastAsia="zh-CN"/>
              </w:rPr>
            </w:pPr>
            <w:r>
              <w:rPr>
                <w:rFonts w:hint="eastAsia" w:cs="Times New Roman"/>
                <w:color w:val="auto"/>
                <w:highlight w:val="none"/>
                <w:lang w:val="en-US" w:eastAsia="zh-CN"/>
              </w:rPr>
              <w:t>当满足以下条件时，采购人才向中标人签发货物验收报告：</w:t>
            </w:r>
          </w:p>
          <w:p w14:paraId="1E4E46E1">
            <w:pPr>
              <w:keepNext w:val="0"/>
              <w:keepLines w:val="0"/>
              <w:widowControl/>
              <w:numPr>
                <w:ilvl w:val="0"/>
                <w:numId w:val="0"/>
              </w:numPr>
              <w:suppressLineNumbers w:val="0"/>
              <w:spacing w:before="0" w:beforeAutospacing="0" w:after="0" w:afterAutospacing="0"/>
              <w:ind w:left="0" w:right="0" w:rightChars="0"/>
              <w:jc w:val="left"/>
              <w:textAlignment w:val="center"/>
              <w:rPr>
                <w:rFonts w:hint="eastAsia" w:cs="Times New Roman"/>
                <w:color w:val="auto"/>
                <w:highlight w:val="none"/>
                <w:lang w:val="en-US" w:eastAsia="zh-CN"/>
              </w:rPr>
            </w:pPr>
            <w:r>
              <w:rPr>
                <w:rFonts w:hint="eastAsia" w:cs="Times New Roman"/>
                <w:color w:val="auto"/>
                <w:highlight w:val="none"/>
                <w:lang w:val="en-US" w:eastAsia="zh-CN"/>
              </w:rPr>
              <w:t>a、中标人已按照合同规定提供了全部产品。</w:t>
            </w:r>
          </w:p>
          <w:p w14:paraId="130F164A">
            <w:pPr>
              <w:keepNext w:val="0"/>
              <w:keepLines w:val="0"/>
              <w:widowControl/>
              <w:numPr>
                <w:ilvl w:val="0"/>
                <w:numId w:val="0"/>
              </w:numPr>
              <w:suppressLineNumbers w:val="0"/>
              <w:spacing w:before="0" w:beforeAutospacing="0" w:after="0" w:afterAutospacing="0"/>
              <w:ind w:left="0" w:right="0" w:rightChars="0"/>
              <w:jc w:val="left"/>
              <w:textAlignment w:val="center"/>
              <w:rPr>
                <w:rFonts w:hint="eastAsia" w:cs="Times New Roman"/>
                <w:color w:val="auto"/>
                <w:highlight w:val="none"/>
                <w:lang w:val="en-US" w:eastAsia="zh-CN"/>
              </w:rPr>
            </w:pPr>
            <w:r>
              <w:rPr>
                <w:rFonts w:hint="eastAsia" w:cs="Times New Roman"/>
                <w:color w:val="auto"/>
                <w:highlight w:val="none"/>
                <w:lang w:val="en-US" w:eastAsia="zh-CN"/>
              </w:rPr>
              <w:t>b、货物符合征集文件技术规格书的要求，性能满足要求。</w:t>
            </w:r>
          </w:p>
          <w:p w14:paraId="4ACC89B7">
            <w:pPr>
              <w:keepNext w:val="0"/>
              <w:keepLines w:val="0"/>
              <w:widowControl/>
              <w:numPr>
                <w:ilvl w:val="0"/>
                <w:numId w:val="0"/>
              </w:numPr>
              <w:suppressLineNumbers w:val="0"/>
              <w:spacing w:before="0" w:beforeAutospacing="0" w:after="0" w:afterAutospacing="0"/>
              <w:ind w:left="0" w:right="0" w:rightChars="0"/>
              <w:jc w:val="left"/>
              <w:textAlignment w:val="center"/>
              <w:rPr>
                <w:rFonts w:hint="default" w:cs="Times New Roman"/>
                <w:color w:val="auto"/>
                <w:highlight w:val="none"/>
                <w:lang w:val="en-US" w:eastAsia="zh-CN"/>
              </w:rPr>
            </w:pPr>
            <w:r>
              <w:rPr>
                <w:rFonts w:hint="eastAsia" w:cs="Times New Roman"/>
                <w:color w:val="auto"/>
                <w:highlight w:val="none"/>
                <w:lang w:val="en-US" w:eastAsia="zh-CN"/>
              </w:rPr>
              <w:t>c、货物具备产品合格证。</w:t>
            </w:r>
          </w:p>
        </w:tc>
      </w:tr>
      <w:tr w14:paraId="782EBC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jc w:val="center"/>
        </w:trPr>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1B6A83">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5</w:t>
            </w:r>
          </w:p>
        </w:tc>
        <w:tc>
          <w:tcPr>
            <w:tcW w:w="8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F34B37">
            <w:pPr>
              <w:keepNext w:val="0"/>
              <w:keepLines w:val="0"/>
              <w:widowControl/>
              <w:suppressLineNumbers w:val="0"/>
              <w:spacing w:before="0" w:beforeAutospacing="0" w:after="0" w:afterAutospacing="0"/>
              <w:ind w:left="0" w:right="0"/>
              <w:jc w:val="left"/>
              <w:textAlignment w:val="center"/>
              <w:rPr>
                <w:rFonts w:hint="eastAsia"/>
                <w:color w:val="auto"/>
                <w:highlight w:val="none"/>
                <w:lang w:val="en-US" w:eastAsia="zh-CN"/>
              </w:rPr>
            </w:pPr>
            <w:r>
              <w:rPr>
                <w:rFonts w:hint="eastAsia"/>
                <w:color w:val="auto"/>
                <w:highlight w:val="none"/>
                <w:lang w:val="en-US" w:eastAsia="zh-CN"/>
              </w:rPr>
              <w:t>报价要求：</w:t>
            </w:r>
          </w:p>
          <w:p w14:paraId="02087B83">
            <w:pPr>
              <w:keepNext w:val="0"/>
              <w:keepLines w:val="0"/>
              <w:widowControl/>
              <w:numPr>
                <w:ilvl w:val="0"/>
                <w:numId w:val="9"/>
              </w:numPr>
              <w:suppressLineNumbers w:val="0"/>
              <w:spacing w:before="0" w:beforeAutospacing="0" w:after="0" w:afterAutospacing="0"/>
              <w:ind w:left="0" w:right="0"/>
              <w:jc w:val="left"/>
              <w:textAlignment w:val="center"/>
              <w:rPr>
                <w:rFonts w:hint="eastAsia"/>
                <w:lang w:val="en-US" w:eastAsia="zh-CN"/>
              </w:rPr>
            </w:pPr>
            <w:r>
              <w:rPr>
                <w:rFonts w:hint="eastAsia"/>
                <w:color w:val="auto"/>
                <w:highlight w:val="none"/>
                <w:lang w:val="en-US" w:eastAsia="zh-CN"/>
              </w:rPr>
              <w:t>总价包干，报价需包含货物本体、运输、装卸、售后服务、税费等完成本项目全部的所有费用。</w:t>
            </w:r>
          </w:p>
          <w:p w14:paraId="656111F8">
            <w:pPr>
              <w:keepNext w:val="0"/>
              <w:keepLines w:val="0"/>
              <w:widowControl/>
              <w:numPr>
                <w:ilvl w:val="0"/>
                <w:numId w:val="9"/>
              </w:numPr>
              <w:suppressLineNumbers w:val="0"/>
              <w:spacing w:before="0" w:beforeAutospacing="0" w:after="0" w:afterAutospacing="0"/>
              <w:ind w:left="0" w:leftChars="0" w:right="0" w:firstLine="0" w:firstLineChars="0"/>
              <w:jc w:val="left"/>
              <w:textAlignment w:val="center"/>
              <w:rPr>
                <w:rFonts w:hint="eastAsia"/>
                <w:color w:val="auto"/>
                <w:highlight w:val="none"/>
                <w:lang w:val="en-US" w:eastAsia="zh-CN"/>
              </w:rPr>
            </w:pPr>
            <w:r>
              <w:rPr>
                <w:rFonts w:hint="eastAsia"/>
                <w:color w:val="auto"/>
                <w:highlight w:val="none"/>
                <w:lang w:val="en-US" w:eastAsia="zh-CN"/>
              </w:rPr>
              <w:t>报价为固定总价，合同履行期间采购人无需追加任何费用。</w:t>
            </w:r>
          </w:p>
          <w:p w14:paraId="36C7A009">
            <w:pPr>
              <w:keepNext w:val="0"/>
              <w:keepLines w:val="0"/>
              <w:widowControl/>
              <w:numPr>
                <w:ilvl w:val="0"/>
                <w:numId w:val="9"/>
              </w:numPr>
              <w:suppressLineNumbers w:val="0"/>
              <w:spacing w:before="0" w:beforeAutospacing="0" w:after="0" w:afterAutospacing="0"/>
              <w:ind w:left="0" w:leftChars="0" w:right="0" w:firstLine="0" w:firstLineChars="0"/>
              <w:jc w:val="left"/>
              <w:textAlignment w:val="center"/>
              <w:rPr>
                <w:rFonts w:hint="eastAsia" w:ascii="宋体" w:hAnsi="宋体" w:cs="宋体" w:eastAsiaTheme="minorEastAsia"/>
                <w:i w:val="0"/>
                <w:iCs w:val="0"/>
                <w:color w:val="auto"/>
                <w:kern w:val="0"/>
                <w:sz w:val="21"/>
                <w:szCs w:val="21"/>
                <w:u w:val="none"/>
                <w:lang w:val="en-US" w:eastAsia="zh-CN" w:bidi="ar"/>
              </w:rPr>
            </w:pPr>
            <w:r>
              <w:rPr>
                <w:rFonts w:hint="eastAsia"/>
                <w:color w:val="auto"/>
                <w:highlight w:val="none"/>
                <w:lang w:val="en-US" w:eastAsia="zh-CN"/>
              </w:rPr>
              <w:t>投标文件须清晰提供报价明细表。</w:t>
            </w:r>
          </w:p>
        </w:tc>
      </w:tr>
      <w:tr w14:paraId="300377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jc w:val="center"/>
        </w:trPr>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CD8B4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6</w:t>
            </w:r>
          </w:p>
        </w:tc>
        <w:tc>
          <w:tcPr>
            <w:tcW w:w="8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DFE895">
            <w:pPr>
              <w:keepNext w:val="0"/>
              <w:keepLines w:val="0"/>
              <w:suppressLineNumbers w:val="0"/>
              <w:spacing w:before="0" w:beforeAutospacing="0" w:after="0" w:afterAutospacing="0"/>
              <w:ind w:left="0" w:right="0"/>
              <w:jc w:val="left"/>
              <w:rPr>
                <w:rFonts w:hint="eastAsia" w:ascii="宋体" w:hAnsi="宋体" w:cs="宋体" w:eastAsiaTheme="minorEastAsia"/>
                <w:i w:val="0"/>
                <w:iCs w:val="0"/>
                <w:color w:val="auto"/>
                <w:kern w:val="0"/>
                <w:sz w:val="21"/>
                <w:szCs w:val="21"/>
                <w:u w:val="none"/>
                <w:lang w:val="en-US" w:eastAsia="zh-CN" w:bidi="ar"/>
              </w:rPr>
            </w:pPr>
            <w:r>
              <w:rPr>
                <w:rFonts w:hint="eastAsia"/>
                <w:color w:val="auto"/>
                <w:highlight w:val="none"/>
              </w:rPr>
              <w:t>付款方式</w:t>
            </w:r>
            <w:r>
              <w:rPr>
                <w:rFonts w:hint="eastAsia"/>
                <w:color w:val="auto"/>
                <w:highlight w:val="none"/>
                <w:lang w:eastAsia="zh-CN"/>
              </w:rPr>
              <w:t>：</w:t>
            </w:r>
            <w:r>
              <w:rPr>
                <w:rFonts w:hint="eastAsia" w:ascii="宋体" w:hAnsi="宋体" w:cs="Times New Roman"/>
                <w:color w:val="auto"/>
                <w:highlight w:val="none"/>
                <w:lang w:val="en-US" w:eastAsia="zh-CN"/>
              </w:rPr>
              <w:t>项目验收合格后按照合同约定凭供应商开具的增值税发票付款。</w:t>
            </w:r>
            <w:r>
              <w:rPr>
                <w:rFonts w:hint="eastAsia" w:ascii="宋体" w:hAnsi="宋体" w:eastAsia="宋体" w:cs="宋体"/>
                <w:i w:val="0"/>
                <w:iCs w:val="0"/>
                <w:color w:val="auto"/>
                <w:kern w:val="0"/>
                <w:sz w:val="21"/>
                <w:szCs w:val="21"/>
                <w:u w:val="none"/>
                <w:lang w:val="en-US" w:eastAsia="zh-CN" w:bidi="ar"/>
              </w:rPr>
              <w:t>院方财务科收到中标方发票等相关资料后10个工作日内向中标方支付合同全款。</w:t>
            </w:r>
          </w:p>
        </w:tc>
      </w:tr>
      <w:tr w14:paraId="09FD4E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jc w:val="center"/>
        </w:trPr>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74260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7</w:t>
            </w:r>
          </w:p>
        </w:tc>
        <w:tc>
          <w:tcPr>
            <w:tcW w:w="8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B3B75D">
            <w:pPr>
              <w:keepNext w:val="0"/>
              <w:keepLines w:val="0"/>
              <w:widowControl/>
              <w:suppressLineNumbers w:val="0"/>
              <w:spacing w:before="0" w:beforeAutospacing="0" w:after="0" w:afterAutospacing="0"/>
              <w:ind w:left="0" w:right="0"/>
              <w:jc w:val="left"/>
              <w:textAlignment w:val="center"/>
              <w:rPr>
                <w:rFonts w:hint="eastAsia"/>
                <w:color w:val="auto"/>
                <w:highlight w:val="none"/>
                <w:lang w:val="en-US" w:eastAsia="zh-CN"/>
              </w:rPr>
            </w:pPr>
            <w:r>
              <w:rPr>
                <w:rFonts w:hint="eastAsia"/>
                <w:color w:val="auto"/>
                <w:highlight w:val="none"/>
                <w:lang w:val="en-US" w:eastAsia="zh-CN"/>
              </w:rPr>
              <w:t>知识产权:</w:t>
            </w:r>
          </w:p>
          <w:p w14:paraId="392298D1">
            <w:pPr>
              <w:pStyle w:val="2"/>
              <w:keepNext w:val="0"/>
              <w:keepLines w:val="0"/>
              <w:suppressLineNumbers w:val="0"/>
              <w:spacing w:before="0" w:beforeAutospacing="0" w:after="0" w:afterAutospacing="0"/>
              <w:ind w:left="0" w:right="0"/>
              <w:rPr>
                <w:rFonts w:hint="default"/>
                <w:szCs w:val="20"/>
                <w:lang w:val="en-US" w:eastAsia="zh-CN"/>
              </w:rPr>
            </w:pPr>
            <w:r>
              <w:rPr>
                <w:rFonts w:hint="eastAsia"/>
                <w:color w:val="auto"/>
                <w:szCs w:val="20"/>
                <w:highlight w:val="none"/>
                <w:lang w:val="en-US" w:eastAsia="zh-CN"/>
              </w:rPr>
              <w:t>采购人购买产品后，有权对该产品与其他设备进行配套、整合或适当改进，而免受侵犯专利权的起诉。</w:t>
            </w:r>
          </w:p>
        </w:tc>
      </w:tr>
      <w:tr w14:paraId="7F376EE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jc w:val="center"/>
        </w:trPr>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720E2E">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8</w:t>
            </w:r>
          </w:p>
        </w:tc>
        <w:tc>
          <w:tcPr>
            <w:tcW w:w="8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4FFC2D">
            <w:pPr>
              <w:keepNext w:val="0"/>
              <w:keepLines w:val="0"/>
              <w:widowControl/>
              <w:suppressLineNumbers w:val="0"/>
              <w:spacing w:before="0" w:beforeAutospacing="0" w:after="0" w:afterAutospacing="0"/>
              <w:ind w:left="0" w:right="0"/>
              <w:jc w:val="left"/>
              <w:textAlignment w:val="center"/>
              <w:rPr>
                <w:rFonts w:hint="eastAsia"/>
                <w:color w:val="auto"/>
                <w:highlight w:val="none"/>
                <w:lang w:val="en-US" w:eastAsia="zh-CN"/>
              </w:rPr>
            </w:pPr>
            <w:r>
              <w:rPr>
                <w:rFonts w:hint="eastAsia"/>
                <w:color w:val="auto"/>
                <w:highlight w:val="none"/>
                <w:lang w:val="en-US" w:eastAsia="zh-CN"/>
              </w:rPr>
              <w:t>违约责任:</w:t>
            </w:r>
          </w:p>
          <w:p w14:paraId="4C283200">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auto"/>
                <w:kern w:val="0"/>
                <w:sz w:val="21"/>
                <w:szCs w:val="21"/>
                <w:u w:val="none"/>
                <w:lang w:val="en-US" w:eastAsia="zh-CN" w:bidi="ar"/>
              </w:rPr>
            </w:pPr>
            <w:r>
              <w:rPr>
                <w:rFonts w:hint="eastAsia"/>
                <w:color w:val="auto"/>
                <w:highlight w:val="none"/>
                <w:lang w:val="en-US" w:eastAsia="zh-CN"/>
              </w:rPr>
              <w:t>1.中标人所交付的货物品种、型号、规格不符合合同规定的，采购人有权拒收。</w:t>
            </w:r>
            <w:r>
              <w:rPr>
                <w:rFonts w:hint="eastAsia"/>
                <w:color w:val="auto"/>
                <w:highlight w:val="none"/>
                <w:lang w:val="en-US" w:eastAsia="zh-CN"/>
              </w:rPr>
              <w:br w:type="textWrapping"/>
            </w:r>
            <w:r>
              <w:rPr>
                <w:rFonts w:hint="eastAsia"/>
                <w:color w:val="auto"/>
                <w:highlight w:val="none"/>
                <w:lang w:val="en-US" w:eastAsia="zh-CN"/>
              </w:rPr>
              <w:t>2.在中标人承诺的或国家规定的质量保证期内（取两者中最长的期限），如经中标人两次维修或更换，货物仍不能达到合同约定的质量标准，采购人有权退货，中标人应退回全部货款并赔偿采购人因此遭受的损失。</w:t>
            </w:r>
          </w:p>
        </w:tc>
      </w:tr>
    </w:tbl>
    <w:p w14:paraId="354E857C">
      <w:pPr>
        <w:pStyle w:val="2"/>
        <w:rPr>
          <w:rFonts w:hint="eastAsia" w:asciiTheme="majorEastAsia" w:hAnsiTheme="majorEastAsia" w:eastAsiaTheme="majorEastAsia" w:cstheme="majorEastAsia"/>
          <w:kern w:val="2"/>
          <w:sz w:val="32"/>
          <w:szCs w:val="32"/>
          <w:lang w:val="en-US" w:eastAsia="zh-CN" w:bidi="ar-SA"/>
        </w:rPr>
      </w:pPr>
    </w:p>
    <w:p w14:paraId="42A4B5C2">
      <w:pPr>
        <w:rPr>
          <w:rFonts w:hint="eastAsia" w:asciiTheme="majorEastAsia" w:hAnsiTheme="majorEastAsia" w:eastAsiaTheme="majorEastAsia" w:cstheme="majorEastAsia"/>
          <w:kern w:val="2"/>
          <w:sz w:val="32"/>
          <w:szCs w:val="32"/>
          <w:lang w:val="en-US" w:eastAsia="zh-CN" w:bidi="ar-SA"/>
        </w:rPr>
      </w:pPr>
    </w:p>
    <w:p w14:paraId="36EB70C4">
      <w:pPr>
        <w:pStyle w:val="4"/>
        <w:numPr>
          <w:ilvl w:val="0"/>
          <w:numId w:val="0"/>
        </w:numPr>
        <w:spacing w:line="240" w:lineRule="auto"/>
        <w:ind w:left="0" w:leftChars="0" w:firstLine="0" w:firstLineChars="0"/>
        <w:jc w:val="center"/>
        <w:outlineLvl w:val="0"/>
        <w:rPr>
          <w:rFonts w:hint="eastAsia" w:asciiTheme="majorEastAsia" w:hAnsiTheme="majorEastAsia" w:eastAsiaTheme="majorEastAsia" w:cstheme="majorEastAsia"/>
          <w:sz w:val="32"/>
          <w:szCs w:val="32"/>
        </w:rPr>
      </w:pPr>
      <w:bookmarkStart w:id="12" w:name="_Toc10317"/>
      <w:r>
        <w:rPr>
          <w:rFonts w:hint="eastAsia" w:asciiTheme="majorEastAsia" w:hAnsiTheme="majorEastAsia" w:eastAsiaTheme="majorEastAsia" w:cstheme="majorEastAsia"/>
          <w:kern w:val="2"/>
          <w:sz w:val="32"/>
          <w:szCs w:val="32"/>
          <w:lang w:val="en-US" w:eastAsia="zh-CN" w:bidi="ar-SA"/>
        </w:rPr>
        <w:t xml:space="preserve">第四章 </w:t>
      </w:r>
      <w:r>
        <w:rPr>
          <w:rFonts w:hint="eastAsia" w:asciiTheme="majorEastAsia" w:hAnsiTheme="majorEastAsia" w:eastAsiaTheme="majorEastAsia" w:cstheme="majorEastAsia"/>
          <w:sz w:val="32"/>
          <w:szCs w:val="32"/>
        </w:rPr>
        <w:t>开标、评标、定标</w:t>
      </w:r>
      <w:bookmarkEnd w:id="12"/>
    </w:p>
    <w:p w14:paraId="3B4C8BEE">
      <w:pPr>
        <w:pStyle w:val="4"/>
        <w:numPr>
          <w:ilvl w:val="0"/>
          <w:numId w:val="10"/>
        </w:numPr>
        <w:spacing w:line="240" w:lineRule="auto"/>
        <w:ind w:left="-420" w:leftChars="-200" w:firstLine="4" w:firstLineChars="0"/>
        <w:jc w:val="left"/>
        <w:outlineLvl w:val="0"/>
        <w:rPr>
          <w:rFonts w:hint="eastAsia" w:ascii="宋体" w:hAnsi="宋体" w:cs="宋体" w:eastAsiaTheme="minorEastAsia"/>
          <w:kern w:val="2"/>
          <w:sz w:val="21"/>
          <w:szCs w:val="21"/>
          <w:lang w:val="en-US" w:eastAsia="zh-CN" w:bidi="ar-SA"/>
        </w:rPr>
      </w:pPr>
      <w:bookmarkStart w:id="13" w:name="_Toc24015563"/>
      <w:bookmarkStart w:id="14" w:name="_Toc15209"/>
      <w:bookmarkStart w:id="15" w:name="_Toc1703"/>
      <w:bookmarkStart w:id="16" w:name="_Toc1988"/>
      <w:r>
        <w:rPr>
          <w:rFonts w:hint="eastAsia" w:ascii="宋体" w:hAnsi="宋体" w:cs="宋体" w:eastAsiaTheme="minorEastAsia"/>
          <w:kern w:val="2"/>
          <w:sz w:val="21"/>
          <w:szCs w:val="21"/>
          <w:lang w:val="en-US" w:eastAsia="zh-CN" w:bidi="ar-SA"/>
        </w:rPr>
        <w:t>资格性审查表</w:t>
      </w:r>
      <w:bookmarkEnd w:id="13"/>
      <w:bookmarkEnd w:id="14"/>
      <w:bookmarkEnd w:id="15"/>
      <w:bookmarkEnd w:id="16"/>
    </w:p>
    <w:tbl>
      <w:tblPr>
        <w:tblStyle w:val="21"/>
        <w:tblW w:w="997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3"/>
        <w:gridCol w:w="9286"/>
      </w:tblGrid>
      <w:tr w14:paraId="2C7A93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693" w:type="dxa"/>
            <w:noWrap w:val="0"/>
            <w:vAlign w:val="center"/>
          </w:tcPr>
          <w:p w14:paraId="59A3AE57">
            <w:pPr>
              <w:keepNext w:val="0"/>
              <w:keepLines w:val="0"/>
              <w:suppressLineNumbers w:val="0"/>
              <w:spacing w:before="0" w:beforeAutospacing="0" w:after="0" w:afterAutospacing="0"/>
              <w:ind w:left="0" w:right="0"/>
              <w:jc w:val="center"/>
              <w:rPr>
                <w:rFonts w:hint="eastAsia" w:ascii="宋体" w:hAnsi="宋体" w:eastAsia="宋体" w:cs="宋体"/>
                <w:b/>
                <w:bCs/>
                <w:color w:val="000000"/>
                <w:sz w:val="21"/>
                <w:szCs w:val="21"/>
              </w:rPr>
            </w:pPr>
            <w:bookmarkStart w:id="17" w:name="_Toc15975"/>
            <w:r>
              <w:rPr>
                <w:rFonts w:hint="eastAsia" w:ascii="宋体" w:hAnsi="宋体" w:eastAsia="宋体" w:cs="宋体"/>
                <w:b/>
                <w:bCs/>
                <w:color w:val="000000"/>
                <w:sz w:val="21"/>
                <w:szCs w:val="21"/>
              </w:rPr>
              <w:t>序号</w:t>
            </w:r>
          </w:p>
        </w:tc>
        <w:tc>
          <w:tcPr>
            <w:tcW w:w="9286" w:type="dxa"/>
            <w:noWrap w:val="0"/>
            <w:vAlign w:val="center"/>
          </w:tcPr>
          <w:p w14:paraId="492F829C">
            <w:pPr>
              <w:keepNext w:val="0"/>
              <w:keepLines w:val="0"/>
              <w:suppressLineNumbers w:val="0"/>
              <w:spacing w:before="0" w:beforeAutospacing="0" w:after="0" w:afterAutospacing="0"/>
              <w:ind w:left="0" w:right="0"/>
              <w:jc w:val="center"/>
              <w:rPr>
                <w:rFonts w:hint="eastAsia" w:ascii="宋体" w:hAnsi="宋体" w:eastAsia="宋体" w:cs="宋体"/>
                <w:b/>
                <w:bCs/>
                <w:color w:val="000000"/>
                <w:sz w:val="21"/>
                <w:szCs w:val="21"/>
              </w:rPr>
            </w:pPr>
            <w:r>
              <w:rPr>
                <w:rFonts w:hint="eastAsia" w:ascii="宋体" w:hAnsi="宋体" w:eastAsia="宋体" w:cs="宋体"/>
                <w:b/>
                <w:bCs/>
                <w:color w:val="000000"/>
                <w:sz w:val="21"/>
                <w:szCs w:val="21"/>
                <w:lang w:val="en-US" w:eastAsia="zh-CN"/>
              </w:rPr>
              <w:t>资格性审查内容</w:t>
            </w:r>
          </w:p>
        </w:tc>
      </w:tr>
      <w:tr w14:paraId="62EB0C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693" w:type="dxa"/>
            <w:noWrap w:val="0"/>
            <w:vAlign w:val="center"/>
          </w:tcPr>
          <w:p w14:paraId="6424D381">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1</w:t>
            </w:r>
          </w:p>
        </w:tc>
        <w:tc>
          <w:tcPr>
            <w:tcW w:w="9286" w:type="dxa"/>
            <w:noWrap w:val="0"/>
            <w:vAlign w:val="center"/>
          </w:tcPr>
          <w:p w14:paraId="37E0A346">
            <w:pPr>
              <w:keepNext w:val="0"/>
              <w:keepLines w:val="0"/>
              <w:suppressLineNumbers w:val="0"/>
              <w:spacing w:before="0" w:beforeAutospacing="0" w:after="0" w:afterAutospacing="0"/>
              <w:ind w:left="0" w:right="0"/>
              <w:rPr>
                <w:rFonts w:hint="eastAsia" w:ascii="宋体" w:hAnsi="宋体" w:eastAsia="宋体" w:cs="宋体"/>
                <w:color w:val="000000"/>
                <w:sz w:val="21"/>
                <w:szCs w:val="21"/>
              </w:rPr>
            </w:pPr>
            <w:r>
              <w:rPr>
                <w:rFonts w:hint="eastAsia" w:ascii="宋体" w:hAnsi="宋体" w:eastAsia="宋体" w:cs="宋体"/>
                <w:color w:val="000000"/>
                <w:sz w:val="21"/>
                <w:szCs w:val="21"/>
                <w:lang w:eastAsia="zh-CN"/>
              </w:rPr>
              <w:t>投标人</w:t>
            </w:r>
            <w:r>
              <w:rPr>
                <w:rFonts w:hint="eastAsia" w:ascii="宋体" w:hAnsi="宋体" w:eastAsia="宋体" w:cs="宋体"/>
                <w:color w:val="000000"/>
                <w:sz w:val="21"/>
                <w:szCs w:val="21"/>
              </w:rPr>
              <w:t>不具备资质要求，或未提交相应资格证明材料（详见采购公告或采购邀请函中的资质要求，其中未列示的资质要求不得导致投标无效）</w:t>
            </w:r>
          </w:p>
        </w:tc>
      </w:tr>
      <w:tr w14:paraId="1FD20C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693" w:type="dxa"/>
            <w:noWrap w:val="0"/>
            <w:vAlign w:val="center"/>
          </w:tcPr>
          <w:p w14:paraId="503FDA23">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2</w:t>
            </w:r>
          </w:p>
        </w:tc>
        <w:tc>
          <w:tcPr>
            <w:tcW w:w="9286" w:type="dxa"/>
            <w:noWrap w:val="0"/>
            <w:vAlign w:val="center"/>
          </w:tcPr>
          <w:p w14:paraId="3A1E4E1D">
            <w:pPr>
              <w:keepNext w:val="0"/>
              <w:keepLines w:val="0"/>
              <w:suppressLineNumbers w:val="0"/>
              <w:spacing w:before="0" w:beforeAutospacing="0" w:after="0" w:afterAutospacing="0"/>
              <w:ind w:left="0" w:right="0"/>
              <w:rPr>
                <w:rFonts w:hint="eastAsia" w:ascii="宋体" w:hAnsi="宋体" w:eastAsia="宋体" w:cs="宋体"/>
                <w:color w:val="000000"/>
                <w:sz w:val="21"/>
                <w:szCs w:val="21"/>
                <w:lang w:eastAsia="zh-CN"/>
              </w:rPr>
            </w:pPr>
            <w:r>
              <w:rPr>
                <w:rFonts w:hint="eastAsia" w:ascii="宋体" w:hAnsi="宋体" w:eastAsia="宋体" w:cs="宋体"/>
                <w:color w:val="000000"/>
                <w:sz w:val="21"/>
                <w:szCs w:val="21"/>
                <w:lang w:eastAsia="zh-CN"/>
              </w:rPr>
              <w:t>投标人</w:t>
            </w:r>
            <w:r>
              <w:rPr>
                <w:rFonts w:hint="eastAsia" w:ascii="宋体" w:hAnsi="宋体" w:eastAsia="宋体" w:cs="宋体"/>
                <w:color w:val="000000"/>
                <w:sz w:val="21"/>
                <w:szCs w:val="21"/>
              </w:rPr>
              <w:t>未按采购公告（或采购邀请函）要求完成投标报名的</w:t>
            </w:r>
          </w:p>
        </w:tc>
      </w:tr>
      <w:tr w14:paraId="66E462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693" w:type="dxa"/>
            <w:noWrap w:val="0"/>
            <w:vAlign w:val="center"/>
          </w:tcPr>
          <w:p w14:paraId="0A858592">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3</w:t>
            </w:r>
          </w:p>
        </w:tc>
        <w:tc>
          <w:tcPr>
            <w:tcW w:w="9286" w:type="dxa"/>
            <w:noWrap w:val="0"/>
            <w:vAlign w:val="center"/>
          </w:tcPr>
          <w:p w14:paraId="462A7070">
            <w:pPr>
              <w:keepNext w:val="0"/>
              <w:keepLines w:val="0"/>
              <w:suppressLineNumbers w:val="0"/>
              <w:spacing w:before="0" w:beforeAutospacing="0" w:after="0" w:afterAutospacing="0"/>
              <w:ind w:left="0" w:right="0"/>
              <w:rPr>
                <w:rFonts w:hint="eastAsia" w:ascii="宋体" w:hAnsi="宋体" w:eastAsia="宋体" w:cs="宋体"/>
                <w:color w:val="000000"/>
                <w:sz w:val="21"/>
                <w:szCs w:val="21"/>
                <w:lang w:eastAsia="zh-CN"/>
              </w:rPr>
            </w:pPr>
            <w:r>
              <w:rPr>
                <w:rFonts w:hint="default" w:cs="Times New Roman"/>
              </w:rPr>
              <w:t>法律、法规规定的属于投标无效的其他情形</w:t>
            </w:r>
          </w:p>
        </w:tc>
      </w:tr>
    </w:tbl>
    <w:p w14:paraId="218A01EB">
      <w:pPr>
        <w:adjustRightInd w:val="0"/>
        <w:snapToGrid w:val="0"/>
        <w:spacing w:line="360" w:lineRule="auto"/>
        <w:jc w:val="left"/>
        <w:outlineLvl w:val="9"/>
        <w:rPr>
          <w:rFonts w:ascii="宋体" w:hAnsi="宋体"/>
          <w:color w:val="auto"/>
          <w:highlight w:val="none"/>
        </w:rPr>
      </w:pPr>
      <w:r>
        <w:rPr>
          <w:rFonts w:hint="eastAsia" w:ascii="宋体" w:hAnsi="宋体" w:cs="宋体"/>
        </w:rPr>
        <w:t>说明：</w:t>
      </w:r>
      <w:r>
        <w:rPr>
          <w:rFonts w:hint="eastAsia" w:ascii="宋体" w:hAnsi="宋体"/>
        </w:rPr>
        <w:t>投标人必须严格按照《资格性审查表》的评审内容的要求如实提供证明材料</w:t>
      </w:r>
      <w:r>
        <w:rPr>
          <w:rFonts w:hint="eastAsia" w:ascii="宋体" w:hAnsi="宋体"/>
          <w:bCs/>
        </w:rPr>
        <w:t>并应加盖投标人公章,</w:t>
      </w:r>
      <w:r>
        <w:rPr>
          <w:rFonts w:hint="eastAsia" w:ascii="宋体" w:hAnsi="宋体"/>
        </w:rPr>
        <w:t>对缺漏或不符合项将直接导致无</w:t>
      </w:r>
      <w:r>
        <w:rPr>
          <w:rFonts w:hint="eastAsia" w:ascii="宋体" w:hAnsi="宋体"/>
          <w:color w:val="auto"/>
          <w:highlight w:val="none"/>
        </w:rPr>
        <w:t>效投标</w:t>
      </w:r>
      <w:r>
        <w:rPr>
          <w:rFonts w:hint="eastAsia" w:ascii="宋体" w:cs="宋体"/>
          <w:color w:val="auto"/>
          <w:szCs w:val="21"/>
          <w:highlight w:val="none"/>
        </w:rPr>
        <w:t>。</w:t>
      </w:r>
      <w:bookmarkEnd w:id="17"/>
    </w:p>
    <w:p w14:paraId="41BA4C69">
      <w:pPr>
        <w:pStyle w:val="4"/>
        <w:numPr>
          <w:ilvl w:val="0"/>
          <w:numId w:val="10"/>
        </w:numPr>
        <w:spacing w:line="240" w:lineRule="auto"/>
        <w:ind w:left="-420" w:leftChars="-200" w:firstLine="4" w:firstLineChars="0"/>
        <w:jc w:val="left"/>
        <w:outlineLvl w:val="0"/>
        <w:rPr>
          <w:rFonts w:hint="eastAsia" w:ascii="宋体" w:hAnsi="宋体" w:cs="宋体" w:eastAsiaTheme="minorEastAsia"/>
          <w:kern w:val="2"/>
          <w:sz w:val="21"/>
          <w:szCs w:val="21"/>
          <w:lang w:val="en-US" w:eastAsia="zh-CN" w:bidi="ar-SA"/>
        </w:rPr>
      </w:pPr>
      <w:bookmarkStart w:id="18" w:name="_Toc2053"/>
      <w:r>
        <w:rPr>
          <w:rFonts w:hint="eastAsia" w:ascii="宋体" w:hAnsi="宋体" w:cs="宋体"/>
          <w:kern w:val="2"/>
          <w:sz w:val="21"/>
          <w:szCs w:val="21"/>
          <w:lang w:val="en-US" w:eastAsia="zh-CN" w:bidi="ar-SA"/>
        </w:rPr>
        <w:t>符合</w:t>
      </w:r>
      <w:r>
        <w:rPr>
          <w:rFonts w:hint="eastAsia" w:ascii="宋体" w:hAnsi="宋体" w:cs="宋体" w:eastAsiaTheme="minorEastAsia"/>
          <w:kern w:val="2"/>
          <w:sz w:val="21"/>
          <w:szCs w:val="21"/>
          <w:lang w:val="en-US" w:eastAsia="zh-CN" w:bidi="ar-SA"/>
        </w:rPr>
        <w:t>性审查表</w:t>
      </w:r>
      <w:bookmarkEnd w:id="18"/>
    </w:p>
    <w:tbl>
      <w:tblPr>
        <w:tblStyle w:val="21"/>
        <w:tblW w:w="1000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5"/>
        <w:gridCol w:w="9319"/>
      </w:tblGrid>
      <w:tr w14:paraId="36ACCF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685" w:type="dxa"/>
            <w:noWrap w:val="0"/>
            <w:vAlign w:val="center"/>
          </w:tcPr>
          <w:p w14:paraId="0EED1B45">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b/>
                <w:color w:val="000000"/>
                <w:sz w:val="21"/>
                <w:szCs w:val="21"/>
              </w:rPr>
              <w:t>序号</w:t>
            </w:r>
          </w:p>
        </w:tc>
        <w:tc>
          <w:tcPr>
            <w:tcW w:w="9319" w:type="dxa"/>
            <w:noWrap w:val="0"/>
            <w:vAlign w:val="center"/>
          </w:tcPr>
          <w:p w14:paraId="0D35C544">
            <w:pPr>
              <w:keepNext w:val="0"/>
              <w:keepLines w:val="0"/>
              <w:suppressLineNumbers w:val="0"/>
              <w:spacing w:before="0" w:beforeAutospacing="0" w:after="0" w:afterAutospacing="0"/>
              <w:ind w:left="0" w:leftChars="0" w:right="0" w:rightChars="0"/>
              <w:jc w:val="center"/>
              <w:rPr>
                <w:rFonts w:hint="eastAsia" w:ascii="宋体" w:hAnsi="宋体" w:eastAsia="宋体" w:cs="宋体"/>
                <w:color w:val="000000"/>
                <w:sz w:val="21"/>
                <w:szCs w:val="21"/>
              </w:rPr>
            </w:pPr>
            <w:r>
              <w:rPr>
                <w:rFonts w:hint="eastAsia" w:ascii="宋体" w:hAnsi="宋体" w:eastAsia="宋体" w:cs="宋体"/>
                <w:b/>
                <w:color w:val="000000"/>
                <w:sz w:val="21"/>
                <w:szCs w:val="21"/>
              </w:rPr>
              <w:t>符合性</w:t>
            </w:r>
            <w:r>
              <w:rPr>
                <w:rFonts w:hint="eastAsia" w:ascii="宋体" w:hAnsi="宋体" w:eastAsia="宋体" w:cs="宋体"/>
                <w:b/>
                <w:color w:val="000000"/>
                <w:sz w:val="21"/>
                <w:szCs w:val="21"/>
                <w:lang w:val="en-US" w:eastAsia="zh-CN"/>
              </w:rPr>
              <w:t>审查内容</w:t>
            </w:r>
          </w:p>
        </w:tc>
      </w:tr>
      <w:tr w14:paraId="6851FE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685" w:type="dxa"/>
            <w:shd w:val="clear" w:color="auto" w:fill="auto"/>
            <w:noWrap w:val="0"/>
            <w:vAlign w:val="center"/>
          </w:tcPr>
          <w:p w14:paraId="02E74DBF">
            <w:pPr>
              <w:keepNext w:val="0"/>
              <w:keepLines w:val="0"/>
              <w:suppressLineNumbers w:val="0"/>
              <w:spacing w:before="0" w:beforeAutospacing="0" w:after="0" w:afterAutospacing="0"/>
              <w:ind w:left="0" w:leftChars="0" w:right="0" w:rightChars="0"/>
              <w:jc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rPr>
              <w:t>1</w:t>
            </w:r>
          </w:p>
        </w:tc>
        <w:tc>
          <w:tcPr>
            <w:tcW w:w="9319" w:type="dxa"/>
            <w:shd w:val="clear" w:color="auto" w:fill="auto"/>
            <w:noWrap w:val="0"/>
            <w:vAlign w:val="center"/>
          </w:tcPr>
          <w:p w14:paraId="66D5BC09">
            <w:pPr>
              <w:keepNext w:val="0"/>
              <w:keepLines w:val="0"/>
              <w:suppressLineNumbers w:val="0"/>
              <w:spacing w:before="0" w:beforeAutospacing="0" w:after="0" w:afterAutospacing="0"/>
              <w:ind w:left="0" w:leftChars="0" w:right="0" w:rightChars="0"/>
              <w:rPr>
                <w:rFonts w:hint="eastAsia" w:ascii="宋体" w:hAnsi="宋体" w:eastAsia="宋体" w:cs="宋体"/>
                <w:kern w:val="2"/>
                <w:sz w:val="21"/>
                <w:szCs w:val="21"/>
                <w:lang w:val="en-US" w:eastAsia="zh-CN" w:bidi="ar-SA"/>
              </w:rPr>
            </w:pPr>
            <w:r>
              <w:rPr>
                <w:rFonts w:hint="eastAsia"/>
              </w:rPr>
              <w:t>将一个包或一个标段的内容拆开投标</w:t>
            </w:r>
          </w:p>
        </w:tc>
      </w:tr>
      <w:tr w14:paraId="6CE7FD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685" w:type="dxa"/>
            <w:shd w:val="clear" w:color="auto" w:fill="auto"/>
            <w:noWrap w:val="0"/>
            <w:vAlign w:val="center"/>
          </w:tcPr>
          <w:p w14:paraId="3684B3EC">
            <w:pPr>
              <w:keepNext w:val="0"/>
              <w:keepLines w:val="0"/>
              <w:suppressLineNumbers w:val="0"/>
              <w:spacing w:before="0" w:beforeAutospacing="0" w:after="0" w:afterAutospacing="0"/>
              <w:ind w:left="0" w:leftChars="0" w:right="0" w:rightChars="0"/>
              <w:jc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rPr>
              <w:t>2</w:t>
            </w:r>
          </w:p>
        </w:tc>
        <w:tc>
          <w:tcPr>
            <w:tcW w:w="9319" w:type="dxa"/>
            <w:shd w:val="clear" w:color="auto" w:fill="auto"/>
            <w:noWrap w:val="0"/>
            <w:vAlign w:val="center"/>
          </w:tcPr>
          <w:p w14:paraId="5094F6E0">
            <w:pPr>
              <w:keepNext w:val="0"/>
              <w:keepLines w:val="0"/>
              <w:suppressLineNumbers w:val="0"/>
              <w:spacing w:before="0" w:beforeAutospacing="0" w:after="0" w:afterAutospacing="0"/>
              <w:ind w:left="0" w:leftChars="0" w:right="0" w:rightChars="0"/>
              <w:rPr>
                <w:rFonts w:hint="eastAsia" w:ascii="宋体" w:hAnsi="宋体" w:eastAsia="宋体" w:cs="宋体"/>
                <w:kern w:val="2"/>
                <w:sz w:val="21"/>
                <w:szCs w:val="21"/>
                <w:lang w:val="en-US" w:eastAsia="zh-CN" w:bidi="ar-SA"/>
              </w:rPr>
            </w:pPr>
            <w:r>
              <w:rPr>
                <w:rFonts w:hint="eastAsia"/>
              </w:rPr>
              <w:t>投标文件及开标一览表未按</w:t>
            </w:r>
            <w:r>
              <w:rPr>
                <w:rFonts w:hint="eastAsia"/>
                <w:lang w:val="en-US" w:eastAsia="zh-CN"/>
              </w:rPr>
              <w:t>征集</w:t>
            </w:r>
            <w:r>
              <w:rPr>
                <w:rFonts w:hint="eastAsia"/>
              </w:rPr>
              <w:t>文件规定密封、签字、盖章</w:t>
            </w:r>
          </w:p>
        </w:tc>
      </w:tr>
      <w:tr w14:paraId="4C9A43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685" w:type="dxa"/>
            <w:shd w:val="clear" w:color="auto" w:fill="auto"/>
            <w:noWrap w:val="0"/>
            <w:vAlign w:val="center"/>
          </w:tcPr>
          <w:p w14:paraId="29F5E7CB">
            <w:pPr>
              <w:keepNext w:val="0"/>
              <w:keepLines w:val="0"/>
              <w:suppressLineNumbers w:val="0"/>
              <w:spacing w:before="0" w:beforeAutospacing="0" w:after="0" w:afterAutospacing="0"/>
              <w:ind w:left="0" w:leftChars="0" w:right="0" w:rightChars="0"/>
              <w:jc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rPr>
              <w:t>3</w:t>
            </w:r>
          </w:p>
        </w:tc>
        <w:tc>
          <w:tcPr>
            <w:tcW w:w="9319" w:type="dxa"/>
            <w:shd w:val="clear" w:color="auto" w:fill="auto"/>
            <w:noWrap w:val="0"/>
            <w:vAlign w:val="center"/>
          </w:tcPr>
          <w:p w14:paraId="2FA4074E">
            <w:pPr>
              <w:keepNext w:val="0"/>
              <w:keepLines w:val="0"/>
              <w:suppressLineNumbers w:val="0"/>
              <w:spacing w:before="0" w:beforeAutospacing="0" w:after="0" w:afterAutospacing="0"/>
              <w:ind w:left="0" w:leftChars="0" w:right="0" w:rightChars="0"/>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征集</w:t>
            </w:r>
            <w:r>
              <w:rPr>
                <w:rFonts w:hint="eastAsia" w:ascii="宋体" w:hAnsi="宋体" w:eastAsia="宋体" w:cs="宋体"/>
                <w:sz w:val="21"/>
                <w:szCs w:val="21"/>
              </w:rPr>
              <w:t>文件未规定允许有替代方案时，对同一项目投标时，同时提供两套或两套以上的投标方案</w:t>
            </w:r>
          </w:p>
        </w:tc>
      </w:tr>
      <w:tr w14:paraId="0CFD48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685" w:type="dxa"/>
            <w:shd w:val="clear" w:color="auto" w:fill="auto"/>
            <w:noWrap w:val="0"/>
            <w:vAlign w:val="center"/>
          </w:tcPr>
          <w:p w14:paraId="65F1BD05">
            <w:pPr>
              <w:keepNext w:val="0"/>
              <w:keepLines w:val="0"/>
              <w:suppressLineNumbers w:val="0"/>
              <w:spacing w:before="0" w:beforeAutospacing="0" w:after="0" w:afterAutospacing="0"/>
              <w:ind w:left="0" w:leftChars="0" w:right="0" w:rightChars="0"/>
              <w:jc w:val="center"/>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4</w:t>
            </w:r>
          </w:p>
        </w:tc>
        <w:tc>
          <w:tcPr>
            <w:tcW w:w="9319" w:type="dxa"/>
            <w:shd w:val="clear" w:color="auto" w:fill="auto"/>
            <w:noWrap w:val="0"/>
            <w:vAlign w:val="center"/>
          </w:tcPr>
          <w:p w14:paraId="2F67352B">
            <w:pPr>
              <w:keepNext w:val="0"/>
              <w:keepLines w:val="0"/>
              <w:suppressLineNumbers w:val="0"/>
              <w:spacing w:before="0" w:beforeAutospacing="0" w:after="0" w:afterAutospacing="0"/>
              <w:ind w:left="0" w:leftChars="0" w:right="0" w:rightChars="0"/>
              <w:rPr>
                <w:rFonts w:hint="eastAsia" w:ascii="宋体" w:hAnsi="宋体" w:eastAsia="宋体" w:cs="宋体"/>
                <w:sz w:val="21"/>
                <w:szCs w:val="21"/>
                <w:lang w:val="en-US" w:eastAsia="zh-CN"/>
              </w:rPr>
            </w:pPr>
            <w:r>
              <w:rPr>
                <w:rFonts w:hint="eastAsia"/>
              </w:rPr>
              <w:t>未按照</w:t>
            </w:r>
            <w:r>
              <w:rPr>
                <w:rFonts w:hint="eastAsia"/>
                <w:lang w:val="en-US" w:eastAsia="zh-CN"/>
              </w:rPr>
              <w:t>征集</w:t>
            </w:r>
            <w:r>
              <w:rPr>
                <w:rFonts w:hint="eastAsia"/>
              </w:rPr>
              <w:t>文件规定要求签署、盖章或投标文件没有法定代表人签字，或签字人没有法定代表人有效授权书的</w:t>
            </w:r>
          </w:p>
        </w:tc>
      </w:tr>
      <w:tr w14:paraId="07C153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685" w:type="dxa"/>
            <w:shd w:val="clear" w:color="auto" w:fill="auto"/>
            <w:noWrap w:val="0"/>
            <w:vAlign w:val="center"/>
          </w:tcPr>
          <w:p w14:paraId="15D79638">
            <w:pPr>
              <w:keepNext w:val="0"/>
              <w:keepLines w:val="0"/>
              <w:suppressLineNumbers w:val="0"/>
              <w:spacing w:before="0" w:beforeAutospacing="0" w:after="0" w:afterAutospacing="0"/>
              <w:ind w:left="0" w:leftChars="0" w:right="0" w:rightChars="0"/>
              <w:jc w:val="center"/>
              <w:rPr>
                <w:rFonts w:hint="default"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SA"/>
              </w:rPr>
              <w:t>5</w:t>
            </w:r>
          </w:p>
        </w:tc>
        <w:tc>
          <w:tcPr>
            <w:tcW w:w="9319" w:type="dxa"/>
            <w:shd w:val="clear" w:color="auto" w:fill="auto"/>
            <w:noWrap w:val="0"/>
            <w:vAlign w:val="center"/>
          </w:tcPr>
          <w:p w14:paraId="50C53FF3">
            <w:pPr>
              <w:keepNext w:val="0"/>
              <w:keepLines w:val="0"/>
              <w:suppressLineNumbers w:val="0"/>
              <w:spacing w:before="0" w:beforeAutospacing="0" w:after="0" w:afterAutospacing="0"/>
              <w:ind w:left="0" w:leftChars="0" w:right="0" w:rightChars="0"/>
              <w:rPr>
                <w:rFonts w:hint="eastAsia" w:ascii="宋体" w:hAnsi="宋体" w:eastAsia="宋体" w:cs="宋体"/>
                <w:kern w:val="2"/>
                <w:sz w:val="21"/>
                <w:szCs w:val="21"/>
                <w:lang w:val="en-US" w:eastAsia="zh-CN" w:bidi="ar-SA"/>
              </w:rPr>
            </w:pPr>
            <w:r>
              <w:rPr>
                <w:rFonts w:hint="eastAsia" w:ascii="宋体" w:hAnsi="宋体" w:eastAsia="宋体" w:cs="宋体"/>
                <w:sz w:val="21"/>
                <w:szCs w:val="21"/>
              </w:rPr>
              <w:t>分项报价或投标总价高于预算金额（最高投标限价）的，或未按</w:t>
            </w:r>
            <w:r>
              <w:rPr>
                <w:rFonts w:hint="eastAsia" w:ascii="宋体" w:hAnsi="宋体" w:eastAsia="宋体" w:cs="宋体"/>
                <w:sz w:val="21"/>
                <w:szCs w:val="21"/>
                <w:lang w:val="en-US" w:eastAsia="zh-CN"/>
              </w:rPr>
              <w:t>征集</w:t>
            </w:r>
            <w:r>
              <w:rPr>
                <w:rFonts w:hint="eastAsia" w:ascii="宋体" w:hAnsi="宋体" w:eastAsia="宋体" w:cs="宋体"/>
                <w:sz w:val="21"/>
                <w:szCs w:val="21"/>
              </w:rPr>
              <w:t>文件要求报价的</w:t>
            </w:r>
          </w:p>
        </w:tc>
      </w:tr>
      <w:tr w14:paraId="2903AD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685" w:type="dxa"/>
            <w:shd w:val="clear" w:color="auto" w:fill="auto"/>
            <w:noWrap w:val="0"/>
            <w:vAlign w:val="center"/>
          </w:tcPr>
          <w:p w14:paraId="54B0DFA4">
            <w:pPr>
              <w:keepNext w:val="0"/>
              <w:keepLines w:val="0"/>
              <w:suppressLineNumbers w:val="0"/>
              <w:spacing w:before="0" w:beforeAutospacing="0" w:after="0" w:afterAutospacing="0"/>
              <w:ind w:left="0" w:leftChars="0" w:right="0" w:rightChars="0"/>
              <w:jc w:val="center"/>
              <w:rPr>
                <w:rFonts w:hint="default"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SA"/>
              </w:rPr>
              <w:t>6</w:t>
            </w:r>
          </w:p>
        </w:tc>
        <w:tc>
          <w:tcPr>
            <w:tcW w:w="9319" w:type="dxa"/>
            <w:shd w:val="clear" w:color="auto" w:fill="auto"/>
            <w:noWrap w:val="0"/>
            <w:vAlign w:val="center"/>
          </w:tcPr>
          <w:p w14:paraId="6012D7A7">
            <w:pPr>
              <w:keepNext w:val="0"/>
              <w:keepLines w:val="0"/>
              <w:suppressLineNumbers w:val="0"/>
              <w:spacing w:before="0" w:beforeAutospacing="0" w:after="0" w:afterAutospacing="0"/>
              <w:ind w:left="0" w:leftChars="0" w:right="0" w:rightChars="0"/>
              <w:rPr>
                <w:rFonts w:hint="eastAsia" w:ascii="宋体" w:hAnsi="宋体" w:eastAsia="宋体" w:cs="宋体"/>
                <w:kern w:val="2"/>
                <w:sz w:val="21"/>
                <w:szCs w:val="21"/>
                <w:lang w:val="en-US" w:eastAsia="zh-CN" w:bidi="ar-SA"/>
              </w:rPr>
            </w:pPr>
            <w:r>
              <w:rPr>
                <w:rFonts w:hint="eastAsia" w:ascii="宋体" w:hAnsi="宋体" w:eastAsia="宋体" w:cs="宋体"/>
                <w:sz w:val="21"/>
                <w:szCs w:val="21"/>
              </w:rPr>
              <w:t>同一项目出现两个及以上报价，按规定又无法确定哪个是有效报价</w:t>
            </w:r>
          </w:p>
        </w:tc>
      </w:tr>
      <w:tr w14:paraId="0944FC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8" w:hRule="exact"/>
          <w:jc w:val="center"/>
        </w:trPr>
        <w:tc>
          <w:tcPr>
            <w:tcW w:w="685" w:type="dxa"/>
            <w:shd w:val="clear" w:color="auto" w:fill="auto"/>
            <w:noWrap w:val="0"/>
            <w:vAlign w:val="center"/>
          </w:tcPr>
          <w:p w14:paraId="3B2F8E97">
            <w:pPr>
              <w:keepNext w:val="0"/>
              <w:keepLines w:val="0"/>
              <w:suppressLineNumbers w:val="0"/>
              <w:spacing w:before="0" w:beforeAutospacing="0" w:after="0" w:afterAutospacing="0"/>
              <w:ind w:left="0" w:leftChars="0" w:right="0" w:rightChars="0"/>
              <w:jc w:val="center"/>
              <w:rPr>
                <w:rFonts w:hint="default"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SA"/>
              </w:rPr>
              <w:t>7</w:t>
            </w:r>
          </w:p>
        </w:tc>
        <w:tc>
          <w:tcPr>
            <w:tcW w:w="9319" w:type="dxa"/>
            <w:shd w:val="clear" w:color="auto" w:fill="auto"/>
            <w:noWrap w:val="0"/>
            <w:vAlign w:val="center"/>
          </w:tcPr>
          <w:p w14:paraId="615E946B">
            <w:pPr>
              <w:keepNext w:val="0"/>
              <w:keepLines w:val="0"/>
              <w:suppressLineNumbers w:val="0"/>
              <w:spacing w:before="0" w:beforeAutospacing="0" w:after="0" w:afterAutospacing="0"/>
              <w:ind w:left="0" w:leftChars="0" w:right="0" w:rightChars="0"/>
              <w:rPr>
                <w:rFonts w:hint="eastAsia" w:ascii="宋体" w:hAnsi="宋体" w:eastAsia="宋体" w:cs="宋体"/>
                <w:kern w:val="2"/>
                <w:sz w:val="21"/>
                <w:szCs w:val="21"/>
                <w:lang w:val="en-US" w:eastAsia="zh-CN" w:bidi="ar-SA"/>
              </w:rPr>
            </w:pPr>
            <w:r>
              <w:rPr>
                <w:rFonts w:hint="eastAsia" w:ascii="宋体" w:hAnsi="宋体" w:eastAsia="宋体" w:cs="宋体"/>
                <w:bCs/>
                <w:color w:val="000000"/>
                <w:sz w:val="21"/>
                <w:szCs w:val="21"/>
                <w:highlight w:val="none"/>
              </w:rPr>
              <w:t>根据《关于推动解决政府采购异常低价问题的通知》（财库〔2026〕2号）要求，结合本项目实际情况，本项目评审中出现异常低价情形之一的，评审委员会应当启动异常低价投标（响应）审查程序。</w:t>
            </w:r>
          </w:p>
        </w:tc>
      </w:tr>
      <w:tr w14:paraId="5F8959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685" w:type="dxa"/>
            <w:shd w:val="clear" w:color="auto" w:fill="auto"/>
            <w:noWrap w:val="0"/>
            <w:vAlign w:val="center"/>
          </w:tcPr>
          <w:p w14:paraId="2CBFECB3">
            <w:pPr>
              <w:keepNext w:val="0"/>
              <w:keepLines w:val="0"/>
              <w:suppressLineNumbers w:val="0"/>
              <w:spacing w:before="0" w:beforeAutospacing="0" w:after="0" w:afterAutospacing="0"/>
              <w:ind w:left="0" w:leftChars="0" w:right="0" w:rightChars="0"/>
              <w:jc w:val="center"/>
              <w:rPr>
                <w:rFonts w:hint="default"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SA"/>
              </w:rPr>
              <w:t>8</w:t>
            </w:r>
          </w:p>
        </w:tc>
        <w:tc>
          <w:tcPr>
            <w:tcW w:w="9319" w:type="dxa"/>
            <w:shd w:val="clear" w:color="auto" w:fill="auto"/>
            <w:noWrap w:val="0"/>
            <w:vAlign w:val="center"/>
          </w:tcPr>
          <w:p w14:paraId="07E171B0">
            <w:pPr>
              <w:keepNext w:val="0"/>
              <w:keepLines w:val="0"/>
              <w:suppressLineNumbers w:val="0"/>
              <w:spacing w:before="0" w:beforeAutospacing="0" w:after="0" w:afterAutospacing="0"/>
              <w:ind w:left="0" w:leftChars="0" w:right="0" w:rightChars="0"/>
              <w:rPr>
                <w:rFonts w:hint="eastAsia" w:ascii="宋体" w:hAnsi="宋体" w:eastAsia="宋体" w:cs="宋体"/>
                <w:kern w:val="2"/>
                <w:sz w:val="21"/>
                <w:szCs w:val="21"/>
                <w:lang w:val="en-US" w:eastAsia="zh-CN" w:bidi="ar-SA"/>
              </w:rPr>
            </w:pPr>
            <w:r>
              <w:rPr>
                <w:rFonts w:hint="eastAsia" w:ascii="宋体" w:hAnsi="宋体" w:eastAsia="宋体" w:cs="宋体"/>
                <w:sz w:val="21"/>
                <w:szCs w:val="21"/>
              </w:rPr>
              <w:t>所投货物、服务在技术、商务等方面没有实质性满足</w:t>
            </w:r>
            <w:r>
              <w:rPr>
                <w:rFonts w:hint="eastAsia" w:ascii="宋体" w:hAnsi="宋体" w:eastAsia="宋体" w:cs="宋体"/>
                <w:sz w:val="21"/>
                <w:szCs w:val="21"/>
                <w:lang w:eastAsia="zh-CN"/>
              </w:rPr>
              <w:t>征集</w:t>
            </w:r>
            <w:r>
              <w:rPr>
                <w:rFonts w:hint="eastAsia" w:ascii="宋体" w:hAnsi="宋体" w:eastAsia="宋体" w:cs="宋体"/>
                <w:sz w:val="21"/>
                <w:szCs w:val="21"/>
              </w:rPr>
              <w:t>文件要求的</w:t>
            </w:r>
          </w:p>
        </w:tc>
      </w:tr>
      <w:tr w14:paraId="78D26D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685" w:type="dxa"/>
            <w:shd w:val="clear" w:color="auto" w:fill="auto"/>
            <w:noWrap w:val="0"/>
            <w:vAlign w:val="center"/>
          </w:tcPr>
          <w:p w14:paraId="584C9650">
            <w:pPr>
              <w:keepNext w:val="0"/>
              <w:keepLines w:val="0"/>
              <w:suppressLineNumbers w:val="0"/>
              <w:spacing w:before="0" w:beforeAutospacing="0" w:after="0" w:afterAutospacing="0"/>
              <w:ind w:left="0" w:leftChars="0" w:right="0" w:rightChars="0"/>
              <w:jc w:val="center"/>
              <w:rPr>
                <w:rFonts w:hint="default"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SA"/>
              </w:rPr>
              <w:t>9</w:t>
            </w:r>
          </w:p>
        </w:tc>
        <w:tc>
          <w:tcPr>
            <w:tcW w:w="9319" w:type="dxa"/>
            <w:shd w:val="clear" w:color="auto" w:fill="auto"/>
            <w:noWrap w:val="0"/>
            <w:vAlign w:val="center"/>
          </w:tcPr>
          <w:p w14:paraId="0ECC4208">
            <w:pPr>
              <w:keepNext w:val="0"/>
              <w:keepLines w:val="0"/>
              <w:suppressLineNumbers w:val="0"/>
              <w:spacing w:before="0" w:beforeAutospacing="0" w:after="0" w:afterAutospacing="0"/>
              <w:ind w:left="0" w:leftChars="0" w:right="0" w:rightChars="0"/>
              <w:rPr>
                <w:rFonts w:hint="eastAsia" w:ascii="宋体" w:hAnsi="宋体" w:eastAsia="宋体" w:cs="宋体"/>
                <w:kern w:val="2"/>
                <w:sz w:val="21"/>
                <w:szCs w:val="21"/>
                <w:lang w:val="en-US" w:eastAsia="zh-CN" w:bidi="ar-SA"/>
              </w:rPr>
            </w:pPr>
            <w:r>
              <w:rPr>
                <w:rFonts w:hint="eastAsia" w:ascii="宋体" w:hAnsi="宋体" w:eastAsia="宋体" w:cs="宋体"/>
                <w:sz w:val="21"/>
                <w:szCs w:val="21"/>
                <w:lang w:eastAsia="zh-CN"/>
              </w:rPr>
              <w:t>投标</w:t>
            </w:r>
            <w:r>
              <w:rPr>
                <w:rFonts w:hint="eastAsia" w:ascii="宋体" w:hAnsi="宋体" w:eastAsia="宋体" w:cs="宋体"/>
                <w:sz w:val="21"/>
                <w:szCs w:val="21"/>
              </w:rPr>
              <w:t>文件对</w:t>
            </w:r>
            <w:r>
              <w:rPr>
                <w:rFonts w:hint="eastAsia" w:ascii="宋体" w:hAnsi="宋体" w:eastAsia="宋体" w:cs="宋体"/>
                <w:sz w:val="21"/>
                <w:szCs w:val="21"/>
                <w:lang w:val="en-US" w:eastAsia="zh-CN"/>
              </w:rPr>
              <w:t>征集</w:t>
            </w:r>
            <w:r>
              <w:rPr>
                <w:rFonts w:hint="eastAsia" w:ascii="宋体" w:hAnsi="宋体" w:eastAsia="宋体" w:cs="宋体"/>
                <w:sz w:val="21"/>
                <w:szCs w:val="21"/>
              </w:rPr>
              <w:t>文件中标注“★”的条款响应为负偏离的</w:t>
            </w:r>
          </w:p>
        </w:tc>
      </w:tr>
      <w:tr w14:paraId="5B35DE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685" w:type="dxa"/>
            <w:shd w:val="clear" w:color="auto" w:fill="auto"/>
            <w:noWrap w:val="0"/>
            <w:vAlign w:val="center"/>
          </w:tcPr>
          <w:p w14:paraId="41899103">
            <w:pPr>
              <w:keepNext w:val="0"/>
              <w:keepLines w:val="0"/>
              <w:suppressLineNumbers w:val="0"/>
              <w:spacing w:before="0" w:beforeAutospacing="0" w:after="0" w:afterAutospacing="0"/>
              <w:ind w:left="0" w:leftChars="0" w:right="0" w:rightChars="0"/>
              <w:jc w:val="center"/>
              <w:rPr>
                <w:rFonts w:hint="default"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10</w:t>
            </w:r>
          </w:p>
        </w:tc>
        <w:tc>
          <w:tcPr>
            <w:tcW w:w="9319" w:type="dxa"/>
            <w:shd w:val="clear" w:color="auto" w:fill="auto"/>
            <w:noWrap w:val="0"/>
            <w:vAlign w:val="center"/>
          </w:tcPr>
          <w:p w14:paraId="4504AFE9">
            <w:pPr>
              <w:keepNext w:val="0"/>
              <w:keepLines w:val="0"/>
              <w:suppressLineNumbers w:val="0"/>
              <w:spacing w:before="0" w:beforeAutospacing="0" w:after="0" w:afterAutospacing="0"/>
              <w:ind w:left="0" w:leftChars="0" w:right="0" w:rightChars="0"/>
              <w:rPr>
                <w:rFonts w:hint="eastAsia" w:ascii="宋体" w:hAnsi="宋体" w:eastAsia="宋体" w:cs="宋体"/>
                <w:kern w:val="2"/>
                <w:sz w:val="21"/>
                <w:szCs w:val="21"/>
                <w:lang w:val="en-US" w:eastAsia="zh-CN" w:bidi="ar-SA"/>
              </w:rPr>
            </w:pPr>
            <w:r>
              <w:rPr>
                <w:rFonts w:hint="eastAsia" w:ascii="宋体" w:hAnsi="宋体" w:eastAsia="宋体" w:cs="宋体"/>
                <w:sz w:val="21"/>
                <w:szCs w:val="21"/>
                <w:lang w:eastAsia="zh-CN"/>
              </w:rPr>
              <w:t>投标</w:t>
            </w:r>
            <w:r>
              <w:rPr>
                <w:rFonts w:hint="eastAsia" w:ascii="宋体" w:hAnsi="宋体" w:eastAsia="宋体" w:cs="宋体"/>
                <w:sz w:val="21"/>
                <w:szCs w:val="21"/>
              </w:rPr>
              <w:t>文件对采购标的响应不全（响应不全情形包括：投标报价有缺漏项，对</w:t>
            </w:r>
            <w:r>
              <w:rPr>
                <w:rFonts w:hint="eastAsia" w:ascii="宋体" w:hAnsi="宋体" w:eastAsia="宋体" w:cs="宋体"/>
                <w:sz w:val="21"/>
                <w:szCs w:val="21"/>
                <w:lang w:val="en-US" w:eastAsia="zh-CN"/>
              </w:rPr>
              <w:t>征集</w:t>
            </w:r>
            <w:r>
              <w:rPr>
                <w:rFonts w:hint="eastAsia" w:ascii="宋体" w:hAnsi="宋体" w:eastAsia="宋体" w:cs="宋体"/>
                <w:sz w:val="21"/>
                <w:szCs w:val="21"/>
              </w:rPr>
              <w:t>文件规定的项目需求内容或者需求数量进行修改，未填写所投货物的品牌、规格、型号、制造商、原产地）</w:t>
            </w:r>
          </w:p>
        </w:tc>
      </w:tr>
      <w:tr w14:paraId="7E2BDA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685" w:type="dxa"/>
            <w:shd w:val="clear" w:color="auto" w:fill="auto"/>
            <w:noWrap w:val="0"/>
            <w:vAlign w:val="center"/>
          </w:tcPr>
          <w:p w14:paraId="0EF1F89F">
            <w:pPr>
              <w:keepNext w:val="0"/>
              <w:keepLines w:val="0"/>
              <w:suppressLineNumbers w:val="0"/>
              <w:spacing w:before="0" w:beforeAutospacing="0" w:after="0" w:afterAutospacing="0"/>
              <w:ind w:left="0" w:leftChars="0" w:right="0" w:rightChars="0"/>
              <w:jc w:val="center"/>
              <w:rPr>
                <w:rFonts w:hint="default"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11</w:t>
            </w:r>
          </w:p>
        </w:tc>
        <w:tc>
          <w:tcPr>
            <w:tcW w:w="9319" w:type="dxa"/>
            <w:shd w:val="clear" w:color="auto" w:fill="auto"/>
            <w:noWrap w:val="0"/>
            <w:vAlign w:val="center"/>
          </w:tcPr>
          <w:p w14:paraId="55DC8266">
            <w:pPr>
              <w:keepNext w:val="0"/>
              <w:keepLines w:val="0"/>
              <w:suppressLineNumbers w:val="0"/>
              <w:spacing w:before="0" w:beforeAutospacing="0" w:after="0" w:afterAutospacing="0"/>
              <w:ind w:left="0" w:leftChars="0" w:right="0" w:rightChars="0"/>
              <w:rPr>
                <w:rFonts w:hint="default" w:ascii="宋体" w:hAnsi="宋体" w:eastAsia="宋体" w:cs="宋体"/>
                <w:kern w:val="2"/>
                <w:sz w:val="21"/>
                <w:szCs w:val="21"/>
                <w:lang w:val="en-US" w:eastAsia="zh-CN" w:bidi="ar-SA"/>
              </w:rPr>
            </w:pPr>
            <w:r>
              <w:rPr>
                <w:rFonts w:hint="eastAsia" w:ascii="宋体" w:hAnsi="宋体" w:eastAsia="宋体" w:cs="宋体"/>
                <w:sz w:val="21"/>
                <w:szCs w:val="21"/>
              </w:rPr>
              <w:t>未按</w:t>
            </w:r>
            <w:r>
              <w:rPr>
                <w:rFonts w:hint="eastAsia" w:ascii="宋体" w:hAnsi="宋体" w:eastAsia="宋体" w:cs="宋体"/>
                <w:sz w:val="21"/>
                <w:szCs w:val="21"/>
                <w:lang w:val="en-US" w:eastAsia="zh-CN"/>
              </w:rPr>
              <w:t>征集</w:t>
            </w:r>
            <w:r>
              <w:rPr>
                <w:rFonts w:hint="eastAsia" w:ascii="宋体" w:hAnsi="宋体" w:eastAsia="宋体" w:cs="宋体"/>
                <w:sz w:val="21"/>
                <w:szCs w:val="21"/>
              </w:rPr>
              <w:t>文件附件所提供的样式和要求完整填写“投标函及履约承诺函”，或投标文件组成部分不符合</w:t>
            </w:r>
            <w:r>
              <w:rPr>
                <w:rFonts w:hint="eastAsia" w:ascii="宋体" w:hAnsi="宋体" w:eastAsia="宋体" w:cs="宋体"/>
                <w:sz w:val="21"/>
                <w:szCs w:val="21"/>
                <w:lang w:val="en-US" w:eastAsia="zh-CN"/>
              </w:rPr>
              <w:t>征集文件</w:t>
            </w:r>
            <w:r>
              <w:rPr>
                <w:rFonts w:hint="eastAsia" w:ascii="宋体" w:hAnsi="宋体" w:eastAsia="宋体" w:cs="宋体"/>
                <w:sz w:val="21"/>
                <w:szCs w:val="21"/>
              </w:rPr>
              <w:t>规定的</w:t>
            </w:r>
          </w:p>
        </w:tc>
      </w:tr>
      <w:tr w14:paraId="10E3F5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685" w:type="dxa"/>
            <w:shd w:val="clear" w:color="auto" w:fill="auto"/>
            <w:noWrap w:val="0"/>
            <w:vAlign w:val="center"/>
          </w:tcPr>
          <w:p w14:paraId="77071F0B">
            <w:pPr>
              <w:keepNext w:val="0"/>
              <w:keepLines w:val="0"/>
              <w:suppressLineNumbers w:val="0"/>
              <w:spacing w:before="0" w:beforeAutospacing="0" w:after="0" w:afterAutospacing="0"/>
              <w:ind w:left="0" w:leftChars="0" w:right="0" w:rightChars="0"/>
              <w:jc w:val="center"/>
              <w:rPr>
                <w:rFonts w:hint="default"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12</w:t>
            </w:r>
          </w:p>
        </w:tc>
        <w:tc>
          <w:tcPr>
            <w:tcW w:w="9319" w:type="dxa"/>
            <w:shd w:val="clear" w:color="auto" w:fill="auto"/>
            <w:noWrap w:val="0"/>
            <w:vAlign w:val="center"/>
          </w:tcPr>
          <w:p w14:paraId="659C8E57">
            <w:pPr>
              <w:keepNext w:val="0"/>
              <w:keepLines w:val="0"/>
              <w:suppressLineNumbers w:val="0"/>
              <w:spacing w:before="0" w:beforeAutospacing="0" w:after="0" w:afterAutospacing="0"/>
              <w:ind w:left="0" w:leftChars="0" w:right="0" w:rightChars="0"/>
              <w:rPr>
                <w:rFonts w:hint="eastAsia" w:ascii="宋体" w:hAnsi="宋体" w:eastAsia="宋体" w:cs="宋体"/>
                <w:kern w:val="2"/>
                <w:sz w:val="21"/>
                <w:szCs w:val="21"/>
                <w:lang w:val="en-US" w:eastAsia="zh-CN" w:bidi="ar-SA"/>
              </w:rPr>
            </w:pPr>
            <w:r>
              <w:rPr>
                <w:rFonts w:hint="eastAsia" w:ascii="宋体" w:hAnsi="宋体" w:eastAsia="宋体" w:cs="宋体"/>
                <w:sz w:val="21"/>
                <w:szCs w:val="21"/>
              </w:rPr>
              <w:t>投标文件附有采购人或</w:t>
            </w:r>
            <w:r>
              <w:rPr>
                <w:rFonts w:hint="eastAsia" w:ascii="宋体" w:hAnsi="宋体" w:eastAsia="宋体" w:cs="宋体"/>
                <w:sz w:val="21"/>
                <w:szCs w:val="21"/>
                <w:lang w:eastAsia="zh-CN"/>
              </w:rPr>
              <w:t>征集</w:t>
            </w:r>
            <w:r>
              <w:rPr>
                <w:rFonts w:hint="eastAsia" w:ascii="宋体" w:hAnsi="宋体" w:eastAsia="宋体" w:cs="宋体"/>
                <w:sz w:val="21"/>
                <w:szCs w:val="21"/>
              </w:rPr>
              <w:t>需求不能接受的条件</w:t>
            </w:r>
          </w:p>
        </w:tc>
      </w:tr>
      <w:tr w14:paraId="4FDF8E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685" w:type="dxa"/>
            <w:shd w:val="clear" w:color="auto" w:fill="auto"/>
            <w:noWrap w:val="0"/>
            <w:vAlign w:val="center"/>
          </w:tcPr>
          <w:p w14:paraId="28D15117">
            <w:pPr>
              <w:keepNext w:val="0"/>
              <w:keepLines w:val="0"/>
              <w:suppressLineNumbers w:val="0"/>
              <w:spacing w:before="0" w:beforeAutospacing="0" w:after="0" w:afterAutospacing="0"/>
              <w:ind w:left="0" w:leftChars="0" w:right="0" w:rightChars="0"/>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rPr>
              <w:t>1</w:t>
            </w:r>
            <w:r>
              <w:rPr>
                <w:rFonts w:hint="eastAsia" w:ascii="宋体" w:hAnsi="宋体" w:eastAsia="宋体" w:cs="宋体"/>
                <w:sz w:val="21"/>
                <w:szCs w:val="21"/>
                <w:lang w:val="en-US" w:eastAsia="zh-CN"/>
              </w:rPr>
              <w:t>3</w:t>
            </w:r>
          </w:p>
        </w:tc>
        <w:tc>
          <w:tcPr>
            <w:tcW w:w="9319" w:type="dxa"/>
            <w:shd w:val="clear" w:color="auto" w:fill="auto"/>
            <w:noWrap w:val="0"/>
            <w:vAlign w:val="center"/>
          </w:tcPr>
          <w:p w14:paraId="6B1EEF3D">
            <w:pPr>
              <w:keepNext w:val="0"/>
              <w:keepLines w:val="0"/>
              <w:suppressLineNumbers w:val="0"/>
              <w:spacing w:before="0" w:beforeAutospacing="0" w:after="0" w:afterAutospacing="0"/>
              <w:ind w:left="0" w:leftChars="0" w:right="0" w:rightChars="0"/>
              <w:rPr>
                <w:rFonts w:hint="eastAsia" w:ascii="宋体" w:hAnsi="宋体" w:eastAsia="宋体" w:cs="宋体"/>
                <w:kern w:val="2"/>
                <w:sz w:val="21"/>
                <w:szCs w:val="21"/>
                <w:lang w:val="en-US" w:eastAsia="zh-CN" w:bidi="ar-SA"/>
              </w:rPr>
            </w:pPr>
            <w:r>
              <w:rPr>
                <w:rFonts w:hint="default" w:cs="Times New Roman"/>
              </w:rPr>
              <w:t>法律、法规规定的属于投标无效的其他情形</w:t>
            </w:r>
          </w:p>
        </w:tc>
      </w:tr>
    </w:tbl>
    <w:p w14:paraId="544B3F43">
      <w:pPr>
        <w:tabs>
          <w:tab w:val="left" w:pos="420"/>
          <w:tab w:val="left" w:pos="630"/>
        </w:tabs>
        <w:autoSpaceDE w:val="0"/>
        <w:autoSpaceDN w:val="0"/>
        <w:adjustRightInd w:val="0"/>
        <w:spacing w:line="360" w:lineRule="auto"/>
        <w:rPr>
          <w:rFonts w:hint="eastAsia" w:ascii="宋体" w:cs="宋体"/>
          <w:szCs w:val="21"/>
        </w:rPr>
      </w:pPr>
      <w:r>
        <w:rPr>
          <w:rFonts w:hint="eastAsia" w:ascii="宋体" w:hAnsi="宋体"/>
          <w:szCs w:val="21"/>
        </w:rPr>
        <w:t>说明：</w:t>
      </w:r>
      <w:r>
        <w:rPr>
          <w:rFonts w:hint="eastAsia" w:ascii="宋体" w:hAnsi="宋体"/>
        </w:rPr>
        <w:t>投标人必须严格按照《符合性审查表》的评审内容的要求如实提供证明材料</w:t>
      </w:r>
      <w:r>
        <w:rPr>
          <w:rFonts w:hint="eastAsia" w:ascii="宋体" w:hAnsi="宋体"/>
          <w:bCs/>
        </w:rPr>
        <w:t>并应加盖投标人公章,</w:t>
      </w:r>
      <w:r>
        <w:rPr>
          <w:rFonts w:hint="eastAsia" w:ascii="宋体" w:hAnsi="宋体"/>
        </w:rPr>
        <w:t>对缺漏或不符合项将直接导致无效投标</w:t>
      </w:r>
      <w:r>
        <w:rPr>
          <w:rFonts w:hint="eastAsia" w:ascii="宋体" w:cs="宋体"/>
          <w:szCs w:val="21"/>
        </w:rPr>
        <w:t>。</w:t>
      </w:r>
    </w:p>
    <w:p w14:paraId="619B9638">
      <w:pPr>
        <w:tabs>
          <w:tab w:val="left" w:pos="420"/>
          <w:tab w:val="left" w:pos="630"/>
        </w:tabs>
        <w:autoSpaceDE w:val="0"/>
        <w:autoSpaceDN w:val="0"/>
        <w:adjustRightInd w:val="0"/>
        <w:spacing w:line="360" w:lineRule="auto"/>
        <w:rPr>
          <w:rFonts w:hint="eastAsia" w:ascii="宋体" w:cs="宋体"/>
          <w:szCs w:val="21"/>
        </w:rPr>
      </w:pPr>
    </w:p>
    <w:p w14:paraId="58D1A2AD">
      <w:pPr>
        <w:pStyle w:val="6"/>
        <w:numPr>
          <w:ilvl w:val="0"/>
          <w:numId w:val="11"/>
        </w:numPr>
        <w:ind w:left="0" w:leftChars="0" w:firstLine="0" w:firstLineChars="0"/>
        <w:jc w:val="left"/>
        <w:outlineLvl w:val="0"/>
        <w:rPr>
          <w:color w:val="auto"/>
        </w:rPr>
      </w:pPr>
      <w:bookmarkStart w:id="19" w:name="_Toc10843"/>
      <w:r>
        <w:rPr>
          <w:rFonts w:hint="eastAsia" w:ascii="宋体" w:hAnsi="宋体" w:cs="宋体" w:eastAsiaTheme="minorEastAsia"/>
          <w:kern w:val="2"/>
          <w:sz w:val="21"/>
          <w:szCs w:val="21"/>
          <w:lang w:val="en-US" w:eastAsia="zh-CN" w:bidi="ar-SA"/>
        </w:rPr>
        <w:t>福田区自行采购供应商资格审查表</w:t>
      </w:r>
      <w:bookmarkEnd w:id="19"/>
    </w:p>
    <w:tbl>
      <w:tblPr>
        <w:tblStyle w:val="22"/>
        <w:tblW w:w="1126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8"/>
        <w:gridCol w:w="2146"/>
        <w:gridCol w:w="3257"/>
        <w:gridCol w:w="1150"/>
        <w:gridCol w:w="1150"/>
        <w:gridCol w:w="1150"/>
        <w:gridCol w:w="1644"/>
      </w:tblGrid>
      <w:tr w14:paraId="6FD99E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768" w:type="dxa"/>
            <w:noWrap w:val="0"/>
            <w:vAlign w:val="center"/>
          </w:tcPr>
          <w:p w14:paraId="32D01AB9">
            <w:pPr>
              <w:keepNext w:val="0"/>
              <w:keepLines w:val="0"/>
              <w:widowControl/>
              <w:suppressLineNumbers w:val="0"/>
              <w:spacing w:before="0" w:beforeLines="0" w:beforeAutospacing="0" w:after="0" w:afterLines="0" w:afterAutospacing="0" w:line="380" w:lineRule="exact"/>
              <w:ind w:left="0" w:right="0"/>
              <w:jc w:val="center"/>
              <w:rPr>
                <w:rFonts w:hint="eastAsia" w:ascii="黑体" w:hAnsi="黑体" w:eastAsia="黑体" w:cs="仿宋_GB2312"/>
                <w:color w:val="auto"/>
                <w:sz w:val="21"/>
                <w:szCs w:val="21"/>
                <w:highlight w:val="none"/>
                <w:u w:val="none"/>
                <w:vertAlign w:val="baseline"/>
                <w:lang w:eastAsia="zh-CN"/>
              </w:rPr>
            </w:pPr>
            <w:r>
              <w:rPr>
                <w:rFonts w:hint="eastAsia" w:ascii="黑体" w:hAnsi="黑体" w:eastAsia="黑体" w:cs="仿宋_GB2312"/>
                <w:color w:val="auto"/>
                <w:sz w:val="21"/>
                <w:szCs w:val="21"/>
                <w:highlight w:val="none"/>
                <w:u w:val="none"/>
                <w:vertAlign w:val="baseline"/>
                <w:lang w:eastAsia="zh-CN"/>
              </w:rPr>
              <w:t>序号</w:t>
            </w:r>
          </w:p>
        </w:tc>
        <w:tc>
          <w:tcPr>
            <w:tcW w:w="2146" w:type="dxa"/>
            <w:noWrap w:val="0"/>
            <w:vAlign w:val="center"/>
          </w:tcPr>
          <w:p w14:paraId="059D0031">
            <w:pPr>
              <w:keepNext w:val="0"/>
              <w:keepLines w:val="0"/>
              <w:widowControl/>
              <w:suppressLineNumbers w:val="0"/>
              <w:spacing w:before="0" w:beforeLines="0" w:beforeAutospacing="0" w:after="0" w:afterLines="0" w:afterAutospacing="0" w:line="380" w:lineRule="exact"/>
              <w:ind w:left="0" w:right="0"/>
              <w:jc w:val="center"/>
              <w:rPr>
                <w:rFonts w:hint="eastAsia" w:ascii="黑体" w:hAnsi="黑体" w:eastAsia="黑体" w:cs="仿宋_GB2312"/>
                <w:color w:val="auto"/>
                <w:sz w:val="21"/>
                <w:szCs w:val="21"/>
                <w:highlight w:val="none"/>
                <w:u w:val="none"/>
                <w:vertAlign w:val="baseline"/>
                <w:lang w:eastAsia="zh-CN"/>
              </w:rPr>
            </w:pPr>
            <w:r>
              <w:rPr>
                <w:rFonts w:hint="eastAsia" w:ascii="黑体" w:hAnsi="黑体" w:eastAsia="黑体" w:cs="仿宋_GB2312"/>
                <w:color w:val="auto"/>
                <w:sz w:val="21"/>
                <w:szCs w:val="21"/>
                <w:highlight w:val="none"/>
                <w:u w:val="none"/>
                <w:vertAlign w:val="baseline"/>
                <w:lang w:eastAsia="zh-CN"/>
              </w:rPr>
              <w:t>审查内容</w:t>
            </w:r>
          </w:p>
        </w:tc>
        <w:tc>
          <w:tcPr>
            <w:tcW w:w="3257" w:type="dxa"/>
            <w:noWrap w:val="0"/>
            <w:vAlign w:val="center"/>
          </w:tcPr>
          <w:p w14:paraId="2F9C71D5">
            <w:pPr>
              <w:keepNext w:val="0"/>
              <w:keepLines w:val="0"/>
              <w:widowControl/>
              <w:suppressLineNumbers w:val="0"/>
              <w:spacing w:before="0" w:beforeLines="0" w:beforeAutospacing="0" w:after="0" w:afterLines="0" w:afterAutospacing="0" w:line="380" w:lineRule="exact"/>
              <w:ind w:left="0" w:right="0"/>
              <w:jc w:val="center"/>
              <w:rPr>
                <w:rFonts w:hint="default" w:ascii="黑体" w:hAnsi="黑体" w:eastAsia="黑体" w:cs="仿宋_GB2312"/>
                <w:color w:val="auto"/>
                <w:sz w:val="21"/>
                <w:szCs w:val="21"/>
                <w:highlight w:val="none"/>
                <w:u w:val="none"/>
                <w:vertAlign w:val="baseline"/>
                <w:lang w:val="en-US" w:eastAsia="zh-CN"/>
              </w:rPr>
            </w:pPr>
            <w:r>
              <w:rPr>
                <w:rFonts w:hint="eastAsia" w:ascii="黑体" w:hAnsi="黑体" w:eastAsia="黑体" w:cs="仿宋_GB2312"/>
                <w:color w:val="auto"/>
                <w:sz w:val="21"/>
                <w:szCs w:val="21"/>
                <w:highlight w:val="none"/>
                <w:u w:val="none"/>
                <w:vertAlign w:val="baseline"/>
                <w:lang w:eastAsia="zh-CN"/>
              </w:rPr>
              <w:t>审查方式</w:t>
            </w:r>
            <w:r>
              <w:rPr>
                <w:rFonts w:hint="eastAsia" w:ascii="黑体" w:hAnsi="黑体" w:eastAsia="黑体" w:cs="仿宋_GB2312"/>
                <w:color w:val="auto"/>
                <w:sz w:val="21"/>
                <w:szCs w:val="21"/>
                <w:highlight w:val="none"/>
                <w:u w:val="none"/>
                <w:vertAlign w:val="baseline"/>
                <w:lang w:val="en-US" w:eastAsia="zh-CN"/>
              </w:rPr>
              <w:t>/查询途径</w:t>
            </w:r>
          </w:p>
        </w:tc>
        <w:tc>
          <w:tcPr>
            <w:tcW w:w="1150" w:type="dxa"/>
            <w:noWrap w:val="0"/>
            <w:vAlign w:val="center"/>
          </w:tcPr>
          <w:p w14:paraId="47502B16">
            <w:pPr>
              <w:keepNext w:val="0"/>
              <w:keepLines w:val="0"/>
              <w:widowControl/>
              <w:suppressLineNumbers w:val="0"/>
              <w:spacing w:before="0" w:beforeLines="0" w:beforeAutospacing="0" w:after="0" w:afterLines="0" w:afterAutospacing="0" w:line="380" w:lineRule="exact"/>
              <w:ind w:left="0" w:right="0"/>
              <w:jc w:val="center"/>
              <w:rPr>
                <w:rFonts w:hint="eastAsia" w:ascii="黑体" w:hAnsi="黑体" w:eastAsia="黑体" w:cs="仿宋_GB2312"/>
                <w:color w:val="auto"/>
                <w:sz w:val="21"/>
                <w:szCs w:val="21"/>
                <w:highlight w:val="none"/>
                <w:u w:val="none"/>
                <w:vertAlign w:val="baseline"/>
                <w:lang w:val="en-US" w:eastAsia="zh-CN"/>
              </w:rPr>
            </w:pPr>
            <w:r>
              <w:rPr>
                <w:rFonts w:hint="eastAsia" w:ascii="黑体" w:hAnsi="黑体" w:eastAsia="黑体" w:cs="仿宋_GB2312"/>
                <w:color w:val="auto"/>
                <w:sz w:val="21"/>
                <w:szCs w:val="21"/>
                <w:highlight w:val="none"/>
                <w:u w:val="none"/>
                <w:vertAlign w:val="baseline"/>
                <w:lang w:val="en-US" w:eastAsia="zh-CN"/>
              </w:rPr>
              <w:t>XX公司</w:t>
            </w:r>
          </w:p>
          <w:p w14:paraId="1B574F36">
            <w:pPr>
              <w:keepNext w:val="0"/>
              <w:keepLines w:val="0"/>
              <w:widowControl/>
              <w:suppressLineNumbers w:val="0"/>
              <w:spacing w:before="0" w:beforeLines="0" w:beforeAutospacing="0" w:after="0" w:afterLines="0" w:afterAutospacing="0" w:line="380" w:lineRule="exact"/>
              <w:ind w:left="0" w:right="0"/>
              <w:jc w:val="center"/>
              <w:rPr>
                <w:rFonts w:hint="eastAsia" w:ascii="黑体" w:hAnsi="黑体" w:eastAsia="黑体" w:cs="仿宋_GB2312"/>
                <w:color w:val="auto"/>
                <w:sz w:val="21"/>
                <w:szCs w:val="21"/>
                <w:highlight w:val="none"/>
                <w:u w:val="none"/>
                <w:vertAlign w:val="baseline"/>
                <w:lang w:eastAsia="zh-CN"/>
              </w:rPr>
            </w:pPr>
            <w:r>
              <w:rPr>
                <w:rFonts w:hint="eastAsia" w:ascii="黑体" w:hAnsi="黑体" w:eastAsia="黑体" w:cs="仿宋_GB2312"/>
                <w:color w:val="auto"/>
                <w:sz w:val="21"/>
                <w:szCs w:val="21"/>
                <w:highlight w:val="none"/>
                <w:u w:val="none"/>
                <w:vertAlign w:val="baseline"/>
                <w:lang w:eastAsia="zh-CN"/>
              </w:rPr>
              <w:t>审查结果</w:t>
            </w:r>
          </w:p>
        </w:tc>
        <w:tc>
          <w:tcPr>
            <w:tcW w:w="1150" w:type="dxa"/>
            <w:noWrap w:val="0"/>
            <w:vAlign w:val="center"/>
          </w:tcPr>
          <w:p w14:paraId="5CD13CEC">
            <w:pPr>
              <w:keepNext w:val="0"/>
              <w:keepLines w:val="0"/>
              <w:widowControl/>
              <w:suppressLineNumbers w:val="0"/>
              <w:spacing w:before="0" w:beforeLines="0" w:beforeAutospacing="0" w:after="0" w:afterLines="0" w:afterAutospacing="0" w:line="380" w:lineRule="exact"/>
              <w:ind w:left="0" w:right="0"/>
              <w:jc w:val="center"/>
              <w:rPr>
                <w:rFonts w:hint="eastAsia" w:ascii="黑体" w:hAnsi="黑体" w:eastAsia="黑体" w:cs="仿宋_GB2312"/>
                <w:color w:val="auto"/>
                <w:sz w:val="21"/>
                <w:szCs w:val="21"/>
                <w:highlight w:val="none"/>
                <w:u w:val="none"/>
                <w:vertAlign w:val="baseline"/>
                <w:lang w:val="en-US" w:eastAsia="zh-CN"/>
              </w:rPr>
            </w:pPr>
            <w:r>
              <w:rPr>
                <w:rFonts w:hint="eastAsia" w:ascii="黑体" w:hAnsi="黑体" w:eastAsia="黑体" w:cs="仿宋_GB2312"/>
                <w:color w:val="auto"/>
                <w:sz w:val="21"/>
                <w:szCs w:val="21"/>
                <w:highlight w:val="none"/>
                <w:u w:val="none"/>
                <w:vertAlign w:val="baseline"/>
                <w:lang w:val="en-US" w:eastAsia="zh-CN"/>
              </w:rPr>
              <w:t>XX公司</w:t>
            </w:r>
          </w:p>
          <w:p w14:paraId="4D1C1DC1">
            <w:pPr>
              <w:keepNext w:val="0"/>
              <w:keepLines w:val="0"/>
              <w:widowControl/>
              <w:suppressLineNumbers w:val="0"/>
              <w:spacing w:before="0" w:beforeLines="0" w:beforeAutospacing="0" w:after="0" w:afterLines="0" w:afterAutospacing="0" w:line="380" w:lineRule="exact"/>
              <w:ind w:left="0" w:right="0"/>
              <w:jc w:val="center"/>
              <w:rPr>
                <w:rFonts w:hint="eastAsia" w:ascii="黑体" w:hAnsi="黑体" w:eastAsia="黑体" w:cs="仿宋_GB2312"/>
                <w:color w:val="auto"/>
                <w:sz w:val="21"/>
                <w:szCs w:val="21"/>
                <w:highlight w:val="none"/>
                <w:u w:val="none"/>
                <w:vertAlign w:val="baseline"/>
                <w:lang w:eastAsia="zh-CN"/>
              </w:rPr>
            </w:pPr>
            <w:r>
              <w:rPr>
                <w:rFonts w:hint="eastAsia" w:ascii="黑体" w:hAnsi="黑体" w:eastAsia="黑体" w:cs="仿宋_GB2312"/>
                <w:color w:val="auto"/>
                <w:sz w:val="21"/>
                <w:szCs w:val="21"/>
                <w:highlight w:val="none"/>
                <w:u w:val="none"/>
                <w:vertAlign w:val="baseline"/>
                <w:lang w:eastAsia="zh-CN"/>
              </w:rPr>
              <w:t>审查结果</w:t>
            </w:r>
          </w:p>
        </w:tc>
        <w:tc>
          <w:tcPr>
            <w:tcW w:w="1150" w:type="dxa"/>
            <w:noWrap w:val="0"/>
            <w:vAlign w:val="center"/>
          </w:tcPr>
          <w:p w14:paraId="377759A0">
            <w:pPr>
              <w:keepNext w:val="0"/>
              <w:keepLines w:val="0"/>
              <w:widowControl/>
              <w:suppressLineNumbers w:val="0"/>
              <w:spacing w:before="0" w:beforeLines="0" w:beforeAutospacing="0" w:after="0" w:afterLines="0" w:afterAutospacing="0" w:line="380" w:lineRule="exact"/>
              <w:ind w:left="0" w:right="0"/>
              <w:jc w:val="center"/>
              <w:rPr>
                <w:rFonts w:hint="eastAsia" w:ascii="黑体" w:hAnsi="黑体" w:eastAsia="黑体" w:cs="仿宋_GB2312"/>
                <w:color w:val="auto"/>
                <w:sz w:val="21"/>
                <w:szCs w:val="21"/>
                <w:highlight w:val="none"/>
                <w:u w:val="none"/>
                <w:vertAlign w:val="baseline"/>
                <w:lang w:eastAsia="zh-CN"/>
              </w:rPr>
            </w:pPr>
            <w:r>
              <w:rPr>
                <w:rFonts w:hint="eastAsia" w:ascii="黑体" w:hAnsi="黑体" w:eastAsia="黑体" w:cs="仿宋_GB2312"/>
                <w:color w:val="auto"/>
                <w:sz w:val="21"/>
                <w:szCs w:val="21"/>
                <w:highlight w:val="none"/>
                <w:u w:val="none"/>
                <w:vertAlign w:val="baseline"/>
                <w:lang w:val="en-US" w:eastAsia="zh-CN"/>
              </w:rPr>
              <w:t>……</w:t>
            </w:r>
          </w:p>
        </w:tc>
        <w:tc>
          <w:tcPr>
            <w:tcW w:w="1644" w:type="dxa"/>
            <w:noWrap w:val="0"/>
            <w:vAlign w:val="center"/>
          </w:tcPr>
          <w:p w14:paraId="466F1B24">
            <w:pPr>
              <w:keepNext w:val="0"/>
              <w:keepLines w:val="0"/>
              <w:widowControl/>
              <w:suppressLineNumbers w:val="0"/>
              <w:spacing w:before="0" w:beforeLines="0" w:beforeAutospacing="0" w:after="0" w:afterLines="0" w:afterAutospacing="0" w:line="380" w:lineRule="exact"/>
              <w:ind w:left="0" w:right="0"/>
              <w:jc w:val="center"/>
              <w:rPr>
                <w:rFonts w:hint="eastAsia" w:ascii="黑体" w:hAnsi="黑体" w:eastAsia="黑体" w:cs="仿宋_GB2312"/>
                <w:color w:val="auto"/>
                <w:sz w:val="21"/>
                <w:szCs w:val="21"/>
                <w:highlight w:val="none"/>
                <w:u w:val="none"/>
                <w:vertAlign w:val="baseline"/>
                <w:lang w:eastAsia="zh-CN"/>
              </w:rPr>
            </w:pPr>
            <w:r>
              <w:rPr>
                <w:rFonts w:hint="eastAsia" w:ascii="黑体" w:hAnsi="黑体" w:eastAsia="黑体" w:cs="仿宋_GB2312"/>
                <w:color w:val="auto"/>
                <w:sz w:val="21"/>
                <w:szCs w:val="21"/>
                <w:highlight w:val="none"/>
                <w:u w:val="none"/>
                <w:vertAlign w:val="baseline"/>
                <w:lang w:eastAsia="zh-CN"/>
              </w:rPr>
              <w:t>备注</w:t>
            </w:r>
          </w:p>
        </w:tc>
      </w:tr>
      <w:tr w14:paraId="01F9AB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8" w:type="dxa"/>
            <w:noWrap w:val="0"/>
            <w:vAlign w:val="center"/>
          </w:tcPr>
          <w:p w14:paraId="66E81D15">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sz w:val="21"/>
                <w:szCs w:val="21"/>
                <w:highlight w:val="none"/>
                <w:u w:val="none"/>
                <w:lang w:val="en-US" w:eastAsia="zh-CN"/>
              </w:rPr>
            </w:pPr>
            <w:r>
              <w:rPr>
                <w:rFonts w:hint="eastAsia" w:ascii="仿宋_GB2312" w:hAnsi="仿宋_GB2312" w:eastAsia="仿宋_GB2312" w:cs="仿宋_GB2312"/>
                <w:color w:val="auto"/>
                <w:spacing w:val="-11"/>
                <w:sz w:val="21"/>
                <w:szCs w:val="21"/>
                <w:highlight w:val="none"/>
                <w:u w:val="none"/>
                <w:lang w:val="en-US" w:eastAsia="zh-CN"/>
              </w:rPr>
              <w:t>1</w:t>
            </w:r>
          </w:p>
        </w:tc>
        <w:tc>
          <w:tcPr>
            <w:tcW w:w="2146" w:type="dxa"/>
            <w:noWrap w:val="0"/>
            <w:vAlign w:val="center"/>
          </w:tcPr>
          <w:p w14:paraId="5DBA1376">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sz w:val="21"/>
                <w:szCs w:val="21"/>
                <w:highlight w:val="none"/>
                <w:u w:val="none"/>
                <w:vertAlign w:val="baseline"/>
              </w:rPr>
            </w:pPr>
            <w:r>
              <w:rPr>
                <w:rFonts w:hint="eastAsia" w:ascii="仿宋_GB2312" w:hAnsi="仿宋_GB2312" w:eastAsia="仿宋_GB2312" w:cs="仿宋_GB2312"/>
                <w:color w:val="auto"/>
                <w:spacing w:val="-11"/>
                <w:sz w:val="21"/>
                <w:szCs w:val="21"/>
                <w:highlight w:val="none"/>
                <w:u w:val="none"/>
                <w:lang w:eastAsia="zh-CN"/>
              </w:rPr>
              <w:t>资质</w:t>
            </w:r>
            <w:r>
              <w:rPr>
                <w:rFonts w:hint="eastAsia" w:ascii="仿宋_GB2312" w:hAnsi="仿宋_GB2312" w:eastAsia="仿宋_GB2312" w:cs="仿宋_GB2312"/>
                <w:color w:val="auto"/>
                <w:spacing w:val="-11"/>
                <w:sz w:val="21"/>
                <w:szCs w:val="21"/>
                <w:highlight w:val="none"/>
                <w:u w:val="none"/>
              </w:rPr>
              <w:t>条件</w:t>
            </w:r>
          </w:p>
        </w:tc>
        <w:tc>
          <w:tcPr>
            <w:tcW w:w="3257" w:type="dxa"/>
            <w:noWrap w:val="0"/>
            <w:vAlign w:val="center"/>
          </w:tcPr>
          <w:p w14:paraId="55589E42">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sz w:val="21"/>
                <w:szCs w:val="21"/>
                <w:highlight w:val="none"/>
                <w:u w:val="none"/>
                <w:vertAlign w:val="baseline"/>
              </w:rPr>
            </w:pPr>
            <w:r>
              <w:rPr>
                <w:rFonts w:hint="eastAsia" w:ascii="仿宋_GB2312" w:hAnsi="仿宋_GB2312" w:eastAsia="仿宋_GB2312" w:cs="仿宋_GB2312"/>
                <w:color w:val="auto"/>
                <w:spacing w:val="-11"/>
                <w:sz w:val="21"/>
                <w:szCs w:val="21"/>
                <w:highlight w:val="none"/>
                <w:u w:val="none"/>
                <w:vertAlign w:val="baseline"/>
                <w:lang w:eastAsia="zh-CN"/>
              </w:rPr>
              <w:t>根据采购文件的规定，要求供应商提供资质证明材料或采购人自行通过公开渠道查询</w:t>
            </w:r>
          </w:p>
        </w:tc>
        <w:tc>
          <w:tcPr>
            <w:tcW w:w="1150" w:type="dxa"/>
            <w:noWrap w:val="0"/>
            <w:vAlign w:val="center"/>
          </w:tcPr>
          <w:p w14:paraId="19582C54">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sz w:val="21"/>
                <w:szCs w:val="21"/>
                <w:highlight w:val="none"/>
                <w:u w:val="none"/>
                <w:lang w:eastAsia="zh-CN"/>
              </w:rPr>
            </w:pPr>
            <w:r>
              <w:rPr>
                <w:rFonts w:hint="eastAsia" w:ascii="仿宋_GB2312" w:hAnsi="仿宋_GB2312" w:eastAsia="仿宋_GB2312" w:cs="仿宋_GB2312"/>
                <w:color w:val="auto"/>
                <w:spacing w:val="-11"/>
                <w:sz w:val="21"/>
                <w:szCs w:val="21"/>
                <w:highlight w:val="none"/>
                <w:u w:val="none"/>
                <w:lang w:eastAsia="zh-CN"/>
              </w:rPr>
              <w:t>□通过</w:t>
            </w:r>
          </w:p>
          <w:p w14:paraId="6DD0C316">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sz w:val="21"/>
                <w:szCs w:val="21"/>
                <w:highlight w:val="none"/>
                <w:u w:val="none"/>
                <w:vertAlign w:val="baseline"/>
                <w:lang w:eastAsia="zh-CN"/>
              </w:rPr>
            </w:pPr>
            <w:r>
              <w:rPr>
                <w:rFonts w:hint="eastAsia" w:ascii="仿宋_GB2312" w:hAnsi="仿宋_GB2312" w:eastAsia="仿宋_GB2312" w:cs="仿宋_GB2312"/>
                <w:color w:val="auto"/>
                <w:spacing w:val="-11"/>
                <w:sz w:val="21"/>
                <w:szCs w:val="21"/>
                <w:highlight w:val="none"/>
                <w:u w:val="none"/>
              </w:rPr>
              <w:t>□</w:t>
            </w:r>
            <w:r>
              <w:rPr>
                <w:rFonts w:hint="eastAsia" w:ascii="仿宋_GB2312" w:hAnsi="仿宋_GB2312" w:eastAsia="仿宋_GB2312" w:cs="仿宋_GB2312"/>
                <w:color w:val="auto"/>
                <w:spacing w:val="-11"/>
                <w:sz w:val="21"/>
                <w:szCs w:val="21"/>
                <w:highlight w:val="none"/>
                <w:u w:val="none"/>
                <w:lang w:eastAsia="zh-CN"/>
              </w:rPr>
              <w:t>不通过</w:t>
            </w:r>
          </w:p>
        </w:tc>
        <w:tc>
          <w:tcPr>
            <w:tcW w:w="1150" w:type="dxa"/>
            <w:noWrap w:val="0"/>
            <w:vAlign w:val="center"/>
          </w:tcPr>
          <w:p w14:paraId="6A6A97F2">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sz w:val="21"/>
                <w:szCs w:val="21"/>
                <w:highlight w:val="none"/>
                <w:u w:val="none"/>
                <w:lang w:eastAsia="zh-CN"/>
              </w:rPr>
            </w:pPr>
            <w:r>
              <w:rPr>
                <w:rFonts w:hint="eastAsia" w:ascii="仿宋_GB2312" w:hAnsi="仿宋_GB2312" w:eastAsia="仿宋_GB2312" w:cs="仿宋_GB2312"/>
                <w:color w:val="auto"/>
                <w:spacing w:val="-11"/>
                <w:sz w:val="21"/>
                <w:szCs w:val="21"/>
                <w:highlight w:val="none"/>
                <w:u w:val="none"/>
                <w:lang w:eastAsia="zh-CN"/>
              </w:rPr>
              <w:t>□通过</w:t>
            </w:r>
          </w:p>
          <w:p w14:paraId="0B50EF1E">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kern w:val="2"/>
                <w:sz w:val="21"/>
                <w:szCs w:val="21"/>
                <w:highlight w:val="none"/>
                <w:u w:val="none"/>
                <w:vertAlign w:val="baseline"/>
                <w:lang w:val="en-US" w:eastAsia="zh-CN" w:bidi="ar-SA"/>
              </w:rPr>
            </w:pPr>
            <w:r>
              <w:rPr>
                <w:rFonts w:hint="eastAsia" w:ascii="仿宋_GB2312" w:hAnsi="仿宋_GB2312" w:eastAsia="仿宋_GB2312" w:cs="仿宋_GB2312"/>
                <w:color w:val="auto"/>
                <w:spacing w:val="-11"/>
                <w:sz w:val="21"/>
                <w:szCs w:val="21"/>
                <w:highlight w:val="none"/>
                <w:u w:val="none"/>
              </w:rPr>
              <w:t>□</w:t>
            </w:r>
            <w:r>
              <w:rPr>
                <w:rFonts w:hint="eastAsia" w:ascii="仿宋_GB2312" w:hAnsi="仿宋_GB2312" w:eastAsia="仿宋_GB2312" w:cs="仿宋_GB2312"/>
                <w:color w:val="auto"/>
                <w:spacing w:val="-11"/>
                <w:sz w:val="21"/>
                <w:szCs w:val="21"/>
                <w:highlight w:val="none"/>
                <w:u w:val="none"/>
                <w:lang w:eastAsia="zh-CN"/>
              </w:rPr>
              <w:t>不通过</w:t>
            </w:r>
          </w:p>
        </w:tc>
        <w:tc>
          <w:tcPr>
            <w:tcW w:w="1150" w:type="dxa"/>
            <w:noWrap w:val="0"/>
            <w:vAlign w:val="center"/>
          </w:tcPr>
          <w:p w14:paraId="684C8CE4">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sz w:val="21"/>
                <w:szCs w:val="21"/>
                <w:highlight w:val="none"/>
                <w:u w:val="none"/>
                <w:lang w:eastAsia="zh-CN"/>
              </w:rPr>
            </w:pPr>
            <w:r>
              <w:rPr>
                <w:rFonts w:hint="eastAsia" w:ascii="仿宋_GB2312" w:hAnsi="仿宋_GB2312" w:eastAsia="仿宋_GB2312" w:cs="仿宋_GB2312"/>
                <w:color w:val="auto"/>
                <w:spacing w:val="-11"/>
                <w:sz w:val="21"/>
                <w:szCs w:val="21"/>
                <w:highlight w:val="none"/>
                <w:u w:val="none"/>
                <w:lang w:eastAsia="zh-CN"/>
              </w:rPr>
              <w:sym w:font="Wingdings 2" w:char="00A3"/>
            </w:r>
            <w:r>
              <w:rPr>
                <w:rFonts w:hint="eastAsia" w:ascii="仿宋_GB2312" w:hAnsi="仿宋_GB2312" w:eastAsia="仿宋_GB2312" w:cs="仿宋_GB2312"/>
                <w:color w:val="auto"/>
                <w:spacing w:val="-11"/>
                <w:sz w:val="21"/>
                <w:szCs w:val="21"/>
                <w:highlight w:val="none"/>
                <w:u w:val="none"/>
                <w:lang w:eastAsia="zh-CN"/>
              </w:rPr>
              <w:t>通过</w:t>
            </w:r>
          </w:p>
          <w:p w14:paraId="739018DB">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kern w:val="2"/>
                <w:sz w:val="21"/>
                <w:szCs w:val="21"/>
                <w:highlight w:val="none"/>
                <w:u w:val="none"/>
                <w:vertAlign w:val="baseline"/>
                <w:lang w:val="en-US" w:eastAsia="zh-CN" w:bidi="ar-SA"/>
              </w:rPr>
            </w:pPr>
            <w:r>
              <w:rPr>
                <w:rFonts w:hint="eastAsia" w:ascii="仿宋_GB2312" w:hAnsi="仿宋_GB2312" w:eastAsia="仿宋_GB2312" w:cs="仿宋_GB2312"/>
                <w:color w:val="auto"/>
                <w:spacing w:val="-11"/>
                <w:sz w:val="21"/>
                <w:szCs w:val="21"/>
                <w:highlight w:val="none"/>
                <w:u w:val="none"/>
              </w:rPr>
              <w:t>□</w:t>
            </w:r>
            <w:r>
              <w:rPr>
                <w:rFonts w:hint="eastAsia" w:ascii="仿宋_GB2312" w:hAnsi="仿宋_GB2312" w:eastAsia="仿宋_GB2312" w:cs="仿宋_GB2312"/>
                <w:color w:val="auto"/>
                <w:spacing w:val="-11"/>
                <w:sz w:val="21"/>
                <w:szCs w:val="21"/>
                <w:highlight w:val="none"/>
                <w:u w:val="none"/>
                <w:lang w:eastAsia="zh-CN"/>
              </w:rPr>
              <w:t>不通过</w:t>
            </w:r>
          </w:p>
        </w:tc>
        <w:tc>
          <w:tcPr>
            <w:tcW w:w="1644" w:type="dxa"/>
            <w:noWrap w:val="0"/>
            <w:vAlign w:val="center"/>
          </w:tcPr>
          <w:p w14:paraId="65F56D56">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sz w:val="21"/>
                <w:szCs w:val="21"/>
                <w:highlight w:val="none"/>
                <w:u w:val="none"/>
                <w:lang w:eastAsia="zh-CN"/>
              </w:rPr>
            </w:pPr>
            <w:r>
              <w:rPr>
                <w:rFonts w:hint="eastAsia" w:ascii="仿宋_GB2312" w:hAnsi="仿宋_GB2312" w:eastAsia="仿宋_GB2312" w:cs="仿宋_GB2312"/>
                <w:color w:val="auto"/>
                <w:spacing w:val="-11"/>
                <w:sz w:val="21"/>
                <w:szCs w:val="21"/>
                <w:highlight w:val="none"/>
                <w:u w:val="none"/>
                <w:lang w:eastAsia="zh-CN"/>
              </w:rPr>
              <w:t>采购人应当在采购文件事先明确具体的审查方式</w:t>
            </w:r>
          </w:p>
        </w:tc>
      </w:tr>
      <w:tr w14:paraId="226674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8" w:type="dxa"/>
            <w:noWrap w:val="0"/>
            <w:vAlign w:val="center"/>
          </w:tcPr>
          <w:p w14:paraId="294A4461">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sz w:val="21"/>
                <w:szCs w:val="21"/>
                <w:highlight w:val="none"/>
                <w:u w:val="none"/>
                <w:lang w:val="en-US" w:eastAsia="zh-CN"/>
              </w:rPr>
            </w:pPr>
            <w:r>
              <w:rPr>
                <w:rFonts w:hint="eastAsia" w:ascii="仿宋_GB2312" w:hAnsi="仿宋_GB2312" w:eastAsia="仿宋_GB2312" w:cs="仿宋_GB2312"/>
                <w:color w:val="auto"/>
                <w:spacing w:val="-11"/>
                <w:sz w:val="21"/>
                <w:szCs w:val="21"/>
                <w:highlight w:val="none"/>
                <w:u w:val="none"/>
                <w:lang w:val="en-US" w:eastAsia="zh-CN"/>
              </w:rPr>
              <w:t>2</w:t>
            </w:r>
          </w:p>
        </w:tc>
        <w:tc>
          <w:tcPr>
            <w:tcW w:w="2146" w:type="dxa"/>
            <w:noWrap w:val="0"/>
            <w:vAlign w:val="center"/>
          </w:tcPr>
          <w:p w14:paraId="29BAD372">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sz w:val="21"/>
                <w:szCs w:val="21"/>
                <w:highlight w:val="none"/>
                <w:u w:val="none"/>
                <w:lang w:eastAsia="zh-CN"/>
              </w:rPr>
            </w:pPr>
            <w:r>
              <w:rPr>
                <w:rFonts w:hint="eastAsia" w:ascii="仿宋_GB2312" w:hAnsi="仿宋_GB2312" w:eastAsia="仿宋_GB2312" w:cs="仿宋_GB2312"/>
                <w:color w:val="auto"/>
                <w:spacing w:val="-11"/>
                <w:sz w:val="21"/>
                <w:szCs w:val="21"/>
                <w:highlight w:val="none"/>
                <w:u w:val="none"/>
              </w:rPr>
              <w:t>是否存在</w:t>
            </w:r>
            <w:r>
              <w:rPr>
                <w:rFonts w:hint="eastAsia" w:ascii="仿宋_GB2312" w:hAnsi="仿宋_GB2312" w:eastAsia="仿宋_GB2312" w:cs="仿宋_GB2312"/>
                <w:color w:val="auto"/>
                <w:spacing w:val="-11"/>
                <w:sz w:val="21"/>
                <w:szCs w:val="21"/>
                <w:highlight w:val="none"/>
                <w:u w:val="none"/>
                <w:lang w:eastAsia="zh-CN"/>
              </w:rPr>
              <w:t>因</w:t>
            </w:r>
            <w:r>
              <w:rPr>
                <w:rFonts w:hint="eastAsia" w:ascii="仿宋_GB2312" w:hAnsi="仿宋_GB2312" w:eastAsia="仿宋_GB2312" w:cs="仿宋_GB2312"/>
                <w:color w:val="auto"/>
                <w:spacing w:val="-11"/>
                <w:sz w:val="21"/>
                <w:szCs w:val="21"/>
                <w:highlight w:val="none"/>
                <w:u w:val="none"/>
              </w:rPr>
              <w:t>违法行为</w:t>
            </w:r>
            <w:r>
              <w:rPr>
                <w:rFonts w:hint="eastAsia" w:ascii="仿宋_GB2312" w:hAnsi="仿宋_GB2312" w:eastAsia="仿宋_GB2312" w:cs="仿宋_GB2312"/>
                <w:color w:val="auto"/>
                <w:spacing w:val="-11"/>
                <w:sz w:val="21"/>
                <w:szCs w:val="21"/>
                <w:highlight w:val="none"/>
                <w:u w:val="none"/>
                <w:lang w:eastAsia="zh-CN"/>
              </w:rPr>
              <w:t>而</w:t>
            </w:r>
            <w:r>
              <w:rPr>
                <w:rFonts w:hint="eastAsia" w:ascii="仿宋_GB2312" w:hAnsi="仿宋_GB2312" w:eastAsia="仿宋_GB2312" w:cs="仿宋_GB2312"/>
                <w:color w:val="auto"/>
                <w:spacing w:val="-11"/>
                <w:sz w:val="21"/>
                <w:szCs w:val="21"/>
                <w:highlight w:val="none"/>
                <w:u w:val="none"/>
              </w:rPr>
              <w:t>被禁止参加</w:t>
            </w:r>
            <w:r>
              <w:rPr>
                <w:rFonts w:hint="eastAsia" w:ascii="仿宋_GB2312" w:hAnsi="仿宋_GB2312" w:eastAsia="仿宋_GB2312" w:cs="仿宋_GB2312"/>
                <w:color w:val="auto"/>
                <w:spacing w:val="-11"/>
                <w:sz w:val="21"/>
                <w:szCs w:val="21"/>
                <w:highlight w:val="none"/>
                <w:u w:val="none"/>
                <w:lang w:eastAsia="zh-CN"/>
              </w:rPr>
              <w:t>本市</w:t>
            </w:r>
            <w:r>
              <w:rPr>
                <w:rFonts w:hint="eastAsia" w:ascii="仿宋_GB2312" w:hAnsi="仿宋_GB2312" w:eastAsia="仿宋_GB2312" w:cs="仿宋_GB2312"/>
                <w:color w:val="auto"/>
                <w:spacing w:val="-11"/>
                <w:sz w:val="21"/>
                <w:szCs w:val="21"/>
                <w:highlight w:val="none"/>
                <w:u w:val="none"/>
              </w:rPr>
              <w:t>政府采购活动</w:t>
            </w:r>
            <w:r>
              <w:rPr>
                <w:rFonts w:hint="eastAsia" w:ascii="仿宋_GB2312" w:hAnsi="仿宋_GB2312" w:eastAsia="仿宋_GB2312" w:cs="仿宋_GB2312"/>
                <w:color w:val="auto"/>
                <w:spacing w:val="-11"/>
                <w:sz w:val="21"/>
                <w:szCs w:val="21"/>
                <w:highlight w:val="none"/>
                <w:u w:val="none"/>
                <w:lang w:eastAsia="zh-CN"/>
              </w:rPr>
              <w:t>的情形</w:t>
            </w:r>
          </w:p>
        </w:tc>
        <w:tc>
          <w:tcPr>
            <w:tcW w:w="3257" w:type="dxa"/>
            <w:noWrap w:val="0"/>
            <w:vAlign w:val="center"/>
          </w:tcPr>
          <w:p w14:paraId="4B1C3D58">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i w:val="0"/>
                <w:caps w:val="0"/>
                <w:color w:val="auto"/>
                <w:spacing w:val="-11"/>
                <w:kern w:val="2"/>
                <w:sz w:val="21"/>
                <w:szCs w:val="21"/>
                <w:highlight w:val="none"/>
                <w:u w:val="none"/>
                <w:shd w:val="clear" w:color="auto" w:fill="auto"/>
                <w:lang w:val="en-US" w:eastAsia="zh-CN" w:bidi="ar"/>
              </w:rPr>
            </w:pPr>
            <w:r>
              <w:rPr>
                <w:rFonts w:hint="eastAsia" w:ascii="仿宋_GB2312" w:hAnsi="仿宋_GB2312" w:eastAsia="仿宋_GB2312" w:cs="仿宋_GB2312"/>
                <w:i w:val="0"/>
                <w:caps w:val="0"/>
                <w:color w:val="auto"/>
                <w:spacing w:val="-11"/>
                <w:kern w:val="2"/>
                <w:sz w:val="21"/>
                <w:szCs w:val="21"/>
                <w:highlight w:val="none"/>
                <w:u w:val="none"/>
                <w:shd w:val="clear" w:color="auto" w:fill="auto"/>
                <w:lang w:val="en-US" w:eastAsia="zh-CN" w:bidi="ar"/>
              </w:rPr>
              <w:t>中国政府采购网（</w:t>
            </w:r>
            <w:r>
              <w:rPr>
                <w:rFonts w:hint="eastAsia" w:ascii="仿宋_GB2312" w:hAnsi="仿宋_GB2312" w:eastAsia="仿宋_GB2312" w:cs="仿宋_GB2312"/>
                <w:color w:val="auto"/>
                <w:spacing w:val="-11"/>
                <w:kern w:val="2"/>
                <w:sz w:val="21"/>
                <w:szCs w:val="21"/>
                <w:highlight w:val="none"/>
                <w:lang w:val="en-US" w:eastAsia="zh-CN" w:bidi="ar"/>
              </w:rPr>
              <w:fldChar w:fldCharType="begin"/>
            </w:r>
            <w:r>
              <w:rPr>
                <w:rFonts w:hint="eastAsia" w:ascii="仿宋_GB2312" w:hAnsi="仿宋_GB2312" w:eastAsia="仿宋_GB2312" w:cs="仿宋_GB2312"/>
                <w:color w:val="auto"/>
                <w:spacing w:val="-11"/>
                <w:kern w:val="2"/>
                <w:sz w:val="21"/>
                <w:szCs w:val="21"/>
                <w:highlight w:val="none"/>
                <w:lang w:val="en-US" w:eastAsia="zh-CN" w:bidi="ar"/>
              </w:rPr>
              <w:instrText xml:space="preserve"> HYPERLINK "http://www.ccgp.gov.cn/search/cr/" </w:instrText>
            </w:r>
            <w:r>
              <w:rPr>
                <w:rFonts w:hint="eastAsia" w:ascii="仿宋_GB2312" w:hAnsi="仿宋_GB2312" w:eastAsia="仿宋_GB2312" w:cs="仿宋_GB2312"/>
                <w:color w:val="auto"/>
                <w:spacing w:val="-11"/>
                <w:kern w:val="2"/>
                <w:sz w:val="21"/>
                <w:szCs w:val="21"/>
                <w:highlight w:val="none"/>
                <w:lang w:val="en-US" w:eastAsia="zh-CN" w:bidi="ar"/>
              </w:rPr>
              <w:fldChar w:fldCharType="separate"/>
            </w:r>
            <w:r>
              <w:rPr>
                <w:rFonts w:hint="eastAsia" w:ascii="仿宋_GB2312" w:hAnsi="仿宋_GB2312" w:eastAsia="仿宋_GB2312" w:cs="仿宋_GB2312"/>
                <w:color w:val="auto"/>
                <w:spacing w:val="-11"/>
                <w:sz w:val="21"/>
                <w:szCs w:val="21"/>
                <w:highlight w:val="none"/>
                <w:u w:val="none"/>
                <w:lang w:bidi="ar"/>
              </w:rPr>
              <w:t>http://www.ccgp.gov.cn/search/cr/</w:t>
            </w:r>
            <w:r>
              <w:rPr>
                <w:rFonts w:hint="eastAsia" w:ascii="仿宋_GB2312" w:hAnsi="仿宋_GB2312" w:eastAsia="仿宋_GB2312" w:cs="仿宋_GB2312"/>
                <w:color w:val="auto"/>
                <w:spacing w:val="-11"/>
                <w:kern w:val="2"/>
                <w:sz w:val="21"/>
                <w:szCs w:val="21"/>
                <w:highlight w:val="none"/>
                <w:lang w:val="en-US" w:eastAsia="zh-CN" w:bidi="ar"/>
              </w:rPr>
              <w:fldChar w:fldCharType="end"/>
            </w:r>
            <w:r>
              <w:rPr>
                <w:rFonts w:hint="eastAsia" w:ascii="仿宋_GB2312" w:hAnsi="仿宋_GB2312" w:eastAsia="仿宋_GB2312" w:cs="仿宋_GB2312"/>
                <w:i w:val="0"/>
                <w:caps w:val="0"/>
                <w:color w:val="auto"/>
                <w:spacing w:val="-11"/>
                <w:kern w:val="2"/>
                <w:sz w:val="21"/>
                <w:szCs w:val="21"/>
                <w:highlight w:val="none"/>
                <w:u w:val="none"/>
                <w:shd w:val="clear" w:color="auto" w:fill="auto"/>
                <w:lang w:val="en-US" w:eastAsia="zh-CN" w:bidi="ar"/>
              </w:rPr>
              <w:t>）、</w:t>
            </w:r>
          </w:p>
          <w:p w14:paraId="70163EAC">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sz w:val="21"/>
                <w:szCs w:val="21"/>
                <w:highlight w:val="none"/>
                <w:u w:val="none"/>
                <w:vertAlign w:val="baseline"/>
                <w:lang w:bidi="ar"/>
              </w:rPr>
            </w:pPr>
            <w:r>
              <w:rPr>
                <w:rFonts w:hint="eastAsia" w:ascii="仿宋_GB2312" w:hAnsi="仿宋_GB2312" w:eastAsia="仿宋_GB2312" w:cs="仿宋_GB2312"/>
                <w:i w:val="0"/>
                <w:caps w:val="0"/>
                <w:color w:val="auto"/>
                <w:spacing w:val="-11"/>
                <w:kern w:val="2"/>
                <w:sz w:val="21"/>
                <w:szCs w:val="21"/>
                <w:highlight w:val="none"/>
                <w:u w:val="none"/>
                <w:shd w:val="clear" w:color="auto" w:fill="auto"/>
                <w:lang w:val="en-US" w:eastAsia="zh-CN" w:bidi="ar"/>
              </w:rPr>
              <w:t>深圳市政府采购监管网（</w:t>
            </w:r>
            <w:r>
              <w:rPr>
                <w:rFonts w:hint="eastAsia" w:ascii="仿宋_GB2312" w:hAnsi="仿宋_GB2312" w:eastAsia="仿宋_GB2312" w:cs="仿宋_GB2312"/>
                <w:color w:val="auto"/>
                <w:spacing w:val="-11"/>
                <w:kern w:val="2"/>
                <w:sz w:val="21"/>
                <w:szCs w:val="21"/>
                <w:highlight w:val="none"/>
                <w:lang w:val="en-US" w:eastAsia="zh-CN" w:bidi="ar"/>
              </w:rPr>
              <w:fldChar w:fldCharType="begin"/>
            </w:r>
            <w:r>
              <w:rPr>
                <w:rFonts w:hint="eastAsia" w:ascii="仿宋_GB2312" w:hAnsi="仿宋_GB2312" w:eastAsia="仿宋_GB2312" w:cs="仿宋_GB2312"/>
                <w:color w:val="auto"/>
                <w:spacing w:val="-11"/>
                <w:kern w:val="2"/>
                <w:sz w:val="21"/>
                <w:szCs w:val="21"/>
                <w:highlight w:val="none"/>
                <w:lang w:val="en-US" w:eastAsia="zh-CN" w:bidi="ar"/>
              </w:rPr>
              <w:instrText xml:space="preserve"> HYPERLINK "http://zfcg.sz.gov.cn/cgjg/cxda/index.html" </w:instrText>
            </w:r>
            <w:r>
              <w:rPr>
                <w:rFonts w:hint="eastAsia" w:ascii="仿宋_GB2312" w:hAnsi="仿宋_GB2312" w:eastAsia="仿宋_GB2312" w:cs="仿宋_GB2312"/>
                <w:color w:val="auto"/>
                <w:spacing w:val="-11"/>
                <w:kern w:val="2"/>
                <w:sz w:val="21"/>
                <w:szCs w:val="21"/>
                <w:highlight w:val="none"/>
                <w:lang w:val="en-US" w:eastAsia="zh-CN" w:bidi="ar"/>
              </w:rPr>
              <w:fldChar w:fldCharType="separate"/>
            </w:r>
            <w:r>
              <w:rPr>
                <w:rFonts w:hint="eastAsia" w:ascii="仿宋_GB2312" w:hAnsi="仿宋_GB2312" w:eastAsia="仿宋_GB2312" w:cs="仿宋_GB2312"/>
                <w:color w:val="auto"/>
                <w:spacing w:val="-11"/>
                <w:sz w:val="21"/>
                <w:szCs w:val="21"/>
                <w:highlight w:val="none"/>
                <w:u w:val="none"/>
                <w:lang w:bidi="ar"/>
              </w:rPr>
              <w:t>http://zfcg.sz.gov.cn/cgjg/cxda/index.html</w:t>
            </w:r>
            <w:r>
              <w:rPr>
                <w:rFonts w:hint="eastAsia" w:ascii="仿宋_GB2312" w:hAnsi="仿宋_GB2312" w:eastAsia="仿宋_GB2312" w:cs="仿宋_GB2312"/>
                <w:color w:val="auto"/>
                <w:spacing w:val="-11"/>
                <w:kern w:val="2"/>
                <w:sz w:val="21"/>
                <w:szCs w:val="21"/>
                <w:highlight w:val="none"/>
                <w:lang w:val="en-US" w:eastAsia="zh-CN" w:bidi="ar"/>
              </w:rPr>
              <w:fldChar w:fldCharType="end"/>
            </w:r>
            <w:r>
              <w:rPr>
                <w:rFonts w:hint="eastAsia" w:ascii="仿宋_GB2312" w:hAnsi="仿宋_GB2312" w:eastAsia="仿宋_GB2312" w:cs="仿宋_GB2312"/>
                <w:i w:val="0"/>
                <w:caps w:val="0"/>
                <w:color w:val="auto"/>
                <w:spacing w:val="-11"/>
                <w:kern w:val="2"/>
                <w:sz w:val="21"/>
                <w:szCs w:val="21"/>
                <w:highlight w:val="none"/>
                <w:u w:val="none"/>
                <w:shd w:val="clear" w:color="auto" w:fill="auto"/>
                <w:lang w:val="en-US" w:eastAsia="zh-CN" w:bidi="ar"/>
              </w:rPr>
              <w:t>）</w:t>
            </w:r>
          </w:p>
        </w:tc>
        <w:tc>
          <w:tcPr>
            <w:tcW w:w="1150" w:type="dxa"/>
            <w:noWrap w:val="0"/>
            <w:vAlign w:val="center"/>
          </w:tcPr>
          <w:p w14:paraId="740F6577">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sz w:val="21"/>
                <w:szCs w:val="21"/>
                <w:highlight w:val="none"/>
                <w:u w:val="none"/>
                <w:lang w:bidi="ar"/>
              </w:rPr>
            </w:pPr>
            <w:r>
              <w:rPr>
                <w:rFonts w:hint="eastAsia" w:ascii="仿宋_GB2312" w:hAnsi="仿宋_GB2312" w:eastAsia="仿宋_GB2312" w:cs="仿宋_GB2312"/>
                <w:color w:val="auto"/>
                <w:spacing w:val="-11"/>
                <w:sz w:val="21"/>
                <w:szCs w:val="21"/>
                <w:highlight w:val="none"/>
                <w:u w:val="none"/>
                <w:lang w:eastAsia="zh-CN" w:bidi="ar"/>
              </w:rPr>
              <w:t>□是</w:t>
            </w:r>
          </w:p>
          <w:p w14:paraId="0F7AA864">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sz w:val="21"/>
                <w:szCs w:val="21"/>
                <w:highlight w:val="none"/>
                <w:u w:val="none"/>
                <w:lang w:bidi="ar"/>
              </w:rPr>
            </w:pPr>
            <w:r>
              <w:rPr>
                <w:rFonts w:hint="eastAsia" w:ascii="仿宋_GB2312" w:hAnsi="仿宋_GB2312" w:eastAsia="仿宋_GB2312" w:cs="仿宋_GB2312"/>
                <w:color w:val="auto"/>
                <w:spacing w:val="-11"/>
                <w:sz w:val="21"/>
                <w:szCs w:val="21"/>
                <w:highlight w:val="none"/>
                <w:u w:val="none"/>
                <w:lang w:bidi="ar"/>
              </w:rPr>
              <w:t>□</w:t>
            </w:r>
            <w:r>
              <w:rPr>
                <w:rFonts w:hint="eastAsia" w:ascii="仿宋_GB2312" w:hAnsi="仿宋_GB2312" w:eastAsia="仿宋_GB2312" w:cs="仿宋_GB2312"/>
                <w:color w:val="auto"/>
                <w:spacing w:val="-11"/>
                <w:sz w:val="21"/>
                <w:szCs w:val="21"/>
                <w:highlight w:val="none"/>
                <w:u w:val="none"/>
                <w:lang w:eastAsia="zh-CN" w:bidi="ar"/>
              </w:rPr>
              <w:t>否</w:t>
            </w:r>
          </w:p>
        </w:tc>
        <w:tc>
          <w:tcPr>
            <w:tcW w:w="1150" w:type="dxa"/>
            <w:noWrap w:val="0"/>
            <w:vAlign w:val="center"/>
          </w:tcPr>
          <w:p w14:paraId="551C5580">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sz w:val="21"/>
                <w:szCs w:val="21"/>
                <w:highlight w:val="none"/>
                <w:u w:val="none"/>
                <w:lang w:bidi="ar"/>
              </w:rPr>
            </w:pPr>
            <w:r>
              <w:rPr>
                <w:rFonts w:hint="eastAsia" w:ascii="仿宋_GB2312" w:hAnsi="仿宋_GB2312" w:eastAsia="仿宋_GB2312" w:cs="仿宋_GB2312"/>
                <w:color w:val="auto"/>
                <w:spacing w:val="-11"/>
                <w:sz w:val="21"/>
                <w:szCs w:val="21"/>
                <w:highlight w:val="none"/>
                <w:u w:val="none"/>
                <w:lang w:eastAsia="zh-CN" w:bidi="ar"/>
              </w:rPr>
              <w:t>□是</w:t>
            </w:r>
          </w:p>
          <w:p w14:paraId="20A79B0A">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kern w:val="2"/>
                <w:sz w:val="21"/>
                <w:szCs w:val="21"/>
                <w:highlight w:val="none"/>
                <w:u w:val="none"/>
                <w:lang w:val="en-US" w:eastAsia="zh-CN" w:bidi="ar"/>
              </w:rPr>
            </w:pPr>
            <w:r>
              <w:rPr>
                <w:rFonts w:hint="eastAsia" w:ascii="仿宋_GB2312" w:hAnsi="仿宋_GB2312" w:eastAsia="仿宋_GB2312" w:cs="仿宋_GB2312"/>
                <w:color w:val="auto"/>
                <w:spacing w:val="-11"/>
                <w:sz w:val="21"/>
                <w:szCs w:val="21"/>
                <w:highlight w:val="none"/>
                <w:u w:val="none"/>
                <w:lang w:bidi="ar"/>
              </w:rPr>
              <w:t>□</w:t>
            </w:r>
            <w:r>
              <w:rPr>
                <w:rFonts w:hint="eastAsia" w:ascii="仿宋_GB2312" w:hAnsi="仿宋_GB2312" w:eastAsia="仿宋_GB2312" w:cs="仿宋_GB2312"/>
                <w:color w:val="auto"/>
                <w:spacing w:val="-11"/>
                <w:sz w:val="21"/>
                <w:szCs w:val="21"/>
                <w:highlight w:val="none"/>
                <w:u w:val="none"/>
                <w:lang w:eastAsia="zh-CN" w:bidi="ar"/>
              </w:rPr>
              <w:t>否</w:t>
            </w:r>
          </w:p>
        </w:tc>
        <w:tc>
          <w:tcPr>
            <w:tcW w:w="1150" w:type="dxa"/>
            <w:noWrap w:val="0"/>
            <w:vAlign w:val="center"/>
          </w:tcPr>
          <w:p w14:paraId="1F3DF356">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sz w:val="21"/>
                <w:szCs w:val="21"/>
                <w:highlight w:val="none"/>
                <w:u w:val="none"/>
                <w:lang w:bidi="ar"/>
              </w:rPr>
            </w:pPr>
            <w:r>
              <w:rPr>
                <w:rFonts w:hint="eastAsia" w:ascii="仿宋_GB2312" w:hAnsi="仿宋_GB2312" w:eastAsia="仿宋_GB2312" w:cs="仿宋_GB2312"/>
                <w:color w:val="auto"/>
                <w:spacing w:val="-11"/>
                <w:sz w:val="21"/>
                <w:szCs w:val="21"/>
                <w:highlight w:val="none"/>
                <w:u w:val="none"/>
                <w:lang w:eastAsia="zh-CN" w:bidi="ar"/>
              </w:rPr>
              <w:t>□是</w:t>
            </w:r>
          </w:p>
          <w:p w14:paraId="2A1D88E8">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kern w:val="2"/>
                <w:sz w:val="21"/>
                <w:szCs w:val="21"/>
                <w:highlight w:val="none"/>
                <w:u w:val="none"/>
                <w:lang w:val="en-US" w:eastAsia="zh-CN" w:bidi="ar"/>
              </w:rPr>
            </w:pPr>
            <w:r>
              <w:rPr>
                <w:rFonts w:hint="eastAsia" w:ascii="仿宋_GB2312" w:hAnsi="仿宋_GB2312" w:eastAsia="仿宋_GB2312" w:cs="仿宋_GB2312"/>
                <w:color w:val="auto"/>
                <w:spacing w:val="-11"/>
                <w:sz w:val="21"/>
                <w:szCs w:val="21"/>
                <w:highlight w:val="none"/>
                <w:u w:val="none"/>
                <w:lang w:bidi="ar"/>
              </w:rPr>
              <w:t>□</w:t>
            </w:r>
            <w:r>
              <w:rPr>
                <w:rFonts w:hint="eastAsia" w:ascii="仿宋_GB2312" w:hAnsi="仿宋_GB2312" w:eastAsia="仿宋_GB2312" w:cs="仿宋_GB2312"/>
                <w:color w:val="auto"/>
                <w:spacing w:val="-11"/>
                <w:sz w:val="21"/>
                <w:szCs w:val="21"/>
                <w:highlight w:val="none"/>
                <w:u w:val="none"/>
                <w:lang w:eastAsia="zh-CN" w:bidi="ar"/>
              </w:rPr>
              <w:t>否</w:t>
            </w:r>
          </w:p>
        </w:tc>
        <w:tc>
          <w:tcPr>
            <w:tcW w:w="1644" w:type="dxa"/>
            <w:noWrap w:val="0"/>
            <w:vAlign w:val="center"/>
          </w:tcPr>
          <w:p w14:paraId="57C93CD4">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sz w:val="21"/>
                <w:szCs w:val="21"/>
                <w:highlight w:val="none"/>
                <w:u w:val="none"/>
                <w:lang w:eastAsia="zh-CN"/>
              </w:rPr>
            </w:pPr>
            <w:r>
              <w:rPr>
                <w:rFonts w:hint="eastAsia" w:ascii="仿宋_GB2312" w:hAnsi="仿宋_GB2312" w:eastAsia="仿宋_GB2312" w:cs="仿宋_GB2312"/>
                <w:color w:val="auto"/>
                <w:spacing w:val="-11"/>
                <w:kern w:val="2"/>
                <w:sz w:val="21"/>
                <w:szCs w:val="21"/>
                <w:highlight w:val="none"/>
                <w:u w:val="none"/>
                <w:lang w:val="en-US" w:eastAsia="zh-CN" w:bidi="ar-SA"/>
              </w:rPr>
              <w:t>若选择“是”，则属于审查不通过。</w:t>
            </w:r>
          </w:p>
        </w:tc>
      </w:tr>
      <w:tr w14:paraId="030567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8" w:type="dxa"/>
            <w:noWrap w:val="0"/>
            <w:vAlign w:val="center"/>
          </w:tcPr>
          <w:p w14:paraId="11FFD6D4">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default" w:ascii="仿宋_GB2312" w:hAnsi="仿宋_GB2312" w:eastAsia="仿宋_GB2312" w:cs="仿宋_GB2312"/>
                <w:color w:val="auto"/>
                <w:spacing w:val="-11"/>
                <w:sz w:val="21"/>
                <w:szCs w:val="21"/>
                <w:highlight w:val="none"/>
                <w:u w:val="none"/>
                <w:lang w:val="en-US" w:eastAsia="zh-CN"/>
              </w:rPr>
            </w:pPr>
            <w:r>
              <w:rPr>
                <w:rFonts w:hint="eastAsia" w:ascii="仿宋_GB2312" w:hAnsi="仿宋_GB2312" w:eastAsia="仿宋_GB2312" w:cs="仿宋_GB2312"/>
                <w:color w:val="auto"/>
                <w:spacing w:val="-11"/>
                <w:sz w:val="21"/>
                <w:szCs w:val="21"/>
                <w:highlight w:val="none"/>
                <w:u w:val="none"/>
                <w:lang w:val="en-US" w:eastAsia="zh-CN"/>
              </w:rPr>
              <w:t>3</w:t>
            </w:r>
          </w:p>
        </w:tc>
        <w:tc>
          <w:tcPr>
            <w:tcW w:w="2146" w:type="dxa"/>
            <w:noWrap w:val="0"/>
            <w:vAlign w:val="center"/>
          </w:tcPr>
          <w:p w14:paraId="0CECC225">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sz w:val="21"/>
                <w:szCs w:val="21"/>
                <w:highlight w:val="none"/>
                <w:u w:val="none"/>
              </w:rPr>
            </w:pPr>
            <w:r>
              <w:rPr>
                <w:rFonts w:hint="eastAsia" w:ascii="仿宋_GB2312" w:hAnsi="仿宋_GB2312" w:eastAsia="仿宋_GB2312" w:cs="仿宋_GB2312"/>
                <w:color w:val="auto"/>
                <w:spacing w:val="-11"/>
                <w:sz w:val="21"/>
                <w:szCs w:val="21"/>
                <w:highlight w:val="none"/>
                <w:u w:val="none"/>
              </w:rPr>
              <w:t>不同投标供应商的法定代表人、主要经营负责人、投标授权代表人、项目负责人、主要技术人员是否为同一人、属同一单位或者在同一单位缴纳社会保险</w:t>
            </w:r>
          </w:p>
        </w:tc>
        <w:tc>
          <w:tcPr>
            <w:tcW w:w="3257" w:type="dxa"/>
            <w:noWrap w:val="0"/>
            <w:vAlign w:val="center"/>
          </w:tcPr>
          <w:p w14:paraId="432EA165">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default" w:ascii="仿宋_GB2312" w:hAnsi="仿宋_GB2312" w:eastAsia="仿宋_GB2312" w:cs="仿宋_GB2312"/>
                <w:i w:val="0"/>
                <w:caps w:val="0"/>
                <w:color w:val="auto"/>
                <w:spacing w:val="-11"/>
                <w:kern w:val="2"/>
                <w:sz w:val="21"/>
                <w:szCs w:val="21"/>
                <w:highlight w:val="none"/>
                <w:u w:val="none"/>
                <w:shd w:val="clear" w:color="auto" w:fill="auto"/>
                <w:lang w:val="en-US" w:eastAsia="zh-CN" w:bidi="ar"/>
              </w:rPr>
            </w:pPr>
            <w:r>
              <w:rPr>
                <w:rFonts w:hint="eastAsia" w:ascii="仿宋_GB2312" w:hAnsi="仿宋_GB2312" w:eastAsia="仿宋_GB2312" w:cs="仿宋_GB2312"/>
                <w:color w:val="auto"/>
                <w:spacing w:val="-11"/>
                <w:sz w:val="21"/>
                <w:szCs w:val="21"/>
                <w:highlight w:val="none"/>
                <w:u w:val="none"/>
                <w:shd w:val="clear" w:color="auto" w:fill="auto"/>
                <w:lang w:eastAsia="zh-CN" w:bidi="ar"/>
              </w:rPr>
              <w:t>供应商提供的</w:t>
            </w:r>
            <w:r>
              <w:rPr>
                <w:rFonts w:hint="eastAsia" w:ascii="仿宋_GB2312" w:hAnsi="仿宋_GB2312" w:eastAsia="仿宋_GB2312" w:cs="仿宋_GB2312"/>
                <w:color w:val="auto"/>
                <w:spacing w:val="-11"/>
                <w:sz w:val="21"/>
                <w:szCs w:val="21"/>
                <w:highlight w:val="none"/>
                <w:u w:val="none"/>
                <w:shd w:val="clear" w:color="auto" w:fill="auto"/>
                <w:lang w:bidi="ar"/>
              </w:rPr>
              <w:t>《供应商基本情况表》</w:t>
            </w:r>
            <w:r>
              <w:rPr>
                <w:rFonts w:hint="eastAsia" w:ascii="仿宋_GB2312" w:hAnsi="仿宋_GB2312" w:eastAsia="仿宋_GB2312" w:cs="仿宋_GB2312"/>
                <w:color w:val="auto"/>
                <w:spacing w:val="-11"/>
                <w:sz w:val="21"/>
                <w:szCs w:val="21"/>
                <w:highlight w:val="none"/>
                <w:u w:val="none"/>
                <w:shd w:val="clear" w:color="auto" w:fill="auto"/>
                <w:lang w:eastAsia="zh-CN" w:bidi="ar"/>
              </w:rPr>
              <w:t>；</w:t>
            </w:r>
            <w:r>
              <w:rPr>
                <w:rFonts w:hint="eastAsia" w:ascii="仿宋_GB2312" w:hAnsi="仿宋_GB2312" w:eastAsia="仿宋_GB2312" w:cs="仿宋_GB2312"/>
                <w:i w:val="0"/>
                <w:caps w:val="0"/>
                <w:color w:val="auto"/>
                <w:spacing w:val="-11"/>
                <w:kern w:val="2"/>
                <w:sz w:val="21"/>
                <w:szCs w:val="21"/>
                <w:highlight w:val="none"/>
                <w:u w:val="none"/>
                <w:shd w:val="clear" w:color="auto" w:fill="auto"/>
                <w:lang w:val="en-US" w:eastAsia="zh-CN" w:bidi="ar"/>
              </w:rPr>
              <w:t>供应商提供的社保缴纳证明材料（如有）</w:t>
            </w:r>
          </w:p>
        </w:tc>
        <w:tc>
          <w:tcPr>
            <w:tcW w:w="1150" w:type="dxa"/>
            <w:noWrap w:val="0"/>
            <w:vAlign w:val="center"/>
          </w:tcPr>
          <w:p w14:paraId="0FF9F6CB">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sz w:val="21"/>
                <w:szCs w:val="21"/>
                <w:highlight w:val="none"/>
                <w:u w:val="none"/>
              </w:rPr>
            </w:pPr>
            <w:r>
              <w:rPr>
                <w:rFonts w:hint="eastAsia" w:ascii="仿宋_GB2312" w:hAnsi="仿宋_GB2312" w:eastAsia="仿宋_GB2312" w:cs="仿宋_GB2312"/>
                <w:color w:val="auto"/>
                <w:spacing w:val="-11"/>
                <w:sz w:val="21"/>
                <w:szCs w:val="21"/>
                <w:highlight w:val="none"/>
                <w:u w:val="none"/>
              </w:rPr>
              <w:t>□</w:t>
            </w:r>
            <w:r>
              <w:rPr>
                <w:rFonts w:hint="eastAsia" w:ascii="仿宋_GB2312" w:hAnsi="仿宋_GB2312" w:eastAsia="仿宋_GB2312" w:cs="仿宋_GB2312"/>
                <w:color w:val="auto"/>
                <w:spacing w:val="-11"/>
                <w:sz w:val="21"/>
                <w:szCs w:val="21"/>
                <w:highlight w:val="none"/>
                <w:u w:val="none"/>
                <w:lang w:eastAsia="zh-CN"/>
              </w:rPr>
              <w:t>存在该种情形</w:t>
            </w:r>
          </w:p>
          <w:p w14:paraId="0CECA604">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kern w:val="2"/>
                <w:sz w:val="21"/>
                <w:szCs w:val="21"/>
                <w:highlight w:val="none"/>
                <w:u w:val="none"/>
                <w:lang w:val="en-US" w:eastAsia="zh-CN" w:bidi="ar"/>
              </w:rPr>
            </w:pPr>
            <w:r>
              <w:rPr>
                <w:rFonts w:hint="eastAsia" w:ascii="仿宋_GB2312" w:hAnsi="仿宋_GB2312" w:eastAsia="仿宋_GB2312" w:cs="仿宋_GB2312"/>
                <w:color w:val="auto"/>
                <w:spacing w:val="-11"/>
                <w:sz w:val="21"/>
                <w:szCs w:val="21"/>
                <w:highlight w:val="none"/>
                <w:u w:val="none"/>
              </w:rPr>
              <w:t>□</w:t>
            </w:r>
            <w:r>
              <w:rPr>
                <w:rFonts w:hint="eastAsia" w:ascii="仿宋_GB2312" w:hAnsi="仿宋_GB2312" w:eastAsia="仿宋_GB2312" w:cs="仿宋_GB2312"/>
                <w:color w:val="auto"/>
                <w:spacing w:val="-11"/>
                <w:sz w:val="21"/>
                <w:szCs w:val="21"/>
                <w:highlight w:val="none"/>
                <w:u w:val="none"/>
                <w:lang w:eastAsia="zh-CN"/>
              </w:rPr>
              <w:t>不存在该种情形</w:t>
            </w:r>
          </w:p>
        </w:tc>
        <w:tc>
          <w:tcPr>
            <w:tcW w:w="1150" w:type="dxa"/>
            <w:noWrap w:val="0"/>
            <w:vAlign w:val="center"/>
          </w:tcPr>
          <w:p w14:paraId="254A2EC3">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sz w:val="21"/>
                <w:szCs w:val="21"/>
                <w:highlight w:val="none"/>
                <w:u w:val="none"/>
              </w:rPr>
            </w:pPr>
            <w:r>
              <w:rPr>
                <w:rFonts w:hint="eastAsia" w:ascii="仿宋_GB2312" w:hAnsi="仿宋_GB2312" w:eastAsia="仿宋_GB2312" w:cs="仿宋_GB2312"/>
                <w:color w:val="auto"/>
                <w:spacing w:val="-11"/>
                <w:sz w:val="21"/>
                <w:szCs w:val="21"/>
                <w:highlight w:val="none"/>
                <w:u w:val="none"/>
              </w:rPr>
              <w:t>□</w:t>
            </w:r>
            <w:r>
              <w:rPr>
                <w:rFonts w:hint="eastAsia" w:ascii="仿宋_GB2312" w:hAnsi="仿宋_GB2312" w:eastAsia="仿宋_GB2312" w:cs="仿宋_GB2312"/>
                <w:color w:val="auto"/>
                <w:spacing w:val="-11"/>
                <w:sz w:val="21"/>
                <w:szCs w:val="21"/>
                <w:highlight w:val="none"/>
                <w:u w:val="none"/>
                <w:lang w:eastAsia="zh-CN"/>
              </w:rPr>
              <w:t>存在该种情形</w:t>
            </w:r>
          </w:p>
          <w:p w14:paraId="46E48758">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default" w:ascii="仿宋_GB2312" w:hAnsi="仿宋_GB2312" w:eastAsia="仿宋_GB2312" w:cs="仿宋_GB2312"/>
                <w:color w:val="auto"/>
                <w:spacing w:val="-11"/>
                <w:kern w:val="2"/>
                <w:sz w:val="21"/>
                <w:szCs w:val="21"/>
                <w:highlight w:val="none"/>
                <w:u w:val="none"/>
                <w:lang w:val="en-US" w:eastAsia="zh-CN" w:bidi="ar"/>
              </w:rPr>
            </w:pPr>
            <w:r>
              <w:rPr>
                <w:rFonts w:hint="eastAsia" w:ascii="仿宋_GB2312" w:hAnsi="仿宋_GB2312" w:eastAsia="仿宋_GB2312" w:cs="仿宋_GB2312"/>
                <w:color w:val="auto"/>
                <w:spacing w:val="-11"/>
                <w:sz w:val="21"/>
                <w:szCs w:val="21"/>
                <w:highlight w:val="none"/>
                <w:u w:val="none"/>
              </w:rPr>
              <w:t>□</w:t>
            </w:r>
            <w:r>
              <w:rPr>
                <w:rFonts w:hint="eastAsia" w:ascii="仿宋_GB2312" w:hAnsi="仿宋_GB2312" w:eastAsia="仿宋_GB2312" w:cs="仿宋_GB2312"/>
                <w:color w:val="auto"/>
                <w:spacing w:val="-11"/>
                <w:sz w:val="21"/>
                <w:szCs w:val="21"/>
                <w:highlight w:val="none"/>
                <w:u w:val="none"/>
                <w:lang w:eastAsia="zh-CN"/>
              </w:rPr>
              <w:t>不存在该种情形</w:t>
            </w:r>
          </w:p>
        </w:tc>
        <w:tc>
          <w:tcPr>
            <w:tcW w:w="1150" w:type="dxa"/>
            <w:noWrap w:val="0"/>
            <w:vAlign w:val="center"/>
          </w:tcPr>
          <w:p w14:paraId="48B6B912">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sz w:val="21"/>
                <w:szCs w:val="21"/>
                <w:highlight w:val="none"/>
                <w:u w:val="none"/>
              </w:rPr>
            </w:pPr>
            <w:r>
              <w:rPr>
                <w:rFonts w:hint="eastAsia" w:ascii="仿宋_GB2312" w:hAnsi="仿宋_GB2312" w:eastAsia="仿宋_GB2312" w:cs="仿宋_GB2312"/>
                <w:color w:val="auto"/>
                <w:spacing w:val="-11"/>
                <w:sz w:val="21"/>
                <w:szCs w:val="21"/>
                <w:highlight w:val="none"/>
                <w:u w:val="none"/>
              </w:rPr>
              <w:t>□</w:t>
            </w:r>
            <w:r>
              <w:rPr>
                <w:rFonts w:hint="eastAsia" w:ascii="仿宋_GB2312" w:hAnsi="仿宋_GB2312" w:eastAsia="仿宋_GB2312" w:cs="仿宋_GB2312"/>
                <w:color w:val="auto"/>
                <w:spacing w:val="-11"/>
                <w:sz w:val="21"/>
                <w:szCs w:val="21"/>
                <w:highlight w:val="none"/>
                <w:u w:val="none"/>
                <w:lang w:eastAsia="zh-CN"/>
              </w:rPr>
              <w:t>存在该种情形</w:t>
            </w:r>
          </w:p>
          <w:p w14:paraId="30432BED">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default" w:ascii="仿宋_GB2312" w:hAnsi="仿宋_GB2312" w:eastAsia="仿宋_GB2312" w:cs="仿宋_GB2312"/>
                <w:color w:val="auto"/>
                <w:spacing w:val="-11"/>
                <w:kern w:val="2"/>
                <w:sz w:val="21"/>
                <w:szCs w:val="21"/>
                <w:highlight w:val="none"/>
                <w:u w:val="none"/>
                <w:lang w:val="en-US" w:eastAsia="zh-CN" w:bidi="ar"/>
              </w:rPr>
            </w:pPr>
            <w:r>
              <w:rPr>
                <w:rFonts w:hint="eastAsia" w:ascii="仿宋_GB2312" w:hAnsi="仿宋_GB2312" w:eastAsia="仿宋_GB2312" w:cs="仿宋_GB2312"/>
                <w:color w:val="auto"/>
                <w:spacing w:val="-11"/>
                <w:sz w:val="21"/>
                <w:szCs w:val="21"/>
                <w:highlight w:val="none"/>
                <w:u w:val="none"/>
              </w:rPr>
              <w:t>□</w:t>
            </w:r>
            <w:r>
              <w:rPr>
                <w:rFonts w:hint="eastAsia" w:ascii="仿宋_GB2312" w:hAnsi="仿宋_GB2312" w:eastAsia="仿宋_GB2312" w:cs="仿宋_GB2312"/>
                <w:color w:val="auto"/>
                <w:spacing w:val="-11"/>
                <w:sz w:val="21"/>
                <w:szCs w:val="21"/>
                <w:highlight w:val="none"/>
                <w:u w:val="none"/>
                <w:lang w:eastAsia="zh-CN"/>
              </w:rPr>
              <w:t>不存在该种情形</w:t>
            </w:r>
          </w:p>
        </w:tc>
        <w:tc>
          <w:tcPr>
            <w:tcW w:w="1644" w:type="dxa"/>
            <w:noWrap w:val="0"/>
            <w:vAlign w:val="center"/>
          </w:tcPr>
          <w:p w14:paraId="78577DBB">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kern w:val="2"/>
                <w:sz w:val="21"/>
                <w:szCs w:val="21"/>
                <w:highlight w:val="none"/>
                <w:u w:val="none"/>
                <w:lang w:val="en-US" w:eastAsia="zh-CN" w:bidi="ar-SA"/>
              </w:rPr>
            </w:pPr>
            <w:r>
              <w:rPr>
                <w:rFonts w:hint="eastAsia" w:ascii="仿宋_GB2312" w:hAnsi="仿宋_GB2312" w:eastAsia="仿宋_GB2312" w:cs="仿宋_GB2312"/>
                <w:color w:val="auto"/>
                <w:spacing w:val="-11"/>
                <w:kern w:val="2"/>
                <w:sz w:val="21"/>
                <w:szCs w:val="21"/>
                <w:highlight w:val="none"/>
                <w:u w:val="none"/>
                <w:lang w:eastAsia="zh-CN" w:bidi="ar"/>
              </w:rPr>
              <w:t>若为</w:t>
            </w:r>
            <w:r>
              <w:rPr>
                <w:rFonts w:hint="eastAsia" w:ascii="仿宋_GB2312" w:hAnsi="仿宋_GB2312" w:eastAsia="仿宋_GB2312" w:cs="仿宋_GB2312"/>
                <w:color w:val="auto"/>
                <w:spacing w:val="-11"/>
                <w:sz w:val="21"/>
                <w:szCs w:val="21"/>
                <w:highlight w:val="none"/>
                <w:u w:val="none"/>
                <w:lang w:bidi="ar"/>
              </w:rPr>
              <w:t>同一人、属同一单位或者在同一单位缴纳社会保险</w:t>
            </w:r>
            <w:r>
              <w:rPr>
                <w:rFonts w:hint="eastAsia" w:ascii="仿宋_GB2312" w:hAnsi="仿宋_GB2312" w:eastAsia="仿宋_GB2312" w:cs="仿宋_GB2312"/>
                <w:color w:val="auto"/>
                <w:spacing w:val="-11"/>
                <w:kern w:val="2"/>
                <w:sz w:val="21"/>
                <w:szCs w:val="21"/>
                <w:highlight w:val="none"/>
                <w:u w:val="none"/>
                <w:lang w:eastAsia="zh-CN" w:bidi="ar"/>
              </w:rPr>
              <w:t>，则该几家供应商不得</w:t>
            </w:r>
            <w:r>
              <w:rPr>
                <w:rFonts w:hint="eastAsia" w:ascii="仿宋_GB2312" w:hAnsi="仿宋_GB2312" w:eastAsia="仿宋_GB2312" w:cs="仿宋_GB2312"/>
                <w:color w:val="auto"/>
                <w:spacing w:val="-11"/>
                <w:kern w:val="2"/>
                <w:sz w:val="21"/>
                <w:szCs w:val="21"/>
                <w:highlight w:val="none"/>
                <w:u w:val="none"/>
                <w:lang w:bidi="ar"/>
              </w:rPr>
              <w:t>参加同一合同项下的政府采购活动</w:t>
            </w:r>
          </w:p>
        </w:tc>
      </w:tr>
      <w:tr w14:paraId="40B028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8" w:type="dxa"/>
            <w:noWrap w:val="0"/>
            <w:vAlign w:val="center"/>
          </w:tcPr>
          <w:p w14:paraId="4056122C">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default" w:ascii="仿宋_GB2312" w:hAnsi="仿宋_GB2312" w:eastAsia="仿宋_GB2312" w:cs="仿宋_GB2312"/>
                <w:color w:val="auto"/>
                <w:spacing w:val="-11"/>
                <w:kern w:val="2"/>
                <w:sz w:val="21"/>
                <w:szCs w:val="21"/>
                <w:highlight w:val="none"/>
                <w:u w:val="none"/>
                <w:lang w:val="en-US" w:eastAsia="zh-CN" w:bidi="ar-SA"/>
              </w:rPr>
            </w:pPr>
            <w:r>
              <w:rPr>
                <w:rFonts w:hint="eastAsia" w:ascii="仿宋_GB2312" w:hAnsi="仿宋_GB2312" w:eastAsia="仿宋_GB2312" w:cs="仿宋_GB2312"/>
                <w:color w:val="auto"/>
                <w:spacing w:val="-11"/>
                <w:kern w:val="2"/>
                <w:sz w:val="21"/>
                <w:szCs w:val="21"/>
                <w:highlight w:val="none"/>
                <w:u w:val="none"/>
                <w:lang w:val="en-US" w:eastAsia="zh-CN" w:bidi="ar-SA"/>
              </w:rPr>
              <w:t>4</w:t>
            </w:r>
          </w:p>
        </w:tc>
        <w:tc>
          <w:tcPr>
            <w:tcW w:w="2146" w:type="dxa"/>
            <w:noWrap w:val="0"/>
            <w:vAlign w:val="center"/>
          </w:tcPr>
          <w:p w14:paraId="36A6586F">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kern w:val="2"/>
                <w:sz w:val="21"/>
                <w:szCs w:val="21"/>
                <w:highlight w:val="none"/>
                <w:u w:val="none"/>
                <w:lang w:val="en-US" w:eastAsia="zh-CN" w:bidi="ar-SA"/>
              </w:rPr>
            </w:pPr>
            <w:r>
              <w:rPr>
                <w:rFonts w:hint="eastAsia" w:ascii="仿宋_GB2312" w:hAnsi="仿宋_GB2312" w:eastAsia="仿宋_GB2312" w:cs="仿宋_GB2312"/>
                <w:color w:val="auto"/>
                <w:spacing w:val="-11"/>
                <w:sz w:val="21"/>
                <w:szCs w:val="21"/>
                <w:highlight w:val="none"/>
                <w:u w:val="none"/>
              </w:rPr>
              <w:t>不同供应商的单位负责人是否为同一人</w:t>
            </w:r>
          </w:p>
        </w:tc>
        <w:tc>
          <w:tcPr>
            <w:tcW w:w="3257" w:type="dxa"/>
            <w:noWrap w:val="0"/>
            <w:vAlign w:val="center"/>
          </w:tcPr>
          <w:p w14:paraId="33A5D271">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2834" w:right="0" w:hanging="2444" w:hangingChars="1300"/>
              <w:jc w:val="center"/>
              <w:textAlignment w:val="auto"/>
              <w:rPr>
                <w:rFonts w:hint="eastAsia" w:ascii="仿宋_GB2312" w:hAnsi="仿宋_GB2312" w:eastAsia="仿宋_GB2312" w:cs="仿宋_GB2312"/>
                <w:color w:val="auto"/>
                <w:spacing w:val="-11"/>
                <w:sz w:val="21"/>
                <w:szCs w:val="21"/>
                <w:highlight w:val="none"/>
                <w:u w:val="none"/>
                <w:vertAlign w:val="baseline"/>
                <w:lang w:eastAsia="zh-CN" w:bidi="ar"/>
              </w:rPr>
            </w:pPr>
            <w:r>
              <w:rPr>
                <w:rFonts w:hint="eastAsia" w:ascii="仿宋_GB2312" w:hAnsi="仿宋_GB2312" w:eastAsia="仿宋_GB2312" w:cs="仿宋_GB2312"/>
                <w:color w:val="auto"/>
                <w:spacing w:val="-11"/>
                <w:sz w:val="21"/>
                <w:szCs w:val="21"/>
                <w:highlight w:val="none"/>
                <w:u w:val="none"/>
                <w:vertAlign w:val="baseline"/>
                <w:lang w:eastAsia="zh-CN" w:bidi="ar"/>
              </w:rPr>
              <w:t>国家企业信用信息公示系统</w:t>
            </w:r>
          </w:p>
          <w:p w14:paraId="280D5998">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kern w:val="2"/>
                <w:sz w:val="21"/>
                <w:szCs w:val="21"/>
                <w:highlight w:val="none"/>
                <w:u w:val="none"/>
                <w:vertAlign w:val="baseline"/>
                <w:lang w:val="en-US" w:eastAsia="zh-CN" w:bidi="ar-SA"/>
              </w:rPr>
            </w:pPr>
            <w:r>
              <w:rPr>
                <w:rFonts w:hint="eastAsia" w:ascii="仿宋_GB2312" w:hAnsi="仿宋_GB2312" w:eastAsia="仿宋_GB2312" w:cs="仿宋_GB2312"/>
                <w:color w:val="auto"/>
                <w:spacing w:val="-11"/>
                <w:sz w:val="21"/>
                <w:szCs w:val="21"/>
                <w:highlight w:val="none"/>
                <w:u w:val="none"/>
                <w:vertAlign w:val="baseline"/>
                <w:lang w:eastAsia="zh-CN" w:bidi="ar"/>
              </w:rPr>
              <w:t>（https://www.gsxt.gov.cn/index.html）、机关赋码和事业单位登记管理网（http://www.gjsy.gov.</w:t>
            </w:r>
            <w:r>
              <w:rPr>
                <w:rFonts w:hint="eastAsia" w:ascii="仿宋_GB2312" w:hAnsi="仿宋_GB2312" w:eastAsia="仿宋_GB2312" w:cs="仿宋_GB2312"/>
                <w:color w:val="auto"/>
                <w:spacing w:val="-11"/>
                <w:sz w:val="21"/>
                <w:szCs w:val="21"/>
                <w:highlight w:val="none"/>
                <w:u w:val="none"/>
                <w:vertAlign w:val="baseline"/>
                <w:lang w:val="en-US" w:eastAsia="zh-CN" w:bidi="ar"/>
              </w:rPr>
              <w:t>c</w:t>
            </w:r>
            <w:r>
              <w:rPr>
                <w:rFonts w:hint="eastAsia" w:ascii="仿宋_GB2312" w:hAnsi="仿宋_GB2312" w:eastAsia="仿宋_GB2312" w:cs="仿宋_GB2312"/>
                <w:color w:val="auto"/>
                <w:spacing w:val="-11"/>
                <w:sz w:val="21"/>
                <w:szCs w:val="21"/>
                <w:highlight w:val="none"/>
                <w:u w:val="none"/>
                <w:vertAlign w:val="baseline"/>
                <w:lang w:eastAsia="zh-CN" w:bidi="ar"/>
              </w:rPr>
              <w:t>n/sydwfrxxcx/）、</w:t>
            </w:r>
            <w:r>
              <w:rPr>
                <w:rFonts w:hint="eastAsia" w:ascii="仿宋_GB2312" w:hAnsi="仿宋_GB2312" w:eastAsia="仿宋_GB2312" w:cs="仿宋_GB2312"/>
                <w:color w:val="auto"/>
                <w:spacing w:val="-11"/>
                <w:sz w:val="21"/>
                <w:szCs w:val="21"/>
                <w:highlight w:val="none"/>
                <w:u w:val="none"/>
                <w:vertAlign w:val="baseline"/>
                <w:lang w:val="en-US" w:eastAsia="zh-CN" w:bidi="ar"/>
              </w:rPr>
              <w:t>全国社会组织信用信息公示平台（</w:t>
            </w:r>
            <w:r>
              <w:rPr>
                <w:rFonts w:hint="eastAsia" w:ascii="仿宋_GB2312" w:hAnsi="仿宋_GB2312" w:eastAsia="仿宋_GB2312" w:cs="仿宋_GB2312"/>
                <w:color w:val="auto"/>
                <w:spacing w:val="-11"/>
                <w:kern w:val="2"/>
                <w:sz w:val="21"/>
                <w:szCs w:val="21"/>
                <w:highlight w:val="none"/>
                <w:lang w:val="en-US" w:eastAsia="zh-CN" w:bidi="ar"/>
              </w:rPr>
              <w:fldChar w:fldCharType="begin"/>
            </w:r>
            <w:r>
              <w:rPr>
                <w:rFonts w:hint="eastAsia" w:ascii="仿宋_GB2312" w:hAnsi="仿宋_GB2312" w:eastAsia="仿宋_GB2312" w:cs="仿宋_GB2312"/>
                <w:color w:val="auto"/>
                <w:spacing w:val="-11"/>
                <w:kern w:val="2"/>
                <w:sz w:val="21"/>
                <w:szCs w:val="21"/>
                <w:highlight w:val="none"/>
                <w:lang w:val="en-US" w:eastAsia="zh-CN" w:bidi="ar"/>
              </w:rPr>
              <w:instrText xml:space="preserve"> HYPERLINK "https://xxgs.chinanpo.mca.gov.cn/gsxt/newList" </w:instrText>
            </w:r>
            <w:r>
              <w:rPr>
                <w:rFonts w:hint="eastAsia" w:ascii="仿宋_GB2312" w:hAnsi="仿宋_GB2312" w:eastAsia="仿宋_GB2312" w:cs="仿宋_GB2312"/>
                <w:color w:val="auto"/>
                <w:spacing w:val="-11"/>
                <w:kern w:val="2"/>
                <w:sz w:val="21"/>
                <w:szCs w:val="21"/>
                <w:highlight w:val="none"/>
                <w:lang w:val="en-US" w:eastAsia="zh-CN" w:bidi="ar"/>
              </w:rPr>
              <w:fldChar w:fldCharType="separate"/>
            </w:r>
            <w:r>
              <w:rPr>
                <w:rFonts w:hint="eastAsia" w:ascii="仿宋_GB2312" w:hAnsi="仿宋_GB2312" w:eastAsia="仿宋_GB2312" w:cs="仿宋_GB2312"/>
                <w:color w:val="auto"/>
                <w:spacing w:val="-11"/>
                <w:sz w:val="21"/>
                <w:szCs w:val="21"/>
                <w:highlight w:val="none"/>
                <w:u w:val="none"/>
                <w:lang w:bidi="ar"/>
              </w:rPr>
              <w:t>https://xxgs.chinanpo.mca.gov.cn/gsxt/newList</w:t>
            </w:r>
            <w:r>
              <w:rPr>
                <w:rFonts w:hint="eastAsia" w:ascii="仿宋_GB2312" w:hAnsi="仿宋_GB2312" w:eastAsia="仿宋_GB2312" w:cs="仿宋_GB2312"/>
                <w:color w:val="auto"/>
                <w:spacing w:val="-11"/>
                <w:kern w:val="2"/>
                <w:sz w:val="21"/>
                <w:szCs w:val="21"/>
                <w:highlight w:val="none"/>
                <w:lang w:val="en-US" w:eastAsia="zh-CN" w:bidi="ar"/>
              </w:rPr>
              <w:fldChar w:fldCharType="end"/>
            </w:r>
            <w:r>
              <w:rPr>
                <w:rFonts w:hint="eastAsia" w:ascii="仿宋_GB2312" w:hAnsi="仿宋_GB2312" w:eastAsia="仿宋_GB2312" w:cs="仿宋_GB2312"/>
                <w:color w:val="auto"/>
                <w:spacing w:val="-11"/>
                <w:sz w:val="21"/>
                <w:szCs w:val="21"/>
                <w:highlight w:val="none"/>
                <w:u w:val="none"/>
                <w:vertAlign w:val="baseline"/>
                <w:lang w:val="en-US" w:eastAsia="zh-CN" w:bidi="ar"/>
              </w:rPr>
              <w:t>）</w:t>
            </w:r>
            <w:r>
              <w:rPr>
                <w:rFonts w:hint="eastAsia" w:ascii="仿宋_GB2312" w:hAnsi="仿宋_GB2312" w:eastAsia="仿宋_GB2312" w:cs="仿宋_GB2312"/>
                <w:color w:val="auto"/>
                <w:spacing w:val="-11"/>
                <w:sz w:val="21"/>
                <w:szCs w:val="21"/>
                <w:highlight w:val="none"/>
                <w:u w:val="none"/>
                <w:vertAlign w:val="baseline"/>
                <w:lang w:eastAsia="zh-CN" w:bidi="ar"/>
              </w:rPr>
              <w:t>等网站；</w:t>
            </w:r>
            <w:r>
              <w:rPr>
                <w:rFonts w:hint="eastAsia" w:ascii="仿宋_GB2312" w:hAnsi="仿宋_GB2312" w:eastAsia="仿宋_GB2312" w:cs="仿宋_GB2312"/>
                <w:color w:val="auto"/>
                <w:spacing w:val="-11"/>
                <w:sz w:val="21"/>
                <w:szCs w:val="21"/>
                <w:highlight w:val="none"/>
                <w:u w:val="none"/>
                <w:shd w:val="clear" w:color="auto" w:fill="auto"/>
                <w:lang w:eastAsia="zh-CN" w:bidi="ar"/>
              </w:rPr>
              <w:t>供应商提供的</w:t>
            </w:r>
            <w:r>
              <w:rPr>
                <w:rFonts w:hint="eastAsia" w:ascii="仿宋_GB2312" w:hAnsi="仿宋_GB2312" w:eastAsia="仿宋_GB2312" w:cs="仿宋_GB2312"/>
                <w:color w:val="auto"/>
                <w:spacing w:val="-11"/>
                <w:sz w:val="21"/>
                <w:szCs w:val="21"/>
                <w:highlight w:val="none"/>
                <w:u w:val="none"/>
                <w:shd w:val="clear" w:color="auto" w:fill="auto"/>
                <w:lang w:bidi="ar"/>
              </w:rPr>
              <w:t>《供应商基本情况表》</w:t>
            </w:r>
            <w:r>
              <w:rPr>
                <w:rFonts w:hint="eastAsia" w:ascii="仿宋_GB2312" w:hAnsi="仿宋_GB2312" w:eastAsia="仿宋_GB2312" w:cs="仿宋_GB2312"/>
                <w:color w:val="auto"/>
                <w:spacing w:val="-11"/>
                <w:sz w:val="21"/>
                <w:szCs w:val="21"/>
                <w:highlight w:val="none"/>
                <w:u w:val="none"/>
                <w:shd w:val="clear" w:color="auto" w:fill="auto"/>
                <w:lang w:eastAsia="zh-CN" w:bidi="ar"/>
              </w:rPr>
              <w:t>；</w:t>
            </w:r>
            <w:r>
              <w:rPr>
                <w:rFonts w:hint="eastAsia" w:ascii="仿宋_GB2312" w:hAnsi="仿宋_GB2312" w:eastAsia="仿宋_GB2312" w:cs="仿宋_GB2312"/>
                <w:i w:val="0"/>
                <w:caps w:val="0"/>
                <w:color w:val="auto"/>
                <w:spacing w:val="-11"/>
                <w:kern w:val="2"/>
                <w:sz w:val="21"/>
                <w:szCs w:val="21"/>
                <w:highlight w:val="none"/>
                <w:u w:val="none"/>
                <w:shd w:val="clear" w:color="auto" w:fill="auto"/>
                <w:lang w:val="en-US" w:eastAsia="zh-CN" w:bidi="ar"/>
              </w:rPr>
              <w:t>供应商提供的</w:t>
            </w:r>
            <w:r>
              <w:rPr>
                <w:rFonts w:hint="eastAsia" w:ascii="仿宋_GB2312" w:hAnsi="仿宋_GB2312" w:eastAsia="仿宋_GB2312" w:cs="仿宋_GB2312"/>
                <w:color w:val="auto"/>
                <w:spacing w:val="-11"/>
                <w:sz w:val="21"/>
                <w:szCs w:val="21"/>
                <w:highlight w:val="none"/>
                <w:u w:val="none"/>
                <w:vertAlign w:val="baseline"/>
                <w:lang w:eastAsia="zh-CN" w:bidi="ar"/>
              </w:rPr>
              <w:t>企业股权关系证明（如有）</w:t>
            </w:r>
          </w:p>
        </w:tc>
        <w:tc>
          <w:tcPr>
            <w:tcW w:w="1150" w:type="dxa"/>
            <w:noWrap w:val="0"/>
            <w:vAlign w:val="center"/>
          </w:tcPr>
          <w:p w14:paraId="6EF748FB">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sz w:val="21"/>
                <w:szCs w:val="21"/>
                <w:highlight w:val="none"/>
                <w:u w:val="none"/>
              </w:rPr>
            </w:pPr>
            <w:r>
              <w:rPr>
                <w:rFonts w:hint="eastAsia" w:ascii="仿宋_GB2312" w:hAnsi="仿宋_GB2312" w:eastAsia="仿宋_GB2312" w:cs="仿宋_GB2312"/>
                <w:color w:val="auto"/>
                <w:spacing w:val="-11"/>
                <w:sz w:val="21"/>
                <w:szCs w:val="21"/>
                <w:highlight w:val="none"/>
                <w:u w:val="none"/>
              </w:rPr>
              <w:t>□</w:t>
            </w:r>
            <w:r>
              <w:rPr>
                <w:rFonts w:hint="eastAsia" w:ascii="仿宋_GB2312" w:hAnsi="仿宋_GB2312" w:eastAsia="仿宋_GB2312" w:cs="仿宋_GB2312"/>
                <w:color w:val="auto"/>
                <w:spacing w:val="-11"/>
                <w:sz w:val="21"/>
                <w:szCs w:val="21"/>
                <w:highlight w:val="none"/>
                <w:u w:val="none"/>
                <w:lang w:eastAsia="zh-CN"/>
              </w:rPr>
              <w:t>存在该种情形</w:t>
            </w:r>
          </w:p>
          <w:p w14:paraId="3232D4B8">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kern w:val="2"/>
                <w:sz w:val="21"/>
                <w:szCs w:val="21"/>
                <w:highlight w:val="none"/>
                <w:u w:val="none"/>
                <w:lang w:val="en-US" w:eastAsia="zh-CN" w:bidi="ar"/>
              </w:rPr>
            </w:pPr>
            <w:r>
              <w:rPr>
                <w:rFonts w:hint="eastAsia" w:ascii="仿宋_GB2312" w:hAnsi="仿宋_GB2312" w:eastAsia="仿宋_GB2312" w:cs="仿宋_GB2312"/>
                <w:color w:val="auto"/>
                <w:spacing w:val="-11"/>
                <w:sz w:val="21"/>
                <w:szCs w:val="21"/>
                <w:highlight w:val="none"/>
                <w:u w:val="none"/>
              </w:rPr>
              <w:t>□</w:t>
            </w:r>
            <w:r>
              <w:rPr>
                <w:rFonts w:hint="eastAsia" w:ascii="仿宋_GB2312" w:hAnsi="仿宋_GB2312" w:eastAsia="仿宋_GB2312" w:cs="仿宋_GB2312"/>
                <w:color w:val="auto"/>
                <w:spacing w:val="-11"/>
                <w:sz w:val="21"/>
                <w:szCs w:val="21"/>
                <w:highlight w:val="none"/>
                <w:u w:val="none"/>
                <w:lang w:eastAsia="zh-CN"/>
              </w:rPr>
              <w:t>不存在该种情形</w:t>
            </w:r>
          </w:p>
        </w:tc>
        <w:tc>
          <w:tcPr>
            <w:tcW w:w="1150" w:type="dxa"/>
            <w:noWrap w:val="0"/>
            <w:vAlign w:val="center"/>
          </w:tcPr>
          <w:p w14:paraId="42015835">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sz w:val="21"/>
                <w:szCs w:val="21"/>
                <w:highlight w:val="none"/>
                <w:u w:val="none"/>
              </w:rPr>
            </w:pPr>
            <w:r>
              <w:rPr>
                <w:rFonts w:hint="eastAsia" w:ascii="仿宋_GB2312" w:hAnsi="仿宋_GB2312" w:eastAsia="仿宋_GB2312" w:cs="仿宋_GB2312"/>
                <w:color w:val="auto"/>
                <w:spacing w:val="-11"/>
                <w:sz w:val="21"/>
                <w:szCs w:val="21"/>
                <w:highlight w:val="none"/>
                <w:u w:val="none"/>
              </w:rPr>
              <w:t>□</w:t>
            </w:r>
            <w:r>
              <w:rPr>
                <w:rFonts w:hint="eastAsia" w:ascii="仿宋_GB2312" w:hAnsi="仿宋_GB2312" w:eastAsia="仿宋_GB2312" w:cs="仿宋_GB2312"/>
                <w:color w:val="auto"/>
                <w:spacing w:val="-11"/>
                <w:sz w:val="21"/>
                <w:szCs w:val="21"/>
                <w:highlight w:val="none"/>
                <w:u w:val="none"/>
                <w:lang w:eastAsia="zh-CN"/>
              </w:rPr>
              <w:t>存在该种情形</w:t>
            </w:r>
          </w:p>
          <w:p w14:paraId="152B4E05">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kern w:val="2"/>
                <w:sz w:val="21"/>
                <w:szCs w:val="21"/>
                <w:highlight w:val="none"/>
                <w:u w:val="none"/>
                <w:lang w:val="en-US" w:eastAsia="zh-CN" w:bidi="ar"/>
              </w:rPr>
            </w:pPr>
            <w:r>
              <w:rPr>
                <w:rFonts w:hint="eastAsia" w:ascii="仿宋_GB2312" w:hAnsi="仿宋_GB2312" w:eastAsia="仿宋_GB2312" w:cs="仿宋_GB2312"/>
                <w:color w:val="auto"/>
                <w:spacing w:val="-11"/>
                <w:sz w:val="21"/>
                <w:szCs w:val="21"/>
                <w:highlight w:val="none"/>
                <w:u w:val="none"/>
              </w:rPr>
              <w:t>□</w:t>
            </w:r>
            <w:r>
              <w:rPr>
                <w:rFonts w:hint="eastAsia" w:ascii="仿宋_GB2312" w:hAnsi="仿宋_GB2312" w:eastAsia="仿宋_GB2312" w:cs="仿宋_GB2312"/>
                <w:color w:val="auto"/>
                <w:spacing w:val="-11"/>
                <w:sz w:val="21"/>
                <w:szCs w:val="21"/>
                <w:highlight w:val="none"/>
                <w:u w:val="none"/>
                <w:lang w:eastAsia="zh-CN"/>
              </w:rPr>
              <w:t>不存在该种情形</w:t>
            </w:r>
          </w:p>
        </w:tc>
        <w:tc>
          <w:tcPr>
            <w:tcW w:w="1150" w:type="dxa"/>
            <w:noWrap w:val="0"/>
            <w:vAlign w:val="center"/>
          </w:tcPr>
          <w:p w14:paraId="4817FE18">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sz w:val="21"/>
                <w:szCs w:val="21"/>
                <w:highlight w:val="none"/>
                <w:u w:val="none"/>
              </w:rPr>
            </w:pPr>
            <w:r>
              <w:rPr>
                <w:rFonts w:hint="eastAsia" w:ascii="仿宋_GB2312" w:hAnsi="仿宋_GB2312" w:eastAsia="仿宋_GB2312" w:cs="仿宋_GB2312"/>
                <w:color w:val="auto"/>
                <w:spacing w:val="-11"/>
                <w:sz w:val="21"/>
                <w:szCs w:val="21"/>
                <w:highlight w:val="none"/>
                <w:u w:val="none"/>
              </w:rPr>
              <w:t>□</w:t>
            </w:r>
            <w:r>
              <w:rPr>
                <w:rFonts w:hint="eastAsia" w:ascii="仿宋_GB2312" w:hAnsi="仿宋_GB2312" w:eastAsia="仿宋_GB2312" w:cs="仿宋_GB2312"/>
                <w:color w:val="auto"/>
                <w:spacing w:val="-11"/>
                <w:sz w:val="21"/>
                <w:szCs w:val="21"/>
                <w:highlight w:val="none"/>
                <w:u w:val="none"/>
                <w:lang w:eastAsia="zh-CN"/>
              </w:rPr>
              <w:t>存在该种情形</w:t>
            </w:r>
          </w:p>
          <w:p w14:paraId="39E16C62">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kern w:val="2"/>
                <w:sz w:val="21"/>
                <w:szCs w:val="21"/>
                <w:highlight w:val="none"/>
                <w:u w:val="none"/>
                <w:lang w:val="en-US" w:eastAsia="zh-CN" w:bidi="ar"/>
              </w:rPr>
            </w:pPr>
            <w:r>
              <w:rPr>
                <w:rFonts w:hint="eastAsia" w:ascii="仿宋_GB2312" w:hAnsi="仿宋_GB2312" w:eastAsia="仿宋_GB2312" w:cs="仿宋_GB2312"/>
                <w:color w:val="auto"/>
                <w:spacing w:val="-11"/>
                <w:sz w:val="21"/>
                <w:szCs w:val="21"/>
                <w:highlight w:val="none"/>
                <w:u w:val="none"/>
              </w:rPr>
              <w:t>□</w:t>
            </w:r>
            <w:r>
              <w:rPr>
                <w:rFonts w:hint="eastAsia" w:ascii="仿宋_GB2312" w:hAnsi="仿宋_GB2312" w:eastAsia="仿宋_GB2312" w:cs="仿宋_GB2312"/>
                <w:color w:val="auto"/>
                <w:spacing w:val="-11"/>
                <w:sz w:val="21"/>
                <w:szCs w:val="21"/>
                <w:highlight w:val="none"/>
                <w:u w:val="none"/>
                <w:lang w:eastAsia="zh-CN"/>
              </w:rPr>
              <w:t>不存在该种情形</w:t>
            </w:r>
          </w:p>
        </w:tc>
        <w:tc>
          <w:tcPr>
            <w:tcW w:w="1644" w:type="dxa"/>
            <w:noWrap w:val="0"/>
            <w:vAlign w:val="center"/>
          </w:tcPr>
          <w:p w14:paraId="16924271">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kern w:val="2"/>
                <w:sz w:val="21"/>
                <w:szCs w:val="21"/>
                <w:highlight w:val="none"/>
                <w:u w:val="none"/>
                <w:lang w:val="en-US" w:eastAsia="zh-CN" w:bidi="ar-SA"/>
              </w:rPr>
            </w:pPr>
            <w:r>
              <w:rPr>
                <w:rFonts w:hint="eastAsia" w:ascii="仿宋_GB2312" w:hAnsi="仿宋_GB2312" w:eastAsia="仿宋_GB2312" w:cs="仿宋_GB2312"/>
                <w:color w:val="auto"/>
                <w:spacing w:val="-11"/>
                <w:kern w:val="2"/>
                <w:sz w:val="21"/>
                <w:szCs w:val="21"/>
                <w:highlight w:val="none"/>
                <w:u w:val="none"/>
                <w:lang w:eastAsia="zh-CN" w:bidi="ar"/>
              </w:rPr>
              <w:t>若为同一人，则该几家供应商不得</w:t>
            </w:r>
            <w:r>
              <w:rPr>
                <w:rFonts w:hint="eastAsia" w:ascii="仿宋_GB2312" w:hAnsi="仿宋_GB2312" w:eastAsia="仿宋_GB2312" w:cs="仿宋_GB2312"/>
                <w:color w:val="auto"/>
                <w:spacing w:val="-11"/>
                <w:kern w:val="2"/>
                <w:sz w:val="21"/>
                <w:szCs w:val="21"/>
                <w:highlight w:val="none"/>
                <w:u w:val="none"/>
                <w:lang w:bidi="ar"/>
              </w:rPr>
              <w:t>参加同一合同项下的政府采购活动</w:t>
            </w:r>
          </w:p>
        </w:tc>
      </w:tr>
      <w:tr w14:paraId="3FB970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84" w:hRule="atLeast"/>
          <w:jc w:val="center"/>
        </w:trPr>
        <w:tc>
          <w:tcPr>
            <w:tcW w:w="768" w:type="dxa"/>
            <w:noWrap w:val="0"/>
            <w:vAlign w:val="center"/>
          </w:tcPr>
          <w:p w14:paraId="52018E15">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default" w:ascii="仿宋_GB2312" w:hAnsi="仿宋_GB2312" w:eastAsia="仿宋_GB2312" w:cs="仿宋_GB2312"/>
                <w:color w:val="auto"/>
                <w:spacing w:val="-11"/>
                <w:sz w:val="21"/>
                <w:szCs w:val="21"/>
                <w:highlight w:val="none"/>
                <w:u w:val="none"/>
                <w:lang w:val="en-US" w:eastAsia="zh-CN"/>
              </w:rPr>
            </w:pPr>
            <w:r>
              <w:rPr>
                <w:rFonts w:hint="eastAsia" w:ascii="仿宋_GB2312" w:hAnsi="仿宋_GB2312" w:eastAsia="仿宋_GB2312" w:cs="仿宋_GB2312"/>
                <w:color w:val="auto"/>
                <w:spacing w:val="-11"/>
                <w:sz w:val="21"/>
                <w:szCs w:val="21"/>
                <w:highlight w:val="none"/>
                <w:u w:val="none"/>
                <w:lang w:val="en-US" w:eastAsia="zh-CN"/>
              </w:rPr>
              <w:t>5</w:t>
            </w:r>
          </w:p>
        </w:tc>
        <w:tc>
          <w:tcPr>
            <w:tcW w:w="2146" w:type="dxa"/>
            <w:noWrap w:val="0"/>
            <w:vAlign w:val="center"/>
          </w:tcPr>
          <w:p w14:paraId="7A6BF929">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sz w:val="21"/>
                <w:szCs w:val="21"/>
                <w:highlight w:val="none"/>
                <w:u w:val="none"/>
                <w:lang w:eastAsia="zh-CN"/>
              </w:rPr>
            </w:pPr>
            <w:r>
              <w:rPr>
                <w:rFonts w:hint="eastAsia" w:ascii="仿宋_GB2312" w:hAnsi="仿宋_GB2312" w:eastAsia="仿宋_GB2312" w:cs="仿宋_GB2312"/>
                <w:color w:val="auto"/>
                <w:spacing w:val="-11"/>
                <w:kern w:val="2"/>
                <w:sz w:val="21"/>
                <w:szCs w:val="21"/>
                <w:highlight w:val="none"/>
                <w:u w:val="none"/>
                <w:lang w:eastAsia="zh-CN" w:bidi="ar"/>
              </w:rPr>
              <w:t>不同供应商之间是否</w:t>
            </w:r>
            <w:r>
              <w:rPr>
                <w:rFonts w:hint="eastAsia" w:ascii="仿宋_GB2312" w:hAnsi="仿宋_GB2312" w:eastAsia="仿宋_GB2312" w:cs="仿宋_GB2312"/>
                <w:color w:val="auto"/>
                <w:spacing w:val="-11"/>
                <w:kern w:val="2"/>
                <w:sz w:val="21"/>
                <w:szCs w:val="21"/>
                <w:highlight w:val="none"/>
                <w:u w:val="none"/>
                <w:lang w:bidi="ar"/>
              </w:rPr>
              <w:t>存在直接控股、管理关系</w:t>
            </w:r>
          </w:p>
        </w:tc>
        <w:tc>
          <w:tcPr>
            <w:tcW w:w="3257" w:type="dxa"/>
            <w:noWrap w:val="0"/>
            <w:vAlign w:val="center"/>
          </w:tcPr>
          <w:p w14:paraId="5FA73D87">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sz w:val="21"/>
                <w:szCs w:val="21"/>
                <w:highlight w:val="none"/>
                <w:u w:val="none"/>
                <w:vertAlign w:val="baseline"/>
                <w:lang w:eastAsia="zh-CN" w:bidi="ar"/>
              </w:rPr>
            </w:pPr>
            <w:r>
              <w:rPr>
                <w:rFonts w:hint="eastAsia" w:ascii="仿宋_GB2312" w:hAnsi="仿宋_GB2312" w:eastAsia="仿宋_GB2312" w:cs="仿宋_GB2312"/>
                <w:color w:val="auto"/>
                <w:spacing w:val="-11"/>
                <w:sz w:val="21"/>
                <w:szCs w:val="21"/>
                <w:highlight w:val="none"/>
                <w:u w:val="none"/>
                <w:vertAlign w:val="baseline"/>
                <w:lang w:eastAsia="zh-CN" w:bidi="ar"/>
              </w:rPr>
              <w:t>国家企业信用信息公示系统</w:t>
            </w:r>
          </w:p>
          <w:p w14:paraId="7A3E4884">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sz w:val="21"/>
                <w:szCs w:val="21"/>
                <w:highlight w:val="none"/>
                <w:u w:val="none"/>
                <w:vertAlign w:val="baseline"/>
              </w:rPr>
            </w:pPr>
            <w:r>
              <w:rPr>
                <w:rFonts w:hint="eastAsia" w:ascii="仿宋_GB2312" w:hAnsi="仿宋_GB2312" w:eastAsia="仿宋_GB2312" w:cs="仿宋_GB2312"/>
                <w:color w:val="auto"/>
                <w:spacing w:val="-11"/>
                <w:sz w:val="21"/>
                <w:szCs w:val="21"/>
                <w:highlight w:val="none"/>
                <w:u w:val="none"/>
                <w:vertAlign w:val="baseline"/>
                <w:lang w:eastAsia="zh-CN" w:bidi="ar"/>
              </w:rPr>
              <w:t>（https://www.gsxt.gov.cn/index.html）、机关赋码和事业单位登记管理网（http://www.gjsy.gov.cn/sydwfrxxcx/）、</w:t>
            </w:r>
            <w:r>
              <w:rPr>
                <w:rFonts w:hint="eastAsia" w:ascii="仿宋_GB2312" w:hAnsi="仿宋_GB2312" w:eastAsia="仿宋_GB2312" w:cs="仿宋_GB2312"/>
                <w:color w:val="auto"/>
                <w:spacing w:val="-11"/>
                <w:sz w:val="21"/>
                <w:szCs w:val="21"/>
                <w:highlight w:val="none"/>
                <w:u w:val="none"/>
                <w:vertAlign w:val="baseline"/>
                <w:lang w:val="en-US" w:eastAsia="zh-CN" w:bidi="ar"/>
              </w:rPr>
              <w:t>全国社会组织信用信息公示平台（</w:t>
            </w:r>
            <w:r>
              <w:rPr>
                <w:rFonts w:hint="eastAsia" w:ascii="仿宋_GB2312" w:hAnsi="仿宋_GB2312" w:eastAsia="仿宋_GB2312" w:cs="仿宋_GB2312"/>
                <w:color w:val="auto"/>
                <w:spacing w:val="-11"/>
                <w:kern w:val="2"/>
                <w:sz w:val="21"/>
                <w:szCs w:val="21"/>
                <w:highlight w:val="none"/>
                <w:lang w:val="en-US" w:eastAsia="zh-CN" w:bidi="ar"/>
              </w:rPr>
              <w:fldChar w:fldCharType="begin"/>
            </w:r>
            <w:r>
              <w:rPr>
                <w:rFonts w:hint="eastAsia" w:ascii="仿宋_GB2312" w:hAnsi="仿宋_GB2312" w:eastAsia="仿宋_GB2312" w:cs="仿宋_GB2312"/>
                <w:color w:val="auto"/>
                <w:spacing w:val="-11"/>
                <w:kern w:val="2"/>
                <w:sz w:val="21"/>
                <w:szCs w:val="21"/>
                <w:highlight w:val="none"/>
                <w:lang w:val="en-US" w:eastAsia="zh-CN" w:bidi="ar"/>
              </w:rPr>
              <w:instrText xml:space="preserve"> HYPERLINK "https://xxgs.chinanpo.mca.gov.cn/gsxt/newList" </w:instrText>
            </w:r>
            <w:r>
              <w:rPr>
                <w:rFonts w:hint="eastAsia" w:ascii="仿宋_GB2312" w:hAnsi="仿宋_GB2312" w:eastAsia="仿宋_GB2312" w:cs="仿宋_GB2312"/>
                <w:color w:val="auto"/>
                <w:spacing w:val="-11"/>
                <w:kern w:val="2"/>
                <w:sz w:val="21"/>
                <w:szCs w:val="21"/>
                <w:highlight w:val="none"/>
                <w:lang w:val="en-US" w:eastAsia="zh-CN" w:bidi="ar"/>
              </w:rPr>
              <w:fldChar w:fldCharType="separate"/>
            </w:r>
            <w:r>
              <w:rPr>
                <w:rFonts w:hint="eastAsia" w:ascii="仿宋_GB2312" w:hAnsi="仿宋_GB2312" w:eastAsia="仿宋_GB2312" w:cs="仿宋_GB2312"/>
                <w:color w:val="auto"/>
                <w:spacing w:val="-11"/>
                <w:sz w:val="21"/>
                <w:szCs w:val="21"/>
                <w:highlight w:val="none"/>
                <w:u w:val="none"/>
                <w:lang w:bidi="ar"/>
              </w:rPr>
              <w:t>https://xxgs.chinanpo.mca.gov.cn/gsxt/newList</w:t>
            </w:r>
            <w:r>
              <w:rPr>
                <w:rFonts w:hint="eastAsia" w:ascii="仿宋_GB2312" w:hAnsi="仿宋_GB2312" w:eastAsia="仿宋_GB2312" w:cs="仿宋_GB2312"/>
                <w:color w:val="auto"/>
                <w:spacing w:val="-11"/>
                <w:kern w:val="2"/>
                <w:sz w:val="21"/>
                <w:szCs w:val="21"/>
                <w:highlight w:val="none"/>
                <w:lang w:val="en-US" w:eastAsia="zh-CN" w:bidi="ar"/>
              </w:rPr>
              <w:fldChar w:fldCharType="end"/>
            </w:r>
            <w:r>
              <w:rPr>
                <w:rFonts w:hint="eastAsia" w:ascii="仿宋_GB2312" w:hAnsi="仿宋_GB2312" w:eastAsia="仿宋_GB2312" w:cs="仿宋_GB2312"/>
                <w:color w:val="auto"/>
                <w:spacing w:val="-11"/>
                <w:sz w:val="21"/>
                <w:szCs w:val="21"/>
                <w:highlight w:val="none"/>
                <w:u w:val="none"/>
                <w:vertAlign w:val="baseline"/>
                <w:lang w:val="en-US" w:eastAsia="zh-CN" w:bidi="ar"/>
              </w:rPr>
              <w:t>）</w:t>
            </w:r>
            <w:r>
              <w:rPr>
                <w:rFonts w:hint="eastAsia" w:ascii="仿宋_GB2312" w:hAnsi="仿宋_GB2312" w:eastAsia="仿宋_GB2312" w:cs="仿宋_GB2312"/>
                <w:color w:val="auto"/>
                <w:spacing w:val="-11"/>
                <w:sz w:val="21"/>
                <w:szCs w:val="21"/>
                <w:highlight w:val="none"/>
                <w:u w:val="none"/>
                <w:vertAlign w:val="baseline"/>
                <w:lang w:eastAsia="zh-CN" w:bidi="ar"/>
              </w:rPr>
              <w:t>等网站；</w:t>
            </w:r>
            <w:r>
              <w:rPr>
                <w:rFonts w:hint="eastAsia" w:ascii="仿宋_GB2312" w:hAnsi="仿宋_GB2312" w:eastAsia="仿宋_GB2312" w:cs="仿宋_GB2312"/>
                <w:color w:val="auto"/>
                <w:spacing w:val="-11"/>
                <w:sz w:val="21"/>
                <w:szCs w:val="21"/>
                <w:highlight w:val="none"/>
                <w:u w:val="none"/>
                <w:shd w:val="clear" w:color="auto" w:fill="auto"/>
                <w:lang w:eastAsia="zh-CN" w:bidi="ar"/>
              </w:rPr>
              <w:t>供应商提供的</w:t>
            </w:r>
            <w:r>
              <w:rPr>
                <w:rFonts w:hint="eastAsia" w:ascii="仿宋_GB2312" w:hAnsi="仿宋_GB2312" w:eastAsia="仿宋_GB2312" w:cs="仿宋_GB2312"/>
                <w:color w:val="auto"/>
                <w:spacing w:val="-11"/>
                <w:sz w:val="21"/>
                <w:szCs w:val="21"/>
                <w:highlight w:val="none"/>
                <w:u w:val="none"/>
                <w:shd w:val="clear" w:color="auto" w:fill="auto"/>
                <w:lang w:bidi="ar"/>
              </w:rPr>
              <w:t>《供应商基本情况表》</w:t>
            </w:r>
            <w:r>
              <w:rPr>
                <w:rFonts w:hint="eastAsia" w:ascii="仿宋_GB2312" w:hAnsi="仿宋_GB2312" w:eastAsia="仿宋_GB2312" w:cs="仿宋_GB2312"/>
                <w:color w:val="auto"/>
                <w:spacing w:val="-11"/>
                <w:sz w:val="21"/>
                <w:szCs w:val="21"/>
                <w:highlight w:val="none"/>
                <w:u w:val="none"/>
                <w:shd w:val="clear" w:color="auto" w:fill="auto"/>
                <w:lang w:eastAsia="zh-CN" w:bidi="ar"/>
              </w:rPr>
              <w:t>；</w:t>
            </w:r>
            <w:r>
              <w:rPr>
                <w:rFonts w:hint="eastAsia" w:ascii="仿宋_GB2312" w:hAnsi="仿宋_GB2312" w:eastAsia="仿宋_GB2312" w:cs="仿宋_GB2312"/>
                <w:i w:val="0"/>
                <w:caps w:val="0"/>
                <w:color w:val="auto"/>
                <w:spacing w:val="-11"/>
                <w:kern w:val="2"/>
                <w:sz w:val="21"/>
                <w:szCs w:val="21"/>
                <w:highlight w:val="none"/>
                <w:u w:val="none"/>
                <w:shd w:val="clear" w:color="auto" w:fill="auto"/>
                <w:lang w:val="en-US" w:eastAsia="zh-CN" w:bidi="ar"/>
              </w:rPr>
              <w:t>供应商提供的</w:t>
            </w:r>
            <w:r>
              <w:rPr>
                <w:rFonts w:hint="eastAsia" w:ascii="仿宋_GB2312" w:hAnsi="仿宋_GB2312" w:eastAsia="仿宋_GB2312" w:cs="仿宋_GB2312"/>
                <w:color w:val="auto"/>
                <w:spacing w:val="-11"/>
                <w:sz w:val="21"/>
                <w:szCs w:val="21"/>
                <w:highlight w:val="none"/>
                <w:u w:val="none"/>
                <w:vertAlign w:val="baseline"/>
                <w:lang w:eastAsia="zh-CN" w:bidi="ar"/>
              </w:rPr>
              <w:t>企业股权关系证明（如有）</w:t>
            </w:r>
          </w:p>
        </w:tc>
        <w:tc>
          <w:tcPr>
            <w:tcW w:w="1150" w:type="dxa"/>
            <w:noWrap w:val="0"/>
            <w:vAlign w:val="center"/>
          </w:tcPr>
          <w:p w14:paraId="7170A9B5">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sz w:val="21"/>
                <w:szCs w:val="21"/>
                <w:highlight w:val="none"/>
                <w:u w:val="none"/>
              </w:rPr>
            </w:pPr>
            <w:r>
              <w:rPr>
                <w:rFonts w:hint="eastAsia" w:ascii="仿宋_GB2312" w:hAnsi="仿宋_GB2312" w:eastAsia="仿宋_GB2312" w:cs="仿宋_GB2312"/>
                <w:color w:val="auto"/>
                <w:spacing w:val="-11"/>
                <w:sz w:val="21"/>
                <w:szCs w:val="21"/>
                <w:highlight w:val="none"/>
                <w:u w:val="none"/>
              </w:rPr>
              <w:t>□</w:t>
            </w:r>
            <w:r>
              <w:rPr>
                <w:rFonts w:hint="eastAsia" w:ascii="仿宋_GB2312" w:hAnsi="仿宋_GB2312" w:eastAsia="仿宋_GB2312" w:cs="仿宋_GB2312"/>
                <w:color w:val="auto"/>
                <w:spacing w:val="-11"/>
                <w:sz w:val="21"/>
                <w:szCs w:val="21"/>
                <w:highlight w:val="none"/>
                <w:u w:val="none"/>
                <w:lang w:eastAsia="zh-CN"/>
              </w:rPr>
              <w:t>存在该种情形</w:t>
            </w:r>
          </w:p>
          <w:p w14:paraId="4057252E">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kern w:val="2"/>
                <w:sz w:val="21"/>
                <w:szCs w:val="21"/>
                <w:highlight w:val="none"/>
                <w:u w:val="none"/>
                <w:lang w:val="en-US" w:eastAsia="zh-CN" w:bidi="ar"/>
              </w:rPr>
            </w:pPr>
            <w:r>
              <w:rPr>
                <w:rFonts w:hint="eastAsia" w:ascii="仿宋_GB2312" w:hAnsi="仿宋_GB2312" w:eastAsia="仿宋_GB2312" w:cs="仿宋_GB2312"/>
                <w:color w:val="auto"/>
                <w:spacing w:val="-11"/>
                <w:sz w:val="21"/>
                <w:szCs w:val="21"/>
                <w:highlight w:val="none"/>
                <w:u w:val="none"/>
              </w:rPr>
              <w:t>□</w:t>
            </w:r>
            <w:r>
              <w:rPr>
                <w:rFonts w:hint="eastAsia" w:ascii="仿宋_GB2312" w:hAnsi="仿宋_GB2312" w:eastAsia="仿宋_GB2312" w:cs="仿宋_GB2312"/>
                <w:color w:val="auto"/>
                <w:spacing w:val="-11"/>
                <w:sz w:val="21"/>
                <w:szCs w:val="21"/>
                <w:highlight w:val="none"/>
                <w:u w:val="none"/>
                <w:lang w:eastAsia="zh-CN"/>
              </w:rPr>
              <w:t>不存在该种情形</w:t>
            </w:r>
          </w:p>
        </w:tc>
        <w:tc>
          <w:tcPr>
            <w:tcW w:w="1150" w:type="dxa"/>
            <w:noWrap w:val="0"/>
            <w:vAlign w:val="center"/>
          </w:tcPr>
          <w:p w14:paraId="5AA5CBE3">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sz w:val="21"/>
                <w:szCs w:val="21"/>
                <w:highlight w:val="none"/>
                <w:u w:val="none"/>
              </w:rPr>
            </w:pPr>
            <w:r>
              <w:rPr>
                <w:rFonts w:hint="eastAsia" w:ascii="仿宋_GB2312" w:hAnsi="仿宋_GB2312" w:eastAsia="仿宋_GB2312" w:cs="仿宋_GB2312"/>
                <w:color w:val="auto"/>
                <w:spacing w:val="-11"/>
                <w:sz w:val="21"/>
                <w:szCs w:val="21"/>
                <w:highlight w:val="none"/>
                <w:u w:val="none"/>
              </w:rPr>
              <w:t>□</w:t>
            </w:r>
            <w:r>
              <w:rPr>
                <w:rFonts w:hint="eastAsia" w:ascii="仿宋_GB2312" w:hAnsi="仿宋_GB2312" w:eastAsia="仿宋_GB2312" w:cs="仿宋_GB2312"/>
                <w:color w:val="auto"/>
                <w:spacing w:val="-11"/>
                <w:sz w:val="21"/>
                <w:szCs w:val="21"/>
                <w:highlight w:val="none"/>
                <w:u w:val="none"/>
                <w:lang w:eastAsia="zh-CN"/>
              </w:rPr>
              <w:t>存在该种情形</w:t>
            </w:r>
          </w:p>
          <w:p w14:paraId="30E4C5ED">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kern w:val="2"/>
                <w:sz w:val="21"/>
                <w:szCs w:val="21"/>
                <w:highlight w:val="none"/>
                <w:u w:val="none"/>
                <w:lang w:val="en-US" w:eastAsia="zh-CN" w:bidi="ar"/>
              </w:rPr>
            </w:pPr>
            <w:r>
              <w:rPr>
                <w:rFonts w:hint="eastAsia" w:ascii="仿宋_GB2312" w:hAnsi="仿宋_GB2312" w:eastAsia="仿宋_GB2312" w:cs="仿宋_GB2312"/>
                <w:color w:val="auto"/>
                <w:spacing w:val="-11"/>
                <w:sz w:val="21"/>
                <w:szCs w:val="21"/>
                <w:highlight w:val="none"/>
                <w:u w:val="none"/>
              </w:rPr>
              <w:t>□</w:t>
            </w:r>
            <w:r>
              <w:rPr>
                <w:rFonts w:hint="eastAsia" w:ascii="仿宋_GB2312" w:hAnsi="仿宋_GB2312" w:eastAsia="仿宋_GB2312" w:cs="仿宋_GB2312"/>
                <w:color w:val="auto"/>
                <w:spacing w:val="-11"/>
                <w:sz w:val="21"/>
                <w:szCs w:val="21"/>
                <w:highlight w:val="none"/>
                <w:u w:val="none"/>
                <w:lang w:eastAsia="zh-CN"/>
              </w:rPr>
              <w:t>不存在该种情形</w:t>
            </w:r>
          </w:p>
        </w:tc>
        <w:tc>
          <w:tcPr>
            <w:tcW w:w="1150" w:type="dxa"/>
            <w:noWrap w:val="0"/>
            <w:vAlign w:val="center"/>
          </w:tcPr>
          <w:p w14:paraId="032A4828">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sz w:val="21"/>
                <w:szCs w:val="21"/>
                <w:highlight w:val="none"/>
                <w:u w:val="none"/>
              </w:rPr>
            </w:pPr>
            <w:r>
              <w:rPr>
                <w:rFonts w:hint="eastAsia" w:ascii="仿宋_GB2312" w:hAnsi="仿宋_GB2312" w:eastAsia="仿宋_GB2312" w:cs="仿宋_GB2312"/>
                <w:color w:val="auto"/>
                <w:spacing w:val="-11"/>
                <w:sz w:val="21"/>
                <w:szCs w:val="21"/>
                <w:highlight w:val="none"/>
                <w:u w:val="none"/>
              </w:rPr>
              <w:t>□</w:t>
            </w:r>
            <w:r>
              <w:rPr>
                <w:rFonts w:hint="eastAsia" w:ascii="仿宋_GB2312" w:hAnsi="仿宋_GB2312" w:eastAsia="仿宋_GB2312" w:cs="仿宋_GB2312"/>
                <w:color w:val="auto"/>
                <w:spacing w:val="-11"/>
                <w:sz w:val="21"/>
                <w:szCs w:val="21"/>
                <w:highlight w:val="none"/>
                <w:u w:val="none"/>
                <w:lang w:eastAsia="zh-CN"/>
              </w:rPr>
              <w:t>存在该种情形</w:t>
            </w:r>
          </w:p>
          <w:p w14:paraId="6D5E3DA9">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kern w:val="2"/>
                <w:sz w:val="21"/>
                <w:szCs w:val="21"/>
                <w:highlight w:val="none"/>
                <w:u w:val="none"/>
                <w:lang w:val="en-US" w:eastAsia="zh-CN" w:bidi="ar"/>
              </w:rPr>
            </w:pPr>
            <w:r>
              <w:rPr>
                <w:rFonts w:hint="eastAsia" w:ascii="仿宋_GB2312" w:hAnsi="仿宋_GB2312" w:eastAsia="仿宋_GB2312" w:cs="仿宋_GB2312"/>
                <w:color w:val="auto"/>
                <w:spacing w:val="-11"/>
                <w:sz w:val="21"/>
                <w:szCs w:val="21"/>
                <w:highlight w:val="none"/>
                <w:u w:val="none"/>
              </w:rPr>
              <w:t>□</w:t>
            </w:r>
            <w:r>
              <w:rPr>
                <w:rFonts w:hint="eastAsia" w:ascii="仿宋_GB2312" w:hAnsi="仿宋_GB2312" w:eastAsia="仿宋_GB2312" w:cs="仿宋_GB2312"/>
                <w:color w:val="auto"/>
                <w:spacing w:val="-11"/>
                <w:sz w:val="21"/>
                <w:szCs w:val="21"/>
                <w:highlight w:val="none"/>
                <w:u w:val="none"/>
                <w:lang w:eastAsia="zh-CN"/>
              </w:rPr>
              <w:t>不存在该种情形</w:t>
            </w:r>
          </w:p>
        </w:tc>
        <w:tc>
          <w:tcPr>
            <w:tcW w:w="1644" w:type="dxa"/>
            <w:noWrap w:val="0"/>
            <w:vAlign w:val="center"/>
          </w:tcPr>
          <w:p w14:paraId="5819F7E2">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sz w:val="21"/>
                <w:szCs w:val="21"/>
                <w:highlight w:val="none"/>
                <w:u w:val="none"/>
                <w:lang w:val="en-US" w:eastAsia="zh-CN"/>
              </w:rPr>
            </w:pPr>
            <w:r>
              <w:rPr>
                <w:rFonts w:hint="eastAsia" w:ascii="仿宋_GB2312" w:hAnsi="仿宋_GB2312" w:eastAsia="仿宋_GB2312" w:cs="仿宋_GB2312"/>
                <w:color w:val="auto"/>
                <w:spacing w:val="-11"/>
                <w:kern w:val="2"/>
                <w:sz w:val="21"/>
                <w:szCs w:val="21"/>
                <w:highlight w:val="none"/>
                <w:u w:val="none"/>
                <w:lang w:eastAsia="zh-CN" w:bidi="ar"/>
              </w:rPr>
              <w:t>若存在直接控股、管理关系，则该几家供应商不得</w:t>
            </w:r>
            <w:r>
              <w:rPr>
                <w:rFonts w:hint="eastAsia" w:ascii="仿宋_GB2312" w:hAnsi="仿宋_GB2312" w:eastAsia="仿宋_GB2312" w:cs="仿宋_GB2312"/>
                <w:color w:val="auto"/>
                <w:spacing w:val="-11"/>
                <w:kern w:val="2"/>
                <w:sz w:val="21"/>
                <w:szCs w:val="21"/>
                <w:highlight w:val="none"/>
                <w:u w:val="none"/>
                <w:lang w:bidi="ar"/>
              </w:rPr>
              <w:t>参加同一合同项下的政府采购活动</w:t>
            </w:r>
          </w:p>
        </w:tc>
      </w:tr>
      <w:tr w14:paraId="3636B9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8" w:type="dxa"/>
            <w:noWrap w:val="0"/>
            <w:vAlign w:val="center"/>
          </w:tcPr>
          <w:p w14:paraId="27A7D7CD">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default" w:ascii="仿宋_GB2312" w:hAnsi="仿宋_GB2312" w:eastAsia="仿宋_GB2312" w:cs="仿宋_GB2312"/>
                <w:color w:val="auto"/>
                <w:spacing w:val="-11"/>
                <w:kern w:val="2"/>
                <w:sz w:val="21"/>
                <w:szCs w:val="21"/>
                <w:highlight w:val="none"/>
                <w:u w:val="none"/>
                <w:lang w:val="en-US" w:eastAsia="zh-CN" w:bidi="ar-SA"/>
              </w:rPr>
            </w:pPr>
            <w:r>
              <w:rPr>
                <w:rFonts w:hint="eastAsia" w:ascii="仿宋_GB2312" w:hAnsi="仿宋_GB2312" w:eastAsia="仿宋_GB2312" w:cs="仿宋_GB2312"/>
                <w:color w:val="auto"/>
                <w:spacing w:val="-11"/>
                <w:kern w:val="2"/>
                <w:sz w:val="21"/>
                <w:szCs w:val="21"/>
                <w:highlight w:val="none"/>
                <w:u w:val="none"/>
                <w:lang w:val="en-US" w:eastAsia="zh-CN" w:bidi="ar-SA"/>
              </w:rPr>
              <w:t>6</w:t>
            </w:r>
          </w:p>
        </w:tc>
        <w:tc>
          <w:tcPr>
            <w:tcW w:w="2146" w:type="dxa"/>
            <w:noWrap w:val="0"/>
            <w:vAlign w:val="center"/>
          </w:tcPr>
          <w:p w14:paraId="5FC973B1">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kern w:val="2"/>
                <w:sz w:val="21"/>
                <w:szCs w:val="21"/>
                <w:highlight w:val="none"/>
                <w:u w:val="none"/>
                <w:lang w:val="en-US" w:eastAsia="zh-CN" w:bidi="ar"/>
              </w:rPr>
            </w:pPr>
            <w:r>
              <w:rPr>
                <w:rFonts w:hint="eastAsia" w:ascii="仿宋_GB2312" w:hAnsi="仿宋_GB2312" w:eastAsia="仿宋_GB2312" w:cs="仿宋_GB2312"/>
                <w:color w:val="auto"/>
                <w:spacing w:val="-11"/>
                <w:kern w:val="2"/>
                <w:sz w:val="21"/>
                <w:szCs w:val="21"/>
                <w:highlight w:val="none"/>
                <w:u w:val="none"/>
                <w:lang w:bidi="ar"/>
              </w:rPr>
              <w:t>为采购项目提供整体设计、规范编制或者项目管理、监理、检测等服务的供应商，</w:t>
            </w:r>
            <w:r>
              <w:rPr>
                <w:rFonts w:hint="eastAsia" w:ascii="仿宋_GB2312" w:hAnsi="仿宋_GB2312" w:eastAsia="仿宋_GB2312" w:cs="仿宋_GB2312"/>
                <w:color w:val="auto"/>
                <w:spacing w:val="-11"/>
                <w:kern w:val="2"/>
                <w:sz w:val="21"/>
                <w:szCs w:val="21"/>
                <w:highlight w:val="none"/>
                <w:u w:val="none"/>
                <w:lang w:eastAsia="zh-CN" w:bidi="ar"/>
              </w:rPr>
              <w:t>是否</w:t>
            </w:r>
            <w:r>
              <w:rPr>
                <w:rFonts w:hint="eastAsia" w:ascii="仿宋_GB2312" w:hAnsi="仿宋_GB2312" w:eastAsia="仿宋_GB2312" w:cs="仿宋_GB2312"/>
                <w:color w:val="auto"/>
                <w:spacing w:val="-11"/>
                <w:kern w:val="2"/>
                <w:sz w:val="21"/>
                <w:szCs w:val="21"/>
                <w:highlight w:val="none"/>
                <w:u w:val="none"/>
                <w:lang w:bidi="ar"/>
              </w:rPr>
              <w:t>参加</w:t>
            </w:r>
            <w:r>
              <w:rPr>
                <w:rFonts w:hint="eastAsia" w:ascii="仿宋_GB2312" w:hAnsi="仿宋_GB2312" w:eastAsia="仿宋_GB2312" w:cs="仿宋_GB2312"/>
                <w:color w:val="auto"/>
                <w:spacing w:val="-11"/>
                <w:kern w:val="2"/>
                <w:sz w:val="21"/>
                <w:szCs w:val="21"/>
                <w:highlight w:val="none"/>
                <w:u w:val="none"/>
                <w:lang w:eastAsia="zh-CN" w:bidi="ar"/>
              </w:rPr>
              <w:t>了</w:t>
            </w:r>
            <w:r>
              <w:rPr>
                <w:rFonts w:hint="eastAsia" w:ascii="仿宋_GB2312" w:hAnsi="仿宋_GB2312" w:eastAsia="仿宋_GB2312" w:cs="仿宋_GB2312"/>
                <w:color w:val="auto"/>
                <w:spacing w:val="-11"/>
                <w:kern w:val="2"/>
                <w:sz w:val="21"/>
                <w:szCs w:val="21"/>
                <w:highlight w:val="none"/>
                <w:u w:val="none"/>
                <w:lang w:bidi="ar"/>
              </w:rPr>
              <w:t>该采购项目的其他采购活动</w:t>
            </w:r>
          </w:p>
        </w:tc>
        <w:tc>
          <w:tcPr>
            <w:tcW w:w="3257" w:type="dxa"/>
            <w:noWrap w:val="0"/>
            <w:vAlign w:val="center"/>
          </w:tcPr>
          <w:p w14:paraId="676FF010">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kern w:val="2"/>
                <w:sz w:val="21"/>
                <w:szCs w:val="21"/>
                <w:highlight w:val="none"/>
                <w:u w:val="none"/>
                <w:vertAlign w:val="baseline"/>
                <w:lang w:val="en-US" w:eastAsia="zh-CN" w:bidi="ar-SA"/>
              </w:rPr>
            </w:pPr>
            <w:r>
              <w:rPr>
                <w:rFonts w:hint="eastAsia" w:ascii="仿宋_GB2312" w:hAnsi="仿宋_GB2312" w:eastAsia="仿宋_GB2312" w:cs="仿宋_GB2312"/>
                <w:color w:val="auto"/>
                <w:spacing w:val="-11"/>
                <w:sz w:val="21"/>
                <w:szCs w:val="21"/>
                <w:highlight w:val="none"/>
                <w:u w:val="none"/>
                <w:vertAlign w:val="baseline"/>
                <w:lang w:eastAsia="zh-CN" w:bidi="ar"/>
              </w:rPr>
              <w:t>采购人内部排查</w:t>
            </w:r>
          </w:p>
        </w:tc>
        <w:tc>
          <w:tcPr>
            <w:tcW w:w="1150" w:type="dxa"/>
            <w:noWrap w:val="0"/>
            <w:vAlign w:val="center"/>
          </w:tcPr>
          <w:p w14:paraId="6F23824D">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sz w:val="21"/>
                <w:szCs w:val="21"/>
                <w:highlight w:val="none"/>
                <w:u w:val="none"/>
              </w:rPr>
            </w:pPr>
            <w:r>
              <w:rPr>
                <w:rFonts w:hint="eastAsia" w:ascii="仿宋_GB2312" w:hAnsi="仿宋_GB2312" w:eastAsia="仿宋_GB2312" w:cs="仿宋_GB2312"/>
                <w:color w:val="auto"/>
                <w:spacing w:val="-11"/>
                <w:sz w:val="21"/>
                <w:szCs w:val="21"/>
                <w:highlight w:val="none"/>
                <w:u w:val="none"/>
                <w:lang w:eastAsia="zh-CN"/>
              </w:rPr>
              <w:t>□是</w:t>
            </w:r>
          </w:p>
          <w:p w14:paraId="4D74A805">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kern w:val="2"/>
                <w:sz w:val="21"/>
                <w:szCs w:val="21"/>
                <w:highlight w:val="none"/>
                <w:u w:val="none"/>
                <w:lang w:val="en-US" w:eastAsia="zh-CN" w:bidi="ar-SA"/>
              </w:rPr>
            </w:pPr>
            <w:r>
              <w:rPr>
                <w:rFonts w:hint="eastAsia" w:ascii="仿宋_GB2312" w:hAnsi="仿宋_GB2312" w:eastAsia="仿宋_GB2312" w:cs="仿宋_GB2312"/>
                <w:color w:val="auto"/>
                <w:spacing w:val="-11"/>
                <w:sz w:val="21"/>
                <w:szCs w:val="21"/>
                <w:highlight w:val="none"/>
                <w:u w:val="none"/>
              </w:rPr>
              <w:t>□</w:t>
            </w:r>
            <w:r>
              <w:rPr>
                <w:rFonts w:hint="eastAsia" w:ascii="仿宋_GB2312" w:hAnsi="仿宋_GB2312" w:eastAsia="仿宋_GB2312" w:cs="仿宋_GB2312"/>
                <w:color w:val="auto"/>
                <w:spacing w:val="-11"/>
                <w:sz w:val="21"/>
                <w:szCs w:val="21"/>
                <w:highlight w:val="none"/>
                <w:u w:val="none"/>
                <w:lang w:eastAsia="zh-CN"/>
              </w:rPr>
              <w:t>否</w:t>
            </w:r>
          </w:p>
        </w:tc>
        <w:tc>
          <w:tcPr>
            <w:tcW w:w="1150" w:type="dxa"/>
            <w:noWrap w:val="0"/>
            <w:vAlign w:val="center"/>
          </w:tcPr>
          <w:p w14:paraId="043129EF">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sz w:val="21"/>
                <w:szCs w:val="21"/>
                <w:highlight w:val="none"/>
                <w:u w:val="none"/>
              </w:rPr>
            </w:pPr>
            <w:r>
              <w:rPr>
                <w:rFonts w:hint="eastAsia" w:ascii="仿宋_GB2312" w:hAnsi="仿宋_GB2312" w:eastAsia="仿宋_GB2312" w:cs="仿宋_GB2312"/>
                <w:color w:val="auto"/>
                <w:spacing w:val="-11"/>
                <w:sz w:val="21"/>
                <w:szCs w:val="21"/>
                <w:highlight w:val="none"/>
                <w:u w:val="none"/>
                <w:lang w:eastAsia="zh-CN"/>
              </w:rPr>
              <w:t>□是</w:t>
            </w:r>
          </w:p>
          <w:p w14:paraId="031FD490">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kern w:val="2"/>
                <w:sz w:val="21"/>
                <w:szCs w:val="21"/>
                <w:highlight w:val="none"/>
                <w:u w:val="none"/>
                <w:lang w:val="en-US" w:eastAsia="zh-CN" w:bidi="ar-SA"/>
              </w:rPr>
            </w:pPr>
            <w:r>
              <w:rPr>
                <w:rFonts w:hint="eastAsia" w:ascii="仿宋_GB2312" w:hAnsi="仿宋_GB2312" w:eastAsia="仿宋_GB2312" w:cs="仿宋_GB2312"/>
                <w:color w:val="auto"/>
                <w:spacing w:val="-11"/>
                <w:sz w:val="21"/>
                <w:szCs w:val="21"/>
                <w:highlight w:val="none"/>
                <w:u w:val="none"/>
              </w:rPr>
              <w:t>□</w:t>
            </w:r>
            <w:r>
              <w:rPr>
                <w:rFonts w:hint="eastAsia" w:ascii="仿宋_GB2312" w:hAnsi="仿宋_GB2312" w:eastAsia="仿宋_GB2312" w:cs="仿宋_GB2312"/>
                <w:color w:val="auto"/>
                <w:spacing w:val="-11"/>
                <w:sz w:val="21"/>
                <w:szCs w:val="21"/>
                <w:highlight w:val="none"/>
                <w:u w:val="none"/>
                <w:lang w:eastAsia="zh-CN"/>
              </w:rPr>
              <w:t>否</w:t>
            </w:r>
          </w:p>
        </w:tc>
        <w:tc>
          <w:tcPr>
            <w:tcW w:w="1150" w:type="dxa"/>
            <w:noWrap w:val="0"/>
            <w:vAlign w:val="center"/>
          </w:tcPr>
          <w:p w14:paraId="422557FF">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sz w:val="21"/>
                <w:szCs w:val="21"/>
                <w:highlight w:val="none"/>
                <w:u w:val="none"/>
              </w:rPr>
            </w:pPr>
            <w:r>
              <w:rPr>
                <w:rFonts w:hint="eastAsia" w:ascii="仿宋_GB2312" w:hAnsi="仿宋_GB2312" w:eastAsia="仿宋_GB2312" w:cs="仿宋_GB2312"/>
                <w:color w:val="auto"/>
                <w:spacing w:val="-11"/>
                <w:sz w:val="21"/>
                <w:szCs w:val="21"/>
                <w:highlight w:val="none"/>
                <w:u w:val="none"/>
                <w:lang w:eastAsia="zh-CN"/>
              </w:rPr>
              <w:t>□是</w:t>
            </w:r>
          </w:p>
          <w:p w14:paraId="6A4BBA2D">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kern w:val="2"/>
                <w:sz w:val="21"/>
                <w:szCs w:val="21"/>
                <w:highlight w:val="none"/>
                <w:u w:val="none"/>
                <w:lang w:val="en-US" w:eastAsia="zh-CN" w:bidi="ar-SA"/>
              </w:rPr>
            </w:pPr>
            <w:r>
              <w:rPr>
                <w:rFonts w:hint="eastAsia" w:ascii="仿宋_GB2312" w:hAnsi="仿宋_GB2312" w:eastAsia="仿宋_GB2312" w:cs="仿宋_GB2312"/>
                <w:color w:val="auto"/>
                <w:spacing w:val="-11"/>
                <w:sz w:val="21"/>
                <w:szCs w:val="21"/>
                <w:highlight w:val="none"/>
                <w:u w:val="none"/>
              </w:rPr>
              <w:t>□</w:t>
            </w:r>
            <w:r>
              <w:rPr>
                <w:rFonts w:hint="eastAsia" w:ascii="仿宋_GB2312" w:hAnsi="仿宋_GB2312" w:eastAsia="仿宋_GB2312" w:cs="仿宋_GB2312"/>
                <w:color w:val="auto"/>
                <w:spacing w:val="-11"/>
                <w:sz w:val="21"/>
                <w:szCs w:val="21"/>
                <w:highlight w:val="none"/>
                <w:u w:val="none"/>
                <w:lang w:eastAsia="zh-CN"/>
              </w:rPr>
              <w:t>否</w:t>
            </w:r>
          </w:p>
        </w:tc>
        <w:tc>
          <w:tcPr>
            <w:tcW w:w="1644" w:type="dxa"/>
            <w:noWrap w:val="0"/>
            <w:vAlign w:val="center"/>
          </w:tcPr>
          <w:p w14:paraId="17249EC9">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kern w:val="2"/>
                <w:sz w:val="21"/>
                <w:szCs w:val="21"/>
                <w:highlight w:val="none"/>
                <w:u w:val="none"/>
                <w:lang w:val="en-US" w:eastAsia="zh-CN" w:bidi="ar-SA"/>
              </w:rPr>
            </w:pPr>
            <w:r>
              <w:rPr>
                <w:rFonts w:hint="eastAsia" w:ascii="仿宋_GB2312" w:hAnsi="仿宋_GB2312" w:eastAsia="仿宋_GB2312" w:cs="仿宋_GB2312"/>
                <w:color w:val="auto"/>
                <w:spacing w:val="-11"/>
                <w:kern w:val="2"/>
                <w:sz w:val="21"/>
                <w:szCs w:val="21"/>
                <w:highlight w:val="none"/>
                <w:u w:val="none"/>
                <w:lang w:val="en-US" w:eastAsia="zh-CN" w:bidi="ar-SA"/>
              </w:rPr>
              <w:t>采用单一来源方式的除外。若选择“是”，则属于审查不通过。</w:t>
            </w:r>
          </w:p>
        </w:tc>
      </w:tr>
      <w:tr w14:paraId="578B55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171" w:type="dxa"/>
            <w:gridSpan w:val="3"/>
            <w:noWrap w:val="0"/>
            <w:vAlign w:val="center"/>
          </w:tcPr>
          <w:p w14:paraId="3625CB74">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sz w:val="21"/>
                <w:szCs w:val="21"/>
                <w:highlight w:val="none"/>
                <w:u w:val="none"/>
                <w:vertAlign w:val="baseline"/>
                <w:lang w:eastAsia="zh-CN" w:bidi="ar"/>
              </w:rPr>
            </w:pPr>
            <w:r>
              <w:rPr>
                <w:rFonts w:hint="eastAsia" w:ascii="仿宋_GB2312" w:hAnsi="仿宋_GB2312" w:eastAsia="仿宋_GB2312" w:cs="仿宋_GB2312"/>
                <w:color w:val="auto"/>
                <w:spacing w:val="-11"/>
                <w:sz w:val="21"/>
                <w:szCs w:val="21"/>
                <w:highlight w:val="none"/>
                <w:u w:val="none"/>
                <w:vertAlign w:val="baseline"/>
                <w:lang w:eastAsia="zh-CN" w:bidi="ar"/>
              </w:rPr>
              <w:t>审查结论</w:t>
            </w:r>
          </w:p>
        </w:tc>
        <w:tc>
          <w:tcPr>
            <w:tcW w:w="1150" w:type="dxa"/>
            <w:noWrap w:val="0"/>
            <w:vAlign w:val="center"/>
          </w:tcPr>
          <w:p w14:paraId="3CFEB5AD">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sz w:val="21"/>
                <w:szCs w:val="21"/>
                <w:highlight w:val="none"/>
                <w:u w:val="none"/>
                <w:lang w:eastAsia="zh-CN"/>
              </w:rPr>
            </w:pPr>
            <w:r>
              <w:rPr>
                <w:rFonts w:hint="eastAsia" w:ascii="仿宋_GB2312" w:hAnsi="仿宋_GB2312" w:eastAsia="仿宋_GB2312" w:cs="仿宋_GB2312"/>
                <w:color w:val="auto"/>
                <w:spacing w:val="-11"/>
                <w:sz w:val="21"/>
                <w:szCs w:val="21"/>
                <w:highlight w:val="none"/>
                <w:u w:val="none"/>
                <w:lang w:eastAsia="zh-CN"/>
              </w:rPr>
              <w:t>□通过</w:t>
            </w:r>
          </w:p>
          <w:p w14:paraId="3737A61A">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sz w:val="21"/>
                <w:szCs w:val="21"/>
                <w:highlight w:val="none"/>
                <w:u w:val="none"/>
              </w:rPr>
            </w:pPr>
            <w:r>
              <w:rPr>
                <w:rFonts w:hint="eastAsia" w:ascii="仿宋_GB2312" w:hAnsi="仿宋_GB2312" w:eastAsia="仿宋_GB2312" w:cs="仿宋_GB2312"/>
                <w:color w:val="auto"/>
                <w:spacing w:val="-11"/>
                <w:sz w:val="21"/>
                <w:szCs w:val="21"/>
                <w:highlight w:val="none"/>
                <w:u w:val="none"/>
              </w:rPr>
              <w:t>□</w:t>
            </w:r>
            <w:r>
              <w:rPr>
                <w:rFonts w:hint="eastAsia" w:ascii="仿宋_GB2312" w:hAnsi="仿宋_GB2312" w:eastAsia="仿宋_GB2312" w:cs="仿宋_GB2312"/>
                <w:color w:val="auto"/>
                <w:spacing w:val="-11"/>
                <w:sz w:val="21"/>
                <w:szCs w:val="21"/>
                <w:highlight w:val="none"/>
                <w:u w:val="none"/>
                <w:lang w:eastAsia="zh-CN"/>
              </w:rPr>
              <w:t>不通过</w:t>
            </w:r>
          </w:p>
        </w:tc>
        <w:tc>
          <w:tcPr>
            <w:tcW w:w="1150" w:type="dxa"/>
            <w:noWrap w:val="0"/>
            <w:vAlign w:val="center"/>
          </w:tcPr>
          <w:p w14:paraId="6D013D0A">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sz w:val="21"/>
                <w:szCs w:val="21"/>
                <w:highlight w:val="none"/>
                <w:u w:val="none"/>
                <w:lang w:eastAsia="zh-CN"/>
              </w:rPr>
            </w:pPr>
            <w:r>
              <w:rPr>
                <w:rFonts w:hint="eastAsia" w:ascii="仿宋_GB2312" w:hAnsi="仿宋_GB2312" w:eastAsia="仿宋_GB2312" w:cs="仿宋_GB2312"/>
                <w:color w:val="auto"/>
                <w:spacing w:val="-11"/>
                <w:sz w:val="21"/>
                <w:szCs w:val="21"/>
                <w:highlight w:val="none"/>
                <w:u w:val="none"/>
                <w:lang w:eastAsia="zh-CN"/>
              </w:rPr>
              <w:t>□通过</w:t>
            </w:r>
          </w:p>
          <w:p w14:paraId="500EBCF0">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sz w:val="21"/>
                <w:szCs w:val="21"/>
                <w:highlight w:val="none"/>
                <w:u w:val="none"/>
              </w:rPr>
            </w:pPr>
            <w:r>
              <w:rPr>
                <w:rFonts w:hint="eastAsia" w:ascii="仿宋_GB2312" w:hAnsi="仿宋_GB2312" w:eastAsia="仿宋_GB2312" w:cs="仿宋_GB2312"/>
                <w:color w:val="auto"/>
                <w:spacing w:val="-11"/>
                <w:sz w:val="21"/>
                <w:szCs w:val="21"/>
                <w:highlight w:val="none"/>
                <w:u w:val="none"/>
              </w:rPr>
              <w:t>□</w:t>
            </w:r>
            <w:r>
              <w:rPr>
                <w:rFonts w:hint="eastAsia" w:ascii="仿宋_GB2312" w:hAnsi="仿宋_GB2312" w:eastAsia="仿宋_GB2312" w:cs="仿宋_GB2312"/>
                <w:color w:val="auto"/>
                <w:spacing w:val="-11"/>
                <w:sz w:val="21"/>
                <w:szCs w:val="21"/>
                <w:highlight w:val="none"/>
                <w:u w:val="none"/>
                <w:lang w:eastAsia="zh-CN"/>
              </w:rPr>
              <w:t>不通过</w:t>
            </w:r>
          </w:p>
        </w:tc>
        <w:tc>
          <w:tcPr>
            <w:tcW w:w="1150" w:type="dxa"/>
            <w:noWrap w:val="0"/>
            <w:vAlign w:val="center"/>
          </w:tcPr>
          <w:p w14:paraId="0AA0131A">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sz w:val="21"/>
                <w:szCs w:val="21"/>
                <w:highlight w:val="none"/>
                <w:u w:val="none"/>
                <w:lang w:eastAsia="zh-CN"/>
              </w:rPr>
            </w:pPr>
            <w:r>
              <w:rPr>
                <w:rFonts w:hint="eastAsia" w:ascii="仿宋_GB2312" w:hAnsi="仿宋_GB2312" w:eastAsia="仿宋_GB2312" w:cs="仿宋_GB2312"/>
                <w:color w:val="auto"/>
                <w:spacing w:val="-11"/>
                <w:sz w:val="21"/>
                <w:szCs w:val="21"/>
                <w:highlight w:val="none"/>
                <w:u w:val="none"/>
                <w:lang w:eastAsia="zh-CN"/>
              </w:rPr>
              <w:t>□通过</w:t>
            </w:r>
          </w:p>
          <w:p w14:paraId="3FC3B507">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sz w:val="21"/>
                <w:szCs w:val="21"/>
                <w:highlight w:val="none"/>
                <w:u w:val="none"/>
              </w:rPr>
            </w:pPr>
            <w:r>
              <w:rPr>
                <w:rFonts w:hint="eastAsia" w:ascii="仿宋_GB2312" w:hAnsi="仿宋_GB2312" w:eastAsia="仿宋_GB2312" w:cs="仿宋_GB2312"/>
                <w:color w:val="auto"/>
                <w:spacing w:val="-11"/>
                <w:sz w:val="21"/>
                <w:szCs w:val="21"/>
                <w:highlight w:val="none"/>
                <w:u w:val="none"/>
              </w:rPr>
              <w:t>□</w:t>
            </w:r>
            <w:r>
              <w:rPr>
                <w:rFonts w:hint="eastAsia" w:ascii="仿宋_GB2312" w:hAnsi="仿宋_GB2312" w:eastAsia="仿宋_GB2312" w:cs="仿宋_GB2312"/>
                <w:color w:val="auto"/>
                <w:spacing w:val="-11"/>
                <w:sz w:val="21"/>
                <w:szCs w:val="21"/>
                <w:highlight w:val="none"/>
                <w:u w:val="none"/>
                <w:lang w:eastAsia="zh-CN"/>
              </w:rPr>
              <w:t>不通过</w:t>
            </w:r>
          </w:p>
        </w:tc>
        <w:tc>
          <w:tcPr>
            <w:tcW w:w="1644" w:type="dxa"/>
            <w:noWrap w:val="0"/>
            <w:vAlign w:val="center"/>
          </w:tcPr>
          <w:p w14:paraId="3EAFADBD">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default" w:ascii="仿宋_GB2312" w:hAnsi="仿宋_GB2312" w:eastAsia="仿宋_GB2312" w:cs="仿宋_GB2312"/>
                <w:color w:val="auto"/>
                <w:spacing w:val="-11"/>
                <w:kern w:val="2"/>
                <w:sz w:val="21"/>
                <w:szCs w:val="21"/>
                <w:highlight w:val="none"/>
                <w:u w:val="none"/>
                <w:lang w:val="en-US" w:eastAsia="zh-CN" w:bidi="ar-SA"/>
              </w:rPr>
            </w:pPr>
            <w:r>
              <w:rPr>
                <w:rFonts w:hint="eastAsia" w:ascii="仿宋_GB2312" w:hAnsi="仿宋_GB2312" w:eastAsia="仿宋_GB2312" w:cs="仿宋_GB2312"/>
                <w:color w:val="auto"/>
                <w:spacing w:val="-11"/>
                <w:kern w:val="2"/>
                <w:sz w:val="21"/>
                <w:szCs w:val="21"/>
                <w:highlight w:val="none"/>
                <w:u w:val="none"/>
                <w:lang w:val="en-US" w:eastAsia="zh-CN" w:bidi="ar-SA"/>
              </w:rPr>
              <w:t>/</w:t>
            </w:r>
          </w:p>
        </w:tc>
      </w:tr>
      <w:tr w14:paraId="1C7451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5" w:hRule="atLeast"/>
          <w:jc w:val="center"/>
        </w:trPr>
        <w:tc>
          <w:tcPr>
            <w:tcW w:w="11265" w:type="dxa"/>
            <w:gridSpan w:val="7"/>
            <w:noWrap w:val="0"/>
            <w:vAlign w:val="center"/>
          </w:tcPr>
          <w:p w14:paraId="6CAA1B88">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564" w:firstLineChars="300"/>
              <w:jc w:val="center"/>
              <w:textAlignment w:val="auto"/>
              <w:rPr>
                <w:rFonts w:hint="default" w:ascii="仿宋_GB2312" w:hAnsi="仿宋_GB2312" w:eastAsia="仿宋_GB2312" w:cs="仿宋_GB2312"/>
                <w:color w:val="auto"/>
                <w:spacing w:val="-11"/>
                <w:kern w:val="2"/>
                <w:sz w:val="21"/>
                <w:szCs w:val="21"/>
                <w:highlight w:val="none"/>
                <w:u w:val="none"/>
                <w:lang w:val="en-US" w:eastAsia="zh-CN" w:bidi="ar-SA"/>
              </w:rPr>
            </w:pPr>
            <w:r>
              <w:rPr>
                <w:rFonts w:hint="eastAsia" w:ascii="仿宋_GB2312" w:hAnsi="仿宋_GB2312" w:eastAsia="仿宋_GB2312" w:cs="仿宋_GB2312"/>
                <w:color w:val="auto"/>
                <w:spacing w:val="-11"/>
                <w:kern w:val="2"/>
                <w:sz w:val="21"/>
                <w:szCs w:val="21"/>
                <w:highlight w:val="none"/>
                <w:u w:val="none"/>
                <w:lang w:val="en-US" w:eastAsia="zh-CN" w:bidi="ar-SA"/>
              </w:rPr>
              <w:t>审查人员签名：                                          审查日期：</w:t>
            </w:r>
          </w:p>
        </w:tc>
      </w:tr>
    </w:tbl>
    <w:p w14:paraId="4D79F9F6">
      <w:pPr>
        <w:pStyle w:val="40"/>
        <w:widowControl/>
        <w:numPr>
          <w:ilvl w:val="0"/>
          <w:numId w:val="12"/>
        </w:numPr>
        <w:spacing w:line="360" w:lineRule="auto"/>
        <w:ind w:left="0" w:leftChars="0" w:firstLine="0" w:firstLineChars="0"/>
        <w:jc w:val="left"/>
        <w:outlineLvl w:val="1"/>
        <w:rPr>
          <w:rFonts w:hAnsi="宋体"/>
          <w:b/>
          <w:bCs/>
        </w:rPr>
      </w:pPr>
      <w:r>
        <w:rPr>
          <w:rFonts w:hint="eastAsia" w:hAnsi="宋体"/>
          <w:b/>
          <w:bCs/>
          <w:lang w:val="en-US" w:eastAsia="zh-CN"/>
        </w:rPr>
        <w:t xml:space="preserve"> </w:t>
      </w:r>
      <w:r>
        <w:rPr>
          <w:rFonts w:hint="eastAsia" w:hAnsi="宋体"/>
          <w:b/>
          <w:bCs/>
        </w:rPr>
        <w:t>开标</w:t>
      </w:r>
    </w:p>
    <w:p w14:paraId="069C9231">
      <w:pPr>
        <w:pStyle w:val="40"/>
        <w:widowControl/>
        <w:numPr>
          <w:ilvl w:val="0"/>
          <w:numId w:val="0"/>
        </w:numPr>
        <w:spacing w:line="360" w:lineRule="auto"/>
        <w:ind w:leftChars="0"/>
        <w:jc w:val="left"/>
        <w:outlineLvl w:val="1"/>
        <w:rPr>
          <w:rFonts w:hint="eastAsia" w:ascii="宋体" w:hAnsi="宋体" w:cs="宋体"/>
          <w:szCs w:val="21"/>
          <w:lang w:val="en-US" w:eastAsia="zh-CN"/>
        </w:rPr>
      </w:pPr>
      <w:r>
        <w:rPr>
          <w:rFonts w:hint="eastAsia" w:ascii="宋体" w:hAnsi="宋体" w:cs="宋体"/>
          <w:szCs w:val="21"/>
          <w:lang w:val="en-US" w:eastAsia="zh-CN"/>
        </w:rPr>
        <w:t>1.1. 应在规定的日期、时间和地点组织公开开标。开标时邀请所有投标人代表参加。参加开标的代表应签名报到以证明其出席。</w:t>
      </w:r>
    </w:p>
    <w:p w14:paraId="45B9A2AB">
      <w:pPr>
        <w:pStyle w:val="40"/>
        <w:widowControl/>
        <w:numPr>
          <w:ilvl w:val="0"/>
          <w:numId w:val="0"/>
        </w:numPr>
        <w:spacing w:line="360" w:lineRule="auto"/>
        <w:ind w:leftChars="0"/>
        <w:jc w:val="left"/>
        <w:outlineLvl w:val="1"/>
        <w:rPr>
          <w:rFonts w:hint="eastAsia" w:ascii="宋体" w:hAnsi="宋体" w:cs="宋体"/>
          <w:szCs w:val="21"/>
          <w:lang w:val="en-US" w:eastAsia="zh-CN"/>
        </w:rPr>
      </w:pPr>
      <w:r>
        <w:rPr>
          <w:rFonts w:hint="eastAsia" w:ascii="宋体" w:hAnsi="宋体" w:cs="宋体"/>
          <w:szCs w:val="21"/>
          <w:lang w:val="en-US" w:eastAsia="zh-CN"/>
        </w:rPr>
        <w:t>1.2. 开标时，由采购人党委办公室工作人员检查投标文件的密封情况；经确认无误后，由采购人工作人员当众拆封，宣布投标人名称、投标价格和征集文件规定的需要宣布的其他内容。</w:t>
      </w:r>
    </w:p>
    <w:p w14:paraId="3E406D95">
      <w:pPr>
        <w:pStyle w:val="40"/>
        <w:widowControl/>
        <w:numPr>
          <w:ilvl w:val="0"/>
          <w:numId w:val="0"/>
        </w:numPr>
        <w:spacing w:line="360" w:lineRule="auto"/>
        <w:ind w:leftChars="0"/>
        <w:jc w:val="left"/>
        <w:outlineLvl w:val="1"/>
        <w:rPr>
          <w:rFonts w:hint="eastAsia" w:ascii="宋体" w:hAnsi="宋体" w:cs="宋体"/>
          <w:szCs w:val="21"/>
          <w:lang w:val="en-US" w:eastAsia="zh-CN"/>
        </w:rPr>
      </w:pPr>
      <w:r>
        <w:rPr>
          <w:rFonts w:hint="eastAsia" w:ascii="宋体" w:hAnsi="宋体" w:cs="宋体"/>
          <w:szCs w:val="21"/>
          <w:lang w:val="en-US" w:eastAsia="zh-CN"/>
        </w:rPr>
        <w:t>1.3. 投标人代表对开标过程和开标记录有疑义，以及认为采购人相关工作人员有需要回避的情形的，应当场提出询问或者回避申请。采购人对投标人代表提出的询问或者回避申请应当及时处理。</w:t>
      </w:r>
    </w:p>
    <w:p w14:paraId="0C42C018">
      <w:pPr>
        <w:pStyle w:val="40"/>
        <w:widowControl/>
        <w:numPr>
          <w:ilvl w:val="0"/>
          <w:numId w:val="0"/>
        </w:numPr>
        <w:spacing w:line="360" w:lineRule="auto"/>
        <w:ind w:leftChars="0"/>
        <w:jc w:val="left"/>
        <w:outlineLvl w:val="1"/>
        <w:rPr>
          <w:rFonts w:hint="eastAsia" w:ascii="宋体" w:hAnsi="宋体" w:cs="宋体"/>
          <w:szCs w:val="21"/>
          <w:lang w:val="en-US" w:eastAsia="zh-CN"/>
        </w:rPr>
      </w:pPr>
      <w:r>
        <w:rPr>
          <w:rFonts w:hint="eastAsia" w:ascii="宋体" w:hAnsi="宋体" w:cs="宋体"/>
          <w:szCs w:val="21"/>
          <w:lang w:val="en-US" w:eastAsia="zh-CN"/>
        </w:rPr>
        <w:t>1.4. 投标人未参加开标的，视同认可开标结果。</w:t>
      </w:r>
    </w:p>
    <w:p w14:paraId="15660E1E">
      <w:pPr>
        <w:pStyle w:val="40"/>
        <w:widowControl/>
        <w:numPr>
          <w:ilvl w:val="0"/>
          <w:numId w:val="0"/>
        </w:numPr>
        <w:spacing w:line="360" w:lineRule="auto"/>
        <w:ind w:leftChars="0"/>
        <w:jc w:val="left"/>
        <w:outlineLvl w:val="1"/>
        <w:rPr>
          <w:rFonts w:hint="eastAsia" w:ascii="宋体" w:hAnsi="宋体" w:cs="宋体"/>
          <w:szCs w:val="21"/>
        </w:rPr>
      </w:pPr>
      <w:r>
        <w:rPr>
          <w:rFonts w:hint="eastAsia" w:hAnsi="宋体"/>
          <w:b/>
          <w:lang w:val="en-US" w:eastAsia="zh-CN"/>
        </w:rPr>
        <w:t>2.  评标委员会的组成</w:t>
      </w:r>
    </w:p>
    <w:p w14:paraId="625E4982">
      <w:pPr>
        <w:pStyle w:val="40"/>
        <w:widowControl/>
        <w:numPr>
          <w:ilvl w:val="0"/>
          <w:numId w:val="0"/>
        </w:numPr>
        <w:spacing w:line="360" w:lineRule="auto"/>
        <w:ind w:leftChars="0"/>
        <w:jc w:val="left"/>
        <w:outlineLvl w:val="1"/>
        <w:rPr>
          <w:rFonts w:hint="eastAsia" w:ascii="宋体" w:hAnsi="宋体" w:cs="宋体"/>
          <w:szCs w:val="21"/>
          <w:lang w:val="en-US" w:eastAsia="zh-CN"/>
        </w:rPr>
      </w:pPr>
      <w:r>
        <w:rPr>
          <w:rFonts w:hint="eastAsia" w:ascii="宋体" w:hAnsi="宋体" w:cs="宋体"/>
          <w:szCs w:val="21"/>
          <w:lang w:val="en-US" w:eastAsia="zh-CN"/>
        </w:rPr>
        <w:t>2.1. 评标委员会依法组建，由3人或以上单数组成。</w:t>
      </w:r>
    </w:p>
    <w:p w14:paraId="0EA1849B">
      <w:pPr>
        <w:pStyle w:val="40"/>
        <w:widowControl/>
        <w:numPr>
          <w:ilvl w:val="0"/>
          <w:numId w:val="0"/>
        </w:numPr>
        <w:spacing w:line="360" w:lineRule="auto"/>
        <w:ind w:leftChars="0"/>
        <w:jc w:val="left"/>
        <w:outlineLvl w:val="1"/>
        <w:rPr>
          <w:rFonts w:hint="eastAsia" w:ascii="宋体" w:hAnsi="宋体" w:cs="宋体"/>
          <w:szCs w:val="21"/>
          <w:lang w:val="en-US" w:eastAsia="zh-CN"/>
        </w:rPr>
      </w:pPr>
      <w:r>
        <w:rPr>
          <w:rFonts w:hint="eastAsia" w:ascii="宋体" w:hAnsi="宋体" w:cs="宋体"/>
          <w:szCs w:val="21"/>
          <w:lang w:val="en-US" w:eastAsia="zh-CN"/>
        </w:rPr>
        <w:t>2.2. 评标委员会成员名单在评标结果公告前应当保密。评审专家有下列情形之一的，受到邀请应主动提出回避，采购当事人也可以要求该评审专家回避：</w:t>
      </w:r>
    </w:p>
    <w:p w14:paraId="1A8F301E">
      <w:pPr>
        <w:pStyle w:val="40"/>
        <w:widowControl/>
        <w:numPr>
          <w:ilvl w:val="0"/>
          <w:numId w:val="0"/>
        </w:numPr>
        <w:spacing w:line="360" w:lineRule="auto"/>
        <w:ind w:leftChars="0"/>
        <w:jc w:val="left"/>
        <w:outlineLvl w:val="9"/>
        <w:rPr>
          <w:rFonts w:hint="eastAsia" w:ascii="宋体" w:hAnsi="宋体" w:cs="宋体"/>
          <w:szCs w:val="21"/>
          <w:lang w:val="en-US" w:eastAsia="zh-CN"/>
        </w:rPr>
      </w:pPr>
      <w:r>
        <w:rPr>
          <w:rFonts w:hint="eastAsia" w:ascii="宋体" w:hAnsi="宋体" w:cs="宋体"/>
          <w:szCs w:val="21"/>
          <w:lang w:val="en-US" w:eastAsia="zh-CN"/>
        </w:rPr>
        <w:t>（1） 参加采购活动前3年内与供应商存在劳动关系；</w:t>
      </w:r>
    </w:p>
    <w:p w14:paraId="12286088">
      <w:pPr>
        <w:pStyle w:val="40"/>
        <w:widowControl/>
        <w:numPr>
          <w:ilvl w:val="0"/>
          <w:numId w:val="0"/>
        </w:numPr>
        <w:spacing w:line="360" w:lineRule="auto"/>
        <w:ind w:leftChars="0"/>
        <w:jc w:val="left"/>
        <w:outlineLvl w:val="9"/>
        <w:rPr>
          <w:rFonts w:hint="eastAsia" w:ascii="宋体" w:hAnsi="宋体" w:cs="宋体"/>
          <w:szCs w:val="21"/>
          <w:lang w:val="en-US" w:eastAsia="zh-CN"/>
        </w:rPr>
      </w:pPr>
      <w:r>
        <w:rPr>
          <w:rFonts w:hint="eastAsia" w:ascii="宋体" w:hAnsi="宋体" w:cs="宋体"/>
          <w:szCs w:val="21"/>
          <w:lang w:val="en-US" w:eastAsia="zh-CN"/>
        </w:rPr>
        <w:t>（2） 参加采购活动前3年内担任供应商的董事、监事；</w:t>
      </w:r>
    </w:p>
    <w:p w14:paraId="61CB271C">
      <w:pPr>
        <w:pStyle w:val="40"/>
        <w:widowControl/>
        <w:numPr>
          <w:ilvl w:val="0"/>
          <w:numId w:val="0"/>
        </w:numPr>
        <w:spacing w:line="360" w:lineRule="auto"/>
        <w:ind w:leftChars="0"/>
        <w:jc w:val="left"/>
        <w:outlineLvl w:val="9"/>
        <w:rPr>
          <w:rFonts w:hint="eastAsia" w:ascii="宋体" w:hAnsi="宋体" w:cs="宋体"/>
          <w:szCs w:val="21"/>
          <w:lang w:val="en-US" w:eastAsia="zh-CN"/>
        </w:rPr>
      </w:pPr>
      <w:r>
        <w:rPr>
          <w:rFonts w:hint="eastAsia" w:ascii="宋体" w:hAnsi="宋体" w:cs="宋体"/>
          <w:szCs w:val="21"/>
          <w:lang w:val="en-US" w:eastAsia="zh-CN"/>
        </w:rPr>
        <w:t>（3） 参加采购活动前3年内是供应商的控股股东或者实际控制人；</w:t>
      </w:r>
    </w:p>
    <w:p w14:paraId="32FEE72C">
      <w:pPr>
        <w:pStyle w:val="40"/>
        <w:widowControl/>
        <w:numPr>
          <w:ilvl w:val="0"/>
          <w:numId w:val="0"/>
        </w:numPr>
        <w:spacing w:line="360" w:lineRule="auto"/>
        <w:ind w:leftChars="0"/>
        <w:jc w:val="left"/>
        <w:outlineLvl w:val="9"/>
        <w:rPr>
          <w:rFonts w:hint="eastAsia" w:ascii="宋体" w:hAnsi="宋体" w:cs="宋体"/>
          <w:szCs w:val="21"/>
          <w:lang w:val="en-US" w:eastAsia="zh-CN"/>
        </w:rPr>
      </w:pPr>
      <w:r>
        <w:rPr>
          <w:rFonts w:hint="eastAsia" w:ascii="宋体" w:hAnsi="宋体" w:cs="宋体"/>
          <w:szCs w:val="21"/>
          <w:lang w:val="en-US" w:eastAsia="zh-CN"/>
        </w:rPr>
        <w:t>（4） 与供应商的法定代表人或者负责人有夫妻、直系血亲、三代以内旁系血亲或者近姻亲关系；</w:t>
      </w:r>
    </w:p>
    <w:p w14:paraId="3893B291">
      <w:pPr>
        <w:pStyle w:val="40"/>
        <w:widowControl/>
        <w:numPr>
          <w:ilvl w:val="0"/>
          <w:numId w:val="0"/>
        </w:numPr>
        <w:spacing w:line="360" w:lineRule="auto"/>
        <w:ind w:leftChars="0"/>
        <w:jc w:val="left"/>
        <w:outlineLvl w:val="9"/>
        <w:rPr>
          <w:rFonts w:hint="eastAsia" w:ascii="宋体" w:hAnsi="宋体" w:cs="宋体"/>
          <w:szCs w:val="21"/>
          <w:lang w:val="en-US" w:eastAsia="zh-CN"/>
        </w:rPr>
      </w:pPr>
      <w:r>
        <w:rPr>
          <w:rFonts w:hint="eastAsia" w:ascii="宋体" w:hAnsi="宋体" w:cs="宋体"/>
          <w:szCs w:val="21"/>
          <w:lang w:val="en-US" w:eastAsia="zh-CN"/>
        </w:rPr>
        <w:t>（5） 与供应商有其他可能影响采购活动公平、公正进行的关系。</w:t>
      </w:r>
    </w:p>
    <w:p w14:paraId="400F944B">
      <w:pPr>
        <w:pStyle w:val="40"/>
        <w:widowControl/>
        <w:numPr>
          <w:ilvl w:val="0"/>
          <w:numId w:val="0"/>
        </w:numPr>
        <w:spacing w:line="360" w:lineRule="auto"/>
        <w:ind w:leftChars="0"/>
        <w:jc w:val="left"/>
        <w:outlineLvl w:val="9"/>
        <w:rPr>
          <w:rFonts w:hint="eastAsia" w:ascii="宋体" w:hAnsi="宋体" w:cs="宋体"/>
          <w:szCs w:val="21"/>
          <w:lang w:val="en-US" w:eastAsia="zh-CN"/>
        </w:rPr>
      </w:pPr>
      <w:r>
        <w:rPr>
          <w:rFonts w:hint="eastAsia" w:ascii="宋体" w:hAnsi="宋体" w:cs="宋体"/>
          <w:szCs w:val="21"/>
          <w:lang w:val="en-US" w:eastAsia="zh-CN"/>
        </w:rPr>
        <w:t>2.3. 评标委员会和有关工作人员不得透露对投标文件的评审和比较以及与评标有关的其他情况。</w:t>
      </w:r>
    </w:p>
    <w:p w14:paraId="5B3AE09A">
      <w:pPr>
        <w:pStyle w:val="40"/>
        <w:widowControl/>
        <w:numPr>
          <w:ilvl w:val="0"/>
          <w:numId w:val="0"/>
        </w:numPr>
        <w:spacing w:line="360" w:lineRule="auto"/>
        <w:ind w:leftChars="0"/>
        <w:jc w:val="left"/>
        <w:outlineLvl w:val="9"/>
        <w:rPr>
          <w:rFonts w:hint="eastAsia" w:ascii="宋体" w:hAnsi="宋体" w:cs="宋体"/>
          <w:szCs w:val="21"/>
          <w:lang w:val="en-US" w:eastAsia="zh-CN"/>
        </w:rPr>
      </w:pPr>
      <w:r>
        <w:rPr>
          <w:rFonts w:hint="eastAsia" w:ascii="宋体" w:hAnsi="宋体" w:cs="宋体"/>
          <w:szCs w:val="21"/>
          <w:lang w:val="en-US" w:eastAsia="zh-CN"/>
        </w:rPr>
        <w:t>2.4. 评标委员会负责具体评标事务，并独立履行下列职责：</w:t>
      </w:r>
    </w:p>
    <w:p w14:paraId="2E202119">
      <w:pPr>
        <w:pStyle w:val="40"/>
        <w:widowControl/>
        <w:numPr>
          <w:ilvl w:val="0"/>
          <w:numId w:val="0"/>
        </w:numPr>
        <w:spacing w:line="360" w:lineRule="auto"/>
        <w:ind w:leftChars="0"/>
        <w:jc w:val="left"/>
        <w:outlineLvl w:val="9"/>
        <w:rPr>
          <w:rFonts w:hint="eastAsia" w:ascii="宋体" w:hAnsi="宋体" w:cs="宋体"/>
          <w:szCs w:val="21"/>
          <w:lang w:val="en-US" w:eastAsia="zh-CN"/>
        </w:rPr>
      </w:pPr>
      <w:r>
        <w:rPr>
          <w:rFonts w:hint="eastAsia" w:ascii="宋体" w:hAnsi="宋体" w:cs="宋体"/>
          <w:szCs w:val="21"/>
          <w:lang w:val="en-US" w:eastAsia="zh-CN"/>
        </w:rPr>
        <w:t>（1） 审查、评价投标文件是否符合征集文件的商务、技术等实质性要求；</w:t>
      </w:r>
    </w:p>
    <w:p w14:paraId="5E695515">
      <w:pPr>
        <w:pStyle w:val="40"/>
        <w:widowControl/>
        <w:numPr>
          <w:ilvl w:val="0"/>
          <w:numId w:val="0"/>
        </w:numPr>
        <w:spacing w:line="360" w:lineRule="auto"/>
        <w:ind w:leftChars="0"/>
        <w:jc w:val="left"/>
        <w:outlineLvl w:val="9"/>
        <w:rPr>
          <w:rFonts w:hint="eastAsia" w:ascii="宋体" w:hAnsi="宋体" w:cs="宋体"/>
          <w:szCs w:val="21"/>
          <w:lang w:val="en-US" w:eastAsia="zh-CN"/>
        </w:rPr>
      </w:pPr>
      <w:r>
        <w:rPr>
          <w:rFonts w:hint="eastAsia" w:ascii="宋体" w:hAnsi="宋体" w:cs="宋体"/>
          <w:szCs w:val="21"/>
          <w:lang w:val="en-US" w:eastAsia="zh-CN"/>
        </w:rPr>
        <w:t>（2） 要求投标人对投标文件有关事项作出澄清或者说明；</w:t>
      </w:r>
    </w:p>
    <w:p w14:paraId="21D18999">
      <w:pPr>
        <w:pStyle w:val="40"/>
        <w:widowControl/>
        <w:numPr>
          <w:ilvl w:val="0"/>
          <w:numId w:val="0"/>
        </w:numPr>
        <w:spacing w:line="360" w:lineRule="auto"/>
        <w:ind w:leftChars="0"/>
        <w:jc w:val="left"/>
        <w:outlineLvl w:val="9"/>
        <w:rPr>
          <w:rFonts w:hint="eastAsia" w:ascii="宋体" w:hAnsi="宋体" w:cs="宋体"/>
          <w:szCs w:val="21"/>
          <w:lang w:val="en-US" w:eastAsia="zh-CN"/>
        </w:rPr>
      </w:pPr>
      <w:r>
        <w:rPr>
          <w:rFonts w:hint="eastAsia" w:ascii="宋体" w:hAnsi="宋体" w:cs="宋体"/>
          <w:szCs w:val="21"/>
          <w:lang w:val="en-US" w:eastAsia="zh-CN"/>
        </w:rPr>
        <w:t>（3） 对投标文件进行比较和评价；</w:t>
      </w:r>
    </w:p>
    <w:p w14:paraId="1141E4F7">
      <w:pPr>
        <w:pStyle w:val="40"/>
        <w:widowControl/>
        <w:numPr>
          <w:ilvl w:val="0"/>
          <w:numId w:val="0"/>
        </w:numPr>
        <w:spacing w:line="360" w:lineRule="auto"/>
        <w:ind w:leftChars="0"/>
        <w:jc w:val="left"/>
        <w:outlineLvl w:val="9"/>
        <w:rPr>
          <w:rFonts w:hint="eastAsia" w:ascii="宋体" w:hAnsi="宋体" w:cs="宋体"/>
          <w:szCs w:val="21"/>
          <w:lang w:val="en-US" w:eastAsia="zh-CN"/>
        </w:rPr>
      </w:pPr>
      <w:r>
        <w:rPr>
          <w:rFonts w:hint="eastAsia" w:ascii="宋体" w:hAnsi="宋体" w:cs="宋体"/>
          <w:szCs w:val="21"/>
          <w:lang w:val="en-US" w:eastAsia="zh-CN"/>
        </w:rPr>
        <w:t>（4） 确定中标候选人名单；</w:t>
      </w:r>
    </w:p>
    <w:p w14:paraId="40C1AD7F">
      <w:pPr>
        <w:pStyle w:val="40"/>
        <w:widowControl/>
        <w:numPr>
          <w:ilvl w:val="0"/>
          <w:numId w:val="0"/>
        </w:numPr>
        <w:spacing w:line="360" w:lineRule="auto"/>
        <w:ind w:leftChars="0"/>
        <w:jc w:val="left"/>
        <w:outlineLvl w:val="9"/>
        <w:rPr>
          <w:rFonts w:hint="eastAsia" w:ascii="宋体" w:hAnsi="宋体" w:cs="宋体"/>
          <w:szCs w:val="21"/>
          <w:lang w:val="en-US" w:eastAsia="zh-CN"/>
        </w:rPr>
      </w:pPr>
      <w:r>
        <w:rPr>
          <w:rFonts w:hint="eastAsia" w:ascii="宋体" w:hAnsi="宋体" w:cs="宋体"/>
          <w:szCs w:val="21"/>
          <w:lang w:val="en-US" w:eastAsia="zh-CN"/>
        </w:rPr>
        <w:t>2.5. 对于投标文件中含义不明确、同类问题表述不一致或者有明显文字和计算错误的内容，评标委员会应当以书面形式要求投标人作出必要的澄清、说明或者补正。</w:t>
      </w:r>
    </w:p>
    <w:p w14:paraId="5D1FCB27">
      <w:pPr>
        <w:pStyle w:val="40"/>
        <w:widowControl/>
        <w:numPr>
          <w:ilvl w:val="0"/>
          <w:numId w:val="0"/>
        </w:numPr>
        <w:spacing w:line="360" w:lineRule="auto"/>
        <w:ind w:leftChars="0"/>
        <w:jc w:val="left"/>
        <w:outlineLvl w:val="9"/>
        <w:rPr>
          <w:rFonts w:hint="eastAsia" w:ascii="宋体" w:hAnsi="宋体" w:cs="宋体"/>
          <w:szCs w:val="21"/>
          <w:lang w:val="en-US" w:eastAsia="zh-CN"/>
        </w:rPr>
      </w:pPr>
      <w:r>
        <w:rPr>
          <w:rFonts w:hint="eastAsia" w:ascii="宋体" w:hAnsi="宋体" w:cs="宋体"/>
          <w:szCs w:val="21"/>
          <w:lang w:val="en-US" w:eastAsia="zh-CN"/>
        </w:rPr>
        <w:t>2.6. 投标人的澄清、说明或者补正应当采用书面形式，并加盖公章，或者由法定代表人或其授权的代表签字。投标人的澄清、说明或者补正不得超出投标文件的范围或者改变投标文件的实质性内容。投标人的澄清文件是其投标文件的组成部分。</w:t>
      </w:r>
    </w:p>
    <w:p w14:paraId="4EBDD541">
      <w:pPr>
        <w:pStyle w:val="40"/>
        <w:widowControl/>
        <w:numPr>
          <w:ilvl w:val="0"/>
          <w:numId w:val="0"/>
        </w:numPr>
        <w:spacing w:line="360" w:lineRule="auto"/>
        <w:ind w:leftChars="0"/>
        <w:jc w:val="left"/>
        <w:outlineLvl w:val="9"/>
        <w:rPr>
          <w:rFonts w:hint="eastAsia" w:ascii="宋体" w:hAnsi="宋体" w:cs="宋体"/>
          <w:szCs w:val="21"/>
          <w:lang w:val="en-US" w:eastAsia="zh-CN"/>
        </w:rPr>
      </w:pPr>
      <w:r>
        <w:rPr>
          <w:rFonts w:hint="eastAsia" w:ascii="宋体" w:hAnsi="宋体" w:cs="宋体"/>
          <w:szCs w:val="21"/>
          <w:lang w:val="en-US" w:eastAsia="zh-CN"/>
        </w:rPr>
        <w:t>2.7. 评标委员会决定投标的响应性只根据投标文件中提供的材料内容，而不依据外部的材料证据。</w:t>
      </w:r>
    </w:p>
    <w:p w14:paraId="072F2F10">
      <w:pPr>
        <w:pStyle w:val="40"/>
        <w:widowControl/>
        <w:numPr>
          <w:ilvl w:val="0"/>
          <w:numId w:val="0"/>
        </w:numPr>
        <w:spacing w:line="360" w:lineRule="auto"/>
        <w:ind w:leftChars="0"/>
        <w:jc w:val="left"/>
        <w:outlineLvl w:val="9"/>
        <w:rPr>
          <w:rFonts w:hint="eastAsia" w:ascii="宋体" w:hAnsi="宋体" w:cs="宋体"/>
          <w:szCs w:val="21"/>
          <w:lang w:val="en-US" w:eastAsia="zh-CN"/>
        </w:rPr>
      </w:pPr>
      <w:r>
        <w:rPr>
          <w:rFonts w:hint="eastAsia" w:ascii="宋体" w:hAnsi="宋体" w:cs="宋体"/>
          <w:szCs w:val="21"/>
          <w:lang w:val="en-US" w:eastAsia="zh-CN"/>
        </w:rPr>
        <w:t>2.8. 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若评标委员会成员对是否须由投标人作出报价合理性说明，以及书面说明是否采纳等判断不一致的，按照“少数服从多数”的原则确定评标委员会的意见。</w:t>
      </w:r>
    </w:p>
    <w:p w14:paraId="42800829">
      <w:pPr>
        <w:pStyle w:val="40"/>
        <w:widowControl/>
        <w:numPr>
          <w:ilvl w:val="0"/>
          <w:numId w:val="0"/>
        </w:numPr>
        <w:spacing w:line="360" w:lineRule="auto"/>
        <w:ind w:leftChars="0"/>
        <w:jc w:val="left"/>
        <w:outlineLvl w:val="9"/>
        <w:rPr>
          <w:rFonts w:hint="eastAsia" w:ascii="宋体" w:hAnsi="宋体" w:cs="宋体"/>
          <w:szCs w:val="21"/>
          <w:lang w:val="en-US" w:eastAsia="zh-CN"/>
        </w:rPr>
      </w:pPr>
      <w:r>
        <w:rPr>
          <w:rFonts w:hint="eastAsia" w:ascii="宋体" w:hAnsi="宋体" w:cs="宋体"/>
          <w:szCs w:val="21"/>
          <w:lang w:val="en-US" w:eastAsia="zh-CN"/>
        </w:rPr>
        <w:t>2.9. 评标委员会成员对需要共同认定的事项存在争议的，应当按照少数服从多数的原则作出结论。持不同意见的评标委员会成员应当在评标报告上签署不同意见及理由，否则视为同意评标报告。</w:t>
      </w:r>
    </w:p>
    <w:p w14:paraId="2D7705E9">
      <w:pPr>
        <w:pStyle w:val="40"/>
        <w:widowControl/>
        <w:numPr>
          <w:ilvl w:val="0"/>
          <w:numId w:val="0"/>
        </w:numPr>
        <w:spacing w:line="360" w:lineRule="auto"/>
        <w:ind w:leftChars="0"/>
        <w:jc w:val="left"/>
        <w:outlineLvl w:val="9"/>
        <w:rPr>
          <w:rFonts w:hAnsi="宋体"/>
          <w:b/>
        </w:rPr>
      </w:pPr>
      <w:r>
        <w:rPr>
          <w:rFonts w:hint="eastAsia" w:hAnsi="宋体"/>
          <w:b/>
          <w:lang w:val="en-US" w:eastAsia="zh-CN"/>
        </w:rPr>
        <w:t>3.  投标文件初审</w:t>
      </w:r>
    </w:p>
    <w:p w14:paraId="04739DE4">
      <w:pPr>
        <w:pStyle w:val="40"/>
        <w:widowControl/>
        <w:numPr>
          <w:ilvl w:val="0"/>
          <w:numId w:val="0"/>
        </w:numPr>
        <w:spacing w:line="360" w:lineRule="auto"/>
        <w:ind w:leftChars="0"/>
        <w:jc w:val="left"/>
        <w:outlineLvl w:val="9"/>
        <w:rPr>
          <w:rFonts w:hint="eastAsia" w:ascii="宋体" w:hAnsi="宋体" w:cs="宋体"/>
          <w:szCs w:val="21"/>
          <w:lang w:val="en-US" w:eastAsia="zh-CN"/>
        </w:rPr>
      </w:pPr>
      <w:r>
        <w:rPr>
          <w:rFonts w:hint="eastAsia" w:ascii="宋体" w:hAnsi="宋体" w:cs="宋体"/>
          <w:szCs w:val="21"/>
          <w:lang w:val="en-US" w:eastAsia="zh-CN"/>
        </w:rPr>
        <w:t>3.1. 投标文件初审包括资格性检查和符合性检查。资格性检查：依据法律法规和征集文件的规定，对投标文件中的资格证明等进行审查，以确定投标供应商是否具备投标资格。符合性检查：依据征集文件的规定，从投标文件的有效性、完整性和对征集文件的响应程度进行审查，以确定是否对征集文件的实质性要求作出响应。</w:t>
      </w:r>
    </w:p>
    <w:p w14:paraId="57C10333">
      <w:pPr>
        <w:pStyle w:val="40"/>
        <w:widowControl/>
        <w:numPr>
          <w:ilvl w:val="0"/>
          <w:numId w:val="0"/>
        </w:numPr>
        <w:spacing w:line="360" w:lineRule="auto"/>
        <w:ind w:leftChars="0"/>
        <w:jc w:val="left"/>
        <w:outlineLvl w:val="9"/>
        <w:rPr>
          <w:rFonts w:hint="eastAsia" w:ascii="宋体" w:hAnsi="宋体" w:cs="宋体"/>
          <w:szCs w:val="21"/>
          <w:lang w:val="en-US" w:eastAsia="zh-CN"/>
        </w:rPr>
      </w:pPr>
      <w:r>
        <w:rPr>
          <w:rFonts w:hint="eastAsia" w:ascii="宋体" w:hAnsi="宋体" w:cs="宋体"/>
          <w:szCs w:val="21"/>
          <w:lang w:val="en-US" w:eastAsia="zh-CN"/>
        </w:rPr>
        <w:t>3.2. 投标文件初审中关于供应商家数的计算:</w:t>
      </w:r>
    </w:p>
    <w:p w14:paraId="449F47A5">
      <w:pPr>
        <w:pStyle w:val="40"/>
        <w:widowControl/>
        <w:numPr>
          <w:ilvl w:val="0"/>
          <w:numId w:val="0"/>
        </w:numPr>
        <w:spacing w:line="360" w:lineRule="auto"/>
        <w:ind w:leftChars="0"/>
        <w:jc w:val="left"/>
        <w:outlineLvl w:val="9"/>
        <w:rPr>
          <w:rFonts w:hint="eastAsia" w:ascii="宋体" w:hAnsi="宋体" w:cs="宋体"/>
          <w:szCs w:val="21"/>
          <w:lang w:val="en-US" w:eastAsia="zh-CN"/>
        </w:rPr>
      </w:pPr>
      <w:r>
        <w:rPr>
          <w:rFonts w:hint="eastAsia" w:ascii="宋体" w:hAnsi="宋体" w:cs="宋体"/>
          <w:szCs w:val="21"/>
          <w:lang w:val="en-US" w:eastAsia="zh-CN"/>
        </w:rPr>
        <w:t>（1） 采用最低价法的采购项目，提供相同品牌产品的不同投标人参加同一合同项下投标的，以其中通过资格审查、符合性审查且报价最低的参加评标；报价相同的，由采购人或者采购人委托评标委员会按照征集文件规定的方式确定一个参加评审的投标人，征集文件未规定的采取随机抽取方式确定，其他投标无效。</w:t>
      </w:r>
    </w:p>
    <w:p w14:paraId="280FE5A6">
      <w:pPr>
        <w:pStyle w:val="40"/>
        <w:widowControl/>
        <w:numPr>
          <w:ilvl w:val="0"/>
          <w:numId w:val="0"/>
        </w:numPr>
        <w:spacing w:line="360" w:lineRule="auto"/>
        <w:ind w:leftChars="0"/>
        <w:jc w:val="left"/>
        <w:outlineLvl w:val="9"/>
        <w:rPr>
          <w:rFonts w:hint="eastAsia" w:ascii="宋体" w:hAnsi="宋体" w:cs="宋体"/>
          <w:szCs w:val="21"/>
          <w:lang w:val="en-US" w:eastAsia="zh-CN"/>
        </w:rPr>
      </w:pPr>
      <w:r>
        <w:rPr>
          <w:rFonts w:hint="eastAsia" w:ascii="宋体" w:hAnsi="宋体" w:cs="宋体"/>
          <w:szCs w:val="21"/>
          <w:lang w:val="en-US" w:eastAsia="zh-CN"/>
        </w:rPr>
        <w:t>（2） 采用综合评分法的采购项目，提供相同品牌产品且通过资格审查、符合性审查的不同投标人参加同一合同项下投标的，按一家投标人计算，评审后得分最高的同品牌投标人获得中标人推荐资格；评审得分相同的，由采购人或者采购人委托评标委员会按照征集文件规定的方式确定一个投标人获得中标人推荐资格，征集文件未规定的采取随机抽取方式确定，其他同品牌投标人不作为中标候选人。</w:t>
      </w:r>
    </w:p>
    <w:p w14:paraId="26AA3AE3">
      <w:pPr>
        <w:pStyle w:val="40"/>
        <w:widowControl/>
        <w:numPr>
          <w:ilvl w:val="0"/>
          <w:numId w:val="0"/>
        </w:numPr>
        <w:spacing w:line="360" w:lineRule="auto"/>
        <w:ind w:leftChars="0"/>
        <w:jc w:val="left"/>
        <w:outlineLvl w:val="9"/>
        <w:rPr>
          <w:rFonts w:hint="eastAsia" w:ascii="宋体" w:hAnsi="宋体" w:cs="宋体"/>
          <w:szCs w:val="21"/>
          <w:lang w:val="en-US" w:eastAsia="zh-CN"/>
        </w:rPr>
      </w:pPr>
      <w:r>
        <w:rPr>
          <w:rFonts w:hint="eastAsia" w:ascii="宋体" w:hAnsi="宋体" w:cs="宋体"/>
          <w:szCs w:val="21"/>
          <w:lang w:val="en-US" w:eastAsia="zh-CN"/>
        </w:rPr>
        <w:t>（3） 非单一产品采购项目，采购人应当根据采购项目技术构成、产品价格比重等合理确定核心产品，并在征集文件中载明。多家投标人提供的核心产品品牌相同的，按前两款规定处理。</w:t>
      </w:r>
    </w:p>
    <w:p w14:paraId="43B1EC83">
      <w:pPr>
        <w:pStyle w:val="40"/>
        <w:widowControl/>
        <w:numPr>
          <w:ilvl w:val="0"/>
          <w:numId w:val="0"/>
        </w:numPr>
        <w:spacing w:line="360" w:lineRule="auto"/>
        <w:ind w:leftChars="0"/>
        <w:jc w:val="left"/>
        <w:outlineLvl w:val="9"/>
        <w:rPr>
          <w:rFonts w:hint="eastAsia" w:hAnsi="宋体"/>
          <w:b/>
          <w:lang w:val="en-US" w:eastAsia="zh-CN"/>
        </w:rPr>
      </w:pPr>
      <w:r>
        <w:rPr>
          <w:rFonts w:hint="eastAsia" w:hAnsi="宋体"/>
          <w:b/>
          <w:lang w:val="en-US" w:eastAsia="zh-CN"/>
        </w:rPr>
        <w:t xml:space="preserve">4.  </w:t>
      </w:r>
      <w:r>
        <w:rPr>
          <w:rFonts w:hint="eastAsia" w:hAnsi="宋体"/>
          <w:b/>
        </w:rPr>
        <w:t>评标</w:t>
      </w:r>
      <w:r>
        <w:rPr>
          <w:rFonts w:hint="eastAsia" w:hAnsi="宋体"/>
          <w:b/>
          <w:lang w:val="en-US" w:eastAsia="zh-CN"/>
        </w:rPr>
        <w:t>方法</w:t>
      </w:r>
    </w:p>
    <w:p w14:paraId="24BFCB5C">
      <w:pPr>
        <w:pStyle w:val="34"/>
        <w:widowControl/>
        <w:numPr>
          <w:ilvl w:val="0"/>
          <w:numId w:val="0"/>
        </w:numPr>
        <w:spacing w:line="360" w:lineRule="auto"/>
        <w:ind w:leftChars="0"/>
        <w:jc w:val="left"/>
        <w:outlineLvl w:val="9"/>
        <w:rPr>
          <w:rFonts w:hint="eastAsia" w:ascii="宋体" w:hAnsi="宋体" w:cs="宋体" w:eastAsiaTheme="minorEastAsia"/>
          <w:kern w:val="2"/>
          <w:sz w:val="21"/>
          <w:szCs w:val="21"/>
          <w:lang w:val="en-US" w:eastAsia="zh-CN" w:bidi="ar-SA"/>
        </w:rPr>
      </w:pPr>
      <w:r>
        <w:rPr>
          <w:rFonts w:hint="eastAsia" w:ascii="宋体" w:hAnsi="宋体" w:cs="宋体" w:eastAsiaTheme="minorEastAsia"/>
          <w:kern w:val="2"/>
          <w:sz w:val="21"/>
          <w:szCs w:val="21"/>
          <w:lang w:val="en-US" w:eastAsia="zh-CN" w:bidi="ar-SA"/>
        </w:rPr>
        <w:t>4.1. 评标方法分为最低价法、综合评分法及法律、法规允许的其它评标办法。</w:t>
      </w:r>
    </w:p>
    <w:p w14:paraId="2BAE06B5">
      <w:pPr>
        <w:pStyle w:val="34"/>
        <w:widowControl/>
        <w:numPr>
          <w:ilvl w:val="0"/>
          <w:numId w:val="0"/>
        </w:numPr>
        <w:spacing w:line="360" w:lineRule="auto"/>
        <w:ind w:leftChars="0"/>
        <w:jc w:val="left"/>
        <w:outlineLvl w:val="9"/>
        <w:rPr>
          <w:rFonts w:hint="eastAsia" w:ascii="宋体" w:hAnsi="宋体" w:cs="宋体" w:eastAsiaTheme="minorEastAsia"/>
          <w:kern w:val="2"/>
          <w:sz w:val="21"/>
          <w:szCs w:val="21"/>
          <w:lang w:val="en-US" w:eastAsia="zh-CN" w:bidi="ar-SA"/>
        </w:rPr>
      </w:pPr>
      <w:r>
        <w:rPr>
          <w:rFonts w:hint="eastAsia" w:ascii="宋体" w:hAnsi="宋体" w:cs="宋体" w:eastAsiaTheme="minorEastAsia"/>
          <w:kern w:val="2"/>
          <w:sz w:val="21"/>
          <w:szCs w:val="21"/>
          <w:lang w:val="en-US" w:eastAsia="zh-CN" w:bidi="ar-SA"/>
        </w:rPr>
        <w:t>4.1.1 最低价法，是指完全满足征集文件实质性要求，按照报价由低到高的顺序，依据征集文件中规定的数量或者比例推荐候选中标供应商。</w:t>
      </w:r>
    </w:p>
    <w:p w14:paraId="6A87ECB0">
      <w:pPr>
        <w:pStyle w:val="34"/>
        <w:widowControl/>
        <w:numPr>
          <w:ilvl w:val="0"/>
          <w:numId w:val="0"/>
        </w:numPr>
        <w:spacing w:line="360" w:lineRule="auto"/>
        <w:ind w:leftChars="0"/>
        <w:jc w:val="left"/>
        <w:outlineLvl w:val="9"/>
        <w:rPr>
          <w:rFonts w:hint="eastAsia" w:ascii="宋体" w:hAnsi="宋体" w:cs="宋体" w:eastAsiaTheme="minorEastAsia"/>
          <w:kern w:val="2"/>
          <w:sz w:val="21"/>
          <w:szCs w:val="21"/>
          <w:lang w:val="en-US" w:eastAsia="zh-CN" w:bidi="ar-SA"/>
        </w:rPr>
      </w:pPr>
      <w:r>
        <w:rPr>
          <w:rFonts w:hint="eastAsia" w:ascii="宋体" w:hAnsi="宋体" w:cs="宋体" w:eastAsiaTheme="minorEastAsia"/>
          <w:kern w:val="2"/>
          <w:sz w:val="21"/>
          <w:szCs w:val="21"/>
          <w:lang w:val="en-US" w:eastAsia="zh-CN" w:bidi="ar-SA"/>
        </w:rPr>
        <w:t>4.1.2. 综合评分法，是指在满足征集文件全部实质性要求的前提下，按照征集文件中规定的各项因素进行综合评审，评审总得分排名前列的投标人，作为推荐的候选中标供应商。</w:t>
      </w:r>
    </w:p>
    <w:p w14:paraId="498A3F2E">
      <w:pPr>
        <w:pStyle w:val="34"/>
        <w:widowControl/>
        <w:numPr>
          <w:ilvl w:val="0"/>
          <w:numId w:val="0"/>
        </w:numPr>
        <w:spacing w:line="360" w:lineRule="auto"/>
        <w:ind w:leftChars="0"/>
        <w:jc w:val="left"/>
        <w:outlineLvl w:val="9"/>
        <w:rPr>
          <w:rFonts w:hint="eastAsia" w:ascii="宋体" w:hAnsi="宋体" w:cs="宋体" w:eastAsiaTheme="minorEastAsia"/>
          <w:kern w:val="2"/>
          <w:sz w:val="21"/>
          <w:szCs w:val="21"/>
          <w:lang w:val="en-US" w:eastAsia="zh-CN" w:bidi="ar-SA"/>
        </w:rPr>
      </w:pPr>
      <w:r>
        <w:rPr>
          <w:rFonts w:hint="eastAsia" w:ascii="宋体" w:hAnsi="宋体" w:cs="宋体" w:eastAsiaTheme="minorEastAsia"/>
          <w:kern w:val="2"/>
          <w:sz w:val="21"/>
          <w:szCs w:val="21"/>
          <w:lang w:val="en-US" w:eastAsia="zh-CN" w:bidi="ar-SA"/>
        </w:rPr>
        <w:t>4.2. 重新评审的情形：</w:t>
      </w:r>
    </w:p>
    <w:p w14:paraId="53D60DF6">
      <w:pPr>
        <w:pStyle w:val="34"/>
        <w:widowControl/>
        <w:numPr>
          <w:ilvl w:val="0"/>
          <w:numId w:val="0"/>
        </w:numPr>
        <w:spacing w:line="360" w:lineRule="auto"/>
        <w:ind w:leftChars="0"/>
        <w:jc w:val="left"/>
        <w:outlineLvl w:val="9"/>
        <w:rPr>
          <w:rFonts w:hint="eastAsia" w:ascii="宋体" w:hAnsi="宋体" w:cs="宋体" w:eastAsiaTheme="minorEastAsia"/>
          <w:kern w:val="2"/>
          <w:sz w:val="21"/>
          <w:szCs w:val="21"/>
          <w:lang w:val="en-US" w:eastAsia="zh-CN" w:bidi="ar-SA"/>
        </w:rPr>
      </w:pPr>
      <w:r>
        <w:rPr>
          <w:rFonts w:hint="eastAsia" w:ascii="宋体" w:hAnsi="宋体" w:cs="宋体" w:eastAsiaTheme="minorEastAsia"/>
          <w:kern w:val="2"/>
          <w:sz w:val="21"/>
          <w:szCs w:val="21"/>
          <w:lang w:val="en-US" w:eastAsia="zh-CN" w:bidi="ar-SA"/>
        </w:rPr>
        <w:t>（1） 分值汇总计算错误的；</w:t>
      </w:r>
    </w:p>
    <w:p w14:paraId="73732F88">
      <w:pPr>
        <w:pStyle w:val="34"/>
        <w:widowControl/>
        <w:numPr>
          <w:ilvl w:val="0"/>
          <w:numId w:val="0"/>
        </w:numPr>
        <w:spacing w:line="360" w:lineRule="auto"/>
        <w:ind w:leftChars="0"/>
        <w:jc w:val="left"/>
        <w:outlineLvl w:val="9"/>
        <w:rPr>
          <w:rFonts w:hint="eastAsia" w:ascii="宋体" w:hAnsi="宋体" w:cs="宋体" w:eastAsiaTheme="minorEastAsia"/>
          <w:kern w:val="2"/>
          <w:sz w:val="21"/>
          <w:szCs w:val="21"/>
          <w:lang w:val="en-US" w:eastAsia="zh-CN" w:bidi="ar-SA"/>
        </w:rPr>
      </w:pPr>
      <w:r>
        <w:rPr>
          <w:rFonts w:hint="eastAsia" w:ascii="宋体" w:hAnsi="宋体" w:cs="宋体" w:eastAsiaTheme="minorEastAsia"/>
          <w:kern w:val="2"/>
          <w:sz w:val="21"/>
          <w:szCs w:val="21"/>
          <w:lang w:val="en-US" w:eastAsia="zh-CN" w:bidi="ar-SA"/>
        </w:rPr>
        <w:t>（2） 分项评分超出评分标准范围的；</w:t>
      </w:r>
    </w:p>
    <w:p w14:paraId="7FC7B6E4">
      <w:pPr>
        <w:pStyle w:val="34"/>
        <w:widowControl/>
        <w:numPr>
          <w:ilvl w:val="0"/>
          <w:numId w:val="0"/>
        </w:numPr>
        <w:spacing w:line="360" w:lineRule="auto"/>
        <w:ind w:leftChars="0"/>
        <w:jc w:val="left"/>
        <w:outlineLvl w:val="9"/>
        <w:rPr>
          <w:rFonts w:hint="eastAsia" w:ascii="宋体" w:hAnsi="宋体" w:cs="宋体" w:eastAsiaTheme="minorEastAsia"/>
          <w:kern w:val="2"/>
          <w:sz w:val="21"/>
          <w:szCs w:val="21"/>
          <w:lang w:val="en-US" w:eastAsia="zh-CN" w:bidi="ar-SA"/>
        </w:rPr>
      </w:pPr>
      <w:r>
        <w:rPr>
          <w:rFonts w:hint="eastAsia" w:ascii="宋体" w:hAnsi="宋体" w:cs="宋体" w:eastAsiaTheme="minorEastAsia"/>
          <w:kern w:val="2"/>
          <w:sz w:val="21"/>
          <w:szCs w:val="21"/>
          <w:lang w:val="en-US" w:eastAsia="zh-CN" w:bidi="ar-SA"/>
        </w:rPr>
        <w:t>（3） 评标委员会成员对客观评审因素评分不一致的；</w:t>
      </w:r>
    </w:p>
    <w:p w14:paraId="35EAE67F">
      <w:pPr>
        <w:pStyle w:val="34"/>
        <w:widowControl/>
        <w:numPr>
          <w:ilvl w:val="0"/>
          <w:numId w:val="0"/>
        </w:numPr>
        <w:spacing w:line="360" w:lineRule="auto"/>
        <w:ind w:leftChars="0"/>
        <w:jc w:val="left"/>
        <w:outlineLvl w:val="9"/>
        <w:rPr>
          <w:rFonts w:hint="eastAsia" w:ascii="宋体" w:hAnsi="宋体" w:cs="宋体" w:eastAsiaTheme="minorEastAsia"/>
          <w:kern w:val="2"/>
          <w:sz w:val="21"/>
          <w:szCs w:val="21"/>
          <w:lang w:val="en-US" w:eastAsia="zh-CN" w:bidi="ar-SA"/>
        </w:rPr>
      </w:pPr>
      <w:r>
        <w:rPr>
          <w:rFonts w:hint="eastAsia" w:ascii="宋体" w:hAnsi="宋体" w:cs="宋体" w:eastAsiaTheme="minorEastAsia"/>
          <w:kern w:val="2"/>
          <w:sz w:val="21"/>
          <w:szCs w:val="21"/>
          <w:lang w:val="en-US" w:eastAsia="zh-CN" w:bidi="ar-SA"/>
        </w:rPr>
        <w:t>（4） 经评标委员会认定评分畸高、畸低的。</w:t>
      </w:r>
    </w:p>
    <w:p w14:paraId="3E53A539">
      <w:pPr>
        <w:pStyle w:val="34"/>
        <w:widowControl/>
        <w:numPr>
          <w:ilvl w:val="0"/>
          <w:numId w:val="0"/>
        </w:numPr>
        <w:spacing w:line="360" w:lineRule="auto"/>
        <w:ind w:leftChars="0"/>
        <w:jc w:val="left"/>
        <w:outlineLvl w:val="9"/>
        <w:rPr>
          <w:rFonts w:hint="eastAsia" w:ascii="宋体" w:hAnsi="宋体" w:cs="宋体" w:eastAsiaTheme="minorEastAsia"/>
          <w:kern w:val="2"/>
          <w:sz w:val="21"/>
          <w:szCs w:val="21"/>
          <w:lang w:val="en-US" w:eastAsia="zh-CN" w:bidi="ar-SA"/>
        </w:rPr>
      </w:pPr>
      <w:r>
        <w:rPr>
          <w:rFonts w:hint="eastAsia" w:ascii="宋体" w:hAnsi="宋体" w:cs="宋体" w:eastAsiaTheme="minorEastAsia"/>
          <w:kern w:val="2"/>
          <w:sz w:val="21"/>
          <w:szCs w:val="21"/>
          <w:lang w:val="en-US" w:eastAsia="zh-CN" w:bidi="ar-SA"/>
        </w:rPr>
        <w:t>4.3. 评标报告签署前，经复核发现存在以上情形之一的，评标委员会应当当场修改评审结果，并进行书面记载；评标报告签署后，采购人发现存在以上情形之一的，应当组织原评标委员会进行重新评审，重新评审改变评审结果的，书面报告采购人的采购主管部门。</w:t>
      </w:r>
    </w:p>
    <w:p w14:paraId="43BAA2D4">
      <w:pPr>
        <w:pStyle w:val="34"/>
        <w:widowControl/>
        <w:numPr>
          <w:ilvl w:val="0"/>
          <w:numId w:val="0"/>
        </w:numPr>
        <w:spacing w:line="360" w:lineRule="auto"/>
        <w:ind w:leftChars="0"/>
        <w:jc w:val="left"/>
        <w:outlineLvl w:val="9"/>
        <w:rPr>
          <w:rFonts w:hint="eastAsia" w:ascii="宋体" w:hAnsi="宋体" w:cs="宋体" w:eastAsiaTheme="minorEastAsia"/>
          <w:kern w:val="2"/>
          <w:sz w:val="21"/>
          <w:szCs w:val="21"/>
          <w:lang w:val="en-US" w:eastAsia="zh-CN" w:bidi="ar-SA"/>
        </w:rPr>
      </w:pPr>
      <w:r>
        <w:rPr>
          <w:rFonts w:hint="eastAsia" w:ascii="宋体" w:hAnsi="宋体" w:cs="宋体" w:eastAsiaTheme="minorEastAsia"/>
          <w:kern w:val="2"/>
          <w:sz w:val="21"/>
          <w:szCs w:val="21"/>
          <w:lang w:val="en-US" w:eastAsia="zh-CN" w:bidi="ar-SA"/>
        </w:rPr>
        <w:t>4.4. 投标人对本条第一款情形提出质疑的，采购人可以组织原评标委员会进行重新评审，重新评审改变评审结果的，应当书面报告采购人的采购主管部门。</w:t>
      </w:r>
    </w:p>
    <w:p w14:paraId="70185EF8">
      <w:pPr>
        <w:pStyle w:val="34"/>
        <w:widowControl/>
        <w:numPr>
          <w:ilvl w:val="0"/>
          <w:numId w:val="0"/>
        </w:numPr>
        <w:spacing w:line="360" w:lineRule="auto"/>
        <w:ind w:leftChars="0"/>
        <w:jc w:val="left"/>
        <w:outlineLvl w:val="9"/>
        <w:rPr>
          <w:rFonts w:ascii="宋体" w:hAnsi="宋体"/>
          <w:b/>
          <w:szCs w:val="21"/>
        </w:rPr>
      </w:pPr>
      <w:r>
        <w:rPr>
          <w:rFonts w:hint="eastAsia" w:ascii="宋体" w:hAnsi="宋体"/>
          <w:b/>
          <w:szCs w:val="21"/>
          <w:lang w:val="en-US" w:eastAsia="zh-CN"/>
        </w:rPr>
        <w:t xml:space="preserve">5.  </w:t>
      </w:r>
      <w:r>
        <w:rPr>
          <w:rFonts w:hint="eastAsia" w:ascii="宋体" w:hAnsi="宋体"/>
          <w:b/>
          <w:szCs w:val="21"/>
        </w:rPr>
        <w:t>定标</w:t>
      </w:r>
    </w:p>
    <w:p w14:paraId="34B0A016">
      <w:pPr>
        <w:pStyle w:val="40"/>
        <w:widowControl/>
        <w:numPr>
          <w:ilvl w:val="0"/>
          <w:numId w:val="0"/>
        </w:numPr>
        <w:spacing w:line="360" w:lineRule="auto"/>
        <w:ind w:leftChars="0"/>
        <w:jc w:val="left"/>
        <w:outlineLvl w:val="1"/>
        <w:rPr>
          <w:rFonts w:hint="eastAsia" w:ascii="宋体" w:hAnsi="宋体" w:cstheme="minorBidi"/>
          <w:color w:val="auto"/>
          <w:kern w:val="2"/>
          <w:sz w:val="21"/>
          <w:szCs w:val="21"/>
          <w:lang w:val="en-US" w:eastAsia="zh-CN" w:bidi="ar-SA"/>
        </w:rPr>
      </w:pPr>
      <w:r>
        <w:rPr>
          <w:rFonts w:hint="eastAsia" w:ascii="宋体" w:hAnsi="宋体" w:cstheme="minorBidi"/>
          <w:color w:val="auto"/>
          <w:kern w:val="2"/>
          <w:sz w:val="21"/>
          <w:szCs w:val="21"/>
          <w:lang w:val="en-US" w:eastAsia="zh-CN" w:bidi="ar-SA"/>
        </w:rPr>
        <w:t>5.1. 评标委员会按征集文件中规定的评标方法和标准，对资格性检查和符合性检查合格且报价不超过预算控制金额的投标文件进行商务和技术评审，综合比较与评价。</w:t>
      </w:r>
    </w:p>
    <w:p w14:paraId="33596E13">
      <w:pPr>
        <w:pStyle w:val="40"/>
        <w:widowControl/>
        <w:numPr>
          <w:ilvl w:val="0"/>
          <w:numId w:val="0"/>
        </w:numPr>
        <w:spacing w:line="360" w:lineRule="auto"/>
        <w:ind w:leftChars="0"/>
        <w:jc w:val="left"/>
        <w:outlineLvl w:val="9"/>
        <w:rPr>
          <w:rFonts w:hint="eastAsia" w:ascii="宋体" w:hAnsi="宋体" w:cstheme="minorBidi"/>
          <w:color w:val="auto"/>
          <w:kern w:val="2"/>
          <w:sz w:val="21"/>
          <w:szCs w:val="21"/>
          <w:lang w:val="en-US" w:eastAsia="zh-CN" w:bidi="ar-SA"/>
        </w:rPr>
      </w:pPr>
      <w:r>
        <w:rPr>
          <w:rFonts w:hint="eastAsia" w:ascii="宋体" w:hAnsi="宋体" w:cstheme="minorBidi"/>
          <w:color w:val="auto"/>
          <w:kern w:val="2"/>
          <w:sz w:val="21"/>
          <w:szCs w:val="21"/>
          <w:lang w:val="en-US" w:eastAsia="zh-CN" w:bidi="ar-SA"/>
        </w:rPr>
        <w:t>5.2. 评标委员会成员对需要共同认定的事项存在争议的，应当按照少数服从多数的原则作出结论。持不同意见的评标委员会成员应当书面作出说明，否则视为无异议。</w:t>
      </w:r>
    </w:p>
    <w:p w14:paraId="32247012">
      <w:pPr>
        <w:pStyle w:val="40"/>
        <w:widowControl/>
        <w:numPr>
          <w:ilvl w:val="0"/>
          <w:numId w:val="0"/>
        </w:numPr>
        <w:spacing w:line="360" w:lineRule="auto"/>
        <w:ind w:leftChars="0"/>
        <w:jc w:val="left"/>
        <w:outlineLvl w:val="9"/>
        <w:rPr>
          <w:rFonts w:hint="eastAsia" w:ascii="宋体" w:hAnsi="宋体" w:cstheme="minorBidi"/>
          <w:color w:val="auto"/>
          <w:kern w:val="2"/>
          <w:sz w:val="21"/>
          <w:szCs w:val="21"/>
          <w:lang w:val="en-US" w:eastAsia="zh-CN" w:bidi="ar-SA"/>
        </w:rPr>
      </w:pPr>
      <w:r>
        <w:rPr>
          <w:rFonts w:hint="eastAsia" w:ascii="宋体" w:hAnsi="宋体" w:cstheme="minorBidi"/>
          <w:color w:val="auto"/>
          <w:kern w:val="2"/>
          <w:sz w:val="21"/>
          <w:szCs w:val="21"/>
          <w:lang w:val="en-US" w:eastAsia="zh-CN" w:bidi="ar-SA"/>
        </w:rPr>
        <w:t>5.3. 在评标过程中，评标委员会有权决定是否对本项目投标人进行实地考察或资料查验（原件）。投标人应随时做好接受实地考察或资料查验的准备。</w:t>
      </w:r>
    </w:p>
    <w:p w14:paraId="09B21436">
      <w:pPr>
        <w:pStyle w:val="40"/>
        <w:widowControl/>
        <w:numPr>
          <w:ilvl w:val="0"/>
          <w:numId w:val="0"/>
        </w:numPr>
        <w:spacing w:line="360" w:lineRule="auto"/>
        <w:ind w:leftChars="0"/>
        <w:jc w:val="left"/>
        <w:outlineLvl w:val="9"/>
        <w:rPr>
          <w:rFonts w:hint="eastAsia" w:ascii="宋体" w:hAnsi="宋体" w:cstheme="minorBidi"/>
          <w:color w:val="auto"/>
          <w:kern w:val="2"/>
          <w:sz w:val="21"/>
          <w:szCs w:val="21"/>
          <w:lang w:val="en-US" w:eastAsia="zh-CN" w:bidi="ar-SA"/>
        </w:rPr>
      </w:pPr>
      <w:r>
        <w:rPr>
          <w:rFonts w:hint="eastAsia" w:ascii="宋体" w:hAnsi="宋体" w:cstheme="minorBidi"/>
          <w:color w:val="auto"/>
          <w:kern w:val="2"/>
          <w:sz w:val="21"/>
          <w:szCs w:val="21"/>
          <w:lang w:val="en-US" w:eastAsia="zh-CN" w:bidi="ar-SA"/>
        </w:rPr>
        <w:t>5.4. 按照评标报告中推荐的中标候选人确定中标人，确认后将在刊登本项目征集公告的法定媒体上发布中标公告。</w:t>
      </w:r>
    </w:p>
    <w:p w14:paraId="20858C48">
      <w:pPr>
        <w:pStyle w:val="40"/>
        <w:widowControl/>
        <w:numPr>
          <w:ilvl w:val="0"/>
          <w:numId w:val="0"/>
        </w:numPr>
        <w:spacing w:line="360" w:lineRule="auto"/>
        <w:ind w:leftChars="0"/>
        <w:jc w:val="left"/>
        <w:outlineLvl w:val="9"/>
        <w:rPr>
          <w:rFonts w:hint="eastAsia" w:ascii="宋体" w:hAnsi="宋体" w:cstheme="minorBidi"/>
          <w:color w:val="auto"/>
          <w:kern w:val="2"/>
          <w:sz w:val="21"/>
          <w:szCs w:val="21"/>
          <w:lang w:val="en-US" w:eastAsia="zh-CN" w:bidi="ar-SA"/>
        </w:rPr>
      </w:pPr>
      <w:r>
        <w:rPr>
          <w:rFonts w:hint="eastAsia" w:ascii="宋体" w:hAnsi="宋体" w:cstheme="minorBidi"/>
          <w:color w:val="auto"/>
          <w:kern w:val="2"/>
          <w:sz w:val="21"/>
          <w:szCs w:val="21"/>
          <w:lang w:val="en-US" w:eastAsia="zh-CN" w:bidi="ar-SA"/>
        </w:rPr>
        <w:t>5.5. 中标人拒绝与采购人签订合同的，可以重新开展政府采购活动。</w:t>
      </w:r>
    </w:p>
    <w:p w14:paraId="3949C5CA">
      <w:pPr>
        <w:pStyle w:val="40"/>
        <w:widowControl/>
        <w:numPr>
          <w:ilvl w:val="0"/>
          <w:numId w:val="0"/>
        </w:numPr>
        <w:spacing w:line="360" w:lineRule="auto"/>
        <w:ind w:leftChars="0"/>
        <w:jc w:val="left"/>
        <w:outlineLvl w:val="9"/>
        <w:rPr>
          <w:rFonts w:ascii="宋体" w:hAnsi="宋体"/>
          <w:b/>
          <w:szCs w:val="21"/>
        </w:rPr>
      </w:pPr>
      <w:r>
        <w:rPr>
          <w:rFonts w:hint="eastAsia" w:ascii="宋体" w:hAnsi="宋体"/>
          <w:b/>
          <w:szCs w:val="21"/>
          <w:lang w:val="en-US" w:eastAsia="zh-CN"/>
        </w:rPr>
        <w:t xml:space="preserve">6.  </w:t>
      </w:r>
      <w:r>
        <w:rPr>
          <w:rFonts w:ascii="宋体" w:hAnsi="宋体"/>
          <w:b/>
          <w:szCs w:val="21"/>
        </w:rPr>
        <w:t>特别说明</w:t>
      </w:r>
    </w:p>
    <w:p w14:paraId="70EEA8B4">
      <w:pPr>
        <w:pStyle w:val="40"/>
        <w:widowControl/>
        <w:numPr>
          <w:ilvl w:val="0"/>
          <w:numId w:val="0"/>
        </w:numPr>
        <w:spacing w:line="360" w:lineRule="auto"/>
        <w:ind w:leftChars="0"/>
        <w:jc w:val="left"/>
        <w:outlineLvl w:val="9"/>
        <w:rPr>
          <w:rFonts w:ascii="宋体" w:hAnsi="宋体"/>
          <w:szCs w:val="21"/>
        </w:rPr>
      </w:pPr>
      <w:r>
        <w:rPr>
          <w:rFonts w:hint="eastAsia" w:ascii="宋体" w:hAnsi="宋体"/>
          <w:szCs w:val="21"/>
          <w:lang w:val="en-US" w:eastAsia="zh-CN"/>
        </w:rPr>
        <w:t xml:space="preserve">6.1. </w:t>
      </w:r>
      <w:r>
        <w:rPr>
          <w:rFonts w:hint="eastAsia" w:ascii="宋体" w:hAnsi="宋体"/>
          <w:szCs w:val="21"/>
        </w:rPr>
        <w:t>有下列情形之一的，视为投标人串通投标，其投标无效：</w:t>
      </w:r>
    </w:p>
    <w:p w14:paraId="776BF247">
      <w:pPr>
        <w:pStyle w:val="40"/>
        <w:widowControl/>
        <w:numPr>
          <w:ilvl w:val="0"/>
          <w:numId w:val="0"/>
        </w:numPr>
        <w:spacing w:line="360" w:lineRule="auto"/>
        <w:ind w:leftChars="0"/>
        <w:jc w:val="left"/>
        <w:rPr>
          <w:rFonts w:ascii="宋体" w:hAnsi="宋体"/>
          <w:szCs w:val="21"/>
        </w:rPr>
      </w:pPr>
      <w:r>
        <w:rPr>
          <w:rFonts w:hint="eastAsia" w:ascii="宋体" w:hAnsi="宋体"/>
          <w:szCs w:val="21"/>
          <w:lang w:eastAsia="zh-CN"/>
        </w:rPr>
        <w:t>（</w:t>
      </w:r>
      <w:r>
        <w:rPr>
          <w:rFonts w:hint="eastAsia" w:ascii="宋体" w:hAnsi="宋体"/>
          <w:szCs w:val="21"/>
          <w:lang w:val="en-US" w:eastAsia="zh-CN"/>
        </w:rPr>
        <w:t>1</w:t>
      </w:r>
      <w:r>
        <w:rPr>
          <w:rFonts w:hint="eastAsia" w:ascii="宋体" w:hAnsi="宋体"/>
          <w:szCs w:val="21"/>
          <w:lang w:eastAsia="zh-CN"/>
        </w:rPr>
        <w:t>）</w:t>
      </w:r>
      <w:r>
        <w:rPr>
          <w:rFonts w:hint="eastAsia" w:ascii="宋体" w:hAnsi="宋体"/>
          <w:szCs w:val="21"/>
          <w:lang w:val="en-US" w:eastAsia="zh-CN"/>
        </w:rPr>
        <w:t xml:space="preserve"> </w:t>
      </w:r>
      <w:r>
        <w:rPr>
          <w:rFonts w:hint="eastAsia" w:ascii="宋体" w:hAnsi="宋体"/>
          <w:szCs w:val="21"/>
        </w:rPr>
        <w:t>不同投标人的投标文件由同一单位或者个人编制；</w:t>
      </w:r>
    </w:p>
    <w:p w14:paraId="45D516EA">
      <w:pPr>
        <w:pStyle w:val="40"/>
        <w:widowControl/>
        <w:numPr>
          <w:ilvl w:val="0"/>
          <w:numId w:val="0"/>
        </w:numPr>
        <w:spacing w:line="360" w:lineRule="auto"/>
        <w:ind w:leftChars="0"/>
        <w:jc w:val="left"/>
        <w:rPr>
          <w:rFonts w:ascii="宋体" w:hAnsi="宋体"/>
          <w:szCs w:val="21"/>
        </w:rPr>
      </w:pPr>
      <w:r>
        <w:rPr>
          <w:rFonts w:hint="eastAsia" w:ascii="宋体" w:hAnsi="宋体"/>
          <w:szCs w:val="21"/>
          <w:lang w:eastAsia="zh-CN"/>
        </w:rPr>
        <w:t>（</w:t>
      </w:r>
      <w:r>
        <w:rPr>
          <w:rFonts w:hint="eastAsia" w:ascii="宋体" w:hAnsi="宋体"/>
          <w:szCs w:val="21"/>
          <w:lang w:val="en-US" w:eastAsia="zh-CN"/>
        </w:rPr>
        <w:t>2</w:t>
      </w:r>
      <w:r>
        <w:rPr>
          <w:rFonts w:hint="eastAsia" w:ascii="宋体" w:hAnsi="宋体"/>
          <w:szCs w:val="21"/>
          <w:lang w:eastAsia="zh-CN"/>
        </w:rPr>
        <w:t>）</w:t>
      </w:r>
      <w:r>
        <w:rPr>
          <w:rFonts w:hint="eastAsia" w:ascii="宋体" w:hAnsi="宋体"/>
          <w:szCs w:val="21"/>
          <w:lang w:val="en-US" w:eastAsia="zh-CN"/>
        </w:rPr>
        <w:t xml:space="preserve"> </w:t>
      </w:r>
      <w:r>
        <w:rPr>
          <w:rFonts w:hint="eastAsia" w:ascii="宋体" w:hAnsi="宋体"/>
          <w:szCs w:val="21"/>
        </w:rPr>
        <w:t>不同投标人委托同一单位或者个人办理投标事宜；</w:t>
      </w:r>
    </w:p>
    <w:p w14:paraId="09F72BB8">
      <w:pPr>
        <w:pStyle w:val="40"/>
        <w:widowControl/>
        <w:numPr>
          <w:ilvl w:val="0"/>
          <w:numId w:val="0"/>
        </w:numPr>
        <w:spacing w:line="360" w:lineRule="auto"/>
        <w:ind w:leftChars="0"/>
        <w:jc w:val="left"/>
        <w:rPr>
          <w:rFonts w:ascii="宋体" w:hAnsi="宋体"/>
          <w:szCs w:val="21"/>
        </w:rPr>
      </w:pPr>
      <w:r>
        <w:rPr>
          <w:rFonts w:hint="eastAsia" w:ascii="宋体" w:hAnsi="宋体"/>
          <w:szCs w:val="21"/>
          <w:lang w:eastAsia="zh-CN"/>
        </w:rPr>
        <w:t>（</w:t>
      </w:r>
      <w:r>
        <w:rPr>
          <w:rFonts w:hint="eastAsia" w:ascii="宋体" w:hAnsi="宋体"/>
          <w:szCs w:val="21"/>
          <w:lang w:val="en-US" w:eastAsia="zh-CN"/>
        </w:rPr>
        <w:t>3</w:t>
      </w:r>
      <w:r>
        <w:rPr>
          <w:rFonts w:hint="eastAsia" w:ascii="宋体" w:hAnsi="宋体"/>
          <w:szCs w:val="21"/>
          <w:lang w:eastAsia="zh-CN"/>
        </w:rPr>
        <w:t>）</w:t>
      </w:r>
      <w:r>
        <w:rPr>
          <w:rFonts w:hint="eastAsia" w:ascii="宋体" w:hAnsi="宋体"/>
          <w:szCs w:val="21"/>
          <w:lang w:val="en-US" w:eastAsia="zh-CN"/>
        </w:rPr>
        <w:t xml:space="preserve"> </w:t>
      </w:r>
      <w:r>
        <w:rPr>
          <w:rFonts w:hint="eastAsia" w:ascii="宋体" w:hAnsi="宋体"/>
          <w:szCs w:val="21"/>
        </w:rPr>
        <w:t>不同投标人的投标文件载明的项目管理成员或者联系人员为同一人；</w:t>
      </w:r>
    </w:p>
    <w:p w14:paraId="16ACA07F">
      <w:pPr>
        <w:pStyle w:val="40"/>
        <w:widowControl/>
        <w:numPr>
          <w:ilvl w:val="0"/>
          <w:numId w:val="0"/>
        </w:numPr>
        <w:spacing w:line="360" w:lineRule="auto"/>
        <w:ind w:leftChars="0"/>
        <w:jc w:val="left"/>
        <w:rPr>
          <w:rFonts w:ascii="宋体" w:hAnsi="宋体"/>
          <w:szCs w:val="21"/>
        </w:rPr>
      </w:pPr>
      <w:r>
        <w:rPr>
          <w:rFonts w:hint="eastAsia" w:ascii="宋体" w:hAnsi="宋体"/>
          <w:szCs w:val="21"/>
          <w:lang w:eastAsia="zh-CN"/>
        </w:rPr>
        <w:t>（</w:t>
      </w:r>
      <w:r>
        <w:rPr>
          <w:rFonts w:hint="eastAsia" w:ascii="宋体" w:hAnsi="宋体"/>
          <w:szCs w:val="21"/>
          <w:lang w:val="en-US" w:eastAsia="zh-CN"/>
        </w:rPr>
        <w:t>4</w:t>
      </w:r>
      <w:r>
        <w:rPr>
          <w:rFonts w:hint="eastAsia" w:ascii="宋体" w:hAnsi="宋体"/>
          <w:szCs w:val="21"/>
          <w:lang w:eastAsia="zh-CN"/>
        </w:rPr>
        <w:t>）</w:t>
      </w:r>
      <w:r>
        <w:rPr>
          <w:rFonts w:hint="eastAsia" w:ascii="宋体" w:hAnsi="宋体"/>
          <w:szCs w:val="21"/>
          <w:lang w:val="en-US" w:eastAsia="zh-CN"/>
        </w:rPr>
        <w:t xml:space="preserve"> </w:t>
      </w:r>
      <w:r>
        <w:rPr>
          <w:rFonts w:hint="eastAsia" w:ascii="宋体" w:hAnsi="宋体"/>
          <w:szCs w:val="21"/>
        </w:rPr>
        <w:t>不同投标人的投标文件异常一致或者投标报价呈规律性差异；</w:t>
      </w:r>
    </w:p>
    <w:p w14:paraId="421D9A7B">
      <w:pPr>
        <w:pStyle w:val="40"/>
        <w:widowControl/>
        <w:numPr>
          <w:ilvl w:val="0"/>
          <w:numId w:val="0"/>
        </w:numPr>
        <w:spacing w:line="360" w:lineRule="auto"/>
        <w:ind w:leftChars="0"/>
        <w:jc w:val="left"/>
        <w:outlineLvl w:val="9"/>
        <w:rPr>
          <w:rFonts w:ascii="宋体" w:hAnsi="宋体"/>
          <w:szCs w:val="21"/>
        </w:rPr>
      </w:pPr>
      <w:r>
        <w:rPr>
          <w:rFonts w:hint="eastAsia" w:ascii="宋体" w:hAnsi="宋体"/>
          <w:szCs w:val="21"/>
          <w:lang w:eastAsia="zh-CN"/>
        </w:rPr>
        <w:t>（</w:t>
      </w:r>
      <w:r>
        <w:rPr>
          <w:rFonts w:hint="eastAsia" w:ascii="宋体" w:hAnsi="宋体"/>
          <w:szCs w:val="21"/>
          <w:lang w:val="en-US" w:eastAsia="zh-CN"/>
        </w:rPr>
        <w:t>5</w:t>
      </w:r>
      <w:r>
        <w:rPr>
          <w:rFonts w:hint="eastAsia" w:ascii="宋体" w:hAnsi="宋体"/>
          <w:szCs w:val="21"/>
          <w:lang w:eastAsia="zh-CN"/>
        </w:rPr>
        <w:t>）</w:t>
      </w:r>
      <w:r>
        <w:rPr>
          <w:rFonts w:hint="eastAsia" w:ascii="宋体" w:hAnsi="宋体"/>
          <w:szCs w:val="21"/>
          <w:lang w:val="en-US" w:eastAsia="zh-CN"/>
        </w:rPr>
        <w:t xml:space="preserve"> </w:t>
      </w:r>
      <w:r>
        <w:rPr>
          <w:rFonts w:hint="eastAsia" w:ascii="宋体" w:hAnsi="宋体"/>
          <w:szCs w:val="21"/>
        </w:rPr>
        <w:t>不同投标人的投标文件相互混装；</w:t>
      </w:r>
    </w:p>
    <w:p w14:paraId="2FAB76F9">
      <w:pPr>
        <w:pStyle w:val="40"/>
        <w:widowControl/>
        <w:numPr>
          <w:ilvl w:val="0"/>
          <w:numId w:val="0"/>
        </w:numPr>
        <w:spacing w:line="360" w:lineRule="auto"/>
        <w:ind w:leftChars="0"/>
        <w:jc w:val="left"/>
        <w:outlineLvl w:val="9"/>
        <w:rPr>
          <w:rFonts w:ascii="宋体" w:hAnsi="宋体"/>
          <w:szCs w:val="21"/>
        </w:rPr>
      </w:pPr>
      <w:r>
        <w:rPr>
          <w:rFonts w:hint="eastAsia" w:ascii="宋体" w:hAnsi="宋体"/>
          <w:szCs w:val="21"/>
          <w:lang w:val="en-US" w:eastAsia="zh-CN"/>
        </w:rPr>
        <w:t xml:space="preserve">6.2. </w:t>
      </w:r>
      <w:r>
        <w:rPr>
          <w:rFonts w:hint="eastAsia" w:ascii="宋体" w:hAnsi="宋体"/>
          <w:szCs w:val="21"/>
        </w:rPr>
        <w:t>投标人存在下列情况之一的，投标无效：</w:t>
      </w:r>
    </w:p>
    <w:p w14:paraId="2B978D18">
      <w:pPr>
        <w:pStyle w:val="40"/>
        <w:widowControl/>
        <w:numPr>
          <w:ilvl w:val="0"/>
          <w:numId w:val="0"/>
        </w:numPr>
        <w:spacing w:line="360" w:lineRule="auto"/>
        <w:ind w:leftChars="0"/>
        <w:jc w:val="left"/>
        <w:rPr>
          <w:rFonts w:ascii="宋体" w:hAnsi="宋体"/>
          <w:szCs w:val="21"/>
        </w:rPr>
      </w:pPr>
      <w:r>
        <w:rPr>
          <w:rFonts w:hint="eastAsia" w:ascii="宋体" w:hAnsi="宋体"/>
          <w:szCs w:val="21"/>
          <w:lang w:eastAsia="zh-CN"/>
        </w:rPr>
        <w:t>（</w:t>
      </w:r>
      <w:r>
        <w:rPr>
          <w:rFonts w:hint="eastAsia" w:ascii="宋体" w:hAnsi="宋体"/>
          <w:szCs w:val="21"/>
          <w:lang w:val="en-US" w:eastAsia="zh-CN"/>
        </w:rPr>
        <w:t>1</w:t>
      </w:r>
      <w:r>
        <w:rPr>
          <w:rFonts w:hint="eastAsia" w:ascii="宋体" w:hAnsi="宋体"/>
          <w:szCs w:val="21"/>
          <w:lang w:eastAsia="zh-CN"/>
        </w:rPr>
        <w:t>）</w:t>
      </w:r>
      <w:r>
        <w:rPr>
          <w:rFonts w:hint="eastAsia" w:ascii="宋体" w:hAnsi="宋体"/>
          <w:szCs w:val="21"/>
          <w:lang w:val="en-US" w:eastAsia="zh-CN"/>
        </w:rPr>
        <w:t xml:space="preserve"> </w:t>
      </w:r>
      <w:r>
        <w:rPr>
          <w:rFonts w:hint="eastAsia" w:ascii="宋体" w:hAnsi="宋体"/>
          <w:szCs w:val="21"/>
        </w:rPr>
        <w:t>投标文件未按</w:t>
      </w:r>
      <w:r>
        <w:rPr>
          <w:rFonts w:hint="eastAsia" w:ascii="宋体" w:hAnsi="宋体"/>
          <w:szCs w:val="21"/>
          <w:lang w:eastAsia="zh-CN"/>
        </w:rPr>
        <w:t>征集</w:t>
      </w:r>
      <w:r>
        <w:rPr>
          <w:rFonts w:hint="eastAsia" w:ascii="宋体" w:hAnsi="宋体"/>
          <w:szCs w:val="21"/>
        </w:rPr>
        <w:t>文件要求签署、盖章的；</w:t>
      </w:r>
    </w:p>
    <w:p w14:paraId="4BAD3AB5">
      <w:pPr>
        <w:pStyle w:val="40"/>
        <w:widowControl/>
        <w:numPr>
          <w:ilvl w:val="0"/>
          <w:numId w:val="0"/>
        </w:numPr>
        <w:spacing w:line="360" w:lineRule="auto"/>
        <w:ind w:leftChars="0"/>
        <w:jc w:val="left"/>
        <w:rPr>
          <w:rFonts w:ascii="宋体" w:hAnsi="宋体"/>
          <w:szCs w:val="21"/>
        </w:rPr>
      </w:pPr>
      <w:r>
        <w:rPr>
          <w:rFonts w:hint="eastAsia" w:ascii="宋体" w:hAnsi="宋体"/>
          <w:szCs w:val="21"/>
          <w:lang w:eastAsia="zh-CN"/>
        </w:rPr>
        <w:t>（</w:t>
      </w:r>
      <w:r>
        <w:rPr>
          <w:rFonts w:hint="eastAsia" w:ascii="宋体" w:hAnsi="宋体"/>
          <w:szCs w:val="21"/>
          <w:lang w:val="en-US" w:eastAsia="zh-CN"/>
        </w:rPr>
        <w:t>2</w:t>
      </w:r>
      <w:r>
        <w:rPr>
          <w:rFonts w:hint="eastAsia" w:ascii="宋体" w:hAnsi="宋体"/>
          <w:szCs w:val="21"/>
          <w:lang w:eastAsia="zh-CN"/>
        </w:rPr>
        <w:t>）</w:t>
      </w:r>
      <w:r>
        <w:rPr>
          <w:rFonts w:hint="eastAsia" w:ascii="宋体" w:hAnsi="宋体"/>
          <w:szCs w:val="21"/>
          <w:lang w:val="en-US" w:eastAsia="zh-CN"/>
        </w:rPr>
        <w:t xml:space="preserve"> </w:t>
      </w:r>
      <w:r>
        <w:rPr>
          <w:rFonts w:hint="eastAsia" w:ascii="宋体" w:hAnsi="宋体"/>
          <w:szCs w:val="21"/>
        </w:rPr>
        <w:t>不具备</w:t>
      </w:r>
      <w:r>
        <w:rPr>
          <w:rFonts w:hint="eastAsia" w:ascii="宋体" w:hAnsi="宋体"/>
          <w:szCs w:val="21"/>
          <w:lang w:eastAsia="zh-CN"/>
        </w:rPr>
        <w:t>征集</w:t>
      </w:r>
      <w:r>
        <w:rPr>
          <w:rFonts w:hint="eastAsia" w:ascii="宋体" w:hAnsi="宋体"/>
          <w:szCs w:val="21"/>
        </w:rPr>
        <w:t>文件中规定的资格要求的；</w:t>
      </w:r>
    </w:p>
    <w:p w14:paraId="72EC76C4">
      <w:pPr>
        <w:pStyle w:val="40"/>
        <w:widowControl/>
        <w:numPr>
          <w:ilvl w:val="0"/>
          <w:numId w:val="0"/>
        </w:numPr>
        <w:spacing w:line="360" w:lineRule="auto"/>
        <w:ind w:leftChars="0"/>
        <w:jc w:val="left"/>
        <w:rPr>
          <w:rFonts w:ascii="宋体" w:hAnsi="宋体"/>
          <w:szCs w:val="21"/>
        </w:rPr>
      </w:pPr>
      <w:r>
        <w:rPr>
          <w:rFonts w:hint="eastAsia" w:ascii="宋体" w:hAnsi="宋体"/>
          <w:szCs w:val="21"/>
          <w:lang w:eastAsia="zh-CN"/>
        </w:rPr>
        <w:t>（</w:t>
      </w:r>
      <w:r>
        <w:rPr>
          <w:rFonts w:hint="eastAsia" w:ascii="宋体" w:hAnsi="宋体"/>
          <w:szCs w:val="21"/>
          <w:lang w:val="en-US" w:eastAsia="zh-CN"/>
        </w:rPr>
        <w:t>3</w:t>
      </w:r>
      <w:r>
        <w:rPr>
          <w:rFonts w:hint="eastAsia" w:ascii="宋体" w:hAnsi="宋体"/>
          <w:szCs w:val="21"/>
          <w:lang w:eastAsia="zh-CN"/>
        </w:rPr>
        <w:t>）</w:t>
      </w:r>
      <w:r>
        <w:rPr>
          <w:rFonts w:hint="eastAsia" w:ascii="宋体" w:hAnsi="宋体"/>
          <w:szCs w:val="21"/>
          <w:lang w:val="en-US" w:eastAsia="zh-CN"/>
        </w:rPr>
        <w:t xml:space="preserve"> </w:t>
      </w:r>
      <w:r>
        <w:rPr>
          <w:rFonts w:hint="eastAsia" w:ascii="宋体" w:hAnsi="宋体"/>
          <w:szCs w:val="21"/>
        </w:rPr>
        <w:t>报价超过</w:t>
      </w:r>
      <w:r>
        <w:rPr>
          <w:rFonts w:hint="eastAsia" w:ascii="宋体" w:hAnsi="宋体"/>
          <w:szCs w:val="21"/>
          <w:lang w:eastAsia="zh-CN"/>
        </w:rPr>
        <w:t>征集</w:t>
      </w:r>
      <w:r>
        <w:rPr>
          <w:rFonts w:hint="eastAsia" w:ascii="宋体" w:hAnsi="宋体"/>
          <w:szCs w:val="21"/>
        </w:rPr>
        <w:t>文件中规定的预算金额或者最高限价的；</w:t>
      </w:r>
    </w:p>
    <w:p w14:paraId="62626DC9">
      <w:pPr>
        <w:pStyle w:val="40"/>
        <w:widowControl/>
        <w:numPr>
          <w:ilvl w:val="0"/>
          <w:numId w:val="0"/>
        </w:numPr>
        <w:spacing w:line="360" w:lineRule="auto"/>
        <w:ind w:leftChars="0"/>
        <w:jc w:val="left"/>
        <w:rPr>
          <w:rFonts w:ascii="宋体" w:hAnsi="宋体"/>
          <w:szCs w:val="21"/>
        </w:rPr>
      </w:pPr>
      <w:r>
        <w:rPr>
          <w:rFonts w:hint="eastAsia" w:ascii="宋体" w:hAnsi="宋体"/>
          <w:szCs w:val="21"/>
          <w:lang w:eastAsia="zh-CN"/>
        </w:rPr>
        <w:t>（</w:t>
      </w:r>
      <w:r>
        <w:rPr>
          <w:rFonts w:hint="eastAsia" w:ascii="宋体" w:hAnsi="宋体"/>
          <w:szCs w:val="21"/>
          <w:lang w:val="en-US" w:eastAsia="zh-CN"/>
        </w:rPr>
        <w:t>4</w:t>
      </w:r>
      <w:r>
        <w:rPr>
          <w:rFonts w:hint="eastAsia" w:ascii="宋体" w:hAnsi="宋体"/>
          <w:szCs w:val="21"/>
          <w:lang w:eastAsia="zh-CN"/>
        </w:rPr>
        <w:t>）</w:t>
      </w:r>
      <w:r>
        <w:rPr>
          <w:rFonts w:hint="eastAsia" w:ascii="宋体" w:hAnsi="宋体"/>
          <w:szCs w:val="21"/>
          <w:lang w:val="en-US" w:eastAsia="zh-CN"/>
        </w:rPr>
        <w:t xml:space="preserve"> </w:t>
      </w:r>
      <w:r>
        <w:rPr>
          <w:rFonts w:hint="eastAsia" w:ascii="宋体" w:hAnsi="宋体"/>
          <w:szCs w:val="21"/>
        </w:rPr>
        <w:t>投标文件含有采购人不能接受的附加条件的;</w:t>
      </w:r>
    </w:p>
    <w:p w14:paraId="55F4A46C">
      <w:pPr>
        <w:pStyle w:val="40"/>
        <w:widowControl/>
        <w:numPr>
          <w:ilvl w:val="0"/>
          <w:numId w:val="0"/>
        </w:numPr>
        <w:spacing w:line="360" w:lineRule="auto"/>
        <w:ind w:leftChars="0"/>
        <w:jc w:val="left"/>
        <w:rPr>
          <w:rFonts w:hint="eastAsia" w:ascii="宋体" w:hAnsi="宋体"/>
          <w:szCs w:val="21"/>
        </w:rPr>
      </w:pPr>
      <w:r>
        <w:rPr>
          <w:rFonts w:hint="eastAsia" w:ascii="宋体" w:hAnsi="宋体"/>
          <w:szCs w:val="21"/>
          <w:lang w:eastAsia="zh-CN"/>
        </w:rPr>
        <w:t>（</w:t>
      </w:r>
      <w:r>
        <w:rPr>
          <w:rFonts w:hint="eastAsia" w:ascii="宋体" w:hAnsi="宋体"/>
          <w:szCs w:val="21"/>
          <w:lang w:val="en-US" w:eastAsia="zh-CN"/>
        </w:rPr>
        <w:t>5</w:t>
      </w:r>
      <w:r>
        <w:rPr>
          <w:rFonts w:hint="eastAsia" w:ascii="宋体" w:hAnsi="宋体"/>
          <w:szCs w:val="21"/>
          <w:lang w:eastAsia="zh-CN"/>
        </w:rPr>
        <w:t>）</w:t>
      </w:r>
      <w:r>
        <w:rPr>
          <w:rFonts w:hint="eastAsia" w:ascii="宋体" w:hAnsi="宋体"/>
          <w:szCs w:val="21"/>
          <w:lang w:val="en-US" w:eastAsia="zh-CN"/>
        </w:rPr>
        <w:t xml:space="preserve"> </w:t>
      </w:r>
      <w:r>
        <w:rPr>
          <w:rFonts w:hint="eastAsia" w:ascii="宋体" w:hAnsi="宋体"/>
          <w:szCs w:val="21"/>
        </w:rPr>
        <w:t>法律、法规和</w:t>
      </w:r>
      <w:r>
        <w:rPr>
          <w:rFonts w:hint="eastAsia" w:ascii="宋体" w:hAnsi="宋体"/>
          <w:szCs w:val="21"/>
          <w:lang w:eastAsia="zh-CN"/>
        </w:rPr>
        <w:t>征集</w:t>
      </w:r>
      <w:r>
        <w:rPr>
          <w:rFonts w:hint="eastAsia" w:ascii="宋体" w:hAnsi="宋体"/>
          <w:szCs w:val="21"/>
        </w:rPr>
        <w:t>文件规定的其他无效情形。</w:t>
      </w:r>
    </w:p>
    <w:p w14:paraId="10C28F40">
      <w:pPr>
        <w:pStyle w:val="40"/>
        <w:widowControl/>
        <w:numPr>
          <w:ilvl w:val="0"/>
          <w:numId w:val="0"/>
        </w:numPr>
        <w:spacing w:line="360" w:lineRule="auto"/>
        <w:ind w:leftChars="0"/>
        <w:jc w:val="left"/>
        <w:rPr>
          <w:rFonts w:hint="eastAsia" w:ascii="宋体" w:hAnsi="宋体" w:eastAsiaTheme="minorEastAsia"/>
          <w:szCs w:val="21"/>
          <w:lang w:eastAsia="zh-CN"/>
        </w:rPr>
      </w:pPr>
      <w:r>
        <w:rPr>
          <w:rFonts w:hint="eastAsia" w:ascii="宋体" w:hAnsi="宋体"/>
          <w:szCs w:val="21"/>
          <w:lang w:val="en-US" w:eastAsia="zh-CN"/>
        </w:rPr>
        <w:t xml:space="preserve">6.3. </w:t>
      </w:r>
      <w:r>
        <w:rPr>
          <w:rFonts w:ascii="宋体" w:hAnsi="宋体"/>
          <w:szCs w:val="21"/>
        </w:rPr>
        <w:t>在</w:t>
      </w:r>
      <w:r>
        <w:rPr>
          <w:rFonts w:hint="eastAsia" w:ascii="宋体" w:hAnsi="宋体"/>
          <w:szCs w:val="21"/>
          <w:lang w:eastAsia="zh-CN"/>
        </w:rPr>
        <w:t>征集</w:t>
      </w:r>
      <w:r>
        <w:rPr>
          <w:rFonts w:ascii="宋体" w:hAnsi="宋体"/>
          <w:szCs w:val="21"/>
        </w:rPr>
        <w:t>采购中，出现下列情形之一的，应予废标</w:t>
      </w:r>
      <w:r>
        <w:rPr>
          <w:rFonts w:hint="eastAsia" w:ascii="宋体" w:hAnsi="宋体"/>
          <w:szCs w:val="21"/>
          <w:lang w:eastAsia="zh-CN"/>
        </w:rPr>
        <w:t>：</w:t>
      </w:r>
    </w:p>
    <w:p w14:paraId="7667ED95">
      <w:pPr>
        <w:pStyle w:val="40"/>
        <w:widowControl/>
        <w:numPr>
          <w:ilvl w:val="0"/>
          <w:numId w:val="0"/>
        </w:numPr>
        <w:spacing w:line="360" w:lineRule="auto"/>
        <w:ind w:leftChars="0"/>
        <w:jc w:val="left"/>
        <w:rPr>
          <w:rFonts w:ascii="宋体" w:hAnsi="宋体"/>
          <w:szCs w:val="21"/>
        </w:rPr>
      </w:pPr>
      <w:r>
        <w:rPr>
          <w:rFonts w:hint="eastAsia" w:ascii="宋体" w:hAnsi="宋体"/>
          <w:szCs w:val="21"/>
          <w:lang w:eastAsia="zh-CN"/>
        </w:rPr>
        <w:t>（</w:t>
      </w:r>
      <w:r>
        <w:rPr>
          <w:rFonts w:hint="eastAsia" w:ascii="宋体" w:hAnsi="宋体"/>
          <w:szCs w:val="21"/>
          <w:lang w:val="en-US" w:eastAsia="zh-CN"/>
        </w:rPr>
        <w:t>1</w:t>
      </w:r>
      <w:r>
        <w:rPr>
          <w:rFonts w:hint="eastAsia" w:ascii="宋体" w:hAnsi="宋体"/>
          <w:szCs w:val="21"/>
          <w:lang w:eastAsia="zh-CN"/>
        </w:rPr>
        <w:t>）</w:t>
      </w:r>
      <w:r>
        <w:rPr>
          <w:rFonts w:hint="eastAsia" w:ascii="宋体" w:hAnsi="宋体"/>
          <w:szCs w:val="21"/>
          <w:lang w:val="en-US" w:eastAsia="zh-CN"/>
        </w:rPr>
        <w:t xml:space="preserve"> </w:t>
      </w:r>
      <w:r>
        <w:rPr>
          <w:rFonts w:ascii="宋体" w:hAnsi="宋体"/>
          <w:szCs w:val="21"/>
        </w:rPr>
        <w:t>符合专业条件的供应商或者对</w:t>
      </w:r>
      <w:r>
        <w:rPr>
          <w:rFonts w:hint="eastAsia" w:ascii="宋体" w:hAnsi="宋体"/>
          <w:szCs w:val="21"/>
          <w:lang w:eastAsia="zh-CN"/>
        </w:rPr>
        <w:t>征集</w:t>
      </w:r>
      <w:r>
        <w:rPr>
          <w:rFonts w:ascii="宋体" w:hAnsi="宋体"/>
          <w:szCs w:val="21"/>
        </w:rPr>
        <w:t>文件作实质响应的供应商不足</w:t>
      </w:r>
      <w:r>
        <w:rPr>
          <w:rFonts w:hint="eastAsia" w:ascii="宋体" w:hAnsi="宋体"/>
          <w:szCs w:val="21"/>
          <w:lang w:val="en-US" w:eastAsia="zh-CN"/>
        </w:rPr>
        <w:t>两</w:t>
      </w:r>
      <w:r>
        <w:rPr>
          <w:rFonts w:ascii="宋体" w:hAnsi="宋体"/>
          <w:szCs w:val="21"/>
        </w:rPr>
        <w:t>家的；</w:t>
      </w:r>
    </w:p>
    <w:p w14:paraId="7C0BA65F">
      <w:pPr>
        <w:pStyle w:val="40"/>
        <w:widowControl/>
        <w:numPr>
          <w:ilvl w:val="0"/>
          <w:numId w:val="0"/>
        </w:numPr>
        <w:spacing w:line="360" w:lineRule="auto"/>
        <w:ind w:leftChars="0"/>
        <w:jc w:val="left"/>
        <w:rPr>
          <w:rFonts w:ascii="宋体" w:hAnsi="宋体"/>
          <w:szCs w:val="21"/>
        </w:rPr>
      </w:pPr>
      <w:r>
        <w:rPr>
          <w:rFonts w:hint="eastAsia" w:ascii="宋体" w:hAnsi="宋体"/>
          <w:szCs w:val="21"/>
          <w:lang w:eastAsia="zh-CN"/>
        </w:rPr>
        <w:t>（</w:t>
      </w:r>
      <w:r>
        <w:rPr>
          <w:rFonts w:hint="eastAsia" w:ascii="宋体" w:hAnsi="宋体"/>
          <w:szCs w:val="21"/>
          <w:lang w:val="en-US" w:eastAsia="zh-CN"/>
        </w:rPr>
        <w:t>2</w:t>
      </w:r>
      <w:r>
        <w:rPr>
          <w:rFonts w:hint="eastAsia" w:ascii="宋体" w:hAnsi="宋体"/>
          <w:szCs w:val="21"/>
          <w:lang w:eastAsia="zh-CN"/>
        </w:rPr>
        <w:t>）</w:t>
      </w:r>
      <w:r>
        <w:rPr>
          <w:rFonts w:hint="eastAsia" w:ascii="宋体" w:hAnsi="宋体"/>
          <w:szCs w:val="21"/>
          <w:lang w:val="en-US" w:eastAsia="zh-CN"/>
        </w:rPr>
        <w:t xml:space="preserve"> </w:t>
      </w:r>
      <w:r>
        <w:rPr>
          <w:rFonts w:ascii="宋体" w:hAnsi="宋体"/>
          <w:szCs w:val="21"/>
        </w:rPr>
        <w:t>出现影响采购公正的违法、违规行为的；</w:t>
      </w:r>
    </w:p>
    <w:p w14:paraId="55C2363F">
      <w:pPr>
        <w:pStyle w:val="40"/>
        <w:widowControl/>
        <w:numPr>
          <w:ilvl w:val="0"/>
          <w:numId w:val="0"/>
        </w:numPr>
        <w:spacing w:line="360" w:lineRule="auto"/>
        <w:ind w:leftChars="0"/>
        <w:jc w:val="left"/>
        <w:rPr>
          <w:rFonts w:ascii="宋体" w:hAnsi="宋体"/>
          <w:szCs w:val="21"/>
        </w:rPr>
      </w:pPr>
      <w:r>
        <w:rPr>
          <w:rFonts w:hint="eastAsia" w:ascii="宋体" w:hAnsi="宋体"/>
          <w:szCs w:val="21"/>
          <w:lang w:eastAsia="zh-CN"/>
        </w:rPr>
        <w:t>（</w:t>
      </w:r>
      <w:r>
        <w:rPr>
          <w:rFonts w:hint="eastAsia" w:ascii="宋体" w:hAnsi="宋体"/>
          <w:szCs w:val="21"/>
          <w:lang w:val="en-US" w:eastAsia="zh-CN"/>
        </w:rPr>
        <w:t>3</w:t>
      </w:r>
      <w:r>
        <w:rPr>
          <w:rFonts w:hint="eastAsia" w:ascii="宋体" w:hAnsi="宋体"/>
          <w:szCs w:val="21"/>
          <w:lang w:eastAsia="zh-CN"/>
        </w:rPr>
        <w:t>）</w:t>
      </w:r>
      <w:r>
        <w:rPr>
          <w:rFonts w:hint="eastAsia" w:ascii="宋体" w:hAnsi="宋体"/>
          <w:szCs w:val="21"/>
          <w:lang w:val="en-US" w:eastAsia="zh-CN"/>
        </w:rPr>
        <w:t xml:space="preserve"> </w:t>
      </w:r>
      <w:r>
        <w:rPr>
          <w:rFonts w:ascii="宋体" w:hAnsi="宋体"/>
          <w:szCs w:val="21"/>
        </w:rPr>
        <w:t>投标人的报价均超过了采购预算，采购人不能支付的；</w:t>
      </w:r>
    </w:p>
    <w:p w14:paraId="4B57E99D">
      <w:pPr>
        <w:pStyle w:val="40"/>
        <w:widowControl/>
        <w:numPr>
          <w:ilvl w:val="0"/>
          <w:numId w:val="0"/>
        </w:numPr>
        <w:spacing w:line="360" w:lineRule="auto"/>
        <w:ind w:leftChars="0"/>
        <w:jc w:val="left"/>
        <w:rPr>
          <w:rFonts w:ascii="宋体" w:hAnsi="宋体"/>
          <w:szCs w:val="21"/>
        </w:rPr>
      </w:pPr>
      <w:r>
        <w:rPr>
          <w:rFonts w:hint="eastAsia" w:ascii="宋体" w:hAnsi="宋体"/>
          <w:szCs w:val="21"/>
          <w:lang w:eastAsia="zh-CN"/>
        </w:rPr>
        <w:t>（</w:t>
      </w:r>
      <w:r>
        <w:rPr>
          <w:rFonts w:hint="eastAsia" w:ascii="宋体" w:hAnsi="宋体"/>
          <w:szCs w:val="21"/>
          <w:lang w:val="en-US" w:eastAsia="zh-CN"/>
        </w:rPr>
        <w:t>4</w:t>
      </w:r>
      <w:r>
        <w:rPr>
          <w:rFonts w:hint="eastAsia" w:ascii="宋体" w:hAnsi="宋体"/>
          <w:szCs w:val="21"/>
          <w:lang w:eastAsia="zh-CN"/>
        </w:rPr>
        <w:t>）</w:t>
      </w:r>
      <w:r>
        <w:rPr>
          <w:rFonts w:hint="eastAsia" w:ascii="宋体" w:hAnsi="宋体"/>
          <w:szCs w:val="21"/>
          <w:lang w:val="en-US" w:eastAsia="zh-CN"/>
        </w:rPr>
        <w:t xml:space="preserve"> </w:t>
      </w:r>
      <w:r>
        <w:rPr>
          <w:rFonts w:ascii="宋体" w:hAnsi="宋体"/>
          <w:szCs w:val="21"/>
        </w:rPr>
        <w:t>因重大变故，采购任务取消的</w:t>
      </w:r>
      <w:r>
        <w:rPr>
          <w:rFonts w:hint="eastAsia" w:ascii="宋体" w:hAnsi="宋体"/>
          <w:szCs w:val="21"/>
        </w:rPr>
        <w:t>。</w:t>
      </w:r>
    </w:p>
    <w:p w14:paraId="462F3870">
      <w:pPr>
        <w:pStyle w:val="40"/>
        <w:widowControl/>
        <w:numPr>
          <w:ilvl w:val="0"/>
          <w:numId w:val="0"/>
        </w:numPr>
        <w:spacing w:line="360" w:lineRule="auto"/>
        <w:ind w:leftChars="0"/>
        <w:jc w:val="left"/>
        <w:outlineLvl w:val="9"/>
        <w:rPr>
          <w:rFonts w:hint="default" w:ascii="宋体" w:hAnsi="宋体" w:eastAsiaTheme="minorEastAsia"/>
          <w:b/>
          <w:bCs/>
          <w:szCs w:val="21"/>
          <w:lang w:val="en-US" w:eastAsia="zh-CN"/>
        </w:rPr>
      </w:pPr>
      <w:r>
        <w:rPr>
          <w:rFonts w:hint="eastAsia" w:ascii="宋体" w:hAnsi="宋体"/>
          <w:b/>
          <w:bCs/>
          <w:szCs w:val="21"/>
          <w:lang w:val="en-US" w:eastAsia="zh-CN"/>
        </w:rPr>
        <w:t>7.  其他事宜说明</w:t>
      </w:r>
    </w:p>
    <w:p w14:paraId="7C7305CE">
      <w:pPr>
        <w:pStyle w:val="34"/>
        <w:widowControl/>
        <w:numPr>
          <w:ilvl w:val="0"/>
          <w:numId w:val="0"/>
        </w:numPr>
        <w:spacing w:line="360" w:lineRule="auto"/>
        <w:ind w:leftChars="0"/>
        <w:jc w:val="left"/>
        <w:rPr>
          <w:rFonts w:hint="eastAsia" w:ascii="宋体" w:hAnsi="宋体" w:eastAsiaTheme="minorEastAsia" w:cstheme="minorBidi"/>
          <w:color w:val="auto"/>
          <w:kern w:val="2"/>
          <w:sz w:val="21"/>
          <w:szCs w:val="21"/>
          <w:lang w:val="en-US" w:eastAsia="zh-CN" w:bidi="ar-SA"/>
        </w:rPr>
      </w:pPr>
      <w:bookmarkStart w:id="20" w:name="_Toc1246"/>
      <w:bookmarkStart w:id="21" w:name="_Toc435515292"/>
      <w:bookmarkStart w:id="22" w:name="_Toc435514852"/>
      <w:bookmarkStart w:id="23" w:name="_Toc8080"/>
      <w:r>
        <w:rPr>
          <w:rFonts w:hint="eastAsia" w:ascii="宋体" w:hAnsi="宋体" w:eastAsiaTheme="minorEastAsia" w:cstheme="minorBidi"/>
          <w:color w:val="auto"/>
          <w:kern w:val="2"/>
          <w:sz w:val="21"/>
          <w:szCs w:val="21"/>
          <w:lang w:val="en-US" w:eastAsia="zh-CN" w:bidi="ar-SA"/>
        </w:rPr>
        <w:t>7.1. 本项目公开征集过程中若出现投标截止后实际递交投标文件的供应商数量不足、经评审委员会评审对征集文件作实质响应的供应商不足等情况，公开征集有效供应商不足两家的（有效供应商不少于两家的，可按照征集文件评审规则继续评审），项目根据以下情况开展：</w:t>
      </w:r>
    </w:p>
    <w:p w14:paraId="4A8A077F">
      <w:pPr>
        <w:pStyle w:val="34"/>
        <w:widowControl/>
        <w:numPr>
          <w:ilvl w:val="0"/>
          <w:numId w:val="0"/>
        </w:numPr>
        <w:spacing w:line="360" w:lineRule="auto"/>
        <w:ind w:leftChars="0"/>
        <w:jc w:val="left"/>
        <w:rPr>
          <w:rFonts w:hint="eastAsia" w:ascii="宋体" w:hAnsi="宋体" w:eastAsiaTheme="minorEastAsia" w:cstheme="minorBidi"/>
          <w:color w:val="auto"/>
          <w:kern w:val="2"/>
          <w:sz w:val="21"/>
          <w:szCs w:val="21"/>
          <w:lang w:val="en-US" w:eastAsia="zh-CN" w:bidi="ar-SA"/>
        </w:rPr>
      </w:pPr>
      <w:r>
        <w:rPr>
          <w:rFonts w:hint="eastAsia" w:ascii="宋体" w:hAnsi="宋体" w:eastAsiaTheme="minorEastAsia" w:cstheme="minorBidi"/>
          <w:color w:val="auto"/>
          <w:kern w:val="2"/>
          <w:sz w:val="21"/>
          <w:szCs w:val="21"/>
          <w:lang w:val="en-US" w:eastAsia="zh-CN" w:bidi="ar-SA"/>
        </w:rPr>
        <w:t>7.1.1. 公开征集失败的处理：</w:t>
      </w:r>
    </w:p>
    <w:p w14:paraId="658402E7">
      <w:pPr>
        <w:pStyle w:val="34"/>
        <w:widowControl/>
        <w:numPr>
          <w:ilvl w:val="0"/>
          <w:numId w:val="0"/>
        </w:numPr>
        <w:spacing w:line="360" w:lineRule="auto"/>
        <w:ind w:leftChars="0"/>
        <w:jc w:val="left"/>
        <w:rPr>
          <w:rFonts w:hint="eastAsia" w:ascii="宋体" w:hAnsi="宋体" w:eastAsiaTheme="minorEastAsia" w:cstheme="minorBidi"/>
          <w:color w:val="auto"/>
          <w:kern w:val="2"/>
          <w:sz w:val="21"/>
          <w:szCs w:val="21"/>
          <w:lang w:val="en-US" w:eastAsia="zh-CN" w:bidi="ar-SA"/>
        </w:rPr>
      </w:pPr>
      <w:r>
        <w:rPr>
          <w:rFonts w:hint="eastAsia" w:ascii="宋体" w:hAnsi="宋体" w:eastAsiaTheme="minorEastAsia" w:cstheme="minorBidi"/>
          <w:color w:val="auto"/>
          <w:kern w:val="2"/>
          <w:sz w:val="21"/>
          <w:szCs w:val="21"/>
          <w:lang w:val="en-US" w:eastAsia="zh-CN" w:bidi="ar-SA"/>
        </w:rPr>
        <w:t>7.1.1.1. 采购人可结合实际需要，重新实施公开征集，或依据有效投标供应商数量转为单一来源采购（仅1家有效供应商）。</w:t>
      </w:r>
    </w:p>
    <w:p w14:paraId="3DA210AB">
      <w:pPr>
        <w:pStyle w:val="34"/>
        <w:widowControl/>
        <w:numPr>
          <w:ilvl w:val="0"/>
          <w:numId w:val="0"/>
        </w:numPr>
        <w:spacing w:line="360" w:lineRule="auto"/>
        <w:ind w:leftChars="0"/>
        <w:jc w:val="left"/>
        <w:rPr>
          <w:rFonts w:hint="eastAsia" w:ascii="宋体" w:hAnsi="宋体" w:eastAsiaTheme="minorEastAsia" w:cstheme="minorBidi"/>
          <w:color w:val="auto"/>
          <w:kern w:val="2"/>
          <w:sz w:val="21"/>
          <w:szCs w:val="21"/>
          <w:lang w:val="en-US" w:eastAsia="zh-CN" w:bidi="ar-SA"/>
        </w:rPr>
      </w:pPr>
      <w:r>
        <w:rPr>
          <w:rFonts w:hint="eastAsia" w:ascii="宋体" w:hAnsi="宋体" w:eastAsiaTheme="minorEastAsia" w:cstheme="minorBidi"/>
          <w:color w:val="auto"/>
          <w:kern w:val="2"/>
          <w:sz w:val="21"/>
          <w:szCs w:val="21"/>
          <w:lang w:val="en-US" w:eastAsia="zh-CN" w:bidi="ar-SA"/>
        </w:rPr>
        <w:t>7.1.1.2. 对公开</w:t>
      </w:r>
      <w:r>
        <w:rPr>
          <w:rFonts w:hint="eastAsia" w:ascii="宋体" w:hAnsi="宋体" w:cstheme="minorBidi"/>
          <w:color w:val="auto"/>
          <w:kern w:val="2"/>
          <w:sz w:val="21"/>
          <w:szCs w:val="21"/>
          <w:lang w:val="en-US" w:eastAsia="zh-CN" w:bidi="ar-SA"/>
        </w:rPr>
        <w:t>征集</w:t>
      </w:r>
      <w:r>
        <w:rPr>
          <w:rFonts w:hint="eastAsia" w:ascii="宋体" w:hAnsi="宋体" w:eastAsiaTheme="minorEastAsia" w:cstheme="minorBidi"/>
          <w:color w:val="auto"/>
          <w:kern w:val="2"/>
          <w:sz w:val="21"/>
          <w:szCs w:val="21"/>
          <w:lang w:val="en-US" w:eastAsia="zh-CN" w:bidi="ar-SA"/>
        </w:rPr>
        <w:t>失败的项目，评标委员会在出具该项目</w:t>
      </w:r>
      <w:r>
        <w:rPr>
          <w:rFonts w:hint="eastAsia" w:ascii="宋体" w:hAnsi="宋体" w:cstheme="minorBidi"/>
          <w:color w:val="auto"/>
          <w:kern w:val="2"/>
          <w:sz w:val="21"/>
          <w:szCs w:val="21"/>
          <w:lang w:val="en-US" w:eastAsia="zh-CN" w:bidi="ar-SA"/>
        </w:rPr>
        <w:t>征集</w:t>
      </w:r>
      <w:r>
        <w:rPr>
          <w:rFonts w:hint="eastAsia" w:ascii="宋体" w:hAnsi="宋体" w:eastAsiaTheme="minorEastAsia" w:cstheme="minorBidi"/>
          <w:color w:val="auto"/>
          <w:kern w:val="2"/>
          <w:sz w:val="21"/>
          <w:szCs w:val="21"/>
          <w:lang w:val="en-US" w:eastAsia="zh-CN" w:bidi="ar-SA"/>
        </w:rPr>
        <w:t>失败结论的同时，可以提出重新采购组织形式的建议，以及进一步完善</w:t>
      </w:r>
      <w:r>
        <w:rPr>
          <w:rFonts w:hint="eastAsia" w:ascii="宋体" w:hAnsi="宋体" w:cstheme="minorBidi"/>
          <w:color w:val="auto"/>
          <w:kern w:val="2"/>
          <w:sz w:val="21"/>
          <w:szCs w:val="21"/>
          <w:lang w:val="en-US" w:eastAsia="zh-CN" w:bidi="ar-SA"/>
        </w:rPr>
        <w:t>征集</w:t>
      </w:r>
      <w:r>
        <w:rPr>
          <w:rFonts w:hint="eastAsia" w:ascii="宋体" w:hAnsi="宋体" w:eastAsiaTheme="minorEastAsia" w:cstheme="minorBidi"/>
          <w:color w:val="auto"/>
          <w:kern w:val="2"/>
          <w:sz w:val="21"/>
          <w:szCs w:val="21"/>
          <w:lang w:val="en-US" w:eastAsia="zh-CN" w:bidi="ar-SA"/>
        </w:rPr>
        <w:t>文件的资格、技术、商务要求的修改建议。</w:t>
      </w:r>
    </w:p>
    <w:p w14:paraId="59FCE80B">
      <w:pPr>
        <w:pStyle w:val="34"/>
        <w:widowControl/>
        <w:numPr>
          <w:ilvl w:val="0"/>
          <w:numId w:val="0"/>
        </w:numPr>
        <w:spacing w:line="360" w:lineRule="auto"/>
        <w:ind w:leftChars="0"/>
        <w:jc w:val="left"/>
        <w:rPr>
          <w:rFonts w:hint="eastAsia" w:ascii="宋体" w:hAnsi="宋体" w:eastAsiaTheme="minorEastAsia" w:cstheme="minorBidi"/>
          <w:color w:val="auto"/>
          <w:kern w:val="2"/>
          <w:sz w:val="21"/>
          <w:szCs w:val="21"/>
          <w:lang w:val="en-US" w:eastAsia="zh-CN" w:bidi="ar-SA"/>
        </w:rPr>
      </w:pPr>
      <w:r>
        <w:rPr>
          <w:rFonts w:hint="eastAsia" w:ascii="宋体" w:hAnsi="宋体" w:eastAsiaTheme="minorEastAsia" w:cstheme="minorBidi"/>
          <w:color w:val="auto"/>
          <w:kern w:val="2"/>
          <w:sz w:val="21"/>
          <w:szCs w:val="21"/>
          <w:lang w:val="en-US" w:eastAsia="zh-CN" w:bidi="ar-SA"/>
        </w:rPr>
        <w:t>7.1.2 公开</w:t>
      </w:r>
      <w:r>
        <w:rPr>
          <w:rFonts w:hint="eastAsia" w:ascii="宋体" w:hAnsi="宋体" w:cstheme="minorBidi"/>
          <w:color w:val="auto"/>
          <w:kern w:val="2"/>
          <w:sz w:val="21"/>
          <w:szCs w:val="21"/>
          <w:lang w:val="en-US" w:eastAsia="zh-CN" w:bidi="ar-SA"/>
        </w:rPr>
        <w:t>征集</w:t>
      </w:r>
      <w:r>
        <w:rPr>
          <w:rFonts w:hint="eastAsia" w:ascii="宋体" w:hAnsi="宋体" w:eastAsiaTheme="minorEastAsia" w:cstheme="minorBidi"/>
          <w:color w:val="auto"/>
          <w:kern w:val="2"/>
          <w:sz w:val="21"/>
          <w:szCs w:val="21"/>
          <w:lang w:val="en-US" w:eastAsia="zh-CN" w:bidi="ar-SA"/>
        </w:rPr>
        <w:t>失败的采购项目重新组织公开</w:t>
      </w:r>
      <w:r>
        <w:rPr>
          <w:rFonts w:hint="eastAsia" w:ascii="宋体" w:hAnsi="宋体" w:cstheme="minorBidi"/>
          <w:color w:val="auto"/>
          <w:kern w:val="2"/>
          <w:sz w:val="21"/>
          <w:szCs w:val="21"/>
          <w:lang w:val="en-US" w:eastAsia="zh-CN" w:bidi="ar-SA"/>
        </w:rPr>
        <w:t>征集</w:t>
      </w:r>
      <w:r>
        <w:rPr>
          <w:rFonts w:hint="eastAsia" w:ascii="宋体" w:hAnsi="宋体" w:eastAsiaTheme="minorEastAsia" w:cstheme="minorBidi"/>
          <w:color w:val="auto"/>
          <w:kern w:val="2"/>
          <w:sz w:val="21"/>
          <w:szCs w:val="21"/>
          <w:lang w:val="en-US" w:eastAsia="zh-CN" w:bidi="ar-SA"/>
        </w:rPr>
        <w:t>的，需要重新按公开</w:t>
      </w:r>
      <w:r>
        <w:rPr>
          <w:rFonts w:hint="eastAsia" w:ascii="宋体" w:hAnsi="宋体" w:cstheme="minorBidi"/>
          <w:color w:val="auto"/>
          <w:kern w:val="2"/>
          <w:sz w:val="21"/>
          <w:szCs w:val="21"/>
          <w:lang w:val="en-US" w:eastAsia="zh-CN" w:bidi="ar-SA"/>
        </w:rPr>
        <w:t>征集</w:t>
      </w:r>
      <w:r>
        <w:rPr>
          <w:rFonts w:hint="eastAsia" w:ascii="宋体" w:hAnsi="宋体" w:eastAsiaTheme="minorEastAsia" w:cstheme="minorBidi"/>
          <w:color w:val="auto"/>
          <w:kern w:val="2"/>
          <w:sz w:val="21"/>
          <w:szCs w:val="21"/>
          <w:lang w:val="en-US" w:eastAsia="zh-CN" w:bidi="ar-SA"/>
        </w:rPr>
        <w:t>流程发布</w:t>
      </w:r>
      <w:r>
        <w:rPr>
          <w:rFonts w:hint="eastAsia" w:ascii="宋体" w:hAnsi="宋体" w:cstheme="minorBidi"/>
          <w:color w:val="auto"/>
          <w:kern w:val="2"/>
          <w:sz w:val="21"/>
          <w:szCs w:val="21"/>
          <w:lang w:val="en-US" w:eastAsia="zh-CN" w:bidi="ar-SA"/>
        </w:rPr>
        <w:t>征集</w:t>
      </w:r>
      <w:r>
        <w:rPr>
          <w:rFonts w:hint="eastAsia" w:ascii="宋体" w:hAnsi="宋体" w:eastAsiaTheme="minorEastAsia" w:cstheme="minorBidi"/>
          <w:color w:val="auto"/>
          <w:kern w:val="2"/>
          <w:sz w:val="21"/>
          <w:szCs w:val="21"/>
          <w:lang w:val="en-US" w:eastAsia="zh-CN" w:bidi="ar-SA"/>
        </w:rPr>
        <w:t>公告和</w:t>
      </w:r>
      <w:r>
        <w:rPr>
          <w:rFonts w:hint="eastAsia" w:ascii="宋体" w:hAnsi="宋体" w:cstheme="minorBidi"/>
          <w:color w:val="auto"/>
          <w:kern w:val="2"/>
          <w:sz w:val="21"/>
          <w:szCs w:val="21"/>
          <w:lang w:val="en-US" w:eastAsia="zh-CN" w:bidi="ar-SA"/>
        </w:rPr>
        <w:t>征集</w:t>
      </w:r>
      <w:r>
        <w:rPr>
          <w:rFonts w:hint="eastAsia" w:ascii="宋体" w:hAnsi="宋体" w:eastAsiaTheme="minorEastAsia" w:cstheme="minorBidi"/>
          <w:color w:val="auto"/>
          <w:kern w:val="2"/>
          <w:sz w:val="21"/>
          <w:szCs w:val="21"/>
          <w:lang w:val="en-US" w:eastAsia="zh-CN" w:bidi="ar-SA"/>
        </w:rPr>
        <w:t>文件、组成评标委员会等组织采购活动。</w:t>
      </w:r>
    </w:p>
    <w:p w14:paraId="2E0C4D38">
      <w:pPr>
        <w:pStyle w:val="34"/>
        <w:widowControl/>
        <w:numPr>
          <w:ilvl w:val="0"/>
          <w:numId w:val="0"/>
        </w:numPr>
        <w:spacing w:line="360" w:lineRule="auto"/>
        <w:ind w:leftChars="0"/>
        <w:jc w:val="left"/>
        <w:rPr>
          <w:rFonts w:hint="default" w:ascii="宋体" w:hAnsi="宋体" w:eastAsiaTheme="minorEastAsia" w:cstheme="minorBidi"/>
          <w:color w:val="auto"/>
          <w:kern w:val="2"/>
          <w:sz w:val="21"/>
          <w:szCs w:val="21"/>
          <w:lang w:val="en-US" w:eastAsia="zh-CN" w:bidi="ar-SA"/>
        </w:rPr>
      </w:pPr>
      <w:r>
        <w:rPr>
          <w:rFonts w:hint="eastAsia" w:ascii="宋体" w:hAnsi="宋体" w:eastAsiaTheme="minorEastAsia" w:cstheme="minorBidi"/>
          <w:color w:val="auto"/>
          <w:kern w:val="2"/>
          <w:sz w:val="21"/>
          <w:szCs w:val="21"/>
          <w:lang w:val="en-US" w:eastAsia="zh-CN" w:bidi="ar-SA"/>
        </w:rPr>
        <w:t>7.</w:t>
      </w:r>
      <w:r>
        <w:rPr>
          <w:rFonts w:hint="eastAsia" w:ascii="宋体" w:hAnsi="宋体" w:cstheme="minorBidi"/>
          <w:color w:val="auto"/>
          <w:kern w:val="2"/>
          <w:sz w:val="21"/>
          <w:szCs w:val="21"/>
          <w:lang w:val="en-US" w:eastAsia="zh-CN" w:bidi="ar-SA"/>
        </w:rPr>
        <w:t>2</w:t>
      </w:r>
      <w:r>
        <w:rPr>
          <w:rFonts w:hint="eastAsia" w:ascii="宋体" w:hAnsi="宋体" w:eastAsiaTheme="minorEastAsia" w:cstheme="minorBidi"/>
          <w:color w:val="auto"/>
          <w:kern w:val="2"/>
          <w:sz w:val="21"/>
          <w:szCs w:val="21"/>
          <w:lang w:val="en-US" w:eastAsia="zh-CN" w:bidi="ar-SA"/>
        </w:rPr>
        <w:t>. 公开</w:t>
      </w:r>
      <w:r>
        <w:rPr>
          <w:rFonts w:hint="eastAsia" w:ascii="宋体" w:hAnsi="宋体" w:cstheme="minorBidi"/>
          <w:color w:val="auto"/>
          <w:kern w:val="2"/>
          <w:sz w:val="21"/>
          <w:szCs w:val="21"/>
          <w:lang w:val="en-US" w:eastAsia="zh-CN" w:bidi="ar-SA"/>
        </w:rPr>
        <w:t>征集</w:t>
      </w:r>
      <w:r>
        <w:rPr>
          <w:rFonts w:hint="eastAsia" w:ascii="宋体" w:hAnsi="宋体" w:eastAsiaTheme="minorEastAsia" w:cstheme="minorBidi"/>
          <w:color w:val="auto"/>
          <w:kern w:val="2"/>
          <w:sz w:val="21"/>
          <w:szCs w:val="21"/>
          <w:lang w:val="en-US" w:eastAsia="zh-CN" w:bidi="ar-SA"/>
        </w:rPr>
        <w:t>失败项目转为单一来源谈判方式采购</w:t>
      </w:r>
    </w:p>
    <w:p w14:paraId="607F0182">
      <w:pPr>
        <w:pStyle w:val="34"/>
        <w:widowControl/>
        <w:numPr>
          <w:ilvl w:val="0"/>
          <w:numId w:val="0"/>
        </w:numPr>
        <w:spacing w:line="360" w:lineRule="auto"/>
        <w:ind w:leftChars="0"/>
        <w:jc w:val="left"/>
        <w:rPr>
          <w:rFonts w:hint="eastAsia" w:ascii="宋体" w:hAnsi="宋体" w:eastAsiaTheme="minorEastAsia" w:cstheme="minorBidi"/>
          <w:color w:val="auto"/>
          <w:kern w:val="2"/>
          <w:sz w:val="21"/>
          <w:szCs w:val="21"/>
          <w:lang w:val="en-US" w:eastAsia="zh-CN" w:bidi="ar-SA"/>
        </w:rPr>
      </w:pPr>
      <w:r>
        <w:rPr>
          <w:rFonts w:hint="eastAsia" w:ascii="宋体" w:hAnsi="宋体" w:eastAsiaTheme="minorEastAsia" w:cstheme="minorBidi"/>
          <w:color w:val="auto"/>
          <w:kern w:val="2"/>
          <w:sz w:val="21"/>
          <w:szCs w:val="21"/>
          <w:lang w:val="en-US" w:eastAsia="zh-CN" w:bidi="ar-SA"/>
        </w:rPr>
        <w:t>7.</w:t>
      </w:r>
      <w:r>
        <w:rPr>
          <w:rFonts w:hint="eastAsia" w:ascii="宋体" w:hAnsi="宋体" w:cstheme="minorBidi"/>
          <w:color w:val="auto"/>
          <w:kern w:val="2"/>
          <w:sz w:val="21"/>
          <w:szCs w:val="21"/>
          <w:lang w:val="en-US" w:eastAsia="zh-CN" w:bidi="ar-SA"/>
        </w:rPr>
        <w:t>2</w:t>
      </w:r>
      <w:r>
        <w:rPr>
          <w:rFonts w:hint="eastAsia" w:ascii="宋体" w:hAnsi="宋体" w:eastAsiaTheme="minorEastAsia" w:cstheme="minorBidi"/>
          <w:color w:val="auto"/>
          <w:kern w:val="2"/>
          <w:sz w:val="21"/>
          <w:szCs w:val="21"/>
          <w:lang w:val="en-US" w:eastAsia="zh-CN" w:bidi="ar-SA"/>
        </w:rPr>
        <w:t>.1. 公开</w:t>
      </w:r>
      <w:r>
        <w:rPr>
          <w:rFonts w:hint="eastAsia" w:ascii="宋体" w:hAnsi="宋体" w:cstheme="minorBidi"/>
          <w:color w:val="auto"/>
          <w:kern w:val="2"/>
          <w:sz w:val="21"/>
          <w:szCs w:val="21"/>
          <w:lang w:val="en-US" w:eastAsia="zh-CN" w:bidi="ar-SA"/>
        </w:rPr>
        <w:t>征集</w:t>
      </w:r>
      <w:r>
        <w:rPr>
          <w:rFonts w:hint="eastAsia" w:ascii="宋体" w:hAnsi="宋体" w:eastAsiaTheme="minorEastAsia" w:cstheme="minorBidi"/>
          <w:color w:val="auto"/>
          <w:kern w:val="2"/>
          <w:sz w:val="21"/>
          <w:szCs w:val="21"/>
          <w:lang w:val="en-US" w:eastAsia="zh-CN" w:bidi="ar-SA"/>
        </w:rPr>
        <w:t>失败项目转为单一来源谈判方式采购后，评标委员会转为谈判小组，谈判小组成员由有关专家共3人以上（含3人）的单数组成；专家可重新抽取也可继续采用评标委员会内专家。</w:t>
      </w:r>
    </w:p>
    <w:p w14:paraId="4FC4C941">
      <w:pPr>
        <w:pStyle w:val="34"/>
        <w:widowControl/>
        <w:numPr>
          <w:ilvl w:val="0"/>
          <w:numId w:val="0"/>
        </w:numPr>
        <w:spacing w:line="360" w:lineRule="auto"/>
        <w:ind w:leftChars="0"/>
        <w:jc w:val="left"/>
        <w:rPr>
          <w:rFonts w:hint="eastAsia" w:ascii="宋体" w:hAnsi="宋体" w:eastAsiaTheme="minorEastAsia" w:cstheme="minorBidi"/>
          <w:color w:val="auto"/>
          <w:kern w:val="2"/>
          <w:sz w:val="21"/>
          <w:szCs w:val="21"/>
          <w:lang w:val="en-US" w:eastAsia="zh-CN" w:bidi="ar-SA"/>
        </w:rPr>
      </w:pPr>
      <w:r>
        <w:rPr>
          <w:rFonts w:hint="eastAsia" w:ascii="宋体" w:hAnsi="宋体" w:eastAsiaTheme="minorEastAsia" w:cstheme="minorBidi"/>
          <w:color w:val="auto"/>
          <w:kern w:val="2"/>
          <w:sz w:val="21"/>
          <w:szCs w:val="21"/>
          <w:lang w:val="en-US" w:eastAsia="zh-CN" w:bidi="ar-SA"/>
        </w:rPr>
        <w:t>7.</w:t>
      </w:r>
      <w:r>
        <w:rPr>
          <w:rFonts w:hint="eastAsia" w:ascii="宋体" w:hAnsi="宋体" w:cstheme="minorBidi"/>
          <w:color w:val="auto"/>
          <w:kern w:val="2"/>
          <w:sz w:val="21"/>
          <w:szCs w:val="21"/>
          <w:lang w:val="en-US" w:eastAsia="zh-CN" w:bidi="ar-SA"/>
        </w:rPr>
        <w:t>2</w:t>
      </w:r>
      <w:r>
        <w:rPr>
          <w:rFonts w:hint="eastAsia" w:ascii="宋体" w:hAnsi="宋体" w:eastAsiaTheme="minorEastAsia" w:cstheme="minorBidi"/>
          <w:color w:val="auto"/>
          <w:kern w:val="2"/>
          <w:sz w:val="21"/>
          <w:szCs w:val="21"/>
          <w:lang w:val="en-US" w:eastAsia="zh-CN" w:bidi="ar-SA"/>
        </w:rPr>
        <w:t>.2. 谈判前，谈判小组将对单一来源供应商的谈判应答文件进行审查，当谈判应答文件出现下列情况之一的将视为无效，按废标处理，不得进入谈判，具体内容见原</w:t>
      </w:r>
      <w:r>
        <w:rPr>
          <w:rFonts w:hint="eastAsia" w:ascii="宋体" w:hAnsi="宋体" w:cstheme="minorBidi"/>
          <w:color w:val="auto"/>
          <w:kern w:val="2"/>
          <w:sz w:val="21"/>
          <w:szCs w:val="21"/>
          <w:lang w:val="en-US" w:eastAsia="zh-CN" w:bidi="ar-SA"/>
        </w:rPr>
        <w:t>征集</w:t>
      </w:r>
      <w:r>
        <w:rPr>
          <w:rFonts w:hint="eastAsia" w:ascii="宋体" w:hAnsi="宋体" w:eastAsiaTheme="minorEastAsia" w:cstheme="minorBidi"/>
          <w:color w:val="auto"/>
          <w:kern w:val="2"/>
          <w:sz w:val="21"/>
          <w:szCs w:val="21"/>
          <w:lang w:val="en-US" w:eastAsia="zh-CN" w:bidi="ar-SA"/>
        </w:rPr>
        <w:t>文件中投标文件初审表的《资格性检查表》部分以及谈判邀请中相应的变动部分。</w:t>
      </w:r>
    </w:p>
    <w:p w14:paraId="79E26EEE">
      <w:pPr>
        <w:pStyle w:val="34"/>
        <w:widowControl/>
        <w:numPr>
          <w:ilvl w:val="0"/>
          <w:numId w:val="0"/>
        </w:numPr>
        <w:spacing w:line="360" w:lineRule="auto"/>
        <w:ind w:leftChars="0"/>
        <w:jc w:val="left"/>
        <w:rPr>
          <w:rFonts w:hint="eastAsia" w:ascii="宋体" w:hAnsi="宋体" w:eastAsiaTheme="minorEastAsia" w:cstheme="minorBidi"/>
          <w:color w:val="auto"/>
          <w:kern w:val="2"/>
          <w:sz w:val="21"/>
          <w:szCs w:val="21"/>
          <w:lang w:val="en-US" w:eastAsia="zh-CN" w:bidi="ar-SA"/>
        </w:rPr>
      </w:pPr>
      <w:r>
        <w:rPr>
          <w:rFonts w:hint="eastAsia" w:ascii="宋体" w:hAnsi="宋体" w:eastAsiaTheme="minorEastAsia" w:cstheme="minorBidi"/>
          <w:color w:val="auto"/>
          <w:kern w:val="2"/>
          <w:sz w:val="21"/>
          <w:szCs w:val="21"/>
          <w:lang w:val="en-US" w:eastAsia="zh-CN" w:bidi="ar-SA"/>
        </w:rPr>
        <w:t>7.</w:t>
      </w:r>
      <w:r>
        <w:rPr>
          <w:rFonts w:hint="eastAsia" w:ascii="宋体" w:hAnsi="宋体" w:cstheme="minorBidi"/>
          <w:color w:val="auto"/>
          <w:kern w:val="2"/>
          <w:sz w:val="21"/>
          <w:szCs w:val="21"/>
          <w:lang w:val="en-US" w:eastAsia="zh-CN" w:bidi="ar-SA"/>
        </w:rPr>
        <w:t>2</w:t>
      </w:r>
      <w:r>
        <w:rPr>
          <w:rFonts w:hint="eastAsia" w:ascii="宋体" w:hAnsi="宋体" w:eastAsiaTheme="minorEastAsia" w:cstheme="minorBidi"/>
          <w:color w:val="auto"/>
          <w:kern w:val="2"/>
          <w:sz w:val="21"/>
          <w:szCs w:val="21"/>
          <w:lang w:val="en-US" w:eastAsia="zh-CN" w:bidi="ar-SA"/>
        </w:rPr>
        <w:t>.3. 参加谈判的供应商和谈判小组成员填写谈判登记表，并交验证明文件（法定代表人证明书、法人授权委托书、被授权的谈判代表身份证原件）。</w:t>
      </w:r>
    </w:p>
    <w:p w14:paraId="268E9456">
      <w:pPr>
        <w:pStyle w:val="34"/>
        <w:widowControl/>
        <w:numPr>
          <w:ilvl w:val="0"/>
          <w:numId w:val="0"/>
        </w:numPr>
        <w:spacing w:line="360" w:lineRule="auto"/>
        <w:ind w:leftChars="0"/>
        <w:jc w:val="left"/>
        <w:rPr>
          <w:rFonts w:hint="eastAsia" w:ascii="宋体" w:hAnsi="宋体" w:eastAsiaTheme="minorEastAsia" w:cstheme="minorBidi"/>
          <w:color w:val="auto"/>
          <w:kern w:val="2"/>
          <w:sz w:val="21"/>
          <w:szCs w:val="21"/>
          <w:lang w:val="en-US" w:eastAsia="zh-CN" w:bidi="ar-SA"/>
        </w:rPr>
      </w:pPr>
      <w:r>
        <w:rPr>
          <w:rFonts w:hint="eastAsia" w:ascii="宋体" w:hAnsi="宋体" w:eastAsiaTheme="minorEastAsia" w:cstheme="minorBidi"/>
          <w:color w:val="auto"/>
          <w:kern w:val="2"/>
          <w:sz w:val="21"/>
          <w:szCs w:val="21"/>
          <w:lang w:val="en-US" w:eastAsia="zh-CN" w:bidi="ar-SA"/>
        </w:rPr>
        <w:t>7.</w:t>
      </w:r>
      <w:r>
        <w:rPr>
          <w:rFonts w:hint="eastAsia" w:ascii="宋体" w:hAnsi="宋体" w:cstheme="minorBidi"/>
          <w:color w:val="auto"/>
          <w:kern w:val="2"/>
          <w:sz w:val="21"/>
          <w:szCs w:val="21"/>
          <w:lang w:val="en-US" w:eastAsia="zh-CN" w:bidi="ar-SA"/>
        </w:rPr>
        <w:t>2</w:t>
      </w:r>
      <w:r>
        <w:rPr>
          <w:rFonts w:hint="eastAsia" w:ascii="宋体" w:hAnsi="宋体" w:eastAsiaTheme="minorEastAsia" w:cstheme="minorBidi"/>
          <w:color w:val="auto"/>
          <w:kern w:val="2"/>
          <w:sz w:val="21"/>
          <w:szCs w:val="21"/>
          <w:lang w:val="en-US" w:eastAsia="zh-CN" w:bidi="ar-SA"/>
        </w:rPr>
        <w:t>.4. 在谈判中，谈判小组将就以下谈判内容跟供应商进行谈判：</w:t>
      </w:r>
    </w:p>
    <w:p w14:paraId="184744A2">
      <w:pPr>
        <w:pStyle w:val="34"/>
        <w:widowControl/>
        <w:numPr>
          <w:ilvl w:val="0"/>
          <w:numId w:val="0"/>
        </w:numPr>
        <w:spacing w:line="360" w:lineRule="auto"/>
        <w:ind w:leftChars="0"/>
        <w:jc w:val="left"/>
        <w:rPr>
          <w:rFonts w:hint="eastAsia" w:ascii="宋体" w:hAnsi="宋体" w:eastAsiaTheme="minorEastAsia" w:cstheme="minorBidi"/>
          <w:color w:val="auto"/>
          <w:kern w:val="2"/>
          <w:sz w:val="21"/>
          <w:szCs w:val="21"/>
          <w:lang w:val="en-US" w:eastAsia="zh-CN" w:bidi="ar-SA"/>
        </w:rPr>
      </w:pPr>
      <w:r>
        <w:rPr>
          <w:rFonts w:hint="eastAsia" w:ascii="宋体" w:hAnsi="宋体" w:eastAsiaTheme="minorEastAsia" w:cstheme="minorBidi"/>
          <w:color w:val="auto"/>
          <w:kern w:val="2"/>
          <w:sz w:val="21"/>
          <w:szCs w:val="21"/>
          <w:lang w:val="en-US" w:eastAsia="zh-CN" w:bidi="ar-SA"/>
        </w:rPr>
        <w:t>（1）项目方案；（2）报价；（3）其它相关事项。</w:t>
      </w:r>
    </w:p>
    <w:p w14:paraId="3C18AE3D">
      <w:pPr>
        <w:pStyle w:val="34"/>
        <w:widowControl/>
        <w:numPr>
          <w:ilvl w:val="0"/>
          <w:numId w:val="0"/>
        </w:numPr>
        <w:spacing w:line="360" w:lineRule="auto"/>
        <w:ind w:leftChars="0"/>
        <w:jc w:val="left"/>
        <w:rPr>
          <w:rFonts w:hint="eastAsia" w:ascii="宋体" w:hAnsi="宋体" w:eastAsiaTheme="minorEastAsia" w:cstheme="minorBidi"/>
          <w:color w:val="auto"/>
          <w:kern w:val="2"/>
          <w:sz w:val="21"/>
          <w:szCs w:val="21"/>
          <w:lang w:val="en-US" w:eastAsia="zh-CN" w:bidi="ar-SA"/>
        </w:rPr>
      </w:pPr>
      <w:r>
        <w:rPr>
          <w:rFonts w:hint="eastAsia" w:ascii="宋体" w:hAnsi="宋体" w:eastAsiaTheme="minorEastAsia" w:cstheme="minorBidi"/>
          <w:color w:val="auto"/>
          <w:kern w:val="2"/>
          <w:sz w:val="21"/>
          <w:szCs w:val="21"/>
          <w:lang w:val="en-US" w:eastAsia="zh-CN" w:bidi="ar-SA"/>
        </w:rPr>
        <w:t>原</w:t>
      </w:r>
      <w:r>
        <w:rPr>
          <w:rFonts w:hint="eastAsia" w:ascii="宋体" w:hAnsi="宋体" w:cstheme="minorBidi"/>
          <w:color w:val="auto"/>
          <w:kern w:val="2"/>
          <w:sz w:val="21"/>
          <w:szCs w:val="21"/>
          <w:lang w:val="en-US" w:eastAsia="zh-CN" w:bidi="ar-SA"/>
        </w:rPr>
        <w:t>征集</w:t>
      </w:r>
      <w:r>
        <w:rPr>
          <w:rFonts w:hint="eastAsia" w:ascii="宋体" w:hAnsi="宋体" w:eastAsiaTheme="minorEastAsia" w:cstheme="minorBidi"/>
          <w:color w:val="auto"/>
          <w:kern w:val="2"/>
          <w:sz w:val="21"/>
          <w:szCs w:val="21"/>
          <w:lang w:val="en-US" w:eastAsia="zh-CN" w:bidi="ar-SA"/>
        </w:rPr>
        <w:t>文件或谈判邀请文件有实质性变动的，谈判小组应当通知供应商。</w:t>
      </w:r>
    </w:p>
    <w:p w14:paraId="1F14676C">
      <w:pPr>
        <w:pStyle w:val="34"/>
        <w:widowControl/>
        <w:numPr>
          <w:ilvl w:val="0"/>
          <w:numId w:val="0"/>
        </w:numPr>
        <w:spacing w:line="360" w:lineRule="auto"/>
        <w:ind w:leftChars="0"/>
        <w:jc w:val="left"/>
        <w:rPr>
          <w:rFonts w:hint="eastAsia" w:ascii="宋体" w:hAnsi="宋体" w:eastAsiaTheme="minorEastAsia" w:cstheme="minorBidi"/>
          <w:color w:val="auto"/>
          <w:kern w:val="2"/>
          <w:sz w:val="21"/>
          <w:szCs w:val="21"/>
          <w:lang w:val="en-US" w:eastAsia="zh-CN" w:bidi="ar-SA"/>
        </w:rPr>
      </w:pPr>
      <w:r>
        <w:rPr>
          <w:rFonts w:hint="eastAsia" w:ascii="宋体" w:hAnsi="宋体" w:eastAsiaTheme="minorEastAsia" w:cstheme="minorBidi"/>
          <w:color w:val="auto"/>
          <w:kern w:val="2"/>
          <w:sz w:val="21"/>
          <w:szCs w:val="21"/>
          <w:lang w:val="en-US" w:eastAsia="zh-CN" w:bidi="ar-SA"/>
        </w:rPr>
        <w:t>7.</w:t>
      </w:r>
      <w:r>
        <w:rPr>
          <w:rFonts w:hint="eastAsia" w:ascii="宋体" w:hAnsi="宋体" w:cstheme="minorBidi"/>
          <w:color w:val="auto"/>
          <w:kern w:val="2"/>
          <w:sz w:val="21"/>
          <w:szCs w:val="21"/>
          <w:lang w:val="en-US" w:eastAsia="zh-CN" w:bidi="ar-SA"/>
        </w:rPr>
        <w:t>2</w:t>
      </w:r>
      <w:r>
        <w:rPr>
          <w:rFonts w:hint="eastAsia" w:ascii="宋体" w:hAnsi="宋体" w:eastAsiaTheme="minorEastAsia" w:cstheme="minorBidi"/>
          <w:color w:val="auto"/>
          <w:kern w:val="2"/>
          <w:sz w:val="21"/>
          <w:szCs w:val="21"/>
          <w:lang w:val="en-US" w:eastAsia="zh-CN" w:bidi="ar-SA"/>
        </w:rPr>
        <w:t>.5. 谈判小组可以用书面形式要求供应商对其谈判应答文件含义不明确的内容作必要的澄清或者说明，重要问题供应商应以书面形式进行澄清、说明。</w:t>
      </w:r>
    </w:p>
    <w:p w14:paraId="3D25FB60">
      <w:pPr>
        <w:pStyle w:val="34"/>
        <w:widowControl/>
        <w:numPr>
          <w:ilvl w:val="0"/>
          <w:numId w:val="0"/>
        </w:numPr>
        <w:spacing w:line="360" w:lineRule="auto"/>
        <w:ind w:leftChars="0"/>
        <w:jc w:val="left"/>
        <w:rPr>
          <w:rFonts w:hint="eastAsia" w:ascii="宋体" w:hAnsi="宋体" w:eastAsiaTheme="minorEastAsia" w:cstheme="minorBidi"/>
          <w:color w:val="auto"/>
          <w:kern w:val="2"/>
          <w:sz w:val="21"/>
          <w:szCs w:val="21"/>
          <w:lang w:val="en-US" w:eastAsia="zh-CN" w:bidi="ar-SA"/>
        </w:rPr>
      </w:pPr>
      <w:r>
        <w:rPr>
          <w:rFonts w:hint="eastAsia" w:ascii="宋体" w:hAnsi="宋体" w:eastAsiaTheme="minorEastAsia" w:cstheme="minorBidi"/>
          <w:color w:val="auto"/>
          <w:kern w:val="2"/>
          <w:sz w:val="21"/>
          <w:szCs w:val="21"/>
          <w:lang w:val="en-US" w:eastAsia="zh-CN" w:bidi="ar-SA"/>
        </w:rPr>
        <w:t>7.</w:t>
      </w:r>
      <w:r>
        <w:rPr>
          <w:rFonts w:hint="eastAsia" w:ascii="宋体" w:hAnsi="宋体" w:cstheme="minorBidi"/>
          <w:color w:val="auto"/>
          <w:kern w:val="2"/>
          <w:sz w:val="21"/>
          <w:szCs w:val="21"/>
          <w:lang w:val="en-US" w:eastAsia="zh-CN" w:bidi="ar-SA"/>
        </w:rPr>
        <w:t>2</w:t>
      </w:r>
      <w:r>
        <w:rPr>
          <w:rFonts w:hint="eastAsia" w:ascii="宋体" w:hAnsi="宋体" w:eastAsiaTheme="minorEastAsia" w:cstheme="minorBidi"/>
          <w:color w:val="auto"/>
          <w:kern w:val="2"/>
          <w:sz w:val="21"/>
          <w:szCs w:val="21"/>
          <w:lang w:val="en-US" w:eastAsia="zh-CN" w:bidi="ar-SA"/>
        </w:rPr>
        <w:t>.6. 允许供应商在谈判结束之前根据谈判小组提出的内容进行澄清、修改或完善，或对项目方案进行相应的调整。</w:t>
      </w:r>
    </w:p>
    <w:p w14:paraId="09064B8D">
      <w:pPr>
        <w:pStyle w:val="34"/>
        <w:widowControl/>
        <w:numPr>
          <w:ilvl w:val="0"/>
          <w:numId w:val="0"/>
        </w:numPr>
        <w:spacing w:line="360" w:lineRule="auto"/>
        <w:ind w:leftChars="0"/>
        <w:jc w:val="left"/>
        <w:rPr>
          <w:rFonts w:hint="eastAsia" w:ascii="宋体" w:hAnsi="宋体" w:eastAsiaTheme="minorEastAsia" w:cstheme="minorBidi"/>
          <w:color w:val="auto"/>
          <w:kern w:val="2"/>
          <w:sz w:val="21"/>
          <w:szCs w:val="21"/>
          <w:lang w:val="en-US" w:eastAsia="zh-CN" w:bidi="ar-SA"/>
        </w:rPr>
      </w:pPr>
      <w:r>
        <w:rPr>
          <w:rFonts w:hint="eastAsia" w:ascii="宋体" w:hAnsi="宋体" w:eastAsiaTheme="minorEastAsia" w:cstheme="minorBidi"/>
          <w:color w:val="auto"/>
          <w:kern w:val="2"/>
          <w:sz w:val="21"/>
          <w:szCs w:val="21"/>
          <w:lang w:val="en-US" w:eastAsia="zh-CN" w:bidi="ar-SA"/>
        </w:rPr>
        <w:t>7.</w:t>
      </w:r>
      <w:r>
        <w:rPr>
          <w:rFonts w:hint="eastAsia" w:ascii="宋体" w:hAnsi="宋体" w:cstheme="minorBidi"/>
          <w:color w:val="auto"/>
          <w:kern w:val="2"/>
          <w:sz w:val="21"/>
          <w:szCs w:val="21"/>
          <w:lang w:val="en-US" w:eastAsia="zh-CN" w:bidi="ar-SA"/>
        </w:rPr>
        <w:t>2</w:t>
      </w:r>
      <w:r>
        <w:rPr>
          <w:rFonts w:hint="eastAsia" w:ascii="宋体" w:hAnsi="宋体" w:eastAsiaTheme="minorEastAsia" w:cstheme="minorBidi"/>
          <w:color w:val="auto"/>
          <w:kern w:val="2"/>
          <w:sz w:val="21"/>
          <w:szCs w:val="21"/>
          <w:lang w:val="en-US" w:eastAsia="zh-CN" w:bidi="ar-SA"/>
        </w:rPr>
        <w:t>.7. 供应商对谈判应答文件进行修改，都应形成文字材料，并经供应商谈判授权人签字认可。</w:t>
      </w:r>
    </w:p>
    <w:p w14:paraId="587108DD">
      <w:pPr>
        <w:pStyle w:val="34"/>
        <w:widowControl/>
        <w:numPr>
          <w:ilvl w:val="0"/>
          <w:numId w:val="0"/>
        </w:numPr>
        <w:spacing w:line="360" w:lineRule="auto"/>
        <w:ind w:leftChars="0"/>
        <w:jc w:val="left"/>
        <w:rPr>
          <w:rFonts w:hint="eastAsia" w:ascii="宋体" w:hAnsi="宋体" w:eastAsiaTheme="minorEastAsia" w:cstheme="minorBidi"/>
          <w:color w:val="auto"/>
          <w:kern w:val="2"/>
          <w:sz w:val="21"/>
          <w:szCs w:val="21"/>
          <w:lang w:val="en-US" w:eastAsia="zh-CN" w:bidi="ar-SA"/>
        </w:rPr>
      </w:pPr>
      <w:r>
        <w:rPr>
          <w:rFonts w:hint="eastAsia" w:ascii="宋体" w:hAnsi="宋体" w:eastAsiaTheme="minorEastAsia" w:cstheme="minorBidi"/>
          <w:color w:val="auto"/>
          <w:kern w:val="2"/>
          <w:sz w:val="21"/>
          <w:szCs w:val="21"/>
          <w:lang w:val="en-US" w:eastAsia="zh-CN" w:bidi="ar-SA"/>
        </w:rPr>
        <w:t>7.</w:t>
      </w:r>
      <w:r>
        <w:rPr>
          <w:rFonts w:hint="eastAsia" w:ascii="宋体" w:hAnsi="宋体" w:cstheme="minorBidi"/>
          <w:color w:val="auto"/>
          <w:kern w:val="2"/>
          <w:sz w:val="21"/>
          <w:szCs w:val="21"/>
          <w:lang w:val="en-US" w:eastAsia="zh-CN" w:bidi="ar-SA"/>
        </w:rPr>
        <w:t>2</w:t>
      </w:r>
      <w:r>
        <w:rPr>
          <w:rFonts w:hint="eastAsia" w:ascii="宋体" w:hAnsi="宋体" w:eastAsiaTheme="minorEastAsia" w:cstheme="minorBidi"/>
          <w:color w:val="auto"/>
          <w:kern w:val="2"/>
          <w:sz w:val="21"/>
          <w:szCs w:val="21"/>
          <w:lang w:val="en-US" w:eastAsia="zh-CN" w:bidi="ar-SA"/>
        </w:rPr>
        <w:t>.8. 谈判小组与单一来源供应商进行谈判。供应商有两次更改机会；供应商应在规定的时间内提出最后更改及书面承诺。</w:t>
      </w:r>
    </w:p>
    <w:p w14:paraId="68A2DE8E">
      <w:pPr>
        <w:pStyle w:val="34"/>
        <w:widowControl/>
        <w:numPr>
          <w:ilvl w:val="0"/>
          <w:numId w:val="0"/>
        </w:numPr>
        <w:spacing w:line="360" w:lineRule="auto"/>
        <w:ind w:leftChars="0"/>
        <w:jc w:val="left"/>
        <w:rPr>
          <w:rFonts w:hint="eastAsia" w:ascii="宋体" w:hAnsi="宋体" w:eastAsiaTheme="minorEastAsia" w:cstheme="minorBidi"/>
          <w:color w:val="auto"/>
          <w:kern w:val="2"/>
          <w:sz w:val="21"/>
          <w:szCs w:val="21"/>
          <w:lang w:val="en-US" w:eastAsia="zh-CN" w:bidi="ar-SA"/>
        </w:rPr>
      </w:pPr>
      <w:r>
        <w:rPr>
          <w:rFonts w:hint="eastAsia" w:ascii="宋体" w:hAnsi="宋体" w:eastAsiaTheme="minorEastAsia" w:cstheme="minorBidi"/>
          <w:color w:val="auto"/>
          <w:kern w:val="2"/>
          <w:sz w:val="21"/>
          <w:szCs w:val="21"/>
          <w:lang w:val="en-US" w:eastAsia="zh-CN" w:bidi="ar-SA"/>
        </w:rPr>
        <w:t>7.</w:t>
      </w:r>
      <w:r>
        <w:rPr>
          <w:rFonts w:hint="eastAsia" w:ascii="宋体" w:hAnsi="宋体" w:cstheme="minorBidi"/>
          <w:color w:val="auto"/>
          <w:kern w:val="2"/>
          <w:sz w:val="21"/>
          <w:szCs w:val="21"/>
          <w:lang w:val="en-US" w:eastAsia="zh-CN" w:bidi="ar-SA"/>
        </w:rPr>
        <w:t>2</w:t>
      </w:r>
      <w:r>
        <w:rPr>
          <w:rFonts w:hint="eastAsia" w:ascii="宋体" w:hAnsi="宋体" w:eastAsiaTheme="minorEastAsia" w:cstheme="minorBidi"/>
          <w:color w:val="auto"/>
          <w:kern w:val="2"/>
          <w:sz w:val="21"/>
          <w:szCs w:val="21"/>
          <w:lang w:val="en-US" w:eastAsia="zh-CN" w:bidi="ar-SA"/>
        </w:rPr>
        <w:t>.9. 有下列情形之一的，供应商的谈判结果作废标处理，具体内容见原</w:t>
      </w:r>
      <w:r>
        <w:rPr>
          <w:rFonts w:hint="eastAsia" w:ascii="宋体" w:hAnsi="宋体" w:cstheme="minorBidi"/>
          <w:color w:val="auto"/>
          <w:kern w:val="2"/>
          <w:sz w:val="21"/>
          <w:szCs w:val="21"/>
          <w:lang w:val="en-US" w:eastAsia="zh-CN" w:bidi="ar-SA"/>
        </w:rPr>
        <w:t>征集</w:t>
      </w:r>
      <w:r>
        <w:rPr>
          <w:rFonts w:hint="eastAsia" w:ascii="宋体" w:hAnsi="宋体" w:eastAsiaTheme="minorEastAsia" w:cstheme="minorBidi"/>
          <w:color w:val="auto"/>
          <w:kern w:val="2"/>
          <w:sz w:val="21"/>
          <w:szCs w:val="21"/>
          <w:lang w:val="en-US" w:eastAsia="zh-CN" w:bidi="ar-SA"/>
        </w:rPr>
        <w:t>文件中投标文件初审表的《符合性检查表》部分以及谈判邀请中相应的变动部分。</w:t>
      </w:r>
    </w:p>
    <w:p w14:paraId="5FCC98A6">
      <w:pPr>
        <w:pStyle w:val="34"/>
        <w:widowControl/>
        <w:numPr>
          <w:ilvl w:val="0"/>
          <w:numId w:val="0"/>
        </w:numPr>
        <w:spacing w:line="360" w:lineRule="auto"/>
        <w:ind w:leftChars="0"/>
        <w:jc w:val="left"/>
        <w:rPr>
          <w:rFonts w:hint="eastAsia" w:ascii="宋体" w:hAnsi="宋体" w:eastAsiaTheme="minorEastAsia" w:cstheme="minorBidi"/>
          <w:color w:val="auto"/>
          <w:kern w:val="2"/>
          <w:sz w:val="21"/>
          <w:szCs w:val="21"/>
          <w:lang w:val="en-US" w:eastAsia="zh-CN" w:bidi="ar-SA"/>
        </w:rPr>
      </w:pPr>
      <w:r>
        <w:rPr>
          <w:rFonts w:hint="eastAsia" w:ascii="宋体" w:hAnsi="宋体" w:eastAsiaTheme="minorEastAsia" w:cstheme="minorBidi"/>
          <w:color w:val="auto"/>
          <w:kern w:val="2"/>
          <w:sz w:val="21"/>
          <w:szCs w:val="21"/>
          <w:lang w:val="en-US" w:eastAsia="zh-CN" w:bidi="ar-SA"/>
        </w:rPr>
        <w:t>7.</w:t>
      </w:r>
      <w:r>
        <w:rPr>
          <w:rFonts w:hint="eastAsia" w:ascii="宋体" w:hAnsi="宋体" w:cstheme="minorBidi"/>
          <w:color w:val="auto"/>
          <w:kern w:val="2"/>
          <w:sz w:val="21"/>
          <w:szCs w:val="21"/>
          <w:lang w:val="en-US" w:eastAsia="zh-CN" w:bidi="ar-SA"/>
        </w:rPr>
        <w:t>2</w:t>
      </w:r>
      <w:r>
        <w:rPr>
          <w:rFonts w:hint="eastAsia" w:ascii="宋体" w:hAnsi="宋体" w:eastAsiaTheme="minorEastAsia" w:cstheme="minorBidi"/>
          <w:color w:val="auto"/>
          <w:kern w:val="2"/>
          <w:sz w:val="21"/>
          <w:szCs w:val="21"/>
          <w:lang w:val="en-US" w:eastAsia="zh-CN" w:bidi="ar-SA"/>
        </w:rPr>
        <w:t>.10. 谈判结束后，谈判小组根据供应商提供的谈判应答文件、谈判过程中产生的相关资料，对供应商谈判应答文件进行评估与比较，提出书面评审意见。</w:t>
      </w:r>
    </w:p>
    <w:p w14:paraId="000A1687">
      <w:pPr>
        <w:pStyle w:val="34"/>
        <w:widowControl/>
        <w:numPr>
          <w:ilvl w:val="0"/>
          <w:numId w:val="0"/>
        </w:numPr>
        <w:spacing w:line="360" w:lineRule="auto"/>
        <w:ind w:leftChars="0"/>
        <w:jc w:val="left"/>
        <w:rPr>
          <w:rFonts w:hint="eastAsia" w:ascii="宋体" w:hAnsi="宋体" w:eastAsiaTheme="minorEastAsia" w:cstheme="minorBidi"/>
          <w:color w:val="auto"/>
          <w:kern w:val="2"/>
          <w:sz w:val="21"/>
          <w:szCs w:val="21"/>
          <w:lang w:val="en-US" w:eastAsia="zh-CN" w:bidi="ar-SA"/>
        </w:rPr>
      </w:pPr>
      <w:r>
        <w:rPr>
          <w:rFonts w:hint="eastAsia" w:ascii="宋体" w:hAnsi="宋体" w:eastAsiaTheme="minorEastAsia" w:cstheme="minorBidi"/>
          <w:color w:val="auto"/>
          <w:kern w:val="2"/>
          <w:sz w:val="21"/>
          <w:szCs w:val="21"/>
          <w:lang w:val="en-US" w:eastAsia="zh-CN" w:bidi="ar-SA"/>
        </w:rPr>
        <w:t>7.</w:t>
      </w:r>
      <w:r>
        <w:rPr>
          <w:rFonts w:hint="eastAsia" w:ascii="宋体" w:hAnsi="宋体" w:cstheme="minorBidi"/>
          <w:color w:val="auto"/>
          <w:kern w:val="2"/>
          <w:sz w:val="21"/>
          <w:szCs w:val="21"/>
          <w:lang w:val="en-US" w:eastAsia="zh-CN" w:bidi="ar-SA"/>
        </w:rPr>
        <w:t>2</w:t>
      </w:r>
      <w:r>
        <w:rPr>
          <w:rFonts w:hint="eastAsia" w:ascii="宋体" w:hAnsi="宋体" w:eastAsiaTheme="minorEastAsia" w:cstheme="minorBidi"/>
          <w:color w:val="auto"/>
          <w:kern w:val="2"/>
          <w:sz w:val="21"/>
          <w:szCs w:val="21"/>
          <w:lang w:val="en-US" w:eastAsia="zh-CN" w:bidi="ar-SA"/>
        </w:rPr>
        <w:t>.11. 谈判小组将对谈判过程进行记录，以存档备查。</w:t>
      </w:r>
    </w:p>
    <w:p w14:paraId="32D66409">
      <w:pPr>
        <w:pStyle w:val="34"/>
        <w:widowControl/>
        <w:numPr>
          <w:ilvl w:val="0"/>
          <w:numId w:val="0"/>
        </w:numPr>
        <w:spacing w:line="360" w:lineRule="auto"/>
        <w:ind w:leftChars="0"/>
        <w:jc w:val="left"/>
        <w:rPr>
          <w:rFonts w:hint="default" w:ascii="宋体" w:hAnsi="宋体" w:eastAsiaTheme="minorEastAsia" w:cstheme="minorBidi"/>
          <w:color w:val="auto"/>
          <w:kern w:val="2"/>
          <w:sz w:val="21"/>
          <w:szCs w:val="21"/>
          <w:lang w:val="en-US" w:eastAsia="zh-CN" w:bidi="ar-SA"/>
        </w:rPr>
      </w:pPr>
      <w:r>
        <w:rPr>
          <w:rFonts w:hint="eastAsia" w:ascii="宋体" w:hAnsi="宋体" w:eastAsiaTheme="minorEastAsia" w:cstheme="minorBidi"/>
          <w:color w:val="auto"/>
          <w:kern w:val="2"/>
          <w:sz w:val="21"/>
          <w:szCs w:val="21"/>
          <w:lang w:val="en-US" w:eastAsia="zh-CN" w:bidi="ar-SA"/>
        </w:rPr>
        <w:t>7.</w:t>
      </w:r>
      <w:r>
        <w:rPr>
          <w:rFonts w:hint="eastAsia" w:ascii="宋体" w:hAnsi="宋体" w:cstheme="minorBidi"/>
          <w:color w:val="auto"/>
          <w:kern w:val="2"/>
          <w:sz w:val="21"/>
          <w:szCs w:val="21"/>
          <w:lang w:val="en-US" w:eastAsia="zh-CN" w:bidi="ar-SA"/>
        </w:rPr>
        <w:t>2</w:t>
      </w:r>
      <w:r>
        <w:rPr>
          <w:rFonts w:hint="eastAsia" w:ascii="宋体" w:hAnsi="宋体" w:eastAsiaTheme="minorEastAsia" w:cstheme="minorBidi"/>
          <w:color w:val="auto"/>
          <w:kern w:val="2"/>
          <w:sz w:val="21"/>
          <w:szCs w:val="21"/>
          <w:lang w:val="en-US" w:eastAsia="zh-CN" w:bidi="ar-SA"/>
        </w:rPr>
        <w:t>.12. 单一来源谈判采用最低价法。原</w:t>
      </w:r>
      <w:r>
        <w:rPr>
          <w:rFonts w:hint="eastAsia" w:ascii="宋体" w:hAnsi="宋体" w:cstheme="minorBidi"/>
          <w:color w:val="auto"/>
          <w:kern w:val="2"/>
          <w:sz w:val="21"/>
          <w:szCs w:val="21"/>
          <w:lang w:val="en-US" w:eastAsia="zh-CN" w:bidi="ar-SA"/>
        </w:rPr>
        <w:t>征集</w:t>
      </w:r>
      <w:r>
        <w:rPr>
          <w:rFonts w:hint="eastAsia" w:ascii="宋体" w:hAnsi="宋体" w:eastAsiaTheme="minorEastAsia" w:cstheme="minorBidi"/>
          <w:color w:val="auto"/>
          <w:kern w:val="2"/>
          <w:sz w:val="21"/>
          <w:szCs w:val="21"/>
          <w:lang w:val="en-US" w:eastAsia="zh-CN" w:bidi="ar-SA"/>
        </w:rPr>
        <w:t>文件若采用最低价法以外的评标方法，转为单一来源后，评标方法改为最低价法。谈判小组对谈判应答文件进行评审和比较，对供应商最终的方案、服务和投资等谈判结果按最低价法进行评审。</w:t>
      </w:r>
    </w:p>
    <w:p w14:paraId="09AD85D9">
      <w:pPr>
        <w:tabs>
          <w:tab w:val="left" w:pos="426"/>
        </w:tabs>
        <w:spacing w:line="300" w:lineRule="auto"/>
        <w:rPr>
          <w:rFonts w:hint="eastAsia" w:ascii="宋体" w:hAnsi="宋体" w:eastAsiaTheme="minorEastAsia" w:cstheme="minorBidi"/>
          <w:color w:val="auto"/>
          <w:kern w:val="2"/>
          <w:sz w:val="21"/>
          <w:szCs w:val="21"/>
          <w:lang w:val="en-US" w:eastAsia="zh-CN" w:bidi="ar-SA"/>
        </w:rPr>
      </w:pPr>
      <w:r>
        <w:rPr>
          <w:rFonts w:hint="eastAsia" w:ascii="宋体" w:hAnsi="宋体" w:eastAsiaTheme="minorEastAsia" w:cstheme="minorBidi"/>
          <w:color w:val="auto"/>
          <w:kern w:val="2"/>
          <w:sz w:val="21"/>
          <w:szCs w:val="21"/>
          <w:lang w:val="en-US" w:eastAsia="zh-CN" w:bidi="ar-SA"/>
        </w:rPr>
        <w:t>7.</w:t>
      </w:r>
      <w:r>
        <w:rPr>
          <w:rFonts w:hint="eastAsia" w:ascii="宋体" w:hAnsi="宋体" w:cstheme="minorBidi"/>
          <w:color w:val="auto"/>
          <w:kern w:val="2"/>
          <w:sz w:val="21"/>
          <w:szCs w:val="21"/>
          <w:lang w:val="en-US" w:eastAsia="zh-CN" w:bidi="ar-SA"/>
        </w:rPr>
        <w:t>3</w:t>
      </w:r>
      <w:r>
        <w:rPr>
          <w:rFonts w:hint="eastAsia" w:ascii="宋体" w:hAnsi="宋体" w:eastAsiaTheme="minorEastAsia" w:cstheme="minorBidi"/>
          <w:color w:val="auto"/>
          <w:kern w:val="2"/>
          <w:sz w:val="21"/>
          <w:szCs w:val="21"/>
          <w:lang w:val="en-US" w:eastAsia="zh-CN" w:bidi="ar-SA"/>
        </w:rPr>
        <w:t>. 该项目候选中标供应商数量为两家，中标供应商</w:t>
      </w:r>
      <w:r>
        <w:rPr>
          <w:rFonts w:hint="eastAsia" w:ascii="宋体" w:hAnsi="宋体" w:cstheme="minorBidi"/>
          <w:color w:val="auto"/>
          <w:kern w:val="2"/>
          <w:sz w:val="21"/>
          <w:szCs w:val="21"/>
          <w:lang w:val="en-US" w:eastAsia="zh-CN" w:bidi="ar-SA"/>
        </w:rPr>
        <w:t>数量为一家</w:t>
      </w:r>
      <w:r>
        <w:rPr>
          <w:rFonts w:hint="eastAsia" w:ascii="宋体" w:hAnsi="宋体" w:eastAsiaTheme="minorEastAsia" w:cstheme="minorBidi"/>
          <w:color w:val="auto"/>
          <w:kern w:val="2"/>
          <w:sz w:val="21"/>
          <w:szCs w:val="21"/>
          <w:lang w:val="en-US" w:eastAsia="zh-CN" w:bidi="ar-SA"/>
        </w:rPr>
        <w:t>。</w:t>
      </w:r>
    </w:p>
    <w:p w14:paraId="08F66036">
      <w:pPr>
        <w:pStyle w:val="34"/>
        <w:widowControl/>
        <w:numPr>
          <w:ilvl w:val="0"/>
          <w:numId w:val="0"/>
        </w:numPr>
        <w:spacing w:line="360" w:lineRule="auto"/>
        <w:ind w:leftChars="0"/>
        <w:jc w:val="left"/>
        <w:rPr>
          <w:rFonts w:hint="eastAsia" w:ascii="宋体" w:hAnsi="宋体" w:eastAsiaTheme="minorEastAsia" w:cstheme="minorBidi"/>
          <w:color w:val="auto"/>
          <w:kern w:val="2"/>
          <w:sz w:val="21"/>
          <w:szCs w:val="21"/>
          <w:lang w:val="en-US" w:eastAsia="zh-CN" w:bidi="ar-SA"/>
        </w:rPr>
      </w:pPr>
      <w:r>
        <w:rPr>
          <w:rFonts w:hint="eastAsia" w:ascii="宋体" w:hAnsi="宋体" w:eastAsiaTheme="minorEastAsia" w:cstheme="minorBidi"/>
          <w:color w:val="auto"/>
          <w:kern w:val="2"/>
          <w:sz w:val="21"/>
          <w:szCs w:val="21"/>
          <w:lang w:val="en-US" w:eastAsia="zh-CN" w:bidi="ar-SA"/>
        </w:rPr>
        <w:t>7.</w:t>
      </w:r>
      <w:r>
        <w:rPr>
          <w:rFonts w:hint="eastAsia" w:ascii="宋体" w:hAnsi="宋体" w:cstheme="minorBidi"/>
          <w:color w:val="auto"/>
          <w:kern w:val="2"/>
          <w:sz w:val="21"/>
          <w:szCs w:val="21"/>
          <w:lang w:val="en-US" w:eastAsia="zh-CN" w:bidi="ar-SA"/>
        </w:rPr>
        <w:t>4</w:t>
      </w:r>
      <w:r>
        <w:rPr>
          <w:rFonts w:hint="eastAsia" w:ascii="宋体" w:hAnsi="宋体" w:eastAsiaTheme="minorEastAsia" w:cstheme="minorBidi"/>
          <w:color w:val="auto"/>
          <w:kern w:val="2"/>
          <w:sz w:val="21"/>
          <w:szCs w:val="21"/>
          <w:lang w:val="en-US" w:eastAsia="zh-CN" w:bidi="ar-SA"/>
        </w:rPr>
        <w:t>. 评标委员会推荐排名第一的投标人为中标供应商，排名第二的投标人为候选中标供应商。中标供应商放弃中标资格的或中标资格被依法确认无效的，因情况紧急，重新组织采购不能满足采购人要求时，可依法从其他候选中标供应商中确定替补中标供应商。</w:t>
      </w:r>
    </w:p>
    <w:p w14:paraId="54B4AF37">
      <w:pPr>
        <w:pStyle w:val="34"/>
        <w:widowControl/>
        <w:numPr>
          <w:ilvl w:val="0"/>
          <w:numId w:val="0"/>
        </w:numPr>
        <w:spacing w:line="360" w:lineRule="auto"/>
        <w:ind w:leftChars="0"/>
        <w:jc w:val="left"/>
        <w:rPr>
          <w:rFonts w:hint="eastAsia" w:ascii="宋体" w:hAnsi="宋体" w:eastAsiaTheme="minorEastAsia" w:cstheme="minorBidi"/>
          <w:color w:val="auto"/>
          <w:kern w:val="2"/>
          <w:sz w:val="21"/>
          <w:szCs w:val="21"/>
          <w:lang w:val="en-US" w:eastAsia="zh-CN" w:bidi="ar-SA"/>
        </w:rPr>
      </w:pPr>
      <w:r>
        <w:rPr>
          <w:rFonts w:hint="eastAsia" w:ascii="宋体" w:hAnsi="宋体" w:eastAsiaTheme="minorEastAsia" w:cstheme="minorBidi"/>
          <w:color w:val="auto"/>
          <w:kern w:val="2"/>
          <w:sz w:val="21"/>
          <w:szCs w:val="21"/>
          <w:lang w:val="en-US" w:eastAsia="zh-CN" w:bidi="ar-SA"/>
        </w:rPr>
        <w:t>7.</w:t>
      </w:r>
      <w:r>
        <w:rPr>
          <w:rFonts w:hint="eastAsia" w:ascii="宋体" w:hAnsi="宋体" w:cstheme="minorBidi"/>
          <w:color w:val="auto"/>
          <w:kern w:val="2"/>
          <w:sz w:val="21"/>
          <w:szCs w:val="21"/>
          <w:lang w:val="en-US" w:eastAsia="zh-CN" w:bidi="ar-SA"/>
        </w:rPr>
        <w:t>5</w:t>
      </w:r>
      <w:r>
        <w:rPr>
          <w:rFonts w:hint="eastAsia" w:ascii="宋体" w:hAnsi="宋体" w:eastAsiaTheme="minorEastAsia" w:cstheme="minorBidi"/>
          <w:color w:val="auto"/>
          <w:kern w:val="2"/>
          <w:sz w:val="21"/>
          <w:szCs w:val="21"/>
          <w:lang w:val="en-US" w:eastAsia="zh-CN" w:bidi="ar-SA"/>
        </w:rPr>
        <w:t>. 本项目不</w:t>
      </w:r>
      <w:r>
        <w:rPr>
          <w:rFonts w:hint="eastAsia" w:ascii="宋体" w:hAnsi="宋体" w:cstheme="minorBidi"/>
          <w:color w:val="auto"/>
          <w:kern w:val="2"/>
          <w:sz w:val="21"/>
          <w:szCs w:val="21"/>
          <w:lang w:val="en-US" w:eastAsia="zh-CN" w:bidi="ar-SA"/>
        </w:rPr>
        <w:t>组织</w:t>
      </w:r>
      <w:r>
        <w:rPr>
          <w:rFonts w:hint="eastAsia" w:ascii="宋体" w:hAnsi="宋体" w:eastAsiaTheme="minorEastAsia" w:cstheme="minorBidi"/>
          <w:color w:val="auto"/>
          <w:kern w:val="2"/>
          <w:sz w:val="21"/>
          <w:szCs w:val="21"/>
          <w:lang w:val="en-US" w:eastAsia="zh-CN" w:bidi="ar-SA"/>
        </w:rPr>
        <w:t>现场踏勘</w:t>
      </w:r>
      <w:r>
        <w:rPr>
          <w:rFonts w:hint="eastAsia" w:ascii="宋体" w:hAnsi="宋体" w:cstheme="minorBidi"/>
          <w:color w:val="auto"/>
          <w:kern w:val="2"/>
          <w:sz w:val="21"/>
          <w:szCs w:val="21"/>
          <w:lang w:val="en-US" w:eastAsia="zh-CN" w:bidi="ar-SA"/>
        </w:rPr>
        <w:t>、</w:t>
      </w:r>
      <w:r>
        <w:rPr>
          <w:rFonts w:hint="eastAsia" w:ascii="宋体" w:hAnsi="宋体" w:eastAsiaTheme="minorEastAsia" w:cstheme="minorBidi"/>
          <w:color w:val="auto"/>
          <w:kern w:val="2"/>
          <w:sz w:val="21"/>
          <w:szCs w:val="21"/>
          <w:lang w:val="en-US" w:eastAsia="zh-CN" w:bidi="ar-SA"/>
        </w:rPr>
        <w:t>不安排现场演示。</w:t>
      </w:r>
    </w:p>
    <w:p w14:paraId="26CC7918">
      <w:pPr>
        <w:pStyle w:val="9"/>
        <w:rPr>
          <w:rFonts w:hint="eastAsia" w:ascii="宋体" w:hAnsi="宋体" w:eastAsiaTheme="minorEastAsia" w:cstheme="minorBidi"/>
          <w:color w:val="auto"/>
          <w:kern w:val="2"/>
          <w:sz w:val="21"/>
          <w:szCs w:val="21"/>
          <w:lang w:val="en-US" w:eastAsia="zh-CN" w:bidi="ar-SA"/>
        </w:rPr>
      </w:pPr>
      <w:r>
        <w:rPr>
          <w:rFonts w:hint="eastAsia" w:ascii="宋体" w:hAnsi="宋体" w:eastAsiaTheme="minorEastAsia" w:cstheme="minorBidi"/>
          <w:color w:val="auto"/>
          <w:kern w:val="2"/>
          <w:sz w:val="21"/>
          <w:szCs w:val="21"/>
          <w:lang w:val="en-US" w:eastAsia="zh-CN" w:bidi="ar-SA"/>
        </w:rPr>
        <w:t>7.</w:t>
      </w:r>
      <w:r>
        <w:rPr>
          <w:rFonts w:hint="eastAsia" w:ascii="宋体" w:hAnsi="宋体" w:cstheme="minorBidi"/>
          <w:color w:val="auto"/>
          <w:kern w:val="2"/>
          <w:sz w:val="21"/>
          <w:szCs w:val="21"/>
          <w:lang w:val="en-US" w:eastAsia="zh-CN" w:bidi="ar-SA"/>
        </w:rPr>
        <w:t>6</w:t>
      </w:r>
      <w:r>
        <w:rPr>
          <w:rFonts w:hint="eastAsia" w:ascii="宋体" w:hAnsi="宋体" w:eastAsiaTheme="minorEastAsia" w:cstheme="minorBidi"/>
          <w:color w:val="auto"/>
          <w:kern w:val="2"/>
          <w:sz w:val="21"/>
          <w:szCs w:val="21"/>
          <w:lang w:val="en-US" w:eastAsia="zh-CN" w:bidi="ar-SA"/>
        </w:rPr>
        <w:t>. 本项目资金来源为</w:t>
      </w:r>
      <w:r>
        <w:rPr>
          <w:rFonts w:hint="eastAsia"/>
          <w:lang w:val="en-US" w:eastAsia="zh-CN"/>
        </w:rPr>
        <w:t>政府预算资金</w:t>
      </w:r>
      <w:r>
        <w:rPr>
          <w:rFonts w:hint="eastAsia" w:ascii="宋体" w:hAnsi="宋体" w:eastAsiaTheme="minorEastAsia" w:cstheme="minorBidi"/>
          <w:color w:val="auto"/>
          <w:kern w:val="2"/>
          <w:sz w:val="21"/>
          <w:szCs w:val="21"/>
          <w:lang w:val="en-US" w:eastAsia="zh-CN" w:bidi="ar-SA"/>
        </w:rPr>
        <w:t>。</w:t>
      </w:r>
    </w:p>
    <w:p w14:paraId="1146D06E">
      <w:pPr>
        <w:pStyle w:val="34"/>
        <w:widowControl/>
        <w:numPr>
          <w:ilvl w:val="0"/>
          <w:numId w:val="0"/>
        </w:numPr>
        <w:spacing w:line="360" w:lineRule="auto"/>
        <w:ind w:leftChars="0"/>
        <w:jc w:val="left"/>
        <w:rPr>
          <w:rFonts w:hint="eastAsia" w:ascii="宋体" w:hAnsi="宋体" w:eastAsiaTheme="minorEastAsia" w:cstheme="minorBidi"/>
          <w:color w:val="auto"/>
          <w:kern w:val="2"/>
          <w:sz w:val="21"/>
          <w:szCs w:val="21"/>
          <w:lang w:val="en-US" w:eastAsia="zh-CN" w:bidi="ar-SA"/>
        </w:rPr>
      </w:pPr>
      <w:r>
        <w:rPr>
          <w:rFonts w:hint="eastAsia" w:ascii="宋体" w:hAnsi="宋体" w:eastAsiaTheme="minorEastAsia" w:cstheme="minorBidi"/>
          <w:color w:val="auto"/>
          <w:kern w:val="2"/>
          <w:sz w:val="21"/>
          <w:szCs w:val="21"/>
          <w:lang w:val="en-US" w:eastAsia="zh-CN" w:bidi="ar-SA"/>
        </w:rPr>
        <w:t>7.</w:t>
      </w:r>
      <w:r>
        <w:rPr>
          <w:rFonts w:hint="eastAsia" w:ascii="宋体" w:hAnsi="宋体" w:cstheme="minorBidi"/>
          <w:color w:val="auto"/>
          <w:kern w:val="2"/>
          <w:sz w:val="21"/>
          <w:szCs w:val="21"/>
          <w:lang w:val="en-US" w:eastAsia="zh-CN" w:bidi="ar-SA"/>
        </w:rPr>
        <w:t>7</w:t>
      </w:r>
      <w:r>
        <w:rPr>
          <w:rFonts w:hint="eastAsia" w:ascii="宋体" w:hAnsi="宋体" w:eastAsiaTheme="minorEastAsia" w:cstheme="minorBidi"/>
          <w:color w:val="auto"/>
          <w:kern w:val="2"/>
          <w:sz w:val="21"/>
          <w:szCs w:val="21"/>
          <w:lang w:val="en-US" w:eastAsia="zh-CN" w:bidi="ar-SA"/>
        </w:rPr>
        <w:t>. 本项目投标有效期从提交投标文件的截止之日起120日历日内有效。</w:t>
      </w:r>
    </w:p>
    <w:p w14:paraId="3CAB0B6D">
      <w:pPr>
        <w:pStyle w:val="34"/>
        <w:widowControl/>
        <w:numPr>
          <w:ilvl w:val="0"/>
          <w:numId w:val="0"/>
        </w:numPr>
        <w:spacing w:line="360" w:lineRule="auto"/>
        <w:ind w:leftChars="0"/>
        <w:jc w:val="left"/>
        <w:rPr>
          <w:rFonts w:hint="eastAsia" w:ascii="宋体" w:hAnsi="宋体" w:eastAsiaTheme="minorEastAsia" w:cstheme="minorBidi"/>
          <w:color w:val="auto"/>
          <w:kern w:val="2"/>
          <w:sz w:val="21"/>
          <w:szCs w:val="21"/>
          <w:lang w:val="en-US" w:eastAsia="zh-CN" w:bidi="ar-SA"/>
        </w:rPr>
      </w:pPr>
      <w:r>
        <w:rPr>
          <w:rFonts w:hint="eastAsia" w:ascii="宋体" w:hAnsi="宋体" w:eastAsiaTheme="minorEastAsia" w:cstheme="minorBidi"/>
          <w:color w:val="auto"/>
          <w:kern w:val="2"/>
          <w:sz w:val="21"/>
          <w:szCs w:val="21"/>
          <w:lang w:val="en-US" w:eastAsia="zh-CN" w:bidi="ar-SA"/>
        </w:rPr>
        <w:t>7.</w:t>
      </w:r>
      <w:r>
        <w:rPr>
          <w:rFonts w:hint="eastAsia" w:ascii="宋体" w:hAnsi="宋体" w:cstheme="minorBidi"/>
          <w:color w:val="auto"/>
          <w:kern w:val="2"/>
          <w:sz w:val="21"/>
          <w:szCs w:val="21"/>
          <w:lang w:val="en-US" w:eastAsia="zh-CN" w:bidi="ar-SA"/>
        </w:rPr>
        <w:t>8</w:t>
      </w:r>
      <w:r>
        <w:rPr>
          <w:rFonts w:hint="eastAsia" w:ascii="宋体" w:hAnsi="宋体" w:eastAsiaTheme="minorEastAsia" w:cstheme="minorBidi"/>
          <w:color w:val="auto"/>
          <w:kern w:val="2"/>
          <w:sz w:val="21"/>
          <w:szCs w:val="21"/>
          <w:lang w:val="en-US" w:eastAsia="zh-CN" w:bidi="ar-SA"/>
        </w:rPr>
        <w:t>. 本项目不允许提交备选方案或替代方案。</w:t>
      </w:r>
    </w:p>
    <w:p w14:paraId="4C5400BE">
      <w:pPr>
        <w:pStyle w:val="34"/>
        <w:widowControl/>
        <w:numPr>
          <w:ilvl w:val="0"/>
          <w:numId w:val="0"/>
        </w:numPr>
        <w:spacing w:line="360" w:lineRule="auto"/>
        <w:ind w:leftChars="0"/>
        <w:jc w:val="left"/>
        <w:rPr>
          <w:rFonts w:hint="eastAsia" w:ascii="宋体" w:hAnsi="宋体" w:cstheme="minorBidi"/>
          <w:color w:val="auto"/>
          <w:kern w:val="2"/>
          <w:sz w:val="21"/>
          <w:szCs w:val="21"/>
          <w:lang w:val="en-US" w:eastAsia="zh-CN" w:bidi="ar-SA"/>
        </w:rPr>
      </w:pPr>
      <w:r>
        <w:rPr>
          <w:rFonts w:hint="eastAsia" w:ascii="宋体" w:hAnsi="宋体" w:eastAsiaTheme="minorEastAsia" w:cstheme="minorBidi"/>
          <w:color w:val="auto"/>
          <w:kern w:val="2"/>
          <w:sz w:val="21"/>
          <w:szCs w:val="21"/>
          <w:lang w:val="en-US" w:eastAsia="zh-CN" w:bidi="ar-SA"/>
        </w:rPr>
        <w:t>7.</w:t>
      </w:r>
      <w:r>
        <w:rPr>
          <w:rFonts w:hint="eastAsia" w:ascii="宋体" w:hAnsi="宋体" w:cstheme="minorBidi"/>
          <w:color w:val="auto"/>
          <w:kern w:val="2"/>
          <w:sz w:val="21"/>
          <w:szCs w:val="21"/>
          <w:lang w:val="en-US" w:eastAsia="zh-CN" w:bidi="ar-SA"/>
        </w:rPr>
        <w:t>9</w:t>
      </w:r>
      <w:r>
        <w:rPr>
          <w:rFonts w:hint="eastAsia" w:ascii="宋体" w:hAnsi="宋体" w:eastAsiaTheme="minorEastAsia" w:cstheme="minorBidi"/>
          <w:color w:val="auto"/>
          <w:kern w:val="2"/>
          <w:sz w:val="21"/>
          <w:szCs w:val="21"/>
          <w:lang w:val="en-US" w:eastAsia="zh-CN" w:bidi="ar-SA"/>
        </w:rPr>
        <w:t>.</w:t>
      </w:r>
      <w:r>
        <w:rPr>
          <w:rFonts w:hint="eastAsia" w:ascii="宋体" w:hAnsi="宋体" w:cstheme="minorBidi"/>
          <w:color w:val="auto"/>
          <w:kern w:val="2"/>
          <w:sz w:val="21"/>
          <w:szCs w:val="21"/>
          <w:lang w:val="en-US" w:eastAsia="zh-CN" w:bidi="ar-SA"/>
        </w:rPr>
        <w:t xml:space="preserve"> 本</w:t>
      </w:r>
      <w:r>
        <w:rPr>
          <w:rFonts w:hint="eastAsia" w:ascii="宋体" w:hAnsi="宋体" w:eastAsiaTheme="minorEastAsia" w:cstheme="minorBidi"/>
          <w:color w:val="auto"/>
          <w:kern w:val="2"/>
          <w:sz w:val="21"/>
          <w:szCs w:val="21"/>
          <w:lang w:val="en-US" w:eastAsia="zh-CN" w:bidi="ar-SA"/>
        </w:rPr>
        <w:t>项目评标方法</w:t>
      </w:r>
      <w:r>
        <w:rPr>
          <w:rFonts w:hint="eastAsia" w:ascii="宋体" w:hAnsi="宋体" w:cstheme="minorBidi"/>
          <w:color w:val="auto"/>
          <w:kern w:val="2"/>
          <w:sz w:val="21"/>
          <w:szCs w:val="21"/>
          <w:lang w:val="en-US" w:eastAsia="zh-CN" w:bidi="ar-SA"/>
        </w:rPr>
        <w:t>为综合评分法。</w:t>
      </w:r>
    </w:p>
    <w:p w14:paraId="4C0C2E69">
      <w:pPr>
        <w:pStyle w:val="34"/>
        <w:widowControl/>
        <w:numPr>
          <w:ilvl w:val="0"/>
          <w:numId w:val="0"/>
        </w:numPr>
        <w:spacing w:line="360" w:lineRule="auto"/>
        <w:ind w:leftChars="0"/>
        <w:jc w:val="left"/>
        <w:rPr>
          <w:rFonts w:hint="default" w:ascii="宋体" w:hAnsi="宋体" w:cstheme="minorBidi"/>
          <w:color w:val="auto"/>
          <w:kern w:val="2"/>
          <w:sz w:val="21"/>
          <w:szCs w:val="21"/>
          <w:lang w:val="en-US" w:eastAsia="zh-CN" w:bidi="ar-SA"/>
        </w:rPr>
      </w:pPr>
      <w:r>
        <w:rPr>
          <w:rFonts w:hint="eastAsia" w:ascii="宋体" w:hAnsi="宋体" w:cstheme="minorBidi"/>
          <w:color w:val="auto"/>
          <w:kern w:val="2"/>
          <w:sz w:val="21"/>
          <w:szCs w:val="21"/>
          <w:lang w:val="en-US" w:eastAsia="zh-CN" w:bidi="ar-SA"/>
        </w:rPr>
        <w:t>7.10.本项目不提交（收取）投标保证金和履约保证金。</w:t>
      </w:r>
    </w:p>
    <w:p w14:paraId="0C9F6675">
      <w:pPr>
        <w:pStyle w:val="40"/>
        <w:widowControl/>
        <w:numPr>
          <w:ilvl w:val="0"/>
          <w:numId w:val="0"/>
        </w:numPr>
        <w:spacing w:line="360" w:lineRule="auto"/>
        <w:ind w:leftChars="0"/>
        <w:jc w:val="left"/>
        <w:outlineLvl w:val="9"/>
        <w:rPr>
          <w:rFonts w:hint="eastAsia" w:ascii="宋体" w:hAnsi="宋体"/>
          <w:b/>
          <w:bCs/>
          <w:szCs w:val="21"/>
          <w:lang w:val="en-US" w:eastAsia="zh-CN"/>
        </w:rPr>
      </w:pPr>
      <w:r>
        <w:rPr>
          <w:rFonts w:hint="eastAsia" w:ascii="宋体" w:hAnsi="宋体"/>
          <w:b/>
          <w:bCs/>
          <w:szCs w:val="21"/>
          <w:lang w:val="en-US" w:eastAsia="zh-CN"/>
        </w:rPr>
        <w:t>8.  关于异常低价投标(响应)程序</w:t>
      </w:r>
    </w:p>
    <w:p w14:paraId="2C6264FF">
      <w:pPr>
        <w:pStyle w:val="34"/>
        <w:widowControl/>
        <w:numPr>
          <w:ilvl w:val="0"/>
          <w:numId w:val="0"/>
        </w:numPr>
        <w:spacing w:line="360" w:lineRule="auto"/>
        <w:ind w:leftChars="0"/>
        <w:jc w:val="left"/>
        <w:rPr>
          <w:rFonts w:hint="eastAsia" w:ascii="宋体" w:hAnsi="宋体" w:cstheme="minorBidi"/>
          <w:color w:val="auto"/>
          <w:kern w:val="2"/>
          <w:sz w:val="21"/>
          <w:szCs w:val="21"/>
          <w:lang w:val="en-US" w:eastAsia="zh-CN" w:bidi="ar-SA"/>
        </w:rPr>
      </w:pPr>
      <w:r>
        <w:rPr>
          <w:rFonts w:hint="eastAsia" w:ascii="宋体" w:hAnsi="宋体" w:cstheme="minorBidi"/>
          <w:color w:val="auto"/>
          <w:kern w:val="2"/>
          <w:sz w:val="21"/>
          <w:szCs w:val="21"/>
          <w:lang w:val="en-US" w:eastAsia="zh-CN" w:bidi="ar-SA"/>
        </w:rPr>
        <w:t>8.1根据《关于推动解决政府采购异常低价问题的通知》（财库〔2026〕2号）的相关规定：</w:t>
      </w:r>
    </w:p>
    <w:p w14:paraId="7731A654">
      <w:pPr>
        <w:pStyle w:val="34"/>
        <w:widowControl/>
        <w:numPr>
          <w:ilvl w:val="0"/>
          <w:numId w:val="0"/>
        </w:numPr>
        <w:spacing w:line="360" w:lineRule="auto"/>
        <w:ind w:leftChars="0"/>
        <w:jc w:val="left"/>
        <w:rPr>
          <w:rFonts w:hint="eastAsia" w:ascii="宋体" w:hAnsi="宋体" w:cstheme="minorBidi"/>
          <w:color w:val="auto"/>
          <w:kern w:val="2"/>
          <w:sz w:val="21"/>
          <w:szCs w:val="21"/>
          <w:lang w:val="en-US" w:eastAsia="zh-CN" w:bidi="ar-SA"/>
        </w:rPr>
      </w:pPr>
      <w:r>
        <w:rPr>
          <w:rFonts w:hint="eastAsia" w:ascii="宋体" w:hAnsi="宋体" w:cstheme="minorBidi"/>
          <w:color w:val="auto"/>
          <w:kern w:val="2"/>
          <w:sz w:val="21"/>
          <w:szCs w:val="21"/>
          <w:lang w:val="en-US" w:eastAsia="zh-CN" w:bidi="ar-SA"/>
        </w:rPr>
        <w:t>8.2本项目评审中出现下列情形之一的，评审委员会应当启动异常低价投标(响应)审查程序：</w:t>
      </w:r>
    </w:p>
    <w:p w14:paraId="26A36E86">
      <w:pPr>
        <w:pStyle w:val="34"/>
        <w:widowControl/>
        <w:numPr>
          <w:ilvl w:val="0"/>
          <w:numId w:val="0"/>
        </w:numPr>
        <w:spacing w:line="360" w:lineRule="auto"/>
        <w:ind w:leftChars="0"/>
        <w:jc w:val="left"/>
        <w:rPr>
          <w:rFonts w:hint="eastAsia" w:ascii="宋体" w:hAnsi="宋体" w:cstheme="minorBidi"/>
          <w:color w:val="auto"/>
          <w:kern w:val="2"/>
          <w:sz w:val="21"/>
          <w:szCs w:val="21"/>
          <w:lang w:val="en-US" w:eastAsia="zh-CN" w:bidi="ar-SA"/>
        </w:rPr>
      </w:pPr>
      <w:r>
        <w:rPr>
          <w:rFonts w:hint="eastAsia" w:ascii="宋体" w:hAnsi="宋体" w:cstheme="minorBidi"/>
          <w:color w:val="auto"/>
          <w:kern w:val="2"/>
          <w:sz w:val="21"/>
          <w:szCs w:val="21"/>
          <w:lang w:val="en-US" w:eastAsia="zh-CN" w:bidi="ar-SA"/>
        </w:rPr>
        <w:t>①投标(响应)报价低于全部通过符合性审查供应商投标(响应)报价平均值50%的，即投标(响应)报价&lt;全部通过符合性审查供应商投标(响应)报价平均值×50%;</w:t>
      </w:r>
    </w:p>
    <w:p w14:paraId="5C4B5AF2">
      <w:pPr>
        <w:pStyle w:val="34"/>
        <w:widowControl/>
        <w:numPr>
          <w:ilvl w:val="0"/>
          <w:numId w:val="0"/>
        </w:numPr>
        <w:spacing w:line="360" w:lineRule="auto"/>
        <w:ind w:leftChars="0"/>
        <w:jc w:val="left"/>
        <w:rPr>
          <w:rFonts w:hint="eastAsia" w:ascii="宋体" w:hAnsi="宋体" w:cstheme="minorBidi"/>
          <w:color w:val="auto"/>
          <w:kern w:val="2"/>
          <w:sz w:val="21"/>
          <w:szCs w:val="21"/>
          <w:lang w:val="en-US" w:eastAsia="zh-CN" w:bidi="ar-SA"/>
        </w:rPr>
      </w:pPr>
      <w:r>
        <w:rPr>
          <w:rFonts w:hint="eastAsia" w:ascii="宋体" w:hAnsi="宋体" w:cstheme="minorBidi"/>
          <w:color w:val="auto"/>
          <w:kern w:val="2"/>
          <w:sz w:val="21"/>
          <w:szCs w:val="21"/>
          <w:lang w:val="en-US" w:eastAsia="zh-CN" w:bidi="ar-SA"/>
        </w:rPr>
        <w:t>②投标(响应)报价低于通过符合性审查的次低报价供应商投标(响应)报价50%的，即投标(响应)报价&lt;通过符合性审查的次低报价供应商投标(响应)报价×50%;</w:t>
      </w:r>
    </w:p>
    <w:p w14:paraId="7B03FBAD">
      <w:pPr>
        <w:pStyle w:val="34"/>
        <w:widowControl/>
        <w:numPr>
          <w:ilvl w:val="0"/>
          <w:numId w:val="0"/>
        </w:numPr>
        <w:spacing w:line="360" w:lineRule="auto"/>
        <w:ind w:leftChars="0"/>
        <w:jc w:val="left"/>
        <w:rPr>
          <w:rFonts w:hint="eastAsia" w:ascii="宋体" w:hAnsi="宋体" w:cstheme="minorBidi"/>
          <w:color w:val="auto"/>
          <w:kern w:val="2"/>
          <w:sz w:val="21"/>
          <w:szCs w:val="21"/>
          <w:lang w:val="en-US" w:eastAsia="zh-CN" w:bidi="ar-SA"/>
        </w:rPr>
      </w:pPr>
      <w:r>
        <w:rPr>
          <w:rFonts w:hint="eastAsia" w:ascii="宋体" w:hAnsi="宋体" w:cstheme="minorBidi"/>
          <w:color w:val="auto"/>
          <w:kern w:val="2"/>
          <w:sz w:val="21"/>
          <w:szCs w:val="21"/>
          <w:lang w:val="en-US" w:eastAsia="zh-CN" w:bidi="ar-SA"/>
        </w:rPr>
        <w:t>③投标(响应)报价低于采购项目最高限价45%的，即投标(响应)报价&lt;采购项目最高限价×45%;</w:t>
      </w:r>
    </w:p>
    <w:p w14:paraId="0A2DE8F6">
      <w:pPr>
        <w:pStyle w:val="34"/>
        <w:widowControl/>
        <w:numPr>
          <w:ilvl w:val="0"/>
          <w:numId w:val="0"/>
        </w:numPr>
        <w:spacing w:line="360" w:lineRule="auto"/>
        <w:ind w:leftChars="0"/>
        <w:jc w:val="left"/>
        <w:rPr>
          <w:rFonts w:hint="eastAsia" w:ascii="宋体" w:hAnsi="宋体" w:cstheme="minorBidi"/>
          <w:color w:val="auto"/>
          <w:kern w:val="2"/>
          <w:sz w:val="21"/>
          <w:szCs w:val="21"/>
          <w:lang w:val="en-US" w:eastAsia="zh-CN" w:bidi="ar-SA"/>
        </w:rPr>
      </w:pPr>
      <w:r>
        <w:rPr>
          <w:rFonts w:hint="eastAsia" w:ascii="宋体" w:hAnsi="宋体" w:cstheme="minorBidi"/>
          <w:color w:val="auto"/>
          <w:kern w:val="2"/>
          <w:sz w:val="21"/>
          <w:szCs w:val="21"/>
          <w:lang w:val="en-US" w:eastAsia="zh-CN" w:bidi="ar-SA"/>
        </w:rPr>
        <w:t>④评审委员会基于专业判断，认为供应商报价过低，有可能影响产品质量或者不能诚信履约的其他情形。</w:t>
      </w:r>
    </w:p>
    <w:p w14:paraId="6ECF0761">
      <w:pPr>
        <w:pStyle w:val="34"/>
        <w:widowControl/>
        <w:numPr>
          <w:ilvl w:val="0"/>
          <w:numId w:val="0"/>
        </w:numPr>
        <w:spacing w:line="360" w:lineRule="auto"/>
        <w:ind w:leftChars="0"/>
        <w:jc w:val="left"/>
        <w:rPr>
          <w:rFonts w:hint="eastAsia" w:ascii="宋体" w:hAnsi="宋体" w:cstheme="minorBidi"/>
          <w:color w:val="auto"/>
          <w:kern w:val="2"/>
          <w:sz w:val="21"/>
          <w:szCs w:val="21"/>
          <w:lang w:val="en-US" w:eastAsia="zh-CN" w:bidi="ar-SA"/>
        </w:rPr>
      </w:pPr>
      <w:r>
        <w:rPr>
          <w:rFonts w:hint="eastAsia" w:ascii="宋体" w:hAnsi="宋体" w:cstheme="minorBidi"/>
          <w:color w:val="auto"/>
          <w:kern w:val="2"/>
          <w:sz w:val="21"/>
          <w:szCs w:val="21"/>
          <w:lang w:val="en-US" w:eastAsia="zh-CN" w:bidi="ar-SA"/>
        </w:rPr>
        <w:t>相关法律法规对供应商报价有规定的，从其规定。</w:t>
      </w:r>
    </w:p>
    <w:p w14:paraId="24487F7F">
      <w:pPr>
        <w:pStyle w:val="34"/>
        <w:widowControl/>
        <w:numPr>
          <w:ilvl w:val="0"/>
          <w:numId w:val="0"/>
        </w:numPr>
        <w:spacing w:line="360" w:lineRule="auto"/>
        <w:ind w:leftChars="0"/>
        <w:jc w:val="left"/>
        <w:rPr>
          <w:rFonts w:hint="eastAsia" w:ascii="宋体" w:hAnsi="宋体" w:cstheme="minorBidi"/>
          <w:color w:val="auto"/>
          <w:kern w:val="2"/>
          <w:sz w:val="21"/>
          <w:szCs w:val="21"/>
          <w:lang w:val="en-US" w:eastAsia="zh-CN" w:bidi="ar-SA"/>
        </w:rPr>
      </w:pPr>
      <w:r>
        <w:rPr>
          <w:rFonts w:hint="eastAsia" w:ascii="宋体" w:hAnsi="宋体" w:cstheme="minorBidi"/>
          <w:color w:val="auto"/>
          <w:kern w:val="2"/>
          <w:sz w:val="21"/>
          <w:szCs w:val="21"/>
          <w:lang w:val="en-US" w:eastAsia="zh-CN" w:bidi="ar-SA"/>
        </w:rPr>
        <w:t>8.3评审委员会启动异常低价投标(响应)审查后，属于前述第1项至第4项情形的，要求相关供应商在评审现场合理的时间内对投标(响应)价格作出解释，要求相关供应商在接到通知后30分钟内提供项目具体成本测算等与报价合理性相关的书面说明及必要的证明材料，包括但不限于原材料成本、人工成本、制造费用等。其中，属于第3项情形，供应商已随投标(响应)文件一并提交相关书面说明及必要的证明材料的，在评审现场可不再重复提交。</w:t>
      </w:r>
    </w:p>
    <w:p w14:paraId="22E48B22">
      <w:pPr>
        <w:pStyle w:val="34"/>
        <w:widowControl/>
        <w:numPr>
          <w:ilvl w:val="0"/>
          <w:numId w:val="0"/>
        </w:numPr>
        <w:spacing w:line="360" w:lineRule="auto"/>
        <w:ind w:leftChars="0"/>
        <w:jc w:val="left"/>
        <w:rPr>
          <w:rFonts w:hint="eastAsia" w:asciiTheme="majorEastAsia" w:hAnsiTheme="majorEastAsia" w:eastAsiaTheme="majorEastAsia"/>
          <w:sz w:val="32"/>
          <w:szCs w:val="32"/>
          <w:lang w:val="en-US" w:eastAsia="zh-CN"/>
        </w:rPr>
      </w:pPr>
      <w:r>
        <w:rPr>
          <w:rFonts w:hint="eastAsia" w:ascii="宋体" w:hAnsi="宋体" w:cstheme="minorBidi"/>
          <w:color w:val="auto"/>
          <w:kern w:val="2"/>
          <w:sz w:val="21"/>
          <w:szCs w:val="21"/>
          <w:lang w:val="en-US" w:eastAsia="zh-CN" w:bidi="ar-SA"/>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bookmarkStart w:id="24" w:name="_Toc7421"/>
    </w:p>
    <w:p w14:paraId="1B56CBFB">
      <w:pPr>
        <w:pStyle w:val="4"/>
        <w:numPr>
          <w:ilvl w:val="0"/>
          <w:numId w:val="0"/>
        </w:numPr>
        <w:spacing w:line="240" w:lineRule="auto"/>
        <w:ind w:leftChars="0"/>
        <w:jc w:val="center"/>
        <w:outlineLvl w:val="0"/>
        <w:rPr>
          <w:rFonts w:asciiTheme="majorEastAsia" w:hAnsiTheme="majorEastAsia" w:eastAsiaTheme="majorEastAsia"/>
          <w:sz w:val="32"/>
          <w:szCs w:val="32"/>
        </w:rPr>
      </w:pPr>
      <w:r>
        <w:rPr>
          <w:rFonts w:hint="eastAsia" w:asciiTheme="majorEastAsia" w:hAnsiTheme="majorEastAsia" w:eastAsiaTheme="majorEastAsia"/>
          <w:sz w:val="32"/>
          <w:szCs w:val="32"/>
          <w:lang w:val="en-US" w:eastAsia="zh-CN"/>
        </w:rPr>
        <w:t xml:space="preserve">第五章 </w:t>
      </w:r>
      <w:r>
        <w:rPr>
          <w:rFonts w:hint="eastAsia" w:asciiTheme="majorEastAsia" w:hAnsiTheme="majorEastAsia" w:eastAsiaTheme="majorEastAsia"/>
          <w:sz w:val="32"/>
          <w:szCs w:val="32"/>
        </w:rPr>
        <w:t>投标文件</w:t>
      </w:r>
      <w:r>
        <w:rPr>
          <w:rFonts w:hint="eastAsia" w:asciiTheme="majorEastAsia" w:hAnsiTheme="majorEastAsia" w:eastAsiaTheme="majorEastAsia"/>
          <w:sz w:val="32"/>
          <w:szCs w:val="32"/>
          <w:lang w:eastAsia="zh-CN"/>
        </w:rPr>
        <w:t>（</w:t>
      </w:r>
      <w:r>
        <w:rPr>
          <w:rFonts w:hint="eastAsia" w:asciiTheme="majorEastAsia" w:hAnsiTheme="majorEastAsia" w:eastAsiaTheme="majorEastAsia"/>
          <w:sz w:val="32"/>
          <w:szCs w:val="32"/>
          <w:lang w:val="en-US" w:eastAsia="zh-CN"/>
        </w:rPr>
        <w:t>编制</w:t>
      </w:r>
      <w:r>
        <w:rPr>
          <w:rFonts w:hint="eastAsia" w:asciiTheme="majorEastAsia" w:hAnsiTheme="majorEastAsia" w:eastAsiaTheme="majorEastAsia"/>
          <w:sz w:val="32"/>
          <w:szCs w:val="32"/>
        </w:rPr>
        <w:t>参考</w:t>
      </w:r>
      <w:r>
        <w:rPr>
          <w:rFonts w:hint="eastAsia" w:asciiTheme="majorEastAsia" w:hAnsiTheme="majorEastAsia" w:eastAsiaTheme="majorEastAsia"/>
          <w:sz w:val="32"/>
          <w:szCs w:val="32"/>
          <w:lang w:val="en-US" w:eastAsia="zh-CN"/>
        </w:rPr>
        <w:t>模板</w:t>
      </w:r>
      <w:r>
        <w:rPr>
          <w:rFonts w:hint="eastAsia" w:asciiTheme="majorEastAsia" w:hAnsiTheme="majorEastAsia" w:eastAsiaTheme="majorEastAsia"/>
          <w:sz w:val="32"/>
          <w:szCs w:val="32"/>
          <w:lang w:eastAsia="zh-CN"/>
        </w:rPr>
        <w:t>）</w:t>
      </w:r>
      <w:bookmarkEnd w:id="20"/>
      <w:bookmarkEnd w:id="21"/>
      <w:bookmarkEnd w:id="22"/>
      <w:bookmarkEnd w:id="23"/>
      <w:bookmarkEnd w:id="24"/>
    </w:p>
    <w:tbl>
      <w:tblPr>
        <w:tblStyle w:val="21"/>
        <w:tblW w:w="901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18"/>
      </w:tblGrid>
      <w:tr w14:paraId="062E82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27" w:hRule="atLeast"/>
        </w:trPr>
        <w:tc>
          <w:tcPr>
            <w:tcW w:w="9018" w:type="dxa"/>
          </w:tcPr>
          <w:p w14:paraId="0168BCD2">
            <w:pPr>
              <w:pStyle w:val="7"/>
              <w:keepNext w:val="0"/>
              <w:keepLines w:val="0"/>
              <w:suppressLineNumbers w:val="0"/>
              <w:spacing w:before="0" w:beforeAutospacing="0" w:afterAutospacing="0" w:line="360" w:lineRule="auto"/>
              <w:ind w:left="0" w:right="0" w:firstLine="482" w:firstLineChars="150"/>
              <w:rPr>
                <w:rFonts w:hint="default" w:ascii="仿宋_GB2312" w:eastAsia="仿宋_GB2312"/>
                <w:b/>
                <w:sz w:val="32"/>
              </w:rPr>
            </w:pPr>
          </w:p>
          <w:p w14:paraId="5DD66652">
            <w:pPr>
              <w:pStyle w:val="7"/>
              <w:keepNext w:val="0"/>
              <w:keepLines w:val="0"/>
              <w:suppressLineNumbers w:val="0"/>
              <w:spacing w:before="0" w:beforeAutospacing="0" w:afterAutospacing="0" w:line="360" w:lineRule="auto"/>
              <w:ind w:left="0" w:right="0" w:firstLine="482" w:firstLineChars="150"/>
              <w:rPr>
                <w:rFonts w:hint="default" w:ascii="仿宋_GB2312" w:eastAsia="仿宋_GB2312"/>
                <w:b/>
                <w:sz w:val="32"/>
              </w:rPr>
            </w:pPr>
          </w:p>
          <w:p w14:paraId="4F96A7D5">
            <w:pPr>
              <w:pStyle w:val="7"/>
              <w:keepNext w:val="0"/>
              <w:keepLines w:val="0"/>
              <w:suppressLineNumbers w:val="0"/>
              <w:spacing w:before="0" w:beforeAutospacing="0" w:afterAutospacing="0" w:line="360" w:lineRule="auto"/>
              <w:ind w:left="0" w:right="0" w:firstLine="482" w:firstLineChars="150"/>
              <w:rPr>
                <w:rFonts w:hint="default" w:ascii="仿宋_GB2312" w:eastAsia="仿宋_GB2312"/>
                <w:b/>
                <w:sz w:val="32"/>
              </w:rPr>
            </w:pPr>
          </w:p>
          <w:p w14:paraId="24E0C28B">
            <w:pPr>
              <w:pStyle w:val="7"/>
              <w:keepNext w:val="0"/>
              <w:keepLines w:val="0"/>
              <w:suppressLineNumbers w:val="0"/>
              <w:spacing w:before="0" w:beforeAutospacing="0" w:afterAutospacing="0" w:line="360" w:lineRule="auto"/>
              <w:ind w:left="0" w:right="0"/>
              <w:jc w:val="center"/>
              <w:rPr>
                <w:rFonts w:hint="default" w:ascii="黑体" w:eastAsia="黑体"/>
                <w:b/>
                <w:sz w:val="72"/>
                <w:szCs w:val="72"/>
              </w:rPr>
            </w:pPr>
            <w:r>
              <w:rPr>
                <w:rFonts w:hint="eastAsia" w:ascii="黑体" w:eastAsia="黑体"/>
                <w:b/>
                <w:sz w:val="72"/>
                <w:szCs w:val="72"/>
              </w:rPr>
              <w:t>投 标 文 件</w:t>
            </w:r>
          </w:p>
          <w:p w14:paraId="056E2451">
            <w:pPr>
              <w:pStyle w:val="7"/>
              <w:keepNext w:val="0"/>
              <w:keepLines w:val="0"/>
              <w:suppressLineNumbers w:val="0"/>
              <w:spacing w:before="0" w:beforeAutospacing="0" w:afterAutospacing="0" w:line="360" w:lineRule="auto"/>
              <w:ind w:left="0" w:right="0" w:firstLine="3398" w:firstLineChars="651"/>
              <w:rPr>
                <w:rFonts w:hint="default" w:ascii="黑体" w:eastAsia="黑体"/>
                <w:b/>
                <w:sz w:val="32"/>
              </w:rPr>
            </w:pPr>
            <w:r>
              <w:rPr>
                <w:rFonts w:hint="eastAsia" w:ascii="黑体" w:eastAsia="黑体"/>
                <w:b/>
                <w:sz w:val="52"/>
                <w:szCs w:val="52"/>
              </w:rPr>
              <w:t xml:space="preserve">口 </w:t>
            </w:r>
            <w:r>
              <w:rPr>
                <w:rFonts w:hint="eastAsia" w:ascii="黑体" w:eastAsia="黑体"/>
                <w:b/>
                <w:sz w:val="32"/>
              </w:rPr>
              <w:t>正本</w:t>
            </w:r>
          </w:p>
          <w:p w14:paraId="68FD3430">
            <w:pPr>
              <w:pStyle w:val="7"/>
              <w:keepNext w:val="0"/>
              <w:keepLines w:val="0"/>
              <w:suppressLineNumbers w:val="0"/>
              <w:spacing w:before="0" w:beforeAutospacing="0" w:afterAutospacing="0" w:line="360" w:lineRule="auto"/>
              <w:ind w:left="0" w:right="0" w:firstLine="3398" w:firstLineChars="651"/>
              <w:rPr>
                <w:rFonts w:hint="default" w:ascii="黑体" w:eastAsia="黑体"/>
                <w:b/>
                <w:sz w:val="32"/>
              </w:rPr>
            </w:pPr>
            <w:r>
              <w:rPr>
                <w:rFonts w:hint="eastAsia" w:ascii="黑体" w:eastAsia="黑体"/>
                <w:b/>
                <w:sz w:val="52"/>
                <w:szCs w:val="52"/>
              </w:rPr>
              <w:t xml:space="preserve">口 </w:t>
            </w:r>
            <w:r>
              <w:rPr>
                <w:rFonts w:hint="eastAsia" w:ascii="黑体" w:eastAsia="黑体"/>
                <w:b/>
                <w:sz w:val="32"/>
              </w:rPr>
              <w:t>副本</w:t>
            </w:r>
          </w:p>
          <w:p w14:paraId="327486C6">
            <w:pPr>
              <w:pStyle w:val="7"/>
              <w:keepNext w:val="0"/>
              <w:keepLines w:val="0"/>
              <w:suppressLineNumbers w:val="0"/>
              <w:spacing w:before="0" w:beforeAutospacing="0" w:afterAutospacing="0" w:line="360" w:lineRule="auto"/>
              <w:ind w:left="0" w:right="0"/>
              <w:rPr>
                <w:rFonts w:hint="default" w:ascii="仿宋_GB2312" w:eastAsia="仿宋_GB2312"/>
                <w:b/>
                <w:sz w:val="32"/>
              </w:rPr>
            </w:pPr>
          </w:p>
          <w:p w14:paraId="408DEE70">
            <w:pPr>
              <w:pStyle w:val="7"/>
              <w:keepNext w:val="0"/>
              <w:keepLines w:val="0"/>
              <w:suppressLineNumbers w:val="0"/>
              <w:spacing w:before="0" w:beforeAutospacing="0" w:afterAutospacing="0" w:line="360" w:lineRule="auto"/>
              <w:ind w:left="0" w:right="0"/>
              <w:rPr>
                <w:rFonts w:hint="default" w:ascii="仿宋_GB2312" w:eastAsia="仿宋_GB2312"/>
                <w:b/>
                <w:sz w:val="32"/>
              </w:rPr>
            </w:pPr>
          </w:p>
          <w:p w14:paraId="1F535991">
            <w:pPr>
              <w:pStyle w:val="7"/>
              <w:keepNext w:val="0"/>
              <w:keepLines w:val="0"/>
              <w:suppressLineNumbers w:val="0"/>
              <w:spacing w:before="0" w:beforeAutospacing="0" w:afterAutospacing="0" w:line="360" w:lineRule="auto"/>
              <w:ind w:left="0" w:right="0"/>
              <w:rPr>
                <w:rFonts w:hint="default" w:ascii="仿宋_GB2312" w:eastAsia="仿宋_GB2312"/>
                <w:b/>
                <w:sz w:val="32"/>
              </w:rPr>
            </w:pPr>
          </w:p>
          <w:p w14:paraId="18F76FDC">
            <w:pPr>
              <w:pStyle w:val="7"/>
              <w:keepNext w:val="0"/>
              <w:keepLines w:val="0"/>
              <w:suppressLineNumbers w:val="0"/>
              <w:spacing w:before="0" w:beforeAutospacing="0" w:afterAutospacing="0" w:line="400" w:lineRule="exact"/>
              <w:ind w:left="0" w:right="0" w:firstLine="843" w:firstLineChars="300"/>
              <w:rPr>
                <w:rFonts w:hint="eastAsia" w:ascii="仿宋_GB2312" w:eastAsia="仿宋_GB2312"/>
                <w:b/>
                <w:sz w:val="28"/>
                <w:szCs w:val="28"/>
                <w:lang w:eastAsia="zh-CN"/>
              </w:rPr>
            </w:pPr>
            <w:r>
              <w:rPr>
                <w:rFonts w:hint="eastAsia" w:ascii="仿宋_GB2312" w:eastAsia="仿宋_GB2312"/>
                <w:b/>
                <w:sz w:val="28"/>
                <w:szCs w:val="28"/>
              </w:rPr>
              <w:t>项</w:t>
            </w:r>
            <w:r>
              <w:rPr>
                <w:rFonts w:hint="eastAsia" w:ascii="仿宋_GB2312" w:eastAsia="仿宋_GB2312"/>
                <w:b/>
                <w:color w:val="auto"/>
                <w:sz w:val="28"/>
                <w:szCs w:val="28"/>
              </w:rPr>
              <w:t>目编号：</w:t>
            </w:r>
          </w:p>
          <w:p w14:paraId="5FE98AF9">
            <w:pPr>
              <w:pStyle w:val="7"/>
              <w:keepNext w:val="0"/>
              <w:keepLines w:val="0"/>
              <w:suppressLineNumbers w:val="0"/>
              <w:spacing w:before="0" w:beforeAutospacing="0" w:afterAutospacing="0" w:line="400" w:lineRule="exact"/>
              <w:ind w:left="0" w:right="0" w:firstLine="843" w:firstLineChars="300"/>
              <w:rPr>
                <w:rFonts w:hint="eastAsia" w:ascii="仿宋_GB2312" w:eastAsia="仿宋_GB2312"/>
                <w:b/>
                <w:sz w:val="28"/>
                <w:szCs w:val="28"/>
                <w:lang w:eastAsia="zh-CN"/>
              </w:rPr>
            </w:pPr>
            <w:r>
              <w:rPr>
                <w:rFonts w:hint="eastAsia" w:ascii="仿宋_GB2312" w:eastAsia="仿宋_GB2312"/>
                <w:b/>
                <w:sz w:val="28"/>
                <w:szCs w:val="28"/>
              </w:rPr>
              <w:t>项目名称：</w:t>
            </w:r>
          </w:p>
          <w:p w14:paraId="4900056A">
            <w:pPr>
              <w:pStyle w:val="7"/>
              <w:keepNext w:val="0"/>
              <w:keepLines w:val="0"/>
              <w:suppressLineNumbers w:val="0"/>
              <w:spacing w:before="0" w:beforeAutospacing="0" w:afterAutospacing="0" w:line="400" w:lineRule="exact"/>
              <w:ind w:left="0" w:right="0" w:firstLine="843" w:firstLineChars="300"/>
              <w:rPr>
                <w:rFonts w:hint="default" w:ascii="仿宋_GB2312" w:eastAsia="仿宋_GB2312"/>
                <w:b/>
                <w:sz w:val="28"/>
                <w:szCs w:val="28"/>
              </w:rPr>
            </w:pPr>
            <w:r>
              <w:rPr>
                <w:rFonts w:hint="eastAsia" w:ascii="仿宋_GB2312" w:eastAsia="仿宋_GB2312"/>
                <w:b/>
                <w:sz w:val="28"/>
                <w:szCs w:val="28"/>
              </w:rPr>
              <w:t>投标人名称：</w:t>
            </w:r>
          </w:p>
          <w:p w14:paraId="3E773E6D">
            <w:pPr>
              <w:pStyle w:val="7"/>
              <w:keepNext w:val="0"/>
              <w:keepLines w:val="0"/>
              <w:suppressLineNumbers w:val="0"/>
              <w:spacing w:before="0" w:beforeAutospacing="0" w:afterAutospacing="0" w:line="400" w:lineRule="exact"/>
              <w:ind w:left="0" w:right="0" w:firstLine="843" w:firstLineChars="300"/>
              <w:rPr>
                <w:rFonts w:hint="default" w:ascii="仿宋_GB2312" w:eastAsia="仿宋_GB2312"/>
                <w:b/>
                <w:sz w:val="28"/>
                <w:szCs w:val="28"/>
              </w:rPr>
            </w:pPr>
            <w:r>
              <w:rPr>
                <w:rFonts w:hint="eastAsia" w:ascii="仿宋_GB2312" w:eastAsia="仿宋_GB2312"/>
                <w:b/>
                <w:sz w:val="28"/>
                <w:szCs w:val="28"/>
              </w:rPr>
              <w:t>投标人地址：</w:t>
            </w:r>
          </w:p>
          <w:p w14:paraId="578B5057">
            <w:pPr>
              <w:keepNext w:val="0"/>
              <w:keepLines w:val="0"/>
              <w:suppressLineNumbers w:val="0"/>
              <w:tabs>
                <w:tab w:val="left" w:pos="851"/>
              </w:tabs>
              <w:autoSpaceDE w:val="0"/>
              <w:autoSpaceDN w:val="0"/>
              <w:adjustRightInd w:val="0"/>
              <w:snapToGrid w:val="0"/>
              <w:spacing w:before="0" w:beforeAutospacing="0" w:after="0" w:afterAutospacing="0" w:line="420" w:lineRule="auto"/>
              <w:ind w:left="0" w:right="0" w:firstLine="843" w:firstLineChars="300"/>
              <w:jc w:val="both"/>
              <w:rPr>
                <w:rFonts w:hint="default" w:ascii="仿宋_GB2312" w:eastAsia="仿宋_GB2312" w:hAnsiTheme="minorHAnsi" w:cstheme="minorBidi"/>
                <w:b/>
                <w:color w:val="auto"/>
                <w:kern w:val="2"/>
                <w:sz w:val="28"/>
                <w:szCs w:val="28"/>
                <w:lang w:val="en-US" w:eastAsia="zh-CN" w:bidi="ar-SA"/>
              </w:rPr>
            </w:pPr>
            <w:r>
              <w:rPr>
                <w:rFonts w:hint="eastAsia" w:ascii="仿宋_GB2312" w:eastAsia="仿宋_GB2312" w:cstheme="minorBidi"/>
                <w:b/>
                <w:color w:val="auto"/>
                <w:kern w:val="2"/>
                <w:sz w:val="28"/>
                <w:szCs w:val="28"/>
                <w:lang w:val="en-US" w:eastAsia="zh-CN" w:bidi="ar-SA"/>
              </w:rPr>
              <w:t>联系人及联系电话：</w:t>
            </w:r>
          </w:p>
          <w:p w14:paraId="41FDBA62">
            <w:pPr>
              <w:keepNext w:val="0"/>
              <w:keepLines w:val="0"/>
              <w:suppressLineNumbers w:val="0"/>
              <w:tabs>
                <w:tab w:val="left" w:pos="851"/>
              </w:tabs>
              <w:autoSpaceDE w:val="0"/>
              <w:autoSpaceDN w:val="0"/>
              <w:adjustRightInd w:val="0"/>
              <w:snapToGrid w:val="0"/>
              <w:spacing w:before="0" w:beforeAutospacing="0" w:after="0" w:afterAutospacing="0" w:line="420" w:lineRule="auto"/>
              <w:ind w:left="0" w:right="0" w:firstLine="829" w:firstLineChars="295"/>
              <w:rPr>
                <w:rFonts w:hint="eastAsia" w:ascii="仿宋_GB2312" w:eastAsia="仿宋_GB2312"/>
                <w:b/>
                <w:sz w:val="28"/>
                <w:szCs w:val="28"/>
              </w:rPr>
            </w:pPr>
          </w:p>
          <w:p w14:paraId="29748A16">
            <w:pPr>
              <w:keepNext w:val="0"/>
              <w:keepLines w:val="0"/>
              <w:suppressLineNumbers w:val="0"/>
              <w:tabs>
                <w:tab w:val="left" w:pos="851"/>
              </w:tabs>
              <w:autoSpaceDE w:val="0"/>
              <w:autoSpaceDN w:val="0"/>
              <w:adjustRightInd w:val="0"/>
              <w:snapToGrid w:val="0"/>
              <w:spacing w:before="0" w:beforeAutospacing="0" w:after="0" w:afterAutospacing="0" w:line="420" w:lineRule="auto"/>
              <w:ind w:left="0" w:right="0" w:firstLine="829" w:firstLineChars="295"/>
              <w:rPr>
                <w:rFonts w:hint="default" w:ascii="仿宋_GB2312" w:eastAsia="仿宋_GB2312"/>
                <w:b/>
                <w:sz w:val="32"/>
              </w:rPr>
            </w:pPr>
            <w:r>
              <w:rPr>
                <w:rFonts w:hint="eastAsia" w:ascii="仿宋_GB2312" w:eastAsia="仿宋_GB2312"/>
                <w:b/>
                <w:sz w:val="28"/>
                <w:szCs w:val="28"/>
              </w:rPr>
              <w:t>开标之前不得启封</w:t>
            </w:r>
          </w:p>
        </w:tc>
      </w:tr>
    </w:tbl>
    <w:p w14:paraId="737696D6">
      <w:pPr>
        <w:rPr>
          <w:rFonts w:hint="eastAsia"/>
        </w:rPr>
      </w:pPr>
      <w:bookmarkStart w:id="25" w:name="_Toc435514865"/>
      <w:bookmarkStart w:id="26" w:name="_Toc435515305"/>
      <w:r>
        <w:rPr>
          <w:rFonts w:hint="eastAsia"/>
        </w:rPr>
        <w:br w:type="page"/>
      </w:r>
    </w:p>
    <w:p w14:paraId="6AE90F56">
      <w:pPr>
        <w:tabs>
          <w:tab w:val="left" w:pos="426"/>
        </w:tabs>
        <w:adjustRightInd/>
        <w:snapToGrid/>
        <w:spacing w:before="280" w:after="290" w:line="377" w:lineRule="auto"/>
        <w:jc w:val="center"/>
        <w:outlineLvl w:val="2"/>
        <w:rPr>
          <w:b w:val="0"/>
          <w:bCs/>
          <w:sz w:val="32"/>
          <w:szCs w:val="32"/>
        </w:rPr>
      </w:pPr>
      <w:r>
        <w:rPr>
          <w:rFonts w:hint="eastAsia"/>
          <w:b w:val="0"/>
          <w:bCs/>
          <w:sz w:val="32"/>
          <w:szCs w:val="32"/>
        </w:rPr>
        <w:t>投标文件目录（目录格式自定）</w:t>
      </w:r>
    </w:p>
    <w:p w14:paraId="76711A46">
      <w:pPr>
        <w:jc w:val="center"/>
        <w:rPr>
          <w:rFonts w:hint="eastAsia"/>
          <w:sz w:val="24"/>
          <w:szCs w:val="32"/>
          <w:highlight w:val="none"/>
        </w:rPr>
      </w:pPr>
      <w:r>
        <w:rPr>
          <w:rFonts w:hint="eastAsia"/>
          <w:sz w:val="24"/>
          <w:szCs w:val="32"/>
          <w:highlight w:val="none"/>
        </w:rPr>
        <w:t>按照</w:t>
      </w:r>
      <w:r>
        <w:rPr>
          <w:rFonts w:hint="eastAsia"/>
          <w:sz w:val="24"/>
          <w:szCs w:val="32"/>
          <w:highlight w:val="none"/>
          <w:lang w:val="en-US" w:eastAsia="zh-CN"/>
        </w:rPr>
        <w:t>征集</w:t>
      </w:r>
      <w:r>
        <w:rPr>
          <w:rFonts w:hint="eastAsia"/>
          <w:sz w:val="24"/>
          <w:szCs w:val="32"/>
          <w:highlight w:val="none"/>
        </w:rPr>
        <w:t>文件的要求编制投标文件相应内容，请标明各部分内容的页码。</w:t>
      </w:r>
    </w:p>
    <w:p w14:paraId="1D961AC8">
      <w:pPr>
        <w:rPr>
          <w:rFonts w:hint="eastAsia"/>
        </w:rPr>
      </w:pPr>
    </w:p>
    <w:p w14:paraId="02053261">
      <w:pPr>
        <w:rPr>
          <w:rFonts w:hint="eastAsia"/>
        </w:rPr>
      </w:pPr>
    </w:p>
    <w:p w14:paraId="1D6C04F4">
      <w:pPr>
        <w:rPr>
          <w:rFonts w:hint="eastAsia"/>
        </w:rPr>
      </w:pPr>
    </w:p>
    <w:p w14:paraId="1E3BB2F1">
      <w:pPr>
        <w:rPr>
          <w:rFonts w:hint="eastAsia"/>
        </w:rPr>
      </w:pPr>
    </w:p>
    <w:p w14:paraId="21359D58">
      <w:pPr>
        <w:rPr>
          <w:rFonts w:hint="eastAsia"/>
        </w:rPr>
      </w:pPr>
    </w:p>
    <w:p w14:paraId="71D2D919">
      <w:pPr>
        <w:rPr>
          <w:rFonts w:hint="eastAsia"/>
        </w:rPr>
      </w:pPr>
    </w:p>
    <w:p w14:paraId="5065B947">
      <w:pPr>
        <w:rPr>
          <w:rFonts w:hint="eastAsia"/>
        </w:rPr>
      </w:pPr>
    </w:p>
    <w:p w14:paraId="2E7BC407">
      <w:pPr>
        <w:rPr>
          <w:rFonts w:hint="eastAsia"/>
        </w:rPr>
      </w:pPr>
    </w:p>
    <w:p w14:paraId="50C5CBD9">
      <w:pPr>
        <w:rPr>
          <w:rFonts w:hint="eastAsia"/>
        </w:rPr>
      </w:pPr>
    </w:p>
    <w:p w14:paraId="00084625">
      <w:pPr>
        <w:rPr>
          <w:rFonts w:hint="eastAsia"/>
        </w:rPr>
      </w:pPr>
    </w:p>
    <w:p w14:paraId="35CF33C7">
      <w:pPr>
        <w:rPr>
          <w:rFonts w:hint="eastAsia"/>
        </w:rPr>
      </w:pPr>
    </w:p>
    <w:p w14:paraId="51DEE31A">
      <w:pPr>
        <w:rPr>
          <w:rFonts w:hint="eastAsia"/>
        </w:rPr>
      </w:pPr>
    </w:p>
    <w:p w14:paraId="086B5680">
      <w:pPr>
        <w:rPr>
          <w:rFonts w:hint="eastAsia"/>
        </w:rPr>
      </w:pPr>
    </w:p>
    <w:p w14:paraId="11FC2BF7">
      <w:pPr>
        <w:rPr>
          <w:rFonts w:hint="eastAsia"/>
        </w:rPr>
      </w:pPr>
    </w:p>
    <w:p w14:paraId="4042EA33">
      <w:pPr>
        <w:rPr>
          <w:rFonts w:hint="eastAsia"/>
        </w:rPr>
      </w:pPr>
    </w:p>
    <w:p w14:paraId="16D9AE58">
      <w:pPr>
        <w:rPr>
          <w:rFonts w:hint="eastAsia"/>
        </w:rPr>
      </w:pPr>
    </w:p>
    <w:p w14:paraId="4FFEED58">
      <w:pPr>
        <w:rPr>
          <w:rFonts w:hint="eastAsia"/>
        </w:rPr>
      </w:pPr>
    </w:p>
    <w:p w14:paraId="7AC2A352">
      <w:pPr>
        <w:rPr>
          <w:rFonts w:hint="eastAsia"/>
        </w:rPr>
      </w:pPr>
    </w:p>
    <w:p w14:paraId="1AC7D2B2">
      <w:pPr>
        <w:rPr>
          <w:rFonts w:hint="eastAsia"/>
        </w:rPr>
      </w:pPr>
    </w:p>
    <w:p w14:paraId="4F6ACFC2">
      <w:pPr>
        <w:rPr>
          <w:rFonts w:hint="eastAsia"/>
        </w:rPr>
      </w:pPr>
    </w:p>
    <w:p w14:paraId="7CE2D948">
      <w:pPr>
        <w:rPr>
          <w:rFonts w:hint="eastAsia"/>
        </w:rPr>
      </w:pPr>
    </w:p>
    <w:p w14:paraId="6D033397">
      <w:pPr>
        <w:rPr>
          <w:rFonts w:hint="eastAsia"/>
        </w:rPr>
      </w:pPr>
    </w:p>
    <w:p w14:paraId="27B3345A">
      <w:pPr>
        <w:rPr>
          <w:rFonts w:hint="eastAsia"/>
        </w:rPr>
      </w:pPr>
    </w:p>
    <w:p w14:paraId="377507E9">
      <w:pPr>
        <w:rPr>
          <w:rFonts w:hint="eastAsia"/>
        </w:rPr>
      </w:pPr>
    </w:p>
    <w:p w14:paraId="5A177FE4">
      <w:pPr>
        <w:rPr>
          <w:rFonts w:hint="eastAsia"/>
        </w:rPr>
      </w:pPr>
    </w:p>
    <w:p w14:paraId="04C15F81">
      <w:pPr>
        <w:rPr>
          <w:rFonts w:hint="eastAsia"/>
        </w:rPr>
      </w:pPr>
    </w:p>
    <w:p w14:paraId="39925326">
      <w:pPr>
        <w:rPr>
          <w:rFonts w:hint="eastAsia"/>
        </w:rPr>
      </w:pPr>
    </w:p>
    <w:p w14:paraId="3772C4EC">
      <w:pPr>
        <w:rPr>
          <w:rFonts w:hint="eastAsia"/>
        </w:rPr>
      </w:pPr>
    </w:p>
    <w:p w14:paraId="6297EA93">
      <w:pPr>
        <w:rPr>
          <w:rFonts w:hint="eastAsia"/>
        </w:rPr>
      </w:pPr>
    </w:p>
    <w:p w14:paraId="7EBC4E58">
      <w:pPr>
        <w:rPr>
          <w:rFonts w:hint="eastAsia"/>
        </w:rPr>
      </w:pPr>
    </w:p>
    <w:p w14:paraId="58B6B216">
      <w:pPr>
        <w:rPr>
          <w:rFonts w:hint="eastAsia"/>
        </w:rPr>
      </w:pPr>
    </w:p>
    <w:p w14:paraId="0456DEC2">
      <w:pPr>
        <w:rPr>
          <w:rFonts w:hint="eastAsia"/>
        </w:rPr>
      </w:pPr>
    </w:p>
    <w:p w14:paraId="56070B07">
      <w:pPr>
        <w:rPr>
          <w:rFonts w:hint="eastAsia"/>
        </w:rPr>
      </w:pPr>
    </w:p>
    <w:p w14:paraId="0E716F07">
      <w:pPr>
        <w:rPr>
          <w:rFonts w:hint="eastAsia"/>
        </w:rPr>
      </w:pPr>
    </w:p>
    <w:p w14:paraId="0B24C85E">
      <w:pPr>
        <w:rPr>
          <w:rFonts w:hint="eastAsia"/>
        </w:rPr>
      </w:pPr>
    </w:p>
    <w:p w14:paraId="057A93AC">
      <w:pPr>
        <w:rPr>
          <w:rFonts w:hint="eastAsia"/>
        </w:rPr>
      </w:pPr>
    </w:p>
    <w:p w14:paraId="54B51591">
      <w:pPr>
        <w:rPr>
          <w:rFonts w:hint="eastAsia"/>
        </w:rPr>
      </w:pPr>
    </w:p>
    <w:p w14:paraId="47F614A4">
      <w:pPr>
        <w:rPr>
          <w:rFonts w:hint="eastAsia"/>
        </w:rPr>
      </w:pPr>
    </w:p>
    <w:p w14:paraId="3ED4EA77">
      <w:pPr>
        <w:rPr>
          <w:rFonts w:hint="eastAsia"/>
        </w:rPr>
      </w:pPr>
    </w:p>
    <w:p w14:paraId="0A0C8592">
      <w:pPr>
        <w:rPr>
          <w:rFonts w:hint="eastAsia"/>
        </w:rPr>
      </w:pPr>
    </w:p>
    <w:p w14:paraId="5B3C692F">
      <w:pPr>
        <w:pStyle w:val="4"/>
        <w:numPr>
          <w:ilvl w:val="0"/>
          <w:numId w:val="0"/>
        </w:numPr>
        <w:spacing w:line="240" w:lineRule="auto"/>
        <w:ind w:left="420" w:leftChars="0" w:hanging="420" w:firstLineChars="0"/>
        <w:jc w:val="center"/>
        <w:outlineLvl w:val="0"/>
        <w:rPr>
          <w:rFonts w:hint="eastAsia" w:cs="宋体" w:asciiTheme="majorEastAsia" w:hAnsiTheme="majorEastAsia" w:eastAsiaTheme="majorEastAsia"/>
          <w:kern w:val="2"/>
          <w:sz w:val="30"/>
          <w:szCs w:val="30"/>
          <w:lang w:val="en-US" w:eastAsia="zh-CN" w:bidi="ar-SA"/>
        </w:rPr>
      </w:pPr>
      <w:bookmarkStart w:id="27" w:name="_Toc4441"/>
      <w:bookmarkStart w:id="28" w:name="_Toc28307"/>
      <w:bookmarkStart w:id="29" w:name="_Toc29334"/>
      <w:r>
        <w:rPr>
          <w:rFonts w:hint="eastAsia" w:cs="宋体" w:asciiTheme="majorEastAsia" w:hAnsiTheme="majorEastAsia" w:eastAsiaTheme="majorEastAsia"/>
          <w:kern w:val="2"/>
          <w:sz w:val="30"/>
          <w:szCs w:val="30"/>
          <w:lang w:val="en-US" w:eastAsia="zh-CN" w:bidi="ar-SA"/>
        </w:rPr>
        <w:t>（一）资格性自查表</w:t>
      </w:r>
      <w:bookmarkEnd w:id="27"/>
    </w:p>
    <w:tbl>
      <w:tblPr>
        <w:tblStyle w:val="21"/>
        <w:tblW w:w="1043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7"/>
        <w:gridCol w:w="6518"/>
        <w:gridCol w:w="1244"/>
        <w:gridCol w:w="1982"/>
      </w:tblGrid>
      <w:tr w14:paraId="0CA575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7" w:type="dxa"/>
            <w:vAlign w:val="center"/>
          </w:tcPr>
          <w:p w14:paraId="17AFD81E">
            <w:pPr>
              <w:keepNext w:val="0"/>
              <w:keepLines w:val="0"/>
              <w:suppressLineNumbers w:val="0"/>
              <w:spacing w:before="0" w:beforeAutospacing="0" w:after="0" w:afterAutospacing="0"/>
              <w:ind w:left="0" w:right="0"/>
              <w:jc w:val="center"/>
              <w:rPr>
                <w:rFonts w:hint="eastAsia" w:ascii="宋体" w:hAnsi="宋体" w:eastAsia="宋体" w:cs="宋体"/>
                <w:b/>
                <w:bCs/>
                <w:szCs w:val="21"/>
                <w:highlight w:val="none"/>
                <w:lang w:eastAsia="zh-CN"/>
              </w:rPr>
            </w:pPr>
            <w:r>
              <w:rPr>
                <w:rFonts w:hint="eastAsia" w:ascii="宋体" w:hAnsi="宋体" w:eastAsia="宋体" w:cs="宋体"/>
                <w:b/>
                <w:bCs/>
                <w:szCs w:val="21"/>
                <w:highlight w:val="none"/>
                <w:lang w:val="en-US" w:eastAsia="zh-CN"/>
              </w:rPr>
              <w:t>序号</w:t>
            </w:r>
          </w:p>
        </w:tc>
        <w:tc>
          <w:tcPr>
            <w:tcW w:w="6518" w:type="dxa"/>
            <w:vAlign w:val="center"/>
          </w:tcPr>
          <w:p w14:paraId="291C9C2C">
            <w:pPr>
              <w:keepNext w:val="0"/>
              <w:keepLines w:val="0"/>
              <w:suppressLineNumbers w:val="0"/>
              <w:spacing w:before="0" w:beforeAutospacing="0" w:after="0" w:afterAutospacing="0"/>
              <w:ind w:left="0" w:right="0" w:firstLine="19" w:firstLineChars="9"/>
              <w:jc w:val="center"/>
              <w:rPr>
                <w:rFonts w:hint="eastAsia" w:ascii="宋体" w:hAnsi="宋体" w:eastAsia="宋体" w:cs="宋体"/>
                <w:b/>
                <w:bCs/>
                <w:szCs w:val="21"/>
                <w:highlight w:val="none"/>
              </w:rPr>
            </w:pPr>
            <w:r>
              <w:rPr>
                <w:rFonts w:hint="eastAsia" w:ascii="宋体" w:hAnsi="宋体" w:eastAsia="宋体" w:cs="宋体"/>
                <w:b/>
                <w:bCs/>
                <w:szCs w:val="21"/>
                <w:highlight w:val="none"/>
                <w:lang w:eastAsia="zh-CN"/>
              </w:rPr>
              <w:t>征集</w:t>
            </w:r>
            <w:r>
              <w:rPr>
                <w:rFonts w:hint="eastAsia" w:ascii="宋体" w:hAnsi="宋体" w:eastAsia="宋体" w:cs="宋体"/>
                <w:b/>
                <w:bCs/>
                <w:szCs w:val="21"/>
                <w:highlight w:val="none"/>
              </w:rPr>
              <w:t>文件要求</w:t>
            </w:r>
          </w:p>
        </w:tc>
        <w:tc>
          <w:tcPr>
            <w:tcW w:w="1244" w:type="dxa"/>
            <w:vAlign w:val="center"/>
          </w:tcPr>
          <w:p w14:paraId="105F2E11">
            <w:pPr>
              <w:keepNext w:val="0"/>
              <w:keepLines w:val="0"/>
              <w:suppressLineNumbers w:val="0"/>
              <w:spacing w:before="0" w:beforeAutospacing="0" w:after="0" w:afterAutospacing="0"/>
              <w:ind w:left="0" w:right="0"/>
              <w:jc w:val="center"/>
              <w:rPr>
                <w:rFonts w:hint="eastAsia" w:ascii="宋体" w:hAnsi="宋体" w:eastAsia="宋体" w:cs="宋体"/>
                <w:b/>
                <w:bCs/>
                <w:szCs w:val="21"/>
                <w:highlight w:val="none"/>
              </w:rPr>
            </w:pPr>
            <w:r>
              <w:rPr>
                <w:rFonts w:hint="eastAsia" w:ascii="宋体" w:hAnsi="宋体" w:eastAsia="宋体" w:cs="宋体"/>
                <w:b/>
                <w:bCs/>
                <w:szCs w:val="21"/>
                <w:highlight w:val="none"/>
              </w:rPr>
              <w:t>自查结论</w:t>
            </w:r>
          </w:p>
        </w:tc>
        <w:tc>
          <w:tcPr>
            <w:tcW w:w="1982" w:type="dxa"/>
            <w:vAlign w:val="center"/>
          </w:tcPr>
          <w:p w14:paraId="58327D04">
            <w:pPr>
              <w:keepNext w:val="0"/>
              <w:keepLines w:val="0"/>
              <w:suppressLineNumbers w:val="0"/>
              <w:spacing w:before="0" w:beforeAutospacing="0" w:after="0" w:afterAutospacing="0"/>
              <w:ind w:left="0" w:right="-178" w:rightChars="-85"/>
              <w:jc w:val="center"/>
              <w:rPr>
                <w:rFonts w:hint="eastAsia" w:ascii="宋体" w:hAnsi="宋体" w:eastAsia="宋体" w:cs="宋体"/>
                <w:b/>
                <w:bCs/>
                <w:szCs w:val="21"/>
                <w:highlight w:val="none"/>
              </w:rPr>
            </w:pPr>
            <w:r>
              <w:rPr>
                <w:rFonts w:hint="eastAsia" w:ascii="宋体" w:hAnsi="宋体" w:eastAsia="宋体" w:cs="宋体"/>
                <w:b/>
                <w:bCs/>
                <w:szCs w:val="21"/>
                <w:highlight w:val="none"/>
              </w:rPr>
              <w:t>证明资料</w:t>
            </w:r>
          </w:p>
        </w:tc>
      </w:tr>
      <w:tr w14:paraId="5DE952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7" w:type="dxa"/>
            <w:vAlign w:val="center"/>
          </w:tcPr>
          <w:p w14:paraId="08A38E4A">
            <w:pPr>
              <w:keepNext w:val="0"/>
              <w:keepLines w:val="0"/>
              <w:suppressLineNumbers w:val="0"/>
              <w:spacing w:before="0" w:beforeAutospacing="0" w:after="0" w:afterAutospacing="0"/>
              <w:ind w:left="0" w:leftChars="0" w:right="0" w:rightChars="0"/>
              <w:jc w:val="center"/>
              <w:rPr>
                <w:rFonts w:hint="eastAsia" w:ascii="宋体" w:hAnsi="宋体" w:eastAsia="宋体" w:cs="宋体"/>
                <w:b/>
                <w:bCs/>
                <w:szCs w:val="21"/>
                <w:highlight w:val="none"/>
              </w:rPr>
            </w:pPr>
            <w:r>
              <w:rPr>
                <w:rFonts w:hint="eastAsia" w:ascii="宋体" w:hAnsi="宋体" w:eastAsia="宋体" w:cs="宋体"/>
                <w:color w:val="000000"/>
                <w:sz w:val="21"/>
                <w:szCs w:val="21"/>
              </w:rPr>
              <w:t>1</w:t>
            </w:r>
          </w:p>
        </w:tc>
        <w:tc>
          <w:tcPr>
            <w:tcW w:w="6518" w:type="dxa"/>
            <w:vAlign w:val="center"/>
          </w:tcPr>
          <w:p w14:paraId="2D4DF4ED">
            <w:pPr>
              <w:keepNext w:val="0"/>
              <w:keepLines w:val="0"/>
              <w:suppressLineNumbers w:val="0"/>
              <w:spacing w:before="0" w:beforeAutospacing="0" w:after="0" w:afterAutospacing="0"/>
              <w:ind w:left="0" w:leftChars="0" w:right="0" w:rightChars="0"/>
              <w:rPr>
                <w:rFonts w:hint="eastAsia" w:ascii="宋体" w:hAnsi="宋体" w:eastAsia="宋体" w:cs="宋体"/>
                <w:szCs w:val="21"/>
                <w:highlight w:val="none"/>
              </w:rPr>
            </w:pPr>
            <w:r>
              <w:rPr>
                <w:rFonts w:hint="eastAsia" w:ascii="宋体" w:hAnsi="宋体" w:eastAsia="宋体" w:cs="宋体"/>
                <w:color w:val="000000"/>
                <w:sz w:val="21"/>
                <w:szCs w:val="21"/>
                <w:lang w:eastAsia="zh-CN"/>
              </w:rPr>
              <w:t>投标人</w:t>
            </w:r>
            <w:r>
              <w:rPr>
                <w:rFonts w:hint="eastAsia" w:ascii="宋体" w:hAnsi="宋体" w:eastAsia="宋体" w:cs="宋体"/>
                <w:color w:val="000000"/>
                <w:sz w:val="21"/>
                <w:szCs w:val="21"/>
              </w:rPr>
              <w:t>不具备资质要求，或未提交相应资格证明材料（详见采购公告或采购邀请函中的资质要求，其中未列示的资质要求不得导致投标无效）</w:t>
            </w:r>
          </w:p>
        </w:tc>
        <w:tc>
          <w:tcPr>
            <w:tcW w:w="1244" w:type="dxa"/>
            <w:vAlign w:val="center"/>
          </w:tcPr>
          <w:p w14:paraId="45BD21F4">
            <w:pPr>
              <w:keepNext w:val="0"/>
              <w:keepLines w:val="0"/>
              <w:suppressLineNumbers w:val="0"/>
              <w:spacing w:before="0" w:beforeAutospacing="0" w:after="0" w:afterAutospacing="0"/>
              <w:ind w:left="36" w:leftChars="17" w:right="0"/>
              <w:jc w:val="center"/>
              <w:rPr>
                <w:rFonts w:hint="eastAsia" w:ascii="宋体" w:hAnsi="宋体" w:eastAsia="宋体" w:cs="宋体"/>
                <w:szCs w:val="21"/>
                <w:highlight w:val="none"/>
                <w:lang w:eastAsia="zh-CN"/>
              </w:rPr>
            </w:pPr>
            <w:r>
              <w:rPr>
                <w:rFonts w:hint="eastAsia" w:ascii="宋体" w:hAnsi="宋体" w:eastAsia="宋体" w:cs="宋体"/>
                <w:szCs w:val="21"/>
                <w:highlight w:val="none"/>
                <w:lang w:eastAsia="zh-CN"/>
              </w:rPr>
              <w:t>□</w:t>
            </w:r>
            <w:r>
              <w:rPr>
                <w:rFonts w:hint="eastAsia" w:ascii="宋体" w:hAnsi="宋体" w:eastAsia="宋体" w:cs="宋体"/>
                <w:szCs w:val="21"/>
                <w:highlight w:val="none"/>
                <w:lang w:val="en-US" w:eastAsia="zh-CN"/>
              </w:rPr>
              <w:t>是</w:t>
            </w:r>
          </w:p>
          <w:p w14:paraId="25A22CED">
            <w:pPr>
              <w:keepNext w:val="0"/>
              <w:keepLines w:val="0"/>
              <w:suppressLineNumbers w:val="0"/>
              <w:spacing w:before="0" w:beforeAutospacing="0" w:after="0" w:afterAutospacing="0"/>
              <w:ind w:left="36" w:leftChars="17" w:right="0"/>
              <w:jc w:val="center"/>
              <w:rPr>
                <w:rFonts w:hint="eastAsia" w:ascii="宋体" w:hAnsi="宋体" w:eastAsia="宋体" w:cs="宋体"/>
                <w:b/>
                <w:bCs/>
                <w:szCs w:val="21"/>
                <w:highlight w:val="none"/>
                <w:lang w:eastAsia="zh-CN"/>
              </w:rPr>
            </w:pPr>
            <w:r>
              <w:rPr>
                <w:rFonts w:hint="eastAsia" w:ascii="宋体" w:hAnsi="宋体" w:eastAsia="宋体" w:cs="宋体"/>
                <w:szCs w:val="21"/>
                <w:highlight w:val="none"/>
              </w:rPr>
              <w:t>□</w:t>
            </w:r>
            <w:r>
              <w:rPr>
                <w:rFonts w:hint="eastAsia" w:ascii="宋体" w:hAnsi="宋体" w:eastAsia="宋体" w:cs="宋体"/>
                <w:szCs w:val="21"/>
                <w:highlight w:val="none"/>
                <w:lang w:val="en-US" w:eastAsia="zh-CN"/>
              </w:rPr>
              <w:t>否</w:t>
            </w:r>
          </w:p>
        </w:tc>
        <w:tc>
          <w:tcPr>
            <w:tcW w:w="1982" w:type="dxa"/>
            <w:vAlign w:val="center"/>
          </w:tcPr>
          <w:p w14:paraId="12EF8529">
            <w:pPr>
              <w:keepNext w:val="0"/>
              <w:keepLines w:val="0"/>
              <w:suppressLineNumbers w:val="0"/>
              <w:spacing w:before="0" w:beforeAutospacing="0" w:after="0" w:afterAutospacing="0"/>
              <w:ind w:left="0" w:right="-178" w:rightChars="-85"/>
              <w:jc w:val="left"/>
              <w:rPr>
                <w:rFonts w:hint="eastAsia" w:ascii="宋体" w:hAnsi="宋体" w:eastAsia="宋体" w:cs="宋体"/>
                <w:b/>
                <w:bCs/>
                <w:szCs w:val="21"/>
                <w:highlight w:val="none"/>
              </w:rPr>
            </w:pPr>
            <w:r>
              <w:rPr>
                <w:rFonts w:hint="eastAsia" w:ascii="宋体" w:hAnsi="宋体" w:eastAsia="宋体" w:cs="宋体"/>
                <w:szCs w:val="21"/>
                <w:highlight w:val="none"/>
              </w:rPr>
              <w:t>见投标文件第( )页</w:t>
            </w:r>
          </w:p>
        </w:tc>
      </w:tr>
      <w:tr w14:paraId="331E0E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87" w:type="dxa"/>
            <w:vAlign w:val="center"/>
          </w:tcPr>
          <w:p w14:paraId="02091EDD">
            <w:pPr>
              <w:keepNext w:val="0"/>
              <w:keepLines w:val="0"/>
              <w:suppressLineNumbers w:val="0"/>
              <w:spacing w:before="0" w:beforeAutospacing="0" w:after="0" w:afterAutospacing="0"/>
              <w:ind w:left="0" w:leftChars="0" w:right="0" w:rightChars="0"/>
              <w:jc w:val="center"/>
              <w:rPr>
                <w:rFonts w:hint="eastAsia" w:ascii="宋体" w:hAnsi="宋体" w:eastAsia="宋体" w:cs="宋体"/>
                <w:szCs w:val="21"/>
                <w:highlight w:val="none"/>
              </w:rPr>
            </w:pPr>
            <w:r>
              <w:rPr>
                <w:rFonts w:hint="eastAsia" w:ascii="宋体" w:hAnsi="宋体" w:eastAsia="宋体" w:cs="宋体"/>
                <w:color w:val="000000"/>
                <w:sz w:val="21"/>
                <w:szCs w:val="21"/>
              </w:rPr>
              <w:t>2</w:t>
            </w:r>
          </w:p>
        </w:tc>
        <w:tc>
          <w:tcPr>
            <w:tcW w:w="6518" w:type="dxa"/>
            <w:vAlign w:val="center"/>
          </w:tcPr>
          <w:p w14:paraId="3688507B">
            <w:pPr>
              <w:keepNext w:val="0"/>
              <w:keepLines w:val="0"/>
              <w:suppressLineNumbers w:val="0"/>
              <w:spacing w:before="0" w:beforeAutospacing="0" w:after="0" w:afterAutospacing="0"/>
              <w:ind w:left="0" w:leftChars="0" w:right="0" w:rightChars="0"/>
              <w:rPr>
                <w:rFonts w:hint="eastAsia" w:ascii="宋体" w:hAnsi="宋体" w:eastAsia="宋体" w:cs="宋体"/>
                <w:szCs w:val="21"/>
                <w:highlight w:val="none"/>
                <w:lang w:val="zh-CN"/>
              </w:rPr>
            </w:pPr>
            <w:r>
              <w:rPr>
                <w:rFonts w:hint="eastAsia" w:ascii="宋体" w:hAnsi="宋体" w:eastAsia="宋体" w:cs="宋体"/>
                <w:color w:val="000000"/>
                <w:sz w:val="21"/>
                <w:szCs w:val="21"/>
                <w:lang w:eastAsia="zh-CN"/>
              </w:rPr>
              <w:t>投标人</w:t>
            </w:r>
            <w:r>
              <w:rPr>
                <w:rFonts w:hint="eastAsia" w:ascii="宋体" w:hAnsi="宋体" w:eastAsia="宋体" w:cs="宋体"/>
                <w:color w:val="000000"/>
                <w:sz w:val="21"/>
                <w:szCs w:val="21"/>
              </w:rPr>
              <w:t>未按采购公告（或采购邀请函）要求完成投标报名的</w:t>
            </w:r>
          </w:p>
        </w:tc>
        <w:tc>
          <w:tcPr>
            <w:tcW w:w="1244" w:type="dxa"/>
            <w:vAlign w:val="center"/>
          </w:tcPr>
          <w:p w14:paraId="1FE84654">
            <w:pPr>
              <w:keepNext w:val="0"/>
              <w:keepLines w:val="0"/>
              <w:suppressLineNumbers w:val="0"/>
              <w:spacing w:before="0" w:beforeAutospacing="0" w:after="0" w:afterAutospacing="0"/>
              <w:ind w:left="36" w:leftChars="17" w:right="0"/>
              <w:jc w:val="center"/>
              <w:rPr>
                <w:rFonts w:hint="eastAsia" w:ascii="宋体" w:hAnsi="宋体" w:eastAsia="宋体" w:cs="宋体"/>
                <w:szCs w:val="21"/>
                <w:highlight w:val="none"/>
                <w:lang w:eastAsia="zh-CN"/>
              </w:rPr>
            </w:pPr>
            <w:r>
              <w:rPr>
                <w:rFonts w:hint="eastAsia" w:ascii="宋体" w:hAnsi="宋体" w:eastAsia="宋体" w:cs="宋体"/>
                <w:szCs w:val="21"/>
                <w:highlight w:val="none"/>
                <w:lang w:eastAsia="zh-CN"/>
              </w:rPr>
              <w:t>□</w:t>
            </w:r>
            <w:r>
              <w:rPr>
                <w:rFonts w:hint="eastAsia" w:ascii="宋体" w:hAnsi="宋体" w:eastAsia="宋体" w:cs="宋体"/>
                <w:szCs w:val="21"/>
                <w:highlight w:val="none"/>
                <w:lang w:val="en-US" w:eastAsia="zh-CN"/>
              </w:rPr>
              <w:t>是</w:t>
            </w:r>
          </w:p>
          <w:p w14:paraId="360377F3">
            <w:pPr>
              <w:keepNext w:val="0"/>
              <w:keepLines w:val="0"/>
              <w:suppressLineNumbers w:val="0"/>
              <w:spacing w:before="0" w:beforeAutospacing="0" w:after="0" w:afterAutospacing="0"/>
              <w:ind w:left="36" w:leftChars="17" w:right="0"/>
              <w:jc w:val="center"/>
              <w:rPr>
                <w:rFonts w:hint="eastAsia" w:ascii="宋体" w:hAnsi="宋体" w:eastAsia="宋体" w:cs="宋体"/>
                <w:szCs w:val="21"/>
                <w:highlight w:val="none"/>
              </w:rPr>
            </w:pPr>
            <w:r>
              <w:rPr>
                <w:rFonts w:hint="eastAsia" w:ascii="宋体" w:hAnsi="宋体" w:eastAsia="宋体" w:cs="宋体"/>
                <w:szCs w:val="21"/>
                <w:highlight w:val="none"/>
              </w:rPr>
              <w:t>□</w:t>
            </w:r>
            <w:r>
              <w:rPr>
                <w:rFonts w:hint="eastAsia" w:ascii="宋体" w:hAnsi="宋体" w:eastAsia="宋体" w:cs="宋体"/>
                <w:szCs w:val="21"/>
                <w:highlight w:val="none"/>
                <w:lang w:val="en-US" w:eastAsia="zh-CN"/>
              </w:rPr>
              <w:t>否</w:t>
            </w:r>
          </w:p>
        </w:tc>
        <w:tc>
          <w:tcPr>
            <w:tcW w:w="1982" w:type="dxa"/>
            <w:vAlign w:val="center"/>
          </w:tcPr>
          <w:p w14:paraId="701AE310">
            <w:pPr>
              <w:keepNext w:val="0"/>
              <w:keepLines w:val="0"/>
              <w:suppressLineNumbers w:val="0"/>
              <w:spacing w:before="0" w:beforeAutospacing="0" w:after="0" w:afterAutospacing="0"/>
              <w:ind w:left="0" w:right="-178" w:rightChars="-85"/>
              <w:jc w:val="left"/>
              <w:rPr>
                <w:rFonts w:hint="eastAsia" w:ascii="宋体" w:hAnsi="宋体" w:eastAsia="宋体" w:cs="宋体"/>
                <w:szCs w:val="21"/>
                <w:highlight w:val="none"/>
              </w:rPr>
            </w:pPr>
            <w:r>
              <w:rPr>
                <w:rFonts w:hint="eastAsia" w:ascii="宋体" w:hAnsi="宋体" w:eastAsia="宋体" w:cs="宋体"/>
                <w:szCs w:val="21"/>
                <w:highlight w:val="none"/>
              </w:rPr>
              <w:t>见投标文件第( )页</w:t>
            </w:r>
          </w:p>
        </w:tc>
      </w:tr>
      <w:tr w14:paraId="20A785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87" w:type="dxa"/>
            <w:vAlign w:val="center"/>
          </w:tcPr>
          <w:p w14:paraId="3A7BCF2C">
            <w:pPr>
              <w:keepNext w:val="0"/>
              <w:keepLines w:val="0"/>
              <w:suppressLineNumbers w:val="0"/>
              <w:spacing w:before="0" w:beforeAutospacing="0" w:after="0" w:afterAutospacing="0"/>
              <w:ind w:left="0" w:leftChars="0" w:right="0" w:rightChars="0"/>
              <w:jc w:val="center"/>
              <w:rPr>
                <w:rFonts w:hint="eastAsia" w:ascii="宋体" w:hAnsi="宋体" w:eastAsia="宋体" w:cs="宋体"/>
                <w:szCs w:val="21"/>
                <w:highlight w:val="none"/>
                <w:lang w:val="en-US" w:eastAsia="zh-CN"/>
              </w:rPr>
            </w:pPr>
            <w:r>
              <w:rPr>
                <w:rFonts w:hint="eastAsia" w:ascii="宋体" w:hAnsi="宋体" w:eastAsia="宋体" w:cs="宋体"/>
                <w:color w:val="000000"/>
                <w:sz w:val="21"/>
                <w:szCs w:val="21"/>
                <w:lang w:val="en-US" w:eastAsia="zh-CN"/>
              </w:rPr>
              <w:t>3</w:t>
            </w:r>
          </w:p>
        </w:tc>
        <w:tc>
          <w:tcPr>
            <w:tcW w:w="6518" w:type="dxa"/>
            <w:vAlign w:val="center"/>
          </w:tcPr>
          <w:p w14:paraId="30E8502E">
            <w:pPr>
              <w:keepNext w:val="0"/>
              <w:keepLines w:val="0"/>
              <w:suppressLineNumbers w:val="0"/>
              <w:spacing w:before="0" w:beforeAutospacing="0" w:after="0" w:afterAutospacing="0"/>
              <w:ind w:left="0" w:leftChars="0" w:right="0" w:rightChars="0"/>
              <w:rPr>
                <w:rFonts w:hint="eastAsia" w:ascii="宋体" w:hAnsi="宋体" w:eastAsia="宋体" w:cs="宋体"/>
                <w:color w:val="000000"/>
                <w:sz w:val="21"/>
                <w:szCs w:val="21"/>
                <w:lang w:eastAsia="zh-CN"/>
              </w:rPr>
            </w:pPr>
            <w:r>
              <w:rPr>
                <w:rFonts w:hint="default" w:cs="Times New Roman"/>
              </w:rPr>
              <w:t>法律、法规规定的属于投标无效的其他情形</w:t>
            </w:r>
          </w:p>
        </w:tc>
        <w:tc>
          <w:tcPr>
            <w:tcW w:w="1244" w:type="dxa"/>
            <w:vAlign w:val="center"/>
          </w:tcPr>
          <w:p w14:paraId="56D4458E">
            <w:pPr>
              <w:keepNext w:val="0"/>
              <w:keepLines w:val="0"/>
              <w:suppressLineNumbers w:val="0"/>
              <w:spacing w:before="0" w:beforeAutospacing="0" w:after="0" w:afterAutospacing="0"/>
              <w:ind w:left="36" w:leftChars="17" w:right="0"/>
              <w:jc w:val="center"/>
              <w:rPr>
                <w:rFonts w:hint="eastAsia" w:ascii="宋体" w:hAnsi="宋体" w:eastAsia="宋体" w:cs="宋体"/>
                <w:szCs w:val="21"/>
                <w:highlight w:val="none"/>
                <w:lang w:eastAsia="zh-CN"/>
              </w:rPr>
            </w:pPr>
            <w:r>
              <w:rPr>
                <w:rFonts w:hint="eastAsia" w:ascii="宋体" w:hAnsi="宋体" w:eastAsia="宋体" w:cs="宋体"/>
                <w:szCs w:val="21"/>
                <w:highlight w:val="none"/>
                <w:lang w:eastAsia="zh-CN"/>
              </w:rPr>
              <w:t>□</w:t>
            </w:r>
            <w:r>
              <w:rPr>
                <w:rFonts w:hint="eastAsia" w:ascii="宋体" w:hAnsi="宋体" w:eastAsia="宋体" w:cs="宋体"/>
                <w:szCs w:val="21"/>
                <w:highlight w:val="none"/>
                <w:lang w:val="en-US" w:eastAsia="zh-CN"/>
              </w:rPr>
              <w:t>是</w:t>
            </w:r>
          </w:p>
          <w:p w14:paraId="2F05E07D">
            <w:pPr>
              <w:keepNext w:val="0"/>
              <w:keepLines w:val="0"/>
              <w:suppressLineNumbers w:val="0"/>
              <w:spacing w:before="0" w:beforeAutospacing="0" w:after="0" w:afterAutospacing="0"/>
              <w:ind w:left="36" w:leftChars="17" w:right="0"/>
              <w:jc w:val="center"/>
              <w:rPr>
                <w:rFonts w:hint="eastAsia" w:ascii="宋体" w:hAnsi="宋体" w:eastAsia="宋体" w:cs="宋体"/>
                <w:szCs w:val="21"/>
                <w:highlight w:val="none"/>
              </w:rPr>
            </w:pPr>
            <w:r>
              <w:rPr>
                <w:rFonts w:hint="eastAsia" w:ascii="宋体" w:hAnsi="宋体" w:eastAsia="宋体" w:cs="宋体"/>
                <w:szCs w:val="21"/>
                <w:highlight w:val="none"/>
              </w:rPr>
              <w:t>□</w:t>
            </w:r>
            <w:r>
              <w:rPr>
                <w:rFonts w:hint="eastAsia" w:ascii="宋体" w:hAnsi="宋体" w:eastAsia="宋体" w:cs="宋体"/>
                <w:szCs w:val="21"/>
                <w:highlight w:val="none"/>
                <w:lang w:val="en-US" w:eastAsia="zh-CN"/>
              </w:rPr>
              <w:t>否</w:t>
            </w:r>
          </w:p>
        </w:tc>
        <w:tc>
          <w:tcPr>
            <w:tcW w:w="1982" w:type="dxa"/>
            <w:vAlign w:val="center"/>
          </w:tcPr>
          <w:p w14:paraId="5313B8D7">
            <w:pPr>
              <w:keepNext w:val="0"/>
              <w:keepLines w:val="0"/>
              <w:suppressLineNumbers w:val="0"/>
              <w:spacing w:before="0" w:beforeAutospacing="0" w:after="0" w:afterAutospacing="0"/>
              <w:ind w:left="0" w:right="-178" w:rightChars="-85"/>
              <w:jc w:val="left"/>
              <w:rPr>
                <w:rFonts w:hint="eastAsia" w:ascii="宋体" w:hAnsi="宋体" w:eastAsia="宋体" w:cs="宋体"/>
                <w:szCs w:val="21"/>
                <w:highlight w:val="none"/>
              </w:rPr>
            </w:pPr>
            <w:r>
              <w:rPr>
                <w:rFonts w:hint="eastAsia" w:ascii="宋体" w:hAnsi="宋体" w:eastAsia="宋体" w:cs="宋体"/>
                <w:szCs w:val="21"/>
                <w:highlight w:val="none"/>
              </w:rPr>
              <w:t>见投标文件第( )页</w:t>
            </w:r>
          </w:p>
        </w:tc>
      </w:tr>
    </w:tbl>
    <w:p w14:paraId="66A005CD">
      <w:pPr>
        <w:adjustRightInd w:val="0"/>
        <w:snapToGrid w:val="0"/>
        <w:spacing w:line="360" w:lineRule="auto"/>
        <w:jc w:val="left"/>
        <w:outlineLvl w:val="9"/>
        <w:rPr>
          <w:rFonts w:ascii="宋体" w:hAnsi="宋体"/>
          <w:color w:val="auto"/>
          <w:highlight w:val="none"/>
        </w:rPr>
      </w:pPr>
      <w:r>
        <w:rPr>
          <w:rFonts w:hint="eastAsia" w:ascii="宋体" w:hAnsi="宋体" w:cs="宋体"/>
        </w:rPr>
        <w:t>说明：</w:t>
      </w:r>
      <w:r>
        <w:rPr>
          <w:rFonts w:hint="eastAsia" w:ascii="宋体" w:hAnsi="宋体"/>
        </w:rPr>
        <w:t>投标人必须严格按照《资格性</w:t>
      </w:r>
      <w:r>
        <w:rPr>
          <w:rFonts w:hint="eastAsia" w:ascii="宋体" w:hAnsi="宋体"/>
          <w:lang w:val="en-US" w:eastAsia="zh-CN"/>
        </w:rPr>
        <w:t>自查</w:t>
      </w:r>
      <w:r>
        <w:rPr>
          <w:rFonts w:hint="eastAsia" w:ascii="宋体" w:hAnsi="宋体"/>
        </w:rPr>
        <w:t>表》的评审内容的要求如实提供证明材料</w:t>
      </w:r>
      <w:r>
        <w:rPr>
          <w:rFonts w:hint="eastAsia" w:ascii="宋体" w:hAnsi="宋体"/>
          <w:bCs/>
        </w:rPr>
        <w:t>并应加盖投标人公章,</w:t>
      </w:r>
      <w:r>
        <w:rPr>
          <w:rFonts w:hint="eastAsia" w:ascii="宋体" w:hAnsi="宋体"/>
        </w:rPr>
        <w:t>对缺漏或不符合项将直接导致无</w:t>
      </w:r>
      <w:r>
        <w:rPr>
          <w:rFonts w:hint="eastAsia" w:ascii="宋体" w:hAnsi="宋体"/>
          <w:color w:val="auto"/>
          <w:highlight w:val="none"/>
        </w:rPr>
        <w:t>效投标</w:t>
      </w:r>
      <w:r>
        <w:rPr>
          <w:rFonts w:hint="eastAsia" w:ascii="宋体" w:cs="宋体"/>
          <w:color w:val="auto"/>
          <w:szCs w:val="21"/>
          <w:highlight w:val="none"/>
        </w:rPr>
        <w:t>。</w:t>
      </w:r>
    </w:p>
    <w:p w14:paraId="1599D583">
      <w:pPr>
        <w:widowControl w:val="0"/>
        <w:numPr>
          <w:ilvl w:val="0"/>
          <w:numId w:val="0"/>
        </w:numPr>
        <w:ind w:left="420" w:leftChars="0" w:hanging="420" w:firstLineChars="0"/>
        <w:jc w:val="center"/>
        <w:outlineLvl w:val="9"/>
        <w:rPr>
          <w:rFonts w:hint="eastAsia" w:cs="宋体" w:asciiTheme="majorEastAsia" w:hAnsiTheme="majorEastAsia" w:eastAsiaTheme="majorEastAsia"/>
          <w:kern w:val="2"/>
          <w:sz w:val="30"/>
          <w:szCs w:val="30"/>
          <w:lang w:val="en-US" w:eastAsia="zh-CN" w:bidi="ar-SA"/>
        </w:rPr>
      </w:pPr>
      <w:r>
        <w:rPr>
          <w:rFonts w:hint="eastAsia" w:cs="宋体" w:asciiTheme="majorEastAsia" w:hAnsiTheme="majorEastAsia" w:eastAsiaTheme="majorEastAsia"/>
          <w:kern w:val="2"/>
          <w:sz w:val="30"/>
          <w:szCs w:val="30"/>
          <w:lang w:val="en-US" w:eastAsia="zh-CN" w:bidi="ar-SA"/>
        </w:rPr>
        <w:t>（二）符合性自查表</w:t>
      </w:r>
    </w:p>
    <w:tbl>
      <w:tblPr>
        <w:tblStyle w:val="21"/>
        <w:tblW w:w="1044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8"/>
        <w:gridCol w:w="6519"/>
        <w:gridCol w:w="1240"/>
        <w:gridCol w:w="2004"/>
      </w:tblGrid>
      <w:tr w14:paraId="2E1B1D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8" w:type="dxa"/>
            <w:vAlign w:val="center"/>
          </w:tcPr>
          <w:p w14:paraId="6BDD0664">
            <w:pPr>
              <w:keepNext w:val="0"/>
              <w:keepLines w:val="0"/>
              <w:suppressLineNumbers w:val="0"/>
              <w:spacing w:before="0" w:beforeAutospacing="0" w:after="0" w:afterAutospacing="0"/>
              <w:ind w:left="0" w:right="0"/>
              <w:jc w:val="center"/>
              <w:rPr>
                <w:rFonts w:hint="eastAsia" w:ascii="宋体" w:hAnsi="宋体" w:eastAsia="宋体" w:cs="宋体"/>
                <w:b/>
                <w:bCs/>
                <w:szCs w:val="21"/>
                <w:highlight w:val="none"/>
                <w:lang w:eastAsia="zh-CN"/>
              </w:rPr>
            </w:pPr>
            <w:r>
              <w:rPr>
                <w:rFonts w:hint="eastAsia" w:ascii="宋体" w:hAnsi="宋体" w:eastAsia="宋体" w:cs="宋体"/>
                <w:b/>
                <w:bCs/>
                <w:szCs w:val="21"/>
                <w:highlight w:val="none"/>
                <w:lang w:val="en-US" w:eastAsia="zh-CN"/>
              </w:rPr>
              <w:t>序号</w:t>
            </w:r>
          </w:p>
        </w:tc>
        <w:tc>
          <w:tcPr>
            <w:tcW w:w="6519" w:type="dxa"/>
            <w:vAlign w:val="center"/>
          </w:tcPr>
          <w:p w14:paraId="47A7A07B">
            <w:pPr>
              <w:keepNext w:val="0"/>
              <w:keepLines w:val="0"/>
              <w:suppressLineNumbers w:val="0"/>
              <w:spacing w:before="0" w:beforeAutospacing="0" w:after="0" w:afterAutospacing="0"/>
              <w:ind w:left="0" w:right="0" w:firstLine="19" w:firstLineChars="9"/>
              <w:jc w:val="center"/>
              <w:rPr>
                <w:rFonts w:hint="eastAsia" w:ascii="宋体" w:hAnsi="宋体" w:eastAsia="宋体" w:cs="宋体"/>
                <w:b/>
                <w:bCs/>
                <w:szCs w:val="21"/>
                <w:highlight w:val="none"/>
              </w:rPr>
            </w:pPr>
            <w:r>
              <w:rPr>
                <w:rFonts w:hint="eastAsia" w:ascii="宋体" w:hAnsi="宋体" w:eastAsia="宋体" w:cs="宋体"/>
                <w:b/>
                <w:bCs/>
                <w:szCs w:val="21"/>
                <w:highlight w:val="none"/>
                <w:lang w:eastAsia="zh-CN"/>
              </w:rPr>
              <w:t>征集</w:t>
            </w:r>
            <w:r>
              <w:rPr>
                <w:rFonts w:hint="eastAsia" w:ascii="宋体" w:hAnsi="宋体" w:eastAsia="宋体" w:cs="宋体"/>
                <w:b/>
                <w:bCs/>
                <w:szCs w:val="21"/>
                <w:highlight w:val="none"/>
              </w:rPr>
              <w:t>文件要求</w:t>
            </w:r>
          </w:p>
        </w:tc>
        <w:tc>
          <w:tcPr>
            <w:tcW w:w="1240" w:type="dxa"/>
            <w:vAlign w:val="center"/>
          </w:tcPr>
          <w:p w14:paraId="77891499">
            <w:pPr>
              <w:keepNext w:val="0"/>
              <w:keepLines w:val="0"/>
              <w:suppressLineNumbers w:val="0"/>
              <w:spacing w:before="0" w:beforeAutospacing="0" w:after="0" w:afterAutospacing="0"/>
              <w:ind w:left="0" w:right="0"/>
              <w:jc w:val="center"/>
              <w:rPr>
                <w:rFonts w:hint="eastAsia" w:ascii="宋体" w:hAnsi="宋体" w:eastAsia="宋体" w:cs="宋体"/>
                <w:b/>
                <w:bCs/>
                <w:szCs w:val="21"/>
                <w:highlight w:val="none"/>
              </w:rPr>
            </w:pPr>
            <w:r>
              <w:rPr>
                <w:rFonts w:hint="eastAsia" w:ascii="宋体" w:hAnsi="宋体" w:eastAsia="宋体" w:cs="宋体"/>
                <w:b/>
                <w:bCs/>
                <w:szCs w:val="21"/>
                <w:highlight w:val="none"/>
              </w:rPr>
              <w:t>自查结论</w:t>
            </w:r>
          </w:p>
        </w:tc>
        <w:tc>
          <w:tcPr>
            <w:tcW w:w="2004" w:type="dxa"/>
            <w:vAlign w:val="center"/>
          </w:tcPr>
          <w:p w14:paraId="799F1D15">
            <w:pPr>
              <w:keepNext w:val="0"/>
              <w:keepLines w:val="0"/>
              <w:suppressLineNumbers w:val="0"/>
              <w:spacing w:before="0" w:beforeAutospacing="0" w:after="0" w:afterAutospacing="0"/>
              <w:ind w:left="0" w:right="-178" w:rightChars="-85"/>
              <w:jc w:val="center"/>
              <w:rPr>
                <w:rFonts w:hint="eastAsia" w:ascii="宋体" w:hAnsi="宋体" w:eastAsia="宋体" w:cs="宋体"/>
                <w:b/>
                <w:bCs/>
                <w:szCs w:val="21"/>
                <w:highlight w:val="none"/>
              </w:rPr>
            </w:pPr>
            <w:r>
              <w:rPr>
                <w:rFonts w:hint="eastAsia" w:ascii="宋体" w:hAnsi="宋体" w:eastAsia="宋体" w:cs="宋体"/>
                <w:b/>
                <w:bCs/>
                <w:szCs w:val="21"/>
                <w:highlight w:val="none"/>
              </w:rPr>
              <w:t>证明资料</w:t>
            </w:r>
          </w:p>
        </w:tc>
      </w:tr>
      <w:tr w14:paraId="723137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78" w:type="dxa"/>
            <w:shd w:val="clear" w:color="auto" w:fill="auto"/>
            <w:vAlign w:val="center"/>
          </w:tcPr>
          <w:p w14:paraId="75862572">
            <w:pPr>
              <w:keepNext w:val="0"/>
              <w:keepLines w:val="0"/>
              <w:suppressLineNumbers w:val="0"/>
              <w:spacing w:before="0" w:beforeAutospacing="0" w:after="0" w:afterAutospacing="0"/>
              <w:ind w:left="0" w:leftChars="0" w:right="0" w:rightChars="0"/>
              <w:jc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rPr>
              <w:t>1</w:t>
            </w:r>
          </w:p>
        </w:tc>
        <w:tc>
          <w:tcPr>
            <w:tcW w:w="6519" w:type="dxa"/>
            <w:shd w:val="clear" w:color="auto" w:fill="auto"/>
            <w:vAlign w:val="center"/>
          </w:tcPr>
          <w:p w14:paraId="505738C8">
            <w:pPr>
              <w:keepNext w:val="0"/>
              <w:keepLines w:val="0"/>
              <w:suppressLineNumbers w:val="0"/>
              <w:spacing w:before="0" w:beforeAutospacing="0" w:after="0" w:afterAutospacing="0"/>
              <w:ind w:left="0" w:leftChars="0" w:right="0" w:rightChars="0"/>
              <w:rPr>
                <w:rFonts w:hint="eastAsia" w:ascii="宋体" w:hAnsi="宋体" w:eastAsia="宋体" w:cs="宋体"/>
                <w:kern w:val="2"/>
                <w:sz w:val="21"/>
                <w:szCs w:val="21"/>
                <w:lang w:val="en-US" w:eastAsia="zh-CN" w:bidi="ar-SA"/>
              </w:rPr>
            </w:pPr>
            <w:r>
              <w:rPr>
                <w:rFonts w:hint="eastAsia"/>
              </w:rPr>
              <w:t>将一个包或一个标段的内容拆开投标</w:t>
            </w:r>
          </w:p>
        </w:tc>
        <w:tc>
          <w:tcPr>
            <w:tcW w:w="1240" w:type="dxa"/>
            <w:vAlign w:val="center"/>
          </w:tcPr>
          <w:p w14:paraId="390EEA39">
            <w:pPr>
              <w:keepNext w:val="0"/>
              <w:keepLines w:val="0"/>
              <w:suppressLineNumbers w:val="0"/>
              <w:spacing w:before="0" w:beforeAutospacing="0" w:after="0" w:afterAutospacing="0"/>
              <w:ind w:left="36" w:leftChars="17" w:right="0"/>
              <w:jc w:val="center"/>
              <w:rPr>
                <w:rFonts w:hint="eastAsia" w:ascii="宋体" w:hAnsi="宋体" w:eastAsia="宋体" w:cs="宋体"/>
                <w:szCs w:val="21"/>
                <w:highlight w:val="none"/>
                <w:lang w:eastAsia="zh-CN"/>
              </w:rPr>
            </w:pPr>
            <w:r>
              <w:rPr>
                <w:rFonts w:hint="eastAsia" w:ascii="宋体" w:hAnsi="宋体" w:eastAsia="宋体" w:cs="宋体"/>
                <w:szCs w:val="21"/>
                <w:highlight w:val="none"/>
                <w:lang w:eastAsia="zh-CN"/>
              </w:rPr>
              <w:t>□</w:t>
            </w:r>
            <w:r>
              <w:rPr>
                <w:rFonts w:hint="eastAsia" w:ascii="宋体" w:hAnsi="宋体" w:eastAsia="宋体" w:cs="宋体"/>
                <w:szCs w:val="21"/>
                <w:highlight w:val="none"/>
                <w:lang w:val="en-US" w:eastAsia="zh-CN"/>
              </w:rPr>
              <w:t>是</w:t>
            </w:r>
          </w:p>
          <w:p w14:paraId="6C68E1EC">
            <w:pPr>
              <w:keepNext w:val="0"/>
              <w:keepLines w:val="0"/>
              <w:suppressLineNumbers w:val="0"/>
              <w:spacing w:before="0" w:beforeAutospacing="0" w:after="120" w:afterAutospacing="0"/>
              <w:ind w:left="36" w:leftChars="17" w:right="0"/>
              <w:jc w:val="center"/>
              <w:rPr>
                <w:rFonts w:hint="eastAsia" w:ascii="宋体" w:hAnsi="宋体" w:eastAsia="宋体" w:cs="宋体"/>
                <w:szCs w:val="21"/>
                <w:highlight w:val="none"/>
              </w:rPr>
            </w:pPr>
            <w:r>
              <w:rPr>
                <w:rFonts w:hint="eastAsia" w:ascii="宋体" w:hAnsi="宋体" w:eastAsia="宋体" w:cs="宋体"/>
                <w:szCs w:val="21"/>
                <w:highlight w:val="none"/>
              </w:rPr>
              <w:t>□</w:t>
            </w:r>
            <w:r>
              <w:rPr>
                <w:rFonts w:hint="eastAsia" w:ascii="宋体" w:hAnsi="宋体" w:eastAsia="宋体" w:cs="宋体"/>
                <w:szCs w:val="21"/>
                <w:highlight w:val="none"/>
                <w:lang w:val="en-US" w:eastAsia="zh-CN"/>
              </w:rPr>
              <w:t>否</w:t>
            </w:r>
          </w:p>
        </w:tc>
        <w:tc>
          <w:tcPr>
            <w:tcW w:w="2004" w:type="dxa"/>
            <w:vAlign w:val="center"/>
          </w:tcPr>
          <w:p w14:paraId="0029CF0A">
            <w:pPr>
              <w:keepNext w:val="0"/>
              <w:keepLines w:val="0"/>
              <w:suppressLineNumbers w:val="0"/>
              <w:spacing w:before="0" w:beforeAutospacing="0" w:after="120" w:afterAutospacing="0"/>
              <w:ind w:left="0" w:right="0"/>
              <w:jc w:val="left"/>
              <w:rPr>
                <w:rFonts w:hint="eastAsia" w:ascii="宋体" w:hAnsi="宋体" w:eastAsia="宋体" w:cs="宋体"/>
                <w:szCs w:val="21"/>
                <w:highlight w:val="none"/>
              </w:rPr>
            </w:pPr>
            <w:r>
              <w:rPr>
                <w:rFonts w:hint="eastAsia" w:ascii="宋体" w:hAnsi="宋体" w:eastAsia="宋体" w:cs="宋体"/>
                <w:szCs w:val="21"/>
                <w:highlight w:val="none"/>
              </w:rPr>
              <w:t>见投标文件第( )页</w:t>
            </w:r>
          </w:p>
        </w:tc>
      </w:tr>
      <w:tr w14:paraId="604C1F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8" w:type="dxa"/>
            <w:shd w:val="clear" w:color="auto" w:fill="auto"/>
            <w:vAlign w:val="center"/>
          </w:tcPr>
          <w:p w14:paraId="0219854E">
            <w:pPr>
              <w:keepNext w:val="0"/>
              <w:keepLines w:val="0"/>
              <w:suppressLineNumbers w:val="0"/>
              <w:spacing w:before="0" w:beforeAutospacing="0" w:after="0" w:afterAutospacing="0"/>
              <w:ind w:left="0" w:leftChars="0" w:right="0" w:rightChars="0"/>
              <w:jc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rPr>
              <w:t>2</w:t>
            </w:r>
          </w:p>
        </w:tc>
        <w:tc>
          <w:tcPr>
            <w:tcW w:w="6519" w:type="dxa"/>
            <w:shd w:val="clear" w:color="auto" w:fill="auto"/>
            <w:vAlign w:val="center"/>
          </w:tcPr>
          <w:p w14:paraId="39608BB3">
            <w:pPr>
              <w:keepNext w:val="0"/>
              <w:keepLines w:val="0"/>
              <w:suppressLineNumbers w:val="0"/>
              <w:spacing w:before="0" w:beforeAutospacing="0" w:after="0" w:afterAutospacing="0"/>
              <w:ind w:left="0" w:leftChars="0" w:right="0" w:rightChars="0"/>
              <w:rPr>
                <w:rFonts w:hint="eastAsia" w:ascii="宋体" w:hAnsi="宋体" w:eastAsia="宋体" w:cs="宋体"/>
                <w:kern w:val="2"/>
                <w:sz w:val="21"/>
                <w:szCs w:val="21"/>
                <w:lang w:val="en-US" w:eastAsia="zh-CN" w:bidi="ar-SA"/>
              </w:rPr>
            </w:pPr>
            <w:r>
              <w:rPr>
                <w:rFonts w:hint="eastAsia"/>
              </w:rPr>
              <w:t>投标文件及开标一览表未按</w:t>
            </w:r>
            <w:r>
              <w:rPr>
                <w:rFonts w:hint="eastAsia"/>
                <w:lang w:val="en-US" w:eastAsia="zh-CN"/>
              </w:rPr>
              <w:t>征集</w:t>
            </w:r>
            <w:r>
              <w:rPr>
                <w:rFonts w:hint="eastAsia"/>
              </w:rPr>
              <w:t>文件规定密封、签字、盖章</w:t>
            </w:r>
          </w:p>
        </w:tc>
        <w:tc>
          <w:tcPr>
            <w:tcW w:w="1240" w:type="dxa"/>
            <w:vAlign w:val="center"/>
          </w:tcPr>
          <w:p w14:paraId="4400EC76">
            <w:pPr>
              <w:keepNext w:val="0"/>
              <w:keepLines w:val="0"/>
              <w:suppressLineNumbers w:val="0"/>
              <w:spacing w:before="0" w:beforeAutospacing="0" w:after="0" w:afterAutospacing="0"/>
              <w:ind w:left="36" w:leftChars="17" w:right="0"/>
              <w:jc w:val="center"/>
              <w:rPr>
                <w:rFonts w:hint="eastAsia" w:ascii="宋体" w:hAnsi="宋体" w:eastAsia="宋体" w:cs="宋体"/>
                <w:szCs w:val="21"/>
                <w:highlight w:val="none"/>
                <w:lang w:eastAsia="zh-CN"/>
              </w:rPr>
            </w:pPr>
            <w:r>
              <w:rPr>
                <w:rFonts w:hint="eastAsia" w:ascii="宋体" w:hAnsi="宋体" w:eastAsia="宋体" w:cs="宋体"/>
                <w:szCs w:val="21"/>
                <w:highlight w:val="none"/>
                <w:lang w:eastAsia="zh-CN"/>
              </w:rPr>
              <w:t>□</w:t>
            </w:r>
            <w:r>
              <w:rPr>
                <w:rFonts w:hint="eastAsia" w:ascii="宋体" w:hAnsi="宋体" w:eastAsia="宋体" w:cs="宋体"/>
                <w:szCs w:val="21"/>
                <w:highlight w:val="none"/>
                <w:lang w:val="en-US" w:eastAsia="zh-CN"/>
              </w:rPr>
              <w:t>是</w:t>
            </w:r>
          </w:p>
          <w:p w14:paraId="7E114970">
            <w:pPr>
              <w:keepNext w:val="0"/>
              <w:keepLines w:val="0"/>
              <w:suppressLineNumbers w:val="0"/>
              <w:spacing w:before="0" w:beforeAutospacing="0" w:after="0" w:afterAutospacing="0"/>
              <w:ind w:left="36" w:leftChars="17" w:right="0"/>
              <w:jc w:val="center"/>
              <w:rPr>
                <w:rFonts w:hint="eastAsia" w:ascii="宋体" w:hAnsi="宋体" w:eastAsia="宋体" w:cs="宋体"/>
                <w:szCs w:val="21"/>
                <w:highlight w:val="none"/>
              </w:rPr>
            </w:pPr>
            <w:r>
              <w:rPr>
                <w:rFonts w:hint="eastAsia" w:ascii="宋体" w:hAnsi="宋体" w:eastAsia="宋体" w:cs="宋体"/>
                <w:szCs w:val="21"/>
                <w:highlight w:val="none"/>
              </w:rPr>
              <w:t>□</w:t>
            </w:r>
            <w:r>
              <w:rPr>
                <w:rFonts w:hint="eastAsia" w:ascii="宋体" w:hAnsi="宋体" w:eastAsia="宋体" w:cs="宋体"/>
                <w:szCs w:val="21"/>
                <w:highlight w:val="none"/>
                <w:lang w:val="en-US" w:eastAsia="zh-CN"/>
              </w:rPr>
              <w:t>否</w:t>
            </w:r>
          </w:p>
        </w:tc>
        <w:tc>
          <w:tcPr>
            <w:tcW w:w="2004" w:type="dxa"/>
            <w:vAlign w:val="center"/>
          </w:tcPr>
          <w:p w14:paraId="7EFBCF20">
            <w:pPr>
              <w:keepNext w:val="0"/>
              <w:keepLines w:val="0"/>
              <w:suppressLineNumbers w:val="0"/>
              <w:spacing w:before="0" w:beforeAutospacing="0" w:after="0" w:afterAutospacing="0"/>
              <w:ind w:left="0" w:right="-178" w:rightChars="-85"/>
              <w:jc w:val="left"/>
              <w:rPr>
                <w:rFonts w:hint="eastAsia" w:ascii="宋体" w:hAnsi="宋体" w:eastAsia="宋体" w:cs="宋体"/>
                <w:szCs w:val="21"/>
                <w:highlight w:val="none"/>
              </w:rPr>
            </w:pPr>
            <w:r>
              <w:rPr>
                <w:rFonts w:hint="eastAsia" w:ascii="宋体" w:hAnsi="宋体" w:eastAsia="宋体" w:cs="宋体"/>
                <w:szCs w:val="21"/>
                <w:highlight w:val="none"/>
              </w:rPr>
              <w:t>见投标文件第( )页</w:t>
            </w:r>
          </w:p>
        </w:tc>
      </w:tr>
      <w:tr w14:paraId="0FCCF7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78" w:type="dxa"/>
            <w:shd w:val="clear" w:color="auto" w:fill="auto"/>
            <w:vAlign w:val="center"/>
          </w:tcPr>
          <w:p w14:paraId="381DCB45">
            <w:pPr>
              <w:keepNext w:val="0"/>
              <w:keepLines w:val="0"/>
              <w:suppressLineNumbers w:val="0"/>
              <w:spacing w:before="0" w:beforeAutospacing="0" w:after="0" w:afterAutospacing="0"/>
              <w:ind w:left="0" w:leftChars="0" w:right="0" w:rightChars="0"/>
              <w:jc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rPr>
              <w:t>3</w:t>
            </w:r>
          </w:p>
        </w:tc>
        <w:tc>
          <w:tcPr>
            <w:tcW w:w="6519" w:type="dxa"/>
            <w:shd w:val="clear" w:color="auto" w:fill="auto"/>
            <w:vAlign w:val="center"/>
          </w:tcPr>
          <w:p w14:paraId="76657869">
            <w:pPr>
              <w:keepNext w:val="0"/>
              <w:keepLines w:val="0"/>
              <w:suppressLineNumbers w:val="0"/>
              <w:spacing w:before="0" w:beforeAutospacing="0" w:after="0" w:afterAutospacing="0"/>
              <w:ind w:left="0" w:leftChars="0" w:right="0" w:rightChars="0"/>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征集</w:t>
            </w:r>
            <w:r>
              <w:rPr>
                <w:rFonts w:hint="eastAsia" w:ascii="宋体" w:hAnsi="宋体" w:eastAsia="宋体" w:cs="宋体"/>
                <w:sz w:val="21"/>
                <w:szCs w:val="21"/>
              </w:rPr>
              <w:t>文件未规定允许有替代方案时，对同一项目投标时，同时提供两套或两套以上的投标方案</w:t>
            </w:r>
          </w:p>
        </w:tc>
        <w:tc>
          <w:tcPr>
            <w:tcW w:w="1240" w:type="dxa"/>
            <w:vAlign w:val="center"/>
          </w:tcPr>
          <w:p w14:paraId="50A9D488">
            <w:pPr>
              <w:keepNext w:val="0"/>
              <w:keepLines w:val="0"/>
              <w:suppressLineNumbers w:val="0"/>
              <w:spacing w:before="0" w:beforeAutospacing="0" w:after="0" w:afterAutospacing="0"/>
              <w:ind w:left="36" w:leftChars="17" w:right="0"/>
              <w:jc w:val="center"/>
              <w:rPr>
                <w:rFonts w:hint="eastAsia" w:ascii="宋体" w:hAnsi="宋体" w:eastAsia="宋体" w:cs="宋体"/>
                <w:szCs w:val="21"/>
                <w:highlight w:val="none"/>
                <w:lang w:eastAsia="zh-CN"/>
              </w:rPr>
            </w:pPr>
            <w:r>
              <w:rPr>
                <w:rFonts w:hint="eastAsia" w:ascii="宋体" w:hAnsi="宋体" w:eastAsia="宋体" w:cs="宋体"/>
                <w:szCs w:val="21"/>
                <w:highlight w:val="none"/>
                <w:lang w:eastAsia="zh-CN"/>
              </w:rPr>
              <w:t>□</w:t>
            </w:r>
            <w:r>
              <w:rPr>
                <w:rFonts w:hint="eastAsia" w:ascii="宋体" w:hAnsi="宋体" w:eastAsia="宋体" w:cs="宋体"/>
                <w:szCs w:val="21"/>
                <w:highlight w:val="none"/>
                <w:lang w:val="en-US" w:eastAsia="zh-CN"/>
              </w:rPr>
              <w:t>是</w:t>
            </w:r>
          </w:p>
          <w:p w14:paraId="4F0744C3">
            <w:pPr>
              <w:keepNext w:val="0"/>
              <w:keepLines w:val="0"/>
              <w:suppressLineNumbers w:val="0"/>
              <w:spacing w:before="0" w:beforeAutospacing="0" w:after="0" w:afterAutospacing="0"/>
              <w:ind w:left="36" w:leftChars="17" w:right="0"/>
              <w:jc w:val="center"/>
              <w:rPr>
                <w:rFonts w:hint="eastAsia" w:ascii="宋体" w:hAnsi="宋体" w:eastAsia="宋体" w:cs="宋体"/>
                <w:szCs w:val="21"/>
                <w:highlight w:val="none"/>
              </w:rPr>
            </w:pPr>
            <w:r>
              <w:rPr>
                <w:rFonts w:hint="eastAsia" w:ascii="宋体" w:hAnsi="宋体" w:eastAsia="宋体" w:cs="宋体"/>
                <w:szCs w:val="21"/>
                <w:highlight w:val="none"/>
              </w:rPr>
              <w:t>□</w:t>
            </w:r>
            <w:r>
              <w:rPr>
                <w:rFonts w:hint="eastAsia" w:ascii="宋体" w:hAnsi="宋体" w:eastAsia="宋体" w:cs="宋体"/>
                <w:szCs w:val="21"/>
                <w:highlight w:val="none"/>
                <w:lang w:val="en-US" w:eastAsia="zh-CN"/>
              </w:rPr>
              <w:t>否</w:t>
            </w:r>
          </w:p>
        </w:tc>
        <w:tc>
          <w:tcPr>
            <w:tcW w:w="2004" w:type="dxa"/>
            <w:vAlign w:val="center"/>
          </w:tcPr>
          <w:p w14:paraId="2A451F83">
            <w:pPr>
              <w:keepNext w:val="0"/>
              <w:keepLines w:val="0"/>
              <w:suppressLineNumbers w:val="0"/>
              <w:spacing w:before="0" w:beforeAutospacing="0" w:after="0" w:afterAutospacing="0"/>
              <w:ind w:left="0" w:right="-178" w:rightChars="-85"/>
              <w:jc w:val="left"/>
              <w:rPr>
                <w:rFonts w:hint="eastAsia" w:ascii="宋体" w:hAnsi="宋体" w:eastAsia="宋体" w:cs="宋体"/>
                <w:szCs w:val="21"/>
                <w:highlight w:val="none"/>
              </w:rPr>
            </w:pPr>
            <w:r>
              <w:rPr>
                <w:rFonts w:hint="eastAsia" w:ascii="宋体" w:hAnsi="宋体" w:eastAsia="宋体" w:cs="宋体"/>
                <w:szCs w:val="21"/>
                <w:highlight w:val="none"/>
              </w:rPr>
              <w:t>见投标文件第( )页</w:t>
            </w:r>
          </w:p>
        </w:tc>
      </w:tr>
      <w:tr w14:paraId="3E96F2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78" w:type="dxa"/>
            <w:shd w:val="clear" w:color="auto" w:fill="auto"/>
            <w:vAlign w:val="center"/>
          </w:tcPr>
          <w:p w14:paraId="129DC0A8">
            <w:pPr>
              <w:keepNext w:val="0"/>
              <w:keepLines w:val="0"/>
              <w:suppressLineNumbers w:val="0"/>
              <w:spacing w:before="0" w:beforeAutospacing="0" w:after="0" w:afterAutospacing="0"/>
              <w:ind w:left="0" w:leftChars="0" w:right="0" w:rightChars="0"/>
              <w:jc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4</w:t>
            </w:r>
          </w:p>
        </w:tc>
        <w:tc>
          <w:tcPr>
            <w:tcW w:w="6519" w:type="dxa"/>
            <w:shd w:val="clear" w:color="auto" w:fill="auto"/>
            <w:vAlign w:val="center"/>
          </w:tcPr>
          <w:p w14:paraId="71A26AAE">
            <w:pPr>
              <w:keepNext w:val="0"/>
              <w:keepLines w:val="0"/>
              <w:suppressLineNumbers w:val="0"/>
              <w:spacing w:before="0" w:beforeAutospacing="0" w:after="0" w:afterAutospacing="0"/>
              <w:ind w:left="0" w:leftChars="0" w:right="0" w:rightChars="0"/>
              <w:rPr>
                <w:rFonts w:hint="eastAsia" w:ascii="宋体" w:hAnsi="宋体" w:eastAsia="宋体" w:cs="宋体"/>
                <w:kern w:val="2"/>
                <w:sz w:val="21"/>
                <w:szCs w:val="21"/>
                <w:lang w:val="en-US" w:eastAsia="zh-CN" w:bidi="ar-SA"/>
              </w:rPr>
            </w:pPr>
            <w:r>
              <w:rPr>
                <w:rFonts w:hint="eastAsia"/>
              </w:rPr>
              <w:t>未按照</w:t>
            </w:r>
            <w:r>
              <w:rPr>
                <w:rFonts w:hint="eastAsia"/>
                <w:lang w:val="en-US" w:eastAsia="zh-CN"/>
              </w:rPr>
              <w:t>征集</w:t>
            </w:r>
            <w:r>
              <w:rPr>
                <w:rFonts w:hint="eastAsia"/>
              </w:rPr>
              <w:t>文件规定要求签署、盖章或投标文件没有法定代表人签字，或签字人没有法定代表人有效授权书的</w:t>
            </w:r>
          </w:p>
        </w:tc>
        <w:tc>
          <w:tcPr>
            <w:tcW w:w="1240" w:type="dxa"/>
            <w:vAlign w:val="center"/>
          </w:tcPr>
          <w:p w14:paraId="0553C5CA">
            <w:pPr>
              <w:keepNext w:val="0"/>
              <w:keepLines w:val="0"/>
              <w:suppressLineNumbers w:val="0"/>
              <w:spacing w:before="0" w:beforeAutospacing="0" w:after="0" w:afterAutospacing="0"/>
              <w:ind w:left="36" w:leftChars="17" w:right="0"/>
              <w:jc w:val="center"/>
              <w:rPr>
                <w:rFonts w:hint="eastAsia" w:ascii="宋体" w:hAnsi="宋体" w:eastAsia="宋体" w:cs="宋体"/>
                <w:szCs w:val="21"/>
                <w:highlight w:val="none"/>
                <w:lang w:eastAsia="zh-CN"/>
              </w:rPr>
            </w:pPr>
            <w:r>
              <w:rPr>
                <w:rFonts w:hint="eastAsia" w:ascii="宋体" w:hAnsi="宋体" w:eastAsia="宋体" w:cs="宋体"/>
                <w:szCs w:val="21"/>
                <w:highlight w:val="none"/>
                <w:lang w:eastAsia="zh-CN"/>
              </w:rPr>
              <w:t>□</w:t>
            </w:r>
            <w:r>
              <w:rPr>
                <w:rFonts w:hint="eastAsia" w:ascii="宋体" w:hAnsi="宋体" w:eastAsia="宋体" w:cs="宋体"/>
                <w:szCs w:val="21"/>
                <w:highlight w:val="none"/>
                <w:lang w:val="en-US" w:eastAsia="zh-CN"/>
              </w:rPr>
              <w:t>是</w:t>
            </w:r>
          </w:p>
          <w:p w14:paraId="2C52F576">
            <w:pPr>
              <w:keepNext w:val="0"/>
              <w:keepLines w:val="0"/>
              <w:suppressLineNumbers w:val="0"/>
              <w:spacing w:before="0" w:beforeAutospacing="0" w:after="120" w:afterAutospacing="0"/>
              <w:ind w:left="36" w:leftChars="17" w:right="0"/>
              <w:jc w:val="center"/>
              <w:rPr>
                <w:rFonts w:hint="eastAsia" w:ascii="宋体" w:hAnsi="宋体" w:eastAsia="宋体" w:cs="宋体"/>
                <w:szCs w:val="21"/>
                <w:highlight w:val="none"/>
              </w:rPr>
            </w:pPr>
            <w:r>
              <w:rPr>
                <w:rFonts w:hint="eastAsia" w:ascii="宋体" w:hAnsi="宋体" w:eastAsia="宋体" w:cs="宋体"/>
                <w:szCs w:val="21"/>
                <w:highlight w:val="none"/>
              </w:rPr>
              <w:t>□</w:t>
            </w:r>
            <w:r>
              <w:rPr>
                <w:rFonts w:hint="eastAsia" w:ascii="宋体" w:hAnsi="宋体" w:eastAsia="宋体" w:cs="宋体"/>
                <w:szCs w:val="21"/>
                <w:highlight w:val="none"/>
                <w:lang w:val="en-US" w:eastAsia="zh-CN"/>
              </w:rPr>
              <w:t>否</w:t>
            </w:r>
          </w:p>
        </w:tc>
        <w:tc>
          <w:tcPr>
            <w:tcW w:w="2004" w:type="dxa"/>
            <w:vAlign w:val="center"/>
          </w:tcPr>
          <w:p w14:paraId="2BF002AF">
            <w:pPr>
              <w:keepNext w:val="0"/>
              <w:keepLines w:val="0"/>
              <w:suppressLineNumbers w:val="0"/>
              <w:spacing w:before="0" w:beforeAutospacing="0" w:after="120" w:afterAutospacing="0"/>
              <w:ind w:left="0" w:right="0"/>
              <w:jc w:val="left"/>
              <w:rPr>
                <w:rFonts w:hint="eastAsia" w:ascii="宋体" w:hAnsi="宋体" w:eastAsia="宋体" w:cs="宋体"/>
                <w:szCs w:val="21"/>
                <w:highlight w:val="none"/>
              </w:rPr>
            </w:pPr>
            <w:r>
              <w:rPr>
                <w:rFonts w:hint="eastAsia" w:ascii="宋体" w:hAnsi="宋体" w:eastAsia="宋体" w:cs="宋体"/>
                <w:szCs w:val="21"/>
                <w:highlight w:val="none"/>
              </w:rPr>
              <w:t>见投标文件第( )页</w:t>
            </w:r>
          </w:p>
        </w:tc>
      </w:tr>
      <w:tr w14:paraId="7059F0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8" w:type="dxa"/>
            <w:shd w:val="clear" w:color="auto" w:fill="auto"/>
            <w:vAlign w:val="center"/>
          </w:tcPr>
          <w:p w14:paraId="62B4EEDC">
            <w:pPr>
              <w:keepNext w:val="0"/>
              <w:keepLines w:val="0"/>
              <w:suppressLineNumbers w:val="0"/>
              <w:spacing w:before="0" w:beforeAutospacing="0" w:after="0" w:afterAutospacing="0"/>
              <w:ind w:left="0" w:leftChars="0" w:right="0" w:rightChars="0"/>
              <w:jc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SA"/>
              </w:rPr>
              <w:t>5</w:t>
            </w:r>
          </w:p>
        </w:tc>
        <w:tc>
          <w:tcPr>
            <w:tcW w:w="6519" w:type="dxa"/>
            <w:shd w:val="clear" w:color="auto" w:fill="auto"/>
            <w:vAlign w:val="center"/>
          </w:tcPr>
          <w:p w14:paraId="323DD3FE">
            <w:pPr>
              <w:keepNext w:val="0"/>
              <w:keepLines w:val="0"/>
              <w:suppressLineNumbers w:val="0"/>
              <w:spacing w:before="0" w:beforeAutospacing="0" w:after="0" w:afterAutospacing="0"/>
              <w:ind w:left="0" w:leftChars="0" w:right="0" w:rightChars="0"/>
              <w:rPr>
                <w:rFonts w:hint="eastAsia" w:ascii="宋体" w:hAnsi="宋体" w:eastAsia="宋体" w:cs="宋体"/>
                <w:kern w:val="2"/>
                <w:sz w:val="21"/>
                <w:szCs w:val="21"/>
                <w:lang w:val="en-US" w:eastAsia="zh-CN" w:bidi="ar-SA"/>
              </w:rPr>
            </w:pPr>
            <w:r>
              <w:rPr>
                <w:rFonts w:hint="eastAsia" w:ascii="宋体" w:hAnsi="宋体" w:eastAsia="宋体" w:cs="宋体"/>
                <w:sz w:val="21"/>
                <w:szCs w:val="21"/>
              </w:rPr>
              <w:t>分项报价或投标总价高于预算金额（最高投标限价）的，或未按</w:t>
            </w:r>
            <w:r>
              <w:rPr>
                <w:rFonts w:hint="eastAsia" w:ascii="宋体" w:hAnsi="宋体" w:eastAsia="宋体" w:cs="宋体"/>
                <w:sz w:val="21"/>
                <w:szCs w:val="21"/>
                <w:lang w:val="en-US" w:eastAsia="zh-CN"/>
              </w:rPr>
              <w:t>征集</w:t>
            </w:r>
            <w:r>
              <w:rPr>
                <w:rFonts w:hint="eastAsia" w:ascii="宋体" w:hAnsi="宋体" w:eastAsia="宋体" w:cs="宋体"/>
                <w:sz w:val="21"/>
                <w:szCs w:val="21"/>
              </w:rPr>
              <w:t>文件要求报价的</w:t>
            </w:r>
          </w:p>
        </w:tc>
        <w:tc>
          <w:tcPr>
            <w:tcW w:w="1240" w:type="dxa"/>
            <w:vAlign w:val="center"/>
          </w:tcPr>
          <w:p w14:paraId="2498A841">
            <w:pPr>
              <w:keepNext w:val="0"/>
              <w:keepLines w:val="0"/>
              <w:suppressLineNumbers w:val="0"/>
              <w:spacing w:before="0" w:beforeAutospacing="0" w:after="0" w:afterAutospacing="0"/>
              <w:ind w:left="36" w:leftChars="17" w:right="0"/>
              <w:jc w:val="center"/>
              <w:rPr>
                <w:rFonts w:hint="eastAsia" w:ascii="宋体" w:hAnsi="宋体" w:eastAsia="宋体" w:cs="宋体"/>
                <w:szCs w:val="21"/>
                <w:highlight w:val="none"/>
                <w:lang w:eastAsia="zh-CN"/>
              </w:rPr>
            </w:pPr>
            <w:r>
              <w:rPr>
                <w:rFonts w:hint="eastAsia" w:ascii="宋体" w:hAnsi="宋体" w:eastAsia="宋体" w:cs="宋体"/>
                <w:szCs w:val="21"/>
                <w:highlight w:val="none"/>
                <w:lang w:eastAsia="zh-CN"/>
              </w:rPr>
              <w:t>□</w:t>
            </w:r>
            <w:r>
              <w:rPr>
                <w:rFonts w:hint="eastAsia" w:ascii="宋体" w:hAnsi="宋体" w:eastAsia="宋体" w:cs="宋体"/>
                <w:szCs w:val="21"/>
                <w:highlight w:val="none"/>
                <w:lang w:val="en-US" w:eastAsia="zh-CN"/>
              </w:rPr>
              <w:t>是</w:t>
            </w:r>
          </w:p>
          <w:p w14:paraId="4758BE96">
            <w:pPr>
              <w:keepNext w:val="0"/>
              <w:keepLines w:val="0"/>
              <w:suppressLineNumbers w:val="0"/>
              <w:spacing w:before="0" w:beforeAutospacing="0" w:after="120" w:afterAutospacing="0"/>
              <w:ind w:left="36" w:leftChars="17" w:right="0"/>
              <w:jc w:val="center"/>
              <w:rPr>
                <w:rFonts w:hint="eastAsia" w:ascii="宋体" w:hAnsi="宋体" w:eastAsia="宋体" w:cs="宋体"/>
                <w:szCs w:val="21"/>
                <w:highlight w:val="none"/>
              </w:rPr>
            </w:pPr>
            <w:r>
              <w:rPr>
                <w:rFonts w:hint="eastAsia" w:ascii="宋体" w:hAnsi="宋体" w:eastAsia="宋体" w:cs="宋体"/>
                <w:szCs w:val="21"/>
                <w:highlight w:val="none"/>
              </w:rPr>
              <w:t>□</w:t>
            </w:r>
            <w:r>
              <w:rPr>
                <w:rFonts w:hint="eastAsia" w:ascii="宋体" w:hAnsi="宋体" w:eastAsia="宋体" w:cs="宋体"/>
                <w:szCs w:val="21"/>
                <w:highlight w:val="none"/>
                <w:lang w:val="en-US" w:eastAsia="zh-CN"/>
              </w:rPr>
              <w:t>否</w:t>
            </w:r>
          </w:p>
        </w:tc>
        <w:tc>
          <w:tcPr>
            <w:tcW w:w="2004" w:type="dxa"/>
            <w:vAlign w:val="center"/>
          </w:tcPr>
          <w:p w14:paraId="60403B95">
            <w:pPr>
              <w:keepNext w:val="0"/>
              <w:keepLines w:val="0"/>
              <w:suppressLineNumbers w:val="0"/>
              <w:spacing w:before="0" w:beforeAutospacing="0" w:after="120" w:afterAutospacing="0"/>
              <w:ind w:left="0" w:right="0"/>
              <w:jc w:val="left"/>
              <w:rPr>
                <w:rFonts w:hint="eastAsia" w:ascii="宋体" w:hAnsi="宋体" w:eastAsia="宋体" w:cs="宋体"/>
                <w:szCs w:val="21"/>
                <w:highlight w:val="none"/>
              </w:rPr>
            </w:pPr>
            <w:r>
              <w:rPr>
                <w:rFonts w:hint="eastAsia" w:ascii="宋体" w:hAnsi="宋体" w:eastAsia="宋体" w:cs="宋体"/>
                <w:szCs w:val="21"/>
                <w:highlight w:val="none"/>
              </w:rPr>
              <w:t>见投标文件第( )页</w:t>
            </w:r>
          </w:p>
        </w:tc>
      </w:tr>
      <w:tr w14:paraId="16464A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jc w:val="center"/>
        </w:trPr>
        <w:tc>
          <w:tcPr>
            <w:tcW w:w="678" w:type="dxa"/>
            <w:shd w:val="clear" w:color="auto" w:fill="auto"/>
            <w:vAlign w:val="center"/>
          </w:tcPr>
          <w:p w14:paraId="097844EB">
            <w:pPr>
              <w:keepNext w:val="0"/>
              <w:keepLines w:val="0"/>
              <w:suppressLineNumbers w:val="0"/>
              <w:spacing w:before="0" w:beforeAutospacing="0" w:after="0" w:afterAutospacing="0"/>
              <w:ind w:left="0" w:leftChars="0" w:right="0" w:rightChars="0"/>
              <w:jc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SA"/>
              </w:rPr>
              <w:t>6</w:t>
            </w:r>
          </w:p>
        </w:tc>
        <w:tc>
          <w:tcPr>
            <w:tcW w:w="6519" w:type="dxa"/>
            <w:shd w:val="clear" w:color="auto" w:fill="auto"/>
            <w:vAlign w:val="center"/>
          </w:tcPr>
          <w:p w14:paraId="455E1F0C">
            <w:pPr>
              <w:keepNext w:val="0"/>
              <w:keepLines w:val="0"/>
              <w:suppressLineNumbers w:val="0"/>
              <w:spacing w:before="0" w:beforeAutospacing="0" w:after="0" w:afterAutospacing="0"/>
              <w:ind w:left="0" w:leftChars="0" w:right="0" w:rightChars="0"/>
              <w:rPr>
                <w:rFonts w:hint="eastAsia" w:ascii="宋体" w:hAnsi="宋体" w:eastAsia="宋体" w:cs="宋体"/>
                <w:kern w:val="2"/>
                <w:sz w:val="21"/>
                <w:szCs w:val="21"/>
                <w:lang w:val="en-US" w:eastAsia="zh-CN" w:bidi="ar-SA"/>
              </w:rPr>
            </w:pPr>
            <w:r>
              <w:rPr>
                <w:rFonts w:hint="eastAsia" w:ascii="宋体" w:hAnsi="宋体" w:eastAsia="宋体" w:cs="宋体"/>
                <w:sz w:val="21"/>
                <w:szCs w:val="21"/>
              </w:rPr>
              <w:t>同一项目出现两个及以上报价，按规定又无法确定哪个是有效报价</w:t>
            </w:r>
          </w:p>
        </w:tc>
        <w:tc>
          <w:tcPr>
            <w:tcW w:w="1240" w:type="dxa"/>
            <w:vAlign w:val="center"/>
          </w:tcPr>
          <w:p w14:paraId="3D88256A">
            <w:pPr>
              <w:keepNext w:val="0"/>
              <w:keepLines w:val="0"/>
              <w:suppressLineNumbers w:val="0"/>
              <w:spacing w:before="0" w:beforeAutospacing="0" w:after="0" w:afterAutospacing="0"/>
              <w:ind w:left="36" w:leftChars="17" w:right="0"/>
              <w:jc w:val="center"/>
              <w:rPr>
                <w:rFonts w:hint="eastAsia" w:ascii="宋体" w:hAnsi="宋体" w:eastAsia="宋体" w:cs="宋体"/>
                <w:szCs w:val="21"/>
                <w:highlight w:val="none"/>
                <w:lang w:eastAsia="zh-CN"/>
              </w:rPr>
            </w:pPr>
            <w:r>
              <w:rPr>
                <w:rFonts w:hint="eastAsia" w:ascii="宋体" w:hAnsi="宋体" w:eastAsia="宋体" w:cs="宋体"/>
                <w:szCs w:val="21"/>
                <w:highlight w:val="none"/>
                <w:lang w:eastAsia="zh-CN"/>
              </w:rPr>
              <w:t>□</w:t>
            </w:r>
            <w:r>
              <w:rPr>
                <w:rFonts w:hint="eastAsia" w:ascii="宋体" w:hAnsi="宋体" w:eastAsia="宋体" w:cs="宋体"/>
                <w:szCs w:val="21"/>
                <w:highlight w:val="none"/>
                <w:lang w:val="en-US" w:eastAsia="zh-CN"/>
              </w:rPr>
              <w:t>是</w:t>
            </w:r>
          </w:p>
          <w:p w14:paraId="5FD6D3FF">
            <w:pPr>
              <w:keepNext w:val="0"/>
              <w:keepLines w:val="0"/>
              <w:suppressLineNumbers w:val="0"/>
              <w:spacing w:before="0" w:beforeAutospacing="0" w:after="120" w:afterAutospacing="0"/>
              <w:ind w:left="36" w:leftChars="17" w:right="0"/>
              <w:jc w:val="center"/>
              <w:rPr>
                <w:rFonts w:hint="eastAsia" w:ascii="宋体" w:hAnsi="宋体" w:eastAsia="宋体" w:cs="宋体"/>
                <w:szCs w:val="21"/>
                <w:highlight w:val="none"/>
              </w:rPr>
            </w:pPr>
            <w:r>
              <w:rPr>
                <w:rFonts w:hint="eastAsia" w:ascii="宋体" w:hAnsi="宋体" w:eastAsia="宋体" w:cs="宋体"/>
                <w:szCs w:val="21"/>
                <w:highlight w:val="none"/>
              </w:rPr>
              <w:t>□</w:t>
            </w:r>
            <w:r>
              <w:rPr>
                <w:rFonts w:hint="eastAsia" w:ascii="宋体" w:hAnsi="宋体" w:eastAsia="宋体" w:cs="宋体"/>
                <w:szCs w:val="21"/>
                <w:highlight w:val="none"/>
                <w:lang w:val="en-US" w:eastAsia="zh-CN"/>
              </w:rPr>
              <w:t>否</w:t>
            </w:r>
          </w:p>
        </w:tc>
        <w:tc>
          <w:tcPr>
            <w:tcW w:w="2004" w:type="dxa"/>
            <w:vAlign w:val="center"/>
          </w:tcPr>
          <w:p w14:paraId="0FCEFD01">
            <w:pPr>
              <w:keepNext w:val="0"/>
              <w:keepLines w:val="0"/>
              <w:suppressLineNumbers w:val="0"/>
              <w:spacing w:before="0" w:beforeAutospacing="0" w:after="120" w:afterAutospacing="0"/>
              <w:ind w:left="0" w:right="0"/>
              <w:jc w:val="left"/>
              <w:rPr>
                <w:rFonts w:hint="eastAsia" w:ascii="宋体" w:hAnsi="宋体" w:eastAsia="宋体" w:cs="宋体"/>
                <w:szCs w:val="21"/>
                <w:highlight w:val="none"/>
              </w:rPr>
            </w:pPr>
            <w:r>
              <w:rPr>
                <w:rFonts w:hint="eastAsia" w:ascii="宋体" w:hAnsi="宋体" w:eastAsia="宋体" w:cs="宋体"/>
                <w:szCs w:val="21"/>
                <w:highlight w:val="none"/>
              </w:rPr>
              <w:t>见投标文件第( )页</w:t>
            </w:r>
          </w:p>
        </w:tc>
      </w:tr>
      <w:tr w14:paraId="672B40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78" w:type="dxa"/>
            <w:shd w:val="clear" w:color="auto" w:fill="auto"/>
            <w:vAlign w:val="center"/>
          </w:tcPr>
          <w:p w14:paraId="2E8BCCFB">
            <w:pPr>
              <w:keepNext w:val="0"/>
              <w:keepLines w:val="0"/>
              <w:suppressLineNumbers w:val="0"/>
              <w:spacing w:before="0" w:beforeAutospacing="0" w:after="0" w:afterAutospacing="0"/>
              <w:ind w:left="0" w:leftChars="0" w:right="0" w:rightChars="0"/>
              <w:jc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SA"/>
              </w:rPr>
              <w:t>7</w:t>
            </w:r>
          </w:p>
        </w:tc>
        <w:tc>
          <w:tcPr>
            <w:tcW w:w="6519" w:type="dxa"/>
            <w:shd w:val="clear" w:color="auto" w:fill="auto"/>
            <w:vAlign w:val="center"/>
          </w:tcPr>
          <w:p w14:paraId="12DE7337">
            <w:pPr>
              <w:keepNext w:val="0"/>
              <w:keepLines w:val="0"/>
              <w:suppressLineNumbers w:val="0"/>
              <w:spacing w:before="0" w:beforeAutospacing="0" w:after="0" w:afterAutospacing="0"/>
              <w:ind w:left="0" w:leftChars="0" w:right="0" w:rightChars="0"/>
              <w:rPr>
                <w:rFonts w:hint="eastAsia" w:ascii="宋体" w:hAnsi="宋体" w:eastAsia="宋体" w:cs="宋体"/>
                <w:kern w:val="2"/>
                <w:sz w:val="21"/>
                <w:szCs w:val="21"/>
                <w:lang w:val="en-US" w:eastAsia="zh-CN" w:bidi="ar-SA"/>
              </w:rPr>
            </w:pPr>
            <w:r>
              <w:rPr>
                <w:rFonts w:hint="eastAsia" w:ascii="宋体" w:hAnsi="宋体" w:eastAsia="宋体" w:cs="宋体"/>
                <w:bCs/>
                <w:color w:val="000000"/>
                <w:sz w:val="21"/>
                <w:szCs w:val="21"/>
                <w:highlight w:val="none"/>
              </w:rPr>
              <w:t>根据《关于推动解决政府采购异常低价问题的通知》（财库〔2026〕2号）要求，结合本项目实际情况，本项目评审中出现异常低价情形之一的，评审委员会应当启动异常低价投标（响应）审查程序。</w:t>
            </w:r>
          </w:p>
        </w:tc>
        <w:tc>
          <w:tcPr>
            <w:tcW w:w="1240" w:type="dxa"/>
            <w:vAlign w:val="center"/>
          </w:tcPr>
          <w:p w14:paraId="7D85E5D9">
            <w:pPr>
              <w:keepNext w:val="0"/>
              <w:keepLines w:val="0"/>
              <w:suppressLineNumbers w:val="0"/>
              <w:spacing w:before="0" w:beforeAutospacing="0" w:after="0" w:afterAutospacing="0"/>
              <w:ind w:left="36" w:leftChars="17" w:right="0"/>
              <w:jc w:val="center"/>
              <w:rPr>
                <w:rFonts w:hint="eastAsia" w:ascii="宋体" w:hAnsi="宋体" w:eastAsia="宋体" w:cs="宋体"/>
                <w:szCs w:val="21"/>
                <w:highlight w:val="none"/>
                <w:lang w:eastAsia="zh-CN"/>
              </w:rPr>
            </w:pPr>
            <w:r>
              <w:rPr>
                <w:rFonts w:hint="eastAsia" w:ascii="宋体" w:hAnsi="宋体" w:eastAsia="宋体" w:cs="宋体"/>
                <w:szCs w:val="21"/>
                <w:highlight w:val="none"/>
                <w:lang w:eastAsia="zh-CN"/>
              </w:rPr>
              <w:t>□</w:t>
            </w:r>
            <w:r>
              <w:rPr>
                <w:rFonts w:hint="eastAsia" w:ascii="宋体" w:hAnsi="宋体" w:eastAsia="宋体" w:cs="宋体"/>
                <w:szCs w:val="21"/>
                <w:highlight w:val="none"/>
                <w:lang w:val="en-US" w:eastAsia="zh-CN"/>
              </w:rPr>
              <w:t>是</w:t>
            </w:r>
          </w:p>
          <w:p w14:paraId="2F3C914C">
            <w:pPr>
              <w:keepNext w:val="0"/>
              <w:keepLines w:val="0"/>
              <w:suppressLineNumbers w:val="0"/>
              <w:spacing w:before="0" w:beforeAutospacing="0" w:after="120" w:afterAutospacing="0"/>
              <w:ind w:left="36" w:leftChars="17" w:right="0"/>
              <w:jc w:val="center"/>
              <w:rPr>
                <w:rFonts w:hint="eastAsia" w:ascii="宋体" w:hAnsi="宋体" w:eastAsia="宋体" w:cs="宋体"/>
                <w:szCs w:val="21"/>
                <w:highlight w:val="none"/>
              </w:rPr>
            </w:pPr>
            <w:r>
              <w:rPr>
                <w:rFonts w:hint="eastAsia" w:ascii="宋体" w:hAnsi="宋体" w:eastAsia="宋体" w:cs="宋体"/>
                <w:szCs w:val="21"/>
                <w:highlight w:val="none"/>
              </w:rPr>
              <w:t>□</w:t>
            </w:r>
            <w:r>
              <w:rPr>
                <w:rFonts w:hint="eastAsia" w:ascii="宋体" w:hAnsi="宋体" w:eastAsia="宋体" w:cs="宋体"/>
                <w:szCs w:val="21"/>
                <w:highlight w:val="none"/>
                <w:lang w:val="en-US" w:eastAsia="zh-CN"/>
              </w:rPr>
              <w:t>否</w:t>
            </w:r>
          </w:p>
        </w:tc>
        <w:tc>
          <w:tcPr>
            <w:tcW w:w="2004" w:type="dxa"/>
            <w:vAlign w:val="center"/>
          </w:tcPr>
          <w:p w14:paraId="7BA5D885">
            <w:pPr>
              <w:keepNext w:val="0"/>
              <w:keepLines w:val="0"/>
              <w:suppressLineNumbers w:val="0"/>
              <w:spacing w:before="0" w:beforeAutospacing="0" w:after="120" w:afterAutospacing="0"/>
              <w:ind w:left="0" w:right="0"/>
              <w:jc w:val="left"/>
              <w:rPr>
                <w:rFonts w:hint="eastAsia" w:ascii="宋体" w:hAnsi="宋体" w:eastAsia="宋体" w:cs="宋体"/>
                <w:szCs w:val="21"/>
                <w:highlight w:val="none"/>
              </w:rPr>
            </w:pPr>
            <w:r>
              <w:rPr>
                <w:rFonts w:hint="eastAsia" w:ascii="宋体" w:hAnsi="宋体" w:eastAsia="宋体" w:cs="宋体"/>
                <w:szCs w:val="21"/>
                <w:highlight w:val="none"/>
              </w:rPr>
              <w:t>见投标文件第( )页</w:t>
            </w:r>
          </w:p>
        </w:tc>
      </w:tr>
      <w:tr w14:paraId="55E740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78" w:type="dxa"/>
            <w:shd w:val="clear" w:color="auto" w:fill="auto"/>
            <w:vAlign w:val="center"/>
          </w:tcPr>
          <w:p w14:paraId="67D4A6A3">
            <w:pPr>
              <w:keepNext w:val="0"/>
              <w:keepLines w:val="0"/>
              <w:suppressLineNumbers w:val="0"/>
              <w:spacing w:before="0" w:beforeAutospacing="0" w:after="0" w:afterAutospacing="0"/>
              <w:ind w:left="0" w:leftChars="0" w:right="0" w:rightChars="0"/>
              <w:jc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SA"/>
              </w:rPr>
              <w:t>8</w:t>
            </w:r>
          </w:p>
        </w:tc>
        <w:tc>
          <w:tcPr>
            <w:tcW w:w="6519" w:type="dxa"/>
            <w:shd w:val="clear" w:color="auto" w:fill="auto"/>
            <w:vAlign w:val="center"/>
          </w:tcPr>
          <w:p w14:paraId="47FBAF7D">
            <w:pPr>
              <w:keepNext w:val="0"/>
              <w:keepLines w:val="0"/>
              <w:suppressLineNumbers w:val="0"/>
              <w:spacing w:before="0" w:beforeAutospacing="0" w:after="0" w:afterAutospacing="0"/>
              <w:ind w:left="0" w:leftChars="0" w:right="0" w:rightChars="0"/>
              <w:rPr>
                <w:rFonts w:hint="eastAsia" w:ascii="宋体" w:hAnsi="宋体" w:eastAsia="宋体" w:cs="宋体"/>
                <w:kern w:val="2"/>
                <w:sz w:val="21"/>
                <w:szCs w:val="21"/>
                <w:lang w:val="en-US" w:eastAsia="zh-CN" w:bidi="ar-SA"/>
              </w:rPr>
            </w:pPr>
            <w:r>
              <w:rPr>
                <w:rFonts w:hint="eastAsia" w:ascii="宋体" w:hAnsi="宋体" w:eastAsia="宋体" w:cs="宋体"/>
                <w:sz w:val="21"/>
                <w:szCs w:val="21"/>
              </w:rPr>
              <w:t>所投货物、服务在技术、商务等方面没有实质性满足</w:t>
            </w:r>
            <w:r>
              <w:rPr>
                <w:rFonts w:hint="eastAsia" w:ascii="宋体" w:hAnsi="宋体" w:eastAsia="宋体" w:cs="宋体"/>
                <w:sz w:val="21"/>
                <w:szCs w:val="21"/>
                <w:lang w:eastAsia="zh-CN"/>
              </w:rPr>
              <w:t>征集</w:t>
            </w:r>
            <w:r>
              <w:rPr>
                <w:rFonts w:hint="eastAsia" w:ascii="宋体" w:hAnsi="宋体" w:eastAsia="宋体" w:cs="宋体"/>
                <w:sz w:val="21"/>
                <w:szCs w:val="21"/>
              </w:rPr>
              <w:t>文件要求的</w:t>
            </w:r>
          </w:p>
        </w:tc>
        <w:tc>
          <w:tcPr>
            <w:tcW w:w="1240" w:type="dxa"/>
            <w:vAlign w:val="center"/>
          </w:tcPr>
          <w:p w14:paraId="3F7BD46A">
            <w:pPr>
              <w:keepNext w:val="0"/>
              <w:keepLines w:val="0"/>
              <w:suppressLineNumbers w:val="0"/>
              <w:spacing w:before="0" w:beforeAutospacing="0" w:after="0" w:afterAutospacing="0"/>
              <w:ind w:left="36" w:leftChars="17" w:right="0"/>
              <w:jc w:val="center"/>
              <w:rPr>
                <w:rFonts w:hint="eastAsia" w:ascii="宋体" w:hAnsi="宋体" w:eastAsia="宋体" w:cs="宋体"/>
                <w:szCs w:val="21"/>
                <w:highlight w:val="none"/>
                <w:lang w:eastAsia="zh-CN"/>
              </w:rPr>
            </w:pPr>
            <w:r>
              <w:rPr>
                <w:rFonts w:hint="eastAsia" w:ascii="宋体" w:hAnsi="宋体" w:eastAsia="宋体" w:cs="宋体"/>
                <w:szCs w:val="21"/>
                <w:highlight w:val="none"/>
                <w:lang w:eastAsia="zh-CN"/>
              </w:rPr>
              <w:t>□</w:t>
            </w:r>
            <w:r>
              <w:rPr>
                <w:rFonts w:hint="eastAsia" w:ascii="宋体" w:hAnsi="宋体" w:eastAsia="宋体" w:cs="宋体"/>
                <w:szCs w:val="21"/>
                <w:highlight w:val="none"/>
                <w:lang w:val="en-US" w:eastAsia="zh-CN"/>
              </w:rPr>
              <w:t>是</w:t>
            </w:r>
          </w:p>
          <w:p w14:paraId="27869250">
            <w:pPr>
              <w:keepNext w:val="0"/>
              <w:keepLines w:val="0"/>
              <w:suppressLineNumbers w:val="0"/>
              <w:spacing w:before="0" w:beforeAutospacing="0" w:after="120" w:afterAutospacing="0"/>
              <w:ind w:left="36" w:leftChars="17" w:right="0"/>
              <w:jc w:val="center"/>
              <w:rPr>
                <w:rFonts w:hint="eastAsia" w:ascii="宋体" w:hAnsi="宋体" w:eastAsia="宋体" w:cs="宋体"/>
                <w:szCs w:val="21"/>
                <w:highlight w:val="none"/>
              </w:rPr>
            </w:pPr>
            <w:r>
              <w:rPr>
                <w:rFonts w:hint="eastAsia" w:ascii="宋体" w:hAnsi="宋体" w:eastAsia="宋体" w:cs="宋体"/>
                <w:szCs w:val="21"/>
                <w:highlight w:val="none"/>
              </w:rPr>
              <w:t>□</w:t>
            </w:r>
            <w:r>
              <w:rPr>
                <w:rFonts w:hint="eastAsia" w:ascii="宋体" w:hAnsi="宋体" w:eastAsia="宋体" w:cs="宋体"/>
                <w:szCs w:val="21"/>
                <w:highlight w:val="none"/>
                <w:lang w:val="en-US" w:eastAsia="zh-CN"/>
              </w:rPr>
              <w:t>否</w:t>
            </w:r>
          </w:p>
        </w:tc>
        <w:tc>
          <w:tcPr>
            <w:tcW w:w="2004" w:type="dxa"/>
            <w:vAlign w:val="center"/>
          </w:tcPr>
          <w:p w14:paraId="3BE4E5A5">
            <w:pPr>
              <w:keepNext w:val="0"/>
              <w:keepLines w:val="0"/>
              <w:suppressLineNumbers w:val="0"/>
              <w:spacing w:before="0" w:beforeAutospacing="0" w:after="120" w:afterAutospacing="0"/>
              <w:ind w:left="0" w:right="0"/>
              <w:jc w:val="left"/>
              <w:rPr>
                <w:rFonts w:hint="eastAsia" w:ascii="宋体" w:hAnsi="宋体" w:eastAsia="宋体" w:cs="宋体"/>
                <w:szCs w:val="21"/>
                <w:highlight w:val="none"/>
              </w:rPr>
            </w:pPr>
            <w:r>
              <w:rPr>
                <w:rFonts w:hint="eastAsia" w:ascii="宋体" w:hAnsi="宋体" w:eastAsia="宋体" w:cs="宋体"/>
                <w:szCs w:val="21"/>
                <w:highlight w:val="none"/>
              </w:rPr>
              <w:t>见投标文件第( )页</w:t>
            </w:r>
          </w:p>
        </w:tc>
      </w:tr>
      <w:tr w14:paraId="02061B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78" w:type="dxa"/>
            <w:shd w:val="clear" w:color="auto" w:fill="auto"/>
            <w:vAlign w:val="center"/>
          </w:tcPr>
          <w:p w14:paraId="0E869902">
            <w:pPr>
              <w:keepNext w:val="0"/>
              <w:keepLines w:val="0"/>
              <w:suppressLineNumbers w:val="0"/>
              <w:spacing w:before="0" w:beforeAutospacing="0" w:after="0" w:afterAutospacing="0"/>
              <w:ind w:left="0" w:leftChars="0" w:right="0" w:rightChars="0"/>
              <w:jc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SA"/>
              </w:rPr>
              <w:t>9</w:t>
            </w:r>
          </w:p>
        </w:tc>
        <w:tc>
          <w:tcPr>
            <w:tcW w:w="6519" w:type="dxa"/>
            <w:shd w:val="clear" w:color="auto" w:fill="auto"/>
            <w:vAlign w:val="center"/>
          </w:tcPr>
          <w:p w14:paraId="07262038">
            <w:pPr>
              <w:keepNext w:val="0"/>
              <w:keepLines w:val="0"/>
              <w:suppressLineNumbers w:val="0"/>
              <w:spacing w:before="0" w:beforeAutospacing="0" w:after="0" w:afterAutospacing="0"/>
              <w:ind w:left="0" w:leftChars="0" w:right="0" w:rightChars="0"/>
              <w:rPr>
                <w:rFonts w:hint="eastAsia" w:ascii="宋体" w:hAnsi="宋体" w:eastAsia="宋体" w:cs="宋体"/>
                <w:kern w:val="2"/>
                <w:sz w:val="21"/>
                <w:szCs w:val="21"/>
                <w:lang w:val="en-US" w:eastAsia="zh-CN" w:bidi="ar-SA"/>
              </w:rPr>
            </w:pPr>
            <w:r>
              <w:rPr>
                <w:rFonts w:hint="eastAsia" w:ascii="宋体" w:hAnsi="宋体" w:eastAsia="宋体" w:cs="宋体"/>
                <w:sz w:val="21"/>
                <w:szCs w:val="21"/>
                <w:lang w:eastAsia="zh-CN"/>
              </w:rPr>
              <w:t>投标</w:t>
            </w:r>
            <w:r>
              <w:rPr>
                <w:rFonts w:hint="eastAsia" w:ascii="宋体" w:hAnsi="宋体" w:eastAsia="宋体" w:cs="宋体"/>
                <w:sz w:val="21"/>
                <w:szCs w:val="21"/>
              </w:rPr>
              <w:t>文件对</w:t>
            </w:r>
            <w:r>
              <w:rPr>
                <w:rFonts w:hint="eastAsia" w:ascii="宋体" w:hAnsi="宋体" w:eastAsia="宋体" w:cs="宋体"/>
                <w:sz w:val="21"/>
                <w:szCs w:val="21"/>
                <w:lang w:val="en-US" w:eastAsia="zh-CN"/>
              </w:rPr>
              <w:t>征集</w:t>
            </w:r>
            <w:r>
              <w:rPr>
                <w:rFonts w:hint="eastAsia" w:ascii="宋体" w:hAnsi="宋体" w:eastAsia="宋体" w:cs="宋体"/>
                <w:sz w:val="21"/>
                <w:szCs w:val="21"/>
              </w:rPr>
              <w:t>文件中标注“★”的条款响应为负偏离的</w:t>
            </w:r>
          </w:p>
        </w:tc>
        <w:tc>
          <w:tcPr>
            <w:tcW w:w="1240" w:type="dxa"/>
            <w:vAlign w:val="center"/>
          </w:tcPr>
          <w:p w14:paraId="752AFE5F">
            <w:pPr>
              <w:keepNext w:val="0"/>
              <w:keepLines w:val="0"/>
              <w:suppressLineNumbers w:val="0"/>
              <w:spacing w:before="0" w:beforeAutospacing="0" w:after="0" w:afterAutospacing="0"/>
              <w:ind w:left="36" w:leftChars="17" w:right="0"/>
              <w:jc w:val="center"/>
              <w:rPr>
                <w:rFonts w:hint="eastAsia" w:ascii="宋体" w:hAnsi="宋体" w:eastAsia="宋体" w:cs="宋体"/>
                <w:szCs w:val="21"/>
                <w:highlight w:val="none"/>
                <w:lang w:eastAsia="zh-CN"/>
              </w:rPr>
            </w:pPr>
            <w:r>
              <w:rPr>
                <w:rFonts w:hint="eastAsia" w:ascii="宋体" w:hAnsi="宋体" w:eastAsia="宋体" w:cs="宋体"/>
                <w:szCs w:val="21"/>
                <w:highlight w:val="none"/>
                <w:lang w:eastAsia="zh-CN"/>
              </w:rPr>
              <w:t>□</w:t>
            </w:r>
            <w:r>
              <w:rPr>
                <w:rFonts w:hint="eastAsia" w:ascii="宋体" w:hAnsi="宋体" w:eastAsia="宋体" w:cs="宋体"/>
                <w:szCs w:val="21"/>
                <w:highlight w:val="none"/>
                <w:lang w:val="en-US" w:eastAsia="zh-CN"/>
              </w:rPr>
              <w:t>是</w:t>
            </w:r>
          </w:p>
          <w:p w14:paraId="2D1543C1">
            <w:pPr>
              <w:keepNext w:val="0"/>
              <w:keepLines w:val="0"/>
              <w:suppressLineNumbers w:val="0"/>
              <w:spacing w:before="0" w:beforeAutospacing="0" w:after="120" w:afterAutospacing="0"/>
              <w:ind w:left="36" w:leftChars="17" w:right="0"/>
              <w:jc w:val="center"/>
              <w:rPr>
                <w:rFonts w:hint="eastAsia" w:ascii="宋体" w:hAnsi="宋体" w:eastAsia="宋体" w:cs="宋体"/>
                <w:szCs w:val="21"/>
                <w:highlight w:val="none"/>
              </w:rPr>
            </w:pPr>
            <w:r>
              <w:rPr>
                <w:rFonts w:hint="eastAsia" w:ascii="宋体" w:hAnsi="宋体" w:eastAsia="宋体" w:cs="宋体"/>
                <w:szCs w:val="21"/>
                <w:highlight w:val="none"/>
              </w:rPr>
              <w:t>□</w:t>
            </w:r>
            <w:r>
              <w:rPr>
                <w:rFonts w:hint="eastAsia" w:ascii="宋体" w:hAnsi="宋体" w:eastAsia="宋体" w:cs="宋体"/>
                <w:szCs w:val="21"/>
                <w:highlight w:val="none"/>
                <w:lang w:val="en-US" w:eastAsia="zh-CN"/>
              </w:rPr>
              <w:t>否</w:t>
            </w:r>
          </w:p>
        </w:tc>
        <w:tc>
          <w:tcPr>
            <w:tcW w:w="2004" w:type="dxa"/>
            <w:vAlign w:val="center"/>
          </w:tcPr>
          <w:p w14:paraId="0B2F3620">
            <w:pPr>
              <w:keepNext w:val="0"/>
              <w:keepLines w:val="0"/>
              <w:suppressLineNumbers w:val="0"/>
              <w:spacing w:before="0" w:beforeAutospacing="0" w:after="120" w:afterAutospacing="0"/>
              <w:ind w:left="0" w:right="0"/>
              <w:jc w:val="left"/>
              <w:rPr>
                <w:rFonts w:hint="eastAsia" w:ascii="宋体" w:hAnsi="宋体" w:eastAsia="宋体" w:cs="宋体"/>
                <w:szCs w:val="21"/>
                <w:highlight w:val="none"/>
              </w:rPr>
            </w:pPr>
            <w:r>
              <w:rPr>
                <w:rFonts w:hint="eastAsia" w:ascii="宋体" w:hAnsi="宋体" w:eastAsia="宋体" w:cs="宋体"/>
                <w:szCs w:val="21"/>
                <w:highlight w:val="none"/>
              </w:rPr>
              <w:t>见投标文件第( )页</w:t>
            </w:r>
          </w:p>
        </w:tc>
      </w:tr>
      <w:tr w14:paraId="0F1946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78" w:type="dxa"/>
            <w:shd w:val="clear" w:color="auto" w:fill="auto"/>
            <w:vAlign w:val="center"/>
          </w:tcPr>
          <w:p w14:paraId="4BF9E474">
            <w:pPr>
              <w:keepNext w:val="0"/>
              <w:keepLines w:val="0"/>
              <w:suppressLineNumbers w:val="0"/>
              <w:spacing w:before="0" w:beforeAutospacing="0" w:after="0" w:afterAutospacing="0"/>
              <w:ind w:left="0" w:leftChars="0" w:right="0" w:rightChars="0"/>
              <w:jc w:val="center"/>
              <w:rPr>
                <w:rFonts w:hint="default"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10</w:t>
            </w:r>
          </w:p>
        </w:tc>
        <w:tc>
          <w:tcPr>
            <w:tcW w:w="6519" w:type="dxa"/>
            <w:shd w:val="clear" w:color="auto" w:fill="auto"/>
            <w:vAlign w:val="center"/>
          </w:tcPr>
          <w:p w14:paraId="2BC975CF">
            <w:pPr>
              <w:keepNext w:val="0"/>
              <w:keepLines w:val="0"/>
              <w:suppressLineNumbers w:val="0"/>
              <w:spacing w:before="0" w:beforeAutospacing="0" w:after="0" w:afterAutospacing="0"/>
              <w:ind w:left="0" w:leftChars="0" w:right="0" w:rightChars="0"/>
              <w:rPr>
                <w:rFonts w:hint="eastAsia" w:ascii="宋体" w:hAnsi="宋体" w:eastAsia="宋体" w:cs="宋体"/>
                <w:kern w:val="2"/>
                <w:sz w:val="21"/>
                <w:szCs w:val="21"/>
                <w:lang w:val="en-US" w:eastAsia="zh-CN" w:bidi="ar-SA"/>
              </w:rPr>
            </w:pPr>
            <w:r>
              <w:rPr>
                <w:rFonts w:hint="eastAsia" w:ascii="宋体" w:hAnsi="宋体" w:eastAsia="宋体" w:cs="宋体"/>
                <w:sz w:val="21"/>
                <w:szCs w:val="21"/>
                <w:lang w:eastAsia="zh-CN"/>
              </w:rPr>
              <w:t>投标</w:t>
            </w:r>
            <w:r>
              <w:rPr>
                <w:rFonts w:hint="eastAsia" w:ascii="宋体" w:hAnsi="宋体" w:eastAsia="宋体" w:cs="宋体"/>
                <w:sz w:val="21"/>
                <w:szCs w:val="21"/>
              </w:rPr>
              <w:t>文件对采购标的响应不全（响应不全情形包括：投标报价有缺漏项，对</w:t>
            </w:r>
            <w:r>
              <w:rPr>
                <w:rFonts w:hint="eastAsia" w:ascii="宋体" w:hAnsi="宋体" w:eastAsia="宋体" w:cs="宋体"/>
                <w:sz w:val="21"/>
                <w:szCs w:val="21"/>
                <w:lang w:val="en-US" w:eastAsia="zh-CN"/>
              </w:rPr>
              <w:t>征集</w:t>
            </w:r>
            <w:r>
              <w:rPr>
                <w:rFonts w:hint="eastAsia" w:ascii="宋体" w:hAnsi="宋体" w:eastAsia="宋体" w:cs="宋体"/>
                <w:sz w:val="21"/>
                <w:szCs w:val="21"/>
              </w:rPr>
              <w:t>文件规定的项目需求内容或者需求数量进行修改，未填写所投货物的品牌、规格、型号、制造商、原产地）</w:t>
            </w:r>
          </w:p>
        </w:tc>
        <w:tc>
          <w:tcPr>
            <w:tcW w:w="1240" w:type="dxa"/>
            <w:vAlign w:val="center"/>
          </w:tcPr>
          <w:p w14:paraId="4CF02F86">
            <w:pPr>
              <w:keepNext w:val="0"/>
              <w:keepLines w:val="0"/>
              <w:suppressLineNumbers w:val="0"/>
              <w:spacing w:before="0" w:beforeAutospacing="0" w:after="0" w:afterAutospacing="0"/>
              <w:ind w:left="36" w:leftChars="17" w:right="0"/>
              <w:jc w:val="center"/>
              <w:rPr>
                <w:rFonts w:hint="eastAsia" w:ascii="宋体" w:hAnsi="宋体" w:eastAsia="宋体" w:cs="宋体"/>
                <w:szCs w:val="21"/>
                <w:highlight w:val="none"/>
                <w:lang w:eastAsia="zh-CN"/>
              </w:rPr>
            </w:pPr>
            <w:r>
              <w:rPr>
                <w:rFonts w:hint="eastAsia" w:ascii="宋体" w:hAnsi="宋体" w:eastAsia="宋体" w:cs="宋体"/>
                <w:szCs w:val="21"/>
                <w:highlight w:val="none"/>
                <w:lang w:eastAsia="zh-CN"/>
              </w:rPr>
              <w:t>□</w:t>
            </w:r>
            <w:r>
              <w:rPr>
                <w:rFonts w:hint="eastAsia" w:ascii="宋体" w:hAnsi="宋体" w:eastAsia="宋体" w:cs="宋体"/>
                <w:szCs w:val="21"/>
                <w:highlight w:val="none"/>
                <w:lang w:val="en-US" w:eastAsia="zh-CN"/>
              </w:rPr>
              <w:t>是</w:t>
            </w:r>
          </w:p>
          <w:p w14:paraId="3D9622F8">
            <w:pPr>
              <w:keepNext w:val="0"/>
              <w:keepLines w:val="0"/>
              <w:suppressLineNumbers w:val="0"/>
              <w:spacing w:before="0" w:beforeAutospacing="0" w:after="120" w:afterAutospacing="0"/>
              <w:ind w:left="36" w:leftChars="17" w:right="0"/>
              <w:jc w:val="center"/>
              <w:rPr>
                <w:rFonts w:hint="eastAsia" w:ascii="宋体" w:hAnsi="宋体" w:eastAsia="宋体" w:cs="宋体"/>
                <w:szCs w:val="21"/>
                <w:highlight w:val="none"/>
              </w:rPr>
            </w:pPr>
            <w:r>
              <w:rPr>
                <w:rFonts w:hint="eastAsia" w:ascii="宋体" w:hAnsi="宋体" w:eastAsia="宋体" w:cs="宋体"/>
                <w:szCs w:val="21"/>
                <w:highlight w:val="none"/>
              </w:rPr>
              <w:t>□</w:t>
            </w:r>
            <w:r>
              <w:rPr>
                <w:rFonts w:hint="eastAsia" w:ascii="宋体" w:hAnsi="宋体" w:eastAsia="宋体" w:cs="宋体"/>
                <w:szCs w:val="21"/>
                <w:highlight w:val="none"/>
                <w:lang w:val="en-US" w:eastAsia="zh-CN"/>
              </w:rPr>
              <w:t>否</w:t>
            </w:r>
          </w:p>
        </w:tc>
        <w:tc>
          <w:tcPr>
            <w:tcW w:w="2004" w:type="dxa"/>
            <w:vAlign w:val="center"/>
          </w:tcPr>
          <w:p w14:paraId="43061E27">
            <w:pPr>
              <w:keepNext w:val="0"/>
              <w:keepLines w:val="0"/>
              <w:suppressLineNumbers w:val="0"/>
              <w:spacing w:before="0" w:beforeAutospacing="0" w:after="120" w:afterAutospacing="0"/>
              <w:ind w:left="0" w:right="0"/>
              <w:jc w:val="left"/>
              <w:rPr>
                <w:rFonts w:hint="eastAsia" w:ascii="宋体" w:hAnsi="宋体" w:eastAsia="宋体" w:cs="宋体"/>
                <w:szCs w:val="21"/>
                <w:highlight w:val="none"/>
              </w:rPr>
            </w:pPr>
            <w:r>
              <w:rPr>
                <w:rFonts w:hint="eastAsia" w:ascii="宋体" w:hAnsi="宋体" w:eastAsia="宋体" w:cs="宋体"/>
                <w:szCs w:val="21"/>
                <w:highlight w:val="none"/>
              </w:rPr>
              <w:t>见投标文件第( )页</w:t>
            </w:r>
          </w:p>
        </w:tc>
      </w:tr>
      <w:tr w14:paraId="59BB73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78" w:type="dxa"/>
            <w:shd w:val="clear" w:color="auto" w:fill="auto"/>
            <w:vAlign w:val="center"/>
          </w:tcPr>
          <w:p w14:paraId="1451AC4C">
            <w:pPr>
              <w:keepNext w:val="0"/>
              <w:keepLines w:val="0"/>
              <w:suppressLineNumbers w:val="0"/>
              <w:spacing w:before="0" w:beforeAutospacing="0" w:after="0" w:afterAutospacing="0"/>
              <w:ind w:left="0" w:leftChars="0" w:right="0" w:rightChars="0"/>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11</w:t>
            </w:r>
          </w:p>
        </w:tc>
        <w:tc>
          <w:tcPr>
            <w:tcW w:w="6519" w:type="dxa"/>
            <w:shd w:val="clear" w:color="auto" w:fill="auto"/>
            <w:vAlign w:val="center"/>
          </w:tcPr>
          <w:p w14:paraId="37030BEA">
            <w:pPr>
              <w:keepNext w:val="0"/>
              <w:keepLines w:val="0"/>
              <w:suppressLineNumbers w:val="0"/>
              <w:spacing w:before="0" w:beforeAutospacing="0" w:after="0" w:afterAutospacing="0"/>
              <w:ind w:left="0" w:leftChars="0" w:right="0" w:rightChars="0"/>
              <w:rPr>
                <w:rFonts w:hint="eastAsia" w:ascii="宋体" w:hAnsi="宋体" w:eastAsia="宋体" w:cs="宋体"/>
                <w:kern w:val="2"/>
                <w:sz w:val="21"/>
                <w:szCs w:val="21"/>
                <w:lang w:val="en-US" w:eastAsia="zh-CN" w:bidi="ar-SA"/>
              </w:rPr>
            </w:pPr>
            <w:r>
              <w:rPr>
                <w:rFonts w:hint="eastAsia" w:ascii="宋体" w:hAnsi="宋体" w:eastAsia="宋体" w:cs="宋体"/>
                <w:sz w:val="21"/>
                <w:szCs w:val="21"/>
              </w:rPr>
              <w:t>未按</w:t>
            </w:r>
            <w:r>
              <w:rPr>
                <w:rFonts w:hint="eastAsia" w:ascii="宋体" w:hAnsi="宋体" w:eastAsia="宋体" w:cs="宋体"/>
                <w:sz w:val="21"/>
                <w:szCs w:val="21"/>
                <w:lang w:val="en-US" w:eastAsia="zh-CN"/>
              </w:rPr>
              <w:t>征集</w:t>
            </w:r>
            <w:r>
              <w:rPr>
                <w:rFonts w:hint="eastAsia" w:ascii="宋体" w:hAnsi="宋体" w:eastAsia="宋体" w:cs="宋体"/>
                <w:sz w:val="21"/>
                <w:szCs w:val="21"/>
              </w:rPr>
              <w:t>文件附件所提供的样式和要求完整填写“投标函及履约承诺函”，或投标文件组成部分不符合</w:t>
            </w:r>
            <w:r>
              <w:rPr>
                <w:rFonts w:hint="eastAsia" w:ascii="宋体" w:hAnsi="宋体" w:eastAsia="宋体" w:cs="宋体"/>
                <w:sz w:val="21"/>
                <w:szCs w:val="21"/>
                <w:lang w:val="en-US" w:eastAsia="zh-CN"/>
              </w:rPr>
              <w:t>征集文件</w:t>
            </w:r>
            <w:r>
              <w:rPr>
                <w:rFonts w:hint="eastAsia" w:ascii="宋体" w:hAnsi="宋体" w:eastAsia="宋体" w:cs="宋体"/>
                <w:sz w:val="21"/>
                <w:szCs w:val="21"/>
              </w:rPr>
              <w:t>规定的</w:t>
            </w:r>
          </w:p>
        </w:tc>
        <w:tc>
          <w:tcPr>
            <w:tcW w:w="1240" w:type="dxa"/>
            <w:vAlign w:val="center"/>
          </w:tcPr>
          <w:p w14:paraId="1948CEFB">
            <w:pPr>
              <w:keepNext w:val="0"/>
              <w:keepLines w:val="0"/>
              <w:suppressLineNumbers w:val="0"/>
              <w:spacing w:before="0" w:beforeAutospacing="0" w:after="0" w:afterAutospacing="0"/>
              <w:ind w:left="36" w:leftChars="17" w:right="0"/>
              <w:jc w:val="center"/>
              <w:rPr>
                <w:rFonts w:hint="eastAsia" w:ascii="宋体" w:hAnsi="宋体" w:eastAsia="宋体" w:cs="宋体"/>
                <w:szCs w:val="21"/>
                <w:highlight w:val="none"/>
                <w:lang w:eastAsia="zh-CN"/>
              </w:rPr>
            </w:pPr>
            <w:r>
              <w:rPr>
                <w:rFonts w:hint="eastAsia" w:ascii="宋体" w:hAnsi="宋体" w:eastAsia="宋体" w:cs="宋体"/>
                <w:szCs w:val="21"/>
                <w:highlight w:val="none"/>
                <w:lang w:eastAsia="zh-CN"/>
              </w:rPr>
              <w:t>□</w:t>
            </w:r>
            <w:r>
              <w:rPr>
                <w:rFonts w:hint="eastAsia" w:ascii="宋体" w:hAnsi="宋体" w:eastAsia="宋体" w:cs="宋体"/>
                <w:szCs w:val="21"/>
                <w:highlight w:val="none"/>
                <w:lang w:val="en-US" w:eastAsia="zh-CN"/>
              </w:rPr>
              <w:t>是</w:t>
            </w:r>
          </w:p>
          <w:p w14:paraId="5A5A6CAC">
            <w:pPr>
              <w:keepNext w:val="0"/>
              <w:keepLines w:val="0"/>
              <w:suppressLineNumbers w:val="0"/>
              <w:spacing w:before="0" w:beforeAutospacing="0" w:after="120" w:afterAutospacing="0"/>
              <w:ind w:left="36" w:leftChars="17" w:right="0"/>
              <w:jc w:val="center"/>
              <w:rPr>
                <w:rFonts w:hint="eastAsia" w:ascii="宋体" w:hAnsi="宋体" w:eastAsia="宋体" w:cs="宋体"/>
                <w:szCs w:val="21"/>
                <w:highlight w:val="none"/>
              </w:rPr>
            </w:pPr>
            <w:r>
              <w:rPr>
                <w:rFonts w:hint="eastAsia" w:ascii="宋体" w:hAnsi="宋体" w:eastAsia="宋体" w:cs="宋体"/>
                <w:szCs w:val="21"/>
                <w:highlight w:val="none"/>
              </w:rPr>
              <w:t>□</w:t>
            </w:r>
            <w:r>
              <w:rPr>
                <w:rFonts w:hint="eastAsia" w:ascii="宋体" w:hAnsi="宋体" w:eastAsia="宋体" w:cs="宋体"/>
                <w:szCs w:val="21"/>
                <w:highlight w:val="none"/>
                <w:lang w:val="en-US" w:eastAsia="zh-CN"/>
              </w:rPr>
              <w:t>否</w:t>
            </w:r>
          </w:p>
        </w:tc>
        <w:tc>
          <w:tcPr>
            <w:tcW w:w="2004" w:type="dxa"/>
            <w:vAlign w:val="center"/>
          </w:tcPr>
          <w:p w14:paraId="358E75A7">
            <w:pPr>
              <w:keepNext w:val="0"/>
              <w:keepLines w:val="0"/>
              <w:suppressLineNumbers w:val="0"/>
              <w:spacing w:before="0" w:beforeAutospacing="0" w:after="120" w:afterAutospacing="0"/>
              <w:ind w:left="0" w:right="0"/>
              <w:jc w:val="left"/>
              <w:rPr>
                <w:rFonts w:hint="eastAsia" w:ascii="宋体" w:hAnsi="宋体" w:eastAsia="宋体" w:cs="宋体"/>
                <w:szCs w:val="21"/>
                <w:highlight w:val="none"/>
              </w:rPr>
            </w:pPr>
            <w:r>
              <w:rPr>
                <w:rFonts w:hint="eastAsia" w:ascii="宋体" w:hAnsi="宋体" w:eastAsia="宋体" w:cs="宋体"/>
                <w:szCs w:val="21"/>
                <w:highlight w:val="none"/>
              </w:rPr>
              <w:t>见投标文件第( )页</w:t>
            </w:r>
          </w:p>
        </w:tc>
      </w:tr>
      <w:tr w14:paraId="674458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78" w:type="dxa"/>
            <w:shd w:val="clear" w:color="auto" w:fill="auto"/>
            <w:vAlign w:val="center"/>
          </w:tcPr>
          <w:p w14:paraId="23A3DF55">
            <w:pPr>
              <w:keepNext w:val="0"/>
              <w:keepLines w:val="0"/>
              <w:suppressLineNumbers w:val="0"/>
              <w:spacing w:before="0" w:beforeAutospacing="0" w:after="0" w:afterAutospacing="0"/>
              <w:ind w:left="0" w:leftChars="0" w:right="0" w:rightChars="0"/>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12</w:t>
            </w:r>
          </w:p>
        </w:tc>
        <w:tc>
          <w:tcPr>
            <w:tcW w:w="6519" w:type="dxa"/>
            <w:shd w:val="clear" w:color="auto" w:fill="auto"/>
            <w:vAlign w:val="center"/>
          </w:tcPr>
          <w:p w14:paraId="32F49293">
            <w:pPr>
              <w:keepNext w:val="0"/>
              <w:keepLines w:val="0"/>
              <w:suppressLineNumbers w:val="0"/>
              <w:spacing w:before="0" w:beforeAutospacing="0" w:after="0" w:afterAutospacing="0"/>
              <w:ind w:left="0" w:leftChars="0" w:right="0" w:rightChars="0"/>
              <w:rPr>
                <w:rFonts w:hint="eastAsia" w:ascii="宋体" w:hAnsi="宋体" w:eastAsia="宋体" w:cs="宋体"/>
                <w:kern w:val="2"/>
                <w:sz w:val="21"/>
                <w:szCs w:val="21"/>
                <w:lang w:val="en-US" w:eastAsia="zh-CN" w:bidi="ar-SA"/>
              </w:rPr>
            </w:pPr>
            <w:r>
              <w:rPr>
                <w:rFonts w:hint="eastAsia" w:ascii="宋体" w:hAnsi="宋体" w:eastAsia="宋体" w:cs="宋体"/>
                <w:sz w:val="21"/>
                <w:szCs w:val="21"/>
              </w:rPr>
              <w:t>投标文件附有采购人或</w:t>
            </w:r>
            <w:r>
              <w:rPr>
                <w:rFonts w:hint="eastAsia" w:ascii="宋体" w:hAnsi="宋体" w:eastAsia="宋体" w:cs="宋体"/>
                <w:sz w:val="21"/>
                <w:szCs w:val="21"/>
                <w:lang w:eastAsia="zh-CN"/>
              </w:rPr>
              <w:t>征集</w:t>
            </w:r>
            <w:r>
              <w:rPr>
                <w:rFonts w:hint="eastAsia" w:ascii="宋体" w:hAnsi="宋体" w:eastAsia="宋体" w:cs="宋体"/>
                <w:sz w:val="21"/>
                <w:szCs w:val="21"/>
              </w:rPr>
              <w:t>需求不能接受的条件</w:t>
            </w:r>
          </w:p>
        </w:tc>
        <w:tc>
          <w:tcPr>
            <w:tcW w:w="1240" w:type="dxa"/>
            <w:vAlign w:val="center"/>
          </w:tcPr>
          <w:p w14:paraId="5A60639F">
            <w:pPr>
              <w:keepNext w:val="0"/>
              <w:keepLines w:val="0"/>
              <w:suppressLineNumbers w:val="0"/>
              <w:spacing w:before="0" w:beforeAutospacing="0" w:after="0" w:afterAutospacing="0"/>
              <w:ind w:left="36" w:leftChars="17" w:right="0"/>
              <w:jc w:val="center"/>
              <w:rPr>
                <w:rFonts w:hint="eastAsia" w:ascii="宋体" w:hAnsi="宋体" w:eastAsia="宋体" w:cs="宋体"/>
                <w:szCs w:val="21"/>
                <w:highlight w:val="none"/>
                <w:lang w:eastAsia="zh-CN"/>
              </w:rPr>
            </w:pPr>
            <w:r>
              <w:rPr>
                <w:rFonts w:hint="eastAsia" w:ascii="宋体" w:hAnsi="宋体" w:eastAsia="宋体" w:cs="宋体"/>
                <w:szCs w:val="21"/>
                <w:highlight w:val="none"/>
                <w:lang w:eastAsia="zh-CN"/>
              </w:rPr>
              <w:t>□</w:t>
            </w:r>
            <w:r>
              <w:rPr>
                <w:rFonts w:hint="eastAsia" w:ascii="宋体" w:hAnsi="宋体" w:eastAsia="宋体" w:cs="宋体"/>
                <w:szCs w:val="21"/>
                <w:highlight w:val="none"/>
                <w:lang w:val="en-US" w:eastAsia="zh-CN"/>
              </w:rPr>
              <w:t>是</w:t>
            </w:r>
          </w:p>
          <w:p w14:paraId="74DC7A5C">
            <w:pPr>
              <w:keepNext w:val="0"/>
              <w:keepLines w:val="0"/>
              <w:suppressLineNumbers w:val="0"/>
              <w:spacing w:before="0" w:beforeAutospacing="0" w:after="120" w:afterAutospacing="0"/>
              <w:ind w:left="36" w:leftChars="17" w:right="0"/>
              <w:jc w:val="center"/>
              <w:rPr>
                <w:rFonts w:hint="eastAsia" w:ascii="宋体" w:hAnsi="宋体" w:eastAsia="宋体" w:cs="宋体"/>
                <w:szCs w:val="21"/>
                <w:highlight w:val="none"/>
              </w:rPr>
            </w:pPr>
            <w:r>
              <w:rPr>
                <w:rFonts w:hint="eastAsia" w:ascii="宋体" w:hAnsi="宋体" w:eastAsia="宋体" w:cs="宋体"/>
                <w:szCs w:val="21"/>
                <w:highlight w:val="none"/>
              </w:rPr>
              <w:t>□</w:t>
            </w:r>
            <w:r>
              <w:rPr>
                <w:rFonts w:hint="eastAsia" w:ascii="宋体" w:hAnsi="宋体" w:eastAsia="宋体" w:cs="宋体"/>
                <w:szCs w:val="21"/>
                <w:highlight w:val="none"/>
                <w:lang w:val="en-US" w:eastAsia="zh-CN"/>
              </w:rPr>
              <w:t>否</w:t>
            </w:r>
          </w:p>
        </w:tc>
        <w:tc>
          <w:tcPr>
            <w:tcW w:w="2004" w:type="dxa"/>
            <w:vAlign w:val="center"/>
          </w:tcPr>
          <w:p w14:paraId="00D85D9A">
            <w:pPr>
              <w:keepNext w:val="0"/>
              <w:keepLines w:val="0"/>
              <w:suppressLineNumbers w:val="0"/>
              <w:spacing w:before="0" w:beforeAutospacing="0" w:after="120" w:afterAutospacing="0"/>
              <w:ind w:left="0" w:right="0"/>
              <w:jc w:val="left"/>
              <w:rPr>
                <w:rFonts w:hint="eastAsia" w:ascii="宋体" w:hAnsi="宋体" w:eastAsia="宋体" w:cs="宋体"/>
                <w:szCs w:val="21"/>
                <w:highlight w:val="none"/>
              </w:rPr>
            </w:pPr>
            <w:r>
              <w:rPr>
                <w:rFonts w:hint="eastAsia" w:ascii="宋体" w:hAnsi="宋体" w:eastAsia="宋体" w:cs="宋体"/>
                <w:szCs w:val="21"/>
                <w:highlight w:val="none"/>
              </w:rPr>
              <w:t>见投标文件第( )页</w:t>
            </w:r>
          </w:p>
        </w:tc>
      </w:tr>
      <w:tr w14:paraId="7F44FF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78" w:type="dxa"/>
            <w:shd w:val="clear" w:color="auto" w:fill="auto"/>
            <w:vAlign w:val="center"/>
          </w:tcPr>
          <w:p w14:paraId="002A0488">
            <w:pPr>
              <w:keepNext w:val="0"/>
              <w:keepLines w:val="0"/>
              <w:suppressLineNumbers w:val="0"/>
              <w:spacing w:before="0" w:beforeAutospacing="0" w:after="0" w:afterAutospacing="0"/>
              <w:ind w:left="0" w:leftChars="0" w:right="0" w:rightChars="0"/>
              <w:jc w:val="center"/>
              <w:rPr>
                <w:rFonts w:hint="default" w:ascii="宋体" w:hAnsi="宋体" w:eastAsia="宋体" w:cs="宋体"/>
                <w:kern w:val="2"/>
                <w:sz w:val="21"/>
                <w:szCs w:val="21"/>
                <w:lang w:val="en-US" w:eastAsia="zh-CN" w:bidi="ar-SA"/>
              </w:rPr>
            </w:pPr>
            <w:r>
              <w:rPr>
                <w:rFonts w:hint="eastAsia" w:ascii="宋体" w:hAnsi="宋体" w:eastAsia="宋体" w:cs="宋体"/>
                <w:sz w:val="21"/>
                <w:szCs w:val="21"/>
              </w:rPr>
              <w:t>1</w:t>
            </w:r>
            <w:r>
              <w:rPr>
                <w:rFonts w:hint="eastAsia" w:ascii="宋体" w:hAnsi="宋体" w:eastAsia="宋体" w:cs="宋体"/>
                <w:sz w:val="21"/>
                <w:szCs w:val="21"/>
                <w:lang w:val="en-US" w:eastAsia="zh-CN"/>
              </w:rPr>
              <w:t>3</w:t>
            </w:r>
          </w:p>
        </w:tc>
        <w:tc>
          <w:tcPr>
            <w:tcW w:w="6519" w:type="dxa"/>
            <w:shd w:val="clear" w:color="auto" w:fill="auto"/>
            <w:vAlign w:val="center"/>
          </w:tcPr>
          <w:p w14:paraId="1D71DA61">
            <w:pPr>
              <w:keepNext w:val="0"/>
              <w:keepLines w:val="0"/>
              <w:suppressLineNumbers w:val="0"/>
              <w:spacing w:before="0" w:beforeAutospacing="0" w:after="0" w:afterAutospacing="0"/>
              <w:ind w:left="0" w:leftChars="0" w:right="0" w:rightChars="0"/>
              <w:rPr>
                <w:rFonts w:hint="eastAsia" w:ascii="宋体" w:hAnsi="宋体" w:eastAsia="宋体" w:cs="宋体"/>
                <w:kern w:val="2"/>
                <w:sz w:val="21"/>
                <w:szCs w:val="21"/>
                <w:lang w:val="en-US" w:eastAsia="zh-CN" w:bidi="ar-SA"/>
              </w:rPr>
            </w:pPr>
            <w:r>
              <w:rPr>
                <w:rFonts w:hint="default" w:cs="Times New Roman"/>
              </w:rPr>
              <w:t>法律、法规规定的属于投标无效的其他情形</w:t>
            </w:r>
          </w:p>
        </w:tc>
        <w:tc>
          <w:tcPr>
            <w:tcW w:w="1240" w:type="dxa"/>
            <w:vAlign w:val="center"/>
          </w:tcPr>
          <w:p w14:paraId="5CF258E7">
            <w:pPr>
              <w:keepNext w:val="0"/>
              <w:keepLines w:val="0"/>
              <w:suppressLineNumbers w:val="0"/>
              <w:spacing w:before="0" w:beforeAutospacing="0" w:after="0" w:afterAutospacing="0"/>
              <w:ind w:left="36" w:leftChars="17" w:right="0"/>
              <w:jc w:val="center"/>
              <w:rPr>
                <w:rFonts w:hint="eastAsia" w:ascii="宋体" w:hAnsi="宋体" w:eastAsia="宋体" w:cs="宋体"/>
                <w:szCs w:val="21"/>
                <w:highlight w:val="none"/>
                <w:lang w:eastAsia="zh-CN"/>
              </w:rPr>
            </w:pPr>
            <w:r>
              <w:rPr>
                <w:rFonts w:hint="eastAsia" w:ascii="宋体" w:hAnsi="宋体" w:eastAsia="宋体" w:cs="宋体"/>
                <w:szCs w:val="21"/>
                <w:highlight w:val="none"/>
                <w:lang w:eastAsia="zh-CN"/>
              </w:rPr>
              <w:t>□</w:t>
            </w:r>
            <w:r>
              <w:rPr>
                <w:rFonts w:hint="eastAsia" w:ascii="宋体" w:hAnsi="宋体" w:eastAsia="宋体" w:cs="宋体"/>
                <w:szCs w:val="21"/>
                <w:highlight w:val="none"/>
                <w:lang w:val="en-US" w:eastAsia="zh-CN"/>
              </w:rPr>
              <w:t>是</w:t>
            </w:r>
          </w:p>
          <w:p w14:paraId="24B0546D">
            <w:pPr>
              <w:keepNext w:val="0"/>
              <w:keepLines w:val="0"/>
              <w:suppressLineNumbers w:val="0"/>
              <w:spacing w:before="0" w:beforeAutospacing="0" w:after="120" w:afterAutospacing="0"/>
              <w:ind w:left="36" w:leftChars="17" w:right="0"/>
              <w:jc w:val="center"/>
              <w:rPr>
                <w:rFonts w:hint="eastAsia" w:ascii="宋体" w:hAnsi="宋体" w:eastAsia="宋体" w:cs="宋体"/>
                <w:szCs w:val="21"/>
                <w:highlight w:val="none"/>
              </w:rPr>
            </w:pPr>
            <w:r>
              <w:rPr>
                <w:rFonts w:hint="eastAsia" w:ascii="宋体" w:hAnsi="宋体" w:eastAsia="宋体" w:cs="宋体"/>
                <w:szCs w:val="21"/>
                <w:highlight w:val="none"/>
              </w:rPr>
              <w:t>□</w:t>
            </w:r>
            <w:r>
              <w:rPr>
                <w:rFonts w:hint="eastAsia" w:ascii="宋体" w:hAnsi="宋体" w:eastAsia="宋体" w:cs="宋体"/>
                <w:szCs w:val="21"/>
                <w:highlight w:val="none"/>
                <w:lang w:val="en-US" w:eastAsia="zh-CN"/>
              </w:rPr>
              <w:t>否</w:t>
            </w:r>
          </w:p>
        </w:tc>
        <w:tc>
          <w:tcPr>
            <w:tcW w:w="2004" w:type="dxa"/>
            <w:vAlign w:val="center"/>
          </w:tcPr>
          <w:p w14:paraId="0AB0D6CB">
            <w:pPr>
              <w:keepNext w:val="0"/>
              <w:keepLines w:val="0"/>
              <w:suppressLineNumbers w:val="0"/>
              <w:spacing w:before="0" w:beforeAutospacing="0" w:after="120" w:afterAutospacing="0"/>
              <w:ind w:left="0" w:right="0"/>
              <w:jc w:val="left"/>
              <w:rPr>
                <w:rFonts w:hint="eastAsia" w:ascii="宋体" w:hAnsi="宋体" w:eastAsia="宋体" w:cs="宋体"/>
                <w:szCs w:val="21"/>
                <w:highlight w:val="none"/>
              </w:rPr>
            </w:pPr>
            <w:r>
              <w:rPr>
                <w:rFonts w:hint="eastAsia" w:ascii="宋体" w:hAnsi="宋体" w:eastAsia="宋体" w:cs="宋体"/>
                <w:szCs w:val="21"/>
                <w:highlight w:val="none"/>
              </w:rPr>
              <w:t>见投标文件第( )页</w:t>
            </w:r>
          </w:p>
        </w:tc>
      </w:tr>
    </w:tbl>
    <w:p w14:paraId="681EFBA4">
      <w:pPr>
        <w:adjustRightInd w:val="0"/>
        <w:snapToGrid w:val="0"/>
        <w:spacing w:line="360" w:lineRule="auto"/>
        <w:jc w:val="left"/>
        <w:outlineLvl w:val="9"/>
        <w:rPr>
          <w:rFonts w:ascii="宋体" w:hAnsi="宋体"/>
          <w:color w:val="auto"/>
          <w:highlight w:val="none"/>
        </w:rPr>
      </w:pPr>
      <w:r>
        <w:rPr>
          <w:rFonts w:hint="eastAsia" w:ascii="宋体" w:hAnsi="宋体" w:cs="宋体"/>
        </w:rPr>
        <w:t>说明：</w:t>
      </w:r>
      <w:r>
        <w:rPr>
          <w:rFonts w:hint="eastAsia" w:ascii="宋体" w:hAnsi="宋体"/>
        </w:rPr>
        <w:t>投标人必须严格按照《</w:t>
      </w:r>
      <w:r>
        <w:rPr>
          <w:rFonts w:hint="eastAsia" w:ascii="宋体" w:hAnsi="宋体"/>
          <w:lang w:val="en-US" w:eastAsia="zh-CN"/>
        </w:rPr>
        <w:t>符合</w:t>
      </w:r>
      <w:r>
        <w:rPr>
          <w:rFonts w:hint="eastAsia" w:ascii="宋体" w:hAnsi="宋体"/>
        </w:rPr>
        <w:t>性</w:t>
      </w:r>
      <w:r>
        <w:rPr>
          <w:rFonts w:hint="eastAsia" w:ascii="宋体" w:hAnsi="宋体"/>
          <w:lang w:val="en-US" w:eastAsia="zh-CN"/>
        </w:rPr>
        <w:t>自查</w:t>
      </w:r>
      <w:r>
        <w:rPr>
          <w:rFonts w:hint="eastAsia" w:ascii="宋体" w:hAnsi="宋体"/>
        </w:rPr>
        <w:t>表》的评审内容的要求如实提供证明材料</w:t>
      </w:r>
      <w:r>
        <w:rPr>
          <w:rFonts w:hint="eastAsia" w:ascii="宋体" w:hAnsi="宋体"/>
          <w:bCs/>
        </w:rPr>
        <w:t>并应加盖投标人公章,</w:t>
      </w:r>
      <w:r>
        <w:rPr>
          <w:rFonts w:hint="eastAsia" w:ascii="宋体" w:hAnsi="宋体"/>
        </w:rPr>
        <w:t>对缺漏或不符合项将直接导致无</w:t>
      </w:r>
      <w:r>
        <w:rPr>
          <w:rFonts w:hint="eastAsia" w:ascii="宋体" w:hAnsi="宋体"/>
          <w:color w:val="auto"/>
          <w:highlight w:val="none"/>
        </w:rPr>
        <w:t>效投标</w:t>
      </w:r>
      <w:r>
        <w:rPr>
          <w:rFonts w:hint="eastAsia" w:ascii="宋体" w:cs="宋体"/>
          <w:color w:val="auto"/>
          <w:szCs w:val="21"/>
          <w:highlight w:val="none"/>
        </w:rPr>
        <w:t>。</w:t>
      </w:r>
    </w:p>
    <w:p w14:paraId="7837DDEC">
      <w:pPr>
        <w:widowControl w:val="0"/>
        <w:numPr>
          <w:ilvl w:val="0"/>
          <w:numId w:val="0"/>
        </w:numPr>
        <w:ind w:leftChars="0"/>
        <w:jc w:val="both"/>
        <w:rPr>
          <w:rFonts w:hint="eastAsia" w:cs="宋体" w:asciiTheme="majorEastAsia" w:hAnsiTheme="majorEastAsia" w:eastAsiaTheme="majorEastAsia"/>
          <w:kern w:val="2"/>
          <w:sz w:val="30"/>
          <w:szCs w:val="30"/>
          <w:lang w:val="en-US" w:eastAsia="zh-CN" w:bidi="ar-SA"/>
        </w:rPr>
        <w:sectPr>
          <w:headerReference r:id="rId3" w:type="default"/>
          <w:footerReference r:id="rId4" w:type="default"/>
          <w:pgSz w:w="11906" w:h="16838"/>
          <w:pgMar w:top="1440" w:right="1286" w:bottom="1440" w:left="1440" w:header="851" w:footer="992" w:gutter="0"/>
          <w:pgBorders>
            <w:top w:val="none" w:sz="0" w:space="0"/>
            <w:left w:val="none" w:sz="0" w:space="0"/>
            <w:bottom w:val="none" w:sz="0" w:space="0"/>
            <w:right w:val="none" w:sz="0" w:space="0"/>
          </w:pgBorders>
          <w:pgNumType w:fmt="decimal"/>
          <w:cols w:space="720" w:num="1"/>
          <w:titlePg/>
          <w:docGrid w:type="lines" w:linePitch="312" w:charSpace="0"/>
        </w:sectPr>
      </w:pPr>
    </w:p>
    <w:p w14:paraId="399D0F2C">
      <w:pPr>
        <w:widowControl w:val="0"/>
        <w:numPr>
          <w:ilvl w:val="0"/>
          <w:numId w:val="0"/>
        </w:numPr>
        <w:ind w:left="0" w:leftChars="0" w:firstLine="0" w:firstLineChars="0"/>
        <w:jc w:val="center"/>
        <w:outlineLvl w:val="9"/>
        <w:rPr>
          <w:rFonts w:hint="eastAsia" w:cs="宋体" w:asciiTheme="majorEastAsia" w:hAnsiTheme="majorEastAsia" w:eastAsiaTheme="majorEastAsia"/>
          <w:kern w:val="2"/>
          <w:sz w:val="30"/>
          <w:szCs w:val="30"/>
          <w:lang w:val="en-US" w:eastAsia="zh-CN" w:bidi="ar-SA"/>
        </w:rPr>
      </w:pPr>
      <w:r>
        <w:rPr>
          <w:rFonts w:hint="eastAsia" w:cs="宋体" w:asciiTheme="majorEastAsia" w:hAnsiTheme="majorEastAsia" w:eastAsiaTheme="majorEastAsia"/>
          <w:kern w:val="2"/>
          <w:sz w:val="30"/>
          <w:szCs w:val="30"/>
          <w:lang w:val="en-US" w:eastAsia="zh-CN" w:bidi="ar-SA"/>
        </w:rPr>
        <w:t>（三）警示情形自查确认表</w:t>
      </w:r>
    </w:p>
    <w:tbl>
      <w:tblPr>
        <w:tblStyle w:val="21"/>
        <w:tblW w:w="13791"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60"/>
        <w:gridCol w:w="744"/>
        <w:gridCol w:w="11002"/>
        <w:gridCol w:w="692"/>
        <w:gridCol w:w="693"/>
      </w:tblGrid>
      <w:tr w14:paraId="2ECE2A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660" w:type="dxa"/>
            <w:tcBorders>
              <w:tl2br w:val="nil"/>
              <w:tr2bl w:val="nil"/>
            </w:tcBorders>
            <w:noWrap/>
            <w:vAlign w:val="center"/>
          </w:tcPr>
          <w:p w14:paraId="64DA0D58">
            <w:pPr>
              <w:keepNext w:val="0"/>
              <w:keepLines w:val="0"/>
              <w:suppressLineNumbers w:val="0"/>
              <w:spacing w:before="0" w:beforeAutospacing="0" w:after="0" w:afterAutospacing="0" w:line="240" w:lineRule="auto"/>
              <w:ind w:left="0" w:right="0"/>
              <w:jc w:val="both"/>
              <w:rPr>
                <w:rFonts w:hint="eastAsia" w:ascii="宋体" w:hAnsi="宋体" w:eastAsia="宋体" w:cs="宋体"/>
                <w:b/>
                <w:bCs/>
                <w:color w:val="auto"/>
                <w:sz w:val="22"/>
                <w:szCs w:val="28"/>
                <w:highlight w:val="none"/>
              </w:rPr>
            </w:pPr>
            <w:r>
              <w:rPr>
                <w:rFonts w:hint="eastAsia" w:ascii="宋体" w:hAnsi="宋体" w:eastAsia="宋体" w:cs="宋体"/>
                <w:b/>
                <w:bCs/>
                <w:color w:val="auto"/>
                <w:sz w:val="22"/>
                <w:szCs w:val="28"/>
                <w:highlight w:val="none"/>
                <w:lang w:val="en-US" w:eastAsia="zh-CN"/>
              </w:rPr>
              <w:t>序号</w:t>
            </w:r>
          </w:p>
        </w:tc>
        <w:tc>
          <w:tcPr>
            <w:tcW w:w="744" w:type="dxa"/>
            <w:tcBorders>
              <w:tl2br w:val="nil"/>
              <w:tr2bl w:val="nil"/>
            </w:tcBorders>
            <w:noWrap/>
            <w:vAlign w:val="center"/>
          </w:tcPr>
          <w:p w14:paraId="73B5F9F9">
            <w:pPr>
              <w:keepNext w:val="0"/>
              <w:keepLines w:val="0"/>
              <w:suppressLineNumbers w:val="0"/>
              <w:spacing w:before="0" w:beforeAutospacing="0" w:after="0" w:afterAutospacing="0" w:line="240" w:lineRule="auto"/>
              <w:ind w:left="0" w:right="0"/>
              <w:jc w:val="center"/>
              <w:rPr>
                <w:rFonts w:hint="eastAsia" w:ascii="宋体" w:hAnsi="宋体" w:eastAsia="宋体" w:cs="宋体"/>
                <w:b/>
                <w:bCs/>
                <w:color w:val="auto"/>
                <w:sz w:val="22"/>
                <w:szCs w:val="28"/>
                <w:highlight w:val="none"/>
              </w:rPr>
            </w:pPr>
            <w:r>
              <w:rPr>
                <w:rFonts w:hint="eastAsia" w:ascii="宋体" w:hAnsi="宋体" w:eastAsia="宋体" w:cs="宋体"/>
                <w:b/>
                <w:bCs/>
                <w:color w:val="auto"/>
                <w:sz w:val="22"/>
                <w:szCs w:val="28"/>
                <w:highlight w:val="none"/>
                <w:lang w:val="en-US" w:eastAsia="zh-CN"/>
              </w:rPr>
              <w:t>类别</w:t>
            </w:r>
          </w:p>
        </w:tc>
        <w:tc>
          <w:tcPr>
            <w:tcW w:w="11002" w:type="dxa"/>
            <w:tcBorders>
              <w:tl2br w:val="nil"/>
              <w:tr2bl w:val="nil"/>
            </w:tcBorders>
            <w:noWrap w:val="0"/>
            <w:vAlign w:val="center"/>
          </w:tcPr>
          <w:p w14:paraId="4C356927">
            <w:pPr>
              <w:keepNext w:val="0"/>
              <w:keepLines w:val="0"/>
              <w:suppressLineNumbers w:val="0"/>
              <w:spacing w:before="0" w:beforeAutospacing="0" w:after="0" w:afterAutospacing="0" w:line="240" w:lineRule="auto"/>
              <w:ind w:left="0" w:right="0"/>
              <w:jc w:val="center"/>
              <w:rPr>
                <w:rFonts w:hint="eastAsia" w:ascii="宋体" w:hAnsi="宋体" w:eastAsia="宋体" w:cs="宋体"/>
                <w:b/>
                <w:bCs/>
                <w:color w:val="auto"/>
                <w:sz w:val="22"/>
                <w:szCs w:val="28"/>
                <w:highlight w:val="none"/>
              </w:rPr>
            </w:pPr>
            <w:r>
              <w:rPr>
                <w:rFonts w:hint="eastAsia" w:ascii="宋体" w:hAnsi="宋体" w:eastAsia="宋体" w:cs="宋体"/>
                <w:b/>
                <w:bCs/>
                <w:color w:val="auto"/>
                <w:sz w:val="22"/>
                <w:szCs w:val="28"/>
                <w:highlight w:val="none"/>
                <w:lang w:val="en-US" w:eastAsia="zh-CN"/>
              </w:rPr>
              <w:t>内容</w:t>
            </w:r>
          </w:p>
        </w:tc>
        <w:tc>
          <w:tcPr>
            <w:tcW w:w="1385" w:type="dxa"/>
            <w:gridSpan w:val="2"/>
            <w:tcBorders>
              <w:tl2br w:val="nil"/>
              <w:tr2bl w:val="nil"/>
            </w:tcBorders>
            <w:noWrap/>
            <w:vAlign w:val="center"/>
          </w:tcPr>
          <w:p w14:paraId="2B6DE1F5">
            <w:pPr>
              <w:keepNext w:val="0"/>
              <w:keepLines w:val="0"/>
              <w:suppressLineNumbers w:val="0"/>
              <w:spacing w:before="0" w:beforeAutospacing="0" w:after="0" w:afterAutospacing="0" w:line="240" w:lineRule="auto"/>
              <w:ind w:left="0" w:right="0"/>
              <w:jc w:val="center"/>
              <w:rPr>
                <w:rFonts w:hint="eastAsia" w:ascii="宋体" w:hAnsi="宋体" w:eastAsia="宋体" w:cs="宋体"/>
                <w:b/>
                <w:bCs/>
                <w:color w:val="auto"/>
                <w:sz w:val="22"/>
                <w:szCs w:val="28"/>
                <w:highlight w:val="none"/>
              </w:rPr>
            </w:pPr>
            <w:r>
              <w:rPr>
                <w:rFonts w:hint="eastAsia" w:ascii="宋体" w:hAnsi="宋体" w:eastAsia="宋体" w:cs="宋体"/>
                <w:b/>
                <w:bCs/>
                <w:color w:val="auto"/>
                <w:sz w:val="22"/>
                <w:szCs w:val="28"/>
                <w:highlight w:val="none"/>
                <w:lang w:val="en-US" w:eastAsia="zh-CN"/>
              </w:rPr>
              <w:t>选项</w:t>
            </w:r>
          </w:p>
        </w:tc>
      </w:tr>
      <w:tr w14:paraId="710B03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660" w:type="dxa"/>
            <w:tcBorders>
              <w:tl2br w:val="nil"/>
              <w:tr2bl w:val="nil"/>
            </w:tcBorders>
            <w:noWrap/>
            <w:vAlign w:val="center"/>
          </w:tcPr>
          <w:p w14:paraId="700F22F1">
            <w:pPr>
              <w:keepNext w:val="0"/>
              <w:keepLines w:val="0"/>
              <w:suppressLineNumbers w:val="0"/>
              <w:spacing w:before="0" w:beforeAutospacing="0" w:after="0" w:afterAutospacing="0" w:line="240" w:lineRule="auto"/>
              <w:ind w:left="0" w:right="0"/>
              <w:jc w:val="center"/>
              <w:rPr>
                <w:rFonts w:hint="eastAsia" w:ascii="宋体" w:hAnsi="宋体" w:eastAsia="宋体" w:cs="宋体"/>
                <w:color w:val="auto"/>
                <w:sz w:val="22"/>
                <w:szCs w:val="28"/>
                <w:highlight w:val="none"/>
              </w:rPr>
            </w:pPr>
            <w:r>
              <w:rPr>
                <w:rFonts w:hint="eastAsia" w:ascii="宋体" w:hAnsi="宋体" w:eastAsia="宋体" w:cs="宋体"/>
                <w:color w:val="auto"/>
                <w:sz w:val="22"/>
                <w:szCs w:val="28"/>
                <w:highlight w:val="none"/>
                <w:lang w:val="en-US" w:eastAsia="zh-CN"/>
              </w:rPr>
              <w:t>1</w:t>
            </w:r>
          </w:p>
        </w:tc>
        <w:tc>
          <w:tcPr>
            <w:tcW w:w="744" w:type="dxa"/>
            <w:vMerge w:val="restart"/>
            <w:tcBorders>
              <w:tl2br w:val="nil"/>
              <w:tr2bl w:val="nil"/>
            </w:tcBorders>
            <w:noWrap w:val="0"/>
            <w:vAlign w:val="center"/>
          </w:tcPr>
          <w:p w14:paraId="6C4C3F4E">
            <w:pPr>
              <w:keepNext w:val="0"/>
              <w:keepLines w:val="0"/>
              <w:suppressLineNumbers w:val="0"/>
              <w:spacing w:before="0" w:beforeAutospacing="0" w:after="0" w:afterAutospacing="0" w:line="240" w:lineRule="auto"/>
              <w:ind w:left="0" w:right="0"/>
              <w:jc w:val="center"/>
              <w:rPr>
                <w:rFonts w:hint="eastAsia" w:ascii="宋体" w:hAnsi="宋体" w:eastAsia="宋体" w:cs="宋体"/>
                <w:color w:val="auto"/>
                <w:sz w:val="22"/>
                <w:szCs w:val="28"/>
                <w:highlight w:val="none"/>
              </w:rPr>
            </w:pPr>
            <w:r>
              <w:rPr>
                <w:rFonts w:hint="eastAsia" w:ascii="宋体" w:hAnsi="宋体" w:eastAsia="宋体" w:cs="宋体"/>
                <w:color w:val="auto"/>
                <w:sz w:val="22"/>
                <w:szCs w:val="28"/>
                <w:highlight w:val="none"/>
                <w:lang w:val="en-US" w:eastAsia="zh-CN"/>
              </w:rPr>
              <w:t>串通投标</w:t>
            </w:r>
          </w:p>
        </w:tc>
        <w:tc>
          <w:tcPr>
            <w:tcW w:w="11002" w:type="dxa"/>
            <w:tcBorders>
              <w:tl2br w:val="nil"/>
              <w:tr2bl w:val="nil"/>
            </w:tcBorders>
            <w:noWrap w:val="0"/>
            <w:vAlign w:val="center"/>
          </w:tcPr>
          <w:p w14:paraId="2C3AA7B3">
            <w:pPr>
              <w:keepNext w:val="0"/>
              <w:keepLines w:val="0"/>
              <w:suppressLineNumbers w:val="0"/>
              <w:spacing w:before="0" w:beforeAutospacing="0" w:after="0" w:afterAutospacing="0" w:line="240" w:lineRule="auto"/>
              <w:ind w:left="0" w:right="0"/>
              <w:rPr>
                <w:rFonts w:hint="eastAsia" w:ascii="宋体" w:hAnsi="宋体" w:eastAsia="宋体" w:cs="宋体"/>
                <w:color w:val="auto"/>
                <w:sz w:val="22"/>
                <w:szCs w:val="28"/>
                <w:highlight w:val="none"/>
              </w:rPr>
            </w:pPr>
            <w:r>
              <w:rPr>
                <w:rFonts w:hint="eastAsia" w:ascii="宋体" w:hAnsi="宋体" w:eastAsia="宋体" w:cs="宋体"/>
                <w:color w:val="auto"/>
                <w:sz w:val="22"/>
                <w:szCs w:val="28"/>
                <w:highlight w:val="none"/>
                <w:lang w:val="en-US" w:eastAsia="zh-CN"/>
              </w:rPr>
              <w:t>我单位不存在与其他投标供应商的法定代表人、主要经营负责人、项目投标授权代表人、项目负责人、主要技术人员为同一人、属同一单位或者在同一单位缴纳社会保险的“串通投标”违法行为。</w:t>
            </w:r>
          </w:p>
        </w:tc>
        <w:tc>
          <w:tcPr>
            <w:tcW w:w="692" w:type="dxa"/>
            <w:tcBorders>
              <w:tl2br w:val="nil"/>
              <w:tr2bl w:val="nil"/>
            </w:tcBorders>
            <w:noWrap/>
            <w:vAlign w:val="center"/>
          </w:tcPr>
          <w:p w14:paraId="51C7AFE0">
            <w:pPr>
              <w:keepNext w:val="0"/>
              <w:keepLines w:val="0"/>
              <w:suppressLineNumbers w:val="0"/>
              <w:spacing w:before="0" w:beforeAutospacing="0" w:after="0" w:afterAutospacing="0" w:line="240" w:lineRule="auto"/>
              <w:ind w:left="0" w:right="0"/>
              <w:rPr>
                <w:rFonts w:hint="eastAsia" w:ascii="宋体" w:hAnsi="宋体" w:eastAsia="宋体" w:cs="宋体"/>
                <w:color w:val="auto"/>
                <w:sz w:val="22"/>
                <w:szCs w:val="28"/>
                <w:highlight w:val="none"/>
              </w:rPr>
            </w:pPr>
            <w:r>
              <w:rPr>
                <w:rFonts w:hint="eastAsia" w:ascii="宋体" w:hAnsi="宋体" w:cs="宋体"/>
                <w:color w:val="auto"/>
                <w:sz w:val="22"/>
                <w:szCs w:val="28"/>
                <w:highlight w:val="none"/>
                <w:lang w:val="en-US" w:eastAsia="zh-CN"/>
              </w:rPr>
              <w:t>□</w:t>
            </w:r>
            <w:r>
              <w:rPr>
                <w:rFonts w:hint="eastAsia" w:ascii="宋体" w:hAnsi="宋体" w:eastAsia="宋体" w:cs="宋体"/>
                <w:color w:val="auto"/>
                <w:sz w:val="22"/>
                <w:szCs w:val="28"/>
                <w:highlight w:val="none"/>
                <w:lang w:val="en-US" w:eastAsia="zh-CN"/>
              </w:rPr>
              <w:t>是</w:t>
            </w:r>
          </w:p>
        </w:tc>
        <w:tc>
          <w:tcPr>
            <w:tcW w:w="693" w:type="dxa"/>
            <w:tcBorders>
              <w:tl2br w:val="nil"/>
              <w:tr2bl w:val="nil"/>
            </w:tcBorders>
            <w:noWrap/>
            <w:vAlign w:val="center"/>
          </w:tcPr>
          <w:p w14:paraId="29011641">
            <w:pPr>
              <w:keepNext w:val="0"/>
              <w:keepLines w:val="0"/>
              <w:suppressLineNumbers w:val="0"/>
              <w:spacing w:before="0" w:beforeAutospacing="0" w:after="0" w:afterAutospacing="0" w:line="240" w:lineRule="auto"/>
              <w:ind w:left="0" w:right="0"/>
              <w:rPr>
                <w:rFonts w:hint="eastAsia" w:ascii="宋体" w:hAnsi="宋体" w:eastAsia="宋体" w:cs="宋体"/>
                <w:color w:val="auto"/>
                <w:sz w:val="22"/>
                <w:szCs w:val="28"/>
                <w:highlight w:val="none"/>
                <w:lang w:eastAsia="zh-CN"/>
              </w:rPr>
            </w:pPr>
            <w:r>
              <w:rPr>
                <w:rFonts w:hint="eastAsia" w:ascii="宋体" w:hAnsi="宋体" w:cs="宋体"/>
                <w:color w:val="auto"/>
                <w:sz w:val="22"/>
                <w:szCs w:val="28"/>
                <w:highlight w:val="none"/>
                <w:lang w:val="en-US" w:eastAsia="zh-CN"/>
              </w:rPr>
              <w:t>□</w:t>
            </w:r>
            <w:r>
              <w:rPr>
                <w:rFonts w:hint="eastAsia" w:ascii="宋体" w:hAnsi="宋体" w:eastAsia="宋体" w:cs="宋体"/>
                <w:color w:val="auto"/>
                <w:sz w:val="22"/>
                <w:szCs w:val="28"/>
                <w:highlight w:val="none"/>
                <w:lang w:eastAsia="zh-CN"/>
              </w:rPr>
              <w:t>否</w:t>
            </w:r>
          </w:p>
        </w:tc>
      </w:tr>
      <w:tr w14:paraId="1703B5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660" w:type="dxa"/>
            <w:tcBorders>
              <w:tl2br w:val="nil"/>
              <w:tr2bl w:val="nil"/>
            </w:tcBorders>
            <w:noWrap/>
            <w:vAlign w:val="center"/>
          </w:tcPr>
          <w:p w14:paraId="238D4AE1">
            <w:pPr>
              <w:keepNext w:val="0"/>
              <w:keepLines w:val="0"/>
              <w:suppressLineNumbers w:val="0"/>
              <w:spacing w:before="0" w:beforeAutospacing="0" w:after="0" w:afterAutospacing="0" w:line="240" w:lineRule="auto"/>
              <w:ind w:left="0" w:right="0"/>
              <w:jc w:val="center"/>
              <w:rPr>
                <w:rFonts w:hint="eastAsia" w:ascii="宋体" w:hAnsi="宋体" w:eastAsia="宋体" w:cs="宋体"/>
                <w:color w:val="auto"/>
                <w:sz w:val="22"/>
                <w:szCs w:val="28"/>
                <w:highlight w:val="none"/>
              </w:rPr>
            </w:pPr>
            <w:r>
              <w:rPr>
                <w:rFonts w:hint="eastAsia" w:ascii="宋体" w:hAnsi="宋体" w:eastAsia="宋体" w:cs="宋体"/>
                <w:color w:val="auto"/>
                <w:sz w:val="22"/>
                <w:szCs w:val="28"/>
                <w:highlight w:val="none"/>
                <w:lang w:val="en-US" w:eastAsia="zh-CN"/>
              </w:rPr>
              <w:t>2</w:t>
            </w:r>
          </w:p>
        </w:tc>
        <w:tc>
          <w:tcPr>
            <w:tcW w:w="744" w:type="dxa"/>
            <w:vMerge w:val="continue"/>
            <w:tcBorders>
              <w:tl2br w:val="nil"/>
              <w:tr2bl w:val="nil"/>
            </w:tcBorders>
            <w:noWrap w:val="0"/>
            <w:vAlign w:val="center"/>
          </w:tcPr>
          <w:p w14:paraId="513C1BB2">
            <w:pPr>
              <w:keepNext w:val="0"/>
              <w:keepLines w:val="0"/>
              <w:suppressLineNumbers w:val="0"/>
              <w:spacing w:before="0" w:beforeAutospacing="0" w:after="0" w:afterAutospacing="0" w:line="240" w:lineRule="auto"/>
              <w:ind w:left="0" w:right="0"/>
              <w:rPr>
                <w:rFonts w:hint="eastAsia" w:ascii="宋体" w:hAnsi="宋体" w:eastAsia="宋体" w:cs="宋体"/>
                <w:color w:val="auto"/>
                <w:sz w:val="22"/>
                <w:szCs w:val="28"/>
                <w:highlight w:val="none"/>
              </w:rPr>
            </w:pPr>
          </w:p>
        </w:tc>
        <w:tc>
          <w:tcPr>
            <w:tcW w:w="11002" w:type="dxa"/>
            <w:tcBorders>
              <w:tl2br w:val="nil"/>
              <w:tr2bl w:val="nil"/>
            </w:tcBorders>
            <w:noWrap w:val="0"/>
            <w:vAlign w:val="center"/>
          </w:tcPr>
          <w:p w14:paraId="6BB8385C">
            <w:pPr>
              <w:keepNext w:val="0"/>
              <w:keepLines w:val="0"/>
              <w:suppressLineNumbers w:val="0"/>
              <w:spacing w:before="0" w:beforeAutospacing="0" w:after="0" w:afterAutospacing="0" w:line="240" w:lineRule="auto"/>
              <w:ind w:left="0" w:right="0"/>
              <w:rPr>
                <w:rFonts w:hint="eastAsia" w:ascii="宋体" w:hAnsi="宋体" w:eastAsia="宋体" w:cs="宋体"/>
                <w:color w:val="auto"/>
                <w:sz w:val="22"/>
                <w:szCs w:val="28"/>
                <w:highlight w:val="none"/>
              </w:rPr>
            </w:pPr>
            <w:r>
              <w:rPr>
                <w:rFonts w:hint="eastAsia" w:ascii="宋体" w:hAnsi="宋体" w:eastAsia="宋体" w:cs="宋体"/>
                <w:color w:val="auto"/>
                <w:sz w:val="22"/>
                <w:szCs w:val="28"/>
                <w:highlight w:val="none"/>
                <w:lang w:val="en-US" w:eastAsia="zh-CN"/>
              </w:rPr>
              <w:t>我单位不存在与其他投标供应商的投标文件由同一单位或者同一人编制的“串通投标”违法行为。</w:t>
            </w:r>
          </w:p>
        </w:tc>
        <w:tc>
          <w:tcPr>
            <w:tcW w:w="692" w:type="dxa"/>
            <w:tcBorders>
              <w:tl2br w:val="nil"/>
              <w:tr2bl w:val="nil"/>
            </w:tcBorders>
            <w:noWrap/>
            <w:vAlign w:val="center"/>
          </w:tcPr>
          <w:p w14:paraId="4E345C2A">
            <w:pPr>
              <w:keepNext w:val="0"/>
              <w:keepLines w:val="0"/>
              <w:suppressLineNumbers w:val="0"/>
              <w:spacing w:before="0" w:beforeAutospacing="0" w:after="0" w:afterAutospacing="0" w:line="240" w:lineRule="auto"/>
              <w:ind w:left="0" w:right="0"/>
              <w:rPr>
                <w:rFonts w:hint="eastAsia" w:ascii="宋体" w:hAnsi="宋体" w:eastAsia="宋体" w:cs="宋体"/>
                <w:color w:val="auto"/>
                <w:sz w:val="22"/>
                <w:szCs w:val="28"/>
                <w:highlight w:val="none"/>
              </w:rPr>
            </w:pPr>
            <w:r>
              <w:rPr>
                <w:rFonts w:hint="eastAsia" w:ascii="宋体" w:hAnsi="宋体" w:cs="宋体"/>
                <w:color w:val="auto"/>
                <w:sz w:val="22"/>
                <w:szCs w:val="28"/>
                <w:highlight w:val="none"/>
                <w:lang w:val="en-US" w:eastAsia="zh-CN"/>
              </w:rPr>
              <w:t>□</w:t>
            </w:r>
            <w:r>
              <w:rPr>
                <w:rFonts w:hint="eastAsia" w:ascii="宋体" w:hAnsi="宋体" w:eastAsia="宋体" w:cs="宋体"/>
                <w:color w:val="auto"/>
                <w:sz w:val="22"/>
                <w:szCs w:val="28"/>
                <w:highlight w:val="none"/>
                <w:lang w:val="en-US" w:eastAsia="zh-CN"/>
              </w:rPr>
              <w:t>是</w:t>
            </w:r>
          </w:p>
        </w:tc>
        <w:tc>
          <w:tcPr>
            <w:tcW w:w="693" w:type="dxa"/>
            <w:tcBorders>
              <w:tl2br w:val="nil"/>
              <w:tr2bl w:val="nil"/>
            </w:tcBorders>
            <w:noWrap/>
            <w:vAlign w:val="center"/>
          </w:tcPr>
          <w:p w14:paraId="12A4F318">
            <w:pPr>
              <w:keepNext w:val="0"/>
              <w:keepLines w:val="0"/>
              <w:suppressLineNumbers w:val="0"/>
              <w:spacing w:before="0" w:beforeAutospacing="0" w:after="0" w:afterAutospacing="0" w:line="240" w:lineRule="auto"/>
              <w:ind w:left="0" w:right="0"/>
              <w:rPr>
                <w:rFonts w:hint="eastAsia" w:ascii="宋体" w:hAnsi="宋体" w:eastAsia="宋体" w:cs="宋体"/>
                <w:color w:val="auto"/>
                <w:sz w:val="22"/>
                <w:szCs w:val="28"/>
                <w:highlight w:val="none"/>
              </w:rPr>
            </w:pPr>
            <w:r>
              <w:rPr>
                <w:rFonts w:hint="eastAsia" w:ascii="宋体" w:hAnsi="宋体" w:cs="宋体"/>
                <w:color w:val="auto"/>
                <w:sz w:val="22"/>
                <w:szCs w:val="28"/>
                <w:highlight w:val="none"/>
                <w:lang w:val="en-US" w:eastAsia="zh-CN"/>
              </w:rPr>
              <w:t>□</w:t>
            </w:r>
            <w:r>
              <w:rPr>
                <w:rFonts w:hint="eastAsia" w:ascii="宋体" w:hAnsi="宋体" w:eastAsia="宋体" w:cs="宋体"/>
                <w:color w:val="auto"/>
                <w:sz w:val="22"/>
                <w:szCs w:val="28"/>
                <w:highlight w:val="none"/>
                <w:lang w:eastAsia="zh-CN"/>
              </w:rPr>
              <w:t>否</w:t>
            </w:r>
          </w:p>
        </w:tc>
      </w:tr>
      <w:tr w14:paraId="74F873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660" w:type="dxa"/>
            <w:tcBorders>
              <w:tl2br w:val="nil"/>
              <w:tr2bl w:val="nil"/>
            </w:tcBorders>
            <w:noWrap/>
            <w:vAlign w:val="center"/>
          </w:tcPr>
          <w:p w14:paraId="272554FF">
            <w:pPr>
              <w:keepNext w:val="0"/>
              <w:keepLines w:val="0"/>
              <w:suppressLineNumbers w:val="0"/>
              <w:spacing w:before="0" w:beforeAutospacing="0" w:after="0" w:afterAutospacing="0" w:line="240" w:lineRule="auto"/>
              <w:ind w:left="0" w:right="0"/>
              <w:jc w:val="center"/>
              <w:rPr>
                <w:rFonts w:hint="eastAsia" w:ascii="宋体" w:hAnsi="宋体" w:eastAsia="宋体" w:cs="宋体"/>
                <w:color w:val="auto"/>
                <w:sz w:val="22"/>
                <w:szCs w:val="28"/>
                <w:highlight w:val="none"/>
              </w:rPr>
            </w:pPr>
            <w:r>
              <w:rPr>
                <w:rFonts w:hint="eastAsia" w:ascii="宋体" w:hAnsi="宋体" w:eastAsia="宋体" w:cs="宋体"/>
                <w:color w:val="auto"/>
                <w:sz w:val="22"/>
                <w:szCs w:val="28"/>
                <w:highlight w:val="none"/>
                <w:lang w:val="en-US" w:eastAsia="zh-CN"/>
              </w:rPr>
              <w:t>3</w:t>
            </w:r>
          </w:p>
        </w:tc>
        <w:tc>
          <w:tcPr>
            <w:tcW w:w="744" w:type="dxa"/>
            <w:vMerge w:val="continue"/>
            <w:tcBorders>
              <w:tl2br w:val="nil"/>
              <w:tr2bl w:val="nil"/>
            </w:tcBorders>
            <w:noWrap w:val="0"/>
            <w:vAlign w:val="center"/>
          </w:tcPr>
          <w:p w14:paraId="067B5233">
            <w:pPr>
              <w:keepNext w:val="0"/>
              <w:keepLines w:val="0"/>
              <w:suppressLineNumbers w:val="0"/>
              <w:spacing w:before="0" w:beforeAutospacing="0" w:after="0" w:afterAutospacing="0" w:line="240" w:lineRule="auto"/>
              <w:ind w:left="0" w:right="0"/>
              <w:rPr>
                <w:rFonts w:hint="eastAsia" w:ascii="宋体" w:hAnsi="宋体" w:eastAsia="宋体" w:cs="宋体"/>
                <w:color w:val="auto"/>
                <w:sz w:val="22"/>
                <w:szCs w:val="28"/>
                <w:highlight w:val="none"/>
              </w:rPr>
            </w:pPr>
          </w:p>
        </w:tc>
        <w:tc>
          <w:tcPr>
            <w:tcW w:w="11002" w:type="dxa"/>
            <w:tcBorders>
              <w:tl2br w:val="nil"/>
              <w:tr2bl w:val="nil"/>
            </w:tcBorders>
            <w:noWrap w:val="0"/>
            <w:vAlign w:val="center"/>
          </w:tcPr>
          <w:p w14:paraId="209EF03C">
            <w:pPr>
              <w:keepNext w:val="0"/>
              <w:keepLines w:val="0"/>
              <w:suppressLineNumbers w:val="0"/>
              <w:spacing w:before="0" w:beforeAutospacing="0" w:after="0" w:afterAutospacing="0" w:line="240" w:lineRule="auto"/>
              <w:ind w:left="0" w:right="0"/>
              <w:rPr>
                <w:rFonts w:hint="eastAsia" w:ascii="宋体" w:hAnsi="宋体" w:eastAsia="宋体" w:cs="宋体"/>
                <w:color w:val="auto"/>
                <w:sz w:val="22"/>
                <w:szCs w:val="28"/>
                <w:highlight w:val="none"/>
              </w:rPr>
            </w:pPr>
            <w:r>
              <w:rPr>
                <w:rFonts w:hint="eastAsia" w:ascii="宋体" w:hAnsi="宋体" w:eastAsia="宋体" w:cs="宋体"/>
                <w:color w:val="auto"/>
                <w:sz w:val="22"/>
                <w:szCs w:val="28"/>
                <w:highlight w:val="none"/>
                <w:lang w:val="en-US" w:eastAsia="zh-CN"/>
              </w:rPr>
              <w:t>我单位不存在与其他投标供应商的投标文件或部分投标文件相互混装的“串通投标”违法行为。</w:t>
            </w:r>
          </w:p>
        </w:tc>
        <w:tc>
          <w:tcPr>
            <w:tcW w:w="692" w:type="dxa"/>
            <w:tcBorders>
              <w:tl2br w:val="nil"/>
              <w:tr2bl w:val="nil"/>
            </w:tcBorders>
            <w:noWrap/>
            <w:vAlign w:val="center"/>
          </w:tcPr>
          <w:p w14:paraId="47999F21">
            <w:pPr>
              <w:keepNext w:val="0"/>
              <w:keepLines w:val="0"/>
              <w:suppressLineNumbers w:val="0"/>
              <w:spacing w:before="0" w:beforeAutospacing="0" w:after="0" w:afterAutospacing="0" w:line="240" w:lineRule="auto"/>
              <w:ind w:left="0" w:right="0"/>
              <w:rPr>
                <w:rFonts w:hint="eastAsia" w:ascii="宋体" w:hAnsi="宋体" w:eastAsia="宋体" w:cs="宋体"/>
                <w:color w:val="auto"/>
                <w:sz w:val="22"/>
                <w:szCs w:val="28"/>
                <w:highlight w:val="none"/>
              </w:rPr>
            </w:pPr>
            <w:r>
              <w:rPr>
                <w:rFonts w:hint="eastAsia" w:ascii="宋体" w:hAnsi="宋体" w:cs="宋体"/>
                <w:color w:val="auto"/>
                <w:sz w:val="22"/>
                <w:szCs w:val="28"/>
                <w:highlight w:val="none"/>
                <w:lang w:val="en-US" w:eastAsia="zh-CN"/>
              </w:rPr>
              <w:t>□</w:t>
            </w:r>
            <w:r>
              <w:rPr>
                <w:rFonts w:hint="eastAsia" w:ascii="宋体" w:hAnsi="宋体" w:eastAsia="宋体" w:cs="宋体"/>
                <w:color w:val="auto"/>
                <w:sz w:val="22"/>
                <w:szCs w:val="28"/>
                <w:highlight w:val="none"/>
                <w:lang w:val="en-US" w:eastAsia="zh-CN"/>
              </w:rPr>
              <w:t>是</w:t>
            </w:r>
          </w:p>
        </w:tc>
        <w:tc>
          <w:tcPr>
            <w:tcW w:w="693" w:type="dxa"/>
            <w:tcBorders>
              <w:tl2br w:val="nil"/>
              <w:tr2bl w:val="nil"/>
            </w:tcBorders>
            <w:noWrap/>
            <w:vAlign w:val="center"/>
          </w:tcPr>
          <w:p w14:paraId="1690B307">
            <w:pPr>
              <w:keepNext w:val="0"/>
              <w:keepLines w:val="0"/>
              <w:suppressLineNumbers w:val="0"/>
              <w:spacing w:before="0" w:beforeAutospacing="0" w:after="0" w:afterAutospacing="0" w:line="240" w:lineRule="auto"/>
              <w:ind w:left="0" w:right="0"/>
              <w:rPr>
                <w:rFonts w:hint="eastAsia" w:ascii="宋体" w:hAnsi="宋体" w:eastAsia="宋体" w:cs="宋体"/>
                <w:color w:val="auto"/>
                <w:sz w:val="22"/>
                <w:szCs w:val="28"/>
                <w:highlight w:val="none"/>
              </w:rPr>
            </w:pPr>
            <w:r>
              <w:rPr>
                <w:rFonts w:hint="eastAsia" w:ascii="宋体" w:hAnsi="宋体" w:cs="宋体"/>
                <w:color w:val="auto"/>
                <w:sz w:val="22"/>
                <w:szCs w:val="28"/>
                <w:highlight w:val="none"/>
                <w:lang w:val="en-US" w:eastAsia="zh-CN"/>
              </w:rPr>
              <w:t>□</w:t>
            </w:r>
            <w:r>
              <w:rPr>
                <w:rFonts w:hint="eastAsia" w:ascii="宋体" w:hAnsi="宋体" w:eastAsia="宋体" w:cs="宋体"/>
                <w:color w:val="auto"/>
                <w:sz w:val="22"/>
                <w:szCs w:val="28"/>
                <w:highlight w:val="none"/>
                <w:lang w:eastAsia="zh-CN"/>
              </w:rPr>
              <w:t>否</w:t>
            </w:r>
          </w:p>
        </w:tc>
      </w:tr>
      <w:tr w14:paraId="2C0CB1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660" w:type="dxa"/>
            <w:tcBorders>
              <w:tl2br w:val="nil"/>
              <w:tr2bl w:val="nil"/>
            </w:tcBorders>
            <w:noWrap/>
            <w:vAlign w:val="center"/>
          </w:tcPr>
          <w:p w14:paraId="7C19A343">
            <w:pPr>
              <w:keepNext w:val="0"/>
              <w:keepLines w:val="0"/>
              <w:suppressLineNumbers w:val="0"/>
              <w:spacing w:before="0" w:beforeAutospacing="0" w:after="0" w:afterAutospacing="0" w:line="240" w:lineRule="auto"/>
              <w:ind w:left="0" w:right="0"/>
              <w:jc w:val="center"/>
              <w:rPr>
                <w:rFonts w:hint="eastAsia" w:ascii="宋体" w:hAnsi="宋体" w:eastAsia="宋体" w:cs="宋体"/>
                <w:color w:val="auto"/>
                <w:sz w:val="22"/>
                <w:szCs w:val="28"/>
                <w:highlight w:val="none"/>
              </w:rPr>
            </w:pPr>
            <w:r>
              <w:rPr>
                <w:rFonts w:hint="eastAsia" w:ascii="宋体" w:hAnsi="宋体" w:eastAsia="宋体" w:cs="宋体"/>
                <w:color w:val="auto"/>
                <w:sz w:val="22"/>
                <w:szCs w:val="28"/>
                <w:highlight w:val="none"/>
                <w:lang w:val="en-US" w:eastAsia="zh-CN"/>
              </w:rPr>
              <w:t>4</w:t>
            </w:r>
          </w:p>
        </w:tc>
        <w:tc>
          <w:tcPr>
            <w:tcW w:w="744" w:type="dxa"/>
            <w:vMerge w:val="continue"/>
            <w:tcBorders>
              <w:tl2br w:val="nil"/>
              <w:tr2bl w:val="nil"/>
            </w:tcBorders>
            <w:noWrap w:val="0"/>
            <w:vAlign w:val="center"/>
          </w:tcPr>
          <w:p w14:paraId="0516BB88">
            <w:pPr>
              <w:keepNext w:val="0"/>
              <w:keepLines w:val="0"/>
              <w:suppressLineNumbers w:val="0"/>
              <w:spacing w:before="0" w:beforeAutospacing="0" w:after="0" w:afterAutospacing="0" w:line="240" w:lineRule="auto"/>
              <w:ind w:left="0" w:right="0"/>
              <w:rPr>
                <w:rFonts w:hint="eastAsia" w:ascii="宋体" w:hAnsi="宋体" w:eastAsia="宋体" w:cs="宋体"/>
                <w:color w:val="auto"/>
                <w:sz w:val="22"/>
                <w:szCs w:val="28"/>
                <w:highlight w:val="none"/>
              </w:rPr>
            </w:pPr>
          </w:p>
        </w:tc>
        <w:tc>
          <w:tcPr>
            <w:tcW w:w="11002" w:type="dxa"/>
            <w:tcBorders>
              <w:tl2br w:val="nil"/>
              <w:tr2bl w:val="nil"/>
            </w:tcBorders>
            <w:noWrap w:val="0"/>
            <w:vAlign w:val="center"/>
          </w:tcPr>
          <w:p w14:paraId="00E487E8">
            <w:pPr>
              <w:keepNext w:val="0"/>
              <w:keepLines w:val="0"/>
              <w:suppressLineNumbers w:val="0"/>
              <w:spacing w:before="0" w:beforeAutospacing="0" w:after="0" w:afterAutospacing="0" w:line="240" w:lineRule="auto"/>
              <w:ind w:left="0" w:right="0"/>
              <w:rPr>
                <w:rFonts w:hint="eastAsia" w:ascii="宋体" w:hAnsi="宋体" w:eastAsia="宋体" w:cs="宋体"/>
                <w:color w:val="auto"/>
                <w:sz w:val="22"/>
                <w:szCs w:val="28"/>
                <w:highlight w:val="none"/>
              </w:rPr>
            </w:pPr>
            <w:r>
              <w:rPr>
                <w:rFonts w:hint="eastAsia" w:ascii="宋体" w:hAnsi="宋体" w:eastAsia="宋体" w:cs="宋体"/>
                <w:color w:val="auto"/>
                <w:sz w:val="22"/>
                <w:szCs w:val="28"/>
                <w:highlight w:val="none"/>
                <w:lang w:val="en-US" w:eastAsia="zh-CN"/>
              </w:rPr>
              <w:t>我单位不存在与其他投标供应商的投标文件内容非正常一致的“串通投标”违法行为。</w:t>
            </w:r>
          </w:p>
        </w:tc>
        <w:tc>
          <w:tcPr>
            <w:tcW w:w="692" w:type="dxa"/>
            <w:tcBorders>
              <w:tl2br w:val="nil"/>
              <w:tr2bl w:val="nil"/>
            </w:tcBorders>
            <w:noWrap/>
            <w:vAlign w:val="center"/>
          </w:tcPr>
          <w:p w14:paraId="11E9C8D1">
            <w:pPr>
              <w:keepNext w:val="0"/>
              <w:keepLines w:val="0"/>
              <w:suppressLineNumbers w:val="0"/>
              <w:spacing w:before="0" w:beforeAutospacing="0" w:after="0" w:afterAutospacing="0" w:line="240" w:lineRule="auto"/>
              <w:ind w:left="0" w:right="0"/>
              <w:rPr>
                <w:rFonts w:hint="eastAsia" w:ascii="宋体" w:hAnsi="宋体" w:eastAsia="宋体" w:cs="宋体"/>
                <w:color w:val="auto"/>
                <w:sz w:val="22"/>
                <w:szCs w:val="28"/>
                <w:highlight w:val="none"/>
              </w:rPr>
            </w:pPr>
            <w:r>
              <w:rPr>
                <w:rFonts w:hint="eastAsia" w:ascii="宋体" w:hAnsi="宋体" w:cs="宋体"/>
                <w:color w:val="auto"/>
                <w:sz w:val="22"/>
                <w:szCs w:val="28"/>
                <w:highlight w:val="none"/>
                <w:lang w:val="en-US" w:eastAsia="zh-CN"/>
              </w:rPr>
              <w:t>□</w:t>
            </w:r>
            <w:r>
              <w:rPr>
                <w:rFonts w:hint="eastAsia" w:ascii="宋体" w:hAnsi="宋体" w:eastAsia="宋体" w:cs="宋体"/>
                <w:color w:val="auto"/>
                <w:sz w:val="22"/>
                <w:szCs w:val="28"/>
                <w:highlight w:val="none"/>
                <w:lang w:val="en-US" w:eastAsia="zh-CN"/>
              </w:rPr>
              <w:t>是</w:t>
            </w:r>
          </w:p>
        </w:tc>
        <w:tc>
          <w:tcPr>
            <w:tcW w:w="693" w:type="dxa"/>
            <w:tcBorders>
              <w:tl2br w:val="nil"/>
              <w:tr2bl w:val="nil"/>
            </w:tcBorders>
            <w:noWrap/>
            <w:vAlign w:val="center"/>
          </w:tcPr>
          <w:p w14:paraId="00B8E5F0">
            <w:pPr>
              <w:keepNext w:val="0"/>
              <w:keepLines w:val="0"/>
              <w:suppressLineNumbers w:val="0"/>
              <w:spacing w:before="0" w:beforeAutospacing="0" w:after="0" w:afterAutospacing="0" w:line="240" w:lineRule="auto"/>
              <w:ind w:left="0" w:right="0"/>
              <w:rPr>
                <w:rFonts w:hint="eastAsia" w:ascii="宋体" w:hAnsi="宋体" w:eastAsia="宋体" w:cs="宋体"/>
                <w:color w:val="auto"/>
                <w:sz w:val="22"/>
                <w:szCs w:val="28"/>
                <w:highlight w:val="none"/>
              </w:rPr>
            </w:pPr>
            <w:r>
              <w:rPr>
                <w:rFonts w:hint="eastAsia" w:ascii="宋体" w:hAnsi="宋体" w:cs="宋体"/>
                <w:color w:val="auto"/>
                <w:sz w:val="22"/>
                <w:szCs w:val="28"/>
                <w:highlight w:val="none"/>
                <w:lang w:val="en-US" w:eastAsia="zh-CN"/>
              </w:rPr>
              <w:t>□</w:t>
            </w:r>
            <w:r>
              <w:rPr>
                <w:rFonts w:hint="eastAsia" w:ascii="宋体" w:hAnsi="宋体" w:eastAsia="宋体" w:cs="宋体"/>
                <w:color w:val="auto"/>
                <w:sz w:val="22"/>
                <w:szCs w:val="28"/>
                <w:highlight w:val="none"/>
                <w:lang w:eastAsia="zh-CN"/>
              </w:rPr>
              <w:t>否</w:t>
            </w:r>
          </w:p>
        </w:tc>
      </w:tr>
      <w:tr w14:paraId="4BF5F5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660" w:type="dxa"/>
            <w:tcBorders>
              <w:tl2br w:val="nil"/>
              <w:tr2bl w:val="nil"/>
            </w:tcBorders>
            <w:noWrap/>
            <w:vAlign w:val="center"/>
          </w:tcPr>
          <w:p w14:paraId="32BAE7DD">
            <w:pPr>
              <w:keepNext w:val="0"/>
              <w:keepLines w:val="0"/>
              <w:suppressLineNumbers w:val="0"/>
              <w:spacing w:before="0" w:beforeAutospacing="0" w:after="0" w:afterAutospacing="0" w:line="240" w:lineRule="auto"/>
              <w:ind w:left="0" w:right="0"/>
              <w:jc w:val="center"/>
              <w:rPr>
                <w:rFonts w:hint="eastAsia" w:ascii="宋体" w:hAnsi="宋体" w:eastAsia="宋体" w:cs="宋体"/>
                <w:color w:val="auto"/>
                <w:sz w:val="22"/>
                <w:szCs w:val="28"/>
                <w:highlight w:val="none"/>
              </w:rPr>
            </w:pPr>
            <w:r>
              <w:rPr>
                <w:rFonts w:hint="eastAsia" w:ascii="宋体" w:hAnsi="宋体" w:eastAsia="宋体" w:cs="宋体"/>
                <w:color w:val="auto"/>
                <w:sz w:val="22"/>
                <w:szCs w:val="28"/>
                <w:highlight w:val="none"/>
                <w:lang w:val="en-US" w:eastAsia="zh-CN"/>
              </w:rPr>
              <w:t>5</w:t>
            </w:r>
          </w:p>
        </w:tc>
        <w:tc>
          <w:tcPr>
            <w:tcW w:w="744" w:type="dxa"/>
            <w:vMerge w:val="continue"/>
            <w:tcBorders>
              <w:tl2br w:val="nil"/>
              <w:tr2bl w:val="nil"/>
            </w:tcBorders>
            <w:noWrap w:val="0"/>
            <w:vAlign w:val="center"/>
          </w:tcPr>
          <w:p w14:paraId="5F7825F6">
            <w:pPr>
              <w:keepNext w:val="0"/>
              <w:keepLines w:val="0"/>
              <w:suppressLineNumbers w:val="0"/>
              <w:spacing w:before="0" w:beforeAutospacing="0" w:after="0" w:afterAutospacing="0" w:line="240" w:lineRule="auto"/>
              <w:ind w:left="0" w:right="0"/>
              <w:rPr>
                <w:rFonts w:hint="eastAsia" w:ascii="宋体" w:hAnsi="宋体" w:eastAsia="宋体" w:cs="宋体"/>
                <w:color w:val="auto"/>
                <w:sz w:val="22"/>
                <w:szCs w:val="28"/>
                <w:highlight w:val="none"/>
              </w:rPr>
            </w:pPr>
          </w:p>
        </w:tc>
        <w:tc>
          <w:tcPr>
            <w:tcW w:w="11002" w:type="dxa"/>
            <w:tcBorders>
              <w:tl2br w:val="nil"/>
              <w:tr2bl w:val="nil"/>
            </w:tcBorders>
            <w:noWrap w:val="0"/>
            <w:vAlign w:val="center"/>
          </w:tcPr>
          <w:p w14:paraId="5E0A89C2">
            <w:pPr>
              <w:keepNext w:val="0"/>
              <w:keepLines w:val="0"/>
              <w:suppressLineNumbers w:val="0"/>
              <w:spacing w:before="0" w:beforeAutospacing="0" w:after="0" w:afterAutospacing="0" w:line="240" w:lineRule="auto"/>
              <w:ind w:left="0" w:right="0"/>
              <w:rPr>
                <w:rFonts w:hint="eastAsia" w:ascii="宋体" w:hAnsi="宋体" w:eastAsia="宋体" w:cs="宋体"/>
                <w:color w:val="auto"/>
                <w:sz w:val="22"/>
                <w:szCs w:val="28"/>
                <w:highlight w:val="none"/>
              </w:rPr>
            </w:pPr>
            <w:r>
              <w:rPr>
                <w:rFonts w:hint="eastAsia" w:ascii="宋体" w:hAnsi="宋体" w:eastAsia="宋体" w:cs="宋体"/>
                <w:color w:val="auto"/>
                <w:sz w:val="22"/>
                <w:szCs w:val="28"/>
                <w:highlight w:val="none"/>
                <w:lang w:val="en-US" w:eastAsia="zh-CN"/>
              </w:rPr>
              <w:t>我单位不存在由同一单位工作人员为两家（含）以上供应商进行同一项投标活动的“串通投标”违法行为。</w:t>
            </w:r>
          </w:p>
        </w:tc>
        <w:tc>
          <w:tcPr>
            <w:tcW w:w="692" w:type="dxa"/>
            <w:tcBorders>
              <w:tl2br w:val="nil"/>
              <w:tr2bl w:val="nil"/>
            </w:tcBorders>
            <w:noWrap/>
            <w:vAlign w:val="center"/>
          </w:tcPr>
          <w:p w14:paraId="0AFDB94A">
            <w:pPr>
              <w:keepNext w:val="0"/>
              <w:keepLines w:val="0"/>
              <w:suppressLineNumbers w:val="0"/>
              <w:spacing w:before="0" w:beforeAutospacing="0" w:after="0" w:afterAutospacing="0" w:line="240" w:lineRule="auto"/>
              <w:ind w:left="0" w:right="0"/>
              <w:rPr>
                <w:rFonts w:hint="eastAsia" w:ascii="宋体" w:hAnsi="宋体" w:eastAsia="宋体" w:cs="宋体"/>
                <w:color w:val="auto"/>
                <w:sz w:val="22"/>
                <w:szCs w:val="28"/>
                <w:highlight w:val="none"/>
              </w:rPr>
            </w:pPr>
            <w:r>
              <w:rPr>
                <w:rFonts w:hint="eastAsia" w:ascii="宋体" w:hAnsi="宋体" w:cs="宋体"/>
                <w:color w:val="auto"/>
                <w:sz w:val="22"/>
                <w:szCs w:val="28"/>
                <w:highlight w:val="none"/>
                <w:lang w:val="en-US" w:eastAsia="zh-CN"/>
              </w:rPr>
              <w:t>□</w:t>
            </w:r>
            <w:r>
              <w:rPr>
                <w:rFonts w:hint="eastAsia" w:ascii="宋体" w:hAnsi="宋体" w:eastAsia="宋体" w:cs="宋体"/>
                <w:color w:val="auto"/>
                <w:sz w:val="22"/>
                <w:szCs w:val="28"/>
                <w:highlight w:val="none"/>
                <w:lang w:val="en-US" w:eastAsia="zh-CN"/>
              </w:rPr>
              <w:t>是</w:t>
            </w:r>
          </w:p>
        </w:tc>
        <w:tc>
          <w:tcPr>
            <w:tcW w:w="693" w:type="dxa"/>
            <w:tcBorders>
              <w:tl2br w:val="nil"/>
              <w:tr2bl w:val="nil"/>
            </w:tcBorders>
            <w:noWrap/>
            <w:vAlign w:val="center"/>
          </w:tcPr>
          <w:p w14:paraId="020EF22C">
            <w:pPr>
              <w:keepNext w:val="0"/>
              <w:keepLines w:val="0"/>
              <w:suppressLineNumbers w:val="0"/>
              <w:spacing w:before="0" w:beforeAutospacing="0" w:after="0" w:afterAutospacing="0" w:line="240" w:lineRule="auto"/>
              <w:ind w:left="0" w:right="0"/>
              <w:rPr>
                <w:rFonts w:hint="eastAsia" w:ascii="宋体" w:hAnsi="宋体" w:eastAsia="宋体" w:cs="宋体"/>
                <w:color w:val="auto"/>
                <w:sz w:val="22"/>
                <w:szCs w:val="28"/>
                <w:highlight w:val="none"/>
              </w:rPr>
            </w:pPr>
            <w:r>
              <w:rPr>
                <w:rFonts w:hint="eastAsia" w:ascii="宋体" w:hAnsi="宋体" w:cs="宋体"/>
                <w:color w:val="auto"/>
                <w:sz w:val="22"/>
                <w:szCs w:val="28"/>
                <w:highlight w:val="none"/>
                <w:lang w:val="en-US" w:eastAsia="zh-CN"/>
              </w:rPr>
              <w:t>□</w:t>
            </w:r>
            <w:r>
              <w:rPr>
                <w:rFonts w:hint="eastAsia" w:ascii="宋体" w:hAnsi="宋体" w:eastAsia="宋体" w:cs="宋体"/>
                <w:color w:val="auto"/>
                <w:sz w:val="22"/>
                <w:szCs w:val="28"/>
                <w:highlight w:val="none"/>
                <w:lang w:eastAsia="zh-CN"/>
              </w:rPr>
              <w:t>否</w:t>
            </w:r>
          </w:p>
        </w:tc>
      </w:tr>
      <w:tr w14:paraId="437A02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660" w:type="dxa"/>
            <w:tcBorders>
              <w:tl2br w:val="nil"/>
              <w:tr2bl w:val="nil"/>
            </w:tcBorders>
            <w:noWrap/>
            <w:vAlign w:val="center"/>
          </w:tcPr>
          <w:p w14:paraId="4A2D8FAF">
            <w:pPr>
              <w:keepNext w:val="0"/>
              <w:keepLines w:val="0"/>
              <w:suppressLineNumbers w:val="0"/>
              <w:spacing w:before="0" w:beforeAutospacing="0" w:after="0" w:afterAutospacing="0" w:line="240" w:lineRule="auto"/>
              <w:ind w:left="0" w:right="0"/>
              <w:jc w:val="center"/>
              <w:rPr>
                <w:rFonts w:hint="eastAsia" w:ascii="宋体" w:hAnsi="宋体" w:eastAsia="宋体" w:cs="宋体"/>
                <w:color w:val="auto"/>
                <w:sz w:val="22"/>
                <w:szCs w:val="28"/>
                <w:highlight w:val="none"/>
              </w:rPr>
            </w:pPr>
            <w:r>
              <w:rPr>
                <w:rFonts w:hint="eastAsia" w:ascii="宋体" w:hAnsi="宋体" w:eastAsia="宋体" w:cs="宋体"/>
                <w:color w:val="auto"/>
                <w:sz w:val="22"/>
                <w:szCs w:val="28"/>
                <w:highlight w:val="none"/>
                <w:lang w:val="en-US" w:eastAsia="zh-CN"/>
              </w:rPr>
              <w:t>6</w:t>
            </w:r>
          </w:p>
        </w:tc>
        <w:tc>
          <w:tcPr>
            <w:tcW w:w="744" w:type="dxa"/>
            <w:vMerge w:val="continue"/>
            <w:tcBorders>
              <w:tl2br w:val="nil"/>
              <w:tr2bl w:val="nil"/>
            </w:tcBorders>
            <w:noWrap w:val="0"/>
            <w:vAlign w:val="center"/>
          </w:tcPr>
          <w:p w14:paraId="4104D380">
            <w:pPr>
              <w:keepNext w:val="0"/>
              <w:keepLines w:val="0"/>
              <w:suppressLineNumbers w:val="0"/>
              <w:spacing w:before="0" w:beforeAutospacing="0" w:after="0" w:afterAutospacing="0" w:line="240" w:lineRule="auto"/>
              <w:ind w:left="0" w:right="0"/>
              <w:rPr>
                <w:rFonts w:hint="eastAsia" w:ascii="宋体" w:hAnsi="宋体" w:eastAsia="宋体" w:cs="宋体"/>
                <w:color w:val="auto"/>
                <w:sz w:val="22"/>
                <w:szCs w:val="28"/>
                <w:highlight w:val="none"/>
              </w:rPr>
            </w:pPr>
          </w:p>
        </w:tc>
        <w:tc>
          <w:tcPr>
            <w:tcW w:w="11002" w:type="dxa"/>
            <w:tcBorders>
              <w:tl2br w:val="nil"/>
              <w:tr2bl w:val="nil"/>
            </w:tcBorders>
            <w:noWrap w:val="0"/>
            <w:vAlign w:val="center"/>
          </w:tcPr>
          <w:p w14:paraId="29F6C461">
            <w:pPr>
              <w:keepNext w:val="0"/>
              <w:keepLines w:val="0"/>
              <w:suppressLineNumbers w:val="0"/>
              <w:spacing w:before="0" w:beforeAutospacing="0" w:after="0" w:afterAutospacing="0" w:line="240" w:lineRule="auto"/>
              <w:ind w:left="0" w:right="0"/>
              <w:rPr>
                <w:rFonts w:hint="eastAsia" w:ascii="宋体" w:hAnsi="宋体" w:eastAsia="宋体" w:cs="宋体"/>
                <w:color w:val="auto"/>
                <w:sz w:val="22"/>
                <w:szCs w:val="28"/>
                <w:highlight w:val="none"/>
              </w:rPr>
            </w:pPr>
            <w:r>
              <w:rPr>
                <w:rFonts w:hint="eastAsia" w:ascii="宋体" w:hAnsi="宋体" w:eastAsia="宋体" w:cs="宋体"/>
                <w:color w:val="auto"/>
                <w:sz w:val="22"/>
                <w:szCs w:val="28"/>
                <w:highlight w:val="none"/>
                <w:lang w:val="en-US" w:eastAsia="zh-CN"/>
              </w:rPr>
              <w:t>我单位不存在与其他投标供应商相互约定给予未中标供应商利益补偿的“串通投标”违法行为。</w:t>
            </w:r>
          </w:p>
        </w:tc>
        <w:tc>
          <w:tcPr>
            <w:tcW w:w="692" w:type="dxa"/>
            <w:tcBorders>
              <w:tl2br w:val="nil"/>
              <w:tr2bl w:val="nil"/>
            </w:tcBorders>
            <w:noWrap/>
            <w:vAlign w:val="center"/>
          </w:tcPr>
          <w:p w14:paraId="420A642D">
            <w:pPr>
              <w:keepNext w:val="0"/>
              <w:keepLines w:val="0"/>
              <w:suppressLineNumbers w:val="0"/>
              <w:spacing w:before="0" w:beforeAutospacing="0" w:after="0" w:afterAutospacing="0" w:line="240" w:lineRule="auto"/>
              <w:ind w:left="0" w:right="0"/>
              <w:rPr>
                <w:rFonts w:hint="eastAsia" w:ascii="宋体" w:hAnsi="宋体" w:eastAsia="宋体" w:cs="宋体"/>
                <w:color w:val="auto"/>
                <w:sz w:val="22"/>
                <w:szCs w:val="28"/>
                <w:highlight w:val="none"/>
              </w:rPr>
            </w:pPr>
            <w:r>
              <w:rPr>
                <w:rFonts w:hint="eastAsia" w:ascii="宋体" w:hAnsi="宋体" w:cs="宋体"/>
                <w:color w:val="auto"/>
                <w:sz w:val="22"/>
                <w:szCs w:val="28"/>
                <w:highlight w:val="none"/>
                <w:lang w:val="en-US" w:eastAsia="zh-CN"/>
              </w:rPr>
              <w:t>□</w:t>
            </w:r>
            <w:r>
              <w:rPr>
                <w:rFonts w:hint="eastAsia" w:ascii="宋体" w:hAnsi="宋体" w:eastAsia="宋体" w:cs="宋体"/>
                <w:color w:val="auto"/>
                <w:sz w:val="22"/>
                <w:szCs w:val="28"/>
                <w:highlight w:val="none"/>
                <w:lang w:val="en-US" w:eastAsia="zh-CN"/>
              </w:rPr>
              <w:t>是</w:t>
            </w:r>
          </w:p>
        </w:tc>
        <w:tc>
          <w:tcPr>
            <w:tcW w:w="693" w:type="dxa"/>
            <w:tcBorders>
              <w:tl2br w:val="nil"/>
              <w:tr2bl w:val="nil"/>
            </w:tcBorders>
            <w:noWrap/>
            <w:vAlign w:val="center"/>
          </w:tcPr>
          <w:p w14:paraId="1DCFB6C8">
            <w:pPr>
              <w:keepNext w:val="0"/>
              <w:keepLines w:val="0"/>
              <w:suppressLineNumbers w:val="0"/>
              <w:spacing w:before="0" w:beforeAutospacing="0" w:after="0" w:afterAutospacing="0" w:line="240" w:lineRule="auto"/>
              <w:ind w:left="0" w:right="0"/>
              <w:rPr>
                <w:rFonts w:hint="eastAsia" w:ascii="宋体" w:hAnsi="宋体" w:eastAsia="宋体" w:cs="宋体"/>
                <w:color w:val="auto"/>
                <w:sz w:val="22"/>
                <w:szCs w:val="28"/>
                <w:highlight w:val="none"/>
              </w:rPr>
            </w:pPr>
            <w:r>
              <w:rPr>
                <w:rFonts w:hint="eastAsia" w:ascii="宋体" w:hAnsi="宋体" w:cs="宋体"/>
                <w:color w:val="auto"/>
                <w:sz w:val="22"/>
                <w:szCs w:val="28"/>
                <w:highlight w:val="none"/>
                <w:lang w:val="en-US" w:eastAsia="zh-CN"/>
              </w:rPr>
              <w:t>□</w:t>
            </w:r>
            <w:r>
              <w:rPr>
                <w:rFonts w:hint="eastAsia" w:ascii="宋体" w:hAnsi="宋体" w:eastAsia="宋体" w:cs="宋体"/>
                <w:color w:val="auto"/>
                <w:sz w:val="22"/>
                <w:szCs w:val="28"/>
                <w:highlight w:val="none"/>
                <w:lang w:eastAsia="zh-CN"/>
              </w:rPr>
              <w:t>否</w:t>
            </w:r>
          </w:p>
        </w:tc>
      </w:tr>
      <w:tr w14:paraId="06DD08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660" w:type="dxa"/>
            <w:tcBorders>
              <w:tl2br w:val="nil"/>
              <w:tr2bl w:val="nil"/>
            </w:tcBorders>
            <w:noWrap/>
            <w:vAlign w:val="center"/>
          </w:tcPr>
          <w:p w14:paraId="26BCFE4B">
            <w:pPr>
              <w:keepNext w:val="0"/>
              <w:keepLines w:val="0"/>
              <w:suppressLineNumbers w:val="0"/>
              <w:spacing w:before="0" w:beforeAutospacing="0" w:after="0" w:afterAutospacing="0" w:line="240" w:lineRule="auto"/>
              <w:ind w:left="0" w:right="0"/>
              <w:jc w:val="center"/>
              <w:rPr>
                <w:rFonts w:hint="eastAsia" w:ascii="宋体" w:hAnsi="宋体" w:eastAsia="宋体" w:cs="宋体"/>
                <w:color w:val="auto"/>
                <w:sz w:val="22"/>
                <w:szCs w:val="28"/>
                <w:highlight w:val="none"/>
              </w:rPr>
            </w:pPr>
            <w:r>
              <w:rPr>
                <w:rFonts w:hint="eastAsia" w:ascii="宋体" w:hAnsi="宋体" w:eastAsia="宋体" w:cs="宋体"/>
                <w:color w:val="auto"/>
                <w:sz w:val="22"/>
                <w:szCs w:val="28"/>
                <w:highlight w:val="none"/>
                <w:lang w:val="en-US" w:eastAsia="zh-CN"/>
              </w:rPr>
              <w:t>7</w:t>
            </w:r>
          </w:p>
        </w:tc>
        <w:tc>
          <w:tcPr>
            <w:tcW w:w="744" w:type="dxa"/>
            <w:vMerge w:val="restart"/>
            <w:tcBorders>
              <w:tl2br w:val="nil"/>
              <w:tr2bl w:val="nil"/>
            </w:tcBorders>
            <w:noWrap w:val="0"/>
            <w:vAlign w:val="center"/>
          </w:tcPr>
          <w:p w14:paraId="220FF6C1">
            <w:pPr>
              <w:keepNext w:val="0"/>
              <w:keepLines w:val="0"/>
              <w:suppressLineNumbers w:val="0"/>
              <w:spacing w:before="0" w:beforeAutospacing="0" w:after="0" w:afterAutospacing="0" w:line="240" w:lineRule="auto"/>
              <w:ind w:left="0" w:right="0"/>
              <w:jc w:val="center"/>
              <w:rPr>
                <w:rFonts w:hint="eastAsia" w:ascii="宋体" w:hAnsi="宋体" w:eastAsia="宋体" w:cs="宋体"/>
                <w:color w:val="auto"/>
                <w:sz w:val="22"/>
                <w:szCs w:val="28"/>
                <w:highlight w:val="none"/>
              </w:rPr>
            </w:pPr>
            <w:r>
              <w:rPr>
                <w:rFonts w:hint="eastAsia" w:ascii="宋体" w:hAnsi="宋体" w:eastAsia="宋体" w:cs="宋体"/>
                <w:color w:val="auto"/>
                <w:sz w:val="22"/>
                <w:szCs w:val="28"/>
                <w:highlight w:val="none"/>
                <w:lang w:val="en-US" w:eastAsia="zh-CN"/>
              </w:rPr>
              <w:t>虚假材料</w:t>
            </w:r>
          </w:p>
        </w:tc>
        <w:tc>
          <w:tcPr>
            <w:tcW w:w="11002" w:type="dxa"/>
            <w:tcBorders>
              <w:tl2br w:val="nil"/>
              <w:tr2bl w:val="nil"/>
            </w:tcBorders>
            <w:noWrap w:val="0"/>
            <w:vAlign w:val="center"/>
          </w:tcPr>
          <w:p w14:paraId="3F3353E7">
            <w:pPr>
              <w:keepNext w:val="0"/>
              <w:keepLines w:val="0"/>
              <w:suppressLineNumbers w:val="0"/>
              <w:spacing w:before="0" w:beforeAutospacing="0" w:after="0" w:afterAutospacing="0" w:line="240" w:lineRule="auto"/>
              <w:ind w:left="0" w:right="0"/>
              <w:rPr>
                <w:rFonts w:hint="eastAsia" w:ascii="宋体" w:hAnsi="宋体" w:eastAsia="宋体" w:cs="宋体"/>
                <w:color w:val="auto"/>
                <w:sz w:val="22"/>
                <w:szCs w:val="28"/>
                <w:highlight w:val="none"/>
              </w:rPr>
            </w:pPr>
            <w:r>
              <w:rPr>
                <w:rFonts w:hint="eastAsia" w:ascii="宋体" w:hAnsi="宋体" w:eastAsia="宋体" w:cs="宋体"/>
                <w:color w:val="auto"/>
                <w:sz w:val="22"/>
                <w:szCs w:val="28"/>
                <w:highlight w:val="none"/>
                <w:lang w:val="en-US" w:eastAsia="zh-CN"/>
              </w:rPr>
              <w:t>我单位已认真核查了投标文件的全部内容，</w:t>
            </w:r>
            <w:r>
              <w:rPr>
                <w:rFonts w:hint="eastAsia" w:ascii="宋体" w:hAnsi="宋体" w:eastAsia="宋体" w:cs="宋体"/>
                <w:b/>
                <w:bCs/>
                <w:color w:val="auto"/>
                <w:sz w:val="22"/>
                <w:szCs w:val="28"/>
                <w:highlight w:val="none"/>
                <w:lang w:val="en-US" w:eastAsia="zh-CN"/>
              </w:rPr>
              <w:t>所有资料（包括但不限于人员学历证书、职称证书、合同、履约验收材料或从其他单位取得的检验检测报告、证书、证明等材料）</w:t>
            </w:r>
            <w:r>
              <w:rPr>
                <w:rFonts w:hint="eastAsia" w:ascii="宋体" w:hAnsi="宋体" w:eastAsia="宋体" w:cs="宋体"/>
                <w:color w:val="auto"/>
                <w:sz w:val="22"/>
                <w:szCs w:val="28"/>
                <w:highlight w:val="none"/>
                <w:lang w:val="en-US" w:eastAsia="zh-CN"/>
              </w:rPr>
              <w:t>均为真实资料，</w:t>
            </w:r>
            <w:r>
              <w:rPr>
                <w:rFonts w:hint="eastAsia" w:ascii="宋体" w:hAnsi="宋体" w:eastAsia="宋体" w:cs="宋体"/>
                <w:color w:val="auto"/>
                <w:sz w:val="22"/>
                <w:szCs w:val="28"/>
                <w:highlight w:val="none"/>
                <w:shd w:val="clear" w:color="auto" w:fill="auto"/>
                <w:lang w:val="en-US" w:eastAsia="zh-CN"/>
              </w:rPr>
              <w:t>已</w:t>
            </w:r>
            <w:r>
              <w:rPr>
                <w:rFonts w:hint="eastAsia" w:ascii="宋体" w:hAnsi="宋体" w:eastAsia="宋体" w:cs="宋体"/>
                <w:b/>
                <w:bCs/>
                <w:color w:val="auto"/>
                <w:sz w:val="22"/>
                <w:szCs w:val="28"/>
                <w:highlight w:val="none"/>
                <w:shd w:val="clear" w:color="auto" w:fill="auto"/>
                <w:lang w:val="en-US" w:eastAsia="zh-CN"/>
              </w:rPr>
              <w:t>通过出具机构或全国认证认可信息公共服务平台（认e云平台）等官方渠道核实材料内容的真实性</w:t>
            </w:r>
            <w:r>
              <w:rPr>
                <w:rFonts w:hint="eastAsia" w:ascii="宋体" w:hAnsi="宋体" w:eastAsia="宋体" w:cs="宋体"/>
                <w:color w:val="auto"/>
                <w:sz w:val="22"/>
                <w:szCs w:val="28"/>
                <w:highlight w:val="none"/>
                <w:shd w:val="clear" w:color="auto" w:fill="auto"/>
                <w:lang w:val="en-US" w:eastAsia="zh-CN"/>
              </w:rPr>
              <w:t>。</w:t>
            </w:r>
            <w:r>
              <w:rPr>
                <w:rFonts w:hint="eastAsia" w:ascii="宋体" w:hAnsi="宋体" w:eastAsia="宋体" w:cs="宋体"/>
                <w:color w:val="auto"/>
                <w:sz w:val="22"/>
                <w:szCs w:val="28"/>
                <w:highlight w:val="none"/>
                <w:lang w:val="en-US" w:eastAsia="zh-CN"/>
              </w:rPr>
              <w:t>我单位对投标文件中全部投标资料的真实性负责。</w:t>
            </w:r>
          </w:p>
        </w:tc>
        <w:tc>
          <w:tcPr>
            <w:tcW w:w="692" w:type="dxa"/>
            <w:tcBorders>
              <w:tl2br w:val="nil"/>
              <w:tr2bl w:val="nil"/>
            </w:tcBorders>
            <w:noWrap/>
            <w:vAlign w:val="center"/>
          </w:tcPr>
          <w:p w14:paraId="7363C632">
            <w:pPr>
              <w:keepNext w:val="0"/>
              <w:keepLines w:val="0"/>
              <w:suppressLineNumbers w:val="0"/>
              <w:spacing w:before="0" w:beforeAutospacing="0" w:after="0" w:afterAutospacing="0" w:line="240" w:lineRule="auto"/>
              <w:ind w:left="0" w:right="0"/>
              <w:rPr>
                <w:rFonts w:hint="eastAsia" w:ascii="宋体" w:hAnsi="宋体" w:eastAsia="宋体" w:cs="宋体"/>
                <w:color w:val="auto"/>
                <w:sz w:val="22"/>
                <w:szCs w:val="28"/>
                <w:highlight w:val="none"/>
              </w:rPr>
            </w:pPr>
            <w:r>
              <w:rPr>
                <w:rFonts w:hint="eastAsia" w:ascii="宋体" w:hAnsi="宋体" w:cs="宋体"/>
                <w:color w:val="auto"/>
                <w:sz w:val="22"/>
                <w:szCs w:val="28"/>
                <w:highlight w:val="none"/>
                <w:lang w:val="en-US" w:eastAsia="zh-CN"/>
              </w:rPr>
              <w:t>□</w:t>
            </w:r>
            <w:r>
              <w:rPr>
                <w:rFonts w:hint="eastAsia" w:ascii="宋体" w:hAnsi="宋体" w:eastAsia="宋体" w:cs="宋体"/>
                <w:color w:val="auto"/>
                <w:sz w:val="22"/>
                <w:szCs w:val="28"/>
                <w:highlight w:val="none"/>
                <w:lang w:val="en-US" w:eastAsia="zh-CN"/>
              </w:rPr>
              <w:t>是</w:t>
            </w:r>
          </w:p>
        </w:tc>
        <w:tc>
          <w:tcPr>
            <w:tcW w:w="693" w:type="dxa"/>
            <w:tcBorders>
              <w:tl2br w:val="nil"/>
              <w:tr2bl w:val="nil"/>
            </w:tcBorders>
            <w:noWrap/>
            <w:vAlign w:val="center"/>
          </w:tcPr>
          <w:p w14:paraId="148C0408">
            <w:pPr>
              <w:keepNext w:val="0"/>
              <w:keepLines w:val="0"/>
              <w:suppressLineNumbers w:val="0"/>
              <w:spacing w:before="0" w:beforeAutospacing="0" w:after="0" w:afterAutospacing="0" w:line="240" w:lineRule="auto"/>
              <w:ind w:left="0" w:right="0"/>
              <w:rPr>
                <w:rFonts w:hint="eastAsia" w:ascii="宋体" w:hAnsi="宋体" w:eastAsia="宋体" w:cs="宋体"/>
                <w:color w:val="auto"/>
                <w:sz w:val="22"/>
                <w:szCs w:val="28"/>
                <w:highlight w:val="none"/>
              </w:rPr>
            </w:pPr>
            <w:r>
              <w:rPr>
                <w:rFonts w:hint="eastAsia" w:ascii="宋体" w:hAnsi="宋体" w:cs="宋体"/>
                <w:color w:val="auto"/>
                <w:sz w:val="22"/>
                <w:szCs w:val="28"/>
                <w:highlight w:val="none"/>
                <w:lang w:val="en-US" w:eastAsia="zh-CN"/>
              </w:rPr>
              <w:t>□</w:t>
            </w:r>
            <w:r>
              <w:rPr>
                <w:rFonts w:hint="eastAsia" w:ascii="宋体" w:hAnsi="宋体" w:eastAsia="宋体" w:cs="宋体"/>
                <w:color w:val="auto"/>
                <w:sz w:val="22"/>
                <w:szCs w:val="28"/>
                <w:highlight w:val="none"/>
                <w:lang w:eastAsia="zh-CN"/>
              </w:rPr>
              <w:t>否</w:t>
            </w:r>
          </w:p>
        </w:tc>
      </w:tr>
      <w:tr w14:paraId="1EB5B9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660" w:type="dxa"/>
            <w:tcBorders>
              <w:tl2br w:val="nil"/>
              <w:tr2bl w:val="nil"/>
            </w:tcBorders>
            <w:noWrap/>
            <w:vAlign w:val="center"/>
          </w:tcPr>
          <w:p w14:paraId="533E4D51">
            <w:pPr>
              <w:keepNext w:val="0"/>
              <w:keepLines w:val="0"/>
              <w:suppressLineNumbers w:val="0"/>
              <w:spacing w:before="0" w:beforeAutospacing="0" w:after="0" w:afterAutospacing="0" w:line="240" w:lineRule="auto"/>
              <w:ind w:left="0" w:right="0"/>
              <w:jc w:val="center"/>
              <w:rPr>
                <w:rFonts w:hint="eastAsia" w:ascii="宋体" w:hAnsi="宋体" w:eastAsia="宋体" w:cs="宋体"/>
                <w:color w:val="auto"/>
                <w:sz w:val="22"/>
                <w:szCs w:val="28"/>
                <w:highlight w:val="none"/>
              </w:rPr>
            </w:pPr>
            <w:r>
              <w:rPr>
                <w:rFonts w:hint="eastAsia" w:ascii="宋体" w:hAnsi="宋体" w:eastAsia="宋体" w:cs="宋体"/>
                <w:color w:val="auto"/>
                <w:sz w:val="22"/>
                <w:szCs w:val="28"/>
                <w:highlight w:val="none"/>
                <w:lang w:val="en-US" w:eastAsia="zh-CN"/>
              </w:rPr>
              <w:t>8</w:t>
            </w:r>
          </w:p>
        </w:tc>
        <w:tc>
          <w:tcPr>
            <w:tcW w:w="744" w:type="dxa"/>
            <w:vMerge w:val="continue"/>
            <w:tcBorders>
              <w:tl2br w:val="nil"/>
              <w:tr2bl w:val="nil"/>
            </w:tcBorders>
            <w:noWrap w:val="0"/>
            <w:vAlign w:val="center"/>
          </w:tcPr>
          <w:p w14:paraId="5FA2B271">
            <w:pPr>
              <w:keepNext w:val="0"/>
              <w:keepLines w:val="0"/>
              <w:suppressLineNumbers w:val="0"/>
              <w:spacing w:before="0" w:beforeAutospacing="0" w:after="0" w:afterAutospacing="0" w:line="240" w:lineRule="auto"/>
              <w:ind w:left="0" w:right="0"/>
              <w:rPr>
                <w:rFonts w:hint="eastAsia" w:ascii="宋体" w:hAnsi="宋体" w:eastAsia="宋体" w:cs="宋体"/>
                <w:color w:val="auto"/>
                <w:sz w:val="22"/>
                <w:szCs w:val="28"/>
                <w:highlight w:val="none"/>
              </w:rPr>
            </w:pPr>
          </w:p>
        </w:tc>
        <w:tc>
          <w:tcPr>
            <w:tcW w:w="11002" w:type="dxa"/>
            <w:tcBorders>
              <w:tl2br w:val="nil"/>
              <w:tr2bl w:val="nil"/>
            </w:tcBorders>
            <w:noWrap w:val="0"/>
            <w:vAlign w:val="center"/>
          </w:tcPr>
          <w:p w14:paraId="771B746D">
            <w:pPr>
              <w:keepNext w:val="0"/>
              <w:keepLines w:val="0"/>
              <w:suppressLineNumbers w:val="0"/>
              <w:spacing w:before="0" w:beforeAutospacing="0" w:after="0" w:afterAutospacing="0" w:line="240" w:lineRule="auto"/>
              <w:ind w:left="0" w:right="0"/>
              <w:rPr>
                <w:rFonts w:hint="eastAsia" w:ascii="宋体" w:hAnsi="宋体" w:eastAsia="宋体" w:cs="宋体"/>
                <w:color w:val="auto"/>
                <w:sz w:val="22"/>
                <w:szCs w:val="28"/>
                <w:highlight w:val="none"/>
              </w:rPr>
            </w:pPr>
            <w:r>
              <w:rPr>
                <w:rFonts w:hint="eastAsia" w:ascii="宋体" w:hAnsi="宋体" w:eastAsia="宋体" w:cs="宋体"/>
                <w:color w:val="auto"/>
                <w:sz w:val="22"/>
                <w:szCs w:val="28"/>
                <w:highlight w:val="none"/>
                <w:lang w:val="en-US" w:eastAsia="zh-CN"/>
              </w:rPr>
              <w:t>我单位不存在通过转让或者租借等方式从其他单位获取资格或者资质证书投标的“提供虚假资料”违法行为。</w:t>
            </w:r>
          </w:p>
        </w:tc>
        <w:tc>
          <w:tcPr>
            <w:tcW w:w="692" w:type="dxa"/>
            <w:tcBorders>
              <w:tl2br w:val="nil"/>
              <w:tr2bl w:val="nil"/>
            </w:tcBorders>
            <w:noWrap/>
            <w:vAlign w:val="center"/>
          </w:tcPr>
          <w:p w14:paraId="1D7CB14A">
            <w:pPr>
              <w:keepNext w:val="0"/>
              <w:keepLines w:val="0"/>
              <w:suppressLineNumbers w:val="0"/>
              <w:spacing w:before="0" w:beforeAutospacing="0" w:after="0" w:afterAutospacing="0" w:line="240" w:lineRule="auto"/>
              <w:ind w:left="0" w:right="0"/>
              <w:rPr>
                <w:rFonts w:hint="eastAsia" w:ascii="宋体" w:hAnsi="宋体" w:eastAsia="宋体" w:cs="宋体"/>
                <w:color w:val="auto"/>
                <w:sz w:val="22"/>
                <w:szCs w:val="28"/>
                <w:highlight w:val="none"/>
              </w:rPr>
            </w:pPr>
            <w:r>
              <w:rPr>
                <w:rFonts w:hint="eastAsia" w:ascii="宋体" w:hAnsi="宋体" w:cs="宋体"/>
                <w:color w:val="auto"/>
                <w:sz w:val="22"/>
                <w:szCs w:val="28"/>
                <w:highlight w:val="none"/>
                <w:lang w:val="en-US" w:eastAsia="zh-CN"/>
              </w:rPr>
              <w:t>□</w:t>
            </w:r>
            <w:r>
              <w:rPr>
                <w:rFonts w:hint="eastAsia" w:ascii="宋体" w:hAnsi="宋体" w:eastAsia="宋体" w:cs="宋体"/>
                <w:color w:val="auto"/>
                <w:sz w:val="22"/>
                <w:szCs w:val="28"/>
                <w:highlight w:val="none"/>
                <w:lang w:val="en-US" w:eastAsia="zh-CN"/>
              </w:rPr>
              <w:t>是</w:t>
            </w:r>
          </w:p>
        </w:tc>
        <w:tc>
          <w:tcPr>
            <w:tcW w:w="693" w:type="dxa"/>
            <w:tcBorders>
              <w:tl2br w:val="nil"/>
              <w:tr2bl w:val="nil"/>
            </w:tcBorders>
            <w:noWrap/>
            <w:vAlign w:val="center"/>
          </w:tcPr>
          <w:p w14:paraId="6AD2F004">
            <w:pPr>
              <w:keepNext w:val="0"/>
              <w:keepLines w:val="0"/>
              <w:suppressLineNumbers w:val="0"/>
              <w:spacing w:before="0" w:beforeAutospacing="0" w:after="0" w:afterAutospacing="0" w:line="240" w:lineRule="auto"/>
              <w:ind w:left="0" w:right="0"/>
              <w:rPr>
                <w:rFonts w:hint="eastAsia" w:ascii="宋体" w:hAnsi="宋体" w:eastAsia="宋体" w:cs="宋体"/>
                <w:color w:val="auto"/>
                <w:sz w:val="22"/>
                <w:szCs w:val="28"/>
                <w:highlight w:val="none"/>
              </w:rPr>
            </w:pPr>
            <w:r>
              <w:rPr>
                <w:rFonts w:hint="eastAsia" w:ascii="宋体" w:hAnsi="宋体" w:cs="宋体"/>
                <w:color w:val="auto"/>
                <w:sz w:val="22"/>
                <w:szCs w:val="28"/>
                <w:highlight w:val="none"/>
                <w:lang w:val="en-US" w:eastAsia="zh-CN"/>
              </w:rPr>
              <w:t>□</w:t>
            </w:r>
            <w:r>
              <w:rPr>
                <w:rFonts w:hint="eastAsia" w:ascii="宋体" w:hAnsi="宋体" w:eastAsia="宋体" w:cs="宋体"/>
                <w:color w:val="auto"/>
                <w:sz w:val="22"/>
                <w:szCs w:val="28"/>
                <w:highlight w:val="none"/>
                <w:lang w:eastAsia="zh-CN"/>
              </w:rPr>
              <w:t>否</w:t>
            </w:r>
          </w:p>
        </w:tc>
      </w:tr>
      <w:tr w14:paraId="546FC2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660" w:type="dxa"/>
            <w:tcBorders>
              <w:tl2br w:val="nil"/>
              <w:tr2bl w:val="nil"/>
            </w:tcBorders>
            <w:noWrap/>
            <w:vAlign w:val="center"/>
          </w:tcPr>
          <w:p w14:paraId="27891439">
            <w:pPr>
              <w:keepNext w:val="0"/>
              <w:keepLines w:val="0"/>
              <w:suppressLineNumbers w:val="0"/>
              <w:spacing w:before="0" w:beforeAutospacing="0" w:after="0" w:afterAutospacing="0" w:line="240" w:lineRule="auto"/>
              <w:ind w:left="0" w:right="0"/>
              <w:jc w:val="center"/>
              <w:rPr>
                <w:rFonts w:hint="eastAsia" w:ascii="宋体" w:hAnsi="宋体" w:eastAsia="宋体" w:cs="宋体"/>
                <w:color w:val="auto"/>
                <w:sz w:val="22"/>
                <w:szCs w:val="28"/>
                <w:highlight w:val="none"/>
                <w:lang w:val="en-US"/>
              </w:rPr>
            </w:pPr>
            <w:r>
              <w:rPr>
                <w:rFonts w:hint="eastAsia" w:ascii="宋体" w:hAnsi="宋体" w:eastAsia="宋体" w:cs="宋体"/>
                <w:color w:val="auto"/>
                <w:sz w:val="22"/>
                <w:szCs w:val="28"/>
                <w:highlight w:val="none"/>
                <w:lang w:val="en-US" w:eastAsia="zh-CN"/>
              </w:rPr>
              <w:t>9</w:t>
            </w:r>
          </w:p>
        </w:tc>
        <w:tc>
          <w:tcPr>
            <w:tcW w:w="744" w:type="dxa"/>
            <w:vMerge w:val="continue"/>
            <w:tcBorders>
              <w:tl2br w:val="nil"/>
              <w:tr2bl w:val="nil"/>
            </w:tcBorders>
            <w:noWrap w:val="0"/>
            <w:vAlign w:val="center"/>
          </w:tcPr>
          <w:p w14:paraId="36720B8A">
            <w:pPr>
              <w:keepNext w:val="0"/>
              <w:keepLines w:val="0"/>
              <w:suppressLineNumbers w:val="0"/>
              <w:spacing w:before="0" w:beforeAutospacing="0" w:after="0" w:afterAutospacing="0" w:line="240" w:lineRule="auto"/>
              <w:ind w:left="0" w:right="0"/>
              <w:rPr>
                <w:rFonts w:hint="eastAsia" w:ascii="宋体" w:hAnsi="宋体" w:eastAsia="宋体" w:cs="宋体"/>
                <w:color w:val="auto"/>
                <w:sz w:val="22"/>
                <w:szCs w:val="28"/>
                <w:highlight w:val="none"/>
              </w:rPr>
            </w:pPr>
          </w:p>
        </w:tc>
        <w:tc>
          <w:tcPr>
            <w:tcW w:w="11002" w:type="dxa"/>
            <w:tcBorders>
              <w:tl2br w:val="nil"/>
              <w:tr2bl w:val="nil"/>
            </w:tcBorders>
            <w:noWrap w:val="0"/>
            <w:vAlign w:val="center"/>
          </w:tcPr>
          <w:p w14:paraId="019CC44F">
            <w:pPr>
              <w:keepNext w:val="0"/>
              <w:keepLines w:val="0"/>
              <w:suppressLineNumbers w:val="0"/>
              <w:spacing w:before="0" w:beforeAutospacing="0" w:after="0" w:afterAutospacing="0" w:line="240" w:lineRule="auto"/>
              <w:ind w:left="0" w:right="0"/>
              <w:rPr>
                <w:rFonts w:hint="eastAsia" w:ascii="宋体" w:hAnsi="宋体" w:eastAsia="宋体" w:cs="宋体"/>
                <w:color w:val="auto"/>
                <w:sz w:val="22"/>
                <w:szCs w:val="28"/>
                <w:highlight w:val="none"/>
              </w:rPr>
            </w:pPr>
            <w:r>
              <w:rPr>
                <w:rFonts w:hint="eastAsia" w:ascii="宋体" w:hAnsi="宋体" w:eastAsia="宋体" w:cs="宋体"/>
                <w:color w:val="auto"/>
                <w:sz w:val="22"/>
                <w:szCs w:val="28"/>
                <w:highlight w:val="none"/>
                <w:lang w:val="en-US" w:eastAsia="zh-CN"/>
              </w:rPr>
              <w:t>我单位不存在由其他单位或者其他单位负责人在我单位投标文件上加盖印章或者签字的“提供虚假资料”违法行为。</w:t>
            </w:r>
          </w:p>
        </w:tc>
        <w:tc>
          <w:tcPr>
            <w:tcW w:w="692" w:type="dxa"/>
            <w:tcBorders>
              <w:tl2br w:val="nil"/>
              <w:tr2bl w:val="nil"/>
            </w:tcBorders>
            <w:noWrap/>
            <w:vAlign w:val="center"/>
          </w:tcPr>
          <w:p w14:paraId="2AD88F23">
            <w:pPr>
              <w:keepNext w:val="0"/>
              <w:keepLines w:val="0"/>
              <w:suppressLineNumbers w:val="0"/>
              <w:spacing w:before="0" w:beforeAutospacing="0" w:after="0" w:afterAutospacing="0" w:line="240" w:lineRule="auto"/>
              <w:ind w:left="0" w:right="0"/>
              <w:rPr>
                <w:rFonts w:hint="eastAsia" w:ascii="宋体" w:hAnsi="宋体" w:eastAsia="宋体" w:cs="宋体"/>
                <w:color w:val="auto"/>
                <w:sz w:val="22"/>
                <w:szCs w:val="28"/>
                <w:highlight w:val="none"/>
              </w:rPr>
            </w:pPr>
            <w:r>
              <w:rPr>
                <w:rFonts w:hint="eastAsia" w:ascii="宋体" w:hAnsi="宋体" w:cs="宋体"/>
                <w:color w:val="auto"/>
                <w:sz w:val="22"/>
                <w:szCs w:val="28"/>
                <w:highlight w:val="none"/>
                <w:lang w:val="en-US" w:eastAsia="zh-CN"/>
              </w:rPr>
              <w:t>□</w:t>
            </w:r>
            <w:r>
              <w:rPr>
                <w:rFonts w:hint="eastAsia" w:ascii="宋体" w:hAnsi="宋体" w:eastAsia="宋体" w:cs="宋体"/>
                <w:color w:val="auto"/>
                <w:sz w:val="22"/>
                <w:szCs w:val="28"/>
                <w:highlight w:val="none"/>
                <w:lang w:val="en-US" w:eastAsia="zh-CN"/>
              </w:rPr>
              <w:t>是</w:t>
            </w:r>
          </w:p>
        </w:tc>
        <w:tc>
          <w:tcPr>
            <w:tcW w:w="693" w:type="dxa"/>
            <w:tcBorders>
              <w:tl2br w:val="nil"/>
              <w:tr2bl w:val="nil"/>
            </w:tcBorders>
            <w:noWrap/>
            <w:vAlign w:val="center"/>
          </w:tcPr>
          <w:p w14:paraId="2550BC43">
            <w:pPr>
              <w:keepNext w:val="0"/>
              <w:keepLines w:val="0"/>
              <w:suppressLineNumbers w:val="0"/>
              <w:spacing w:before="0" w:beforeAutospacing="0" w:after="0" w:afterAutospacing="0" w:line="240" w:lineRule="auto"/>
              <w:ind w:left="0" w:right="0"/>
              <w:rPr>
                <w:rFonts w:hint="eastAsia" w:ascii="宋体" w:hAnsi="宋体" w:eastAsia="宋体" w:cs="宋体"/>
                <w:color w:val="auto"/>
                <w:sz w:val="22"/>
                <w:szCs w:val="28"/>
                <w:highlight w:val="none"/>
              </w:rPr>
            </w:pPr>
            <w:r>
              <w:rPr>
                <w:rFonts w:hint="eastAsia" w:ascii="宋体" w:hAnsi="宋体" w:cs="宋体"/>
                <w:color w:val="auto"/>
                <w:sz w:val="22"/>
                <w:szCs w:val="28"/>
                <w:highlight w:val="none"/>
                <w:lang w:val="en-US" w:eastAsia="zh-CN"/>
              </w:rPr>
              <w:t>□</w:t>
            </w:r>
            <w:r>
              <w:rPr>
                <w:rFonts w:hint="eastAsia" w:ascii="宋体" w:hAnsi="宋体" w:eastAsia="宋体" w:cs="宋体"/>
                <w:color w:val="auto"/>
                <w:sz w:val="22"/>
                <w:szCs w:val="28"/>
                <w:highlight w:val="none"/>
                <w:lang w:eastAsia="zh-CN"/>
              </w:rPr>
              <w:t>否</w:t>
            </w:r>
          </w:p>
        </w:tc>
      </w:tr>
      <w:tr w14:paraId="79530C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660" w:type="dxa"/>
            <w:tcBorders>
              <w:tl2br w:val="nil"/>
              <w:tr2bl w:val="nil"/>
            </w:tcBorders>
            <w:noWrap/>
            <w:vAlign w:val="center"/>
          </w:tcPr>
          <w:p w14:paraId="4DE35141">
            <w:pPr>
              <w:keepNext w:val="0"/>
              <w:keepLines w:val="0"/>
              <w:suppressLineNumbers w:val="0"/>
              <w:spacing w:before="0" w:beforeAutospacing="0" w:after="0" w:afterAutospacing="0" w:line="240" w:lineRule="auto"/>
              <w:ind w:left="0" w:right="0"/>
              <w:jc w:val="center"/>
              <w:rPr>
                <w:rFonts w:hint="eastAsia" w:ascii="宋体" w:hAnsi="宋体" w:eastAsia="宋体" w:cs="宋体"/>
                <w:color w:val="auto"/>
                <w:sz w:val="22"/>
                <w:szCs w:val="28"/>
                <w:highlight w:val="none"/>
                <w:lang w:val="en-US"/>
              </w:rPr>
            </w:pPr>
            <w:r>
              <w:rPr>
                <w:rFonts w:hint="eastAsia" w:ascii="宋体" w:hAnsi="宋体" w:eastAsia="宋体" w:cs="宋体"/>
                <w:color w:val="auto"/>
                <w:sz w:val="22"/>
                <w:szCs w:val="28"/>
                <w:highlight w:val="none"/>
                <w:lang w:val="en-US" w:eastAsia="zh-CN"/>
              </w:rPr>
              <w:t>10</w:t>
            </w:r>
          </w:p>
        </w:tc>
        <w:tc>
          <w:tcPr>
            <w:tcW w:w="744" w:type="dxa"/>
            <w:vMerge w:val="continue"/>
            <w:tcBorders>
              <w:tl2br w:val="nil"/>
              <w:tr2bl w:val="nil"/>
            </w:tcBorders>
            <w:noWrap w:val="0"/>
            <w:vAlign w:val="center"/>
          </w:tcPr>
          <w:p w14:paraId="2A968384">
            <w:pPr>
              <w:keepNext w:val="0"/>
              <w:keepLines w:val="0"/>
              <w:suppressLineNumbers w:val="0"/>
              <w:spacing w:before="0" w:beforeAutospacing="0" w:after="0" w:afterAutospacing="0" w:line="240" w:lineRule="auto"/>
              <w:ind w:left="0" w:right="0"/>
              <w:rPr>
                <w:rFonts w:hint="eastAsia" w:ascii="宋体" w:hAnsi="宋体" w:eastAsia="宋体" w:cs="宋体"/>
                <w:color w:val="auto"/>
                <w:sz w:val="22"/>
                <w:szCs w:val="28"/>
                <w:highlight w:val="none"/>
              </w:rPr>
            </w:pPr>
          </w:p>
        </w:tc>
        <w:tc>
          <w:tcPr>
            <w:tcW w:w="11002" w:type="dxa"/>
            <w:tcBorders>
              <w:tl2br w:val="nil"/>
              <w:tr2bl w:val="nil"/>
            </w:tcBorders>
            <w:noWrap w:val="0"/>
            <w:vAlign w:val="center"/>
          </w:tcPr>
          <w:p w14:paraId="6D6A9775">
            <w:pPr>
              <w:keepNext w:val="0"/>
              <w:keepLines w:val="0"/>
              <w:suppressLineNumbers w:val="0"/>
              <w:spacing w:before="0" w:beforeAutospacing="0" w:after="0" w:afterAutospacing="0" w:line="240" w:lineRule="auto"/>
              <w:ind w:left="0" w:right="0"/>
              <w:rPr>
                <w:rFonts w:hint="eastAsia" w:ascii="宋体" w:hAnsi="宋体" w:eastAsia="宋体" w:cs="宋体"/>
                <w:color w:val="auto"/>
                <w:sz w:val="22"/>
                <w:szCs w:val="28"/>
                <w:highlight w:val="none"/>
              </w:rPr>
            </w:pPr>
            <w:r>
              <w:rPr>
                <w:rFonts w:hint="eastAsia" w:ascii="宋体" w:hAnsi="宋体" w:eastAsia="宋体" w:cs="宋体"/>
                <w:color w:val="auto"/>
                <w:sz w:val="22"/>
                <w:szCs w:val="28"/>
                <w:highlight w:val="none"/>
                <w:lang w:val="en-US" w:eastAsia="zh-CN"/>
              </w:rPr>
              <w:t>我单位不存在项目负责人或者主要技术人员不是本单位人员的“提供虚假资料”违法行为。</w:t>
            </w:r>
          </w:p>
        </w:tc>
        <w:tc>
          <w:tcPr>
            <w:tcW w:w="692" w:type="dxa"/>
            <w:tcBorders>
              <w:tl2br w:val="nil"/>
              <w:tr2bl w:val="nil"/>
            </w:tcBorders>
            <w:noWrap/>
            <w:vAlign w:val="center"/>
          </w:tcPr>
          <w:p w14:paraId="65F60E18">
            <w:pPr>
              <w:keepNext w:val="0"/>
              <w:keepLines w:val="0"/>
              <w:suppressLineNumbers w:val="0"/>
              <w:spacing w:before="0" w:beforeAutospacing="0" w:after="0" w:afterAutospacing="0" w:line="240" w:lineRule="auto"/>
              <w:ind w:left="0" w:right="0"/>
              <w:rPr>
                <w:rFonts w:hint="eastAsia" w:ascii="宋体" w:hAnsi="宋体" w:eastAsia="宋体" w:cs="宋体"/>
                <w:color w:val="auto"/>
                <w:sz w:val="22"/>
                <w:szCs w:val="28"/>
                <w:highlight w:val="none"/>
              </w:rPr>
            </w:pPr>
            <w:r>
              <w:rPr>
                <w:rFonts w:hint="eastAsia" w:ascii="宋体" w:hAnsi="宋体" w:cs="宋体"/>
                <w:color w:val="auto"/>
                <w:sz w:val="22"/>
                <w:szCs w:val="28"/>
                <w:highlight w:val="none"/>
                <w:lang w:val="en-US" w:eastAsia="zh-CN"/>
              </w:rPr>
              <w:t>□</w:t>
            </w:r>
            <w:r>
              <w:rPr>
                <w:rFonts w:hint="eastAsia" w:ascii="宋体" w:hAnsi="宋体" w:eastAsia="宋体" w:cs="宋体"/>
                <w:color w:val="auto"/>
                <w:sz w:val="22"/>
                <w:szCs w:val="28"/>
                <w:highlight w:val="none"/>
                <w:lang w:val="en-US" w:eastAsia="zh-CN"/>
              </w:rPr>
              <w:t>是</w:t>
            </w:r>
          </w:p>
        </w:tc>
        <w:tc>
          <w:tcPr>
            <w:tcW w:w="693" w:type="dxa"/>
            <w:tcBorders>
              <w:tl2br w:val="nil"/>
              <w:tr2bl w:val="nil"/>
            </w:tcBorders>
            <w:noWrap/>
            <w:vAlign w:val="center"/>
          </w:tcPr>
          <w:p w14:paraId="4B168349">
            <w:pPr>
              <w:keepNext w:val="0"/>
              <w:keepLines w:val="0"/>
              <w:suppressLineNumbers w:val="0"/>
              <w:spacing w:before="0" w:beforeAutospacing="0" w:after="0" w:afterAutospacing="0" w:line="240" w:lineRule="auto"/>
              <w:ind w:left="0" w:right="0"/>
              <w:rPr>
                <w:rFonts w:hint="eastAsia" w:ascii="宋体" w:hAnsi="宋体" w:eastAsia="宋体" w:cs="宋体"/>
                <w:color w:val="auto"/>
                <w:sz w:val="22"/>
                <w:szCs w:val="28"/>
                <w:highlight w:val="none"/>
              </w:rPr>
            </w:pPr>
            <w:r>
              <w:rPr>
                <w:rFonts w:hint="eastAsia" w:ascii="宋体" w:hAnsi="宋体" w:cs="宋体"/>
                <w:color w:val="auto"/>
                <w:sz w:val="22"/>
                <w:szCs w:val="28"/>
                <w:highlight w:val="none"/>
                <w:lang w:val="en-US" w:eastAsia="zh-CN"/>
              </w:rPr>
              <w:t>□</w:t>
            </w:r>
            <w:r>
              <w:rPr>
                <w:rFonts w:hint="eastAsia" w:ascii="宋体" w:hAnsi="宋体" w:eastAsia="宋体" w:cs="宋体"/>
                <w:color w:val="auto"/>
                <w:sz w:val="22"/>
                <w:szCs w:val="28"/>
                <w:highlight w:val="none"/>
                <w:lang w:eastAsia="zh-CN"/>
              </w:rPr>
              <w:t>否</w:t>
            </w:r>
          </w:p>
        </w:tc>
      </w:tr>
      <w:tr w14:paraId="0B9FE5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660" w:type="dxa"/>
            <w:tcBorders>
              <w:tl2br w:val="nil"/>
              <w:tr2bl w:val="nil"/>
            </w:tcBorders>
            <w:noWrap/>
            <w:vAlign w:val="center"/>
          </w:tcPr>
          <w:p w14:paraId="1135B6DB">
            <w:pPr>
              <w:keepNext w:val="0"/>
              <w:keepLines w:val="0"/>
              <w:suppressLineNumbers w:val="0"/>
              <w:spacing w:before="0" w:beforeAutospacing="0" w:after="0" w:afterAutospacing="0" w:line="240" w:lineRule="auto"/>
              <w:ind w:left="0" w:right="0"/>
              <w:jc w:val="center"/>
              <w:rPr>
                <w:rFonts w:hint="eastAsia" w:ascii="宋体" w:hAnsi="宋体" w:eastAsia="宋体" w:cs="宋体"/>
                <w:color w:val="auto"/>
                <w:sz w:val="22"/>
                <w:szCs w:val="28"/>
                <w:highlight w:val="none"/>
                <w:lang w:val="en-US"/>
              </w:rPr>
            </w:pPr>
            <w:r>
              <w:rPr>
                <w:rFonts w:hint="eastAsia" w:ascii="宋体" w:hAnsi="宋体" w:eastAsia="宋体" w:cs="宋体"/>
                <w:color w:val="auto"/>
                <w:sz w:val="22"/>
                <w:szCs w:val="28"/>
                <w:highlight w:val="none"/>
                <w:lang w:val="en-US" w:eastAsia="zh-CN"/>
              </w:rPr>
              <w:t>11</w:t>
            </w:r>
          </w:p>
        </w:tc>
        <w:tc>
          <w:tcPr>
            <w:tcW w:w="744" w:type="dxa"/>
            <w:vMerge w:val="continue"/>
            <w:tcBorders>
              <w:tl2br w:val="nil"/>
              <w:tr2bl w:val="nil"/>
            </w:tcBorders>
            <w:noWrap w:val="0"/>
            <w:vAlign w:val="center"/>
          </w:tcPr>
          <w:p w14:paraId="1B33D2FE">
            <w:pPr>
              <w:keepNext w:val="0"/>
              <w:keepLines w:val="0"/>
              <w:suppressLineNumbers w:val="0"/>
              <w:spacing w:before="0" w:beforeAutospacing="0" w:after="0" w:afterAutospacing="0" w:line="240" w:lineRule="auto"/>
              <w:ind w:left="0" w:right="0"/>
              <w:rPr>
                <w:rFonts w:hint="eastAsia" w:ascii="宋体" w:hAnsi="宋体" w:eastAsia="宋体" w:cs="宋体"/>
                <w:color w:val="auto"/>
                <w:sz w:val="22"/>
                <w:szCs w:val="28"/>
                <w:highlight w:val="none"/>
              </w:rPr>
            </w:pPr>
          </w:p>
        </w:tc>
        <w:tc>
          <w:tcPr>
            <w:tcW w:w="11002" w:type="dxa"/>
            <w:tcBorders>
              <w:tl2br w:val="nil"/>
              <w:tr2bl w:val="nil"/>
            </w:tcBorders>
            <w:noWrap w:val="0"/>
            <w:vAlign w:val="center"/>
          </w:tcPr>
          <w:p w14:paraId="1FD23307">
            <w:pPr>
              <w:keepNext w:val="0"/>
              <w:keepLines w:val="0"/>
              <w:suppressLineNumbers w:val="0"/>
              <w:spacing w:before="0" w:beforeAutospacing="0" w:after="0" w:afterAutospacing="0" w:line="240" w:lineRule="auto"/>
              <w:ind w:left="0" w:right="0"/>
              <w:rPr>
                <w:rFonts w:hint="eastAsia" w:ascii="宋体" w:hAnsi="宋体" w:eastAsia="宋体" w:cs="宋体"/>
                <w:color w:val="auto"/>
                <w:sz w:val="22"/>
                <w:szCs w:val="28"/>
                <w:highlight w:val="none"/>
              </w:rPr>
            </w:pPr>
            <w:r>
              <w:rPr>
                <w:rFonts w:hint="eastAsia" w:ascii="宋体" w:hAnsi="宋体" w:eastAsia="宋体" w:cs="宋体"/>
                <w:color w:val="auto"/>
                <w:sz w:val="22"/>
                <w:szCs w:val="28"/>
                <w:highlight w:val="none"/>
                <w:lang w:val="en-US" w:eastAsia="zh-CN"/>
              </w:rPr>
              <w:t>我单位不存在投标保证金（根据采购文件要求提交）不是从我单位基本账户转出的“提供虚假资料”违法行为。</w:t>
            </w:r>
          </w:p>
        </w:tc>
        <w:tc>
          <w:tcPr>
            <w:tcW w:w="692" w:type="dxa"/>
            <w:tcBorders>
              <w:tl2br w:val="nil"/>
              <w:tr2bl w:val="nil"/>
            </w:tcBorders>
            <w:noWrap/>
            <w:vAlign w:val="center"/>
          </w:tcPr>
          <w:p w14:paraId="672F8122">
            <w:pPr>
              <w:keepNext w:val="0"/>
              <w:keepLines w:val="0"/>
              <w:suppressLineNumbers w:val="0"/>
              <w:spacing w:before="0" w:beforeAutospacing="0" w:after="0" w:afterAutospacing="0" w:line="240" w:lineRule="auto"/>
              <w:ind w:left="0" w:right="0"/>
              <w:rPr>
                <w:rFonts w:hint="eastAsia" w:ascii="宋体" w:hAnsi="宋体" w:eastAsia="宋体" w:cs="宋体"/>
                <w:color w:val="auto"/>
                <w:sz w:val="22"/>
                <w:szCs w:val="28"/>
                <w:highlight w:val="none"/>
              </w:rPr>
            </w:pPr>
            <w:r>
              <w:rPr>
                <w:rFonts w:hint="eastAsia" w:ascii="宋体" w:hAnsi="宋体" w:cs="宋体"/>
                <w:color w:val="auto"/>
                <w:sz w:val="22"/>
                <w:szCs w:val="28"/>
                <w:highlight w:val="none"/>
                <w:lang w:val="en-US" w:eastAsia="zh-CN"/>
              </w:rPr>
              <w:t>□</w:t>
            </w:r>
            <w:r>
              <w:rPr>
                <w:rFonts w:hint="eastAsia" w:ascii="宋体" w:hAnsi="宋体" w:eastAsia="宋体" w:cs="宋体"/>
                <w:color w:val="auto"/>
                <w:sz w:val="22"/>
                <w:szCs w:val="28"/>
                <w:highlight w:val="none"/>
                <w:lang w:val="en-US" w:eastAsia="zh-CN"/>
              </w:rPr>
              <w:t>是</w:t>
            </w:r>
          </w:p>
        </w:tc>
        <w:tc>
          <w:tcPr>
            <w:tcW w:w="693" w:type="dxa"/>
            <w:tcBorders>
              <w:tl2br w:val="nil"/>
              <w:tr2bl w:val="nil"/>
            </w:tcBorders>
            <w:noWrap/>
            <w:vAlign w:val="center"/>
          </w:tcPr>
          <w:p w14:paraId="691C8B37">
            <w:pPr>
              <w:keepNext w:val="0"/>
              <w:keepLines w:val="0"/>
              <w:suppressLineNumbers w:val="0"/>
              <w:spacing w:before="0" w:beforeAutospacing="0" w:after="0" w:afterAutospacing="0" w:line="240" w:lineRule="auto"/>
              <w:ind w:left="0" w:right="0"/>
              <w:rPr>
                <w:rFonts w:hint="eastAsia" w:ascii="宋体" w:hAnsi="宋体" w:eastAsia="宋体" w:cs="宋体"/>
                <w:color w:val="auto"/>
                <w:sz w:val="22"/>
                <w:szCs w:val="28"/>
                <w:highlight w:val="none"/>
              </w:rPr>
            </w:pPr>
            <w:r>
              <w:rPr>
                <w:rFonts w:hint="eastAsia" w:ascii="宋体" w:hAnsi="宋体" w:cs="宋体"/>
                <w:color w:val="auto"/>
                <w:sz w:val="22"/>
                <w:szCs w:val="28"/>
                <w:highlight w:val="none"/>
                <w:lang w:val="en-US" w:eastAsia="zh-CN"/>
              </w:rPr>
              <w:t>□</w:t>
            </w:r>
            <w:r>
              <w:rPr>
                <w:rFonts w:hint="eastAsia" w:ascii="宋体" w:hAnsi="宋体" w:eastAsia="宋体" w:cs="宋体"/>
                <w:color w:val="auto"/>
                <w:sz w:val="22"/>
                <w:szCs w:val="28"/>
                <w:highlight w:val="none"/>
                <w:lang w:eastAsia="zh-CN"/>
              </w:rPr>
              <w:t>否</w:t>
            </w:r>
          </w:p>
        </w:tc>
      </w:tr>
      <w:tr w14:paraId="7A31CD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660" w:type="dxa"/>
            <w:tcBorders>
              <w:tl2br w:val="nil"/>
              <w:tr2bl w:val="nil"/>
            </w:tcBorders>
            <w:noWrap/>
            <w:vAlign w:val="center"/>
          </w:tcPr>
          <w:p w14:paraId="5866316E">
            <w:pPr>
              <w:keepNext w:val="0"/>
              <w:keepLines w:val="0"/>
              <w:suppressLineNumbers w:val="0"/>
              <w:spacing w:before="0" w:beforeAutospacing="0" w:after="0" w:afterAutospacing="0" w:line="240" w:lineRule="auto"/>
              <w:ind w:left="0" w:right="0"/>
              <w:jc w:val="center"/>
              <w:rPr>
                <w:rFonts w:hint="eastAsia" w:ascii="宋体" w:hAnsi="宋体" w:eastAsia="宋体" w:cs="宋体"/>
                <w:color w:val="auto"/>
                <w:sz w:val="22"/>
                <w:szCs w:val="28"/>
                <w:highlight w:val="none"/>
                <w:lang w:val="en-US"/>
              </w:rPr>
            </w:pPr>
            <w:r>
              <w:rPr>
                <w:rFonts w:hint="eastAsia" w:ascii="宋体" w:hAnsi="宋体" w:eastAsia="宋体" w:cs="宋体"/>
                <w:color w:val="auto"/>
                <w:sz w:val="22"/>
                <w:szCs w:val="28"/>
                <w:highlight w:val="none"/>
                <w:lang w:val="en-US" w:eastAsia="zh-CN"/>
              </w:rPr>
              <w:t>12</w:t>
            </w:r>
          </w:p>
        </w:tc>
        <w:tc>
          <w:tcPr>
            <w:tcW w:w="744" w:type="dxa"/>
            <w:vMerge w:val="restart"/>
            <w:tcBorders>
              <w:tl2br w:val="nil"/>
              <w:tr2bl w:val="nil"/>
            </w:tcBorders>
            <w:noWrap w:val="0"/>
            <w:vAlign w:val="center"/>
          </w:tcPr>
          <w:p w14:paraId="615C333E">
            <w:pPr>
              <w:keepNext w:val="0"/>
              <w:keepLines w:val="0"/>
              <w:suppressLineNumbers w:val="0"/>
              <w:spacing w:before="0" w:beforeAutospacing="0" w:after="0" w:afterAutospacing="0" w:line="240" w:lineRule="auto"/>
              <w:ind w:left="0" w:right="0"/>
              <w:jc w:val="center"/>
              <w:rPr>
                <w:rFonts w:hint="eastAsia" w:ascii="宋体" w:hAnsi="宋体" w:eastAsia="宋体" w:cs="宋体"/>
                <w:color w:val="auto"/>
                <w:sz w:val="22"/>
                <w:szCs w:val="28"/>
                <w:highlight w:val="none"/>
              </w:rPr>
            </w:pPr>
            <w:r>
              <w:rPr>
                <w:rFonts w:hint="eastAsia" w:ascii="宋体" w:hAnsi="宋体" w:eastAsia="宋体" w:cs="宋体"/>
                <w:color w:val="auto"/>
                <w:sz w:val="22"/>
                <w:szCs w:val="28"/>
                <w:highlight w:val="none"/>
                <w:lang w:val="en-US" w:eastAsia="zh-CN"/>
              </w:rPr>
              <w:t>关联关系及其他情形</w:t>
            </w:r>
          </w:p>
        </w:tc>
        <w:tc>
          <w:tcPr>
            <w:tcW w:w="11002" w:type="dxa"/>
            <w:tcBorders>
              <w:tl2br w:val="nil"/>
              <w:tr2bl w:val="nil"/>
            </w:tcBorders>
            <w:noWrap w:val="0"/>
            <w:vAlign w:val="center"/>
          </w:tcPr>
          <w:p w14:paraId="714141C1">
            <w:pPr>
              <w:keepNext w:val="0"/>
              <w:keepLines w:val="0"/>
              <w:suppressLineNumbers w:val="0"/>
              <w:spacing w:before="0" w:beforeAutospacing="0" w:after="0" w:afterAutospacing="0" w:line="240" w:lineRule="auto"/>
              <w:ind w:left="0" w:right="0"/>
              <w:rPr>
                <w:rFonts w:hint="eastAsia" w:ascii="宋体" w:hAnsi="宋体" w:eastAsia="宋体" w:cs="宋体"/>
                <w:color w:val="auto"/>
                <w:sz w:val="22"/>
                <w:szCs w:val="28"/>
                <w:highlight w:val="none"/>
              </w:rPr>
            </w:pPr>
            <w:r>
              <w:rPr>
                <w:rFonts w:hint="eastAsia" w:ascii="宋体" w:hAnsi="宋体" w:eastAsia="宋体" w:cs="宋体"/>
                <w:color w:val="auto"/>
                <w:sz w:val="22"/>
                <w:szCs w:val="28"/>
                <w:highlight w:val="none"/>
                <w:lang w:val="en-US" w:eastAsia="zh-CN"/>
              </w:rPr>
              <w:t>我单位严格管理本单位的电子秘钥及电子营业执照，不委托或出借给第三方（人）使用和管理。</w:t>
            </w:r>
          </w:p>
        </w:tc>
        <w:tc>
          <w:tcPr>
            <w:tcW w:w="692" w:type="dxa"/>
            <w:tcBorders>
              <w:tl2br w:val="nil"/>
              <w:tr2bl w:val="nil"/>
            </w:tcBorders>
            <w:noWrap/>
            <w:vAlign w:val="center"/>
          </w:tcPr>
          <w:p w14:paraId="57BE2267">
            <w:pPr>
              <w:keepNext w:val="0"/>
              <w:keepLines w:val="0"/>
              <w:suppressLineNumbers w:val="0"/>
              <w:spacing w:before="0" w:beforeAutospacing="0" w:after="0" w:afterAutospacing="0" w:line="240" w:lineRule="auto"/>
              <w:ind w:left="0" w:right="0"/>
              <w:rPr>
                <w:rFonts w:hint="eastAsia" w:ascii="宋体" w:hAnsi="宋体" w:eastAsia="宋体" w:cs="宋体"/>
                <w:color w:val="auto"/>
                <w:sz w:val="22"/>
                <w:szCs w:val="28"/>
                <w:highlight w:val="none"/>
              </w:rPr>
            </w:pPr>
            <w:r>
              <w:rPr>
                <w:rFonts w:hint="eastAsia" w:ascii="宋体" w:hAnsi="宋体" w:cs="宋体"/>
                <w:color w:val="auto"/>
                <w:sz w:val="22"/>
                <w:szCs w:val="28"/>
                <w:highlight w:val="none"/>
                <w:lang w:val="en-US" w:eastAsia="zh-CN"/>
              </w:rPr>
              <w:t>□</w:t>
            </w:r>
            <w:r>
              <w:rPr>
                <w:rFonts w:hint="eastAsia" w:ascii="宋体" w:hAnsi="宋体" w:eastAsia="宋体" w:cs="宋体"/>
                <w:color w:val="auto"/>
                <w:sz w:val="22"/>
                <w:szCs w:val="28"/>
                <w:highlight w:val="none"/>
                <w:lang w:val="en-US" w:eastAsia="zh-CN"/>
              </w:rPr>
              <w:t>是</w:t>
            </w:r>
          </w:p>
        </w:tc>
        <w:tc>
          <w:tcPr>
            <w:tcW w:w="693" w:type="dxa"/>
            <w:tcBorders>
              <w:tl2br w:val="nil"/>
              <w:tr2bl w:val="nil"/>
            </w:tcBorders>
            <w:noWrap/>
            <w:vAlign w:val="center"/>
          </w:tcPr>
          <w:p w14:paraId="745A77C3">
            <w:pPr>
              <w:keepNext w:val="0"/>
              <w:keepLines w:val="0"/>
              <w:suppressLineNumbers w:val="0"/>
              <w:spacing w:before="0" w:beforeAutospacing="0" w:after="0" w:afterAutospacing="0" w:line="240" w:lineRule="auto"/>
              <w:ind w:left="0" w:right="0"/>
              <w:rPr>
                <w:rFonts w:hint="eastAsia" w:ascii="宋体" w:hAnsi="宋体" w:eastAsia="宋体" w:cs="宋体"/>
                <w:color w:val="auto"/>
                <w:sz w:val="22"/>
                <w:szCs w:val="28"/>
                <w:highlight w:val="none"/>
              </w:rPr>
            </w:pPr>
            <w:r>
              <w:rPr>
                <w:rFonts w:hint="eastAsia" w:ascii="宋体" w:hAnsi="宋体" w:cs="宋体"/>
                <w:color w:val="auto"/>
                <w:sz w:val="22"/>
                <w:szCs w:val="28"/>
                <w:highlight w:val="none"/>
                <w:lang w:val="en-US" w:eastAsia="zh-CN"/>
              </w:rPr>
              <w:t>□</w:t>
            </w:r>
            <w:r>
              <w:rPr>
                <w:rFonts w:hint="eastAsia" w:ascii="宋体" w:hAnsi="宋体" w:eastAsia="宋体" w:cs="宋体"/>
                <w:color w:val="auto"/>
                <w:sz w:val="22"/>
                <w:szCs w:val="28"/>
                <w:highlight w:val="none"/>
                <w:lang w:eastAsia="zh-CN"/>
              </w:rPr>
              <w:t>否</w:t>
            </w:r>
          </w:p>
        </w:tc>
      </w:tr>
      <w:tr w14:paraId="600CF4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660" w:type="dxa"/>
            <w:tcBorders>
              <w:tl2br w:val="nil"/>
              <w:tr2bl w:val="nil"/>
            </w:tcBorders>
            <w:noWrap/>
            <w:vAlign w:val="center"/>
          </w:tcPr>
          <w:p w14:paraId="56564F28">
            <w:pPr>
              <w:keepNext w:val="0"/>
              <w:keepLines w:val="0"/>
              <w:suppressLineNumbers w:val="0"/>
              <w:spacing w:before="0" w:beforeAutospacing="0" w:after="0" w:afterAutospacing="0" w:line="240" w:lineRule="auto"/>
              <w:ind w:left="0" w:right="0"/>
              <w:jc w:val="center"/>
              <w:rPr>
                <w:rFonts w:hint="eastAsia" w:ascii="宋体" w:hAnsi="宋体" w:eastAsia="宋体" w:cs="宋体"/>
                <w:color w:val="auto"/>
                <w:sz w:val="22"/>
                <w:szCs w:val="28"/>
                <w:highlight w:val="none"/>
                <w:lang w:val="en-US" w:eastAsia="zh-CN"/>
              </w:rPr>
            </w:pPr>
            <w:r>
              <w:rPr>
                <w:rFonts w:hint="eastAsia" w:ascii="宋体" w:hAnsi="宋体" w:eastAsia="宋体" w:cs="宋体"/>
                <w:color w:val="auto"/>
                <w:sz w:val="22"/>
                <w:szCs w:val="28"/>
                <w:highlight w:val="none"/>
                <w:lang w:val="en-US" w:eastAsia="zh-CN"/>
              </w:rPr>
              <w:t>13</w:t>
            </w:r>
          </w:p>
        </w:tc>
        <w:tc>
          <w:tcPr>
            <w:tcW w:w="744" w:type="dxa"/>
            <w:vMerge w:val="continue"/>
            <w:tcBorders>
              <w:tl2br w:val="nil"/>
              <w:tr2bl w:val="nil"/>
            </w:tcBorders>
            <w:noWrap w:val="0"/>
            <w:vAlign w:val="center"/>
          </w:tcPr>
          <w:p w14:paraId="7D49EC6D">
            <w:pPr>
              <w:keepNext w:val="0"/>
              <w:keepLines w:val="0"/>
              <w:suppressLineNumbers w:val="0"/>
              <w:spacing w:before="0" w:beforeAutospacing="0" w:after="0" w:afterAutospacing="0" w:line="240" w:lineRule="auto"/>
              <w:ind w:left="0" w:right="0"/>
              <w:jc w:val="center"/>
              <w:rPr>
                <w:rFonts w:hint="eastAsia" w:ascii="宋体" w:hAnsi="宋体" w:eastAsia="宋体" w:cs="宋体"/>
                <w:color w:val="auto"/>
                <w:sz w:val="22"/>
                <w:szCs w:val="28"/>
                <w:highlight w:val="none"/>
                <w:lang w:val="en-US" w:eastAsia="zh-CN"/>
              </w:rPr>
            </w:pPr>
          </w:p>
        </w:tc>
        <w:tc>
          <w:tcPr>
            <w:tcW w:w="11002" w:type="dxa"/>
            <w:tcBorders>
              <w:tl2br w:val="nil"/>
              <w:tr2bl w:val="nil"/>
            </w:tcBorders>
            <w:noWrap w:val="0"/>
            <w:vAlign w:val="center"/>
          </w:tcPr>
          <w:p w14:paraId="5F2C3E4A">
            <w:pPr>
              <w:keepNext w:val="0"/>
              <w:keepLines w:val="0"/>
              <w:suppressLineNumbers w:val="0"/>
              <w:spacing w:before="0" w:beforeAutospacing="0" w:after="0" w:afterAutospacing="0" w:line="240" w:lineRule="auto"/>
              <w:ind w:left="0" w:right="0"/>
              <w:rPr>
                <w:rFonts w:hint="eastAsia" w:ascii="宋体" w:hAnsi="宋体" w:eastAsia="宋体" w:cs="宋体"/>
                <w:color w:val="auto"/>
                <w:sz w:val="22"/>
                <w:szCs w:val="28"/>
                <w:highlight w:val="none"/>
                <w:lang w:val="en-US" w:eastAsia="zh-CN"/>
              </w:rPr>
            </w:pPr>
            <w:r>
              <w:rPr>
                <w:rFonts w:hint="eastAsia" w:ascii="宋体" w:hAnsi="宋体" w:eastAsia="宋体" w:cs="宋体"/>
                <w:color w:val="auto"/>
                <w:sz w:val="22"/>
                <w:szCs w:val="28"/>
                <w:highlight w:val="none"/>
                <w:lang w:val="en-US" w:eastAsia="zh-CN"/>
              </w:rPr>
              <w:t>我单位不使用公共电脑设备或公共网络编制、上传投标文件。</w:t>
            </w:r>
          </w:p>
        </w:tc>
        <w:tc>
          <w:tcPr>
            <w:tcW w:w="692" w:type="dxa"/>
            <w:tcBorders>
              <w:tl2br w:val="nil"/>
              <w:tr2bl w:val="nil"/>
            </w:tcBorders>
            <w:noWrap/>
            <w:vAlign w:val="center"/>
          </w:tcPr>
          <w:p w14:paraId="36B45C5E">
            <w:pPr>
              <w:keepNext w:val="0"/>
              <w:keepLines w:val="0"/>
              <w:suppressLineNumbers w:val="0"/>
              <w:spacing w:before="0" w:beforeAutospacing="0" w:after="0" w:afterAutospacing="0" w:line="240" w:lineRule="auto"/>
              <w:ind w:left="0" w:right="0"/>
              <w:rPr>
                <w:rFonts w:hint="eastAsia" w:ascii="宋体" w:hAnsi="宋体" w:eastAsia="宋体" w:cs="宋体"/>
                <w:color w:val="auto"/>
                <w:kern w:val="2"/>
                <w:sz w:val="22"/>
                <w:szCs w:val="28"/>
                <w:highlight w:val="none"/>
                <w:lang w:val="en-US" w:eastAsia="zh-CN" w:bidi="ar-SA"/>
              </w:rPr>
            </w:pPr>
            <w:r>
              <w:rPr>
                <w:rFonts w:hint="eastAsia" w:ascii="宋体" w:hAnsi="宋体" w:cs="宋体"/>
                <w:color w:val="auto"/>
                <w:sz w:val="22"/>
                <w:szCs w:val="28"/>
                <w:highlight w:val="none"/>
                <w:lang w:val="en-US" w:eastAsia="zh-CN"/>
              </w:rPr>
              <w:t>□</w:t>
            </w:r>
            <w:r>
              <w:rPr>
                <w:rFonts w:hint="eastAsia" w:ascii="宋体" w:hAnsi="宋体" w:eastAsia="宋体" w:cs="宋体"/>
                <w:color w:val="auto"/>
                <w:sz w:val="22"/>
                <w:szCs w:val="28"/>
                <w:highlight w:val="none"/>
                <w:lang w:val="en-US" w:eastAsia="zh-CN"/>
              </w:rPr>
              <w:t>是</w:t>
            </w:r>
          </w:p>
        </w:tc>
        <w:tc>
          <w:tcPr>
            <w:tcW w:w="693" w:type="dxa"/>
            <w:tcBorders>
              <w:tl2br w:val="nil"/>
              <w:tr2bl w:val="nil"/>
            </w:tcBorders>
            <w:noWrap/>
            <w:vAlign w:val="center"/>
          </w:tcPr>
          <w:p w14:paraId="41901711">
            <w:pPr>
              <w:keepNext w:val="0"/>
              <w:keepLines w:val="0"/>
              <w:suppressLineNumbers w:val="0"/>
              <w:spacing w:before="0" w:beforeAutospacing="0" w:after="0" w:afterAutospacing="0" w:line="240" w:lineRule="auto"/>
              <w:ind w:left="0" w:right="0"/>
              <w:rPr>
                <w:rFonts w:hint="eastAsia" w:ascii="宋体" w:hAnsi="宋体" w:eastAsia="宋体" w:cs="宋体"/>
                <w:color w:val="auto"/>
                <w:kern w:val="2"/>
                <w:sz w:val="22"/>
                <w:szCs w:val="28"/>
                <w:highlight w:val="none"/>
                <w:lang w:val="en-US" w:eastAsia="zh-CN" w:bidi="ar-SA"/>
              </w:rPr>
            </w:pPr>
            <w:r>
              <w:rPr>
                <w:rFonts w:hint="eastAsia" w:ascii="宋体" w:hAnsi="宋体" w:cs="宋体"/>
                <w:color w:val="auto"/>
                <w:sz w:val="22"/>
                <w:szCs w:val="28"/>
                <w:highlight w:val="none"/>
                <w:lang w:val="en-US" w:eastAsia="zh-CN"/>
              </w:rPr>
              <w:t>□</w:t>
            </w:r>
            <w:r>
              <w:rPr>
                <w:rFonts w:hint="eastAsia" w:ascii="宋体" w:hAnsi="宋体" w:eastAsia="宋体" w:cs="宋体"/>
                <w:color w:val="auto"/>
                <w:sz w:val="22"/>
                <w:szCs w:val="28"/>
                <w:highlight w:val="none"/>
                <w:lang w:eastAsia="zh-CN"/>
              </w:rPr>
              <w:t>否</w:t>
            </w:r>
          </w:p>
        </w:tc>
      </w:tr>
      <w:tr w14:paraId="1F4068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660" w:type="dxa"/>
            <w:tcBorders>
              <w:tl2br w:val="nil"/>
              <w:tr2bl w:val="nil"/>
            </w:tcBorders>
            <w:noWrap/>
            <w:vAlign w:val="center"/>
          </w:tcPr>
          <w:p w14:paraId="64669741">
            <w:pPr>
              <w:keepNext w:val="0"/>
              <w:keepLines w:val="0"/>
              <w:suppressLineNumbers w:val="0"/>
              <w:spacing w:before="0" w:beforeAutospacing="0" w:after="0" w:afterAutospacing="0" w:line="240" w:lineRule="auto"/>
              <w:ind w:left="0" w:right="0"/>
              <w:jc w:val="center"/>
              <w:rPr>
                <w:rFonts w:hint="eastAsia" w:ascii="宋体" w:hAnsi="宋体" w:eastAsia="宋体" w:cs="宋体"/>
                <w:color w:val="auto"/>
                <w:sz w:val="22"/>
                <w:szCs w:val="28"/>
                <w:highlight w:val="none"/>
                <w:lang w:val="en-US"/>
              </w:rPr>
            </w:pPr>
            <w:r>
              <w:rPr>
                <w:rFonts w:hint="eastAsia" w:ascii="宋体" w:hAnsi="宋体" w:eastAsia="宋体" w:cs="宋体"/>
                <w:color w:val="auto"/>
                <w:sz w:val="22"/>
                <w:szCs w:val="28"/>
                <w:highlight w:val="none"/>
                <w:lang w:val="en-US" w:eastAsia="zh-CN"/>
              </w:rPr>
              <w:t>14</w:t>
            </w:r>
          </w:p>
        </w:tc>
        <w:tc>
          <w:tcPr>
            <w:tcW w:w="744" w:type="dxa"/>
            <w:vMerge w:val="continue"/>
            <w:tcBorders>
              <w:tl2br w:val="nil"/>
              <w:tr2bl w:val="nil"/>
            </w:tcBorders>
            <w:noWrap w:val="0"/>
            <w:vAlign w:val="center"/>
          </w:tcPr>
          <w:p w14:paraId="31F008BF">
            <w:pPr>
              <w:keepNext w:val="0"/>
              <w:keepLines w:val="0"/>
              <w:suppressLineNumbers w:val="0"/>
              <w:spacing w:before="0" w:beforeAutospacing="0" w:after="0" w:afterAutospacing="0" w:line="240" w:lineRule="auto"/>
              <w:ind w:left="0" w:right="0"/>
              <w:rPr>
                <w:rFonts w:hint="eastAsia" w:ascii="宋体" w:hAnsi="宋体" w:eastAsia="宋体" w:cs="宋体"/>
                <w:color w:val="auto"/>
                <w:sz w:val="22"/>
                <w:szCs w:val="28"/>
                <w:highlight w:val="none"/>
              </w:rPr>
            </w:pPr>
          </w:p>
        </w:tc>
        <w:tc>
          <w:tcPr>
            <w:tcW w:w="11002" w:type="dxa"/>
            <w:tcBorders>
              <w:tl2br w:val="nil"/>
              <w:tr2bl w:val="nil"/>
            </w:tcBorders>
            <w:noWrap w:val="0"/>
            <w:vAlign w:val="center"/>
          </w:tcPr>
          <w:p w14:paraId="68DB313F">
            <w:pPr>
              <w:keepNext w:val="0"/>
              <w:keepLines w:val="0"/>
              <w:suppressLineNumbers w:val="0"/>
              <w:spacing w:before="0" w:beforeAutospacing="0" w:after="0" w:afterAutospacing="0" w:line="240" w:lineRule="auto"/>
              <w:ind w:left="0" w:right="0"/>
              <w:rPr>
                <w:rFonts w:hint="eastAsia" w:ascii="宋体" w:hAnsi="宋体" w:eastAsia="宋体" w:cs="宋体"/>
                <w:color w:val="auto"/>
                <w:sz w:val="22"/>
                <w:szCs w:val="28"/>
                <w:highlight w:val="none"/>
              </w:rPr>
            </w:pPr>
            <w:r>
              <w:rPr>
                <w:rFonts w:hint="eastAsia" w:ascii="宋体" w:hAnsi="宋体" w:eastAsia="宋体" w:cs="宋体"/>
                <w:color w:val="auto"/>
                <w:sz w:val="22"/>
                <w:szCs w:val="28"/>
                <w:highlight w:val="none"/>
                <w:lang w:val="en-US" w:eastAsia="zh-CN"/>
              </w:rPr>
              <w:t>我单位与其他投标供应商在参与本项目时，不存在单位负责人为同一人或直接控股、管理关系的行为。</w:t>
            </w:r>
          </w:p>
        </w:tc>
        <w:tc>
          <w:tcPr>
            <w:tcW w:w="692" w:type="dxa"/>
            <w:tcBorders>
              <w:tl2br w:val="nil"/>
              <w:tr2bl w:val="nil"/>
            </w:tcBorders>
            <w:noWrap/>
            <w:vAlign w:val="center"/>
          </w:tcPr>
          <w:p w14:paraId="406A98C6">
            <w:pPr>
              <w:keepNext w:val="0"/>
              <w:keepLines w:val="0"/>
              <w:suppressLineNumbers w:val="0"/>
              <w:spacing w:before="0" w:beforeAutospacing="0" w:after="0" w:afterAutospacing="0" w:line="240" w:lineRule="auto"/>
              <w:ind w:left="0" w:right="0"/>
              <w:rPr>
                <w:rFonts w:hint="eastAsia" w:ascii="宋体" w:hAnsi="宋体" w:eastAsia="宋体" w:cs="宋体"/>
                <w:color w:val="auto"/>
                <w:sz w:val="22"/>
                <w:szCs w:val="28"/>
                <w:highlight w:val="none"/>
              </w:rPr>
            </w:pPr>
            <w:r>
              <w:rPr>
                <w:rFonts w:hint="eastAsia" w:ascii="宋体" w:hAnsi="宋体" w:cs="宋体"/>
                <w:color w:val="auto"/>
                <w:sz w:val="22"/>
                <w:szCs w:val="28"/>
                <w:highlight w:val="none"/>
                <w:lang w:val="en-US" w:eastAsia="zh-CN"/>
              </w:rPr>
              <w:t>□</w:t>
            </w:r>
            <w:r>
              <w:rPr>
                <w:rFonts w:hint="eastAsia" w:ascii="宋体" w:hAnsi="宋体" w:eastAsia="宋体" w:cs="宋体"/>
                <w:color w:val="auto"/>
                <w:sz w:val="22"/>
                <w:szCs w:val="28"/>
                <w:highlight w:val="none"/>
                <w:lang w:val="en-US" w:eastAsia="zh-CN"/>
              </w:rPr>
              <w:t>是</w:t>
            </w:r>
          </w:p>
        </w:tc>
        <w:tc>
          <w:tcPr>
            <w:tcW w:w="693" w:type="dxa"/>
            <w:tcBorders>
              <w:tl2br w:val="nil"/>
              <w:tr2bl w:val="nil"/>
            </w:tcBorders>
            <w:noWrap/>
            <w:vAlign w:val="center"/>
          </w:tcPr>
          <w:p w14:paraId="7E025D63">
            <w:pPr>
              <w:keepNext w:val="0"/>
              <w:keepLines w:val="0"/>
              <w:suppressLineNumbers w:val="0"/>
              <w:spacing w:before="0" w:beforeAutospacing="0" w:after="0" w:afterAutospacing="0" w:line="240" w:lineRule="auto"/>
              <w:ind w:left="0" w:right="0"/>
              <w:rPr>
                <w:rFonts w:hint="eastAsia" w:ascii="宋体" w:hAnsi="宋体" w:eastAsia="宋体" w:cs="宋体"/>
                <w:color w:val="auto"/>
                <w:sz w:val="22"/>
                <w:szCs w:val="28"/>
                <w:highlight w:val="none"/>
              </w:rPr>
            </w:pPr>
            <w:r>
              <w:rPr>
                <w:rFonts w:hint="eastAsia" w:ascii="宋体" w:hAnsi="宋体" w:cs="宋体"/>
                <w:color w:val="auto"/>
                <w:sz w:val="22"/>
                <w:szCs w:val="28"/>
                <w:highlight w:val="none"/>
                <w:lang w:val="en-US" w:eastAsia="zh-CN"/>
              </w:rPr>
              <w:t>□</w:t>
            </w:r>
            <w:r>
              <w:rPr>
                <w:rFonts w:hint="eastAsia" w:ascii="宋体" w:hAnsi="宋体" w:eastAsia="宋体" w:cs="宋体"/>
                <w:color w:val="auto"/>
                <w:sz w:val="22"/>
                <w:szCs w:val="28"/>
                <w:highlight w:val="none"/>
                <w:lang w:eastAsia="zh-CN"/>
              </w:rPr>
              <w:t>否</w:t>
            </w:r>
          </w:p>
        </w:tc>
      </w:tr>
    </w:tbl>
    <w:p w14:paraId="005DAF95">
      <w:pPr>
        <w:widowControl w:val="0"/>
        <w:numPr>
          <w:ilvl w:val="0"/>
          <w:numId w:val="0"/>
        </w:numPr>
        <w:ind w:leftChars="0"/>
        <w:jc w:val="both"/>
        <w:rPr>
          <w:rFonts w:hint="eastAsia" w:cs="宋体" w:asciiTheme="majorEastAsia" w:hAnsiTheme="majorEastAsia" w:eastAsiaTheme="majorEastAsia"/>
          <w:kern w:val="2"/>
          <w:sz w:val="30"/>
          <w:szCs w:val="30"/>
          <w:lang w:val="en-US" w:eastAsia="zh-CN" w:bidi="ar-SA"/>
        </w:rPr>
        <w:sectPr>
          <w:pgSz w:w="16838" w:h="11906" w:orient="landscape"/>
          <w:pgMar w:top="1440" w:right="1440" w:bottom="1286" w:left="1440" w:header="851" w:footer="992" w:gutter="0"/>
          <w:pgBorders>
            <w:top w:val="none" w:sz="0" w:space="0"/>
            <w:left w:val="none" w:sz="0" w:space="0"/>
            <w:bottom w:val="none" w:sz="0" w:space="0"/>
            <w:right w:val="none" w:sz="0" w:space="0"/>
          </w:pgBorders>
          <w:pgNumType w:fmt="decimal"/>
          <w:cols w:space="720" w:num="1"/>
          <w:titlePg/>
          <w:docGrid w:type="lines" w:linePitch="312" w:charSpace="0"/>
        </w:sectPr>
      </w:pPr>
    </w:p>
    <w:tbl>
      <w:tblPr>
        <w:tblStyle w:val="21"/>
        <w:tblW w:w="13791"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60"/>
        <w:gridCol w:w="744"/>
        <w:gridCol w:w="11002"/>
        <w:gridCol w:w="692"/>
        <w:gridCol w:w="693"/>
      </w:tblGrid>
      <w:tr w14:paraId="51B4F4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58" w:hRule="atLeast"/>
        </w:trPr>
        <w:tc>
          <w:tcPr>
            <w:tcW w:w="660" w:type="dxa"/>
            <w:tcBorders>
              <w:tl2br w:val="nil"/>
              <w:tr2bl w:val="nil"/>
            </w:tcBorders>
            <w:noWrap/>
            <w:vAlign w:val="center"/>
          </w:tcPr>
          <w:p w14:paraId="55206D20">
            <w:pPr>
              <w:keepNext w:val="0"/>
              <w:keepLines w:val="0"/>
              <w:suppressLineNumbers w:val="0"/>
              <w:spacing w:before="0" w:beforeAutospacing="0" w:after="0" w:afterAutospacing="0" w:line="240" w:lineRule="auto"/>
              <w:ind w:left="0" w:right="0"/>
              <w:jc w:val="center"/>
              <w:rPr>
                <w:rFonts w:hint="eastAsia" w:ascii="宋体" w:hAnsi="宋体" w:eastAsia="宋体" w:cs="宋体"/>
                <w:color w:val="auto"/>
                <w:sz w:val="22"/>
                <w:szCs w:val="28"/>
                <w:highlight w:val="none"/>
                <w:lang w:val="en-US" w:eastAsia="zh-CN"/>
              </w:rPr>
            </w:pPr>
            <w:r>
              <w:rPr>
                <w:rFonts w:hint="eastAsia" w:ascii="宋体" w:hAnsi="宋体" w:eastAsia="宋体" w:cs="宋体"/>
                <w:color w:val="auto"/>
                <w:sz w:val="22"/>
                <w:szCs w:val="28"/>
                <w:highlight w:val="none"/>
                <w:lang w:val="en-US" w:eastAsia="zh-CN"/>
              </w:rPr>
              <w:t>15</w:t>
            </w:r>
          </w:p>
        </w:tc>
        <w:tc>
          <w:tcPr>
            <w:tcW w:w="744" w:type="dxa"/>
            <w:vMerge w:val="restart"/>
            <w:tcBorders>
              <w:tl2br w:val="nil"/>
              <w:tr2bl w:val="nil"/>
            </w:tcBorders>
            <w:noWrap w:val="0"/>
            <w:vAlign w:val="center"/>
          </w:tcPr>
          <w:p w14:paraId="58124DE1">
            <w:pPr>
              <w:keepNext w:val="0"/>
              <w:keepLines w:val="0"/>
              <w:suppressLineNumbers w:val="0"/>
              <w:spacing w:before="0" w:beforeAutospacing="0" w:after="0" w:afterAutospacing="0" w:line="240" w:lineRule="auto"/>
              <w:ind w:left="0" w:right="0"/>
              <w:rPr>
                <w:rFonts w:hint="eastAsia" w:ascii="宋体" w:hAnsi="宋体" w:eastAsia="宋体" w:cs="宋体"/>
                <w:color w:val="auto"/>
                <w:sz w:val="22"/>
                <w:szCs w:val="28"/>
                <w:highlight w:val="none"/>
              </w:rPr>
            </w:pPr>
          </w:p>
        </w:tc>
        <w:tc>
          <w:tcPr>
            <w:tcW w:w="11002" w:type="dxa"/>
            <w:tcBorders>
              <w:tl2br w:val="nil"/>
              <w:tr2bl w:val="nil"/>
            </w:tcBorders>
            <w:noWrap w:val="0"/>
            <w:vAlign w:val="center"/>
          </w:tcPr>
          <w:p w14:paraId="22868A9F">
            <w:pPr>
              <w:keepNext w:val="0"/>
              <w:keepLines w:val="0"/>
              <w:suppressLineNumbers w:val="0"/>
              <w:spacing w:before="0" w:beforeAutospacing="0" w:after="0" w:afterAutospacing="0" w:line="240" w:lineRule="auto"/>
              <w:ind w:left="0" w:right="0"/>
              <w:rPr>
                <w:rFonts w:hint="eastAsia" w:ascii="宋体" w:hAnsi="宋体" w:eastAsia="宋体" w:cs="宋体"/>
                <w:color w:val="auto"/>
                <w:sz w:val="22"/>
                <w:szCs w:val="28"/>
                <w:highlight w:val="none"/>
              </w:rPr>
            </w:pPr>
            <w:r>
              <w:rPr>
                <w:rFonts w:hint="eastAsia" w:ascii="宋体" w:hAnsi="宋体" w:eastAsia="宋体" w:cs="宋体"/>
                <w:b w:val="0"/>
                <w:bCs w:val="0"/>
                <w:color w:val="auto"/>
                <w:sz w:val="22"/>
                <w:szCs w:val="28"/>
                <w:highlight w:val="none"/>
                <w:lang w:val="en-US" w:eastAsia="zh-CN"/>
              </w:rPr>
              <w:t>我单位在参与本项目（单一来源采购项目除外）时，不存在同时为本项目提供整体设计、规范编制或者项目管理、监理、检测等服务的行为。</w:t>
            </w:r>
          </w:p>
        </w:tc>
        <w:tc>
          <w:tcPr>
            <w:tcW w:w="692" w:type="dxa"/>
            <w:tcBorders>
              <w:tl2br w:val="nil"/>
              <w:tr2bl w:val="nil"/>
            </w:tcBorders>
            <w:noWrap/>
            <w:vAlign w:val="center"/>
          </w:tcPr>
          <w:p w14:paraId="7E281193">
            <w:pPr>
              <w:keepNext w:val="0"/>
              <w:keepLines w:val="0"/>
              <w:suppressLineNumbers w:val="0"/>
              <w:spacing w:before="0" w:beforeAutospacing="0" w:after="0" w:afterAutospacing="0" w:line="240" w:lineRule="auto"/>
              <w:ind w:left="0" w:right="0"/>
              <w:rPr>
                <w:rFonts w:hint="eastAsia" w:ascii="宋体" w:hAnsi="宋体" w:eastAsia="宋体" w:cs="宋体"/>
                <w:color w:val="auto"/>
                <w:kern w:val="2"/>
                <w:sz w:val="22"/>
                <w:szCs w:val="28"/>
                <w:highlight w:val="none"/>
                <w:lang w:val="en-US" w:eastAsia="zh-CN" w:bidi="ar-SA"/>
              </w:rPr>
            </w:pPr>
            <w:r>
              <w:rPr>
                <w:rFonts w:hint="eastAsia" w:ascii="宋体" w:hAnsi="宋体" w:cs="宋体"/>
                <w:color w:val="auto"/>
                <w:sz w:val="22"/>
                <w:szCs w:val="28"/>
                <w:highlight w:val="none"/>
                <w:lang w:val="en-US" w:eastAsia="zh-CN"/>
              </w:rPr>
              <w:t>□</w:t>
            </w:r>
            <w:r>
              <w:rPr>
                <w:rFonts w:hint="eastAsia" w:ascii="宋体" w:hAnsi="宋体" w:eastAsia="宋体" w:cs="宋体"/>
                <w:color w:val="auto"/>
                <w:sz w:val="22"/>
                <w:szCs w:val="28"/>
                <w:highlight w:val="none"/>
                <w:lang w:val="en-US" w:eastAsia="zh-CN"/>
              </w:rPr>
              <w:t>是</w:t>
            </w:r>
          </w:p>
        </w:tc>
        <w:tc>
          <w:tcPr>
            <w:tcW w:w="693" w:type="dxa"/>
            <w:tcBorders>
              <w:tl2br w:val="nil"/>
              <w:tr2bl w:val="nil"/>
            </w:tcBorders>
            <w:noWrap/>
            <w:vAlign w:val="center"/>
          </w:tcPr>
          <w:p w14:paraId="7CE3FDA6">
            <w:pPr>
              <w:keepNext w:val="0"/>
              <w:keepLines w:val="0"/>
              <w:suppressLineNumbers w:val="0"/>
              <w:spacing w:before="0" w:beforeAutospacing="0" w:after="0" w:afterAutospacing="0" w:line="240" w:lineRule="auto"/>
              <w:ind w:left="0" w:right="0"/>
              <w:rPr>
                <w:rFonts w:hint="eastAsia" w:ascii="宋体" w:hAnsi="宋体" w:eastAsia="宋体" w:cs="宋体"/>
                <w:color w:val="auto"/>
                <w:kern w:val="2"/>
                <w:sz w:val="22"/>
                <w:szCs w:val="28"/>
                <w:highlight w:val="none"/>
                <w:lang w:val="en-US" w:eastAsia="zh-CN" w:bidi="ar-SA"/>
              </w:rPr>
            </w:pPr>
            <w:r>
              <w:rPr>
                <w:rFonts w:hint="eastAsia" w:ascii="宋体" w:hAnsi="宋体" w:cs="宋体"/>
                <w:color w:val="auto"/>
                <w:sz w:val="22"/>
                <w:szCs w:val="28"/>
                <w:highlight w:val="none"/>
                <w:lang w:val="en-US" w:eastAsia="zh-CN"/>
              </w:rPr>
              <w:t>□</w:t>
            </w:r>
            <w:r>
              <w:rPr>
                <w:rFonts w:hint="eastAsia" w:ascii="宋体" w:hAnsi="宋体" w:eastAsia="宋体" w:cs="宋体"/>
                <w:color w:val="auto"/>
                <w:sz w:val="22"/>
                <w:szCs w:val="28"/>
                <w:highlight w:val="none"/>
                <w:lang w:eastAsia="zh-CN"/>
              </w:rPr>
              <w:t>否</w:t>
            </w:r>
          </w:p>
        </w:tc>
      </w:tr>
      <w:tr w14:paraId="723000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4" w:hRule="atLeast"/>
        </w:trPr>
        <w:tc>
          <w:tcPr>
            <w:tcW w:w="66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57E5FB06">
            <w:pPr>
              <w:keepNext w:val="0"/>
              <w:keepLines w:val="0"/>
              <w:suppressLineNumbers w:val="0"/>
              <w:spacing w:before="0" w:beforeAutospacing="0" w:after="0" w:afterAutospacing="0" w:line="240" w:lineRule="auto"/>
              <w:ind w:left="0" w:right="0"/>
              <w:jc w:val="center"/>
              <w:rPr>
                <w:rFonts w:hint="eastAsia" w:ascii="宋体" w:hAnsi="宋体" w:eastAsia="宋体" w:cs="宋体"/>
                <w:color w:val="auto"/>
                <w:sz w:val="22"/>
                <w:szCs w:val="28"/>
                <w:highlight w:val="none"/>
                <w:lang w:val="en-US" w:eastAsia="zh-CN"/>
              </w:rPr>
            </w:pPr>
            <w:r>
              <w:rPr>
                <w:rFonts w:hint="eastAsia" w:ascii="宋体" w:hAnsi="宋体" w:eastAsia="宋体" w:cs="宋体"/>
                <w:color w:val="auto"/>
                <w:sz w:val="22"/>
                <w:szCs w:val="28"/>
                <w:highlight w:val="none"/>
                <w:lang w:val="en-US" w:eastAsia="zh-CN"/>
              </w:rPr>
              <w:t>16</w:t>
            </w:r>
          </w:p>
        </w:tc>
        <w:tc>
          <w:tcPr>
            <w:tcW w:w="744" w:type="dxa"/>
            <w:vMerge w:val="continue"/>
            <w:tcBorders>
              <w:left w:val="single" w:color="000000" w:sz="4" w:space="0"/>
              <w:bottom w:val="nil"/>
              <w:right w:val="single" w:color="000000" w:sz="4" w:space="0"/>
              <w:tl2br w:val="nil"/>
              <w:tr2bl w:val="nil"/>
            </w:tcBorders>
            <w:noWrap w:val="0"/>
            <w:vAlign w:val="center"/>
          </w:tcPr>
          <w:p w14:paraId="5FA702B7">
            <w:pPr>
              <w:keepNext w:val="0"/>
              <w:keepLines w:val="0"/>
              <w:suppressLineNumbers w:val="0"/>
              <w:spacing w:before="0" w:beforeAutospacing="0" w:after="0" w:afterAutospacing="0" w:line="240" w:lineRule="auto"/>
              <w:ind w:left="0" w:right="0"/>
              <w:rPr>
                <w:rFonts w:hint="eastAsia" w:ascii="宋体" w:hAnsi="宋体" w:eastAsia="宋体" w:cs="宋体"/>
                <w:color w:val="auto"/>
                <w:sz w:val="22"/>
                <w:szCs w:val="28"/>
                <w:highlight w:val="none"/>
              </w:rPr>
            </w:pPr>
          </w:p>
        </w:tc>
        <w:tc>
          <w:tcPr>
            <w:tcW w:w="11002"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2FD6054A">
            <w:pPr>
              <w:keepNext w:val="0"/>
              <w:keepLines w:val="0"/>
              <w:suppressLineNumbers w:val="0"/>
              <w:spacing w:before="0" w:beforeAutospacing="0" w:after="0" w:afterAutospacing="0" w:line="240" w:lineRule="auto"/>
              <w:ind w:left="0" w:right="0"/>
              <w:rPr>
                <w:rFonts w:hint="eastAsia" w:ascii="宋体" w:hAnsi="宋体" w:eastAsia="宋体" w:cs="宋体"/>
                <w:b w:val="0"/>
                <w:bCs w:val="0"/>
                <w:color w:val="auto"/>
                <w:sz w:val="22"/>
                <w:szCs w:val="28"/>
                <w:highlight w:val="none"/>
                <w:lang w:val="en-US" w:eastAsia="zh-CN"/>
              </w:rPr>
            </w:pPr>
            <w:r>
              <w:rPr>
                <w:rFonts w:hint="eastAsia" w:ascii="宋体" w:hAnsi="宋体" w:eastAsia="宋体" w:cs="宋体"/>
                <w:b w:val="0"/>
                <w:bCs w:val="0"/>
                <w:color w:val="auto"/>
                <w:sz w:val="22"/>
                <w:szCs w:val="28"/>
                <w:highlight w:val="none"/>
                <w:lang w:val="en-US" w:eastAsia="zh-CN"/>
              </w:rPr>
              <w:t>我单位在本项目中，□是□否 委托第三方（人）代为办理或从生产厂家、代理商等第三方（人）间接取得投标文件涉及的检验检测报告、证书、证明等材料。</w:t>
            </w:r>
          </w:p>
        </w:tc>
        <w:tc>
          <w:tcPr>
            <w:tcW w:w="692"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3B3087A1">
            <w:pPr>
              <w:keepNext w:val="0"/>
              <w:keepLines w:val="0"/>
              <w:suppressLineNumbers w:val="0"/>
              <w:spacing w:before="0" w:beforeAutospacing="0" w:after="0" w:afterAutospacing="0" w:line="240" w:lineRule="auto"/>
              <w:ind w:left="0" w:right="0"/>
              <w:rPr>
                <w:rFonts w:hint="eastAsia" w:ascii="宋体" w:hAnsi="宋体" w:eastAsia="宋体" w:cs="宋体"/>
                <w:color w:val="auto"/>
                <w:kern w:val="2"/>
                <w:sz w:val="22"/>
                <w:szCs w:val="28"/>
                <w:highlight w:val="none"/>
                <w:lang w:val="en-US" w:eastAsia="zh-CN" w:bidi="ar-SA"/>
              </w:rPr>
            </w:pPr>
            <w:r>
              <w:rPr>
                <w:rFonts w:hint="eastAsia" w:ascii="宋体" w:hAnsi="宋体" w:cs="宋体"/>
                <w:color w:val="auto"/>
                <w:sz w:val="22"/>
                <w:szCs w:val="28"/>
                <w:highlight w:val="none"/>
                <w:lang w:val="en-US" w:eastAsia="zh-CN"/>
              </w:rPr>
              <w:t>□</w:t>
            </w:r>
            <w:r>
              <w:rPr>
                <w:rFonts w:hint="eastAsia" w:ascii="宋体" w:hAnsi="宋体" w:eastAsia="宋体" w:cs="宋体"/>
                <w:color w:val="auto"/>
                <w:sz w:val="22"/>
                <w:szCs w:val="28"/>
                <w:highlight w:val="none"/>
                <w:lang w:val="en-US" w:eastAsia="zh-CN"/>
              </w:rPr>
              <w:t>是</w:t>
            </w:r>
          </w:p>
        </w:tc>
        <w:tc>
          <w:tcPr>
            <w:tcW w:w="693"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2A6203BB">
            <w:pPr>
              <w:keepNext w:val="0"/>
              <w:keepLines w:val="0"/>
              <w:suppressLineNumbers w:val="0"/>
              <w:spacing w:before="0" w:beforeAutospacing="0" w:after="0" w:afterAutospacing="0" w:line="240" w:lineRule="auto"/>
              <w:ind w:left="0" w:right="0"/>
              <w:rPr>
                <w:rFonts w:hint="eastAsia" w:ascii="宋体" w:hAnsi="宋体" w:eastAsia="宋体" w:cs="宋体"/>
                <w:color w:val="auto"/>
                <w:kern w:val="2"/>
                <w:sz w:val="22"/>
                <w:szCs w:val="28"/>
                <w:highlight w:val="none"/>
                <w:lang w:val="en-US" w:eastAsia="zh-CN" w:bidi="ar-SA"/>
              </w:rPr>
            </w:pPr>
            <w:r>
              <w:rPr>
                <w:rFonts w:hint="eastAsia" w:ascii="宋体" w:hAnsi="宋体" w:cs="宋体"/>
                <w:color w:val="auto"/>
                <w:sz w:val="22"/>
                <w:szCs w:val="28"/>
                <w:highlight w:val="none"/>
                <w:lang w:val="en-US" w:eastAsia="zh-CN"/>
              </w:rPr>
              <w:t>□</w:t>
            </w:r>
            <w:r>
              <w:rPr>
                <w:rFonts w:hint="eastAsia" w:ascii="宋体" w:hAnsi="宋体" w:eastAsia="宋体" w:cs="宋体"/>
                <w:color w:val="auto"/>
                <w:sz w:val="22"/>
                <w:szCs w:val="28"/>
                <w:highlight w:val="none"/>
                <w:lang w:eastAsia="zh-CN"/>
              </w:rPr>
              <w:t>否</w:t>
            </w:r>
          </w:p>
        </w:tc>
      </w:tr>
      <w:tr w14:paraId="3DE09F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13791" w:type="dxa"/>
            <w:gridSpan w:val="5"/>
            <w:tcBorders>
              <w:tl2br w:val="nil"/>
              <w:tr2bl w:val="nil"/>
            </w:tcBorders>
            <w:noWrap/>
            <w:vAlign w:val="center"/>
          </w:tcPr>
          <w:p w14:paraId="4B8359C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eastAsia" w:ascii="宋体" w:hAnsi="宋体" w:eastAsia="宋体" w:cs="宋体"/>
                <w:color w:val="auto"/>
                <w:sz w:val="22"/>
                <w:szCs w:val="28"/>
                <w:highlight w:val="none"/>
                <w:lang w:val="en-US" w:eastAsia="zh-CN"/>
              </w:rPr>
            </w:pPr>
            <w:r>
              <w:rPr>
                <w:rFonts w:hint="eastAsia" w:ascii="宋体" w:hAnsi="宋体" w:eastAsia="宋体" w:cs="宋体"/>
                <w:color w:val="auto"/>
                <w:sz w:val="22"/>
                <w:szCs w:val="28"/>
                <w:highlight w:val="none"/>
                <w:lang w:val="en-US" w:eastAsia="zh-CN"/>
              </w:rPr>
              <w:t>若第16项选择“是”，则投标供应商需要填写：</w:t>
            </w:r>
          </w:p>
          <w:p w14:paraId="1BA4A93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eastAsia" w:ascii="宋体" w:hAnsi="宋体" w:eastAsia="宋体" w:cs="宋体"/>
                <w:color w:val="auto"/>
                <w:sz w:val="22"/>
                <w:szCs w:val="28"/>
                <w:highlight w:val="none"/>
                <w:lang w:val="en-US" w:eastAsia="zh-CN"/>
              </w:rPr>
            </w:pPr>
            <w:r>
              <w:rPr>
                <w:rFonts w:hint="eastAsia" w:ascii="宋体" w:hAnsi="宋体" w:eastAsia="宋体" w:cs="宋体"/>
                <w:color w:val="auto"/>
                <w:sz w:val="22"/>
                <w:szCs w:val="28"/>
                <w:highlight w:val="none"/>
                <w:lang w:val="en-US" w:eastAsia="zh-CN"/>
              </w:rPr>
              <w:t>①</w:t>
            </w:r>
            <w:r>
              <w:rPr>
                <w:rFonts w:hint="eastAsia" w:ascii="宋体" w:hAnsi="宋体" w:eastAsia="宋体" w:cs="宋体"/>
                <w:b w:val="0"/>
                <w:bCs w:val="0"/>
                <w:color w:val="auto"/>
                <w:sz w:val="22"/>
                <w:szCs w:val="28"/>
                <w:highlight w:val="none"/>
                <w:lang w:val="en-US" w:eastAsia="zh-CN"/>
              </w:rPr>
              <w:t>相关</w:t>
            </w:r>
            <w:r>
              <w:rPr>
                <w:rFonts w:hint="eastAsia" w:ascii="宋体" w:hAnsi="宋体" w:eastAsia="宋体" w:cs="宋体"/>
                <w:color w:val="auto"/>
                <w:sz w:val="22"/>
                <w:szCs w:val="28"/>
                <w:highlight w:val="none"/>
                <w:lang w:val="en-US" w:eastAsia="zh-CN"/>
              </w:rPr>
              <w:t>材料类型（必填）（包括检验检测报告、学历证书、职称证书、社保证明、合同业绩、其他等，以下拉列表显示）；</w:t>
            </w:r>
          </w:p>
          <w:p w14:paraId="1763443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eastAsia" w:ascii="宋体" w:hAnsi="宋体" w:eastAsia="宋体" w:cs="宋体"/>
                <w:b w:val="0"/>
                <w:bCs w:val="0"/>
                <w:color w:val="auto"/>
                <w:sz w:val="22"/>
                <w:szCs w:val="28"/>
                <w:highlight w:val="none"/>
                <w:lang w:val="en-US" w:eastAsia="zh-CN"/>
              </w:rPr>
            </w:pPr>
            <w:r>
              <w:rPr>
                <w:rFonts w:hint="eastAsia" w:ascii="宋体" w:hAnsi="宋体" w:eastAsia="宋体" w:cs="宋体"/>
                <w:b w:val="0"/>
                <w:bCs w:val="0"/>
                <w:color w:val="auto"/>
                <w:sz w:val="22"/>
                <w:szCs w:val="28"/>
                <w:highlight w:val="none"/>
                <w:lang w:val="en-US" w:eastAsia="zh-CN"/>
              </w:rPr>
              <w:t>②相关材料的名称（必填）（按材料类型填写，不同类型的需分别填写）；</w:t>
            </w:r>
          </w:p>
          <w:p w14:paraId="04339F0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eastAsia" w:ascii="宋体" w:hAnsi="宋体" w:eastAsia="宋体" w:cs="宋体"/>
                <w:b w:val="0"/>
                <w:bCs w:val="0"/>
                <w:color w:val="auto"/>
                <w:sz w:val="22"/>
                <w:szCs w:val="28"/>
                <w:highlight w:val="none"/>
                <w:lang w:val="en-US" w:eastAsia="zh-CN"/>
              </w:rPr>
            </w:pPr>
            <w:r>
              <w:rPr>
                <w:rFonts w:hint="eastAsia" w:ascii="宋体" w:hAnsi="宋体" w:eastAsia="宋体" w:cs="宋体"/>
                <w:color w:val="auto"/>
                <w:sz w:val="22"/>
                <w:szCs w:val="28"/>
                <w:highlight w:val="none"/>
                <w:lang w:val="en-US" w:eastAsia="zh-CN"/>
              </w:rPr>
              <w:t>③相关材料出具单位（必填）（</w:t>
            </w:r>
            <w:r>
              <w:rPr>
                <w:rFonts w:hint="eastAsia" w:ascii="宋体" w:hAnsi="宋体" w:eastAsia="宋体" w:cs="宋体"/>
                <w:b w:val="0"/>
                <w:bCs w:val="0"/>
                <w:color w:val="auto"/>
                <w:sz w:val="22"/>
                <w:szCs w:val="28"/>
                <w:highlight w:val="none"/>
                <w:lang w:val="en-US" w:eastAsia="zh-CN"/>
              </w:rPr>
              <w:t>按材料类型填写，出具单位即为相关</w:t>
            </w:r>
            <w:r>
              <w:rPr>
                <w:rFonts w:hint="eastAsia" w:ascii="宋体" w:hAnsi="宋体" w:eastAsia="宋体" w:cs="宋体"/>
                <w:color w:val="auto"/>
                <w:sz w:val="22"/>
                <w:szCs w:val="28"/>
                <w:highlight w:val="none"/>
                <w:lang w:val="en-US" w:eastAsia="zh-CN"/>
              </w:rPr>
              <w:t>材料的落款单位）；</w:t>
            </w:r>
          </w:p>
          <w:p w14:paraId="49536C5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eastAsia" w:ascii="宋体" w:hAnsi="宋体" w:eastAsia="宋体" w:cs="宋体"/>
                <w:b w:val="0"/>
                <w:bCs w:val="0"/>
                <w:color w:val="auto"/>
                <w:sz w:val="22"/>
                <w:szCs w:val="28"/>
                <w:highlight w:val="none"/>
                <w:lang w:val="en-US" w:eastAsia="zh-CN"/>
              </w:rPr>
            </w:pPr>
            <w:r>
              <w:rPr>
                <w:rFonts w:hint="eastAsia" w:ascii="宋体" w:hAnsi="宋体" w:eastAsia="宋体" w:cs="宋体"/>
                <w:color w:val="auto"/>
                <w:sz w:val="22"/>
                <w:szCs w:val="28"/>
                <w:highlight w:val="none"/>
                <w:lang w:val="en-US" w:eastAsia="zh-CN"/>
              </w:rPr>
              <w:t>④是否向材料出具单位核实材料真实性（必填）（</w:t>
            </w:r>
            <w:r>
              <w:rPr>
                <w:rFonts w:hint="eastAsia" w:ascii="宋体" w:hAnsi="宋体" w:eastAsia="宋体" w:cs="宋体"/>
                <w:b w:val="0"/>
                <w:bCs w:val="0"/>
                <w:color w:val="auto"/>
                <w:sz w:val="22"/>
                <w:szCs w:val="28"/>
                <w:highlight w:val="none"/>
                <w:lang w:val="en-US" w:eastAsia="zh-CN"/>
              </w:rPr>
              <w:t>按材料类型填写，</w:t>
            </w:r>
            <w:r>
              <w:rPr>
                <w:rFonts w:hint="eastAsia" w:ascii="宋体" w:hAnsi="宋体" w:eastAsia="宋体" w:cs="宋体"/>
                <w:color w:val="auto"/>
                <w:sz w:val="22"/>
                <w:szCs w:val="28"/>
                <w:highlight w:val="none"/>
                <w:lang w:val="en-US" w:eastAsia="zh-CN"/>
              </w:rPr>
              <w:t>以下拉列表显示“是”和“否”）；</w:t>
            </w:r>
          </w:p>
          <w:p w14:paraId="0D4B907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left"/>
              <w:textAlignment w:val="auto"/>
              <w:rPr>
                <w:rFonts w:hint="eastAsia" w:ascii="宋体" w:hAnsi="宋体" w:eastAsia="宋体" w:cs="宋体"/>
                <w:color w:val="auto"/>
                <w:sz w:val="22"/>
                <w:szCs w:val="28"/>
                <w:highlight w:val="none"/>
                <w:lang w:val="en-US" w:eastAsia="zh-CN"/>
              </w:rPr>
            </w:pPr>
            <w:r>
              <w:rPr>
                <w:rFonts w:hint="eastAsia" w:ascii="宋体" w:hAnsi="宋体" w:eastAsia="宋体" w:cs="宋体"/>
                <w:color w:val="auto"/>
                <w:sz w:val="22"/>
                <w:szCs w:val="28"/>
                <w:highlight w:val="none"/>
                <w:lang w:val="en-US" w:eastAsia="zh-CN"/>
              </w:rPr>
              <w:t>⑤第三方（人）的基本信息（必填），（</w:t>
            </w:r>
            <w:r>
              <w:rPr>
                <w:rFonts w:hint="eastAsia" w:ascii="宋体" w:hAnsi="宋体" w:eastAsia="宋体" w:cs="宋体"/>
                <w:b w:val="0"/>
                <w:bCs w:val="0"/>
                <w:color w:val="auto"/>
                <w:sz w:val="22"/>
                <w:szCs w:val="28"/>
                <w:highlight w:val="none"/>
                <w:lang w:val="en-US" w:eastAsia="zh-CN"/>
              </w:rPr>
              <w:t>按材料类型填写，</w:t>
            </w:r>
            <w:r>
              <w:rPr>
                <w:rFonts w:hint="eastAsia" w:ascii="宋体" w:hAnsi="宋体" w:eastAsia="宋体" w:cs="宋体"/>
                <w:color w:val="auto"/>
                <w:sz w:val="22"/>
                <w:szCs w:val="28"/>
                <w:highlight w:val="none"/>
                <w:lang w:val="en-US" w:eastAsia="zh-CN"/>
              </w:rPr>
              <w:t>以下拉列表显示“单位”和“个人”，其中，“单位”需填写单位全称、统一社会信用代码、联系人及电话，“</w:t>
            </w:r>
            <w:r>
              <w:rPr>
                <w:rFonts w:hint="eastAsia" w:ascii="宋体" w:hAnsi="宋体" w:eastAsia="宋体" w:cs="宋体"/>
                <w:b w:val="0"/>
                <w:bCs w:val="0"/>
                <w:color w:val="auto"/>
                <w:sz w:val="22"/>
                <w:szCs w:val="28"/>
                <w:highlight w:val="none"/>
                <w:lang w:val="en-US" w:eastAsia="zh-CN"/>
              </w:rPr>
              <w:t>个人”需填写个人姓名、联系方式）；</w:t>
            </w:r>
          </w:p>
          <w:p w14:paraId="5C88110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eastAsia" w:ascii="宋体" w:hAnsi="宋体" w:eastAsia="宋体" w:cs="宋体"/>
                <w:color w:val="auto"/>
                <w:sz w:val="22"/>
                <w:szCs w:val="28"/>
                <w:highlight w:val="none"/>
                <w:lang w:val="en-US" w:eastAsia="zh-CN"/>
              </w:rPr>
            </w:pPr>
            <w:r>
              <w:rPr>
                <w:rFonts w:hint="eastAsia" w:ascii="宋体" w:hAnsi="宋体" w:eastAsia="宋体" w:cs="宋体"/>
                <w:color w:val="auto"/>
                <w:sz w:val="22"/>
                <w:szCs w:val="28"/>
                <w:highlight w:val="none"/>
                <w:lang w:val="en-US" w:eastAsia="zh-CN"/>
              </w:rPr>
              <w:t>⑥相关材料的编号（选填）（</w:t>
            </w:r>
            <w:r>
              <w:rPr>
                <w:rFonts w:hint="eastAsia" w:ascii="宋体" w:hAnsi="宋体" w:eastAsia="宋体" w:cs="宋体"/>
                <w:b w:val="0"/>
                <w:bCs w:val="0"/>
                <w:color w:val="auto"/>
                <w:sz w:val="22"/>
                <w:szCs w:val="28"/>
                <w:highlight w:val="none"/>
                <w:lang w:val="en-US" w:eastAsia="zh-CN"/>
              </w:rPr>
              <w:t>按材料类型填写）；</w:t>
            </w:r>
          </w:p>
          <w:p w14:paraId="606ECE7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rPr>
                <w:rFonts w:hint="eastAsia" w:ascii="宋体" w:hAnsi="宋体" w:eastAsia="宋体" w:cs="宋体"/>
                <w:color w:val="auto"/>
                <w:sz w:val="22"/>
                <w:szCs w:val="28"/>
                <w:highlight w:val="none"/>
                <w:lang w:eastAsia="zh-CN"/>
              </w:rPr>
            </w:pPr>
            <w:r>
              <w:rPr>
                <w:rFonts w:hint="eastAsia" w:ascii="宋体" w:hAnsi="宋体" w:eastAsia="宋体" w:cs="宋体"/>
                <w:color w:val="auto"/>
                <w:sz w:val="22"/>
                <w:szCs w:val="28"/>
                <w:highlight w:val="none"/>
                <w:lang w:val="en-US" w:eastAsia="zh-CN"/>
              </w:rPr>
              <w:t>⑦相关材料出具时间（选填）（</w:t>
            </w:r>
            <w:r>
              <w:rPr>
                <w:rFonts w:hint="eastAsia" w:ascii="宋体" w:hAnsi="宋体" w:eastAsia="宋体" w:cs="宋体"/>
                <w:b w:val="0"/>
                <w:bCs w:val="0"/>
                <w:color w:val="auto"/>
                <w:sz w:val="22"/>
                <w:szCs w:val="28"/>
                <w:highlight w:val="none"/>
                <w:lang w:val="en-US" w:eastAsia="zh-CN"/>
              </w:rPr>
              <w:t>按材料类型填写）</w:t>
            </w:r>
            <w:r>
              <w:rPr>
                <w:rFonts w:hint="eastAsia" w:ascii="宋体" w:hAnsi="宋体" w:eastAsia="宋体" w:cs="宋体"/>
                <w:color w:val="auto"/>
                <w:sz w:val="22"/>
                <w:szCs w:val="28"/>
                <w:highlight w:val="none"/>
                <w:lang w:val="en-US" w:eastAsia="zh-CN"/>
              </w:rPr>
              <w:t>。</w:t>
            </w:r>
          </w:p>
        </w:tc>
      </w:tr>
    </w:tbl>
    <w:p w14:paraId="46B81160">
      <w:pPr>
        <w:rPr>
          <w:rFonts w:hint="eastAsia"/>
        </w:rPr>
        <w:sectPr>
          <w:pgSz w:w="16838" w:h="11906" w:orient="landscape"/>
          <w:pgMar w:top="1440" w:right="1440" w:bottom="1286" w:left="1440" w:header="851" w:footer="992" w:gutter="0"/>
          <w:pgBorders>
            <w:top w:val="none" w:sz="0" w:space="0"/>
            <w:left w:val="none" w:sz="0" w:space="0"/>
            <w:bottom w:val="none" w:sz="0" w:space="0"/>
            <w:right w:val="none" w:sz="0" w:space="0"/>
          </w:pgBorders>
          <w:pgNumType w:fmt="decimal"/>
          <w:cols w:space="720" w:num="1"/>
          <w:titlePg/>
          <w:docGrid w:type="lines" w:linePitch="312" w:charSpace="0"/>
        </w:sectPr>
      </w:pPr>
    </w:p>
    <w:p w14:paraId="3611745D">
      <w:pPr>
        <w:pStyle w:val="4"/>
        <w:numPr>
          <w:ilvl w:val="0"/>
          <w:numId w:val="11"/>
        </w:numPr>
        <w:spacing w:line="240" w:lineRule="auto"/>
        <w:ind w:left="0" w:leftChars="0" w:firstLine="0" w:firstLineChars="0"/>
        <w:jc w:val="center"/>
        <w:outlineLvl w:val="0"/>
        <w:rPr>
          <w:rFonts w:hint="eastAsia" w:asciiTheme="majorEastAsia" w:hAnsiTheme="majorEastAsia" w:eastAsiaTheme="majorEastAsia"/>
          <w:sz w:val="30"/>
          <w:szCs w:val="30"/>
          <w:lang w:val="en-US" w:eastAsia="zh-CN"/>
        </w:rPr>
      </w:pPr>
      <w:bookmarkStart w:id="30" w:name="_Toc1006"/>
      <w:r>
        <w:rPr>
          <w:rFonts w:hint="eastAsia" w:asciiTheme="majorEastAsia" w:hAnsiTheme="majorEastAsia" w:eastAsiaTheme="majorEastAsia"/>
          <w:sz w:val="30"/>
          <w:szCs w:val="30"/>
          <w:lang w:val="en-US" w:eastAsia="zh-CN"/>
        </w:rPr>
        <w:t>综合评分指引</w:t>
      </w:r>
      <w:bookmarkEnd w:id="30"/>
    </w:p>
    <w:p w14:paraId="168FCB66">
      <w:pPr>
        <w:adjustRightInd w:val="0"/>
        <w:snapToGrid w:val="0"/>
        <w:spacing w:line="300" w:lineRule="auto"/>
        <w:ind w:firstLine="420" w:firstLineChars="200"/>
        <w:rPr>
          <w:rFonts w:ascii="宋体" w:hAnsi="宋体"/>
          <w:szCs w:val="21"/>
        </w:rPr>
      </w:pPr>
      <w:r>
        <w:rPr>
          <w:rFonts w:hint="eastAsia" w:ascii="宋体" w:hAnsi="宋体"/>
          <w:szCs w:val="21"/>
        </w:rPr>
        <w:t>对于“</w:t>
      </w:r>
      <w:r>
        <w:rPr>
          <w:rFonts w:hint="eastAsia" w:ascii="宋体" w:hAnsi="宋体"/>
          <w:b/>
          <w:szCs w:val="21"/>
        </w:rPr>
        <w:t>综合评分指引”</w:t>
      </w:r>
      <w:r>
        <w:rPr>
          <w:rFonts w:hint="eastAsia" w:ascii="宋体" w:hAnsi="宋体"/>
          <w:szCs w:val="21"/>
        </w:rPr>
        <w:t>请投标人按照</w:t>
      </w:r>
      <w:r>
        <w:rPr>
          <w:rFonts w:hint="eastAsia" w:ascii="宋体" w:hAnsi="宋体"/>
          <w:szCs w:val="21"/>
          <w:lang w:eastAsia="zh-CN"/>
        </w:rPr>
        <w:t>征集</w:t>
      </w:r>
      <w:r>
        <w:rPr>
          <w:rFonts w:hint="eastAsia" w:ascii="宋体" w:hAnsi="宋体"/>
          <w:szCs w:val="21"/>
        </w:rPr>
        <w:t>文件</w:t>
      </w:r>
      <w:r>
        <w:rPr>
          <w:rFonts w:hint="eastAsia" w:ascii="宋体" w:hAnsi="宋体"/>
          <w:b/>
          <w:szCs w:val="21"/>
        </w:rPr>
        <w:t>评标信息评分细则表</w:t>
      </w:r>
      <w:r>
        <w:rPr>
          <w:rFonts w:hint="eastAsia" w:ascii="宋体" w:hAnsi="宋体"/>
          <w:szCs w:val="21"/>
        </w:rPr>
        <w:t>内容，根据各评分项目以</w:t>
      </w:r>
      <w:r>
        <w:rPr>
          <w:rFonts w:hint="eastAsia" w:ascii="宋体" w:hAnsi="宋体"/>
          <w:b/>
          <w:szCs w:val="21"/>
        </w:rPr>
        <w:t>自上而下</w:t>
      </w:r>
      <w:r>
        <w:rPr>
          <w:rFonts w:hint="eastAsia" w:ascii="宋体" w:hAnsi="宋体"/>
          <w:szCs w:val="21"/>
        </w:rPr>
        <w:t>的顺序编制。因项目次序混乱而影响评标效率及评标结果者，投标人自负其责。</w:t>
      </w:r>
    </w:p>
    <w:p w14:paraId="257ABC5B">
      <w:pPr>
        <w:adjustRightInd w:val="0"/>
        <w:snapToGrid w:val="0"/>
        <w:spacing w:line="300" w:lineRule="auto"/>
        <w:rPr>
          <w:rFonts w:ascii="宋体" w:hAnsi="宋体"/>
          <w:szCs w:val="21"/>
        </w:rPr>
      </w:pPr>
    </w:p>
    <w:tbl>
      <w:tblPr>
        <w:tblStyle w:val="2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001"/>
        <w:gridCol w:w="2636"/>
        <w:gridCol w:w="3367"/>
      </w:tblGrid>
      <w:tr w14:paraId="58E461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4" w:hRule="atLeast"/>
          <w:jc w:val="center"/>
        </w:trPr>
        <w:tc>
          <w:tcPr>
            <w:tcW w:w="3001" w:type="dxa"/>
            <w:vAlign w:val="center"/>
          </w:tcPr>
          <w:p w14:paraId="7098C0A7">
            <w:pPr>
              <w:keepNext w:val="0"/>
              <w:keepLines w:val="0"/>
              <w:suppressLineNumbers w:val="0"/>
              <w:adjustRightInd w:val="0"/>
              <w:snapToGrid w:val="0"/>
              <w:spacing w:before="0" w:beforeAutospacing="0" w:after="0" w:afterAutospacing="0" w:line="300" w:lineRule="auto"/>
              <w:ind w:left="0" w:right="0"/>
              <w:jc w:val="center"/>
              <w:rPr>
                <w:rFonts w:hint="default" w:ascii="宋体" w:hAnsi="宋体"/>
                <w:b/>
                <w:szCs w:val="21"/>
              </w:rPr>
            </w:pPr>
            <w:r>
              <w:rPr>
                <w:rFonts w:hint="eastAsia" w:ascii="宋体" w:hAnsi="宋体"/>
                <w:b/>
                <w:szCs w:val="21"/>
              </w:rPr>
              <w:t>评分因素</w:t>
            </w:r>
          </w:p>
        </w:tc>
        <w:tc>
          <w:tcPr>
            <w:tcW w:w="2636" w:type="dxa"/>
            <w:vAlign w:val="center"/>
          </w:tcPr>
          <w:p w14:paraId="2F23BF74">
            <w:pPr>
              <w:keepNext w:val="0"/>
              <w:keepLines w:val="0"/>
              <w:suppressLineNumbers w:val="0"/>
              <w:adjustRightInd w:val="0"/>
              <w:snapToGrid w:val="0"/>
              <w:spacing w:before="0" w:beforeAutospacing="0" w:after="0" w:afterAutospacing="0" w:line="300" w:lineRule="auto"/>
              <w:ind w:left="0" w:right="0"/>
              <w:jc w:val="center"/>
              <w:rPr>
                <w:rFonts w:hint="default" w:ascii="宋体" w:hAnsi="宋体"/>
                <w:b/>
                <w:szCs w:val="21"/>
              </w:rPr>
            </w:pPr>
            <w:r>
              <w:rPr>
                <w:rFonts w:hint="eastAsia" w:ascii="宋体" w:hAnsi="宋体"/>
                <w:b/>
                <w:szCs w:val="21"/>
              </w:rPr>
              <w:t>评分准则</w:t>
            </w:r>
          </w:p>
        </w:tc>
        <w:tc>
          <w:tcPr>
            <w:tcW w:w="3367" w:type="dxa"/>
            <w:vAlign w:val="center"/>
          </w:tcPr>
          <w:p w14:paraId="0974977E">
            <w:pPr>
              <w:keepNext w:val="0"/>
              <w:keepLines w:val="0"/>
              <w:suppressLineNumbers w:val="0"/>
              <w:adjustRightInd w:val="0"/>
              <w:snapToGrid w:val="0"/>
              <w:spacing w:before="0" w:beforeAutospacing="0" w:after="0" w:afterAutospacing="0" w:line="300" w:lineRule="auto"/>
              <w:ind w:left="0" w:right="0"/>
              <w:jc w:val="center"/>
              <w:rPr>
                <w:rFonts w:hint="default" w:ascii="宋体" w:hAnsi="宋体"/>
                <w:b/>
                <w:szCs w:val="21"/>
              </w:rPr>
            </w:pPr>
            <w:r>
              <w:rPr>
                <w:rFonts w:hint="eastAsia" w:ascii="宋体" w:hAnsi="宋体"/>
                <w:b/>
                <w:szCs w:val="21"/>
              </w:rPr>
              <w:t>证明文件</w:t>
            </w:r>
          </w:p>
        </w:tc>
      </w:tr>
      <w:tr w14:paraId="44BB54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3001" w:type="dxa"/>
            <w:vAlign w:val="center"/>
          </w:tcPr>
          <w:p w14:paraId="4C8851E2">
            <w:pPr>
              <w:keepNext w:val="0"/>
              <w:keepLines w:val="0"/>
              <w:suppressLineNumbers w:val="0"/>
              <w:adjustRightInd w:val="0"/>
              <w:snapToGrid w:val="0"/>
              <w:spacing w:before="0" w:beforeAutospacing="0" w:after="0" w:afterAutospacing="0" w:line="300" w:lineRule="auto"/>
              <w:ind w:left="0" w:right="0"/>
              <w:jc w:val="center"/>
              <w:rPr>
                <w:rFonts w:hint="default" w:ascii="宋体" w:hAnsi="宋体"/>
                <w:szCs w:val="21"/>
              </w:rPr>
            </w:pPr>
          </w:p>
        </w:tc>
        <w:tc>
          <w:tcPr>
            <w:tcW w:w="2636" w:type="dxa"/>
            <w:vAlign w:val="center"/>
          </w:tcPr>
          <w:p w14:paraId="24BA1A3A">
            <w:pPr>
              <w:keepNext w:val="0"/>
              <w:keepLines w:val="0"/>
              <w:suppressLineNumbers w:val="0"/>
              <w:adjustRightInd w:val="0"/>
              <w:snapToGrid w:val="0"/>
              <w:spacing w:before="0" w:beforeAutospacing="0" w:after="0" w:afterAutospacing="0" w:line="300" w:lineRule="auto"/>
              <w:ind w:left="0" w:right="0"/>
              <w:jc w:val="center"/>
              <w:rPr>
                <w:rFonts w:hint="default" w:ascii="宋体" w:hAnsi="宋体"/>
                <w:szCs w:val="21"/>
              </w:rPr>
            </w:pPr>
          </w:p>
        </w:tc>
        <w:tc>
          <w:tcPr>
            <w:tcW w:w="3367" w:type="dxa"/>
            <w:vAlign w:val="center"/>
          </w:tcPr>
          <w:p w14:paraId="128CF5B8">
            <w:pPr>
              <w:keepNext w:val="0"/>
              <w:keepLines w:val="0"/>
              <w:suppressLineNumbers w:val="0"/>
              <w:adjustRightInd w:val="0"/>
              <w:snapToGrid w:val="0"/>
              <w:spacing w:before="0" w:beforeAutospacing="0" w:after="0" w:afterAutospacing="0" w:line="300" w:lineRule="auto"/>
              <w:ind w:left="0" w:right="0"/>
              <w:jc w:val="center"/>
              <w:rPr>
                <w:rFonts w:hint="default" w:ascii="宋体" w:hAnsi="宋体"/>
                <w:szCs w:val="21"/>
              </w:rPr>
            </w:pPr>
            <w:r>
              <w:rPr>
                <w:rFonts w:hint="eastAsia" w:ascii="宋体" w:hAnsi="宋体"/>
                <w:szCs w:val="21"/>
              </w:rPr>
              <w:t>见投标/响应文件第（）页</w:t>
            </w:r>
          </w:p>
        </w:tc>
      </w:tr>
      <w:tr w14:paraId="7CA21D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jc w:val="center"/>
        </w:trPr>
        <w:tc>
          <w:tcPr>
            <w:tcW w:w="3001" w:type="dxa"/>
            <w:vAlign w:val="center"/>
          </w:tcPr>
          <w:p w14:paraId="61AE6F4F">
            <w:pPr>
              <w:keepNext w:val="0"/>
              <w:keepLines w:val="0"/>
              <w:suppressLineNumbers w:val="0"/>
              <w:adjustRightInd w:val="0"/>
              <w:snapToGrid w:val="0"/>
              <w:spacing w:before="0" w:beforeAutospacing="0" w:after="0" w:afterAutospacing="0" w:line="300" w:lineRule="auto"/>
              <w:ind w:left="0" w:right="0"/>
              <w:jc w:val="center"/>
              <w:rPr>
                <w:rFonts w:hint="default" w:ascii="宋体" w:hAnsi="宋体"/>
                <w:szCs w:val="21"/>
              </w:rPr>
            </w:pPr>
          </w:p>
        </w:tc>
        <w:tc>
          <w:tcPr>
            <w:tcW w:w="2636" w:type="dxa"/>
            <w:vAlign w:val="center"/>
          </w:tcPr>
          <w:p w14:paraId="7BF120AF">
            <w:pPr>
              <w:keepNext w:val="0"/>
              <w:keepLines w:val="0"/>
              <w:suppressLineNumbers w:val="0"/>
              <w:adjustRightInd w:val="0"/>
              <w:snapToGrid w:val="0"/>
              <w:spacing w:before="0" w:beforeAutospacing="0" w:after="0" w:afterAutospacing="0" w:line="300" w:lineRule="auto"/>
              <w:ind w:left="0" w:right="0"/>
              <w:jc w:val="center"/>
              <w:rPr>
                <w:rFonts w:hint="default" w:ascii="宋体" w:hAnsi="宋体"/>
                <w:szCs w:val="21"/>
              </w:rPr>
            </w:pPr>
          </w:p>
        </w:tc>
        <w:tc>
          <w:tcPr>
            <w:tcW w:w="3367" w:type="dxa"/>
            <w:vAlign w:val="center"/>
          </w:tcPr>
          <w:p w14:paraId="6C7FC47F">
            <w:pPr>
              <w:keepNext w:val="0"/>
              <w:keepLines w:val="0"/>
              <w:suppressLineNumbers w:val="0"/>
              <w:adjustRightInd w:val="0"/>
              <w:snapToGrid w:val="0"/>
              <w:spacing w:before="0" w:beforeAutospacing="0" w:after="0" w:afterAutospacing="0" w:line="300" w:lineRule="auto"/>
              <w:ind w:left="0" w:right="0"/>
              <w:jc w:val="center"/>
              <w:rPr>
                <w:rFonts w:hint="default" w:ascii="宋体" w:hAnsi="宋体"/>
                <w:szCs w:val="21"/>
              </w:rPr>
            </w:pPr>
            <w:r>
              <w:rPr>
                <w:rFonts w:hint="eastAsia" w:ascii="宋体" w:hAnsi="宋体"/>
                <w:szCs w:val="21"/>
              </w:rPr>
              <w:t>见投标/响应文件第（）页</w:t>
            </w:r>
          </w:p>
        </w:tc>
      </w:tr>
      <w:tr w14:paraId="66ACEE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2" w:hRule="atLeast"/>
          <w:jc w:val="center"/>
        </w:trPr>
        <w:tc>
          <w:tcPr>
            <w:tcW w:w="3001" w:type="dxa"/>
            <w:vAlign w:val="center"/>
          </w:tcPr>
          <w:p w14:paraId="725CDC1D">
            <w:pPr>
              <w:keepNext w:val="0"/>
              <w:keepLines w:val="0"/>
              <w:suppressLineNumbers w:val="0"/>
              <w:adjustRightInd w:val="0"/>
              <w:snapToGrid w:val="0"/>
              <w:spacing w:before="0" w:beforeAutospacing="0" w:after="0" w:afterAutospacing="0" w:line="300" w:lineRule="auto"/>
              <w:ind w:left="0" w:right="0"/>
              <w:jc w:val="center"/>
              <w:rPr>
                <w:rFonts w:hint="default" w:ascii="宋体" w:hAnsi="宋体"/>
                <w:szCs w:val="21"/>
              </w:rPr>
            </w:pPr>
          </w:p>
        </w:tc>
        <w:tc>
          <w:tcPr>
            <w:tcW w:w="2636" w:type="dxa"/>
            <w:vAlign w:val="center"/>
          </w:tcPr>
          <w:p w14:paraId="6F7544BC">
            <w:pPr>
              <w:keepNext w:val="0"/>
              <w:keepLines w:val="0"/>
              <w:suppressLineNumbers w:val="0"/>
              <w:adjustRightInd w:val="0"/>
              <w:snapToGrid w:val="0"/>
              <w:spacing w:before="0" w:beforeAutospacing="0" w:after="0" w:afterAutospacing="0" w:line="300" w:lineRule="auto"/>
              <w:ind w:left="0" w:right="0"/>
              <w:jc w:val="center"/>
              <w:rPr>
                <w:rFonts w:hint="default" w:ascii="宋体" w:hAnsi="宋体"/>
                <w:szCs w:val="21"/>
              </w:rPr>
            </w:pPr>
          </w:p>
        </w:tc>
        <w:tc>
          <w:tcPr>
            <w:tcW w:w="3367" w:type="dxa"/>
            <w:vAlign w:val="center"/>
          </w:tcPr>
          <w:p w14:paraId="00DAD869">
            <w:pPr>
              <w:keepNext w:val="0"/>
              <w:keepLines w:val="0"/>
              <w:suppressLineNumbers w:val="0"/>
              <w:adjustRightInd w:val="0"/>
              <w:snapToGrid w:val="0"/>
              <w:spacing w:before="0" w:beforeAutospacing="0" w:after="0" w:afterAutospacing="0" w:line="300" w:lineRule="auto"/>
              <w:ind w:left="0" w:right="0"/>
              <w:jc w:val="center"/>
              <w:rPr>
                <w:rFonts w:hint="default" w:ascii="宋体" w:hAnsi="宋体"/>
                <w:szCs w:val="21"/>
              </w:rPr>
            </w:pPr>
            <w:r>
              <w:rPr>
                <w:rFonts w:hint="eastAsia" w:ascii="宋体" w:hAnsi="宋体"/>
                <w:szCs w:val="21"/>
              </w:rPr>
              <w:t>见投标/响应文件第（）页</w:t>
            </w:r>
          </w:p>
        </w:tc>
      </w:tr>
      <w:tr w14:paraId="5F6DB2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jc w:val="center"/>
        </w:trPr>
        <w:tc>
          <w:tcPr>
            <w:tcW w:w="3001" w:type="dxa"/>
            <w:vAlign w:val="center"/>
          </w:tcPr>
          <w:p w14:paraId="133B850F">
            <w:pPr>
              <w:keepNext w:val="0"/>
              <w:keepLines w:val="0"/>
              <w:suppressLineNumbers w:val="0"/>
              <w:adjustRightInd w:val="0"/>
              <w:snapToGrid w:val="0"/>
              <w:spacing w:before="0" w:beforeAutospacing="0" w:after="0" w:afterAutospacing="0" w:line="300" w:lineRule="auto"/>
              <w:ind w:left="0" w:right="0"/>
              <w:jc w:val="center"/>
              <w:rPr>
                <w:rFonts w:hint="default" w:ascii="宋体" w:hAnsi="宋体"/>
                <w:szCs w:val="21"/>
              </w:rPr>
            </w:pPr>
          </w:p>
        </w:tc>
        <w:tc>
          <w:tcPr>
            <w:tcW w:w="2636" w:type="dxa"/>
            <w:vAlign w:val="center"/>
          </w:tcPr>
          <w:p w14:paraId="6D6C3D8E">
            <w:pPr>
              <w:keepNext w:val="0"/>
              <w:keepLines w:val="0"/>
              <w:suppressLineNumbers w:val="0"/>
              <w:adjustRightInd w:val="0"/>
              <w:snapToGrid w:val="0"/>
              <w:spacing w:before="0" w:beforeAutospacing="0" w:after="0" w:afterAutospacing="0" w:line="300" w:lineRule="auto"/>
              <w:ind w:left="0" w:right="0"/>
              <w:jc w:val="center"/>
              <w:rPr>
                <w:rFonts w:hint="default" w:ascii="宋体" w:hAnsi="宋体"/>
                <w:szCs w:val="21"/>
              </w:rPr>
            </w:pPr>
          </w:p>
        </w:tc>
        <w:tc>
          <w:tcPr>
            <w:tcW w:w="3367" w:type="dxa"/>
            <w:vAlign w:val="center"/>
          </w:tcPr>
          <w:p w14:paraId="6C8257C3">
            <w:pPr>
              <w:keepNext w:val="0"/>
              <w:keepLines w:val="0"/>
              <w:suppressLineNumbers w:val="0"/>
              <w:adjustRightInd w:val="0"/>
              <w:snapToGrid w:val="0"/>
              <w:spacing w:before="0" w:beforeAutospacing="0" w:after="0" w:afterAutospacing="0" w:line="300" w:lineRule="auto"/>
              <w:ind w:left="0" w:right="0"/>
              <w:jc w:val="center"/>
              <w:rPr>
                <w:rFonts w:hint="default" w:ascii="宋体" w:hAnsi="宋体"/>
                <w:szCs w:val="21"/>
              </w:rPr>
            </w:pPr>
            <w:r>
              <w:rPr>
                <w:rFonts w:hint="eastAsia" w:ascii="宋体" w:hAnsi="宋体"/>
                <w:szCs w:val="21"/>
              </w:rPr>
              <w:t>见投标/响应文件第（）页</w:t>
            </w:r>
          </w:p>
        </w:tc>
      </w:tr>
      <w:tr w14:paraId="24C094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jc w:val="center"/>
        </w:trPr>
        <w:tc>
          <w:tcPr>
            <w:tcW w:w="3001" w:type="dxa"/>
            <w:vAlign w:val="center"/>
          </w:tcPr>
          <w:p w14:paraId="0E5EF5F1">
            <w:pPr>
              <w:keepNext w:val="0"/>
              <w:keepLines w:val="0"/>
              <w:suppressLineNumbers w:val="0"/>
              <w:adjustRightInd w:val="0"/>
              <w:snapToGrid w:val="0"/>
              <w:spacing w:before="0" w:beforeAutospacing="0" w:after="0" w:afterAutospacing="0" w:line="300" w:lineRule="auto"/>
              <w:ind w:left="0" w:right="0"/>
              <w:jc w:val="center"/>
              <w:rPr>
                <w:rFonts w:hint="default" w:ascii="宋体" w:hAnsi="宋体"/>
                <w:szCs w:val="21"/>
              </w:rPr>
            </w:pPr>
          </w:p>
        </w:tc>
        <w:tc>
          <w:tcPr>
            <w:tcW w:w="2636" w:type="dxa"/>
            <w:vAlign w:val="center"/>
          </w:tcPr>
          <w:p w14:paraId="6C0DE595">
            <w:pPr>
              <w:keepNext w:val="0"/>
              <w:keepLines w:val="0"/>
              <w:suppressLineNumbers w:val="0"/>
              <w:adjustRightInd w:val="0"/>
              <w:snapToGrid w:val="0"/>
              <w:spacing w:before="0" w:beforeAutospacing="0" w:after="0" w:afterAutospacing="0" w:line="300" w:lineRule="auto"/>
              <w:ind w:left="0" w:right="0"/>
              <w:jc w:val="center"/>
              <w:rPr>
                <w:rFonts w:hint="default" w:ascii="宋体" w:hAnsi="宋体"/>
                <w:szCs w:val="21"/>
              </w:rPr>
            </w:pPr>
          </w:p>
        </w:tc>
        <w:tc>
          <w:tcPr>
            <w:tcW w:w="3367" w:type="dxa"/>
            <w:vAlign w:val="center"/>
          </w:tcPr>
          <w:p w14:paraId="6C2D6675">
            <w:pPr>
              <w:keepNext w:val="0"/>
              <w:keepLines w:val="0"/>
              <w:suppressLineNumbers w:val="0"/>
              <w:adjustRightInd w:val="0"/>
              <w:snapToGrid w:val="0"/>
              <w:spacing w:before="0" w:beforeAutospacing="0" w:after="0" w:afterAutospacing="0" w:line="300" w:lineRule="auto"/>
              <w:ind w:left="0" w:right="0"/>
              <w:jc w:val="center"/>
              <w:rPr>
                <w:rFonts w:hint="default" w:ascii="宋体" w:hAnsi="宋体"/>
                <w:szCs w:val="21"/>
              </w:rPr>
            </w:pPr>
            <w:r>
              <w:rPr>
                <w:rFonts w:hint="eastAsia" w:ascii="宋体" w:hAnsi="宋体"/>
                <w:szCs w:val="21"/>
              </w:rPr>
              <w:t>见投标/响应文件第（）页</w:t>
            </w:r>
          </w:p>
        </w:tc>
      </w:tr>
      <w:tr w14:paraId="6D72EC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jc w:val="center"/>
        </w:trPr>
        <w:tc>
          <w:tcPr>
            <w:tcW w:w="3001" w:type="dxa"/>
            <w:vAlign w:val="center"/>
          </w:tcPr>
          <w:p w14:paraId="6E5F3AE9">
            <w:pPr>
              <w:keepNext w:val="0"/>
              <w:keepLines w:val="0"/>
              <w:suppressLineNumbers w:val="0"/>
              <w:adjustRightInd w:val="0"/>
              <w:snapToGrid w:val="0"/>
              <w:spacing w:before="0" w:beforeAutospacing="0" w:after="0" w:afterAutospacing="0" w:line="300" w:lineRule="auto"/>
              <w:ind w:left="0" w:right="0"/>
              <w:jc w:val="center"/>
              <w:rPr>
                <w:rFonts w:hint="default" w:ascii="宋体" w:hAnsi="宋体"/>
                <w:szCs w:val="21"/>
              </w:rPr>
            </w:pPr>
          </w:p>
        </w:tc>
        <w:tc>
          <w:tcPr>
            <w:tcW w:w="2636" w:type="dxa"/>
            <w:vAlign w:val="center"/>
          </w:tcPr>
          <w:p w14:paraId="18F66296">
            <w:pPr>
              <w:keepNext w:val="0"/>
              <w:keepLines w:val="0"/>
              <w:suppressLineNumbers w:val="0"/>
              <w:adjustRightInd w:val="0"/>
              <w:snapToGrid w:val="0"/>
              <w:spacing w:before="0" w:beforeAutospacing="0" w:after="0" w:afterAutospacing="0" w:line="300" w:lineRule="auto"/>
              <w:ind w:left="0" w:right="0"/>
              <w:jc w:val="center"/>
              <w:rPr>
                <w:rFonts w:hint="default" w:ascii="宋体" w:hAnsi="宋体"/>
                <w:szCs w:val="21"/>
              </w:rPr>
            </w:pPr>
          </w:p>
        </w:tc>
        <w:tc>
          <w:tcPr>
            <w:tcW w:w="3367" w:type="dxa"/>
            <w:vAlign w:val="center"/>
          </w:tcPr>
          <w:p w14:paraId="5A69511D">
            <w:pPr>
              <w:keepNext w:val="0"/>
              <w:keepLines w:val="0"/>
              <w:suppressLineNumbers w:val="0"/>
              <w:adjustRightInd w:val="0"/>
              <w:snapToGrid w:val="0"/>
              <w:spacing w:before="0" w:beforeAutospacing="0" w:after="0" w:afterAutospacing="0" w:line="300" w:lineRule="auto"/>
              <w:ind w:left="0" w:right="0"/>
              <w:jc w:val="center"/>
              <w:rPr>
                <w:rFonts w:hint="eastAsia" w:ascii="宋体" w:hAnsi="宋体"/>
                <w:szCs w:val="21"/>
              </w:rPr>
            </w:pPr>
            <w:r>
              <w:rPr>
                <w:rFonts w:hint="eastAsia" w:ascii="宋体" w:hAnsi="宋体"/>
                <w:szCs w:val="21"/>
              </w:rPr>
              <w:t>见投标/响应文件第（）页</w:t>
            </w:r>
          </w:p>
        </w:tc>
      </w:tr>
      <w:tr w14:paraId="09BAB6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jc w:val="center"/>
        </w:trPr>
        <w:tc>
          <w:tcPr>
            <w:tcW w:w="3001" w:type="dxa"/>
            <w:vAlign w:val="center"/>
          </w:tcPr>
          <w:p w14:paraId="7360DA74">
            <w:pPr>
              <w:keepNext w:val="0"/>
              <w:keepLines w:val="0"/>
              <w:suppressLineNumbers w:val="0"/>
              <w:adjustRightInd w:val="0"/>
              <w:snapToGrid w:val="0"/>
              <w:spacing w:before="0" w:beforeAutospacing="0" w:after="0" w:afterAutospacing="0" w:line="300" w:lineRule="auto"/>
              <w:ind w:left="0" w:right="0"/>
              <w:jc w:val="center"/>
              <w:rPr>
                <w:rFonts w:hint="default" w:ascii="宋体" w:hAnsi="宋体"/>
                <w:szCs w:val="21"/>
              </w:rPr>
            </w:pPr>
          </w:p>
        </w:tc>
        <w:tc>
          <w:tcPr>
            <w:tcW w:w="2636" w:type="dxa"/>
            <w:vAlign w:val="center"/>
          </w:tcPr>
          <w:p w14:paraId="0D1FA47E">
            <w:pPr>
              <w:keepNext w:val="0"/>
              <w:keepLines w:val="0"/>
              <w:suppressLineNumbers w:val="0"/>
              <w:adjustRightInd w:val="0"/>
              <w:snapToGrid w:val="0"/>
              <w:spacing w:before="0" w:beforeAutospacing="0" w:after="0" w:afterAutospacing="0" w:line="300" w:lineRule="auto"/>
              <w:ind w:left="0" w:right="0"/>
              <w:jc w:val="center"/>
              <w:rPr>
                <w:rFonts w:hint="default" w:ascii="宋体" w:hAnsi="宋体"/>
                <w:szCs w:val="21"/>
              </w:rPr>
            </w:pPr>
          </w:p>
        </w:tc>
        <w:tc>
          <w:tcPr>
            <w:tcW w:w="3367" w:type="dxa"/>
            <w:vAlign w:val="center"/>
          </w:tcPr>
          <w:p w14:paraId="17C5C56C">
            <w:pPr>
              <w:keepNext w:val="0"/>
              <w:keepLines w:val="0"/>
              <w:suppressLineNumbers w:val="0"/>
              <w:adjustRightInd w:val="0"/>
              <w:snapToGrid w:val="0"/>
              <w:spacing w:before="0" w:beforeAutospacing="0" w:after="0" w:afterAutospacing="0" w:line="300" w:lineRule="auto"/>
              <w:ind w:left="0" w:right="0"/>
              <w:jc w:val="center"/>
              <w:rPr>
                <w:rFonts w:hint="eastAsia" w:ascii="宋体" w:hAnsi="宋体"/>
                <w:szCs w:val="21"/>
              </w:rPr>
            </w:pPr>
            <w:r>
              <w:rPr>
                <w:rFonts w:hint="eastAsia" w:ascii="宋体" w:hAnsi="宋体"/>
                <w:szCs w:val="21"/>
              </w:rPr>
              <w:t>见投标/响应文件第（）页</w:t>
            </w:r>
          </w:p>
        </w:tc>
      </w:tr>
    </w:tbl>
    <w:p w14:paraId="360D7A47">
      <w:pPr>
        <w:numPr>
          <w:ilvl w:val="0"/>
          <w:numId w:val="0"/>
        </w:numPr>
        <w:ind w:leftChars="0"/>
        <w:rPr>
          <w:rFonts w:hint="eastAsia"/>
          <w:lang w:val="en-US" w:eastAsia="zh-CN"/>
        </w:rPr>
      </w:pPr>
    </w:p>
    <w:p w14:paraId="1B2C3062">
      <w:pPr>
        <w:pStyle w:val="4"/>
        <w:numPr>
          <w:ilvl w:val="0"/>
          <w:numId w:val="0"/>
        </w:numPr>
        <w:spacing w:line="240" w:lineRule="auto"/>
        <w:ind w:left="420" w:leftChars="0" w:hanging="420" w:firstLineChars="0"/>
        <w:jc w:val="center"/>
        <w:outlineLvl w:val="9"/>
        <w:rPr>
          <w:rFonts w:hint="eastAsia" w:cs="宋体" w:asciiTheme="majorEastAsia" w:hAnsiTheme="majorEastAsia" w:eastAsiaTheme="majorEastAsia"/>
          <w:kern w:val="2"/>
          <w:sz w:val="30"/>
          <w:szCs w:val="30"/>
          <w:lang w:val="en-US" w:eastAsia="zh-CN" w:bidi="ar-SA"/>
        </w:rPr>
      </w:pPr>
    </w:p>
    <w:p w14:paraId="43652D17">
      <w:pPr>
        <w:pStyle w:val="4"/>
        <w:numPr>
          <w:ilvl w:val="0"/>
          <w:numId w:val="0"/>
        </w:numPr>
        <w:spacing w:line="240" w:lineRule="auto"/>
        <w:ind w:left="420" w:leftChars="0" w:hanging="420" w:firstLineChars="0"/>
        <w:jc w:val="center"/>
        <w:outlineLvl w:val="9"/>
        <w:rPr>
          <w:rFonts w:hint="eastAsia" w:cs="宋体" w:asciiTheme="majorEastAsia" w:hAnsiTheme="majorEastAsia" w:eastAsiaTheme="majorEastAsia"/>
          <w:kern w:val="2"/>
          <w:sz w:val="30"/>
          <w:szCs w:val="30"/>
          <w:lang w:val="en-US" w:eastAsia="zh-CN" w:bidi="ar-SA"/>
        </w:rPr>
      </w:pPr>
    </w:p>
    <w:p w14:paraId="163C87CC">
      <w:pPr>
        <w:pStyle w:val="4"/>
        <w:numPr>
          <w:ilvl w:val="0"/>
          <w:numId w:val="0"/>
        </w:numPr>
        <w:spacing w:line="240" w:lineRule="auto"/>
        <w:ind w:left="420" w:leftChars="0" w:hanging="420" w:firstLineChars="0"/>
        <w:jc w:val="center"/>
        <w:outlineLvl w:val="9"/>
        <w:rPr>
          <w:rFonts w:hint="eastAsia" w:cs="宋体" w:asciiTheme="majorEastAsia" w:hAnsiTheme="majorEastAsia" w:eastAsiaTheme="majorEastAsia"/>
          <w:kern w:val="2"/>
          <w:sz w:val="30"/>
          <w:szCs w:val="30"/>
          <w:lang w:val="en-US" w:eastAsia="zh-CN" w:bidi="ar-SA"/>
        </w:rPr>
      </w:pPr>
    </w:p>
    <w:p w14:paraId="5BCA0D99">
      <w:pPr>
        <w:pStyle w:val="4"/>
        <w:numPr>
          <w:ilvl w:val="0"/>
          <w:numId w:val="0"/>
        </w:numPr>
        <w:spacing w:line="240" w:lineRule="auto"/>
        <w:ind w:left="420" w:leftChars="0" w:hanging="420" w:firstLineChars="0"/>
        <w:jc w:val="center"/>
        <w:outlineLvl w:val="9"/>
        <w:rPr>
          <w:rFonts w:hint="eastAsia" w:cs="宋体" w:asciiTheme="majorEastAsia" w:hAnsiTheme="majorEastAsia" w:eastAsiaTheme="majorEastAsia"/>
          <w:kern w:val="2"/>
          <w:sz w:val="30"/>
          <w:szCs w:val="30"/>
          <w:lang w:val="en-US" w:eastAsia="zh-CN" w:bidi="ar-SA"/>
        </w:rPr>
      </w:pPr>
    </w:p>
    <w:p w14:paraId="724022B1">
      <w:pPr>
        <w:pStyle w:val="4"/>
        <w:numPr>
          <w:ilvl w:val="0"/>
          <w:numId w:val="0"/>
        </w:numPr>
        <w:spacing w:line="240" w:lineRule="auto"/>
        <w:ind w:left="420" w:leftChars="0" w:hanging="420" w:firstLineChars="0"/>
        <w:jc w:val="center"/>
        <w:outlineLvl w:val="9"/>
        <w:rPr>
          <w:rFonts w:hint="eastAsia" w:cs="宋体" w:asciiTheme="majorEastAsia" w:hAnsiTheme="majorEastAsia" w:eastAsiaTheme="majorEastAsia"/>
          <w:kern w:val="2"/>
          <w:sz w:val="30"/>
          <w:szCs w:val="30"/>
          <w:lang w:val="en-US" w:eastAsia="zh-CN" w:bidi="ar-SA"/>
        </w:rPr>
      </w:pPr>
    </w:p>
    <w:p w14:paraId="6C0E4DD3">
      <w:pPr>
        <w:pStyle w:val="4"/>
        <w:numPr>
          <w:ilvl w:val="0"/>
          <w:numId w:val="0"/>
        </w:numPr>
        <w:spacing w:line="240" w:lineRule="auto"/>
        <w:ind w:left="420" w:leftChars="0" w:hanging="420" w:firstLineChars="0"/>
        <w:jc w:val="center"/>
        <w:outlineLvl w:val="9"/>
        <w:rPr>
          <w:rFonts w:hint="eastAsia" w:cs="宋体" w:asciiTheme="majorEastAsia" w:hAnsiTheme="majorEastAsia" w:eastAsiaTheme="majorEastAsia"/>
          <w:kern w:val="2"/>
          <w:sz w:val="30"/>
          <w:szCs w:val="30"/>
          <w:lang w:val="en-US" w:eastAsia="zh-CN" w:bidi="ar-SA"/>
        </w:rPr>
      </w:pPr>
    </w:p>
    <w:p w14:paraId="37186EDC">
      <w:pPr>
        <w:pStyle w:val="4"/>
        <w:numPr>
          <w:ilvl w:val="0"/>
          <w:numId w:val="0"/>
        </w:numPr>
        <w:spacing w:line="240" w:lineRule="auto"/>
        <w:ind w:left="420" w:leftChars="0" w:hanging="420" w:firstLineChars="0"/>
        <w:jc w:val="center"/>
        <w:outlineLvl w:val="9"/>
        <w:rPr>
          <w:rFonts w:hint="eastAsia" w:cs="宋体" w:asciiTheme="majorEastAsia" w:hAnsiTheme="majorEastAsia" w:eastAsiaTheme="majorEastAsia"/>
          <w:kern w:val="2"/>
          <w:sz w:val="30"/>
          <w:szCs w:val="30"/>
          <w:lang w:val="en-US" w:eastAsia="zh-CN" w:bidi="ar-SA"/>
        </w:rPr>
      </w:pPr>
    </w:p>
    <w:p w14:paraId="748117D9">
      <w:pPr>
        <w:pStyle w:val="4"/>
        <w:numPr>
          <w:ilvl w:val="0"/>
          <w:numId w:val="0"/>
        </w:numPr>
        <w:spacing w:line="240" w:lineRule="auto"/>
        <w:ind w:left="420" w:leftChars="0" w:hanging="420" w:firstLineChars="0"/>
        <w:jc w:val="center"/>
        <w:outlineLvl w:val="9"/>
        <w:rPr>
          <w:rFonts w:hint="eastAsia" w:cs="宋体" w:asciiTheme="majorEastAsia" w:hAnsiTheme="majorEastAsia" w:eastAsiaTheme="majorEastAsia"/>
          <w:kern w:val="2"/>
          <w:sz w:val="30"/>
          <w:szCs w:val="30"/>
          <w:lang w:val="en-US" w:eastAsia="zh-CN" w:bidi="ar-SA"/>
        </w:rPr>
      </w:pPr>
    </w:p>
    <w:p w14:paraId="3AD3A274">
      <w:pPr>
        <w:pStyle w:val="4"/>
        <w:numPr>
          <w:ilvl w:val="0"/>
          <w:numId w:val="0"/>
        </w:numPr>
        <w:spacing w:line="240" w:lineRule="auto"/>
        <w:ind w:left="420" w:leftChars="0" w:hanging="420" w:firstLineChars="0"/>
        <w:jc w:val="center"/>
        <w:outlineLvl w:val="9"/>
        <w:rPr>
          <w:rFonts w:hint="eastAsia" w:cs="宋体" w:asciiTheme="majorEastAsia" w:hAnsiTheme="majorEastAsia" w:eastAsiaTheme="majorEastAsia"/>
          <w:kern w:val="2"/>
          <w:sz w:val="30"/>
          <w:szCs w:val="30"/>
          <w:lang w:val="en-US" w:eastAsia="zh-CN" w:bidi="ar-SA"/>
        </w:rPr>
      </w:pPr>
    </w:p>
    <w:p w14:paraId="2F674D68">
      <w:pPr>
        <w:pStyle w:val="4"/>
        <w:numPr>
          <w:ilvl w:val="0"/>
          <w:numId w:val="0"/>
        </w:numPr>
        <w:spacing w:line="240" w:lineRule="auto"/>
        <w:ind w:left="420" w:leftChars="0" w:hanging="420" w:firstLineChars="0"/>
        <w:jc w:val="center"/>
        <w:outlineLvl w:val="9"/>
        <w:rPr>
          <w:rFonts w:hint="eastAsia" w:cs="宋体" w:asciiTheme="majorEastAsia" w:hAnsiTheme="majorEastAsia" w:eastAsiaTheme="majorEastAsia"/>
          <w:kern w:val="2"/>
          <w:sz w:val="30"/>
          <w:szCs w:val="30"/>
          <w:lang w:val="en-US" w:eastAsia="zh-CN" w:bidi="ar-SA"/>
        </w:rPr>
      </w:pPr>
    </w:p>
    <w:p w14:paraId="5B41155B">
      <w:pPr>
        <w:pStyle w:val="4"/>
        <w:numPr>
          <w:ilvl w:val="0"/>
          <w:numId w:val="0"/>
        </w:numPr>
        <w:spacing w:line="240" w:lineRule="auto"/>
        <w:ind w:left="420" w:leftChars="0" w:hanging="420" w:firstLineChars="0"/>
        <w:jc w:val="center"/>
        <w:outlineLvl w:val="9"/>
        <w:rPr>
          <w:rFonts w:hint="eastAsia" w:cs="宋体" w:asciiTheme="majorEastAsia" w:hAnsiTheme="majorEastAsia" w:eastAsiaTheme="majorEastAsia"/>
          <w:kern w:val="2"/>
          <w:sz w:val="30"/>
          <w:szCs w:val="30"/>
          <w:lang w:val="en-US" w:eastAsia="zh-CN" w:bidi="ar-SA"/>
        </w:rPr>
      </w:pPr>
    </w:p>
    <w:p w14:paraId="4D7BB6C0">
      <w:pPr>
        <w:pStyle w:val="4"/>
        <w:numPr>
          <w:ilvl w:val="0"/>
          <w:numId w:val="0"/>
        </w:numPr>
        <w:spacing w:line="240" w:lineRule="auto"/>
        <w:ind w:left="420" w:leftChars="0" w:hanging="420" w:firstLineChars="0"/>
        <w:jc w:val="center"/>
        <w:outlineLvl w:val="9"/>
        <w:rPr>
          <w:rFonts w:hint="eastAsia" w:cs="宋体" w:asciiTheme="majorEastAsia" w:hAnsiTheme="majorEastAsia" w:eastAsiaTheme="majorEastAsia"/>
          <w:kern w:val="2"/>
          <w:sz w:val="30"/>
          <w:szCs w:val="30"/>
          <w:lang w:val="en-US" w:eastAsia="zh-CN" w:bidi="ar-SA"/>
        </w:rPr>
      </w:pPr>
    </w:p>
    <w:p w14:paraId="26D7CBB0">
      <w:pPr>
        <w:pStyle w:val="4"/>
        <w:numPr>
          <w:ilvl w:val="0"/>
          <w:numId w:val="0"/>
        </w:numPr>
        <w:spacing w:line="240" w:lineRule="auto"/>
        <w:ind w:left="420" w:leftChars="0" w:hanging="420" w:firstLineChars="0"/>
        <w:jc w:val="center"/>
        <w:outlineLvl w:val="9"/>
        <w:rPr>
          <w:rFonts w:hint="eastAsia" w:cs="宋体" w:asciiTheme="majorEastAsia" w:hAnsiTheme="majorEastAsia" w:eastAsiaTheme="majorEastAsia"/>
          <w:kern w:val="2"/>
          <w:sz w:val="30"/>
          <w:szCs w:val="30"/>
          <w:lang w:val="en-US" w:eastAsia="zh-CN" w:bidi="ar-SA"/>
        </w:rPr>
      </w:pPr>
    </w:p>
    <w:p w14:paraId="44C12BA8">
      <w:pPr>
        <w:pStyle w:val="4"/>
        <w:numPr>
          <w:ilvl w:val="0"/>
          <w:numId w:val="0"/>
        </w:numPr>
        <w:spacing w:line="240" w:lineRule="auto"/>
        <w:ind w:left="0" w:leftChars="0" w:firstLine="0" w:firstLineChars="0"/>
        <w:jc w:val="center"/>
        <w:outlineLvl w:val="0"/>
        <w:rPr>
          <w:rFonts w:hint="eastAsia" w:asciiTheme="majorEastAsia" w:hAnsiTheme="majorEastAsia" w:eastAsiaTheme="majorEastAsia"/>
          <w:sz w:val="30"/>
          <w:szCs w:val="30"/>
        </w:rPr>
      </w:pPr>
      <w:bookmarkStart w:id="31" w:name="_Toc24549"/>
      <w:r>
        <w:rPr>
          <w:rFonts w:hint="eastAsia" w:cs="宋体" w:asciiTheme="majorEastAsia" w:hAnsiTheme="majorEastAsia" w:eastAsiaTheme="majorEastAsia"/>
          <w:kern w:val="2"/>
          <w:sz w:val="30"/>
          <w:szCs w:val="30"/>
          <w:lang w:val="en-US" w:eastAsia="zh-CN" w:bidi="ar-SA"/>
        </w:rPr>
        <w:t>（五）</w:t>
      </w:r>
      <w:r>
        <w:rPr>
          <w:rFonts w:hint="eastAsia" w:asciiTheme="majorEastAsia" w:hAnsiTheme="majorEastAsia" w:eastAsiaTheme="majorEastAsia"/>
          <w:sz w:val="30"/>
          <w:szCs w:val="30"/>
        </w:rPr>
        <w:t>资质文件</w:t>
      </w:r>
      <w:bookmarkEnd w:id="28"/>
      <w:bookmarkEnd w:id="31"/>
    </w:p>
    <w:p w14:paraId="54708C25">
      <w:pPr>
        <w:rPr>
          <w:rFonts w:hint="eastAsia" w:asciiTheme="majorEastAsia" w:hAnsiTheme="majorEastAsia" w:eastAsiaTheme="majorEastAsia" w:cstheme="majorEastAsia"/>
          <w:sz w:val="24"/>
          <w:szCs w:val="32"/>
          <w:lang w:val="en-US" w:eastAsia="zh-CN"/>
        </w:rPr>
      </w:pPr>
      <w:r>
        <w:rPr>
          <w:rFonts w:hint="eastAsia" w:asciiTheme="majorEastAsia" w:hAnsiTheme="majorEastAsia" w:eastAsiaTheme="majorEastAsia" w:cstheme="majorEastAsia"/>
          <w:sz w:val="24"/>
          <w:szCs w:val="32"/>
          <w:lang w:val="en-US" w:eastAsia="zh-CN"/>
        </w:rPr>
        <w:t>1.投标供应商营业执照、第二类医疗器械经营备案凭证（</w:t>
      </w:r>
      <w:r>
        <w:rPr>
          <w:rFonts w:hint="eastAsia" w:asciiTheme="majorEastAsia" w:hAnsiTheme="majorEastAsia" w:eastAsiaTheme="majorEastAsia" w:cstheme="majorEastAsia"/>
          <w:sz w:val="24"/>
          <w:szCs w:val="22"/>
          <w:lang w:val="en-US" w:eastAsia="zh-CN"/>
        </w:rPr>
        <w:t>如项目涉及</w:t>
      </w:r>
      <w:r>
        <w:rPr>
          <w:rFonts w:hint="eastAsia" w:asciiTheme="majorEastAsia" w:hAnsiTheme="majorEastAsia" w:eastAsiaTheme="majorEastAsia" w:cstheme="majorEastAsia"/>
          <w:sz w:val="24"/>
          <w:szCs w:val="32"/>
          <w:lang w:val="en-US" w:eastAsia="zh-CN"/>
        </w:rPr>
        <w:t>）、医疗器械经营许可证（</w:t>
      </w:r>
      <w:r>
        <w:rPr>
          <w:rFonts w:hint="eastAsia" w:asciiTheme="majorEastAsia" w:hAnsiTheme="majorEastAsia" w:eastAsiaTheme="majorEastAsia" w:cstheme="majorEastAsia"/>
          <w:sz w:val="24"/>
          <w:szCs w:val="22"/>
          <w:lang w:val="en-US" w:eastAsia="zh-CN"/>
        </w:rPr>
        <w:t>如项目涉及</w:t>
      </w:r>
      <w:r>
        <w:rPr>
          <w:rFonts w:hint="eastAsia" w:asciiTheme="majorEastAsia" w:hAnsiTheme="majorEastAsia" w:eastAsiaTheme="majorEastAsia" w:cstheme="majorEastAsia"/>
          <w:sz w:val="24"/>
          <w:szCs w:val="32"/>
          <w:lang w:val="en-US" w:eastAsia="zh-CN"/>
        </w:rPr>
        <w:t>）、</w:t>
      </w:r>
      <w:r>
        <w:rPr>
          <w:rFonts w:hint="eastAsia" w:asciiTheme="majorEastAsia" w:hAnsiTheme="majorEastAsia" w:eastAsiaTheme="majorEastAsia" w:cstheme="majorEastAsia"/>
          <w:sz w:val="24"/>
          <w:szCs w:val="22"/>
          <w:lang w:val="en-US" w:eastAsia="zh-CN"/>
        </w:rPr>
        <w:t>产品注册证（如项目涉及）、</w:t>
      </w:r>
      <w:r>
        <w:rPr>
          <w:rFonts w:hint="eastAsia" w:asciiTheme="majorEastAsia" w:hAnsiTheme="majorEastAsia" w:eastAsiaTheme="majorEastAsia" w:cstheme="majorEastAsia"/>
          <w:sz w:val="24"/>
          <w:szCs w:val="32"/>
          <w:lang w:val="en-US" w:eastAsia="zh-CN"/>
        </w:rPr>
        <w:t>授权书等资质证明文件</w:t>
      </w:r>
    </w:p>
    <w:p w14:paraId="26AAB422">
      <w:pPr>
        <w:keepNext w:val="0"/>
        <w:keepLines w:val="0"/>
        <w:pageBreakBefore w:val="0"/>
        <w:widowControl/>
        <w:kinsoku/>
        <w:wordWrap/>
        <w:overflowPunct/>
        <w:topLinePunct w:val="0"/>
        <w:autoSpaceDE/>
        <w:autoSpaceDN/>
        <w:bidi w:val="0"/>
        <w:adjustRightInd/>
        <w:snapToGrid/>
        <w:spacing w:beforeLines="0" w:afterLines="0" w:line="240" w:lineRule="auto"/>
        <w:jc w:val="left"/>
        <w:textAlignment w:val="auto"/>
        <w:rPr>
          <w:rFonts w:hint="eastAsia" w:cs="宋体" w:asciiTheme="majorEastAsia" w:hAnsiTheme="majorEastAsia" w:eastAsiaTheme="majorEastAsia"/>
          <w:kern w:val="2"/>
          <w:sz w:val="30"/>
          <w:szCs w:val="30"/>
          <w:lang w:val="en-US" w:eastAsia="zh-CN" w:bidi="ar-SA"/>
        </w:rPr>
      </w:pPr>
    </w:p>
    <w:p w14:paraId="22CFFBC5">
      <w:pPr>
        <w:keepNext w:val="0"/>
        <w:keepLines w:val="0"/>
        <w:pageBreakBefore w:val="0"/>
        <w:widowControl/>
        <w:kinsoku/>
        <w:wordWrap/>
        <w:overflowPunct/>
        <w:topLinePunct w:val="0"/>
        <w:autoSpaceDE/>
        <w:autoSpaceDN/>
        <w:bidi w:val="0"/>
        <w:adjustRightInd/>
        <w:snapToGrid/>
        <w:spacing w:beforeLines="0" w:afterLines="0" w:line="240" w:lineRule="auto"/>
        <w:jc w:val="left"/>
        <w:textAlignment w:val="auto"/>
        <w:rPr>
          <w:rFonts w:hint="eastAsia" w:cs="宋体" w:asciiTheme="majorEastAsia" w:hAnsiTheme="majorEastAsia" w:eastAsiaTheme="majorEastAsia"/>
          <w:kern w:val="2"/>
          <w:sz w:val="30"/>
          <w:szCs w:val="30"/>
          <w:lang w:val="en-US" w:eastAsia="zh-CN" w:bidi="ar-SA"/>
        </w:rPr>
      </w:pPr>
    </w:p>
    <w:p w14:paraId="27E7F175">
      <w:pPr>
        <w:keepNext w:val="0"/>
        <w:keepLines w:val="0"/>
        <w:pageBreakBefore w:val="0"/>
        <w:widowControl/>
        <w:kinsoku/>
        <w:wordWrap/>
        <w:overflowPunct/>
        <w:topLinePunct w:val="0"/>
        <w:autoSpaceDE/>
        <w:autoSpaceDN/>
        <w:bidi w:val="0"/>
        <w:adjustRightInd/>
        <w:snapToGrid/>
        <w:spacing w:beforeLines="0" w:afterLines="0" w:line="240" w:lineRule="auto"/>
        <w:jc w:val="left"/>
        <w:textAlignment w:val="auto"/>
        <w:rPr>
          <w:rFonts w:hint="eastAsia" w:cs="宋体" w:asciiTheme="majorEastAsia" w:hAnsiTheme="majorEastAsia" w:eastAsiaTheme="majorEastAsia"/>
          <w:kern w:val="2"/>
          <w:sz w:val="30"/>
          <w:szCs w:val="30"/>
          <w:lang w:val="en-US" w:eastAsia="zh-CN" w:bidi="ar-SA"/>
        </w:rPr>
      </w:pPr>
    </w:p>
    <w:p w14:paraId="22A742CC">
      <w:pPr>
        <w:keepNext w:val="0"/>
        <w:keepLines w:val="0"/>
        <w:pageBreakBefore w:val="0"/>
        <w:widowControl/>
        <w:kinsoku/>
        <w:wordWrap/>
        <w:overflowPunct/>
        <w:topLinePunct w:val="0"/>
        <w:autoSpaceDE/>
        <w:autoSpaceDN/>
        <w:bidi w:val="0"/>
        <w:adjustRightInd/>
        <w:snapToGrid/>
        <w:spacing w:beforeLines="0" w:afterLines="0" w:line="240" w:lineRule="auto"/>
        <w:jc w:val="left"/>
        <w:textAlignment w:val="auto"/>
        <w:rPr>
          <w:rFonts w:hint="eastAsia" w:cs="宋体" w:asciiTheme="majorEastAsia" w:hAnsiTheme="majorEastAsia" w:eastAsiaTheme="majorEastAsia"/>
          <w:kern w:val="2"/>
          <w:sz w:val="30"/>
          <w:szCs w:val="30"/>
          <w:lang w:val="en-US" w:eastAsia="zh-CN" w:bidi="ar-SA"/>
        </w:rPr>
      </w:pPr>
    </w:p>
    <w:p w14:paraId="6833E0FB">
      <w:pPr>
        <w:keepNext w:val="0"/>
        <w:keepLines w:val="0"/>
        <w:pageBreakBefore w:val="0"/>
        <w:widowControl/>
        <w:kinsoku/>
        <w:wordWrap/>
        <w:overflowPunct/>
        <w:topLinePunct w:val="0"/>
        <w:autoSpaceDE/>
        <w:autoSpaceDN/>
        <w:bidi w:val="0"/>
        <w:adjustRightInd/>
        <w:snapToGrid/>
        <w:spacing w:beforeLines="0" w:afterLines="0" w:line="240" w:lineRule="auto"/>
        <w:jc w:val="left"/>
        <w:textAlignment w:val="auto"/>
        <w:rPr>
          <w:rFonts w:hint="eastAsia" w:cs="宋体" w:asciiTheme="majorEastAsia" w:hAnsiTheme="majorEastAsia" w:eastAsiaTheme="majorEastAsia"/>
          <w:kern w:val="2"/>
          <w:sz w:val="30"/>
          <w:szCs w:val="30"/>
          <w:lang w:val="en-US" w:eastAsia="zh-CN" w:bidi="ar-SA"/>
        </w:rPr>
      </w:pPr>
    </w:p>
    <w:p w14:paraId="0360B77C">
      <w:pPr>
        <w:keepNext w:val="0"/>
        <w:keepLines w:val="0"/>
        <w:pageBreakBefore w:val="0"/>
        <w:widowControl/>
        <w:kinsoku/>
        <w:wordWrap/>
        <w:overflowPunct/>
        <w:topLinePunct w:val="0"/>
        <w:autoSpaceDE/>
        <w:autoSpaceDN/>
        <w:bidi w:val="0"/>
        <w:adjustRightInd/>
        <w:snapToGrid/>
        <w:spacing w:beforeLines="0" w:afterLines="0" w:line="240" w:lineRule="auto"/>
        <w:jc w:val="left"/>
        <w:textAlignment w:val="auto"/>
        <w:rPr>
          <w:rFonts w:hint="eastAsia" w:cs="宋体" w:asciiTheme="majorEastAsia" w:hAnsiTheme="majorEastAsia" w:eastAsiaTheme="majorEastAsia"/>
          <w:kern w:val="2"/>
          <w:sz w:val="30"/>
          <w:szCs w:val="30"/>
          <w:lang w:val="en-US" w:eastAsia="zh-CN" w:bidi="ar-SA"/>
        </w:rPr>
      </w:pPr>
    </w:p>
    <w:p w14:paraId="1F55108B">
      <w:pPr>
        <w:keepNext w:val="0"/>
        <w:keepLines w:val="0"/>
        <w:pageBreakBefore w:val="0"/>
        <w:widowControl/>
        <w:kinsoku/>
        <w:wordWrap/>
        <w:overflowPunct/>
        <w:topLinePunct w:val="0"/>
        <w:autoSpaceDE/>
        <w:autoSpaceDN/>
        <w:bidi w:val="0"/>
        <w:adjustRightInd/>
        <w:snapToGrid/>
        <w:spacing w:beforeLines="0" w:afterLines="0" w:line="240" w:lineRule="auto"/>
        <w:jc w:val="left"/>
        <w:textAlignment w:val="auto"/>
        <w:rPr>
          <w:rFonts w:hint="eastAsia" w:cs="宋体" w:asciiTheme="majorEastAsia" w:hAnsiTheme="majorEastAsia" w:eastAsiaTheme="majorEastAsia"/>
          <w:kern w:val="2"/>
          <w:sz w:val="30"/>
          <w:szCs w:val="30"/>
          <w:lang w:val="en-US" w:eastAsia="zh-CN" w:bidi="ar-SA"/>
        </w:rPr>
      </w:pPr>
    </w:p>
    <w:p w14:paraId="1AC643E0">
      <w:pPr>
        <w:keepNext w:val="0"/>
        <w:keepLines w:val="0"/>
        <w:pageBreakBefore w:val="0"/>
        <w:widowControl/>
        <w:kinsoku/>
        <w:wordWrap/>
        <w:overflowPunct/>
        <w:topLinePunct w:val="0"/>
        <w:autoSpaceDE/>
        <w:autoSpaceDN/>
        <w:bidi w:val="0"/>
        <w:adjustRightInd/>
        <w:snapToGrid/>
        <w:spacing w:beforeLines="0" w:afterLines="0" w:line="240" w:lineRule="auto"/>
        <w:jc w:val="left"/>
        <w:textAlignment w:val="auto"/>
        <w:rPr>
          <w:rFonts w:hint="eastAsia" w:cs="宋体" w:asciiTheme="majorEastAsia" w:hAnsiTheme="majorEastAsia" w:eastAsiaTheme="majorEastAsia"/>
          <w:kern w:val="2"/>
          <w:sz w:val="30"/>
          <w:szCs w:val="30"/>
          <w:lang w:val="en-US" w:eastAsia="zh-CN" w:bidi="ar-SA"/>
        </w:rPr>
      </w:pPr>
    </w:p>
    <w:p w14:paraId="321FE17F">
      <w:pPr>
        <w:keepNext w:val="0"/>
        <w:keepLines w:val="0"/>
        <w:pageBreakBefore w:val="0"/>
        <w:widowControl/>
        <w:kinsoku/>
        <w:wordWrap/>
        <w:overflowPunct/>
        <w:topLinePunct w:val="0"/>
        <w:autoSpaceDE/>
        <w:autoSpaceDN/>
        <w:bidi w:val="0"/>
        <w:adjustRightInd/>
        <w:snapToGrid/>
        <w:spacing w:beforeLines="0" w:afterLines="0" w:line="240" w:lineRule="auto"/>
        <w:jc w:val="left"/>
        <w:textAlignment w:val="auto"/>
        <w:rPr>
          <w:rFonts w:hint="eastAsia" w:cs="宋体" w:asciiTheme="majorEastAsia" w:hAnsiTheme="majorEastAsia" w:eastAsiaTheme="majorEastAsia"/>
          <w:kern w:val="2"/>
          <w:sz w:val="30"/>
          <w:szCs w:val="30"/>
          <w:lang w:val="en-US" w:eastAsia="zh-CN" w:bidi="ar-SA"/>
        </w:rPr>
      </w:pPr>
    </w:p>
    <w:p w14:paraId="77B185E2">
      <w:pPr>
        <w:keepNext w:val="0"/>
        <w:keepLines w:val="0"/>
        <w:pageBreakBefore w:val="0"/>
        <w:widowControl/>
        <w:kinsoku/>
        <w:wordWrap/>
        <w:overflowPunct/>
        <w:topLinePunct w:val="0"/>
        <w:autoSpaceDE/>
        <w:autoSpaceDN/>
        <w:bidi w:val="0"/>
        <w:adjustRightInd/>
        <w:snapToGrid/>
        <w:spacing w:beforeLines="0" w:afterLines="0" w:line="240" w:lineRule="auto"/>
        <w:jc w:val="left"/>
        <w:textAlignment w:val="auto"/>
        <w:rPr>
          <w:rFonts w:hint="eastAsia" w:cs="宋体" w:asciiTheme="majorEastAsia" w:hAnsiTheme="majorEastAsia" w:eastAsiaTheme="majorEastAsia"/>
          <w:kern w:val="2"/>
          <w:sz w:val="30"/>
          <w:szCs w:val="30"/>
          <w:lang w:val="en-US" w:eastAsia="zh-CN" w:bidi="ar-SA"/>
        </w:rPr>
      </w:pPr>
    </w:p>
    <w:p w14:paraId="77C91DC7">
      <w:pPr>
        <w:keepNext w:val="0"/>
        <w:keepLines w:val="0"/>
        <w:pageBreakBefore w:val="0"/>
        <w:widowControl/>
        <w:kinsoku/>
        <w:wordWrap/>
        <w:overflowPunct/>
        <w:topLinePunct w:val="0"/>
        <w:autoSpaceDE/>
        <w:autoSpaceDN/>
        <w:bidi w:val="0"/>
        <w:adjustRightInd/>
        <w:snapToGrid/>
        <w:spacing w:beforeLines="0" w:afterLines="0" w:line="240" w:lineRule="auto"/>
        <w:jc w:val="left"/>
        <w:textAlignment w:val="auto"/>
        <w:rPr>
          <w:rFonts w:hint="eastAsia" w:cs="宋体" w:asciiTheme="majorEastAsia" w:hAnsiTheme="majorEastAsia" w:eastAsiaTheme="majorEastAsia"/>
          <w:kern w:val="2"/>
          <w:sz w:val="30"/>
          <w:szCs w:val="30"/>
          <w:lang w:val="en-US" w:eastAsia="zh-CN" w:bidi="ar-SA"/>
        </w:rPr>
      </w:pPr>
    </w:p>
    <w:p w14:paraId="34B81486">
      <w:pPr>
        <w:keepNext w:val="0"/>
        <w:keepLines w:val="0"/>
        <w:pageBreakBefore w:val="0"/>
        <w:widowControl/>
        <w:kinsoku/>
        <w:wordWrap/>
        <w:overflowPunct/>
        <w:topLinePunct w:val="0"/>
        <w:autoSpaceDE/>
        <w:autoSpaceDN/>
        <w:bidi w:val="0"/>
        <w:adjustRightInd/>
        <w:snapToGrid/>
        <w:spacing w:beforeLines="0" w:afterLines="0" w:line="240" w:lineRule="auto"/>
        <w:jc w:val="left"/>
        <w:textAlignment w:val="auto"/>
        <w:rPr>
          <w:rFonts w:hint="eastAsia" w:cs="宋体" w:asciiTheme="majorEastAsia" w:hAnsiTheme="majorEastAsia" w:eastAsiaTheme="majorEastAsia"/>
          <w:kern w:val="2"/>
          <w:sz w:val="30"/>
          <w:szCs w:val="30"/>
          <w:lang w:val="en-US" w:eastAsia="zh-CN" w:bidi="ar-SA"/>
        </w:rPr>
      </w:pPr>
    </w:p>
    <w:p w14:paraId="6F8624B0">
      <w:pPr>
        <w:keepNext w:val="0"/>
        <w:keepLines w:val="0"/>
        <w:pageBreakBefore w:val="0"/>
        <w:widowControl/>
        <w:kinsoku/>
        <w:wordWrap/>
        <w:overflowPunct/>
        <w:topLinePunct w:val="0"/>
        <w:autoSpaceDE/>
        <w:autoSpaceDN/>
        <w:bidi w:val="0"/>
        <w:adjustRightInd/>
        <w:snapToGrid/>
        <w:spacing w:beforeLines="0" w:afterLines="0" w:line="240" w:lineRule="auto"/>
        <w:jc w:val="left"/>
        <w:textAlignment w:val="auto"/>
        <w:rPr>
          <w:rFonts w:hint="eastAsia" w:cs="宋体" w:asciiTheme="majorEastAsia" w:hAnsiTheme="majorEastAsia" w:eastAsiaTheme="majorEastAsia"/>
          <w:kern w:val="2"/>
          <w:sz w:val="30"/>
          <w:szCs w:val="30"/>
          <w:lang w:val="en-US" w:eastAsia="zh-CN" w:bidi="ar-SA"/>
        </w:rPr>
      </w:pPr>
    </w:p>
    <w:p w14:paraId="3E8BBDEC">
      <w:pPr>
        <w:keepNext w:val="0"/>
        <w:keepLines w:val="0"/>
        <w:pageBreakBefore w:val="0"/>
        <w:widowControl/>
        <w:kinsoku/>
        <w:wordWrap/>
        <w:overflowPunct/>
        <w:topLinePunct w:val="0"/>
        <w:autoSpaceDE/>
        <w:autoSpaceDN/>
        <w:bidi w:val="0"/>
        <w:adjustRightInd/>
        <w:snapToGrid/>
        <w:spacing w:beforeLines="0" w:afterLines="0" w:line="240" w:lineRule="auto"/>
        <w:jc w:val="left"/>
        <w:textAlignment w:val="auto"/>
        <w:rPr>
          <w:rFonts w:hint="eastAsia" w:cs="宋体" w:asciiTheme="majorEastAsia" w:hAnsiTheme="majorEastAsia" w:eastAsiaTheme="majorEastAsia"/>
          <w:kern w:val="2"/>
          <w:sz w:val="30"/>
          <w:szCs w:val="30"/>
          <w:lang w:val="en-US" w:eastAsia="zh-CN" w:bidi="ar-SA"/>
        </w:rPr>
      </w:pPr>
    </w:p>
    <w:p w14:paraId="51B00AFA">
      <w:pPr>
        <w:keepNext w:val="0"/>
        <w:keepLines w:val="0"/>
        <w:pageBreakBefore w:val="0"/>
        <w:widowControl/>
        <w:kinsoku/>
        <w:wordWrap/>
        <w:overflowPunct/>
        <w:topLinePunct w:val="0"/>
        <w:autoSpaceDE/>
        <w:autoSpaceDN/>
        <w:bidi w:val="0"/>
        <w:adjustRightInd/>
        <w:snapToGrid/>
        <w:spacing w:beforeLines="0" w:afterLines="0" w:line="240" w:lineRule="auto"/>
        <w:jc w:val="left"/>
        <w:textAlignment w:val="auto"/>
        <w:rPr>
          <w:rFonts w:hint="eastAsia" w:cs="宋体" w:asciiTheme="majorEastAsia" w:hAnsiTheme="majorEastAsia" w:eastAsiaTheme="majorEastAsia"/>
          <w:kern w:val="2"/>
          <w:sz w:val="30"/>
          <w:szCs w:val="30"/>
          <w:lang w:val="en-US" w:eastAsia="zh-CN" w:bidi="ar-SA"/>
        </w:rPr>
      </w:pPr>
    </w:p>
    <w:p w14:paraId="275365A0">
      <w:pPr>
        <w:keepNext w:val="0"/>
        <w:keepLines w:val="0"/>
        <w:pageBreakBefore w:val="0"/>
        <w:widowControl/>
        <w:kinsoku/>
        <w:wordWrap/>
        <w:overflowPunct/>
        <w:topLinePunct w:val="0"/>
        <w:autoSpaceDE/>
        <w:autoSpaceDN/>
        <w:bidi w:val="0"/>
        <w:adjustRightInd/>
        <w:snapToGrid/>
        <w:spacing w:beforeLines="0" w:afterLines="0" w:line="240" w:lineRule="auto"/>
        <w:jc w:val="left"/>
        <w:textAlignment w:val="auto"/>
        <w:rPr>
          <w:rFonts w:hint="eastAsia" w:cs="宋体" w:asciiTheme="majorEastAsia" w:hAnsiTheme="majorEastAsia" w:eastAsiaTheme="majorEastAsia"/>
          <w:kern w:val="2"/>
          <w:sz w:val="30"/>
          <w:szCs w:val="30"/>
          <w:lang w:val="en-US" w:eastAsia="zh-CN" w:bidi="ar-SA"/>
        </w:rPr>
      </w:pPr>
    </w:p>
    <w:p w14:paraId="49C12570">
      <w:pPr>
        <w:keepNext w:val="0"/>
        <w:keepLines w:val="0"/>
        <w:pageBreakBefore w:val="0"/>
        <w:widowControl/>
        <w:kinsoku/>
        <w:wordWrap/>
        <w:overflowPunct/>
        <w:topLinePunct w:val="0"/>
        <w:autoSpaceDE/>
        <w:autoSpaceDN/>
        <w:bidi w:val="0"/>
        <w:adjustRightInd/>
        <w:snapToGrid/>
        <w:spacing w:beforeLines="0" w:afterLines="0" w:line="240" w:lineRule="auto"/>
        <w:jc w:val="left"/>
        <w:textAlignment w:val="auto"/>
        <w:rPr>
          <w:rFonts w:hint="eastAsia" w:cs="宋体" w:asciiTheme="majorEastAsia" w:hAnsiTheme="majorEastAsia" w:eastAsiaTheme="majorEastAsia"/>
          <w:kern w:val="2"/>
          <w:sz w:val="30"/>
          <w:szCs w:val="30"/>
          <w:lang w:val="en-US" w:eastAsia="zh-CN" w:bidi="ar-SA"/>
        </w:rPr>
      </w:pPr>
    </w:p>
    <w:p w14:paraId="3E2676F7">
      <w:pPr>
        <w:keepNext w:val="0"/>
        <w:keepLines w:val="0"/>
        <w:pageBreakBefore w:val="0"/>
        <w:widowControl/>
        <w:kinsoku/>
        <w:wordWrap/>
        <w:overflowPunct/>
        <w:topLinePunct w:val="0"/>
        <w:autoSpaceDE/>
        <w:autoSpaceDN/>
        <w:bidi w:val="0"/>
        <w:adjustRightInd/>
        <w:snapToGrid/>
        <w:spacing w:beforeLines="0" w:afterLines="0" w:line="240" w:lineRule="auto"/>
        <w:jc w:val="left"/>
        <w:textAlignment w:val="auto"/>
        <w:rPr>
          <w:rFonts w:hint="eastAsia" w:cs="宋体" w:asciiTheme="majorEastAsia" w:hAnsiTheme="majorEastAsia" w:eastAsiaTheme="majorEastAsia"/>
          <w:kern w:val="2"/>
          <w:sz w:val="30"/>
          <w:szCs w:val="30"/>
          <w:lang w:val="en-US" w:eastAsia="zh-CN" w:bidi="ar-SA"/>
        </w:rPr>
      </w:pPr>
    </w:p>
    <w:p w14:paraId="18B630BF">
      <w:pPr>
        <w:keepNext w:val="0"/>
        <w:keepLines w:val="0"/>
        <w:pageBreakBefore w:val="0"/>
        <w:widowControl/>
        <w:kinsoku/>
        <w:wordWrap/>
        <w:overflowPunct/>
        <w:topLinePunct w:val="0"/>
        <w:autoSpaceDE/>
        <w:autoSpaceDN/>
        <w:bidi w:val="0"/>
        <w:adjustRightInd/>
        <w:snapToGrid/>
        <w:spacing w:beforeLines="0" w:afterLines="0" w:line="240" w:lineRule="auto"/>
        <w:jc w:val="left"/>
        <w:textAlignment w:val="auto"/>
        <w:rPr>
          <w:rFonts w:hint="eastAsia" w:cs="宋体" w:asciiTheme="majorEastAsia" w:hAnsiTheme="majorEastAsia" w:eastAsiaTheme="majorEastAsia"/>
          <w:kern w:val="2"/>
          <w:sz w:val="30"/>
          <w:szCs w:val="30"/>
          <w:lang w:val="en-US" w:eastAsia="zh-CN" w:bidi="ar-SA"/>
        </w:rPr>
      </w:pPr>
    </w:p>
    <w:p w14:paraId="002A6B77">
      <w:pPr>
        <w:keepNext w:val="0"/>
        <w:keepLines w:val="0"/>
        <w:pageBreakBefore w:val="0"/>
        <w:widowControl/>
        <w:kinsoku/>
        <w:wordWrap/>
        <w:overflowPunct/>
        <w:topLinePunct w:val="0"/>
        <w:autoSpaceDE/>
        <w:autoSpaceDN/>
        <w:bidi w:val="0"/>
        <w:adjustRightInd/>
        <w:snapToGrid/>
        <w:spacing w:beforeLines="0" w:afterLines="0" w:line="240" w:lineRule="auto"/>
        <w:jc w:val="left"/>
        <w:textAlignment w:val="auto"/>
        <w:rPr>
          <w:rFonts w:hint="eastAsia" w:cs="宋体" w:asciiTheme="majorEastAsia" w:hAnsiTheme="majorEastAsia" w:eastAsiaTheme="majorEastAsia"/>
          <w:kern w:val="2"/>
          <w:sz w:val="30"/>
          <w:szCs w:val="30"/>
          <w:lang w:val="en-US" w:eastAsia="zh-CN" w:bidi="ar-SA"/>
        </w:rPr>
      </w:pPr>
    </w:p>
    <w:p w14:paraId="2FCECDCD">
      <w:pPr>
        <w:keepNext w:val="0"/>
        <w:keepLines w:val="0"/>
        <w:pageBreakBefore w:val="0"/>
        <w:widowControl/>
        <w:numPr>
          <w:ilvl w:val="0"/>
          <w:numId w:val="0"/>
        </w:numPr>
        <w:kinsoku/>
        <w:wordWrap/>
        <w:overflowPunct/>
        <w:topLinePunct w:val="0"/>
        <w:autoSpaceDE/>
        <w:autoSpaceDN/>
        <w:bidi w:val="0"/>
        <w:adjustRightInd/>
        <w:snapToGrid/>
        <w:spacing w:beforeLines="0" w:afterLines="0" w:line="240" w:lineRule="auto"/>
        <w:ind w:left="420" w:leftChars="0" w:hanging="420" w:firstLineChars="0"/>
        <w:jc w:val="center"/>
        <w:textAlignment w:val="auto"/>
        <w:outlineLvl w:val="9"/>
        <w:rPr>
          <w:rFonts w:hint="eastAsia" w:cs="宋体" w:asciiTheme="majorEastAsia" w:hAnsiTheme="majorEastAsia" w:eastAsiaTheme="majorEastAsia"/>
          <w:kern w:val="2"/>
          <w:sz w:val="30"/>
          <w:szCs w:val="30"/>
          <w:lang w:val="en-US" w:eastAsia="zh-CN" w:bidi="ar-SA"/>
        </w:rPr>
      </w:pPr>
      <w:r>
        <w:rPr>
          <w:rFonts w:hint="eastAsia" w:cs="宋体" w:asciiTheme="majorEastAsia" w:hAnsiTheme="majorEastAsia" w:eastAsiaTheme="majorEastAsia"/>
          <w:kern w:val="2"/>
          <w:sz w:val="30"/>
          <w:szCs w:val="30"/>
          <w:lang w:val="en-US" w:eastAsia="zh-CN" w:bidi="ar-SA"/>
        </w:rPr>
        <w:t>（六）诚信及信用信息证明</w:t>
      </w:r>
    </w:p>
    <w:p w14:paraId="31958063">
      <w:pPr>
        <w:keepNext w:val="0"/>
        <w:keepLines w:val="0"/>
        <w:pageBreakBefore w:val="0"/>
        <w:widowControl/>
        <w:kinsoku/>
        <w:wordWrap/>
        <w:overflowPunct/>
        <w:topLinePunct w:val="0"/>
        <w:autoSpaceDE/>
        <w:autoSpaceDN/>
        <w:bidi w:val="0"/>
        <w:adjustRightInd/>
        <w:snapToGrid/>
        <w:spacing w:beforeLines="0" w:afterLines="0" w:line="480" w:lineRule="exact"/>
        <w:jc w:val="left"/>
        <w:textAlignment w:val="auto"/>
        <w:rPr>
          <w:rFonts w:hint="eastAsia" w:cs="宋体" w:asciiTheme="majorEastAsia" w:hAnsiTheme="majorEastAsia" w:eastAsiaTheme="majorEastAsia"/>
          <w:kern w:val="2"/>
          <w:sz w:val="28"/>
          <w:szCs w:val="28"/>
          <w:lang w:val="en-US" w:eastAsia="zh-CN" w:bidi="ar-SA"/>
        </w:rPr>
      </w:pPr>
      <w:r>
        <w:rPr>
          <w:rFonts w:hint="eastAsia" w:cs="宋体" w:asciiTheme="majorEastAsia" w:hAnsiTheme="majorEastAsia" w:eastAsiaTheme="majorEastAsia"/>
          <w:kern w:val="2"/>
          <w:sz w:val="28"/>
          <w:szCs w:val="28"/>
          <w:lang w:val="en-US" w:eastAsia="zh-CN" w:bidi="ar-SA"/>
        </w:rPr>
        <w:t>1.投标方需提供中国政府采购网（</w:t>
      </w:r>
      <w:r>
        <w:rPr>
          <w:rFonts w:hint="eastAsia" w:cs="宋体" w:asciiTheme="majorEastAsia" w:hAnsiTheme="majorEastAsia" w:eastAsiaTheme="majorEastAsia"/>
          <w:kern w:val="2"/>
          <w:sz w:val="28"/>
          <w:szCs w:val="28"/>
          <w:lang w:val="en-US" w:eastAsia="zh-CN" w:bidi="ar-SA"/>
        </w:rPr>
        <w:fldChar w:fldCharType="begin"/>
      </w:r>
      <w:r>
        <w:rPr>
          <w:rFonts w:hint="eastAsia" w:cs="宋体" w:asciiTheme="majorEastAsia" w:hAnsiTheme="majorEastAsia" w:eastAsiaTheme="majorEastAsia"/>
          <w:kern w:val="2"/>
          <w:sz w:val="28"/>
          <w:szCs w:val="28"/>
          <w:lang w:val="en-US" w:eastAsia="zh-CN" w:bidi="ar-SA"/>
        </w:rPr>
        <w:instrText xml:space="preserve"> HYPERLINK "http://www.ccgp.gov.cn/search/cr/" </w:instrText>
      </w:r>
      <w:r>
        <w:rPr>
          <w:rFonts w:hint="eastAsia" w:cs="宋体" w:asciiTheme="majorEastAsia" w:hAnsiTheme="majorEastAsia" w:eastAsiaTheme="majorEastAsia"/>
          <w:kern w:val="2"/>
          <w:sz w:val="28"/>
          <w:szCs w:val="28"/>
          <w:lang w:val="en-US" w:eastAsia="zh-CN" w:bidi="ar-SA"/>
        </w:rPr>
        <w:fldChar w:fldCharType="separate"/>
      </w:r>
      <w:r>
        <w:rPr>
          <w:rFonts w:hint="eastAsia" w:cs="宋体" w:asciiTheme="majorEastAsia" w:hAnsiTheme="majorEastAsia" w:eastAsiaTheme="majorEastAsia"/>
          <w:kern w:val="2"/>
          <w:sz w:val="28"/>
          <w:szCs w:val="28"/>
          <w:lang w:val="en-US" w:eastAsia="zh-CN" w:bidi="ar-SA"/>
        </w:rPr>
        <w:t>http://www.ccgp.gov.cn/search/cr/</w:t>
      </w:r>
      <w:r>
        <w:rPr>
          <w:rFonts w:hint="eastAsia" w:cs="宋体" w:asciiTheme="majorEastAsia" w:hAnsiTheme="majorEastAsia" w:eastAsiaTheme="majorEastAsia"/>
          <w:kern w:val="2"/>
          <w:sz w:val="28"/>
          <w:szCs w:val="28"/>
          <w:lang w:val="en-US" w:eastAsia="zh-CN" w:bidi="ar-SA"/>
        </w:rPr>
        <w:fldChar w:fldCharType="end"/>
      </w:r>
      <w:r>
        <w:rPr>
          <w:rFonts w:hint="eastAsia" w:cs="宋体" w:asciiTheme="majorEastAsia" w:hAnsiTheme="majorEastAsia" w:eastAsiaTheme="majorEastAsia"/>
          <w:kern w:val="2"/>
          <w:sz w:val="28"/>
          <w:szCs w:val="28"/>
          <w:lang w:val="en-US" w:eastAsia="zh-CN" w:bidi="ar-SA"/>
        </w:rPr>
        <w:t>）、深圳市政府采购监管网（</w:t>
      </w:r>
      <w:r>
        <w:rPr>
          <w:rFonts w:hint="eastAsia" w:cs="宋体" w:asciiTheme="majorEastAsia" w:hAnsiTheme="majorEastAsia" w:eastAsiaTheme="majorEastAsia"/>
          <w:kern w:val="2"/>
          <w:sz w:val="28"/>
          <w:szCs w:val="28"/>
          <w:lang w:val="en-US" w:eastAsia="zh-CN" w:bidi="ar-SA"/>
        </w:rPr>
        <w:fldChar w:fldCharType="begin"/>
      </w:r>
      <w:r>
        <w:rPr>
          <w:rFonts w:hint="eastAsia" w:cs="宋体" w:asciiTheme="majorEastAsia" w:hAnsiTheme="majorEastAsia" w:eastAsiaTheme="majorEastAsia"/>
          <w:kern w:val="2"/>
          <w:sz w:val="28"/>
          <w:szCs w:val="28"/>
          <w:lang w:val="en-US" w:eastAsia="zh-CN" w:bidi="ar-SA"/>
        </w:rPr>
        <w:instrText xml:space="preserve"> HYPERLINK "http://zfcg.sz.gov.cn/cgjg/cxda/index.html" </w:instrText>
      </w:r>
      <w:r>
        <w:rPr>
          <w:rFonts w:hint="eastAsia" w:cs="宋体" w:asciiTheme="majorEastAsia" w:hAnsiTheme="majorEastAsia" w:eastAsiaTheme="majorEastAsia"/>
          <w:kern w:val="2"/>
          <w:sz w:val="28"/>
          <w:szCs w:val="28"/>
          <w:lang w:val="en-US" w:eastAsia="zh-CN" w:bidi="ar-SA"/>
        </w:rPr>
        <w:fldChar w:fldCharType="separate"/>
      </w:r>
      <w:r>
        <w:rPr>
          <w:rFonts w:hint="eastAsia" w:cs="宋体" w:asciiTheme="majorEastAsia" w:hAnsiTheme="majorEastAsia" w:eastAsiaTheme="majorEastAsia"/>
          <w:kern w:val="2"/>
          <w:sz w:val="28"/>
          <w:szCs w:val="28"/>
          <w:lang w:val="en-US" w:eastAsia="zh-CN" w:bidi="ar-SA"/>
        </w:rPr>
        <w:t>http://zfcg.sz.gov.cn/cgjg/cxda/index.html</w:t>
      </w:r>
      <w:r>
        <w:rPr>
          <w:rFonts w:hint="eastAsia" w:cs="宋体" w:asciiTheme="majorEastAsia" w:hAnsiTheme="majorEastAsia" w:eastAsiaTheme="majorEastAsia"/>
          <w:kern w:val="2"/>
          <w:sz w:val="28"/>
          <w:szCs w:val="28"/>
          <w:lang w:val="en-US" w:eastAsia="zh-CN" w:bidi="ar-SA"/>
        </w:rPr>
        <w:fldChar w:fldCharType="end"/>
      </w:r>
      <w:r>
        <w:rPr>
          <w:rFonts w:hint="eastAsia" w:cs="宋体" w:asciiTheme="majorEastAsia" w:hAnsiTheme="majorEastAsia" w:eastAsiaTheme="majorEastAsia"/>
          <w:kern w:val="2"/>
          <w:sz w:val="28"/>
          <w:szCs w:val="28"/>
          <w:lang w:val="en-US" w:eastAsia="zh-CN" w:bidi="ar-SA"/>
        </w:rPr>
        <w:t>）的有效截图。</w:t>
      </w:r>
    </w:p>
    <w:p w14:paraId="7D5212A9">
      <w:pPr>
        <w:keepNext w:val="0"/>
        <w:keepLines w:val="0"/>
        <w:pageBreakBefore w:val="0"/>
        <w:widowControl/>
        <w:kinsoku/>
        <w:wordWrap/>
        <w:overflowPunct/>
        <w:topLinePunct w:val="0"/>
        <w:autoSpaceDE/>
        <w:autoSpaceDN/>
        <w:bidi w:val="0"/>
        <w:adjustRightInd/>
        <w:snapToGrid/>
        <w:spacing w:beforeLines="0" w:afterLines="0" w:line="480" w:lineRule="exact"/>
        <w:jc w:val="left"/>
        <w:textAlignment w:val="auto"/>
        <w:rPr>
          <w:rFonts w:hint="default" w:cs="宋体" w:asciiTheme="majorEastAsia" w:hAnsiTheme="majorEastAsia" w:eastAsiaTheme="majorEastAsia"/>
          <w:kern w:val="2"/>
          <w:sz w:val="28"/>
          <w:szCs w:val="28"/>
          <w:lang w:val="en-US" w:eastAsia="zh-CN" w:bidi="ar-SA"/>
        </w:rPr>
      </w:pPr>
      <w:r>
        <w:rPr>
          <w:rFonts w:hint="eastAsia" w:cs="宋体" w:asciiTheme="majorEastAsia" w:hAnsiTheme="majorEastAsia" w:eastAsiaTheme="majorEastAsia"/>
          <w:kern w:val="2"/>
          <w:sz w:val="28"/>
          <w:szCs w:val="28"/>
          <w:lang w:val="en-US" w:eastAsia="zh-CN" w:bidi="ar-SA"/>
        </w:rPr>
        <w:t>2.投标方需提供国家企业信用信息公示系统（https://www.gsxt.gov.cn/index.html）、机关赋码和事业单位登记管理网（如有）（http://www.gjsy.gov.cn/sydwfrxxcx/）、全国社会组织信用信息公示平台（如有）（https://xxgs.chinanpo.mca.gov.cn/gsxt/newList）的有效截图</w:t>
      </w:r>
    </w:p>
    <w:p w14:paraId="1149DDCE">
      <w:pPr>
        <w:keepNext w:val="0"/>
        <w:keepLines w:val="0"/>
        <w:pageBreakBefore w:val="0"/>
        <w:widowControl/>
        <w:kinsoku/>
        <w:wordWrap/>
        <w:overflowPunct/>
        <w:topLinePunct w:val="0"/>
        <w:autoSpaceDE/>
        <w:autoSpaceDN/>
        <w:bidi w:val="0"/>
        <w:adjustRightInd/>
        <w:snapToGrid/>
        <w:spacing w:beforeLines="0" w:afterLines="0" w:line="480" w:lineRule="exact"/>
        <w:jc w:val="left"/>
        <w:textAlignment w:val="auto"/>
        <w:rPr>
          <w:rFonts w:hint="default" w:cs="宋体" w:asciiTheme="majorEastAsia" w:hAnsiTheme="majorEastAsia" w:eastAsiaTheme="majorEastAsia"/>
          <w:kern w:val="2"/>
          <w:sz w:val="28"/>
          <w:szCs w:val="28"/>
          <w:lang w:val="en-US" w:eastAsia="zh-CN" w:bidi="ar-SA"/>
        </w:rPr>
      </w:pPr>
      <w:r>
        <w:rPr>
          <w:rFonts w:hint="eastAsia" w:cs="宋体" w:asciiTheme="majorEastAsia" w:hAnsiTheme="majorEastAsia" w:eastAsiaTheme="majorEastAsia"/>
          <w:kern w:val="2"/>
          <w:sz w:val="28"/>
          <w:szCs w:val="28"/>
          <w:lang w:val="en-US" w:eastAsia="zh-CN" w:bidi="ar-SA"/>
        </w:rPr>
        <w:t>3.投标方需提供股权关系证明材料:通过国家企业信用信息公示系统(https://www.gsxt.gov.cn/index.html)、或机关赋码和事业单位登记管理网（如有）(http://gjsy.gov.cn/sydwfrxxcx/)、或全国社会组织信用信息公示平台（如有）(https://xxgs.chinanpo.mca.gov.cn/gsxt/newList 等网站查询的最新股权(或管理)关系截图)</w:t>
      </w:r>
    </w:p>
    <w:p w14:paraId="2AEEF612">
      <w:pPr>
        <w:rPr>
          <w:rFonts w:asciiTheme="majorEastAsia" w:hAnsiTheme="majorEastAsia" w:eastAsiaTheme="majorEastAsia"/>
          <w:sz w:val="28"/>
          <w:szCs w:val="28"/>
        </w:rPr>
      </w:pPr>
      <w:r>
        <w:rPr>
          <w:rFonts w:hint="eastAsia" w:asciiTheme="majorEastAsia" w:hAnsiTheme="majorEastAsia" w:eastAsiaTheme="majorEastAsia"/>
          <w:sz w:val="28"/>
          <w:szCs w:val="28"/>
        </w:rPr>
        <w:br w:type="page"/>
      </w:r>
    </w:p>
    <w:p w14:paraId="7CC4A323">
      <w:pPr>
        <w:pStyle w:val="4"/>
        <w:numPr>
          <w:ilvl w:val="0"/>
          <w:numId w:val="0"/>
        </w:numPr>
        <w:spacing w:line="240" w:lineRule="auto"/>
        <w:ind w:left="420" w:leftChars="0" w:hanging="420" w:firstLineChars="0"/>
        <w:jc w:val="center"/>
        <w:outlineLvl w:val="0"/>
        <w:rPr>
          <w:rFonts w:hint="eastAsia" w:asciiTheme="majorEastAsia" w:hAnsiTheme="majorEastAsia" w:eastAsiaTheme="majorEastAsia"/>
          <w:sz w:val="30"/>
          <w:szCs w:val="30"/>
        </w:rPr>
      </w:pPr>
      <w:bookmarkStart w:id="32" w:name="_Toc12322"/>
      <w:bookmarkStart w:id="33" w:name="_Toc2255"/>
      <w:r>
        <w:rPr>
          <w:rFonts w:hint="eastAsia" w:cs="宋体" w:asciiTheme="majorEastAsia" w:hAnsiTheme="majorEastAsia" w:eastAsiaTheme="majorEastAsia"/>
          <w:kern w:val="2"/>
          <w:sz w:val="30"/>
          <w:szCs w:val="30"/>
          <w:lang w:val="en-US" w:eastAsia="zh-CN" w:bidi="ar-SA"/>
        </w:rPr>
        <w:t>（七）</w:t>
      </w:r>
      <w:r>
        <w:rPr>
          <w:rFonts w:hint="eastAsia" w:asciiTheme="majorEastAsia" w:hAnsiTheme="majorEastAsia" w:eastAsiaTheme="majorEastAsia"/>
          <w:sz w:val="30"/>
          <w:szCs w:val="30"/>
        </w:rPr>
        <w:t>供应商基本情况表</w:t>
      </w:r>
      <w:bookmarkEnd w:id="32"/>
      <w:bookmarkEnd w:id="33"/>
    </w:p>
    <w:p w14:paraId="16EF2219">
      <w:pPr>
        <w:bidi w:val="0"/>
        <w:rPr>
          <w:rFonts w:hint="default" w:eastAsia="宋体"/>
          <w:u w:val="single"/>
          <w:lang w:val="en-US" w:eastAsia="zh-CN"/>
        </w:rPr>
      </w:pPr>
      <w:r>
        <w:rPr>
          <w:rFonts w:hint="eastAsia"/>
          <w:lang w:val="en-US" w:eastAsia="zh-CN"/>
        </w:rPr>
        <w:t>填表单位：</w:t>
      </w:r>
      <w:r>
        <w:rPr>
          <w:rFonts w:hint="eastAsia"/>
          <w:u w:val="single"/>
          <w:lang w:val="en-US" w:eastAsia="zh-CN"/>
        </w:rPr>
        <w:t xml:space="preserve">           </w:t>
      </w:r>
      <w:r>
        <w:rPr>
          <w:rFonts w:hint="eastAsia"/>
          <w:u w:val="none"/>
          <w:lang w:val="en-US" w:eastAsia="zh-CN"/>
        </w:rPr>
        <w:t xml:space="preserve"> （加盖单位公章）                       填表日期：      年  月  日</w:t>
      </w:r>
    </w:p>
    <w:tbl>
      <w:tblPr>
        <w:tblStyle w:val="22"/>
        <w:tblW w:w="949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62"/>
        <w:gridCol w:w="1957"/>
        <w:gridCol w:w="1429"/>
        <w:gridCol w:w="1583"/>
        <w:gridCol w:w="1583"/>
        <w:gridCol w:w="1583"/>
      </w:tblGrid>
      <w:tr w14:paraId="53CBFC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0" w:hRule="atLeast"/>
          <w:jc w:val="center"/>
        </w:trPr>
        <w:tc>
          <w:tcPr>
            <w:tcW w:w="1362" w:type="dxa"/>
            <w:vAlign w:val="center"/>
          </w:tcPr>
          <w:p w14:paraId="0E9E01A3">
            <w:pPr>
              <w:keepNext w:val="0"/>
              <w:keepLines w:val="0"/>
              <w:suppressLineNumbers w:val="0"/>
              <w:bidi w:val="0"/>
              <w:spacing w:before="0" w:beforeAutospacing="0" w:after="0" w:afterAutospacing="0" w:line="360" w:lineRule="auto"/>
              <w:ind w:left="0" w:right="0"/>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采购人</w:t>
            </w:r>
          </w:p>
        </w:tc>
        <w:tc>
          <w:tcPr>
            <w:tcW w:w="3386" w:type="dxa"/>
            <w:gridSpan w:val="2"/>
            <w:vAlign w:val="center"/>
          </w:tcPr>
          <w:p w14:paraId="64471A8B">
            <w:pPr>
              <w:keepNext w:val="0"/>
              <w:keepLines w:val="0"/>
              <w:suppressLineNumbers w:val="0"/>
              <w:bidi w:val="0"/>
              <w:spacing w:before="0" w:beforeAutospacing="0" w:after="0" w:afterAutospacing="0" w:line="360" w:lineRule="auto"/>
              <w:ind w:left="0" w:right="0"/>
              <w:jc w:val="center"/>
              <w:rPr>
                <w:rFonts w:hint="eastAsia" w:ascii="宋体" w:hAnsi="宋体" w:eastAsia="宋体" w:cs="宋体"/>
                <w:sz w:val="21"/>
                <w:szCs w:val="21"/>
                <w:vertAlign w:val="baseline"/>
              </w:rPr>
            </w:pPr>
          </w:p>
        </w:tc>
        <w:tc>
          <w:tcPr>
            <w:tcW w:w="3166" w:type="dxa"/>
            <w:gridSpan w:val="2"/>
            <w:vAlign w:val="center"/>
          </w:tcPr>
          <w:p w14:paraId="45A0A5D0">
            <w:pPr>
              <w:keepNext w:val="0"/>
              <w:keepLines w:val="0"/>
              <w:suppressLineNumbers w:val="0"/>
              <w:bidi w:val="0"/>
              <w:spacing w:before="0" w:beforeAutospacing="0" w:after="0" w:afterAutospacing="0" w:line="360" w:lineRule="auto"/>
              <w:ind w:left="0" w:right="0"/>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项目名称</w:t>
            </w:r>
          </w:p>
        </w:tc>
        <w:tc>
          <w:tcPr>
            <w:tcW w:w="1583" w:type="dxa"/>
            <w:vAlign w:val="center"/>
          </w:tcPr>
          <w:p w14:paraId="75601480">
            <w:pPr>
              <w:keepNext w:val="0"/>
              <w:keepLines w:val="0"/>
              <w:suppressLineNumbers w:val="0"/>
              <w:bidi w:val="0"/>
              <w:spacing w:before="0" w:beforeAutospacing="0" w:after="0" w:afterAutospacing="0" w:line="360" w:lineRule="auto"/>
              <w:ind w:left="0" w:right="0"/>
              <w:jc w:val="center"/>
              <w:rPr>
                <w:rFonts w:hint="eastAsia" w:ascii="宋体" w:hAnsi="宋体" w:eastAsia="宋体" w:cs="宋体"/>
                <w:sz w:val="21"/>
                <w:szCs w:val="21"/>
                <w:vertAlign w:val="baseline"/>
              </w:rPr>
            </w:pPr>
          </w:p>
        </w:tc>
      </w:tr>
      <w:tr w14:paraId="717A64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6" w:hRule="atLeast"/>
          <w:jc w:val="center"/>
        </w:trPr>
        <w:tc>
          <w:tcPr>
            <w:tcW w:w="1362" w:type="dxa"/>
            <w:vAlign w:val="center"/>
          </w:tcPr>
          <w:p w14:paraId="45EC77DF">
            <w:pPr>
              <w:keepNext w:val="0"/>
              <w:keepLines w:val="0"/>
              <w:suppressLineNumbers w:val="0"/>
              <w:bidi w:val="0"/>
              <w:spacing w:before="0" w:beforeAutospacing="0" w:after="0" w:afterAutospacing="0" w:line="360" w:lineRule="auto"/>
              <w:ind w:left="0" w:right="0"/>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投标（响应）供应商</w:t>
            </w:r>
          </w:p>
        </w:tc>
        <w:tc>
          <w:tcPr>
            <w:tcW w:w="3386" w:type="dxa"/>
            <w:gridSpan w:val="2"/>
            <w:vAlign w:val="center"/>
          </w:tcPr>
          <w:p w14:paraId="1AF41A8D">
            <w:pPr>
              <w:keepNext w:val="0"/>
              <w:keepLines w:val="0"/>
              <w:suppressLineNumbers w:val="0"/>
              <w:bidi w:val="0"/>
              <w:spacing w:before="0" w:beforeAutospacing="0" w:after="0" w:afterAutospacing="0" w:line="360" w:lineRule="auto"/>
              <w:ind w:left="0" w:right="0"/>
              <w:jc w:val="center"/>
              <w:rPr>
                <w:rFonts w:hint="eastAsia" w:ascii="宋体" w:hAnsi="宋体" w:eastAsia="宋体" w:cs="宋体"/>
                <w:sz w:val="21"/>
                <w:szCs w:val="21"/>
                <w:vertAlign w:val="baseline"/>
              </w:rPr>
            </w:pPr>
          </w:p>
        </w:tc>
        <w:tc>
          <w:tcPr>
            <w:tcW w:w="3166" w:type="dxa"/>
            <w:gridSpan w:val="2"/>
            <w:vAlign w:val="center"/>
          </w:tcPr>
          <w:p w14:paraId="1B42BE48">
            <w:pPr>
              <w:keepNext w:val="0"/>
              <w:keepLines w:val="0"/>
              <w:suppressLineNumbers w:val="0"/>
              <w:bidi w:val="0"/>
              <w:spacing w:before="0" w:beforeAutospacing="0" w:after="0" w:afterAutospacing="0" w:line="360" w:lineRule="auto"/>
              <w:ind w:left="0" w:right="0"/>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供应商统一社会信用代码</w:t>
            </w:r>
          </w:p>
        </w:tc>
        <w:tc>
          <w:tcPr>
            <w:tcW w:w="1583" w:type="dxa"/>
            <w:vAlign w:val="center"/>
          </w:tcPr>
          <w:p w14:paraId="604DACCA">
            <w:pPr>
              <w:keepNext w:val="0"/>
              <w:keepLines w:val="0"/>
              <w:suppressLineNumbers w:val="0"/>
              <w:bidi w:val="0"/>
              <w:spacing w:before="0" w:beforeAutospacing="0" w:after="0" w:afterAutospacing="0" w:line="360" w:lineRule="auto"/>
              <w:ind w:left="0" w:right="0"/>
              <w:jc w:val="center"/>
              <w:rPr>
                <w:rFonts w:hint="eastAsia" w:ascii="宋体" w:hAnsi="宋体" w:eastAsia="宋体" w:cs="宋体"/>
                <w:sz w:val="21"/>
                <w:szCs w:val="21"/>
                <w:vertAlign w:val="baseline"/>
              </w:rPr>
            </w:pPr>
          </w:p>
        </w:tc>
      </w:tr>
      <w:tr w14:paraId="3DFFE1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jc w:val="center"/>
        </w:trPr>
        <w:tc>
          <w:tcPr>
            <w:tcW w:w="9497" w:type="dxa"/>
            <w:gridSpan w:val="6"/>
            <w:vAlign w:val="center"/>
          </w:tcPr>
          <w:p w14:paraId="30E823A6">
            <w:pPr>
              <w:keepNext w:val="0"/>
              <w:keepLines w:val="0"/>
              <w:suppressLineNumbers w:val="0"/>
              <w:bidi w:val="0"/>
              <w:spacing w:before="0" w:beforeAutospacing="0" w:after="0" w:afterAutospacing="0" w:line="360" w:lineRule="auto"/>
              <w:ind w:left="0" w:right="0"/>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投标（响应）供应商相关人员情况</w:t>
            </w:r>
          </w:p>
        </w:tc>
      </w:tr>
      <w:tr w14:paraId="463C0B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6" w:hRule="atLeast"/>
          <w:jc w:val="center"/>
        </w:trPr>
        <w:tc>
          <w:tcPr>
            <w:tcW w:w="1362" w:type="dxa"/>
            <w:vAlign w:val="center"/>
          </w:tcPr>
          <w:p w14:paraId="373F25C3">
            <w:pPr>
              <w:keepNext w:val="0"/>
              <w:keepLines w:val="0"/>
              <w:suppressLineNumbers w:val="0"/>
              <w:bidi w:val="0"/>
              <w:spacing w:before="0" w:beforeAutospacing="0" w:after="0" w:afterAutospacing="0" w:line="360" w:lineRule="auto"/>
              <w:ind w:left="0" w:right="0"/>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序号</w:t>
            </w:r>
          </w:p>
        </w:tc>
        <w:tc>
          <w:tcPr>
            <w:tcW w:w="1957" w:type="dxa"/>
            <w:vAlign w:val="center"/>
          </w:tcPr>
          <w:p w14:paraId="346A53CE">
            <w:pPr>
              <w:keepNext w:val="0"/>
              <w:keepLines w:val="0"/>
              <w:suppressLineNumbers w:val="0"/>
              <w:bidi w:val="0"/>
              <w:spacing w:before="0" w:beforeAutospacing="0" w:after="0" w:afterAutospacing="0" w:line="360" w:lineRule="auto"/>
              <w:ind w:left="0" w:right="0"/>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职务</w:t>
            </w:r>
          </w:p>
        </w:tc>
        <w:tc>
          <w:tcPr>
            <w:tcW w:w="1429" w:type="dxa"/>
            <w:vAlign w:val="center"/>
          </w:tcPr>
          <w:p w14:paraId="7C4C48BB">
            <w:pPr>
              <w:keepNext w:val="0"/>
              <w:keepLines w:val="0"/>
              <w:suppressLineNumbers w:val="0"/>
              <w:bidi w:val="0"/>
              <w:spacing w:before="0" w:beforeAutospacing="0" w:after="0" w:afterAutospacing="0" w:line="360" w:lineRule="auto"/>
              <w:ind w:left="0" w:right="0"/>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姓名</w:t>
            </w:r>
          </w:p>
        </w:tc>
        <w:tc>
          <w:tcPr>
            <w:tcW w:w="1583" w:type="dxa"/>
            <w:vAlign w:val="center"/>
          </w:tcPr>
          <w:p w14:paraId="39702C57">
            <w:pPr>
              <w:keepNext w:val="0"/>
              <w:keepLines w:val="0"/>
              <w:suppressLineNumbers w:val="0"/>
              <w:bidi w:val="0"/>
              <w:spacing w:before="0" w:beforeAutospacing="0" w:after="0" w:afterAutospacing="0" w:line="360" w:lineRule="auto"/>
              <w:ind w:left="0" w:right="0"/>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身份证号码</w:t>
            </w:r>
          </w:p>
        </w:tc>
        <w:tc>
          <w:tcPr>
            <w:tcW w:w="1583" w:type="dxa"/>
            <w:vAlign w:val="center"/>
          </w:tcPr>
          <w:p w14:paraId="3CAF3410">
            <w:pPr>
              <w:keepNext w:val="0"/>
              <w:keepLines w:val="0"/>
              <w:suppressLineNumbers w:val="0"/>
              <w:bidi w:val="0"/>
              <w:spacing w:before="0" w:beforeAutospacing="0" w:after="0" w:afterAutospacing="0" w:line="360" w:lineRule="auto"/>
              <w:ind w:left="0" w:right="0"/>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劳动合同</w:t>
            </w:r>
          </w:p>
          <w:p w14:paraId="5B3B2D2E">
            <w:pPr>
              <w:keepNext w:val="0"/>
              <w:keepLines w:val="0"/>
              <w:suppressLineNumbers w:val="0"/>
              <w:bidi w:val="0"/>
              <w:spacing w:before="0" w:beforeAutospacing="0" w:after="0" w:afterAutospacing="0" w:line="360" w:lineRule="auto"/>
              <w:ind w:left="0" w:right="0"/>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关系单位</w:t>
            </w:r>
          </w:p>
        </w:tc>
        <w:tc>
          <w:tcPr>
            <w:tcW w:w="1583" w:type="dxa"/>
            <w:vAlign w:val="center"/>
          </w:tcPr>
          <w:p w14:paraId="3629417E">
            <w:pPr>
              <w:keepNext w:val="0"/>
              <w:keepLines w:val="0"/>
              <w:suppressLineNumbers w:val="0"/>
              <w:bidi w:val="0"/>
              <w:spacing w:before="0" w:beforeAutospacing="0" w:after="0" w:afterAutospacing="0" w:line="360" w:lineRule="auto"/>
              <w:ind w:left="0" w:right="0"/>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缴纳社会</w:t>
            </w:r>
          </w:p>
          <w:p w14:paraId="6DC40D51">
            <w:pPr>
              <w:keepNext w:val="0"/>
              <w:keepLines w:val="0"/>
              <w:suppressLineNumbers w:val="0"/>
              <w:bidi w:val="0"/>
              <w:spacing w:before="0" w:beforeAutospacing="0" w:after="0" w:afterAutospacing="0" w:line="360" w:lineRule="auto"/>
              <w:ind w:left="0" w:right="0"/>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保险单位</w:t>
            </w:r>
          </w:p>
        </w:tc>
      </w:tr>
      <w:tr w14:paraId="32176F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8" w:hRule="atLeast"/>
          <w:jc w:val="center"/>
        </w:trPr>
        <w:tc>
          <w:tcPr>
            <w:tcW w:w="1362" w:type="dxa"/>
            <w:vAlign w:val="center"/>
          </w:tcPr>
          <w:p w14:paraId="5D405B29">
            <w:pPr>
              <w:keepNext w:val="0"/>
              <w:keepLines w:val="0"/>
              <w:suppressLineNumbers w:val="0"/>
              <w:bidi w:val="0"/>
              <w:spacing w:before="0" w:beforeAutospacing="0" w:after="0" w:afterAutospacing="0" w:line="360" w:lineRule="auto"/>
              <w:ind w:left="0" w:right="0"/>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1</w:t>
            </w:r>
          </w:p>
        </w:tc>
        <w:tc>
          <w:tcPr>
            <w:tcW w:w="1957" w:type="dxa"/>
            <w:vAlign w:val="center"/>
          </w:tcPr>
          <w:p w14:paraId="2A71D688">
            <w:pPr>
              <w:keepNext w:val="0"/>
              <w:keepLines w:val="0"/>
              <w:suppressLineNumbers w:val="0"/>
              <w:bidi w:val="0"/>
              <w:spacing w:before="0" w:beforeAutospacing="0" w:after="0" w:afterAutospacing="0" w:line="360" w:lineRule="auto"/>
              <w:ind w:left="0" w:right="0"/>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法定代表人/单位负责人/主要经营负责人</w:t>
            </w:r>
          </w:p>
        </w:tc>
        <w:tc>
          <w:tcPr>
            <w:tcW w:w="1429" w:type="dxa"/>
            <w:vAlign w:val="center"/>
          </w:tcPr>
          <w:p w14:paraId="6E7A5BB8">
            <w:pPr>
              <w:keepNext w:val="0"/>
              <w:keepLines w:val="0"/>
              <w:suppressLineNumbers w:val="0"/>
              <w:bidi w:val="0"/>
              <w:spacing w:before="0" w:beforeAutospacing="0" w:after="0" w:afterAutospacing="0" w:line="360" w:lineRule="auto"/>
              <w:ind w:left="0" w:right="0"/>
              <w:jc w:val="center"/>
              <w:rPr>
                <w:rFonts w:hint="eastAsia" w:ascii="宋体" w:hAnsi="宋体" w:eastAsia="宋体" w:cs="宋体"/>
                <w:sz w:val="21"/>
                <w:szCs w:val="21"/>
                <w:vertAlign w:val="baseline"/>
              </w:rPr>
            </w:pPr>
          </w:p>
        </w:tc>
        <w:tc>
          <w:tcPr>
            <w:tcW w:w="1583" w:type="dxa"/>
            <w:vAlign w:val="center"/>
          </w:tcPr>
          <w:p w14:paraId="193FE523">
            <w:pPr>
              <w:keepNext w:val="0"/>
              <w:keepLines w:val="0"/>
              <w:suppressLineNumbers w:val="0"/>
              <w:bidi w:val="0"/>
              <w:spacing w:before="0" w:beforeAutospacing="0" w:after="0" w:afterAutospacing="0" w:line="360" w:lineRule="auto"/>
              <w:ind w:left="0" w:right="0"/>
              <w:jc w:val="center"/>
              <w:rPr>
                <w:rFonts w:hint="eastAsia" w:ascii="宋体" w:hAnsi="宋体" w:eastAsia="宋体" w:cs="宋体"/>
                <w:sz w:val="21"/>
                <w:szCs w:val="21"/>
                <w:vertAlign w:val="baseline"/>
              </w:rPr>
            </w:pPr>
          </w:p>
        </w:tc>
        <w:tc>
          <w:tcPr>
            <w:tcW w:w="1583" w:type="dxa"/>
            <w:vAlign w:val="center"/>
          </w:tcPr>
          <w:p w14:paraId="483A26E6">
            <w:pPr>
              <w:keepNext w:val="0"/>
              <w:keepLines w:val="0"/>
              <w:suppressLineNumbers w:val="0"/>
              <w:bidi w:val="0"/>
              <w:spacing w:before="0" w:beforeAutospacing="0" w:after="0" w:afterAutospacing="0" w:line="360" w:lineRule="auto"/>
              <w:ind w:left="0" w:right="0"/>
              <w:jc w:val="center"/>
              <w:rPr>
                <w:rFonts w:hint="eastAsia" w:ascii="宋体" w:hAnsi="宋体" w:eastAsia="宋体" w:cs="宋体"/>
                <w:sz w:val="21"/>
                <w:szCs w:val="21"/>
                <w:vertAlign w:val="baseline"/>
              </w:rPr>
            </w:pPr>
          </w:p>
        </w:tc>
        <w:tc>
          <w:tcPr>
            <w:tcW w:w="1583" w:type="dxa"/>
            <w:vAlign w:val="center"/>
          </w:tcPr>
          <w:p w14:paraId="65FD7B42">
            <w:pPr>
              <w:keepNext w:val="0"/>
              <w:keepLines w:val="0"/>
              <w:suppressLineNumbers w:val="0"/>
              <w:bidi w:val="0"/>
              <w:spacing w:before="0" w:beforeAutospacing="0" w:after="0" w:afterAutospacing="0" w:line="360" w:lineRule="auto"/>
              <w:ind w:left="0" w:right="0"/>
              <w:jc w:val="center"/>
              <w:rPr>
                <w:rFonts w:hint="eastAsia" w:ascii="宋体" w:hAnsi="宋体" w:eastAsia="宋体" w:cs="宋体"/>
                <w:sz w:val="21"/>
                <w:szCs w:val="21"/>
                <w:vertAlign w:val="baseline"/>
              </w:rPr>
            </w:pPr>
          </w:p>
        </w:tc>
      </w:tr>
      <w:tr w14:paraId="022ACF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6" w:hRule="atLeast"/>
          <w:jc w:val="center"/>
        </w:trPr>
        <w:tc>
          <w:tcPr>
            <w:tcW w:w="1362" w:type="dxa"/>
            <w:vAlign w:val="center"/>
          </w:tcPr>
          <w:p w14:paraId="598D9931">
            <w:pPr>
              <w:keepNext w:val="0"/>
              <w:keepLines w:val="0"/>
              <w:suppressLineNumbers w:val="0"/>
              <w:bidi w:val="0"/>
              <w:spacing w:before="0" w:beforeAutospacing="0" w:after="0" w:afterAutospacing="0" w:line="360" w:lineRule="auto"/>
              <w:ind w:left="0" w:right="0"/>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2</w:t>
            </w:r>
          </w:p>
        </w:tc>
        <w:tc>
          <w:tcPr>
            <w:tcW w:w="1957" w:type="dxa"/>
            <w:vAlign w:val="center"/>
          </w:tcPr>
          <w:p w14:paraId="7997FEF1">
            <w:pPr>
              <w:keepNext w:val="0"/>
              <w:keepLines w:val="0"/>
              <w:suppressLineNumbers w:val="0"/>
              <w:bidi w:val="0"/>
              <w:spacing w:before="0" w:beforeAutospacing="0" w:after="0" w:afterAutospacing="0" w:line="360" w:lineRule="auto"/>
              <w:ind w:left="0" w:right="0"/>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项目投标授权代表人</w:t>
            </w:r>
          </w:p>
        </w:tc>
        <w:tc>
          <w:tcPr>
            <w:tcW w:w="1429" w:type="dxa"/>
            <w:vAlign w:val="center"/>
          </w:tcPr>
          <w:p w14:paraId="767793D4">
            <w:pPr>
              <w:keepNext w:val="0"/>
              <w:keepLines w:val="0"/>
              <w:suppressLineNumbers w:val="0"/>
              <w:bidi w:val="0"/>
              <w:spacing w:before="0" w:beforeAutospacing="0" w:after="0" w:afterAutospacing="0" w:line="360" w:lineRule="auto"/>
              <w:ind w:left="0" w:right="0"/>
              <w:jc w:val="center"/>
              <w:rPr>
                <w:rFonts w:hint="eastAsia" w:ascii="宋体" w:hAnsi="宋体" w:eastAsia="宋体" w:cs="宋体"/>
                <w:sz w:val="21"/>
                <w:szCs w:val="21"/>
                <w:vertAlign w:val="baseline"/>
              </w:rPr>
            </w:pPr>
          </w:p>
        </w:tc>
        <w:tc>
          <w:tcPr>
            <w:tcW w:w="1583" w:type="dxa"/>
            <w:vAlign w:val="center"/>
          </w:tcPr>
          <w:p w14:paraId="69F19B57">
            <w:pPr>
              <w:keepNext w:val="0"/>
              <w:keepLines w:val="0"/>
              <w:suppressLineNumbers w:val="0"/>
              <w:bidi w:val="0"/>
              <w:spacing w:before="0" w:beforeAutospacing="0" w:after="0" w:afterAutospacing="0" w:line="360" w:lineRule="auto"/>
              <w:ind w:left="0" w:right="0"/>
              <w:jc w:val="center"/>
              <w:rPr>
                <w:rFonts w:hint="eastAsia" w:ascii="宋体" w:hAnsi="宋体" w:eastAsia="宋体" w:cs="宋体"/>
                <w:sz w:val="21"/>
                <w:szCs w:val="21"/>
                <w:vertAlign w:val="baseline"/>
              </w:rPr>
            </w:pPr>
          </w:p>
        </w:tc>
        <w:tc>
          <w:tcPr>
            <w:tcW w:w="1583" w:type="dxa"/>
            <w:vAlign w:val="center"/>
          </w:tcPr>
          <w:p w14:paraId="2F47493C">
            <w:pPr>
              <w:keepNext w:val="0"/>
              <w:keepLines w:val="0"/>
              <w:suppressLineNumbers w:val="0"/>
              <w:bidi w:val="0"/>
              <w:spacing w:before="0" w:beforeAutospacing="0" w:after="0" w:afterAutospacing="0" w:line="360" w:lineRule="auto"/>
              <w:ind w:left="0" w:right="0"/>
              <w:jc w:val="center"/>
              <w:rPr>
                <w:rFonts w:hint="eastAsia" w:ascii="宋体" w:hAnsi="宋体" w:eastAsia="宋体" w:cs="宋体"/>
                <w:sz w:val="21"/>
                <w:szCs w:val="21"/>
                <w:vertAlign w:val="baseline"/>
              </w:rPr>
            </w:pPr>
          </w:p>
        </w:tc>
        <w:tc>
          <w:tcPr>
            <w:tcW w:w="1583" w:type="dxa"/>
            <w:vAlign w:val="center"/>
          </w:tcPr>
          <w:p w14:paraId="6D911DD1">
            <w:pPr>
              <w:keepNext w:val="0"/>
              <w:keepLines w:val="0"/>
              <w:suppressLineNumbers w:val="0"/>
              <w:bidi w:val="0"/>
              <w:spacing w:before="0" w:beforeAutospacing="0" w:after="0" w:afterAutospacing="0" w:line="360" w:lineRule="auto"/>
              <w:ind w:left="0" w:right="0"/>
              <w:jc w:val="center"/>
              <w:rPr>
                <w:rFonts w:hint="eastAsia" w:ascii="宋体" w:hAnsi="宋体" w:eastAsia="宋体" w:cs="宋体"/>
                <w:sz w:val="21"/>
                <w:szCs w:val="21"/>
                <w:vertAlign w:val="baseline"/>
              </w:rPr>
            </w:pPr>
          </w:p>
        </w:tc>
      </w:tr>
      <w:tr w14:paraId="4BE6B9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1362" w:type="dxa"/>
            <w:vAlign w:val="center"/>
          </w:tcPr>
          <w:p w14:paraId="18ED7805">
            <w:pPr>
              <w:keepNext w:val="0"/>
              <w:keepLines w:val="0"/>
              <w:suppressLineNumbers w:val="0"/>
              <w:bidi w:val="0"/>
              <w:spacing w:before="0" w:beforeAutospacing="0" w:after="0" w:afterAutospacing="0" w:line="360" w:lineRule="auto"/>
              <w:ind w:left="0" w:right="0"/>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3</w:t>
            </w:r>
          </w:p>
        </w:tc>
        <w:tc>
          <w:tcPr>
            <w:tcW w:w="1957" w:type="dxa"/>
            <w:vAlign w:val="center"/>
          </w:tcPr>
          <w:p w14:paraId="593D6D8D">
            <w:pPr>
              <w:keepNext w:val="0"/>
              <w:keepLines w:val="0"/>
              <w:suppressLineNumbers w:val="0"/>
              <w:bidi w:val="0"/>
              <w:spacing w:before="0" w:beforeAutospacing="0" w:after="0" w:afterAutospacing="0" w:line="360" w:lineRule="auto"/>
              <w:ind w:left="0" w:right="0"/>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项目负责人</w:t>
            </w:r>
          </w:p>
        </w:tc>
        <w:tc>
          <w:tcPr>
            <w:tcW w:w="1429" w:type="dxa"/>
            <w:vAlign w:val="center"/>
          </w:tcPr>
          <w:p w14:paraId="007C1172">
            <w:pPr>
              <w:keepNext w:val="0"/>
              <w:keepLines w:val="0"/>
              <w:suppressLineNumbers w:val="0"/>
              <w:bidi w:val="0"/>
              <w:spacing w:before="0" w:beforeAutospacing="0" w:after="0" w:afterAutospacing="0" w:line="360" w:lineRule="auto"/>
              <w:ind w:left="0" w:right="0"/>
              <w:jc w:val="center"/>
              <w:rPr>
                <w:rFonts w:hint="eastAsia" w:ascii="宋体" w:hAnsi="宋体" w:eastAsia="宋体" w:cs="宋体"/>
                <w:sz w:val="21"/>
                <w:szCs w:val="21"/>
                <w:vertAlign w:val="baseline"/>
              </w:rPr>
            </w:pPr>
          </w:p>
        </w:tc>
        <w:tc>
          <w:tcPr>
            <w:tcW w:w="1583" w:type="dxa"/>
            <w:vAlign w:val="center"/>
          </w:tcPr>
          <w:p w14:paraId="6C0051F4">
            <w:pPr>
              <w:keepNext w:val="0"/>
              <w:keepLines w:val="0"/>
              <w:suppressLineNumbers w:val="0"/>
              <w:bidi w:val="0"/>
              <w:spacing w:before="0" w:beforeAutospacing="0" w:after="0" w:afterAutospacing="0" w:line="360" w:lineRule="auto"/>
              <w:ind w:left="0" w:right="0"/>
              <w:jc w:val="center"/>
              <w:rPr>
                <w:rFonts w:hint="eastAsia" w:ascii="宋体" w:hAnsi="宋体" w:eastAsia="宋体" w:cs="宋体"/>
                <w:sz w:val="21"/>
                <w:szCs w:val="21"/>
                <w:vertAlign w:val="baseline"/>
              </w:rPr>
            </w:pPr>
          </w:p>
        </w:tc>
        <w:tc>
          <w:tcPr>
            <w:tcW w:w="1583" w:type="dxa"/>
            <w:vAlign w:val="center"/>
          </w:tcPr>
          <w:p w14:paraId="148729EF">
            <w:pPr>
              <w:keepNext w:val="0"/>
              <w:keepLines w:val="0"/>
              <w:suppressLineNumbers w:val="0"/>
              <w:bidi w:val="0"/>
              <w:spacing w:before="0" w:beforeAutospacing="0" w:after="0" w:afterAutospacing="0" w:line="360" w:lineRule="auto"/>
              <w:ind w:left="0" w:right="0"/>
              <w:jc w:val="center"/>
              <w:rPr>
                <w:rFonts w:hint="eastAsia" w:ascii="宋体" w:hAnsi="宋体" w:eastAsia="宋体" w:cs="宋体"/>
                <w:sz w:val="21"/>
                <w:szCs w:val="21"/>
                <w:vertAlign w:val="baseline"/>
              </w:rPr>
            </w:pPr>
          </w:p>
        </w:tc>
        <w:tc>
          <w:tcPr>
            <w:tcW w:w="1583" w:type="dxa"/>
            <w:vAlign w:val="center"/>
          </w:tcPr>
          <w:p w14:paraId="69FE0359">
            <w:pPr>
              <w:keepNext w:val="0"/>
              <w:keepLines w:val="0"/>
              <w:suppressLineNumbers w:val="0"/>
              <w:bidi w:val="0"/>
              <w:spacing w:before="0" w:beforeAutospacing="0" w:after="0" w:afterAutospacing="0" w:line="360" w:lineRule="auto"/>
              <w:ind w:left="0" w:right="0"/>
              <w:jc w:val="center"/>
              <w:rPr>
                <w:rFonts w:hint="eastAsia" w:ascii="宋体" w:hAnsi="宋体" w:eastAsia="宋体" w:cs="宋体"/>
                <w:sz w:val="21"/>
                <w:szCs w:val="21"/>
                <w:vertAlign w:val="baseline"/>
              </w:rPr>
            </w:pPr>
          </w:p>
        </w:tc>
      </w:tr>
      <w:tr w14:paraId="410189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0" w:hRule="atLeast"/>
          <w:jc w:val="center"/>
        </w:trPr>
        <w:tc>
          <w:tcPr>
            <w:tcW w:w="1362" w:type="dxa"/>
            <w:vAlign w:val="center"/>
          </w:tcPr>
          <w:p w14:paraId="7732C98C">
            <w:pPr>
              <w:keepNext w:val="0"/>
              <w:keepLines w:val="0"/>
              <w:suppressLineNumbers w:val="0"/>
              <w:bidi w:val="0"/>
              <w:spacing w:before="0" w:beforeAutospacing="0" w:after="0" w:afterAutospacing="0" w:line="360" w:lineRule="auto"/>
              <w:ind w:left="0" w:right="0"/>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4</w:t>
            </w:r>
          </w:p>
        </w:tc>
        <w:tc>
          <w:tcPr>
            <w:tcW w:w="1957" w:type="dxa"/>
            <w:vAlign w:val="center"/>
          </w:tcPr>
          <w:p w14:paraId="223622D8">
            <w:pPr>
              <w:keepNext w:val="0"/>
              <w:keepLines w:val="0"/>
              <w:suppressLineNumbers w:val="0"/>
              <w:bidi w:val="0"/>
              <w:spacing w:before="0" w:beforeAutospacing="0" w:after="0" w:afterAutospacing="0" w:line="360" w:lineRule="auto"/>
              <w:ind w:left="0" w:right="0"/>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主要技术人员</w:t>
            </w:r>
          </w:p>
        </w:tc>
        <w:tc>
          <w:tcPr>
            <w:tcW w:w="1429" w:type="dxa"/>
            <w:vAlign w:val="center"/>
          </w:tcPr>
          <w:p w14:paraId="17DEDBF0">
            <w:pPr>
              <w:keepNext w:val="0"/>
              <w:keepLines w:val="0"/>
              <w:suppressLineNumbers w:val="0"/>
              <w:bidi w:val="0"/>
              <w:spacing w:before="0" w:beforeAutospacing="0" w:after="0" w:afterAutospacing="0" w:line="360" w:lineRule="auto"/>
              <w:ind w:left="0" w:right="0"/>
              <w:jc w:val="center"/>
              <w:rPr>
                <w:rFonts w:hint="eastAsia" w:ascii="宋体" w:hAnsi="宋体" w:eastAsia="宋体" w:cs="宋体"/>
                <w:sz w:val="21"/>
                <w:szCs w:val="21"/>
                <w:vertAlign w:val="baseline"/>
              </w:rPr>
            </w:pPr>
          </w:p>
        </w:tc>
        <w:tc>
          <w:tcPr>
            <w:tcW w:w="1583" w:type="dxa"/>
            <w:vAlign w:val="center"/>
          </w:tcPr>
          <w:p w14:paraId="7D102E78">
            <w:pPr>
              <w:keepNext w:val="0"/>
              <w:keepLines w:val="0"/>
              <w:suppressLineNumbers w:val="0"/>
              <w:bidi w:val="0"/>
              <w:spacing w:before="0" w:beforeAutospacing="0" w:after="0" w:afterAutospacing="0" w:line="360" w:lineRule="auto"/>
              <w:ind w:left="0" w:right="0"/>
              <w:jc w:val="center"/>
              <w:rPr>
                <w:rFonts w:hint="eastAsia" w:ascii="宋体" w:hAnsi="宋体" w:eastAsia="宋体" w:cs="宋体"/>
                <w:sz w:val="21"/>
                <w:szCs w:val="21"/>
                <w:vertAlign w:val="baseline"/>
              </w:rPr>
            </w:pPr>
          </w:p>
        </w:tc>
        <w:tc>
          <w:tcPr>
            <w:tcW w:w="1583" w:type="dxa"/>
            <w:vAlign w:val="center"/>
          </w:tcPr>
          <w:p w14:paraId="75A708A7">
            <w:pPr>
              <w:keepNext w:val="0"/>
              <w:keepLines w:val="0"/>
              <w:suppressLineNumbers w:val="0"/>
              <w:bidi w:val="0"/>
              <w:spacing w:before="0" w:beforeAutospacing="0" w:after="0" w:afterAutospacing="0" w:line="360" w:lineRule="auto"/>
              <w:ind w:left="0" w:right="0"/>
              <w:jc w:val="center"/>
              <w:rPr>
                <w:rFonts w:hint="eastAsia" w:ascii="宋体" w:hAnsi="宋体" w:eastAsia="宋体" w:cs="宋体"/>
                <w:sz w:val="21"/>
                <w:szCs w:val="21"/>
                <w:vertAlign w:val="baseline"/>
              </w:rPr>
            </w:pPr>
          </w:p>
        </w:tc>
        <w:tc>
          <w:tcPr>
            <w:tcW w:w="1583" w:type="dxa"/>
            <w:vAlign w:val="center"/>
          </w:tcPr>
          <w:p w14:paraId="450CDBC5">
            <w:pPr>
              <w:keepNext w:val="0"/>
              <w:keepLines w:val="0"/>
              <w:suppressLineNumbers w:val="0"/>
              <w:bidi w:val="0"/>
              <w:spacing w:before="0" w:beforeAutospacing="0" w:after="0" w:afterAutospacing="0" w:line="360" w:lineRule="auto"/>
              <w:ind w:left="0" w:right="0"/>
              <w:jc w:val="center"/>
              <w:rPr>
                <w:rFonts w:hint="eastAsia" w:ascii="宋体" w:hAnsi="宋体" w:eastAsia="宋体" w:cs="宋体"/>
                <w:sz w:val="21"/>
                <w:szCs w:val="21"/>
                <w:vertAlign w:val="baseline"/>
              </w:rPr>
            </w:pPr>
          </w:p>
        </w:tc>
      </w:tr>
      <w:tr w14:paraId="2C1849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6" w:hRule="atLeast"/>
          <w:jc w:val="center"/>
        </w:trPr>
        <w:tc>
          <w:tcPr>
            <w:tcW w:w="1362" w:type="dxa"/>
            <w:vAlign w:val="center"/>
          </w:tcPr>
          <w:p w14:paraId="77676A10">
            <w:pPr>
              <w:keepNext w:val="0"/>
              <w:keepLines w:val="0"/>
              <w:suppressLineNumbers w:val="0"/>
              <w:bidi w:val="0"/>
              <w:spacing w:before="0" w:beforeAutospacing="0" w:after="0" w:afterAutospacing="0" w:line="360" w:lineRule="auto"/>
              <w:ind w:left="0" w:right="0"/>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5</w:t>
            </w:r>
          </w:p>
        </w:tc>
        <w:tc>
          <w:tcPr>
            <w:tcW w:w="1957" w:type="dxa"/>
            <w:vAlign w:val="center"/>
          </w:tcPr>
          <w:p w14:paraId="5C3EEB06">
            <w:pPr>
              <w:keepNext w:val="0"/>
              <w:keepLines w:val="0"/>
              <w:suppressLineNumbers w:val="0"/>
              <w:bidi w:val="0"/>
              <w:spacing w:before="0" w:beforeAutospacing="0" w:after="0" w:afterAutospacing="0" w:line="360" w:lineRule="auto"/>
              <w:ind w:left="0" w:right="0"/>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投标文件编制人员</w:t>
            </w:r>
          </w:p>
        </w:tc>
        <w:tc>
          <w:tcPr>
            <w:tcW w:w="1429" w:type="dxa"/>
            <w:vAlign w:val="center"/>
          </w:tcPr>
          <w:p w14:paraId="7C3B831F">
            <w:pPr>
              <w:keepNext w:val="0"/>
              <w:keepLines w:val="0"/>
              <w:suppressLineNumbers w:val="0"/>
              <w:bidi w:val="0"/>
              <w:spacing w:before="0" w:beforeAutospacing="0" w:after="0" w:afterAutospacing="0" w:line="360" w:lineRule="auto"/>
              <w:ind w:left="0" w:right="0"/>
              <w:jc w:val="center"/>
              <w:rPr>
                <w:rFonts w:hint="eastAsia" w:ascii="宋体" w:hAnsi="宋体" w:eastAsia="宋体" w:cs="宋体"/>
                <w:sz w:val="21"/>
                <w:szCs w:val="21"/>
                <w:vertAlign w:val="baseline"/>
              </w:rPr>
            </w:pPr>
          </w:p>
        </w:tc>
        <w:tc>
          <w:tcPr>
            <w:tcW w:w="1583" w:type="dxa"/>
            <w:vAlign w:val="center"/>
          </w:tcPr>
          <w:p w14:paraId="39CE7BCD">
            <w:pPr>
              <w:keepNext w:val="0"/>
              <w:keepLines w:val="0"/>
              <w:suppressLineNumbers w:val="0"/>
              <w:bidi w:val="0"/>
              <w:spacing w:before="0" w:beforeAutospacing="0" w:after="0" w:afterAutospacing="0" w:line="360" w:lineRule="auto"/>
              <w:ind w:left="0" w:right="0"/>
              <w:jc w:val="center"/>
              <w:rPr>
                <w:rFonts w:hint="eastAsia" w:ascii="宋体" w:hAnsi="宋体" w:eastAsia="宋体" w:cs="宋体"/>
                <w:sz w:val="21"/>
                <w:szCs w:val="21"/>
                <w:vertAlign w:val="baseline"/>
              </w:rPr>
            </w:pPr>
          </w:p>
        </w:tc>
        <w:tc>
          <w:tcPr>
            <w:tcW w:w="1583" w:type="dxa"/>
            <w:vAlign w:val="center"/>
          </w:tcPr>
          <w:p w14:paraId="6B629900">
            <w:pPr>
              <w:keepNext w:val="0"/>
              <w:keepLines w:val="0"/>
              <w:suppressLineNumbers w:val="0"/>
              <w:bidi w:val="0"/>
              <w:spacing w:before="0" w:beforeAutospacing="0" w:after="0" w:afterAutospacing="0" w:line="360" w:lineRule="auto"/>
              <w:ind w:left="0" w:right="0"/>
              <w:jc w:val="center"/>
              <w:rPr>
                <w:rFonts w:hint="eastAsia" w:ascii="宋体" w:hAnsi="宋体" w:eastAsia="宋体" w:cs="宋体"/>
                <w:sz w:val="21"/>
                <w:szCs w:val="21"/>
                <w:vertAlign w:val="baseline"/>
              </w:rPr>
            </w:pPr>
          </w:p>
        </w:tc>
        <w:tc>
          <w:tcPr>
            <w:tcW w:w="1583" w:type="dxa"/>
            <w:vAlign w:val="center"/>
          </w:tcPr>
          <w:p w14:paraId="4BC94FC8">
            <w:pPr>
              <w:keepNext w:val="0"/>
              <w:keepLines w:val="0"/>
              <w:suppressLineNumbers w:val="0"/>
              <w:bidi w:val="0"/>
              <w:spacing w:before="0" w:beforeAutospacing="0" w:after="0" w:afterAutospacing="0" w:line="360" w:lineRule="auto"/>
              <w:ind w:left="0" w:right="0"/>
              <w:jc w:val="center"/>
              <w:rPr>
                <w:rFonts w:hint="eastAsia" w:ascii="宋体" w:hAnsi="宋体" w:eastAsia="宋体" w:cs="宋体"/>
                <w:sz w:val="21"/>
                <w:szCs w:val="21"/>
                <w:vertAlign w:val="baseline"/>
              </w:rPr>
            </w:pPr>
          </w:p>
        </w:tc>
      </w:tr>
      <w:tr w14:paraId="435727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9497" w:type="dxa"/>
            <w:gridSpan w:val="6"/>
            <w:vAlign w:val="center"/>
          </w:tcPr>
          <w:p w14:paraId="69A32B79">
            <w:pPr>
              <w:keepNext w:val="0"/>
              <w:keepLines w:val="0"/>
              <w:suppressLineNumbers w:val="0"/>
              <w:bidi w:val="0"/>
              <w:spacing w:before="0" w:beforeAutospacing="0" w:after="0" w:afterAutospacing="0" w:line="360" w:lineRule="auto"/>
              <w:ind w:left="0" w:right="0"/>
              <w:jc w:val="left"/>
              <w:rPr>
                <w:rFonts w:hint="eastAsia" w:ascii="宋体" w:hAnsi="宋体" w:eastAsia="宋体" w:cs="宋体"/>
                <w:sz w:val="21"/>
                <w:szCs w:val="21"/>
                <w:vertAlign w:val="baseline"/>
              </w:rPr>
            </w:pPr>
            <w:r>
              <w:rPr>
                <w:rFonts w:hint="eastAsia" w:ascii="宋体" w:hAnsi="宋体" w:eastAsia="宋体" w:cs="宋体"/>
                <w:b/>
                <w:bCs/>
                <w:sz w:val="21"/>
                <w:szCs w:val="21"/>
                <w:vertAlign w:val="baseline"/>
              </w:rPr>
              <w:t>说明：同一职务有多人担任（如主要技术人员），应分行填写。</w:t>
            </w:r>
          </w:p>
        </w:tc>
      </w:tr>
      <w:tr w14:paraId="26AC98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9497" w:type="dxa"/>
            <w:gridSpan w:val="6"/>
            <w:vAlign w:val="center"/>
          </w:tcPr>
          <w:p w14:paraId="6746E5D2">
            <w:pPr>
              <w:keepNext w:val="0"/>
              <w:keepLines w:val="0"/>
              <w:suppressLineNumbers w:val="0"/>
              <w:bidi w:val="0"/>
              <w:spacing w:before="0" w:beforeAutospacing="0" w:after="0" w:afterAutospacing="0" w:line="360" w:lineRule="auto"/>
              <w:ind w:left="0" w:right="0"/>
              <w:jc w:val="center"/>
              <w:rPr>
                <w:rFonts w:hint="eastAsia" w:ascii="宋体" w:hAnsi="宋体" w:eastAsia="宋体" w:cs="宋体"/>
                <w:sz w:val="21"/>
                <w:szCs w:val="21"/>
                <w:vertAlign w:val="baseline"/>
              </w:rPr>
            </w:pPr>
            <w:r>
              <w:rPr>
                <w:rFonts w:hint="eastAsia" w:ascii="宋体" w:hAnsi="宋体" w:eastAsia="宋体" w:cs="宋体"/>
                <w:b/>
                <w:bCs/>
                <w:sz w:val="21"/>
                <w:szCs w:val="21"/>
                <w:vertAlign w:val="baseline"/>
              </w:rPr>
              <w:t>投标（响应）供应商关联关系情况</w:t>
            </w:r>
          </w:p>
        </w:tc>
      </w:tr>
      <w:tr w14:paraId="4A44CC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1362" w:type="dxa"/>
            <w:vAlign w:val="center"/>
          </w:tcPr>
          <w:p w14:paraId="75341A74">
            <w:pPr>
              <w:keepNext w:val="0"/>
              <w:keepLines w:val="0"/>
              <w:suppressLineNumbers w:val="0"/>
              <w:bidi w:val="0"/>
              <w:spacing w:before="0" w:beforeAutospacing="0" w:after="0" w:afterAutospacing="0" w:line="360" w:lineRule="auto"/>
              <w:ind w:left="0" w:right="0"/>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序号</w:t>
            </w:r>
          </w:p>
        </w:tc>
        <w:tc>
          <w:tcPr>
            <w:tcW w:w="3386" w:type="dxa"/>
            <w:gridSpan w:val="2"/>
            <w:vAlign w:val="center"/>
          </w:tcPr>
          <w:p w14:paraId="56B9B2CF">
            <w:pPr>
              <w:keepNext w:val="0"/>
              <w:keepLines w:val="0"/>
              <w:suppressLineNumbers w:val="0"/>
              <w:bidi w:val="0"/>
              <w:spacing w:before="0" w:beforeAutospacing="0" w:after="0" w:afterAutospacing="0" w:line="360" w:lineRule="auto"/>
              <w:ind w:left="0" w:right="0"/>
              <w:jc w:val="center"/>
              <w:rPr>
                <w:rFonts w:hint="eastAsia" w:ascii="宋体" w:hAnsi="宋体" w:eastAsia="宋体" w:cs="宋体"/>
                <w:sz w:val="21"/>
                <w:szCs w:val="21"/>
                <w:vertAlign w:val="baseline"/>
              </w:rPr>
            </w:pPr>
            <w:r>
              <w:rPr>
                <w:rFonts w:hint="eastAsia" w:ascii="宋体" w:hAnsi="宋体" w:eastAsia="宋体" w:cs="宋体"/>
                <w:sz w:val="21"/>
                <w:szCs w:val="21"/>
                <w:vertAlign w:val="baseline"/>
              </w:rPr>
              <w:t>关联关系类型</w:t>
            </w:r>
          </w:p>
        </w:tc>
        <w:tc>
          <w:tcPr>
            <w:tcW w:w="1583" w:type="dxa"/>
            <w:vAlign w:val="center"/>
          </w:tcPr>
          <w:p w14:paraId="46A24EFC">
            <w:pPr>
              <w:keepNext w:val="0"/>
              <w:keepLines w:val="0"/>
              <w:suppressLineNumbers w:val="0"/>
              <w:bidi w:val="0"/>
              <w:spacing w:before="0" w:beforeAutospacing="0" w:after="0" w:afterAutospacing="0" w:line="360" w:lineRule="auto"/>
              <w:ind w:left="0" w:right="0"/>
              <w:jc w:val="center"/>
              <w:rPr>
                <w:rFonts w:hint="eastAsia" w:ascii="宋体" w:hAnsi="宋体" w:eastAsia="宋体" w:cs="宋体"/>
                <w:sz w:val="21"/>
                <w:szCs w:val="21"/>
                <w:vertAlign w:val="baseline"/>
              </w:rPr>
            </w:pPr>
            <w:r>
              <w:rPr>
                <w:rFonts w:hint="eastAsia" w:ascii="宋体" w:hAnsi="宋体" w:eastAsia="宋体" w:cs="宋体"/>
                <w:sz w:val="21"/>
                <w:szCs w:val="21"/>
                <w:vertAlign w:val="baseline"/>
              </w:rPr>
              <w:t>关联主体名称</w:t>
            </w:r>
          </w:p>
        </w:tc>
        <w:tc>
          <w:tcPr>
            <w:tcW w:w="3166" w:type="dxa"/>
            <w:gridSpan w:val="2"/>
            <w:vAlign w:val="center"/>
          </w:tcPr>
          <w:p w14:paraId="5E2022A6">
            <w:pPr>
              <w:keepNext w:val="0"/>
              <w:keepLines w:val="0"/>
              <w:suppressLineNumbers w:val="0"/>
              <w:bidi w:val="0"/>
              <w:spacing w:before="0" w:beforeAutospacing="0" w:after="0" w:afterAutospacing="0" w:line="360" w:lineRule="auto"/>
              <w:ind w:left="0" w:right="0"/>
              <w:jc w:val="center"/>
              <w:rPr>
                <w:rFonts w:hint="eastAsia" w:ascii="宋体" w:hAnsi="宋体" w:eastAsia="宋体" w:cs="宋体"/>
                <w:sz w:val="21"/>
                <w:szCs w:val="21"/>
                <w:vertAlign w:val="baseline"/>
              </w:rPr>
            </w:pPr>
            <w:r>
              <w:rPr>
                <w:rFonts w:hint="eastAsia" w:ascii="宋体" w:hAnsi="宋体" w:eastAsia="宋体" w:cs="宋体"/>
                <w:sz w:val="21"/>
                <w:szCs w:val="21"/>
                <w:vertAlign w:val="baseline"/>
              </w:rPr>
              <w:t>备注</w:t>
            </w:r>
          </w:p>
        </w:tc>
      </w:tr>
      <w:tr w14:paraId="75732E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1362" w:type="dxa"/>
            <w:vAlign w:val="center"/>
          </w:tcPr>
          <w:p w14:paraId="600701E1">
            <w:pPr>
              <w:keepNext w:val="0"/>
              <w:keepLines w:val="0"/>
              <w:suppressLineNumbers w:val="0"/>
              <w:bidi w:val="0"/>
              <w:spacing w:before="0" w:beforeAutospacing="0" w:after="0" w:afterAutospacing="0" w:line="360" w:lineRule="auto"/>
              <w:ind w:left="0" w:right="0"/>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1</w:t>
            </w:r>
          </w:p>
        </w:tc>
        <w:tc>
          <w:tcPr>
            <w:tcW w:w="3386" w:type="dxa"/>
            <w:gridSpan w:val="2"/>
            <w:vAlign w:val="center"/>
          </w:tcPr>
          <w:p w14:paraId="566EF645">
            <w:pPr>
              <w:keepNext w:val="0"/>
              <w:keepLines w:val="0"/>
              <w:suppressLineNumbers w:val="0"/>
              <w:bidi w:val="0"/>
              <w:spacing w:before="0" w:beforeAutospacing="0" w:after="0" w:afterAutospacing="0" w:line="360" w:lineRule="auto"/>
              <w:ind w:left="0" w:right="0"/>
              <w:jc w:val="center"/>
              <w:rPr>
                <w:rFonts w:hint="eastAsia" w:ascii="宋体" w:hAnsi="宋体" w:eastAsia="宋体" w:cs="宋体"/>
                <w:sz w:val="21"/>
                <w:szCs w:val="21"/>
                <w:vertAlign w:val="baseline"/>
              </w:rPr>
            </w:pPr>
            <w:r>
              <w:rPr>
                <w:rFonts w:hint="eastAsia" w:ascii="宋体" w:hAnsi="宋体" w:eastAsia="宋体" w:cs="宋体"/>
                <w:sz w:val="21"/>
                <w:szCs w:val="21"/>
                <w:vertAlign w:val="baseline"/>
              </w:rPr>
              <w:t>控股股东</w:t>
            </w:r>
          </w:p>
        </w:tc>
        <w:tc>
          <w:tcPr>
            <w:tcW w:w="1583" w:type="dxa"/>
            <w:vAlign w:val="center"/>
          </w:tcPr>
          <w:p w14:paraId="6992A4CF">
            <w:pPr>
              <w:keepNext w:val="0"/>
              <w:keepLines w:val="0"/>
              <w:suppressLineNumbers w:val="0"/>
              <w:bidi w:val="0"/>
              <w:spacing w:before="0" w:beforeAutospacing="0" w:after="0" w:afterAutospacing="0" w:line="360" w:lineRule="auto"/>
              <w:ind w:left="0" w:right="0"/>
              <w:jc w:val="center"/>
              <w:rPr>
                <w:rFonts w:hint="eastAsia" w:ascii="宋体" w:hAnsi="宋体" w:eastAsia="宋体" w:cs="宋体"/>
                <w:sz w:val="21"/>
                <w:szCs w:val="21"/>
                <w:vertAlign w:val="baseline"/>
              </w:rPr>
            </w:pPr>
          </w:p>
        </w:tc>
        <w:tc>
          <w:tcPr>
            <w:tcW w:w="3166" w:type="dxa"/>
            <w:gridSpan w:val="2"/>
            <w:vAlign w:val="center"/>
          </w:tcPr>
          <w:p w14:paraId="6B2E6F38">
            <w:pPr>
              <w:keepNext w:val="0"/>
              <w:keepLines w:val="0"/>
              <w:suppressLineNumbers w:val="0"/>
              <w:bidi w:val="0"/>
              <w:spacing w:before="0" w:beforeAutospacing="0" w:after="0" w:afterAutospacing="0" w:line="360" w:lineRule="auto"/>
              <w:ind w:left="0" w:right="0"/>
              <w:jc w:val="center"/>
              <w:rPr>
                <w:rFonts w:hint="eastAsia" w:ascii="宋体" w:hAnsi="宋体" w:eastAsia="宋体" w:cs="宋体"/>
                <w:sz w:val="21"/>
                <w:szCs w:val="21"/>
                <w:vertAlign w:val="baseline"/>
              </w:rPr>
            </w:pPr>
            <w:r>
              <w:rPr>
                <w:rFonts w:hint="eastAsia" w:ascii="宋体" w:hAnsi="宋体" w:eastAsia="宋体" w:cs="宋体"/>
                <w:sz w:val="21"/>
                <w:szCs w:val="21"/>
                <w:vertAlign w:val="baseline"/>
              </w:rPr>
              <w:t>指出资额（或持有股份）占投标（响应）供应商资 本总额（或股本总额）50%以上的股东，以及出资额 （或持有股份）的比例虽然不足 50%，但依其出资  额（或持有股份）所享有的表决权已足以对投标（响 应）供应商股东会（或股东大会）的决议产生重要 影响的股东。</w:t>
            </w:r>
          </w:p>
        </w:tc>
      </w:tr>
      <w:tr w14:paraId="2A4454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1362" w:type="dxa"/>
            <w:vAlign w:val="center"/>
          </w:tcPr>
          <w:p w14:paraId="0304A5E9">
            <w:pPr>
              <w:keepNext w:val="0"/>
              <w:keepLines w:val="0"/>
              <w:suppressLineNumbers w:val="0"/>
              <w:bidi w:val="0"/>
              <w:spacing w:before="0" w:beforeAutospacing="0" w:after="0" w:afterAutospacing="0" w:line="360" w:lineRule="auto"/>
              <w:ind w:left="0" w:right="0"/>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2</w:t>
            </w:r>
          </w:p>
        </w:tc>
        <w:tc>
          <w:tcPr>
            <w:tcW w:w="3386" w:type="dxa"/>
            <w:gridSpan w:val="2"/>
            <w:vAlign w:val="center"/>
          </w:tcPr>
          <w:p w14:paraId="4A83AFC2">
            <w:pPr>
              <w:keepNext w:val="0"/>
              <w:keepLines w:val="0"/>
              <w:suppressLineNumbers w:val="0"/>
              <w:bidi w:val="0"/>
              <w:spacing w:before="0" w:beforeAutospacing="0" w:after="0" w:afterAutospacing="0" w:line="360" w:lineRule="auto"/>
              <w:ind w:left="0" w:right="0"/>
              <w:jc w:val="center"/>
              <w:rPr>
                <w:rFonts w:hint="eastAsia" w:ascii="宋体" w:hAnsi="宋体" w:eastAsia="宋体" w:cs="宋体"/>
                <w:sz w:val="21"/>
                <w:szCs w:val="21"/>
                <w:vertAlign w:val="baseline"/>
              </w:rPr>
            </w:pPr>
            <w:r>
              <w:rPr>
                <w:rFonts w:hint="eastAsia" w:ascii="宋体" w:hAnsi="宋体" w:eastAsia="宋体" w:cs="宋体"/>
                <w:sz w:val="21"/>
                <w:szCs w:val="21"/>
                <w:vertAlign w:val="baseline"/>
              </w:rPr>
              <w:t>管理关系</w:t>
            </w:r>
          </w:p>
        </w:tc>
        <w:tc>
          <w:tcPr>
            <w:tcW w:w="1583" w:type="dxa"/>
            <w:vAlign w:val="center"/>
          </w:tcPr>
          <w:p w14:paraId="50071E40">
            <w:pPr>
              <w:keepNext w:val="0"/>
              <w:keepLines w:val="0"/>
              <w:suppressLineNumbers w:val="0"/>
              <w:bidi w:val="0"/>
              <w:spacing w:before="0" w:beforeAutospacing="0" w:after="0" w:afterAutospacing="0" w:line="360" w:lineRule="auto"/>
              <w:ind w:left="0" w:right="0"/>
              <w:jc w:val="center"/>
              <w:rPr>
                <w:rFonts w:hint="eastAsia" w:ascii="宋体" w:hAnsi="宋体" w:eastAsia="宋体" w:cs="宋体"/>
                <w:sz w:val="21"/>
                <w:szCs w:val="21"/>
                <w:vertAlign w:val="baseline"/>
              </w:rPr>
            </w:pPr>
          </w:p>
        </w:tc>
        <w:tc>
          <w:tcPr>
            <w:tcW w:w="3166" w:type="dxa"/>
            <w:gridSpan w:val="2"/>
            <w:vAlign w:val="center"/>
          </w:tcPr>
          <w:p w14:paraId="2A7418A5">
            <w:pPr>
              <w:keepNext w:val="0"/>
              <w:keepLines w:val="0"/>
              <w:suppressLineNumbers w:val="0"/>
              <w:bidi w:val="0"/>
              <w:spacing w:before="0" w:beforeAutospacing="0" w:after="0" w:afterAutospacing="0" w:line="360" w:lineRule="auto"/>
              <w:ind w:left="0" w:right="0"/>
              <w:jc w:val="center"/>
              <w:rPr>
                <w:rFonts w:hint="eastAsia" w:ascii="宋体" w:hAnsi="宋体" w:eastAsia="宋体" w:cs="宋体"/>
                <w:sz w:val="21"/>
                <w:szCs w:val="21"/>
                <w:vertAlign w:val="baseline"/>
              </w:rPr>
            </w:pPr>
            <w:r>
              <w:rPr>
                <w:rFonts w:hint="eastAsia" w:cs="方正仿宋_GBK" w:asciiTheme="minorEastAsia" w:hAnsiTheme="minorEastAsia" w:eastAsiaTheme="minorEastAsia"/>
                <w:szCs w:val="21"/>
              </w:rPr>
              <w:t>指对投标（响应）供应商不具有出资持股关系，但对其存在管理关系的主体。</w:t>
            </w:r>
          </w:p>
        </w:tc>
      </w:tr>
      <w:tr w14:paraId="0F6F48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2" w:hRule="atLeast"/>
          <w:jc w:val="center"/>
        </w:trPr>
        <w:tc>
          <w:tcPr>
            <w:tcW w:w="9497" w:type="dxa"/>
            <w:gridSpan w:val="6"/>
            <w:vAlign w:val="center"/>
          </w:tcPr>
          <w:p w14:paraId="257A4A10">
            <w:pPr>
              <w:keepNext w:val="0"/>
              <w:keepLines w:val="0"/>
              <w:suppressLineNumbers w:val="0"/>
              <w:bidi w:val="0"/>
              <w:spacing w:before="0" w:beforeAutospacing="0" w:after="0" w:afterAutospacing="0" w:line="360" w:lineRule="auto"/>
              <w:ind w:left="0" w:right="0"/>
              <w:jc w:val="left"/>
              <w:rPr>
                <w:rFonts w:hint="eastAsia" w:ascii="宋体" w:hAnsi="宋体" w:eastAsia="宋体" w:cs="宋体"/>
                <w:sz w:val="21"/>
                <w:szCs w:val="21"/>
                <w:vertAlign w:val="baseline"/>
              </w:rPr>
            </w:pPr>
            <w:r>
              <w:rPr>
                <w:rFonts w:hint="eastAsia" w:ascii="宋体" w:hAnsi="宋体" w:eastAsia="宋体" w:cs="宋体"/>
                <w:b/>
                <w:bCs/>
                <w:sz w:val="21"/>
                <w:szCs w:val="21"/>
                <w:vertAlign w:val="baseline"/>
              </w:rPr>
              <w:t>说明：同一关联关系类型有多个主体的，应分行填写。</w:t>
            </w:r>
          </w:p>
        </w:tc>
      </w:tr>
    </w:tbl>
    <w:p w14:paraId="6AA7347A">
      <w:pPr>
        <w:bidi w:val="0"/>
        <w:rPr>
          <w:rFonts w:hint="eastAsia"/>
        </w:rPr>
      </w:pPr>
    </w:p>
    <w:p w14:paraId="66A8E52C">
      <w:pPr>
        <w:rPr>
          <w:rFonts w:hint="eastAsia" w:ascii="宋体" w:hAnsi="宋体" w:eastAsia="宋体" w:cs="宋体"/>
          <w:sz w:val="30"/>
          <w:szCs w:val="30"/>
        </w:rPr>
      </w:pPr>
      <w:r>
        <w:rPr>
          <w:rFonts w:hint="eastAsia" w:ascii="宋体" w:hAnsi="宋体" w:eastAsia="宋体" w:cs="宋体"/>
          <w:sz w:val="30"/>
          <w:szCs w:val="30"/>
        </w:rPr>
        <w:br w:type="page"/>
      </w:r>
    </w:p>
    <w:p w14:paraId="76C3BE37">
      <w:pPr>
        <w:pStyle w:val="4"/>
        <w:numPr>
          <w:ilvl w:val="0"/>
          <w:numId w:val="0"/>
        </w:numPr>
        <w:spacing w:line="240" w:lineRule="auto"/>
        <w:ind w:left="420" w:leftChars="0" w:hanging="420" w:firstLineChars="0"/>
        <w:jc w:val="center"/>
        <w:outlineLvl w:val="0"/>
        <w:rPr>
          <w:rFonts w:asciiTheme="majorEastAsia" w:hAnsiTheme="majorEastAsia" w:eastAsiaTheme="majorEastAsia"/>
          <w:color w:val="auto"/>
          <w:sz w:val="30"/>
          <w:szCs w:val="30"/>
        </w:rPr>
      </w:pPr>
      <w:bookmarkStart w:id="34" w:name="_Toc4049"/>
      <w:bookmarkStart w:id="35" w:name="_Toc2074"/>
      <w:bookmarkStart w:id="36" w:name="_Toc30875"/>
      <w:r>
        <w:rPr>
          <w:rFonts w:hint="eastAsia" w:cs="宋体" w:asciiTheme="majorEastAsia" w:hAnsiTheme="majorEastAsia" w:eastAsiaTheme="majorEastAsia"/>
          <w:color w:val="auto"/>
          <w:kern w:val="2"/>
          <w:sz w:val="30"/>
          <w:szCs w:val="30"/>
          <w:lang w:val="en-US" w:eastAsia="zh-CN" w:bidi="ar-SA"/>
        </w:rPr>
        <w:t>（八）</w:t>
      </w:r>
      <w:r>
        <w:rPr>
          <w:rFonts w:hint="eastAsia" w:asciiTheme="majorEastAsia" w:hAnsiTheme="majorEastAsia" w:eastAsiaTheme="majorEastAsia"/>
          <w:sz w:val="30"/>
          <w:szCs w:val="30"/>
        </w:rPr>
        <w:t>符合政府采</w:t>
      </w:r>
      <w:r>
        <w:rPr>
          <w:rFonts w:hint="eastAsia" w:asciiTheme="majorEastAsia" w:hAnsiTheme="majorEastAsia" w:eastAsiaTheme="majorEastAsia"/>
          <w:color w:val="auto"/>
          <w:sz w:val="30"/>
          <w:szCs w:val="30"/>
        </w:rPr>
        <w:t>购优惠政策的证明材料</w:t>
      </w:r>
      <w:bookmarkEnd w:id="34"/>
      <w:bookmarkEnd w:id="35"/>
      <w:bookmarkEnd w:id="36"/>
    </w:p>
    <w:p w14:paraId="5C981CD0">
      <w:pPr>
        <w:spacing w:line="360" w:lineRule="exact"/>
        <w:rPr>
          <w:rFonts w:hint="eastAsia"/>
          <w:b/>
          <w:color w:val="auto"/>
          <w:sz w:val="24"/>
        </w:rPr>
      </w:pPr>
      <w:r>
        <w:rPr>
          <w:rFonts w:hint="eastAsia" w:ascii="黑体" w:hAnsi="宋体" w:eastAsia="黑体"/>
          <w:bCs/>
          <w:color w:val="auto"/>
          <w:szCs w:val="32"/>
        </w:rPr>
        <w:t>备注：该部分内容由供应商根据自身情况提供相关内容，不符合要求的供应商可以不提供。</w:t>
      </w:r>
    </w:p>
    <w:p w14:paraId="4B1D9CBC">
      <w:pPr>
        <w:pStyle w:val="37"/>
        <w:spacing w:before="120" w:after="120" w:line="276" w:lineRule="auto"/>
        <w:ind w:firstLine="482"/>
        <w:rPr>
          <w:rFonts w:hint="eastAsia" w:ascii="宋体" w:hAnsi="宋体" w:cs="宋体" w:eastAsiaTheme="minorEastAsia"/>
          <w:bCs/>
          <w:color w:val="auto"/>
          <w:kern w:val="0"/>
          <w:sz w:val="24"/>
          <w:szCs w:val="24"/>
          <w:highlight w:val="none"/>
          <w:lang w:eastAsia="zh-CN"/>
        </w:rPr>
      </w:pPr>
      <w:r>
        <w:rPr>
          <w:rFonts w:hint="eastAsia"/>
          <w:b/>
          <w:color w:val="auto"/>
          <w:sz w:val="24"/>
        </w:rPr>
        <w:t>填写指引：</w:t>
      </w:r>
      <w:r>
        <w:rPr>
          <w:rFonts w:hint="eastAsia" w:ascii="Times New Roman" w:hAnsi="Times New Roman" w:cs="Times New Roman"/>
          <w:color w:val="FF0000"/>
          <w:highlight w:val="yellow"/>
          <w:lang w:eastAsia="zh-CN"/>
        </w:rPr>
        <w:t>（</w:t>
      </w:r>
      <w:r>
        <w:rPr>
          <w:rFonts w:hint="eastAsia" w:ascii="Times New Roman" w:hAnsi="Times New Roman" w:cs="Times New Roman"/>
          <w:color w:val="FF0000"/>
          <w:highlight w:val="yellow"/>
        </w:rPr>
        <w:t>小微企业报价优惠：10 %</w:t>
      </w:r>
      <w:r>
        <w:rPr>
          <w:rFonts w:hint="eastAsia" w:ascii="Times New Roman" w:hAnsi="Times New Roman" w:cs="Times New Roman"/>
          <w:color w:val="FF0000"/>
          <w:highlight w:val="yellow"/>
          <w:lang w:eastAsia="zh-CN"/>
        </w:rPr>
        <w:t>，</w:t>
      </w:r>
      <w:r>
        <w:rPr>
          <w:rFonts w:hint="eastAsia" w:ascii="Times New Roman" w:hAnsi="Times New Roman" w:cs="Times New Roman"/>
          <w:color w:val="FF0000"/>
          <w:highlight w:val="yellow"/>
        </w:rPr>
        <w:t>采购标的对应的中小企业划分标准所属行业：</w:t>
      </w:r>
      <w:r>
        <w:rPr>
          <w:rFonts w:hint="eastAsia" w:ascii="Times New Roman" w:hAnsi="Times New Roman" w:cs="Times New Roman"/>
          <w:color w:val="FF0000"/>
          <w:highlight w:val="yellow"/>
          <w:lang w:val="en-US" w:eastAsia="zh-CN"/>
        </w:rPr>
        <w:t>工</w:t>
      </w:r>
      <w:r>
        <w:rPr>
          <w:rFonts w:hint="eastAsia" w:ascii="Times New Roman" w:hAnsi="Times New Roman" w:cs="Times New Roman"/>
          <w:color w:val="FF0000"/>
          <w:highlight w:val="yellow"/>
        </w:rPr>
        <w:t>业</w:t>
      </w:r>
      <w:r>
        <w:rPr>
          <w:rFonts w:hint="eastAsia" w:ascii="Times New Roman" w:hAnsi="Times New Roman" w:cs="Times New Roman"/>
          <w:color w:val="FF0000"/>
          <w:highlight w:val="yellow"/>
          <w:lang w:eastAsia="zh-CN"/>
        </w:rPr>
        <w:t>）</w:t>
      </w:r>
    </w:p>
    <w:p w14:paraId="7DBF2140">
      <w:pPr>
        <w:spacing w:after="0" w:afterLines="0" w:line="360" w:lineRule="exact"/>
        <w:ind w:right="420" w:rightChars="200" w:firstLine="420" w:firstLineChars="200"/>
        <w:outlineLvl w:val="9"/>
        <w:rPr>
          <w:rFonts w:hint="eastAsia"/>
          <w:color w:val="auto"/>
        </w:rPr>
      </w:pPr>
      <w:r>
        <w:rPr>
          <w:rFonts w:hint="eastAsia"/>
          <w:color w:val="auto"/>
        </w:rPr>
        <w:t>1、该部分内容由投标人根据自身实际情况填写，不符合要求的投标人可以不填写或直接删除相应的声明函。投标人提供的声明函不属实的，属于提供虚假资料谋取中标，依照《中华人民共和国政府采购法》等国家有关规定追究相应责任。</w:t>
      </w:r>
    </w:p>
    <w:p w14:paraId="75617E08">
      <w:pPr>
        <w:ind w:right="420" w:rightChars="200" w:firstLine="420" w:firstLineChars="200"/>
        <w:outlineLvl w:val="9"/>
        <w:rPr>
          <w:rFonts w:hint="eastAsia"/>
          <w:color w:val="auto"/>
        </w:rPr>
      </w:pPr>
      <w:r>
        <w:rPr>
          <w:rFonts w:hint="eastAsia"/>
          <w:color w:val="auto"/>
        </w:rPr>
        <w:t>2、该部分内容填写需要参考的相关文件：</w:t>
      </w:r>
    </w:p>
    <w:p w14:paraId="64954CAC">
      <w:pPr>
        <w:ind w:right="420" w:rightChars="200"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(1)财政部《政府采购促进中小企业发展管理办法》（财库〔2020〕46号）；</w:t>
      </w:r>
    </w:p>
    <w:p w14:paraId="6707DBC9">
      <w:pPr>
        <w:ind w:right="420" w:rightChars="200"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(2)《工业和信息化部、国家统计局、国家发展和改革委员会、财政部关于印发中小企业划型标准规定的通知》（工信部联企业〔2011〕300 号，以下简称300号文）</w:t>
      </w:r>
      <w:r>
        <w:rPr>
          <w:rFonts w:hint="eastAsia" w:ascii="宋体" w:hAnsi="宋体" w:eastAsia="宋体" w:cs="宋体"/>
          <w:color w:val="auto"/>
          <w:sz w:val="21"/>
          <w:szCs w:val="21"/>
          <w:lang w:eastAsia="zh-CN"/>
        </w:rPr>
        <w:t>；</w:t>
      </w:r>
    </w:p>
    <w:p w14:paraId="694DC4B5">
      <w:pPr>
        <w:ind w:right="420" w:rightChars="200" w:firstLine="420" w:firstLineChars="200"/>
        <w:rPr>
          <w:rFonts w:hint="eastAsia" w:ascii="宋体" w:hAnsi="宋体" w:eastAsia="宋体" w:cs="宋体"/>
          <w:color w:val="auto"/>
          <w:sz w:val="21"/>
          <w:szCs w:val="21"/>
          <w:lang w:eastAsia="zh-CN"/>
        </w:rPr>
      </w:pPr>
      <w:r>
        <w:rPr>
          <w:rFonts w:hint="eastAsia" w:ascii="宋体" w:hAnsi="宋体" w:eastAsia="宋体" w:cs="宋体"/>
          <w:color w:val="auto"/>
          <w:sz w:val="21"/>
          <w:szCs w:val="21"/>
        </w:rPr>
        <w:t>(3)《统计上大中小微型企业划分办法(2017)》（国统字〔2017〕213 号）</w:t>
      </w:r>
      <w:r>
        <w:rPr>
          <w:rFonts w:hint="eastAsia" w:ascii="宋体" w:hAnsi="宋体" w:eastAsia="宋体" w:cs="宋体"/>
          <w:color w:val="auto"/>
          <w:sz w:val="21"/>
          <w:szCs w:val="21"/>
          <w:lang w:eastAsia="zh-CN"/>
        </w:rPr>
        <w:t>；</w:t>
      </w:r>
    </w:p>
    <w:p w14:paraId="2989B0D2">
      <w:pPr>
        <w:ind w:right="420" w:rightChars="200" w:firstLine="420" w:firstLineChars="200"/>
        <w:rPr>
          <w:rFonts w:hint="eastAsia" w:ascii="宋体" w:hAnsi="宋体" w:eastAsia="宋体" w:cs="宋体"/>
          <w:color w:val="auto"/>
          <w:sz w:val="21"/>
          <w:szCs w:val="21"/>
          <w:lang w:eastAsia="zh-CN"/>
        </w:rPr>
      </w:pPr>
      <w:r>
        <w:rPr>
          <w:rFonts w:hint="eastAsia" w:ascii="宋体" w:hAnsi="宋体" w:eastAsia="宋体" w:cs="宋体"/>
          <w:color w:val="auto"/>
          <w:sz w:val="21"/>
          <w:szCs w:val="21"/>
        </w:rPr>
        <w:t>(4)《关于促进残疾人就业政府采购政策的通知》（财库〔2017〕141号）</w:t>
      </w:r>
      <w:r>
        <w:rPr>
          <w:rFonts w:hint="eastAsia" w:ascii="宋体" w:hAnsi="宋体" w:eastAsia="宋体" w:cs="宋体"/>
          <w:color w:val="auto"/>
          <w:sz w:val="21"/>
          <w:szCs w:val="21"/>
          <w:lang w:eastAsia="zh-CN"/>
        </w:rPr>
        <w:t>；</w:t>
      </w:r>
    </w:p>
    <w:p w14:paraId="3C13DDC9">
      <w:pPr>
        <w:ind w:right="420" w:rightChars="200" w:firstLine="420" w:firstLineChars="200"/>
        <w:rPr>
          <w:rFonts w:hint="eastAsia" w:ascii="宋体" w:hAnsi="宋体" w:eastAsia="宋体" w:cs="宋体"/>
          <w:color w:val="auto"/>
          <w:sz w:val="21"/>
          <w:szCs w:val="21"/>
          <w:lang w:eastAsia="zh-CN"/>
        </w:rPr>
      </w:pPr>
      <w:r>
        <w:rPr>
          <w:rFonts w:hint="eastAsia" w:ascii="宋体" w:hAnsi="宋体" w:eastAsia="宋体" w:cs="宋体"/>
          <w:color w:val="auto"/>
          <w:sz w:val="21"/>
          <w:szCs w:val="21"/>
        </w:rPr>
        <w:t>(5)《关于政府采购支持监狱企业发展有关问题的通知》（财库〔2014〕68号）</w:t>
      </w:r>
      <w:r>
        <w:rPr>
          <w:rFonts w:hint="eastAsia" w:ascii="宋体" w:hAnsi="宋体" w:eastAsia="宋体" w:cs="宋体"/>
          <w:color w:val="auto"/>
          <w:sz w:val="21"/>
          <w:szCs w:val="21"/>
          <w:lang w:eastAsia="zh-CN"/>
        </w:rPr>
        <w:t>。</w:t>
      </w:r>
    </w:p>
    <w:p w14:paraId="66F6DBBB">
      <w:pPr>
        <w:spacing w:after="0" w:afterLines="0" w:line="360" w:lineRule="exact"/>
        <w:ind w:right="420" w:rightChars="200" w:firstLine="420" w:firstLineChars="200"/>
        <w:outlineLvl w:val="9"/>
        <w:rPr>
          <w:rFonts w:hint="eastAsia"/>
          <w:color w:val="auto"/>
        </w:rPr>
      </w:pPr>
      <w:r>
        <w:rPr>
          <w:rFonts w:hint="eastAsia"/>
          <w:color w:val="auto"/>
        </w:rPr>
        <w:t>3、请依照提供的格式和内容填写声明函，不要随意变更格式；满足多项优惠政策的投标人，不重复享受多项价格扣除政策。</w:t>
      </w:r>
    </w:p>
    <w:p w14:paraId="100CD60A">
      <w:pPr>
        <w:spacing w:after="0" w:afterLines="0" w:line="360" w:lineRule="exact"/>
        <w:ind w:right="420" w:rightChars="200" w:firstLine="420" w:firstLineChars="200"/>
        <w:outlineLvl w:val="9"/>
        <w:rPr>
          <w:rFonts w:hint="eastAsia"/>
          <w:color w:val="auto"/>
        </w:rPr>
      </w:pPr>
      <w:r>
        <w:rPr>
          <w:rFonts w:hint="eastAsia"/>
          <w:color w:val="auto"/>
        </w:rPr>
        <w:t>4、声明函具体填写要求：</w:t>
      </w:r>
    </w:p>
    <w:p w14:paraId="5AB7E822">
      <w:pPr>
        <w:spacing w:after="0" w:afterLines="0" w:line="360" w:lineRule="exact"/>
        <w:ind w:right="420" w:rightChars="200" w:firstLine="420" w:firstLineChars="200"/>
        <w:outlineLvl w:val="9"/>
        <w:rPr>
          <w:rFonts w:hint="eastAsia"/>
          <w:color w:val="auto"/>
        </w:rPr>
      </w:pPr>
      <w:r>
        <w:rPr>
          <w:rFonts w:hint="eastAsia"/>
          <w:color w:val="auto"/>
        </w:rPr>
        <w:t>（1）声明是中小企业须填写《中小企业声明函》的以下内容：</w:t>
      </w:r>
    </w:p>
    <w:p w14:paraId="7741FA94">
      <w:pPr>
        <w:spacing w:after="0" w:afterLines="0" w:line="360" w:lineRule="exact"/>
        <w:ind w:right="420" w:rightChars="200" w:firstLine="420" w:firstLineChars="200"/>
        <w:outlineLvl w:val="9"/>
        <w:rPr>
          <w:rFonts w:hint="eastAsia" w:eastAsiaTheme="minorEastAsia"/>
          <w:color w:val="auto"/>
          <w:lang w:eastAsia="zh-CN"/>
        </w:rPr>
      </w:pPr>
      <w:r>
        <w:rPr>
          <w:rFonts w:hint="eastAsia"/>
          <w:color w:val="auto"/>
        </w:rPr>
        <w:t>第一处，在</w:t>
      </w:r>
      <w:r>
        <w:rPr>
          <w:rFonts w:hint="eastAsia"/>
          <w:b/>
          <w:bCs/>
          <w:color w:val="auto"/>
        </w:rPr>
        <w:t>“单位名称”</w:t>
      </w:r>
      <w:r>
        <w:rPr>
          <w:rFonts w:hint="eastAsia"/>
          <w:color w:val="auto"/>
        </w:rPr>
        <w:t>下划线处如实填写</w:t>
      </w:r>
      <w:r>
        <w:rPr>
          <w:rFonts w:hint="eastAsia"/>
          <w:b/>
          <w:bCs/>
          <w:color w:val="auto"/>
        </w:rPr>
        <w:t>采购人名称</w:t>
      </w:r>
      <w:r>
        <w:rPr>
          <w:rFonts w:hint="eastAsia"/>
          <w:color w:val="auto"/>
        </w:rPr>
        <w:t>；</w:t>
      </w:r>
    </w:p>
    <w:p w14:paraId="40D70F64">
      <w:pPr>
        <w:spacing w:after="0" w:afterLines="0" w:line="360" w:lineRule="exact"/>
        <w:ind w:right="420" w:rightChars="200" w:firstLine="420" w:firstLineChars="200"/>
        <w:outlineLvl w:val="9"/>
        <w:rPr>
          <w:rFonts w:hint="eastAsia"/>
          <w:color w:val="auto"/>
        </w:rPr>
      </w:pPr>
      <w:r>
        <w:rPr>
          <w:rFonts w:hint="eastAsia"/>
          <w:color w:val="auto"/>
        </w:rPr>
        <w:t>第二处，在</w:t>
      </w:r>
      <w:r>
        <w:rPr>
          <w:rFonts w:hint="eastAsia"/>
          <w:b/>
          <w:bCs/>
          <w:color w:val="auto"/>
        </w:rPr>
        <w:t>“项目名称”</w:t>
      </w:r>
      <w:r>
        <w:rPr>
          <w:rFonts w:hint="eastAsia"/>
          <w:color w:val="auto"/>
        </w:rPr>
        <w:t>下划线处如实填写采购</w:t>
      </w:r>
      <w:r>
        <w:rPr>
          <w:rFonts w:hint="eastAsia"/>
          <w:b/>
          <w:bCs/>
          <w:color w:val="auto"/>
        </w:rPr>
        <w:t>项目名称（项目名称可在</w:t>
      </w:r>
      <w:r>
        <w:rPr>
          <w:rFonts w:hint="eastAsia"/>
          <w:b/>
          <w:bCs/>
          <w:color w:val="auto"/>
          <w:lang w:eastAsia="zh-CN"/>
        </w:rPr>
        <w:t>征集</w:t>
      </w:r>
      <w:r>
        <w:rPr>
          <w:rFonts w:hint="eastAsia"/>
          <w:b/>
          <w:bCs/>
          <w:color w:val="auto"/>
        </w:rPr>
        <w:t>公告处查看）</w:t>
      </w:r>
      <w:r>
        <w:rPr>
          <w:rFonts w:hint="eastAsia"/>
          <w:color w:val="auto"/>
        </w:rPr>
        <w:t>；</w:t>
      </w:r>
    </w:p>
    <w:p w14:paraId="65BD23A0">
      <w:pPr>
        <w:spacing w:after="0" w:afterLines="0" w:line="360" w:lineRule="exact"/>
        <w:ind w:right="420" w:rightChars="200" w:firstLine="420" w:firstLineChars="200"/>
        <w:outlineLvl w:val="9"/>
        <w:rPr>
          <w:rFonts w:hint="eastAsia"/>
          <w:color w:val="auto"/>
        </w:rPr>
      </w:pPr>
      <w:r>
        <w:rPr>
          <w:rFonts w:hint="eastAsia"/>
          <w:color w:val="auto"/>
        </w:rPr>
        <w:t>第三处，在</w:t>
      </w:r>
      <w:r>
        <w:rPr>
          <w:rFonts w:hint="eastAsia"/>
          <w:b/>
          <w:bCs/>
          <w:color w:val="auto"/>
        </w:rPr>
        <w:t>“标的名称”</w:t>
      </w:r>
      <w:r>
        <w:rPr>
          <w:rFonts w:hint="eastAsia"/>
          <w:color w:val="auto"/>
        </w:rPr>
        <w:t>下划线处填写所采购</w:t>
      </w:r>
      <w:r>
        <w:rPr>
          <w:rFonts w:hint="eastAsia"/>
          <w:color w:val="auto"/>
          <w:lang w:val="en-US" w:eastAsia="zh-CN"/>
        </w:rPr>
        <w:t>货物</w:t>
      </w:r>
      <w:r>
        <w:rPr>
          <w:rFonts w:hint="eastAsia"/>
          <w:color w:val="auto"/>
        </w:rPr>
        <w:t>（标的）的具体名称（</w:t>
      </w:r>
      <w:r>
        <w:rPr>
          <w:rFonts w:hint="eastAsia"/>
          <w:b/>
          <w:bCs/>
          <w:color w:val="auto"/>
        </w:rPr>
        <w:t>以</w:t>
      </w:r>
      <w:bookmarkStart w:id="37" w:name="_Hlk72259001"/>
      <w:r>
        <w:rPr>
          <w:rFonts w:hint="eastAsia"/>
          <w:b/>
          <w:bCs/>
          <w:color w:val="auto"/>
          <w:lang w:eastAsia="zh-CN"/>
        </w:rPr>
        <w:t>征集</w:t>
      </w:r>
      <w:r>
        <w:rPr>
          <w:rFonts w:hint="eastAsia"/>
          <w:b/>
          <w:bCs/>
          <w:color w:val="auto"/>
        </w:rPr>
        <w:t>文件</w:t>
      </w:r>
      <w:bookmarkEnd w:id="37"/>
      <w:r>
        <w:rPr>
          <w:rFonts w:hint="eastAsia"/>
          <w:b/>
          <w:bCs/>
          <w:color w:val="auto"/>
          <w:lang w:val="en-US" w:eastAsia="zh-CN"/>
        </w:rPr>
        <w:t>中</w:t>
      </w:r>
      <w:r>
        <w:rPr>
          <w:rFonts w:hint="eastAsia" w:ascii="Times New Roman" w:hAnsi="Times New Roman" w:eastAsia="宋体" w:cs="Times New Roman"/>
          <w:b/>
          <w:bCs/>
          <w:color w:val="auto"/>
        </w:rPr>
        <w:t>的“货物名称”一栏为准</w:t>
      </w:r>
      <w:r>
        <w:rPr>
          <w:rFonts w:hint="eastAsia" w:ascii="Times New Roman" w:hAnsi="Times New Roman" w:eastAsia="宋体" w:cs="Times New Roman"/>
          <w:color w:val="auto"/>
        </w:rPr>
        <w:t>）</w:t>
      </w:r>
      <w:r>
        <w:rPr>
          <w:rFonts w:hint="eastAsia"/>
          <w:color w:val="auto"/>
        </w:rPr>
        <w:t>；如果涉及多</w:t>
      </w:r>
      <w:r>
        <w:rPr>
          <w:rFonts w:hint="eastAsia"/>
          <w:color w:val="auto"/>
          <w:lang w:val="en-US" w:eastAsia="zh-CN"/>
        </w:rPr>
        <w:t>项货物</w:t>
      </w:r>
      <w:r>
        <w:rPr>
          <w:rFonts w:hint="eastAsia"/>
          <w:color w:val="auto"/>
        </w:rPr>
        <w:t>（标的）由同一企业制造，“标的名称”下划线处可以如实填写多</w:t>
      </w:r>
      <w:r>
        <w:rPr>
          <w:rFonts w:hint="eastAsia"/>
          <w:color w:val="auto"/>
          <w:lang w:val="en-US" w:eastAsia="zh-CN"/>
        </w:rPr>
        <w:t>项货物</w:t>
      </w:r>
      <w:r>
        <w:rPr>
          <w:rFonts w:hint="eastAsia"/>
          <w:color w:val="auto"/>
        </w:rPr>
        <w:t>；</w:t>
      </w:r>
    </w:p>
    <w:p w14:paraId="10F85C46">
      <w:pPr>
        <w:spacing w:after="0" w:afterLines="0" w:line="360" w:lineRule="exact"/>
        <w:ind w:right="420" w:rightChars="200" w:firstLine="420" w:firstLineChars="200"/>
        <w:outlineLvl w:val="9"/>
        <w:rPr>
          <w:rFonts w:hint="eastAsia"/>
          <w:color w:val="auto"/>
        </w:rPr>
      </w:pPr>
      <w:r>
        <w:rPr>
          <w:rFonts w:hint="eastAsia"/>
          <w:color w:val="auto"/>
        </w:rPr>
        <w:t>第四处，在</w:t>
      </w:r>
      <w:r>
        <w:rPr>
          <w:rFonts w:hint="eastAsia"/>
          <w:b/>
          <w:bCs/>
          <w:color w:val="auto"/>
        </w:rPr>
        <w:t>“</w:t>
      </w:r>
      <w:r>
        <w:rPr>
          <w:rFonts w:hint="eastAsia"/>
          <w:b/>
          <w:bCs/>
          <w:color w:val="auto"/>
          <w:lang w:eastAsia="zh-CN"/>
        </w:rPr>
        <w:t>征集</w:t>
      </w:r>
      <w:r>
        <w:rPr>
          <w:rFonts w:hint="eastAsia"/>
          <w:b/>
          <w:bCs/>
          <w:color w:val="auto"/>
        </w:rPr>
        <w:t>文件中明确的所属行业”</w:t>
      </w:r>
      <w:r>
        <w:rPr>
          <w:rFonts w:hint="eastAsia"/>
          <w:color w:val="auto"/>
        </w:rPr>
        <w:t>下划线处填写采购标的对应的中小企业划分标准所属行业（</w:t>
      </w:r>
      <w:r>
        <w:rPr>
          <w:rFonts w:hint="eastAsia"/>
          <w:b/>
          <w:bCs/>
          <w:color w:val="auto"/>
        </w:rPr>
        <w:t>所属行业可在</w:t>
      </w:r>
      <w:r>
        <w:rPr>
          <w:rFonts w:hint="eastAsia"/>
          <w:b/>
          <w:bCs/>
          <w:color w:val="auto"/>
          <w:lang w:eastAsia="zh-CN"/>
        </w:rPr>
        <w:t>征集</w:t>
      </w:r>
      <w:r>
        <w:rPr>
          <w:rFonts w:hint="eastAsia"/>
          <w:b/>
          <w:bCs/>
          <w:color w:val="auto"/>
        </w:rPr>
        <w:t>文件</w:t>
      </w:r>
      <w:r>
        <w:rPr>
          <w:rFonts w:hint="eastAsia"/>
          <w:b/>
          <w:bCs/>
          <w:color w:val="auto"/>
          <w:lang w:val="en-US" w:eastAsia="zh-CN"/>
        </w:rPr>
        <w:t>中</w:t>
      </w:r>
      <w:r>
        <w:rPr>
          <w:rFonts w:hint="eastAsia"/>
          <w:b/>
          <w:bCs/>
          <w:color w:val="auto"/>
        </w:rPr>
        <w:t>查看</w:t>
      </w:r>
      <w:r>
        <w:rPr>
          <w:rFonts w:hint="eastAsia"/>
          <w:color w:val="auto"/>
        </w:rPr>
        <w:t>）；</w:t>
      </w:r>
    </w:p>
    <w:p w14:paraId="117EB2AF">
      <w:pPr>
        <w:spacing w:after="0" w:afterLines="0" w:line="360" w:lineRule="exact"/>
        <w:ind w:right="420" w:rightChars="200" w:firstLine="420" w:firstLineChars="200"/>
        <w:outlineLvl w:val="9"/>
        <w:rPr>
          <w:rFonts w:hint="eastAsia"/>
          <w:color w:val="auto"/>
        </w:rPr>
      </w:pPr>
      <w:r>
        <w:rPr>
          <w:rFonts w:hint="eastAsia"/>
          <w:color w:val="auto"/>
        </w:rPr>
        <w:t>第五处，在</w:t>
      </w:r>
      <w:r>
        <w:rPr>
          <w:rFonts w:hint="eastAsia"/>
          <w:b/>
          <w:bCs/>
          <w:color w:val="auto"/>
        </w:rPr>
        <w:t>“企业名称”</w:t>
      </w:r>
      <w:r>
        <w:rPr>
          <w:rFonts w:hint="eastAsia"/>
          <w:color w:val="auto"/>
        </w:rPr>
        <w:t>下划线处如实填写</w:t>
      </w:r>
      <w:r>
        <w:rPr>
          <w:rFonts w:hint="eastAsia" w:ascii="Times New Roman" w:hAnsi="Times New Roman" w:eastAsia="宋体" w:cs="Times New Roman"/>
          <w:b/>
          <w:bCs/>
          <w:color w:val="auto"/>
          <w:kern w:val="2"/>
          <w:szCs w:val="22"/>
        </w:rPr>
        <w:t>制造商</w:t>
      </w:r>
      <w:r>
        <w:rPr>
          <w:rFonts w:hint="eastAsia"/>
          <w:b/>
          <w:bCs/>
          <w:color w:val="auto"/>
        </w:rPr>
        <w:t>名称</w:t>
      </w:r>
      <w:r>
        <w:rPr>
          <w:rFonts w:hint="eastAsia"/>
          <w:color w:val="auto"/>
        </w:rPr>
        <w:t>；在“从业人员”、“营业收入”、“资产总额”下划线处如实填写从业人员、营业收入、资产总额；在“中型企业、小型企业、微型企业”下划线处如实依照300号文填写相应的企业类型；</w:t>
      </w:r>
      <w:r>
        <w:rPr>
          <w:rFonts w:hint="eastAsia"/>
          <w:b/>
          <w:bCs/>
          <w:color w:val="auto"/>
        </w:rPr>
        <w:t>从业人员、营业收入、资产总额填报上一年度数据，无上一年度数据的新成立企业可以不填报。</w:t>
      </w:r>
      <w:r>
        <w:rPr>
          <w:rFonts w:hint="eastAsia" w:ascii="宋体" w:hAnsi="宋体" w:eastAsia="宋体" w:cs="宋体"/>
          <w:b/>
          <w:bCs/>
          <w:color w:val="auto"/>
          <w:sz w:val="21"/>
          <w:szCs w:val="21"/>
        </w:rPr>
        <w:t>《中小企业声明函》中制造商所属行业应当与</w:t>
      </w:r>
      <w:r>
        <w:rPr>
          <w:rFonts w:hint="eastAsia" w:ascii="宋体" w:hAnsi="宋体" w:eastAsia="宋体" w:cs="宋体"/>
          <w:b/>
          <w:bCs/>
          <w:color w:val="auto"/>
          <w:sz w:val="21"/>
          <w:szCs w:val="21"/>
          <w:lang w:eastAsia="zh-CN"/>
        </w:rPr>
        <w:t>征集</w:t>
      </w:r>
      <w:r>
        <w:rPr>
          <w:rFonts w:hint="eastAsia" w:ascii="宋体" w:hAnsi="宋体" w:eastAsia="宋体" w:cs="宋体"/>
          <w:b/>
          <w:bCs/>
          <w:color w:val="auto"/>
          <w:sz w:val="21"/>
          <w:szCs w:val="21"/>
        </w:rPr>
        <w:t>文件要求的行业相一致，</w:t>
      </w:r>
      <w:r>
        <w:rPr>
          <w:rFonts w:hint="eastAsia" w:ascii="宋体" w:hAnsi="宋体" w:eastAsia="宋体" w:cs="宋体"/>
          <w:color w:val="auto"/>
          <w:sz w:val="21"/>
          <w:szCs w:val="21"/>
        </w:rPr>
        <w:t>供应商如有疑问，可根据《国民经济行业分类》（GB/T 4754-2017），结合《关于印发中小企业划型标准规定的通知》（工信部联企业〔2011〕300号）进行判断。事业单位、社会组织等非企业主体不享受中小企业扶持政策。但事业单位、社会组织等非企业主体提供全部由中小企业制造的货物参加货物采购项目的除外。</w:t>
      </w:r>
    </w:p>
    <w:p w14:paraId="653E128D">
      <w:pPr>
        <w:spacing w:after="0" w:afterLines="0" w:line="360" w:lineRule="exact"/>
        <w:ind w:right="420" w:rightChars="200" w:firstLine="420" w:firstLineChars="200"/>
        <w:outlineLvl w:val="9"/>
        <w:rPr>
          <w:rFonts w:hint="eastAsia"/>
          <w:color w:val="auto"/>
        </w:rPr>
      </w:pPr>
      <w:r>
        <w:rPr>
          <w:rFonts w:hint="eastAsia"/>
          <w:color w:val="auto"/>
        </w:rPr>
        <w:t>（2）声明是残疾人福利性单位须填写《残疾人福利性单位声明函》的相关内容（填写位置的字体已加粗），具体参照以上《中小企业声明函》填写要求执行。</w:t>
      </w:r>
    </w:p>
    <w:p w14:paraId="772E21B9">
      <w:pPr>
        <w:spacing w:after="0" w:afterLines="0" w:line="360" w:lineRule="exact"/>
        <w:ind w:right="420" w:rightChars="200" w:firstLine="420" w:firstLineChars="200"/>
        <w:outlineLvl w:val="9"/>
        <w:rPr>
          <w:rFonts w:hint="eastAsia"/>
          <w:color w:val="auto"/>
        </w:rPr>
      </w:pPr>
      <w:r>
        <w:rPr>
          <w:rFonts w:hint="eastAsia"/>
          <w:color w:val="auto"/>
        </w:rPr>
        <w:t>（3）声明是监狱企业须填写《监狱企业声明函》的相关内容（填写位置的字体已加粗），具体参照以上《中小企业声明函》填写要求执行。</w:t>
      </w:r>
    </w:p>
    <w:p w14:paraId="34F8C19F">
      <w:pPr>
        <w:snapToGrid/>
        <w:spacing w:after="0" w:afterLines="0" w:line="360" w:lineRule="exact"/>
        <w:ind w:right="420" w:rightChars="200" w:firstLine="420" w:firstLineChars="200"/>
        <w:rPr>
          <w:rFonts w:ascii="宋体" w:hAnsi="宋体"/>
          <w:color w:val="auto"/>
          <w:szCs w:val="21"/>
        </w:rPr>
      </w:pPr>
      <w:r>
        <w:rPr>
          <w:rFonts w:hint="eastAsia"/>
          <w:color w:val="auto"/>
        </w:rPr>
        <w:t>5、若本项目属于专门面向中小企业、残疾人福利性单位或监狱企业，则声明函有效性由采购人判定，如判定声明函无效的，相关供应商将作资格审查不通过处理；若本项目非专门面向中小企业、残疾人福利性单位或监狱企业，声明函的有效性由</w:t>
      </w:r>
      <w:r>
        <w:rPr>
          <w:rFonts w:hint="eastAsia"/>
          <w:color w:val="auto"/>
          <w:lang w:eastAsia="zh-CN"/>
        </w:rPr>
        <w:t>评标委员会</w:t>
      </w:r>
      <w:r>
        <w:rPr>
          <w:rFonts w:hint="eastAsia"/>
          <w:color w:val="auto"/>
        </w:rPr>
        <w:t>判定，如</w:t>
      </w:r>
      <w:r>
        <w:rPr>
          <w:rFonts w:hint="eastAsia"/>
          <w:color w:val="auto"/>
          <w:lang w:eastAsia="zh-CN"/>
        </w:rPr>
        <w:t>评标委员会</w:t>
      </w:r>
      <w:r>
        <w:rPr>
          <w:rFonts w:hint="eastAsia"/>
          <w:color w:val="auto"/>
        </w:rPr>
        <w:t>判定声明函无效，相关供应商不享受价格扣除（但不作投标无效处理）。</w:t>
      </w:r>
    </w:p>
    <w:p w14:paraId="04C31D22">
      <w:pPr>
        <w:pStyle w:val="7"/>
        <w:rPr>
          <w:color w:val="auto"/>
        </w:rPr>
      </w:pPr>
    </w:p>
    <w:p w14:paraId="04F8DE87">
      <w:pPr>
        <w:spacing w:after="60"/>
        <w:jc w:val="center"/>
        <w:outlineLvl w:val="1"/>
        <w:rPr>
          <w:b/>
          <w:color w:val="auto"/>
        </w:rPr>
      </w:pPr>
      <w:r>
        <w:rPr>
          <w:rFonts w:hint="eastAsia"/>
          <w:b/>
          <w:color w:val="auto"/>
        </w:rPr>
        <w:t>1、中小企业声明函</w:t>
      </w:r>
    </w:p>
    <w:p w14:paraId="260C3881">
      <w:pPr>
        <w:pStyle w:val="7"/>
        <w:spacing w:line="302" w:lineRule="auto"/>
        <w:ind w:right="-51" w:firstLine="412"/>
        <w:outlineLvl w:val="9"/>
        <w:rPr>
          <w:rFonts w:asciiTheme="minorEastAsia" w:hAnsiTheme="minorEastAsia"/>
          <w:color w:val="auto"/>
          <w:szCs w:val="21"/>
        </w:rPr>
      </w:pPr>
      <w:r>
        <w:rPr>
          <w:rFonts w:asciiTheme="minorEastAsia" w:hAnsiTheme="minorEastAsia"/>
          <w:color w:val="auto"/>
          <w:szCs w:val="21"/>
        </w:rPr>
        <w:t>本公司（联合体）郑重声明，根据《政府采购促进中小企业发展管理办法》（财库</w:t>
      </w:r>
      <w:r>
        <w:rPr>
          <w:rFonts w:hint="eastAsia" w:asciiTheme="minorEastAsia" w:hAnsiTheme="minorEastAsia"/>
          <w:color w:val="auto"/>
          <w:szCs w:val="21"/>
        </w:rPr>
        <w:t>﹝</w:t>
      </w:r>
      <w:r>
        <w:rPr>
          <w:rFonts w:asciiTheme="minorEastAsia" w:hAnsiTheme="minorEastAsia"/>
          <w:color w:val="auto"/>
          <w:szCs w:val="21"/>
        </w:rPr>
        <w:t>2020</w:t>
      </w:r>
      <w:r>
        <w:rPr>
          <w:rFonts w:hint="eastAsia" w:asciiTheme="minorEastAsia" w:hAnsiTheme="minorEastAsia"/>
          <w:color w:val="auto"/>
          <w:szCs w:val="21"/>
        </w:rPr>
        <w:t>﹞</w:t>
      </w:r>
      <w:r>
        <w:rPr>
          <w:rFonts w:asciiTheme="minorEastAsia" w:hAnsiTheme="minorEastAsia"/>
          <w:color w:val="auto"/>
          <w:szCs w:val="21"/>
        </w:rPr>
        <w:t>46 号）的规定，本公司（联合体）参加</w:t>
      </w:r>
      <w:r>
        <w:rPr>
          <w:rFonts w:asciiTheme="minorEastAsia" w:hAnsiTheme="minorEastAsia"/>
          <w:color w:val="auto"/>
          <w:szCs w:val="21"/>
          <w:u w:val="single"/>
        </w:rPr>
        <w:t>（单位名称）</w:t>
      </w:r>
      <w:r>
        <w:rPr>
          <w:rFonts w:asciiTheme="minorEastAsia" w:hAnsiTheme="minorEastAsia"/>
          <w:color w:val="auto"/>
          <w:szCs w:val="21"/>
        </w:rPr>
        <w:t>的</w:t>
      </w:r>
      <w:r>
        <w:rPr>
          <w:rFonts w:asciiTheme="minorEastAsia" w:hAnsiTheme="minorEastAsia"/>
          <w:color w:val="auto"/>
          <w:szCs w:val="21"/>
          <w:u w:val="single"/>
        </w:rPr>
        <w:t>（项目名称）</w:t>
      </w:r>
      <w:r>
        <w:rPr>
          <w:rFonts w:asciiTheme="minorEastAsia" w:hAnsiTheme="minorEastAsia"/>
          <w:color w:val="auto"/>
          <w:szCs w:val="21"/>
        </w:rPr>
        <w:t>采购活动，</w:t>
      </w:r>
      <w:r>
        <w:rPr>
          <w:rFonts w:hint="eastAsia" w:asciiTheme="minorEastAsia" w:hAnsiTheme="minorEastAsia"/>
          <w:color w:val="auto"/>
          <w:szCs w:val="21"/>
        </w:rPr>
        <w:t>提供的货物全部由符合政策要求的中小企业制造</w:t>
      </w:r>
      <w:r>
        <w:rPr>
          <w:rFonts w:asciiTheme="minorEastAsia" w:hAnsiTheme="minorEastAsia"/>
          <w:color w:val="auto"/>
          <w:szCs w:val="21"/>
        </w:rPr>
        <w:t>。相关企业（含联合体中的中小企业、签订分包意向协议的中小企业）的具体情况如下：</w:t>
      </w:r>
    </w:p>
    <w:p w14:paraId="2D1BF500">
      <w:pPr>
        <w:pStyle w:val="7"/>
        <w:spacing w:line="302" w:lineRule="auto"/>
        <w:ind w:right="-51" w:firstLine="412"/>
        <w:outlineLvl w:val="9"/>
        <w:rPr>
          <w:rFonts w:asciiTheme="minorEastAsia" w:hAnsiTheme="minorEastAsia"/>
          <w:color w:val="auto"/>
          <w:szCs w:val="21"/>
        </w:rPr>
      </w:pPr>
      <w:r>
        <w:rPr>
          <w:rFonts w:hint="eastAsia" w:asciiTheme="minorEastAsia" w:hAnsiTheme="minorEastAsia"/>
          <w:color w:val="auto"/>
          <w:szCs w:val="21"/>
        </w:rPr>
        <w:t xml:space="preserve">1. </w:t>
      </w:r>
      <w:r>
        <w:rPr>
          <w:rFonts w:asciiTheme="minorEastAsia" w:hAnsiTheme="minorEastAsia"/>
          <w:color w:val="auto"/>
          <w:szCs w:val="21"/>
          <w:u w:val="single"/>
        </w:rPr>
        <w:t>（标的名称）</w:t>
      </w:r>
      <w:r>
        <w:rPr>
          <w:rFonts w:asciiTheme="minorEastAsia" w:hAnsiTheme="minorEastAsia"/>
          <w:color w:val="auto"/>
          <w:szCs w:val="21"/>
        </w:rPr>
        <w:t>，属于</w:t>
      </w:r>
      <w:r>
        <w:rPr>
          <w:rFonts w:asciiTheme="minorEastAsia" w:hAnsiTheme="minorEastAsia"/>
          <w:color w:val="auto"/>
          <w:szCs w:val="21"/>
          <w:u w:val="single"/>
        </w:rPr>
        <w:t>（采购文件中明确的所属行业）</w:t>
      </w:r>
      <w:r>
        <w:rPr>
          <w:rFonts w:hint="eastAsia" w:asciiTheme="minorEastAsia" w:hAnsiTheme="minorEastAsia"/>
          <w:color w:val="auto"/>
          <w:szCs w:val="21"/>
        </w:rPr>
        <w:t>行业</w:t>
      </w:r>
      <w:r>
        <w:rPr>
          <w:rFonts w:asciiTheme="minorEastAsia" w:hAnsiTheme="minorEastAsia"/>
          <w:color w:val="auto"/>
          <w:szCs w:val="21"/>
        </w:rPr>
        <w:t>；</w:t>
      </w:r>
      <w:r>
        <w:rPr>
          <w:rFonts w:hint="eastAsia" w:asciiTheme="minorEastAsia" w:hAnsiTheme="minorEastAsia"/>
          <w:color w:val="auto"/>
          <w:szCs w:val="21"/>
        </w:rPr>
        <w:t>制造商</w:t>
      </w:r>
      <w:r>
        <w:rPr>
          <w:rFonts w:asciiTheme="minorEastAsia" w:hAnsiTheme="minorEastAsia"/>
          <w:color w:val="auto"/>
          <w:szCs w:val="21"/>
        </w:rPr>
        <w:t>为</w:t>
      </w:r>
      <w:r>
        <w:rPr>
          <w:rFonts w:asciiTheme="minorEastAsia" w:hAnsiTheme="minorEastAsia"/>
          <w:color w:val="auto"/>
          <w:szCs w:val="21"/>
          <w:u w:val="single"/>
        </w:rPr>
        <w:t>（企业名称）</w:t>
      </w:r>
      <w:r>
        <w:rPr>
          <w:rFonts w:asciiTheme="minorEastAsia" w:hAnsiTheme="minorEastAsia"/>
          <w:color w:val="auto"/>
          <w:szCs w:val="21"/>
        </w:rPr>
        <w:t>，从业人员</w:t>
      </w:r>
      <w:r>
        <w:rPr>
          <w:rFonts w:asciiTheme="minorEastAsia" w:hAnsiTheme="minorEastAsia"/>
          <w:color w:val="auto"/>
          <w:szCs w:val="21"/>
          <w:u w:val="single"/>
        </w:rPr>
        <w:t xml:space="preserve"> </w:t>
      </w:r>
      <w:r>
        <w:rPr>
          <w:rFonts w:asciiTheme="minorEastAsia" w:hAnsiTheme="minorEastAsia"/>
          <w:color w:val="auto"/>
          <w:szCs w:val="21"/>
          <w:u w:val="single"/>
        </w:rPr>
        <w:tab/>
      </w:r>
      <w:r>
        <w:rPr>
          <w:rFonts w:asciiTheme="minorEastAsia" w:hAnsiTheme="minorEastAsia"/>
          <w:color w:val="auto"/>
          <w:szCs w:val="21"/>
        </w:rPr>
        <w:t>人，营业收入为</w:t>
      </w:r>
      <w:r>
        <w:rPr>
          <w:rFonts w:asciiTheme="minorEastAsia" w:hAnsiTheme="minorEastAsia"/>
          <w:color w:val="auto"/>
          <w:szCs w:val="21"/>
          <w:u w:val="single"/>
        </w:rPr>
        <w:t xml:space="preserve"> </w:t>
      </w:r>
      <w:r>
        <w:rPr>
          <w:rFonts w:asciiTheme="minorEastAsia" w:hAnsiTheme="minorEastAsia"/>
          <w:color w:val="auto"/>
          <w:szCs w:val="21"/>
          <w:u w:val="single"/>
        </w:rPr>
        <w:tab/>
      </w:r>
      <w:r>
        <w:rPr>
          <w:rFonts w:hint="eastAsia" w:asciiTheme="minorEastAsia" w:hAnsiTheme="minorEastAsia"/>
          <w:color w:val="auto"/>
          <w:szCs w:val="21"/>
          <w:u w:val="single"/>
        </w:rPr>
        <w:t xml:space="preserve">  </w:t>
      </w:r>
      <w:r>
        <w:rPr>
          <w:rFonts w:asciiTheme="minorEastAsia" w:hAnsiTheme="minorEastAsia"/>
          <w:color w:val="auto"/>
          <w:szCs w:val="21"/>
        </w:rPr>
        <w:t>万元，资产总额为</w:t>
      </w:r>
      <w:r>
        <w:rPr>
          <w:rFonts w:hint="eastAsia" w:asciiTheme="minorEastAsia" w:hAnsiTheme="minorEastAsia"/>
          <w:color w:val="auto"/>
          <w:szCs w:val="21"/>
          <w:u w:val="single"/>
        </w:rPr>
        <w:t xml:space="preserve">     </w:t>
      </w:r>
      <w:r>
        <w:rPr>
          <w:rFonts w:asciiTheme="minorEastAsia" w:hAnsiTheme="minorEastAsia"/>
          <w:color w:val="auto"/>
          <w:szCs w:val="21"/>
        </w:rPr>
        <w:t>万元，属于</w:t>
      </w:r>
      <w:r>
        <w:rPr>
          <w:rFonts w:asciiTheme="minorEastAsia" w:hAnsiTheme="minorEastAsia"/>
          <w:color w:val="auto"/>
          <w:szCs w:val="21"/>
          <w:u w:val="single"/>
        </w:rPr>
        <w:t>（中型企业、小型企业、微型企业）</w:t>
      </w:r>
      <w:r>
        <w:rPr>
          <w:rFonts w:asciiTheme="minorEastAsia" w:hAnsiTheme="minorEastAsia"/>
          <w:color w:val="auto"/>
          <w:szCs w:val="21"/>
        </w:rPr>
        <w:t>；</w:t>
      </w:r>
    </w:p>
    <w:p w14:paraId="55E4E598">
      <w:pPr>
        <w:pStyle w:val="7"/>
        <w:spacing w:line="302" w:lineRule="auto"/>
        <w:ind w:right="-51" w:firstLine="412"/>
        <w:outlineLvl w:val="9"/>
        <w:rPr>
          <w:rFonts w:asciiTheme="minorEastAsia" w:hAnsiTheme="minorEastAsia"/>
          <w:color w:val="auto"/>
          <w:szCs w:val="21"/>
        </w:rPr>
      </w:pPr>
      <w:r>
        <w:rPr>
          <w:rFonts w:hint="eastAsia" w:asciiTheme="minorEastAsia" w:hAnsiTheme="minorEastAsia"/>
          <w:color w:val="auto"/>
          <w:szCs w:val="21"/>
        </w:rPr>
        <w:t xml:space="preserve">2. </w:t>
      </w:r>
      <w:r>
        <w:rPr>
          <w:rFonts w:asciiTheme="minorEastAsia" w:hAnsiTheme="minorEastAsia"/>
          <w:color w:val="auto"/>
          <w:szCs w:val="21"/>
          <w:u w:val="single"/>
        </w:rPr>
        <w:t>（标的名称）</w:t>
      </w:r>
      <w:r>
        <w:rPr>
          <w:rFonts w:asciiTheme="minorEastAsia" w:hAnsiTheme="minorEastAsia"/>
          <w:color w:val="auto"/>
          <w:szCs w:val="21"/>
        </w:rPr>
        <w:t>，属于</w:t>
      </w:r>
      <w:r>
        <w:rPr>
          <w:rFonts w:asciiTheme="minorEastAsia" w:hAnsiTheme="minorEastAsia"/>
          <w:color w:val="auto"/>
          <w:szCs w:val="21"/>
          <w:u w:val="single"/>
        </w:rPr>
        <w:t>（采购文件中明确的所属行业）</w:t>
      </w:r>
      <w:r>
        <w:rPr>
          <w:rFonts w:hint="eastAsia" w:asciiTheme="minorEastAsia" w:hAnsiTheme="minorEastAsia"/>
          <w:color w:val="auto"/>
          <w:szCs w:val="21"/>
        </w:rPr>
        <w:t>行业</w:t>
      </w:r>
      <w:r>
        <w:rPr>
          <w:rFonts w:asciiTheme="minorEastAsia" w:hAnsiTheme="minorEastAsia"/>
          <w:color w:val="auto"/>
          <w:szCs w:val="21"/>
        </w:rPr>
        <w:t>；</w:t>
      </w:r>
      <w:r>
        <w:rPr>
          <w:rFonts w:hint="eastAsia" w:asciiTheme="minorEastAsia" w:hAnsiTheme="minorEastAsia"/>
          <w:color w:val="auto"/>
          <w:szCs w:val="21"/>
        </w:rPr>
        <w:t>制造商</w:t>
      </w:r>
      <w:r>
        <w:rPr>
          <w:rFonts w:asciiTheme="minorEastAsia" w:hAnsiTheme="minorEastAsia"/>
          <w:color w:val="auto"/>
          <w:szCs w:val="21"/>
        </w:rPr>
        <w:t>为</w:t>
      </w:r>
      <w:r>
        <w:rPr>
          <w:rFonts w:asciiTheme="minorEastAsia" w:hAnsiTheme="minorEastAsia"/>
          <w:color w:val="auto"/>
          <w:szCs w:val="21"/>
          <w:u w:val="single"/>
        </w:rPr>
        <w:t>（企业名称）</w:t>
      </w:r>
      <w:r>
        <w:rPr>
          <w:rFonts w:asciiTheme="minorEastAsia" w:hAnsiTheme="minorEastAsia"/>
          <w:color w:val="auto"/>
          <w:szCs w:val="21"/>
        </w:rPr>
        <w:t>，从业人员</w:t>
      </w:r>
      <w:r>
        <w:rPr>
          <w:rFonts w:asciiTheme="minorEastAsia" w:hAnsiTheme="minorEastAsia"/>
          <w:color w:val="auto"/>
          <w:szCs w:val="21"/>
          <w:u w:val="single"/>
        </w:rPr>
        <w:t xml:space="preserve"> </w:t>
      </w:r>
      <w:r>
        <w:rPr>
          <w:rFonts w:asciiTheme="minorEastAsia" w:hAnsiTheme="minorEastAsia"/>
          <w:color w:val="auto"/>
          <w:szCs w:val="21"/>
          <w:u w:val="single"/>
        </w:rPr>
        <w:tab/>
      </w:r>
      <w:r>
        <w:rPr>
          <w:rFonts w:asciiTheme="minorEastAsia" w:hAnsiTheme="minorEastAsia"/>
          <w:color w:val="auto"/>
          <w:szCs w:val="21"/>
        </w:rPr>
        <w:t>人，营业收入为</w:t>
      </w:r>
      <w:r>
        <w:rPr>
          <w:rFonts w:asciiTheme="minorEastAsia" w:hAnsiTheme="minorEastAsia"/>
          <w:color w:val="auto"/>
          <w:szCs w:val="21"/>
          <w:u w:val="single"/>
        </w:rPr>
        <w:t xml:space="preserve"> </w:t>
      </w:r>
      <w:r>
        <w:rPr>
          <w:rFonts w:asciiTheme="minorEastAsia" w:hAnsiTheme="minorEastAsia"/>
          <w:color w:val="auto"/>
          <w:szCs w:val="21"/>
          <w:u w:val="single"/>
        </w:rPr>
        <w:tab/>
      </w:r>
      <w:r>
        <w:rPr>
          <w:rFonts w:hint="eastAsia" w:asciiTheme="minorEastAsia" w:hAnsiTheme="minorEastAsia"/>
          <w:color w:val="auto"/>
          <w:szCs w:val="21"/>
          <w:u w:val="single"/>
        </w:rPr>
        <w:t xml:space="preserve">  </w:t>
      </w:r>
      <w:r>
        <w:rPr>
          <w:rFonts w:asciiTheme="minorEastAsia" w:hAnsiTheme="minorEastAsia"/>
          <w:color w:val="auto"/>
          <w:szCs w:val="21"/>
        </w:rPr>
        <w:t>万元，资产总额为</w:t>
      </w:r>
      <w:r>
        <w:rPr>
          <w:rFonts w:hint="eastAsia" w:asciiTheme="minorEastAsia" w:hAnsiTheme="minorEastAsia"/>
          <w:color w:val="auto"/>
          <w:szCs w:val="21"/>
          <w:u w:val="single"/>
        </w:rPr>
        <w:t xml:space="preserve">     </w:t>
      </w:r>
      <w:r>
        <w:rPr>
          <w:rFonts w:asciiTheme="minorEastAsia" w:hAnsiTheme="minorEastAsia"/>
          <w:color w:val="auto"/>
          <w:szCs w:val="21"/>
        </w:rPr>
        <w:t>万元，属于</w:t>
      </w:r>
      <w:r>
        <w:rPr>
          <w:rFonts w:asciiTheme="minorEastAsia" w:hAnsiTheme="minorEastAsia"/>
          <w:color w:val="auto"/>
          <w:szCs w:val="21"/>
          <w:u w:val="single"/>
        </w:rPr>
        <w:t>（中型企业、小型企业、微型企业）</w:t>
      </w:r>
      <w:r>
        <w:rPr>
          <w:rFonts w:asciiTheme="minorEastAsia" w:hAnsiTheme="minorEastAsia"/>
          <w:color w:val="auto"/>
          <w:szCs w:val="21"/>
        </w:rPr>
        <w:t>；</w:t>
      </w:r>
    </w:p>
    <w:p w14:paraId="21CE4560">
      <w:pPr>
        <w:pStyle w:val="7"/>
        <w:spacing w:before="11"/>
        <w:ind w:right="-51" w:firstLine="424" w:firstLineChars="202"/>
        <w:outlineLvl w:val="9"/>
        <w:rPr>
          <w:rFonts w:asciiTheme="minorEastAsia" w:hAnsiTheme="minorEastAsia"/>
          <w:color w:val="auto"/>
          <w:szCs w:val="21"/>
        </w:rPr>
      </w:pPr>
      <w:r>
        <w:rPr>
          <w:rFonts w:asciiTheme="minorEastAsia" w:hAnsiTheme="minorEastAsia"/>
          <w:color w:val="auto"/>
          <w:szCs w:val="21"/>
        </w:rPr>
        <w:t>……</w:t>
      </w:r>
    </w:p>
    <w:p w14:paraId="0BA2A6F9">
      <w:pPr>
        <w:pStyle w:val="7"/>
        <w:spacing w:before="108" w:line="304" w:lineRule="auto"/>
        <w:ind w:right="-51" w:firstLine="408"/>
        <w:outlineLvl w:val="9"/>
        <w:rPr>
          <w:rFonts w:asciiTheme="minorEastAsia" w:hAnsiTheme="minorEastAsia"/>
          <w:color w:val="auto"/>
          <w:szCs w:val="21"/>
        </w:rPr>
      </w:pPr>
      <w:r>
        <w:rPr>
          <w:rFonts w:asciiTheme="minorEastAsia" w:hAnsiTheme="minorEastAsia"/>
          <w:color w:val="auto"/>
          <w:szCs w:val="21"/>
        </w:rPr>
        <w:t>以上企业，不属于大企业的分支机构，不存在控股股东为大企业的情形，也不存在与大企业的负责人为同一人的情形。</w:t>
      </w:r>
    </w:p>
    <w:p w14:paraId="3BE2077A">
      <w:pPr>
        <w:spacing w:line="360" w:lineRule="exact"/>
        <w:ind w:right="-51" w:firstLine="420" w:firstLineChars="200"/>
        <w:outlineLvl w:val="9"/>
        <w:rPr>
          <w:rFonts w:asciiTheme="minorEastAsia" w:hAnsiTheme="minorEastAsia"/>
          <w:color w:val="auto"/>
          <w:szCs w:val="21"/>
        </w:rPr>
      </w:pPr>
      <w:r>
        <w:rPr>
          <w:rFonts w:asciiTheme="minorEastAsia" w:hAnsiTheme="minorEastAsia"/>
          <w:color w:val="auto"/>
          <w:szCs w:val="21"/>
        </w:rPr>
        <w:t>本企业对上述声明内容的真实性负责。如有虚假，将依法承担相应责任</w:t>
      </w:r>
      <w:r>
        <w:rPr>
          <w:rFonts w:hint="eastAsia" w:asciiTheme="minorEastAsia" w:hAnsiTheme="minorEastAsia"/>
          <w:color w:val="auto"/>
          <w:szCs w:val="21"/>
        </w:rPr>
        <w:t>。</w:t>
      </w:r>
    </w:p>
    <w:p w14:paraId="7A5FADDD">
      <w:pPr>
        <w:spacing w:line="360" w:lineRule="exact"/>
        <w:ind w:right="-51" w:firstLine="420" w:firstLineChars="200"/>
        <w:outlineLvl w:val="9"/>
        <w:rPr>
          <w:rFonts w:asciiTheme="minorEastAsia" w:hAnsiTheme="minorEastAsia"/>
          <w:color w:val="auto"/>
          <w:szCs w:val="21"/>
        </w:rPr>
      </w:pPr>
      <w:r>
        <w:rPr>
          <w:rFonts w:hint="eastAsia" w:asciiTheme="minorEastAsia" w:hAnsiTheme="minorEastAsia"/>
          <w:color w:val="auto"/>
          <w:szCs w:val="21"/>
        </w:rPr>
        <w:t>本企业已知悉《政府采购促进中小企业发展管理办法》（财库〔2020〕46 号）、《中小企业划型标准规定》（工信部联企〔2011〕300 号）、《统计上大中小微型企业划分办法（2017）》等规定，承诺提供的声明函内容是真实的，并知悉根据《政府采购促进中小企业发展管理办法》（财库〔2020〕46 号）第二十条规定，供应商按照本办法规定提供声明函内容不实的，属于提供虚假材料谋取中标、成交，依照《政府采购法》等政府采购有关法律法规规定追究相应责任。</w:t>
      </w:r>
    </w:p>
    <w:p w14:paraId="5A4D99C7">
      <w:pPr>
        <w:spacing w:line="360" w:lineRule="exact"/>
        <w:ind w:firstLine="420" w:firstLineChars="200"/>
        <w:outlineLvl w:val="9"/>
        <w:rPr>
          <w:rFonts w:asciiTheme="minorEastAsia" w:hAnsiTheme="minorEastAsia"/>
          <w:color w:val="auto"/>
          <w:szCs w:val="21"/>
        </w:rPr>
      </w:pPr>
    </w:p>
    <w:p w14:paraId="16CC9DE2">
      <w:pPr>
        <w:spacing w:line="360" w:lineRule="exact"/>
        <w:jc w:val="right"/>
        <w:outlineLvl w:val="9"/>
        <w:rPr>
          <w:color w:val="auto"/>
        </w:rPr>
      </w:pPr>
      <w:r>
        <w:rPr>
          <w:rFonts w:hint="eastAsia"/>
          <w:color w:val="auto"/>
          <w:szCs w:val="21"/>
        </w:rPr>
        <w:t xml:space="preserve">                             投标人：</w:t>
      </w:r>
    </w:p>
    <w:p w14:paraId="79996728">
      <w:pPr>
        <w:spacing w:line="360" w:lineRule="exact"/>
        <w:jc w:val="right"/>
        <w:outlineLvl w:val="9"/>
        <w:rPr>
          <w:rFonts w:ascii="宋体" w:hAnsi="宋体"/>
          <w:color w:val="auto"/>
          <w:szCs w:val="21"/>
        </w:rPr>
      </w:pPr>
      <w:r>
        <w:rPr>
          <w:rFonts w:hint="eastAsia" w:ascii="宋体" w:hAnsi="宋体"/>
          <w:color w:val="auto"/>
          <w:szCs w:val="21"/>
        </w:rPr>
        <w:t xml:space="preserve">                                     日期：</w:t>
      </w:r>
      <w:r>
        <w:rPr>
          <w:rFonts w:hint="eastAsia" w:ascii="宋体" w:hAnsi="宋体"/>
          <w:color w:val="auto"/>
          <w:szCs w:val="21"/>
          <w:u w:val="single"/>
        </w:rPr>
        <w:t xml:space="preserve">    </w:t>
      </w:r>
      <w:r>
        <w:rPr>
          <w:rFonts w:hint="eastAsia" w:ascii="宋体" w:hAnsi="宋体"/>
          <w:color w:val="auto"/>
          <w:szCs w:val="21"/>
        </w:rPr>
        <w:t>年</w:t>
      </w:r>
      <w:r>
        <w:rPr>
          <w:rFonts w:hint="eastAsia" w:ascii="宋体" w:hAnsi="宋体"/>
          <w:color w:val="auto"/>
          <w:szCs w:val="21"/>
          <w:u w:val="single"/>
        </w:rPr>
        <w:t xml:space="preserve">   </w:t>
      </w:r>
      <w:r>
        <w:rPr>
          <w:rFonts w:hint="eastAsia" w:ascii="宋体" w:hAnsi="宋体"/>
          <w:color w:val="auto"/>
          <w:szCs w:val="21"/>
        </w:rPr>
        <w:t>月</w:t>
      </w:r>
      <w:r>
        <w:rPr>
          <w:rFonts w:hint="eastAsia" w:ascii="宋体" w:hAnsi="宋体"/>
          <w:color w:val="auto"/>
          <w:szCs w:val="21"/>
          <w:u w:val="single"/>
        </w:rPr>
        <w:t xml:space="preserve">   </w:t>
      </w:r>
      <w:r>
        <w:rPr>
          <w:rFonts w:hint="eastAsia" w:ascii="宋体" w:hAnsi="宋体"/>
          <w:color w:val="auto"/>
          <w:szCs w:val="21"/>
        </w:rPr>
        <w:t>日</w:t>
      </w:r>
    </w:p>
    <w:p w14:paraId="1FC5DFF0">
      <w:pPr>
        <w:spacing w:line="360" w:lineRule="exact"/>
        <w:ind w:firstLine="420" w:firstLineChars="200"/>
        <w:outlineLvl w:val="9"/>
        <w:rPr>
          <w:rFonts w:ascii="宋体" w:hAnsi="宋体"/>
          <w:color w:val="auto"/>
          <w:szCs w:val="21"/>
        </w:rPr>
      </w:pPr>
      <w:r>
        <w:rPr>
          <w:rFonts w:hint="eastAsia" w:ascii="宋体" w:hAnsi="宋体"/>
          <w:color w:val="auto"/>
          <w:szCs w:val="21"/>
        </w:rPr>
        <w:t>备注：</w:t>
      </w:r>
    </w:p>
    <w:p w14:paraId="27AD37D7">
      <w:pPr>
        <w:spacing w:line="360" w:lineRule="exact"/>
        <w:ind w:firstLine="420" w:firstLineChars="200"/>
        <w:outlineLvl w:val="9"/>
        <w:rPr>
          <w:rFonts w:ascii="宋体" w:hAnsi="宋体"/>
          <w:color w:val="auto"/>
          <w:szCs w:val="21"/>
        </w:rPr>
      </w:pPr>
      <w:r>
        <w:rPr>
          <w:rFonts w:hint="eastAsia" w:ascii="宋体" w:hAnsi="宋体"/>
          <w:color w:val="auto"/>
          <w:szCs w:val="21"/>
        </w:rPr>
        <w:t>1、填写前请认真阅读《工业和信息化部、国家统计局、国家发展和改革委员会、财政部关于印发中小企业划型标准规定的通知》</w:t>
      </w:r>
      <w:r>
        <w:rPr>
          <w:rFonts w:ascii="宋体" w:hAnsi="宋体"/>
          <w:color w:val="auto"/>
          <w:szCs w:val="21"/>
        </w:rPr>
        <w:t>(</w:t>
      </w:r>
      <w:r>
        <w:rPr>
          <w:rFonts w:hint="eastAsia" w:ascii="宋体" w:hAnsi="宋体"/>
          <w:color w:val="auto"/>
          <w:szCs w:val="21"/>
        </w:rPr>
        <w:t>工信部联企业〔</w:t>
      </w:r>
      <w:r>
        <w:rPr>
          <w:rFonts w:ascii="宋体" w:hAnsi="宋体"/>
          <w:color w:val="auto"/>
          <w:szCs w:val="21"/>
        </w:rPr>
        <w:t>2011</w:t>
      </w:r>
      <w:r>
        <w:rPr>
          <w:rFonts w:hint="eastAsia" w:ascii="宋体" w:hAnsi="宋体"/>
          <w:color w:val="auto"/>
          <w:szCs w:val="21"/>
        </w:rPr>
        <w:t>〕</w:t>
      </w:r>
      <w:r>
        <w:rPr>
          <w:rFonts w:ascii="宋体" w:hAnsi="宋体"/>
          <w:color w:val="auto"/>
          <w:szCs w:val="21"/>
        </w:rPr>
        <w:t>300</w:t>
      </w:r>
      <w:r>
        <w:rPr>
          <w:rFonts w:hint="eastAsia" w:ascii="宋体" w:hAnsi="宋体"/>
          <w:color w:val="auto"/>
          <w:szCs w:val="21"/>
        </w:rPr>
        <w:t>号</w:t>
      </w:r>
      <w:r>
        <w:rPr>
          <w:rFonts w:ascii="宋体" w:hAnsi="宋体"/>
          <w:color w:val="auto"/>
          <w:szCs w:val="21"/>
        </w:rPr>
        <w:t>)</w:t>
      </w:r>
      <w:r>
        <w:rPr>
          <w:rFonts w:hint="eastAsia" w:ascii="宋体" w:hAnsi="宋体"/>
          <w:color w:val="auto"/>
          <w:szCs w:val="21"/>
        </w:rPr>
        <w:t>和《财政部 工业和信息化部关于印发《政府采购促进中小企业发展管理办法》的通知》</w:t>
      </w:r>
      <w:r>
        <w:rPr>
          <w:rFonts w:ascii="宋体" w:hAnsi="宋体"/>
          <w:color w:val="auto"/>
          <w:szCs w:val="21"/>
        </w:rPr>
        <w:t>(</w:t>
      </w:r>
      <w:r>
        <w:rPr>
          <w:rFonts w:hint="eastAsia" w:ascii="宋体" w:hAnsi="宋体"/>
          <w:color w:val="auto"/>
          <w:szCs w:val="21"/>
        </w:rPr>
        <w:t>财库〔2020〕46号</w:t>
      </w:r>
      <w:r>
        <w:rPr>
          <w:rFonts w:ascii="宋体" w:hAnsi="宋体"/>
          <w:color w:val="auto"/>
          <w:szCs w:val="21"/>
        </w:rPr>
        <w:t>)</w:t>
      </w:r>
      <w:r>
        <w:rPr>
          <w:rFonts w:hint="eastAsia" w:ascii="宋体" w:hAnsi="宋体"/>
          <w:color w:val="auto"/>
          <w:szCs w:val="21"/>
        </w:rPr>
        <w:t>相关规定。如不符合前述相关规定所确定的</w:t>
      </w:r>
      <w:r>
        <w:rPr>
          <w:rFonts w:hint="eastAsia" w:ascii="宋体" w:hAnsi="宋体"/>
          <w:b/>
          <w:color w:val="auto"/>
          <w:szCs w:val="21"/>
        </w:rPr>
        <w:t>小型和微型企业</w:t>
      </w:r>
      <w:r>
        <w:rPr>
          <w:rFonts w:hint="eastAsia" w:ascii="宋体" w:hAnsi="宋体"/>
          <w:color w:val="auto"/>
          <w:szCs w:val="21"/>
        </w:rPr>
        <w:t>，则不需要在投标文件中提供本《中小企业声明函》；若符合前述相关规定所确定的小型和微型企业，在投标文件中没有提供本《中小企业声明函》，视为在本项目中放弃政府采购政策扶持，不进行价格扣除。</w:t>
      </w:r>
    </w:p>
    <w:p w14:paraId="185F43C9">
      <w:pPr>
        <w:spacing w:line="360" w:lineRule="exact"/>
        <w:ind w:firstLine="420" w:firstLineChars="200"/>
        <w:outlineLvl w:val="9"/>
        <w:rPr>
          <w:rFonts w:ascii="宋体" w:hAnsi="宋体"/>
          <w:color w:val="auto"/>
          <w:szCs w:val="21"/>
        </w:rPr>
      </w:pPr>
      <w:r>
        <w:rPr>
          <w:rFonts w:hint="eastAsia" w:ascii="宋体" w:hAnsi="宋体"/>
          <w:color w:val="auto"/>
          <w:szCs w:val="21"/>
        </w:rPr>
        <w:t>2、从业人员、营业收入、资产总额填报上一年度数据，无上一年度数据的新成立企业可不填报。</w:t>
      </w:r>
    </w:p>
    <w:p w14:paraId="57A7B0AD">
      <w:pPr>
        <w:spacing w:line="360" w:lineRule="exact"/>
        <w:ind w:firstLine="420" w:firstLineChars="200"/>
        <w:outlineLvl w:val="9"/>
        <w:rPr>
          <w:rFonts w:ascii="宋体" w:hAnsi="宋体"/>
          <w:color w:val="auto"/>
          <w:szCs w:val="21"/>
        </w:rPr>
      </w:pPr>
      <w:r>
        <w:rPr>
          <w:rFonts w:hint="eastAsia" w:ascii="宋体" w:hAnsi="宋体"/>
          <w:color w:val="auto"/>
          <w:szCs w:val="21"/>
        </w:rPr>
        <w:t>3、供应商提供的货物既有中小企业制造货物，也有大型企业制造货物的，不享受中小企业扶持政策。</w:t>
      </w:r>
    </w:p>
    <w:p w14:paraId="5CFDC2F7">
      <w:pPr>
        <w:spacing w:after="60" w:line="360" w:lineRule="exact"/>
        <w:jc w:val="center"/>
        <w:outlineLvl w:val="1"/>
        <w:rPr>
          <w:b/>
          <w:color w:val="auto"/>
        </w:rPr>
      </w:pPr>
      <w:r>
        <w:rPr>
          <w:rFonts w:hint="eastAsia"/>
          <w:b/>
          <w:color w:val="auto"/>
        </w:rPr>
        <w:t>2、监狱企业声明函</w:t>
      </w:r>
    </w:p>
    <w:p w14:paraId="5BCD263D">
      <w:pPr>
        <w:spacing w:after="60" w:line="360" w:lineRule="exact"/>
        <w:ind w:firstLine="420" w:firstLineChars="200"/>
        <w:outlineLvl w:val="9"/>
        <w:rPr>
          <w:rFonts w:ascii="宋体" w:hAnsi="宋体"/>
          <w:color w:val="auto"/>
          <w:szCs w:val="21"/>
        </w:rPr>
      </w:pPr>
      <w:r>
        <w:rPr>
          <w:rFonts w:hint="eastAsia" w:ascii="宋体" w:hAnsi="宋体"/>
          <w:color w:val="auto"/>
          <w:szCs w:val="21"/>
        </w:rPr>
        <w:t>本单位郑重声明，根据《关于政府采购支持监狱企业发展有关问题的通知》（财库〔</w:t>
      </w:r>
      <w:r>
        <w:rPr>
          <w:rFonts w:ascii="宋体" w:hAnsi="宋体"/>
          <w:color w:val="auto"/>
          <w:szCs w:val="21"/>
        </w:rPr>
        <w:t>2014</w:t>
      </w:r>
      <w:r>
        <w:rPr>
          <w:rFonts w:hint="eastAsia" w:ascii="宋体" w:hAnsi="宋体"/>
          <w:color w:val="auto"/>
          <w:szCs w:val="21"/>
        </w:rPr>
        <w:t>〕</w:t>
      </w:r>
      <w:r>
        <w:rPr>
          <w:rFonts w:ascii="宋体" w:hAnsi="宋体"/>
          <w:color w:val="auto"/>
          <w:szCs w:val="21"/>
        </w:rPr>
        <w:t>68</w:t>
      </w:r>
      <w:r>
        <w:rPr>
          <w:rFonts w:hint="eastAsia" w:ascii="宋体" w:hAnsi="宋体"/>
          <w:color w:val="auto"/>
          <w:szCs w:val="21"/>
        </w:rPr>
        <w:t>号）的规定，本单位为符合条件的监狱企业。</w:t>
      </w:r>
    </w:p>
    <w:p w14:paraId="06AEB3D5">
      <w:pPr>
        <w:spacing w:after="60" w:line="360" w:lineRule="exact"/>
        <w:ind w:firstLine="420" w:firstLineChars="200"/>
        <w:outlineLvl w:val="9"/>
        <w:rPr>
          <w:rFonts w:ascii="宋体" w:hAnsi="宋体"/>
          <w:color w:val="auto"/>
          <w:szCs w:val="21"/>
        </w:rPr>
      </w:pPr>
      <w:r>
        <w:rPr>
          <w:rFonts w:hint="eastAsia" w:ascii="宋体" w:hAnsi="宋体"/>
          <w:color w:val="auto"/>
          <w:szCs w:val="21"/>
        </w:rPr>
        <w:t>本单位对上述声明的真实性负责。如有虚假，将依法承担相应责任。</w:t>
      </w:r>
    </w:p>
    <w:p w14:paraId="4CB4EBE4">
      <w:pPr>
        <w:spacing w:line="360" w:lineRule="exact"/>
        <w:outlineLvl w:val="9"/>
        <w:rPr>
          <w:color w:val="auto"/>
        </w:rPr>
      </w:pPr>
      <w:r>
        <w:rPr>
          <w:rFonts w:hint="eastAsia"/>
          <w:color w:val="auto"/>
          <w:szCs w:val="21"/>
        </w:rPr>
        <w:t>投标人：</w:t>
      </w:r>
    </w:p>
    <w:p w14:paraId="50AE583F">
      <w:pPr>
        <w:spacing w:line="360" w:lineRule="exact"/>
        <w:outlineLvl w:val="9"/>
        <w:rPr>
          <w:rFonts w:ascii="宋体" w:hAnsi="宋体"/>
          <w:color w:val="auto"/>
          <w:szCs w:val="21"/>
        </w:rPr>
      </w:pPr>
      <w:r>
        <w:rPr>
          <w:rFonts w:hint="eastAsia" w:ascii="宋体" w:hAnsi="宋体"/>
          <w:color w:val="auto"/>
          <w:szCs w:val="21"/>
        </w:rPr>
        <w:t>日期：</w:t>
      </w:r>
      <w:r>
        <w:rPr>
          <w:rFonts w:hint="eastAsia" w:ascii="宋体" w:hAnsi="宋体"/>
          <w:color w:val="auto"/>
          <w:szCs w:val="21"/>
          <w:u w:val="single"/>
        </w:rPr>
        <w:t xml:space="preserve">    </w:t>
      </w:r>
      <w:r>
        <w:rPr>
          <w:rFonts w:hint="eastAsia" w:ascii="宋体" w:hAnsi="宋体"/>
          <w:color w:val="auto"/>
          <w:szCs w:val="21"/>
        </w:rPr>
        <w:t>年</w:t>
      </w:r>
      <w:r>
        <w:rPr>
          <w:rFonts w:hint="eastAsia" w:ascii="宋体" w:hAnsi="宋体"/>
          <w:color w:val="auto"/>
          <w:szCs w:val="21"/>
          <w:u w:val="single"/>
        </w:rPr>
        <w:t xml:space="preserve">   </w:t>
      </w:r>
      <w:r>
        <w:rPr>
          <w:rFonts w:hint="eastAsia" w:ascii="宋体" w:hAnsi="宋体"/>
          <w:color w:val="auto"/>
          <w:szCs w:val="21"/>
        </w:rPr>
        <w:t>月</w:t>
      </w:r>
      <w:r>
        <w:rPr>
          <w:rFonts w:hint="eastAsia" w:ascii="宋体" w:hAnsi="宋体"/>
          <w:color w:val="auto"/>
          <w:szCs w:val="21"/>
          <w:u w:val="single"/>
        </w:rPr>
        <w:t xml:space="preserve">   </w:t>
      </w:r>
      <w:r>
        <w:rPr>
          <w:rFonts w:hint="eastAsia" w:ascii="宋体" w:hAnsi="宋体"/>
          <w:color w:val="auto"/>
          <w:szCs w:val="21"/>
        </w:rPr>
        <w:t>日</w:t>
      </w:r>
    </w:p>
    <w:p w14:paraId="5D009A09">
      <w:pPr>
        <w:spacing w:line="360" w:lineRule="exact"/>
        <w:outlineLvl w:val="9"/>
        <w:rPr>
          <w:rFonts w:ascii="宋体"/>
          <w:b/>
          <w:color w:val="auto"/>
          <w:szCs w:val="21"/>
        </w:rPr>
      </w:pPr>
      <w:r>
        <w:rPr>
          <w:rFonts w:hint="eastAsia" w:ascii="宋体" w:hAnsi="宋体"/>
          <w:color w:val="auto"/>
          <w:szCs w:val="21"/>
        </w:rPr>
        <w:t xml:space="preserve">                                    </w:t>
      </w:r>
    </w:p>
    <w:p w14:paraId="674A5FF5">
      <w:pPr>
        <w:spacing w:after="60" w:line="360" w:lineRule="exact"/>
        <w:ind w:firstLine="422" w:firstLineChars="200"/>
        <w:outlineLvl w:val="9"/>
        <w:rPr>
          <w:rFonts w:ascii="宋体" w:hAnsi="宋体"/>
          <w:b/>
          <w:color w:val="auto"/>
          <w:szCs w:val="21"/>
        </w:rPr>
      </w:pPr>
      <w:r>
        <w:rPr>
          <w:rFonts w:hint="eastAsia" w:ascii="宋体" w:hAnsi="宋体"/>
          <w:b/>
          <w:color w:val="auto"/>
          <w:szCs w:val="21"/>
        </w:rPr>
        <w:t>附：省级以上监狱管理局、戒毒管理局（含新疆生产建设兵团）出具的监狱企业证明文件。</w:t>
      </w:r>
    </w:p>
    <w:p w14:paraId="3703EB32">
      <w:pPr>
        <w:spacing w:line="360" w:lineRule="exact"/>
        <w:ind w:firstLine="424" w:firstLineChars="202"/>
        <w:outlineLvl w:val="9"/>
        <w:rPr>
          <w:rFonts w:ascii="宋体" w:hAnsi="宋体"/>
          <w:color w:val="auto"/>
          <w:szCs w:val="21"/>
        </w:rPr>
      </w:pPr>
      <w:r>
        <w:rPr>
          <w:rFonts w:hint="eastAsia" w:ascii="宋体" w:hAnsi="宋体"/>
          <w:color w:val="auto"/>
          <w:szCs w:val="21"/>
        </w:rPr>
        <w:t>备注：填写前请认真阅读《财政部 司法部关于政府采购支持监狱企业发展有关问题的通知》（财库〔</w:t>
      </w:r>
      <w:r>
        <w:rPr>
          <w:rFonts w:ascii="宋体" w:hAnsi="宋体"/>
          <w:color w:val="auto"/>
          <w:szCs w:val="21"/>
        </w:rPr>
        <w:t>2014</w:t>
      </w:r>
      <w:r>
        <w:rPr>
          <w:rFonts w:hint="eastAsia" w:ascii="宋体" w:hAnsi="宋体"/>
          <w:color w:val="auto"/>
          <w:szCs w:val="21"/>
        </w:rPr>
        <w:t>〕</w:t>
      </w:r>
      <w:r>
        <w:rPr>
          <w:rFonts w:ascii="宋体" w:hAnsi="宋体"/>
          <w:color w:val="auto"/>
          <w:szCs w:val="21"/>
        </w:rPr>
        <w:t>68</w:t>
      </w:r>
      <w:r>
        <w:rPr>
          <w:rFonts w:hint="eastAsia" w:ascii="宋体" w:hAnsi="宋体"/>
          <w:color w:val="auto"/>
          <w:szCs w:val="21"/>
        </w:rPr>
        <w:t>号）相关规定。如不符合前述相关规定所确定的监狱企业，则不需要在投标文件中提供本《监狱企业声明函》；若符合前述相关规定所确定的监狱企业，除了提供本《监狱企业声明函》，还需提供由省级以上监狱管理局、戒毒管理局（含新疆生产建设兵团）出具的属于监狱企业的证明文件。否则视为在本项目中放弃政府采购政策扶持，不进行价格扣除。</w:t>
      </w:r>
    </w:p>
    <w:p w14:paraId="01353735">
      <w:pPr>
        <w:spacing w:after="60" w:line="360" w:lineRule="exact"/>
        <w:ind w:firstLine="420" w:firstLineChars="200"/>
        <w:outlineLvl w:val="9"/>
        <w:rPr>
          <w:rFonts w:ascii="宋体" w:hAnsi="宋体"/>
          <w:color w:val="auto"/>
          <w:szCs w:val="21"/>
        </w:rPr>
      </w:pPr>
      <w:r>
        <w:rPr>
          <w:rFonts w:hint="eastAsia" w:ascii="宋体" w:hAnsi="宋体"/>
          <w:color w:val="auto"/>
          <w:szCs w:val="21"/>
        </w:rPr>
        <w:t xml:space="preserve">                                     </w:t>
      </w:r>
    </w:p>
    <w:p w14:paraId="4B289F80">
      <w:pPr>
        <w:spacing w:after="60" w:line="360" w:lineRule="exact"/>
        <w:jc w:val="center"/>
        <w:outlineLvl w:val="1"/>
        <w:rPr>
          <w:b/>
          <w:bCs/>
          <w:color w:val="auto"/>
        </w:rPr>
      </w:pPr>
      <w:r>
        <w:rPr>
          <w:rFonts w:hint="eastAsia"/>
          <w:b/>
          <w:color w:val="auto"/>
        </w:rPr>
        <w:t>3、残疾人福利性单位声明函</w:t>
      </w:r>
    </w:p>
    <w:p w14:paraId="62A1F375">
      <w:pPr>
        <w:spacing w:line="360" w:lineRule="exact"/>
        <w:ind w:firstLine="420" w:firstLineChars="200"/>
        <w:outlineLvl w:val="9"/>
        <w:rPr>
          <w:rFonts w:ascii="宋体" w:hAnsi="宋体"/>
          <w:color w:val="auto"/>
          <w:szCs w:val="21"/>
        </w:rPr>
      </w:pPr>
      <w:r>
        <w:rPr>
          <w:rFonts w:hint="eastAsia" w:ascii="宋体" w:hAnsi="宋体"/>
          <w:color w:val="auto"/>
          <w:szCs w:val="21"/>
        </w:rPr>
        <w:t>本单位郑重声明，根据《财政部 民政部 中国残疾人联合会关于促进残疾人就业政府采购政策的通知》（财库〔2017〕 141号）的规定，本单位为符合条件的残疾人福利性单位，且本单位参加</w:t>
      </w:r>
      <w:r>
        <w:rPr>
          <w:rFonts w:hint="eastAsia" w:ascii="宋体" w:hAnsi="宋体"/>
          <w:color w:val="auto"/>
          <w:szCs w:val="21"/>
          <w:u w:val="single"/>
        </w:rPr>
        <w:t xml:space="preserve">    </w:t>
      </w:r>
      <w:r>
        <w:rPr>
          <w:rFonts w:hint="eastAsia" w:ascii="宋体" w:hAnsi="宋体"/>
          <w:color w:val="auto"/>
          <w:szCs w:val="21"/>
        </w:rPr>
        <w:t>单位的</w:t>
      </w:r>
      <w:r>
        <w:rPr>
          <w:rFonts w:hint="eastAsia" w:ascii="宋体" w:hAnsi="宋体"/>
          <w:color w:val="auto"/>
          <w:szCs w:val="21"/>
          <w:u w:val="single"/>
        </w:rPr>
        <w:t xml:space="preserve">            </w:t>
      </w:r>
      <w:r>
        <w:rPr>
          <w:rFonts w:hint="eastAsia" w:ascii="宋体" w:hAnsi="宋体"/>
          <w:color w:val="auto"/>
          <w:szCs w:val="21"/>
        </w:rPr>
        <w:t>项目采购活动提供本单位制造的货物，或者提供其他残疾人福利性单位制造的货物（不包括使用非残疾人福利性单位注册商标的货物）。</w:t>
      </w:r>
    </w:p>
    <w:p w14:paraId="6298693E">
      <w:pPr>
        <w:spacing w:after="60" w:line="360" w:lineRule="exact"/>
        <w:ind w:firstLine="420" w:firstLineChars="200"/>
        <w:outlineLvl w:val="9"/>
        <w:rPr>
          <w:rFonts w:ascii="宋体" w:hAnsi="宋体"/>
          <w:color w:val="auto"/>
          <w:szCs w:val="21"/>
        </w:rPr>
      </w:pPr>
      <w:r>
        <w:rPr>
          <w:rFonts w:hint="eastAsia" w:ascii="宋体" w:hAnsi="宋体"/>
          <w:color w:val="auto"/>
          <w:szCs w:val="21"/>
        </w:rPr>
        <w:t>本单位对上述声明的真实性负责。如有虚假，将依法承担相应责任。</w:t>
      </w:r>
    </w:p>
    <w:p w14:paraId="00507B23">
      <w:pPr>
        <w:spacing w:after="60" w:line="360" w:lineRule="exact"/>
        <w:ind w:firstLine="420" w:firstLineChars="200"/>
        <w:outlineLvl w:val="9"/>
        <w:rPr>
          <w:rFonts w:ascii="宋体" w:hAnsi="宋体"/>
          <w:color w:val="auto"/>
          <w:szCs w:val="21"/>
        </w:rPr>
      </w:pPr>
      <w:r>
        <w:rPr>
          <w:rFonts w:hint="eastAsia" w:ascii="宋体" w:hAnsi="宋体"/>
          <w:color w:val="auto"/>
          <w:szCs w:val="21"/>
        </w:rPr>
        <w:t>本单位知悉《关于促进残疾人就业政府采购政策的通知》（财库〔2017〕141 号）的规定，承诺提供的声明函内容是真实的，如提供声明函内容不实，则依法追究相关法律责任。</w:t>
      </w:r>
    </w:p>
    <w:p w14:paraId="312D2F0C">
      <w:pPr>
        <w:spacing w:line="360" w:lineRule="exact"/>
        <w:outlineLvl w:val="9"/>
        <w:rPr>
          <w:color w:val="auto"/>
        </w:rPr>
      </w:pPr>
      <w:r>
        <w:rPr>
          <w:rFonts w:hint="eastAsia"/>
          <w:color w:val="auto"/>
          <w:szCs w:val="21"/>
        </w:rPr>
        <w:t>投标人：</w:t>
      </w:r>
    </w:p>
    <w:p w14:paraId="7EC4C1ED">
      <w:pPr>
        <w:spacing w:line="360" w:lineRule="exact"/>
        <w:outlineLvl w:val="9"/>
        <w:rPr>
          <w:rFonts w:ascii="宋体" w:hAnsi="宋体"/>
          <w:color w:val="auto"/>
          <w:szCs w:val="21"/>
        </w:rPr>
      </w:pPr>
      <w:r>
        <w:rPr>
          <w:rFonts w:hint="eastAsia" w:ascii="宋体" w:hAnsi="宋体"/>
          <w:color w:val="auto"/>
          <w:szCs w:val="21"/>
        </w:rPr>
        <w:t>日期：</w:t>
      </w:r>
      <w:r>
        <w:rPr>
          <w:rFonts w:hint="eastAsia" w:ascii="宋体" w:hAnsi="宋体"/>
          <w:color w:val="auto"/>
          <w:szCs w:val="21"/>
          <w:u w:val="single"/>
        </w:rPr>
        <w:t xml:space="preserve">    </w:t>
      </w:r>
      <w:r>
        <w:rPr>
          <w:rFonts w:hint="eastAsia" w:ascii="宋体" w:hAnsi="宋体"/>
          <w:color w:val="auto"/>
          <w:szCs w:val="21"/>
        </w:rPr>
        <w:t>年</w:t>
      </w:r>
      <w:r>
        <w:rPr>
          <w:rFonts w:hint="eastAsia" w:ascii="宋体" w:hAnsi="宋体"/>
          <w:color w:val="auto"/>
          <w:szCs w:val="21"/>
          <w:u w:val="single"/>
        </w:rPr>
        <w:t xml:space="preserve">   </w:t>
      </w:r>
      <w:r>
        <w:rPr>
          <w:rFonts w:hint="eastAsia" w:ascii="宋体" w:hAnsi="宋体"/>
          <w:color w:val="auto"/>
          <w:szCs w:val="21"/>
        </w:rPr>
        <w:t>月</w:t>
      </w:r>
      <w:r>
        <w:rPr>
          <w:rFonts w:hint="eastAsia" w:ascii="宋体" w:hAnsi="宋体"/>
          <w:color w:val="auto"/>
          <w:szCs w:val="21"/>
          <w:u w:val="single"/>
        </w:rPr>
        <w:t xml:space="preserve">   </w:t>
      </w:r>
      <w:r>
        <w:rPr>
          <w:rFonts w:hint="eastAsia" w:ascii="宋体" w:hAnsi="宋体"/>
          <w:color w:val="auto"/>
          <w:szCs w:val="21"/>
        </w:rPr>
        <w:t>日</w:t>
      </w:r>
    </w:p>
    <w:p w14:paraId="5E8CB70A">
      <w:pPr>
        <w:pStyle w:val="7"/>
        <w:outlineLvl w:val="9"/>
        <w:rPr>
          <w:color w:val="auto"/>
        </w:rPr>
      </w:pPr>
    </w:p>
    <w:p w14:paraId="0888B786">
      <w:pPr>
        <w:spacing w:line="360" w:lineRule="exact"/>
        <w:ind w:firstLine="424" w:firstLineChars="202"/>
        <w:outlineLvl w:val="9"/>
        <w:rPr>
          <w:rFonts w:ascii="宋体" w:hAnsi="宋体"/>
          <w:color w:val="auto"/>
          <w:szCs w:val="21"/>
        </w:rPr>
      </w:pPr>
      <w:r>
        <w:rPr>
          <w:rFonts w:hint="eastAsia" w:ascii="宋体" w:hAnsi="宋体"/>
          <w:color w:val="auto"/>
          <w:szCs w:val="21"/>
        </w:rPr>
        <w:t>备注：填写前请认真阅读《财政部 民政部 中国残疾人联合会关于促进残疾人就业政府采购政策的通知》</w:t>
      </w:r>
      <w:r>
        <w:rPr>
          <w:rFonts w:ascii="宋体" w:hAnsi="宋体"/>
          <w:color w:val="auto"/>
          <w:szCs w:val="21"/>
        </w:rPr>
        <w:t>(</w:t>
      </w:r>
      <w:r>
        <w:rPr>
          <w:rFonts w:hint="eastAsia" w:ascii="宋体" w:hAnsi="宋体"/>
          <w:color w:val="auto"/>
          <w:szCs w:val="21"/>
        </w:rPr>
        <w:t>财库〔2017〕141号</w:t>
      </w:r>
      <w:r>
        <w:rPr>
          <w:rFonts w:ascii="宋体" w:hAnsi="宋体"/>
          <w:color w:val="auto"/>
          <w:szCs w:val="21"/>
        </w:rPr>
        <w:t>)</w:t>
      </w:r>
      <w:r>
        <w:rPr>
          <w:rFonts w:hint="eastAsia" w:ascii="宋体" w:hAnsi="宋体"/>
          <w:color w:val="auto"/>
          <w:szCs w:val="21"/>
        </w:rPr>
        <w:t xml:space="preserve">相关规定。如不符合前述相关规定所确定的残疾人福利性单位，则不需要在投标文件中提供本《残疾人福利性单位声明函》；若符合前述相关规定所确定的残疾人福利性单位，但在投标文件中没有提供本《残疾人福利性单位声明函》，视为在本项目中放弃政府采购政策扶持，不进行价格扣除。                                              </w:t>
      </w:r>
    </w:p>
    <w:p w14:paraId="3BD169D5">
      <w:pPr>
        <w:rPr>
          <w:rFonts w:hint="eastAsia" w:ascii="宋体" w:hAnsi="宋体" w:eastAsia="宋体"/>
          <w:b/>
          <w:bCs/>
          <w:szCs w:val="21"/>
        </w:rPr>
      </w:pPr>
    </w:p>
    <w:p w14:paraId="0B227468">
      <w:pPr>
        <w:rPr>
          <w:rFonts w:ascii="宋体" w:hAnsi="宋体" w:eastAsia="宋体"/>
          <w:b/>
          <w:bCs/>
          <w:szCs w:val="21"/>
        </w:rPr>
      </w:pPr>
      <w:r>
        <w:rPr>
          <w:rFonts w:hint="eastAsia" w:ascii="宋体" w:hAnsi="宋体" w:eastAsia="宋体"/>
          <w:b/>
          <w:bCs/>
          <w:szCs w:val="21"/>
        </w:rPr>
        <w:t>附件1.统计上大中小微型企业划分标准</w:t>
      </w:r>
    </w:p>
    <w:p w14:paraId="03C689CE">
      <w:pPr>
        <w:rPr>
          <w:rFonts w:hint="eastAsia" w:ascii="宋体" w:hAnsi="宋体" w:eastAsia="宋体" w:cs="宋体"/>
          <w:sz w:val="21"/>
          <w:szCs w:val="21"/>
        </w:rPr>
      </w:pPr>
      <w:r>
        <w:rPr>
          <w:rFonts w:hint="eastAsia" w:ascii="宋体" w:hAnsi="宋体" w:eastAsia="宋体" w:cs="宋体"/>
          <w:sz w:val="21"/>
          <w:szCs w:val="21"/>
        </w:rPr>
        <w:t>来源：国家统计局关于印发《统计上大中小微型企业划分办法（2017）》的通知（国统字〔2017〕213 号）</w:t>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HYPERLINK "https://www.stats.gov.cn/xxgk/tjbz/gjtjbz/202008/t20200811_1782335.html" </w:instrText>
      </w:r>
      <w:r>
        <w:rPr>
          <w:rFonts w:hint="eastAsia" w:ascii="宋体" w:hAnsi="宋体" w:eastAsia="宋体" w:cs="宋体"/>
          <w:sz w:val="21"/>
          <w:szCs w:val="21"/>
        </w:rPr>
        <w:fldChar w:fldCharType="separate"/>
      </w:r>
      <w:r>
        <w:rPr>
          <w:rFonts w:hint="eastAsia" w:ascii="宋体" w:hAnsi="宋体" w:eastAsia="宋体" w:cs="宋体"/>
          <w:sz w:val="21"/>
          <w:szCs w:val="21"/>
        </w:rPr>
        <w:t>https://www.stats.gov.cn/xxgk/tjbz/gjtjbz/202008/t20200811_1782335.html</w:t>
      </w:r>
      <w:r>
        <w:rPr>
          <w:rFonts w:hint="eastAsia" w:ascii="宋体" w:hAnsi="宋体" w:eastAsia="宋体" w:cs="宋体"/>
          <w:sz w:val="21"/>
          <w:szCs w:val="21"/>
        </w:rPr>
        <w:fldChar w:fldCharType="end"/>
      </w:r>
    </w:p>
    <w:tbl>
      <w:tblPr>
        <w:tblStyle w:val="21"/>
        <w:tblW w:w="5606" w:type="pct"/>
        <w:jc w:val="center"/>
        <w:tblLayout w:type="autofit"/>
        <w:tblCellMar>
          <w:top w:w="0" w:type="dxa"/>
          <w:left w:w="108" w:type="dxa"/>
          <w:bottom w:w="0" w:type="dxa"/>
          <w:right w:w="108" w:type="dxa"/>
        </w:tblCellMar>
      </w:tblPr>
      <w:tblGrid>
        <w:gridCol w:w="2363"/>
        <w:gridCol w:w="1529"/>
        <w:gridCol w:w="787"/>
        <w:gridCol w:w="1257"/>
        <w:gridCol w:w="1900"/>
        <w:gridCol w:w="1594"/>
        <w:gridCol w:w="1105"/>
      </w:tblGrid>
      <w:tr w14:paraId="2767ADD0">
        <w:tblPrEx>
          <w:tblCellMar>
            <w:top w:w="0" w:type="dxa"/>
            <w:left w:w="108" w:type="dxa"/>
            <w:bottom w:w="0" w:type="dxa"/>
            <w:right w:w="108" w:type="dxa"/>
          </w:tblCellMar>
        </w:tblPrEx>
        <w:trPr>
          <w:trHeight w:val="643" w:hRule="exact"/>
          <w:jc w:val="center"/>
        </w:trPr>
        <w:tc>
          <w:tcPr>
            <w:tcW w:w="1121" w:type="pct"/>
            <w:tcBorders>
              <w:top w:val="single" w:color="auto" w:sz="4" w:space="0"/>
              <w:left w:val="nil"/>
              <w:bottom w:val="single" w:color="auto" w:sz="4" w:space="0"/>
              <w:right w:val="single" w:color="auto" w:sz="4" w:space="0"/>
            </w:tcBorders>
            <w:shd w:val="clear" w:color="auto" w:fill="auto"/>
            <w:vAlign w:val="center"/>
          </w:tcPr>
          <w:p w14:paraId="76B3C900">
            <w:pPr>
              <w:keepNext w:val="0"/>
              <w:keepLines w:val="0"/>
              <w:suppressLineNumbers w:val="0"/>
              <w:spacing w:before="0" w:beforeAutospacing="0" w:after="0" w:afterAutospacing="0" w:line="240" w:lineRule="exact"/>
              <w:ind w:left="0" w:right="0"/>
              <w:jc w:val="center"/>
              <w:rPr>
                <w:rFonts w:hint="eastAsia" w:ascii="宋体" w:hAnsi="宋体" w:eastAsia="宋体" w:cs="宋体"/>
                <w:b/>
                <w:bCs/>
                <w:color w:val="000000"/>
                <w:sz w:val="21"/>
                <w:szCs w:val="21"/>
              </w:rPr>
            </w:pPr>
            <w:r>
              <w:rPr>
                <w:rFonts w:hint="eastAsia" w:ascii="宋体" w:hAnsi="宋体" w:eastAsia="宋体" w:cs="宋体"/>
                <w:b/>
                <w:bCs/>
                <w:color w:val="000000"/>
                <w:sz w:val="21"/>
                <w:szCs w:val="21"/>
              </w:rPr>
              <w:t>行业名称</w:t>
            </w:r>
          </w:p>
        </w:tc>
        <w:tc>
          <w:tcPr>
            <w:tcW w:w="725" w:type="pct"/>
            <w:tcBorders>
              <w:top w:val="single" w:color="auto" w:sz="4" w:space="0"/>
              <w:left w:val="nil"/>
              <w:bottom w:val="single" w:color="auto" w:sz="4" w:space="0"/>
              <w:right w:val="single" w:color="auto" w:sz="4" w:space="0"/>
            </w:tcBorders>
            <w:shd w:val="clear" w:color="auto" w:fill="auto"/>
            <w:vAlign w:val="center"/>
          </w:tcPr>
          <w:p w14:paraId="363619D0">
            <w:pPr>
              <w:keepNext w:val="0"/>
              <w:keepLines w:val="0"/>
              <w:suppressLineNumbers w:val="0"/>
              <w:spacing w:before="0" w:beforeAutospacing="0" w:after="0" w:afterAutospacing="0"/>
              <w:ind w:left="0" w:right="0"/>
              <w:jc w:val="center"/>
              <w:rPr>
                <w:rFonts w:hint="eastAsia" w:ascii="宋体" w:hAnsi="宋体" w:eastAsia="宋体" w:cs="宋体"/>
                <w:b/>
                <w:bCs/>
                <w:color w:val="000000"/>
                <w:sz w:val="21"/>
                <w:szCs w:val="21"/>
              </w:rPr>
            </w:pPr>
            <w:r>
              <w:rPr>
                <w:rFonts w:hint="eastAsia" w:ascii="宋体" w:hAnsi="宋体" w:eastAsia="宋体" w:cs="宋体"/>
                <w:b/>
                <w:bCs/>
                <w:color w:val="000000"/>
                <w:sz w:val="21"/>
                <w:szCs w:val="21"/>
              </w:rPr>
              <w:t>指标名称</w:t>
            </w:r>
          </w:p>
        </w:tc>
        <w:tc>
          <w:tcPr>
            <w:tcW w:w="373" w:type="pct"/>
            <w:tcBorders>
              <w:top w:val="single" w:color="auto" w:sz="4" w:space="0"/>
              <w:left w:val="nil"/>
              <w:bottom w:val="single" w:color="auto" w:sz="4" w:space="0"/>
              <w:right w:val="single" w:color="auto" w:sz="4" w:space="0"/>
            </w:tcBorders>
            <w:shd w:val="clear" w:color="auto" w:fill="auto"/>
            <w:vAlign w:val="center"/>
          </w:tcPr>
          <w:p w14:paraId="2D792FD8">
            <w:pPr>
              <w:keepNext w:val="0"/>
              <w:keepLines w:val="0"/>
              <w:suppressLineNumbers w:val="0"/>
              <w:spacing w:before="0" w:beforeAutospacing="0" w:after="0" w:afterAutospacing="0"/>
              <w:ind w:left="0" w:right="0"/>
              <w:jc w:val="center"/>
              <w:rPr>
                <w:rFonts w:hint="eastAsia" w:ascii="宋体" w:hAnsi="宋体" w:eastAsia="宋体" w:cs="宋体"/>
                <w:b/>
                <w:bCs/>
                <w:color w:val="000000"/>
                <w:sz w:val="21"/>
                <w:szCs w:val="21"/>
              </w:rPr>
            </w:pPr>
            <w:r>
              <w:rPr>
                <w:rFonts w:hint="eastAsia" w:ascii="宋体" w:hAnsi="宋体" w:eastAsia="宋体" w:cs="宋体"/>
                <w:b/>
                <w:bCs/>
                <w:color w:val="000000"/>
                <w:sz w:val="21"/>
                <w:szCs w:val="21"/>
              </w:rPr>
              <w:t>计量</w:t>
            </w:r>
            <w:r>
              <w:rPr>
                <w:rFonts w:hint="eastAsia" w:ascii="宋体" w:hAnsi="宋体" w:eastAsia="宋体" w:cs="宋体"/>
                <w:b/>
                <w:bCs/>
                <w:color w:val="000000"/>
                <w:sz w:val="21"/>
                <w:szCs w:val="21"/>
              </w:rPr>
              <w:br w:type="textWrapping"/>
            </w:r>
            <w:r>
              <w:rPr>
                <w:rFonts w:hint="eastAsia" w:ascii="宋体" w:hAnsi="宋体" w:eastAsia="宋体" w:cs="宋体"/>
                <w:b/>
                <w:bCs/>
                <w:color w:val="000000"/>
                <w:sz w:val="21"/>
                <w:szCs w:val="21"/>
              </w:rPr>
              <w:t>单位</w:t>
            </w:r>
          </w:p>
        </w:tc>
        <w:tc>
          <w:tcPr>
            <w:tcW w:w="596" w:type="pct"/>
            <w:tcBorders>
              <w:top w:val="single" w:color="auto" w:sz="4" w:space="0"/>
              <w:left w:val="nil"/>
              <w:bottom w:val="single" w:color="auto" w:sz="4" w:space="0"/>
              <w:right w:val="single" w:color="auto" w:sz="4" w:space="0"/>
            </w:tcBorders>
            <w:shd w:val="clear" w:color="auto" w:fill="auto"/>
            <w:vAlign w:val="center"/>
          </w:tcPr>
          <w:p w14:paraId="7F08D2F5">
            <w:pPr>
              <w:keepNext w:val="0"/>
              <w:keepLines w:val="0"/>
              <w:suppressLineNumbers w:val="0"/>
              <w:spacing w:before="0" w:beforeAutospacing="0" w:after="0" w:afterAutospacing="0"/>
              <w:ind w:left="0" w:right="0"/>
              <w:jc w:val="center"/>
              <w:rPr>
                <w:rFonts w:hint="eastAsia" w:ascii="宋体" w:hAnsi="宋体" w:eastAsia="宋体" w:cs="宋体"/>
                <w:b/>
                <w:bCs/>
                <w:color w:val="000000"/>
                <w:sz w:val="21"/>
                <w:szCs w:val="21"/>
              </w:rPr>
            </w:pPr>
            <w:r>
              <w:rPr>
                <w:rFonts w:hint="eastAsia" w:ascii="宋体" w:hAnsi="宋体" w:eastAsia="宋体" w:cs="宋体"/>
                <w:b/>
                <w:bCs/>
                <w:color w:val="000000"/>
                <w:sz w:val="21"/>
                <w:szCs w:val="21"/>
              </w:rPr>
              <w:t>大型</w:t>
            </w:r>
          </w:p>
        </w:tc>
        <w:tc>
          <w:tcPr>
            <w:tcW w:w="901" w:type="pct"/>
            <w:tcBorders>
              <w:top w:val="single" w:color="auto" w:sz="4" w:space="0"/>
              <w:left w:val="nil"/>
              <w:bottom w:val="single" w:color="auto" w:sz="4" w:space="0"/>
              <w:right w:val="single" w:color="auto" w:sz="4" w:space="0"/>
            </w:tcBorders>
            <w:shd w:val="clear" w:color="auto" w:fill="auto"/>
            <w:vAlign w:val="center"/>
          </w:tcPr>
          <w:p w14:paraId="7B929E8F">
            <w:pPr>
              <w:keepNext w:val="0"/>
              <w:keepLines w:val="0"/>
              <w:suppressLineNumbers w:val="0"/>
              <w:spacing w:before="0" w:beforeAutospacing="0" w:after="0" w:afterAutospacing="0"/>
              <w:ind w:left="0" w:right="0"/>
              <w:jc w:val="center"/>
              <w:rPr>
                <w:rFonts w:hint="eastAsia" w:ascii="宋体" w:hAnsi="宋体" w:eastAsia="宋体" w:cs="宋体"/>
                <w:b/>
                <w:bCs/>
                <w:color w:val="000000"/>
                <w:sz w:val="21"/>
                <w:szCs w:val="21"/>
              </w:rPr>
            </w:pPr>
            <w:r>
              <w:rPr>
                <w:rFonts w:hint="eastAsia" w:ascii="宋体" w:hAnsi="宋体" w:eastAsia="宋体" w:cs="宋体"/>
                <w:b/>
                <w:bCs/>
                <w:color w:val="000000"/>
                <w:sz w:val="21"/>
                <w:szCs w:val="21"/>
              </w:rPr>
              <w:t>中型</w:t>
            </w:r>
          </w:p>
        </w:tc>
        <w:tc>
          <w:tcPr>
            <w:tcW w:w="756" w:type="pct"/>
            <w:tcBorders>
              <w:top w:val="single" w:color="auto" w:sz="4" w:space="0"/>
              <w:left w:val="nil"/>
              <w:bottom w:val="single" w:color="auto" w:sz="4" w:space="0"/>
              <w:right w:val="single" w:color="auto" w:sz="4" w:space="0"/>
            </w:tcBorders>
            <w:shd w:val="clear" w:color="auto" w:fill="auto"/>
            <w:vAlign w:val="center"/>
          </w:tcPr>
          <w:p w14:paraId="54E0E34A">
            <w:pPr>
              <w:keepNext w:val="0"/>
              <w:keepLines w:val="0"/>
              <w:suppressLineNumbers w:val="0"/>
              <w:spacing w:before="0" w:beforeAutospacing="0" w:after="0" w:afterAutospacing="0"/>
              <w:ind w:left="0" w:right="0"/>
              <w:jc w:val="center"/>
              <w:rPr>
                <w:rFonts w:hint="eastAsia" w:ascii="宋体" w:hAnsi="宋体" w:eastAsia="宋体" w:cs="宋体"/>
                <w:b/>
                <w:bCs/>
                <w:color w:val="000000"/>
                <w:sz w:val="21"/>
                <w:szCs w:val="21"/>
              </w:rPr>
            </w:pPr>
            <w:r>
              <w:rPr>
                <w:rFonts w:hint="eastAsia" w:ascii="宋体" w:hAnsi="宋体" w:eastAsia="宋体" w:cs="宋体"/>
                <w:b/>
                <w:bCs/>
                <w:color w:val="000000"/>
                <w:sz w:val="21"/>
                <w:szCs w:val="21"/>
              </w:rPr>
              <w:t>小型</w:t>
            </w:r>
          </w:p>
        </w:tc>
        <w:tc>
          <w:tcPr>
            <w:tcW w:w="524" w:type="pct"/>
            <w:tcBorders>
              <w:top w:val="single" w:color="auto" w:sz="4" w:space="0"/>
              <w:left w:val="nil"/>
              <w:bottom w:val="single" w:color="auto" w:sz="4" w:space="0"/>
              <w:right w:val="nil"/>
            </w:tcBorders>
            <w:shd w:val="clear" w:color="auto" w:fill="auto"/>
            <w:vAlign w:val="center"/>
          </w:tcPr>
          <w:p w14:paraId="49A590F5">
            <w:pPr>
              <w:keepNext w:val="0"/>
              <w:keepLines w:val="0"/>
              <w:suppressLineNumbers w:val="0"/>
              <w:spacing w:before="0" w:beforeAutospacing="0" w:after="0" w:afterAutospacing="0"/>
              <w:ind w:left="0" w:right="0"/>
              <w:jc w:val="center"/>
              <w:rPr>
                <w:rFonts w:hint="eastAsia" w:ascii="宋体" w:hAnsi="宋体" w:eastAsia="宋体" w:cs="宋体"/>
                <w:b/>
                <w:bCs/>
                <w:color w:val="000000"/>
                <w:sz w:val="21"/>
                <w:szCs w:val="21"/>
              </w:rPr>
            </w:pPr>
            <w:r>
              <w:rPr>
                <w:rFonts w:hint="eastAsia" w:ascii="宋体" w:hAnsi="宋体" w:eastAsia="宋体" w:cs="宋体"/>
                <w:b/>
                <w:bCs/>
                <w:color w:val="000000"/>
                <w:sz w:val="21"/>
                <w:szCs w:val="21"/>
              </w:rPr>
              <w:t>微型</w:t>
            </w:r>
          </w:p>
        </w:tc>
      </w:tr>
      <w:tr w14:paraId="06E67DC5">
        <w:tblPrEx>
          <w:tblCellMar>
            <w:top w:w="0" w:type="dxa"/>
            <w:left w:w="108" w:type="dxa"/>
            <w:bottom w:w="0" w:type="dxa"/>
            <w:right w:w="108" w:type="dxa"/>
          </w:tblCellMar>
        </w:tblPrEx>
        <w:trPr>
          <w:trHeight w:val="409" w:hRule="exact"/>
          <w:jc w:val="center"/>
        </w:trPr>
        <w:tc>
          <w:tcPr>
            <w:tcW w:w="1121" w:type="pct"/>
            <w:tcBorders>
              <w:top w:val="nil"/>
              <w:left w:val="nil"/>
              <w:bottom w:val="single" w:color="auto" w:sz="4" w:space="0"/>
              <w:right w:val="single" w:color="auto" w:sz="4" w:space="0"/>
            </w:tcBorders>
            <w:shd w:val="clear" w:color="auto" w:fill="auto"/>
            <w:vAlign w:val="center"/>
          </w:tcPr>
          <w:p w14:paraId="1E4A9504">
            <w:pPr>
              <w:keepNext w:val="0"/>
              <w:keepLines w:val="0"/>
              <w:suppressLineNumbers w:val="0"/>
              <w:spacing w:before="0" w:beforeAutospacing="0" w:after="0" w:afterAutospacing="0" w:line="240" w:lineRule="exact"/>
              <w:ind w:left="0" w:right="0"/>
              <w:rPr>
                <w:rFonts w:hint="eastAsia" w:ascii="宋体" w:hAnsi="宋体" w:eastAsia="宋体" w:cs="宋体"/>
                <w:color w:val="000000"/>
                <w:sz w:val="21"/>
                <w:szCs w:val="21"/>
              </w:rPr>
            </w:pPr>
            <w:r>
              <w:rPr>
                <w:rFonts w:hint="eastAsia" w:ascii="宋体" w:hAnsi="宋体" w:eastAsia="宋体" w:cs="宋体"/>
                <w:color w:val="000000"/>
                <w:sz w:val="21"/>
                <w:szCs w:val="21"/>
              </w:rPr>
              <w:t>农、林、牧、渔业</w:t>
            </w:r>
          </w:p>
        </w:tc>
        <w:tc>
          <w:tcPr>
            <w:tcW w:w="725" w:type="pct"/>
            <w:tcBorders>
              <w:top w:val="nil"/>
              <w:left w:val="nil"/>
              <w:bottom w:val="single" w:color="auto" w:sz="4" w:space="0"/>
              <w:right w:val="single" w:color="auto" w:sz="4" w:space="0"/>
            </w:tcBorders>
            <w:shd w:val="clear" w:color="auto" w:fill="auto"/>
            <w:vAlign w:val="center"/>
          </w:tcPr>
          <w:p w14:paraId="58655A90">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营业收入(Y)</w:t>
            </w:r>
          </w:p>
        </w:tc>
        <w:tc>
          <w:tcPr>
            <w:tcW w:w="373" w:type="pct"/>
            <w:tcBorders>
              <w:top w:val="nil"/>
              <w:left w:val="nil"/>
              <w:bottom w:val="single" w:color="auto" w:sz="4" w:space="0"/>
              <w:right w:val="single" w:color="auto" w:sz="4" w:space="0"/>
            </w:tcBorders>
            <w:shd w:val="clear" w:color="auto" w:fill="auto"/>
            <w:vAlign w:val="center"/>
          </w:tcPr>
          <w:p w14:paraId="3F106CD8">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万元</w:t>
            </w:r>
          </w:p>
        </w:tc>
        <w:tc>
          <w:tcPr>
            <w:tcW w:w="596" w:type="pct"/>
            <w:tcBorders>
              <w:top w:val="nil"/>
              <w:left w:val="nil"/>
              <w:bottom w:val="single" w:color="auto" w:sz="4" w:space="0"/>
              <w:right w:val="single" w:color="auto" w:sz="4" w:space="0"/>
            </w:tcBorders>
            <w:shd w:val="clear" w:color="auto" w:fill="auto"/>
            <w:vAlign w:val="center"/>
          </w:tcPr>
          <w:p w14:paraId="1746A320">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Y≥20000</w:t>
            </w:r>
          </w:p>
        </w:tc>
        <w:tc>
          <w:tcPr>
            <w:tcW w:w="901" w:type="pct"/>
            <w:tcBorders>
              <w:top w:val="nil"/>
              <w:left w:val="nil"/>
              <w:bottom w:val="single" w:color="auto" w:sz="4" w:space="0"/>
              <w:right w:val="single" w:color="auto" w:sz="4" w:space="0"/>
            </w:tcBorders>
            <w:shd w:val="clear" w:color="auto" w:fill="auto"/>
            <w:vAlign w:val="center"/>
          </w:tcPr>
          <w:p w14:paraId="49DAE89B">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500≤Y＜20000</w:t>
            </w:r>
          </w:p>
        </w:tc>
        <w:tc>
          <w:tcPr>
            <w:tcW w:w="756" w:type="pct"/>
            <w:tcBorders>
              <w:top w:val="nil"/>
              <w:left w:val="nil"/>
              <w:bottom w:val="single" w:color="auto" w:sz="4" w:space="0"/>
              <w:right w:val="single" w:color="auto" w:sz="4" w:space="0"/>
            </w:tcBorders>
            <w:shd w:val="clear" w:color="auto" w:fill="auto"/>
            <w:vAlign w:val="center"/>
          </w:tcPr>
          <w:p w14:paraId="06C20ACB">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50≤Y＜500</w:t>
            </w:r>
          </w:p>
        </w:tc>
        <w:tc>
          <w:tcPr>
            <w:tcW w:w="524" w:type="pct"/>
            <w:tcBorders>
              <w:top w:val="nil"/>
              <w:left w:val="nil"/>
              <w:bottom w:val="single" w:color="auto" w:sz="4" w:space="0"/>
              <w:right w:val="nil"/>
            </w:tcBorders>
            <w:shd w:val="clear" w:color="auto" w:fill="auto"/>
            <w:vAlign w:val="center"/>
          </w:tcPr>
          <w:p w14:paraId="4A581E97">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Y＜50</w:t>
            </w:r>
          </w:p>
        </w:tc>
      </w:tr>
      <w:tr w14:paraId="37584D36">
        <w:tblPrEx>
          <w:tblCellMar>
            <w:top w:w="0" w:type="dxa"/>
            <w:left w:w="108" w:type="dxa"/>
            <w:bottom w:w="0" w:type="dxa"/>
            <w:right w:w="108" w:type="dxa"/>
          </w:tblCellMar>
        </w:tblPrEx>
        <w:trPr>
          <w:trHeight w:val="409" w:hRule="exact"/>
          <w:jc w:val="center"/>
        </w:trPr>
        <w:tc>
          <w:tcPr>
            <w:tcW w:w="1121" w:type="pct"/>
            <w:vMerge w:val="restart"/>
            <w:tcBorders>
              <w:top w:val="nil"/>
              <w:left w:val="nil"/>
              <w:bottom w:val="single" w:color="auto" w:sz="4" w:space="0"/>
              <w:right w:val="single" w:color="auto" w:sz="4" w:space="0"/>
            </w:tcBorders>
            <w:shd w:val="clear" w:color="auto" w:fill="auto"/>
            <w:vAlign w:val="center"/>
          </w:tcPr>
          <w:p w14:paraId="1146CCC8">
            <w:pPr>
              <w:keepNext w:val="0"/>
              <w:keepLines w:val="0"/>
              <w:suppressLineNumbers w:val="0"/>
              <w:spacing w:before="0" w:beforeAutospacing="0" w:after="0" w:afterAutospacing="0" w:line="240" w:lineRule="exact"/>
              <w:ind w:left="0" w:right="0"/>
              <w:rPr>
                <w:rFonts w:hint="eastAsia" w:ascii="宋体" w:hAnsi="宋体" w:eastAsia="宋体" w:cs="宋体"/>
                <w:color w:val="000000"/>
                <w:sz w:val="21"/>
                <w:szCs w:val="21"/>
              </w:rPr>
            </w:pPr>
            <w:r>
              <w:rPr>
                <w:rFonts w:hint="eastAsia" w:ascii="宋体" w:hAnsi="宋体" w:eastAsia="宋体" w:cs="宋体"/>
                <w:color w:val="000000"/>
                <w:sz w:val="21"/>
                <w:szCs w:val="21"/>
              </w:rPr>
              <w:t>工业 *</w:t>
            </w:r>
          </w:p>
        </w:tc>
        <w:tc>
          <w:tcPr>
            <w:tcW w:w="725" w:type="pct"/>
            <w:tcBorders>
              <w:top w:val="nil"/>
              <w:left w:val="nil"/>
              <w:bottom w:val="nil"/>
              <w:right w:val="single" w:color="auto" w:sz="4" w:space="0"/>
            </w:tcBorders>
            <w:shd w:val="clear" w:color="auto" w:fill="auto"/>
            <w:vAlign w:val="center"/>
          </w:tcPr>
          <w:p w14:paraId="35C3A263">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从业人员(X)</w:t>
            </w:r>
          </w:p>
        </w:tc>
        <w:tc>
          <w:tcPr>
            <w:tcW w:w="373" w:type="pct"/>
            <w:tcBorders>
              <w:top w:val="nil"/>
              <w:left w:val="nil"/>
              <w:bottom w:val="nil"/>
              <w:right w:val="single" w:color="auto" w:sz="4" w:space="0"/>
            </w:tcBorders>
            <w:shd w:val="clear" w:color="auto" w:fill="auto"/>
            <w:vAlign w:val="center"/>
          </w:tcPr>
          <w:p w14:paraId="2E2F64DE">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人</w:t>
            </w:r>
          </w:p>
        </w:tc>
        <w:tc>
          <w:tcPr>
            <w:tcW w:w="596" w:type="pct"/>
            <w:tcBorders>
              <w:top w:val="nil"/>
              <w:left w:val="nil"/>
              <w:bottom w:val="nil"/>
              <w:right w:val="single" w:color="auto" w:sz="4" w:space="0"/>
            </w:tcBorders>
            <w:shd w:val="clear" w:color="auto" w:fill="auto"/>
            <w:vAlign w:val="center"/>
          </w:tcPr>
          <w:p w14:paraId="7ADC0BFF">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X≥1000</w:t>
            </w:r>
          </w:p>
        </w:tc>
        <w:tc>
          <w:tcPr>
            <w:tcW w:w="901" w:type="pct"/>
            <w:tcBorders>
              <w:top w:val="nil"/>
              <w:left w:val="nil"/>
              <w:bottom w:val="nil"/>
              <w:right w:val="single" w:color="auto" w:sz="4" w:space="0"/>
            </w:tcBorders>
            <w:shd w:val="clear" w:color="auto" w:fill="auto"/>
            <w:vAlign w:val="center"/>
          </w:tcPr>
          <w:p w14:paraId="52D20569">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300≤X＜1000</w:t>
            </w:r>
          </w:p>
        </w:tc>
        <w:tc>
          <w:tcPr>
            <w:tcW w:w="756" w:type="pct"/>
            <w:tcBorders>
              <w:top w:val="nil"/>
              <w:left w:val="nil"/>
              <w:bottom w:val="nil"/>
              <w:right w:val="single" w:color="auto" w:sz="4" w:space="0"/>
            </w:tcBorders>
            <w:shd w:val="clear" w:color="auto" w:fill="auto"/>
            <w:vAlign w:val="center"/>
          </w:tcPr>
          <w:p w14:paraId="6C341320">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20≤X＜300</w:t>
            </w:r>
          </w:p>
        </w:tc>
        <w:tc>
          <w:tcPr>
            <w:tcW w:w="524" w:type="pct"/>
            <w:tcBorders>
              <w:top w:val="nil"/>
              <w:left w:val="nil"/>
              <w:bottom w:val="nil"/>
              <w:right w:val="nil"/>
            </w:tcBorders>
            <w:shd w:val="clear" w:color="auto" w:fill="auto"/>
            <w:vAlign w:val="center"/>
          </w:tcPr>
          <w:p w14:paraId="0462CE62">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X＜20</w:t>
            </w:r>
          </w:p>
        </w:tc>
      </w:tr>
      <w:tr w14:paraId="3D51708A">
        <w:tblPrEx>
          <w:tblCellMar>
            <w:top w:w="0" w:type="dxa"/>
            <w:left w:w="108" w:type="dxa"/>
            <w:bottom w:w="0" w:type="dxa"/>
            <w:right w:w="108" w:type="dxa"/>
          </w:tblCellMar>
        </w:tblPrEx>
        <w:trPr>
          <w:trHeight w:val="529" w:hRule="exact"/>
          <w:jc w:val="center"/>
        </w:trPr>
        <w:tc>
          <w:tcPr>
            <w:tcW w:w="1121" w:type="pct"/>
            <w:vMerge w:val="continue"/>
            <w:tcBorders>
              <w:top w:val="nil"/>
              <w:left w:val="nil"/>
              <w:bottom w:val="single" w:color="auto" w:sz="4" w:space="0"/>
              <w:right w:val="single" w:color="auto" w:sz="4" w:space="0"/>
            </w:tcBorders>
            <w:vAlign w:val="center"/>
          </w:tcPr>
          <w:p w14:paraId="2225C670">
            <w:pPr>
              <w:keepNext w:val="0"/>
              <w:keepLines w:val="0"/>
              <w:suppressLineNumbers w:val="0"/>
              <w:spacing w:before="0" w:beforeAutospacing="0" w:after="0" w:afterAutospacing="0"/>
              <w:ind w:left="0" w:right="0"/>
              <w:rPr>
                <w:rFonts w:hint="eastAsia" w:ascii="宋体" w:hAnsi="宋体" w:eastAsia="宋体" w:cs="宋体"/>
                <w:color w:val="000000"/>
                <w:sz w:val="21"/>
                <w:szCs w:val="21"/>
              </w:rPr>
            </w:pPr>
          </w:p>
        </w:tc>
        <w:tc>
          <w:tcPr>
            <w:tcW w:w="725" w:type="pct"/>
            <w:tcBorders>
              <w:top w:val="nil"/>
              <w:left w:val="nil"/>
              <w:bottom w:val="single" w:color="auto" w:sz="4" w:space="0"/>
              <w:right w:val="single" w:color="auto" w:sz="4" w:space="0"/>
            </w:tcBorders>
            <w:shd w:val="clear" w:color="auto" w:fill="auto"/>
            <w:vAlign w:val="center"/>
          </w:tcPr>
          <w:p w14:paraId="73F00572">
            <w:pPr>
              <w:keepNext w:val="0"/>
              <w:keepLines w:val="0"/>
              <w:suppressLineNumbers w:val="0"/>
              <w:spacing w:before="0" w:beforeAutospacing="0" w:after="0" w:afterAutospacing="0" w:line="240" w:lineRule="exact"/>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营业收入(Y)</w:t>
            </w:r>
          </w:p>
        </w:tc>
        <w:tc>
          <w:tcPr>
            <w:tcW w:w="373" w:type="pct"/>
            <w:tcBorders>
              <w:top w:val="nil"/>
              <w:left w:val="nil"/>
              <w:bottom w:val="single" w:color="auto" w:sz="4" w:space="0"/>
              <w:right w:val="single" w:color="auto" w:sz="4" w:space="0"/>
            </w:tcBorders>
            <w:shd w:val="clear" w:color="auto" w:fill="auto"/>
            <w:vAlign w:val="center"/>
          </w:tcPr>
          <w:p w14:paraId="17EEF3E8">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万元</w:t>
            </w:r>
          </w:p>
        </w:tc>
        <w:tc>
          <w:tcPr>
            <w:tcW w:w="596" w:type="pct"/>
            <w:tcBorders>
              <w:top w:val="nil"/>
              <w:left w:val="nil"/>
              <w:bottom w:val="single" w:color="auto" w:sz="4" w:space="0"/>
              <w:right w:val="single" w:color="auto" w:sz="4" w:space="0"/>
            </w:tcBorders>
            <w:shd w:val="clear" w:color="auto" w:fill="auto"/>
            <w:vAlign w:val="center"/>
          </w:tcPr>
          <w:p w14:paraId="5634F7F1">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Y≥40000</w:t>
            </w:r>
          </w:p>
        </w:tc>
        <w:tc>
          <w:tcPr>
            <w:tcW w:w="901" w:type="pct"/>
            <w:tcBorders>
              <w:top w:val="nil"/>
              <w:left w:val="nil"/>
              <w:bottom w:val="single" w:color="auto" w:sz="4" w:space="0"/>
              <w:right w:val="single" w:color="auto" w:sz="4" w:space="0"/>
            </w:tcBorders>
            <w:shd w:val="clear" w:color="auto" w:fill="auto"/>
            <w:vAlign w:val="center"/>
          </w:tcPr>
          <w:p w14:paraId="72A1DCB8">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2000≤Y＜40000</w:t>
            </w:r>
          </w:p>
        </w:tc>
        <w:tc>
          <w:tcPr>
            <w:tcW w:w="756" w:type="pct"/>
            <w:tcBorders>
              <w:top w:val="nil"/>
              <w:left w:val="nil"/>
              <w:bottom w:val="single" w:color="auto" w:sz="4" w:space="0"/>
              <w:right w:val="single" w:color="auto" w:sz="4" w:space="0"/>
            </w:tcBorders>
            <w:shd w:val="clear" w:color="auto" w:fill="auto"/>
            <w:vAlign w:val="center"/>
          </w:tcPr>
          <w:p w14:paraId="31E39DA1">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300≤Y＜2000</w:t>
            </w:r>
          </w:p>
        </w:tc>
        <w:tc>
          <w:tcPr>
            <w:tcW w:w="524" w:type="pct"/>
            <w:tcBorders>
              <w:top w:val="nil"/>
              <w:left w:val="nil"/>
              <w:bottom w:val="single" w:color="auto" w:sz="4" w:space="0"/>
              <w:right w:val="nil"/>
            </w:tcBorders>
            <w:shd w:val="clear" w:color="auto" w:fill="auto"/>
            <w:vAlign w:val="center"/>
          </w:tcPr>
          <w:p w14:paraId="2654F2C9">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Y＜300</w:t>
            </w:r>
          </w:p>
        </w:tc>
      </w:tr>
      <w:tr w14:paraId="620FC4F5">
        <w:tblPrEx>
          <w:tblCellMar>
            <w:top w:w="0" w:type="dxa"/>
            <w:left w:w="108" w:type="dxa"/>
            <w:bottom w:w="0" w:type="dxa"/>
            <w:right w:w="108" w:type="dxa"/>
          </w:tblCellMar>
        </w:tblPrEx>
        <w:trPr>
          <w:trHeight w:val="479" w:hRule="exact"/>
          <w:jc w:val="center"/>
        </w:trPr>
        <w:tc>
          <w:tcPr>
            <w:tcW w:w="1121" w:type="pct"/>
            <w:vMerge w:val="restart"/>
            <w:tcBorders>
              <w:top w:val="nil"/>
              <w:left w:val="nil"/>
              <w:bottom w:val="single" w:color="auto" w:sz="4" w:space="0"/>
              <w:right w:val="single" w:color="auto" w:sz="4" w:space="0"/>
            </w:tcBorders>
            <w:shd w:val="clear" w:color="auto" w:fill="auto"/>
            <w:vAlign w:val="center"/>
          </w:tcPr>
          <w:p w14:paraId="5A40ACF3">
            <w:pPr>
              <w:keepNext w:val="0"/>
              <w:keepLines w:val="0"/>
              <w:suppressLineNumbers w:val="0"/>
              <w:spacing w:before="0" w:beforeAutospacing="0" w:after="0" w:afterAutospacing="0" w:line="240" w:lineRule="exact"/>
              <w:ind w:left="0" w:right="0"/>
              <w:rPr>
                <w:rFonts w:hint="eastAsia" w:ascii="宋体" w:hAnsi="宋体" w:eastAsia="宋体" w:cs="宋体"/>
                <w:color w:val="000000"/>
                <w:sz w:val="21"/>
                <w:szCs w:val="21"/>
              </w:rPr>
            </w:pPr>
            <w:r>
              <w:rPr>
                <w:rFonts w:hint="eastAsia" w:ascii="宋体" w:hAnsi="宋体" w:eastAsia="宋体" w:cs="宋体"/>
                <w:color w:val="000000"/>
                <w:sz w:val="21"/>
                <w:szCs w:val="21"/>
              </w:rPr>
              <w:t>建筑业</w:t>
            </w:r>
          </w:p>
        </w:tc>
        <w:tc>
          <w:tcPr>
            <w:tcW w:w="725" w:type="pct"/>
            <w:tcBorders>
              <w:top w:val="nil"/>
              <w:left w:val="nil"/>
              <w:bottom w:val="nil"/>
              <w:right w:val="single" w:color="auto" w:sz="4" w:space="0"/>
            </w:tcBorders>
            <w:shd w:val="clear" w:color="auto" w:fill="auto"/>
            <w:vAlign w:val="center"/>
          </w:tcPr>
          <w:p w14:paraId="22C2432A">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营业收入(Y)</w:t>
            </w:r>
          </w:p>
        </w:tc>
        <w:tc>
          <w:tcPr>
            <w:tcW w:w="373" w:type="pct"/>
            <w:tcBorders>
              <w:top w:val="nil"/>
              <w:left w:val="nil"/>
              <w:bottom w:val="nil"/>
              <w:right w:val="single" w:color="auto" w:sz="4" w:space="0"/>
            </w:tcBorders>
            <w:shd w:val="clear" w:color="auto" w:fill="auto"/>
            <w:vAlign w:val="center"/>
          </w:tcPr>
          <w:p w14:paraId="36388E88">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万元</w:t>
            </w:r>
          </w:p>
        </w:tc>
        <w:tc>
          <w:tcPr>
            <w:tcW w:w="596" w:type="pct"/>
            <w:tcBorders>
              <w:top w:val="nil"/>
              <w:left w:val="nil"/>
              <w:bottom w:val="nil"/>
              <w:right w:val="single" w:color="auto" w:sz="4" w:space="0"/>
            </w:tcBorders>
            <w:shd w:val="clear" w:color="auto" w:fill="auto"/>
            <w:vAlign w:val="center"/>
          </w:tcPr>
          <w:p w14:paraId="41EBCFBB">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Y≥80000</w:t>
            </w:r>
          </w:p>
        </w:tc>
        <w:tc>
          <w:tcPr>
            <w:tcW w:w="901" w:type="pct"/>
            <w:tcBorders>
              <w:top w:val="nil"/>
              <w:left w:val="nil"/>
              <w:bottom w:val="nil"/>
              <w:right w:val="single" w:color="auto" w:sz="4" w:space="0"/>
            </w:tcBorders>
            <w:shd w:val="clear" w:color="auto" w:fill="auto"/>
            <w:vAlign w:val="center"/>
          </w:tcPr>
          <w:p w14:paraId="3013AC38">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6000≤Y＜80000</w:t>
            </w:r>
          </w:p>
        </w:tc>
        <w:tc>
          <w:tcPr>
            <w:tcW w:w="756" w:type="pct"/>
            <w:tcBorders>
              <w:top w:val="nil"/>
              <w:left w:val="nil"/>
              <w:bottom w:val="nil"/>
              <w:right w:val="single" w:color="auto" w:sz="4" w:space="0"/>
            </w:tcBorders>
            <w:shd w:val="clear" w:color="auto" w:fill="auto"/>
            <w:vAlign w:val="center"/>
          </w:tcPr>
          <w:p w14:paraId="293566D6">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300≤Y＜6000</w:t>
            </w:r>
          </w:p>
        </w:tc>
        <w:tc>
          <w:tcPr>
            <w:tcW w:w="524" w:type="pct"/>
            <w:tcBorders>
              <w:top w:val="nil"/>
              <w:left w:val="nil"/>
              <w:bottom w:val="nil"/>
              <w:right w:val="nil"/>
            </w:tcBorders>
            <w:shd w:val="clear" w:color="auto" w:fill="auto"/>
            <w:vAlign w:val="center"/>
          </w:tcPr>
          <w:p w14:paraId="0FD6207F">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Y＜300</w:t>
            </w:r>
          </w:p>
        </w:tc>
      </w:tr>
      <w:tr w14:paraId="26DD693E">
        <w:tblPrEx>
          <w:tblCellMar>
            <w:top w:w="0" w:type="dxa"/>
            <w:left w:w="108" w:type="dxa"/>
            <w:bottom w:w="0" w:type="dxa"/>
            <w:right w:w="108" w:type="dxa"/>
          </w:tblCellMar>
        </w:tblPrEx>
        <w:trPr>
          <w:trHeight w:val="499" w:hRule="exact"/>
          <w:jc w:val="center"/>
        </w:trPr>
        <w:tc>
          <w:tcPr>
            <w:tcW w:w="1121" w:type="pct"/>
            <w:vMerge w:val="continue"/>
            <w:tcBorders>
              <w:top w:val="nil"/>
              <w:left w:val="nil"/>
              <w:bottom w:val="single" w:color="auto" w:sz="4" w:space="0"/>
              <w:right w:val="single" w:color="auto" w:sz="4" w:space="0"/>
            </w:tcBorders>
            <w:vAlign w:val="center"/>
          </w:tcPr>
          <w:p w14:paraId="0A93CBF2">
            <w:pPr>
              <w:keepNext w:val="0"/>
              <w:keepLines w:val="0"/>
              <w:suppressLineNumbers w:val="0"/>
              <w:spacing w:before="0" w:beforeAutospacing="0" w:after="0" w:afterAutospacing="0"/>
              <w:ind w:left="0" w:right="0"/>
              <w:rPr>
                <w:rFonts w:hint="eastAsia" w:ascii="宋体" w:hAnsi="宋体" w:eastAsia="宋体" w:cs="宋体"/>
                <w:color w:val="000000"/>
                <w:sz w:val="21"/>
                <w:szCs w:val="21"/>
              </w:rPr>
            </w:pPr>
          </w:p>
        </w:tc>
        <w:tc>
          <w:tcPr>
            <w:tcW w:w="725" w:type="pct"/>
            <w:tcBorders>
              <w:top w:val="nil"/>
              <w:left w:val="nil"/>
              <w:bottom w:val="single" w:color="auto" w:sz="4" w:space="0"/>
              <w:right w:val="single" w:color="auto" w:sz="4" w:space="0"/>
            </w:tcBorders>
            <w:shd w:val="clear" w:color="auto" w:fill="auto"/>
            <w:vAlign w:val="center"/>
          </w:tcPr>
          <w:p w14:paraId="6115F845">
            <w:pPr>
              <w:keepNext w:val="0"/>
              <w:keepLines w:val="0"/>
              <w:suppressLineNumbers w:val="0"/>
              <w:spacing w:before="0" w:beforeAutospacing="0" w:after="0" w:afterAutospacing="0" w:line="240" w:lineRule="exact"/>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资产总额(Z)</w:t>
            </w:r>
          </w:p>
        </w:tc>
        <w:tc>
          <w:tcPr>
            <w:tcW w:w="373" w:type="pct"/>
            <w:tcBorders>
              <w:top w:val="nil"/>
              <w:left w:val="nil"/>
              <w:bottom w:val="single" w:color="auto" w:sz="4" w:space="0"/>
              <w:right w:val="single" w:color="auto" w:sz="4" w:space="0"/>
            </w:tcBorders>
            <w:shd w:val="clear" w:color="auto" w:fill="auto"/>
            <w:vAlign w:val="center"/>
          </w:tcPr>
          <w:p w14:paraId="3186C9EA">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万元</w:t>
            </w:r>
          </w:p>
        </w:tc>
        <w:tc>
          <w:tcPr>
            <w:tcW w:w="596" w:type="pct"/>
            <w:tcBorders>
              <w:top w:val="nil"/>
              <w:left w:val="nil"/>
              <w:bottom w:val="single" w:color="auto" w:sz="4" w:space="0"/>
              <w:right w:val="single" w:color="auto" w:sz="4" w:space="0"/>
            </w:tcBorders>
            <w:shd w:val="clear" w:color="auto" w:fill="auto"/>
            <w:vAlign w:val="center"/>
          </w:tcPr>
          <w:p w14:paraId="3636EFCC">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Z≥80000</w:t>
            </w:r>
          </w:p>
        </w:tc>
        <w:tc>
          <w:tcPr>
            <w:tcW w:w="901" w:type="pct"/>
            <w:tcBorders>
              <w:top w:val="nil"/>
              <w:left w:val="nil"/>
              <w:bottom w:val="single" w:color="auto" w:sz="4" w:space="0"/>
              <w:right w:val="single" w:color="auto" w:sz="4" w:space="0"/>
            </w:tcBorders>
            <w:shd w:val="clear" w:color="auto" w:fill="auto"/>
            <w:vAlign w:val="center"/>
          </w:tcPr>
          <w:p w14:paraId="40159843">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5000≤Z＜80000</w:t>
            </w:r>
          </w:p>
        </w:tc>
        <w:tc>
          <w:tcPr>
            <w:tcW w:w="756" w:type="pct"/>
            <w:tcBorders>
              <w:top w:val="nil"/>
              <w:left w:val="nil"/>
              <w:bottom w:val="single" w:color="auto" w:sz="4" w:space="0"/>
              <w:right w:val="single" w:color="auto" w:sz="4" w:space="0"/>
            </w:tcBorders>
            <w:shd w:val="clear" w:color="auto" w:fill="auto"/>
            <w:vAlign w:val="center"/>
          </w:tcPr>
          <w:p w14:paraId="0CE7EB12">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300≤Z＜5000</w:t>
            </w:r>
          </w:p>
        </w:tc>
        <w:tc>
          <w:tcPr>
            <w:tcW w:w="524" w:type="pct"/>
            <w:tcBorders>
              <w:top w:val="nil"/>
              <w:left w:val="nil"/>
              <w:bottom w:val="single" w:color="auto" w:sz="4" w:space="0"/>
              <w:right w:val="nil"/>
            </w:tcBorders>
            <w:shd w:val="clear" w:color="auto" w:fill="auto"/>
            <w:vAlign w:val="center"/>
          </w:tcPr>
          <w:p w14:paraId="405E6DA8">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Z＜300</w:t>
            </w:r>
          </w:p>
        </w:tc>
      </w:tr>
      <w:tr w14:paraId="290EEEC2">
        <w:tblPrEx>
          <w:tblCellMar>
            <w:top w:w="0" w:type="dxa"/>
            <w:left w:w="108" w:type="dxa"/>
            <w:bottom w:w="0" w:type="dxa"/>
            <w:right w:w="108" w:type="dxa"/>
          </w:tblCellMar>
        </w:tblPrEx>
        <w:trPr>
          <w:trHeight w:val="409" w:hRule="exact"/>
          <w:jc w:val="center"/>
        </w:trPr>
        <w:tc>
          <w:tcPr>
            <w:tcW w:w="1121" w:type="pct"/>
            <w:vMerge w:val="restart"/>
            <w:tcBorders>
              <w:top w:val="nil"/>
              <w:left w:val="nil"/>
              <w:bottom w:val="single" w:color="auto" w:sz="4" w:space="0"/>
              <w:right w:val="single" w:color="auto" w:sz="4" w:space="0"/>
            </w:tcBorders>
            <w:shd w:val="clear" w:color="auto" w:fill="auto"/>
            <w:vAlign w:val="center"/>
          </w:tcPr>
          <w:p w14:paraId="0D85AEEC">
            <w:pPr>
              <w:keepNext w:val="0"/>
              <w:keepLines w:val="0"/>
              <w:suppressLineNumbers w:val="0"/>
              <w:spacing w:before="0" w:beforeAutospacing="0" w:after="0" w:afterAutospacing="0" w:line="240" w:lineRule="exact"/>
              <w:ind w:left="0" w:right="0"/>
              <w:rPr>
                <w:rFonts w:hint="eastAsia" w:ascii="宋体" w:hAnsi="宋体" w:eastAsia="宋体" w:cs="宋体"/>
                <w:color w:val="000000"/>
                <w:sz w:val="21"/>
                <w:szCs w:val="21"/>
              </w:rPr>
            </w:pPr>
            <w:r>
              <w:rPr>
                <w:rFonts w:hint="eastAsia" w:ascii="宋体" w:hAnsi="宋体" w:eastAsia="宋体" w:cs="宋体"/>
                <w:color w:val="000000"/>
                <w:sz w:val="21"/>
                <w:szCs w:val="21"/>
              </w:rPr>
              <w:t>批发业</w:t>
            </w:r>
          </w:p>
        </w:tc>
        <w:tc>
          <w:tcPr>
            <w:tcW w:w="725" w:type="pct"/>
            <w:tcBorders>
              <w:top w:val="nil"/>
              <w:left w:val="nil"/>
              <w:bottom w:val="nil"/>
              <w:right w:val="single" w:color="auto" w:sz="4" w:space="0"/>
            </w:tcBorders>
            <w:shd w:val="clear" w:color="auto" w:fill="auto"/>
            <w:vAlign w:val="center"/>
          </w:tcPr>
          <w:p w14:paraId="1E12E71F">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从业人员(X)</w:t>
            </w:r>
          </w:p>
        </w:tc>
        <w:tc>
          <w:tcPr>
            <w:tcW w:w="373" w:type="pct"/>
            <w:tcBorders>
              <w:top w:val="nil"/>
              <w:left w:val="nil"/>
              <w:bottom w:val="nil"/>
              <w:right w:val="single" w:color="auto" w:sz="4" w:space="0"/>
            </w:tcBorders>
            <w:shd w:val="clear" w:color="auto" w:fill="auto"/>
            <w:vAlign w:val="center"/>
          </w:tcPr>
          <w:p w14:paraId="6ECFAC31">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人</w:t>
            </w:r>
          </w:p>
        </w:tc>
        <w:tc>
          <w:tcPr>
            <w:tcW w:w="596" w:type="pct"/>
            <w:tcBorders>
              <w:top w:val="nil"/>
              <w:left w:val="nil"/>
              <w:bottom w:val="nil"/>
              <w:right w:val="single" w:color="auto" w:sz="4" w:space="0"/>
            </w:tcBorders>
            <w:shd w:val="clear" w:color="auto" w:fill="auto"/>
            <w:vAlign w:val="center"/>
          </w:tcPr>
          <w:p w14:paraId="037176DC">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X≥200</w:t>
            </w:r>
          </w:p>
        </w:tc>
        <w:tc>
          <w:tcPr>
            <w:tcW w:w="901" w:type="pct"/>
            <w:tcBorders>
              <w:top w:val="nil"/>
              <w:left w:val="nil"/>
              <w:bottom w:val="nil"/>
              <w:right w:val="single" w:color="auto" w:sz="4" w:space="0"/>
            </w:tcBorders>
            <w:shd w:val="clear" w:color="auto" w:fill="auto"/>
            <w:vAlign w:val="center"/>
          </w:tcPr>
          <w:p w14:paraId="42828F5C">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20≤X＜200</w:t>
            </w:r>
          </w:p>
        </w:tc>
        <w:tc>
          <w:tcPr>
            <w:tcW w:w="756" w:type="pct"/>
            <w:tcBorders>
              <w:top w:val="nil"/>
              <w:left w:val="nil"/>
              <w:bottom w:val="nil"/>
              <w:right w:val="single" w:color="auto" w:sz="4" w:space="0"/>
            </w:tcBorders>
            <w:shd w:val="clear" w:color="auto" w:fill="auto"/>
            <w:vAlign w:val="center"/>
          </w:tcPr>
          <w:p w14:paraId="7465D584">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5≤X＜20</w:t>
            </w:r>
          </w:p>
        </w:tc>
        <w:tc>
          <w:tcPr>
            <w:tcW w:w="524" w:type="pct"/>
            <w:tcBorders>
              <w:top w:val="nil"/>
              <w:left w:val="nil"/>
              <w:bottom w:val="nil"/>
              <w:right w:val="nil"/>
            </w:tcBorders>
            <w:shd w:val="clear" w:color="auto" w:fill="auto"/>
            <w:vAlign w:val="center"/>
          </w:tcPr>
          <w:p w14:paraId="1881E089">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X＜5</w:t>
            </w:r>
          </w:p>
        </w:tc>
      </w:tr>
      <w:tr w14:paraId="76A794D2">
        <w:tblPrEx>
          <w:tblCellMar>
            <w:top w:w="0" w:type="dxa"/>
            <w:left w:w="108" w:type="dxa"/>
            <w:bottom w:w="0" w:type="dxa"/>
            <w:right w:w="108" w:type="dxa"/>
          </w:tblCellMar>
        </w:tblPrEx>
        <w:trPr>
          <w:trHeight w:val="598" w:hRule="exact"/>
          <w:jc w:val="center"/>
        </w:trPr>
        <w:tc>
          <w:tcPr>
            <w:tcW w:w="1121" w:type="pct"/>
            <w:vMerge w:val="continue"/>
            <w:tcBorders>
              <w:top w:val="nil"/>
              <w:left w:val="nil"/>
              <w:bottom w:val="single" w:color="auto" w:sz="4" w:space="0"/>
              <w:right w:val="single" w:color="auto" w:sz="4" w:space="0"/>
            </w:tcBorders>
            <w:vAlign w:val="center"/>
          </w:tcPr>
          <w:p w14:paraId="6D57115B">
            <w:pPr>
              <w:keepNext w:val="0"/>
              <w:keepLines w:val="0"/>
              <w:suppressLineNumbers w:val="0"/>
              <w:spacing w:before="0" w:beforeAutospacing="0" w:after="0" w:afterAutospacing="0"/>
              <w:ind w:left="0" w:right="0"/>
              <w:rPr>
                <w:rFonts w:hint="eastAsia" w:ascii="宋体" w:hAnsi="宋体" w:eastAsia="宋体" w:cs="宋体"/>
                <w:color w:val="000000"/>
                <w:sz w:val="21"/>
                <w:szCs w:val="21"/>
              </w:rPr>
            </w:pPr>
          </w:p>
        </w:tc>
        <w:tc>
          <w:tcPr>
            <w:tcW w:w="725" w:type="pct"/>
            <w:tcBorders>
              <w:top w:val="nil"/>
              <w:left w:val="nil"/>
              <w:bottom w:val="single" w:color="auto" w:sz="4" w:space="0"/>
              <w:right w:val="single" w:color="auto" w:sz="4" w:space="0"/>
            </w:tcBorders>
            <w:shd w:val="clear" w:color="auto" w:fill="auto"/>
            <w:vAlign w:val="center"/>
          </w:tcPr>
          <w:p w14:paraId="2AAFF7C7">
            <w:pPr>
              <w:keepNext w:val="0"/>
              <w:keepLines w:val="0"/>
              <w:suppressLineNumbers w:val="0"/>
              <w:spacing w:before="0" w:beforeAutospacing="0" w:after="0" w:afterAutospacing="0" w:line="240" w:lineRule="exact"/>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营业收入(Y)</w:t>
            </w:r>
          </w:p>
        </w:tc>
        <w:tc>
          <w:tcPr>
            <w:tcW w:w="373" w:type="pct"/>
            <w:tcBorders>
              <w:top w:val="nil"/>
              <w:left w:val="nil"/>
              <w:bottom w:val="single" w:color="auto" w:sz="4" w:space="0"/>
              <w:right w:val="single" w:color="auto" w:sz="4" w:space="0"/>
            </w:tcBorders>
            <w:shd w:val="clear" w:color="auto" w:fill="auto"/>
            <w:vAlign w:val="center"/>
          </w:tcPr>
          <w:p w14:paraId="78323389">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万元</w:t>
            </w:r>
          </w:p>
        </w:tc>
        <w:tc>
          <w:tcPr>
            <w:tcW w:w="596" w:type="pct"/>
            <w:tcBorders>
              <w:top w:val="nil"/>
              <w:left w:val="nil"/>
              <w:bottom w:val="single" w:color="auto" w:sz="4" w:space="0"/>
              <w:right w:val="single" w:color="auto" w:sz="4" w:space="0"/>
            </w:tcBorders>
            <w:shd w:val="clear" w:color="auto" w:fill="auto"/>
            <w:vAlign w:val="center"/>
          </w:tcPr>
          <w:p w14:paraId="5D177DE6">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Y≥40000</w:t>
            </w:r>
          </w:p>
        </w:tc>
        <w:tc>
          <w:tcPr>
            <w:tcW w:w="901" w:type="pct"/>
            <w:tcBorders>
              <w:top w:val="nil"/>
              <w:left w:val="nil"/>
              <w:bottom w:val="single" w:color="auto" w:sz="4" w:space="0"/>
              <w:right w:val="single" w:color="auto" w:sz="4" w:space="0"/>
            </w:tcBorders>
            <w:shd w:val="clear" w:color="auto" w:fill="auto"/>
            <w:vAlign w:val="center"/>
          </w:tcPr>
          <w:p w14:paraId="62206B42">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5000≤Y＜40000</w:t>
            </w:r>
          </w:p>
        </w:tc>
        <w:tc>
          <w:tcPr>
            <w:tcW w:w="756" w:type="pct"/>
            <w:tcBorders>
              <w:top w:val="nil"/>
              <w:left w:val="nil"/>
              <w:bottom w:val="single" w:color="auto" w:sz="4" w:space="0"/>
              <w:right w:val="single" w:color="auto" w:sz="4" w:space="0"/>
            </w:tcBorders>
            <w:shd w:val="clear" w:color="auto" w:fill="auto"/>
            <w:vAlign w:val="center"/>
          </w:tcPr>
          <w:p w14:paraId="742BD7B1">
            <w:pPr>
              <w:keepNext w:val="0"/>
              <w:keepLines w:val="0"/>
              <w:suppressLineNumbers w:val="0"/>
              <w:spacing w:before="0" w:beforeAutospacing="0" w:after="0" w:afterAutospacing="0"/>
              <w:ind w:left="-1" w:leftChars="-1" w:right="0" w:hanging="1"/>
              <w:jc w:val="center"/>
              <w:rPr>
                <w:rFonts w:hint="eastAsia" w:ascii="宋体" w:hAnsi="宋体" w:eastAsia="宋体" w:cs="宋体"/>
                <w:color w:val="000000"/>
                <w:sz w:val="21"/>
                <w:szCs w:val="21"/>
              </w:rPr>
            </w:pPr>
            <w:r>
              <w:rPr>
                <w:rFonts w:hint="eastAsia" w:ascii="宋体" w:hAnsi="宋体" w:eastAsia="宋体" w:cs="宋体"/>
                <w:color w:val="000000"/>
                <w:sz w:val="21"/>
                <w:szCs w:val="21"/>
              </w:rPr>
              <w:t>1000≤Y＜5000</w:t>
            </w:r>
          </w:p>
        </w:tc>
        <w:tc>
          <w:tcPr>
            <w:tcW w:w="524" w:type="pct"/>
            <w:tcBorders>
              <w:top w:val="nil"/>
              <w:left w:val="nil"/>
              <w:bottom w:val="single" w:color="auto" w:sz="4" w:space="0"/>
              <w:right w:val="nil"/>
            </w:tcBorders>
            <w:shd w:val="clear" w:color="auto" w:fill="auto"/>
            <w:vAlign w:val="center"/>
          </w:tcPr>
          <w:p w14:paraId="745B092A">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Y＜1000</w:t>
            </w:r>
          </w:p>
        </w:tc>
      </w:tr>
      <w:tr w14:paraId="33337038">
        <w:tblPrEx>
          <w:tblCellMar>
            <w:top w:w="0" w:type="dxa"/>
            <w:left w:w="108" w:type="dxa"/>
            <w:bottom w:w="0" w:type="dxa"/>
            <w:right w:w="108" w:type="dxa"/>
          </w:tblCellMar>
        </w:tblPrEx>
        <w:trPr>
          <w:trHeight w:val="409" w:hRule="exact"/>
          <w:jc w:val="center"/>
        </w:trPr>
        <w:tc>
          <w:tcPr>
            <w:tcW w:w="1121" w:type="pct"/>
            <w:vMerge w:val="restart"/>
            <w:tcBorders>
              <w:top w:val="nil"/>
              <w:left w:val="nil"/>
              <w:bottom w:val="single" w:color="auto" w:sz="4" w:space="0"/>
              <w:right w:val="single" w:color="auto" w:sz="4" w:space="0"/>
            </w:tcBorders>
            <w:shd w:val="clear" w:color="auto" w:fill="auto"/>
            <w:vAlign w:val="center"/>
          </w:tcPr>
          <w:p w14:paraId="4AC9CBDF">
            <w:pPr>
              <w:keepNext w:val="0"/>
              <w:keepLines w:val="0"/>
              <w:suppressLineNumbers w:val="0"/>
              <w:spacing w:before="0" w:beforeAutospacing="0" w:after="0" w:afterAutospacing="0" w:line="240" w:lineRule="exact"/>
              <w:ind w:left="0" w:right="0"/>
              <w:rPr>
                <w:rFonts w:hint="eastAsia" w:ascii="宋体" w:hAnsi="宋体" w:eastAsia="宋体" w:cs="宋体"/>
                <w:color w:val="000000"/>
                <w:sz w:val="21"/>
                <w:szCs w:val="21"/>
              </w:rPr>
            </w:pPr>
            <w:r>
              <w:rPr>
                <w:rFonts w:hint="eastAsia" w:ascii="宋体" w:hAnsi="宋体" w:eastAsia="宋体" w:cs="宋体"/>
                <w:color w:val="000000"/>
                <w:sz w:val="21"/>
                <w:szCs w:val="21"/>
              </w:rPr>
              <w:t>零售业</w:t>
            </w:r>
          </w:p>
        </w:tc>
        <w:tc>
          <w:tcPr>
            <w:tcW w:w="725" w:type="pct"/>
            <w:tcBorders>
              <w:top w:val="nil"/>
              <w:left w:val="nil"/>
              <w:bottom w:val="nil"/>
              <w:right w:val="single" w:color="auto" w:sz="4" w:space="0"/>
            </w:tcBorders>
            <w:shd w:val="clear" w:color="auto" w:fill="auto"/>
            <w:vAlign w:val="center"/>
          </w:tcPr>
          <w:p w14:paraId="3B913805">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从业人员(X)</w:t>
            </w:r>
          </w:p>
        </w:tc>
        <w:tc>
          <w:tcPr>
            <w:tcW w:w="373" w:type="pct"/>
            <w:tcBorders>
              <w:top w:val="nil"/>
              <w:left w:val="nil"/>
              <w:bottom w:val="nil"/>
              <w:right w:val="single" w:color="auto" w:sz="4" w:space="0"/>
            </w:tcBorders>
            <w:shd w:val="clear" w:color="auto" w:fill="auto"/>
            <w:vAlign w:val="center"/>
          </w:tcPr>
          <w:p w14:paraId="43362D40">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人</w:t>
            </w:r>
          </w:p>
        </w:tc>
        <w:tc>
          <w:tcPr>
            <w:tcW w:w="596" w:type="pct"/>
            <w:tcBorders>
              <w:top w:val="nil"/>
              <w:left w:val="nil"/>
              <w:bottom w:val="nil"/>
              <w:right w:val="single" w:color="auto" w:sz="4" w:space="0"/>
            </w:tcBorders>
            <w:shd w:val="clear" w:color="auto" w:fill="auto"/>
            <w:vAlign w:val="center"/>
          </w:tcPr>
          <w:p w14:paraId="02C8F6F7">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X≥300</w:t>
            </w:r>
          </w:p>
        </w:tc>
        <w:tc>
          <w:tcPr>
            <w:tcW w:w="901" w:type="pct"/>
            <w:tcBorders>
              <w:top w:val="nil"/>
              <w:left w:val="nil"/>
              <w:bottom w:val="nil"/>
              <w:right w:val="single" w:color="auto" w:sz="4" w:space="0"/>
            </w:tcBorders>
            <w:shd w:val="clear" w:color="auto" w:fill="auto"/>
            <w:vAlign w:val="center"/>
          </w:tcPr>
          <w:p w14:paraId="7B6599CC">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50≤X＜300</w:t>
            </w:r>
          </w:p>
        </w:tc>
        <w:tc>
          <w:tcPr>
            <w:tcW w:w="756" w:type="pct"/>
            <w:tcBorders>
              <w:top w:val="nil"/>
              <w:left w:val="nil"/>
              <w:bottom w:val="nil"/>
              <w:right w:val="single" w:color="auto" w:sz="4" w:space="0"/>
            </w:tcBorders>
            <w:shd w:val="clear" w:color="auto" w:fill="auto"/>
            <w:vAlign w:val="center"/>
          </w:tcPr>
          <w:p w14:paraId="1BF265D8">
            <w:pPr>
              <w:keepNext w:val="0"/>
              <w:keepLines w:val="0"/>
              <w:suppressLineNumbers w:val="0"/>
              <w:spacing w:before="0" w:beforeAutospacing="0" w:after="0" w:afterAutospacing="0"/>
              <w:ind w:left="-1" w:leftChars="-1" w:right="0" w:hanging="1"/>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10≤X＜50 </w:t>
            </w:r>
          </w:p>
        </w:tc>
        <w:tc>
          <w:tcPr>
            <w:tcW w:w="524" w:type="pct"/>
            <w:tcBorders>
              <w:top w:val="nil"/>
              <w:left w:val="nil"/>
              <w:bottom w:val="nil"/>
              <w:right w:val="nil"/>
            </w:tcBorders>
            <w:shd w:val="clear" w:color="auto" w:fill="auto"/>
            <w:vAlign w:val="center"/>
          </w:tcPr>
          <w:p w14:paraId="5520E240">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X＜10</w:t>
            </w:r>
          </w:p>
        </w:tc>
      </w:tr>
      <w:tr w14:paraId="4511B9C1">
        <w:tblPrEx>
          <w:tblCellMar>
            <w:top w:w="0" w:type="dxa"/>
            <w:left w:w="108" w:type="dxa"/>
            <w:bottom w:w="0" w:type="dxa"/>
            <w:right w:w="108" w:type="dxa"/>
          </w:tblCellMar>
        </w:tblPrEx>
        <w:trPr>
          <w:trHeight w:val="409" w:hRule="exact"/>
          <w:jc w:val="center"/>
        </w:trPr>
        <w:tc>
          <w:tcPr>
            <w:tcW w:w="1121" w:type="pct"/>
            <w:vMerge w:val="continue"/>
            <w:tcBorders>
              <w:top w:val="nil"/>
              <w:left w:val="nil"/>
              <w:bottom w:val="single" w:color="auto" w:sz="4" w:space="0"/>
              <w:right w:val="single" w:color="auto" w:sz="4" w:space="0"/>
            </w:tcBorders>
            <w:vAlign w:val="center"/>
          </w:tcPr>
          <w:p w14:paraId="060058A5">
            <w:pPr>
              <w:keepNext w:val="0"/>
              <w:keepLines w:val="0"/>
              <w:suppressLineNumbers w:val="0"/>
              <w:spacing w:before="0" w:beforeAutospacing="0" w:after="0" w:afterAutospacing="0"/>
              <w:ind w:left="0" w:right="0"/>
              <w:rPr>
                <w:rFonts w:hint="eastAsia" w:ascii="宋体" w:hAnsi="宋体" w:eastAsia="宋体" w:cs="宋体"/>
                <w:color w:val="000000"/>
                <w:sz w:val="21"/>
                <w:szCs w:val="21"/>
              </w:rPr>
            </w:pPr>
          </w:p>
        </w:tc>
        <w:tc>
          <w:tcPr>
            <w:tcW w:w="725" w:type="pct"/>
            <w:tcBorders>
              <w:top w:val="nil"/>
              <w:left w:val="nil"/>
              <w:bottom w:val="single" w:color="auto" w:sz="4" w:space="0"/>
              <w:right w:val="single" w:color="auto" w:sz="4" w:space="0"/>
            </w:tcBorders>
            <w:shd w:val="clear" w:color="auto" w:fill="auto"/>
            <w:vAlign w:val="center"/>
          </w:tcPr>
          <w:p w14:paraId="2C10FEEE">
            <w:pPr>
              <w:keepNext w:val="0"/>
              <w:keepLines w:val="0"/>
              <w:suppressLineNumbers w:val="0"/>
              <w:spacing w:before="0" w:beforeAutospacing="0" w:after="0" w:afterAutospacing="0" w:line="240" w:lineRule="exact"/>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营业收入(Y)</w:t>
            </w:r>
          </w:p>
        </w:tc>
        <w:tc>
          <w:tcPr>
            <w:tcW w:w="373" w:type="pct"/>
            <w:tcBorders>
              <w:top w:val="nil"/>
              <w:left w:val="nil"/>
              <w:bottom w:val="single" w:color="auto" w:sz="4" w:space="0"/>
              <w:right w:val="single" w:color="auto" w:sz="4" w:space="0"/>
            </w:tcBorders>
            <w:shd w:val="clear" w:color="auto" w:fill="auto"/>
            <w:vAlign w:val="center"/>
          </w:tcPr>
          <w:p w14:paraId="2ABA93A7">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万元</w:t>
            </w:r>
          </w:p>
        </w:tc>
        <w:tc>
          <w:tcPr>
            <w:tcW w:w="596" w:type="pct"/>
            <w:tcBorders>
              <w:top w:val="nil"/>
              <w:left w:val="nil"/>
              <w:bottom w:val="single" w:color="auto" w:sz="4" w:space="0"/>
              <w:right w:val="single" w:color="auto" w:sz="4" w:space="0"/>
            </w:tcBorders>
            <w:shd w:val="clear" w:color="auto" w:fill="auto"/>
            <w:vAlign w:val="center"/>
          </w:tcPr>
          <w:p w14:paraId="32386385">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Y≥20000</w:t>
            </w:r>
          </w:p>
        </w:tc>
        <w:tc>
          <w:tcPr>
            <w:tcW w:w="901" w:type="pct"/>
            <w:tcBorders>
              <w:top w:val="nil"/>
              <w:left w:val="nil"/>
              <w:bottom w:val="single" w:color="auto" w:sz="4" w:space="0"/>
              <w:right w:val="single" w:color="auto" w:sz="4" w:space="0"/>
            </w:tcBorders>
            <w:shd w:val="clear" w:color="auto" w:fill="auto"/>
            <w:vAlign w:val="center"/>
          </w:tcPr>
          <w:p w14:paraId="1BB0E913">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500≤Y＜20000</w:t>
            </w:r>
          </w:p>
        </w:tc>
        <w:tc>
          <w:tcPr>
            <w:tcW w:w="756" w:type="pct"/>
            <w:tcBorders>
              <w:top w:val="nil"/>
              <w:left w:val="nil"/>
              <w:bottom w:val="single" w:color="auto" w:sz="4" w:space="0"/>
              <w:right w:val="single" w:color="auto" w:sz="4" w:space="0"/>
            </w:tcBorders>
            <w:shd w:val="clear" w:color="auto" w:fill="auto"/>
            <w:vAlign w:val="center"/>
          </w:tcPr>
          <w:p w14:paraId="313C9A45">
            <w:pPr>
              <w:keepNext w:val="0"/>
              <w:keepLines w:val="0"/>
              <w:suppressLineNumbers w:val="0"/>
              <w:spacing w:before="0" w:beforeAutospacing="0" w:after="0" w:afterAutospacing="0"/>
              <w:ind w:left="-1" w:leftChars="-1" w:right="0" w:hanging="1"/>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100≤Y＜500 </w:t>
            </w:r>
          </w:p>
        </w:tc>
        <w:tc>
          <w:tcPr>
            <w:tcW w:w="524" w:type="pct"/>
            <w:tcBorders>
              <w:top w:val="nil"/>
              <w:left w:val="nil"/>
              <w:bottom w:val="single" w:color="auto" w:sz="4" w:space="0"/>
              <w:right w:val="nil"/>
            </w:tcBorders>
            <w:shd w:val="clear" w:color="auto" w:fill="auto"/>
            <w:vAlign w:val="center"/>
          </w:tcPr>
          <w:p w14:paraId="37400ECE">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Y＜100</w:t>
            </w:r>
          </w:p>
        </w:tc>
      </w:tr>
      <w:tr w14:paraId="6F159EC1">
        <w:tblPrEx>
          <w:tblCellMar>
            <w:top w:w="0" w:type="dxa"/>
            <w:left w:w="108" w:type="dxa"/>
            <w:bottom w:w="0" w:type="dxa"/>
            <w:right w:w="108" w:type="dxa"/>
          </w:tblCellMar>
        </w:tblPrEx>
        <w:trPr>
          <w:trHeight w:val="409" w:hRule="exact"/>
          <w:jc w:val="center"/>
        </w:trPr>
        <w:tc>
          <w:tcPr>
            <w:tcW w:w="1121" w:type="pct"/>
            <w:vMerge w:val="restart"/>
            <w:tcBorders>
              <w:top w:val="nil"/>
              <w:left w:val="nil"/>
              <w:bottom w:val="single" w:color="auto" w:sz="4" w:space="0"/>
              <w:right w:val="single" w:color="auto" w:sz="4" w:space="0"/>
            </w:tcBorders>
            <w:shd w:val="clear" w:color="auto" w:fill="auto"/>
            <w:vAlign w:val="center"/>
          </w:tcPr>
          <w:p w14:paraId="70E4F0C8">
            <w:pPr>
              <w:keepNext w:val="0"/>
              <w:keepLines w:val="0"/>
              <w:suppressLineNumbers w:val="0"/>
              <w:spacing w:before="0" w:beforeAutospacing="0" w:after="0" w:afterAutospacing="0" w:line="240" w:lineRule="exact"/>
              <w:ind w:left="0" w:right="0"/>
              <w:rPr>
                <w:rFonts w:hint="eastAsia" w:ascii="宋体" w:hAnsi="宋体" w:eastAsia="宋体" w:cs="宋体"/>
                <w:color w:val="000000"/>
                <w:sz w:val="21"/>
                <w:szCs w:val="21"/>
              </w:rPr>
            </w:pPr>
            <w:r>
              <w:rPr>
                <w:rFonts w:hint="eastAsia" w:ascii="宋体" w:hAnsi="宋体" w:eastAsia="宋体" w:cs="宋体"/>
                <w:color w:val="000000"/>
                <w:sz w:val="21"/>
                <w:szCs w:val="21"/>
              </w:rPr>
              <w:t>交通运输业 *</w:t>
            </w:r>
          </w:p>
        </w:tc>
        <w:tc>
          <w:tcPr>
            <w:tcW w:w="725" w:type="pct"/>
            <w:tcBorders>
              <w:top w:val="nil"/>
              <w:left w:val="nil"/>
              <w:bottom w:val="nil"/>
              <w:right w:val="single" w:color="auto" w:sz="4" w:space="0"/>
            </w:tcBorders>
            <w:shd w:val="clear" w:color="auto" w:fill="auto"/>
            <w:vAlign w:val="center"/>
          </w:tcPr>
          <w:p w14:paraId="51F5DCC7">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从业人员(X)</w:t>
            </w:r>
          </w:p>
        </w:tc>
        <w:tc>
          <w:tcPr>
            <w:tcW w:w="373" w:type="pct"/>
            <w:tcBorders>
              <w:top w:val="nil"/>
              <w:left w:val="nil"/>
              <w:bottom w:val="nil"/>
              <w:right w:val="single" w:color="auto" w:sz="4" w:space="0"/>
            </w:tcBorders>
            <w:shd w:val="clear" w:color="auto" w:fill="auto"/>
            <w:vAlign w:val="center"/>
          </w:tcPr>
          <w:p w14:paraId="36A86115">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人</w:t>
            </w:r>
          </w:p>
        </w:tc>
        <w:tc>
          <w:tcPr>
            <w:tcW w:w="596" w:type="pct"/>
            <w:tcBorders>
              <w:top w:val="nil"/>
              <w:left w:val="nil"/>
              <w:bottom w:val="nil"/>
              <w:right w:val="single" w:color="auto" w:sz="4" w:space="0"/>
            </w:tcBorders>
            <w:shd w:val="clear" w:color="auto" w:fill="auto"/>
            <w:vAlign w:val="center"/>
          </w:tcPr>
          <w:p w14:paraId="4E3CFC02">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X≥1000</w:t>
            </w:r>
          </w:p>
        </w:tc>
        <w:tc>
          <w:tcPr>
            <w:tcW w:w="901" w:type="pct"/>
            <w:tcBorders>
              <w:top w:val="nil"/>
              <w:left w:val="nil"/>
              <w:bottom w:val="nil"/>
              <w:right w:val="single" w:color="auto" w:sz="4" w:space="0"/>
            </w:tcBorders>
            <w:shd w:val="clear" w:color="auto" w:fill="auto"/>
            <w:vAlign w:val="center"/>
          </w:tcPr>
          <w:p w14:paraId="14104858">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300≤X＜1000</w:t>
            </w:r>
          </w:p>
        </w:tc>
        <w:tc>
          <w:tcPr>
            <w:tcW w:w="756" w:type="pct"/>
            <w:tcBorders>
              <w:top w:val="nil"/>
              <w:left w:val="nil"/>
              <w:bottom w:val="nil"/>
              <w:right w:val="single" w:color="auto" w:sz="4" w:space="0"/>
            </w:tcBorders>
            <w:shd w:val="clear" w:color="auto" w:fill="auto"/>
            <w:vAlign w:val="center"/>
          </w:tcPr>
          <w:p w14:paraId="7B8D0C83">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20≤X＜300</w:t>
            </w:r>
          </w:p>
        </w:tc>
        <w:tc>
          <w:tcPr>
            <w:tcW w:w="524" w:type="pct"/>
            <w:tcBorders>
              <w:top w:val="nil"/>
              <w:left w:val="nil"/>
              <w:bottom w:val="nil"/>
              <w:right w:val="nil"/>
            </w:tcBorders>
            <w:shd w:val="clear" w:color="auto" w:fill="auto"/>
            <w:vAlign w:val="center"/>
          </w:tcPr>
          <w:p w14:paraId="2420F858">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X＜20</w:t>
            </w:r>
          </w:p>
        </w:tc>
      </w:tr>
      <w:tr w14:paraId="1791983B">
        <w:tblPrEx>
          <w:tblCellMar>
            <w:top w:w="0" w:type="dxa"/>
            <w:left w:w="108" w:type="dxa"/>
            <w:bottom w:w="0" w:type="dxa"/>
            <w:right w:w="108" w:type="dxa"/>
          </w:tblCellMar>
        </w:tblPrEx>
        <w:trPr>
          <w:trHeight w:val="498" w:hRule="exact"/>
          <w:jc w:val="center"/>
        </w:trPr>
        <w:tc>
          <w:tcPr>
            <w:tcW w:w="1121" w:type="pct"/>
            <w:vMerge w:val="continue"/>
            <w:tcBorders>
              <w:top w:val="nil"/>
              <w:left w:val="nil"/>
              <w:bottom w:val="single" w:color="auto" w:sz="4" w:space="0"/>
              <w:right w:val="single" w:color="auto" w:sz="4" w:space="0"/>
            </w:tcBorders>
            <w:vAlign w:val="center"/>
          </w:tcPr>
          <w:p w14:paraId="7477D18D">
            <w:pPr>
              <w:keepNext w:val="0"/>
              <w:keepLines w:val="0"/>
              <w:suppressLineNumbers w:val="0"/>
              <w:spacing w:before="0" w:beforeAutospacing="0" w:after="0" w:afterAutospacing="0"/>
              <w:ind w:left="0" w:right="0"/>
              <w:rPr>
                <w:rFonts w:hint="eastAsia" w:ascii="宋体" w:hAnsi="宋体" w:eastAsia="宋体" w:cs="宋体"/>
                <w:color w:val="000000"/>
                <w:sz w:val="21"/>
                <w:szCs w:val="21"/>
              </w:rPr>
            </w:pPr>
          </w:p>
        </w:tc>
        <w:tc>
          <w:tcPr>
            <w:tcW w:w="725" w:type="pct"/>
            <w:tcBorders>
              <w:top w:val="nil"/>
              <w:left w:val="nil"/>
              <w:bottom w:val="single" w:color="auto" w:sz="4" w:space="0"/>
              <w:right w:val="single" w:color="auto" w:sz="4" w:space="0"/>
            </w:tcBorders>
            <w:shd w:val="clear" w:color="auto" w:fill="auto"/>
            <w:vAlign w:val="center"/>
          </w:tcPr>
          <w:p w14:paraId="5B10CF71">
            <w:pPr>
              <w:keepNext w:val="0"/>
              <w:keepLines w:val="0"/>
              <w:suppressLineNumbers w:val="0"/>
              <w:spacing w:before="0" w:beforeAutospacing="0" w:after="0" w:afterAutospacing="0" w:line="240" w:lineRule="exact"/>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营业收入(Y)</w:t>
            </w:r>
          </w:p>
        </w:tc>
        <w:tc>
          <w:tcPr>
            <w:tcW w:w="373" w:type="pct"/>
            <w:tcBorders>
              <w:top w:val="nil"/>
              <w:left w:val="nil"/>
              <w:bottom w:val="single" w:color="auto" w:sz="4" w:space="0"/>
              <w:right w:val="single" w:color="auto" w:sz="4" w:space="0"/>
            </w:tcBorders>
            <w:shd w:val="clear" w:color="auto" w:fill="auto"/>
            <w:vAlign w:val="center"/>
          </w:tcPr>
          <w:p w14:paraId="6343E839">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万元</w:t>
            </w:r>
          </w:p>
        </w:tc>
        <w:tc>
          <w:tcPr>
            <w:tcW w:w="596" w:type="pct"/>
            <w:tcBorders>
              <w:top w:val="nil"/>
              <w:left w:val="nil"/>
              <w:bottom w:val="single" w:color="auto" w:sz="4" w:space="0"/>
              <w:right w:val="single" w:color="auto" w:sz="4" w:space="0"/>
            </w:tcBorders>
            <w:shd w:val="clear" w:color="auto" w:fill="auto"/>
            <w:vAlign w:val="center"/>
          </w:tcPr>
          <w:p w14:paraId="3C0472E3">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Y≥30000</w:t>
            </w:r>
          </w:p>
        </w:tc>
        <w:tc>
          <w:tcPr>
            <w:tcW w:w="901" w:type="pct"/>
            <w:tcBorders>
              <w:top w:val="nil"/>
              <w:left w:val="nil"/>
              <w:bottom w:val="single" w:color="auto" w:sz="4" w:space="0"/>
              <w:right w:val="single" w:color="auto" w:sz="4" w:space="0"/>
            </w:tcBorders>
            <w:shd w:val="clear" w:color="auto" w:fill="auto"/>
            <w:vAlign w:val="center"/>
          </w:tcPr>
          <w:p w14:paraId="517AA370">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3000≤Y＜30000</w:t>
            </w:r>
          </w:p>
        </w:tc>
        <w:tc>
          <w:tcPr>
            <w:tcW w:w="756" w:type="pct"/>
            <w:tcBorders>
              <w:top w:val="nil"/>
              <w:left w:val="nil"/>
              <w:bottom w:val="single" w:color="auto" w:sz="4" w:space="0"/>
              <w:right w:val="single" w:color="auto" w:sz="4" w:space="0"/>
            </w:tcBorders>
            <w:shd w:val="clear" w:color="auto" w:fill="auto"/>
            <w:vAlign w:val="center"/>
          </w:tcPr>
          <w:p w14:paraId="2C3F1D50">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200≤Y＜3000</w:t>
            </w:r>
          </w:p>
        </w:tc>
        <w:tc>
          <w:tcPr>
            <w:tcW w:w="524" w:type="pct"/>
            <w:tcBorders>
              <w:top w:val="nil"/>
              <w:left w:val="nil"/>
              <w:bottom w:val="single" w:color="auto" w:sz="4" w:space="0"/>
              <w:right w:val="nil"/>
            </w:tcBorders>
            <w:shd w:val="clear" w:color="auto" w:fill="auto"/>
            <w:vAlign w:val="center"/>
          </w:tcPr>
          <w:p w14:paraId="33073411">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Y＜200</w:t>
            </w:r>
          </w:p>
        </w:tc>
      </w:tr>
      <w:tr w14:paraId="7324CA13">
        <w:tblPrEx>
          <w:tblCellMar>
            <w:top w:w="0" w:type="dxa"/>
            <w:left w:w="108" w:type="dxa"/>
            <w:bottom w:w="0" w:type="dxa"/>
            <w:right w:w="108" w:type="dxa"/>
          </w:tblCellMar>
        </w:tblPrEx>
        <w:trPr>
          <w:trHeight w:val="409" w:hRule="exact"/>
          <w:jc w:val="center"/>
        </w:trPr>
        <w:tc>
          <w:tcPr>
            <w:tcW w:w="1121" w:type="pct"/>
            <w:vMerge w:val="restart"/>
            <w:tcBorders>
              <w:top w:val="nil"/>
              <w:left w:val="nil"/>
              <w:bottom w:val="single" w:color="auto" w:sz="4" w:space="0"/>
              <w:right w:val="single" w:color="auto" w:sz="4" w:space="0"/>
            </w:tcBorders>
            <w:shd w:val="clear" w:color="auto" w:fill="auto"/>
            <w:vAlign w:val="center"/>
          </w:tcPr>
          <w:p w14:paraId="28D27621">
            <w:pPr>
              <w:keepNext w:val="0"/>
              <w:keepLines w:val="0"/>
              <w:suppressLineNumbers w:val="0"/>
              <w:spacing w:before="0" w:beforeAutospacing="0" w:after="0" w:afterAutospacing="0" w:line="240" w:lineRule="exact"/>
              <w:ind w:left="0" w:right="0"/>
              <w:rPr>
                <w:rFonts w:hint="eastAsia" w:ascii="宋体" w:hAnsi="宋体" w:eastAsia="宋体" w:cs="宋体"/>
                <w:color w:val="000000"/>
                <w:sz w:val="21"/>
                <w:szCs w:val="21"/>
              </w:rPr>
            </w:pPr>
            <w:r>
              <w:rPr>
                <w:rFonts w:hint="eastAsia" w:ascii="宋体" w:hAnsi="宋体" w:eastAsia="宋体" w:cs="宋体"/>
                <w:color w:val="000000"/>
                <w:sz w:val="21"/>
                <w:szCs w:val="21"/>
              </w:rPr>
              <w:t>仓储业*</w:t>
            </w:r>
          </w:p>
        </w:tc>
        <w:tc>
          <w:tcPr>
            <w:tcW w:w="725" w:type="pct"/>
            <w:tcBorders>
              <w:top w:val="nil"/>
              <w:left w:val="nil"/>
              <w:bottom w:val="nil"/>
              <w:right w:val="single" w:color="auto" w:sz="4" w:space="0"/>
            </w:tcBorders>
            <w:shd w:val="clear" w:color="auto" w:fill="auto"/>
            <w:vAlign w:val="center"/>
          </w:tcPr>
          <w:p w14:paraId="02B3C990">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从业人员(X)</w:t>
            </w:r>
          </w:p>
        </w:tc>
        <w:tc>
          <w:tcPr>
            <w:tcW w:w="373" w:type="pct"/>
            <w:tcBorders>
              <w:top w:val="nil"/>
              <w:left w:val="nil"/>
              <w:bottom w:val="nil"/>
              <w:right w:val="single" w:color="auto" w:sz="4" w:space="0"/>
            </w:tcBorders>
            <w:shd w:val="clear" w:color="auto" w:fill="auto"/>
            <w:vAlign w:val="center"/>
          </w:tcPr>
          <w:p w14:paraId="56D87801">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人</w:t>
            </w:r>
          </w:p>
        </w:tc>
        <w:tc>
          <w:tcPr>
            <w:tcW w:w="596" w:type="pct"/>
            <w:tcBorders>
              <w:top w:val="nil"/>
              <w:left w:val="nil"/>
              <w:bottom w:val="nil"/>
              <w:right w:val="single" w:color="auto" w:sz="4" w:space="0"/>
            </w:tcBorders>
            <w:shd w:val="clear" w:color="auto" w:fill="auto"/>
            <w:vAlign w:val="center"/>
          </w:tcPr>
          <w:p w14:paraId="2C297907">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X≥200</w:t>
            </w:r>
          </w:p>
        </w:tc>
        <w:tc>
          <w:tcPr>
            <w:tcW w:w="901" w:type="pct"/>
            <w:tcBorders>
              <w:top w:val="nil"/>
              <w:left w:val="nil"/>
              <w:bottom w:val="nil"/>
              <w:right w:val="single" w:color="auto" w:sz="4" w:space="0"/>
            </w:tcBorders>
            <w:shd w:val="clear" w:color="auto" w:fill="auto"/>
            <w:vAlign w:val="center"/>
          </w:tcPr>
          <w:p w14:paraId="0B4BE9FA">
            <w:pPr>
              <w:keepNext w:val="0"/>
              <w:keepLines w:val="0"/>
              <w:suppressLineNumbers w:val="0"/>
              <w:spacing w:before="0" w:beforeAutospacing="0" w:after="0" w:afterAutospacing="0"/>
              <w:ind w:left="19" w:leftChars="-51" w:right="0" w:hanging="126" w:hangingChars="60"/>
              <w:jc w:val="center"/>
              <w:rPr>
                <w:rFonts w:hint="eastAsia" w:ascii="宋体" w:hAnsi="宋体" w:eastAsia="宋体" w:cs="宋体"/>
                <w:color w:val="000000"/>
                <w:sz w:val="21"/>
                <w:szCs w:val="21"/>
              </w:rPr>
            </w:pPr>
            <w:r>
              <w:rPr>
                <w:rFonts w:hint="eastAsia" w:ascii="宋体" w:hAnsi="宋体" w:eastAsia="宋体" w:cs="宋体"/>
                <w:color w:val="000000"/>
                <w:sz w:val="21"/>
                <w:szCs w:val="21"/>
              </w:rPr>
              <w:t>100≤X＜200</w:t>
            </w:r>
          </w:p>
        </w:tc>
        <w:tc>
          <w:tcPr>
            <w:tcW w:w="756" w:type="pct"/>
            <w:tcBorders>
              <w:top w:val="nil"/>
              <w:left w:val="nil"/>
              <w:bottom w:val="nil"/>
              <w:right w:val="single" w:color="auto" w:sz="4" w:space="0"/>
            </w:tcBorders>
            <w:shd w:val="clear" w:color="auto" w:fill="auto"/>
            <w:vAlign w:val="center"/>
          </w:tcPr>
          <w:p w14:paraId="666BCFA1">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20≤X＜100</w:t>
            </w:r>
          </w:p>
        </w:tc>
        <w:tc>
          <w:tcPr>
            <w:tcW w:w="524" w:type="pct"/>
            <w:tcBorders>
              <w:top w:val="nil"/>
              <w:left w:val="nil"/>
              <w:bottom w:val="nil"/>
              <w:right w:val="nil"/>
            </w:tcBorders>
            <w:shd w:val="clear" w:color="auto" w:fill="auto"/>
            <w:vAlign w:val="center"/>
          </w:tcPr>
          <w:p w14:paraId="7597B975">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X＜20</w:t>
            </w:r>
          </w:p>
        </w:tc>
      </w:tr>
      <w:tr w14:paraId="3D0D7CD7">
        <w:tblPrEx>
          <w:tblCellMar>
            <w:top w:w="0" w:type="dxa"/>
            <w:left w:w="108" w:type="dxa"/>
            <w:bottom w:w="0" w:type="dxa"/>
            <w:right w:w="108" w:type="dxa"/>
          </w:tblCellMar>
        </w:tblPrEx>
        <w:trPr>
          <w:trHeight w:val="568" w:hRule="exact"/>
          <w:jc w:val="center"/>
        </w:trPr>
        <w:tc>
          <w:tcPr>
            <w:tcW w:w="1121" w:type="pct"/>
            <w:vMerge w:val="continue"/>
            <w:tcBorders>
              <w:top w:val="nil"/>
              <w:left w:val="nil"/>
              <w:bottom w:val="single" w:color="auto" w:sz="4" w:space="0"/>
              <w:right w:val="single" w:color="auto" w:sz="4" w:space="0"/>
            </w:tcBorders>
            <w:vAlign w:val="center"/>
          </w:tcPr>
          <w:p w14:paraId="73446885">
            <w:pPr>
              <w:keepNext w:val="0"/>
              <w:keepLines w:val="0"/>
              <w:suppressLineNumbers w:val="0"/>
              <w:spacing w:before="0" w:beforeAutospacing="0" w:after="0" w:afterAutospacing="0"/>
              <w:ind w:left="0" w:right="0"/>
              <w:rPr>
                <w:rFonts w:hint="eastAsia" w:ascii="宋体" w:hAnsi="宋体" w:eastAsia="宋体" w:cs="宋体"/>
                <w:color w:val="000000"/>
                <w:sz w:val="21"/>
                <w:szCs w:val="21"/>
              </w:rPr>
            </w:pPr>
          </w:p>
        </w:tc>
        <w:tc>
          <w:tcPr>
            <w:tcW w:w="725" w:type="pct"/>
            <w:tcBorders>
              <w:top w:val="nil"/>
              <w:left w:val="nil"/>
              <w:bottom w:val="single" w:color="auto" w:sz="4" w:space="0"/>
              <w:right w:val="single" w:color="auto" w:sz="4" w:space="0"/>
            </w:tcBorders>
            <w:shd w:val="clear" w:color="auto" w:fill="auto"/>
            <w:vAlign w:val="center"/>
          </w:tcPr>
          <w:p w14:paraId="13C32015">
            <w:pPr>
              <w:keepNext w:val="0"/>
              <w:keepLines w:val="0"/>
              <w:suppressLineNumbers w:val="0"/>
              <w:spacing w:before="0" w:beforeAutospacing="0" w:after="0" w:afterAutospacing="0" w:line="240" w:lineRule="exact"/>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营业收入(Y)</w:t>
            </w:r>
          </w:p>
        </w:tc>
        <w:tc>
          <w:tcPr>
            <w:tcW w:w="373" w:type="pct"/>
            <w:tcBorders>
              <w:top w:val="nil"/>
              <w:left w:val="nil"/>
              <w:bottom w:val="single" w:color="auto" w:sz="4" w:space="0"/>
              <w:right w:val="single" w:color="auto" w:sz="4" w:space="0"/>
            </w:tcBorders>
            <w:shd w:val="clear" w:color="auto" w:fill="auto"/>
            <w:vAlign w:val="center"/>
          </w:tcPr>
          <w:p w14:paraId="628C6A53">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万元</w:t>
            </w:r>
          </w:p>
        </w:tc>
        <w:tc>
          <w:tcPr>
            <w:tcW w:w="596" w:type="pct"/>
            <w:tcBorders>
              <w:top w:val="nil"/>
              <w:left w:val="nil"/>
              <w:bottom w:val="single" w:color="auto" w:sz="4" w:space="0"/>
              <w:right w:val="single" w:color="auto" w:sz="4" w:space="0"/>
            </w:tcBorders>
            <w:shd w:val="clear" w:color="auto" w:fill="auto"/>
            <w:vAlign w:val="center"/>
          </w:tcPr>
          <w:p w14:paraId="4261EDA3">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Y≥30000</w:t>
            </w:r>
          </w:p>
        </w:tc>
        <w:tc>
          <w:tcPr>
            <w:tcW w:w="901" w:type="pct"/>
            <w:tcBorders>
              <w:top w:val="nil"/>
              <w:left w:val="nil"/>
              <w:bottom w:val="single" w:color="auto" w:sz="4" w:space="0"/>
              <w:right w:val="single" w:color="auto" w:sz="4" w:space="0"/>
            </w:tcBorders>
            <w:shd w:val="clear" w:color="auto" w:fill="auto"/>
            <w:vAlign w:val="center"/>
          </w:tcPr>
          <w:p w14:paraId="428400A4">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1000≤Y＜30000</w:t>
            </w:r>
          </w:p>
        </w:tc>
        <w:tc>
          <w:tcPr>
            <w:tcW w:w="756" w:type="pct"/>
            <w:tcBorders>
              <w:top w:val="nil"/>
              <w:left w:val="nil"/>
              <w:bottom w:val="single" w:color="auto" w:sz="4" w:space="0"/>
              <w:right w:val="single" w:color="auto" w:sz="4" w:space="0"/>
            </w:tcBorders>
            <w:shd w:val="clear" w:color="auto" w:fill="auto"/>
            <w:vAlign w:val="center"/>
          </w:tcPr>
          <w:p w14:paraId="6420DF1D">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100≤Y＜1000</w:t>
            </w:r>
          </w:p>
        </w:tc>
        <w:tc>
          <w:tcPr>
            <w:tcW w:w="524" w:type="pct"/>
            <w:tcBorders>
              <w:top w:val="nil"/>
              <w:left w:val="nil"/>
              <w:bottom w:val="single" w:color="auto" w:sz="4" w:space="0"/>
              <w:right w:val="nil"/>
            </w:tcBorders>
            <w:shd w:val="clear" w:color="auto" w:fill="auto"/>
            <w:vAlign w:val="center"/>
          </w:tcPr>
          <w:p w14:paraId="709E9C28">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Y＜100</w:t>
            </w:r>
          </w:p>
        </w:tc>
      </w:tr>
      <w:tr w14:paraId="5CCAEF01">
        <w:tblPrEx>
          <w:tblCellMar>
            <w:top w:w="0" w:type="dxa"/>
            <w:left w:w="108" w:type="dxa"/>
            <w:bottom w:w="0" w:type="dxa"/>
            <w:right w:w="108" w:type="dxa"/>
          </w:tblCellMar>
        </w:tblPrEx>
        <w:trPr>
          <w:trHeight w:val="409" w:hRule="exact"/>
          <w:jc w:val="center"/>
        </w:trPr>
        <w:tc>
          <w:tcPr>
            <w:tcW w:w="1121" w:type="pct"/>
            <w:vMerge w:val="restart"/>
            <w:tcBorders>
              <w:top w:val="nil"/>
              <w:left w:val="nil"/>
              <w:bottom w:val="single" w:color="auto" w:sz="4" w:space="0"/>
              <w:right w:val="single" w:color="auto" w:sz="4" w:space="0"/>
            </w:tcBorders>
            <w:shd w:val="clear" w:color="auto" w:fill="auto"/>
            <w:vAlign w:val="center"/>
          </w:tcPr>
          <w:p w14:paraId="7EE42844">
            <w:pPr>
              <w:keepNext w:val="0"/>
              <w:keepLines w:val="0"/>
              <w:suppressLineNumbers w:val="0"/>
              <w:spacing w:before="0" w:beforeAutospacing="0" w:after="0" w:afterAutospacing="0" w:line="240" w:lineRule="exact"/>
              <w:ind w:left="0" w:right="0"/>
              <w:rPr>
                <w:rFonts w:hint="eastAsia" w:ascii="宋体" w:hAnsi="宋体" w:eastAsia="宋体" w:cs="宋体"/>
                <w:color w:val="000000"/>
                <w:sz w:val="21"/>
                <w:szCs w:val="21"/>
              </w:rPr>
            </w:pPr>
            <w:r>
              <w:rPr>
                <w:rFonts w:hint="eastAsia" w:ascii="宋体" w:hAnsi="宋体" w:eastAsia="宋体" w:cs="宋体"/>
                <w:color w:val="000000"/>
                <w:sz w:val="21"/>
                <w:szCs w:val="21"/>
              </w:rPr>
              <w:t>邮政业</w:t>
            </w:r>
          </w:p>
        </w:tc>
        <w:tc>
          <w:tcPr>
            <w:tcW w:w="725" w:type="pct"/>
            <w:tcBorders>
              <w:top w:val="nil"/>
              <w:left w:val="nil"/>
              <w:bottom w:val="nil"/>
              <w:right w:val="single" w:color="auto" w:sz="4" w:space="0"/>
            </w:tcBorders>
            <w:shd w:val="clear" w:color="auto" w:fill="auto"/>
            <w:vAlign w:val="center"/>
          </w:tcPr>
          <w:p w14:paraId="4C1DBF0B">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从业人员(X)</w:t>
            </w:r>
          </w:p>
        </w:tc>
        <w:tc>
          <w:tcPr>
            <w:tcW w:w="373" w:type="pct"/>
            <w:tcBorders>
              <w:top w:val="nil"/>
              <w:left w:val="nil"/>
              <w:bottom w:val="nil"/>
              <w:right w:val="single" w:color="auto" w:sz="4" w:space="0"/>
            </w:tcBorders>
            <w:shd w:val="clear" w:color="auto" w:fill="auto"/>
            <w:vAlign w:val="center"/>
          </w:tcPr>
          <w:p w14:paraId="032A06F8">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人</w:t>
            </w:r>
          </w:p>
        </w:tc>
        <w:tc>
          <w:tcPr>
            <w:tcW w:w="596" w:type="pct"/>
            <w:tcBorders>
              <w:top w:val="nil"/>
              <w:left w:val="nil"/>
              <w:bottom w:val="nil"/>
              <w:right w:val="single" w:color="auto" w:sz="4" w:space="0"/>
            </w:tcBorders>
            <w:shd w:val="clear" w:color="auto" w:fill="auto"/>
            <w:vAlign w:val="center"/>
          </w:tcPr>
          <w:p w14:paraId="40DF5203">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X≥1000</w:t>
            </w:r>
          </w:p>
        </w:tc>
        <w:tc>
          <w:tcPr>
            <w:tcW w:w="901" w:type="pct"/>
            <w:tcBorders>
              <w:top w:val="nil"/>
              <w:left w:val="nil"/>
              <w:bottom w:val="nil"/>
              <w:right w:val="single" w:color="auto" w:sz="4" w:space="0"/>
            </w:tcBorders>
            <w:shd w:val="clear" w:color="auto" w:fill="auto"/>
            <w:vAlign w:val="center"/>
          </w:tcPr>
          <w:p w14:paraId="5D9AE6A2">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300≤X＜1000</w:t>
            </w:r>
          </w:p>
        </w:tc>
        <w:tc>
          <w:tcPr>
            <w:tcW w:w="756" w:type="pct"/>
            <w:tcBorders>
              <w:top w:val="nil"/>
              <w:left w:val="nil"/>
              <w:bottom w:val="nil"/>
              <w:right w:val="single" w:color="auto" w:sz="4" w:space="0"/>
            </w:tcBorders>
            <w:shd w:val="clear" w:color="auto" w:fill="auto"/>
            <w:vAlign w:val="center"/>
          </w:tcPr>
          <w:p w14:paraId="40994DFC">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20≤X＜300</w:t>
            </w:r>
          </w:p>
        </w:tc>
        <w:tc>
          <w:tcPr>
            <w:tcW w:w="524" w:type="pct"/>
            <w:tcBorders>
              <w:top w:val="nil"/>
              <w:left w:val="nil"/>
              <w:bottom w:val="nil"/>
              <w:right w:val="nil"/>
            </w:tcBorders>
            <w:shd w:val="clear" w:color="auto" w:fill="auto"/>
            <w:vAlign w:val="center"/>
          </w:tcPr>
          <w:p w14:paraId="3BE341CB">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X＜20</w:t>
            </w:r>
          </w:p>
        </w:tc>
      </w:tr>
      <w:tr w14:paraId="20D8A9BA">
        <w:tblPrEx>
          <w:tblCellMar>
            <w:top w:w="0" w:type="dxa"/>
            <w:left w:w="108" w:type="dxa"/>
            <w:bottom w:w="0" w:type="dxa"/>
            <w:right w:w="108" w:type="dxa"/>
          </w:tblCellMar>
        </w:tblPrEx>
        <w:trPr>
          <w:trHeight w:val="612" w:hRule="exact"/>
          <w:jc w:val="center"/>
        </w:trPr>
        <w:tc>
          <w:tcPr>
            <w:tcW w:w="1121" w:type="pct"/>
            <w:vMerge w:val="continue"/>
            <w:tcBorders>
              <w:top w:val="nil"/>
              <w:left w:val="nil"/>
              <w:bottom w:val="single" w:color="auto" w:sz="4" w:space="0"/>
              <w:right w:val="single" w:color="auto" w:sz="4" w:space="0"/>
            </w:tcBorders>
            <w:vAlign w:val="center"/>
          </w:tcPr>
          <w:p w14:paraId="3C63DDD2">
            <w:pPr>
              <w:keepNext w:val="0"/>
              <w:keepLines w:val="0"/>
              <w:suppressLineNumbers w:val="0"/>
              <w:spacing w:before="0" w:beforeAutospacing="0" w:after="0" w:afterAutospacing="0"/>
              <w:ind w:left="0" w:right="0"/>
              <w:rPr>
                <w:rFonts w:hint="eastAsia" w:ascii="宋体" w:hAnsi="宋体" w:eastAsia="宋体" w:cs="宋体"/>
                <w:color w:val="000000"/>
                <w:sz w:val="21"/>
                <w:szCs w:val="21"/>
              </w:rPr>
            </w:pPr>
          </w:p>
        </w:tc>
        <w:tc>
          <w:tcPr>
            <w:tcW w:w="725" w:type="pct"/>
            <w:tcBorders>
              <w:top w:val="nil"/>
              <w:left w:val="nil"/>
              <w:bottom w:val="single" w:color="auto" w:sz="4" w:space="0"/>
              <w:right w:val="single" w:color="auto" w:sz="4" w:space="0"/>
            </w:tcBorders>
            <w:shd w:val="clear" w:color="auto" w:fill="auto"/>
            <w:vAlign w:val="center"/>
          </w:tcPr>
          <w:p w14:paraId="4D682616">
            <w:pPr>
              <w:keepNext w:val="0"/>
              <w:keepLines w:val="0"/>
              <w:suppressLineNumbers w:val="0"/>
              <w:spacing w:before="0" w:beforeAutospacing="0" w:after="0" w:afterAutospacing="0" w:line="240" w:lineRule="exact"/>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营业收入(Y)</w:t>
            </w:r>
          </w:p>
        </w:tc>
        <w:tc>
          <w:tcPr>
            <w:tcW w:w="373" w:type="pct"/>
            <w:tcBorders>
              <w:top w:val="nil"/>
              <w:left w:val="nil"/>
              <w:bottom w:val="single" w:color="auto" w:sz="4" w:space="0"/>
              <w:right w:val="single" w:color="auto" w:sz="4" w:space="0"/>
            </w:tcBorders>
            <w:shd w:val="clear" w:color="auto" w:fill="auto"/>
            <w:vAlign w:val="center"/>
          </w:tcPr>
          <w:p w14:paraId="78B35CC4">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万元</w:t>
            </w:r>
          </w:p>
        </w:tc>
        <w:tc>
          <w:tcPr>
            <w:tcW w:w="596" w:type="pct"/>
            <w:tcBorders>
              <w:top w:val="nil"/>
              <w:left w:val="nil"/>
              <w:bottom w:val="single" w:color="auto" w:sz="4" w:space="0"/>
              <w:right w:val="single" w:color="auto" w:sz="4" w:space="0"/>
            </w:tcBorders>
            <w:shd w:val="clear" w:color="auto" w:fill="auto"/>
            <w:vAlign w:val="center"/>
          </w:tcPr>
          <w:p w14:paraId="1E92DD3D">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Y≥30000</w:t>
            </w:r>
          </w:p>
        </w:tc>
        <w:tc>
          <w:tcPr>
            <w:tcW w:w="901" w:type="pct"/>
            <w:tcBorders>
              <w:top w:val="nil"/>
              <w:left w:val="nil"/>
              <w:bottom w:val="single" w:color="auto" w:sz="4" w:space="0"/>
              <w:right w:val="single" w:color="auto" w:sz="4" w:space="0"/>
            </w:tcBorders>
            <w:shd w:val="clear" w:color="auto" w:fill="auto"/>
            <w:vAlign w:val="center"/>
          </w:tcPr>
          <w:p w14:paraId="11ECCF76">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2000≤Y＜30000</w:t>
            </w:r>
          </w:p>
        </w:tc>
        <w:tc>
          <w:tcPr>
            <w:tcW w:w="756" w:type="pct"/>
            <w:tcBorders>
              <w:top w:val="nil"/>
              <w:left w:val="nil"/>
              <w:bottom w:val="single" w:color="auto" w:sz="4" w:space="0"/>
              <w:right w:val="single" w:color="auto" w:sz="4" w:space="0"/>
            </w:tcBorders>
            <w:shd w:val="clear" w:color="auto" w:fill="auto"/>
            <w:vAlign w:val="center"/>
          </w:tcPr>
          <w:p w14:paraId="18E8C66F">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100≤Y＜2000</w:t>
            </w:r>
          </w:p>
        </w:tc>
        <w:tc>
          <w:tcPr>
            <w:tcW w:w="524" w:type="pct"/>
            <w:tcBorders>
              <w:top w:val="nil"/>
              <w:left w:val="nil"/>
              <w:bottom w:val="single" w:color="auto" w:sz="4" w:space="0"/>
              <w:right w:val="nil"/>
            </w:tcBorders>
            <w:shd w:val="clear" w:color="auto" w:fill="auto"/>
            <w:vAlign w:val="center"/>
          </w:tcPr>
          <w:p w14:paraId="1F1D51B1">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Y＜100</w:t>
            </w:r>
          </w:p>
        </w:tc>
      </w:tr>
      <w:tr w14:paraId="3200705D">
        <w:tblPrEx>
          <w:tblCellMar>
            <w:top w:w="0" w:type="dxa"/>
            <w:left w:w="108" w:type="dxa"/>
            <w:bottom w:w="0" w:type="dxa"/>
            <w:right w:w="108" w:type="dxa"/>
          </w:tblCellMar>
        </w:tblPrEx>
        <w:trPr>
          <w:trHeight w:val="409" w:hRule="exact"/>
          <w:jc w:val="center"/>
        </w:trPr>
        <w:tc>
          <w:tcPr>
            <w:tcW w:w="1121" w:type="pct"/>
            <w:vMerge w:val="restart"/>
            <w:tcBorders>
              <w:top w:val="nil"/>
              <w:left w:val="nil"/>
              <w:bottom w:val="single" w:color="auto" w:sz="4" w:space="0"/>
              <w:right w:val="single" w:color="auto" w:sz="4" w:space="0"/>
            </w:tcBorders>
            <w:shd w:val="clear" w:color="auto" w:fill="auto"/>
            <w:vAlign w:val="center"/>
          </w:tcPr>
          <w:p w14:paraId="698BA488">
            <w:pPr>
              <w:keepNext w:val="0"/>
              <w:keepLines w:val="0"/>
              <w:suppressLineNumbers w:val="0"/>
              <w:spacing w:before="0" w:beforeAutospacing="0" w:after="0" w:afterAutospacing="0" w:line="240" w:lineRule="exact"/>
              <w:ind w:left="0" w:right="0"/>
              <w:rPr>
                <w:rFonts w:hint="eastAsia" w:ascii="宋体" w:hAnsi="宋体" w:eastAsia="宋体" w:cs="宋体"/>
                <w:color w:val="000000"/>
                <w:sz w:val="21"/>
                <w:szCs w:val="21"/>
              </w:rPr>
            </w:pPr>
            <w:r>
              <w:rPr>
                <w:rFonts w:hint="eastAsia" w:ascii="宋体" w:hAnsi="宋体" w:eastAsia="宋体" w:cs="宋体"/>
                <w:color w:val="000000"/>
                <w:sz w:val="21"/>
                <w:szCs w:val="21"/>
              </w:rPr>
              <w:t>住宿业</w:t>
            </w:r>
          </w:p>
        </w:tc>
        <w:tc>
          <w:tcPr>
            <w:tcW w:w="725" w:type="pct"/>
            <w:tcBorders>
              <w:top w:val="nil"/>
              <w:left w:val="nil"/>
              <w:bottom w:val="nil"/>
              <w:right w:val="single" w:color="auto" w:sz="4" w:space="0"/>
            </w:tcBorders>
            <w:shd w:val="clear" w:color="auto" w:fill="auto"/>
            <w:vAlign w:val="center"/>
          </w:tcPr>
          <w:p w14:paraId="5C6EF858">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从业人员(X)</w:t>
            </w:r>
          </w:p>
        </w:tc>
        <w:tc>
          <w:tcPr>
            <w:tcW w:w="373" w:type="pct"/>
            <w:tcBorders>
              <w:top w:val="nil"/>
              <w:left w:val="nil"/>
              <w:bottom w:val="nil"/>
              <w:right w:val="single" w:color="auto" w:sz="4" w:space="0"/>
            </w:tcBorders>
            <w:shd w:val="clear" w:color="auto" w:fill="auto"/>
            <w:vAlign w:val="center"/>
          </w:tcPr>
          <w:p w14:paraId="4079B1EB">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人</w:t>
            </w:r>
          </w:p>
        </w:tc>
        <w:tc>
          <w:tcPr>
            <w:tcW w:w="596" w:type="pct"/>
            <w:tcBorders>
              <w:top w:val="nil"/>
              <w:left w:val="nil"/>
              <w:bottom w:val="nil"/>
              <w:right w:val="single" w:color="auto" w:sz="4" w:space="0"/>
            </w:tcBorders>
            <w:shd w:val="clear" w:color="auto" w:fill="auto"/>
            <w:vAlign w:val="center"/>
          </w:tcPr>
          <w:p w14:paraId="5BE7FA8D">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X≥300</w:t>
            </w:r>
          </w:p>
        </w:tc>
        <w:tc>
          <w:tcPr>
            <w:tcW w:w="901" w:type="pct"/>
            <w:tcBorders>
              <w:top w:val="nil"/>
              <w:left w:val="nil"/>
              <w:bottom w:val="nil"/>
              <w:right w:val="single" w:color="auto" w:sz="4" w:space="0"/>
            </w:tcBorders>
            <w:shd w:val="clear" w:color="auto" w:fill="auto"/>
            <w:vAlign w:val="center"/>
          </w:tcPr>
          <w:p w14:paraId="6887D398">
            <w:pPr>
              <w:keepNext w:val="0"/>
              <w:keepLines w:val="0"/>
              <w:suppressLineNumbers w:val="0"/>
              <w:spacing w:before="0" w:beforeAutospacing="0" w:after="0" w:afterAutospacing="0"/>
              <w:ind w:left="19" w:leftChars="-51" w:right="0" w:hanging="126" w:hangingChars="60"/>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100≤X＜300 </w:t>
            </w:r>
          </w:p>
        </w:tc>
        <w:tc>
          <w:tcPr>
            <w:tcW w:w="756" w:type="pct"/>
            <w:tcBorders>
              <w:top w:val="nil"/>
              <w:left w:val="nil"/>
              <w:bottom w:val="nil"/>
              <w:right w:val="single" w:color="auto" w:sz="4" w:space="0"/>
            </w:tcBorders>
            <w:shd w:val="clear" w:color="auto" w:fill="auto"/>
            <w:vAlign w:val="center"/>
          </w:tcPr>
          <w:p w14:paraId="6CDEC9FD">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10≤X＜100</w:t>
            </w:r>
          </w:p>
        </w:tc>
        <w:tc>
          <w:tcPr>
            <w:tcW w:w="524" w:type="pct"/>
            <w:tcBorders>
              <w:top w:val="nil"/>
              <w:left w:val="nil"/>
              <w:bottom w:val="nil"/>
              <w:right w:val="nil"/>
            </w:tcBorders>
            <w:shd w:val="clear" w:color="auto" w:fill="auto"/>
            <w:vAlign w:val="center"/>
          </w:tcPr>
          <w:p w14:paraId="19DA3F95">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X＜10</w:t>
            </w:r>
          </w:p>
        </w:tc>
      </w:tr>
      <w:tr w14:paraId="04394227">
        <w:tblPrEx>
          <w:tblCellMar>
            <w:top w:w="0" w:type="dxa"/>
            <w:left w:w="108" w:type="dxa"/>
            <w:bottom w:w="0" w:type="dxa"/>
            <w:right w:w="108" w:type="dxa"/>
          </w:tblCellMar>
        </w:tblPrEx>
        <w:trPr>
          <w:trHeight w:val="540" w:hRule="exact"/>
          <w:jc w:val="center"/>
        </w:trPr>
        <w:tc>
          <w:tcPr>
            <w:tcW w:w="1121" w:type="pct"/>
            <w:vMerge w:val="continue"/>
            <w:tcBorders>
              <w:top w:val="nil"/>
              <w:left w:val="nil"/>
              <w:bottom w:val="single" w:color="auto" w:sz="4" w:space="0"/>
              <w:right w:val="single" w:color="auto" w:sz="4" w:space="0"/>
            </w:tcBorders>
            <w:vAlign w:val="center"/>
          </w:tcPr>
          <w:p w14:paraId="255F1EC9">
            <w:pPr>
              <w:keepNext w:val="0"/>
              <w:keepLines w:val="0"/>
              <w:suppressLineNumbers w:val="0"/>
              <w:spacing w:before="0" w:beforeAutospacing="0" w:after="0" w:afterAutospacing="0"/>
              <w:ind w:left="0" w:right="0"/>
              <w:rPr>
                <w:rFonts w:hint="eastAsia" w:ascii="宋体" w:hAnsi="宋体" w:eastAsia="宋体" w:cs="宋体"/>
                <w:color w:val="000000"/>
                <w:sz w:val="21"/>
                <w:szCs w:val="21"/>
              </w:rPr>
            </w:pPr>
          </w:p>
        </w:tc>
        <w:tc>
          <w:tcPr>
            <w:tcW w:w="725" w:type="pct"/>
            <w:tcBorders>
              <w:top w:val="nil"/>
              <w:left w:val="nil"/>
              <w:bottom w:val="single" w:color="auto" w:sz="4" w:space="0"/>
              <w:right w:val="single" w:color="auto" w:sz="4" w:space="0"/>
            </w:tcBorders>
            <w:shd w:val="clear" w:color="auto" w:fill="auto"/>
            <w:vAlign w:val="center"/>
          </w:tcPr>
          <w:p w14:paraId="62C4C645">
            <w:pPr>
              <w:keepNext w:val="0"/>
              <w:keepLines w:val="0"/>
              <w:suppressLineNumbers w:val="0"/>
              <w:spacing w:before="0" w:beforeAutospacing="0" w:after="0" w:afterAutospacing="0" w:line="240" w:lineRule="exact"/>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营业收入(Y)</w:t>
            </w:r>
          </w:p>
        </w:tc>
        <w:tc>
          <w:tcPr>
            <w:tcW w:w="373" w:type="pct"/>
            <w:tcBorders>
              <w:top w:val="nil"/>
              <w:left w:val="nil"/>
              <w:bottom w:val="single" w:color="auto" w:sz="4" w:space="0"/>
              <w:right w:val="single" w:color="auto" w:sz="4" w:space="0"/>
            </w:tcBorders>
            <w:shd w:val="clear" w:color="auto" w:fill="auto"/>
            <w:vAlign w:val="center"/>
          </w:tcPr>
          <w:p w14:paraId="2CCCB754">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万元</w:t>
            </w:r>
          </w:p>
        </w:tc>
        <w:tc>
          <w:tcPr>
            <w:tcW w:w="596" w:type="pct"/>
            <w:tcBorders>
              <w:top w:val="nil"/>
              <w:left w:val="nil"/>
              <w:bottom w:val="single" w:color="auto" w:sz="4" w:space="0"/>
              <w:right w:val="single" w:color="auto" w:sz="4" w:space="0"/>
            </w:tcBorders>
            <w:shd w:val="clear" w:color="auto" w:fill="auto"/>
            <w:vAlign w:val="center"/>
          </w:tcPr>
          <w:p w14:paraId="4EF32161">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Y≥10000</w:t>
            </w:r>
          </w:p>
        </w:tc>
        <w:tc>
          <w:tcPr>
            <w:tcW w:w="901" w:type="pct"/>
            <w:tcBorders>
              <w:top w:val="nil"/>
              <w:left w:val="nil"/>
              <w:bottom w:val="single" w:color="auto" w:sz="4" w:space="0"/>
              <w:right w:val="single" w:color="auto" w:sz="4" w:space="0"/>
            </w:tcBorders>
            <w:shd w:val="clear" w:color="auto" w:fill="auto"/>
            <w:vAlign w:val="center"/>
          </w:tcPr>
          <w:p w14:paraId="3424A8F0">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2000≤Y＜10000</w:t>
            </w:r>
          </w:p>
        </w:tc>
        <w:tc>
          <w:tcPr>
            <w:tcW w:w="756" w:type="pct"/>
            <w:tcBorders>
              <w:top w:val="nil"/>
              <w:left w:val="nil"/>
              <w:bottom w:val="single" w:color="auto" w:sz="4" w:space="0"/>
              <w:right w:val="single" w:color="auto" w:sz="4" w:space="0"/>
            </w:tcBorders>
            <w:shd w:val="clear" w:color="auto" w:fill="auto"/>
            <w:vAlign w:val="center"/>
          </w:tcPr>
          <w:p w14:paraId="7B547346">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100≤Y＜2000</w:t>
            </w:r>
          </w:p>
        </w:tc>
        <w:tc>
          <w:tcPr>
            <w:tcW w:w="524" w:type="pct"/>
            <w:tcBorders>
              <w:top w:val="nil"/>
              <w:left w:val="nil"/>
              <w:bottom w:val="single" w:color="auto" w:sz="4" w:space="0"/>
              <w:right w:val="nil"/>
            </w:tcBorders>
            <w:shd w:val="clear" w:color="auto" w:fill="auto"/>
            <w:vAlign w:val="center"/>
          </w:tcPr>
          <w:p w14:paraId="14F0D4C6">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Y＜100</w:t>
            </w:r>
          </w:p>
        </w:tc>
      </w:tr>
      <w:tr w14:paraId="290E8FBC">
        <w:tblPrEx>
          <w:tblCellMar>
            <w:top w:w="0" w:type="dxa"/>
            <w:left w:w="108" w:type="dxa"/>
            <w:bottom w:w="0" w:type="dxa"/>
            <w:right w:w="108" w:type="dxa"/>
          </w:tblCellMar>
        </w:tblPrEx>
        <w:trPr>
          <w:trHeight w:val="409" w:hRule="exact"/>
          <w:jc w:val="center"/>
        </w:trPr>
        <w:tc>
          <w:tcPr>
            <w:tcW w:w="1121" w:type="pct"/>
            <w:vMerge w:val="restart"/>
            <w:tcBorders>
              <w:top w:val="nil"/>
              <w:left w:val="nil"/>
              <w:bottom w:val="single" w:color="auto" w:sz="4" w:space="0"/>
              <w:right w:val="single" w:color="auto" w:sz="4" w:space="0"/>
            </w:tcBorders>
            <w:shd w:val="clear" w:color="auto" w:fill="auto"/>
            <w:vAlign w:val="center"/>
          </w:tcPr>
          <w:p w14:paraId="0F165C71">
            <w:pPr>
              <w:keepNext w:val="0"/>
              <w:keepLines w:val="0"/>
              <w:suppressLineNumbers w:val="0"/>
              <w:spacing w:before="0" w:beforeAutospacing="0" w:after="0" w:afterAutospacing="0" w:line="240" w:lineRule="exact"/>
              <w:ind w:left="0" w:right="0"/>
              <w:rPr>
                <w:rFonts w:hint="eastAsia" w:ascii="宋体" w:hAnsi="宋体" w:eastAsia="宋体" w:cs="宋体"/>
                <w:color w:val="000000"/>
                <w:sz w:val="21"/>
                <w:szCs w:val="21"/>
              </w:rPr>
            </w:pPr>
            <w:r>
              <w:rPr>
                <w:rFonts w:hint="eastAsia" w:ascii="宋体" w:hAnsi="宋体" w:eastAsia="宋体" w:cs="宋体"/>
                <w:color w:val="000000"/>
                <w:sz w:val="21"/>
                <w:szCs w:val="21"/>
              </w:rPr>
              <w:t>餐饮业</w:t>
            </w:r>
          </w:p>
        </w:tc>
        <w:tc>
          <w:tcPr>
            <w:tcW w:w="725" w:type="pct"/>
            <w:tcBorders>
              <w:top w:val="nil"/>
              <w:left w:val="nil"/>
              <w:bottom w:val="nil"/>
              <w:right w:val="single" w:color="auto" w:sz="4" w:space="0"/>
            </w:tcBorders>
            <w:shd w:val="clear" w:color="auto" w:fill="auto"/>
            <w:vAlign w:val="center"/>
          </w:tcPr>
          <w:p w14:paraId="66655994">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从业人员(X)</w:t>
            </w:r>
          </w:p>
        </w:tc>
        <w:tc>
          <w:tcPr>
            <w:tcW w:w="373" w:type="pct"/>
            <w:tcBorders>
              <w:top w:val="nil"/>
              <w:left w:val="nil"/>
              <w:bottom w:val="nil"/>
              <w:right w:val="single" w:color="auto" w:sz="4" w:space="0"/>
            </w:tcBorders>
            <w:shd w:val="clear" w:color="auto" w:fill="auto"/>
            <w:vAlign w:val="center"/>
          </w:tcPr>
          <w:p w14:paraId="28D30E5E">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人</w:t>
            </w:r>
          </w:p>
        </w:tc>
        <w:tc>
          <w:tcPr>
            <w:tcW w:w="596" w:type="pct"/>
            <w:tcBorders>
              <w:top w:val="nil"/>
              <w:left w:val="nil"/>
              <w:bottom w:val="nil"/>
              <w:right w:val="single" w:color="auto" w:sz="4" w:space="0"/>
            </w:tcBorders>
            <w:shd w:val="clear" w:color="auto" w:fill="auto"/>
            <w:vAlign w:val="center"/>
          </w:tcPr>
          <w:p w14:paraId="563F27FC">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X≥300</w:t>
            </w:r>
          </w:p>
        </w:tc>
        <w:tc>
          <w:tcPr>
            <w:tcW w:w="901" w:type="pct"/>
            <w:tcBorders>
              <w:top w:val="nil"/>
              <w:left w:val="nil"/>
              <w:bottom w:val="nil"/>
              <w:right w:val="single" w:color="auto" w:sz="4" w:space="0"/>
            </w:tcBorders>
            <w:shd w:val="clear" w:color="auto" w:fill="auto"/>
            <w:vAlign w:val="center"/>
          </w:tcPr>
          <w:p w14:paraId="523F73F8">
            <w:pPr>
              <w:keepNext w:val="0"/>
              <w:keepLines w:val="0"/>
              <w:suppressLineNumbers w:val="0"/>
              <w:spacing w:before="0" w:beforeAutospacing="0" w:after="0" w:afterAutospacing="0"/>
              <w:ind w:left="19" w:leftChars="-51" w:right="0" w:hanging="126" w:hangingChars="60"/>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100≤X＜300 </w:t>
            </w:r>
          </w:p>
        </w:tc>
        <w:tc>
          <w:tcPr>
            <w:tcW w:w="756" w:type="pct"/>
            <w:tcBorders>
              <w:top w:val="nil"/>
              <w:left w:val="nil"/>
              <w:bottom w:val="nil"/>
              <w:right w:val="single" w:color="auto" w:sz="4" w:space="0"/>
            </w:tcBorders>
            <w:shd w:val="clear" w:color="auto" w:fill="auto"/>
            <w:vAlign w:val="center"/>
          </w:tcPr>
          <w:p w14:paraId="170A3D48">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10≤X＜100</w:t>
            </w:r>
          </w:p>
        </w:tc>
        <w:tc>
          <w:tcPr>
            <w:tcW w:w="524" w:type="pct"/>
            <w:tcBorders>
              <w:top w:val="nil"/>
              <w:left w:val="nil"/>
              <w:bottom w:val="nil"/>
              <w:right w:val="nil"/>
            </w:tcBorders>
            <w:shd w:val="clear" w:color="auto" w:fill="auto"/>
            <w:vAlign w:val="center"/>
          </w:tcPr>
          <w:p w14:paraId="73046A2A">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X＜10</w:t>
            </w:r>
          </w:p>
        </w:tc>
      </w:tr>
      <w:tr w14:paraId="0E3EB01F">
        <w:tblPrEx>
          <w:tblCellMar>
            <w:top w:w="0" w:type="dxa"/>
            <w:left w:w="108" w:type="dxa"/>
            <w:bottom w:w="0" w:type="dxa"/>
            <w:right w:w="108" w:type="dxa"/>
          </w:tblCellMar>
        </w:tblPrEx>
        <w:trPr>
          <w:trHeight w:val="598" w:hRule="exact"/>
          <w:jc w:val="center"/>
        </w:trPr>
        <w:tc>
          <w:tcPr>
            <w:tcW w:w="1121" w:type="pct"/>
            <w:vMerge w:val="continue"/>
            <w:tcBorders>
              <w:top w:val="nil"/>
              <w:left w:val="nil"/>
              <w:bottom w:val="single" w:color="auto" w:sz="4" w:space="0"/>
              <w:right w:val="single" w:color="auto" w:sz="4" w:space="0"/>
            </w:tcBorders>
            <w:vAlign w:val="center"/>
          </w:tcPr>
          <w:p w14:paraId="031C078B">
            <w:pPr>
              <w:keepNext w:val="0"/>
              <w:keepLines w:val="0"/>
              <w:suppressLineNumbers w:val="0"/>
              <w:spacing w:before="0" w:beforeAutospacing="0" w:after="0" w:afterAutospacing="0"/>
              <w:ind w:left="0" w:right="0"/>
              <w:rPr>
                <w:rFonts w:hint="eastAsia" w:ascii="宋体" w:hAnsi="宋体" w:eastAsia="宋体" w:cs="宋体"/>
                <w:color w:val="000000"/>
                <w:sz w:val="21"/>
                <w:szCs w:val="21"/>
              </w:rPr>
            </w:pPr>
          </w:p>
        </w:tc>
        <w:tc>
          <w:tcPr>
            <w:tcW w:w="725" w:type="pct"/>
            <w:tcBorders>
              <w:top w:val="nil"/>
              <w:left w:val="nil"/>
              <w:bottom w:val="single" w:color="auto" w:sz="4" w:space="0"/>
              <w:right w:val="single" w:color="auto" w:sz="4" w:space="0"/>
            </w:tcBorders>
            <w:shd w:val="clear" w:color="auto" w:fill="auto"/>
            <w:vAlign w:val="center"/>
          </w:tcPr>
          <w:p w14:paraId="2284BD0F">
            <w:pPr>
              <w:keepNext w:val="0"/>
              <w:keepLines w:val="0"/>
              <w:suppressLineNumbers w:val="0"/>
              <w:spacing w:before="0" w:beforeAutospacing="0" w:after="0" w:afterAutospacing="0" w:line="240" w:lineRule="exact"/>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营业收入(Y)</w:t>
            </w:r>
          </w:p>
        </w:tc>
        <w:tc>
          <w:tcPr>
            <w:tcW w:w="373" w:type="pct"/>
            <w:tcBorders>
              <w:top w:val="nil"/>
              <w:left w:val="nil"/>
              <w:bottom w:val="single" w:color="auto" w:sz="4" w:space="0"/>
              <w:right w:val="single" w:color="auto" w:sz="4" w:space="0"/>
            </w:tcBorders>
            <w:shd w:val="clear" w:color="auto" w:fill="auto"/>
            <w:vAlign w:val="center"/>
          </w:tcPr>
          <w:p w14:paraId="4DD96CA9">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万元</w:t>
            </w:r>
          </w:p>
        </w:tc>
        <w:tc>
          <w:tcPr>
            <w:tcW w:w="596" w:type="pct"/>
            <w:tcBorders>
              <w:top w:val="nil"/>
              <w:left w:val="nil"/>
              <w:bottom w:val="single" w:color="auto" w:sz="4" w:space="0"/>
              <w:right w:val="single" w:color="auto" w:sz="4" w:space="0"/>
            </w:tcBorders>
            <w:shd w:val="clear" w:color="auto" w:fill="auto"/>
            <w:vAlign w:val="center"/>
          </w:tcPr>
          <w:p w14:paraId="1D59FA4B">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Y≥10000</w:t>
            </w:r>
          </w:p>
        </w:tc>
        <w:tc>
          <w:tcPr>
            <w:tcW w:w="901" w:type="pct"/>
            <w:tcBorders>
              <w:top w:val="nil"/>
              <w:left w:val="nil"/>
              <w:bottom w:val="single" w:color="auto" w:sz="4" w:space="0"/>
              <w:right w:val="single" w:color="auto" w:sz="4" w:space="0"/>
            </w:tcBorders>
            <w:shd w:val="clear" w:color="auto" w:fill="auto"/>
            <w:vAlign w:val="center"/>
          </w:tcPr>
          <w:p w14:paraId="22525643">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2000≤Y＜10000</w:t>
            </w:r>
          </w:p>
        </w:tc>
        <w:tc>
          <w:tcPr>
            <w:tcW w:w="756" w:type="pct"/>
            <w:tcBorders>
              <w:top w:val="nil"/>
              <w:left w:val="nil"/>
              <w:bottom w:val="single" w:color="auto" w:sz="4" w:space="0"/>
              <w:right w:val="single" w:color="auto" w:sz="4" w:space="0"/>
            </w:tcBorders>
            <w:shd w:val="clear" w:color="auto" w:fill="auto"/>
            <w:vAlign w:val="center"/>
          </w:tcPr>
          <w:p w14:paraId="4C7950FB">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100≤Y＜2000</w:t>
            </w:r>
          </w:p>
        </w:tc>
        <w:tc>
          <w:tcPr>
            <w:tcW w:w="524" w:type="pct"/>
            <w:tcBorders>
              <w:top w:val="nil"/>
              <w:left w:val="nil"/>
              <w:bottom w:val="single" w:color="auto" w:sz="4" w:space="0"/>
              <w:right w:val="nil"/>
            </w:tcBorders>
            <w:shd w:val="clear" w:color="auto" w:fill="auto"/>
            <w:vAlign w:val="center"/>
          </w:tcPr>
          <w:p w14:paraId="5C28BE29">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Y＜100</w:t>
            </w:r>
          </w:p>
        </w:tc>
      </w:tr>
      <w:tr w14:paraId="7575276C">
        <w:tblPrEx>
          <w:tblCellMar>
            <w:top w:w="0" w:type="dxa"/>
            <w:left w:w="108" w:type="dxa"/>
            <w:bottom w:w="0" w:type="dxa"/>
            <w:right w:w="108" w:type="dxa"/>
          </w:tblCellMar>
        </w:tblPrEx>
        <w:trPr>
          <w:trHeight w:val="409" w:hRule="exact"/>
          <w:jc w:val="center"/>
        </w:trPr>
        <w:tc>
          <w:tcPr>
            <w:tcW w:w="1121" w:type="pct"/>
            <w:vMerge w:val="restart"/>
            <w:tcBorders>
              <w:top w:val="nil"/>
              <w:left w:val="nil"/>
              <w:bottom w:val="single" w:color="auto" w:sz="4" w:space="0"/>
              <w:right w:val="single" w:color="auto" w:sz="4" w:space="0"/>
            </w:tcBorders>
            <w:shd w:val="clear" w:color="auto" w:fill="auto"/>
            <w:vAlign w:val="center"/>
          </w:tcPr>
          <w:p w14:paraId="6226AA49">
            <w:pPr>
              <w:keepNext w:val="0"/>
              <w:keepLines w:val="0"/>
              <w:suppressLineNumbers w:val="0"/>
              <w:spacing w:before="0" w:beforeAutospacing="0" w:after="0" w:afterAutospacing="0" w:line="240" w:lineRule="exact"/>
              <w:ind w:left="0" w:right="0"/>
              <w:rPr>
                <w:rFonts w:hint="eastAsia" w:ascii="宋体" w:hAnsi="宋体" w:eastAsia="宋体" w:cs="宋体"/>
                <w:color w:val="000000"/>
                <w:sz w:val="21"/>
                <w:szCs w:val="21"/>
              </w:rPr>
            </w:pPr>
            <w:r>
              <w:rPr>
                <w:rFonts w:hint="eastAsia" w:ascii="宋体" w:hAnsi="宋体" w:eastAsia="宋体" w:cs="宋体"/>
                <w:color w:val="000000"/>
                <w:sz w:val="21"/>
                <w:szCs w:val="21"/>
              </w:rPr>
              <w:t>信息传输业 *</w:t>
            </w:r>
          </w:p>
        </w:tc>
        <w:tc>
          <w:tcPr>
            <w:tcW w:w="725" w:type="pct"/>
            <w:tcBorders>
              <w:top w:val="nil"/>
              <w:left w:val="nil"/>
              <w:bottom w:val="nil"/>
              <w:right w:val="single" w:color="auto" w:sz="4" w:space="0"/>
            </w:tcBorders>
            <w:shd w:val="clear" w:color="auto" w:fill="auto"/>
            <w:vAlign w:val="center"/>
          </w:tcPr>
          <w:p w14:paraId="25E2BA67">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从业人员(X)</w:t>
            </w:r>
          </w:p>
        </w:tc>
        <w:tc>
          <w:tcPr>
            <w:tcW w:w="373" w:type="pct"/>
            <w:tcBorders>
              <w:top w:val="nil"/>
              <w:left w:val="nil"/>
              <w:bottom w:val="nil"/>
              <w:right w:val="single" w:color="auto" w:sz="4" w:space="0"/>
            </w:tcBorders>
            <w:shd w:val="clear" w:color="auto" w:fill="auto"/>
            <w:vAlign w:val="center"/>
          </w:tcPr>
          <w:p w14:paraId="6ED43367">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人</w:t>
            </w:r>
          </w:p>
        </w:tc>
        <w:tc>
          <w:tcPr>
            <w:tcW w:w="596" w:type="pct"/>
            <w:tcBorders>
              <w:top w:val="nil"/>
              <w:left w:val="nil"/>
              <w:bottom w:val="nil"/>
              <w:right w:val="single" w:color="auto" w:sz="4" w:space="0"/>
            </w:tcBorders>
            <w:shd w:val="clear" w:color="auto" w:fill="auto"/>
            <w:vAlign w:val="center"/>
          </w:tcPr>
          <w:p w14:paraId="00AB5C4D">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X≥2000</w:t>
            </w:r>
          </w:p>
        </w:tc>
        <w:tc>
          <w:tcPr>
            <w:tcW w:w="901" w:type="pct"/>
            <w:tcBorders>
              <w:top w:val="nil"/>
              <w:left w:val="nil"/>
              <w:bottom w:val="nil"/>
              <w:right w:val="single" w:color="auto" w:sz="4" w:space="0"/>
            </w:tcBorders>
            <w:shd w:val="clear" w:color="auto" w:fill="auto"/>
            <w:vAlign w:val="center"/>
          </w:tcPr>
          <w:p w14:paraId="197F2CE6">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100≤X＜2000</w:t>
            </w:r>
          </w:p>
        </w:tc>
        <w:tc>
          <w:tcPr>
            <w:tcW w:w="756" w:type="pct"/>
            <w:tcBorders>
              <w:top w:val="nil"/>
              <w:left w:val="nil"/>
              <w:bottom w:val="nil"/>
              <w:right w:val="single" w:color="auto" w:sz="4" w:space="0"/>
            </w:tcBorders>
            <w:shd w:val="clear" w:color="auto" w:fill="auto"/>
            <w:vAlign w:val="center"/>
          </w:tcPr>
          <w:p w14:paraId="5F082A7A">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10≤X＜100</w:t>
            </w:r>
          </w:p>
        </w:tc>
        <w:tc>
          <w:tcPr>
            <w:tcW w:w="524" w:type="pct"/>
            <w:tcBorders>
              <w:top w:val="nil"/>
              <w:left w:val="nil"/>
              <w:bottom w:val="nil"/>
              <w:right w:val="nil"/>
            </w:tcBorders>
            <w:shd w:val="clear" w:color="auto" w:fill="auto"/>
            <w:vAlign w:val="center"/>
          </w:tcPr>
          <w:p w14:paraId="35549423">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X＜10</w:t>
            </w:r>
          </w:p>
        </w:tc>
      </w:tr>
      <w:tr w14:paraId="6E0BA73F">
        <w:tblPrEx>
          <w:tblCellMar>
            <w:top w:w="0" w:type="dxa"/>
            <w:left w:w="108" w:type="dxa"/>
            <w:bottom w:w="0" w:type="dxa"/>
            <w:right w:w="108" w:type="dxa"/>
          </w:tblCellMar>
        </w:tblPrEx>
        <w:trPr>
          <w:trHeight w:val="539" w:hRule="exact"/>
          <w:jc w:val="center"/>
        </w:trPr>
        <w:tc>
          <w:tcPr>
            <w:tcW w:w="1121" w:type="pct"/>
            <w:vMerge w:val="continue"/>
            <w:tcBorders>
              <w:top w:val="nil"/>
              <w:left w:val="nil"/>
              <w:bottom w:val="single" w:color="auto" w:sz="4" w:space="0"/>
              <w:right w:val="single" w:color="auto" w:sz="4" w:space="0"/>
            </w:tcBorders>
            <w:vAlign w:val="center"/>
          </w:tcPr>
          <w:p w14:paraId="628CFDAB">
            <w:pPr>
              <w:keepNext w:val="0"/>
              <w:keepLines w:val="0"/>
              <w:suppressLineNumbers w:val="0"/>
              <w:spacing w:before="0" w:beforeAutospacing="0" w:after="0" w:afterAutospacing="0"/>
              <w:ind w:left="0" w:right="0"/>
              <w:rPr>
                <w:rFonts w:hint="eastAsia" w:ascii="宋体" w:hAnsi="宋体" w:eastAsia="宋体" w:cs="宋体"/>
                <w:color w:val="000000"/>
                <w:sz w:val="21"/>
                <w:szCs w:val="21"/>
              </w:rPr>
            </w:pPr>
          </w:p>
        </w:tc>
        <w:tc>
          <w:tcPr>
            <w:tcW w:w="725" w:type="pct"/>
            <w:tcBorders>
              <w:top w:val="nil"/>
              <w:left w:val="nil"/>
              <w:bottom w:val="single" w:color="auto" w:sz="4" w:space="0"/>
              <w:right w:val="single" w:color="auto" w:sz="4" w:space="0"/>
            </w:tcBorders>
            <w:shd w:val="clear" w:color="auto" w:fill="auto"/>
            <w:vAlign w:val="center"/>
          </w:tcPr>
          <w:p w14:paraId="4698AF91">
            <w:pPr>
              <w:keepNext w:val="0"/>
              <w:keepLines w:val="0"/>
              <w:suppressLineNumbers w:val="0"/>
              <w:spacing w:before="0" w:beforeAutospacing="0" w:after="0" w:afterAutospacing="0" w:line="240" w:lineRule="exact"/>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营业收入(Y)</w:t>
            </w:r>
          </w:p>
        </w:tc>
        <w:tc>
          <w:tcPr>
            <w:tcW w:w="373" w:type="pct"/>
            <w:tcBorders>
              <w:top w:val="nil"/>
              <w:left w:val="nil"/>
              <w:bottom w:val="single" w:color="auto" w:sz="4" w:space="0"/>
              <w:right w:val="single" w:color="auto" w:sz="4" w:space="0"/>
            </w:tcBorders>
            <w:shd w:val="clear" w:color="auto" w:fill="auto"/>
            <w:vAlign w:val="center"/>
          </w:tcPr>
          <w:p w14:paraId="1382F9D5">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万元</w:t>
            </w:r>
          </w:p>
        </w:tc>
        <w:tc>
          <w:tcPr>
            <w:tcW w:w="596" w:type="pct"/>
            <w:tcBorders>
              <w:top w:val="nil"/>
              <w:left w:val="nil"/>
              <w:bottom w:val="single" w:color="auto" w:sz="4" w:space="0"/>
              <w:right w:val="single" w:color="auto" w:sz="4" w:space="0"/>
            </w:tcBorders>
            <w:shd w:val="clear" w:color="auto" w:fill="auto"/>
            <w:vAlign w:val="center"/>
          </w:tcPr>
          <w:p w14:paraId="6BE5A430">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Y≥100000</w:t>
            </w:r>
          </w:p>
        </w:tc>
        <w:tc>
          <w:tcPr>
            <w:tcW w:w="901" w:type="pct"/>
            <w:tcBorders>
              <w:top w:val="nil"/>
              <w:left w:val="nil"/>
              <w:bottom w:val="single" w:color="auto" w:sz="4" w:space="0"/>
              <w:right w:val="single" w:color="auto" w:sz="4" w:space="0"/>
            </w:tcBorders>
            <w:shd w:val="clear" w:color="auto" w:fill="auto"/>
            <w:vAlign w:val="center"/>
          </w:tcPr>
          <w:p w14:paraId="3317A588">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1000≤Y＜100000</w:t>
            </w:r>
          </w:p>
        </w:tc>
        <w:tc>
          <w:tcPr>
            <w:tcW w:w="756" w:type="pct"/>
            <w:tcBorders>
              <w:top w:val="nil"/>
              <w:left w:val="nil"/>
              <w:bottom w:val="single" w:color="auto" w:sz="4" w:space="0"/>
              <w:right w:val="single" w:color="auto" w:sz="4" w:space="0"/>
            </w:tcBorders>
            <w:shd w:val="clear" w:color="auto" w:fill="auto"/>
            <w:vAlign w:val="center"/>
          </w:tcPr>
          <w:p w14:paraId="0F1A4FC8">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100≤Y＜1000</w:t>
            </w:r>
          </w:p>
        </w:tc>
        <w:tc>
          <w:tcPr>
            <w:tcW w:w="524" w:type="pct"/>
            <w:tcBorders>
              <w:top w:val="nil"/>
              <w:left w:val="nil"/>
              <w:bottom w:val="single" w:color="auto" w:sz="4" w:space="0"/>
              <w:right w:val="nil"/>
            </w:tcBorders>
            <w:shd w:val="clear" w:color="auto" w:fill="auto"/>
            <w:vAlign w:val="center"/>
          </w:tcPr>
          <w:p w14:paraId="7F5996BD">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Y＜100</w:t>
            </w:r>
          </w:p>
        </w:tc>
      </w:tr>
      <w:tr w14:paraId="77210C39">
        <w:tblPrEx>
          <w:tblCellMar>
            <w:top w:w="0" w:type="dxa"/>
            <w:left w:w="108" w:type="dxa"/>
            <w:bottom w:w="0" w:type="dxa"/>
            <w:right w:w="108" w:type="dxa"/>
          </w:tblCellMar>
        </w:tblPrEx>
        <w:trPr>
          <w:trHeight w:val="351" w:hRule="exact"/>
          <w:jc w:val="center"/>
        </w:trPr>
        <w:tc>
          <w:tcPr>
            <w:tcW w:w="1121" w:type="pct"/>
            <w:vMerge w:val="restart"/>
            <w:tcBorders>
              <w:top w:val="single" w:color="auto" w:sz="4" w:space="0"/>
              <w:left w:val="nil"/>
              <w:bottom w:val="single" w:color="auto" w:sz="4" w:space="0"/>
              <w:right w:val="single" w:color="auto" w:sz="4" w:space="0"/>
            </w:tcBorders>
            <w:shd w:val="clear" w:color="auto" w:fill="auto"/>
            <w:vAlign w:val="center"/>
          </w:tcPr>
          <w:p w14:paraId="45B417F5">
            <w:pPr>
              <w:keepNext w:val="0"/>
              <w:keepLines w:val="0"/>
              <w:suppressLineNumbers w:val="0"/>
              <w:spacing w:before="0" w:beforeAutospacing="0" w:after="0" w:afterAutospacing="0" w:line="240" w:lineRule="exact"/>
              <w:ind w:left="0" w:right="0"/>
              <w:rPr>
                <w:rFonts w:hint="eastAsia" w:ascii="宋体" w:hAnsi="宋体" w:eastAsia="宋体" w:cs="宋体"/>
                <w:color w:val="000000"/>
                <w:spacing w:val="-12"/>
                <w:sz w:val="21"/>
                <w:szCs w:val="21"/>
              </w:rPr>
            </w:pPr>
            <w:r>
              <w:rPr>
                <w:rFonts w:hint="eastAsia" w:ascii="宋体" w:hAnsi="宋体" w:eastAsia="宋体" w:cs="宋体"/>
                <w:color w:val="000000"/>
                <w:spacing w:val="-12"/>
                <w:sz w:val="21"/>
                <w:szCs w:val="21"/>
              </w:rPr>
              <w:t>软件和信息技术服</w:t>
            </w:r>
            <w:r>
              <w:rPr>
                <w:rFonts w:hint="eastAsia" w:ascii="宋体" w:hAnsi="宋体" w:eastAsia="宋体" w:cs="宋体"/>
                <w:color w:val="000000"/>
                <w:sz w:val="21"/>
                <w:szCs w:val="21"/>
              </w:rPr>
              <w:t>务业</w:t>
            </w:r>
          </w:p>
        </w:tc>
        <w:tc>
          <w:tcPr>
            <w:tcW w:w="725" w:type="pct"/>
            <w:tcBorders>
              <w:top w:val="nil"/>
              <w:left w:val="nil"/>
              <w:bottom w:val="nil"/>
              <w:right w:val="single" w:color="auto" w:sz="4" w:space="0"/>
            </w:tcBorders>
            <w:shd w:val="clear" w:color="auto" w:fill="auto"/>
            <w:vAlign w:val="center"/>
          </w:tcPr>
          <w:p w14:paraId="2D4225BB">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从业人员(X)</w:t>
            </w:r>
          </w:p>
        </w:tc>
        <w:tc>
          <w:tcPr>
            <w:tcW w:w="373" w:type="pct"/>
            <w:tcBorders>
              <w:top w:val="nil"/>
              <w:left w:val="nil"/>
              <w:bottom w:val="nil"/>
              <w:right w:val="single" w:color="auto" w:sz="4" w:space="0"/>
            </w:tcBorders>
            <w:shd w:val="clear" w:color="auto" w:fill="auto"/>
            <w:vAlign w:val="center"/>
          </w:tcPr>
          <w:p w14:paraId="697ADFEE">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人</w:t>
            </w:r>
          </w:p>
        </w:tc>
        <w:tc>
          <w:tcPr>
            <w:tcW w:w="596" w:type="pct"/>
            <w:tcBorders>
              <w:top w:val="nil"/>
              <w:left w:val="nil"/>
              <w:bottom w:val="nil"/>
              <w:right w:val="single" w:color="auto" w:sz="4" w:space="0"/>
            </w:tcBorders>
            <w:shd w:val="clear" w:color="auto" w:fill="auto"/>
            <w:vAlign w:val="center"/>
          </w:tcPr>
          <w:p w14:paraId="0B1BCBEC">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X≥300</w:t>
            </w:r>
          </w:p>
        </w:tc>
        <w:tc>
          <w:tcPr>
            <w:tcW w:w="901" w:type="pct"/>
            <w:tcBorders>
              <w:top w:val="nil"/>
              <w:left w:val="nil"/>
              <w:bottom w:val="nil"/>
              <w:right w:val="single" w:color="auto" w:sz="4" w:space="0"/>
            </w:tcBorders>
            <w:shd w:val="clear" w:color="auto" w:fill="auto"/>
            <w:vAlign w:val="center"/>
          </w:tcPr>
          <w:p w14:paraId="51D17C8C">
            <w:pPr>
              <w:keepNext w:val="0"/>
              <w:keepLines w:val="0"/>
              <w:suppressLineNumbers w:val="0"/>
              <w:spacing w:before="0" w:beforeAutospacing="0" w:after="0" w:afterAutospacing="0"/>
              <w:ind w:left="19" w:leftChars="-51" w:right="0" w:hanging="126" w:hangingChars="60"/>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100≤X＜300 </w:t>
            </w:r>
          </w:p>
        </w:tc>
        <w:tc>
          <w:tcPr>
            <w:tcW w:w="756" w:type="pct"/>
            <w:tcBorders>
              <w:top w:val="nil"/>
              <w:left w:val="nil"/>
              <w:bottom w:val="nil"/>
              <w:right w:val="single" w:color="auto" w:sz="4" w:space="0"/>
            </w:tcBorders>
            <w:shd w:val="clear" w:color="auto" w:fill="auto"/>
            <w:vAlign w:val="center"/>
          </w:tcPr>
          <w:p w14:paraId="02891EDB">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10≤X＜100</w:t>
            </w:r>
          </w:p>
        </w:tc>
        <w:tc>
          <w:tcPr>
            <w:tcW w:w="524" w:type="pct"/>
            <w:tcBorders>
              <w:top w:val="nil"/>
              <w:left w:val="nil"/>
              <w:bottom w:val="nil"/>
              <w:right w:val="nil"/>
            </w:tcBorders>
            <w:shd w:val="clear" w:color="auto" w:fill="auto"/>
            <w:vAlign w:val="center"/>
          </w:tcPr>
          <w:p w14:paraId="0E558612">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X＜10</w:t>
            </w:r>
          </w:p>
        </w:tc>
      </w:tr>
      <w:tr w14:paraId="384D51DB">
        <w:tblPrEx>
          <w:tblCellMar>
            <w:top w:w="0" w:type="dxa"/>
            <w:left w:w="108" w:type="dxa"/>
            <w:bottom w:w="0" w:type="dxa"/>
            <w:right w:w="108" w:type="dxa"/>
          </w:tblCellMar>
        </w:tblPrEx>
        <w:trPr>
          <w:trHeight w:val="523" w:hRule="exact"/>
          <w:jc w:val="center"/>
        </w:trPr>
        <w:tc>
          <w:tcPr>
            <w:tcW w:w="1121" w:type="pct"/>
            <w:vMerge w:val="continue"/>
            <w:tcBorders>
              <w:top w:val="single" w:color="auto" w:sz="4" w:space="0"/>
              <w:left w:val="nil"/>
              <w:bottom w:val="single" w:color="auto" w:sz="4" w:space="0"/>
              <w:right w:val="single" w:color="auto" w:sz="4" w:space="0"/>
            </w:tcBorders>
            <w:vAlign w:val="center"/>
          </w:tcPr>
          <w:p w14:paraId="61B7FD76">
            <w:pPr>
              <w:keepNext w:val="0"/>
              <w:keepLines w:val="0"/>
              <w:suppressLineNumbers w:val="0"/>
              <w:spacing w:before="0" w:beforeAutospacing="0" w:after="0" w:afterAutospacing="0"/>
              <w:ind w:left="0" w:right="0"/>
              <w:rPr>
                <w:rFonts w:hint="eastAsia" w:ascii="宋体" w:hAnsi="宋体" w:eastAsia="宋体" w:cs="宋体"/>
                <w:color w:val="000000"/>
                <w:spacing w:val="-12"/>
                <w:sz w:val="21"/>
                <w:szCs w:val="21"/>
              </w:rPr>
            </w:pPr>
          </w:p>
        </w:tc>
        <w:tc>
          <w:tcPr>
            <w:tcW w:w="725" w:type="pct"/>
            <w:tcBorders>
              <w:top w:val="nil"/>
              <w:left w:val="nil"/>
              <w:bottom w:val="single" w:color="auto" w:sz="4" w:space="0"/>
              <w:right w:val="single" w:color="auto" w:sz="4" w:space="0"/>
            </w:tcBorders>
            <w:shd w:val="clear" w:color="auto" w:fill="auto"/>
            <w:vAlign w:val="center"/>
          </w:tcPr>
          <w:p w14:paraId="48F14E65">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营业收入(Y)</w:t>
            </w:r>
          </w:p>
        </w:tc>
        <w:tc>
          <w:tcPr>
            <w:tcW w:w="373" w:type="pct"/>
            <w:tcBorders>
              <w:top w:val="nil"/>
              <w:left w:val="nil"/>
              <w:bottom w:val="single" w:color="auto" w:sz="4" w:space="0"/>
              <w:right w:val="single" w:color="auto" w:sz="4" w:space="0"/>
            </w:tcBorders>
            <w:shd w:val="clear" w:color="auto" w:fill="auto"/>
            <w:vAlign w:val="center"/>
          </w:tcPr>
          <w:p w14:paraId="46C8D6CC">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万元</w:t>
            </w:r>
          </w:p>
        </w:tc>
        <w:tc>
          <w:tcPr>
            <w:tcW w:w="596" w:type="pct"/>
            <w:tcBorders>
              <w:top w:val="nil"/>
              <w:left w:val="nil"/>
              <w:bottom w:val="single" w:color="auto" w:sz="4" w:space="0"/>
              <w:right w:val="single" w:color="auto" w:sz="4" w:space="0"/>
            </w:tcBorders>
            <w:shd w:val="clear" w:color="auto" w:fill="auto"/>
            <w:vAlign w:val="center"/>
          </w:tcPr>
          <w:p w14:paraId="620E34CF">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Y≥10000</w:t>
            </w:r>
          </w:p>
        </w:tc>
        <w:tc>
          <w:tcPr>
            <w:tcW w:w="901" w:type="pct"/>
            <w:tcBorders>
              <w:top w:val="nil"/>
              <w:left w:val="nil"/>
              <w:bottom w:val="single" w:color="auto" w:sz="4" w:space="0"/>
              <w:right w:val="single" w:color="auto" w:sz="4" w:space="0"/>
            </w:tcBorders>
            <w:shd w:val="clear" w:color="auto" w:fill="auto"/>
            <w:vAlign w:val="center"/>
          </w:tcPr>
          <w:p w14:paraId="29C41C52">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1000≤Y＜10000</w:t>
            </w:r>
          </w:p>
        </w:tc>
        <w:tc>
          <w:tcPr>
            <w:tcW w:w="756" w:type="pct"/>
            <w:tcBorders>
              <w:top w:val="nil"/>
              <w:left w:val="nil"/>
              <w:bottom w:val="single" w:color="auto" w:sz="4" w:space="0"/>
              <w:right w:val="single" w:color="auto" w:sz="4" w:space="0"/>
            </w:tcBorders>
            <w:shd w:val="clear" w:color="auto" w:fill="auto"/>
            <w:vAlign w:val="center"/>
          </w:tcPr>
          <w:p w14:paraId="30D5967E">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50≤Y＜1000</w:t>
            </w:r>
          </w:p>
        </w:tc>
        <w:tc>
          <w:tcPr>
            <w:tcW w:w="524" w:type="pct"/>
            <w:tcBorders>
              <w:top w:val="nil"/>
              <w:left w:val="nil"/>
              <w:bottom w:val="single" w:color="auto" w:sz="4" w:space="0"/>
              <w:right w:val="nil"/>
            </w:tcBorders>
            <w:shd w:val="clear" w:color="auto" w:fill="auto"/>
            <w:vAlign w:val="center"/>
          </w:tcPr>
          <w:p w14:paraId="3AD7B855">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Y＜50</w:t>
            </w:r>
          </w:p>
        </w:tc>
      </w:tr>
      <w:tr w14:paraId="602EC54F">
        <w:tblPrEx>
          <w:tblCellMar>
            <w:top w:w="0" w:type="dxa"/>
            <w:left w:w="108" w:type="dxa"/>
            <w:bottom w:w="0" w:type="dxa"/>
            <w:right w:w="108" w:type="dxa"/>
          </w:tblCellMar>
        </w:tblPrEx>
        <w:trPr>
          <w:trHeight w:val="493" w:hRule="exact"/>
          <w:jc w:val="center"/>
        </w:trPr>
        <w:tc>
          <w:tcPr>
            <w:tcW w:w="1121" w:type="pct"/>
            <w:vMerge w:val="restart"/>
            <w:tcBorders>
              <w:top w:val="nil"/>
              <w:left w:val="nil"/>
              <w:bottom w:val="single" w:color="auto" w:sz="4" w:space="0"/>
              <w:right w:val="single" w:color="auto" w:sz="4" w:space="0"/>
            </w:tcBorders>
            <w:shd w:val="clear" w:color="auto" w:fill="auto"/>
            <w:vAlign w:val="center"/>
          </w:tcPr>
          <w:p w14:paraId="481C872B">
            <w:pPr>
              <w:keepNext w:val="0"/>
              <w:keepLines w:val="0"/>
              <w:suppressLineNumbers w:val="0"/>
              <w:spacing w:before="0" w:beforeAutospacing="0" w:after="0" w:afterAutospacing="0" w:line="240" w:lineRule="exact"/>
              <w:ind w:left="0" w:right="0"/>
              <w:rPr>
                <w:rFonts w:hint="eastAsia" w:ascii="宋体" w:hAnsi="宋体" w:eastAsia="宋体" w:cs="宋体"/>
                <w:color w:val="000000"/>
                <w:sz w:val="21"/>
                <w:szCs w:val="21"/>
              </w:rPr>
            </w:pPr>
            <w:r>
              <w:rPr>
                <w:rFonts w:hint="eastAsia" w:ascii="宋体" w:hAnsi="宋体" w:eastAsia="宋体" w:cs="宋体"/>
                <w:color w:val="000000"/>
                <w:sz w:val="21"/>
                <w:szCs w:val="21"/>
              </w:rPr>
              <w:t>房地产开发经营</w:t>
            </w:r>
          </w:p>
        </w:tc>
        <w:tc>
          <w:tcPr>
            <w:tcW w:w="725" w:type="pct"/>
            <w:tcBorders>
              <w:top w:val="nil"/>
              <w:left w:val="nil"/>
              <w:bottom w:val="nil"/>
              <w:right w:val="single" w:color="auto" w:sz="4" w:space="0"/>
            </w:tcBorders>
            <w:shd w:val="clear" w:color="auto" w:fill="auto"/>
            <w:vAlign w:val="center"/>
          </w:tcPr>
          <w:p w14:paraId="45CCA4E3">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营业收入(Y)</w:t>
            </w:r>
          </w:p>
        </w:tc>
        <w:tc>
          <w:tcPr>
            <w:tcW w:w="373" w:type="pct"/>
            <w:tcBorders>
              <w:top w:val="nil"/>
              <w:left w:val="nil"/>
              <w:bottom w:val="nil"/>
              <w:right w:val="single" w:color="auto" w:sz="4" w:space="0"/>
            </w:tcBorders>
            <w:shd w:val="clear" w:color="auto" w:fill="auto"/>
            <w:vAlign w:val="center"/>
          </w:tcPr>
          <w:p w14:paraId="57584D38">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万元</w:t>
            </w:r>
          </w:p>
        </w:tc>
        <w:tc>
          <w:tcPr>
            <w:tcW w:w="596" w:type="pct"/>
            <w:tcBorders>
              <w:top w:val="nil"/>
              <w:left w:val="nil"/>
              <w:bottom w:val="nil"/>
              <w:right w:val="single" w:color="auto" w:sz="4" w:space="0"/>
            </w:tcBorders>
            <w:shd w:val="clear" w:color="auto" w:fill="auto"/>
            <w:vAlign w:val="center"/>
          </w:tcPr>
          <w:p w14:paraId="22560B06">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Y≥200000</w:t>
            </w:r>
          </w:p>
        </w:tc>
        <w:tc>
          <w:tcPr>
            <w:tcW w:w="901" w:type="pct"/>
            <w:tcBorders>
              <w:top w:val="nil"/>
              <w:left w:val="nil"/>
              <w:bottom w:val="nil"/>
              <w:right w:val="single" w:color="auto" w:sz="4" w:space="0"/>
            </w:tcBorders>
            <w:shd w:val="clear" w:color="auto" w:fill="auto"/>
            <w:vAlign w:val="center"/>
          </w:tcPr>
          <w:p w14:paraId="1CF8A84A">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1000≤Y＜200000</w:t>
            </w:r>
          </w:p>
        </w:tc>
        <w:tc>
          <w:tcPr>
            <w:tcW w:w="756" w:type="pct"/>
            <w:tcBorders>
              <w:top w:val="nil"/>
              <w:left w:val="nil"/>
              <w:bottom w:val="nil"/>
              <w:right w:val="single" w:color="auto" w:sz="4" w:space="0"/>
            </w:tcBorders>
            <w:shd w:val="clear" w:color="auto" w:fill="auto"/>
            <w:vAlign w:val="center"/>
          </w:tcPr>
          <w:p w14:paraId="110E5735">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100≤Y＜1000</w:t>
            </w:r>
          </w:p>
        </w:tc>
        <w:tc>
          <w:tcPr>
            <w:tcW w:w="524" w:type="pct"/>
            <w:tcBorders>
              <w:top w:val="nil"/>
              <w:left w:val="nil"/>
              <w:bottom w:val="nil"/>
              <w:right w:val="nil"/>
            </w:tcBorders>
            <w:shd w:val="clear" w:color="auto" w:fill="auto"/>
            <w:vAlign w:val="center"/>
          </w:tcPr>
          <w:p w14:paraId="775C6027">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Y＜100</w:t>
            </w:r>
          </w:p>
        </w:tc>
      </w:tr>
      <w:tr w14:paraId="30A1D483">
        <w:tblPrEx>
          <w:tblCellMar>
            <w:top w:w="0" w:type="dxa"/>
            <w:left w:w="108" w:type="dxa"/>
            <w:bottom w:w="0" w:type="dxa"/>
            <w:right w:w="108" w:type="dxa"/>
          </w:tblCellMar>
        </w:tblPrEx>
        <w:trPr>
          <w:trHeight w:val="523" w:hRule="exact"/>
          <w:jc w:val="center"/>
        </w:trPr>
        <w:tc>
          <w:tcPr>
            <w:tcW w:w="1121" w:type="pct"/>
            <w:vMerge w:val="continue"/>
            <w:tcBorders>
              <w:top w:val="nil"/>
              <w:left w:val="nil"/>
              <w:bottom w:val="single" w:color="auto" w:sz="4" w:space="0"/>
              <w:right w:val="single" w:color="auto" w:sz="4" w:space="0"/>
            </w:tcBorders>
            <w:vAlign w:val="center"/>
          </w:tcPr>
          <w:p w14:paraId="7318124B">
            <w:pPr>
              <w:keepNext w:val="0"/>
              <w:keepLines w:val="0"/>
              <w:suppressLineNumbers w:val="0"/>
              <w:spacing w:before="0" w:beforeAutospacing="0" w:after="0" w:afterAutospacing="0"/>
              <w:ind w:left="0" w:right="0"/>
              <w:rPr>
                <w:rFonts w:hint="eastAsia" w:ascii="宋体" w:hAnsi="宋体" w:eastAsia="宋体" w:cs="宋体"/>
                <w:color w:val="000000"/>
                <w:sz w:val="21"/>
                <w:szCs w:val="21"/>
              </w:rPr>
            </w:pPr>
          </w:p>
        </w:tc>
        <w:tc>
          <w:tcPr>
            <w:tcW w:w="725" w:type="pct"/>
            <w:tcBorders>
              <w:top w:val="nil"/>
              <w:left w:val="nil"/>
              <w:bottom w:val="single" w:color="auto" w:sz="4" w:space="0"/>
              <w:right w:val="single" w:color="auto" w:sz="4" w:space="0"/>
            </w:tcBorders>
            <w:shd w:val="clear" w:color="auto" w:fill="auto"/>
            <w:vAlign w:val="center"/>
          </w:tcPr>
          <w:p w14:paraId="05C63367">
            <w:pPr>
              <w:keepNext w:val="0"/>
              <w:keepLines w:val="0"/>
              <w:suppressLineNumbers w:val="0"/>
              <w:spacing w:before="0" w:beforeAutospacing="0" w:after="0" w:afterAutospacing="0" w:line="240" w:lineRule="exact"/>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资产总额(Z)</w:t>
            </w:r>
          </w:p>
        </w:tc>
        <w:tc>
          <w:tcPr>
            <w:tcW w:w="373" w:type="pct"/>
            <w:tcBorders>
              <w:top w:val="nil"/>
              <w:left w:val="nil"/>
              <w:bottom w:val="single" w:color="auto" w:sz="4" w:space="0"/>
              <w:right w:val="single" w:color="auto" w:sz="4" w:space="0"/>
            </w:tcBorders>
            <w:shd w:val="clear" w:color="auto" w:fill="auto"/>
            <w:vAlign w:val="center"/>
          </w:tcPr>
          <w:p w14:paraId="4036377D">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万元</w:t>
            </w:r>
          </w:p>
        </w:tc>
        <w:tc>
          <w:tcPr>
            <w:tcW w:w="596" w:type="pct"/>
            <w:tcBorders>
              <w:top w:val="nil"/>
              <w:left w:val="nil"/>
              <w:bottom w:val="single" w:color="auto" w:sz="4" w:space="0"/>
              <w:right w:val="single" w:color="auto" w:sz="4" w:space="0"/>
            </w:tcBorders>
            <w:shd w:val="clear" w:color="auto" w:fill="auto"/>
            <w:vAlign w:val="center"/>
          </w:tcPr>
          <w:p w14:paraId="7F8A5B46">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Z≥10000</w:t>
            </w:r>
          </w:p>
        </w:tc>
        <w:tc>
          <w:tcPr>
            <w:tcW w:w="901" w:type="pct"/>
            <w:tcBorders>
              <w:top w:val="nil"/>
              <w:left w:val="nil"/>
              <w:bottom w:val="single" w:color="auto" w:sz="4" w:space="0"/>
              <w:right w:val="single" w:color="auto" w:sz="4" w:space="0"/>
            </w:tcBorders>
            <w:shd w:val="clear" w:color="auto" w:fill="auto"/>
            <w:vAlign w:val="center"/>
          </w:tcPr>
          <w:p w14:paraId="33E1CA9A">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5000≤Z＜10000</w:t>
            </w:r>
          </w:p>
        </w:tc>
        <w:tc>
          <w:tcPr>
            <w:tcW w:w="756" w:type="pct"/>
            <w:tcBorders>
              <w:top w:val="nil"/>
              <w:left w:val="nil"/>
              <w:bottom w:val="single" w:color="auto" w:sz="4" w:space="0"/>
              <w:right w:val="single" w:color="auto" w:sz="4" w:space="0"/>
            </w:tcBorders>
            <w:shd w:val="clear" w:color="auto" w:fill="auto"/>
            <w:vAlign w:val="center"/>
          </w:tcPr>
          <w:p w14:paraId="6E2F9233">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2000≤Z＜5000</w:t>
            </w:r>
          </w:p>
        </w:tc>
        <w:tc>
          <w:tcPr>
            <w:tcW w:w="524" w:type="pct"/>
            <w:tcBorders>
              <w:top w:val="nil"/>
              <w:left w:val="nil"/>
              <w:bottom w:val="single" w:color="auto" w:sz="4" w:space="0"/>
              <w:right w:val="nil"/>
            </w:tcBorders>
            <w:shd w:val="clear" w:color="auto" w:fill="auto"/>
            <w:vAlign w:val="center"/>
          </w:tcPr>
          <w:p w14:paraId="0AA13F77">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Z＜2000</w:t>
            </w:r>
          </w:p>
        </w:tc>
      </w:tr>
      <w:tr w14:paraId="52DD8552">
        <w:tblPrEx>
          <w:tblCellMar>
            <w:top w:w="0" w:type="dxa"/>
            <w:left w:w="108" w:type="dxa"/>
            <w:bottom w:w="0" w:type="dxa"/>
            <w:right w:w="108" w:type="dxa"/>
          </w:tblCellMar>
        </w:tblPrEx>
        <w:trPr>
          <w:trHeight w:val="351" w:hRule="exact"/>
          <w:jc w:val="center"/>
        </w:trPr>
        <w:tc>
          <w:tcPr>
            <w:tcW w:w="1121" w:type="pct"/>
            <w:vMerge w:val="restart"/>
            <w:tcBorders>
              <w:top w:val="nil"/>
              <w:left w:val="nil"/>
              <w:bottom w:val="single" w:color="auto" w:sz="4" w:space="0"/>
              <w:right w:val="single" w:color="auto" w:sz="4" w:space="0"/>
            </w:tcBorders>
            <w:shd w:val="clear" w:color="auto" w:fill="auto"/>
            <w:vAlign w:val="center"/>
          </w:tcPr>
          <w:p w14:paraId="04FE9FA7">
            <w:pPr>
              <w:keepNext w:val="0"/>
              <w:keepLines w:val="0"/>
              <w:suppressLineNumbers w:val="0"/>
              <w:spacing w:before="0" w:beforeAutospacing="0" w:after="0" w:afterAutospacing="0" w:line="240" w:lineRule="exact"/>
              <w:ind w:left="0" w:right="0"/>
              <w:rPr>
                <w:rFonts w:hint="eastAsia" w:ascii="宋体" w:hAnsi="宋体" w:eastAsia="宋体" w:cs="宋体"/>
                <w:color w:val="000000"/>
                <w:sz w:val="21"/>
                <w:szCs w:val="21"/>
              </w:rPr>
            </w:pPr>
            <w:r>
              <w:rPr>
                <w:rFonts w:hint="eastAsia" w:ascii="宋体" w:hAnsi="宋体" w:eastAsia="宋体" w:cs="宋体"/>
                <w:color w:val="000000"/>
                <w:sz w:val="21"/>
                <w:szCs w:val="21"/>
              </w:rPr>
              <w:t>物业管理</w:t>
            </w:r>
          </w:p>
        </w:tc>
        <w:tc>
          <w:tcPr>
            <w:tcW w:w="725" w:type="pct"/>
            <w:tcBorders>
              <w:top w:val="nil"/>
              <w:left w:val="nil"/>
              <w:bottom w:val="nil"/>
              <w:right w:val="single" w:color="auto" w:sz="4" w:space="0"/>
            </w:tcBorders>
            <w:shd w:val="clear" w:color="auto" w:fill="auto"/>
            <w:vAlign w:val="center"/>
          </w:tcPr>
          <w:p w14:paraId="76300608">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从业人员(X)</w:t>
            </w:r>
          </w:p>
        </w:tc>
        <w:tc>
          <w:tcPr>
            <w:tcW w:w="373" w:type="pct"/>
            <w:tcBorders>
              <w:top w:val="nil"/>
              <w:left w:val="nil"/>
              <w:bottom w:val="nil"/>
              <w:right w:val="single" w:color="auto" w:sz="4" w:space="0"/>
            </w:tcBorders>
            <w:shd w:val="clear" w:color="auto" w:fill="auto"/>
            <w:vAlign w:val="center"/>
          </w:tcPr>
          <w:p w14:paraId="539C3CA1">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人</w:t>
            </w:r>
          </w:p>
        </w:tc>
        <w:tc>
          <w:tcPr>
            <w:tcW w:w="596" w:type="pct"/>
            <w:tcBorders>
              <w:top w:val="nil"/>
              <w:left w:val="nil"/>
              <w:bottom w:val="nil"/>
              <w:right w:val="single" w:color="auto" w:sz="4" w:space="0"/>
            </w:tcBorders>
            <w:shd w:val="clear" w:color="auto" w:fill="auto"/>
            <w:vAlign w:val="center"/>
          </w:tcPr>
          <w:p w14:paraId="0910EF2D">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X≥1000</w:t>
            </w:r>
          </w:p>
        </w:tc>
        <w:tc>
          <w:tcPr>
            <w:tcW w:w="901" w:type="pct"/>
            <w:tcBorders>
              <w:top w:val="nil"/>
              <w:left w:val="nil"/>
              <w:bottom w:val="nil"/>
              <w:right w:val="single" w:color="auto" w:sz="4" w:space="0"/>
            </w:tcBorders>
            <w:shd w:val="clear" w:color="auto" w:fill="auto"/>
            <w:vAlign w:val="center"/>
          </w:tcPr>
          <w:p w14:paraId="4FC6582E">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300≤X＜1000</w:t>
            </w:r>
          </w:p>
        </w:tc>
        <w:tc>
          <w:tcPr>
            <w:tcW w:w="756" w:type="pct"/>
            <w:tcBorders>
              <w:top w:val="nil"/>
              <w:left w:val="nil"/>
              <w:bottom w:val="nil"/>
              <w:right w:val="single" w:color="auto" w:sz="4" w:space="0"/>
            </w:tcBorders>
            <w:shd w:val="clear" w:color="auto" w:fill="auto"/>
            <w:vAlign w:val="center"/>
          </w:tcPr>
          <w:p w14:paraId="727C2942">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100≤X＜300 </w:t>
            </w:r>
          </w:p>
        </w:tc>
        <w:tc>
          <w:tcPr>
            <w:tcW w:w="524" w:type="pct"/>
            <w:tcBorders>
              <w:top w:val="nil"/>
              <w:left w:val="nil"/>
              <w:bottom w:val="nil"/>
              <w:right w:val="nil"/>
            </w:tcBorders>
            <w:shd w:val="clear" w:color="auto" w:fill="auto"/>
            <w:vAlign w:val="center"/>
          </w:tcPr>
          <w:p w14:paraId="14AE39AC">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X＜100</w:t>
            </w:r>
          </w:p>
        </w:tc>
      </w:tr>
      <w:tr w14:paraId="13B76433">
        <w:tblPrEx>
          <w:tblCellMar>
            <w:top w:w="0" w:type="dxa"/>
            <w:left w:w="108" w:type="dxa"/>
            <w:bottom w:w="0" w:type="dxa"/>
            <w:right w:w="108" w:type="dxa"/>
          </w:tblCellMar>
        </w:tblPrEx>
        <w:trPr>
          <w:trHeight w:val="523" w:hRule="exact"/>
          <w:jc w:val="center"/>
        </w:trPr>
        <w:tc>
          <w:tcPr>
            <w:tcW w:w="1121" w:type="pct"/>
            <w:vMerge w:val="continue"/>
            <w:tcBorders>
              <w:top w:val="nil"/>
              <w:left w:val="nil"/>
              <w:bottom w:val="single" w:color="auto" w:sz="4" w:space="0"/>
              <w:right w:val="single" w:color="auto" w:sz="4" w:space="0"/>
            </w:tcBorders>
            <w:vAlign w:val="center"/>
          </w:tcPr>
          <w:p w14:paraId="1A68BC5E">
            <w:pPr>
              <w:keepNext w:val="0"/>
              <w:keepLines w:val="0"/>
              <w:suppressLineNumbers w:val="0"/>
              <w:spacing w:before="0" w:beforeAutospacing="0" w:after="0" w:afterAutospacing="0"/>
              <w:ind w:left="0" w:right="0"/>
              <w:rPr>
                <w:rFonts w:hint="eastAsia" w:ascii="宋体" w:hAnsi="宋体" w:eastAsia="宋体" w:cs="宋体"/>
                <w:color w:val="000000"/>
                <w:sz w:val="21"/>
                <w:szCs w:val="21"/>
              </w:rPr>
            </w:pPr>
          </w:p>
        </w:tc>
        <w:tc>
          <w:tcPr>
            <w:tcW w:w="725" w:type="pct"/>
            <w:tcBorders>
              <w:top w:val="nil"/>
              <w:left w:val="nil"/>
              <w:bottom w:val="single" w:color="auto" w:sz="4" w:space="0"/>
              <w:right w:val="single" w:color="auto" w:sz="4" w:space="0"/>
            </w:tcBorders>
            <w:shd w:val="clear" w:color="auto" w:fill="auto"/>
            <w:vAlign w:val="center"/>
          </w:tcPr>
          <w:p w14:paraId="16BA7C3E">
            <w:pPr>
              <w:keepNext w:val="0"/>
              <w:keepLines w:val="0"/>
              <w:suppressLineNumbers w:val="0"/>
              <w:spacing w:before="0" w:beforeAutospacing="0" w:after="0" w:afterAutospacing="0" w:line="240" w:lineRule="exact"/>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营业收入(Y)</w:t>
            </w:r>
          </w:p>
        </w:tc>
        <w:tc>
          <w:tcPr>
            <w:tcW w:w="373" w:type="pct"/>
            <w:tcBorders>
              <w:top w:val="nil"/>
              <w:left w:val="nil"/>
              <w:bottom w:val="single" w:color="auto" w:sz="4" w:space="0"/>
              <w:right w:val="single" w:color="auto" w:sz="4" w:space="0"/>
            </w:tcBorders>
            <w:shd w:val="clear" w:color="auto" w:fill="auto"/>
            <w:vAlign w:val="center"/>
          </w:tcPr>
          <w:p w14:paraId="51610F99">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万元</w:t>
            </w:r>
          </w:p>
        </w:tc>
        <w:tc>
          <w:tcPr>
            <w:tcW w:w="596" w:type="pct"/>
            <w:tcBorders>
              <w:top w:val="nil"/>
              <w:left w:val="nil"/>
              <w:bottom w:val="single" w:color="auto" w:sz="4" w:space="0"/>
              <w:right w:val="single" w:color="auto" w:sz="4" w:space="0"/>
            </w:tcBorders>
            <w:shd w:val="clear" w:color="auto" w:fill="auto"/>
            <w:vAlign w:val="center"/>
          </w:tcPr>
          <w:p w14:paraId="799D96ED">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Y≥5000</w:t>
            </w:r>
          </w:p>
        </w:tc>
        <w:tc>
          <w:tcPr>
            <w:tcW w:w="901" w:type="pct"/>
            <w:tcBorders>
              <w:top w:val="nil"/>
              <w:left w:val="nil"/>
              <w:bottom w:val="single" w:color="auto" w:sz="4" w:space="0"/>
              <w:right w:val="single" w:color="auto" w:sz="4" w:space="0"/>
            </w:tcBorders>
            <w:shd w:val="clear" w:color="auto" w:fill="auto"/>
            <w:vAlign w:val="center"/>
          </w:tcPr>
          <w:p w14:paraId="37E7E745">
            <w:pPr>
              <w:keepNext w:val="0"/>
              <w:keepLines w:val="0"/>
              <w:suppressLineNumbers w:val="0"/>
              <w:spacing w:before="0" w:beforeAutospacing="0" w:after="0" w:afterAutospacing="0"/>
              <w:ind w:left="19" w:leftChars="-51" w:right="0" w:hanging="126" w:hangingChars="60"/>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1000≤Y＜5000 </w:t>
            </w:r>
          </w:p>
        </w:tc>
        <w:tc>
          <w:tcPr>
            <w:tcW w:w="756" w:type="pct"/>
            <w:tcBorders>
              <w:top w:val="nil"/>
              <w:left w:val="nil"/>
              <w:bottom w:val="single" w:color="auto" w:sz="4" w:space="0"/>
              <w:right w:val="single" w:color="auto" w:sz="4" w:space="0"/>
            </w:tcBorders>
            <w:shd w:val="clear" w:color="auto" w:fill="auto"/>
            <w:vAlign w:val="center"/>
          </w:tcPr>
          <w:p w14:paraId="4731D9D1">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500≤Y＜1000</w:t>
            </w:r>
          </w:p>
        </w:tc>
        <w:tc>
          <w:tcPr>
            <w:tcW w:w="524" w:type="pct"/>
            <w:tcBorders>
              <w:top w:val="nil"/>
              <w:left w:val="nil"/>
              <w:bottom w:val="single" w:color="auto" w:sz="4" w:space="0"/>
              <w:right w:val="nil"/>
            </w:tcBorders>
            <w:shd w:val="clear" w:color="auto" w:fill="auto"/>
            <w:vAlign w:val="center"/>
          </w:tcPr>
          <w:p w14:paraId="29AC6199">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Y＜500</w:t>
            </w:r>
          </w:p>
        </w:tc>
      </w:tr>
      <w:tr w14:paraId="3BA7E760">
        <w:tblPrEx>
          <w:tblCellMar>
            <w:top w:w="0" w:type="dxa"/>
            <w:left w:w="108" w:type="dxa"/>
            <w:bottom w:w="0" w:type="dxa"/>
            <w:right w:w="108" w:type="dxa"/>
          </w:tblCellMar>
        </w:tblPrEx>
        <w:trPr>
          <w:trHeight w:val="351" w:hRule="exact"/>
          <w:jc w:val="center"/>
        </w:trPr>
        <w:tc>
          <w:tcPr>
            <w:tcW w:w="1121" w:type="pct"/>
            <w:vMerge w:val="restart"/>
            <w:tcBorders>
              <w:top w:val="nil"/>
              <w:left w:val="nil"/>
              <w:bottom w:val="single" w:color="auto" w:sz="4" w:space="0"/>
              <w:right w:val="single" w:color="auto" w:sz="4" w:space="0"/>
            </w:tcBorders>
            <w:shd w:val="clear" w:color="auto" w:fill="auto"/>
            <w:vAlign w:val="center"/>
          </w:tcPr>
          <w:p w14:paraId="27199F9B">
            <w:pPr>
              <w:keepNext w:val="0"/>
              <w:keepLines w:val="0"/>
              <w:suppressLineNumbers w:val="0"/>
              <w:spacing w:before="0" w:beforeAutospacing="0" w:after="0" w:afterAutospacing="0" w:line="240" w:lineRule="exact"/>
              <w:ind w:left="0" w:right="0"/>
              <w:rPr>
                <w:rFonts w:hint="eastAsia" w:ascii="宋体" w:hAnsi="宋体" w:eastAsia="宋体" w:cs="宋体"/>
                <w:color w:val="000000"/>
                <w:sz w:val="21"/>
                <w:szCs w:val="21"/>
              </w:rPr>
            </w:pPr>
            <w:r>
              <w:rPr>
                <w:rFonts w:hint="eastAsia" w:ascii="宋体" w:hAnsi="宋体" w:eastAsia="宋体" w:cs="宋体"/>
                <w:color w:val="000000"/>
                <w:sz w:val="21"/>
                <w:szCs w:val="21"/>
              </w:rPr>
              <w:t>租赁和商务服务业</w:t>
            </w:r>
          </w:p>
        </w:tc>
        <w:tc>
          <w:tcPr>
            <w:tcW w:w="725" w:type="pct"/>
            <w:tcBorders>
              <w:top w:val="nil"/>
              <w:left w:val="nil"/>
              <w:bottom w:val="nil"/>
              <w:right w:val="single" w:color="auto" w:sz="4" w:space="0"/>
            </w:tcBorders>
            <w:shd w:val="clear" w:color="auto" w:fill="auto"/>
            <w:vAlign w:val="center"/>
          </w:tcPr>
          <w:p w14:paraId="463D482E">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从业人员(X)</w:t>
            </w:r>
          </w:p>
        </w:tc>
        <w:tc>
          <w:tcPr>
            <w:tcW w:w="373" w:type="pct"/>
            <w:tcBorders>
              <w:top w:val="nil"/>
              <w:left w:val="nil"/>
              <w:bottom w:val="nil"/>
              <w:right w:val="single" w:color="auto" w:sz="4" w:space="0"/>
            </w:tcBorders>
            <w:shd w:val="clear" w:color="auto" w:fill="auto"/>
            <w:vAlign w:val="center"/>
          </w:tcPr>
          <w:p w14:paraId="1C35B237">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人</w:t>
            </w:r>
          </w:p>
        </w:tc>
        <w:tc>
          <w:tcPr>
            <w:tcW w:w="596" w:type="pct"/>
            <w:tcBorders>
              <w:top w:val="nil"/>
              <w:left w:val="nil"/>
              <w:bottom w:val="nil"/>
              <w:right w:val="single" w:color="auto" w:sz="4" w:space="0"/>
            </w:tcBorders>
            <w:shd w:val="clear" w:color="auto" w:fill="auto"/>
            <w:vAlign w:val="center"/>
          </w:tcPr>
          <w:p w14:paraId="2F820C78">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X≥300</w:t>
            </w:r>
          </w:p>
        </w:tc>
        <w:tc>
          <w:tcPr>
            <w:tcW w:w="901" w:type="pct"/>
            <w:tcBorders>
              <w:top w:val="nil"/>
              <w:left w:val="nil"/>
              <w:bottom w:val="nil"/>
              <w:right w:val="single" w:color="auto" w:sz="4" w:space="0"/>
            </w:tcBorders>
            <w:shd w:val="clear" w:color="auto" w:fill="auto"/>
            <w:vAlign w:val="center"/>
          </w:tcPr>
          <w:p w14:paraId="32D65003">
            <w:pPr>
              <w:keepNext w:val="0"/>
              <w:keepLines w:val="0"/>
              <w:suppressLineNumbers w:val="0"/>
              <w:spacing w:before="0" w:beforeAutospacing="0" w:after="0" w:afterAutospacing="0"/>
              <w:ind w:left="19" w:leftChars="-51" w:right="0" w:hanging="126" w:hangingChars="60"/>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100≤X＜300 </w:t>
            </w:r>
          </w:p>
        </w:tc>
        <w:tc>
          <w:tcPr>
            <w:tcW w:w="756" w:type="pct"/>
            <w:tcBorders>
              <w:top w:val="nil"/>
              <w:left w:val="nil"/>
              <w:bottom w:val="nil"/>
              <w:right w:val="single" w:color="auto" w:sz="4" w:space="0"/>
            </w:tcBorders>
            <w:shd w:val="clear" w:color="auto" w:fill="auto"/>
            <w:vAlign w:val="center"/>
          </w:tcPr>
          <w:p w14:paraId="4818E200">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10≤X＜100</w:t>
            </w:r>
          </w:p>
        </w:tc>
        <w:tc>
          <w:tcPr>
            <w:tcW w:w="524" w:type="pct"/>
            <w:tcBorders>
              <w:top w:val="nil"/>
              <w:left w:val="nil"/>
              <w:bottom w:val="nil"/>
              <w:right w:val="nil"/>
            </w:tcBorders>
            <w:shd w:val="clear" w:color="auto" w:fill="auto"/>
            <w:vAlign w:val="center"/>
          </w:tcPr>
          <w:p w14:paraId="643E3680">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X＜10</w:t>
            </w:r>
          </w:p>
        </w:tc>
      </w:tr>
      <w:tr w14:paraId="3B226B3D">
        <w:tblPrEx>
          <w:tblCellMar>
            <w:top w:w="0" w:type="dxa"/>
            <w:left w:w="108" w:type="dxa"/>
            <w:bottom w:w="0" w:type="dxa"/>
            <w:right w:w="108" w:type="dxa"/>
          </w:tblCellMar>
        </w:tblPrEx>
        <w:trPr>
          <w:trHeight w:val="510" w:hRule="exact"/>
          <w:jc w:val="center"/>
        </w:trPr>
        <w:tc>
          <w:tcPr>
            <w:tcW w:w="1121" w:type="pct"/>
            <w:vMerge w:val="continue"/>
            <w:tcBorders>
              <w:top w:val="nil"/>
              <w:left w:val="nil"/>
              <w:bottom w:val="single" w:color="auto" w:sz="4" w:space="0"/>
              <w:right w:val="single" w:color="auto" w:sz="4" w:space="0"/>
            </w:tcBorders>
            <w:vAlign w:val="center"/>
          </w:tcPr>
          <w:p w14:paraId="52835203">
            <w:pPr>
              <w:keepNext w:val="0"/>
              <w:keepLines w:val="0"/>
              <w:suppressLineNumbers w:val="0"/>
              <w:spacing w:before="0" w:beforeAutospacing="0" w:after="0" w:afterAutospacing="0"/>
              <w:ind w:left="0" w:right="0"/>
              <w:rPr>
                <w:rFonts w:hint="eastAsia" w:ascii="宋体" w:hAnsi="宋体" w:eastAsia="宋体" w:cs="宋体"/>
                <w:color w:val="000000"/>
                <w:sz w:val="21"/>
                <w:szCs w:val="21"/>
              </w:rPr>
            </w:pPr>
          </w:p>
        </w:tc>
        <w:tc>
          <w:tcPr>
            <w:tcW w:w="725" w:type="pct"/>
            <w:tcBorders>
              <w:top w:val="nil"/>
              <w:left w:val="nil"/>
              <w:bottom w:val="single" w:color="auto" w:sz="4" w:space="0"/>
              <w:right w:val="single" w:color="auto" w:sz="4" w:space="0"/>
            </w:tcBorders>
            <w:shd w:val="clear" w:color="auto" w:fill="auto"/>
            <w:vAlign w:val="center"/>
          </w:tcPr>
          <w:p w14:paraId="21344161">
            <w:pPr>
              <w:keepNext w:val="0"/>
              <w:keepLines w:val="0"/>
              <w:suppressLineNumbers w:val="0"/>
              <w:spacing w:before="0" w:beforeAutospacing="0" w:after="0" w:afterAutospacing="0" w:line="240" w:lineRule="exact"/>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资产总额(Z)</w:t>
            </w:r>
          </w:p>
        </w:tc>
        <w:tc>
          <w:tcPr>
            <w:tcW w:w="373" w:type="pct"/>
            <w:tcBorders>
              <w:top w:val="nil"/>
              <w:left w:val="nil"/>
              <w:bottom w:val="single" w:color="auto" w:sz="4" w:space="0"/>
              <w:right w:val="single" w:color="auto" w:sz="4" w:space="0"/>
            </w:tcBorders>
            <w:shd w:val="clear" w:color="auto" w:fill="auto"/>
            <w:vAlign w:val="center"/>
          </w:tcPr>
          <w:p w14:paraId="175AB979">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万元</w:t>
            </w:r>
          </w:p>
        </w:tc>
        <w:tc>
          <w:tcPr>
            <w:tcW w:w="596" w:type="pct"/>
            <w:tcBorders>
              <w:top w:val="nil"/>
              <w:left w:val="nil"/>
              <w:bottom w:val="single" w:color="auto" w:sz="4" w:space="0"/>
              <w:right w:val="single" w:color="auto" w:sz="4" w:space="0"/>
            </w:tcBorders>
            <w:shd w:val="clear" w:color="auto" w:fill="auto"/>
            <w:vAlign w:val="center"/>
          </w:tcPr>
          <w:p w14:paraId="6297D50E">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Z≥120000</w:t>
            </w:r>
          </w:p>
        </w:tc>
        <w:tc>
          <w:tcPr>
            <w:tcW w:w="901" w:type="pct"/>
            <w:tcBorders>
              <w:top w:val="nil"/>
              <w:left w:val="nil"/>
              <w:bottom w:val="single" w:color="auto" w:sz="4" w:space="0"/>
              <w:right w:val="single" w:color="auto" w:sz="4" w:space="0"/>
            </w:tcBorders>
            <w:shd w:val="clear" w:color="auto" w:fill="auto"/>
            <w:vAlign w:val="center"/>
          </w:tcPr>
          <w:p w14:paraId="3A78E3EC">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8000≤Z＜120000</w:t>
            </w:r>
          </w:p>
        </w:tc>
        <w:tc>
          <w:tcPr>
            <w:tcW w:w="756" w:type="pct"/>
            <w:tcBorders>
              <w:top w:val="nil"/>
              <w:left w:val="nil"/>
              <w:bottom w:val="single" w:color="auto" w:sz="4" w:space="0"/>
              <w:right w:val="single" w:color="auto" w:sz="4" w:space="0"/>
            </w:tcBorders>
            <w:shd w:val="clear" w:color="auto" w:fill="auto"/>
            <w:vAlign w:val="center"/>
          </w:tcPr>
          <w:p w14:paraId="2B6A7140">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100≤Z＜8000</w:t>
            </w:r>
          </w:p>
        </w:tc>
        <w:tc>
          <w:tcPr>
            <w:tcW w:w="524" w:type="pct"/>
            <w:tcBorders>
              <w:top w:val="nil"/>
              <w:left w:val="nil"/>
              <w:bottom w:val="single" w:color="auto" w:sz="4" w:space="0"/>
              <w:right w:val="nil"/>
            </w:tcBorders>
            <w:shd w:val="clear" w:color="auto" w:fill="auto"/>
            <w:vAlign w:val="center"/>
          </w:tcPr>
          <w:p w14:paraId="47A34667">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Z＜100</w:t>
            </w:r>
          </w:p>
        </w:tc>
      </w:tr>
      <w:tr w14:paraId="2C1E9CB7">
        <w:tblPrEx>
          <w:tblCellMar>
            <w:top w:w="0" w:type="dxa"/>
            <w:left w:w="108" w:type="dxa"/>
            <w:bottom w:w="0" w:type="dxa"/>
            <w:right w:w="108" w:type="dxa"/>
          </w:tblCellMar>
        </w:tblPrEx>
        <w:trPr>
          <w:trHeight w:val="720" w:hRule="exact"/>
          <w:jc w:val="center"/>
        </w:trPr>
        <w:tc>
          <w:tcPr>
            <w:tcW w:w="1121" w:type="pct"/>
            <w:tcBorders>
              <w:top w:val="nil"/>
              <w:left w:val="nil"/>
              <w:bottom w:val="single" w:color="auto" w:sz="4" w:space="0"/>
              <w:right w:val="single" w:color="auto" w:sz="4" w:space="0"/>
            </w:tcBorders>
            <w:shd w:val="clear" w:color="auto" w:fill="auto"/>
            <w:vAlign w:val="center"/>
          </w:tcPr>
          <w:p w14:paraId="5684BF98">
            <w:pPr>
              <w:keepNext w:val="0"/>
              <w:keepLines w:val="0"/>
              <w:suppressLineNumbers w:val="0"/>
              <w:spacing w:before="0" w:beforeAutospacing="0" w:after="0" w:afterAutospacing="0" w:line="240" w:lineRule="exact"/>
              <w:ind w:left="0" w:right="0"/>
              <w:rPr>
                <w:rFonts w:hint="eastAsia" w:ascii="宋体" w:hAnsi="宋体" w:eastAsia="宋体" w:cs="宋体"/>
                <w:color w:val="000000"/>
                <w:sz w:val="21"/>
                <w:szCs w:val="21"/>
              </w:rPr>
            </w:pPr>
            <w:r>
              <w:rPr>
                <w:rFonts w:hint="eastAsia" w:ascii="宋体" w:hAnsi="宋体" w:eastAsia="宋体" w:cs="宋体"/>
                <w:color w:val="000000"/>
                <w:sz w:val="21"/>
                <w:szCs w:val="21"/>
              </w:rPr>
              <w:t>其他未列明行业 *</w:t>
            </w:r>
          </w:p>
        </w:tc>
        <w:tc>
          <w:tcPr>
            <w:tcW w:w="725" w:type="pct"/>
            <w:tcBorders>
              <w:top w:val="nil"/>
              <w:left w:val="nil"/>
              <w:bottom w:val="single" w:color="auto" w:sz="4" w:space="0"/>
              <w:right w:val="single" w:color="auto" w:sz="4" w:space="0"/>
            </w:tcBorders>
            <w:shd w:val="clear" w:color="auto" w:fill="auto"/>
            <w:vAlign w:val="center"/>
          </w:tcPr>
          <w:p w14:paraId="2BE19690">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从业人员(X)</w:t>
            </w:r>
          </w:p>
        </w:tc>
        <w:tc>
          <w:tcPr>
            <w:tcW w:w="373" w:type="pct"/>
            <w:tcBorders>
              <w:top w:val="nil"/>
              <w:left w:val="nil"/>
              <w:bottom w:val="single" w:color="auto" w:sz="4" w:space="0"/>
              <w:right w:val="single" w:color="auto" w:sz="4" w:space="0"/>
            </w:tcBorders>
            <w:shd w:val="clear" w:color="auto" w:fill="auto"/>
            <w:vAlign w:val="center"/>
          </w:tcPr>
          <w:p w14:paraId="27854EA0">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人</w:t>
            </w:r>
          </w:p>
        </w:tc>
        <w:tc>
          <w:tcPr>
            <w:tcW w:w="596" w:type="pct"/>
            <w:tcBorders>
              <w:top w:val="nil"/>
              <w:left w:val="nil"/>
              <w:bottom w:val="single" w:color="auto" w:sz="4" w:space="0"/>
              <w:right w:val="single" w:color="auto" w:sz="4" w:space="0"/>
            </w:tcBorders>
            <w:shd w:val="clear" w:color="auto" w:fill="auto"/>
            <w:vAlign w:val="center"/>
          </w:tcPr>
          <w:p w14:paraId="3D5F8631">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X≥300</w:t>
            </w:r>
          </w:p>
        </w:tc>
        <w:tc>
          <w:tcPr>
            <w:tcW w:w="901" w:type="pct"/>
            <w:tcBorders>
              <w:top w:val="nil"/>
              <w:left w:val="nil"/>
              <w:bottom w:val="single" w:color="auto" w:sz="4" w:space="0"/>
              <w:right w:val="single" w:color="auto" w:sz="4" w:space="0"/>
            </w:tcBorders>
            <w:shd w:val="clear" w:color="auto" w:fill="auto"/>
            <w:vAlign w:val="center"/>
          </w:tcPr>
          <w:p w14:paraId="0C1E1D9E">
            <w:pPr>
              <w:keepNext w:val="0"/>
              <w:keepLines w:val="0"/>
              <w:suppressLineNumbers w:val="0"/>
              <w:spacing w:before="0" w:beforeAutospacing="0" w:after="0" w:afterAutospacing="0"/>
              <w:ind w:left="19" w:leftChars="-51" w:right="0" w:hanging="126" w:hangingChars="60"/>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100≤X＜300 </w:t>
            </w:r>
          </w:p>
        </w:tc>
        <w:tc>
          <w:tcPr>
            <w:tcW w:w="756" w:type="pct"/>
            <w:tcBorders>
              <w:top w:val="nil"/>
              <w:left w:val="nil"/>
              <w:bottom w:val="single" w:color="auto" w:sz="4" w:space="0"/>
              <w:right w:val="single" w:color="auto" w:sz="4" w:space="0"/>
            </w:tcBorders>
            <w:shd w:val="clear" w:color="auto" w:fill="auto"/>
            <w:vAlign w:val="center"/>
          </w:tcPr>
          <w:p w14:paraId="6BCAF469">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10≤X＜100</w:t>
            </w:r>
          </w:p>
        </w:tc>
        <w:tc>
          <w:tcPr>
            <w:tcW w:w="524" w:type="pct"/>
            <w:tcBorders>
              <w:top w:val="nil"/>
              <w:left w:val="nil"/>
              <w:bottom w:val="single" w:color="auto" w:sz="4" w:space="0"/>
              <w:right w:val="nil"/>
            </w:tcBorders>
            <w:shd w:val="clear" w:color="auto" w:fill="auto"/>
            <w:vAlign w:val="center"/>
          </w:tcPr>
          <w:p w14:paraId="10286CB3">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X＜10</w:t>
            </w:r>
          </w:p>
        </w:tc>
      </w:tr>
    </w:tbl>
    <w:p w14:paraId="3EA04559">
      <w:pPr>
        <w:spacing w:line="240" w:lineRule="exact"/>
        <w:rPr>
          <w:rFonts w:hint="eastAsia" w:ascii="宋体" w:hAnsi="宋体" w:eastAsia="宋体" w:cs="宋体"/>
          <w:color w:val="000000"/>
          <w:sz w:val="21"/>
          <w:szCs w:val="21"/>
        </w:rPr>
      </w:pPr>
      <w:r>
        <w:rPr>
          <w:rFonts w:hint="eastAsia" w:ascii="宋体" w:hAnsi="宋体" w:eastAsia="宋体" w:cs="宋体"/>
          <w:color w:val="000000"/>
          <w:sz w:val="21"/>
          <w:szCs w:val="21"/>
        </w:rPr>
        <w:t>说明：</w:t>
      </w:r>
    </w:p>
    <w:p w14:paraId="1466E79E">
      <w:pPr>
        <w:spacing w:line="240" w:lineRule="exact"/>
        <w:ind w:firstLine="420" w:firstLineChars="200"/>
        <w:rPr>
          <w:rFonts w:hint="eastAsia" w:ascii="宋体" w:hAnsi="宋体" w:eastAsia="宋体" w:cs="宋体"/>
          <w:color w:val="000000"/>
          <w:sz w:val="21"/>
          <w:szCs w:val="21"/>
        </w:rPr>
      </w:pPr>
      <w:r>
        <w:rPr>
          <w:rFonts w:hint="eastAsia" w:ascii="宋体" w:hAnsi="宋体" w:eastAsia="宋体" w:cs="宋体"/>
          <w:color w:val="000000"/>
          <w:sz w:val="21"/>
          <w:szCs w:val="21"/>
        </w:rPr>
        <w:t>1.大型、中型和小型企业须同时满足所列指标的下限，否则下划一档；微型企业只须满足所列指标中的一项即可。</w:t>
      </w:r>
    </w:p>
    <w:p w14:paraId="40C76877">
      <w:pPr>
        <w:spacing w:line="240" w:lineRule="exact"/>
        <w:ind w:firstLine="420" w:firstLineChars="200"/>
        <w:rPr>
          <w:rFonts w:hint="eastAsia" w:ascii="宋体" w:hAnsi="宋体" w:eastAsia="宋体" w:cs="宋体"/>
          <w:color w:val="000000"/>
          <w:sz w:val="21"/>
          <w:szCs w:val="21"/>
        </w:rPr>
      </w:pPr>
      <w:r>
        <w:rPr>
          <w:rFonts w:hint="eastAsia" w:ascii="宋体" w:hAnsi="宋体" w:eastAsia="宋体" w:cs="宋体"/>
          <w:color w:val="000000"/>
          <w:sz w:val="21"/>
          <w:szCs w:val="21"/>
        </w:rPr>
        <w:t>2.附表中各行业的范围以《国民经济行业分类》（GB/T4754-2017）为准。带*的项为行业组合类别，其中，工业包括采矿业，制造业，电力、热力、燃气及水生产和供应业；交通运输业包括道路运输业，水上运输业，航空运输业，管道运输业，多式联运和运输代理业、装卸搬运，不包括铁路运输业；仓储业包括通用仓储，低温仓储，危险品仓储，谷物、棉花等农产品仓储，中药材仓储和其他仓储业;信息传输业包括电信、广播电视和卫星传输服务，互联网和相关服务；其他未列明行业包括科学研究和技术服务业，水利、环境和公共设施管理业，居民服务、修理和其他服务业，社会工作，文化、体育和娱乐业，以及房地产中介服务，其他房地产业等，不包括自有房地产经营活动。</w:t>
      </w:r>
    </w:p>
    <w:p w14:paraId="0F33104E">
      <w:pPr>
        <w:spacing w:line="240" w:lineRule="exact"/>
        <w:ind w:firstLine="420" w:firstLineChars="200"/>
        <w:rPr>
          <w:rFonts w:hint="eastAsia" w:ascii="宋体" w:hAnsi="宋体" w:eastAsia="宋体" w:cs="宋体"/>
          <w:color w:val="000000"/>
          <w:sz w:val="21"/>
          <w:szCs w:val="21"/>
        </w:rPr>
      </w:pPr>
      <w:r>
        <w:rPr>
          <w:rFonts w:hint="eastAsia" w:ascii="宋体" w:hAnsi="宋体" w:eastAsia="宋体" w:cs="宋体"/>
          <w:color w:val="000000"/>
          <w:sz w:val="21"/>
          <w:szCs w:val="21"/>
        </w:rPr>
        <w:t>3.企业划分指标以现行统计制度为准。（1）从业人员，是指期末从业人员数，没有期末从业人员数的，采用全年平均人员数代替。（2）营业收入，工业、建筑业、限额以上批发和零售业、限额以上住宿和餐饮业以及其他设置主营业务收入指标的行业，采用主营业务收入；限额以下批发与零售业企业采用商品销售额代替；限额以下住宿与餐饮业企业采用营业额代替；农、林、牧、渔业企业采用营业总收入代替；其他未设置主营业务收入的行业，采用营业收入指标。（3）资产总额，采用资产总计代替。</w:t>
      </w:r>
    </w:p>
    <w:p w14:paraId="0FCBB8AC">
      <w:pPr>
        <w:spacing w:line="240" w:lineRule="exact"/>
        <w:ind w:firstLine="360" w:firstLineChars="200"/>
        <w:rPr>
          <w:rFonts w:hint="eastAsia" w:ascii="宋体" w:hAnsi="宋体" w:cs="宋体"/>
          <w:color w:val="000000"/>
          <w:sz w:val="18"/>
          <w:szCs w:val="18"/>
          <w:lang w:val="en-US" w:eastAsia="zh-CN"/>
        </w:rPr>
      </w:pPr>
    </w:p>
    <w:p w14:paraId="02D96363">
      <w:pPr>
        <w:pStyle w:val="19"/>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0"/>
        <w:jc w:val="center"/>
        <w:rPr>
          <w:rFonts w:hint="eastAsia" w:asciiTheme="minorHAnsi" w:hAnsiTheme="minorHAnsi" w:eastAsiaTheme="minorEastAsia" w:cstheme="minorBidi"/>
          <w:b/>
          <w:color w:val="auto"/>
          <w:kern w:val="2"/>
          <w:sz w:val="21"/>
          <w:szCs w:val="24"/>
          <w:lang w:val="en-US" w:eastAsia="zh-CN" w:bidi="ar-SA"/>
        </w:rPr>
      </w:pPr>
      <w:r>
        <w:rPr>
          <w:rFonts w:hint="eastAsia" w:asciiTheme="minorHAnsi" w:hAnsiTheme="minorHAnsi" w:eastAsiaTheme="minorEastAsia" w:cstheme="minorBidi"/>
          <w:b/>
          <w:color w:val="auto"/>
          <w:kern w:val="2"/>
          <w:sz w:val="21"/>
          <w:szCs w:val="24"/>
          <w:lang w:val="en-US" w:eastAsia="zh-CN" w:bidi="ar-SA"/>
        </w:rPr>
        <w:t>4、国务院办公厅关于在政府采购中实施本国产品标准及相关政策的通知</w:t>
      </w:r>
    </w:p>
    <w:p w14:paraId="55FC9674">
      <w:pPr>
        <w:pStyle w:val="19"/>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0"/>
        <w:jc w:val="right"/>
        <w:rPr>
          <w:rFonts w:hint="eastAsia" w:ascii="宋体" w:hAnsi="宋体" w:eastAsia="宋体" w:cs="宋体"/>
          <w:i w:val="0"/>
          <w:iCs w:val="0"/>
          <w:caps w:val="0"/>
          <w:color w:val="333333"/>
          <w:spacing w:val="0"/>
          <w:sz w:val="21"/>
          <w:szCs w:val="21"/>
          <w:shd w:val="clear" w:color="auto" w:fill="FFFFFF"/>
        </w:rPr>
      </w:pPr>
      <w:r>
        <w:rPr>
          <w:rFonts w:ascii="楷体_GB2312" w:hAnsi="楷体_GB2312" w:eastAsia="楷体_GB2312" w:cs="楷体_GB2312"/>
          <w:i w:val="0"/>
          <w:iCs w:val="0"/>
          <w:caps w:val="0"/>
          <w:color w:val="333333"/>
          <w:spacing w:val="0"/>
          <w:sz w:val="21"/>
          <w:szCs w:val="21"/>
          <w:shd w:val="clear" w:color="auto" w:fill="FFFFFF"/>
        </w:rPr>
        <w:t>国办发〔2025〕34号</w:t>
      </w:r>
      <w:r>
        <w:rPr>
          <w:rFonts w:hint="eastAsia" w:ascii="宋体" w:hAnsi="宋体" w:eastAsia="宋体" w:cs="宋体"/>
          <w:i w:val="0"/>
          <w:iCs w:val="0"/>
          <w:caps w:val="0"/>
          <w:color w:val="333333"/>
          <w:spacing w:val="0"/>
          <w:sz w:val="21"/>
          <w:szCs w:val="21"/>
          <w:shd w:val="clear" w:color="auto" w:fill="FFFFFF"/>
        </w:rPr>
        <w:t>  </w:t>
      </w:r>
    </w:p>
    <w:p w14:paraId="70BF84B4">
      <w:pPr>
        <w:pStyle w:val="19"/>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各省、自治区、直辖市人民政府，国务院各部委、各直属机构：</w:t>
      </w:r>
    </w:p>
    <w:p w14:paraId="36700AB0">
      <w:pPr>
        <w:pStyle w:val="19"/>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为构建统一开放、竞争有序的政府采购市场体系，完善政府采购制度，保障各类经营主体平等参与政府采购活动，根据《中华人民共和国政府采购法》、《中华人民共和国外商投资法》等有关法律法规规定，经国务院同意，现就在政府采购中实施本国产品标准及相关政策通知如下：</w:t>
      </w:r>
    </w:p>
    <w:p w14:paraId="5B1209F0">
      <w:pPr>
        <w:pStyle w:val="19"/>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Style w:val="24"/>
          <w:rFonts w:hint="eastAsia" w:ascii="宋体" w:hAnsi="宋体" w:eastAsia="宋体" w:cs="宋体"/>
          <w:i w:val="0"/>
          <w:iCs w:val="0"/>
          <w:caps w:val="0"/>
          <w:color w:val="333333"/>
          <w:spacing w:val="0"/>
          <w:sz w:val="21"/>
          <w:szCs w:val="21"/>
          <w:shd w:val="clear" w:color="auto" w:fill="FFFFFF"/>
        </w:rPr>
        <w:t>一、本国产品标准</w:t>
      </w:r>
    </w:p>
    <w:p w14:paraId="53A7DA88">
      <w:pPr>
        <w:pStyle w:val="19"/>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本国产品应当符合以下条件：</w:t>
      </w:r>
    </w:p>
    <w:p w14:paraId="07811D9C">
      <w:pPr>
        <w:pStyle w:val="19"/>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（一）在中国境内生产</w:t>
      </w:r>
    </w:p>
    <w:p w14:paraId="1D0B8DE7">
      <w:pPr>
        <w:pStyle w:val="19"/>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产品应当在中国境内生产，即在中华人民共和国关境内实现从原材料、组件到产品的属性改变。</w:t>
      </w:r>
    </w:p>
    <w:p w14:paraId="5218A7FC">
      <w:pPr>
        <w:pStyle w:val="19"/>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属性改变是指经过制造、加工或者组装等工序，产生完全不同于原材料、组件的新产品，并具有新的名称和特征（用途）。属性改变不包括以下细微操作：</w:t>
      </w:r>
    </w:p>
    <w:p w14:paraId="7583F375">
      <w:pPr>
        <w:pStyle w:val="19"/>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1.为确保产品在运输或者储存期间保持某种状态而进行的操作；</w:t>
      </w:r>
    </w:p>
    <w:p w14:paraId="7C9D155A">
      <w:pPr>
        <w:pStyle w:val="19"/>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2.为产品运输或者销售进行的包装或者展示；</w:t>
      </w:r>
    </w:p>
    <w:p w14:paraId="5C7ABA34">
      <w:pPr>
        <w:pStyle w:val="19"/>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3.在产品或者其包装上粘贴或者印刷品牌、标志、标识以及其他用于区别的标记；</w:t>
      </w:r>
    </w:p>
    <w:p w14:paraId="1C3EDEFF">
      <w:pPr>
        <w:pStyle w:val="19"/>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4.简单的上漆、磨光和分装；</w:t>
      </w:r>
    </w:p>
    <w:p w14:paraId="4E66159C">
      <w:pPr>
        <w:pStyle w:val="19"/>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5.其他不属于属性改变的情形。</w:t>
      </w:r>
    </w:p>
    <w:p w14:paraId="1A548C34">
      <w:pPr>
        <w:pStyle w:val="19"/>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（二）在中国境内生产的组件成本占比达到规定比例</w:t>
      </w:r>
    </w:p>
    <w:p w14:paraId="5A444979">
      <w:pPr>
        <w:pStyle w:val="19"/>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产品在中国境内生产的组件成本占比应当达到规定比例，计算公式为：</w:t>
      </w:r>
    </w:p>
    <w:p w14:paraId="748F95A3">
      <w:pPr>
        <w:pStyle w:val="19"/>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drawing>
          <wp:inline distT="0" distB="0" distL="114300" distR="114300">
            <wp:extent cx="2733675" cy="390525"/>
            <wp:effectExtent l="0" t="0" r="9525" b="9525"/>
            <wp:docPr id="6" name="图片 1" descr="IMG_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 descr="IMG_259"/>
                    <pic:cNvPicPr>
                      <a:picLocks noChangeAspect="1"/>
                    </pic:cNvPicPr>
                  </pic:nvPicPr>
                  <pic:blipFill>
                    <a:blip r:embed="rId6"/>
                    <a:stretch>
                      <a:fillRect/>
                    </a:stretch>
                  </pic:blipFill>
                  <pic:spPr>
                    <a:xfrm>
                      <a:off x="0" y="0"/>
                      <a:ext cx="2733675" cy="390525"/>
                    </a:xfrm>
                    <a:prstGeom prst="rect">
                      <a:avLst/>
                    </a:prstGeom>
                    <a:noFill/>
                    <a:ln>
                      <a:noFill/>
                    </a:ln>
                  </pic:spPr>
                </pic:pic>
              </a:graphicData>
            </a:graphic>
          </wp:inline>
        </w:drawing>
      </w:r>
    </w:p>
    <w:p w14:paraId="2B924529">
      <w:pPr>
        <w:pStyle w:val="19"/>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财政部会同有关行业主管部门，分产品确定在中国境内生产的组件成本占比应当达到的规定比例。在分产品的中国境内生产的组件成本占比相关要求实施前，符合本通知第一条第（一）项条件的产品在政府采购活动中视同本国产品。</w:t>
      </w:r>
    </w:p>
    <w:p w14:paraId="10235383">
      <w:pPr>
        <w:pStyle w:val="19"/>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（三）特定产品的关键组件、关键工序符合相关要求</w:t>
      </w:r>
    </w:p>
    <w:p w14:paraId="0773D6E4">
      <w:pPr>
        <w:pStyle w:val="19"/>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对特定产品，在符合本通知第一条第（一）项和第（二）项条件的基础上，应当符合财政部会同有关行业主管部门确定的其关键组件、关键工序在中国境内生产、完成等要求。</w:t>
      </w:r>
    </w:p>
    <w:p w14:paraId="0964E0E1">
      <w:pPr>
        <w:pStyle w:val="19"/>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财政部会同有关行业主管部门自本通知施行之日起5年内，在充分征求有关内外资企业、行业协会商会等方面意见的基础上，分类施策、稳妥推进，分产品确定在中国境内生产的组件成本占比要求，以及特定产品的关键组件、关键工序相关要求，并根据不同行业的发展情况，在出台具体产品相关要求时，设置3—5年过渡期，逐步建立政府采购中本国产品标准体系和动态调整机制。</w:t>
      </w:r>
    </w:p>
    <w:p w14:paraId="318A66AE">
      <w:pPr>
        <w:pStyle w:val="19"/>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Style w:val="24"/>
          <w:rFonts w:hint="eastAsia" w:ascii="宋体" w:hAnsi="宋体" w:eastAsia="宋体" w:cs="宋体"/>
          <w:i w:val="0"/>
          <w:iCs w:val="0"/>
          <w:caps w:val="0"/>
          <w:color w:val="333333"/>
          <w:spacing w:val="0"/>
          <w:sz w:val="21"/>
          <w:szCs w:val="21"/>
          <w:shd w:val="clear" w:color="auto" w:fill="FFFFFF"/>
        </w:rPr>
        <w:t>二、本国产品标准的适用范围</w:t>
      </w:r>
    </w:p>
    <w:p w14:paraId="79720E0E">
      <w:pPr>
        <w:pStyle w:val="19"/>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b/>
          <w:bCs/>
          <w:i w:val="0"/>
          <w:iCs w:val="0"/>
          <w:caps w:val="0"/>
          <w:color w:val="FF0000"/>
          <w:spacing w:val="0"/>
          <w:sz w:val="21"/>
          <w:szCs w:val="21"/>
          <w:shd w:val="clear" w:color="auto" w:fill="FFFFFF"/>
        </w:rPr>
        <w:t>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18CBB4AA">
      <w:pPr>
        <w:pStyle w:val="19"/>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Style w:val="24"/>
          <w:rFonts w:hint="eastAsia" w:ascii="宋体" w:hAnsi="宋体" w:eastAsia="宋体" w:cs="宋体"/>
          <w:i w:val="0"/>
          <w:iCs w:val="0"/>
          <w:caps w:val="0"/>
          <w:color w:val="333333"/>
          <w:spacing w:val="0"/>
          <w:sz w:val="21"/>
          <w:szCs w:val="21"/>
          <w:shd w:val="clear" w:color="auto" w:fill="FFFFFF"/>
        </w:rPr>
        <w:t>三、对本国产品的支持政策</w:t>
      </w:r>
    </w:p>
    <w:p w14:paraId="73E09806">
      <w:pPr>
        <w:pStyle w:val="19"/>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政府采购活动中既有本国产品又有非本国产品参与竞争的，依法对本国产品给予价格评审优惠，对本国产品的报价给予20%的价格扣除，用扣除后的价格参与评审。</w:t>
      </w:r>
    </w:p>
    <w:p w14:paraId="6DD2802F">
      <w:pPr>
        <w:pStyle w:val="19"/>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14:paraId="27A3CCFA">
      <w:pPr>
        <w:pStyle w:val="19"/>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Style w:val="24"/>
          <w:rFonts w:hint="eastAsia" w:ascii="宋体" w:hAnsi="宋体" w:eastAsia="宋体" w:cs="宋体"/>
          <w:i w:val="0"/>
          <w:iCs w:val="0"/>
          <w:caps w:val="0"/>
          <w:color w:val="333333"/>
          <w:spacing w:val="0"/>
          <w:sz w:val="21"/>
          <w:szCs w:val="21"/>
          <w:shd w:val="clear" w:color="auto" w:fill="FFFFFF"/>
        </w:rPr>
        <w:t>四、政策执行要求</w:t>
      </w:r>
    </w:p>
    <w:p w14:paraId="36C4A405">
      <w:pPr>
        <w:pStyle w:val="19"/>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（一）产品在中国境内生产的组件成本核算规则。产品在中国境内生产的组件成本，按照《中国境内生产的组件成本核算基本规则》（见附件1）计算。</w:t>
      </w:r>
    </w:p>
    <w:p w14:paraId="4129D214">
      <w:pPr>
        <w:pStyle w:val="19"/>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二）有关证明文件。采购人、采购代理机构应当在采购文件中明确要求供应商对其提供的产品出具《关于符合本国产品标准的声明函》（样式见附件2，以下简称《声明函》）或财政部会同有关部门规定的有关证明文件。出具符合要求的《声明函》或有关证明文件的，该产品视为本国产品，采购人、采购代理机构不得再要求供应商提供其他证明材料。供应商提供虚假《声明函》、虚假证明文件谋取中标、成交的，依照《中华人民共和国政府采购法》等法律法规规定追究相应责任。</w:t>
      </w:r>
    </w:p>
    <w:p w14:paraId="1AF4EEDC">
      <w:pPr>
        <w:pStyle w:val="19"/>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采购人、采购代理机构应当随中标、成交结果同时公告中标、成交供应商提供的《声明函》或有关证明文件。</w:t>
      </w:r>
    </w:p>
    <w:p w14:paraId="2BF9FB39">
      <w:pPr>
        <w:pStyle w:val="19"/>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三）平等对待各类经营主体。国有企业、民营企业、外资企业等各类经营主体平等享受对本国产品的政府采购支持政策。采购人、采购代理机构在政府采购信息发布、供应商资格条件确定和资格审查、评审标准等方面，要对各类经营主体一视同仁、平等对待，切实保障各类经营主体公平竞争。各地区、各部门要加强统筹协调，不得出台违反本通知规定的政策措施，在政府采购活动中不得指定品牌或者限制品牌注册地、所有者，不得以所有制形式、组织形式、股权结构、投资者国别以及其他不合理条件对供应商实行差别待遇或者歧视待遇。</w:t>
      </w:r>
    </w:p>
    <w:p w14:paraId="74F4E697">
      <w:pPr>
        <w:pStyle w:val="19"/>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（四）中华人民共和国缔结或者共同参加的国际条约、协定对政府采购中本国产品政策另有规定的，按照有关条约、协定执行。</w:t>
      </w:r>
    </w:p>
    <w:p w14:paraId="27676B59">
      <w:pPr>
        <w:pStyle w:val="19"/>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Style w:val="24"/>
          <w:rFonts w:hint="eastAsia" w:ascii="宋体" w:hAnsi="宋体" w:eastAsia="宋体" w:cs="宋体"/>
          <w:i w:val="0"/>
          <w:iCs w:val="0"/>
          <w:caps w:val="0"/>
          <w:color w:val="333333"/>
          <w:spacing w:val="0"/>
          <w:sz w:val="21"/>
          <w:szCs w:val="21"/>
          <w:shd w:val="clear" w:color="auto" w:fill="FFFFFF"/>
        </w:rPr>
        <w:t>五、争议处理</w:t>
      </w:r>
    </w:p>
    <w:p w14:paraId="381B7399">
      <w:pPr>
        <w:pStyle w:val="19"/>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财政部门在政府采购投诉处理、监督检查中，对涉及本国产品标准争议事项的处理，按照政府采购相关法律法规规定等执行，必要时由有关部门或者专业机构对相关事项予以核实。各有关部门、专业机构及其工作人员对政府采购投诉处理、监督检查中知悉的商业秘密负有保密义务。</w:t>
      </w:r>
    </w:p>
    <w:p w14:paraId="49486663">
      <w:pPr>
        <w:pStyle w:val="19"/>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（一）政府采购投诉处理、监督检查中，对产品或组件是否在中国境内生产存在争议的，按照以下原则处理：</w:t>
      </w:r>
    </w:p>
    <w:p w14:paraId="4BD7AB26">
      <w:pPr>
        <w:pStyle w:val="19"/>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1.对于组装类产品或组件，相关供应商及制造商应当提供产品或组件的采购合同，进货记录，制造、加工、组装记录以及其他证明材料。上述证明材料能够证明产品或组件在中国境内生产的，相关产品或组件即可视为在中国境内生产。</w:t>
      </w:r>
    </w:p>
    <w:p w14:paraId="438A4EDC">
      <w:pPr>
        <w:pStyle w:val="19"/>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2.对于由原材料直接制造、加工形成的产品或组件，如钢材、陶瓷制品、玻璃等，相关供应商及制造商应当提供产品或组件包装上依法标注的生产厂址等信息。生产厂址位于中华人民共和国关境内的，相关产品或组件即可视为在中国境内生产。</w:t>
      </w:r>
    </w:p>
    <w:p w14:paraId="0EF985A8">
      <w:pPr>
        <w:pStyle w:val="19"/>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二）政府采购投诉处理、监督检查中，对产品在中国境内生产的组件成本占比、采购项目或采购包中本国产品成本占比是否达到规定比例存在争议的，相关供应商及制造商应当提供组件或产品的会计核算数据、采购合同、进货记录等，财政部门按照中国境内生产的组件成本核算相关规则予以认定。</w:t>
      </w:r>
    </w:p>
    <w:p w14:paraId="616ACBAA">
      <w:pPr>
        <w:pStyle w:val="19"/>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三）政府采购投诉处理、监督检查中，对特定产品的关键组件是否在中国境内生产存在争议的，按照本通知第五条第（一）项规定的原则处理；对特定产品的关键工序是否在中国境内完成存在争议的，相关供应商及制造商应当提供关键工序在中国境内完成的记录等材料予以证明。</w:t>
      </w:r>
    </w:p>
    <w:p w14:paraId="07A1C418">
      <w:pPr>
        <w:pStyle w:val="19"/>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政府采购投诉处理、监督检查中，相关供应商及制造商未按上述要求提供证明材料或提供的材料不足以证明产品符合本国产品标准的，不应当享受对本国产品的政府采购支持政策，由此影响或者可能影响采购结果的，财政部门按照政府采购相关法律法规规定等处理。</w:t>
      </w:r>
    </w:p>
    <w:p w14:paraId="70B6062D">
      <w:pPr>
        <w:pStyle w:val="19"/>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本通知自2026年1月1日起施行。</w:t>
      </w:r>
    </w:p>
    <w:p w14:paraId="5361AEB9">
      <w:pPr>
        <w:pStyle w:val="19"/>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附件：1.中国境内生产的组件成本核算基本规则</w:t>
      </w:r>
    </w:p>
    <w:p w14:paraId="61786484">
      <w:pPr>
        <w:pStyle w:val="19"/>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　　　2.关于符合本国产品标准的声明函</w:t>
      </w:r>
    </w:p>
    <w:p w14:paraId="7289F6B2">
      <w:pPr>
        <w:pStyle w:val="19"/>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0"/>
        <w:jc w:val="right"/>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lang w:val="en-US" w:eastAsia="zh-CN"/>
        </w:rPr>
        <w:t xml:space="preserve">     </w:t>
      </w:r>
      <w:r>
        <w:rPr>
          <w:rFonts w:hint="eastAsia" w:ascii="宋体" w:hAnsi="宋体" w:eastAsia="宋体" w:cs="宋体"/>
          <w:i w:val="0"/>
          <w:iCs w:val="0"/>
          <w:caps w:val="0"/>
          <w:color w:val="333333"/>
          <w:spacing w:val="0"/>
          <w:sz w:val="21"/>
          <w:szCs w:val="21"/>
          <w:shd w:val="clear" w:color="auto" w:fill="FFFFFF"/>
        </w:rPr>
        <w:t>国务院办公厅         </w:t>
      </w:r>
    </w:p>
    <w:p w14:paraId="10CD1F61">
      <w:pPr>
        <w:pStyle w:val="19"/>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0"/>
        <w:jc w:val="center"/>
        <w:rPr>
          <w:rFonts w:hint="eastAsia" w:ascii="宋体" w:hAnsi="宋体" w:eastAsia="宋体" w:cs="宋体"/>
        </w:rPr>
      </w:pPr>
      <w:r>
        <w:rPr>
          <w:rFonts w:hint="eastAsia" w:ascii="宋体" w:hAnsi="宋体" w:eastAsia="宋体" w:cs="宋体"/>
          <w:i w:val="0"/>
          <w:iCs w:val="0"/>
          <w:caps w:val="0"/>
          <w:color w:val="333333"/>
          <w:spacing w:val="0"/>
          <w:sz w:val="21"/>
          <w:szCs w:val="21"/>
          <w:shd w:val="clear" w:color="auto" w:fill="FFFFFF"/>
          <w:lang w:val="en-US" w:eastAsia="zh-CN"/>
        </w:rPr>
        <w:t xml:space="preserve">                                                               </w:t>
      </w:r>
      <w:r>
        <w:rPr>
          <w:rFonts w:hint="eastAsia" w:ascii="宋体" w:hAnsi="宋体" w:eastAsia="宋体" w:cs="宋体"/>
          <w:i w:val="0"/>
          <w:iCs w:val="0"/>
          <w:caps w:val="0"/>
          <w:color w:val="333333"/>
          <w:spacing w:val="0"/>
          <w:sz w:val="21"/>
          <w:szCs w:val="21"/>
          <w:shd w:val="clear" w:color="auto" w:fill="FFFFFF"/>
        </w:rPr>
        <w:t>2025年9月28日  </w:t>
      </w:r>
      <w:r>
        <w:rPr>
          <w:rFonts w:hint="eastAsia" w:ascii="宋体" w:hAnsi="宋体" w:eastAsia="宋体" w:cs="宋体"/>
          <w:i w:val="0"/>
          <w:iCs w:val="0"/>
          <w:caps w:val="0"/>
          <w:color w:val="333333"/>
          <w:spacing w:val="0"/>
          <w:sz w:val="24"/>
          <w:szCs w:val="24"/>
          <w:shd w:val="clear" w:color="auto" w:fill="FFFFFF"/>
        </w:rPr>
        <w:t>  </w:t>
      </w:r>
    </w:p>
    <w:p w14:paraId="563C520C">
      <w:pPr>
        <w:pStyle w:val="19"/>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rPr>
      </w:pPr>
    </w:p>
    <w:p w14:paraId="30048A47">
      <w:pPr>
        <w:pStyle w:val="19"/>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right="0"/>
      </w:pPr>
    </w:p>
    <w:p w14:paraId="70E47E7A">
      <w:r>
        <w:rPr>
          <w:rFonts w:hint="eastAsia" w:ascii="宋体" w:hAnsi="宋体" w:eastAsia="宋体"/>
          <w:b/>
          <w:bCs/>
          <w:szCs w:val="21"/>
        </w:rPr>
        <w:t>附件</w:t>
      </w:r>
      <w:r>
        <w:rPr>
          <w:rFonts w:hint="eastAsia" w:ascii="宋体" w:hAnsi="宋体" w:eastAsia="宋体"/>
          <w:b/>
          <w:bCs/>
          <w:szCs w:val="21"/>
          <w:lang w:val="en-US" w:eastAsia="zh-CN"/>
        </w:rPr>
        <w:t>1.</w:t>
      </w:r>
      <w:r>
        <w:rPr>
          <w:rFonts w:hint="eastAsia" w:ascii="宋体" w:hAnsi="宋体" w:eastAsia="宋体"/>
          <w:b/>
          <w:bCs/>
          <w:szCs w:val="21"/>
        </w:rPr>
        <w:t>中国境内生产的组件成本核算基本规则</w:t>
      </w:r>
    </w:p>
    <w:p w14:paraId="5AA190C6">
      <w:pPr>
        <w:pStyle w:val="19"/>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i w:val="0"/>
          <w:iCs w:val="0"/>
          <w:caps w:val="0"/>
          <w:color w:val="333333"/>
          <w:spacing w:val="0"/>
          <w:sz w:val="21"/>
          <w:szCs w:val="21"/>
          <w:shd w:val="clear" w:color="auto" w:fill="FFFFFF"/>
        </w:rPr>
      </w:pPr>
      <w:r>
        <w:rPr>
          <w:rFonts w:hint="eastAsia" w:ascii="宋体" w:hAnsi="宋体" w:eastAsia="宋体" w:cs="宋体"/>
          <w:i w:val="0"/>
          <w:iCs w:val="0"/>
          <w:caps w:val="0"/>
          <w:color w:val="333333"/>
          <w:spacing w:val="0"/>
          <w:sz w:val="21"/>
          <w:szCs w:val="21"/>
          <w:shd w:val="clear" w:color="auto" w:fill="FFFFFF"/>
        </w:rPr>
        <w:t>产品在中国境内生产的组件成本，一般按照其二级组件的相关成本进行核算。按照产品的一级组件进行成本核算能够满足中国境内生产的组件成本判定需求的，可以按照一级组件的相关成本进行核算。</w:t>
      </w:r>
    </w:p>
    <w:p w14:paraId="7AE46798">
      <w:pPr>
        <w:pStyle w:val="19"/>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i w:val="0"/>
          <w:iCs w:val="0"/>
          <w:caps w:val="0"/>
          <w:color w:val="333333"/>
          <w:spacing w:val="0"/>
          <w:sz w:val="21"/>
          <w:szCs w:val="21"/>
          <w:shd w:val="clear" w:color="auto" w:fill="FFFFFF"/>
        </w:rPr>
      </w:pPr>
      <w:r>
        <w:rPr>
          <w:rFonts w:hint="eastAsia" w:ascii="宋体" w:hAnsi="宋体" w:eastAsia="宋体" w:cs="宋体"/>
          <w:i w:val="0"/>
          <w:iCs w:val="0"/>
          <w:caps w:val="0"/>
          <w:color w:val="333333"/>
          <w:spacing w:val="0"/>
          <w:sz w:val="21"/>
          <w:szCs w:val="21"/>
          <w:shd w:val="clear" w:color="auto" w:fill="FFFFFF"/>
        </w:rPr>
        <w:t>一、产品的一级组件是指直接组成产品的组件。产品的二级组件是指直接组成产品一级组件的组件。一级组件不可分解的，视同二级组件。</w:t>
      </w:r>
    </w:p>
    <w:p w14:paraId="3AE278A9">
      <w:pPr>
        <w:pStyle w:val="19"/>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i w:val="0"/>
          <w:iCs w:val="0"/>
          <w:caps w:val="0"/>
          <w:color w:val="333333"/>
          <w:spacing w:val="0"/>
          <w:sz w:val="21"/>
          <w:szCs w:val="21"/>
          <w:shd w:val="clear" w:color="auto" w:fill="FFFFFF"/>
        </w:rPr>
      </w:pPr>
      <w:r>
        <w:rPr>
          <w:rFonts w:hint="eastAsia" w:ascii="宋体" w:hAnsi="宋体" w:eastAsia="宋体" w:cs="宋体"/>
          <w:i w:val="0"/>
          <w:iCs w:val="0"/>
          <w:caps w:val="0"/>
          <w:color w:val="333333"/>
          <w:spacing w:val="0"/>
          <w:sz w:val="21"/>
          <w:szCs w:val="21"/>
          <w:shd w:val="clear" w:color="auto" w:fill="FFFFFF"/>
        </w:rPr>
        <w:t>二、二级组件在中国境内生产的，其全部成本计入中国境内生产的组件成本；二级组件不在中国境内生产的，其成本不计入中国境内生产的组件成本。</w:t>
      </w:r>
    </w:p>
    <w:p w14:paraId="335DC1CB">
      <w:pPr>
        <w:pStyle w:val="19"/>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i w:val="0"/>
          <w:iCs w:val="0"/>
          <w:caps w:val="0"/>
          <w:color w:val="333333"/>
          <w:spacing w:val="0"/>
          <w:sz w:val="21"/>
          <w:szCs w:val="21"/>
          <w:shd w:val="clear" w:color="auto" w:fill="FFFFFF"/>
        </w:rPr>
      </w:pPr>
      <w:r>
        <w:rPr>
          <w:rFonts w:hint="eastAsia" w:ascii="宋体" w:hAnsi="宋体" w:eastAsia="宋体" w:cs="宋体"/>
          <w:i w:val="0"/>
          <w:iCs w:val="0"/>
          <w:caps w:val="0"/>
          <w:color w:val="333333"/>
          <w:spacing w:val="0"/>
          <w:sz w:val="21"/>
          <w:szCs w:val="21"/>
          <w:shd w:val="clear" w:color="auto" w:fill="FFFFFF"/>
        </w:rPr>
        <w:t>三、产品总成本和组件成本以相关会计核算数据、采购合同、进货记录等为基础进行计算。</w:t>
      </w:r>
    </w:p>
    <w:p w14:paraId="45F6E99B">
      <w:pPr>
        <w:pStyle w:val="19"/>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i w:val="0"/>
          <w:iCs w:val="0"/>
          <w:caps w:val="0"/>
          <w:color w:val="333333"/>
          <w:spacing w:val="0"/>
          <w:sz w:val="21"/>
          <w:szCs w:val="21"/>
          <w:shd w:val="clear" w:color="auto" w:fill="FFFFFF"/>
        </w:rPr>
      </w:pPr>
      <w:r>
        <w:rPr>
          <w:rFonts w:hint="eastAsia" w:ascii="宋体" w:hAnsi="宋体" w:eastAsia="宋体" w:cs="宋体"/>
          <w:i w:val="0"/>
          <w:iCs w:val="0"/>
          <w:caps w:val="0"/>
          <w:color w:val="333333"/>
          <w:spacing w:val="0"/>
          <w:sz w:val="21"/>
          <w:szCs w:val="21"/>
          <w:shd w:val="clear" w:color="auto" w:fill="FFFFFF"/>
        </w:rPr>
        <w:t>四、需要对成本核算规则予以进一步明确的其他有关事项，由财政部会同有关部门另行规定。</w:t>
      </w:r>
    </w:p>
    <w:p w14:paraId="1ED59E93">
      <w:pPr>
        <w:pStyle w:val="19"/>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i w:val="0"/>
          <w:iCs w:val="0"/>
          <w:caps w:val="0"/>
          <w:color w:val="333333"/>
          <w:spacing w:val="0"/>
          <w:sz w:val="21"/>
          <w:szCs w:val="21"/>
          <w:shd w:val="clear" w:color="auto" w:fill="FFFFFF"/>
        </w:rPr>
      </w:pPr>
    </w:p>
    <w:p w14:paraId="44FCD19F">
      <w:pPr>
        <w:pStyle w:val="19"/>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i w:val="0"/>
          <w:iCs w:val="0"/>
          <w:caps w:val="0"/>
          <w:color w:val="333333"/>
          <w:spacing w:val="0"/>
          <w:sz w:val="21"/>
          <w:szCs w:val="21"/>
          <w:shd w:val="clear" w:color="auto" w:fill="FFFFFF"/>
        </w:rPr>
      </w:pPr>
    </w:p>
    <w:p w14:paraId="4F1FCDD7">
      <w:r>
        <w:rPr>
          <w:rFonts w:hint="eastAsia" w:ascii="宋体" w:hAnsi="宋体" w:eastAsia="宋体"/>
          <w:b/>
          <w:bCs/>
          <w:szCs w:val="21"/>
        </w:rPr>
        <w:t>附件</w:t>
      </w:r>
      <w:r>
        <w:rPr>
          <w:rFonts w:hint="eastAsia" w:ascii="宋体" w:hAnsi="宋体" w:eastAsia="宋体"/>
          <w:b/>
          <w:bCs/>
          <w:szCs w:val="21"/>
          <w:lang w:val="en-US" w:eastAsia="zh-CN"/>
        </w:rPr>
        <w:t>2.</w:t>
      </w:r>
      <w:r>
        <w:rPr>
          <w:rFonts w:hint="eastAsia" w:ascii="宋体" w:hAnsi="宋体" w:eastAsia="宋体"/>
          <w:b/>
          <w:bCs/>
          <w:szCs w:val="21"/>
        </w:rPr>
        <w:t>关于符合本国产品标准的声明函</w:t>
      </w:r>
      <w:r>
        <w:rPr>
          <w:rFonts w:hint="eastAsia" w:ascii="宋体" w:hAnsi="宋体" w:eastAsia="宋体"/>
          <w:b/>
          <w:bCs/>
          <w:szCs w:val="21"/>
          <w:lang w:eastAsia="zh-CN"/>
        </w:rPr>
        <w:t>（</w:t>
      </w:r>
      <w:r>
        <w:rPr>
          <w:rFonts w:hint="eastAsia" w:ascii="宋体" w:hAnsi="宋体" w:eastAsia="宋体"/>
          <w:b/>
          <w:bCs/>
          <w:szCs w:val="21"/>
          <w:lang w:val="en-US" w:eastAsia="zh-CN"/>
        </w:rPr>
        <w:t>请供应商根据实际情况填写此函</w:t>
      </w:r>
      <w:r>
        <w:rPr>
          <w:rFonts w:hint="eastAsia" w:ascii="宋体" w:hAnsi="宋体" w:eastAsia="宋体"/>
          <w:b/>
          <w:bCs/>
          <w:szCs w:val="21"/>
          <w:lang w:eastAsia="zh-CN"/>
        </w:rPr>
        <w:t>）</w:t>
      </w:r>
    </w:p>
    <w:p w14:paraId="74BFEB50">
      <w:pPr>
        <w:pStyle w:val="19"/>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本公司（单位）郑重声明，根据《国务院办公厅关于在政府采购中实施本国产品标准及相关政策的通知》（国办发〔2025〕34号）的规定，本公司（单位）提供的以下产品属于本国产品。具体情况如下：</w:t>
      </w:r>
    </w:p>
    <w:p w14:paraId="33D60A1B">
      <w:pPr>
        <w:pStyle w:val="19"/>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1.</w:t>
      </w:r>
      <w:r>
        <w:rPr>
          <w:rStyle w:val="26"/>
          <w:rFonts w:hint="eastAsia" w:ascii="宋体" w:hAnsi="宋体" w:eastAsia="宋体" w:cs="宋体"/>
          <w:i w:val="0"/>
          <w:iCs w:val="0"/>
          <w:caps w:val="0"/>
          <w:color w:val="333333"/>
          <w:spacing w:val="0"/>
          <w:sz w:val="21"/>
          <w:szCs w:val="21"/>
          <w:shd w:val="clear" w:color="auto" w:fill="FFFFFF"/>
        </w:rPr>
        <w:t>（产品名称1）</w:t>
      </w:r>
      <w:r>
        <w:rPr>
          <w:rStyle w:val="26"/>
          <w:rFonts w:hint="eastAsia" w:ascii="宋体" w:hAnsi="宋体" w:eastAsia="宋体" w:cs="宋体"/>
          <w:i w:val="0"/>
          <w:iCs w:val="0"/>
          <w:caps w:val="0"/>
          <w:color w:val="333333"/>
          <w:spacing w:val="0"/>
          <w:sz w:val="21"/>
          <w:szCs w:val="21"/>
          <w:shd w:val="clear" w:color="auto" w:fill="FFFFFF"/>
          <w:vertAlign w:val="superscript"/>
        </w:rPr>
        <w:t>1</w:t>
      </w:r>
      <w:r>
        <w:rPr>
          <w:rFonts w:hint="eastAsia" w:ascii="宋体" w:hAnsi="宋体" w:eastAsia="宋体" w:cs="宋体"/>
          <w:i w:val="0"/>
          <w:iCs w:val="0"/>
          <w:caps w:val="0"/>
          <w:color w:val="333333"/>
          <w:spacing w:val="0"/>
          <w:sz w:val="21"/>
          <w:szCs w:val="21"/>
          <w:shd w:val="clear" w:color="auto" w:fill="FFFFFF"/>
        </w:rPr>
        <w:t>，生产厂为</w:t>
      </w:r>
      <w:r>
        <w:rPr>
          <w:rStyle w:val="26"/>
          <w:rFonts w:hint="eastAsia" w:ascii="宋体" w:hAnsi="宋体" w:eastAsia="宋体" w:cs="宋体"/>
          <w:i w:val="0"/>
          <w:iCs w:val="0"/>
          <w:caps w:val="0"/>
          <w:color w:val="333333"/>
          <w:spacing w:val="0"/>
          <w:sz w:val="21"/>
          <w:szCs w:val="21"/>
          <w:shd w:val="clear" w:color="auto" w:fill="FFFFFF"/>
        </w:rPr>
        <w:t>（厂名）</w:t>
      </w:r>
      <w:r>
        <w:rPr>
          <w:rStyle w:val="26"/>
          <w:rFonts w:hint="eastAsia" w:ascii="宋体" w:hAnsi="宋体" w:eastAsia="宋体" w:cs="宋体"/>
          <w:i w:val="0"/>
          <w:iCs w:val="0"/>
          <w:caps w:val="0"/>
          <w:color w:val="333333"/>
          <w:spacing w:val="0"/>
          <w:sz w:val="21"/>
          <w:szCs w:val="21"/>
          <w:shd w:val="clear" w:color="auto" w:fill="FFFFFF"/>
          <w:vertAlign w:val="superscript"/>
        </w:rPr>
        <w:t>2</w:t>
      </w:r>
      <w:r>
        <w:rPr>
          <w:rFonts w:hint="eastAsia" w:ascii="宋体" w:hAnsi="宋体" w:eastAsia="宋体" w:cs="宋体"/>
          <w:i w:val="0"/>
          <w:iCs w:val="0"/>
          <w:caps w:val="0"/>
          <w:color w:val="333333"/>
          <w:spacing w:val="0"/>
          <w:sz w:val="21"/>
          <w:szCs w:val="21"/>
          <w:shd w:val="clear" w:color="auto" w:fill="FFFFFF"/>
        </w:rPr>
        <w:t>，厂址为</w:t>
      </w:r>
      <w:r>
        <w:rPr>
          <w:rStyle w:val="26"/>
          <w:rFonts w:hint="eastAsia" w:ascii="宋体" w:hAnsi="宋体" w:eastAsia="宋体" w:cs="宋体"/>
          <w:i w:val="0"/>
          <w:iCs w:val="0"/>
          <w:caps w:val="0"/>
          <w:color w:val="333333"/>
          <w:spacing w:val="0"/>
          <w:sz w:val="21"/>
          <w:szCs w:val="21"/>
          <w:shd w:val="clear" w:color="auto" w:fill="FFFFFF"/>
        </w:rPr>
        <w:t>（生产厂址）</w:t>
      </w:r>
      <w:r>
        <w:rPr>
          <w:rFonts w:hint="eastAsia" w:ascii="宋体" w:hAnsi="宋体" w:eastAsia="宋体" w:cs="宋体"/>
          <w:i w:val="0"/>
          <w:iCs w:val="0"/>
          <w:caps w:val="0"/>
          <w:color w:val="333333"/>
          <w:spacing w:val="0"/>
          <w:sz w:val="21"/>
          <w:szCs w:val="21"/>
          <w:shd w:val="clear" w:color="auto" w:fill="FFFFFF"/>
        </w:rPr>
        <w:t>。</w:t>
      </w:r>
      <w:r>
        <w:rPr>
          <w:rStyle w:val="26"/>
          <w:rFonts w:hint="eastAsia" w:ascii="宋体" w:hAnsi="宋体" w:eastAsia="宋体" w:cs="宋体"/>
          <w:i w:val="0"/>
          <w:iCs w:val="0"/>
          <w:caps w:val="0"/>
          <w:color w:val="333333"/>
          <w:spacing w:val="0"/>
          <w:sz w:val="21"/>
          <w:szCs w:val="21"/>
          <w:shd w:val="clear" w:color="auto" w:fill="FFFFFF"/>
        </w:rPr>
        <w:t>（产品名称1）</w:t>
      </w:r>
      <w:r>
        <w:rPr>
          <w:rFonts w:hint="eastAsia" w:ascii="宋体" w:hAnsi="宋体" w:eastAsia="宋体" w:cs="宋体"/>
          <w:i w:val="0"/>
          <w:iCs w:val="0"/>
          <w:caps w:val="0"/>
          <w:color w:val="333333"/>
          <w:spacing w:val="0"/>
          <w:sz w:val="21"/>
          <w:szCs w:val="21"/>
          <w:shd w:val="clear" w:color="auto" w:fill="FFFFFF"/>
        </w:rPr>
        <w:t>的中国境内生产的组件成本占比≥</w:t>
      </w:r>
      <w:r>
        <w:rPr>
          <w:rStyle w:val="26"/>
          <w:rFonts w:hint="eastAsia" w:ascii="宋体" w:hAnsi="宋体" w:eastAsia="宋体" w:cs="宋体"/>
          <w:i w:val="0"/>
          <w:iCs w:val="0"/>
          <w:caps w:val="0"/>
          <w:color w:val="333333"/>
          <w:spacing w:val="0"/>
          <w:sz w:val="21"/>
          <w:szCs w:val="21"/>
          <w:shd w:val="clear" w:color="auto" w:fill="FFFFFF"/>
        </w:rPr>
        <w:t>（规定比例）</w:t>
      </w:r>
      <w:r>
        <w:rPr>
          <w:rStyle w:val="26"/>
          <w:rFonts w:hint="eastAsia" w:ascii="宋体" w:hAnsi="宋体" w:eastAsia="宋体" w:cs="宋体"/>
          <w:i w:val="0"/>
          <w:iCs w:val="0"/>
          <w:caps w:val="0"/>
          <w:color w:val="333333"/>
          <w:spacing w:val="0"/>
          <w:sz w:val="21"/>
          <w:szCs w:val="21"/>
          <w:shd w:val="clear" w:color="auto" w:fill="FFFFFF"/>
          <w:vertAlign w:val="superscript"/>
        </w:rPr>
        <w:t>3</w:t>
      </w:r>
      <w:r>
        <w:rPr>
          <w:rFonts w:hint="eastAsia" w:ascii="宋体" w:hAnsi="宋体" w:eastAsia="宋体" w:cs="宋体"/>
          <w:i w:val="0"/>
          <w:iCs w:val="0"/>
          <w:caps w:val="0"/>
          <w:color w:val="333333"/>
          <w:spacing w:val="0"/>
          <w:sz w:val="21"/>
          <w:szCs w:val="21"/>
          <w:shd w:val="clear" w:color="auto" w:fill="FFFFFF"/>
        </w:rPr>
        <w:t>。</w:t>
      </w:r>
      <w:r>
        <w:rPr>
          <w:rStyle w:val="26"/>
          <w:rFonts w:hint="eastAsia" w:ascii="宋体" w:hAnsi="宋体" w:eastAsia="宋体" w:cs="宋体"/>
          <w:i w:val="0"/>
          <w:iCs w:val="0"/>
          <w:caps w:val="0"/>
          <w:color w:val="333333"/>
          <w:spacing w:val="0"/>
          <w:sz w:val="21"/>
          <w:szCs w:val="21"/>
          <w:shd w:val="clear" w:color="auto" w:fill="FFFFFF"/>
        </w:rPr>
        <w:t>（产品名称1）</w:t>
      </w:r>
      <w:r>
        <w:rPr>
          <w:rFonts w:hint="eastAsia" w:ascii="宋体" w:hAnsi="宋体" w:eastAsia="宋体" w:cs="宋体"/>
          <w:i w:val="0"/>
          <w:iCs w:val="0"/>
          <w:caps w:val="0"/>
          <w:color w:val="333333"/>
          <w:spacing w:val="0"/>
          <w:sz w:val="21"/>
          <w:szCs w:val="21"/>
          <w:shd w:val="clear" w:color="auto" w:fill="FFFFFF"/>
        </w:rPr>
        <w:t>的</w:t>
      </w:r>
      <w:r>
        <w:rPr>
          <w:rStyle w:val="26"/>
          <w:rFonts w:hint="eastAsia" w:ascii="宋体" w:hAnsi="宋体" w:eastAsia="宋体" w:cs="宋体"/>
          <w:i w:val="0"/>
          <w:iCs w:val="0"/>
          <w:caps w:val="0"/>
          <w:color w:val="333333"/>
          <w:spacing w:val="0"/>
          <w:sz w:val="21"/>
          <w:szCs w:val="21"/>
          <w:shd w:val="clear" w:color="auto" w:fill="FFFFFF"/>
        </w:rPr>
        <w:t>（关键组件）</w:t>
      </w:r>
      <w:r>
        <w:rPr>
          <w:rStyle w:val="26"/>
          <w:rFonts w:hint="eastAsia" w:ascii="宋体" w:hAnsi="宋体" w:eastAsia="宋体" w:cs="宋体"/>
          <w:i w:val="0"/>
          <w:iCs w:val="0"/>
          <w:caps w:val="0"/>
          <w:color w:val="333333"/>
          <w:spacing w:val="0"/>
          <w:sz w:val="21"/>
          <w:szCs w:val="21"/>
          <w:shd w:val="clear" w:color="auto" w:fill="FFFFFF"/>
          <w:vertAlign w:val="superscript"/>
        </w:rPr>
        <w:t>4</w:t>
      </w:r>
      <w:r>
        <w:rPr>
          <w:rFonts w:hint="eastAsia" w:ascii="宋体" w:hAnsi="宋体" w:eastAsia="宋体" w:cs="宋体"/>
          <w:i w:val="0"/>
          <w:iCs w:val="0"/>
          <w:caps w:val="0"/>
          <w:color w:val="333333"/>
          <w:spacing w:val="0"/>
          <w:sz w:val="21"/>
          <w:szCs w:val="21"/>
          <w:shd w:val="clear" w:color="auto" w:fill="FFFFFF"/>
        </w:rPr>
        <w:t>在中国境内生产。</w:t>
      </w:r>
      <w:r>
        <w:rPr>
          <w:rStyle w:val="26"/>
          <w:rFonts w:hint="eastAsia" w:ascii="宋体" w:hAnsi="宋体" w:eastAsia="宋体" w:cs="宋体"/>
          <w:i w:val="0"/>
          <w:iCs w:val="0"/>
          <w:caps w:val="0"/>
          <w:color w:val="333333"/>
          <w:spacing w:val="0"/>
          <w:sz w:val="21"/>
          <w:szCs w:val="21"/>
          <w:shd w:val="clear" w:color="auto" w:fill="FFFFFF"/>
        </w:rPr>
        <w:t>（产品名称1）</w:t>
      </w:r>
      <w:r>
        <w:rPr>
          <w:rFonts w:hint="eastAsia" w:ascii="宋体" w:hAnsi="宋体" w:eastAsia="宋体" w:cs="宋体"/>
          <w:i w:val="0"/>
          <w:iCs w:val="0"/>
          <w:caps w:val="0"/>
          <w:color w:val="333333"/>
          <w:spacing w:val="0"/>
          <w:sz w:val="21"/>
          <w:szCs w:val="21"/>
          <w:shd w:val="clear" w:color="auto" w:fill="FFFFFF"/>
        </w:rPr>
        <w:t>的</w:t>
      </w:r>
      <w:r>
        <w:rPr>
          <w:rStyle w:val="26"/>
          <w:rFonts w:hint="eastAsia" w:ascii="宋体" w:hAnsi="宋体" w:eastAsia="宋体" w:cs="宋体"/>
          <w:i w:val="0"/>
          <w:iCs w:val="0"/>
          <w:caps w:val="0"/>
          <w:color w:val="333333"/>
          <w:spacing w:val="0"/>
          <w:sz w:val="21"/>
          <w:szCs w:val="21"/>
          <w:shd w:val="clear" w:color="auto" w:fill="FFFFFF"/>
        </w:rPr>
        <w:t>（关键工序）</w:t>
      </w:r>
      <w:r>
        <w:rPr>
          <w:rStyle w:val="26"/>
          <w:rFonts w:hint="eastAsia" w:ascii="宋体" w:hAnsi="宋体" w:eastAsia="宋体" w:cs="宋体"/>
          <w:i w:val="0"/>
          <w:iCs w:val="0"/>
          <w:caps w:val="0"/>
          <w:color w:val="333333"/>
          <w:spacing w:val="0"/>
          <w:sz w:val="21"/>
          <w:szCs w:val="21"/>
          <w:shd w:val="clear" w:color="auto" w:fill="FFFFFF"/>
          <w:vertAlign w:val="superscript"/>
        </w:rPr>
        <w:t>5</w:t>
      </w:r>
      <w:r>
        <w:rPr>
          <w:rFonts w:hint="eastAsia" w:ascii="宋体" w:hAnsi="宋体" w:eastAsia="宋体" w:cs="宋体"/>
          <w:i w:val="0"/>
          <w:iCs w:val="0"/>
          <w:caps w:val="0"/>
          <w:color w:val="333333"/>
          <w:spacing w:val="0"/>
          <w:sz w:val="21"/>
          <w:szCs w:val="21"/>
          <w:shd w:val="clear" w:color="auto" w:fill="FFFFFF"/>
        </w:rPr>
        <w:t>在中国境内完成。</w:t>
      </w:r>
    </w:p>
    <w:p w14:paraId="5C70906B">
      <w:pPr>
        <w:pStyle w:val="19"/>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i w:val="0"/>
          <w:iCs w:val="0"/>
          <w:caps w:val="0"/>
          <w:color w:val="333333"/>
          <w:spacing w:val="0"/>
          <w:sz w:val="21"/>
          <w:szCs w:val="21"/>
          <w:shd w:val="clear" w:color="auto" w:fill="FFFFFF"/>
        </w:rPr>
      </w:pPr>
      <w:r>
        <w:rPr>
          <w:rFonts w:hint="eastAsia" w:ascii="宋体" w:hAnsi="宋体" w:eastAsia="宋体" w:cs="宋体"/>
          <w:i w:val="0"/>
          <w:iCs w:val="0"/>
          <w:caps w:val="0"/>
          <w:color w:val="333333"/>
          <w:spacing w:val="0"/>
          <w:sz w:val="21"/>
          <w:szCs w:val="21"/>
          <w:shd w:val="clear" w:color="auto" w:fill="FFFFFF"/>
        </w:rPr>
        <w:t>2.</w:t>
      </w:r>
      <w:r>
        <w:rPr>
          <w:rStyle w:val="26"/>
          <w:rFonts w:hint="eastAsia" w:ascii="宋体" w:hAnsi="宋体" w:eastAsia="宋体" w:cs="宋体"/>
          <w:i w:val="0"/>
          <w:iCs w:val="0"/>
          <w:caps w:val="0"/>
          <w:color w:val="333333"/>
          <w:spacing w:val="0"/>
          <w:sz w:val="21"/>
          <w:szCs w:val="21"/>
          <w:shd w:val="clear" w:color="auto" w:fill="FFFFFF"/>
        </w:rPr>
        <w:t>（产品名称2）</w:t>
      </w:r>
      <w:r>
        <w:rPr>
          <w:rFonts w:hint="eastAsia" w:ascii="宋体" w:hAnsi="宋体" w:eastAsia="宋体" w:cs="宋体"/>
          <w:i w:val="0"/>
          <w:iCs w:val="0"/>
          <w:caps w:val="0"/>
          <w:color w:val="333333"/>
          <w:spacing w:val="0"/>
          <w:sz w:val="21"/>
          <w:szCs w:val="21"/>
          <w:shd w:val="clear" w:color="auto" w:fill="FFFFFF"/>
        </w:rPr>
        <w:t>，生产厂为</w:t>
      </w:r>
      <w:r>
        <w:rPr>
          <w:rStyle w:val="26"/>
          <w:rFonts w:hint="eastAsia" w:ascii="宋体" w:hAnsi="宋体" w:eastAsia="宋体" w:cs="宋体"/>
          <w:i w:val="0"/>
          <w:iCs w:val="0"/>
          <w:caps w:val="0"/>
          <w:color w:val="333333"/>
          <w:spacing w:val="0"/>
          <w:sz w:val="21"/>
          <w:szCs w:val="21"/>
          <w:shd w:val="clear" w:color="auto" w:fill="FFFFFF"/>
        </w:rPr>
        <w:t>（厂名）</w:t>
      </w:r>
      <w:r>
        <w:rPr>
          <w:rFonts w:hint="eastAsia" w:ascii="宋体" w:hAnsi="宋体" w:eastAsia="宋体" w:cs="宋体"/>
          <w:i w:val="0"/>
          <w:iCs w:val="0"/>
          <w:caps w:val="0"/>
          <w:color w:val="333333"/>
          <w:spacing w:val="0"/>
          <w:sz w:val="21"/>
          <w:szCs w:val="21"/>
          <w:shd w:val="clear" w:color="auto" w:fill="FFFFFF"/>
        </w:rPr>
        <w:t>，厂址为</w:t>
      </w:r>
      <w:r>
        <w:rPr>
          <w:rStyle w:val="26"/>
          <w:rFonts w:hint="eastAsia" w:ascii="宋体" w:hAnsi="宋体" w:eastAsia="宋体" w:cs="宋体"/>
          <w:i w:val="0"/>
          <w:iCs w:val="0"/>
          <w:caps w:val="0"/>
          <w:color w:val="333333"/>
          <w:spacing w:val="0"/>
          <w:sz w:val="21"/>
          <w:szCs w:val="21"/>
          <w:shd w:val="clear" w:color="auto" w:fill="FFFFFF"/>
        </w:rPr>
        <w:t>（生产厂址）</w:t>
      </w:r>
      <w:r>
        <w:rPr>
          <w:rFonts w:hint="eastAsia" w:ascii="宋体" w:hAnsi="宋体" w:eastAsia="宋体" w:cs="宋体"/>
          <w:i w:val="0"/>
          <w:iCs w:val="0"/>
          <w:caps w:val="0"/>
          <w:color w:val="333333"/>
          <w:spacing w:val="0"/>
          <w:sz w:val="21"/>
          <w:szCs w:val="21"/>
          <w:shd w:val="clear" w:color="auto" w:fill="FFFFFF"/>
        </w:rPr>
        <w:t>。</w:t>
      </w:r>
      <w:r>
        <w:rPr>
          <w:rStyle w:val="26"/>
          <w:rFonts w:hint="eastAsia" w:ascii="宋体" w:hAnsi="宋体" w:eastAsia="宋体" w:cs="宋体"/>
          <w:i w:val="0"/>
          <w:iCs w:val="0"/>
          <w:caps w:val="0"/>
          <w:color w:val="333333"/>
          <w:spacing w:val="0"/>
          <w:sz w:val="21"/>
          <w:szCs w:val="21"/>
          <w:shd w:val="clear" w:color="auto" w:fill="FFFFFF"/>
        </w:rPr>
        <w:t>（产品名称2）</w:t>
      </w:r>
      <w:r>
        <w:rPr>
          <w:rFonts w:hint="eastAsia" w:ascii="宋体" w:hAnsi="宋体" w:eastAsia="宋体" w:cs="宋体"/>
          <w:i w:val="0"/>
          <w:iCs w:val="0"/>
          <w:caps w:val="0"/>
          <w:color w:val="333333"/>
          <w:spacing w:val="0"/>
          <w:sz w:val="21"/>
          <w:szCs w:val="21"/>
          <w:shd w:val="clear" w:color="auto" w:fill="FFFFFF"/>
        </w:rPr>
        <w:t>的中国境内生产的组件成本占比≥</w:t>
      </w:r>
      <w:r>
        <w:rPr>
          <w:rStyle w:val="26"/>
          <w:rFonts w:hint="eastAsia" w:ascii="宋体" w:hAnsi="宋体" w:eastAsia="宋体" w:cs="宋体"/>
          <w:i w:val="0"/>
          <w:iCs w:val="0"/>
          <w:caps w:val="0"/>
          <w:color w:val="333333"/>
          <w:spacing w:val="0"/>
          <w:sz w:val="21"/>
          <w:szCs w:val="21"/>
          <w:shd w:val="clear" w:color="auto" w:fill="FFFFFF"/>
        </w:rPr>
        <w:t>（规定比例）</w:t>
      </w:r>
      <w:r>
        <w:rPr>
          <w:rFonts w:hint="eastAsia" w:ascii="宋体" w:hAnsi="宋体" w:eastAsia="宋体" w:cs="宋体"/>
          <w:i w:val="0"/>
          <w:iCs w:val="0"/>
          <w:caps w:val="0"/>
          <w:color w:val="333333"/>
          <w:spacing w:val="0"/>
          <w:sz w:val="21"/>
          <w:szCs w:val="21"/>
          <w:shd w:val="clear" w:color="auto" w:fill="FFFFFF"/>
        </w:rPr>
        <w:t>。</w:t>
      </w:r>
      <w:r>
        <w:rPr>
          <w:rStyle w:val="26"/>
          <w:rFonts w:hint="eastAsia" w:ascii="宋体" w:hAnsi="宋体" w:eastAsia="宋体" w:cs="宋体"/>
          <w:i w:val="0"/>
          <w:iCs w:val="0"/>
          <w:caps w:val="0"/>
          <w:color w:val="333333"/>
          <w:spacing w:val="0"/>
          <w:sz w:val="21"/>
          <w:szCs w:val="21"/>
          <w:shd w:val="clear" w:color="auto" w:fill="FFFFFF"/>
        </w:rPr>
        <w:t>（产品名称2）</w:t>
      </w:r>
      <w:r>
        <w:rPr>
          <w:rFonts w:hint="eastAsia" w:ascii="宋体" w:hAnsi="宋体" w:eastAsia="宋体" w:cs="宋体"/>
          <w:i w:val="0"/>
          <w:iCs w:val="0"/>
          <w:caps w:val="0"/>
          <w:color w:val="333333"/>
          <w:spacing w:val="0"/>
          <w:sz w:val="21"/>
          <w:szCs w:val="21"/>
          <w:shd w:val="clear" w:color="auto" w:fill="FFFFFF"/>
        </w:rPr>
        <w:t>的</w:t>
      </w:r>
      <w:r>
        <w:rPr>
          <w:rStyle w:val="26"/>
          <w:rFonts w:hint="eastAsia" w:ascii="宋体" w:hAnsi="宋体" w:eastAsia="宋体" w:cs="宋体"/>
          <w:i w:val="0"/>
          <w:iCs w:val="0"/>
          <w:caps w:val="0"/>
          <w:color w:val="333333"/>
          <w:spacing w:val="0"/>
          <w:sz w:val="21"/>
          <w:szCs w:val="21"/>
          <w:shd w:val="clear" w:color="auto" w:fill="FFFFFF"/>
        </w:rPr>
        <w:t>（关键组件）</w:t>
      </w:r>
      <w:r>
        <w:rPr>
          <w:rFonts w:hint="eastAsia" w:ascii="宋体" w:hAnsi="宋体" w:eastAsia="宋体" w:cs="宋体"/>
          <w:i w:val="0"/>
          <w:iCs w:val="0"/>
          <w:caps w:val="0"/>
          <w:color w:val="333333"/>
          <w:spacing w:val="0"/>
          <w:sz w:val="21"/>
          <w:szCs w:val="21"/>
          <w:shd w:val="clear" w:color="auto" w:fill="FFFFFF"/>
        </w:rPr>
        <w:t>在中国境内生产。</w:t>
      </w:r>
      <w:r>
        <w:rPr>
          <w:rStyle w:val="26"/>
          <w:rFonts w:hint="eastAsia" w:ascii="宋体" w:hAnsi="宋体" w:eastAsia="宋体" w:cs="宋体"/>
          <w:i w:val="0"/>
          <w:iCs w:val="0"/>
          <w:caps w:val="0"/>
          <w:color w:val="333333"/>
          <w:spacing w:val="0"/>
          <w:sz w:val="21"/>
          <w:szCs w:val="21"/>
          <w:shd w:val="clear" w:color="auto" w:fill="FFFFFF"/>
        </w:rPr>
        <w:t>（产品名称2）</w:t>
      </w:r>
      <w:r>
        <w:rPr>
          <w:rFonts w:hint="eastAsia" w:ascii="宋体" w:hAnsi="宋体" w:eastAsia="宋体" w:cs="宋体"/>
          <w:i w:val="0"/>
          <w:iCs w:val="0"/>
          <w:caps w:val="0"/>
          <w:color w:val="333333"/>
          <w:spacing w:val="0"/>
          <w:sz w:val="21"/>
          <w:szCs w:val="21"/>
          <w:shd w:val="clear" w:color="auto" w:fill="FFFFFF"/>
        </w:rPr>
        <w:t>的</w:t>
      </w:r>
      <w:r>
        <w:rPr>
          <w:rStyle w:val="26"/>
          <w:rFonts w:hint="eastAsia" w:ascii="宋体" w:hAnsi="宋体" w:eastAsia="宋体" w:cs="宋体"/>
          <w:i w:val="0"/>
          <w:iCs w:val="0"/>
          <w:caps w:val="0"/>
          <w:color w:val="333333"/>
          <w:spacing w:val="0"/>
          <w:sz w:val="21"/>
          <w:szCs w:val="21"/>
          <w:shd w:val="clear" w:color="auto" w:fill="FFFFFF"/>
        </w:rPr>
        <w:t>（关键工序）</w:t>
      </w:r>
      <w:r>
        <w:rPr>
          <w:rFonts w:hint="eastAsia" w:ascii="宋体" w:hAnsi="宋体" w:eastAsia="宋体" w:cs="宋体"/>
          <w:i w:val="0"/>
          <w:iCs w:val="0"/>
          <w:caps w:val="0"/>
          <w:color w:val="333333"/>
          <w:spacing w:val="0"/>
          <w:sz w:val="21"/>
          <w:szCs w:val="21"/>
          <w:shd w:val="clear" w:color="auto" w:fill="FFFFFF"/>
        </w:rPr>
        <w:t>在中国境内完成。</w:t>
      </w:r>
    </w:p>
    <w:p w14:paraId="061DE034">
      <w:pPr>
        <w:pStyle w:val="19"/>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lang w:val="en-US" w:eastAsia="zh-CN"/>
        </w:rPr>
      </w:pPr>
      <w:r>
        <w:rPr>
          <w:rFonts w:hint="eastAsia" w:ascii="宋体" w:hAnsi="宋体" w:eastAsia="宋体" w:cs="宋体"/>
          <w:i w:val="0"/>
          <w:iCs w:val="0"/>
          <w:caps w:val="0"/>
          <w:color w:val="333333"/>
          <w:spacing w:val="0"/>
          <w:sz w:val="21"/>
          <w:szCs w:val="21"/>
          <w:shd w:val="clear" w:color="auto" w:fill="FFFFFF"/>
        </w:rPr>
        <w:t>……</w:t>
      </w:r>
    </w:p>
    <w:p w14:paraId="35677962">
      <w:pPr>
        <w:pStyle w:val="19"/>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i w:val="0"/>
          <w:iCs w:val="0"/>
          <w:caps w:val="0"/>
          <w:color w:val="333333"/>
          <w:spacing w:val="0"/>
          <w:sz w:val="21"/>
          <w:szCs w:val="21"/>
          <w:shd w:val="clear" w:color="auto" w:fill="FFFFFF"/>
          <w:lang w:val="en-US" w:eastAsia="zh-CN"/>
        </w:rPr>
      </w:pPr>
    </w:p>
    <w:p w14:paraId="4F260545">
      <w:pPr>
        <w:pStyle w:val="19"/>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i w:val="0"/>
          <w:iCs w:val="0"/>
          <w:caps w:val="0"/>
          <w:color w:val="333333"/>
          <w:spacing w:val="0"/>
          <w:sz w:val="21"/>
          <w:szCs w:val="21"/>
          <w:shd w:val="clear" w:color="auto" w:fill="FFFFFF"/>
          <w:lang w:val="en-US" w:eastAsia="zh-CN"/>
        </w:rPr>
      </w:pPr>
      <w:r>
        <w:rPr>
          <w:rFonts w:hint="eastAsia" w:ascii="宋体" w:hAnsi="宋体" w:eastAsia="宋体" w:cs="宋体"/>
          <w:i w:val="0"/>
          <w:iCs w:val="0"/>
          <w:caps w:val="0"/>
          <w:color w:val="333333"/>
          <w:spacing w:val="0"/>
          <w:sz w:val="21"/>
          <w:szCs w:val="21"/>
          <w:shd w:val="clear" w:color="auto" w:fill="FFFFFF"/>
        </w:rPr>
        <w:t>本公司（单位）</w:t>
      </w:r>
      <w:r>
        <w:rPr>
          <w:rFonts w:hint="eastAsia" w:ascii="宋体" w:hAnsi="宋体" w:eastAsia="宋体" w:cs="宋体"/>
          <w:i w:val="0"/>
          <w:iCs w:val="0"/>
          <w:caps w:val="0"/>
          <w:color w:val="333333"/>
          <w:spacing w:val="0"/>
          <w:sz w:val="21"/>
          <w:szCs w:val="21"/>
          <w:shd w:val="clear" w:color="auto" w:fill="FFFFFF"/>
          <w:lang w:val="en-US" w:eastAsia="zh-CN"/>
        </w:rPr>
        <w:t>承诺：</w:t>
      </w:r>
    </w:p>
    <w:p w14:paraId="14E69B3C">
      <w:pPr>
        <w:pStyle w:val="19"/>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leftChars="0" w:right="0" w:rightChars="0" w:firstLine="420" w:firstLineChars="0"/>
        <w:rPr>
          <w:rFonts w:hint="eastAsia" w:ascii="宋体" w:hAnsi="宋体" w:eastAsia="宋体" w:cs="宋体"/>
          <w:b w:val="0"/>
          <w:bCs w:val="0"/>
          <w:i w:val="0"/>
          <w:iCs w:val="0"/>
          <w:caps w:val="0"/>
          <w:color w:val="auto"/>
          <w:spacing w:val="0"/>
          <w:sz w:val="21"/>
          <w:szCs w:val="21"/>
          <w:u w:val="none"/>
          <w:shd w:val="clear" w:color="auto" w:fill="FFFFFF"/>
          <w:lang w:val="en-US" w:eastAsia="zh-CN"/>
        </w:rPr>
      </w:pPr>
      <w:r>
        <w:rPr>
          <w:rFonts w:hint="eastAsia" w:ascii="宋体" w:hAnsi="宋体" w:eastAsia="宋体" w:cs="宋体"/>
          <w:b w:val="0"/>
          <w:bCs w:val="0"/>
          <w:i w:val="0"/>
          <w:iCs w:val="0"/>
          <w:caps w:val="0"/>
          <w:color w:val="auto"/>
          <w:spacing w:val="0"/>
          <w:kern w:val="0"/>
          <w:sz w:val="21"/>
          <w:szCs w:val="21"/>
          <w:shd w:val="clear" w:fill="FFFFFF"/>
          <w:lang w:val="en-US" w:eastAsia="zh-CN" w:bidi="ar"/>
        </w:rPr>
        <w:t>1.</w:t>
      </w:r>
      <w:r>
        <w:rPr>
          <w:rFonts w:hint="eastAsia" w:ascii="宋体" w:hAnsi="宋体" w:eastAsia="宋体" w:cs="宋体"/>
          <w:b w:val="0"/>
          <w:bCs w:val="0"/>
          <w:i w:val="0"/>
          <w:iCs w:val="0"/>
          <w:caps w:val="0"/>
          <w:color w:val="auto"/>
          <w:spacing w:val="0"/>
          <w:sz w:val="21"/>
          <w:szCs w:val="21"/>
          <w:shd w:val="clear" w:color="auto" w:fill="FFFFFF"/>
          <w:lang w:val="en-US" w:eastAsia="zh-CN"/>
        </w:rPr>
        <w:t>不适用本国产品标准的货物总报价为：</w:t>
      </w:r>
      <w:r>
        <w:rPr>
          <w:rFonts w:hint="eastAsia" w:ascii="宋体" w:hAnsi="宋体" w:eastAsia="宋体" w:cs="宋体"/>
          <w:b w:val="0"/>
          <w:bCs w:val="0"/>
          <w:i w:val="0"/>
          <w:iCs w:val="0"/>
          <w:caps w:val="0"/>
          <w:color w:val="FF0000"/>
          <w:spacing w:val="0"/>
          <w:sz w:val="21"/>
          <w:szCs w:val="21"/>
          <w:u w:val="single"/>
          <w:shd w:val="clear" w:color="auto" w:fill="FFFFFF"/>
          <w:lang w:val="en-US" w:eastAsia="zh-CN"/>
        </w:rPr>
        <w:t xml:space="preserve"> </w:t>
      </w:r>
      <w:r>
        <w:rPr>
          <w:rFonts w:hint="eastAsia" w:ascii="宋体" w:hAnsi="宋体" w:eastAsia="宋体" w:cs="宋体"/>
          <w:b/>
          <w:bCs/>
          <w:i w:val="0"/>
          <w:iCs w:val="0"/>
          <w:caps w:val="0"/>
          <w:color w:val="FF0000"/>
          <w:spacing w:val="0"/>
          <w:sz w:val="21"/>
          <w:szCs w:val="21"/>
          <w:u w:val="single"/>
          <w:shd w:val="clear" w:color="auto" w:fill="FFFFFF"/>
          <w:lang w:val="en-US" w:eastAsia="zh-CN"/>
        </w:rPr>
        <w:t xml:space="preserve">（填写小写金额） </w:t>
      </w:r>
      <w:r>
        <w:rPr>
          <w:rFonts w:hint="eastAsia" w:ascii="宋体" w:hAnsi="宋体" w:eastAsia="宋体" w:cs="宋体"/>
          <w:b w:val="0"/>
          <w:bCs w:val="0"/>
          <w:i w:val="0"/>
          <w:iCs w:val="0"/>
          <w:caps w:val="0"/>
          <w:color w:val="auto"/>
          <w:spacing w:val="0"/>
          <w:sz w:val="21"/>
          <w:szCs w:val="21"/>
          <w:u w:val="none"/>
          <w:shd w:val="clear" w:color="auto" w:fill="FFFFFF"/>
          <w:lang w:val="en-US" w:eastAsia="zh-CN"/>
        </w:rPr>
        <w:t>元；</w:t>
      </w:r>
    </w:p>
    <w:p w14:paraId="53716A7F">
      <w:pPr>
        <w:pStyle w:val="19"/>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leftChars="0" w:right="0" w:rightChars="0" w:firstLine="420" w:firstLineChars="0"/>
        <w:rPr>
          <w:rFonts w:hint="eastAsia" w:ascii="宋体" w:hAnsi="宋体" w:eastAsia="宋体" w:cs="宋体"/>
          <w:i w:val="0"/>
          <w:iCs w:val="0"/>
          <w:caps w:val="0"/>
          <w:color w:val="333333"/>
          <w:spacing w:val="0"/>
          <w:sz w:val="21"/>
          <w:szCs w:val="21"/>
          <w:u w:val="none"/>
          <w:shd w:val="clear" w:color="auto" w:fill="FFFFFF"/>
          <w:lang w:val="en-US" w:eastAsia="zh-CN"/>
        </w:rPr>
      </w:pPr>
      <w:r>
        <w:rPr>
          <w:rFonts w:hint="eastAsia" w:ascii="宋体" w:hAnsi="宋体" w:eastAsia="宋体" w:cs="宋体"/>
          <w:i w:val="0"/>
          <w:iCs w:val="0"/>
          <w:caps w:val="0"/>
          <w:color w:val="333333"/>
          <w:spacing w:val="0"/>
          <w:kern w:val="0"/>
          <w:sz w:val="21"/>
          <w:szCs w:val="21"/>
          <w:shd w:val="clear" w:fill="FFFFFF"/>
          <w:lang w:val="en-US" w:eastAsia="zh-CN" w:bidi="ar"/>
        </w:rPr>
        <w:t>2.</w:t>
      </w:r>
      <w:r>
        <w:rPr>
          <w:rFonts w:hint="eastAsia" w:ascii="宋体" w:hAnsi="宋体" w:eastAsia="宋体" w:cs="宋体"/>
          <w:b w:val="0"/>
          <w:bCs w:val="0"/>
          <w:i w:val="0"/>
          <w:iCs w:val="0"/>
          <w:caps w:val="0"/>
          <w:color w:val="auto"/>
          <w:spacing w:val="0"/>
          <w:sz w:val="21"/>
          <w:szCs w:val="21"/>
          <w:shd w:val="clear" w:color="auto" w:fill="FFFFFF"/>
          <w:lang w:val="en-US" w:eastAsia="zh-CN"/>
        </w:rPr>
        <w:t>适用本国产品标准的货物总报价</w:t>
      </w:r>
      <w:r>
        <w:rPr>
          <w:rFonts w:hint="eastAsia" w:ascii="宋体" w:hAnsi="宋体" w:eastAsia="宋体" w:cs="宋体"/>
          <w:i w:val="0"/>
          <w:iCs w:val="0"/>
          <w:caps w:val="0"/>
          <w:color w:val="333333"/>
          <w:spacing w:val="0"/>
          <w:sz w:val="21"/>
          <w:szCs w:val="21"/>
          <w:shd w:val="clear" w:color="auto" w:fill="FFFFFF"/>
          <w:lang w:val="en-US" w:eastAsia="zh-CN"/>
        </w:rPr>
        <w:t>为：</w:t>
      </w:r>
      <w:r>
        <w:rPr>
          <w:rFonts w:hint="eastAsia" w:ascii="宋体" w:hAnsi="宋体" w:eastAsia="宋体" w:cs="宋体"/>
          <w:i w:val="0"/>
          <w:iCs w:val="0"/>
          <w:caps w:val="0"/>
          <w:color w:val="FF0000"/>
          <w:spacing w:val="0"/>
          <w:sz w:val="21"/>
          <w:szCs w:val="21"/>
          <w:u w:val="single"/>
          <w:shd w:val="clear" w:color="auto" w:fill="FFFFFF"/>
          <w:lang w:val="en-US" w:eastAsia="zh-CN"/>
        </w:rPr>
        <w:t xml:space="preserve">   </w:t>
      </w:r>
      <w:r>
        <w:rPr>
          <w:rFonts w:hint="eastAsia" w:ascii="宋体" w:hAnsi="宋体" w:eastAsia="宋体" w:cs="宋体"/>
          <w:b/>
          <w:bCs/>
          <w:i w:val="0"/>
          <w:iCs w:val="0"/>
          <w:caps w:val="0"/>
          <w:color w:val="FF0000"/>
          <w:spacing w:val="0"/>
          <w:sz w:val="21"/>
          <w:szCs w:val="21"/>
          <w:u w:val="single"/>
          <w:shd w:val="clear" w:color="auto" w:fill="FFFFFF"/>
          <w:lang w:val="en-US" w:eastAsia="zh-CN"/>
        </w:rPr>
        <w:t>（填写小写金额）</w:t>
      </w:r>
      <w:r>
        <w:rPr>
          <w:rFonts w:hint="eastAsia" w:ascii="宋体" w:hAnsi="宋体" w:eastAsia="宋体" w:cs="宋体"/>
          <w:i w:val="0"/>
          <w:iCs w:val="0"/>
          <w:caps w:val="0"/>
          <w:color w:val="FF0000"/>
          <w:spacing w:val="0"/>
          <w:sz w:val="21"/>
          <w:szCs w:val="21"/>
          <w:u w:val="single"/>
          <w:shd w:val="clear" w:color="auto" w:fill="FFFFFF"/>
          <w:lang w:val="en-US" w:eastAsia="zh-CN"/>
        </w:rPr>
        <w:t xml:space="preserve"> </w:t>
      </w:r>
      <w:r>
        <w:rPr>
          <w:rFonts w:hint="eastAsia" w:ascii="宋体" w:hAnsi="宋体" w:eastAsia="宋体" w:cs="宋体"/>
          <w:i w:val="0"/>
          <w:iCs w:val="0"/>
          <w:caps w:val="0"/>
          <w:color w:val="333333"/>
          <w:spacing w:val="0"/>
          <w:sz w:val="21"/>
          <w:szCs w:val="21"/>
          <w:u w:val="none"/>
          <w:shd w:val="clear" w:color="auto" w:fill="FFFFFF"/>
          <w:lang w:val="en-US" w:eastAsia="zh-CN"/>
        </w:rPr>
        <w:t>元；</w:t>
      </w:r>
    </w:p>
    <w:p w14:paraId="5EB47894">
      <w:pPr>
        <w:pStyle w:val="19"/>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leftChars="0" w:right="0" w:rightChars="0" w:firstLine="420" w:firstLineChars="0"/>
        <w:rPr>
          <w:rFonts w:hint="eastAsia" w:ascii="宋体" w:hAnsi="宋体" w:eastAsia="宋体" w:cs="宋体"/>
          <w:i w:val="0"/>
          <w:iCs w:val="0"/>
          <w:caps w:val="0"/>
          <w:color w:val="333333"/>
          <w:spacing w:val="0"/>
          <w:sz w:val="21"/>
          <w:szCs w:val="21"/>
          <w:u w:val="single"/>
          <w:shd w:val="clear" w:color="auto" w:fill="FFFFFF"/>
          <w:lang w:val="en-US" w:eastAsia="zh-CN"/>
        </w:rPr>
      </w:pPr>
      <w:r>
        <w:rPr>
          <w:rFonts w:hint="eastAsia" w:ascii="宋体" w:hAnsi="宋体" w:eastAsia="宋体" w:cs="宋体"/>
          <w:i w:val="0"/>
          <w:iCs w:val="0"/>
          <w:caps w:val="0"/>
          <w:color w:val="333333"/>
          <w:spacing w:val="0"/>
          <w:sz w:val="21"/>
          <w:szCs w:val="21"/>
          <w:u w:val="none"/>
          <w:shd w:val="clear" w:color="auto" w:fill="FFFFFF"/>
          <w:lang w:val="en-US" w:eastAsia="zh-CN"/>
        </w:rPr>
        <w:t>3.本国产品成本之和占比全部产品成本之和</w:t>
      </w:r>
      <w:r>
        <w:rPr>
          <w:rFonts w:hint="eastAsia" w:ascii="宋体" w:hAnsi="宋体" w:eastAsia="宋体" w:cs="宋体"/>
          <w:b/>
          <w:bCs/>
          <w:i w:val="0"/>
          <w:iCs w:val="0"/>
          <w:caps w:val="0"/>
          <w:color w:val="FF0000"/>
          <w:spacing w:val="0"/>
          <w:sz w:val="21"/>
          <w:szCs w:val="21"/>
          <w:u w:val="single"/>
          <w:shd w:val="clear" w:color="auto" w:fill="FFFFFF"/>
          <w:lang w:val="en-US" w:eastAsia="zh-CN"/>
        </w:rPr>
        <w:t xml:space="preserve"> （选择填写“是”或“否”，二选一） </w:t>
      </w:r>
      <w:r>
        <w:rPr>
          <w:rFonts w:hint="eastAsia" w:ascii="宋体" w:hAnsi="宋体" w:eastAsia="宋体" w:cs="宋体"/>
          <w:i w:val="0"/>
          <w:iCs w:val="0"/>
          <w:caps w:val="0"/>
          <w:color w:val="333333"/>
          <w:spacing w:val="0"/>
          <w:sz w:val="21"/>
          <w:szCs w:val="21"/>
          <w:u w:val="none"/>
          <w:shd w:val="clear" w:color="auto" w:fill="FFFFFF"/>
          <w:lang w:val="en-US" w:eastAsia="zh-CN"/>
        </w:rPr>
        <w:t>≥80%。</w:t>
      </w:r>
    </w:p>
    <w:p w14:paraId="2E263053">
      <w:pPr>
        <w:pStyle w:val="19"/>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i w:val="0"/>
          <w:iCs w:val="0"/>
          <w:caps w:val="0"/>
          <w:color w:val="333333"/>
          <w:spacing w:val="0"/>
          <w:sz w:val="21"/>
          <w:szCs w:val="21"/>
          <w:shd w:val="clear" w:color="auto" w:fill="FFFFFF"/>
        </w:rPr>
      </w:pPr>
    </w:p>
    <w:p w14:paraId="79257517">
      <w:pPr>
        <w:keepNext w:val="0"/>
        <w:keepLines w:val="0"/>
        <w:pageBreakBefore w:val="0"/>
        <w:widowControl w:val="0"/>
        <w:numPr>
          <w:ilvl w:val="0"/>
          <w:numId w:val="0"/>
        </w:numPr>
        <w:kinsoku/>
        <w:wordWrap/>
        <w:overflowPunct/>
        <w:topLinePunct w:val="0"/>
        <w:autoSpaceDE/>
        <w:autoSpaceDN/>
        <w:bidi w:val="0"/>
        <w:adjustRightInd/>
        <w:snapToGrid/>
        <w:textAlignment w:val="auto"/>
        <w:rPr>
          <w:rFonts w:hint="eastAsia" w:ascii="宋体" w:hAnsi="宋体" w:eastAsia="宋体" w:cs="宋体"/>
          <w:color w:val="FF0000"/>
          <w:sz w:val="21"/>
          <w:szCs w:val="21"/>
          <w:lang w:val="en-US" w:eastAsia="zh-CN"/>
        </w:rPr>
      </w:pPr>
      <w:r>
        <w:rPr>
          <w:rFonts w:hint="eastAsia" w:ascii="宋体" w:hAnsi="宋体" w:eastAsia="宋体" w:cs="宋体"/>
          <w:color w:val="FF0000"/>
          <w:sz w:val="21"/>
          <w:szCs w:val="21"/>
          <w:lang w:val="en-US" w:eastAsia="zh-CN"/>
        </w:rPr>
        <w:t>注：</w:t>
      </w:r>
    </w:p>
    <w:p w14:paraId="0575D915">
      <w:pPr>
        <w:keepNext w:val="0"/>
        <w:keepLines w:val="0"/>
        <w:pageBreakBefore w:val="0"/>
        <w:widowControl w:val="0"/>
        <w:numPr>
          <w:ilvl w:val="0"/>
          <w:numId w:val="0"/>
        </w:numPr>
        <w:kinsoku/>
        <w:wordWrap/>
        <w:overflowPunct/>
        <w:topLinePunct w:val="0"/>
        <w:autoSpaceDE/>
        <w:autoSpaceDN/>
        <w:bidi w:val="0"/>
        <w:adjustRightInd/>
        <w:snapToGrid/>
        <w:ind w:firstLine="420" w:firstLineChars="200"/>
        <w:textAlignment w:val="auto"/>
        <w:rPr>
          <w:rFonts w:hint="eastAsia" w:ascii="宋体" w:hAnsi="宋体" w:eastAsia="宋体" w:cs="宋体"/>
          <w:color w:val="FF0000"/>
          <w:sz w:val="21"/>
          <w:szCs w:val="21"/>
          <w:lang w:val="en-US" w:eastAsia="zh-CN"/>
        </w:rPr>
      </w:pPr>
      <w:r>
        <w:rPr>
          <w:rFonts w:hint="eastAsia" w:ascii="宋体" w:hAnsi="宋体" w:eastAsia="宋体" w:cs="宋体"/>
          <w:color w:val="FF0000"/>
          <w:sz w:val="21"/>
          <w:szCs w:val="21"/>
          <w:lang w:val="en-US" w:eastAsia="zh-CN"/>
        </w:rPr>
        <w:t>1.不适用本国产品标准的货物是指《政府采购品目分类目录》中的房屋和构筑物，文物和陈列品，图书和档案，特种动植物，农林牧渔业产品，矿与矿物，电力、城市燃气、蒸汽和热水、水，食品、饮料和烟草原料，无形资产。如无，则填写“0”；</w:t>
      </w:r>
    </w:p>
    <w:p w14:paraId="27990EBB">
      <w:pPr>
        <w:keepNext w:val="0"/>
        <w:keepLines w:val="0"/>
        <w:pageBreakBefore w:val="0"/>
        <w:widowControl w:val="0"/>
        <w:numPr>
          <w:ilvl w:val="0"/>
          <w:numId w:val="0"/>
        </w:numPr>
        <w:kinsoku/>
        <w:wordWrap/>
        <w:overflowPunct/>
        <w:topLinePunct w:val="0"/>
        <w:autoSpaceDE/>
        <w:autoSpaceDN/>
        <w:bidi w:val="0"/>
        <w:adjustRightInd/>
        <w:snapToGrid/>
        <w:ind w:firstLine="420" w:firstLineChars="200"/>
        <w:textAlignment w:val="auto"/>
        <w:rPr>
          <w:rFonts w:hint="eastAsia" w:ascii="宋体" w:hAnsi="宋体" w:eastAsia="宋体" w:cs="宋体"/>
          <w:color w:val="FF0000"/>
          <w:sz w:val="21"/>
          <w:szCs w:val="21"/>
          <w:lang w:val="en-US" w:eastAsia="zh-CN"/>
        </w:rPr>
      </w:pPr>
      <w:r>
        <w:rPr>
          <w:rFonts w:hint="eastAsia" w:ascii="宋体" w:hAnsi="宋体" w:eastAsia="宋体" w:cs="宋体"/>
          <w:color w:val="FF0000"/>
          <w:sz w:val="21"/>
          <w:szCs w:val="21"/>
          <w:lang w:val="en-US" w:eastAsia="zh-CN"/>
        </w:rPr>
        <w:t>2.适用本国产品标准的货物总报价=总报价-不适用本国产品标准的货物总报价</w:t>
      </w:r>
    </w:p>
    <w:p w14:paraId="75D3114C">
      <w:pPr>
        <w:keepNext w:val="0"/>
        <w:keepLines w:val="0"/>
        <w:pageBreakBefore w:val="0"/>
        <w:widowControl w:val="0"/>
        <w:numPr>
          <w:ilvl w:val="0"/>
          <w:numId w:val="0"/>
        </w:numPr>
        <w:kinsoku/>
        <w:wordWrap/>
        <w:overflowPunct/>
        <w:topLinePunct w:val="0"/>
        <w:autoSpaceDE/>
        <w:autoSpaceDN/>
        <w:bidi w:val="0"/>
        <w:adjustRightInd/>
        <w:snapToGrid/>
        <w:textAlignment w:val="auto"/>
        <w:rPr>
          <w:rFonts w:hint="eastAsia" w:ascii="宋体" w:hAnsi="宋体" w:eastAsia="宋体" w:cs="宋体"/>
          <w:sz w:val="21"/>
          <w:szCs w:val="21"/>
          <w:lang w:val="en-US" w:eastAsia="zh-CN"/>
        </w:rPr>
      </w:pPr>
    </w:p>
    <w:p w14:paraId="19E91BE4">
      <w:pPr>
        <w:keepNext w:val="0"/>
        <w:keepLines w:val="0"/>
        <w:pageBreakBefore w:val="0"/>
        <w:widowControl w:val="0"/>
        <w:numPr>
          <w:ilvl w:val="0"/>
          <w:numId w:val="0"/>
        </w:numPr>
        <w:kinsoku/>
        <w:wordWrap/>
        <w:overflowPunct/>
        <w:topLinePunct w:val="0"/>
        <w:autoSpaceDE/>
        <w:autoSpaceDN/>
        <w:bidi w:val="0"/>
        <w:adjustRightInd/>
        <w:snapToGrid/>
        <w:textAlignment w:val="auto"/>
        <w:rPr>
          <w:rFonts w:hint="eastAsia" w:ascii="宋体" w:hAnsi="宋体" w:eastAsia="宋体" w:cs="宋体"/>
          <w:sz w:val="21"/>
          <w:szCs w:val="21"/>
          <w:lang w:val="en-US" w:eastAsia="zh-CN"/>
        </w:rPr>
      </w:pPr>
    </w:p>
    <w:p w14:paraId="443FE9F2">
      <w:pPr>
        <w:pStyle w:val="19"/>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lang w:val="en-US" w:eastAsia="zh-CN"/>
        </w:rPr>
      </w:pPr>
      <w:r>
        <w:rPr>
          <w:rFonts w:hint="eastAsia" w:ascii="宋体" w:hAnsi="宋体" w:eastAsia="宋体" w:cs="宋体"/>
          <w:i w:val="0"/>
          <w:iCs w:val="0"/>
          <w:caps w:val="0"/>
          <w:color w:val="333333"/>
          <w:spacing w:val="0"/>
          <w:sz w:val="21"/>
          <w:szCs w:val="21"/>
          <w:shd w:val="clear" w:color="auto" w:fill="FFFFFF"/>
        </w:rPr>
        <w:t>本公司（单位）对上述声明内容的真实性负责。如有虚假，愿承担相应法律责任。</w:t>
      </w:r>
    </w:p>
    <w:p w14:paraId="7AF5EB9D">
      <w:pPr>
        <w:pStyle w:val="19"/>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jc w:val="right"/>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公司（单位）名称（盖章）：      </w:t>
      </w:r>
    </w:p>
    <w:p w14:paraId="39B25007">
      <w:pPr>
        <w:pStyle w:val="19"/>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jc w:val="right"/>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日期：　　　　　年　　月　日    </w:t>
      </w:r>
    </w:p>
    <w:p w14:paraId="059217C3">
      <w:pPr>
        <w:pStyle w:val="19"/>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right="0"/>
        <w:rPr>
          <w:rFonts w:hint="eastAsia" w:ascii="宋体" w:hAnsi="宋体" w:eastAsia="宋体" w:cs="宋体"/>
          <w:sz w:val="21"/>
          <w:szCs w:val="21"/>
        </w:rPr>
      </w:pPr>
    </w:p>
    <w:p w14:paraId="669999F4">
      <w:pPr>
        <w:pStyle w:val="19"/>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1.产品如有型号，请在“产品名称”栏一并填写。</w:t>
      </w:r>
    </w:p>
    <w:p w14:paraId="15C7AF88">
      <w:pPr>
        <w:pStyle w:val="19"/>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2.生产厂名与厂址应与生产厂营业执照载明的相关信息保持一致。</w:t>
      </w:r>
    </w:p>
    <w:p w14:paraId="22049444">
      <w:pPr>
        <w:pStyle w:val="19"/>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3.该产品的中国境内生产的组件成本占比相关要求实施前，“规定比例”栏可不填，下同。</w:t>
      </w:r>
    </w:p>
    <w:p w14:paraId="476FB5D5">
      <w:pPr>
        <w:pStyle w:val="19"/>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4.该产品的关键组件要求实施前，“关键组件”栏可不填，下同。</w:t>
      </w:r>
    </w:p>
    <w:p w14:paraId="1010ED76">
      <w:pPr>
        <w:pStyle w:val="7"/>
        <w:numPr>
          <w:ilvl w:val="0"/>
          <w:numId w:val="0"/>
        </w:numPr>
        <w:spacing w:after="120"/>
        <w:ind w:firstLine="210" w:firstLineChars="100"/>
        <w:rPr>
          <w:rFonts w:hint="eastAsia" w:ascii="宋体" w:hAnsi="宋体" w:eastAsia="宋体" w:cs="宋体"/>
          <w:i w:val="0"/>
          <w:iCs w:val="0"/>
          <w:caps w:val="0"/>
          <w:color w:val="333333"/>
          <w:spacing w:val="0"/>
          <w:sz w:val="21"/>
          <w:szCs w:val="21"/>
          <w:shd w:val="clear" w:fill="FFFFFF"/>
        </w:rPr>
      </w:pPr>
      <w:r>
        <w:rPr>
          <w:rFonts w:hint="eastAsia" w:ascii="宋体" w:hAnsi="宋体" w:eastAsia="宋体" w:cs="宋体"/>
          <w:i w:val="0"/>
          <w:iCs w:val="0"/>
          <w:caps w:val="0"/>
          <w:color w:val="333333"/>
          <w:spacing w:val="0"/>
          <w:sz w:val="21"/>
          <w:szCs w:val="21"/>
          <w:shd w:val="clear" w:color="auto" w:fill="FFFFFF"/>
        </w:rPr>
        <w:t>5.该产品的关键工序要求实施前，“关键工序”栏可不填，下同。</w:t>
      </w:r>
    </w:p>
    <w:p w14:paraId="362F04DC">
      <w:pPr>
        <w:pStyle w:val="7"/>
        <w:numPr>
          <w:ilvl w:val="0"/>
          <w:numId w:val="0"/>
        </w:numPr>
        <w:spacing w:after="120"/>
        <w:rPr>
          <w:rFonts w:hint="eastAsia" w:ascii="宋体" w:hAnsi="宋体" w:eastAsia="宋体" w:cs="宋体"/>
          <w:i w:val="0"/>
          <w:iCs w:val="0"/>
          <w:caps w:val="0"/>
          <w:color w:val="333333"/>
          <w:spacing w:val="0"/>
          <w:sz w:val="21"/>
          <w:szCs w:val="21"/>
          <w:shd w:val="clear" w:fill="FFFFFF"/>
        </w:rPr>
      </w:pPr>
    </w:p>
    <w:p w14:paraId="77AFA75C">
      <w:pPr>
        <w:pStyle w:val="7"/>
        <w:ind w:firstLine="420" w:firstLineChars="200"/>
        <w:rPr>
          <w:rFonts w:hint="eastAsia" w:ascii="宋体" w:hAnsi="宋体" w:eastAsia="宋体" w:cs="宋体"/>
          <w:i w:val="0"/>
          <w:iCs w:val="0"/>
          <w:caps w:val="0"/>
          <w:color w:val="333333"/>
          <w:spacing w:val="0"/>
          <w:sz w:val="21"/>
          <w:szCs w:val="21"/>
          <w:shd w:val="clear" w:fill="FFFFFF"/>
        </w:rPr>
      </w:pPr>
      <w:r>
        <w:rPr>
          <w:rFonts w:hint="eastAsia" w:ascii="宋体" w:hAnsi="宋体" w:eastAsia="宋体" w:cs="宋体"/>
          <w:i w:val="0"/>
          <w:iCs w:val="0"/>
          <w:caps w:val="0"/>
          <w:color w:val="333333"/>
          <w:spacing w:val="0"/>
          <w:sz w:val="21"/>
          <w:szCs w:val="21"/>
          <w:shd w:val="clear" w:color="auto" w:fill="FFFFFF"/>
          <w:lang w:val="en-US" w:eastAsia="zh-CN"/>
        </w:rPr>
        <w:t>根据《深圳市财政局关于贯彻落实政府采购本国产品标准及相关政策的通知》（深财购〔2025〕69号）相关规定，评审中发现《声明函》内容含义不明确、同类事项与投标（响应）文件表述不一致或者有明显文字错误等情况的，应当以书面形式要求供应商作出必要的澄清、说明或者补正。经澄清、说明或者补正仍不符合要求的，供应商提供的相关产品视为不符合本国产品标准。</w:t>
      </w:r>
    </w:p>
    <w:p w14:paraId="6A69460F">
      <w:pPr>
        <w:rPr>
          <w:color w:val="auto"/>
        </w:rPr>
      </w:pPr>
    </w:p>
    <w:p w14:paraId="64691BFF">
      <w:pPr>
        <w:rPr>
          <w:color w:val="auto"/>
        </w:rPr>
      </w:pPr>
    </w:p>
    <w:p w14:paraId="2A982AB6">
      <w:pPr>
        <w:rPr>
          <w:color w:val="auto"/>
        </w:rPr>
      </w:pPr>
    </w:p>
    <w:p w14:paraId="5A426C0A">
      <w:pPr>
        <w:rPr>
          <w:color w:val="auto"/>
        </w:rPr>
      </w:pPr>
    </w:p>
    <w:p w14:paraId="1D8E6724">
      <w:pPr>
        <w:rPr>
          <w:color w:val="auto"/>
        </w:rPr>
      </w:pPr>
    </w:p>
    <w:p w14:paraId="1A3E840D">
      <w:pPr>
        <w:rPr>
          <w:color w:val="auto"/>
        </w:rPr>
      </w:pPr>
    </w:p>
    <w:p w14:paraId="093493CD">
      <w:pPr>
        <w:rPr>
          <w:color w:val="auto"/>
        </w:rPr>
      </w:pPr>
    </w:p>
    <w:p w14:paraId="1D37C6CC">
      <w:pPr>
        <w:rPr>
          <w:color w:val="auto"/>
        </w:rPr>
      </w:pPr>
    </w:p>
    <w:p w14:paraId="42F5E4C0">
      <w:pPr>
        <w:rPr>
          <w:color w:val="auto"/>
        </w:rPr>
      </w:pPr>
    </w:p>
    <w:p w14:paraId="14AF4BAD">
      <w:pPr>
        <w:rPr>
          <w:color w:val="auto"/>
        </w:rPr>
      </w:pPr>
    </w:p>
    <w:p w14:paraId="2F1C726D">
      <w:pPr>
        <w:rPr>
          <w:color w:val="auto"/>
        </w:rPr>
      </w:pPr>
    </w:p>
    <w:p w14:paraId="0C3B96BD">
      <w:pPr>
        <w:rPr>
          <w:color w:val="auto"/>
        </w:rPr>
      </w:pPr>
    </w:p>
    <w:p w14:paraId="42B9973E">
      <w:pPr>
        <w:rPr>
          <w:color w:val="auto"/>
        </w:rPr>
      </w:pPr>
    </w:p>
    <w:p w14:paraId="3EF6F41F">
      <w:pPr>
        <w:rPr>
          <w:color w:val="auto"/>
        </w:rPr>
      </w:pPr>
    </w:p>
    <w:p w14:paraId="44A7480B">
      <w:pPr>
        <w:rPr>
          <w:color w:val="auto"/>
        </w:rPr>
      </w:pPr>
    </w:p>
    <w:p w14:paraId="2E9D95E9">
      <w:pPr>
        <w:rPr>
          <w:color w:val="auto"/>
        </w:rPr>
      </w:pPr>
    </w:p>
    <w:p w14:paraId="6206D5B6">
      <w:pPr>
        <w:rPr>
          <w:color w:val="auto"/>
        </w:rPr>
      </w:pPr>
    </w:p>
    <w:p w14:paraId="663A38CC">
      <w:pPr>
        <w:rPr>
          <w:color w:val="auto"/>
        </w:rPr>
      </w:pPr>
    </w:p>
    <w:p w14:paraId="680B9D94">
      <w:pPr>
        <w:rPr>
          <w:color w:val="auto"/>
        </w:rPr>
      </w:pPr>
    </w:p>
    <w:p w14:paraId="4D84F8E4">
      <w:pPr>
        <w:rPr>
          <w:color w:val="auto"/>
        </w:rPr>
      </w:pPr>
    </w:p>
    <w:p w14:paraId="406BD766">
      <w:pPr>
        <w:pStyle w:val="4"/>
        <w:numPr>
          <w:ilvl w:val="0"/>
          <w:numId w:val="0"/>
        </w:numPr>
        <w:spacing w:line="240" w:lineRule="auto"/>
        <w:ind w:left="420" w:leftChars="0" w:hanging="420" w:firstLineChars="0"/>
        <w:jc w:val="center"/>
        <w:outlineLvl w:val="0"/>
        <w:rPr>
          <w:rFonts w:asciiTheme="majorEastAsia" w:hAnsiTheme="majorEastAsia" w:eastAsiaTheme="majorEastAsia"/>
          <w:sz w:val="30"/>
          <w:szCs w:val="30"/>
        </w:rPr>
      </w:pPr>
      <w:bookmarkStart w:id="38" w:name="_Toc3326"/>
      <w:bookmarkStart w:id="39" w:name="_Toc8245"/>
      <w:r>
        <w:rPr>
          <w:rFonts w:hint="eastAsia" w:cs="宋体" w:asciiTheme="majorEastAsia" w:hAnsiTheme="majorEastAsia" w:eastAsiaTheme="majorEastAsia"/>
          <w:kern w:val="2"/>
          <w:sz w:val="30"/>
          <w:szCs w:val="30"/>
          <w:lang w:val="en-US" w:eastAsia="zh-CN" w:bidi="ar-SA"/>
        </w:rPr>
        <w:t>（九）</w:t>
      </w:r>
      <w:r>
        <w:rPr>
          <w:rFonts w:hint="eastAsia" w:asciiTheme="majorEastAsia" w:hAnsiTheme="majorEastAsia" w:eastAsiaTheme="majorEastAsia"/>
          <w:sz w:val="30"/>
          <w:szCs w:val="30"/>
        </w:rPr>
        <w:t>开标一览表(报价表)</w:t>
      </w:r>
      <w:bookmarkEnd w:id="29"/>
      <w:bookmarkEnd w:id="38"/>
      <w:bookmarkEnd w:id="39"/>
    </w:p>
    <w:bookmarkEnd w:id="25"/>
    <w:bookmarkEnd w:id="26"/>
    <w:tbl>
      <w:tblPr>
        <w:tblStyle w:val="21"/>
        <w:tblW w:w="9605"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638"/>
        <w:gridCol w:w="1665"/>
        <w:gridCol w:w="1078"/>
        <w:gridCol w:w="2612"/>
        <w:gridCol w:w="2612"/>
      </w:tblGrid>
      <w:tr w14:paraId="11224C7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27" w:hRule="atLeast"/>
          <w:jc w:val="center"/>
        </w:trPr>
        <w:tc>
          <w:tcPr>
            <w:tcW w:w="1638" w:type="dxa"/>
            <w:tcBorders>
              <w:top w:val="single" w:color="auto" w:sz="12" w:space="0"/>
              <w:bottom w:val="single" w:color="auto" w:sz="12" w:space="0"/>
            </w:tcBorders>
            <w:shd w:val="clear" w:color="auto" w:fill="EEECE1"/>
            <w:vAlign w:val="center"/>
          </w:tcPr>
          <w:p w14:paraId="12F100D1">
            <w:pPr>
              <w:keepNext w:val="0"/>
              <w:keepLines w:val="0"/>
              <w:suppressLineNumbers w:val="0"/>
              <w:spacing w:before="0" w:beforeAutospacing="0" w:after="0" w:afterAutospacing="0"/>
              <w:ind w:left="0" w:right="0"/>
              <w:jc w:val="center"/>
              <w:rPr>
                <w:rFonts w:hint="default" w:ascii="宋体" w:eastAsia="宋体"/>
                <w:b/>
                <w:color w:val="auto"/>
                <w:szCs w:val="21"/>
                <w:lang w:val="en-US" w:eastAsia="zh-CN"/>
              </w:rPr>
            </w:pPr>
            <w:r>
              <w:rPr>
                <w:rFonts w:hint="eastAsia" w:ascii="宋体"/>
                <w:b/>
                <w:color w:val="auto"/>
                <w:szCs w:val="21"/>
                <w:lang w:val="en-US" w:eastAsia="zh-CN"/>
              </w:rPr>
              <w:t>采购编号</w:t>
            </w:r>
          </w:p>
        </w:tc>
        <w:tc>
          <w:tcPr>
            <w:tcW w:w="1665" w:type="dxa"/>
            <w:tcBorders>
              <w:top w:val="single" w:color="auto" w:sz="12" w:space="0"/>
              <w:bottom w:val="single" w:color="auto" w:sz="12" w:space="0"/>
            </w:tcBorders>
            <w:shd w:val="clear" w:color="auto" w:fill="EEECE1"/>
            <w:vAlign w:val="center"/>
          </w:tcPr>
          <w:p w14:paraId="7DF2F416">
            <w:pPr>
              <w:keepNext w:val="0"/>
              <w:keepLines w:val="0"/>
              <w:suppressLineNumbers w:val="0"/>
              <w:spacing w:before="0" w:beforeAutospacing="0" w:after="0" w:afterAutospacing="0"/>
              <w:ind w:left="0" w:right="0"/>
              <w:jc w:val="center"/>
              <w:rPr>
                <w:rFonts w:hint="default" w:ascii="宋体" w:eastAsia="宋体" w:hAnsiTheme="minorHAnsi" w:cstheme="minorBidi"/>
                <w:b/>
                <w:color w:val="auto"/>
                <w:kern w:val="2"/>
                <w:sz w:val="21"/>
                <w:szCs w:val="21"/>
                <w:lang w:val="en-US" w:eastAsia="zh-CN" w:bidi="ar-SA"/>
              </w:rPr>
            </w:pPr>
            <w:r>
              <w:rPr>
                <w:rFonts w:hint="eastAsia" w:ascii="宋体"/>
                <w:b/>
                <w:color w:val="auto"/>
                <w:szCs w:val="21"/>
                <w:lang w:val="en-US" w:eastAsia="zh-CN"/>
              </w:rPr>
              <w:t>采购名称</w:t>
            </w:r>
          </w:p>
        </w:tc>
        <w:tc>
          <w:tcPr>
            <w:tcW w:w="1078" w:type="dxa"/>
            <w:tcBorders>
              <w:top w:val="single" w:color="auto" w:sz="12" w:space="0"/>
              <w:bottom w:val="single" w:color="auto" w:sz="12" w:space="0"/>
            </w:tcBorders>
            <w:shd w:val="clear" w:color="auto" w:fill="EEECE1"/>
            <w:vAlign w:val="center"/>
          </w:tcPr>
          <w:p w14:paraId="0DE0CD21">
            <w:pPr>
              <w:keepNext w:val="0"/>
              <w:keepLines w:val="0"/>
              <w:suppressLineNumbers w:val="0"/>
              <w:spacing w:before="0" w:beforeAutospacing="0" w:after="0" w:afterAutospacing="0"/>
              <w:ind w:left="0" w:right="0"/>
              <w:jc w:val="center"/>
              <w:rPr>
                <w:rFonts w:hint="eastAsia" w:ascii="宋体" w:hAnsiTheme="minorHAnsi" w:eastAsiaTheme="minorEastAsia" w:cstheme="minorBidi"/>
                <w:b/>
                <w:color w:val="auto"/>
                <w:kern w:val="2"/>
                <w:sz w:val="21"/>
                <w:szCs w:val="21"/>
                <w:lang w:val="en-US" w:eastAsia="zh-CN" w:bidi="ar-SA"/>
              </w:rPr>
            </w:pPr>
            <w:r>
              <w:rPr>
                <w:rFonts w:hint="eastAsia" w:ascii="宋体"/>
                <w:b/>
                <w:color w:val="auto"/>
                <w:szCs w:val="21"/>
              </w:rPr>
              <w:t>数量</w:t>
            </w:r>
          </w:p>
        </w:tc>
        <w:tc>
          <w:tcPr>
            <w:tcW w:w="2612" w:type="dxa"/>
            <w:tcBorders>
              <w:top w:val="single" w:color="auto" w:sz="12" w:space="0"/>
              <w:bottom w:val="single" w:color="auto" w:sz="12" w:space="0"/>
            </w:tcBorders>
            <w:shd w:val="clear" w:color="auto" w:fill="EEECE1"/>
            <w:vAlign w:val="center"/>
          </w:tcPr>
          <w:p w14:paraId="21427E9E">
            <w:pPr>
              <w:keepNext w:val="0"/>
              <w:keepLines w:val="0"/>
              <w:suppressLineNumbers w:val="0"/>
              <w:spacing w:before="0" w:beforeAutospacing="0" w:after="0" w:afterAutospacing="0"/>
              <w:ind w:left="0" w:right="0"/>
              <w:jc w:val="center"/>
              <w:rPr>
                <w:rFonts w:hint="eastAsia" w:ascii="宋体" w:hAnsiTheme="minorHAnsi" w:eastAsiaTheme="minorEastAsia" w:cstheme="minorBidi"/>
                <w:b/>
                <w:color w:val="auto"/>
                <w:kern w:val="2"/>
                <w:sz w:val="21"/>
                <w:szCs w:val="21"/>
                <w:lang w:val="en-US" w:eastAsia="zh-CN" w:bidi="ar-SA"/>
              </w:rPr>
            </w:pPr>
            <w:r>
              <w:rPr>
                <w:rFonts w:hint="eastAsia" w:hAnsi="宋体"/>
                <w:b/>
                <w:color w:val="auto"/>
                <w:vertAlign w:val="baseline"/>
                <w:lang w:val="en-US" w:eastAsia="zh-CN"/>
              </w:rPr>
              <w:t>预算金额             （人民币 元）</w:t>
            </w:r>
          </w:p>
        </w:tc>
        <w:tc>
          <w:tcPr>
            <w:tcW w:w="2612" w:type="dxa"/>
            <w:tcBorders>
              <w:top w:val="single" w:color="auto" w:sz="12" w:space="0"/>
              <w:bottom w:val="single" w:color="auto" w:sz="12" w:space="0"/>
            </w:tcBorders>
            <w:shd w:val="clear" w:color="auto" w:fill="EEECE1"/>
            <w:vAlign w:val="center"/>
          </w:tcPr>
          <w:p w14:paraId="7D226F9E">
            <w:pPr>
              <w:keepNext w:val="0"/>
              <w:keepLines w:val="0"/>
              <w:suppressLineNumbers w:val="0"/>
              <w:spacing w:before="0" w:beforeAutospacing="0" w:after="0" w:afterAutospacing="0"/>
              <w:ind w:left="0" w:right="0"/>
              <w:jc w:val="center"/>
              <w:rPr>
                <w:rFonts w:hint="eastAsia" w:hAnsi="宋体"/>
                <w:b/>
                <w:color w:val="auto"/>
                <w:vertAlign w:val="baseline"/>
                <w:lang w:val="en-US" w:eastAsia="zh-CN"/>
              </w:rPr>
            </w:pPr>
            <w:r>
              <w:rPr>
                <w:rFonts w:hint="eastAsia" w:hAnsi="宋体"/>
                <w:b/>
                <w:color w:val="auto"/>
                <w:vertAlign w:val="baseline"/>
                <w:lang w:val="en-US" w:eastAsia="zh-CN"/>
              </w:rPr>
              <w:t>投标报价</w:t>
            </w:r>
          </w:p>
          <w:p w14:paraId="38826B81">
            <w:pPr>
              <w:keepNext w:val="0"/>
              <w:keepLines w:val="0"/>
              <w:suppressLineNumbers w:val="0"/>
              <w:spacing w:before="0" w:beforeAutospacing="0" w:after="0" w:afterAutospacing="0"/>
              <w:ind w:left="0" w:right="0"/>
              <w:jc w:val="center"/>
              <w:rPr>
                <w:rFonts w:hint="eastAsia" w:hAnsi="宋体"/>
                <w:b/>
                <w:color w:val="auto"/>
                <w:vertAlign w:val="baseline"/>
                <w:lang w:val="en-US" w:eastAsia="zh-CN"/>
              </w:rPr>
            </w:pPr>
            <w:r>
              <w:rPr>
                <w:rFonts w:hint="eastAsia" w:hAnsi="宋体"/>
                <w:b/>
                <w:color w:val="auto"/>
                <w:vertAlign w:val="baseline"/>
                <w:lang w:val="en-US" w:eastAsia="zh-CN"/>
              </w:rPr>
              <w:t>（人民币 元）</w:t>
            </w:r>
          </w:p>
        </w:tc>
      </w:tr>
      <w:tr w14:paraId="693CAF6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953" w:hRule="atLeast"/>
          <w:jc w:val="center"/>
        </w:trPr>
        <w:tc>
          <w:tcPr>
            <w:tcW w:w="1638" w:type="dxa"/>
            <w:tcBorders>
              <w:top w:val="single" w:color="auto" w:sz="12" w:space="0"/>
              <w:bottom w:val="single" w:color="auto" w:sz="12" w:space="0"/>
            </w:tcBorders>
            <w:vAlign w:val="center"/>
          </w:tcPr>
          <w:p w14:paraId="27FCC3BF">
            <w:pPr>
              <w:keepNext w:val="0"/>
              <w:keepLines w:val="0"/>
              <w:suppressLineNumbers w:val="0"/>
              <w:adjustRightInd w:val="0"/>
              <w:snapToGrid w:val="0"/>
              <w:spacing w:before="0" w:beforeAutospacing="0" w:after="0" w:afterAutospacing="0"/>
              <w:ind w:left="0" w:right="0"/>
              <w:jc w:val="center"/>
              <w:rPr>
                <w:rFonts w:hint="eastAsia" w:ascii="宋体" w:hAnsi="宋体" w:eastAsia="宋体" w:cs="宋体"/>
                <w:snapToGrid/>
                <w:color w:val="auto"/>
                <w:spacing w:val="0"/>
                <w:kern w:val="2"/>
                <w:sz w:val="21"/>
                <w:szCs w:val="24"/>
                <w:lang w:val="en-US" w:eastAsia="zh-CN" w:bidi="ar-SA"/>
              </w:rPr>
            </w:pPr>
          </w:p>
        </w:tc>
        <w:tc>
          <w:tcPr>
            <w:tcW w:w="1665" w:type="dxa"/>
            <w:tcBorders>
              <w:top w:val="single" w:color="auto" w:sz="12" w:space="0"/>
              <w:bottom w:val="single" w:color="auto" w:sz="12" w:space="0"/>
            </w:tcBorders>
            <w:vAlign w:val="center"/>
          </w:tcPr>
          <w:p w14:paraId="431C6EDD">
            <w:pPr>
              <w:keepNext w:val="0"/>
              <w:keepLines w:val="0"/>
              <w:suppressLineNumbers w:val="0"/>
              <w:adjustRightInd w:val="0"/>
              <w:snapToGrid w:val="0"/>
              <w:spacing w:before="0" w:beforeAutospacing="0" w:after="0" w:afterAutospacing="0"/>
              <w:ind w:left="0" w:right="0"/>
              <w:jc w:val="center"/>
              <w:rPr>
                <w:rFonts w:hint="default" w:ascii="宋体" w:hAnsi="宋体" w:eastAsia="宋体" w:cs="宋体"/>
                <w:snapToGrid/>
                <w:color w:val="auto"/>
                <w:spacing w:val="0"/>
                <w:kern w:val="2"/>
                <w:sz w:val="21"/>
                <w:szCs w:val="24"/>
                <w:lang w:val="en-US" w:eastAsia="zh-CN" w:bidi="ar-SA"/>
              </w:rPr>
            </w:pPr>
          </w:p>
        </w:tc>
        <w:tc>
          <w:tcPr>
            <w:tcW w:w="1078" w:type="dxa"/>
            <w:tcBorders>
              <w:top w:val="single" w:color="auto" w:sz="12" w:space="0"/>
              <w:bottom w:val="single" w:color="auto" w:sz="12" w:space="0"/>
            </w:tcBorders>
            <w:vAlign w:val="center"/>
          </w:tcPr>
          <w:p w14:paraId="7E633B99">
            <w:pPr>
              <w:keepNext w:val="0"/>
              <w:keepLines w:val="0"/>
              <w:suppressLineNumbers w:val="0"/>
              <w:adjustRightInd w:val="0"/>
              <w:snapToGrid w:val="0"/>
              <w:spacing w:before="0" w:beforeAutospacing="0" w:after="0" w:afterAutospacing="0"/>
              <w:ind w:left="0" w:right="0"/>
              <w:jc w:val="center"/>
              <w:rPr>
                <w:rFonts w:hint="default" w:ascii="宋体" w:hAnsi="宋体" w:eastAsia="宋体" w:cs="宋体"/>
                <w:snapToGrid/>
                <w:color w:val="auto"/>
                <w:spacing w:val="0"/>
                <w:kern w:val="2"/>
                <w:sz w:val="21"/>
                <w:szCs w:val="24"/>
                <w:lang w:val="en-US" w:eastAsia="zh-CN" w:bidi="ar-SA"/>
              </w:rPr>
            </w:pPr>
            <w:r>
              <w:rPr>
                <w:rFonts w:hint="eastAsia" w:ascii="宋体" w:hAnsi="宋体" w:eastAsia="宋体" w:cs="宋体"/>
                <w:snapToGrid/>
                <w:color w:val="auto"/>
                <w:spacing w:val="0"/>
                <w:kern w:val="2"/>
                <w:sz w:val="21"/>
                <w:szCs w:val="24"/>
                <w:lang w:val="en-US" w:eastAsia="zh-CN" w:bidi="ar-SA"/>
              </w:rPr>
              <w:t>1项</w:t>
            </w:r>
          </w:p>
        </w:tc>
        <w:tc>
          <w:tcPr>
            <w:tcW w:w="2612" w:type="dxa"/>
            <w:tcBorders>
              <w:top w:val="single" w:color="auto" w:sz="12" w:space="0"/>
              <w:bottom w:val="single" w:color="auto" w:sz="12" w:space="0"/>
            </w:tcBorders>
            <w:vAlign w:val="center"/>
          </w:tcPr>
          <w:p w14:paraId="6885F932">
            <w:pPr>
              <w:pStyle w:val="38"/>
              <w:keepLines w:val="0"/>
              <w:suppressLineNumbers w:val="0"/>
              <w:spacing w:beforeAutospacing="0" w:afterAutospacing="0" w:line="240" w:lineRule="auto"/>
              <w:ind w:left="0" w:right="0"/>
              <w:rPr>
                <w:rFonts w:hint="default" w:ascii="宋体"/>
                <w:bCs/>
                <w:color w:val="auto"/>
                <w:szCs w:val="21"/>
                <w:u w:val="single"/>
              </w:rPr>
            </w:pPr>
          </w:p>
        </w:tc>
        <w:tc>
          <w:tcPr>
            <w:tcW w:w="2612" w:type="dxa"/>
            <w:tcBorders>
              <w:top w:val="single" w:color="auto" w:sz="12" w:space="0"/>
              <w:bottom w:val="single" w:color="auto" w:sz="12" w:space="0"/>
            </w:tcBorders>
            <w:vAlign w:val="center"/>
          </w:tcPr>
          <w:p w14:paraId="7E152390">
            <w:pPr>
              <w:pStyle w:val="38"/>
              <w:keepLines w:val="0"/>
              <w:suppressLineNumbers w:val="0"/>
              <w:spacing w:beforeAutospacing="0" w:afterAutospacing="0" w:line="240" w:lineRule="auto"/>
              <w:ind w:left="0" w:right="0"/>
              <w:rPr>
                <w:rFonts w:hint="default" w:ascii="宋体"/>
                <w:bCs/>
                <w:color w:val="auto"/>
                <w:szCs w:val="21"/>
                <w:u w:val="single"/>
              </w:rPr>
            </w:pPr>
          </w:p>
        </w:tc>
      </w:tr>
      <w:tr w14:paraId="4039278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953" w:hRule="atLeast"/>
          <w:jc w:val="center"/>
        </w:trPr>
        <w:tc>
          <w:tcPr>
            <w:tcW w:w="9605" w:type="dxa"/>
            <w:gridSpan w:val="5"/>
            <w:tcBorders>
              <w:top w:val="single" w:color="auto" w:sz="12" w:space="0"/>
              <w:bottom w:val="single" w:color="auto" w:sz="12" w:space="0"/>
            </w:tcBorders>
            <w:vAlign w:val="center"/>
          </w:tcPr>
          <w:p w14:paraId="67CA175D">
            <w:pPr>
              <w:pStyle w:val="38"/>
              <w:keepLines w:val="0"/>
              <w:suppressLineNumbers w:val="0"/>
              <w:spacing w:beforeAutospacing="0" w:afterAutospacing="0" w:line="240" w:lineRule="auto"/>
              <w:ind w:left="0" w:right="0"/>
              <w:jc w:val="left"/>
              <w:rPr>
                <w:rFonts w:hint="default" w:ascii="宋体"/>
                <w:bCs/>
                <w:color w:val="auto"/>
                <w:szCs w:val="21"/>
                <w:u w:val="single"/>
              </w:rPr>
            </w:pPr>
            <w:r>
              <w:rPr>
                <w:rFonts w:hint="eastAsia" w:ascii="宋体" w:hAnsiTheme="minorHAnsi" w:eastAsiaTheme="minorEastAsia" w:cstheme="minorBidi"/>
                <w:b/>
                <w:snapToGrid/>
                <w:color w:val="auto"/>
                <w:spacing w:val="0"/>
                <w:kern w:val="2"/>
                <w:sz w:val="21"/>
                <w:szCs w:val="21"/>
                <w:lang w:val="en-US" w:eastAsia="zh-CN" w:bidi="ar-SA"/>
              </w:rPr>
              <w:t>投标报价（元）小写：                   大写：</w:t>
            </w:r>
          </w:p>
        </w:tc>
      </w:tr>
    </w:tbl>
    <w:p w14:paraId="08F3092E">
      <w:pPr>
        <w:pStyle w:val="39"/>
      </w:pPr>
    </w:p>
    <w:p w14:paraId="3E7E1871">
      <w:pPr>
        <w:pStyle w:val="39"/>
      </w:pPr>
    </w:p>
    <w:p w14:paraId="65FD6EFB">
      <w:pPr>
        <w:pStyle w:val="39"/>
      </w:pPr>
    </w:p>
    <w:p w14:paraId="599AE3DB">
      <w:pPr>
        <w:spacing w:line="360" w:lineRule="auto"/>
        <w:rPr>
          <w:rFonts w:hint="default"/>
          <w:b/>
          <w:bCs/>
          <w:highlight w:val="lightGray"/>
          <w:u w:val="single"/>
          <w:lang w:val="en-US"/>
        </w:rPr>
      </w:pPr>
      <w:r>
        <w:rPr>
          <w:rFonts w:hint="eastAsia"/>
          <w:b/>
          <w:bCs/>
          <w:sz w:val="24"/>
          <w:lang w:val="en-US" w:eastAsia="zh-CN"/>
        </w:rPr>
        <w:t>投标人签字：</w:t>
      </w:r>
      <w:r>
        <w:rPr>
          <w:rFonts w:hint="eastAsia"/>
          <w:b/>
          <w:bCs/>
          <w:sz w:val="24"/>
          <w:u w:val="single"/>
          <w:lang w:val="en-US" w:eastAsia="zh-CN"/>
        </w:rPr>
        <w:t xml:space="preserve">                     </w:t>
      </w:r>
    </w:p>
    <w:p w14:paraId="73B46FEC">
      <w:pPr>
        <w:spacing w:line="360" w:lineRule="auto"/>
        <w:rPr>
          <w:sz w:val="24"/>
        </w:rPr>
      </w:pPr>
      <w:r>
        <w:rPr>
          <w:rFonts w:hint="eastAsia"/>
          <w:b/>
          <w:bCs/>
          <w:sz w:val="24"/>
        </w:rPr>
        <w:t>投标人单位名称：</w:t>
      </w:r>
      <w:r>
        <w:rPr>
          <w:rFonts w:hint="eastAsia"/>
          <w:sz w:val="24"/>
          <w:u w:val="single"/>
        </w:rPr>
        <w:t xml:space="preserve">                            </w:t>
      </w:r>
      <w:r>
        <w:rPr>
          <w:rFonts w:hint="eastAsia"/>
          <w:sz w:val="24"/>
        </w:rPr>
        <w:t xml:space="preserve"> </w:t>
      </w:r>
    </w:p>
    <w:p w14:paraId="7AE07D80">
      <w:pPr>
        <w:spacing w:line="360" w:lineRule="auto"/>
        <w:outlineLvl w:val="9"/>
        <w:rPr>
          <w:rFonts w:hint="eastAsia"/>
          <w:b/>
          <w:sz w:val="24"/>
        </w:rPr>
      </w:pPr>
      <w:r>
        <w:rPr>
          <w:rFonts w:hint="eastAsia"/>
          <w:b/>
          <w:sz w:val="24"/>
        </w:rPr>
        <w:t>（此处加盖投标人单位公章）</w:t>
      </w:r>
    </w:p>
    <w:p w14:paraId="7D974DDB">
      <w:pPr>
        <w:spacing w:line="360" w:lineRule="auto"/>
        <w:rPr>
          <w:rFonts w:hint="eastAsia"/>
          <w:b/>
          <w:bCs/>
          <w:sz w:val="24"/>
        </w:rPr>
      </w:pPr>
      <w:r>
        <w:rPr>
          <w:rFonts w:hint="eastAsia"/>
          <w:b/>
          <w:bCs/>
          <w:sz w:val="24"/>
        </w:rPr>
        <w:t>日期：       年     月    日</w:t>
      </w:r>
    </w:p>
    <w:p w14:paraId="3E729C9D">
      <w:pPr>
        <w:pStyle w:val="7"/>
        <w:rPr>
          <w:rFonts w:hint="default"/>
          <w:lang w:val="en-US" w:eastAsia="zh-CN"/>
        </w:rPr>
      </w:pPr>
    </w:p>
    <w:p w14:paraId="29AA90E5">
      <w:pPr>
        <w:spacing w:line="400" w:lineRule="exact"/>
        <w:rPr>
          <w:rFonts w:ascii="宋体" w:hAnsi="宋体"/>
          <w:szCs w:val="21"/>
        </w:rPr>
      </w:pPr>
      <w:r>
        <w:rPr>
          <w:rFonts w:hint="eastAsia" w:ascii="宋体" w:hAnsi="宋体"/>
          <w:szCs w:val="21"/>
        </w:rPr>
        <w:t>备注：</w:t>
      </w:r>
    </w:p>
    <w:p w14:paraId="461A862F">
      <w:pPr>
        <w:numPr>
          <w:ilvl w:val="1"/>
          <w:numId w:val="13"/>
        </w:numPr>
        <w:tabs>
          <w:tab w:val="left" w:pos="360"/>
          <w:tab w:val="clear" w:pos="1620"/>
        </w:tabs>
        <w:snapToGrid w:val="0"/>
        <w:spacing w:line="360" w:lineRule="auto"/>
        <w:ind w:left="360" w:leftChars="0" w:hanging="360" w:firstLineChars="0"/>
        <w:outlineLvl w:val="9"/>
        <w:rPr>
          <w:rFonts w:ascii="宋体" w:hAnsi="宋体"/>
          <w:szCs w:val="21"/>
        </w:rPr>
      </w:pPr>
      <w:r>
        <w:rPr>
          <w:rFonts w:hint="eastAsia" w:ascii="宋体" w:hAnsi="宋体"/>
        </w:rPr>
        <w:t>投标报价的小数点后保留两位有效数</w:t>
      </w:r>
      <w:r>
        <w:rPr>
          <w:rFonts w:hint="eastAsia" w:ascii="宋体" w:hAnsi="宋体"/>
          <w:szCs w:val="21"/>
        </w:rPr>
        <w:t>。</w:t>
      </w:r>
    </w:p>
    <w:p w14:paraId="0226C8E6">
      <w:pPr>
        <w:numPr>
          <w:ilvl w:val="1"/>
          <w:numId w:val="13"/>
        </w:numPr>
        <w:tabs>
          <w:tab w:val="left" w:pos="360"/>
          <w:tab w:val="left" w:pos="840"/>
          <w:tab w:val="clear" w:pos="1620"/>
        </w:tabs>
        <w:snapToGrid w:val="0"/>
        <w:spacing w:line="360" w:lineRule="auto"/>
        <w:ind w:left="360"/>
      </w:pPr>
      <w:r>
        <w:rPr>
          <w:rFonts w:hint="eastAsia"/>
        </w:rPr>
        <w:t>除</w:t>
      </w:r>
      <w:r>
        <w:rPr>
          <w:rFonts w:hint="eastAsia"/>
          <w:lang w:eastAsia="zh-CN"/>
        </w:rPr>
        <w:t>征集</w:t>
      </w:r>
      <w:r>
        <w:rPr>
          <w:rFonts w:hint="eastAsia"/>
        </w:rPr>
        <w:t>文件另有规定外，投标文件内不得含有任何对本报价进行价格折扣的说明或资料，否则为无效投标。</w:t>
      </w:r>
    </w:p>
    <w:p w14:paraId="63A99683">
      <w:pPr>
        <w:numPr>
          <w:ilvl w:val="1"/>
          <w:numId w:val="13"/>
        </w:numPr>
        <w:tabs>
          <w:tab w:val="left" w:pos="360"/>
          <w:tab w:val="left" w:pos="840"/>
          <w:tab w:val="clear" w:pos="1620"/>
        </w:tabs>
        <w:snapToGrid w:val="0"/>
        <w:spacing w:line="360" w:lineRule="auto"/>
        <w:ind w:left="360"/>
      </w:pPr>
      <w:r>
        <w:rPr>
          <w:rFonts w:hint="eastAsia"/>
        </w:rPr>
        <w:t>投标报价</w:t>
      </w:r>
      <w:r>
        <w:rPr>
          <w:rFonts w:hint="eastAsia"/>
          <w:lang w:val="en-US" w:eastAsia="zh-CN"/>
        </w:rPr>
        <w:t>不得超过挂网公告的预算价格，否则为无效投标</w:t>
      </w:r>
      <w:r>
        <w:rPr>
          <w:rFonts w:hint="eastAsia"/>
        </w:rPr>
        <w:t>。</w:t>
      </w:r>
    </w:p>
    <w:p w14:paraId="2B15EBBF">
      <w:pPr>
        <w:numPr>
          <w:ilvl w:val="1"/>
          <w:numId w:val="13"/>
        </w:numPr>
        <w:tabs>
          <w:tab w:val="left" w:pos="360"/>
          <w:tab w:val="left" w:pos="840"/>
          <w:tab w:val="clear" w:pos="1620"/>
        </w:tabs>
        <w:snapToGrid w:val="0"/>
        <w:spacing w:line="360" w:lineRule="auto"/>
        <w:ind w:left="360"/>
      </w:pPr>
      <w:r>
        <w:rPr>
          <w:rFonts w:hint="eastAsia" w:ascii="宋体" w:hAnsi="宋体" w:eastAsia="宋体" w:cs="宋体"/>
          <w:szCs w:val="21"/>
          <w:highlight w:val="none"/>
        </w:rPr>
        <w:t>投标人须按要求填写所有信息，不得随意更改本表格式。</w:t>
      </w:r>
    </w:p>
    <w:p w14:paraId="6497BC59">
      <w:pPr>
        <w:numPr>
          <w:ilvl w:val="1"/>
          <w:numId w:val="13"/>
        </w:numPr>
        <w:tabs>
          <w:tab w:val="left" w:pos="360"/>
          <w:tab w:val="left" w:pos="840"/>
          <w:tab w:val="clear" w:pos="1620"/>
        </w:tabs>
        <w:snapToGrid w:val="0"/>
        <w:spacing w:line="360" w:lineRule="auto"/>
        <w:ind w:left="360"/>
      </w:pPr>
      <w:r>
        <w:rPr>
          <w:rFonts w:hint="eastAsia" w:ascii="宋体" w:hAnsi="宋体" w:eastAsia="宋体" w:cs="宋体"/>
          <w:szCs w:val="21"/>
          <w:highlight w:val="none"/>
        </w:rPr>
        <w:t>此表是投标文件的必要文件，是投标文件的组成部分，封装在一个信封中，作为唱标之用。</w:t>
      </w:r>
    </w:p>
    <w:p w14:paraId="15DE9748">
      <w:pPr>
        <w:numPr>
          <w:ilvl w:val="1"/>
          <w:numId w:val="13"/>
        </w:numPr>
        <w:tabs>
          <w:tab w:val="left" w:pos="360"/>
          <w:tab w:val="left" w:pos="840"/>
          <w:tab w:val="clear" w:pos="1620"/>
        </w:tabs>
        <w:snapToGrid w:val="0"/>
        <w:spacing w:line="360" w:lineRule="auto"/>
        <w:ind w:left="360"/>
        <w:rPr>
          <w:rFonts w:hint="eastAsia" w:ascii="宋体" w:hAnsi="宋体" w:eastAsia="宋体" w:cs="宋体"/>
          <w:szCs w:val="21"/>
          <w:highlight w:val="none"/>
        </w:rPr>
      </w:pPr>
      <w:r>
        <w:rPr>
          <w:rFonts w:hint="eastAsia" w:ascii="宋体" w:hAnsi="宋体" w:eastAsia="宋体" w:cs="宋体"/>
          <w:szCs w:val="21"/>
          <w:highlight w:val="none"/>
        </w:rPr>
        <w:t>根据《政府采购货物和服务</w:t>
      </w:r>
      <w:r>
        <w:rPr>
          <w:rFonts w:hint="eastAsia" w:ascii="宋体" w:hAnsi="宋体" w:eastAsia="宋体" w:cs="宋体"/>
          <w:szCs w:val="21"/>
          <w:highlight w:val="none"/>
          <w:lang w:eastAsia="zh-CN"/>
        </w:rPr>
        <w:t>征集</w:t>
      </w:r>
      <w:r>
        <w:rPr>
          <w:rFonts w:hint="eastAsia" w:ascii="宋体" w:hAnsi="宋体" w:eastAsia="宋体" w:cs="宋体"/>
          <w:szCs w:val="21"/>
          <w:highlight w:val="none"/>
        </w:rPr>
        <w:t>投标管理办法》（财政部令第87号）第六十条规定，投标人的报价明显低于其他通过符合性审查投标人的报价，有可能影响产品质量或者不能诚信履约的，评委会有权要求投标供应商在规定时间内提供书面说明以及必要的证明材料，并根据投标人的说明</w:t>
      </w:r>
      <w:r>
        <w:rPr>
          <w:rFonts w:hint="eastAsia" w:ascii="宋体" w:hAnsi="宋体" w:eastAsia="宋体" w:cs="宋体"/>
          <w:szCs w:val="21"/>
          <w:highlight w:val="none"/>
          <w:lang w:val="en-US" w:eastAsia="zh-CN"/>
        </w:rPr>
        <w:t>做</w:t>
      </w:r>
      <w:r>
        <w:rPr>
          <w:rFonts w:hint="eastAsia" w:ascii="宋体" w:hAnsi="宋体" w:eastAsia="宋体" w:cs="宋体"/>
          <w:szCs w:val="21"/>
          <w:highlight w:val="none"/>
        </w:rPr>
        <w:t>相应处理。</w:t>
      </w:r>
    </w:p>
    <w:p w14:paraId="31AC87EF">
      <w:pPr>
        <w:numPr>
          <w:ilvl w:val="1"/>
          <w:numId w:val="13"/>
        </w:numPr>
        <w:tabs>
          <w:tab w:val="left" w:pos="360"/>
          <w:tab w:val="left" w:pos="840"/>
          <w:tab w:val="clear" w:pos="1620"/>
        </w:tabs>
        <w:snapToGrid w:val="0"/>
        <w:spacing w:line="360" w:lineRule="auto"/>
        <w:ind w:left="360"/>
        <w:rPr>
          <w:rFonts w:hint="eastAsia" w:ascii="宋体" w:hAnsi="宋体" w:eastAsia="宋体" w:cs="宋体"/>
          <w:szCs w:val="21"/>
          <w:highlight w:val="none"/>
        </w:rPr>
      </w:pPr>
      <w:r>
        <w:rPr>
          <w:rFonts w:hint="eastAsia" w:asciiTheme="minorEastAsia" w:hAnsiTheme="minorEastAsia" w:eastAsiaTheme="minorEastAsia"/>
          <w:szCs w:val="21"/>
        </w:rPr>
        <w:t>若开标一览表中大写金额和小写金额不一致的，以大写金额为准。</w:t>
      </w:r>
    </w:p>
    <w:p w14:paraId="3DCB839C">
      <w:pPr>
        <w:pStyle w:val="7"/>
        <w:rPr>
          <w:rFonts w:hint="default" w:ascii="宋体" w:hAnsi="宋体" w:eastAsiaTheme="minorEastAsia" w:cstheme="minorBidi"/>
          <w:kern w:val="2"/>
          <w:sz w:val="21"/>
          <w:szCs w:val="24"/>
          <w:lang w:val="en-US" w:eastAsia="zh-CN" w:bidi="ar-SA"/>
        </w:rPr>
      </w:pPr>
    </w:p>
    <w:p w14:paraId="27349781">
      <w:pPr>
        <w:tabs>
          <w:tab w:val="left" w:pos="1200"/>
        </w:tabs>
        <w:snapToGrid w:val="0"/>
        <w:spacing w:line="360" w:lineRule="auto"/>
        <w:ind w:left="360"/>
        <w:rPr>
          <w:color w:val="FF0000"/>
        </w:rPr>
      </w:pPr>
    </w:p>
    <w:p w14:paraId="54F1A10B">
      <w:pPr>
        <w:spacing w:line="400" w:lineRule="exact"/>
        <w:rPr>
          <w:rFonts w:ascii="宋体" w:hAnsi="宋体"/>
          <w:b/>
          <w:bCs/>
          <w:szCs w:val="21"/>
        </w:rPr>
        <w:sectPr>
          <w:pgSz w:w="11906" w:h="16838"/>
          <w:pgMar w:top="1440" w:right="1286" w:bottom="1440" w:left="1440" w:header="851" w:footer="992" w:gutter="0"/>
          <w:pgBorders>
            <w:top w:val="none" w:sz="0" w:space="0"/>
            <w:left w:val="none" w:sz="0" w:space="0"/>
            <w:bottom w:val="none" w:sz="0" w:space="0"/>
            <w:right w:val="none" w:sz="0" w:space="0"/>
          </w:pgBorders>
          <w:pgNumType w:fmt="decimal"/>
          <w:cols w:space="720" w:num="1"/>
          <w:titlePg/>
          <w:docGrid w:type="lines" w:linePitch="312" w:charSpace="0"/>
        </w:sectPr>
      </w:pPr>
    </w:p>
    <w:p w14:paraId="357D675F">
      <w:pPr>
        <w:pStyle w:val="4"/>
        <w:numPr>
          <w:ilvl w:val="0"/>
          <w:numId w:val="0"/>
        </w:numPr>
        <w:spacing w:line="240" w:lineRule="auto"/>
        <w:ind w:left="420" w:leftChars="0" w:hanging="420" w:firstLineChars="0"/>
        <w:jc w:val="center"/>
        <w:outlineLvl w:val="0"/>
        <w:rPr>
          <w:rFonts w:hint="eastAsia" w:asciiTheme="majorEastAsia" w:hAnsiTheme="majorEastAsia" w:eastAsiaTheme="majorEastAsia"/>
          <w:sz w:val="30"/>
          <w:szCs w:val="30"/>
          <w:lang w:eastAsia="zh-CN"/>
        </w:rPr>
      </w:pPr>
      <w:bookmarkStart w:id="40" w:name="_Toc22031"/>
      <w:bookmarkStart w:id="41" w:name="_Toc435514866"/>
      <w:bookmarkStart w:id="42" w:name="_Toc6350"/>
      <w:bookmarkStart w:id="43" w:name="_Toc435515306"/>
      <w:bookmarkStart w:id="44" w:name="_Toc22669"/>
      <w:bookmarkStart w:id="45" w:name="_Toc275865611"/>
      <w:bookmarkStart w:id="46" w:name="_Toc192662843"/>
      <w:r>
        <w:rPr>
          <w:rFonts w:hint="eastAsia" w:cs="宋体" w:asciiTheme="majorEastAsia" w:hAnsiTheme="majorEastAsia" w:eastAsiaTheme="majorEastAsia"/>
          <w:kern w:val="2"/>
          <w:sz w:val="30"/>
          <w:szCs w:val="30"/>
          <w:lang w:val="en-US" w:eastAsia="zh-CN" w:bidi="ar-SA"/>
        </w:rPr>
        <w:t>（十）</w:t>
      </w:r>
      <w:r>
        <w:rPr>
          <w:rFonts w:hint="eastAsia" w:asciiTheme="majorEastAsia" w:hAnsiTheme="majorEastAsia" w:eastAsiaTheme="majorEastAsia"/>
          <w:sz w:val="30"/>
          <w:szCs w:val="30"/>
        </w:rPr>
        <w:t>投标报价</w:t>
      </w:r>
      <w:r>
        <w:rPr>
          <w:rFonts w:hint="eastAsia" w:asciiTheme="majorEastAsia" w:hAnsiTheme="majorEastAsia" w:eastAsiaTheme="majorEastAsia"/>
          <w:sz w:val="30"/>
          <w:szCs w:val="30"/>
          <w:lang w:val="en-US" w:eastAsia="zh-CN"/>
        </w:rPr>
        <w:t>明细</w:t>
      </w:r>
      <w:r>
        <w:rPr>
          <w:rFonts w:hint="eastAsia" w:asciiTheme="majorEastAsia" w:hAnsiTheme="majorEastAsia" w:eastAsiaTheme="majorEastAsia"/>
          <w:sz w:val="30"/>
          <w:szCs w:val="30"/>
        </w:rPr>
        <w:t>表</w:t>
      </w:r>
      <w:bookmarkEnd w:id="40"/>
      <w:bookmarkEnd w:id="41"/>
      <w:bookmarkEnd w:id="42"/>
      <w:bookmarkEnd w:id="43"/>
      <w:bookmarkEnd w:id="44"/>
      <w:bookmarkEnd w:id="45"/>
      <w:bookmarkEnd w:id="46"/>
    </w:p>
    <w:tbl>
      <w:tblPr>
        <w:tblStyle w:val="21"/>
        <w:tblW w:w="10637"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534"/>
        <w:gridCol w:w="1050"/>
        <w:gridCol w:w="990"/>
        <w:gridCol w:w="990"/>
        <w:gridCol w:w="990"/>
        <w:gridCol w:w="750"/>
        <w:gridCol w:w="750"/>
        <w:gridCol w:w="870"/>
        <w:gridCol w:w="1020"/>
        <w:gridCol w:w="968"/>
        <w:gridCol w:w="725"/>
      </w:tblGrid>
      <w:tr w14:paraId="30F3E28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756" w:hRule="atLeast"/>
          <w:jc w:val="center"/>
        </w:trPr>
        <w:tc>
          <w:tcPr>
            <w:tcW w:w="1534" w:type="dxa"/>
            <w:tcBorders>
              <w:top w:val="single" w:color="auto" w:sz="12" w:space="0"/>
              <w:bottom w:val="double" w:color="auto" w:sz="4" w:space="0"/>
            </w:tcBorders>
            <w:shd w:val="clear" w:color="auto" w:fill="EEECE1"/>
            <w:vAlign w:val="center"/>
          </w:tcPr>
          <w:p w14:paraId="5F5EBF4D">
            <w:pPr>
              <w:keepNext w:val="0"/>
              <w:keepLines w:val="0"/>
              <w:widowControl/>
              <w:suppressLineNumbers w:val="0"/>
              <w:adjustRightInd w:val="0"/>
              <w:snapToGrid w:val="0"/>
              <w:spacing w:before="0" w:beforeAutospacing="0" w:after="0" w:afterAutospacing="0"/>
              <w:ind w:left="0" w:right="0"/>
              <w:jc w:val="center"/>
              <w:rPr>
                <w:rFonts w:hint="default" w:ascii="宋体" w:hAnsi="宋体"/>
              </w:rPr>
            </w:pPr>
            <w:r>
              <w:rPr>
                <w:rFonts w:hint="eastAsia" w:ascii="宋体" w:hAnsi="宋体"/>
              </w:rPr>
              <w:t>序号</w:t>
            </w:r>
          </w:p>
        </w:tc>
        <w:tc>
          <w:tcPr>
            <w:tcW w:w="1050" w:type="dxa"/>
            <w:tcBorders>
              <w:top w:val="single" w:color="auto" w:sz="12" w:space="0"/>
              <w:bottom w:val="double" w:color="auto" w:sz="4" w:space="0"/>
            </w:tcBorders>
            <w:shd w:val="clear" w:color="auto" w:fill="EEECE1"/>
            <w:vAlign w:val="center"/>
          </w:tcPr>
          <w:p w14:paraId="5915C804">
            <w:pPr>
              <w:keepNext w:val="0"/>
              <w:keepLines w:val="0"/>
              <w:widowControl/>
              <w:suppressLineNumbers w:val="0"/>
              <w:adjustRightInd w:val="0"/>
              <w:snapToGrid w:val="0"/>
              <w:spacing w:before="0" w:beforeAutospacing="0" w:after="0" w:afterAutospacing="0"/>
              <w:ind w:left="0" w:right="0"/>
              <w:jc w:val="center"/>
              <w:rPr>
                <w:rFonts w:hint="default" w:ascii="宋体" w:hAnsi="宋体"/>
              </w:rPr>
            </w:pPr>
            <w:r>
              <w:rPr>
                <w:rFonts w:hint="eastAsia" w:ascii="宋体" w:hAnsi="宋体"/>
              </w:rPr>
              <w:t>产品</w:t>
            </w:r>
          </w:p>
          <w:p w14:paraId="384D549C">
            <w:pPr>
              <w:keepNext w:val="0"/>
              <w:keepLines w:val="0"/>
              <w:widowControl/>
              <w:suppressLineNumbers w:val="0"/>
              <w:adjustRightInd w:val="0"/>
              <w:snapToGrid w:val="0"/>
              <w:spacing w:before="0" w:beforeAutospacing="0" w:after="0" w:afterAutospacing="0"/>
              <w:ind w:left="0" w:right="0"/>
              <w:jc w:val="center"/>
              <w:rPr>
                <w:rFonts w:hint="default" w:ascii="宋体" w:hAnsi="宋体"/>
              </w:rPr>
            </w:pPr>
            <w:r>
              <w:rPr>
                <w:rFonts w:hint="default" w:ascii="宋体" w:hAnsi="宋体"/>
              </w:rPr>
              <w:t>名称</w:t>
            </w:r>
          </w:p>
        </w:tc>
        <w:tc>
          <w:tcPr>
            <w:tcW w:w="990" w:type="dxa"/>
            <w:tcBorders>
              <w:top w:val="single" w:color="auto" w:sz="12" w:space="0"/>
              <w:bottom w:val="double" w:color="auto" w:sz="4" w:space="0"/>
            </w:tcBorders>
            <w:shd w:val="clear" w:color="auto" w:fill="EEECE1"/>
            <w:vAlign w:val="center"/>
          </w:tcPr>
          <w:p w14:paraId="4F87A1A6">
            <w:pPr>
              <w:keepNext w:val="0"/>
              <w:keepLines w:val="0"/>
              <w:widowControl/>
              <w:suppressLineNumbers w:val="0"/>
              <w:adjustRightInd w:val="0"/>
              <w:snapToGrid w:val="0"/>
              <w:spacing w:before="0" w:beforeAutospacing="0" w:after="0" w:afterAutospacing="0"/>
              <w:ind w:left="0" w:right="0"/>
              <w:jc w:val="center"/>
              <w:rPr>
                <w:rFonts w:hint="default" w:ascii="宋体" w:hAnsi="宋体"/>
              </w:rPr>
            </w:pPr>
            <w:r>
              <w:rPr>
                <w:rFonts w:hint="default" w:ascii="宋体" w:hAnsi="宋体"/>
              </w:rPr>
              <w:t>规格</w:t>
            </w:r>
            <w:r>
              <w:rPr>
                <w:rFonts w:hint="eastAsia" w:ascii="宋体" w:hAnsi="宋体"/>
                <w:lang w:val="en-US" w:eastAsia="zh-CN"/>
              </w:rPr>
              <w:t xml:space="preserve">  </w:t>
            </w:r>
            <w:r>
              <w:rPr>
                <w:rFonts w:hint="default" w:ascii="宋体" w:hAnsi="宋体"/>
              </w:rPr>
              <w:t>型号</w:t>
            </w:r>
          </w:p>
        </w:tc>
        <w:tc>
          <w:tcPr>
            <w:tcW w:w="990" w:type="dxa"/>
            <w:tcBorders>
              <w:top w:val="single" w:color="auto" w:sz="12" w:space="0"/>
              <w:bottom w:val="double" w:color="auto" w:sz="4" w:space="0"/>
            </w:tcBorders>
            <w:shd w:val="clear" w:color="auto" w:fill="EEECE1"/>
            <w:vAlign w:val="center"/>
          </w:tcPr>
          <w:p w14:paraId="1C2B3549">
            <w:pPr>
              <w:keepNext w:val="0"/>
              <w:keepLines w:val="0"/>
              <w:widowControl/>
              <w:suppressLineNumbers w:val="0"/>
              <w:adjustRightInd w:val="0"/>
              <w:snapToGrid w:val="0"/>
              <w:spacing w:before="0" w:beforeAutospacing="0" w:after="0" w:afterAutospacing="0"/>
              <w:ind w:left="0" w:right="0"/>
              <w:jc w:val="center"/>
              <w:rPr>
                <w:rFonts w:hint="eastAsia" w:ascii="宋体" w:hAnsi="宋体" w:eastAsiaTheme="minorEastAsia"/>
                <w:lang w:val="en-US" w:eastAsia="zh-CN"/>
              </w:rPr>
            </w:pPr>
            <w:r>
              <w:rPr>
                <w:rFonts w:hint="eastAsia" w:ascii="宋体" w:hAnsi="宋体"/>
                <w:lang w:val="en-US" w:eastAsia="zh-CN"/>
              </w:rPr>
              <w:t>制造商</w:t>
            </w:r>
          </w:p>
        </w:tc>
        <w:tc>
          <w:tcPr>
            <w:tcW w:w="990" w:type="dxa"/>
            <w:tcBorders>
              <w:top w:val="single" w:color="auto" w:sz="12" w:space="0"/>
              <w:bottom w:val="double" w:color="auto" w:sz="4" w:space="0"/>
            </w:tcBorders>
            <w:shd w:val="clear" w:color="auto" w:fill="EEECE1"/>
            <w:vAlign w:val="center"/>
          </w:tcPr>
          <w:p w14:paraId="69A5DBCF">
            <w:pPr>
              <w:keepNext w:val="0"/>
              <w:keepLines w:val="0"/>
              <w:widowControl/>
              <w:suppressLineNumbers w:val="0"/>
              <w:adjustRightInd w:val="0"/>
              <w:snapToGrid w:val="0"/>
              <w:spacing w:before="0" w:beforeAutospacing="0" w:after="0" w:afterAutospacing="0"/>
              <w:ind w:left="0" w:right="0"/>
              <w:jc w:val="center"/>
              <w:rPr>
                <w:rFonts w:hint="default" w:ascii="宋体" w:hAnsi="宋体"/>
              </w:rPr>
            </w:pPr>
            <w:r>
              <w:rPr>
                <w:rFonts w:hint="eastAsia" w:ascii="宋体" w:hAnsi="宋体"/>
              </w:rPr>
              <w:t>品牌</w:t>
            </w:r>
          </w:p>
        </w:tc>
        <w:tc>
          <w:tcPr>
            <w:tcW w:w="750" w:type="dxa"/>
            <w:tcBorders>
              <w:top w:val="single" w:color="auto" w:sz="12" w:space="0"/>
              <w:bottom w:val="double" w:color="auto" w:sz="4" w:space="0"/>
            </w:tcBorders>
            <w:shd w:val="clear" w:color="auto" w:fill="EEECE1"/>
            <w:vAlign w:val="center"/>
          </w:tcPr>
          <w:p w14:paraId="018BFB98">
            <w:pPr>
              <w:keepNext w:val="0"/>
              <w:keepLines w:val="0"/>
              <w:widowControl/>
              <w:suppressLineNumbers w:val="0"/>
              <w:adjustRightInd w:val="0"/>
              <w:snapToGrid w:val="0"/>
              <w:spacing w:before="0" w:beforeAutospacing="0" w:after="0" w:afterAutospacing="0"/>
              <w:ind w:left="0" w:right="0"/>
              <w:jc w:val="center"/>
              <w:rPr>
                <w:rFonts w:hint="default" w:ascii="宋体" w:hAnsi="宋体" w:eastAsiaTheme="minorEastAsia"/>
                <w:lang w:val="en-US" w:eastAsia="zh-CN"/>
              </w:rPr>
            </w:pPr>
            <w:r>
              <w:rPr>
                <w:rFonts w:hint="eastAsia" w:ascii="宋体" w:hAnsi="宋体"/>
                <w:lang w:val="en-US" w:eastAsia="zh-CN"/>
              </w:rPr>
              <w:t>代工厂商</w:t>
            </w:r>
          </w:p>
        </w:tc>
        <w:tc>
          <w:tcPr>
            <w:tcW w:w="750" w:type="dxa"/>
            <w:tcBorders>
              <w:top w:val="single" w:color="auto" w:sz="12" w:space="0"/>
              <w:bottom w:val="double" w:color="auto" w:sz="4" w:space="0"/>
            </w:tcBorders>
            <w:shd w:val="clear" w:color="auto" w:fill="EEECE1"/>
            <w:vAlign w:val="center"/>
          </w:tcPr>
          <w:p w14:paraId="22B38E5C">
            <w:pPr>
              <w:keepNext w:val="0"/>
              <w:keepLines w:val="0"/>
              <w:widowControl/>
              <w:suppressLineNumbers w:val="0"/>
              <w:adjustRightInd w:val="0"/>
              <w:snapToGrid w:val="0"/>
              <w:spacing w:before="0" w:beforeAutospacing="0" w:after="0" w:afterAutospacing="0"/>
              <w:ind w:left="0" w:right="0"/>
              <w:jc w:val="center"/>
              <w:rPr>
                <w:rFonts w:hint="default" w:ascii="宋体" w:hAnsi="宋体"/>
              </w:rPr>
            </w:pPr>
            <w:r>
              <w:rPr>
                <w:rFonts w:hint="eastAsia" w:ascii="宋体" w:hAnsi="宋体"/>
              </w:rPr>
              <w:t>单位</w:t>
            </w:r>
          </w:p>
        </w:tc>
        <w:tc>
          <w:tcPr>
            <w:tcW w:w="870" w:type="dxa"/>
            <w:tcBorders>
              <w:top w:val="single" w:color="auto" w:sz="12" w:space="0"/>
              <w:bottom w:val="double" w:color="auto" w:sz="4" w:space="0"/>
            </w:tcBorders>
            <w:shd w:val="clear" w:color="auto" w:fill="EEECE1"/>
            <w:vAlign w:val="center"/>
          </w:tcPr>
          <w:p w14:paraId="3C4AF9D9">
            <w:pPr>
              <w:keepNext w:val="0"/>
              <w:keepLines w:val="0"/>
              <w:widowControl/>
              <w:suppressLineNumbers w:val="0"/>
              <w:adjustRightInd w:val="0"/>
              <w:snapToGrid w:val="0"/>
              <w:spacing w:before="0" w:beforeAutospacing="0" w:after="0" w:afterAutospacing="0"/>
              <w:ind w:left="0" w:right="0"/>
              <w:jc w:val="center"/>
              <w:rPr>
                <w:rFonts w:hint="default" w:ascii="宋体" w:hAnsi="宋体"/>
              </w:rPr>
            </w:pPr>
            <w:r>
              <w:rPr>
                <w:rFonts w:hint="default" w:ascii="宋体" w:hAnsi="宋体"/>
              </w:rPr>
              <w:t>数量</w:t>
            </w:r>
          </w:p>
        </w:tc>
        <w:tc>
          <w:tcPr>
            <w:tcW w:w="1020" w:type="dxa"/>
            <w:tcBorders>
              <w:top w:val="single" w:color="auto" w:sz="12" w:space="0"/>
              <w:bottom w:val="double" w:color="auto" w:sz="4" w:space="0"/>
            </w:tcBorders>
            <w:shd w:val="clear" w:color="auto" w:fill="EEECE1"/>
            <w:vAlign w:val="center"/>
          </w:tcPr>
          <w:p w14:paraId="1D2B96D2">
            <w:pPr>
              <w:keepNext w:val="0"/>
              <w:keepLines w:val="0"/>
              <w:widowControl/>
              <w:suppressLineNumbers w:val="0"/>
              <w:adjustRightInd w:val="0"/>
              <w:snapToGrid w:val="0"/>
              <w:spacing w:before="0" w:beforeAutospacing="0" w:after="0" w:afterAutospacing="0"/>
              <w:ind w:left="0" w:right="0"/>
              <w:jc w:val="center"/>
              <w:rPr>
                <w:rFonts w:hint="default" w:ascii="宋体" w:hAnsi="宋体"/>
              </w:rPr>
            </w:pPr>
            <w:r>
              <w:rPr>
                <w:rFonts w:hint="default" w:ascii="宋体" w:hAnsi="宋体"/>
              </w:rPr>
              <w:t>单价</w:t>
            </w:r>
            <w:r>
              <w:rPr>
                <w:rFonts w:hint="eastAsia" w:ascii="宋体" w:hAnsi="宋体"/>
                <w:lang w:val="en-US" w:eastAsia="zh-CN"/>
              </w:rPr>
              <w:t xml:space="preserve">   </w:t>
            </w:r>
            <w:r>
              <w:rPr>
                <w:rFonts w:hint="default" w:ascii="宋体" w:hAnsi="宋体"/>
              </w:rPr>
              <w:t>（元）</w:t>
            </w:r>
          </w:p>
        </w:tc>
        <w:tc>
          <w:tcPr>
            <w:tcW w:w="968" w:type="dxa"/>
            <w:tcBorders>
              <w:top w:val="single" w:color="auto" w:sz="12" w:space="0"/>
              <w:bottom w:val="double" w:color="auto" w:sz="4" w:space="0"/>
            </w:tcBorders>
            <w:shd w:val="clear" w:color="auto" w:fill="EEECE1"/>
            <w:vAlign w:val="center"/>
          </w:tcPr>
          <w:p w14:paraId="122C5C98">
            <w:pPr>
              <w:keepNext w:val="0"/>
              <w:keepLines w:val="0"/>
              <w:widowControl/>
              <w:suppressLineNumbers w:val="0"/>
              <w:adjustRightInd w:val="0"/>
              <w:snapToGrid w:val="0"/>
              <w:spacing w:before="0" w:beforeAutospacing="0" w:after="0" w:afterAutospacing="0"/>
              <w:ind w:left="0" w:right="0"/>
              <w:jc w:val="center"/>
              <w:rPr>
                <w:rFonts w:hint="default" w:ascii="宋体" w:hAnsi="宋体"/>
              </w:rPr>
            </w:pPr>
            <w:r>
              <w:rPr>
                <w:rFonts w:hint="eastAsia" w:ascii="宋体" w:hAnsi="宋体"/>
              </w:rPr>
              <w:t>合计</w:t>
            </w:r>
            <w:r>
              <w:rPr>
                <w:rFonts w:hint="eastAsia" w:ascii="宋体" w:hAnsi="宋体"/>
                <w:lang w:val="en-US" w:eastAsia="zh-CN"/>
              </w:rPr>
              <w:t xml:space="preserve">   </w:t>
            </w:r>
            <w:r>
              <w:rPr>
                <w:rFonts w:hint="eastAsia" w:ascii="宋体" w:hAnsi="宋体"/>
              </w:rPr>
              <w:t>（元）</w:t>
            </w:r>
          </w:p>
        </w:tc>
        <w:tc>
          <w:tcPr>
            <w:tcW w:w="725" w:type="dxa"/>
            <w:tcBorders>
              <w:top w:val="single" w:color="auto" w:sz="12" w:space="0"/>
              <w:bottom w:val="double" w:color="auto" w:sz="4" w:space="0"/>
            </w:tcBorders>
            <w:shd w:val="clear" w:color="auto" w:fill="EEECE1"/>
            <w:vAlign w:val="center"/>
          </w:tcPr>
          <w:p w14:paraId="26BB7D70">
            <w:pPr>
              <w:keepNext w:val="0"/>
              <w:keepLines w:val="0"/>
              <w:suppressLineNumbers w:val="0"/>
              <w:adjustRightInd w:val="0"/>
              <w:snapToGrid w:val="0"/>
              <w:spacing w:before="0" w:beforeAutospacing="0" w:after="0" w:afterAutospacing="0"/>
              <w:ind w:left="0" w:right="0"/>
              <w:jc w:val="center"/>
              <w:rPr>
                <w:rFonts w:hint="default" w:ascii="宋体" w:hAnsi="宋体"/>
              </w:rPr>
            </w:pPr>
            <w:r>
              <w:rPr>
                <w:rFonts w:hint="default" w:ascii="宋体" w:hAnsi="宋体"/>
              </w:rPr>
              <w:t>备注</w:t>
            </w:r>
          </w:p>
        </w:tc>
      </w:tr>
      <w:tr w14:paraId="3D7BC0B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1534" w:type="dxa"/>
            <w:vAlign w:val="center"/>
          </w:tcPr>
          <w:p w14:paraId="6ADCBEC4">
            <w:pPr>
              <w:keepNext w:val="0"/>
              <w:keepLines w:val="0"/>
              <w:suppressLineNumbers w:val="0"/>
              <w:spacing w:before="0" w:beforeAutospacing="0" w:after="0" w:afterAutospacing="0"/>
              <w:ind w:left="0" w:right="0"/>
              <w:jc w:val="center"/>
              <w:rPr>
                <w:rFonts w:hint="default" w:ascii="宋体" w:hAnsi="宋体"/>
              </w:rPr>
            </w:pPr>
            <w:r>
              <w:rPr>
                <w:rFonts w:hint="eastAsia" w:ascii="宋体" w:hAnsi="宋体"/>
              </w:rPr>
              <w:t>1</w:t>
            </w:r>
          </w:p>
        </w:tc>
        <w:tc>
          <w:tcPr>
            <w:tcW w:w="1050" w:type="dxa"/>
            <w:vAlign w:val="center"/>
          </w:tcPr>
          <w:p w14:paraId="587D43AF">
            <w:pPr>
              <w:keepNext w:val="0"/>
              <w:keepLines w:val="0"/>
              <w:suppressLineNumbers w:val="0"/>
              <w:spacing w:before="0" w:beforeAutospacing="0" w:after="0" w:afterAutospacing="0"/>
              <w:ind w:left="0" w:right="0"/>
              <w:jc w:val="center"/>
              <w:rPr>
                <w:rFonts w:hint="default"/>
              </w:rPr>
            </w:pPr>
          </w:p>
        </w:tc>
        <w:tc>
          <w:tcPr>
            <w:tcW w:w="990" w:type="dxa"/>
            <w:vAlign w:val="center"/>
          </w:tcPr>
          <w:p w14:paraId="1FBD9E86">
            <w:pPr>
              <w:keepNext w:val="0"/>
              <w:keepLines w:val="0"/>
              <w:suppressLineNumbers w:val="0"/>
              <w:spacing w:before="0" w:beforeAutospacing="0" w:after="0" w:afterAutospacing="0"/>
              <w:ind w:left="0" w:right="0"/>
              <w:jc w:val="center"/>
              <w:rPr>
                <w:rFonts w:hint="default"/>
              </w:rPr>
            </w:pPr>
          </w:p>
        </w:tc>
        <w:tc>
          <w:tcPr>
            <w:tcW w:w="990" w:type="dxa"/>
            <w:vAlign w:val="center"/>
          </w:tcPr>
          <w:p w14:paraId="4F5FDCC7">
            <w:pPr>
              <w:keepNext w:val="0"/>
              <w:keepLines w:val="0"/>
              <w:suppressLineNumbers w:val="0"/>
              <w:spacing w:before="0" w:beforeAutospacing="0" w:after="0" w:afterAutospacing="0"/>
              <w:ind w:left="0" w:right="0"/>
              <w:jc w:val="center"/>
              <w:rPr>
                <w:rFonts w:hint="default"/>
              </w:rPr>
            </w:pPr>
          </w:p>
        </w:tc>
        <w:tc>
          <w:tcPr>
            <w:tcW w:w="990" w:type="dxa"/>
            <w:vAlign w:val="center"/>
          </w:tcPr>
          <w:p w14:paraId="7F126458">
            <w:pPr>
              <w:keepNext w:val="0"/>
              <w:keepLines w:val="0"/>
              <w:suppressLineNumbers w:val="0"/>
              <w:spacing w:before="0" w:beforeAutospacing="0" w:after="0" w:afterAutospacing="0"/>
              <w:ind w:left="0" w:right="0"/>
              <w:jc w:val="center"/>
              <w:rPr>
                <w:rFonts w:hint="default"/>
              </w:rPr>
            </w:pPr>
          </w:p>
        </w:tc>
        <w:tc>
          <w:tcPr>
            <w:tcW w:w="750" w:type="dxa"/>
            <w:vAlign w:val="center"/>
          </w:tcPr>
          <w:p w14:paraId="5DEBA6A7">
            <w:pPr>
              <w:keepNext w:val="0"/>
              <w:keepLines w:val="0"/>
              <w:suppressLineNumbers w:val="0"/>
              <w:spacing w:before="0" w:beforeAutospacing="0" w:after="0" w:afterAutospacing="0"/>
              <w:ind w:left="0" w:right="0"/>
              <w:jc w:val="center"/>
              <w:rPr>
                <w:rFonts w:hint="default"/>
              </w:rPr>
            </w:pPr>
          </w:p>
        </w:tc>
        <w:tc>
          <w:tcPr>
            <w:tcW w:w="750" w:type="dxa"/>
            <w:vAlign w:val="center"/>
          </w:tcPr>
          <w:p w14:paraId="7E35AFC9">
            <w:pPr>
              <w:keepNext w:val="0"/>
              <w:keepLines w:val="0"/>
              <w:suppressLineNumbers w:val="0"/>
              <w:spacing w:before="0" w:beforeAutospacing="0" w:after="0" w:afterAutospacing="0"/>
              <w:ind w:left="0" w:right="0"/>
              <w:jc w:val="center"/>
              <w:rPr>
                <w:rFonts w:hint="default"/>
              </w:rPr>
            </w:pPr>
          </w:p>
        </w:tc>
        <w:tc>
          <w:tcPr>
            <w:tcW w:w="870" w:type="dxa"/>
            <w:vAlign w:val="center"/>
          </w:tcPr>
          <w:p w14:paraId="150DCEB5">
            <w:pPr>
              <w:keepNext w:val="0"/>
              <w:keepLines w:val="0"/>
              <w:suppressLineNumbers w:val="0"/>
              <w:spacing w:before="0" w:beforeAutospacing="0" w:after="0" w:afterAutospacing="0"/>
              <w:ind w:left="0" w:right="0"/>
              <w:jc w:val="center"/>
              <w:rPr>
                <w:rFonts w:hint="default"/>
              </w:rPr>
            </w:pPr>
          </w:p>
        </w:tc>
        <w:tc>
          <w:tcPr>
            <w:tcW w:w="1020" w:type="dxa"/>
            <w:vAlign w:val="center"/>
          </w:tcPr>
          <w:p w14:paraId="0B6ACCDB">
            <w:pPr>
              <w:keepNext w:val="0"/>
              <w:keepLines w:val="0"/>
              <w:suppressLineNumbers w:val="0"/>
              <w:spacing w:before="0" w:beforeAutospacing="0" w:after="0" w:afterAutospacing="0"/>
              <w:ind w:left="0" w:right="0"/>
              <w:jc w:val="center"/>
              <w:rPr>
                <w:rFonts w:hint="default"/>
              </w:rPr>
            </w:pPr>
          </w:p>
        </w:tc>
        <w:tc>
          <w:tcPr>
            <w:tcW w:w="968" w:type="dxa"/>
            <w:vAlign w:val="center"/>
          </w:tcPr>
          <w:p w14:paraId="7BBE7B51">
            <w:pPr>
              <w:keepNext w:val="0"/>
              <w:keepLines w:val="0"/>
              <w:suppressLineNumbers w:val="0"/>
              <w:spacing w:before="0" w:beforeAutospacing="0" w:after="0" w:afterAutospacing="0"/>
              <w:ind w:left="0" w:right="0"/>
              <w:jc w:val="center"/>
              <w:rPr>
                <w:rFonts w:hint="default"/>
              </w:rPr>
            </w:pPr>
          </w:p>
        </w:tc>
        <w:tc>
          <w:tcPr>
            <w:tcW w:w="725" w:type="dxa"/>
            <w:vAlign w:val="center"/>
          </w:tcPr>
          <w:p w14:paraId="3A11F0BB">
            <w:pPr>
              <w:keepNext w:val="0"/>
              <w:keepLines w:val="0"/>
              <w:suppressLineNumbers w:val="0"/>
              <w:spacing w:before="0" w:beforeAutospacing="0" w:after="0" w:afterAutospacing="0"/>
              <w:ind w:left="0" w:right="0"/>
              <w:jc w:val="center"/>
              <w:rPr>
                <w:rFonts w:hint="default"/>
              </w:rPr>
            </w:pPr>
          </w:p>
        </w:tc>
      </w:tr>
      <w:tr w14:paraId="5F9A318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1534" w:type="dxa"/>
            <w:vAlign w:val="center"/>
          </w:tcPr>
          <w:p w14:paraId="1D8B611E">
            <w:pPr>
              <w:keepNext w:val="0"/>
              <w:keepLines w:val="0"/>
              <w:suppressLineNumbers w:val="0"/>
              <w:spacing w:before="0" w:beforeAutospacing="0" w:after="0" w:afterAutospacing="0"/>
              <w:ind w:left="0" w:right="0"/>
              <w:jc w:val="center"/>
              <w:rPr>
                <w:rFonts w:hint="default" w:ascii="宋体" w:hAnsi="宋体"/>
              </w:rPr>
            </w:pPr>
            <w:r>
              <w:rPr>
                <w:rFonts w:hint="eastAsia" w:ascii="宋体" w:hAnsi="宋体"/>
              </w:rPr>
              <w:t>2</w:t>
            </w:r>
          </w:p>
        </w:tc>
        <w:tc>
          <w:tcPr>
            <w:tcW w:w="1050" w:type="dxa"/>
            <w:vAlign w:val="center"/>
          </w:tcPr>
          <w:p w14:paraId="70669F5F">
            <w:pPr>
              <w:keepNext w:val="0"/>
              <w:keepLines w:val="0"/>
              <w:suppressLineNumbers w:val="0"/>
              <w:spacing w:before="0" w:beforeAutospacing="0" w:after="0" w:afterAutospacing="0"/>
              <w:ind w:left="0" w:right="0"/>
              <w:jc w:val="center"/>
              <w:rPr>
                <w:rFonts w:hint="default"/>
              </w:rPr>
            </w:pPr>
          </w:p>
        </w:tc>
        <w:tc>
          <w:tcPr>
            <w:tcW w:w="990" w:type="dxa"/>
            <w:vAlign w:val="center"/>
          </w:tcPr>
          <w:p w14:paraId="41ED0F8E">
            <w:pPr>
              <w:keepNext w:val="0"/>
              <w:keepLines w:val="0"/>
              <w:suppressLineNumbers w:val="0"/>
              <w:spacing w:before="0" w:beforeAutospacing="0" w:after="0" w:afterAutospacing="0"/>
              <w:ind w:left="0" w:right="0"/>
              <w:jc w:val="center"/>
              <w:rPr>
                <w:rFonts w:hint="default"/>
              </w:rPr>
            </w:pPr>
          </w:p>
        </w:tc>
        <w:tc>
          <w:tcPr>
            <w:tcW w:w="990" w:type="dxa"/>
            <w:vAlign w:val="center"/>
          </w:tcPr>
          <w:p w14:paraId="222424AE">
            <w:pPr>
              <w:keepNext w:val="0"/>
              <w:keepLines w:val="0"/>
              <w:suppressLineNumbers w:val="0"/>
              <w:spacing w:before="0" w:beforeAutospacing="0" w:after="0" w:afterAutospacing="0"/>
              <w:ind w:left="0" w:right="0"/>
              <w:jc w:val="center"/>
              <w:rPr>
                <w:rFonts w:hint="default"/>
              </w:rPr>
            </w:pPr>
          </w:p>
        </w:tc>
        <w:tc>
          <w:tcPr>
            <w:tcW w:w="990" w:type="dxa"/>
            <w:vAlign w:val="center"/>
          </w:tcPr>
          <w:p w14:paraId="10F72517">
            <w:pPr>
              <w:keepNext w:val="0"/>
              <w:keepLines w:val="0"/>
              <w:suppressLineNumbers w:val="0"/>
              <w:spacing w:before="0" w:beforeAutospacing="0" w:after="0" w:afterAutospacing="0"/>
              <w:ind w:left="0" w:right="0"/>
              <w:jc w:val="center"/>
              <w:rPr>
                <w:rFonts w:hint="default"/>
              </w:rPr>
            </w:pPr>
          </w:p>
        </w:tc>
        <w:tc>
          <w:tcPr>
            <w:tcW w:w="750" w:type="dxa"/>
            <w:vAlign w:val="center"/>
          </w:tcPr>
          <w:p w14:paraId="72412A1D">
            <w:pPr>
              <w:keepNext w:val="0"/>
              <w:keepLines w:val="0"/>
              <w:suppressLineNumbers w:val="0"/>
              <w:spacing w:before="0" w:beforeAutospacing="0" w:after="0" w:afterAutospacing="0"/>
              <w:ind w:left="0" w:right="0"/>
              <w:jc w:val="center"/>
              <w:rPr>
                <w:rFonts w:hint="default"/>
              </w:rPr>
            </w:pPr>
          </w:p>
        </w:tc>
        <w:tc>
          <w:tcPr>
            <w:tcW w:w="750" w:type="dxa"/>
            <w:vAlign w:val="center"/>
          </w:tcPr>
          <w:p w14:paraId="6DFC59CD">
            <w:pPr>
              <w:keepNext w:val="0"/>
              <w:keepLines w:val="0"/>
              <w:suppressLineNumbers w:val="0"/>
              <w:spacing w:before="0" w:beforeAutospacing="0" w:after="0" w:afterAutospacing="0"/>
              <w:ind w:left="0" w:right="0"/>
              <w:jc w:val="center"/>
              <w:rPr>
                <w:rFonts w:hint="default"/>
              </w:rPr>
            </w:pPr>
          </w:p>
        </w:tc>
        <w:tc>
          <w:tcPr>
            <w:tcW w:w="870" w:type="dxa"/>
            <w:vAlign w:val="center"/>
          </w:tcPr>
          <w:p w14:paraId="257186F2">
            <w:pPr>
              <w:keepNext w:val="0"/>
              <w:keepLines w:val="0"/>
              <w:suppressLineNumbers w:val="0"/>
              <w:spacing w:before="0" w:beforeAutospacing="0" w:after="0" w:afterAutospacing="0"/>
              <w:ind w:left="0" w:right="0"/>
              <w:jc w:val="center"/>
              <w:rPr>
                <w:rFonts w:hint="default"/>
              </w:rPr>
            </w:pPr>
          </w:p>
        </w:tc>
        <w:tc>
          <w:tcPr>
            <w:tcW w:w="1020" w:type="dxa"/>
            <w:vAlign w:val="center"/>
          </w:tcPr>
          <w:p w14:paraId="42E249AF">
            <w:pPr>
              <w:keepNext w:val="0"/>
              <w:keepLines w:val="0"/>
              <w:suppressLineNumbers w:val="0"/>
              <w:spacing w:before="0" w:beforeAutospacing="0" w:after="0" w:afterAutospacing="0"/>
              <w:ind w:left="0" w:right="0"/>
              <w:jc w:val="center"/>
              <w:rPr>
                <w:rFonts w:hint="default"/>
              </w:rPr>
            </w:pPr>
          </w:p>
        </w:tc>
        <w:tc>
          <w:tcPr>
            <w:tcW w:w="968" w:type="dxa"/>
            <w:vAlign w:val="center"/>
          </w:tcPr>
          <w:p w14:paraId="5C60D203">
            <w:pPr>
              <w:keepNext w:val="0"/>
              <w:keepLines w:val="0"/>
              <w:suppressLineNumbers w:val="0"/>
              <w:spacing w:before="0" w:beforeAutospacing="0" w:after="0" w:afterAutospacing="0"/>
              <w:ind w:left="0" w:right="0"/>
              <w:jc w:val="center"/>
              <w:rPr>
                <w:rFonts w:hint="default"/>
              </w:rPr>
            </w:pPr>
          </w:p>
        </w:tc>
        <w:tc>
          <w:tcPr>
            <w:tcW w:w="725" w:type="dxa"/>
            <w:vAlign w:val="center"/>
          </w:tcPr>
          <w:p w14:paraId="5A6C1D5A">
            <w:pPr>
              <w:keepNext w:val="0"/>
              <w:keepLines w:val="0"/>
              <w:suppressLineNumbers w:val="0"/>
              <w:spacing w:before="0" w:beforeAutospacing="0" w:after="0" w:afterAutospacing="0"/>
              <w:ind w:left="0" w:right="0"/>
              <w:jc w:val="center"/>
              <w:rPr>
                <w:rFonts w:hint="default"/>
              </w:rPr>
            </w:pPr>
          </w:p>
        </w:tc>
      </w:tr>
      <w:tr w14:paraId="192755E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1534" w:type="dxa"/>
            <w:vAlign w:val="center"/>
          </w:tcPr>
          <w:p w14:paraId="16FB0D31">
            <w:pPr>
              <w:keepNext w:val="0"/>
              <w:keepLines w:val="0"/>
              <w:suppressLineNumbers w:val="0"/>
              <w:spacing w:before="0" w:beforeAutospacing="0" w:after="0" w:afterAutospacing="0"/>
              <w:ind w:left="0" w:right="0"/>
              <w:jc w:val="center"/>
              <w:rPr>
                <w:rFonts w:hint="eastAsia" w:eastAsiaTheme="minorEastAsia"/>
                <w:lang w:eastAsia="zh-CN"/>
              </w:rPr>
            </w:pPr>
            <w:r>
              <w:rPr>
                <w:rFonts w:hint="eastAsia"/>
                <w:lang w:val="en-US" w:eastAsia="zh-CN"/>
              </w:rPr>
              <w:t>3</w:t>
            </w:r>
          </w:p>
        </w:tc>
        <w:tc>
          <w:tcPr>
            <w:tcW w:w="1050" w:type="dxa"/>
            <w:vAlign w:val="center"/>
          </w:tcPr>
          <w:p w14:paraId="745F5712">
            <w:pPr>
              <w:keepNext w:val="0"/>
              <w:keepLines w:val="0"/>
              <w:suppressLineNumbers w:val="0"/>
              <w:spacing w:before="0" w:beforeAutospacing="0" w:after="0" w:afterAutospacing="0"/>
              <w:ind w:left="0" w:right="0"/>
              <w:jc w:val="center"/>
              <w:rPr>
                <w:rFonts w:hint="default"/>
              </w:rPr>
            </w:pPr>
          </w:p>
        </w:tc>
        <w:tc>
          <w:tcPr>
            <w:tcW w:w="990" w:type="dxa"/>
            <w:vAlign w:val="center"/>
          </w:tcPr>
          <w:p w14:paraId="77BF9D43">
            <w:pPr>
              <w:keepNext w:val="0"/>
              <w:keepLines w:val="0"/>
              <w:suppressLineNumbers w:val="0"/>
              <w:spacing w:before="0" w:beforeAutospacing="0" w:after="0" w:afterAutospacing="0"/>
              <w:ind w:left="0" w:right="0"/>
              <w:jc w:val="center"/>
              <w:rPr>
                <w:rFonts w:hint="default"/>
              </w:rPr>
            </w:pPr>
          </w:p>
        </w:tc>
        <w:tc>
          <w:tcPr>
            <w:tcW w:w="990" w:type="dxa"/>
            <w:vAlign w:val="center"/>
          </w:tcPr>
          <w:p w14:paraId="0A5DC4D5">
            <w:pPr>
              <w:keepNext w:val="0"/>
              <w:keepLines w:val="0"/>
              <w:suppressLineNumbers w:val="0"/>
              <w:spacing w:before="0" w:beforeAutospacing="0" w:after="0" w:afterAutospacing="0"/>
              <w:ind w:left="0" w:right="0"/>
              <w:jc w:val="center"/>
              <w:rPr>
                <w:rFonts w:hint="default"/>
              </w:rPr>
            </w:pPr>
          </w:p>
        </w:tc>
        <w:tc>
          <w:tcPr>
            <w:tcW w:w="990" w:type="dxa"/>
            <w:vAlign w:val="center"/>
          </w:tcPr>
          <w:p w14:paraId="02A4B03C">
            <w:pPr>
              <w:keepNext w:val="0"/>
              <w:keepLines w:val="0"/>
              <w:suppressLineNumbers w:val="0"/>
              <w:spacing w:before="0" w:beforeAutospacing="0" w:after="0" w:afterAutospacing="0"/>
              <w:ind w:left="0" w:right="0"/>
              <w:jc w:val="center"/>
              <w:rPr>
                <w:rFonts w:hint="default"/>
              </w:rPr>
            </w:pPr>
          </w:p>
        </w:tc>
        <w:tc>
          <w:tcPr>
            <w:tcW w:w="750" w:type="dxa"/>
            <w:vAlign w:val="center"/>
          </w:tcPr>
          <w:p w14:paraId="10A066A4">
            <w:pPr>
              <w:keepNext w:val="0"/>
              <w:keepLines w:val="0"/>
              <w:suppressLineNumbers w:val="0"/>
              <w:spacing w:before="0" w:beforeAutospacing="0" w:after="0" w:afterAutospacing="0"/>
              <w:ind w:left="0" w:right="0"/>
              <w:jc w:val="center"/>
              <w:rPr>
                <w:rFonts w:hint="default"/>
              </w:rPr>
            </w:pPr>
          </w:p>
        </w:tc>
        <w:tc>
          <w:tcPr>
            <w:tcW w:w="750" w:type="dxa"/>
            <w:vAlign w:val="center"/>
          </w:tcPr>
          <w:p w14:paraId="5D4CA23D">
            <w:pPr>
              <w:keepNext w:val="0"/>
              <w:keepLines w:val="0"/>
              <w:suppressLineNumbers w:val="0"/>
              <w:spacing w:before="0" w:beforeAutospacing="0" w:after="0" w:afterAutospacing="0"/>
              <w:ind w:left="0" w:right="0"/>
              <w:jc w:val="center"/>
              <w:rPr>
                <w:rFonts w:hint="default"/>
              </w:rPr>
            </w:pPr>
          </w:p>
        </w:tc>
        <w:tc>
          <w:tcPr>
            <w:tcW w:w="870" w:type="dxa"/>
            <w:vAlign w:val="center"/>
          </w:tcPr>
          <w:p w14:paraId="7B558961">
            <w:pPr>
              <w:keepNext w:val="0"/>
              <w:keepLines w:val="0"/>
              <w:suppressLineNumbers w:val="0"/>
              <w:spacing w:before="0" w:beforeAutospacing="0" w:after="0" w:afterAutospacing="0"/>
              <w:ind w:left="0" w:right="0"/>
              <w:jc w:val="center"/>
              <w:rPr>
                <w:rFonts w:hint="default"/>
              </w:rPr>
            </w:pPr>
          </w:p>
        </w:tc>
        <w:tc>
          <w:tcPr>
            <w:tcW w:w="1020" w:type="dxa"/>
            <w:vAlign w:val="center"/>
          </w:tcPr>
          <w:p w14:paraId="7E193032">
            <w:pPr>
              <w:keepNext w:val="0"/>
              <w:keepLines w:val="0"/>
              <w:suppressLineNumbers w:val="0"/>
              <w:spacing w:before="0" w:beforeAutospacing="0" w:after="0" w:afterAutospacing="0"/>
              <w:ind w:left="0" w:right="0"/>
              <w:jc w:val="center"/>
              <w:rPr>
                <w:rFonts w:hint="default"/>
              </w:rPr>
            </w:pPr>
          </w:p>
        </w:tc>
        <w:tc>
          <w:tcPr>
            <w:tcW w:w="968" w:type="dxa"/>
            <w:vAlign w:val="center"/>
          </w:tcPr>
          <w:p w14:paraId="50C0846A">
            <w:pPr>
              <w:keepNext w:val="0"/>
              <w:keepLines w:val="0"/>
              <w:suppressLineNumbers w:val="0"/>
              <w:spacing w:before="0" w:beforeAutospacing="0" w:after="0" w:afterAutospacing="0"/>
              <w:ind w:left="0" w:right="0"/>
              <w:jc w:val="center"/>
              <w:rPr>
                <w:rFonts w:hint="default"/>
              </w:rPr>
            </w:pPr>
          </w:p>
        </w:tc>
        <w:tc>
          <w:tcPr>
            <w:tcW w:w="725" w:type="dxa"/>
            <w:vAlign w:val="center"/>
          </w:tcPr>
          <w:p w14:paraId="1AB98162">
            <w:pPr>
              <w:keepNext w:val="0"/>
              <w:keepLines w:val="0"/>
              <w:suppressLineNumbers w:val="0"/>
              <w:spacing w:before="0" w:beforeAutospacing="0" w:after="0" w:afterAutospacing="0"/>
              <w:ind w:left="0" w:right="0"/>
              <w:jc w:val="center"/>
              <w:rPr>
                <w:rFonts w:hint="default"/>
              </w:rPr>
            </w:pPr>
          </w:p>
        </w:tc>
      </w:tr>
      <w:tr w14:paraId="47AF0E8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1534" w:type="dxa"/>
            <w:vAlign w:val="center"/>
          </w:tcPr>
          <w:p w14:paraId="137BEBF6">
            <w:pPr>
              <w:keepNext w:val="0"/>
              <w:keepLines w:val="0"/>
              <w:suppressLineNumbers w:val="0"/>
              <w:spacing w:before="0" w:beforeAutospacing="0" w:after="0" w:afterAutospacing="0"/>
              <w:ind w:left="0" w:right="0"/>
              <w:jc w:val="center"/>
              <w:rPr>
                <w:rFonts w:hint="eastAsia" w:eastAsiaTheme="minorEastAsia"/>
                <w:lang w:val="en-US" w:eastAsia="zh-CN"/>
              </w:rPr>
            </w:pPr>
            <w:r>
              <w:rPr>
                <w:rFonts w:hint="eastAsia"/>
                <w:lang w:val="en-US" w:eastAsia="zh-CN"/>
              </w:rPr>
              <w:t>4</w:t>
            </w:r>
          </w:p>
        </w:tc>
        <w:tc>
          <w:tcPr>
            <w:tcW w:w="1050" w:type="dxa"/>
            <w:vAlign w:val="center"/>
          </w:tcPr>
          <w:p w14:paraId="7C2988EE">
            <w:pPr>
              <w:keepNext w:val="0"/>
              <w:keepLines w:val="0"/>
              <w:suppressLineNumbers w:val="0"/>
              <w:spacing w:before="0" w:beforeAutospacing="0" w:after="0" w:afterAutospacing="0"/>
              <w:ind w:left="0" w:right="0"/>
              <w:jc w:val="center"/>
              <w:rPr>
                <w:rFonts w:hint="default"/>
              </w:rPr>
            </w:pPr>
          </w:p>
        </w:tc>
        <w:tc>
          <w:tcPr>
            <w:tcW w:w="990" w:type="dxa"/>
            <w:vAlign w:val="center"/>
          </w:tcPr>
          <w:p w14:paraId="29A2E49B">
            <w:pPr>
              <w:keepNext w:val="0"/>
              <w:keepLines w:val="0"/>
              <w:suppressLineNumbers w:val="0"/>
              <w:spacing w:before="0" w:beforeAutospacing="0" w:after="0" w:afterAutospacing="0"/>
              <w:ind w:left="0" w:right="0"/>
              <w:jc w:val="center"/>
              <w:rPr>
                <w:rFonts w:hint="default"/>
              </w:rPr>
            </w:pPr>
          </w:p>
        </w:tc>
        <w:tc>
          <w:tcPr>
            <w:tcW w:w="990" w:type="dxa"/>
            <w:vAlign w:val="center"/>
          </w:tcPr>
          <w:p w14:paraId="63DDBB0D">
            <w:pPr>
              <w:keepNext w:val="0"/>
              <w:keepLines w:val="0"/>
              <w:suppressLineNumbers w:val="0"/>
              <w:spacing w:before="0" w:beforeAutospacing="0" w:after="0" w:afterAutospacing="0"/>
              <w:ind w:left="0" w:right="0"/>
              <w:jc w:val="center"/>
              <w:rPr>
                <w:rFonts w:hint="default"/>
              </w:rPr>
            </w:pPr>
          </w:p>
        </w:tc>
        <w:tc>
          <w:tcPr>
            <w:tcW w:w="990" w:type="dxa"/>
            <w:vAlign w:val="center"/>
          </w:tcPr>
          <w:p w14:paraId="595942C9">
            <w:pPr>
              <w:keepNext w:val="0"/>
              <w:keepLines w:val="0"/>
              <w:suppressLineNumbers w:val="0"/>
              <w:spacing w:before="0" w:beforeAutospacing="0" w:after="0" w:afterAutospacing="0"/>
              <w:ind w:left="0" w:right="0"/>
              <w:jc w:val="center"/>
              <w:rPr>
                <w:rFonts w:hint="default"/>
              </w:rPr>
            </w:pPr>
          </w:p>
        </w:tc>
        <w:tc>
          <w:tcPr>
            <w:tcW w:w="750" w:type="dxa"/>
            <w:vAlign w:val="center"/>
          </w:tcPr>
          <w:p w14:paraId="097E2DB7">
            <w:pPr>
              <w:keepNext w:val="0"/>
              <w:keepLines w:val="0"/>
              <w:suppressLineNumbers w:val="0"/>
              <w:spacing w:before="0" w:beforeAutospacing="0" w:after="0" w:afterAutospacing="0"/>
              <w:ind w:left="0" w:right="0"/>
              <w:jc w:val="center"/>
              <w:rPr>
                <w:rFonts w:hint="default"/>
              </w:rPr>
            </w:pPr>
          </w:p>
        </w:tc>
        <w:tc>
          <w:tcPr>
            <w:tcW w:w="750" w:type="dxa"/>
            <w:vAlign w:val="center"/>
          </w:tcPr>
          <w:p w14:paraId="4721C0F4">
            <w:pPr>
              <w:keepNext w:val="0"/>
              <w:keepLines w:val="0"/>
              <w:suppressLineNumbers w:val="0"/>
              <w:spacing w:before="0" w:beforeAutospacing="0" w:after="0" w:afterAutospacing="0"/>
              <w:ind w:left="0" w:right="0"/>
              <w:jc w:val="center"/>
              <w:rPr>
                <w:rFonts w:hint="default"/>
              </w:rPr>
            </w:pPr>
          </w:p>
        </w:tc>
        <w:tc>
          <w:tcPr>
            <w:tcW w:w="870" w:type="dxa"/>
            <w:vAlign w:val="center"/>
          </w:tcPr>
          <w:p w14:paraId="06F59F69">
            <w:pPr>
              <w:keepNext w:val="0"/>
              <w:keepLines w:val="0"/>
              <w:suppressLineNumbers w:val="0"/>
              <w:spacing w:before="0" w:beforeAutospacing="0" w:after="0" w:afterAutospacing="0"/>
              <w:ind w:left="0" w:right="0"/>
              <w:jc w:val="center"/>
              <w:rPr>
                <w:rFonts w:hint="default"/>
              </w:rPr>
            </w:pPr>
          </w:p>
        </w:tc>
        <w:tc>
          <w:tcPr>
            <w:tcW w:w="1020" w:type="dxa"/>
            <w:vAlign w:val="center"/>
          </w:tcPr>
          <w:p w14:paraId="7033E8FE">
            <w:pPr>
              <w:keepNext w:val="0"/>
              <w:keepLines w:val="0"/>
              <w:suppressLineNumbers w:val="0"/>
              <w:spacing w:before="0" w:beforeAutospacing="0" w:after="0" w:afterAutospacing="0"/>
              <w:ind w:left="0" w:right="0"/>
              <w:jc w:val="center"/>
              <w:rPr>
                <w:rFonts w:hint="default"/>
              </w:rPr>
            </w:pPr>
          </w:p>
        </w:tc>
        <w:tc>
          <w:tcPr>
            <w:tcW w:w="968" w:type="dxa"/>
            <w:vAlign w:val="center"/>
          </w:tcPr>
          <w:p w14:paraId="190F58CD">
            <w:pPr>
              <w:keepNext w:val="0"/>
              <w:keepLines w:val="0"/>
              <w:suppressLineNumbers w:val="0"/>
              <w:spacing w:before="0" w:beforeAutospacing="0" w:after="0" w:afterAutospacing="0"/>
              <w:ind w:left="0" w:right="0"/>
              <w:jc w:val="center"/>
              <w:rPr>
                <w:rFonts w:hint="default"/>
              </w:rPr>
            </w:pPr>
          </w:p>
        </w:tc>
        <w:tc>
          <w:tcPr>
            <w:tcW w:w="725" w:type="dxa"/>
            <w:vAlign w:val="center"/>
          </w:tcPr>
          <w:p w14:paraId="0069FDC3">
            <w:pPr>
              <w:keepNext w:val="0"/>
              <w:keepLines w:val="0"/>
              <w:suppressLineNumbers w:val="0"/>
              <w:spacing w:before="0" w:beforeAutospacing="0" w:after="0" w:afterAutospacing="0"/>
              <w:ind w:left="0" w:right="0"/>
              <w:jc w:val="center"/>
              <w:rPr>
                <w:rFonts w:hint="default"/>
              </w:rPr>
            </w:pPr>
          </w:p>
        </w:tc>
      </w:tr>
      <w:tr w14:paraId="304F650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1534" w:type="dxa"/>
            <w:vAlign w:val="center"/>
          </w:tcPr>
          <w:p w14:paraId="3D46894B">
            <w:pPr>
              <w:keepNext w:val="0"/>
              <w:keepLines w:val="0"/>
              <w:suppressLineNumbers w:val="0"/>
              <w:spacing w:before="0" w:beforeAutospacing="0" w:after="0" w:afterAutospacing="0"/>
              <w:ind w:left="0" w:right="0"/>
              <w:jc w:val="center"/>
              <w:rPr>
                <w:rFonts w:hint="eastAsia"/>
              </w:rPr>
            </w:pPr>
            <w:r>
              <w:rPr>
                <w:rFonts w:hint="eastAsia"/>
              </w:rPr>
              <w:t>……</w:t>
            </w:r>
          </w:p>
        </w:tc>
        <w:tc>
          <w:tcPr>
            <w:tcW w:w="1050" w:type="dxa"/>
            <w:vAlign w:val="center"/>
          </w:tcPr>
          <w:p w14:paraId="6D7736AA">
            <w:pPr>
              <w:keepNext w:val="0"/>
              <w:keepLines w:val="0"/>
              <w:suppressLineNumbers w:val="0"/>
              <w:spacing w:before="0" w:beforeAutospacing="0" w:after="0" w:afterAutospacing="0"/>
              <w:ind w:left="0" w:right="0"/>
              <w:jc w:val="center"/>
              <w:rPr>
                <w:rFonts w:hint="default"/>
              </w:rPr>
            </w:pPr>
          </w:p>
        </w:tc>
        <w:tc>
          <w:tcPr>
            <w:tcW w:w="990" w:type="dxa"/>
            <w:vAlign w:val="center"/>
          </w:tcPr>
          <w:p w14:paraId="1CE8CDF5">
            <w:pPr>
              <w:keepNext w:val="0"/>
              <w:keepLines w:val="0"/>
              <w:suppressLineNumbers w:val="0"/>
              <w:spacing w:before="0" w:beforeAutospacing="0" w:after="0" w:afterAutospacing="0"/>
              <w:ind w:left="0" w:right="0"/>
              <w:jc w:val="center"/>
              <w:rPr>
                <w:rFonts w:hint="default"/>
              </w:rPr>
            </w:pPr>
          </w:p>
        </w:tc>
        <w:tc>
          <w:tcPr>
            <w:tcW w:w="990" w:type="dxa"/>
            <w:vAlign w:val="center"/>
          </w:tcPr>
          <w:p w14:paraId="0A436446">
            <w:pPr>
              <w:keepNext w:val="0"/>
              <w:keepLines w:val="0"/>
              <w:suppressLineNumbers w:val="0"/>
              <w:spacing w:before="0" w:beforeAutospacing="0" w:after="0" w:afterAutospacing="0"/>
              <w:ind w:left="0" w:right="0"/>
              <w:jc w:val="center"/>
              <w:rPr>
                <w:rFonts w:hint="default"/>
              </w:rPr>
            </w:pPr>
          </w:p>
        </w:tc>
        <w:tc>
          <w:tcPr>
            <w:tcW w:w="990" w:type="dxa"/>
            <w:vAlign w:val="center"/>
          </w:tcPr>
          <w:p w14:paraId="481910AB">
            <w:pPr>
              <w:keepNext w:val="0"/>
              <w:keepLines w:val="0"/>
              <w:suppressLineNumbers w:val="0"/>
              <w:spacing w:before="0" w:beforeAutospacing="0" w:after="0" w:afterAutospacing="0"/>
              <w:ind w:left="0" w:right="0"/>
              <w:jc w:val="center"/>
              <w:rPr>
                <w:rFonts w:hint="default"/>
              </w:rPr>
            </w:pPr>
          </w:p>
        </w:tc>
        <w:tc>
          <w:tcPr>
            <w:tcW w:w="750" w:type="dxa"/>
            <w:vAlign w:val="center"/>
          </w:tcPr>
          <w:p w14:paraId="793DB9AB">
            <w:pPr>
              <w:keepNext w:val="0"/>
              <w:keepLines w:val="0"/>
              <w:suppressLineNumbers w:val="0"/>
              <w:spacing w:before="0" w:beforeAutospacing="0" w:after="0" w:afterAutospacing="0"/>
              <w:ind w:left="0" w:right="0"/>
              <w:jc w:val="center"/>
              <w:rPr>
                <w:rFonts w:hint="default"/>
              </w:rPr>
            </w:pPr>
          </w:p>
        </w:tc>
        <w:tc>
          <w:tcPr>
            <w:tcW w:w="750" w:type="dxa"/>
            <w:vAlign w:val="center"/>
          </w:tcPr>
          <w:p w14:paraId="0443F67B">
            <w:pPr>
              <w:keepNext w:val="0"/>
              <w:keepLines w:val="0"/>
              <w:suppressLineNumbers w:val="0"/>
              <w:spacing w:before="0" w:beforeAutospacing="0" w:after="0" w:afterAutospacing="0"/>
              <w:ind w:left="0" w:right="0"/>
              <w:jc w:val="center"/>
              <w:rPr>
                <w:rFonts w:hint="default"/>
              </w:rPr>
            </w:pPr>
          </w:p>
        </w:tc>
        <w:tc>
          <w:tcPr>
            <w:tcW w:w="870" w:type="dxa"/>
            <w:vAlign w:val="center"/>
          </w:tcPr>
          <w:p w14:paraId="572BDF3D">
            <w:pPr>
              <w:keepNext w:val="0"/>
              <w:keepLines w:val="0"/>
              <w:suppressLineNumbers w:val="0"/>
              <w:spacing w:before="0" w:beforeAutospacing="0" w:after="0" w:afterAutospacing="0"/>
              <w:ind w:left="0" w:right="0"/>
              <w:jc w:val="center"/>
              <w:rPr>
                <w:rFonts w:hint="default"/>
              </w:rPr>
            </w:pPr>
          </w:p>
        </w:tc>
        <w:tc>
          <w:tcPr>
            <w:tcW w:w="1020" w:type="dxa"/>
            <w:vAlign w:val="center"/>
          </w:tcPr>
          <w:p w14:paraId="0D5FDA0D">
            <w:pPr>
              <w:keepNext w:val="0"/>
              <w:keepLines w:val="0"/>
              <w:suppressLineNumbers w:val="0"/>
              <w:spacing w:before="0" w:beforeAutospacing="0" w:after="0" w:afterAutospacing="0"/>
              <w:ind w:left="0" w:right="0"/>
              <w:jc w:val="center"/>
              <w:rPr>
                <w:rFonts w:hint="default"/>
              </w:rPr>
            </w:pPr>
          </w:p>
        </w:tc>
        <w:tc>
          <w:tcPr>
            <w:tcW w:w="968" w:type="dxa"/>
            <w:vAlign w:val="center"/>
          </w:tcPr>
          <w:p w14:paraId="4386A38B">
            <w:pPr>
              <w:keepNext w:val="0"/>
              <w:keepLines w:val="0"/>
              <w:suppressLineNumbers w:val="0"/>
              <w:spacing w:before="0" w:beforeAutospacing="0" w:after="0" w:afterAutospacing="0"/>
              <w:ind w:left="0" w:right="0"/>
              <w:jc w:val="center"/>
              <w:rPr>
                <w:rFonts w:hint="default"/>
              </w:rPr>
            </w:pPr>
          </w:p>
        </w:tc>
        <w:tc>
          <w:tcPr>
            <w:tcW w:w="725" w:type="dxa"/>
            <w:vAlign w:val="center"/>
          </w:tcPr>
          <w:p w14:paraId="3AE151F1">
            <w:pPr>
              <w:keepNext w:val="0"/>
              <w:keepLines w:val="0"/>
              <w:suppressLineNumbers w:val="0"/>
              <w:spacing w:before="0" w:beforeAutospacing="0" w:after="0" w:afterAutospacing="0"/>
              <w:ind w:left="0" w:right="0"/>
              <w:jc w:val="center"/>
              <w:rPr>
                <w:rFonts w:hint="default"/>
              </w:rPr>
            </w:pPr>
          </w:p>
        </w:tc>
      </w:tr>
      <w:tr w14:paraId="7C2BA2D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1534" w:type="dxa"/>
            <w:vAlign w:val="center"/>
          </w:tcPr>
          <w:p w14:paraId="299453B2">
            <w:pPr>
              <w:keepNext w:val="0"/>
              <w:keepLines w:val="0"/>
              <w:suppressLineNumbers w:val="0"/>
              <w:spacing w:before="0" w:beforeAutospacing="0" w:after="0" w:afterAutospacing="0"/>
              <w:ind w:left="0" w:right="0"/>
              <w:jc w:val="center"/>
              <w:rPr>
                <w:rFonts w:hint="eastAsia" w:ascii="宋体" w:hAnsi="宋体" w:eastAsiaTheme="minorEastAsia"/>
                <w:lang w:eastAsia="zh-CN"/>
              </w:rPr>
            </w:pPr>
            <w:r>
              <w:rPr>
                <w:rFonts w:hint="eastAsia" w:ascii="宋体" w:hAnsi="宋体"/>
              </w:rPr>
              <w:t>总计</w:t>
            </w:r>
          </w:p>
        </w:tc>
        <w:tc>
          <w:tcPr>
            <w:tcW w:w="9103" w:type="dxa"/>
            <w:gridSpan w:val="10"/>
            <w:vAlign w:val="center"/>
          </w:tcPr>
          <w:p w14:paraId="44A20969">
            <w:pPr>
              <w:keepNext w:val="0"/>
              <w:keepLines w:val="0"/>
              <w:suppressLineNumbers w:val="0"/>
              <w:spacing w:before="0" w:beforeAutospacing="0" w:after="0" w:afterAutospacing="0"/>
              <w:ind w:left="0" w:right="0"/>
              <w:rPr>
                <w:rFonts w:hint="default"/>
              </w:rPr>
            </w:pPr>
            <w:r>
              <w:rPr>
                <w:rFonts w:hint="eastAsia"/>
                <w:lang w:val="en-US" w:eastAsia="zh-CN"/>
              </w:rPr>
              <w:t>小写：</w:t>
            </w:r>
            <w:r>
              <w:rPr>
                <w:rFonts w:hint="eastAsia"/>
              </w:rPr>
              <w:t xml:space="preserve">            </w:t>
            </w:r>
            <w:r>
              <w:rPr>
                <w:rFonts w:hint="eastAsia"/>
                <w:lang w:val="en-US" w:eastAsia="zh-CN"/>
              </w:rPr>
              <w:t xml:space="preserve">      </w:t>
            </w:r>
            <w:r>
              <w:rPr>
                <w:rFonts w:hint="eastAsia"/>
              </w:rPr>
              <w:t>大写：</w:t>
            </w:r>
          </w:p>
        </w:tc>
      </w:tr>
    </w:tbl>
    <w:p w14:paraId="74DB6181">
      <w:pPr>
        <w:widowControl/>
        <w:wordWrap w:val="0"/>
        <w:spacing w:line="360" w:lineRule="auto"/>
        <w:jc w:val="left"/>
        <w:rPr>
          <w:rFonts w:ascii="ˎ̥" w:hAnsi="ˎ̥" w:cs="宋体"/>
          <w:kern w:val="0"/>
          <w:sz w:val="18"/>
          <w:szCs w:val="18"/>
        </w:rPr>
      </w:pPr>
    </w:p>
    <w:p w14:paraId="6AA29BC1">
      <w:pPr>
        <w:pStyle w:val="7"/>
      </w:pPr>
    </w:p>
    <w:p w14:paraId="14D6F199">
      <w:pPr>
        <w:spacing w:line="360" w:lineRule="auto"/>
        <w:rPr>
          <w:b/>
          <w:bCs/>
          <w:sz w:val="24"/>
        </w:rPr>
      </w:pPr>
      <w:r>
        <w:rPr>
          <w:rFonts w:hint="eastAsia"/>
          <w:b/>
          <w:bCs/>
          <w:sz w:val="24"/>
          <w:lang w:val="en-US" w:eastAsia="zh-CN"/>
        </w:rPr>
        <w:t>投标人签字：</w:t>
      </w:r>
      <w:r>
        <w:rPr>
          <w:rFonts w:hint="eastAsia"/>
          <w:b/>
          <w:bCs/>
          <w:sz w:val="24"/>
          <w:u w:val="single"/>
          <w:lang w:val="en-US" w:eastAsia="zh-CN"/>
        </w:rPr>
        <w:t xml:space="preserve">                     </w:t>
      </w:r>
    </w:p>
    <w:p w14:paraId="32FD1D14">
      <w:pPr>
        <w:spacing w:line="360" w:lineRule="auto"/>
        <w:rPr>
          <w:sz w:val="24"/>
        </w:rPr>
      </w:pPr>
      <w:r>
        <w:rPr>
          <w:rFonts w:hint="eastAsia"/>
          <w:b/>
          <w:bCs/>
          <w:sz w:val="24"/>
        </w:rPr>
        <w:t>投标人单位名称：</w:t>
      </w:r>
      <w:r>
        <w:rPr>
          <w:rFonts w:hint="eastAsia"/>
          <w:sz w:val="24"/>
          <w:u w:val="single"/>
        </w:rPr>
        <w:t xml:space="preserve">                            </w:t>
      </w:r>
      <w:r>
        <w:rPr>
          <w:rFonts w:hint="eastAsia"/>
          <w:sz w:val="24"/>
        </w:rPr>
        <w:t xml:space="preserve"> </w:t>
      </w:r>
    </w:p>
    <w:p w14:paraId="758704B5">
      <w:pPr>
        <w:spacing w:line="360" w:lineRule="auto"/>
        <w:rPr>
          <w:rFonts w:ascii="宋体" w:hAnsi="宋体"/>
          <w:b/>
          <w:bCs/>
          <w:sz w:val="24"/>
        </w:rPr>
      </w:pPr>
      <w:r>
        <w:rPr>
          <w:rFonts w:hint="eastAsia" w:ascii="宋体" w:hAnsi="宋体"/>
          <w:b/>
          <w:bCs/>
          <w:sz w:val="24"/>
        </w:rPr>
        <w:t>日期：</w:t>
      </w:r>
      <w:r>
        <w:rPr>
          <w:rFonts w:hint="eastAsia" w:ascii="宋体" w:hAnsi="宋体"/>
          <w:b/>
          <w:bCs/>
          <w:sz w:val="24"/>
          <w:u w:val="single"/>
        </w:rPr>
        <w:t xml:space="preserve">       </w:t>
      </w:r>
      <w:r>
        <w:rPr>
          <w:rFonts w:hint="eastAsia" w:ascii="宋体" w:hAnsi="宋体"/>
          <w:b/>
          <w:bCs/>
          <w:sz w:val="24"/>
        </w:rPr>
        <w:t>年</w:t>
      </w:r>
      <w:r>
        <w:rPr>
          <w:rFonts w:hint="eastAsia" w:ascii="宋体" w:hAnsi="宋体"/>
          <w:b/>
          <w:bCs/>
          <w:sz w:val="24"/>
          <w:u w:val="single"/>
        </w:rPr>
        <w:t xml:space="preserve">     </w:t>
      </w:r>
      <w:r>
        <w:rPr>
          <w:rFonts w:hint="eastAsia" w:ascii="宋体" w:hAnsi="宋体"/>
          <w:b/>
          <w:bCs/>
          <w:sz w:val="24"/>
        </w:rPr>
        <w:t>月</w:t>
      </w:r>
      <w:r>
        <w:rPr>
          <w:rFonts w:hint="eastAsia" w:ascii="宋体" w:hAnsi="宋体"/>
          <w:b/>
          <w:bCs/>
          <w:sz w:val="24"/>
          <w:u w:val="single"/>
        </w:rPr>
        <w:t xml:space="preserve">    </w:t>
      </w:r>
      <w:r>
        <w:rPr>
          <w:rFonts w:hint="eastAsia" w:ascii="宋体" w:hAnsi="宋体"/>
          <w:b/>
          <w:bCs/>
          <w:sz w:val="24"/>
        </w:rPr>
        <w:t>日</w:t>
      </w:r>
    </w:p>
    <w:p w14:paraId="4E0D3D7E">
      <w:pPr>
        <w:spacing w:line="360" w:lineRule="auto"/>
        <w:outlineLvl w:val="9"/>
        <w:rPr>
          <w:sz w:val="24"/>
        </w:rPr>
      </w:pPr>
      <w:r>
        <w:rPr>
          <w:rFonts w:hint="eastAsia"/>
          <w:b/>
          <w:sz w:val="24"/>
        </w:rPr>
        <w:t>（此处加盖投标人单位公章）</w:t>
      </w:r>
    </w:p>
    <w:p w14:paraId="2F80012B">
      <w:pPr>
        <w:tabs>
          <w:tab w:val="left" w:pos="567"/>
        </w:tabs>
        <w:snapToGrid w:val="0"/>
        <w:spacing w:line="360" w:lineRule="auto"/>
        <w:rPr>
          <w:rFonts w:ascii="宋体" w:hAnsi="宋体"/>
        </w:rPr>
      </w:pPr>
    </w:p>
    <w:p w14:paraId="7578DAC9">
      <w:pPr>
        <w:tabs>
          <w:tab w:val="left" w:pos="567"/>
        </w:tabs>
        <w:snapToGrid w:val="0"/>
        <w:spacing w:line="360" w:lineRule="auto"/>
        <w:rPr>
          <w:rFonts w:ascii="宋体" w:hAnsi="宋体"/>
        </w:rPr>
      </w:pPr>
      <w:r>
        <w:rPr>
          <w:rFonts w:hint="eastAsia" w:ascii="宋体" w:hAnsi="宋体"/>
        </w:rPr>
        <w:t>注：</w:t>
      </w:r>
    </w:p>
    <w:p w14:paraId="10109930">
      <w:pPr>
        <w:numPr>
          <w:ilvl w:val="1"/>
          <w:numId w:val="14"/>
        </w:numPr>
        <w:tabs>
          <w:tab w:val="left" w:pos="0"/>
          <w:tab w:val="clear" w:pos="1620"/>
        </w:tabs>
        <w:snapToGrid w:val="0"/>
        <w:spacing w:line="360" w:lineRule="auto"/>
        <w:ind w:left="0" w:firstLine="0"/>
        <w:rPr>
          <w:rFonts w:ascii="宋体" w:hAnsi="宋体"/>
        </w:rPr>
      </w:pPr>
      <w:r>
        <w:rPr>
          <w:rFonts w:hint="eastAsia" w:ascii="宋体" w:hAnsi="宋体"/>
        </w:rPr>
        <w:t>此表为《开标一览表(报价表)》的报价明细表。</w:t>
      </w:r>
    </w:p>
    <w:p w14:paraId="60C88164">
      <w:pPr>
        <w:numPr>
          <w:ilvl w:val="1"/>
          <w:numId w:val="14"/>
        </w:numPr>
        <w:tabs>
          <w:tab w:val="left" w:pos="0"/>
          <w:tab w:val="clear" w:pos="1620"/>
        </w:tabs>
        <w:snapToGrid w:val="0"/>
        <w:spacing w:line="360" w:lineRule="auto"/>
        <w:ind w:left="0" w:firstLine="0"/>
        <w:rPr>
          <w:rFonts w:ascii="宋体" w:hAnsi="宋体"/>
        </w:rPr>
      </w:pPr>
      <w:r>
        <w:rPr>
          <w:rFonts w:hint="eastAsia" w:ascii="宋体" w:hAnsi="宋体"/>
        </w:rPr>
        <w:t>所有价格均以人民币作为货币单位填写及计算。</w:t>
      </w:r>
    </w:p>
    <w:p w14:paraId="08644903">
      <w:pPr>
        <w:numPr>
          <w:ilvl w:val="1"/>
          <w:numId w:val="14"/>
        </w:numPr>
        <w:tabs>
          <w:tab w:val="left" w:pos="0"/>
          <w:tab w:val="clear" w:pos="1620"/>
        </w:tabs>
        <w:snapToGrid w:val="0"/>
        <w:spacing w:line="360" w:lineRule="auto"/>
        <w:ind w:left="0" w:firstLine="0"/>
        <w:rPr>
          <w:rFonts w:ascii="宋体" w:hAnsi="宋体"/>
        </w:rPr>
      </w:pPr>
      <w:r>
        <w:rPr>
          <w:rFonts w:hint="eastAsia" w:ascii="宋体" w:hAnsi="宋体"/>
        </w:rPr>
        <w:t>该表格式仅作参考，投标人的详细报价表格式可自定。</w:t>
      </w:r>
    </w:p>
    <w:p w14:paraId="4B3DAAF6">
      <w:pPr>
        <w:numPr>
          <w:ilvl w:val="1"/>
          <w:numId w:val="14"/>
        </w:numPr>
        <w:tabs>
          <w:tab w:val="left" w:pos="0"/>
          <w:tab w:val="clear" w:pos="1620"/>
        </w:tabs>
        <w:snapToGrid w:val="0"/>
        <w:spacing w:line="360" w:lineRule="auto"/>
        <w:ind w:left="0" w:firstLine="0"/>
        <w:rPr>
          <w:rFonts w:ascii="宋体" w:hAnsi="宋体"/>
        </w:rPr>
      </w:pPr>
      <w:r>
        <w:rPr>
          <w:rFonts w:hint="eastAsia" w:ascii="宋体" w:hAnsi="宋体"/>
        </w:rPr>
        <w:t>若投标报价</w:t>
      </w:r>
      <w:r>
        <w:rPr>
          <w:rFonts w:hint="eastAsia" w:ascii="宋体" w:hAnsi="宋体"/>
          <w:lang w:val="en-US" w:eastAsia="zh-CN"/>
        </w:rPr>
        <w:t>明细</w:t>
      </w:r>
      <w:r>
        <w:rPr>
          <w:rFonts w:hint="eastAsia" w:ascii="宋体" w:hAnsi="宋体"/>
        </w:rPr>
        <w:t>表中大写金额和小</w:t>
      </w:r>
      <w:r>
        <w:rPr>
          <w:rFonts w:hint="eastAsia" w:asciiTheme="minorEastAsia" w:hAnsiTheme="minorEastAsia" w:eastAsiaTheme="minorEastAsia"/>
          <w:szCs w:val="21"/>
        </w:rPr>
        <w:t>写金额不一致的，以大写金额为准。</w:t>
      </w:r>
    </w:p>
    <w:p w14:paraId="024BF639">
      <w:pPr>
        <w:numPr>
          <w:ilvl w:val="1"/>
          <w:numId w:val="14"/>
        </w:numPr>
        <w:tabs>
          <w:tab w:val="left" w:pos="0"/>
          <w:tab w:val="clear" w:pos="1620"/>
        </w:tabs>
        <w:snapToGrid w:val="0"/>
        <w:spacing w:line="360" w:lineRule="auto"/>
        <w:ind w:left="0" w:firstLine="0"/>
        <w:rPr>
          <w:rFonts w:ascii="宋体" w:hAnsi="宋体"/>
        </w:rPr>
      </w:pPr>
      <w:r>
        <w:rPr>
          <w:rFonts w:hint="eastAsia" w:ascii="宋体" w:hAnsi="宋体"/>
          <w:lang w:val="en-US" w:eastAsia="zh-CN"/>
        </w:rPr>
        <w:t>如果投标人的产品不涉及委托代工生产的情形，则在“代工厂商”列填“/”；当产品委托代工生产时，在“代工厂商”按实际情况填写。</w:t>
      </w:r>
    </w:p>
    <w:p w14:paraId="57712ECD">
      <w:pPr>
        <w:pStyle w:val="4"/>
        <w:numPr>
          <w:ilvl w:val="0"/>
          <w:numId w:val="0"/>
        </w:numPr>
        <w:spacing w:line="240" w:lineRule="auto"/>
        <w:ind w:left="420" w:leftChars="0" w:hanging="420" w:firstLineChars="0"/>
        <w:jc w:val="center"/>
        <w:outlineLvl w:val="9"/>
        <w:rPr>
          <w:rFonts w:ascii="宋体" w:hAnsi="宋体"/>
          <w:color w:val="000000"/>
        </w:rPr>
      </w:pPr>
    </w:p>
    <w:p w14:paraId="37B42F00">
      <w:pPr>
        <w:rPr>
          <w:rFonts w:ascii="宋体" w:hAnsi="宋体"/>
          <w:color w:val="000000"/>
        </w:rPr>
      </w:pPr>
    </w:p>
    <w:p w14:paraId="48A26FD0">
      <w:pPr>
        <w:pStyle w:val="7"/>
        <w:rPr>
          <w:rFonts w:ascii="宋体" w:hAnsi="宋体"/>
          <w:color w:val="000000"/>
        </w:rPr>
      </w:pPr>
    </w:p>
    <w:p w14:paraId="1EE00335">
      <w:pPr>
        <w:rPr>
          <w:rFonts w:ascii="宋体" w:hAnsi="宋体"/>
          <w:color w:val="000000"/>
        </w:rPr>
      </w:pPr>
    </w:p>
    <w:p w14:paraId="074A18CC">
      <w:pPr>
        <w:pStyle w:val="7"/>
        <w:rPr>
          <w:rFonts w:ascii="宋体" w:hAnsi="宋体"/>
          <w:color w:val="000000"/>
        </w:rPr>
      </w:pPr>
    </w:p>
    <w:p w14:paraId="1EAF0F35">
      <w:pPr>
        <w:rPr>
          <w:rFonts w:ascii="宋体" w:hAnsi="宋体"/>
          <w:color w:val="000000"/>
        </w:rPr>
      </w:pPr>
    </w:p>
    <w:p w14:paraId="561C5F22">
      <w:pPr>
        <w:pStyle w:val="7"/>
        <w:rPr>
          <w:rFonts w:ascii="宋体" w:hAnsi="宋体"/>
          <w:color w:val="000000"/>
        </w:rPr>
      </w:pPr>
    </w:p>
    <w:p w14:paraId="4C5FED8B">
      <w:pPr>
        <w:pStyle w:val="12"/>
        <w:numPr>
          <w:ilvl w:val="0"/>
          <w:numId w:val="0"/>
        </w:numPr>
        <w:tabs>
          <w:tab w:val="left" w:pos="540"/>
        </w:tabs>
        <w:adjustRightInd w:val="0"/>
        <w:snapToGrid w:val="0"/>
        <w:spacing w:line="360" w:lineRule="auto"/>
        <w:rPr>
          <w:rFonts w:hint="default" w:ascii="宋体" w:hAnsi="宋体" w:eastAsia="宋体" w:cs="Times New Roman"/>
          <w:lang w:val="en-US" w:eastAsia="zh-CN"/>
        </w:rPr>
      </w:pPr>
    </w:p>
    <w:p w14:paraId="51884ACB">
      <w:pPr>
        <w:pStyle w:val="4"/>
        <w:numPr>
          <w:ilvl w:val="0"/>
          <w:numId w:val="0"/>
        </w:numPr>
        <w:spacing w:line="240" w:lineRule="auto"/>
        <w:ind w:left="420" w:leftChars="0" w:hanging="420" w:firstLineChars="0"/>
        <w:jc w:val="center"/>
        <w:outlineLvl w:val="0"/>
        <w:rPr>
          <w:rFonts w:hint="eastAsia" w:asciiTheme="majorEastAsia" w:hAnsiTheme="majorEastAsia" w:eastAsiaTheme="majorEastAsia"/>
          <w:sz w:val="30"/>
          <w:szCs w:val="30"/>
        </w:rPr>
      </w:pPr>
      <w:r>
        <w:rPr>
          <w:rFonts w:ascii="宋体" w:hAnsi="宋体"/>
          <w:color w:val="000000"/>
        </w:rPr>
        <w:br w:type="page"/>
      </w:r>
      <w:bookmarkStart w:id="47" w:name="_Toc435514854"/>
      <w:bookmarkStart w:id="48" w:name="_Toc275865605"/>
      <w:bookmarkStart w:id="49" w:name="_Toc20322_WPSOffice_Level1"/>
      <w:bookmarkStart w:id="50" w:name="_Toc24434"/>
      <w:bookmarkStart w:id="51" w:name="_Toc1762"/>
      <w:bookmarkStart w:id="52" w:name="_Toc435515294"/>
      <w:bookmarkStart w:id="53" w:name="_Toc13521"/>
      <w:r>
        <w:rPr>
          <w:rFonts w:hint="eastAsia" w:asciiTheme="majorEastAsia" w:hAnsiTheme="majorEastAsia" w:eastAsiaTheme="majorEastAsia"/>
          <w:sz w:val="30"/>
          <w:szCs w:val="30"/>
          <w:lang w:eastAsia="zh-CN"/>
        </w:rPr>
        <w:t>（</w:t>
      </w:r>
      <w:r>
        <w:rPr>
          <w:rFonts w:hint="eastAsia" w:asciiTheme="majorEastAsia" w:hAnsiTheme="majorEastAsia" w:eastAsiaTheme="majorEastAsia"/>
          <w:sz w:val="30"/>
          <w:szCs w:val="30"/>
          <w:lang w:val="en-US" w:eastAsia="zh-CN"/>
        </w:rPr>
        <w:t>十一</w:t>
      </w:r>
      <w:r>
        <w:rPr>
          <w:rFonts w:hint="eastAsia" w:asciiTheme="majorEastAsia" w:hAnsiTheme="majorEastAsia" w:eastAsiaTheme="majorEastAsia"/>
          <w:sz w:val="30"/>
          <w:szCs w:val="30"/>
          <w:lang w:eastAsia="zh-CN"/>
        </w:rPr>
        <w:t>）</w:t>
      </w:r>
      <w:r>
        <w:rPr>
          <w:rFonts w:hint="eastAsia" w:asciiTheme="majorEastAsia" w:hAnsiTheme="majorEastAsia" w:eastAsiaTheme="majorEastAsia"/>
          <w:sz w:val="30"/>
          <w:szCs w:val="30"/>
        </w:rPr>
        <w:t>投标函</w:t>
      </w:r>
      <w:bookmarkEnd w:id="47"/>
      <w:bookmarkEnd w:id="48"/>
      <w:bookmarkEnd w:id="49"/>
      <w:bookmarkEnd w:id="50"/>
      <w:bookmarkEnd w:id="51"/>
      <w:bookmarkEnd w:id="52"/>
      <w:bookmarkEnd w:id="53"/>
    </w:p>
    <w:p w14:paraId="4F6C8FF7">
      <w:pPr>
        <w:spacing w:line="360" w:lineRule="auto"/>
        <w:ind w:left="105" w:leftChars="50" w:firstLine="2"/>
        <w:rPr>
          <w:rFonts w:hint="default" w:ascii="宋体" w:hAnsi="宋体" w:eastAsiaTheme="minorEastAsia"/>
          <w:b/>
          <w:lang w:val="en-US" w:eastAsia="zh-CN"/>
        </w:rPr>
      </w:pPr>
      <w:r>
        <w:rPr>
          <w:rFonts w:hint="eastAsia" w:ascii="宋体" w:hAnsi="宋体"/>
          <w:b/>
        </w:rPr>
        <w:t>致：</w:t>
      </w:r>
      <w:r>
        <w:rPr>
          <w:rFonts w:hint="eastAsia" w:ascii="宋体" w:hAnsi="宋体"/>
          <w:b/>
          <w:lang w:val="en-US" w:eastAsia="zh-CN"/>
        </w:rPr>
        <w:t>深圳市福田区第二人民医院</w:t>
      </w:r>
    </w:p>
    <w:p w14:paraId="3D608F84">
      <w:pPr>
        <w:spacing w:line="360" w:lineRule="auto"/>
        <w:ind w:left="105" w:leftChars="50" w:firstLine="373" w:firstLineChars="178"/>
        <w:rPr>
          <w:rFonts w:ascii="宋体" w:hAnsi="宋体"/>
        </w:rPr>
      </w:pPr>
      <w:r>
        <w:rPr>
          <w:rFonts w:hint="eastAsia" w:ascii="宋体" w:hAnsi="宋体"/>
        </w:rPr>
        <w:t>我方确认收到贵方</w:t>
      </w:r>
      <w:r>
        <w:rPr>
          <w:rFonts w:hint="eastAsia" w:ascii="宋体" w:hAnsi="宋体"/>
          <w:kern w:val="28"/>
          <w:u w:val="single"/>
        </w:rPr>
        <w:t xml:space="preserve">                   </w:t>
      </w:r>
      <w:r>
        <w:rPr>
          <w:rFonts w:hint="eastAsia" w:ascii="宋体" w:hAnsi="宋体"/>
          <w:kern w:val="28"/>
        </w:rPr>
        <w:t>采购</w:t>
      </w:r>
      <w:r>
        <w:rPr>
          <w:rFonts w:hint="eastAsia" w:ascii="宋体" w:hAnsi="宋体"/>
        </w:rPr>
        <w:t>货物及相关服务的</w:t>
      </w:r>
      <w:r>
        <w:rPr>
          <w:rFonts w:hint="eastAsia" w:ascii="宋体" w:hAnsi="宋体"/>
          <w:lang w:eastAsia="zh-CN"/>
        </w:rPr>
        <w:t>征集</w:t>
      </w:r>
      <w:r>
        <w:rPr>
          <w:rFonts w:hint="eastAsia" w:ascii="宋体" w:hAnsi="宋体"/>
        </w:rPr>
        <w:t>文件（项目编号：</w:t>
      </w:r>
      <w:r>
        <w:rPr>
          <w:rFonts w:hint="eastAsia" w:ascii="宋体" w:hAnsi="宋体"/>
          <w:lang w:val="en-US" w:eastAsia="zh-CN"/>
        </w:rPr>
        <w:t xml:space="preserve"> </w:t>
      </w:r>
      <w:r>
        <w:rPr>
          <w:rFonts w:hint="eastAsia" w:ascii="宋体" w:hAnsi="宋体"/>
          <w:u w:val="single"/>
          <w:lang w:val="en-US" w:eastAsia="zh-CN"/>
        </w:rPr>
        <w:t xml:space="preserve">                   </w:t>
      </w:r>
      <w:r>
        <w:rPr>
          <w:rFonts w:hint="eastAsia" w:ascii="宋体" w:hAnsi="宋体"/>
        </w:rPr>
        <w:t>），</w:t>
      </w:r>
      <w:r>
        <w:rPr>
          <w:rFonts w:hint="eastAsia" w:ascii="宋体" w:hAnsi="宋体"/>
          <w:u w:val="single"/>
        </w:rPr>
        <w:t xml:space="preserve"> (投标人名称、地址)</w:t>
      </w:r>
      <w:r>
        <w:rPr>
          <w:rFonts w:hint="eastAsia" w:ascii="宋体" w:hAnsi="宋体"/>
        </w:rPr>
        <w:t>作为投标人已正式授权</w:t>
      </w:r>
      <w:r>
        <w:rPr>
          <w:rFonts w:hint="eastAsia" w:ascii="宋体" w:hAnsi="宋体"/>
          <w:u w:val="single"/>
        </w:rPr>
        <w:t xml:space="preserve"> (被投标人授权代表全名、职务)</w:t>
      </w:r>
      <w:r>
        <w:rPr>
          <w:rFonts w:hint="eastAsia" w:ascii="宋体" w:hAnsi="宋体"/>
        </w:rPr>
        <w:t>为我方签名代表，签名代表在此声明并同意：</w:t>
      </w:r>
    </w:p>
    <w:p w14:paraId="72162EEE">
      <w:pPr>
        <w:numPr>
          <w:ilvl w:val="0"/>
          <w:numId w:val="15"/>
        </w:numPr>
        <w:tabs>
          <w:tab w:val="clear" w:pos="780"/>
        </w:tabs>
        <w:snapToGrid w:val="0"/>
        <w:spacing w:line="360" w:lineRule="auto"/>
        <w:ind w:left="426"/>
        <w:rPr>
          <w:rFonts w:ascii="宋体" w:hAnsi="宋体"/>
          <w:b/>
        </w:rPr>
      </w:pPr>
      <w:r>
        <w:rPr>
          <w:rFonts w:hint="eastAsia" w:ascii="宋体" w:hAnsi="宋体"/>
          <w:b/>
        </w:rPr>
        <w:t>我单位愿意遵守</w:t>
      </w:r>
      <w:r>
        <w:rPr>
          <w:rFonts w:hint="eastAsia" w:ascii="宋体" w:hAnsi="宋体"/>
          <w:b/>
          <w:lang w:eastAsia="zh-CN"/>
        </w:rPr>
        <w:t>征集</w:t>
      </w:r>
      <w:r>
        <w:rPr>
          <w:rFonts w:hint="eastAsia" w:ascii="宋体" w:hAnsi="宋体"/>
          <w:b/>
        </w:rPr>
        <w:t>文件的各项规定，自愿参加投标，并已清楚</w:t>
      </w:r>
      <w:r>
        <w:rPr>
          <w:rFonts w:hint="eastAsia" w:ascii="宋体" w:hAnsi="宋体"/>
          <w:b/>
          <w:lang w:eastAsia="zh-CN"/>
        </w:rPr>
        <w:t>征集</w:t>
      </w:r>
      <w:r>
        <w:rPr>
          <w:rFonts w:hint="eastAsia" w:ascii="宋体" w:hAnsi="宋体"/>
          <w:b/>
        </w:rPr>
        <w:t>文件的要求及有关文件规定，并严格按照</w:t>
      </w:r>
      <w:r>
        <w:rPr>
          <w:rFonts w:hint="eastAsia" w:ascii="宋体" w:hAnsi="宋体"/>
          <w:b/>
          <w:lang w:eastAsia="zh-CN"/>
        </w:rPr>
        <w:t>征集</w:t>
      </w:r>
      <w:r>
        <w:rPr>
          <w:rFonts w:hint="eastAsia" w:ascii="宋体" w:hAnsi="宋体"/>
          <w:b/>
        </w:rPr>
        <w:t>文件的规定履行全部责任和义务。</w:t>
      </w:r>
    </w:p>
    <w:p w14:paraId="628A2847">
      <w:pPr>
        <w:numPr>
          <w:ilvl w:val="0"/>
          <w:numId w:val="15"/>
        </w:numPr>
        <w:tabs>
          <w:tab w:val="clear" w:pos="780"/>
        </w:tabs>
        <w:snapToGrid w:val="0"/>
        <w:spacing w:line="360" w:lineRule="auto"/>
        <w:ind w:left="426"/>
        <w:rPr>
          <w:rFonts w:ascii="宋体" w:hAnsi="宋体"/>
          <w:b/>
        </w:rPr>
      </w:pPr>
      <w:r>
        <w:rPr>
          <w:rFonts w:hint="eastAsia" w:ascii="宋体" w:hAnsi="宋体"/>
          <w:b/>
        </w:rPr>
        <w:t>我们同意本投标文件的投标有效期从提交投标文件的截止之日起</w:t>
      </w:r>
      <w:r>
        <w:rPr>
          <w:rFonts w:hint="eastAsia" w:ascii="宋体" w:hAnsi="宋体"/>
          <w:b/>
          <w:u w:val="single"/>
          <w:lang w:val="en-US" w:eastAsia="zh-CN"/>
        </w:rPr>
        <w:t>120</w:t>
      </w:r>
      <w:r>
        <w:rPr>
          <w:rFonts w:hint="eastAsia" w:ascii="宋体" w:hAnsi="宋体"/>
          <w:b/>
        </w:rPr>
        <w:t>日历日内有效。</w:t>
      </w:r>
    </w:p>
    <w:p w14:paraId="78A9D3C3">
      <w:pPr>
        <w:numPr>
          <w:ilvl w:val="0"/>
          <w:numId w:val="15"/>
        </w:numPr>
        <w:tabs>
          <w:tab w:val="clear" w:pos="780"/>
        </w:tabs>
        <w:snapToGrid w:val="0"/>
        <w:spacing w:line="360" w:lineRule="auto"/>
        <w:ind w:left="426"/>
        <w:rPr>
          <w:rFonts w:ascii="宋体" w:hAnsi="宋体"/>
          <w:b/>
        </w:rPr>
      </w:pPr>
      <w:r>
        <w:rPr>
          <w:rFonts w:hint="eastAsia" w:ascii="宋体" w:hAnsi="宋体"/>
          <w:b/>
        </w:rPr>
        <w:t>我们承诺从本项目投标截止时间起，本投标始终有效且不予撤销已递交的投标文件。</w:t>
      </w:r>
    </w:p>
    <w:p w14:paraId="539CB16A">
      <w:pPr>
        <w:numPr>
          <w:ilvl w:val="0"/>
          <w:numId w:val="15"/>
        </w:numPr>
        <w:tabs>
          <w:tab w:val="clear" w:pos="780"/>
        </w:tabs>
        <w:snapToGrid w:val="0"/>
        <w:spacing w:line="360" w:lineRule="auto"/>
        <w:ind w:left="426"/>
        <w:rPr>
          <w:rFonts w:ascii="宋体" w:hAnsi="宋体"/>
          <w:b/>
        </w:rPr>
      </w:pPr>
      <w:r>
        <w:rPr>
          <w:rFonts w:hint="eastAsia" w:ascii="宋体" w:hAnsi="宋体"/>
          <w:b/>
        </w:rPr>
        <w:t>我单位已经详细地阅读并完全明白了全部</w:t>
      </w:r>
      <w:r>
        <w:rPr>
          <w:rFonts w:hint="eastAsia" w:ascii="宋体" w:hAnsi="宋体"/>
          <w:b/>
          <w:lang w:eastAsia="zh-CN"/>
        </w:rPr>
        <w:t>征集</w:t>
      </w:r>
      <w:r>
        <w:rPr>
          <w:rFonts w:hint="eastAsia" w:ascii="宋体" w:hAnsi="宋体"/>
          <w:b/>
        </w:rPr>
        <w:t>文件及附件，包括澄清（如有）及参考文件，我单位完全理解本</w:t>
      </w:r>
      <w:r>
        <w:rPr>
          <w:rFonts w:hint="eastAsia" w:ascii="宋体" w:hAnsi="宋体"/>
          <w:b/>
          <w:lang w:eastAsia="zh-CN"/>
        </w:rPr>
        <w:t>征集</w:t>
      </w:r>
      <w:r>
        <w:rPr>
          <w:rFonts w:hint="eastAsia" w:ascii="宋体" w:hAnsi="宋体"/>
          <w:b/>
        </w:rPr>
        <w:t>文件的要求，</w:t>
      </w:r>
      <w:r>
        <w:rPr>
          <w:rFonts w:hint="eastAsia" w:ascii="宋体"/>
          <w:b/>
        </w:rPr>
        <w:t>我单位同意放弃对</w:t>
      </w:r>
      <w:r>
        <w:rPr>
          <w:rFonts w:hint="eastAsia" w:ascii="宋体"/>
          <w:b/>
          <w:lang w:eastAsia="zh-CN"/>
        </w:rPr>
        <w:t>征集</w:t>
      </w:r>
      <w:r>
        <w:rPr>
          <w:rFonts w:hint="eastAsia" w:ascii="宋体"/>
          <w:b/>
        </w:rPr>
        <w:t>文件提出不明或误解的一切权力</w:t>
      </w:r>
      <w:r>
        <w:rPr>
          <w:rFonts w:hint="eastAsia" w:ascii="宋体" w:hAnsi="宋体"/>
          <w:b/>
        </w:rPr>
        <w:t>。</w:t>
      </w:r>
    </w:p>
    <w:p w14:paraId="6B072C5B">
      <w:pPr>
        <w:numPr>
          <w:ilvl w:val="0"/>
          <w:numId w:val="15"/>
        </w:numPr>
        <w:tabs>
          <w:tab w:val="clear" w:pos="780"/>
        </w:tabs>
        <w:snapToGrid w:val="0"/>
        <w:spacing w:line="360" w:lineRule="auto"/>
        <w:ind w:left="426"/>
        <w:rPr>
          <w:rFonts w:ascii="宋体" w:hAnsi="宋体"/>
          <w:b/>
        </w:rPr>
      </w:pPr>
      <w:r>
        <w:rPr>
          <w:rFonts w:hint="eastAsia" w:ascii="宋体" w:hAnsi="宋体"/>
          <w:b/>
        </w:rPr>
        <w:t>我单位同意提供</w:t>
      </w:r>
      <w:r>
        <w:rPr>
          <w:rFonts w:hint="eastAsia" w:ascii="宋体" w:hAnsi="宋体" w:cs="宋体"/>
          <w:b/>
          <w:szCs w:val="21"/>
        </w:rPr>
        <w:t>采购人</w:t>
      </w:r>
      <w:r>
        <w:rPr>
          <w:rFonts w:hint="eastAsia" w:ascii="宋体" w:hAnsi="宋体"/>
          <w:b/>
        </w:rPr>
        <w:t>与评标委员会要求的有关投标的一切数据或资料。</w:t>
      </w:r>
    </w:p>
    <w:p w14:paraId="0FD5B310">
      <w:pPr>
        <w:numPr>
          <w:ilvl w:val="0"/>
          <w:numId w:val="15"/>
        </w:numPr>
        <w:tabs>
          <w:tab w:val="clear" w:pos="780"/>
        </w:tabs>
        <w:snapToGrid w:val="0"/>
        <w:spacing w:line="360" w:lineRule="auto"/>
        <w:ind w:left="426"/>
        <w:rPr>
          <w:rFonts w:ascii="宋体" w:hAnsi="宋体"/>
          <w:b/>
        </w:rPr>
      </w:pPr>
      <w:r>
        <w:rPr>
          <w:rFonts w:hint="eastAsia" w:ascii="宋体" w:hAnsi="宋体"/>
          <w:b/>
        </w:rPr>
        <w:t>我单位理解</w:t>
      </w:r>
      <w:r>
        <w:rPr>
          <w:rFonts w:hint="eastAsia" w:ascii="宋体" w:hAnsi="宋体" w:cs="宋体"/>
          <w:b/>
          <w:szCs w:val="21"/>
        </w:rPr>
        <w:t>采购人</w:t>
      </w:r>
      <w:r>
        <w:rPr>
          <w:rFonts w:hint="eastAsia" w:ascii="宋体" w:hAnsi="宋体"/>
          <w:b/>
        </w:rPr>
        <w:t>与评标委员会并无义务必须接受最低报价的投标或其它任何投标，完全理解拒绝迟到的任何投标和最低投标报价不是被授予中标的唯一条件。</w:t>
      </w:r>
    </w:p>
    <w:p w14:paraId="2BDE4B1F">
      <w:pPr>
        <w:numPr>
          <w:ilvl w:val="0"/>
          <w:numId w:val="15"/>
        </w:numPr>
        <w:tabs>
          <w:tab w:val="clear" w:pos="780"/>
        </w:tabs>
        <w:snapToGrid w:val="0"/>
        <w:spacing w:line="360" w:lineRule="auto"/>
        <w:ind w:left="426"/>
        <w:rPr>
          <w:rFonts w:ascii="宋体" w:hAnsi="宋体"/>
          <w:b/>
        </w:rPr>
      </w:pPr>
      <w:r>
        <w:rPr>
          <w:rFonts w:hint="eastAsia" w:ascii="宋体" w:hAnsi="宋体"/>
          <w:b/>
        </w:rPr>
        <w:t>如果我单位未对</w:t>
      </w:r>
      <w:r>
        <w:rPr>
          <w:rFonts w:hint="eastAsia" w:ascii="宋体" w:hAnsi="宋体"/>
          <w:b/>
          <w:lang w:eastAsia="zh-CN"/>
        </w:rPr>
        <w:t>征集</w:t>
      </w:r>
      <w:r>
        <w:rPr>
          <w:rFonts w:hint="eastAsia" w:ascii="宋体" w:hAnsi="宋体"/>
          <w:b/>
        </w:rPr>
        <w:t xml:space="preserve">文件全部要求作出实质性响应，则完全同意并接受按无效投标处理。 </w:t>
      </w:r>
    </w:p>
    <w:p w14:paraId="4E34F74F">
      <w:pPr>
        <w:numPr>
          <w:ilvl w:val="0"/>
          <w:numId w:val="15"/>
        </w:numPr>
        <w:tabs>
          <w:tab w:val="clear" w:pos="780"/>
        </w:tabs>
        <w:snapToGrid w:val="0"/>
        <w:spacing w:line="360" w:lineRule="auto"/>
        <w:ind w:left="426"/>
        <w:rPr>
          <w:rFonts w:ascii="宋体" w:hAnsi="宋体"/>
          <w:b/>
        </w:rPr>
      </w:pPr>
      <w:r>
        <w:rPr>
          <w:rFonts w:hint="eastAsia" w:ascii="宋体" w:hAnsi="宋体"/>
          <w:b/>
        </w:rPr>
        <w:t>我单位已认真核实了投标文件的全部资料，所有资料均为真实资料。我单位对投标文件中全部投标资料的真实性负责，如被证实我单位的投标文件中存在虚假资料的，则视为我单位隐瞒真实情况、提供虚假资料，我单位愿意接受主管部门作出的行政处罚。</w:t>
      </w:r>
    </w:p>
    <w:p w14:paraId="239B7B50">
      <w:pPr>
        <w:numPr>
          <w:ilvl w:val="0"/>
          <w:numId w:val="15"/>
        </w:numPr>
        <w:tabs>
          <w:tab w:val="clear" w:pos="780"/>
        </w:tabs>
        <w:snapToGrid w:val="0"/>
        <w:spacing w:line="360" w:lineRule="auto"/>
        <w:ind w:left="426"/>
        <w:rPr>
          <w:rFonts w:ascii="宋体" w:hAnsi="宋体"/>
          <w:b/>
        </w:rPr>
      </w:pPr>
      <w:r>
        <w:rPr>
          <w:rFonts w:hint="eastAsia" w:ascii="宋体" w:hAnsi="宋体"/>
          <w:b/>
        </w:rPr>
        <w:t>如果我单位提供的声明或承诺不真实，则完全同意认定为我司提供虚假材料，并同意作相应处理。</w:t>
      </w:r>
    </w:p>
    <w:p w14:paraId="4C1AC611">
      <w:pPr>
        <w:numPr>
          <w:ilvl w:val="0"/>
          <w:numId w:val="15"/>
        </w:numPr>
        <w:tabs>
          <w:tab w:val="clear" w:pos="780"/>
        </w:tabs>
        <w:snapToGrid w:val="0"/>
        <w:spacing w:line="360" w:lineRule="auto"/>
        <w:ind w:left="426"/>
        <w:rPr>
          <w:rFonts w:ascii="宋体" w:hAnsi="宋体"/>
          <w:b/>
        </w:rPr>
      </w:pPr>
      <w:r>
        <w:rPr>
          <w:rFonts w:hint="eastAsia" w:ascii="宋体" w:hAnsi="宋体"/>
          <w:b/>
        </w:rPr>
        <w:t>我单位是依法注册的法人，在法律、财务及运作上完全独立于本项目采购人、用户单位（如有）。</w:t>
      </w:r>
    </w:p>
    <w:p w14:paraId="1F18F6C0">
      <w:pPr>
        <w:numPr>
          <w:ilvl w:val="0"/>
          <w:numId w:val="15"/>
        </w:numPr>
        <w:tabs>
          <w:tab w:val="clear" w:pos="780"/>
        </w:tabs>
        <w:snapToGrid w:val="0"/>
        <w:spacing w:line="360" w:lineRule="auto"/>
        <w:ind w:left="426" w:leftChars="0" w:hanging="360" w:firstLineChars="0"/>
        <w:outlineLvl w:val="9"/>
        <w:rPr>
          <w:rFonts w:ascii="宋体" w:hAnsi="宋体"/>
          <w:b/>
        </w:rPr>
      </w:pPr>
      <w:r>
        <w:rPr>
          <w:rFonts w:hint="eastAsia" w:ascii="宋体" w:hAnsi="宋体"/>
          <w:b/>
        </w:rPr>
        <w:t>所有有关本次投标的函电请寄：</w:t>
      </w:r>
      <w:r>
        <w:rPr>
          <w:rFonts w:hint="eastAsia" w:ascii="宋体" w:hAnsi="宋体"/>
          <w:b/>
          <w:u w:val="single"/>
        </w:rPr>
        <w:t xml:space="preserve">  （投标人地址）   </w:t>
      </w:r>
    </w:p>
    <w:p w14:paraId="47161A4E">
      <w:pPr>
        <w:numPr>
          <w:ilvl w:val="0"/>
          <w:numId w:val="0"/>
        </w:numPr>
        <w:snapToGrid w:val="0"/>
        <w:spacing w:line="360" w:lineRule="auto"/>
        <w:ind w:left="66" w:leftChars="0"/>
        <w:rPr>
          <w:rFonts w:hint="eastAsia" w:ascii="宋体" w:hAnsi="宋体"/>
          <w:b/>
        </w:rPr>
      </w:pPr>
    </w:p>
    <w:p w14:paraId="12626E67">
      <w:pPr>
        <w:numPr>
          <w:ilvl w:val="0"/>
          <w:numId w:val="0"/>
        </w:numPr>
        <w:snapToGrid w:val="0"/>
        <w:spacing w:line="360" w:lineRule="auto"/>
        <w:ind w:left="66" w:leftChars="0"/>
        <w:rPr>
          <w:rFonts w:hint="eastAsia" w:ascii="宋体" w:hAnsi="宋体"/>
          <w:b/>
        </w:rPr>
      </w:pPr>
      <w:r>
        <w:rPr>
          <w:rFonts w:hint="eastAsia" w:ascii="宋体" w:hAnsi="宋体"/>
          <w:b/>
        </w:rPr>
        <w:t>备注：</w:t>
      </w:r>
    </w:p>
    <w:p w14:paraId="117E2E10">
      <w:pPr>
        <w:numPr>
          <w:ilvl w:val="0"/>
          <w:numId w:val="0"/>
        </w:numPr>
        <w:snapToGrid w:val="0"/>
        <w:spacing w:line="360" w:lineRule="auto"/>
        <w:ind w:left="66" w:leftChars="0"/>
        <w:rPr>
          <w:rFonts w:hint="eastAsia" w:ascii="宋体" w:hAnsi="宋体"/>
          <w:b/>
        </w:rPr>
      </w:pPr>
      <w:r>
        <w:rPr>
          <w:rFonts w:hint="eastAsia" w:ascii="宋体" w:hAnsi="宋体"/>
          <w:b/>
        </w:rPr>
        <w:t>1、投标函中承诺的投标有效期应当不少于</w:t>
      </w:r>
      <w:r>
        <w:rPr>
          <w:rFonts w:hint="eastAsia" w:ascii="宋体" w:hAnsi="宋体"/>
          <w:b/>
          <w:lang w:eastAsia="zh-CN"/>
        </w:rPr>
        <w:t>征集</w:t>
      </w:r>
      <w:r>
        <w:rPr>
          <w:rFonts w:hint="eastAsia" w:ascii="宋体" w:hAnsi="宋体"/>
          <w:b/>
        </w:rPr>
        <w:t>文件中载明的投标有效期，否则视为无效投标。</w:t>
      </w:r>
    </w:p>
    <w:p w14:paraId="681BA045">
      <w:pPr>
        <w:numPr>
          <w:ilvl w:val="0"/>
          <w:numId w:val="0"/>
        </w:numPr>
        <w:snapToGrid w:val="0"/>
        <w:spacing w:line="360" w:lineRule="auto"/>
        <w:ind w:left="66" w:leftChars="0"/>
        <w:rPr>
          <w:rFonts w:hint="eastAsia" w:ascii="宋体" w:hAnsi="宋体"/>
          <w:b/>
        </w:rPr>
      </w:pPr>
      <w:r>
        <w:rPr>
          <w:rFonts w:hint="eastAsia" w:ascii="宋体" w:hAnsi="宋体"/>
          <w:b/>
        </w:rPr>
        <w:t xml:space="preserve">2、除投标有效期承诺的时间外，本投标函内容不得擅自删改，否则视为无效投标。 </w:t>
      </w:r>
    </w:p>
    <w:p w14:paraId="25611BD8">
      <w:pPr>
        <w:autoSpaceDE w:val="0"/>
        <w:autoSpaceDN w:val="0"/>
        <w:adjustRightInd w:val="0"/>
        <w:spacing w:line="360" w:lineRule="auto"/>
        <w:rPr>
          <w:rFonts w:ascii="宋体" w:hAnsi="宋体"/>
          <w:b/>
        </w:rPr>
      </w:pPr>
    </w:p>
    <w:p w14:paraId="71C7008C">
      <w:pPr>
        <w:spacing w:line="360" w:lineRule="auto"/>
        <w:rPr>
          <w:sz w:val="24"/>
        </w:rPr>
      </w:pPr>
      <w:r>
        <w:rPr>
          <w:rFonts w:hint="eastAsia"/>
          <w:b/>
          <w:bCs/>
          <w:sz w:val="24"/>
        </w:rPr>
        <w:t>投标人单位名称：</w:t>
      </w:r>
      <w:r>
        <w:rPr>
          <w:rFonts w:hint="eastAsia"/>
          <w:sz w:val="24"/>
          <w:u w:val="single"/>
        </w:rPr>
        <w:t xml:space="preserve">                            </w:t>
      </w:r>
      <w:r>
        <w:rPr>
          <w:rFonts w:hint="eastAsia"/>
          <w:sz w:val="24"/>
        </w:rPr>
        <w:t xml:space="preserve"> </w:t>
      </w:r>
    </w:p>
    <w:p w14:paraId="3A0C8083">
      <w:pPr>
        <w:spacing w:line="360" w:lineRule="auto"/>
        <w:rPr>
          <w:rFonts w:ascii="宋体" w:hAnsi="宋体"/>
          <w:b/>
          <w:bCs/>
          <w:sz w:val="24"/>
        </w:rPr>
      </w:pPr>
      <w:r>
        <w:rPr>
          <w:rFonts w:hint="eastAsia" w:ascii="宋体" w:hAnsi="宋体"/>
          <w:b/>
          <w:bCs/>
          <w:sz w:val="24"/>
        </w:rPr>
        <w:t>日期：</w:t>
      </w:r>
      <w:r>
        <w:rPr>
          <w:rFonts w:hint="eastAsia" w:ascii="宋体" w:hAnsi="宋体"/>
          <w:b/>
          <w:bCs/>
          <w:sz w:val="24"/>
          <w:u w:val="single"/>
        </w:rPr>
        <w:t xml:space="preserve">       </w:t>
      </w:r>
      <w:r>
        <w:rPr>
          <w:rFonts w:hint="eastAsia" w:ascii="宋体" w:hAnsi="宋体"/>
          <w:b/>
          <w:bCs/>
          <w:sz w:val="24"/>
        </w:rPr>
        <w:t>年</w:t>
      </w:r>
      <w:r>
        <w:rPr>
          <w:rFonts w:hint="eastAsia" w:ascii="宋体" w:hAnsi="宋体"/>
          <w:b/>
          <w:bCs/>
          <w:sz w:val="24"/>
          <w:u w:val="single"/>
        </w:rPr>
        <w:t xml:space="preserve">     </w:t>
      </w:r>
      <w:r>
        <w:rPr>
          <w:rFonts w:hint="eastAsia" w:ascii="宋体" w:hAnsi="宋体"/>
          <w:b/>
          <w:bCs/>
          <w:sz w:val="24"/>
        </w:rPr>
        <w:t>月</w:t>
      </w:r>
      <w:r>
        <w:rPr>
          <w:rFonts w:hint="eastAsia" w:ascii="宋体" w:hAnsi="宋体"/>
          <w:b/>
          <w:bCs/>
          <w:sz w:val="24"/>
          <w:u w:val="single"/>
        </w:rPr>
        <w:t xml:space="preserve">    </w:t>
      </w:r>
      <w:r>
        <w:rPr>
          <w:rFonts w:hint="eastAsia" w:ascii="宋体" w:hAnsi="宋体"/>
          <w:b/>
          <w:bCs/>
          <w:sz w:val="24"/>
        </w:rPr>
        <w:t>日</w:t>
      </w:r>
    </w:p>
    <w:p w14:paraId="54F1B277">
      <w:pPr>
        <w:spacing w:line="360" w:lineRule="auto"/>
        <w:outlineLvl w:val="9"/>
        <w:rPr>
          <w:sz w:val="24"/>
        </w:rPr>
      </w:pPr>
      <w:r>
        <w:rPr>
          <w:rFonts w:hint="eastAsia"/>
          <w:b/>
          <w:sz w:val="24"/>
        </w:rPr>
        <w:t>（此处加盖投标人单位公章）</w:t>
      </w:r>
    </w:p>
    <w:p w14:paraId="273868D5">
      <w:pPr>
        <w:adjustRightInd w:val="0"/>
        <w:snapToGrid w:val="0"/>
        <w:spacing w:line="360" w:lineRule="auto"/>
        <w:rPr>
          <w:rFonts w:ascii="黑体" w:eastAsia="黑体"/>
          <w:b/>
          <w:bCs/>
          <w:sz w:val="24"/>
        </w:rPr>
        <w:sectPr>
          <w:pgSz w:w="11906" w:h="16838"/>
          <w:pgMar w:top="1440" w:right="1286" w:bottom="1440" w:left="1440" w:header="851" w:footer="992" w:gutter="0"/>
          <w:pgBorders>
            <w:top w:val="none" w:sz="0" w:space="0"/>
            <w:left w:val="none" w:sz="0" w:space="0"/>
            <w:bottom w:val="none" w:sz="0" w:space="0"/>
            <w:right w:val="none" w:sz="0" w:space="0"/>
          </w:pgBorders>
          <w:pgNumType w:fmt="decimal"/>
          <w:cols w:space="720" w:num="1"/>
          <w:docGrid w:type="lines" w:linePitch="312" w:charSpace="0"/>
        </w:sectPr>
      </w:pPr>
    </w:p>
    <w:p w14:paraId="4BC64CD1">
      <w:pPr>
        <w:pStyle w:val="4"/>
        <w:numPr>
          <w:ilvl w:val="0"/>
          <w:numId w:val="0"/>
        </w:numPr>
        <w:spacing w:line="240" w:lineRule="auto"/>
        <w:ind w:left="420" w:leftChars="0" w:hanging="420" w:firstLineChars="0"/>
        <w:jc w:val="center"/>
        <w:outlineLvl w:val="0"/>
        <w:rPr>
          <w:rFonts w:asciiTheme="majorEastAsia" w:hAnsiTheme="majorEastAsia" w:eastAsiaTheme="majorEastAsia"/>
          <w:sz w:val="30"/>
          <w:szCs w:val="30"/>
        </w:rPr>
      </w:pPr>
      <w:bookmarkStart w:id="54" w:name="_Toc189"/>
      <w:bookmarkStart w:id="55" w:name="_Toc4649"/>
      <w:bookmarkStart w:id="56" w:name="_Toc24650"/>
      <w:bookmarkStart w:id="57" w:name="_Toc435515295"/>
      <w:bookmarkStart w:id="58" w:name="_Toc275865606"/>
      <w:bookmarkStart w:id="59" w:name="_Toc435514855"/>
      <w:r>
        <w:rPr>
          <w:rFonts w:hint="eastAsia" w:cs="宋体" w:asciiTheme="majorEastAsia" w:hAnsiTheme="majorEastAsia" w:eastAsiaTheme="majorEastAsia"/>
          <w:kern w:val="2"/>
          <w:sz w:val="30"/>
          <w:szCs w:val="30"/>
          <w:lang w:val="en-US" w:eastAsia="zh-CN" w:bidi="ar-SA"/>
        </w:rPr>
        <w:t>（十二）</w:t>
      </w:r>
      <w:r>
        <w:rPr>
          <w:rFonts w:hint="eastAsia" w:asciiTheme="majorEastAsia" w:hAnsiTheme="majorEastAsia" w:eastAsiaTheme="majorEastAsia"/>
          <w:sz w:val="30"/>
          <w:szCs w:val="30"/>
        </w:rPr>
        <w:t>投标人资格声明函</w:t>
      </w:r>
      <w:bookmarkEnd w:id="54"/>
      <w:bookmarkEnd w:id="55"/>
      <w:bookmarkEnd w:id="56"/>
      <w:bookmarkEnd w:id="57"/>
      <w:bookmarkEnd w:id="58"/>
      <w:bookmarkEnd w:id="59"/>
    </w:p>
    <w:p w14:paraId="0438D9BD">
      <w:pPr>
        <w:spacing w:line="360" w:lineRule="auto"/>
        <w:rPr>
          <w:rFonts w:hint="default" w:ascii="宋体" w:hAnsi="宋体" w:eastAsiaTheme="minorEastAsia"/>
          <w:color w:val="auto"/>
          <w:szCs w:val="21"/>
          <w:highlight w:val="none"/>
          <w:lang w:val="en-US" w:eastAsia="zh-CN"/>
        </w:rPr>
      </w:pPr>
      <w:r>
        <w:rPr>
          <w:rFonts w:hint="eastAsia" w:ascii="宋体" w:hAnsi="宋体"/>
          <w:szCs w:val="21"/>
        </w:rPr>
        <w:t>致：</w:t>
      </w:r>
      <w:r>
        <w:rPr>
          <w:rFonts w:hint="eastAsia" w:ascii="宋体" w:hAnsi="宋体"/>
          <w:szCs w:val="21"/>
          <w:lang w:val="en-US" w:eastAsia="zh-CN"/>
        </w:rPr>
        <w:t>深圳市福田区第二人民医院</w:t>
      </w:r>
    </w:p>
    <w:p w14:paraId="4C254893">
      <w:pPr>
        <w:pStyle w:val="34"/>
        <w:snapToGrid w:val="0"/>
        <w:spacing w:before="156" w:beforeLines="50" w:line="360" w:lineRule="auto"/>
        <w:ind w:left="420" w:leftChars="200"/>
        <w:rPr>
          <w:rFonts w:ascii="宋体" w:hAnsi="宋体"/>
          <w:color w:val="auto"/>
          <w:highlight w:val="none"/>
        </w:rPr>
      </w:pPr>
      <w:r>
        <w:rPr>
          <w:rFonts w:hint="eastAsia" w:ascii="宋体" w:hAnsi="宋体"/>
          <w:color w:val="auto"/>
          <w:highlight w:val="none"/>
        </w:rPr>
        <w:t>关于贵</w:t>
      </w:r>
      <w:r>
        <w:rPr>
          <w:rFonts w:hint="eastAsia" w:ascii="宋体" w:hAnsi="宋体"/>
          <w:color w:val="auto"/>
          <w:highlight w:val="none"/>
          <w:lang w:val="en-US" w:eastAsia="zh-CN"/>
        </w:rPr>
        <w:t>单位</w:t>
      </w:r>
      <w:r>
        <w:rPr>
          <w:rFonts w:hint="eastAsia" w:ascii="宋体" w:hAnsi="宋体"/>
          <w:color w:val="auto"/>
          <w:highlight w:val="none"/>
          <w:u w:val="single"/>
          <w:lang w:val="en-US" w:eastAsia="zh-CN"/>
        </w:rPr>
        <w:t xml:space="preserve">               </w:t>
      </w:r>
      <w:r>
        <w:rPr>
          <w:rFonts w:hint="eastAsia" w:ascii="宋体" w:hAnsi="宋体"/>
          <w:color w:val="auto"/>
          <w:highlight w:val="none"/>
          <w:u w:val="single"/>
        </w:rPr>
        <w:t xml:space="preserve"> </w:t>
      </w:r>
      <w:r>
        <w:rPr>
          <w:rFonts w:hint="eastAsia" w:ascii="宋体" w:hAnsi="宋体"/>
          <w:color w:val="auto"/>
          <w:highlight w:val="none"/>
        </w:rPr>
        <w:t>项目（项目编号：</w:t>
      </w:r>
      <w:r>
        <w:rPr>
          <w:rFonts w:hint="eastAsia" w:ascii="宋体" w:hAnsi="宋体"/>
          <w:color w:val="auto"/>
          <w:highlight w:val="none"/>
          <w:u w:val="single"/>
          <w:lang w:val="en-US" w:eastAsia="zh-CN"/>
        </w:rPr>
        <w:t xml:space="preserve">                 </w:t>
      </w:r>
      <w:r>
        <w:rPr>
          <w:rFonts w:hint="eastAsia" w:ascii="宋体" w:hAnsi="宋体"/>
          <w:color w:val="auto"/>
          <w:highlight w:val="none"/>
        </w:rPr>
        <w:t>）</w:t>
      </w:r>
      <w:r>
        <w:rPr>
          <w:rFonts w:hint="eastAsia" w:ascii="宋体" w:hAnsi="宋体"/>
          <w:color w:val="auto"/>
          <w:highlight w:val="none"/>
          <w:lang w:eastAsia="zh-CN"/>
        </w:rPr>
        <w:t>征集</w:t>
      </w:r>
      <w:r>
        <w:rPr>
          <w:rFonts w:hint="eastAsia" w:ascii="宋体" w:hAnsi="宋体"/>
          <w:color w:val="auto"/>
          <w:highlight w:val="none"/>
        </w:rPr>
        <w:t>，本公司（企业）愿意参加投标，并声明：</w:t>
      </w:r>
    </w:p>
    <w:p w14:paraId="179ACA93">
      <w:pPr>
        <w:numPr>
          <w:ilvl w:val="0"/>
          <w:numId w:val="16"/>
        </w:numPr>
        <w:spacing w:line="360" w:lineRule="auto"/>
        <w:ind w:right="-815" w:firstLineChars="200"/>
        <w:rPr>
          <w:rFonts w:ascii="宋体" w:hAnsi="宋体"/>
          <w:szCs w:val="21"/>
        </w:rPr>
      </w:pPr>
      <w:r>
        <w:rPr>
          <w:rFonts w:hint="eastAsia" w:ascii="宋体" w:hAnsi="宋体"/>
          <w:color w:val="auto"/>
          <w:szCs w:val="21"/>
          <w:highlight w:val="none"/>
        </w:rPr>
        <w:t>我公司</w:t>
      </w:r>
      <w:r>
        <w:rPr>
          <w:rFonts w:hint="eastAsia" w:asciiTheme="minorEastAsia" w:hAnsiTheme="minorEastAsia" w:eastAsiaTheme="minorEastAsia"/>
          <w:bCs/>
          <w:color w:val="auto"/>
          <w:szCs w:val="21"/>
          <w:highlight w:val="none"/>
        </w:rPr>
        <w:t>具备</w:t>
      </w:r>
      <w:r>
        <w:rPr>
          <w:rFonts w:hint="eastAsia" w:ascii="宋体" w:hAnsi="宋体"/>
          <w:bCs/>
          <w:color w:val="auto"/>
          <w:szCs w:val="20"/>
          <w:highlight w:val="none"/>
        </w:rPr>
        <w:t>《中华人民共和国政府</w:t>
      </w:r>
      <w:r>
        <w:rPr>
          <w:rFonts w:hint="eastAsia" w:ascii="宋体" w:hAnsi="宋体"/>
          <w:bCs/>
          <w:szCs w:val="20"/>
        </w:rPr>
        <w:t>采购法》</w:t>
      </w:r>
      <w:r>
        <w:rPr>
          <w:rFonts w:hint="eastAsia" w:asciiTheme="minorEastAsia" w:hAnsiTheme="minorEastAsia" w:eastAsiaTheme="minorEastAsia"/>
          <w:bCs/>
          <w:szCs w:val="21"/>
        </w:rPr>
        <w:t>第二十二条规定的条件：</w:t>
      </w:r>
    </w:p>
    <w:p w14:paraId="6871E880">
      <w:pPr>
        <w:spacing w:line="360" w:lineRule="auto"/>
        <w:ind w:firstLine="420" w:firstLineChars="200"/>
        <w:rPr>
          <w:rFonts w:ascii="宋体" w:hAnsi="宋体"/>
          <w:szCs w:val="21"/>
        </w:rPr>
      </w:pPr>
      <w:r>
        <w:rPr>
          <w:rFonts w:hint="eastAsia" w:ascii="宋体" w:hAnsi="宋体"/>
          <w:szCs w:val="21"/>
        </w:rPr>
        <w:t>1.具有独立承担民事责任的能力；</w:t>
      </w:r>
    </w:p>
    <w:p w14:paraId="4E1E005F">
      <w:pPr>
        <w:spacing w:line="360" w:lineRule="auto"/>
        <w:ind w:firstLine="420" w:firstLineChars="200"/>
        <w:rPr>
          <w:rFonts w:ascii="宋体" w:hAnsi="宋体"/>
          <w:szCs w:val="21"/>
        </w:rPr>
      </w:pPr>
      <w:r>
        <w:rPr>
          <w:rFonts w:hint="eastAsia" w:ascii="宋体" w:hAnsi="宋体"/>
          <w:szCs w:val="21"/>
        </w:rPr>
        <w:t>2.具有良好的商业信誉和健全的财务会计制度；</w:t>
      </w:r>
    </w:p>
    <w:p w14:paraId="752880AF">
      <w:pPr>
        <w:spacing w:line="360" w:lineRule="auto"/>
        <w:ind w:firstLine="420" w:firstLineChars="200"/>
        <w:rPr>
          <w:rFonts w:ascii="宋体" w:hAnsi="宋体"/>
          <w:szCs w:val="21"/>
        </w:rPr>
      </w:pPr>
      <w:r>
        <w:rPr>
          <w:rFonts w:hint="eastAsia" w:ascii="宋体" w:hAnsi="宋体"/>
          <w:szCs w:val="21"/>
        </w:rPr>
        <w:t>3.具有履行合同所必需的设备和专业技术能力；</w:t>
      </w:r>
    </w:p>
    <w:p w14:paraId="57028112">
      <w:pPr>
        <w:spacing w:line="360" w:lineRule="auto"/>
        <w:ind w:firstLine="420" w:firstLineChars="200"/>
        <w:rPr>
          <w:rFonts w:ascii="宋体" w:hAnsi="宋体"/>
          <w:szCs w:val="21"/>
        </w:rPr>
      </w:pPr>
      <w:r>
        <w:rPr>
          <w:rFonts w:hint="eastAsia" w:ascii="宋体" w:hAnsi="宋体"/>
          <w:szCs w:val="21"/>
        </w:rPr>
        <w:t>4.有依法缴纳税收和社会保障资金的良好记录；</w:t>
      </w:r>
    </w:p>
    <w:p w14:paraId="33F25E51">
      <w:pPr>
        <w:spacing w:line="360" w:lineRule="auto"/>
        <w:ind w:firstLine="420" w:firstLineChars="200"/>
        <w:rPr>
          <w:rFonts w:ascii="宋体" w:hAnsi="宋体"/>
          <w:szCs w:val="21"/>
        </w:rPr>
      </w:pPr>
      <w:r>
        <w:rPr>
          <w:rFonts w:hint="eastAsia" w:ascii="宋体" w:hAnsi="宋体"/>
          <w:szCs w:val="21"/>
        </w:rPr>
        <w:t>5.参加政府采购活动前三年内，在经营活动中没有重大违法记录；</w:t>
      </w:r>
    </w:p>
    <w:p w14:paraId="658056BA">
      <w:pPr>
        <w:spacing w:line="360" w:lineRule="auto"/>
        <w:ind w:firstLine="420" w:firstLineChars="200"/>
        <w:rPr>
          <w:rFonts w:ascii="宋体" w:hAnsi="宋体"/>
          <w:szCs w:val="21"/>
        </w:rPr>
      </w:pPr>
      <w:r>
        <w:rPr>
          <w:rFonts w:hint="eastAsia" w:ascii="宋体" w:hAnsi="宋体"/>
          <w:szCs w:val="21"/>
        </w:rPr>
        <w:t>6.法律、行政法规规定的其他条件。</w:t>
      </w:r>
    </w:p>
    <w:p w14:paraId="7C9E9009">
      <w:pPr>
        <w:numPr>
          <w:ilvl w:val="0"/>
          <w:numId w:val="16"/>
        </w:numPr>
        <w:spacing w:line="360" w:lineRule="auto"/>
        <w:ind w:left="0" w:leftChars="0" w:right="-815" w:rightChars="0" w:firstLine="420" w:firstLineChars="200"/>
        <w:outlineLvl w:val="9"/>
        <w:rPr>
          <w:rFonts w:ascii="宋体" w:hAnsi="宋体"/>
          <w:szCs w:val="21"/>
        </w:rPr>
      </w:pPr>
      <w:r>
        <w:rPr>
          <w:rFonts w:hint="eastAsia" w:ascii="宋体" w:hAnsi="宋体"/>
          <w:szCs w:val="21"/>
        </w:rPr>
        <w:t>我公司对本</w:t>
      </w:r>
      <w:r>
        <w:rPr>
          <w:rFonts w:hint="eastAsia" w:ascii="宋体" w:hAnsi="宋体"/>
          <w:szCs w:val="21"/>
          <w:lang w:eastAsia="zh-CN"/>
        </w:rPr>
        <w:t>征集</w:t>
      </w:r>
      <w:r>
        <w:rPr>
          <w:rFonts w:hint="eastAsia" w:ascii="宋体" w:hAnsi="宋体"/>
          <w:szCs w:val="21"/>
        </w:rPr>
        <w:t>项目所提供的货物或服务未侵犯知识产权。</w:t>
      </w:r>
    </w:p>
    <w:p w14:paraId="6CC207C4">
      <w:pPr>
        <w:numPr>
          <w:ilvl w:val="0"/>
          <w:numId w:val="16"/>
        </w:numPr>
        <w:spacing w:line="360" w:lineRule="auto"/>
        <w:ind w:right="-815" w:firstLineChars="200"/>
        <w:rPr>
          <w:rFonts w:ascii="宋体" w:hAnsi="宋体"/>
          <w:szCs w:val="21"/>
        </w:rPr>
      </w:pPr>
      <w:r>
        <w:rPr>
          <w:rFonts w:hint="eastAsia" w:ascii="宋体" w:hAnsi="宋体"/>
          <w:szCs w:val="21"/>
        </w:rPr>
        <w:t>我公司保证采购人拥有所投产品完整的所有权，不以保护知识产权或技术保密的名义对所有权和使用权进行任何限制。</w:t>
      </w:r>
    </w:p>
    <w:p w14:paraId="34D1D2EB">
      <w:pPr>
        <w:numPr>
          <w:ilvl w:val="0"/>
          <w:numId w:val="16"/>
        </w:numPr>
        <w:spacing w:line="360" w:lineRule="auto"/>
        <w:ind w:right="-815" w:firstLineChars="200"/>
        <w:rPr>
          <w:rFonts w:ascii="宋体" w:hAnsi="宋体"/>
          <w:color w:val="auto"/>
          <w:szCs w:val="21"/>
          <w:highlight w:val="none"/>
        </w:rPr>
      </w:pPr>
      <w:r>
        <w:rPr>
          <w:rFonts w:hint="eastAsia" w:ascii="宋体" w:hAnsi="宋体"/>
          <w:szCs w:val="21"/>
        </w:rPr>
        <w:t>我公司参与该项目投标，严格遵守政府采购相关法律，投标做到诚实，不造假，不围标、串标、陪标。我公司已清楚，如违反上述要求，其投标将作废，被列入不良记录名单并在网上曝光，同时将被提请政府采购</w:t>
      </w:r>
      <w:r>
        <w:rPr>
          <w:rFonts w:hint="eastAsia" w:ascii="宋体" w:hAnsi="宋体"/>
          <w:color w:val="auto"/>
          <w:szCs w:val="21"/>
          <w:highlight w:val="none"/>
        </w:rPr>
        <w:t>监督管理部门给予一定年限内禁止参与政府采购活动或其他处罚。</w:t>
      </w:r>
    </w:p>
    <w:p w14:paraId="403D998D">
      <w:pPr>
        <w:numPr>
          <w:ilvl w:val="0"/>
          <w:numId w:val="16"/>
        </w:numPr>
        <w:spacing w:line="360" w:lineRule="auto"/>
        <w:ind w:right="-815" w:firstLineChars="200"/>
        <w:rPr>
          <w:rFonts w:ascii="宋体" w:hAnsi="宋体"/>
          <w:color w:val="auto"/>
          <w:szCs w:val="21"/>
          <w:highlight w:val="none"/>
        </w:rPr>
      </w:pPr>
      <w:r>
        <w:rPr>
          <w:rFonts w:hint="eastAsia" w:ascii="宋体" w:hAnsi="宋体"/>
          <w:color w:val="auto"/>
          <w:szCs w:val="21"/>
          <w:highlight w:val="none"/>
        </w:rPr>
        <w:t>如果中标，做到守信，不偷工减料，依照本项目</w:t>
      </w:r>
      <w:r>
        <w:rPr>
          <w:rFonts w:hint="eastAsia" w:ascii="宋体" w:hAnsi="宋体"/>
          <w:color w:val="auto"/>
          <w:szCs w:val="21"/>
          <w:highlight w:val="none"/>
          <w:lang w:eastAsia="zh-CN"/>
        </w:rPr>
        <w:t>征集</w:t>
      </w:r>
      <w:r>
        <w:rPr>
          <w:rFonts w:hint="eastAsia" w:ascii="宋体" w:hAnsi="宋体"/>
          <w:color w:val="auto"/>
          <w:szCs w:val="21"/>
          <w:highlight w:val="none"/>
        </w:rPr>
        <w:t>文件需求内容、签署的采购合同及本公司在投标中所作的一切承诺履约。项目验收达到全部指标合格，力争优良。</w:t>
      </w:r>
    </w:p>
    <w:p w14:paraId="30EADCCC">
      <w:pPr>
        <w:numPr>
          <w:ilvl w:val="0"/>
          <w:numId w:val="16"/>
        </w:numPr>
        <w:spacing w:line="360" w:lineRule="auto"/>
        <w:ind w:right="-815" w:firstLineChars="200"/>
        <w:rPr>
          <w:bCs/>
          <w:szCs w:val="21"/>
        </w:rPr>
      </w:pPr>
      <w:r>
        <w:rPr>
          <w:rFonts w:hint="eastAsia"/>
          <w:bCs/>
          <w:color w:val="auto"/>
          <w:szCs w:val="21"/>
          <w:highlight w:val="none"/>
        </w:rPr>
        <w:t>根据《</w:t>
      </w:r>
      <w:r>
        <w:rPr>
          <w:rFonts w:hint="eastAsia"/>
          <w:bCs/>
          <w:szCs w:val="21"/>
        </w:rPr>
        <w:t>中华人民共和国政府采购法实施条例》的规定，本公司（企业）如为采购项目（包组）提供整体设计、规范编制或者项目管理、监理、检测等服务的供应商，不再参加该采购项目的其他采购活动</w:t>
      </w:r>
    </w:p>
    <w:p w14:paraId="4101CCE1">
      <w:pPr>
        <w:numPr>
          <w:ilvl w:val="0"/>
          <w:numId w:val="16"/>
        </w:numPr>
        <w:spacing w:line="360" w:lineRule="auto"/>
        <w:ind w:right="-815" w:firstLineChars="200"/>
        <w:rPr>
          <w:rFonts w:ascii="宋体" w:hAnsi="宋体"/>
        </w:rPr>
      </w:pPr>
      <w:r>
        <w:rPr>
          <w:rFonts w:hint="eastAsia" w:ascii="宋体" w:hAnsi="宋体"/>
        </w:rPr>
        <w:t>本公司（企业）的法定代表人或单位负责人与本项目其他投标人的法定代表人或单位负责人不为同一人且与其他投标人之间不存在直接控股、管理关系。</w:t>
      </w:r>
    </w:p>
    <w:p w14:paraId="079C0FFE">
      <w:pPr>
        <w:numPr>
          <w:ilvl w:val="0"/>
          <w:numId w:val="16"/>
        </w:numPr>
        <w:spacing w:line="360" w:lineRule="auto"/>
        <w:ind w:right="-815" w:firstLineChars="200"/>
        <w:rPr>
          <w:rFonts w:ascii="宋体" w:hAnsi="宋体"/>
          <w:szCs w:val="21"/>
        </w:rPr>
      </w:pPr>
      <w:r>
        <w:rPr>
          <w:rFonts w:hint="eastAsia" w:ascii="宋体" w:hAnsi="宋体"/>
        </w:rPr>
        <w:t>本公司（企业）承诺在本次</w:t>
      </w:r>
      <w:r>
        <w:rPr>
          <w:rFonts w:hint="eastAsia" w:ascii="宋体" w:hAnsi="宋体"/>
          <w:lang w:eastAsia="zh-CN"/>
        </w:rPr>
        <w:t>征集</w:t>
      </w:r>
      <w:r>
        <w:rPr>
          <w:rFonts w:hint="eastAsia" w:ascii="宋体" w:hAnsi="宋体"/>
        </w:rPr>
        <w:t>采购活动中，如有违法、违规、弄虚作假行为，所造成的损失、不良后果及法律责任，一律由我公司（企业）承担。</w:t>
      </w:r>
    </w:p>
    <w:p w14:paraId="776B9E12">
      <w:pPr>
        <w:numPr>
          <w:ilvl w:val="0"/>
          <w:numId w:val="16"/>
        </w:numPr>
        <w:spacing w:line="360" w:lineRule="auto"/>
        <w:ind w:right="-815" w:firstLineChars="200"/>
        <w:rPr>
          <w:rFonts w:ascii="宋体" w:hAnsi="宋体"/>
          <w:szCs w:val="21"/>
        </w:rPr>
      </w:pPr>
      <w:r>
        <w:rPr>
          <w:rFonts w:hint="eastAsia" w:ascii="宋体" w:hAnsi="宋体"/>
          <w:szCs w:val="21"/>
        </w:rPr>
        <w:t>在参与</w:t>
      </w:r>
      <w:r>
        <w:rPr>
          <w:rFonts w:hint="eastAsia" w:ascii="宋体" w:hAnsi="宋体"/>
        </w:rPr>
        <w:t>本次</w:t>
      </w:r>
      <w:r>
        <w:rPr>
          <w:rFonts w:hint="eastAsia" w:ascii="宋体" w:hAnsi="宋体"/>
          <w:lang w:eastAsia="zh-CN"/>
        </w:rPr>
        <w:t>征集</w:t>
      </w:r>
      <w:r>
        <w:rPr>
          <w:rFonts w:hint="eastAsia" w:ascii="宋体" w:hAnsi="宋体"/>
        </w:rPr>
        <w:t>采购活动中</w:t>
      </w:r>
      <w:r>
        <w:rPr>
          <w:rFonts w:hint="eastAsia" w:ascii="宋体" w:hAnsi="宋体"/>
          <w:szCs w:val="21"/>
        </w:rPr>
        <w:t>投标截止日前三年内，在我公司的经营活动中没有存在重大违法记录，即我公司没有受到刑事处罚或者责令停产停业、吊销许可证或者执照、较大数额罚款等行政处罚。</w:t>
      </w:r>
    </w:p>
    <w:p w14:paraId="734A4238">
      <w:pPr>
        <w:numPr>
          <w:ilvl w:val="0"/>
          <w:numId w:val="16"/>
        </w:numPr>
        <w:spacing w:line="360" w:lineRule="auto"/>
        <w:ind w:right="-815" w:firstLineChars="200"/>
        <w:rPr>
          <w:rFonts w:ascii="宋体" w:hAnsi="宋体"/>
          <w:color w:val="auto"/>
          <w:szCs w:val="21"/>
        </w:rPr>
      </w:pPr>
      <w:r>
        <w:rPr>
          <w:rFonts w:hint="eastAsia"/>
          <w:szCs w:val="21"/>
        </w:rPr>
        <w:t>在参与</w:t>
      </w:r>
      <w:r>
        <w:rPr>
          <w:rFonts w:hint="eastAsia" w:ascii="宋体" w:hAnsi="宋体"/>
        </w:rPr>
        <w:t>本次</w:t>
      </w:r>
      <w:r>
        <w:rPr>
          <w:rFonts w:hint="eastAsia" w:ascii="宋体" w:hAnsi="宋体"/>
          <w:lang w:eastAsia="zh-CN"/>
        </w:rPr>
        <w:t>征集</w:t>
      </w:r>
      <w:r>
        <w:rPr>
          <w:rFonts w:hint="eastAsia" w:ascii="宋体" w:hAnsi="宋体"/>
        </w:rPr>
        <w:t>采购活动中</w:t>
      </w:r>
      <w:r>
        <w:rPr>
          <w:rFonts w:hint="eastAsia"/>
          <w:szCs w:val="21"/>
        </w:rPr>
        <w:t>，我公司不存在被政府主管部门禁止参与政府采购活动的情形，即我公</w:t>
      </w:r>
      <w:r>
        <w:rPr>
          <w:rFonts w:hint="eastAsia"/>
          <w:color w:val="auto"/>
          <w:szCs w:val="21"/>
        </w:rPr>
        <w:t>司不存在还处于被禁止参与政府采购活动的期限内情形。</w:t>
      </w:r>
    </w:p>
    <w:p w14:paraId="0E0E3185">
      <w:pPr>
        <w:numPr>
          <w:ilvl w:val="0"/>
          <w:numId w:val="16"/>
        </w:numPr>
        <w:spacing w:line="360" w:lineRule="auto"/>
        <w:ind w:right="-815" w:firstLineChars="200"/>
        <w:rPr>
          <w:rFonts w:ascii="宋体" w:hAnsi="宋体"/>
          <w:color w:val="auto"/>
          <w:szCs w:val="21"/>
        </w:rPr>
      </w:pPr>
      <w:r>
        <w:rPr>
          <w:rFonts w:hint="eastAsia" w:ascii="宋体" w:hAnsi="宋体"/>
          <w:color w:val="auto"/>
          <w:szCs w:val="21"/>
        </w:rPr>
        <w:t>参与本项目采购活动时未被列入失信被执行人、税收违法黑名单、政府采购严重违法失信行为记录名单</w:t>
      </w:r>
    </w:p>
    <w:p w14:paraId="17840CCA">
      <w:pPr>
        <w:spacing w:line="360" w:lineRule="auto"/>
        <w:ind w:firstLine="420" w:firstLineChars="200"/>
        <w:rPr>
          <w:rFonts w:ascii="宋体" w:hAnsi="宋体"/>
          <w:color w:val="auto"/>
          <w:szCs w:val="21"/>
        </w:rPr>
      </w:pPr>
      <w:r>
        <w:rPr>
          <w:rFonts w:hint="eastAsia" w:ascii="宋体" w:hAnsi="宋体"/>
          <w:color w:val="auto"/>
          <w:szCs w:val="21"/>
        </w:rPr>
        <w:t>以上承诺，如有违反，愿依照国家相关法律处理，并承担由此给采购人带来的损失。</w:t>
      </w:r>
    </w:p>
    <w:p w14:paraId="2CE6399B">
      <w:pPr>
        <w:autoSpaceDE w:val="0"/>
        <w:autoSpaceDN w:val="0"/>
        <w:adjustRightInd w:val="0"/>
        <w:spacing w:line="360" w:lineRule="auto"/>
        <w:rPr>
          <w:rFonts w:ascii="宋体" w:hAnsi="宋体"/>
          <w:b/>
          <w:color w:val="auto"/>
          <w:sz w:val="24"/>
        </w:rPr>
      </w:pPr>
      <w:r>
        <w:rPr>
          <w:rFonts w:hint="eastAsia" w:ascii="宋体" w:hAnsi="宋体"/>
          <w:b/>
          <w:color w:val="auto"/>
          <w:sz w:val="24"/>
        </w:rPr>
        <w:t>备注：1.本声明函必须提供且内容不得擅自删改，否则视为无效投标。</w:t>
      </w:r>
    </w:p>
    <w:p w14:paraId="14801788">
      <w:pPr>
        <w:snapToGrid w:val="0"/>
        <w:spacing w:line="360" w:lineRule="auto"/>
        <w:ind w:firstLine="723" w:firstLineChars="300"/>
        <w:outlineLvl w:val="9"/>
        <w:rPr>
          <w:rFonts w:ascii="宋体" w:hAnsi="宋体"/>
          <w:b/>
          <w:sz w:val="24"/>
        </w:rPr>
      </w:pPr>
      <w:r>
        <w:rPr>
          <w:rFonts w:hint="eastAsia" w:ascii="宋体" w:hAnsi="宋体"/>
          <w:b/>
          <w:sz w:val="24"/>
        </w:rPr>
        <w:t>2. 本声明函如有虚假或与事实不符的，作无效投标处理。</w:t>
      </w:r>
    </w:p>
    <w:p w14:paraId="69DC41FE">
      <w:pPr>
        <w:spacing w:line="360" w:lineRule="auto"/>
        <w:ind w:firstLine="480" w:firstLineChars="200"/>
        <w:rPr>
          <w:rFonts w:ascii="宋体" w:hAnsi="宋体"/>
          <w:sz w:val="24"/>
        </w:rPr>
      </w:pPr>
    </w:p>
    <w:p w14:paraId="071D140E">
      <w:pPr>
        <w:spacing w:line="360" w:lineRule="auto"/>
        <w:ind w:firstLine="420"/>
        <w:rPr>
          <w:color w:val="000000" w:themeColor="text1"/>
          <w:sz w:val="24"/>
          <w14:textFill>
            <w14:solidFill>
              <w14:schemeClr w14:val="tx1"/>
            </w14:solidFill>
          </w14:textFill>
        </w:rPr>
      </w:pPr>
      <w:r>
        <w:rPr>
          <w:rFonts w:hint="eastAsia"/>
          <w:b/>
          <w:bCs/>
          <w:color w:val="000000" w:themeColor="text1"/>
          <w:sz w:val="24"/>
          <w14:textFill>
            <w14:solidFill>
              <w14:schemeClr w14:val="tx1"/>
            </w14:solidFill>
          </w14:textFill>
        </w:rPr>
        <w:t>投标人单位名称：</w:t>
      </w:r>
      <w:r>
        <w:rPr>
          <w:rFonts w:hint="eastAsia"/>
          <w:color w:val="000000" w:themeColor="text1"/>
          <w:sz w:val="24"/>
          <w:u w:val="single"/>
          <w14:textFill>
            <w14:solidFill>
              <w14:schemeClr w14:val="tx1"/>
            </w14:solidFill>
          </w14:textFill>
        </w:rPr>
        <w:t xml:space="preserve">                             </w:t>
      </w:r>
      <w:r>
        <w:rPr>
          <w:rFonts w:hint="eastAsia"/>
          <w:color w:val="000000" w:themeColor="text1"/>
          <w:sz w:val="24"/>
          <w14:textFill>
            <w14:solidFill>
              <w14:schemeClr w14:val="tx1"/>
            </w14:solidFill>
          </w14:textFill>
        </w:rPr>
        <w:t>　　　　　　　</w:t>
      </w:r>
    </w:p>
    <w:p w14:paraId="275EBD85">
      <w:pPr>
        <w:spacing w:line="360" w:lineRule="auto"/>
        <w:ind w:firstLine="420"/>
        <w:rPr>
          <w:rFonts w:ascii="宋体" w:hAnsi="宋体"/>
          <w:b/>
          <w:bCs/>
          <w:sz w:val="24"/>
        </w:rPr>
      </w:pPr>
      <w:r>
        <w:rPr>
          <w:rFonts w:hint="eastAsia"/>
          <w:b/>
          <w:bCs/>
          <w:color w:val="000000" w:themeColor="text1"/>
          <w:sz w:val="24"/>
          <w14:textFill>
            <w14:solidFill>
              <w14:schemeClr w14:val="tx1"/>
            </w14:solidFill>
          </w14:textFill>
        </w:rPr>
        <w:t>日期：</w:t>
      </w:r>
      <w:r>
        <w:rPr>
          <w:rFonts w:hint="eastAsia" w:ascii="宋体" w:hAnsi="宋体"/>
          <w:b/>
          <w:bCs/>
          <w:sz w:val="24"/>
          <w:u w:val="single"/>
        </w:rPr>
        <w:t xml:space="preserve">       </w:t>
      </w:r>
      <w:r>
        <w:rPr>
          <w:rFonts w:hint="eastAsia" w:ascii="宋体" w:hAnsi="宋体"/>
          <w:b/>
          <w:bCs/>
          <w:sz w:val="24"/>
        </w:rPr>
        <w:t>年</w:t>
      </w:r>
      <w:r>
        <w:rPr>
          <w:rFonts w:hint="eastAsia" w:ascii="宋体" w:hAnsi="宋体"/>
          <w:b/>
          <w:bCs/>
          <w:sz w:val="24"/>
          <w:u w:val="single"/>
        </w:rPr>
        <w:t xml:space="preserve">     </w:t>
      </w:r>
      <w:r>
        <w:rPr>
          <w:rFonts w:hint="eastAsia" w:ascii="宋体" w:hAnsi="宋体"/>
          <w:b/>
          <w:bCs/>
          <w:sz w:val="24"/>
        </w:rPr>
        <w:t>月</w:t>
      </w:r>
      <w:r>
        <w:rPr>
          <w:rFonts w:hint="eastAsia" w:ascii="宋体" w:hAnsi="宋体"/>
          <w:b/>
          <w:bCs/>
          <w:sz w:val="24"/>
          <w:u w:val="single"/>
        </w:rPr>
        <w:t xml:space="preserve">    </w:t>
      </w:r>
      <w:r>
        <w:rPr>
          <w:rFonts w:hint="eastAsia" w:ascii="宋体" w:hAnsi="宋体"/>
          <w:b/>
          <w:bCs/>
          <w:sz w:val="24"/>
        </w:rPr>
        <w:t>日</w:t>
      </w:r>
    </w:p>
    <w:p w14:paraId="022C1E85">
      <w:pPr>
        <w:spacing w:line="360" w:lineRule="auto"/>
        <w:ind w:firstLine="241" w:firstLineChars="100"/>
        <w:outlineLvl w:val="9"/>
        <w:rPr>
          <w:b/>
          <w:sz w:val="24"/>
        </w:rPr>
      </w:pPr>
      <w:r>
        <w:rPr>
          <w:rFonts w:hint="eastAsia"/>
          <w:b/>
          <w:sz w:val="24"/>
        </w:rPr>
        <w:t>（此处加盖投标人单位公章）</w:t>
      </w:r>
    </w:p>
    <w:p w14:paraId="51C2D38A">
      <w:pPr>
        <w:widowControl/>
        <w:jc w:val="left"/>
        <w:rPr>
          <w:b/>
          <w:sz w:val="24"/>
        </w:rPr>
      </w:pPr>
      <w:r>
        <w:rPr>
          <w:b/>
          <w:sz w:val="24"/>
        </w:rPr>
        <w:br w:type="page"/>
      </w:r>
    </w:p>
    <w:p w14:paraId="04BEA813">
      <w:pPr>
        <w:keepNext w:val="0"/>
        <w:keepLines w:val="0"/>
        <w:widowControl/>
        <w:suppressLineNumbers w:val="0"/>
        <w:jc w:val="center"/>
        <w:outlineLvl w:val="0"/>
        <w:rPr>
          <w:rFonts w:hint="eastAsia" w:ascii="宋体" w:hAnsi="宋体" w:eastAsia="宋体" w:cs="宋体"/>
          <w:b/>
          <w:bCs/>
          <w:color w:val="auto"/>
          <w:sz w:val="36"/>
          <w:szCs w:val="36"/>
          <w:highlight w:val="none"/>
        </w:rPr>
      </w:pPr>
      <w:bookmarkStart w:id="60" w:name="_承诺函"/>
      <w:bookmarkEnd w:id="60"/>
      <w:bookmarkStart w:id="61" w:name="_Toc23121"/>
      <w:bookmarkStart w:id="62" w:name="_Toc50737329"/>
      <w:bookmarkStart w:id="63" w:name="_Toc50736477"/>
      <w:bookmarkStart w:id="64" w:name="_Toc275865607"/>
      <w:bookmarkStart w:id="65" w:name="_Toc27672"/>
      <w:bookmarkStart w:id="66" w:name="_Toc50737297"/>
      <w:bookmarkStart w:id="67" w:name="_Toc435514859"/>
      <w:bookmarkStart w:id="68" w:name="_Toc24149"/>
      <w:bookmarkStart w:id="69" w:name="_Toc435515299"/>
      <w:bookmarkStart w:id="70" w:name="_Toc52165081"/>
      <w:bookmarkStart w:id="71" w:name="_Toc50736476"/>
      <w:bookmarkStart w:id="72" w:name="_Toc50737296"/>
      <w:bookmarkStart w:id="73" w:name="_Toc52165080"/>
      <w:bookmarkStart w:id="74" w:name="_Toc50737328"/>
      <w:bookmarkStart w:id="75" w:name="_Toc50691034"/>
      <w:r>
        <w:rPr>
          <w:rFonts w:hint="eastAsia" w:cs="宋体" w:asciiTheme="majorEastAsia" w:hAnsiTheme="majorEastAsia" w:eastAsiaTheme="majorEastAsia"/>
          <w:kern w:val="2"/>
          <w:sz w:val="30"/>
          <w:szCs w:val="30"/>
          <w:lang w:val="en-US" w:eastAsia="zh-CN" w:bidi="ar-SA"/>
        </w:rPr>
        <w:t>（十三）政府采购违法行为风险知悉确认书</w:t>
      </w:r>
      <w:bookmarkEnd w:id="61"/>
    </w:p>
    <w:p w14:paraId="20E114A7">
      <w:pPr>
        <w:spacing w:before="0" w:beforeLines="0" w:after="157" w:afterLines="50" w:line="360" w:lineRule="exact"/>
        <w:ind w:firstLine="482" w:firstLineChars="200"/>
        <w:rPr>
          <w:rFonts w:hint="eastAsia" w:ascii="宋体" w:hAnsi="宋体" w:eastAsia="宋体" w:cs="宋体"/>
          <w:b/>
          <w:bCs/>
          <w:color w:val="auto"/>
          <w:sz w:val="24"/>
          <w:highlight w:val="none"/>
          <w:lang w:val="en-US" w:eastAsia="zh-CN"/>
        </w:rPr>
      </w:pPr>
      <w:r>
        <w:rPr>
          <w:rFonts w:hint="eastAsia" w:ascii="宋体" w:hAnsi="宋体" w:eastAsia="宋体" w:cs="宋体"/>
          <w:b/>
          <w:bCs/>
          <w:color w:val="auto"/>
          <w:sz w:val="24"/>
          <w:highlight w:val="none"/>
          <w:lang w:eastAsia="zh-CN"/>
        </w:rPr>
        <w:t>我</w:t>
      </w:r>
      <w:r>
        <w:rPr>
          <w:rFonts w:hint="eastAsia" w:ascii="宋体" w:hAnsi="宋体" w:eastAsia="宋体" w:cs="宋体"/>
          <w:b/>
          <w:bCs/>
          <w:color w:val="auto"/>
          <w:sz w:val="24"/>
          <w:szCs w:val="24"/>
          <w:highlight w:val="none"/>
          <w:lang w:val="en-US" w:eastAsia="zh-CN"/>
        </w:rPr>
        <w:t>单位</w:t>
      </w:r>
      <w:r>
        <w:rPr>
          <w:rFonts w:hint="eastAsia" w:ascii="宋体" w:hAnsi="宋体" w:eastAsia="宋体" w:cs="宋体"/>
          <w:b/>
          <w:bCs/>
          <w:color w:val="auto"/>
          <w:sz w:val="24"/>
          <w:highlight w:val="none"/>
        </w:rPr>
        <w:t>在投标前已充分知悉以下情形为参与政府采购活动时的重大风险事项，并承诺已对下述风险提示事项重点排查，</w:t>
      </w:r>
      <w:r>
        <w:rPr>
          <w:rFonts w:hint="eastAsia" w:ascii="宋体" w:hAnsi="宋体" w:eastAsia="宋体" w:cs="宋体"/>
          <w:b/>
          <w:bCs/>
          <w:color w:val="auto"/>
          <w:sz w:val="24"/>
          <w:highlight w:val="none"/>
          <w:lang w:val="en-US" w:eastAsia="zh-CN"/>
        </w:rPr>
        <w:t>若存在下述情况，我单位愿意依法承担被记入供应商诚信档案、罚款、取消参与政府采购资格等处罚；构成犯罪的，依法承担刑事责任。</w:t>
      </w:r>
    </w:p>
    <w:tbl>
      <w:tblPr>
        <w:tblStyle w:val="2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1"/>
        <w:gridCol w:w="7821"/>
      </w:tblGrid>
      <w:tr w14:paraId="3D8330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 w:hRule="atLeast"/>
          <w:jc w:val="center"/>
        </w:trPr>
        <w:tc>
          <w:tcPr>
            <w:tcW w:w="711" w:type="dxa"/>
            <w:noWrap w:val="0"/>
            <w:vAlign w:val="top"/>
          </w:tcPr>
          <w:p w14:paraId="4BB5992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序号</w:t>
            </w:r>
          </w:p>
        </w:tc>
        <w:tc>
          <w:tcPr>
            <w:tcW w:w="8085" w:type="dxa"/>
            <w:noWrap w:val="0"/>
            <w:vAlign w:val="top"/>
          </w:tcPr>
          <w:p w14:paraId="3C32FF9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供应商参与投标禁止情形</w:t>
            </w:r>
          </w:p>
        </w:tc>
      </w:tr>
      <w:tr w14:paraId="5BE773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1" w:type="dxa"/>
            <w:noWrap w:val="0"/>
            <w:vAlign w:val="top"/>
          </w:tcPr>
          <w:p w14:paraId="5C259D3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w:t>
            </w:r>
          </w:p>
        </w:tc>
        <w:tc>
          <w:tcPr>
            <w:tcW w:w="8085" w:type="dxa"/>
            <w:noWrap w:val="0"/>
            <w:vAlign w:val="center"/>
          </w:tcPr>
          <w:p w14:paraId="3B0FAFA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与其他投标供应商的法定代表人、主要经营负责人、投标授权代表人、项目负责人、主要技术人员为</w:t>
            </w:r>
            <w:r>
              <w:rPr>
                <w:rFonts w:hint="eastAsia" w:ascii="宋体" w:hAnsi="宋体" w:eastAsia="宋体" w:cs="宋体"/>
                <w:b/>
                <w:bCs/>
                <w:color w:val="auto"/>
                <w:sz w:val="24"/>
                <w:szCs w:val="24"/>
                <w:highlight w:val="none"/>
                <w:lang w:val="en-US" w:eastAsia="zh-CN"/>
              </w:rPr>
              <w:t>同一人、属同一单位或者在同一单位缴纳社会保险</w:t>
            </w:r>
            <w:r>
              <w:rPr>
                <w:rFonts w:hint="eastAsia" w:ascii="宋体" w:hAnsi="宋体" w:eastAsia="宋体" w:cs="宋体"/>
                <w:color w:val="auto"/>
                <w:sz w:val="24"/>
                <w:szCs w:val="24"/>
                <w:highlight w:val="none"/>
                <w:lang w:val="en-US" w:eastAsia="zh-CN"/>
              </w:rPr>
              <w:t>。</w:t>
            </w:r>
          </w:p>
        </w:tc>
      </w:tr>
      <w:tr w14:paraId="417A58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11" w:type="dxa"/>
            <w:noWrap w:val="0"/>
            <w:vAlign w:val="top"/>
          </w:tcPr>
          <w:p w14:paraId="1E0948E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w:t>
            </w:r>
          </w:p>
        </w:tc>
        <w:tc>
          <w:tcPr>
            <w:tcW w:w="8085" w:type="dxa"/>
            <w:noWrap w:val="0"/>
            <w:vAlign w:val="center"/>
          </w:tcPr>
          <w:p w14:paraId="6261DBA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参与本项目政府采购活动时，与其他投标供应商存在单位负责人为</w:t>
            </w:r>
            <w:r>
              <w:rPr>
                <w:rFonts w:hint="eastAsia" w:ascii="宋体" w:hAnsi="宋体" w:eastAsia="宋体" w:cs="宋体"/>
                <w:b/>
                <w:bCs/>
                <w:color w:val="auto"/>
                <w:sz w:val="24"/>
                <w:szCs w:val="24"/>
                <w:highlight w:val="none"/>
                <w:lang w:val="en-US" w:eastAsia="zh-CN"/>
              </w:rPr>
              <w:t>同一人或直接控股、管理关系</w:t>
            </w:r>
            <w:r>
              <w:rPr>
                <w:rFonts w:hint="eastAsia" w:ascii="宋体" w:hAnsi="宋体" w:eastAsia="宋体" w:cs="宋体"/>
                <w:color w:val="auto"/>
                <w:sz w:val="24"/>
                <w:szCs w:val="24"/>
                <w:highlight w:val="none"/>
                <w:lang w:val="en-US" w:eastAsia="zh-CN"/>
              </w:rPr>
              <w:t>。</w:t>
            </w:r>
          </w:p>
        </w:tc>
      </w:tr>
      <w:tr w14:paraId="7D5EED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1" w:type="dxa"/>
            <w:noWrap w:val="0"/>
            <w:vAlign w:val="top"/>
          </w:tcPr>
          <w:p w14:paraId="141F786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w:t>
            </w:r>
          </w:p>
        </w:tc>
        <w:tc>
          <w:tcPr>
            <w:tcW w:w="8085" w:type="dxa"/>
            <w:noWrap w:val="0"/>
            <w:vAlign w:val="center"/>
          </w:tcPr>
          <w:p w14:paraId="3CDD8AD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与其他投标供应商的投标文件或部分投标文件</w:t>
            </w:r>
            <w:r>
              <w:rPr>
                <w:rFonts w:hint="eastAsia" w:ascii="宋体" w:hAnsi="宋体" w:eastAsia="宋体" w:cs="宋体"/>
                <w:b/>
                <w:bCs/>
                <w:color w:val="auto"/>
                <w:sz w:val="24"/>
                <w:szCs w:val="24"/>
                <w:highlight w:val="none"/>
                <w:lang w:val="en-US" w:eastAsia="zh-CN"/>
              </w:rPr>
              <w:t>相互混装或存在非正常一致</w:t>
            </w:r>
            <w:r>
              <w:rPr>
                <w:rFonts w:hint="eastAsia" w:ascii="宋体" w:hAnsi="宋体" w:eastAsia="宋体" w:cs="宋体"/>
                <w:color w:val="auto"/>
                <w:sz w:val="24"/>
                <w:szCs w:val="24"/>
                <w:highlight w:val="none"/>
                <w:lang w:val="en-US" w:eastAsia="zh-CN"/>
              </w:rPr>
              <w:t>。</w:t>
            </w:r>
          </w:p>
        </w:tc>
      </w:tr>
      <w:tr w14:paraId="1F938E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1" w:type="dxa"/>
            <w:noWrap w:val="0"/>
            <w:vAlign w:val="top"/>
          </w:tcPr>
          <w:p w14:paraId="7078102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w:t>
            </w:r>
          </w:p>
        </w:tc>
        <w:tc>
          <w:tcPr>
            <w:tcW w:w="8085" w:type="dxa"/>
            <w:noWrap w:val="0"/>
            <w:vAlign w:val="center"/>
          </w:tcPr>
          <w:p w14:paraId="15D6B5F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lang w:val="en-US" w:eastAsia="zh-CN"/>
              </w:rPr>
              <w:t>与其他投标供应商的投标文件由</w:t>
            </w:r>
            <w:r>
              <w:rPr>
                <w:rFonts w:hint="eastAsia" w:ascii="宋体" w:hAnsi="宋体" w:eastAsia="宋体" w:cs="宋体"/>
                <w:b/>
                <w:bCs/>
                <w:color w:val="auto"/>
                <w:sz w:val="24"/>
                <w:szCs w:val="24"/>
                <w:highlight w:val="none"/>
                <w:lang w:val="en-US" w:eastAsia="zh-CN"/>
              </w:rPr>
              <w:t>同一单位或者同一人编制</w:t>
            </w:r>
            <w:r>
              <w:rPr>
                <w:rFonts w:hint="eastAsia" w:ascii="宋体" w:hAnsi="宋体" w:eastAsia="宋体" w:cs="宋体"/>
                <w:color w:val="auto"/>
                <w:sz w:val="24"/>
                <w:szCs w:val="24"/>
                <w:highlight w:val="none"/>
                <w:lang w:val="en-US" w:eastAsia="zh-CN"/>
              </w:rPr>
              <w:t>，或者使用</w:t>
            </w:r>
            <w:r>
              <w:rPr>
                <w:rFonts w:hint="eastAsia" w:ascii="宋体" w:hAnsi="宋体" w:eastAsia="宋体" w:cs="宋体"/>
                <w:b/>
                <w:bCs/>
                <w:color w:val="auto"/>
                <w:sz w:val="24"/>
                <w:szCs w:val="24"/>
                <w:highlight w:val="none"/>
                <w:lang w:val="en-US" w:eastAsia="zh-CN"/>
              </w:rPr>
              <w:t>同一设备编制</w:t>
            </w:r>
            <w:r>
              <w:rPr>
                <w:rFonts w:hint="eastAsia" w:ascii="宋体" w:hAnsi="宋体" w:eastAsia="宋体" w:cs="宋体"/>
                <w:color w:val="auto"/>
                <w:sz w:val="24"/>
                <w:szCs w:val="24"/>
                <w:highlight w:val="none"/>
                <w:lang w:val="en-US" w:eastAsia="zh-CN"/>
              </w:rPr>
              <w:t>（“文件制作机器码”“文件创建标识码”一致）。</w:t>
            </w:r>
          </w:p>
        </w:tc>
      </w:tr>
      <w:tr w14:paraId="01531A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11" w:type="dxa"/>
            <w:noWrap w:val="0"/>
            <w:vAlign w:val="top"/>
          </w:tcPr>
          <w:p w14:paraId="5395EF5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w:t>
            </w:r>
          </w:p>
        </w:tc>
        <w:tc>
          <w:tcPr>
            <w:tcW w:w="8085" w:type="dxa"/>
            <w:noWrap w:val="0"/>
            <w:vAlign w:val="center"/>
          </w:tcPr>
          <w:p w14:paraId="54725C9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提供</w:t>
            </w:r>
            <w:r>
              <w:rPr>
                <w:rFonts w:hint="eastAsia" w:ascii="宋体" w:hAnsi="宋体" w:eastAsia="宋体" w:cs="宋体"/>
                <w:b/>
                <w:bCs/>
                <w:color w:val="auto"/>
                <w:sz w:val="24"/>
                <w:szCs w:val="24"/>
                <w:highlight w:val="none"/>
                <w:lang w:val="en-US" w:eastAsia="zh-CN"/>
              </w:rPr>
              <w:t>未经出具机构核实</w:t>
            </w:r>
            <w:r>
              <w:rPr>
                <w:rFonts w:hint="eastAsia" w:ascii="宋体" w:hAnsi="宋体" w:eastAsia="宋体" w:cs="宋体"/>
                <w:color w:val="auto"/>
                <w:sz w:val="24"/>
                <w:szCs w:val="24"/>
                <w:highlight w:val="none"/>
                <w:lang w:val="en-US" w:eastAsia="zh-CN"/>
              </w:rPr>
              <w:t>的虚假的检验检测报告、业绩材料、社保缴纳证明、学历学位证书、职称认证证书等材料。</w:t>
            </w:r>
          </w:p>
        </w:tc>
      </w:tr>
      <w:tr w14:paraId="1A1106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1" w:type="dxa"/>
            <w:noWrap w:val="0"/>
            <w:vAlign w:val="top"/>
          </w:tcPr>
          <w:p w14:paraId="157D3FA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6</w:t>
            </w:r>
          </w:p>
        </w:tc>
        <w:tc>
          <w:tcPr>
            <w:tcW w:w="8085" w:type="dxa"/>
            <w:noWrap w:val="0"/>
            <w:vAlign w:val="center"/>
          </w:tcPr>
          <w:p w14:paraId="720EBC4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lang w:val="en-US" w:eastAsia="zh-CN"/>
              </w:rPr>
              <w:t>擅自将投标密钥或电子营业执照出借他人使用或未妥善保管。</w:t>
            </w:r>
          </w:p>
        </w:tc>
      </w:tr>
    </w:tbl>
    <w:p w14:paraId="5947B219">
      <w:pPr>
        <w:spacing w:before="157" w:beforeLines="50" w:line="380" w:lineRule="exact"/>
        <w:ind w:firstLine="422" w:firstLineChars="200"/>
        <w:outlineLvl w:val="1"/>
        <w:rPr>
          <w:rFonts w:hint="eastAsia" w:ascii="宋体" w:hAnsi="宋体" w:eastAsia="宋体" w:cs="宋体"/>
          <w:b/>
          <w:color w:val="auto"/>
          <w:highlight w:val="none"/>
        </w:rPr>
      </w:pPr>
      <w:r>
        <w:rPr>
          <w:rFonts w:hint="eastAsia" w:ascii="宋体" w:hAnsi="宋体" w:eastAsia="宋体" w:cs="宋体"/>
          <w:b/>
          <w:color w:val="auto"/>
          <w:highlight w:val="none"/>
        </w:rPr>
        <w:t>一、</w:t>
      </w:r>
      <w:r>
        <w:rPr>
          <w:rFonts w:hint="eastAsia" w:ascii="宋体" w:hAnsi="宋体" w:eastAsia="宋体" w:cs="宋体"/>
          <w:b/>
          <w:color w:val="auto"/>
          <w:highlight w:val="none"/>
          <w:lang w:eastAsia="zh-CN"/>
        </w:rPr>
        <w:t>我</w:t>
      </w:r>
      <w:r>
        <w:rPr>
          <w:rFonts w:hint="eastAsia" w:ascii="宋体" w:hAnsi="宋体" w:eastAsia="宋体" w:cs="宋体"/>
          <w:b/>
          <w:color w:val="auto"/>
          <w:highlight w:val="none"/>
          <w:lang w:val="en-US" w:eastAsia="zh-CN"/>
        </w:rPr>
        <w:t>单位</w:t>
      </w:r>
      <w:r>
        <w:rPr>
          <w:rFonts w:hint="eastAsia" w:ascii="宋体" w:hAnsi="宋体" w:eastAsia="宋体" w:cs="宋体"/>
          <w:b/>
          <w:color w:val="auto"/>
          <w:highlight w:val="none"/>
        </w:rPr>
        <w:t>已充分知悉“隐瞒真实情况，提供虚假资料”的法定情形，包括但不限于：</w:t>
      </w:r>
    </w:p>
    <w:p w14:paraId="7228650E">
      <w:pPr>
        <w:spacing w:beforeLines="0" w:line="38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（一）通过转让或者租借等方式从其他单位获取资格或者资质证书投标的。</w:t>
      </w:r>
    </w:p>
    <w:p w14:paraId="17D34ED0">
      <w:pPr>
        <w:spacing w:beforeLines="0" w:line="38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（二）由其他单位或者其他单位负责人在投标供应商编制的投标文件上加盖印章或者签字的。</w:t>
      </w:r>
    </w:p>
    <w:p w14:paraId="69668DEE">
      <w:pPr>
        <w:spacing w:beforeLines="0" w:line="38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（三）项目负责人或者主要技术人员不是本单位人员的。</w:t>
      </w:r>
    </w:p>
    <w:p w14:paraId="598519CE">
      <w:pPr>
        <w:spacing w:beforeLines="0" w:line="38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（四）投标保证金不是从投标供应商基本账户转出的。</w:t>
      </w:r>
    </w:p>
    <w:p w14:paraId="1F469B7D">
      <w:pPr>
        <w:spacing w:beforeLines="0" w:line="38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（五）其他隐瞒真实情况、提供虚假资料的行为。</w:t>
      </w:r>
    </w:p>
    <w:p w14:paraId="357F0084">
      <w:pPr>
        <w:spacing w:beforeLines="0" w:line="380" w:lineRule="exact"/>
        <w:ind w:firstLine="422" w:firstLineChars="200"/>
        <w:outlineLvl w:val="1"/>
        <w:rPr>
          <w:rFonts w:hint="eastAsia" w:ascii="宋体" w:hAnsi="宋体" w:eastAsia="宋体" w:cs="宋体"/>
          <w:b/>
          <w:color w:val="auto"/>
          <w:highlight w:val="none"/>
        </w:rPr>
      </w:pPr>
      <w:r>
        <w:rPr>
          <w:rFonts w:hint="eastAsia" w:ascii="宋体" w:hAnsi="宋体" w:eastAsia="宋体" w:cs="宋体"/>
          <w:b/>
          <w:color w:val="auto"/>
          <w:highlight w:val="none"/>
        </w:rPr>
        <w:t>二、</w:t>
      </w:r>
      <w:r>
        <w:rPr>
          <w:rFonts w:hint="eastAsia" w:ascii="宋体" w:hAnsi="宋体" w:eastAsia="宋体" w:cs="宋体"/>
          <w:b/>
          <w:color w:val="auto"/>
          <w:highlight w:val="none"/>
          <w:lang w:eastAsia="zh-CN"/>
        </w:rPr>
        <w:t>我</w:t>
      </w:r>
      <w:r>
        <w:rPr>
          <w:rFonts w:hint="eastAsia" w:ascii="宋体" w:hAnsi="宋体" w:eastAsia="宋体" w:cs="宋体"/>
          <w:b/>
          <w:color w:val="auto"/>
          <w:highlight w:val="none"/>
          <w:lang w:val="en-US" w:eastAsia="zh-CN"/>
        </w:rPr>
        <w:t>单位</w:t>
      </w:r>
      <w:r>
        <w:rPr>
          <w:rFonts w:hint="eastAsia" w:ascii="宋体" w:hAnsi="宋体" w:eastAsia="宋体" w:cs="宋体"/>
          <w:b/>
          <w:color w:val="auto"/>
          <w:highlight w:val="none"/>
        </w:rPr>
        <w:t>已充分知悉“与其他采购参加人串通投标”的法定情形，包括但不限于：</w:t>
      </w:r>
    </w:p>
    <w:p w14:paraId="49D8EFC2">
      <w:pPr>
        <w:spacing w:beforeLines="0" w:line="380" w:lineRule="exact"/>
        <w:ind w:firstLine="420" w:firstLineChars="200"/>
        <w:outlineLvl w:val="9"/>
        <w:rPr>
          <w:rFonts w:hint="eastAsia" w:ascii="宋体" w:hAnsi="宋体" w:eastAsia="宋体" w:cs="宋体"/>
          <w:color w:val="auto"/>
          <w:highlight w:val="none"/>
        </w:rPr>
      </w:pPr>
      <w:r>
        <w:rPr>
          <w:rFonts w:hint="eastAsia" w:ascii="宋体" w:hAnsi="宋体" w:eastAsia="宋体" w:cs="宋体"/>
          <w:color w:val="auto"/>
          <w:highlight w:val="none"/>
        </w:rPr>
        <w:t>（一）投标供应商之间相互约定给予未中标的供应商利益补偿。</w:t>
      </w:r>
    </w:p>
    <w:p w14:paraId="21A233C2">
      <w:pPr>
        <w:spacing w:beforeLines="0" w:line="38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（二）不同投标供应商的法定代表人、主要经营负责人、项目投标授权代表人、项目负责人、主要技术人员为同一人、属同一单位或者在同一单位缴纳社会保险。</w:t>
      </w:r>
    </w:p>
    <w:p w14:paraId="7818E9A2">
      <w:pPr>
        <w:spacing w:beforeLines="0" w:line="34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（三）不同投标供应商的投标文件由同一单位或者同一人编制，或者由同一人分阶段参与编制的。</w:t>
      </w:r>
    </w:p>
    <w:p w14:paraId="0786DCD3">
      <w:pPr>
        <w:spacing w:beforeLines="0" w:line="34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（四）不同投标供应商的投标文件或部分投标文件相互混装。</w:t>
      </w:r>
    </w:p>
    <w:p w14:paraId="7BDDC56B">
      <w:pPr>
        <w:spacing w:beforeLines="0" w:line="34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（五）不同投标供应商的投标文件内容存在非正常一致。</w:t>
      </w:r>
    </w:p>
    <w:p w14:paraId="3213BA6B">
      <w:pPr>
        <w:spacing w:beforeLines="0" w:line="34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（六）由同一单位工作人员为两家以上（含两家）供应商进行同一项投标活动的。</w:t>
      </w:r>
    </w:p>
    <w:p w14:paraId="2D578AD8">
      <w:pPr>
        <w:spacing w:beforeLines="0" w:line="34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（七）不同投标人的投标报价呈规律性差异。</w:t>
      </w:r>
    </w:p>
    <w:p w14:paraId="1B067A2A">
      <w:pPr>
        <w:spacing w:beforeLines="0" w:line="34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（八）不同投标人的投标保证金从同一单位或者个人的账户转出。</w:t>
      </w:r>
    </w:p>
    <w:p w14:paraId="38137543">
      <w:pPr>
        <w:spacing w:beforeLines="0" w:line="34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（九）主管部门依照法律、法规认定的其他情形。</w:t>
      </w:r>
    </w:p>
    <w:p w14:paraId="30797EF1">
      <w:pPr>
        <w:spacing w:beforeLines="0" w:line="340" w:lineRule="exact"/>
        <w:ind w:firstLine="422" w:firstLineChars="200"/>
        <w:outlineLvl w:val="1"/>
        <w:rPr>
          <w:rFonts w:hint="eastAsia" w:ascii="宋体" w:hAnsi="宋体" w:eastAsia="宋体" w:cs="宋体"/>
          <w:b/>
          <w:color w:val="auto"/>
          <w:highlight w:val="none"/>
        </w:rPr>
      </w:pPr>
      <w:r>
        <w:rPr>
          <w:rFonts w:hint="eastAsia" w:ascii="宋体" w:hAnsi="宋体" w:eastAsia="宋体" w:cs="宋体"/>
          <w:b/>
          <w:color w:val="auto"/>
          <w:highlight w:val="none"/>
        </w:rPr>
        <w:t>三、</w:t>
      </w:r>
      <w:r>
        <w:rPr>
          <w:rFonts w:hint="eastAsia" w:ascii="宋体" w:hAnsi="宋体" w:eastAsia="宋体" w:cs="宋体"/>
          <w:b/>
          <w:color w:val="auto"/>
          <w:highlight w:val="none"/>
          <w:lang w:eastAsia="zh-CN"/>
        </w:rPr>
        <w:t>我</w:t>
      </w:r>
      <w:r>
        <w:rPr>
          <w:rFonts w:hint="eastAsia" w:ascii="宋体" w:hAnsi="宋体" w:eastAsia="宋体" w:cs="宋体"/>
          <w:b/>
          <w:color w:val="auto"/>
          <w:highlight w:val="none"/>
          <w:lang w:val="en-US" w:eastAsia="zh-CN"/>
        </w:rPr>
        <w:t>单位</w:t>
      </w:r>
      <w:r>
        <w:rPr>
          <w:rFonts w:hint="eastAsia" w:ascii="宋体" w:hAnsi="宋体" w:eastAsia="宋体" w:cs="宋体"/>
          <w:b/>
          <w:color w:val="auto"/>
          <w:highlight w:val="none"/>
        </w:rPr>
        <w:t>已充分知悉下列情形</w:t>
      </w:r>
      <w:r>
        <w:rPr>
          <w:rFonts w:hint="eastAsia" w:ascii="宋体" w:hAnsi="宋体" w:eastAsia="宋体" w:cs="宋体"/>
          <w:b/>
          <w:color w:val="auto"/>
          <w:highlight w:val="none"/>
          <w:lang w:eastAsia="zh-CN"/>
        </w:rPr>
        <w:t>存在</w:t>
      </w:r>
      <w:r>
        <w:rPr>
          <w:rFonts w:hint="eastAsia" w:ascii="宋体" w:hAnsi="宋体" w:eastAsia="宋体" w:cs="宋体"/>
          <w:b/>
          <w:color w:val="auto"/>
          <w:highlight w:val="none"/>
        </w:rPr>
        <w:t>法律风险，在投标前已对相关风险事项进行排查。</w:t>
      </w:r>
    </w:p>
    <w:p w14:paraId="0E381613">
      <w:pPr>
        <w:spacing w:beforeLines="0" w:line="340" w:lineRule="exact"/>
        <w:ind w:firstLine="420" w:firstLineChars="200"/>
        <w:rPr>
          <w:rFonts w:hint="eastAsia" w:ascii="宋体" w:hAnsi="宋体" w:eastAsia="宋体" w:cs="宋体"/>
          <w:b/>
          <w:color w:val="auto"/>
          <w:highlight w:val="none"/>
        </w:rPr>
      </w:pPr>
      <w:r>
        <w:rPr>
          <w:rFonts w:hint="eastAsia" w:ascii="宋体" w:hAnsi="宋体" w:eastAsia="宋体" w:cs="宋体"/>
          <w:color w:val="auto"/>
          <w:highlight w:val="none"/>
        </w:rPr>
        <w:t>（一）对于从其他主体获取的投标资料，</w:t>
      </w:r>
      <w:r>
        <w:rPr>
          <w:rFonts w:hint="eastAsia" w:ascii="宋体" w:hAnsi="宋体" w:eastAsia="宋体" w:cs="宋体"/>
          <w:color w:val="auto"/>
          <w:highlight w:val="none"/>
          <w:lang w:eastAsia="zh-CN"/>
        </w:rPr>
        <w:t>我</w:t>
      </w:r>
      <w:r>
        <w:rPr>
          <w:rFonts w:hint="eastAsia" w:ascii="宋体" w:hAnsi="宋体" w:eastAsia="宋体" w:cs="宋体"/>
          <w:color w:val="auto"/>
          <w:highlight w:val="none"/>
          <w:lang w:val="en-US" w:eastAsia="zh-CN"/>
        </w:rPr>
        <w:t>单位</w:t>
      </w:r>
      <w:r>
        <w:rPr>
          <w:rFonts w:hint="eastAsia" w:ascii="宋体" w:hAnsi="宋体" w:eastAsia="宋体" w:cs="宋体"/>
          <w:color w:val="auto"/>
          <w:highlight w:val="none"/>
        </w:rPr>
        <w:t>应审慎核查，确保</w:t>
      </w:r>
      <w:r>
        <w:rPr>
          <w:rFonts w:hint="eastAsia" w:ascii="宋体" w:hAnsi="宋体" w:eastAsia="宋体" w:cs="宋体"/>
          <w:color w:val="auto"/>
          <w:highlight w:val="none"/>
          <w:lang w:eastAsia="zh-CN"/>
        </w:rPr>
        <w:t>其</w:t>
      </w:r>
      <w:r>
        <w:rPr>
          <w:rFonts w:hint="eastAsia" w:ascii="宋体" w:hAnsi="宋体" w:eastAsia="宋体" w:cs="宋体"/>
          <w:color w:val="auto"/>
          <w:highlight w:val="none"/>
        </w:rPr>
        <w:t>真实性。</w:t>
      </w:r>
      <w:r>
        <w:rPr>
          <w:rFonts w:hint="eastAsia" w:ascii="宋体" w:hAnsi="宋体" w:eastAsia="宋体" w:cs="宋体"/>
          <w:b/>
          <w:color w:val="auto"/>
          <w:highlight w:val="none"/>
        </w:rPr>
        <w:t>如主管部门查实投标文件中存在虚假资料的，无论相关资料是否由第三方或本公司员工提供，均不影响主管部门对供应商存在“隐瞒真实情况，提供虚假资料”违法行为的认定。</w:t>
      </w:r>
    </w:p>
    <w:p w14:paraId="09BD4587">
      <w:pPr>
        <w:spacing w:beforeLines="0" w:line="34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（二）对于涉及国家机关出具的公文、证件、证明材料等文件，一旦涉嫌虚假，经查实，主管部门将依法从严处理，并移送有关部门追究法律责任；涉嫌犯罪的，移送司法机关</w:t>
      </w:r>
      <w:r>
        <w:rPr>
          <w:rFonts w:hint="eastAsia" w:ascii="宋体" w:hAnsi="宋体" w:eastAsia="宋体" w:cs="宋体"/>
          <w:color w:val="auto"/>
          <w:highlight w:val="none"/>
          <w:lang w:eastAsia="zh-CN"/>
        </w:rPr>
        <w:t>处理</w:t>
      </w:r>
      <w:r>
        <w:rPr>
          <w:rFonts w:hint="eastAsia" w:ascii="宋体" w:hAnsi="宋体" w:eastAsia="宋体" w:cs="宋体"/>
          <w:color w:val="auto"/>
          <w:highlight w:val="none"/>
        </w:rPr>
        <w:t>。</w:t>
      </w:r>
    </w:p>
    <w:p w14:paraId="419A2B43">
      <w:pPr>
        <w:spacing w:beforeLines="0" w:line="34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w:t>
      </w:r>
      <w:r>
        <w:rPr>
          <w:rFonts w:hint="eastAsia" w:ascii="宋体" w:hAnsi="宋体" w:eastAsia="宋体" w:cs="宋体"/>
          <w:color w:val="auto"/>
          <w:highlight w:val="none"/>
          <w:lang w:eastAsia="zh-CN"/>
        </w:rPr>
        <w:t>三</w:t>
      </w:r>
      <w:r>
        <w:rPr>
          <w:rFonts w:hint="eastAsia" w:ascii="宋体" w:hAnsi="宋体" w:eastAsia="宋体" w:cs="宋体"/>
          <w:color w:val="auto"/>
          <w:highlight w:val="none"/>
        </w:rPr>
        <w:t>）</w:t>
      </w:r>
      <w:r>
        <w:rPr>
          <w:rFonts w:hint="eastAsia" w:ascii="宋体" w:hAnsi="宋体" w:eastAsia="宋体" w:cs="宋体"/>
          <w:color w:val="auto"/>
          <w:highlight w:val="none"/>
          <w:lang w:eastAsia="zh-CN"/>
        </w:rPr>
        <w:t>我</w:t>
      </w:r>
      <w:r>
        <w:rPr>
          <w:rFonts w:hint="eastAsia" w:ascii="宋体" w:hAnsi="宋体" w:eastAsia="宋体" w:cs="宋体"/>
          <w:color w:val="auto"/>
          <w:highlight w:val="none"/>
          <w:lang w:val="en-US" w:eastAsia="zh-CN"/>
        </w:rPr>
        <w:t>单位</w:t>
      </w:r>
      <w:r>
        <w:rPr>
          <w:rFonts w:hint="eastAsia" w:ascii="宋体" w:hAnsi="宋体" w:eastAsia="宋体" w:cs="宋体"/>
          <w:color w:val="auto"/>
          <w:highlight w:val="none"/>
        </w:rPr>
        <w:t>对投标电子密钥</w:t>
      </w:r>
      <w:r>
        <w:rPr>
          <w:rFonts w:hint="eastAsia" w:ascii="宋体" w:hAnsi="宋体" w:eastAsia="宋体" w:cs="宋体"/>
          <w:color w:val="auto"/>
          <w:highlight w:val="none"/>
          <w:lang w:eastAsia="zh-CN"/>
        </w:rPr>
        <w:t>或</w:t>
      </w:r>
      <w:r>
        <w:rPr>
          <w:rFonts w:hint="eastAsia" w:ascii="宋体" w:hAnsi="宋体" w:eastAsia="宋体" w:cs="宋体"/>
          <w:color w:val="auto"/>
          <w:highlight w:val="none"/>
          <w:lang w:val="en-US" w:eastAsia="zh-CN"/>
        </w:rPr>
        <w:t>电子营业执照</w:t>
      </w:r>
      <w:r>
        <w:rPr>
          <w:rFonts w:hint="eastAsia" w:ascii="宋体" w:hAnsi="宋体" w:eastAsia="宋体" w:cs="宋体"/>
          <w:color w:val="auto"/>
          <w:highlight w:val="none"/>
        </w:rPr>
        <w:t>负有妥善保管、及时变更和续期等主体责任</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使用电子密钥</w:t>
      </w:r>
      <w:r>
        <w:rPr>
          <w:rFonts w:hint="eastAsia" w:ascii="宋体" w:hAnsi="宋体" w:eastAsia="宋体" w:cs="宋体"/>
          <w:color w:val="auto"/>
          <w:highlight w:val="none"/>
          <w:lang w:eastAsia="zh-CN"/>
        </w:rPr>
        <w:t>或</w:t>
      </w:r>
      <w:r>
        <w:rPr>
          <w:rFonts w:hint="eastAsia" w:ascii="宋体" w:hAnsi="宋体" w:eastAsia="宋体" w:cs="宋体"/>
          <w:color w:val="auto"/>
          <w:highlight w:val="none"/>
          <w:lang w:val="en-US" w:eastAsia="zh-CN"/>
        </w:rPr>
        <w:t>电子营业执照</w:t>
      </w:r>
      <w:r>
        <w:rPr>
          <w:rFonts w:hint="eastAsia" w:ascii="宋体" w:hAnsi="宋体" w:eastAsia="宋体" w:cs="宋体"/>
          <w:color w:val="auto"/>
          <w:highlight w:val="none"/>
        </w:rPr>
        <w:t>在深圳政府采购网站进行的活动，均具有法律效力，须承担相应的法律后果。</w:t>
      </w:r>
      <w:r>
        <w:rPr>
          <w:rFonts w:hint="eastAsia" w:ascii="宋体" w:hAnsi="宋体" w:eastAsia="宋体" w:cs="宋体"/>
          <w:color w:val="auto"/>
          <w:highlight w:val="none"/>
          <w:lang w:eastAsia="zh-CN"/>
        </w:rPr>
        <w:t>若</w:t>
      </w:r>
      <w:r>
        <w:rPr>
          <w:rFonts w:hint="eastAsia" w:ascii="宋体" w:hAnsi="宋体" w:eastAsia="宋体" w:cs="宋体"/>
          <w:b/>
          <w:bCs/>
          <w:color w:val="auto"/>
          <w:highlight w:val="none"/>
        </w:rPr>
        <w:t>擅自将投标密钥</w:t>
      </w:r>
      <w:r>
        <w:rPr>
          <w:rFonts w:hint="eastAsia" w:ascii="宋体" w:hAnsi="宋体" w:eastAsia="宋体" w:cs="宋体"/>
          <w:b/>
          <w:bCs/>
          <w:color w:val="auto"/>
          <w:highlight w:val="none"/>
          <w:lang w:eastAsia="zh-CN"/>
        </w:rPr>
        <w:t>或</w:t>
      </w:r>
      <w:r>
        <w:rPr>
          <w:rFonts w:hint="eastAsia" w:ascii="宋体" w:hAnsi="宋体" w:eastAsia="宋体" w:cs="宋体"/>
          <w:b/>
          <w:bCs/>
          <w:color w:val="auto"/>
          <w:highlight w:val="none"/>
          <w:lang w:val="en-US" w:eastAsia="zh-CN"/>
        </w:rPr>
        <w:t>电子营业执照</w:t>
      </w:r>
      <w:r>
        <w:rPr>
          <w:rFonts w:hint="eastAsia" w:ascii="宋体" w:hAnsi="宋体" w:eastAsia="宋体" w:cs="宋体"/>
          <w:b/>
          <w:bCs/>
          <w:color w:val="auto"/>
          <w:highlight w:val="none"/>
        </w:rPr>
        <w:t>出借他人使用所造成的法律后果，由</w:t>
      </w:r>
      <w:r>
        <w:rPr>
          <w:rFonts w:hint="eastAsia" w:ascii="宋体" w:hAnsi="宋体" w:eastAsia="宋体" w:cs="宋体"/>
          <w:b/>
          <w:bCs/>
          <w:color w:val="auto"/>
          <w:highlight w:val="none"/>
          <w:lang w:eastAsia="zh-CN"/>
        </w:rPr>
        <w:t>我</w:t>
      </w:r>
      <w:r>
        <w:rPr>
          <w:rFonts w:hint="eastAsia" w:ascii="宋体" w:hAnsi="宋体" w:eastAsia="宋体" w:cs="宋体"/>
          <w:b/>
          <w:bCs/>
          <w:color w:val="auto"/>
          <w:highlight w:val="none"/>
          <w:lang w:val="en-US" w:eastAsia="zh-CN"/>
        </w:rPr>
        <w:t>单位</w:t>
      </w:r>
      <w:r>
        <w:rPr>
          <w:rFonts w:hint="eastAsia" w:ascii="宋体" w:hAnsi="宋体" w:eastAsia="宋体" w:cs="宋体"/>
          <w:b/>
          <w:bCs/>
          <w:color w:val="auto"/>
          <w:highlight w:val="none"/>
        </w:rPr>
        <w:t>自行承担</w:t>
      </w:r>
      <w:r>
        <w:rPr>
          <w:rFonts w:hint="eastAsia" w:ascii="宋体" w:hAnsi="宋体" w:eastAsia="宋体" w:cs="宋体"/>
          <w:color w:val="auto"/>
          <w:highlight w:val="none"/>
        </w:rPr>
        <w:t>。</w:t>
      </w:r>
    </w:p>
    <w:p w14:paraId="7A943B34">
      <w:pPr>
        <w:spacing w:beforeLines="0" w:line="340" w:lineRule="exact"/>
        <w:ind w:firstLine="422" w:firstLineChars="200"/>
        <w:outlineLvl w:val="1"/>
        <w:rPr>
          <w:rFonts w:hint="eastAsia" w:ascii="宋体" w:hAnsi="宋体" w:eastAsia="宋体" w:cs="宋体"/>
          <w:b/>
          <w:color w:val="auto"/>
          <w:highlight w:val="none"/>
        </w:rPr>
      </w:pPr>
      <w:r>
        <w:rPr>
          <w:rFonts w:hint="eastAsia" w:ascii="宋体" w:hAnsi="宋体" w:eastAsia="宋体" w:cs="宋体"/>
          <w:b/>
          <w:color w:val="auto"/>
          <w:highlight w:val="none"/>
        </w:rPr>
        <w:t>四、</w:t>
      </w:r>
      <w:r>
        <w:rPr>
          <w:rFonts w:hint="eastAsia" w:ascii="宋体" w:hAnsi="宋体" w:eastAsia="宋体" w:cs="宋体"/>
          <w:b/>
          <w:color w:val="auto"/>
          <w:highlight w:val="none"/>
          <w:lang w:eastAsia="zh-CN"/>
        </w:rPr>
        <w:t>我</w:t>
      </w:r>
      <w:r>
        <w:rPr>
          <w:rFonts w:hint="eastAsia" w:ascii="宋体" w:hAnsi="宋体" w:eastAsia="宋体" w:cs="宋体"/>
          <w:b/>
          <w:color w:val="auto"/>
          <w:highlight w:val="none"/>
          <w:lang w:val="en-US" w:eastAsia="zh-CN"/>
        </w:rPr>
        <w:t>单位</w:t>
      </w:r>
      <w:r>
        <w:rPr>
          <w:rFonts w:hint="eastAsia" w:ascii="宋体" w:hAnsi="宋体" w:eastAsia="宋体" w:cs="宋体"/>
          <w:b/>
          <w:color w:val="auto"/>
          <w:highlight w:val="none"/>
        </w:rPr>
        <w:t>已充分知悉政府采购违法、违规行为的法律后果。</w:t>
      </w:r>
    </w:p>
    <w:p w14:paraId="6B9D35C5">
      <w:pPr>
        <w:spacing w:beforeLines="0" w:line="34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经查实，若</w:t>
      </w:r>
      <w:r>
        <w:rPr>
          <w:rFonts w:hint="eastAsia" w:ascii="宋体" w:hAnsi="宋体" w:eastAsia="宋体" w:cs="宋体"/>
          <w:color w:val="auto"/>
          <w:highlight w:val="none"/>
          <w:lang w:eastAsia="zh-CN"/>
        </w:rPr>
        <w:t>我</w:t>
      </w:r>
      <w:r>
        <w:rPr>
          <w:rFonts w:hint="eastAsia" w:ascii="宋体" w:hAnsi="宋体" w:eastAsia="宋体" w:cs="宋体"/>
          <w:color w:val="auto"/>
          <w:highlight w:val="none"/>
          <w:lang w:val="en-US" w:eastAsia="zh-CN"/>
        </w:rPr>
        <w:t>单位</w:t>
      </w:r>
      <w:r>
        <w:rPr>
          <w:rFonts w:hint="eastAsia" w:ascii="宋体" w:hAnsi="宋体" w:eastAsia="宋体" w:cs="宋体"/>
          <w:color w:val="auto"/>
          <w:highlight w:val="none"/>
        </w:rPr>
        <w:t>存在政府采购违法、违规行为，主管部门将依据《深圳经济特区政府采购条例》第五十七条的规定，处以一至三年内禁止参与本市政府采购，并记入供应商诚信档案，处采购金额千分之十以上千分之二十以下罚款；情节严重的，取消参与本市政府采购资格，处采购金额千分之二十以上千分之三十以下罚款，由市场监管部门依法吊销营业执照。</w:t>
      </w:r>
    </w:p>
    <w:p w14:paraId="43606CC4">
      <w:pPr>
        <w:spacing w:beforeLines="0" w:line="34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以下文字请投标供应商抄写并确认：“</w:t>
      </w:r>
      <w:r>
        <w:rPr>
          <w:rFonts w:hint="eastAsia" w:ascii="宋体" w:hAnsi="宋体" w:eastAsia="宋体" w:cs="宋体"/>
          <w:color w:val="auto"/>
          <w:highlight w:val="none"/>
          <w:lang w:eastAsia="zh-CN"/>
        </w:rPr>
        <w:t>我</w:t>
      </w:r>
      <w:r>
        <w:rPr>
          <w:rFonts w:hint="eastAsia" w:ascii="宋体" w:hAnsi="宋体" w:eastAsia="宋体" w:cs="宋体"/>
          <w:color w:val="auto"/>
          <w:highlight w:val="none"/>
          <w:lang w:val="en-US" w:eastAsia="zh-CN"/>
        </w:rPr>
        <w:t>单位</w:t>
      </w:r>
      <w:r>
        <w:rPr>
          <w:rFonts w:hint="eastAsia" w:ascii="宋体" w:hAnsi="宋体" w:eastAsia="宋体" w:cs="宋体"/>
          <w:color w:val="auto"/>
          <w:highlight w:val="none"/>
        </w:rPr>
        <w:t>已仔细阅读《政府采购违法行为风险知悉确认书》，充分知悉违法行为的法律后果，并承诺将严谨、诚信、依法依规参与政府采购活动”。</w:t>
      </w:r>
    </w:p>
    <w:tbl>
      <w:tblPr>
        <w:tblStyle w:val="41"/>
        <w:tblW w:w="8529" w:type="dxa"/>
        <w:jc w:val="center"/>
        <w:tblBorders>
          <w:top w:val="none" w:color="auto" w:sz="0"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8529"/>
      </w:tblGrid>
      <w:tr w14:paraId="5059F224">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4" w:hRule="atLeast"/>
          <w:jc w:val="center"/>
        </w:trPr>
        <w:tc>
          <w:tcPr>
            <w:tcW w:w="8529" w:type="dxa"/>
            <w:tcBorders>
              <w:top w:val="nil"/>
              <w:left w:val="nil"/>
              <w:bottom w:val="single" w:color="000000" w:sz="8" w:space="0"/>
              <w:right w:val="nil"/>
            </w:tcBorders>
            <w:noWrap w:val="0"/>
            <w:vAlign w:val="top"/>
          </w:tcPr>
          <w:p w14:paraId="51BCFE1D">
            <w:pPr>
              <w:keepNext w:val="0"/>
              <w:keepLines w:val="0"/>
              <w:suppressLineNumbers w:val="0"/>
              <w:autoSpaceDE w:val="0"/>
              <w:autoSpaceDN w:val="0"/>
              <w:spacing w:before="0" w:beforeLines="0" w:beforeAutospacing="0" w:after="0" w:afterAutospacing="0" w:line="340" w:lineRule="exact"/>
              <w:ind w:left="0" w:right="0" w:firstLine="1866"/>
              <w:jc w:val="both"/>
              <w:rPr>
                <w:rFonts w:hint="eastAsia" w:ascii="宋体" w:hAnsi="宋体" w:eastAsia="宋体" w:cs="宋体"/>
                <w:color w:val="auto"/>
                <w:spacing w:val="-4"/>
                <w:kern w:val="0"/>
                <w:szCs w:val="21"/>
                <w:highlight w:val="none"/>
              </w:rPr>
            </w:pPr>
          </w:p>
        </w:tc>
      </w:tr>
      <w:tr w14:paraId="1583ECA3">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8529" w:type="dxa"/>
            <w:tcBorders>
              <w:top w:val="single" w:color="000000" w:sz="8" w:space="0"/>
              <w:left w:val="nil"/>
              <w:bottom w:val="single" w:color="000000" w:sz="8" w:space="0"/>
              <w:right w:val="nil"/>
            </w:tcBorders>
            <w:noWrap w:val="0"/>
            <w:vAlign w:val="top"/>
          </w:tcPr>
          <w:p w14:paraId="16EF46E3">
            <w:pPr>
              <w:keepNext w:val="0"/>
              <w:keepLines w:val="0"/>
              <w:suppressLineNumbers w:val="0"/>
              <w:autoSpaceDE w:val="0"/>
              <w:autoSpaceDN w:val="0"/>
              <w:spacing w:before="0" w:beforeLines="0" w:beforeAutospacing="0" w:after="0" w:afterAutospacing="0" w:line="340" w:lineRule="exact"/>
              <w:ind w:left="0" w:right="0" w:firstLine="1866"/>
              <w:jc w:val="both"/>
              <w:rPr>
                <w:rFonts w:hint="eastAsia" w:ascii="宋体" w:hAnsi="宋体" w:eastAsia="宋体" w:cs="宋体"/>
                <w:color w:val="auto"/>
                <w:spacing w:val="-4"/>
                <w:kern w:val="0"/>
                <w:szCs w:val="21"/>
                <w:highlight w:val="none"/>
              </w:rPr>
            </w:pPr>
          </w:p>
        </w:tc>
      </w:tr>
      <w:tr w14:paraId="39A2AE37">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8529" w:type="dxa"/>
            <w:tcBorders>
              <w:top w:val="single" w:color="000000" w:sz="8" w:space="0"/>
              <w:left w:val="nil"/>
              <w:bottom w:val="single" w:color="000000" w:sz="8" w:space="0"/>
              <w:right w:val="nil"/>
            </w:tcBorders>
            <w:noWrap w:val="0"/>
            <w:vAlign w:val="top"/>
          </w:tcPr>
          <w:p w14:paraId="662C21C4">
            <w:pPr>
              <w:keepNext w:val="0"/>
              <w:keepLines w:val="0"/>
              <w:suppressLineNumbers w:val="0"/>
              <w:autoSpaceDE w:val="0"/>
              <w:autoSpaceDN w:val="0"/>
              <w:spacing w:before="0" w:beforeLines="0" w:beforeAutospacing="0" w:after="0" w:afterAutospacing="0" w:line="340" w:lineRule="exact"/>
              <w:ind w:left="0" w:right="0" w:firstLine="1866"/>
              <w:jc w:val="both"/>
              <w:rPr>
                <w:rFonts w:hint="eastAsia" w:ascii="宋体" w:hAnsi="宋体" w:eastAsia="宋体" w:cs="宋体"/>
                <w:color w:val="auto"/>
                <w:spacing w:val="-4"/>
                <w:kern w:val="0"/>
                <w:szCs w:val="21"/>
                <w:highlight w:val="none"/>
              </w:rPr>
            </w:pPr>
          </w:p>
        </w:tc>
      </w:tr>
      <w:tr w14:paraId="50033A5F">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8529" w:type="dxa"/>
            <w:tcBorders>
              <w:top w:val="single" w:color="000000" w:sz="8" w:space="0"/>
              <w:left w:val="nil"/>
              <w:bottom w:val="single" w:color="auto" w:sz="8" w:space="0"/>
              <w:right w:val="nil"/>
            </w:tcBorders>
            <w:noWrap w:val="0"/>
            <w:vAlign w:val="top"/>
          </w:tcPr>
          <w:p w14:paraId="63B196E4">
            <w:pPr>
              <w:keepNext w:val="0"/>
              <w:keepLines w:val="0"/>
              <w:suppressLineNumbers w:val="0"/>
              <w:autoSpaceDE w:val="0"/>
              <w:autoSpaceDN w:val="0"/>
              <w:spacing w:before="0" w:beforeLines="0" w:beforeAutospacing="0" w:after="0" w:afterAutospacing="0" w:line="340" w:lineRule="exact"/>
              <w:ind w:left="0" w:right="0" w:firstLine="1866"/>
              <w:jc w:val="both"/>
              <w:rPr>
                <w:rFonts w:hint="eastAsia" w:ascii="宋体" w:hAnsi="宋体" w:eastAsia="宋体" w:cs="宋体"/>
                <w:color w:val="auto"/>
                <w:spacing w:val="-4"/>
                <w:kern w:val="0"/>
                <w:szCs w:val="21"/>
                <w:highlight w:val="none"/>
              </w:rPr>
            </w:pPr>
          </w:p>
        </w:tc>
      </w:tr>
    </w:tbl>
    <w:p w14:paraId="3C2B44B7">
      <w:pPr>
        <w:widowControl/>
        <w:wordWrap w:val="0"/>
        <w:autoSpaceDE w:val="0"/>
        <w:autoSpaceDN w:val="0"/>
        <w:spacing w:beforeLines="0" w:line="340" w:lineRule="exact"/>
        <w:ind w:right="808" w:firstLine="404" w:firstLineChars="200"/>
        <w:jc w:val="right"/>
        <w:rPr>
          <w:rFonts w:hint="eastAsia" w:ascii="宋体" w:hAnsi="宋体" w:eastAsia="宋体" w:cs="宋体"/>
          <w:color w:val="auto"/>
          <w:spacing w:val="-4"/>
          <w:kern w:val="0"/>
          <w:szCs w:val="21"/>
          <w:highlight w:val="none"/>
        </w:rPr>
      </w:pPr>
    </w:p>
    <w:p w14:paraId="01B014E9">
      <w:pPr>
        <w:widowControl/>
        <w:wordWrap w:val="0"/>
        <w:autoSpaceDE w:val="0"/>
        <w:autoSpaceDN w:val="0"/>
        <w:spacing w:beforeLines="0" w:line="340" w:lineRule="exact"/>
        <w:ind w:right="808" w:firstLine="404" w:firstLineChars="200"/>
        <w:jc w:val="right"/>
        <w:rPr>
          <w:rFonts w:hint="eastAsia" w:ascii="宋体" w:hAnsi="宋体" w:eastAsia="宋体" w:cs="宋体"/>
          <w:color w:val="auto"/>
          <w:spacing w:val="-4"/>
          <w:kern w:val="0"/>
          <w:szCs w:val="21"/>
          <w:highlight w:val="none"/>
          <w:u w:val="single"/>
        </w:rPr>
      </w:pPr>
      <w:r>
        <w:rPr>
          <w:rFonts w:hint="eastAsia" w:ascii="宋体" w:hAnsi="宋体" w:eastAsia="宋体" w:cs="宋体"/>
          <w:color w:val="auto"/>
          <w:spacing w:val="-4"/>
          <w:kern w:val="0"/>
          <w:szCs w:val="21"/>
          <w:highlight w:val="none"/>
          <w:lang w:eastAsia="zh-CN"/>
        </w:rPr>
        <w:t>单位</w:t>
      </w:r>
      <w:r>
        <w:rPr>
          <w:rFonts w:hint="eastAsia" w:ascii="宋体" w:hAnsi="宋体" w:eastAsia="宋体" w:cs="宋体"/>
          <w:color w:val="auto"/>
          <w:spacing w:val="-4"/>
          <w:kern w:val="0"/>
          <w:szCs w:val="21"/>
          <w:highlight w:val="none"/>
        </w:rPr>
        <w:t>负责人签名：</w:t>
      </w:r>
      <w:r>
        <w:rPr>
          <w:rFonts w:hint="eastAsia" w:ascii="宋体" w:hAnsi="宋体" w:eastAsia="宋体" w:cs="宋体"/>
          <w:color w:val="auto"/>
          <w:spacing w:val="-4"/>
          <w:kern w:val="0"/>
          <w:szCs w:val="21"/>
          <w:highlight w:val="none"/>
          <w:u w:val="single"/>
        </w:rPr>
        <w:t xml:space="preserve">              </w:t>
      </w:r>
    </w:p>
    <w:p w14:paraId="6E788663">
      <w:pPr>
        <w:widowControl/>
        <w:wordWrap w:val="0"/>
        <w:autoSpaceDE w:val="0"/>
        <w:autoSpaceDN w:val="0"/>
        <w:spacing w:beforeLines="0" w:line="340" w:lineRule="exact"/>
        <w:ind w:right="808" w:firstLine="404" w:firstLineChars="200"/>
        <w:jc w:val="center"/>
        <w:rPr>
          <w:rFonts w:hint="eastAsia" w:ascii="宋体" w:hAnsi="宋体" w:eastAsia="宋体" w:cs="宋体"/>
          <w:color w:val="auto"/>
          <w:spacing w:val="-4"/>
          <w:kern w:val="0"/>
          <w:szCs w:val="21"/>
          <w:highlight w:val="none"/>
          <w:u w:val="single"/>
        </w:rPr>
      </w:pPr>
      <w:r>
        <w:rPr>
          <w:rFonts w:hint="eastAsia" w:ascii="宋体" w:hAnsi="宋体" w:eastAsia="宋体" w:cs="宋体"/>
          <w:color w:val="auto"/>
          <w:spacing w:val="-4"/>
          <w:kern w:val="0"/>
          <w:szCs w:val="21"/>
          <w:highlight w:val="none"/>
          <w:lang w:val="en-US" w:eastAsia="zh-CN"/>
        </w:rPr>
        <w:t xml:space="preserve">                                 </w:t>
      </w:r>
      <w:r>
        <w:rPr>
          <w:rFonts w:hint="eastAsia" w:ascii="宋体" w:hAnsi="宋体" w:eastAsia="宋体" w:cs="宋体"/>
          <w:color w:val="auto"/>
          <w:spacing w:val="-4"/>
          <w:kern w:val="0"/>
          <w:szCs w:val="21"/>
          <w:highlight w:val="none"/>
          <w:lang w:eastAsia="zh-CN"/>
        </w:rPr>
        <w:t>（加盖</w:t>
      </w:r>
      <w:r>
        <w:rPr>
          <w:rFonts w:hint="eastAsia" w:ascii="宋体" w:hAnsi="宋体" w:eastAsia="宋体" w:cs="宋体"/>
          <w:color w:val="auto"/>
          <w:spacing w:val="-4"/>
          <w:kern w:val="0"/>
          <w:szCs w:val="21"/>
          <w:highlight w:val="none"/>
        </w:rPr>
        <w:t>公章</w:t>
      </w:r>
      <w:r>
        <w:rPr>
          <w:rFonts w:hint="eastAsia" w:ascii="宋体" w:hAnsi="宋体" w:eastAsia="宋体" w:cs="宋体"/>
          <w:color w:val="auto"/>
          <w:spacing w:val="-4"/>
          <w:kern w:val="0"/>
          <w:szCs w:val="21"/>
          <w:highlight w:val="none"/>
          <w:lang w:eastAsia="zh-CN"/>
        </w:rPr>
        <w:t>）</w:t>
      </w:r>
    </w:p>
    <w:p w14:paraId="1301C0DE">
      <w:pPr>
        <w:widowControl/>
        <w:wordWrap w:val="0"/>
        <w:autoSpaceDE w:val="0"/>
        <w:autoSpaceDN w:val="0"/>
        <w:spacing w:beforeLines="0" w:line="340" w:lineRule="exact"/>
        <w:ind w:right="808" w:firstLine="404" w:firstLineChars="200"/>
        <w:jc w:val="right"/>
        <w:rPr>
          <w:rFonts w:hint="eastAsia" w:ascii="宋体" w:hAnsi="宋体" w:eastAsia="宋体" w:cs="宋体"/>
          <w:color w:val="auto"/>
          <w:spacing w:val="-4"/>
          <w:kern w:val="0"/>
          <w:szCs w:val="21"/>
          <w:highlight w:val="none"/>
          <w:u w:val="single"/>
        </w:rPr>
      </w:pPr>
      <w:r>
        <w:rPr>
          <w:rFonts w:hint="eastAsia" w:ascii="宋体" w:hAnsi="宋体" w:eastAsia="宋体" w:cs="宋体"/>
          <w:color w:val="auto"/>
          <w:spacing w:val="-4"/>
          <w:kern w:val="0"/>
          <w:szCs w:val="21"/>
          <w:highlight w:val="none"/>
        </w:rPr>
        <w:t xml:space="preserve">     日期：</w:t>
      </w:r>
      <w:r>
        <w:rPr>
          <w:rFonts w:hint="eastAsia" w:ascii="宋体" w:hAnsi="宋体" w:eastAsia="宋体" w:cs="宋体"/>
          <w:color w:val="auto"/>
          <w:spacing w:val="-4"/>
          <w:kern w:val="0"/>
          <w:szCs w:val="21"/>
          <w:highlight w:val="none"/>
          <w:u w:val="single"/>
        </w:rPr>
        <w:t xml:space="preserve">              </w:t>
      </w:r>
    </w:p>
    <w:p w14:paraId="3DDFD0BC">
      <w:pPr>
        <w:widowControl/>
        <w:autoSpaceDE w:val="0"/>
        <w:autoSpaceDN w:val="0"/>
        <w:spacing w:beforeLines="0" w:line="340" w:lineRule="exact"/>
        <w:ind w:firstLine="406" w:firstLineChars="200"/>
        <w:jc w:val="left"/>
        <w:rPr>
          <w:rFonts w:hint="eastAsia" w:ascii="宋体" w:hAnsi="宋体" w:eastAsia="宋体" w:cs="宋体"/>
          <w:b/>
          <w:bCs/>
          <w:color w:val="auto"/>
          <w:spacing w:val="-4"/>
          <w:kern w:val="0"/>
          <w:szCs w:val="21"/>
          <w:highlight w:val="none"/>
        </w:rPr>
      </w:pPr>
    </w:p>
    <w:p w14:paraId="6BA3BBB0">
      <w:pPr>
        <w:pStyle w:val="4"/>
        <w:numPr>
          <w:ilvl w:val="0"/>
          <w:numId w:val="0"/>
        </w:numPr>
        <w:spacing w:line="240" w:lineRule="auto"/>
        <w:ind w:left="420" w:leftChars="0" w:hanging="420" w:firstLineChars="0"/>
        <w:jc w:val="center"/>
        <w:outlineLvl w:val="9"/>
        <w:rPr>
          <w:rFonts w:hint="eastAsia" w:cs="宋体" w:asciiTheme="majorEastAsia" w:hAnsiTheme="majorEastAsia" w:eastAsiaTheme="majorEastAsia"/>
          <w:kern w:val="2"/>
          <w:sz w:val="30"/>
          <w:szCs w:val="30"/>
          <w:lang w:val="en-US" w:eastAsia="zh-CN" w:bidi="ar-SA"/>
        </w:rPr>
      </w:pPr>
    </w:p>
    <w:p w14:paraId="29A78199">
      <w:pPr>
        <w:pStyle w:val="4"/>
        <w:numPr>
          <w:ilvl w:val="0"/>
          <w:numId w:val="0"/>
        </w:numPr>
        <w:spacing w:line="240" w:lineRule="auto"/>
        <w:ind w:left="420" w:leftChars="0" w:hanging="420" w:firstLineChars="0"/>
        <w:jc w:val="center"/>
        <w:outlineLvl w:val="9"/>
        <w:rPr>
          <w:rFonts w:hint="eastAsia" w:cs="宋体" w:asciiTheme="majorEastAsia" w:hAnsiTheme="majorEastAsia" w:eastAsiaTheme="majorEastAsia"/>
          <w:kern w:val="2"/>
          <w:sz w:val="30"/>
          <w:szCs w:val="30"/>
          <w:lang w:val="en-US" w:eastAsia="zh-CN" w:bidi="ar-SA"/>
        </w:rPr>
      </w:pPr>
    </w:p>
    <w:p w14:paraId="7F5C7DD1">
      <w:pPr>
        <w:pStyle w:val="4"/>
        <w:numPr>
          <w:ilvl w:val="0"/>
          <w:numId w:val="0"/>
        </w:numPr>
        <w:spacing w:line="240" w:lineRule="auto"/>
        <w:ind w:left="420" w:leftChars="0" w:hanging="420" w:firstLineChars="0"/>
        <w:jc w:val="center"/>
        <w:outlineLvl w:val="9"/>
        <w:rPr>
          <w:rFonts w:hint="eastAsia" w:cs="宋体" w:asciiTheme="majorEastAsia" w:hAnsiTheme="majorEastAsia" w:eastAsiaTheme="majorEastAsia"/>
          <w:kern w:val="2"/>
          <w:sz w:val="30"/>
          <w:szCs w:val="30"/>
          <w:lang w:val="en-US" w:eastAsia="zh-CN" w:bidi="ar-SA"/>
        </w:rPr>
      </w:pPr>
    </w:p>
    <w:p w14:paraId="306E1805">
      <w:pPr>
        <w:pStyle w:val="4"/>
        <w:numPr>
          <w:ilvl w:val="0"/>
          <w:numId w:val="0"/>
        </w:numPr>
        <w:spacing w:line="240" w:lineRule="auto"/>
        <w:ind w:left="420" w:leftChars="0" w:hanging="420" w:firstLineChars="0"/>
        <w:jc w:val="center"/>
        <w:outlineLvl w:val="9"/>
        <w:rPr>
          <w:rFonts w:hint="eastAsia" w:cs="宋体" w:asciiTheme="majorEastAsia" w:hAnsiTheme="majorEastAsia" w:eastAsiaTheme="majorEastAsia"/>
          <w:kern w:val="2"/>
          <w:sz w:val="30"/>
          <w:szCs w:val="30"/>
          <w:lang w:val="en-US" w:eastAsia="zh-CN" w:bidi="ar-SA"/>
        </w:rPr>
      </w:pPr>
    </w:p>
    <w:p w14:paraId="3C06AD5B">
      <w:pPr>
        <w:pStyle w:val="4"/>
        <w:numPr>
          <w:ilvl w:val="0"/>
          <w:numId w:val="0"/>
        </w:numPr>
        <w:spacing w:line="240" w:lineRule="auto"/>
        <w:ind w:left="420" w:leftChars="0" w:hanging="420" w:firstLineChars="0"/>
        <w:jc w:val="center"/>
        <w:outlineLvl w:val="9"/>
        <w:rPr>
          <w:rFonts w:hint="eastAsia" w:cs="宋体" w:asciiTheme="majorEastAsia" w:hAnsiTheme="majorEastAsia" w:eastAsiaTheme="majorEastAsia"/>
          <w:kern w:val="2"/>
          <w:sz w:val="30"/>
          <w:szCs w:val="30"/>
          <w:lang w:val="en-US" w:eastAsia="zh-CN" w:bidi="ar-SA"/>
        </w:rPr>
      </w:pPr>
    </w:p>
    <w:p w14:paraId="3B1E7BB1">
      <w:pPr>
        <w:pStyle w:val="4"/>
        <w:numPr>
          <w:ilvl w:val="0"/>
          <w:numId w:val="0"/>
        </w:numPr>
        <w:spacing w:line="240" w:lineRule="auto"/>
        <w:jc w:val="both"/>
        <w:outlineLvl w:val="9"/>
        <w:rPr>
          <w:rFonts w:hint="eastAsia" w:cs="宋体" w:asciiTheme="majorEastAsia" w:hAnsiTheme="majorEastAsia" w:eastAsiaTheme="majorEastAsia"/>
          <w:kern w:val="2"/>
          <w:sz w:val="30"/>
          <w:szCs w:val="30"/>
          <w:lang w:val="en-US" w:eastAsia="zh-CN" w:bidi="ar-SA"/>
        </w:rPr>
      </w:pPr>
    </w:p>
    <w:p w14:paraId="62FCFEB3">
      <w:pPr>
        <w:pStyle w:val="4"/>
        <w:numPr>
          <w:ilvl w:val="0"/>
          <w:numId w:val="0"/>
        </w:numPr>
        <w:spacing w:line="240" w:lineRule="auto"/>
        <w:ind w:left="0" w:leftChars="0" w:firstLine="0" w:firstLineChars="0"/>
        <w:jc w:val="center"/>
        <w:outlineLvl w:val="0"/>
        <w:rPr>
          <w:rFonts w:asciiTheme="majorEastAsia" w:hAnsiTheme="majorEastAsia" w:eastAsiaTheme="majorEastAsia"/>
          <w:sz w:val="30"/>
          <w:szCs w:val="30"/>
        </w:rPr>
      </w:pPr>
      <w:bookmarkStart w:id="76" w:name="_Toc21376"/>
      <w:r>
        <w:rPr>
          <w:rFonts w:hint="eastAsia" w:cs="宋体" w:asciiTheme="majorEastAsia" w:hAnsiTheme="majorEastAsia" w:eastAsiaTheme="majorEastAsia"/>
          <w:kern w:val="2"/>
          <w:sz w:val="30"/>
          <w:szCs w:val="30"/>
          <w:lang w:val="en-US" w:eastAsia="zh-CN" w:bidi="ar-SA"/>
        </w:rPr>
        <w:t>（十四）</w:t>
      </w:r>
      <w:r>
        <w:rPr>
          <w:rFonts w:hint="eastAsia" w:asciiTheme="majorEastAsia" w:hAnsiTheme="majorEastAsia" w:eastAsiaTheme="majorEastAsia"/>
          <w:sz w:val="30"/>
          <w:szCs w:val="30"/>
        </w:rPr>
        <w:t>法定代表人授权委托书</w:t>
      </w:r>
      <w:bookmarkEnd w:id="62"/>
      <w:bookmarkEnd w:id="63"/>
      <w:bookmarkEnd w:id="64"/>
      <w:bookmarkEnd w:id="65"/>
      <w:bookmarkEnd w:id="66"/>
      <w:bookmarkEnd w:id="67"/>
      <w:bookmarkEnd w:id="68"/>
      <w:bookmarkEnd w:id="69"/>
      <w:bookmarkEnd w:id="70"/>
      <w:bookmarkEnd w:id="76"/>
    </w:p>
    <w:p w14:paraId="232C51C3">
      <w:pPr>
        <w:pStyle w:val="12"/>
        <w:spacing w:line="360" w:lineRule="auto"/>
        <w:ind w:firstLine="420" w:firstLineChars="200"/>
      </w:pPr>
      <w:r>
        <w:rPr>
          <w:rFonts w:hint="eastAsia"/>
        </w:rPr>
        <w:t>本授权委托书声明：注册于</w:t>
      </w:r>
      <w:r>
        <w:rPr>
          <w:rFonts w:hint="eastAsia"/>
          <w:u w:val="single"/>
        </w:rPr>
        <w:t xml:space="preserve"> （投标人地址）  </w:t>
      </w:r>
      <w:r>
        <w:rPr>
          <w:rFonts w:hint="eastAsia"/>
        </w:rPr>
        <w:t>的</w:t>
      </w:r>
      <w:r>
        <w:rPr>
          <w:rFonts w:hint="eastAsia"/>
          <w:u w:val="single"/>
        </w:rPr>
        <w:t xml:space="preserve">  （投标人名称）    </w:t>
      </w:r>
      <w:r>
        <w:rPr>
          <w:rFonts w:hint="eastAsia"/>
        </w:rPr>
        <w:t>由</w:t>
      </w:r>
      <w:r>
        <w:rPr>
          <w:rFonts w:hint="eastAsia"/>
          <w:u w:val="single"/>
        </w:rPr>
        <w:t>（法定代表人姓名、职务）</w:t>
      </w:r>
      <w:r>
        <w:rPr>
          <w:rFonts w:hint="eastAsia"/>
        </w:rPr>
        <w:t>在此授权</w:t>
      </w:r>
      <w:r>
        <w:rPr>
          <w:rFonts w:hint="eastAsia"/>
          <w:u w:val="single"/>
        </w:rPr>
        <w:t>（被授权人姓名、职务、联系电话）</w:t>
      </w:r>
      <w:r>
        <w:rPr>
          <w:rFonts w:hint="eastAsia"/>
        </w:rPr>
        <w:t>作为我公司的合法代理人，就</w:t>
      </w:r>
      <w:r>
        <w:rPr>
          <w:rFonts w:hint="eastAsia"/>
          <w:u w:val="single"/>
        </w:rPr>
        <w:t>（项目名称、项目编号</w:t>
      </w:r>
      <w:r>
        <w:rPr>
          <w:rFonts w:hint="eastAsia"/>
        </w:rPr>
        <w:t>）的招投标活动，采购合同的签订、执行、完成和售后服务，作为投标人代表以我方的名义处理一切与之有关的事务。</w:t>
      </w:r>
    </w:p>
    <w:p w14:paraId="25C88E70">
      <w:pPr>
        <w:pStyle w:val="12"/>
        <w:spacing w:line="360" w:lineRule="auto"/>
        <w:ind w:firstLine="420" w:firstLineChars="200"/>
      </w:pPr>
      <w:r>
        <w:rPr>
          <w:rFonts w:hint="eastAsia"/>
        </w:rPr>
        <w:t>被授权人（投标人授权代表）无转委托权限。</w:t>
      </w:r>
    </w:p>
    <w:p w14:paraId="6EBC4722">
      <w:pPr>
        <w:spacing w:line="360" w:lineRule="auto"/>
        <w:ind w:firstLine="420" w:firstLineChars="200"/>
        <w:rPr>
          <w:rFonts w:ascii="宋体"/>
        </w:rPr>
      </w:pPr>
      <w:r>
        <w:rPr>
          <w:rFonts w:hint="eastAsia" w:ascii="宋体"/>
        </w:rPr>
        <w:t>本授权书自盖章之日起生效，特此声明。</w:t>
      </w:r>
    </w:p>
    <w:p w14:paraId="065678EB">
      <w:pPr>
        <w:spacing w:line="360" w:lineRule="auto"/>
        <w:rPr>
          <w:rFonts w:ascii="宋体"/>
          <w:b/>
        </w:rPr>
      </w:pPr>
      <w:r>
        <w:rPr>
          <w:rFonts w:hint="eastAsia" w:ascii="宋体"/>
          <w:b/>
        </w:rPr>
        <w:t>随附《法定代表人证明书》</w:t>
      </w:r>
    </w:p>
    <w:p w14:paraId="215C7755">
      <w:pPr>
        <w:spacing w:line="360" w:lineRule="auto"/>
        <w:rPr>
          <w:rFonts w:ascii="宋体"/>
        </w:rPr>
      </w:pPr>
    </w:p>
    <w:p w14:paraId="74EAEBC6">
      <w:pPr>
        <w:spacing w:line="360" w:lineRule="auto"/>
        <w:rPr>
          <w:sz w:val="24"/>
        </w:rPr>
      </w:pPr>
      <w:r>
        <w:rPr>
          <w:rFonts w:hint="eastAsia"/>
          <w:b/>
          <w:bCs/>
          <w:sz w:val="24"/>
        </w:rPr>
        <w:t>投标人单位名称：</w:t>
      </w:r>
      <w:r>
        <w:rPr>
          <w:rFonts w:hint="eastAsia"/>
          <w:sz w:val="24"/>
          <w:u w:val="single"/>
        </w:rPr>
        <w:t xml:space="preserve">                            </w:t>
      </w:r>
      <w:r>
        <w:rPr>
          <w:rFonts w:hint="eastAsia"/>
          <w:sz w:val="24"/>
        </w:rPr>
        <w:t xml:space="preserve"> </w:t>
      </w:r>
      <w:r>
        <w:rPr>
          <w:rFonts w:hint="eastAsia"/>
          <w:b/>
          <w:sz w:val="24"/>
        </w:rPr>
        <w:t>（此处加盖投标人单位公章）</w:t>
      </w:r>
    </w:p>
    <w:p w14:paraId="2AEA9980">
      <w:pPr>
        <w:spacing w:line="360" w:lineRule="auto"/>
        <w:rPr>
          <w:rFonts w:ascii="宋体" w:hAnsi="宋体"/>
          <w:b/>
          <w:bCs/>
          <w:sz w:val="24"/>
        </w:rPr>
      </w:pPr>
    </w:p>
    <w:p w14:paraId="28B3133D">
      <w:pPr>
        <w:spacing w:line="360" w:lineRule="auto"/>
        <w:outlineLvl w:val="9"/>
        <w:rPr>
          <w:rFonts w:ascii="宋体" w:hAnsi="宋体"/>
          <w:b/>
          <w:bCs/>
          <w:sz w:val="24"/>
          <w:u w:val="single"/>
        </w:rPr>
      </w:pPr>
      <w:r>
        <w:rPr>
          <w:rFonts w:hint="eastAsia" w:ascii="宋体" w:hAnsi="宋体"/>
          <w:b/>
          <w:bCs/>
          <w:sz w:val="24"/>
        </w:rPr>
        <w:t>法定代表人：</w:t>
      </w:r>
      <w:r>
        <w:rPr>
          <w:rFonts w:hint="eastAsia" w:ascii="宋体" w:hAnsi="宋体"/>
          <w:b/>
          <w:bCs/>
          <w:sz w:val="24"/>
          <w:u w:val="single"/>
        </w:rPr>
        <w:t xml:space="preserve"> </w:t>
      </w:r>
      <w:r>
        <w:rPr>
          <w:rFonts w:ascii="宋体" w:hAnsi="宋体"/>
          <w:b/>
          <w:bCs/>
          <w:sz w:val="24"/>
          <w:u w:val="single"/>
        </w:rPr>
        <w:t xml:space="preserve">               </w:t>
      </w:r>
      <w:r>
        <w:rPr>
          <w:rFonts w:hint="eastAsia" w:ascii="宋体" w:hAnsi="宋体"/>
          <w:b/>
          <w:bCs/>
          <w:sz w:val="24"/>
        </w:rPr>
        <w:t>（签字或盖法人章）</w:t>
      </w:r>
    </w:p>
    <w:p w14:paraId="3E70759A">
      <w:pPr>
        <w:spacing w:line="360" w:lineRule="auto"/>
        <w:rPr>
          <w:rFonts w:ascii="宋体" w:hAnsi="宋体"/>
          <w:b/>
          <w:bCs/>
          <w:sz w:val="24"/>
        </w:rPr>
      </w:pPr>
    </w:p>
    <w:p w14:paraId="2B182CAD">
      <w:pPr>
        <w:spacing w:line="360" w:lineRule="auto"/>
        <w:rPr>
          <w:rFonts w:ascii="宋体" w:hAnsi="宋体"/>
          <w:b/>
          <w:bCs/>
          <w:sz w:val="24"/>
        </w:rPr>
      </w:pPr>
      <w:r>
        <w:rPr>
          <w:rFonts w:hint="eastAsia" w:ascii="宋体" w:hAnsi="宋体"/>
          <w:b/>
          <w:bCs/>
          <w:sz w:val="24"/>
        </w:rPr>
        <w:t>日期：</w:t>
      </w:r>
      <w:r>
        <w:rPr>
          <w:rFonts w:hint="eastAsia" w:ascii="宋体" w:hAnsi="宋体"/>
          <w:b/>
          <w:bCs/>
          <w:sz w:val="24"/>
          <w:u w:val="single"/>
        </w:rPr>
        <w:t xml:space="preserve">       </w:t>
      </w:r>
      <w:r>
        <w:rPr>
          <w:rFonts w:hint="eastAsia" w:ascii="宋体" w:hAnsi="宋体"/>
          <w:b/>
          <w:bCs/>
          <w:sz w:val="24"/>
        </w:rPr>
        <w:t>年</w:t>
      </w:r>
      <w:r>
        <w:rPr>
          <w:rFonts w:hint="eastAsia" w:ascii="宋体" w:hAnsi="宋体"/>
          <w:b/>
          <w:bCs/>
          <w:sz w:val="24"/>
          <w:u w:val="single"/>
        </w:rPr>
        <w:t xml:space="preserve">     </w:t>
      </w:r>
      <w:r>
        <w:rPr>
          <w:rFonts w:hint="eastAsia" w:ascii="宋体" w:hAnsi="宋体"/>
          <w:b/>
          <w:bCs/>
          <w:sz w:val="24"/>
        </w:rPr>
        <w:t>月</w:t>
      </w:r>
      <w:r>
        <w:rPr>
          <w:rFonts w:hint="eastAsia" w:ascii="宋体" w:hAnsi="宋体"/>
          <w:b/>
          <w:bCs/>
          <w:sz w:val="24"/>
          <w:u w:val="single"/>
        </w:rPr>
        <w:t xml:space="preserve">    </w:t>
      </w:r>
      <w:r>
        <w:rPr>
          <w:rFonts w:hint="eastAsia" w:ascii="宋体" w:hAnsi="宋体"/>
          <w:b/>
          <w:bCs/>
          <w:sz w:val="24"/>
        </w:rPr>
        <w:t>日</w:t>
      </w:r>
    </w:p>
    <w:p w14:paraId="5ED0D45E">
      <w:pPr>
        <w:spacing w:line="360" w:lineRule="auto"/>
        <w:rPr>
          <w:sz w:val="24"/>
        </w:rPr>
      </w:pPr>
    </w:p>
    <w:p w14:paraId="1F81D656">
      <w:pPr>
        <w:tabs>
          <w:tab w:val="left" w:pos="3780"/>
        </w:tabs>
        <w:spacing w:line="360" w:lineRule="auto"/>
        <w:rPr>
          <w:rFonts w:ascii="宋体" w:hAnsi="宋体"/>
          <w:b/>
          <w:bCs/>
          <w:sz w:val="24"/>
        </w:rPr>
      </w:pPr>
    </w:p>
    <w:p w14:paraId="392B2581">
      <w:pPr>
        <w:tabs>
          <w:tab w:val="left" w:pos="3780"/>
        </w:tabs>
        <w:spacing w:line="360" w:lineRule="auto"/>
        <w:rPr>
          <w:rFonts w:ascii="宋体" w:hAnsi="宋体"/>
          <w:b/>
          <w:bCs/>
          <w:sz w:val="24"/>
        </w:rPr>
      </w:pPr>
      <w:r>
        <w:rPr>
          <w:rFonts w:hint="eastAsia" w:ascii="宋体" w:hAnsi="宋体"/>
          <w:b/>
          <w:bCs/>
          <w:sz w:val="24"/>
        </w:rPr>
        <w:t>提供被授权人（授权代表）居民身份证（正反面）复印件：</w:t>
      </w:r>
    </w:p>
    <w:p w14:paraId="501B6EE5">
      <w:pPr>
        <w:pStyle w:val="7"/>
        <w:rPr>
          <w:rFonts w:ascii="宋体" w:hAnsi="宋体"/>
          <w:b/>
          <w:bCs/>
          <w:sz w:val="24"/>
        </w:rPr>
      </w:pPr>
    </w:p>
    <w:p w14:paraId="4A32CAAD">
      <w:pPr>
        <w:spacing w:line="360" w:lineRule="auto"/>
        <w:ind w:left="1159" w:leftChars="552" w:firstLine="2261"/>
        <w:rPr>
          <w:rFonts w:ascii="宋体"/>
        </w:rPr>
      </w:pPr>
    </w:p>
    <w:p w14:paraId="1D7F7654">
      <w:pPr>
        <w:rPr>
          <w:rFonts w:hint="eastAsia" w:asciiTheme="majorEastAsia" w:hAnsiTheme="majorEastAsia" w:eastAsiaTheme="majorEastAsia"/>
          <w:sz w:val="30"/>
          <w:szCs w:val="30"/>
        </w:rPr>
      </w:pPr>
      <w:bookmarkStart w:id="77" w:name="_Toc435514860"/>
      <w:bookmarkStart w:id="78" w:name="_Toc275865608"/>
      <w:bookmarkStart w:id="79" w:name="_Toc435515300"/>
      <w:bookmarkStart w:id="80" w:name="_Toc14289"/>
    </w:p>
    <w:p w14:paraId="5C6720B5">
      <w:pPr>
        <w:rPr>
          <w:rFonts w:hint="eastAsia" w:asciiTheme="majorEastAsia" w:hAnsiTheme="majorEastAsia" w:eastAsiaTheme="majorEastAsia"/>
          <w:sz w:val="30"/>
          <w:szCs w:val="30"/>
        </w:rPr>
      </w:pPr>
    </w:p>
    <w:p w14:paraId="087A530D">
      <w:pPr>
        <w:rPr>
          <w:rFonts w:hint="eastAsia" w:asciiTheme="majorEastAsia" w:hAnsiTheme="majorEastAsia" w:eastAsiaTheme="majorEastAsia"/>
          <w:sz w:val="30"/>
          <w:szCs w:val="30"/>
        </w:rPr>
      </w:pPr>
    </w:p>
    <w:p w14:paraId="46D4BB7D">
      <w:pPr>
        <w:rPr>
          <w:rFonts w:hint="eastAsia" w:ascii="宋体" w:hAnsi="宋体"/>
          <w:color w:val="auto"/>
          <w:szCs w:val="21"/>
          <w:highlight w:val="none"/>
          <w:lang w:val="en-US" w:eastAsia="zh-CN"/>
        </w:rPr>
      </w:pPr>
      <w:r>
        <w:rPr>
          <w:rFonts w:hint="eastAsia" w:ascii="宋体" w:hAnsi="宋体"/>
          <w:color w:val="auto"/>
          <w:szCs w:val="21"/>
          <w:highlight w:val="none"/>
          <w:lang w:val="en-US" w:eastAsia="zh-CN"/>
        </w:rPr>
        <w:t>备注：如参加开标时需另外单独提供法定代表人证明书或者法人代表授权委托书。</w:t>
      </w:r>
    </w:p>
    <w:p w14:paraId="61D0EFB9">
      <w:pPr>
        <w:rPr>
          <w:rFonts w:asciiTheme="majorEastAsia" w:hAnsiTheme="majorEastAsia" w:eastAsiaTheme="majorEastAsia"/>
          <w:sz w:val="30"/>
          <w:szCs w:val="30"/>
        </w:rPr>
      </w:pPr>
      <w:r>
        <w:rPr>
          <w:rFonts w:hint="eastAsia" w:ascii="宋体" w:hAnsi="宋体"/>
          <w:color w:val="auto"/>
          <w:szCs w:val="21"/>
          <w:highlight w:val="none"/>
          <w:lang w:val="en-US" w:eastAsia="zh-CN"/>
        </w:rPr>
        <w:t>“温馨提示:为避免出现《深圳经济特区政府采购条例实施细则》第七十五条第二项所列情形，请投标供应商核实你单位法定代表人、本项目投标授权代表人、项目负责人(如有)、主要技术人员(如有)等是否在你公司缴纳社会保险。”</w:t>
      </w:r>
      <w:r>
        <w:rPr>
          <w:rFonts w:hint="eastAsia" w:asciiTheme="majorEastAsia" w:hAnsiTheme="majorEastAsia" w:eastAsiaTheme="majorEastAsia"/>
          <w:sz w:val="30"/>
          <w:szCs w:val="30"/>
        </w:rPr>
        <w:br w:type="page"/>
      </w:r>
    </w:p>
    <w:bookmarkEnd w:id="71"/>
    <w:bookmarkEnd w:id="72"/>
    <w:bookmarkEnd w:id="73"/>
    <w:bookmarkEnd w:id="74"/>
    <w:bookmarkEnd w:id="75"/>
    <w:bookmarkEnd w:id="77"/>
    <w:bookmarkEnd w:id="78"/>
    <w:bookmarkEnd w:id="79"/>
    <w:bookmarkEnd w:id="80"/>
    <w:p w14:paraId="0DE7F095">
      <w:pPr>
        <w:pStyle w:val="4"/>
        <w:numPr>
          <w:ilvl w:val="0"/>
          <w:numId w:val="0"/>
        </w:numPr>
        <w:spacing w:line="240" w:lineRule="auto"/>
        <w:ind w:left="420" w:leftChars="0" w:hanging="420" w:firstLineChars="0"/>
        <w:jc w:val="center"/>
        <w:outlineLvl w:val="0"/>
        <w:rPr>
          <w:rFonts w:asciiTheme="majorEastAsia" w:hAnsiTheme="majorEastAsia" w:eastAsiaTheme="majorEastAsia"/>
          <w:sz w:val="30"/>
          <w:szCs w:val="30"/>
        </w:rPr>
      </w:pPr>
      <w:bookmarkStart w:id="81" w:name="_Toc6666"/>
      <w:bookmarkStart w:id="82" w:name="_Toc23646"/>
      <w:bookmarkStart w:id="83" w:name="_Toc7067"/>
      <w:r>
        <w:rPr>
          <w:rFonts w:hint="eastAsia" w:cs="宋体" w:asciiTheme="majorEastAsia" w:hAnsiTheme="majorEastAsia" w:eastAsiaTheme="majorEastAsia"/>
          <w:kern w:val="2"/>
          <w:sz w:val="30"/>
          <w:szCs w:val="30"/>
          <w:lang w:val="en-US" w:eastAsia="zh-CN" w:bidi="ar-SA"/>
        </w:rPr>
        <w:t>（十五）</w:t>
      </w:r>
      <w:r>
        <w:rPr>
          <w:rFonts w:hint="eastAsia" w:asciiTheme="majorEastAsia" w:hAnsiTheme="majorEastAsia" w:eastAsiaTheme="majorEastAsia"/>
          <w:sz w:val="30"/>
          <w:szCs w:val="30"/>
        </w:rPr>
        <w:t>提供被授权人（授权代表）的近</w:t>
      </w:r>
      <w:r>
        <w:rPr>
          <w:rFonts w:hint="eastAsia" w:asciiTheme="majorEastAsia" w:hAnsiTheme="majorEastAsia" w:eastAsiaTheme="majorEastAsia"/>
          <w:sz w:val="30"/>
          <w:szCs w:val="30"/>
          <w:lang w:val="en-US" w:eastAsia="zh-CN"/>
        </w:rPr>
        <w:t>一</w:t>
      </w:r>
      <w:r>
        <w:rPr>
          <w:rFonts w:hint="eastAsia" w:asciiTheme="majorEastAsia" w:hAnsiTheme="majorEastAsia" w:eastAsiaTheme="majorEastAsia"/>
          <w:sz w:val="30"/>
          <w:szCs w:val="30"/>
        </w:rPr>
        <w:t>个月社保证明</w:t>
      </w:r>
      <w:bookmarkEnd w:id="81"/>
      <w:bookmarkEnd w:id="82"/>
    </w:p>
    <w:p w14:paraId="183B5364">
      <w:pPr>
        <w:spacing w:line="360" w:lineRule="auto"/>
        <w:ind w:firstLine="422" w:firstLineChars="200"/>
        <w:rPr>
          <w:rFonts w:hint="eastAsia" w:ascii="宋体" w:hAnsi="宋体" w:eastAsia="宋体" w:cs="宋体"/>
          <w:b/>
          <w:bCs w:val="0"/>
          <w:color w:val="auto"/>
          <w:kern w:val="0"/>
          <w:sz w:val="21"/>
          <w:szCs w:val="21"/>
          <w:highlight w:val="none"/>
          <w:lang w:eastAsia="zh-CN"/>
        </w:rPr>
      </w:pPr>
      <w:r>
        <w:rPr>
          <w:rFonts w:hint="eastAsia" w:ascii="宋体" w:hAnsi="宋体" w:eastAsia="宋体" w:cs="宋体"/>
          <w:b/>
          <w:bCs w:val="0"/>
          <w:kern w:val="0"/>
          <w:sz w:val="21"/>
          <w:szCs w:val="21"/>
          <w:highlight w:val="none"/>
          <w:lang w:val="en-US" w:eastAsia="zh-CN"/>
        </w:rPr>
        <w:t>1、</w:t>
      </w:r>
      <w:r>
        <w:rPr>
          <w:rFonts w:hint="eastAsia" w:ascii="宋体" w:hAnsi="宋体" w:eastAsia="宋体" w:cs="宋体"/>
          <w:b/>
          <w:bCs w:val="0"/>
          <w:kern w:val="0"/>
          <w:sz w:val="21"/>
          <w:szCs w:val="21"/>
          <w:highlight w:val="none"/>
        </w:rPr>
        <w:t>须提供被授权人（授权代表）</w:t>
      </w:r>
      <w:r>
        <w:rPr>
          <w:rFonts w:hint="eastAsia" w:ascii="宋体" w:hAnsi="宋体" w:eastAsia="宋体" w:cs="宋体"/>
          <w:b/>
          <w:bCs w:val="0"/>
          <w:kern w:val="0"/>
          <w:sz w:val="21"/>
          <w:szCs w:val="21"/>
          <w:highlight w:val="none"/>
          <w:lang w:val="en-US" w:eastAsia="zh-CN"/>
        </w:rPr>
        <w:t>投标截止前近一个月（由于社保部门原因最近一个月的社保证明无法提供的可往前顺延一个月）的社保证明；如投标人为新成立企</w:t>
      </w:r>
      <w:r>
        <w:rPr>
          <w:rFonts w:hint="eastAsia" w:ascii="宋体" w:hAnsi="宋体" w:eastAsia="宋体" w:cs="宋体"/>
          <w:b/>
          <w:bCs w:val="0"/>
          <w:color w:val="auto"/>
          <w:kern w:val="0"/>
          <w:sz w:val="21"/>
          <w:szCs w:val="21"/>
          <w:highlight w:val="none"/>
          <w:lang w:val="en-US" w:eastAsia="zh-CN"/>
        </w:rPr>
        <w:t>业且成立时间不足一个月可提供加盖公章的情况说明或者证明材料亦视为符合（格式自拟）</w:t>
      </w:r>
      <w:r>
        <w:rPr>
          <w:rFonts w:hint="eastAsia" w:ascii="宋体" w:hAnsi="宋体" w:eastAsia="宋体" w:cs="宋体"/>
          <w:b/>
          <w:bCs w:val="0"/>
          <w:color w:val="auto"/>
          <w:kern w:val="0"/>
          <w:sz w:val="21"/>
          <w:szCs w:val="21"/>
          <w:highlight w:val="none"/>
        </w:rPr>
        <w:t>。如依法不需要缴纳社会保险费的，应提供相应文件证明其依法不需要缴纳社会保险费</w:t>
      </w:r>
      <w:r>
        <w:rPr>
          <w:rFonts w:hint="eastAsia" w:ascii="宋体" w:hAnsi="宋体" w:eastAsia="宋体" w:cs="宋体"/>
          <w:b/>
          <w:bCs w:val="0"/>
          <w:color w:val="auto"/>
          <w:kern w:val="0"/>
          <w:sz w:val="21"/>
          <w:szCs w:val="21"/>
          <w:highlight w:val="none"/>
          <w:lang w:eastAsia="zh-CN"/>
        </w:rPr>
        <w:t>。</w:t>
      </w:r>
    </w:p>
    <w:p w14:paraId="3A73B24C">
      <w:pPr>
        <w:spacing w:line="360" w:lineRule="auto"/>
        <w:ind w:firstLine="422" w:firstLineChars="200"/>
        <w:rPr>
          <w:rFonts w:hint="eastAsia" w:ascii="宋体" w:hAnsi="宋体" w:eastAsia="宋体" w:cs="宋体"/>
          <w:b/>
          <w:bCs w:val="0"/>
          <w:color w:val="auto"/>
          <w:kern w:val="0"/>
          <w:sz w:val="21"/>
          <w:szCs w:val="21"/>
          <w:highlight w:val="none"/>
          <w:lang w:eastAsia="zh-CN"/>
        </w:rPr>
      </w:pPr>
      <w:r>
        <w:rPr>
          <w:rFonts w:hint="eastAsia" w:ascii="宋体" w:hAnsi="宋体" w:eastAsia="宋体" w:cs="宋体"/>
          <w:b/>
          <w:bCs w:val="0"/>
          <w:color w:val="auto"/>
          <w:kern w:val="0"/>
          <w:sz w:val="21"/>
          <w:szCs w:val="21"/>
          <w:highlight w:val="none"/>
          <w:lang w:eastAsia="zh-CN"/>
        </w:rPr>
        <w:t>“温馨提示:为避免出现《深圳经济特区政府采购条例实施细则》第七十五条第二项所列情形，请投标供应商核实你单位法定代表人、本项目投标授权代表人、项目负责人(如有)、主要技术人员(如有)等是否在你公司缴纳社会保险。”</w:t>
      </w:r>
    </w:p>
    <w:p w14:paraId="08A4F398">
      <w:pPr>
        <w:spacing w:line="360" w:lineRule="auto"/>
        <w:ind w:firstLine="422" w:firstLineChars="200"/>
        <w:rPr>
          <w:rFonts w:hint="eastAsia" w:ascii="宋体" w:hAnsi="宋体" w:eastAsia="宋体" w:cs="宋体"/>
          <w:b/>
          <w:bCs w:val="0"/>
          <w:color w:val="auto"/>
          <w:kern w:val="0"/>
          <w:sz w:val="21"/>
          <w:szCs w:val="21"/>
          <w:highlight w:val="none"/>
          <w:lang w:eastAsia="zh-CN"/>
        </w:rPr>
      </w:pPr>
    </w:p>
    <w:p w14:paraId="08E7BD5D">
      <w:pPr>
        <w:spacing w:line="360" w:lineRule="auto"/>
        <w:ind w:firstLine="422" w:firstLineChars="200"/>
      </w:pPr>
      <w:r>
        <w:rPr>
          <w:rFonts w:hint="eastAsia" w:ascii="宋体" w:hAnsi="宋体" w:eastAsia="宋体" w:cs="宋体"/>
          <w:b/>
          <w:bCs w:val="0"/>
          <w:color w:val="auto"/>
          <w:kern w:val="0"/>
          <w:sz w:val="21"/>
          <w:szCs w:val="21"/>
          <w:highlight w:val="none"/>
          <w:lang w:val="en-US" w:eastAsia="zh-CN"/>
        </w:rPr>
        <w:t>（说明：法定代表人、投标授权代表人社保证明文件仅做为核查供应商是否存在《深圳经济特区政府采购条例实施细则》第七十五条规定的“不同投标供应商的法定代表人、主要经营负责人、项目投标授权代表人、项目负责人、主要技术人员为同一人、属同一单位或者在同一单位缴纳社会保险”的情形，该证明文件不做为废标条款。投标供应商应知悉《深圳经济特区政府采购条例实施细则》第七十五条的规定，如供应商未提供法定代表人、投标授权代表人社保证明文件，且出现“法定代表人、投标授权代表人在同一单位或者在同一单位缴纳社会保险”情形的，投标供应商应承担相应的法律责任。）</w:t>
      </w:r>
      <w:r>
        <w:br w:type="page"/>
      </w:r>
    </w:p>
    <w:p w14:paraId="7B3B6895">
      <w:pPr>
        <w:pStyle w:val="4"/>
        <w:numPr>
          <w:ilvl w:val="0"/>
          <w:numId w:val="0"/>
        </w:numPr>
        <w:spacing w:line="240" w:lineRule="auto"/>
        <w:ind w:left="420" w:leftChars="0" w:hanging="420" w:firstLineChars="0"/>
        <w:jc w:val="center"/>
        <w:outlineLvl w:val="0"/>
        <w:rPr>
          <w:rFonts w:asciiTheme="majorEastAsia" w:hAnsiTheme="majorEastAsia" w:eastAsiaTheme="majorEastAsia"/>
          <w:sz w:val="30"/>
          <w:szCs w:val="30"/>
        </w:rPr>
      </w:pPr>
      <w:bookmarkStart w:id="84" w:name="_Toc24233"/>
      <w:bookmarkStart w:id="85" w:name="_Toc4591"/>
      <w:r>
        <w:rPr>
          <w:rFonts w:hint="eastAsia" w:cs="宋体" w:asciiTheme="majorEastAsia" w:hAnsiTheme="majorEastAsia" w:eastAsiaTheme="majorEastAsia"/>
          <w:kern w:val="2"/>
          <w:sz w:val="30"/>
          <w:szCs w:val="30"/>
          <w:lang w:val="en-US" w:eastAsia="zh-CN" w:bidi="ar-SA"/>
        </w:rPr>
        <w:t>（十六）</w:t>
      </w:r>
      <w:r>
        <w:rPr>
          <w:rFonts w:hint="eastAsia" w:asciiTheme="majorEastAsia" w:hAnsiTheme="majorEastAsia" w:eastAsiaTheme="majorEastAsia"/>
          <w:sz w:val="30"/>
          <w:szCs w:val="30"/>
        </w:rPr>
        <w:t>法定代表人证明书</w:t>
      </w:r>
      <w:bookmarkEnd w:id="83"/>
      <w:bookmarkEnd w:id="84"/>
      <w:bookmarkEnd w:id="85"/>
    </w:p>
    <w:p w14:paraId="4A383F38">
      <w:pPr>
        <w:tabs>
          <w:tab w:val="left" w:pos="900"/>
        </w:tabs>
        <w:spacing w:line="480" w:lineRule="auto"/>
        <w:ind w:firstLine="945" w:firstLineChars="450"/>
        <w:rPr>
          <w:rFonts w:ascii="宋体" w:hAnsi="宋体"/>
        </w:rPr>
      </w:pPr>
      <w:r>
        <w:rPr>
          <w:rFonts w:hint="eastAsia" w:ascii="宋体" w:hAnsi="宋体"/>
        </w:rPr>
        <w:t>______________同志，现任我单位</w:t>
      </w:r>
      <w:r>
        <w:rPr>
          <w:rFonts w:hint="eastAsia" w:ascii="宋体" w:hAnsi="宋体"/>
          <w:u w:val="single"/>
        </w:rPr>
        <w:t xml:space="preserve">       </w:t>
      </w:r>
      <w:r>
        <w:rPr>
          <w:rFonts w:hint="eastAsia" w:ascii="宋体" w:hAnsi="宋体"/>
        </w:rPr>
        <w:t>职务，为法定代表人，特此证明。</w:t>
      </w:r>
    </w:p>
    <w:p w14:paraId="1F483407">
      <w:pPr>
        <w:spacing w:line="360" w:lineRule="auto"/>
        <w:ind w:firstLine="420" w:firstLineChars="200"/>
        <w:rPr>
          <w:rFonts w:ascii="宋体" w:hAnsi="宋体"/>
        </w:rPr>
      </w:pPr>
      <w:r>
        <w:rPr>
          <w:rFonts w:hint="eastAsia" w:ascii="宋体"/>
        </w:rPr>
        <w:t>本证明书自签发之日起生效，</w:t>
      </w:r>
      <w:r>
        <w:rPr>
          <w:rFonts w:hint="eastAsia" w:ascii="宋体" w:hAnsi="宋体"/>
        </w:rPr>
        <w:t>有效期与本公司投标文件中标注的投标有效期相同。</w:t>
      </w:r>
    </w:p>
    <w:p w14:paraId="0B227F57">
      <w:pPr>
        <w:spacing w:line="480" w:lineRule="auto"/>
        <w:ind w:firstLine="420" w:firstLineChars="200"/>
        <w:rPr>
          <w:rFonts w:ascii="宋体" w:hAnsi="宋体"/>
        </w:rPr>
      </w:pPr>
      <w:r>
        <w:rPr>
          <w:rFonts w:hint="eastAsia" w:ascii="宋体" w:hAnsi="宋体"/>
        </w:rPr>
        <w:t>附：</w:t>
      </w:r>
    </w:p>
    <w:p w14:paraId="42F5B5B6">
      <w:pPr>
        <w:spacing w:line="480" w:lineRule="auto"/>
        <w:ind w:firstLine="840" w:firstLineChars="400"/>
        <w:rPr>
          <w:rFonts w:ascii="宋体" w:hAnsi="宋体"/>
        </w:rPr>
      </w:pPr>
      <w:r>
        <w:rPr>
          <w:rFonts w:hint="eastAsia" w:ascii="宋体" w:hAnsi="宋体"/>
        </w:rPr>
        <w:t>经济性质：</w:t>
      </w:r>
    </w:p>
    <w:p w14:paraId="43BB9386">
      <w:pPr>
        <w:spacing w:line="480" w:lineRule="auto"/>
        <w:ind w:firstLine="840" w:firstLineChars="400"/>
        <w:rPr>
          <w:rFonts w:ascii="宋体" w:hAnsi="宋体"/>
        </w:rPr>
      </w:pPr>
      <w:r>
        <w:rPr>
          <w:rFonts w:hint="eastAsia" w:ascii="宋体" w:hAnsi="宋体"/>
        </w:rPr>
        <w:t>主营（产）：</w:t>
      </w:r>
    </w:p>
    <w:p w14:paraId="35263D64">
      <w:pPr>
        <w:spacing w:line="480" w:lineRule="auto"/>
        <w:ind w:firstLine="840" w:firstLineChars="400"/>
        <w:rPr>
          <w:rFonts w:ascii="宋体" w:hAnsi="宋体"/>
        </w:rPr>
      </w:pPr>
      <w:r>
        <w:rPr>
          <w:rFonts w:hint="eastAsia" w:ascii="宋体" w:hAnsi="宋体"/>
        </w:rPr>
        <w:t>兼营（产）：</w:t>
      </w:r>
    </w:p>
    <w:p w14:paraId="4953BF97">
      <w:pPr>
        <w:spacing w:line="500" w:lineRule="exact"/>
        <w:rPr>
          <w:rFonts w:ascii="宋体"/>
          <w:b/>
          <w:bCs/>
        </w:rPr>
      </w:pPr>
    </w:p>
    <w:p w14:paraId="60988389">
      <w:pPr>
        <w:spacing w:line="360" w:lineRule="auto"/>
        <w:rPr>
          <w:sz w:val="24"/>
        </w:rPr>
      </w:pPr>
      <w:r>
        <w:rPr>
          <w:rFonts w:hint="eastAsia"/>
          <w:b/>
          <w:bCs/>
          <w:sz w:val="24"/>
        </w:rPr>
        <w:t>投标人单位名称：</w:t>
      </w:r>
      <w:r>
        <w:rPr>
          <w:rFonts w:hint="eastAsia"/>
          <w:sz w:val="24"/>
          <w:u w:val="single"/>
        </w:rPr>
        <w:t xml:space="preserve">                            </w:t>
      </w:r>
      <w:r>
        <w:rPr>
          <w:rFonts w:hint="eastAsia"/>
          <w:sz w:val="24"/>
        </w:rPr>
        <w:t xml:space="preserve"> </w:t>
      </w:r>
    </w:p>
    <w:p w14:paraId="30EA6209">
      <w:pPr>
        <w:spacing w:line="360" w:lineRule="auto"/>
        <w:rPr>
          <w:rFonts w:ascii="宋体" w:hAnsi="宋体"/>
          <w:b/>
          <w:bCs/>
          <w:sz w:val="24"/>
        </w:rPr>
      </w:pPr>
      <w:r>
        <w:rPr>
          <w:rFonts w:hint="eastAsia" w:ascii="宋体" w:hAnsi="宋体"/>
          <w:b/>
          <w:bCs/>
          <w:sz w:val="24"/>
        </w:rPr>
        <w:t>签发日期：</w:t>
      </w:r>
      <w:r>
        <w:rPr>
          <w:rFonts w:hint="eastAsia" w:ascii="宋体" w:hAnsi="宋体"/>
          <w:b/>
          <w:bCs/>
          <w:sz w:val="24"/>
          <w:u w:val="single"/>
        </w:rPr>
        <w:t xml:space="preserve">       </w:t>
      </w:r>
      <w:r>
        <w:rPr>
          <w:rFonts w:hint="eastAsia" w:ascii="宋体" w:hAnsi="宋体"/>
          <w:b/>
          <w:bCs/>
          <w:sz w:val="24"/>
        </w:rPr>
        <w:t>年</w:t>
      </w:r>
      <w:r>
        <w:rPr>
          <w:rFonts w:hint="eastAsia" w:ascii="宋体" w:hAnsi="宋体"/>
          <w:b/>
          <w:bCs/>
          <w:sz w:val="24"/>
          <w:u w:val="single"/>
        </w:rPr>
        <w:t xml:space="preserve">     </w:t>
      </w:r>
      <w:r>
        <w:rPr>
          <w:rFonts w:hint="eastAsia" w:ascii="宋体" w:hAnsi="宋体"/>
          <w:b/>
          <w:bCs/>
          <w:sz w:val="24"/>
        </w:rPr>
        <w:t>月</w:t>
      </w:r>
      <w:r>
        <w:rPr>
          <w:rFonts w:hint="eastAsia" w:ascii="宋体" w:hAnsi="宋体"/>
          <w:b/>
          <w:bCs/>
          <w:sz w:val="24"/>
          <w:u w:val="single"/>
        </w:rPr>
        <w:t xml:space="preserve">    </w:t>
      </w:r>
      <w:r>
        <w:rPr>
          <w:rFonts w:hint="eastAsia" w:ascii="宋体" w:hAnsi="宋体"/>
          <w:b/>
          <w:bCs/>
          <w:sz w:val="24"/>
        </w:rPr>
        <w:t>日</w:t>
      </w:r>
    </w:p>
    <w:p w14:paraId="7E6D32CB">
      <w:pPr>
        <w:spacing w:line="360" w:lineRule="auto"/>
        <w:outlineLvl w:val="9"/>
        <w:rPr>
          <w:sz w:val="24"/>
        </w:rPr>
      </w:pPr>
      <w:r>
        <w:rPr>
          <w:rFonts w:hint="eastAsia"/>
          <w:b/>
          <w:sz w:val="24"/>
        </w:rPr>
        <w:t>（此处加盖投标人单位公章）</w:t>
      </w:r>
    </w:p>
    <w:p w14:paraId="465D750C">
      <w:pPr>
        <w:spacing w:line="500" w:lineRule="exact"/>
        <w:rPr>
          <w:rFonts w:ascii="宋体" w:hAnsi="宋体"/>
        </w:rPr>
      </w:pPr>
    </w:p>
    <w:p w14:paraId="7AB77908">
      <w:pPr>
        <w:spacing w:line="360" w:lineRule="auto"/>
        <w:rPr>
          <w:b/>
          <w:sz w:val="24"/>
        </w:rPr>
      </w:pPr>
      <w:r>
        <w:rPr>
          <w:rFonts w:hint="eastAsia"/>
          <w:b/>
          <w:sz w:val="24"/>
        </w:rPr>
        <w:t>提供法定代表人居民身份证（正反面）复印件：</w:t>
      </w:r>
    </w:p>
    <w:p w14:paraId="1D682404">
      <w:pPr>
        <w:spacing w:line="500" w:lineRule="exact"/>
        <w:rPr>
          <w:rFonts w:hint="eastAsia" w:ascii="宋体" w:hAnsi="宋体"/>
        </w:rPr>
      </w:pPr>
    </w:p>
    <w:p w14:paraId="208C415E">
      <w:pPr>
        <w:spacing w:line="500" w:lineRule="exact"/>
        <w:rPr>
          <w:rFonts w:hint="eastAsia" w:ascii="宋体" w:hAnsi="宋体"/>
        </w:rPr>
      </w:pPr>
    </w:p>
    <w:p w14:paraId="7B4511A0">
      <w:pPr>
        <w:spacing w:line="500" w:lineRule="exact"/>
        <w:rPr>
          <w:rFonts w:hint="eastAsia" w:ascii="宋体" w:hAnsi="宋体"/>
        </w:rPr>
      </w:pPr>
    </w:p>
    <w:p w14:paraId="16B17A75">
      <w:pPr>
        <w:spacing w:line="500" w:lineRule="exact"/>
        <w:rPr>
          <w:rFonts w:hint="eastAsia" w:ascii="宋体" w:hAnsi="宋体"/>
        </w:rPr>
      </w:pPr>
    </w:p>
    <w:p w14:paraId="39439C03">
      <w:pPr>
        <w:spacing w:line="500" w:lineRule="exact"/>
        <w:rPr>
          <w:rFonts w:hint="eastAsia" w:ascii="宋体" w:hAnsi="宋体"/>
        </w:rPr>
      </w:pPr>
    </w:p>
    <w:p w14:paraId="2911D273">
      <w:pPr>
        <w:rPr>
          <w:rFonts w:hint="eastAsia" w:ascii="宋体" w:hAnsi="宋体"/>
          <w:color w:val="auto"/>
          <w:szCs w:val="21"/>
          <w:highlight w:val="none"/>
          <w:lang w:val="en-US" w:eastAsia="zh-CN"/>
        </w:rPr>
      </w:pPr>
      <w:r>
        <w:rPr>
          <w:rFonts w:hint="eastAsia" w:ascii="宋体" w:hAnsi="宋体"/>
          <w:color w:val="auto"/>
          <w:szCs w:val="21"/>
          <w:highlight w:val="none"/>
          <w:lang w:val="en-US" w:eastAsia="zh-CN"/>
        </w:rPr>
        <w:t>备注：如参加开标时需另外单独提供法定代表人证明书或者法人代表授权委托书。</w:t>
      </w:r>
    </w:p>
    <w:p w14:paraId="5E66CA1E">
      <w:pPr>
        <w:rPr>
          <w:rFonts w:hint="eastAsia" w:ascii="宋体" w:hAnsi="宋体"/>
          <w:color w:val="auto"/>
          <w:szCs w:val="21"/>
          <w:highlight w:val="none"/>
          <w:lang w:val="en-US" w:eastAsia="zh-CN"/>
        </w:rPr>
      </w:pPr>
      <w:r>
        <w:rPr>
          <w:rFonts w:hint="eastAsia" w:ascii="宋体" w:hAnsi="宋体"/>
          <w:color w:val="auto"/>
          <w:szCs w:val="21"/>
          <w:highlight w:val="none"/>
          <w:lang w:val="en-US" w:eastAsia="zh-CN"/>
        </w:rPr>
        <w:t>“温馨提示:为避免出现《深圳经济特区政府采购条例实施细则》第七十五条第二项所列情形，请投标供应商核实你单位法定代表人、本项目投标授权代表人、项目负责人(如有)、主要技术人员(如有)等是否在你公司缴纳社会保险。”</w:t>
      </w:r>
    </w:p>
    <w:p w14:paraId="7F986E39">
      <w:pPr>
        <w:rPr>
          <w:rFonts w:hint="eastAsia" w:ascii="宋体" w:hAnsi="宋体"/>
          <w:color w:val="auto"/>
          <w:szCs w:val="21"/>
          <w:highlight w:val="none"/>
          <w:lang w:val="en-US" w:eastAsia="zh-CN"/>
        </w:rPr>
      </w:pPr>
      <w:r>
        <w:rPr>
          <w:rFonts w:hint="eastAsia" w:ascii="宋体" w:hAnsi="宋体"/>
          <w:color w:val="auto"/>
          <w:szCs w:val="21"/>
          <w:highlight w:val="none"/>
          <w:lang w:val="en-US" w:eastAsia="zh-CN"/>
        </w:rPr>
        <w:br w:type="page"/>
      </w:r>
    </w:p>
    <w:p w14:paraId="249326D2">
      <w:pPr>
        <w:pStyle w:val="4"/>
        <w:numPr>
          <w:ilvl w:val="0"/>
          <w:numId w:val="0"/>
        </w:numPr>
        <w:spacing w:line="240" w:lineRule="auto"/>
        <w:ind w:left="420" w:leftChars="0" w:hanging="420" w:firstLineChars="0"/>
        <w:jc w:val="center"/>
        <w:outlineLvl w:val="0"/>
        <w:rPr>
          <w:rFonts w:ascii="宋体" w:hAnsi="宋体" w:eastAsia="宋体"/>
          <w:sz w:val="30"/>
          <w:szCs w:val="30"/>
        </w:rPr>
      </w:pPr>
      <w:bookmarkStart w:id="86" w:name="_Toc24644"/>
      <w:bookmarkStart w:id="87" w:name="_Toc14446"/>
      <w:r>
        <w:rPr>
          <w:rFonts w:hint="eastAsia" w:ascii="宋体" w:hAnsi="宋体" w:eastAsia="宋体" w:cs="宋体"/>
          <w:kern w:val="2"/>
          <w:sz w:val="30"/>
          <w:szCs w:val="30"/>
          <w:lang w:val="en-US" w:eastAsia="zh-CN" w:bidi="ar-SA"/>
        </w:rPr>
        <w:t>（十七）</w:t>
      </w:r>
      <w:r>
        <w:rPr>
          <w:rFonts w:hint="eastAsia" w:ascii="宋体" w:hAnsi="宋体" w:eastAsia="宋体"/>
          <w:color w:val="auto"/>
          <w:sz w:val="30"/>
          <w:szCs w:val="30"/>
        </w:rPr>
        <w:t>提供</w:t>
      </w:r>
      <w:r>
        <w:rPr>
          <w:rFonts w:hint="eastAsia" w:asciiTheme="majorEastAsia" w:hAnsiTheme="majorEastAsia" w:eastAsiaTheme="majorEastAsia"/>
          <w:color w:val="auto"/>
          <w:sz w:val="30"/>
          <w:szCs w:val="30"/>
        </w:rPr>
        <w:t>法定代表人</w:t>
      </w:r>
      <w:r>
        <w:rPr>
          <w:rFonts w:hint="eastAsia" w:ascii="宋体" w:hAnsi="宋体" w:eastAsia="宋体"/>
          <w:color w:val="auto"/>
          <w:sz w:val="30"/>
          <w:szCs w:val="30"/>
          <w:lang w:val="en-US" w:eastAsia="zh-CN"/>
        </w:rPr>
        <w:t>近一个月</w:t>
      </w:r>
      <w:r>
        <w:rPr>
          <w:rFonts w:hint="eastAsia" w:ascii="宋体" w:hAnsi="宋体" w:eastAsia="宋体"/>
          <w:color w:val="auto"/>
          <w:sz w:val="30"/>
          <w:szCs w:val="30"/>
        </w:rPr>
        <w:t>的社会保险</w:t>
      </w:r>
      <w:r>
        <w:rPr>
          <w:rFonts w:hint="eastAsia" w:ascii="宋体" w:hAnsi="宋体" w:eastAsia="宋体"/>
          <w:sz w:val="30"/>
          <w:szCs w:val="30"/>
        </w:rPr>
        <w:t>证明</w:t>
      </w:r>
      <w:bookmarkEnd w:id="86"/>
      <w:bookmarkEnd w:id="87"/>
    </w:p>
    <w:p w14:paraId="0263054A">
      <w:pPr>
        <w:rPr>
          <w:rFonts w:hint="eastAsia" w:ascii="宋体" w:hAnsi="宋体"/>
        </w:rPr>
      </w:pPr>
      <w:r>
        <w:rPr>
          <w:rFonts w:hint="eastAsia" w:ascii="宋体" w:hAnsi="宋体"/>
        </w:rPr>
        <w:t>注：如新成立公司或退休人员无法提供社保证明的，应提供说明函（格式自拟），说明相关情况。若因为社保部门原因无法提供的，需提供劳动合同及社保部门官方通知证明(或官网公告截图)。</w:t>
      </w:r>
    </w:p>
    <w:p w14:paraId="4E6988C2">
      <w:pPr>
        <w:rPr>
          <w:rFonts w:hint="eastAsia" w:ascii="宋体" w:hAnsi="宋体"/>
          <w:color w:val="auto"/>
          <w:szCs w:val="21"/>
          <w:highlight w:val="none"/>
          <w:lang w:val="en-US" w:eastAsia="zh-CN"/>
        </w:rPr>
      </w:pPr>
      <w:r>
        <w:rPr>
          <w:rFonts w:hint="eastAsia" w:ascii="宋体" w:hAnsi="宋体"/>
          <w:color w:val="auto"/>
          <w:szCs w:val="21"/>
          <w:highlight w:val="none"/>
          <w:lang w:val="en-US" w:eastAsia="zh-CN"/>
        </w:rPr>
        <w:t>“温馨提示:为避免出现《深圳经济特区政府采购条例实施细则》第七十五条第二项所列情形，请投标供应商核实你单位法定代表人、本项目投标授权代表人、项目负责人(如有)、主要技术人员(如有)等是否在你公司缴纳社会保险。”</w:t>
      </w:r>
      <w:r>
        <w:rPr>
          <w:rFonts w:hint="eastAsia" w:ascii="宋体" w:hAnsi="宋体"/>
          <w:color w:val="auto"/>
          <w:szCs w:val="21"/>
          <w:highlight w:val="none"/>
          <w:lang w:val="en-US" w:eastAsia="zh-CN"/>
        </w:rPr>
        <w:br w:type="page"/>
      </w:r>
    </w:p>
    <w:p w14:paraId="6C6A5DD0">
      <w:pPr>
        <w:pStyle w:val="4"/>
        <w:numPr>
          <w:ilvl w:val="0"/>
          <w:numId w:val="0"/>
        </w:numPr>
        <w:spacing w:line="240" w:lineRule="auto"/>
        <w:ind w:left="420" w:leftChars="0" w:hanging="420" w:firstLineChars="0"/>
        <w:jc w:val="center"/>
        <w:outlineLvl w:val="0"/>
        <w:rPr>
          <w:rFonts w:ascii="宋体" w:hAnsi="宋体" w:eastAsia="宋体"/>
          <w:color w:val="auto"/>
          <w:sz w:val="30"/>
          <w:szCs w:val="30"/>
        </w:rPr>
      </w:pPr>
      <w:bookmarkStart w:id="88" w:name="_Toc777"/>
      <w:bookmarkStart w:id="89" w:name="_Toc2305"/>
      <w:bookmarkStart w:id="90" w:name="_Toc11352"/>
      <w:bookmarkStart w:id="91" w:name="_Toc15871"/>
      <w:bookmarkStart w:id="92" w:name="_Toc2124"/>
      <w:bookmarkStart w:id="93" w:name="_Toc25910"/>
      <w:bookmarkStart w:id="94" w:name="_Toc7126"/>
      <w:r>
        <w:rPr>
          <w:rFonts w:hint="eastAsia" w:ascii="宋体" w:hAnsi="宋体" w:eastAsia="宋体" w:cs="宋体"/>
          <w:color w:val="auto"/>
          <w:kern w:val="2"/>
          <w:sz w:val="30"/>
          <w:szCs w:val="30"/>
          <w:lang w:val="en-US" w:eastAsia="zh-CN" w:bidi="ar-SA"/>
        </w:rPr>
        <w:t>（十八）</w:t>
      </w:r>
      <w:r>
        <w:rPr>
          <w:rFonts w:hint="eastAsia" w:ascii="宋体" w:hAnsi="宋体" w:eastAsia="宋体"/>
          <w:sz w:val="30"/>
          <w:szCs w:val="30"/>
        </w:rPr>
        <w:t>提供主要经营负责人</w:t>
      </w:r>
      <w:r>
        <w:rPr>
          <w:rFonts w:hint="eastAsia" w:ascii="宋体" w:hAnsi="宋体" w:eastAsia="宋体"/>
          <w:color w:val="auto"/>
          <w:sz w:val="30"/>
          <w:szCs w:val="30"/>
        </w:rPr>
        <w:t>、项目负责人、主要技术人员</w:t>
      </w:r>
      <w:r>
        <w:rPr>
          <w:rFonts w:hint="eastAsia" w:ascii="宋体" w:hAnsi="宋体" w:eastAsia="宋体"/>
          <w:color w:val="auto"/>
          <w:sz w:val="30"/>
          <w:szCs w:val="30"/>
          <w:lang w:val="en-US" w:eastAsia="zh-CN"/>
        </w:rPr>
        <w:t>近一个月</w:t>
      </w:r>
      <w:r>
        <w:rPr>
          <w:rFonts w:hint="eastAsia" w:ascii="宋体" w:hAnsi="宋体" w:eastAsia="宋体"/>
          <w:color w:val="auto"/>
          <w:sz w:val="30"/>
          <w:szCs w:val="30"/>
        </w:rPr>
        <w:t>的社会保险证明</w:t>
      </w:r>
      <w:bookmarkEnd w:id="88"/>
      <w:bookmarkEnd w:id="89"/>
      <w:bookmarkEnd w:id="90"/>
      <w:bookmarkEnd w:id="91"/>
      <w:bookmarkEnd w:id="92"/>
      <w:bookmarkEnd w:id="93"/>
      <w:bookmarkEnd w:id="94"/>
    </w:p>
    <w:p w14:paraId="08F7380F">
      <w:pPr>
        <w:spacing w:line="500" w:lineRule="exact"/>
        <w:rPr>
          <w:rFonts w:ascii="宋体" w:hAnsi="宋体"/>
          <w:color w:val="auto"/>
        </w:rPr>
      </w:pPr>
    </w:p>
    <w:p w14:paraId="46EA680B">
      <w:pPr>
        <w:rPr>
          <w:rFonts w:ascii="宋体" w:hAnsi="宋体"/>
          <w:b/>
          <w:bCs/>
          <w:color w:val="auto"/>
          <w:sz w:val="24"/>
        </w:rPr>
      </w:pPr>
      <w:r>
        <w:rPr>
          <w:rFonts w:hint="eastAsia" w:ascii="宋体" w:hAnsi="宋体"/>
          <w:b/>
          <w:bCs/>
          <w:color w:val="auto"/>
          <w:sz w:val="24"/>
        </w:rPr>
        <w:t>提供</w:t>
      </w:r>
      <w:r>
        <w:rPr>
          <w:rFonts w:hint="eastAsia"/>
          <w:b/>
          <w:color w:val="auto"/>
          <w:sz w:val="24"/>
        </w:rPr>
        <w:t>主要经营负责</w:t>
      </w:r>
      <w:r>
        <w:rPr>
          <w:rFonts w:hint="eastAsia" w:ascii="宋体" w:hAnsi="宋体"/>
          <w:b/>
          <w:bCs/>
          <w:color w:val="auto"/>
          <w:sz w:val="24"/>
        </w:rPr>
        <w:t>人近一个月的社保证明：</w:t>
      </w:r>
    </w:p>
    <w:p w14:paraId="6675E697">
      <w:pPr>
        <w:rPr>
          <w:rFonts w:ascii="宋体" w:hAnsi="宋体"/>
          <w:b/>
          <w:bCs/>
          <w:color w:val="auto"/>
          <w:sz w:val="24"/>
        </w:rPr>
      </w:pPr>
    </w:p>
    <w:p w14:paraId="4A27208D">
      <w:pPr>
        <w:rPr>
          <w:rFonts w:hint="default" w:ascii="宋体" w:hAnsi="宋体" w:eastAsiaTheme="minorEastAsia"/>
          <w:b/>
          <w:bCs/>
          <w:color w:val="auto"/>
          <w:sz w:val="24"/>
          <w:lang w:val="en-US" w:eastAsia="zh-CN"/>
        </w:rPr>
      </w:pPr>
    </w:p>
    <w:p w14:paraId="3D26AD5A">
      <w:pPr>
        <w:rPr>
          <w:rFonts w:hint="default" w:ascii="宋体" w:hAnsi="宋体" w:eastAsiaTheme="minorEastAsia"/>
          <w:b/>
          <w:bCs/>
          <w:color w:val="auto"/>
          <w:sz w:val="24"/>
          <w:lang w:val="en-US" w:eastAsia="zh-CN"/>
        </w:rPr>
      </w:pPr>
    </w:p>
    <w:p w14:paraId="68D36F64">
      <w:pPr>
        <w:rPr>
          <w:rFonts w:hint="default" w:ascii="宋体" w:hAnsi="宋体" w:eastAsiaTheme="minorEastAsia"/>
          <w:b/>
          <w:bCs/>
          <w:color w:val="auto"/>
          <w:sz w:val="24"/>
          <w:lang w:val="en-US" w:eastAsia="zh-CN"/>
        </w:rPr>
      </w:pPr>
    </w:p>
    <w:p w14:paraId="1C61B072">
      <w:pPr>
        <w:rPr>
          <w:rFonts w:hint="default" w:ascii="宋体" w:hAnsi="宋体" w:eastAsiaTheme="minorEastAsia"/>
          <w:b/>
          <w:bCs/>
          <w:color w:val="auto"/>
          <w:sz w:val="24"/>
          <w:lang w:val="en-US" w:eastAsia="zh-CN"/>
        </w:rPr>
      </w:pPr>
    </w:p>
    <w:p w14:paraId="7DED4F92">
      <w:pPr>
        <w:rPr>
          <w:rFonts w:hint="default" w:ascii="宋体" w:hAnsi="宋体" w:eastAsiaTheme="minorEastAsia"/>
          <w:b/>
          <w:bCs/>
          <w:color w:val="auto"/>
          <w:sz w:val="24"/>
          <w:lang w:val="en-US" w:eastAsia="zh-CN"/>
        </w:rPr>
      </w:pPr>
    </w:p>
    <w:p w14:paraId="2D944E21">
      <w:pPr>
        <w:rPr>
          <w:rFonts w:ascii="宋体" w:hAnsi="宋体"/>
          <w:b/>
          <w:bCs/>
          <w:color w:val="auto"/>
          <w:sz w:val="24"/>
        </w:rPr>
      </w:pPr>
    </w:p>
    <w:p w14:paraId="262F899B">
      <w:pPr>
        <w:rPr>
          <w:rFonts w:ascii="宋体" w:hAnsi="宋体"/>
          <w:b/>
          <w:bCs/>
          <w:color w:val="auto"/>
          <w:sz w:val="24"/>
        </w:rPr>
      </w:pPr>
      <w:r>
        <w:rPr>
          <w:rFonts w:hint="eastAsia" w:ascii="宋体" w:hAnsi="宋体"/>
          <w:b/>
          <w:bCs/>
          <w:color w:val="auto"/>
          <w:sz w:val="24"/>
        </w:rPr>
        <w:t>提供项目负责人近一个月的社保证明（如有）：</w:t>
      </w:r>
    </w:p>
    <w:p w14:paraId="70313BD8">
      <w:pPr>
        <w:spacing w:line="500" w:lineRule="exact"/>
        <w:rPr>
          <w:rFonts w:ascii="宋体" w:hAnsi="宋体"/>
          <w:color w:val="auto"/>
        </w:rPr>
      </w:pPr>
    </w:p>
    <w:p w14:paraId="3C259EF8">
      <w:pPr>
        <w:spacing w:line="500" w:lineRule="exact"/>
        <w:rPr>
          <w:rFonts w:ascii="宋体" w:hAnsi="宋体"/>
          <w:color w:val="auto"/>
        </w:rPr>
      </w:pPr>
    </w:p>
    <w:p w14:paraId="1F074AE8">
      <w:pPr>
        <w:spacing w:line="500" w:lineRule="exact"/>
        <w:rPr>
          <w:rFonts w:ascii="宋体" w:hAnsi="宋体"/>
          <w:color w:val="auto"/>
        </w:rPr>
      </w:pPr>
    </w:p>
    <w:p w14:paraId="125868D8">
      <w:pPr>
        <w:spacing w:line="500" w:lineRule="exact"/>
        <w:rPr>
          <w:rFonts w:ascii="宋体" w:hAnsi="宋体"/>
          <w:color w:val="auto"/>
        </w:rPr>
      </w:pPr>
    </w:p>
    <w:p w14:paraId="01262934">
      <w:pPr>
        <w:spacing w:line="500" w:lineRule="exact"/>
        <w:rPr>
          <w:rFonts w:ascii="宋体" w:hAnsi="宋体"/>
          <w:color w:val="auto"/>
        </w:rPr>
      </w:pPr>
    </w:p>
    <w:p w14:paraId="5794AF27">
      <w:pPr>
        <w:rPr>
          <w:color w:val="auto"/>
        </w:rPr>
      </w:pPr>
      <w:r>
        <w:rPr>
          <w:rFonts w:hint="eastAsia" w:ascii="宋体" w:hAnsi="宋体"/>
          <w:b/>
          <w:bCs/>
          <w:color w:val="auto"/>
          <w:sz w:val="24"/>
        </w:rPr>
        <w:t>提供主要技术人员近一个月的社保证明（如有）：</w:t>
      </w:r>
    </w:p>
    <w:p w14:paraId="4A18806C">
      <w:pPr>
        <w:spacing w:line="500" w:lineRule="exact"/>
        <w:rPr>
          <w:rFonts w:ascii="宋体" w:hAnsi="宋体"/>
        </w:rPr>
      </w:pPr>
    </w:p>
    <w:p w14:paraId="5A093BAC">
      <w:pPr>
        <w:spacing w:line="500" w:lineRule="exact"/>
        <w:rPr>
          <w:rFonts w:ascii="宋体" w:hAnsi="宋体"/>
        </w:rPr>
      </w:pPr>
    </w:p>
    <w:p w14:paraId="325C72B5">
      <w:pPr>
        <w:spacing w:line="500" w:lineRule="exact"/>
        <w:rPr>
          <w:rFonts w:ascii="宋体" w:hAnsi="宋体"/>
        </w:rPr>
      </w:pPr>
    </w:p>
    <w:p w14:paraId="42F919D5">
      <w:pPr>
        <w:spacing w:line="500" w:lineRule="exact"/>
        <w:rPr>
          <w:rFonts w:ascii="宋体" w:hAnsi="宋体"/>
        </w:rPr>
      </w:pPr>
    </w:p>
    <w:p w14:paraId="790DCE5D">
      <w:pPr>
        <w:pStyle w:val="7"/>
        <w:rPr>
          <w:rFonts w:hint="eastAsia" w:ascii="宋体" w:hAnsi="宋体"/>
        </w:rPr>
      </w:pPr>
      <w:r>
        <w:rPr>
          <w:rFonts w:hint="eastAsia" w:ascii="宋体" w:hAnsi="宋体"/>
        </w:rPr>
        <w:t>注：如新成立公司或退休人员无法提供社保证明的，应提供说明函（格式自拟），说明相关情况。若因为社保部门原因无法提供的，需提供劳动合同及社保部门官方通知证明(或官网公告截图)。如本项目未安排项目投标授权代表人、项目负责人、主要技术人员的，无需提供项目投标授权代表人、项目负责人、主要技术人员的社保。</w:t>
      </w:r>
    </w:p>
    <w:p w14:paraId="4006300D">
      <w:r>
        <w:rPr>
          <w:rFonts w:hint="eastAsia"/>
        </w:rPr>
        <w:t>“温馨提示:为避免出现《深圳经济特区政府采购条例实施细则》第七十五条第二项所列情形，请投标供应商核实你单位法定代表人、本项目投标授权代表人、项目负责人(如有)、主要技术人员(如有)等是否在你公司缴纳社会保险。”</w:t>
      </w:r>
    </w:p>
    <w:p w14:paraId="49129845">
      <w:pPr>
        <w:spacing w:line="500" w:lineRule="exact"/>
        <w:rPr>
          <w:rFonts w:ascii="宋体" w:hAnsi="宋体"/>
        </w:rPr>
      </w:pPr>
    </w:p>
    <w:p w14:paraId="0B1E9164">
      <w:pPr>
        <w:rPr>
          <w:rFonts w:hint="eastAsia" w:asciiTheme="majorEastAsia" w:hAnsiTheme="majorEastAsia" w:eastAsiaTheme="majorEastAsia"/>
          <w:sz w:val="30"/>
          <w:szCs w:val="30"/>
        </w:rPr>
      </w:pPr>
      <w:bookmarkStart w:id="95" w:name="_Toc8619"/>
      <w:bookmarkStart w:id="96" w:name="_Toc435515308"/>
      <w:bookmarkStart w:id="97" w:name="_Toc435514868"/>
      <w:r>
        <w:rPr>
          <w:rFonts w:hint="eastAsia" w:asciiTheme="majorEastAsia" w:hAnsiTheme="majorEastAsia" w:eastAsiaTheme="majorEastAsia"/>
          <w:sz w:val="30"/>
          <w:szCs w:val="30"/>
        </w:rPr>
        <w:br w:type="page"/>
      </w:r>
    </w:p>
    <w:p w14:paraId="6F888131">
      <w:pPr>
        <w:pStyle w:val="4"/>
        <w:numPr>
          <w:ilvl w:val="0"/>
          <w:numId w:val="0"/>
        </w:numPr>
        <w:spacing w:line="240" w:lineRule="auto"/>
        <w:ind w:left="420" w:leftChars="0" w:hanging="420" w:firstLineChars="0"/>
        <w:jc w:val="center"/>
        <w:outlineLvl w:val="0"/>
        <w:rPr>
          <w:rFonts w:hint="eastAsia" w:asciiTheme="majorEastAsia" w:hAnsiTheme="majorEastAsia" w:eastAsiaTheme="majorEastAsia"/>
          <w:sz w:val="30"/>
          <w:szCs w:val="30"/>
        </w:rPr>
      </w:pPr>
      <w:bookmarkStart w:id="98" w:name="_Toc17359"/>
      <w:bookmarkStart w:id="99" w:name="_Toc29264"/>
      <w:r>
        <w:rPr>
          <w:rFonts w:hint="eastAsia" w:cs="宋体" w:asciiTheme="majorEastAsia" w:hAnsiTheme="majorEastAsia" w:eastAsiaTheme="majorEastAsia"/>
          <w:kern w:val="2"/>
          <w:sz w:val="30"/>
          <w:szCs w:val="30"/>
          <w:lang w:val="en-US" w:eastAsia="zh-CN" w:bidi="ar-SA"/>
        </w:rPr>
        <w:t>（十九）</w:t>
      </w:r>
      <w:r>
        <w:rPr>
          <w:rFonts w:hint="eastAsia" w:asciiTheme="majorEastAsia" w:hAnsiTheme="majorEastAsia" w:eastAsiaTheme="majorEastAsia"/>
          <w:sz w:val="30"/>
          <w:szCs w:val="30"/>
        </w:rPr>
        <w:t>技术规格偏离表</w:t>
      </w:r>
      <w:bookmarkEnd w:id="98"/>
      <w:bookmarkEnd w:id="99"/>
    </w:p>
    <w:p w14:paraId="4B516DB8">
      <w:pPr>
        <w:spacing w:line="400" w:lineRule="exact"/>
        <w:rPr>
          <w:rFonts w:ascii="宋体" w:hAnsi="宋体"/>
        </w:rPr>
      </w:pPr>
      <w:r>
        <w:rPr>
          <w:rFonts w:hint="eastAsia" w:ascii="宋体" w:hAnsi="宋体"/>
        </w:rPr>
        <w:t>说明：投标人必须对应</w:t>
      </w:r>
      <w:r>
        <w:rPr>
          <w:rFonts w:hint="eastAsia" w:ascii="宋体" w:hAnsi="宋体"/>
          <w:lang w:eastAsia="zh-CN"/>
        </w:rPr>
        <w:t>征集</w:t>
      </w:r>
      <w:r>
        <w:rPr>
          <w:rFonts w:hint="eastAsia" w:ascii="宋体" w:hAnsi="宋体"/>
        </w:rPr>
        <w:t>文件</w:t>
      </w:r>
      <w:r>
        <w:rPr>
          <w:rFonts w:hint="eastAsia" w:ascii="宋体" w:hAnsi="宋体"/>
          <w:lang w:val="en-US" w:eastAsia="zh-CN"/>
        </w:rPr>
        <w:t>采购清单及技术规格中的</w:t>
      </w:r>
      <w:r>
        <w:rPr>
          <w:rFonts w:hint="eastAsia" w:ascii="宋体" w:hAnsi="宋体"/>
        </w:rPr>
        <w:t>条款逐条应答并按要求填写下表。</w:t>
      </w:r>
    </w:p>
    <w:tbl>
      <w:tblPr>
        <w:tblStyle w:val="21"/>
        <w:tblW w:w="9059" w:type="dxa"/>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30"/>
        <w:gridCol w:w="2515"/>
        <w:gridCol w:w="2341"/>
        <w:gridCol w:w="1750"/>
        <w:gridCol w:w="1623"/>
      </w:tblGrid>
      <w:tr w14:paraId="5F40C9E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77" w:hRule="atLeast"/>
        </w:trPr>
        <w:tc>
          <w:tcPr>
            <w:tcW w:w="830" w:type="dxa"/>
            <w:shd w:val="clear" w:color="auto" w:fill="EAF1DD" w:themeFill="accent3" w:themeFillTint="33"/>
            <w:vAlign w:val="center"/>
          </w:tcPr>
          <w:p w14:paraId="600754FA">
            <w:pPr>
              <w:keepNext w:val="0"/>
              <w:keepLines w:val="0"/>
              <w:suppressLineNumbers w:val="0"/>
              <w:spacing w:before="0" w:beforeAutospacing="0" w:after="0" w:afterAutospacing="0"/>
              <w:ind w:left="0" w:right="0"/>
              <w:jc w:val="center"/>
              <w:rPr>
                <w:rFonts w:hint="default" w:asciiTheme="minorEastAsia" w:hAnsiTheme="minorEastAsia" w:eastAsiaTheme="minorEastAsia"/>
                <w:color w:val="auto"/>
                <w:szCs w:val="21"/>
              </w:rPr>
            </w:pPr>
            <w:r>
              <w:rPr>
                <w:rFonts w:hint="eastAsia" w:asciiTheme="minorEastAsia" w:hAnsiTheme="minorEastAsia" w:eastAsiaTheme="minorEastAsia"/>
                <w:color w:val="auto"/>
                <w:szCs w:val="21"/>
              </w:rPr>
              <w:t>序号</w:t>
            </w:r>
          </w:p>
        </w:tc>
        <w:tc>
          <w:tcPr>
            <w:tcW w:w="2515" w:type="dxa"/>
            <w:shd w:val="clear" w:color="auto" w:fill="EAF1DD" w:themeFill="accent3" w:themeFillTint="33"/>
            <w:vAlign w:val="center"/>
          </w:tcPr>
          <w:p w14:paraId="2F5E61B4">
            <w:pPr>
              <w:keepNext w:val="0"/>
              <w:keepLines w:val="0"/>
              <w:suppressLineNumbers w:val="0"/>
              <w:spacing w:before="0" w:beforeAutospacing="0" w:after="0" w:afterAutospacing="0"/>
              <w:ind w:left="0" w:right="0"/>
              <w:jc w:val="center"/>
              <w:rPr>
                <w:rFonts w:hint="default" w:asciiTheme="minorEastAsia" w:hAnsiTheme="minorEastAsia" w:eastAsiaTheme="minorEastAsia"/>
                <w:color w:val="auto"/>
                <w:szCs w:val="21"/>
                <w:lang w:val="en-US"/>
              </w:rPr>
            </w:pPr>
            <w:r>
              <w:rPr>
                <w:rFonts w:hint="eastAsia" w:ascii="宋体" w:hAnsi="宋体"/>
                <w:szCs w:val="21"/>
                <w:lang w:val="en-US" w:eastAsia="zh-CN"/>
              </w:rPr>
              <w:t>征集技术要求</w:t>
            </w:r>
          </w:p>
        </w:tc>
        <w:tc>
          <w:tcPr>
            <w:tcW w:w="2341" w:type="dxa"/>
            <w:shd w:val="clear" w:color="auto" w:fill="EAF1DD" w:themeFill="accent3" w:themeFillTint="33"/>
            <w:vAlign w:val="center"/>
          </w:tcPr>
          <w:p w14:paraId="63784FC1">
            <w:pPr>
              <w:keepNext w:val="0"/>
              <w:keepLines w:val="0"/>
              <w:suppressLineNumbers w:val="0"/>
              <w:spacing w:before="0" w:beforeAutospacing="0" w:after="0" w:afterAutospacing="0"/>
              <w:ind w:left="0" w:right="0"/>
              <w:jc w:val="center"/>
              <w:rPr>
                <w:rFonts w:hint="default" w:asciiTheme="minorEastAsia" w:hAnsiTheme="minorEastAsia" w:eastAsiaTheme="minorEastAsia"/>
                <w:color w:val="auto"/>
                <w:szCs w:val="21"/>
              </w:rPr>
            </w:pPr>
            <w:r>
              <w:rPr>
                <w:rFonts w:hint="eastAsia" w:ascii="宋体" w:hAnsi="宋体"/>
                <w:szCs w:val="21"/>
              </w:rPr>
              <w:t>投标</w:t>
            </w:r>
            <w:r>
              <w:rPr>
                <w:rFonts w:hint="eastAsia" w:ascii="宋体" w:hAnsi="宋体"/>
                <w:szCs w:val="21"/>
                <w:lang w:val="en-US" w:eastAsia="zh-CN"/>
              </w:rPr>
              <w:t>技术</w:t>
            </w:r>
            <w:r>
              <w:rPr>
                <w:rFonts w:hint="eastAsia" w:ascii="宋体" w:hAnsi="宋体"/>
                <w:szCs w:val="21"/>
              </w:rPr>
              <w:t>响应</w:t>
            </w:r>
          </w:p>
        </w:tc>
        <w:tc>
          <w:tcPr>
            <w:tcW w:w="1750" w:type="dxa"/>
            <w:shd w:val="clear" w:color="auto" w:fill="EAF1DD" w:themeFill="accent3" w:themeFillTint="33"/>
            <w:vAlign w:val="center"/>
          </w:tcPr>
          <w:p w14:paraId="6680638F">
            <w:pPr>
              <w:keepNext w:val="0"/>
              <w:keepLines w:val="0"/>
              <w:suppressLineNumbers w:val="0"/>
              <w:spacing w:before="0" w:beforeAutospacing="0" w:after="0" w:afterAutospacing="0"/>
              <w:ind w:left="0" w:right="0"/>
              <w:jc w:val="center"/>
              <w:rPr>
                <w:rFonts w:hint="default" w:asciiTheme="minorEastAsia" w:hAnsiTheme="minorEastAsia" w:eastAsiaTheme="minorEastAsia"/>
                <w:color w:val="auto"/>
                <w:szCs w:val="21"/>
              </w:rPr>
            </w:pPr>
            <w:r>
              <w:rPr>
                <w:rFonts w:hint="eastAsia" w:asciiTheme="minorEastAsia" w:hAnsiTheme="minorEastAsia" w:eastAsiaTheme="minorEastAsia"/>
                <w:color w:val="auto"/>
                <w:szCs w:val="21"/>
              </w:rPr>
              <w:t>偏离情况（填写“正偏离、</w:t>
            </w:r>
            <w:r>
              <w:rPr>
                <w:rFonts w:hint="eastAsia" w:asciiTheme="minorEastAsia" w:hAnsiTheme="minorEastAsia"/>
                <w:color w:val="auto"/>
                <w:szCs w:val="21"/>
                <w:lang w:val="en-US" w:eastAsia="zh-CN"/>
              </w:rPr>
              <w:t>无偏离</w:t>
            </w:r>
            <w:r>
              <w:rPr>
                <w:rFonts w:hint="eastAsia" w:asciiTheme="minorEastAsia" w:hAnsiTheme="minorEastAsia" w:eastAsiaTheme="minorEastAsia"/>
                <w:color w:val="auto"/>
                <w:szCs w:val="21"/>
              </w:rPr>
              <w:t>或负偏离”）</w:t>
            </w:r>
          </w:p>
        </w:tc>
        <w:tc>
          <w:tcPr>
            <w:tcW w:w="1623" w:type="dxa"/>
            <w:shd w:val="clear" w:color="auto" w:fill="EAF1DD" w:themeFill="accent3" w:themeFillTint="33"/>
            <w:vAlign w:val="center"/>
          </w:tcPr>
          <w:p w14:paraId="5A931387">
            <w:pPr>
              <w:keepNext w:val="0"/>
              <w:keepLines w:val="0"/>
              <w:suppressLineNumbers w:val="0"/>
              <w:spacing w:before="0" w:beforeAutospacing="0" w:after="0" w:afterAutospacing="0"/>
              <w:ind w:left="0" w:right="0"/>
              <w:jc w:val="center"/>
              <w:rPr>
                <w:rFonts w:hint="default" w:asciiTheme="minorEastAsia" w:hAnsiTheme="minorEastAsia" w:eastAsiaTheme="minorEastAsia"/>
                <w:color w:val="auto"/>
                <w:szCs w:val="21"/>
              </w:rPr>
            </w:pPr>
            <w:r>
              <w:rPr>
                <w:rFonts w:hint="eastAsia" w:asciiTheme="minorEastAsia" w:hAnsiTheme="minorEastAsia" w:eastAsiaTheme="minorEastAsia"/>
                <w:color w:val="auto"/>
                <w:szCs w:val="21"/>
              </w:rPr>
              <w:t>说明</w:t>
            </w:r>
          </w:p>
        </w:tc>
      </w:tr>
      <w:tr w14:paraId="3459CFD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830" w:type="dxa"/>
            <w:vAlign w:val="center"/>
          </w:tcPr>
          <w:p w14:paraId="4E47F2F2">
            <w:pPr>
              <w:keepNext w:val="0"/>
              <w:keepLines w:val="0"/>
              <w:suppressLineNumbers w:val="0"/>
              <w:spacing w:before="0" w:beforeAutospacing="0" w:after="0" w:afterAutospacing="0"/>
              <w:ind w:left="0" w:right="0"/>
              <w:rPr>
                <w:rFonts w:hint="default" w:asciiTheme="minorEastAsia" w:hAnsiTheme="minorEastAsia" w:eastAsiaTheme="minorEastAsia"/>
                <w:szCs w:val="21"/>
              </w:rPr>
            </w:pPr>
            <w:r>
              <w:rPr>
                <w:rFonts w:hint="eastAsia" w:asciiTheme="minorEastAsia" w:hAnsiTheme="minorEastAsia" w:eastAsiaTheme="minorEastAsia"/>
                <w:szCs w:val="21"/>
              </w:rPr>
              <w:t>1</w:t>
            </w:r>
          </w:p>
        </w:tc>
        <w:tc>
          <w:tcPr>
            <w:tcW w:w="2515" w:type="dxa"/>
            <w:vAlign w:val="center"/>
          </w:tcPr>
          <w:p w14:paraId="2491D04F">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2341" w:type="dxa"/>
            <w:vAlign w:val="center"/>
          </w:tcPr>
          <w:p w14:paraId="0A8C1FC9">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1750" w:type="dxa"/>
            <w:vAlign w:val="center"/>
          </w:tcPr>
          <w:p w14:paraId="67964FF1">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1623" w:type="dxa"/>
            <w:vAlign w:val="center"/>
          </w:tcPr>
          <w:p w14:paraId="11D6455C">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r>
      <w:tr w14:paraId="7B411AE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830" w:type="dxa"/>
            <w:vAlign w:val="center"/>
          </w:tcPr>
          <w:p w14:paraId="46ED6CC8">
            <w:pPr>
              <w:keepNext w:val="0"/>
              <w:keepLines w:val="0"/>
              <w:suppressLineNumbers w:val="0"/>
              <w:spacing w:before="0" w:beforeAutospacing="0" w:after="0" w:afterAutospacing="0"/>
              <w:ind w:left="0" w:right="0"/>
              <w:rPr>
                <w:rFonts w:hint="default" w:asciiTheme="minorEastAsia" w:hAnsiTheme="minorEastAsia" w:eastAsiaTheme="minorEastAsia"/>
                <w:szCs w:val="21"/>
              </w:rPr>
            </w:pPr>
            <w:r>
              <w:rPr>
                <w:rFonts w:hint="eastAsia" w:asciiTheme="minorEastAsia" w:hAnsiTheme="minorEastAsia" w:eastAsiaTheme="minorEastAsia"/>
                <w:szCs w:val="21"/>
              </w:rPr>
              <w:t>2</w:t>
            </w:r>
          </w:p>
        </w:tc>
        <w:tc>
          <w:tcPr>
            <w:tcW w:w="2515" w:type="dxa"/>
            <w:vAlign w:val="center"/>
          </w:tcPr>
          <w:p w14:paraId="3E6648D1">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2341" w:type="dxa"/>
            <w:vAlign w:val="center"/>
          </w:tcPr>
          <w:p w14:paraId="33EF56D7">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1750" w:type="dxa"/>
            <w:vAlign w:val="center"/>
          </w:tcPr>
          <w:p w14:paraId="4FBF7878">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1623" w:type="dxa"/>
            <w:vAlign w:val="center"/>
          </w:tcPr>
          <w:p w14:paraId="1DF9696A">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r>
      <w:tr w14:paraId="0FF0DC1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830" w:type="dxa"/>
            <w:vAlign w:val="center"/>
          </w:tcPr>
          <w:p w14:paraId="3E433214">
            <w:pPr>
              <w:keepNext w:val="0"/>
              <w:keepLines w:val="0"/>
              <w:suppressLineNumbers w:val="0"/>
              <w:spacing w:before="0" w:beforeAutospacing="0" w:after="0" w:afterAutospacing="0"/>
              <w:ind w:left="0" w:right="0"/>
              <w:rPr>
                <w:rFonts w:hint="eastAsia" w:asciiTheme="minorEastAsia" w:hAnsiTheme="minorEastAsia" w:eastAsiaTheme="minorEastAsia"/>
                <w:szCs w:val="21"/>
                <w:lang w:val="en-US" w:eastAsia="zh-CN"/>
              </w:rPr>
            </w:pPr>
            <w:r>
              <w:rPr>
                <w:rFonts w:hint="eastAsia" w:asciiTheme="minorEastAsia" w:hAnsiTheme="minorEastAsia"/>
                <w:szCs w:val="21"/>
                <w:lang w:val="en-US" w:eastAsia="zh-CN"/>
              </w:rPr>
              <w:t>3</w:t>
            </w:r>
          </w:p>
        </w:tc>
        <w:tc>
          <w:tcPr>
            <w:tcW w:w="2515" w:type="dxa"/>
            <w:vAlign w:val="center"/>
          </w:tcPr>
          <w:p w14:paraId="4BAB58CF">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2341" w:type="dxa"/>
            <w:vAlign w:val="center"/>
          </w:tcPr>
          <w:p w14:paraId="300B2E82">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1750" w:type="dxa"/>
            <w:vAlign w:val="center"/>
          </w:tcPr>
          <w:p w14:paraId="220D7B60">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1623" w:type="dxa"/>
            <w:vAlign w:val="center"/>
          </w:tcPr>
          <w:p w14:paraId="2EFB38CE">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r>
      <w:tr w14:paraId="6180E31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830" w:type="dxa"/>
            <w:vAlign w:val="center"/>
          </w:tcPr>
          <w:p w14:paraId="37405FAE">
            <w:pPr>
              <w:keepNext w:val="0"/>
              <w:keepLines w:val="0"/>
              <w:suppressLineNumbers w:val="0"/>
              <w:spacing w:before="0" w:beforeAutospacing="0" w:after="0" w:afterAutospacing="0"/>
              <w:ind w:left="0" w:right="0"/>
              <w:rPr>
                <w:rFonts w:hint="eastAsia" w:asciiTheme="minorEastAsia" w:hAnsiTheme="minorEastAsia" w:eastAsiaTheme="minorEastAsia"/>
                <w:szCs w:val="21"/>
                <w:lang w:val="en-US" w:eastAsia="zh-CN"/>
              </w:rPr>
            </w:pPr>
            <w:r>
              <w:rPr>
                <w:rFonts w:hint="eastAsia" w:asciiTheme="minorEastAsia" w:hAnsiTheme="minorEastAsia"/>
                <w:szCs w:val="21"/>
                <w:lang w:val="en-US" w:eastAsia="zh-CN"/>
              </w:rPr>
              <w:t>4</w:t>
            </w:r>
          </w:p>
        </w:tc>
        <w:tc>
          <w:tcPr>
            <w:tcW w:w="2515" w:type="dxa"/>
            <w:vAlign w:val="center"/>
          </w:tcPr>
          <w:p w14:paraId="0997BCF5">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2341" w:type="dxa"/>
            <w:vAlign w:val="center"/>
          </w:tcPr>
          <w:p w14:paraId="40EE0778">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1750" w:type="dxa"/>
            <w:vAlign w:val="center"/>
          </w:tcPr>
          <w:p w14:paraId="48E82144">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1623" w:type="dxa"/>
            <w:vAlign w:val="center"/>
          </w:tcPr>
          <w:p w14:paraId="3D4E48A8">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r>
      <w:tr w14:paraId="0D3CB30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830" w:type="dxa"/>
            <w:vAlign w:val="center"/>
          </w:tcPr>
          <w:p w14:paraId="35C68015">
            <w:pPr>
              <w:keepNext w:val="0"/>
              <w:keepLines w:val="0"/>
              <w:suppressLineNumbers w:val="0"/>
              <w:spacing w:before="0" w:beforeAutospacing="0" w:after="0" w:afterAutospacing="0"/>
              <w:ind w:left="0" w:right="0"/>
              <w:rPr>
                <w:rFonts w:hint="eastAsia" w:asciiTheme="minorEastAsia" w:hAnsiTheme="minorEastAsia" w:eastAsiaTheme="minorEastAsia"/>
                <w:szCs w:val="21"/>
                <w:lang w:val="en-US" w:eastAsia="zh-CN"/>
              </w:rPr>
            </w:pPr>
            <w:r>
              <w:rPr>
                <w:rFonts w:hint="eastAsia" w:asciiTheme="minorEastAsia" w:hAnsiTheme="minorEastAsia"/>
                <w:szCs w:val="21"/>
                <w:lang w:val="en-US" w:eastAsia="zh-CN"/>
              </w:rPr>
              <w:t>5</w:t>
            </w:r>
          </w:p>
        </w:tc>
        <w:tc>
          <w:tcPr>
            <w:tcW w:w="2515" w:type="dxa"/>
            <w:vAlign w:val="center"/>
          </w:tcPr>
          <w:p w14:paraId="1D058D31">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2341" w:type="dxa"/>
            <w:vAlign w:val="center"/>
          </w:tcPr>
          <w:p w14:paraId="4D42660C">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1750" w:type="dxa"/>
            <w:vAlign w:val="center"/>
          </w:tcPr>
          <w:p w14:paraId="44289648">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1623" w:type="dxa"/>
            <w:vAlign w:val="center"/>
          </w:tcPr>
          <w:p w14:paraId="015303AC">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r>
      <w:tr w14:paraId="275E98F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830" w:type="dxa"/>
            <w:vAlign w:val="center"/>
          </w:tcPr>
          <w:p w14:paraId="3BDA9829">
            <w:pPr>
              <w:keepNext w:val="0"/>
              <w:keepLines w:val="0"/>
              <w:suppressLineNumbers w:val="0"/>
              <w:spacing w:before="0" w:beforeAutospacing="0" w:after="0" w:afterAutospacing="0"/>
              <w:ind w:left="0" w:right="0"/>
              <w:rPr>
                <w:rFonts w:hint="eastAsia" w:asciiTheme="minorEastAsia" w:hAnsiTheme="minorEastAsia" w:eastAsiaTheme="minorEastAsia"/>
                <w:szCs w:val="21"/>
                <w:lang w:val="en-US" w:eastAsia="zh-CN"/>
              </w:rPr>
            </w:pPr>
            <w:r>
              <w:rPr>
                <w:rFonts w:hint="eastAsia" w:asciiTheme="minorEastAsia" w:hAnsiTheme="minorEastAsia"/>
                <w:szCs w:val="21"/>
                <w:lang w:val="en-US" w:eastAsia="zh-CN"/>
              </w:rPr>
              <w:t>6</w:t>
            </w:r>
          </w:p>
        </w:tc>
        <w:tc>
          <w:tcPr>
            <w:tcW w:w="2515" w:type="dxa"/>
            <w:vAlign w:val="center"/>
          </w:tcPr>
          <w:p w14:paraId="69E7955C">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2341" w:type="dxa"/>
            <w:vAlign w:val="center"/>
          </w:tcPr>
          <w:p w14:paraId="53128E07">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1750" w:type="dxa"/>
            <w:vAlign w:val="center"/>
          </w:tcPr>
          <w:p w14:paraId="1EE0E7B2">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1623" w:type="dxa"/>
            <w:vAlign w:val="center"/>
          </w:tcPr>
          <w:p w14:paraId="67486C06">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r>
      <w:tr w14:paraId="7D61468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8" w:hRule="atLeast"/>
        </w:trPr>
        <w:tc>
          <w:tcPr>
            <w:tcW w:w="830" w:type="dxa"/>
            <w:vAlign w:val="center"/>
          </w:tcPr>
          <w:p w14:paraId="2376D43D">
            <w:pPr>
              <w:keepNext w:val="0"/>
              <w:keepLines w:val="0"/>
              <w:suppressLineNumbers w:val="0"/>
              <w:spacing w:before="0" w:beforeAutospacing="0" w:after="0" w:afterAutospacing="0"/>
              <w:ind w:left="0" w:right="0"/>
              <w:rPr>
                <w:rFonts w:hint="default" w:asciiTheme="minorEastAsia" w:hAnsiTheme="minorEastAsia" w:eastAsiaTheme="minorEastAsia"/>
                <w:szCs w:val="21"/>
              </w:rPr>
            </w:pPr>
            <w:r>
              <w:rPr>
                <w:rFonts w:hint="eastAsia" w:asciiTheme="minorEastAsia" w:hAnsiTheme="minorEastAsia" w:eastAsiaTheme="minorEastAsia"/>
                <w:szCs w:val="21"/>
              </w:rPr>
              <w:t>……</w:t>
            </w:r>
          </w:p>
        </w:tc>
        <w:tc>
          <w:tcPr>
            <w:tcW w:w="2515" w:type="dxa"/>
            <w:vAlign w:val="center"/>
          </w:tcPr>
          <w:p w14:paraId="5E8BBAD4">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2341" w:type="dxa"/>
            <w:vAlign w:val="center"/>
          </w:tcPr>
          <w:p w14:paraId="0BF324CD">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1750" w:type="dxa"/>
            <w:vAlign w:val="center"/>
          </w:tcPr>
          <w:p w14:paraId="5AD49B87">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1623" w:type="dxa"/>
            <w:vAlign w:val="center"/>
          </w:tcPr>
          <w:p w14:paraId="247EF327">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r>
    </w:tbl>
    <w:p w14:paraId="50518E54">
      <w:pPr>
        <w:spacing w:line="360" w:lineRule="auto"/>
        <w:ind w:right="84" w:rightChars="40"/>
        <w:rPr>
          <w:rFonts w:ascii="宋体" w:hAnsi="宋体"/>
          <w:szCs w:val="21"/>
        </w:rPr>
      </w:pPr>
      <w:r>
        <w:rPr>
          <w:rFonts w:hint="eastAsia" w:ascii="宋体" w:hAnsi="宋体"/>
          <w:szCs w:val="21"/>
        </w:rPr>
        <w:t>备注：投标人必须按</w:t>
      </w:r>
      <w:r>
        <w:rPr>
          <w:rFonts w:hint="eastAsia" w:ascii="宋体" w:hAnsi="宋体"/>
          <w:szCs w:val="21"/>
          <w:lang w:eastAsia="zh-CN"/>
        </w:rPr>
        <w:t>征集</w:t>
      </w:r>
      <w:r>
        <w:rPr>
          <w:rFonts w:hint="eastAsia" w:ascii="宋体" w:hAnsi="宋体"/>
          <w:szCs w:val="21"/>
        </w:rPr>
        <w:t>文件要求附相关证明文件，如未提供的视为负偏离。</w:t>
      </w:r>
    </w:p>
    <w:p w14:paraId="04071499">
      <w:pPr>
        <w:spacing w:line="360" w:lineRule="auto"/>
        <w:ind w:right="84" w:rightChars="40"/>
        <w:rPr>
          <w:rFonts w:hint="eastAsia" w:ascii="宋体" w:hAnsi="宋体"/>
          <w:szCs w:val="21"/>
        </w:rPr>
      </w:pPr>
      <w:r>
        <w:rPr>
          <w:rFonts w:hint="eastAsia" w:ascii="宋体" w:hAnsi="宋体"/>
          <w:szCs w:val="21"/>
        </w:rPr>
        <w:t>《</w:t>
      </w:r>
      <w:r>
        <w:rPr>
          <w:rFonts w:hint="eastAsia" w:ascii="宋体" w:hAnsi="宋体"/>
          <w:szCs w:val="21"/>
          <w:lang w:val="en-US" w:eastAsia="zh-CN"/>
        </w:rPr>
        <w:t>技术规格偏离表</w:t>
      </w:r>
      <w:r>
        <w:rPr>
          <w:rFonts w:hint="eastAsia" w:ascii="宋体" w:hAnsi="宋体"/>
          <w:szCs w:val="21"/>
        </w:rPr>
        <w:t>》编制指引：</w:t>
      </w:r>
    </w:p>
    <w:p w14:paraId="5FB2148D">
      <w:pPr>
        <w:spacing w:line="360" w:lineRule="auto"/>
        <w:ind w:right="84" w:rightChars="40"/>
        <w:rPr>
          <w:rFonts w:hint="eastAsia" w:ascii="宋体" w:hAnsi="宋体"/>
          <w:szCs w:val="21"/>
        </w:rPr>
      </w:pPr>
      <w:r>
        <w:rPr>
          <w:rFonts w:hint="eastAsia" w:ascii="宋体" w:hAnsi="宋体"/>
          <w:szCs w:val="21"/>
          <w:lang w:val="en-US" w:eastAsia="zh-CN"/>
        </w:rPr>
        <w:t>1</w:t>
      </w:r>
      <w:r>
        <w:rPr>
          <w:rFonts w:hint="eastAsia" w:ascii="宋体" w:hAnsi="宋体"/>
          <w:szCs w:val="21"/>
        </w:rPr>
        <w:t>、“投标</w:t>
      </w:r>
      <w:r>
        <w:rPr>
          <w:rFonts w:hint="eastAsia" w:ascii="宋体" w:hAnsi="宋体"/>
          <w:szCs w:val="21"/>
          <w:lang w:val="en-US" w:eastAsia="zh-CN"/>
        </w:rPr>
        <w:t>技术</w:t>
      </w:r>
      <w:r>
        <w:rPr>
          <w:rFonts w:hint="eastAsia" w:ascii="宋体" w:hAnsi="宋体"/>
          <w:szCs w:val="21"/>
        </w:rPr>
        <w:t>响应”一栏必须一一对照“</w:t>
      </w:r>
      <w:r>
        <w:rPr>
          <w:rFonts w:hint="eastAsia" w:ascii="宋体" w:hAnsi="宋体"/>
          <w:szCs w:val="21"/>
          <w:lang w:eastAsia="zh-CN"/>
        </w:rPr>
        <w:t>征集</w:t>
      </w:r>
      <w:r>
        <w:rPr>
          <w:rFonts w:hint="eastAsia" w:ascii="宋体" w:hAnsi="宋体"/>
          <w:szCs w:val="21"/>
          <w:lang w:val="en-US" w:eastAsia="zh-CN"/>
        </w:rPr>
        <w:t>技术</w:t>
      </w:r>
      <w:r>
        <w:rPr>
          <w:rFonts w:hint="eastAsia" w:ascii="宋体" w:hAnsi="宋体"/>
          <w:szCs w:val="21"/>
        </w:rPr>
        <w:t>要求”，详细填写自身响应情况，而不能不合理照搬照抄</w:t>
      </w:r>
      <w:r>
        <w:rPr>
          <w:rFonts w:hint="eastAsia" w:ascii="宋体" w:hAnsi="宋体"/>
          <w:szCs w:val="21"/>
          <w:lang w:eastAsia="zh-CN"/>
        </w:rPr>
        <w:t>征集</w:t>
      </w:r>
      <w:r>
        <w:rPr>
          <w:rFonts w:hint="eastAsia" w:ascii="宋体" w:hAnsi="宋体"/>
          <w:szCs w:val="21"/>
        </w:rPr>
        <w:t>文件的</w:t>
      </w:r>
      <w:r>
        <w:rPr>
          <w:rFonts w:hint="eastAsia" w:ascii="宋体" w:hAnsi="宋体"/>
          <w:szCs w:val="21"/>
          <w:lang w:val="en-US" w:eastAsia="zh-CN"/>
        </w:rPr>
        <w:t>技术</w:t>
      </w:r>
      <w:r>
        <w:rPr>
          <w:rFonts w:hint="eastAsia" w:ascii="宋体" w:hAnsi="宋体"/>
          <w:szCs w:val="21"/>
        </w:rPr>
        <w:t>要求，以体现具体响应情况。</w:t>
      </w:r>
    </w:p>
    <w:p w14:paraId="5E7709C8">
      <w:pPr>
        <w:spacing w:line="360" w:lineRule="auto"/>
        <w:ind w:right="84" w:rightChars="40"/>
        <w:rPr>
          <w:rFonts w:hint="eastAsia" w:ascii="宋体" w:hAnsi="宋体"/>
          <w:szCs w:val="21"/>
        </w:rPr>
      </w:pPr>
      <w:r>
        <w:rPr>
          <w:rFonts w:hint="eastAsia" w:ascii="宋体" w:hAnsi="宋体"/>
          <w:szCs w:val="21"/>
          <w:lang w:val="en-US" w:eastAsia="zh-CN"/>
        </w:rPr>
        <w:t>2</w:t>
      </w:r>
      <w:r>
        <w:rPr>
          <w:rFonts w:hint="eastAsia" w:ascii="宋体" w:hAnsi="宋体"/>
          <w:szCs w:val="21"/>
        </w:rPr>
        <w:t>、“偏离情况”一栏如实填写“正偏离”、“负偏离”或“无偏离”，其中：“正偏离”表示“投标</w:t>
      </w:r>
      <w:r>
        <w:rPr>
          <w:rFonts w:hint="eastAsia" w:ascii="宋体" w:hAnsi="宋体"/>
          <w:szCs w:val="21"/>
          <w:lang w:val="en-US" w:eastAsia="zh-CN"/>
        </w:rPr>
        <w:t>技术</w:t>
      </w:r>
      <w:r>
        <w:rPr>
          <w:rFonts w:hint="eastAsia" w:ascii="宋体" w:hAnsi="宋体"/>
          <w:szCs w:val="21"/>
        </w:rPr>
        <w:t>响应优于</w:t>
      </w:r>
      <w:r>
        <w:rPr>
          <w:rFonts w:hint="eastAsia" w:ascii="宋体" w:hAnsi="宋体"/>
          <w:szCs w:val="21"/>
          <w:lang w:eastAsia="zh-CN"/>
        </w:rPr>
        <w:t>征集</w:t>
      </w:r>
      <w:r>
        <w:rPr>
          <w:rFonts w:hint="eastAsia" w:ascii="宋体" w:hAnsi="宋体"/>
          <w:szCs w:val="21"/>
          <w:lang w:val="en-US" w:eastAsia="zh-CN"/>
        </w:rPr>
        <w:t>技术</w:t>
      </w:r>
      <w:r>
        <w:rPr>
          <w:rFonts w:hint="eastAsia" w:ascii="宋体" w:hAnsi="宋体"/>
          <w:szCs w:val="21"/>
        </w:rPr>
        <w:t>要求”，“负偏离”表示“投标</w:t>
      </w:r>
      <w:r>
        <w:rPr>
          <w:rFonts w:hint="eastAsia" w:ascii="宋体" w:hAnsi="宋体"/>
          <w:szCs w:val="21"/>
          <w:lang w:val="en-US" w:eastAsia="zh-CN"/>
        </w:rPr>
        <w:t>技术</w:t>
      </w:r>
      <w:r>
        <w:rPr>
          <w:rFonts w:hint="eastAsia" w:ascii="宋体" w:hAnsi="宋体"/>
          <w:szCs w:val="21"/>
        </w:rPr>
        <w:t>响应不满足</w:t>
      </w:r>
      <w:r>
        <w:rPr>
          <w:rFonts w:hint="eastAsia" w:ascii="宋体" w:hAnsi="宋体"/>
          <w:szCs w:val="21"/>
          <w:lang w:eastAsia="zh-CN"/>
        </w:rPr>
        <w:t>征集</w:t>
      </w:r>
      <w:r>
        <w:rPr>
          <w:rFonts w:hint="eastAsia" w:ascii="宋体" w:hAnsi="宋体"/>
          <w:szCs w:val="21"/>
          <w:lang w:val="en-US" w:eastAsia="zh-CN"/>
        </w:rPr>
        <w:t>技术</w:t>
      </w:r>
      <w:r>
        <w:rPr>
          <w:rFonts w:hint="eastAsia" w:ascii="宋体" w:hAnsi="宋体"/>
          <w:szCs w:val="21"/>
        </w:rPr>
        <w:t>要求”，“无偏离”表示“投标</w:t>
      </w:r>
      <w:r>
        <w:rPr>
          <w:rFonts w:hint="eastAsia" w:ascii="宋体" w:hAnsi="宋体"/>
          <w:szCs w:val="21"/>
          <w:lang w:val="en-US" w:eastAsia="zh-CN"/>
        </w:rPr>
        <w:t>技术</w:t>
      </w:r>
      <w:r>
        <w:rPr>
          <w:rFonts w:hint="eastAsia" w:ascii="宋体" w:hAnsi="宋体"/>
          <w:szCs w:val="21"/>
        </w:rPr>
        <w:t>响应与</w:t>
      </w:r>
      <w:r>
        <w:rPr>
          <w:rFonts w:hint="eastAsia" w:ascii="宋体" w:hAnsi="宋体"/>
          <w:szCs w:val="21"/>
          <w:lang w:eastAsia="zh-CN"/>
        </w:rPr>
        <w:t>征集</w:t>
      </w:r>
      <w:r>
        <w:rPr>
          <w:rFonts w:hint="eastAsia" w:ascii="宋体" w:hAnsi="宋体"/>
          <w:szCs w:val="21"/>
          <w:lang w:val="en-US" w:eastAsia="zh-CN"/>
        </w:rPr>
        <w:t>技术</w:t>
      </w:r>
      <w:r>
        <w:rPr>
          <w:rFonts w:hint="eastAsia" w:ascii="宋体" w:hAnsi="宋体"/>
          <w:szCs w:val="21"/>
        </w:rPr>
        <w:t>要求一致”。</w:t>
      </w:r>
    </w:p>
    <w:p w14:paraId="01F5FBAF">
      <w:pPr>
        <w:spacing w:line="360" w:lineRule="auto"/>
        <w:ind w:right="84" w:rightChars="40"/>
        <w:rPr>
          <w:rFonts w:hint="eastAsia" w:ascii="宋体" w:hAnsi="宋体"/>
          <w:szCs w:val="21"/>
        </w:rPr>
      </w:pPr>
      <w:r>
        <w:rPr>
          <w:rFonts w:hint="eastAsia" w:ascii="宋体" w:hAnsi="宋体"/>
          <w:szCs w:val="21"/>
          <w:lang w:val="en-US" w:eastAsia="zh-CN"/>
        </w:rPr>
        <w:t>3</w:t>
      </w:r>
      <w:r>
        <w:rPr>
          <w:rFonts w:hint="eastAsia" w:ascii="宋体" w:hAnsi="宋体"/>
          <w:szCs w:val="21"/>
        </w:rPr>
        <w:t>、“投标</w:t>
      </w:r>
      <w:r>
        <w:rPr>
          <w:rFonts w:hint="eastAsia" w:ascii="宋体" w:hAnsi="宋体"/>
          <w:szCs w:val="21"/>
          <w:lang w:val="en-US" w:eastAsia="zh-CN"/>
        </w:rPr>
        <w:t>技术</w:t>
      </w:r>
      <w:r>
        <w:rPr>
          <w:rFonts w:hint="eastAsia" w:ascii="宋体" w:hAnsi="宋体"/>
          <w:szCs w:val="21"/>
        </w:rPr>
        <w:t>响应”对比“</w:t>
      </w:r>
      <w:r>
        <w:rPr>
          <w:rFonts w:hint="eastAsia" w:ascii="宋体" w:hAnsi="宋体"/>
          <w:szCs w:val="21"/>
          <w:lang w:eastAsia="zh-CN"/>
        </w:rPr>
        <w:t>征集</w:t>
      </w:r>
      <w:r>
        <w:rPr>
          <w:rFonts w:hint="eastAsia" w:ascii="宋体" w:hAnsi="宋体"/>
          <w:szCs w:val="21"/>
          <w:lang w:val="en-US" w:eastAsia="zh-CN"/>
        </w:rPr>
        <w:t>技术</w:t>
      </w:r>
      <w:r>
        <w:rPr>
          <w:rFonts w:hint="eastAsia" w:ascii="宋体" w:hAnsi="宋体"/>
          <w:szCs w:val="21"/>
        </w:rPr>
        <w:t>要求”存在响应不全（包括未响应整项</w:t>
      </w:r>
      <w:r>
        <w:rPr>
          <w:rFonts w:hint="eastAsia" w:ascii="宋体" w:hAnsi="宋体"/>
          <w:szCs w:val="21"/>
          <w:lang w:eastAsia="zh-CN"/>
        </w:rPr>
        <w:t>征集</w:t>
      </w:r>
      <w:r>
        <w:rPr>
          <w:rFonts w:hint="eastAsia" w:ascii="宋体" w:hAnsi="宋体"/>
          <w:szCs w:val="21"/>
          <w:lang w:val="en-US" w:eastAsia="zh-CN"/>
        </w:rPr>
        <w:t>技术</w:t>
      </w:r>
      <w:r>
        <w:rPr>
          <w:rFonts w:hint="eastAsia" w:ascii="宋体" w:hAnsi="宋体"/>
          <w:szCs w:val="21"/>
        </w:rPr>
        <w:t>要求或者未响应一项</w:t>
      </w:r>
      <w:r>
        <w:rPr>
          <w:rFonts w:hint="eastAsia" w:ascii="宋体" w:hAnsi="宋体"/>
          <w:szCs w:val="21"/>
          <w:lang w:eastAsia="zh-CN"/>
        </w:rPr>
        <w:t>征集</w:t>
      </w:r>
      <w:r>
        <w:rPr>
          <w:rFonts w:hint="eastAsia" w:ascii="宋体" w:hAnsi="宋体"/>
          <w:szCs w:val="21"/>
          <w:lang w:val="en-US" w:eastAsia="zh-CN"/>
        </w:rPr>
        <w:t>技术</w:t>
      </w:r>
      <w:r>
        <w:rPr>
          <w:rFonts w:hint="eastAsia" w:ascii="宋体" w:hAnsi="宋体"/>
          <w:szCs w:val="21"/>
        </w:rPr>
        <w:t>要求的部分内容），均视为“负偏离”。</w:t>
      </w:r>
    </w:p>
    <w:p w14:paraId="5521E149">
      <w:pPr>
        <w:adjustRightInd w:val="0"/>
        <w:snapToGrid w:val="0"/>
        <w:spacing w:line="300" w:lineRule="auto"/>
        <w:rPr>
          <w:rFonts w:hint="eastAsia" w:ascii="宋体" w:hAnsi="宋体" w:eastAsia="宋体" w:cs="宋体"/>
          <w:sz w:val="24"/>
          <w:highlight w:val="none"/>
        </w:rPr>
      </w:pPr>
    </w:p>
    <w:p w14:paraId="2D7347C3">
      <w:pPr>
        <w:adjustRightInd w:val="0"/>
        <w:snapToGrid w:val="0"/>
        <w:spacing w:line="300" w:lineRule="auto"/>
        <w:ind w:firstLine="470" w:firstLineChars="224"/>
        <w:rPr>
          <w:rFonts w:hint="eastAsia" w:ascii="宋体" w:hAnsi="宋体" w:eastAsia="宋体" w:cs="宋体"/>
          <w:szCs w:val="21"/>
          <w:highlight w:val="none"/>
        </w:rPr>
      </w:pPr>
      <w:r>
        <w:rPr>
          <w:rFonts w:hint="eastAsia" w:ascii="宋体" w:hAnsi="宋体" w:eastAsia="宋体" w:cs="宋体"/>
          <w:szCs w:val="21"/>
          <w:highlight w:val="none"/>
        </w:rPr>
        <w:t>投标人法定代表人（或法定代表人授权代表）签字：</w:t>
      </w:r>
      <w:r>
        <w:rPr>
          <w:rFonts w:hint="eastAsia" w:ascii="宋体" w:hAnsi="宋体" w:eastAsia="宋体" w:cs="宋体"/>
          <w:szCs w:val="21"/>
          <w:highlight w:val="none"/>
          <w:u w:val="single"/>
        </w:rPr>
        <w:t xml:space="preserve">               </w:t>
      </w:r>
    </w:p>
    <w:p w14:paraId="2F36244A">
      <w:pPr>
        <w:adjustRightInd w:val="0"/>
        <w:snapToGrid w:val="0"/>
        <w:spacing w:line="300" w:lineRule="auto"/>
        <w:ind w:firstLine="470" w:firstLineChars="224"/>
        <w:rPr>
          <w:rFonts w:hint="eastAsia" w:ascii="宋体" w:hAnsi="宋体" w:eastAsia="宋体" w:cs="宋体"/>
          <w:szCs w:val="21"/>
          <w:highlight w:val="none"/>
          <w:u w:val="single"/>
        </w:rPr>
      </w:pPr>
      <w:r>
        <w:rPr>
          <w:rFonts w:hint="eastAsia" w:ascii="宋体" w:hAnsi="宋体" w:eastAsia="宋体" w:cs="宋体"/>
          <w:szCs w:val="21"/>
          <w:highlight w:val="none"/>
        </w:rPr>
        <w:t>投标人名称（加盖公章）：</w:t>
      </w:r>
      <w:r>
        <w:rPr>
          <w:rFonts w:hint="eastAsia" w:ascii="宋体" w:hAnsi="宋体" w:eastAsia="宋体" w:cs="宋体"/>
          <w:szCs w:val="21"/>
          <w:highlight w:val="none"/>
          <w:u w:val="single"/>
        </w:rPr>
        <w:t xml:space="preserve">                        </w:t>
      </w:r>
    </w:p>
    <w:p w14:paraId="4578E62C">
      <w:pPr>
        <w:ind w:left="2" w:firstLine="470" w:firstLineChars="224"/>
        <w:rPr>
          <w:rFonts w:ascii="Arial" w:hAnsi="Arial" w:eastAsia="黑体"/>
          <w:bCs/>
          <w:sz w:val="32"/>
          <w:szCs w:val="32"/>
        </w:rPr>
      </w:pPr>
      <w:r>
        <w:rPr>
          <w:rFonts w:hint="eastAsia" w:ascii="宋体" w:hAnsi="宋体" w:eastAsia="宋体" w:cs="宋体"/>
          <w:szCs w:val="21"/>
          <w:highlight w:val="none"/>
        </w:rPr>
        <w:t>日期：   年   月   日</w:t>
      </w:r>
    </w:p>
    <w:p w14:paraId="1562BABE">
      <w:pPr>
        <w:rPr>
          <w:rFonts w:asciiTheme="majorEastAsia" w:hAnsiTheme="majorEastAsia" w:eastAsiaTheme="majorEastAsia"/>
          <w:sz w:val="30"/>
          <w:szCs w:val="30"/>
        </w:rPr>
      </w:pPr>
      <w:r>
        <w:rPr>
          <w:rFonts w:hint="eastAsia" w:asciiTheme="majorEastAsia" w:hAnsiTheme="majorEastAsia" w:eastAsiaTheme="majorEastAsia"/>
          <w:sz w:val="30"/>
          <w:szCs w:val="30"/>
        </w:rPr>
        <w:br w:type="page"/>
      </w:r>
    </w:p>
    <w:p w14:paraId="26710D5F">
      <w:pPr>
        <w:pStyle w:val="4"/>
        <w:numPr>
          <w:ilvl w:val="0"/>
          <w:numId w:val="0"/>
        </w:numPr>
        <w:spacing w:line="240" w:lineRule="auto"/>
        <w:ind w:left="420" w:leftChars="0" w:hanging="420" w:firstLineChars="0"/>
        <w:jc w:val="center"/>
        <w:outlineLvl w:val="0"/>
        <w:rPr>
          <w:rFonts w:asciiTheme="majorEastAsia" w:hAnsiTheme="majorEastAsia" w:eastAsiaTheme="majorEastAsia"/>
          <w:sz w:val="30"/>
          <w:szCs w:val="30"/>
        </w:rPr>
      </w:pPr>
      <w:bookmarkStart w:id="100" w:name="_Toc28766"/>
      <w:bookmarkStart w:id="101" w:name="_Toc1851"/>
      <w:r>
        <w:rPr>
          <w:rFonts w:hint="eastAsia" w:cs="宋体" w:asciiTheme="majorEastAsia" w:hAnsiTheme="majorEastAsia" w:eastAsiaTheme="majorEastAsia"/>
          <w:kern w:val="2"/>
          <w:sz w:val="30"/>
          <w:szCs w:val="30"/>
          <w:lang w:val="en-US" w:eastAsia="zh-CN" w:bidi="ar-SA"/>
        </w:rPr>
        <w:t>（二十）</w:t>
      </w:r>
      <w:r>
        <w:rPr>
          <w:rFonts w:hint="eastAsia" w:asciiTheme="majorEastAsia" w:hAnsiTheme="majorEastAsia" w:eastAsiaTheme="majorEastAsia"/>
          <w:sz w:val="30"/>
          <w:szCs w:val="30"/>
          <w:lang w:val="en-US" w:eastAsia="zh-CN"/>
        </w:rPr>
        <w:t>商务</w:t>
      </w:r>
      <w:r>
        <w:rPr>
          <w:rFonts w:hint="eastAsia" w:asciiTheme="majorEastAsia" w:hAnsiTheme="majorEastAsia" w:eastAsiaTheme="majorEastAsia"/>
          <w:sz w:val="30"/>
          <w:szCs w:val="30"/>
        </w:rPr>
        <w:t>条款响应一览表</w:t>
      </w:r>
      <w:bookmarkEnd w:id="95"/>
      <w:bookmarkEnd w:id="100"/>
      <w:bookmarkEnd w:id="101"/>
    </w:p>
    <w:p w14:paraId="4F49A491">
      <w:pPr>
        <w:spacing w:line="400" w:lineRule="exact"/>
        <w:rPr>
          <w:rFonts w:ascii="宋体" w:hAnsi="宋体"/>
        </w:rPr>
      </w:pPr>
      <w:r>
        <w:rPr>
          <w:rFonts w:hint="eastAsia" w:ascii="宋体" w:hAnsi="宋体"/>
        </w:rPr>
        <w:t>说明：投标人必须对应</w:t>
      </w:r>
      <w:r>
        <w:rPr>
          <w:rFonts w:hint="eastAsia" w:ascii="宋体" w:hAnsi="宋体"/>
          <w:lang w:eastAsia="zh-CN"/>
        </w:rPr>
        <w:t>征集</w:t>
      </w:r>
      <w:r>
        <w:rPr>
          <w:rFonts w:hint="eastAsia" w:ascii="宋体" w:hAnsi="宋体"/>
        </w:rPr>
        <w:t>文件</w:t>
      </w:r>
      <w:r>
        <w:rPr>
          <w:rFonts w:hint="eastAsia" w:ascii="宋体" w:hAnsi="宋体"/>
          <w:lang w:val="en-US" w:eastAsia="zh-CN"/>
        </w:rPr>
        <w:t>商务要求中的</w:t>
      </w:r>
      <w:r>
        <w:rPr>
          <w:rFonts w:hint="eastAsia" w:ascii="宋体" w:hAnsi="宋体"/>
        </w:rPr>
        <w:t>条款逐条应答并按要求填写下表。</w:t>
      </w:r>
    </w:p>
    <w:tbl>
      <w:tblPr>
        <w:tblStyle w:val="21"/>
        <w:tblW w:w="9059" w:type="dxa"/>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30"/>
        <w:gridCol w:w="2515"/>
        <w:gridCol w:w="2341"/>
        <w:gridCol w:w="1750"/>
        <w:gridCol w:w="1623"/>
      </w:tblGrid>
      <w:tr w14:paraId="11313A4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77" w:hRule="atLeast"/>
        </w:trPr>
        <w:tc>
          <w:tcPr>
            <w:tcW w:w="830" w:type="dxa"/>
            <w:shd w:val="clear" w:color="auto" w:fill="EAF1DD" w:themeFill="accent3" w:themeFillTint="33"/>
            <w:vAlign w:val="center"/>
          </w:tcPr>
          <w:p w14:paraId="5D47DA55">
            <w:pPr>
              <w:keepNext w:val="0"/>
              <w:keepLines w:val="0"/>
              <w:suppressLineNumbers w:val="0"/>
              <w:spacing w:before="0" w:beforeAutospacing="0" w:after="0" w:afterAutospacing="0"/>
              <w:ind w:left="0" w:right="0"/>
              <w:jc w:val="center"/>
              <w:rPr>
                <w:rFonts w:hint="default" w:asciiTheme="minorEastAsia" w:hAnsiTheme="minorEastAsia" w:eastAsiaTheme="minorEastAsia"/>
                <w:color w:val="auto"/>
                <w:szCs w:val="21"/>
              </w:rPr>
            </w:pPr>
            <w:r>
              <w:rPr>
                <w:rFonts w:hint="eastAsia" w:asciiTheme="minorEastAsia" w:hAnsiTheme="minorEastAsia" w:eastAsiaTheme="minorEastAsia"/>
                <w:color w:val="auto"/>
                <w:szCs w:val="21"/>
              </w:rPr>
              <w:t>序号</w:t>
            </w:r>
          </w:p>
        </w:tc>
        <w:tc>
          <w:tcPr>
            <w:tcW w:w="2515" w:type="dxa"/>
            <w:shd w:val="clear" w:color="auto" w:fill="EAF1DD" w:themeFill="accent3" w:themeFillTint="33"/>
            <w:vAlign w:val="center"/>
          </w:tcPr>
          <w:p w14:paraId="076510C1">
            <w:pPr>
              <w:keepNext w:val="0"/>
              <w:keepLines w:val="0"/>
              <w:suppressLineNumbers w:val="0"/>
              <w:spacing w:before="0" w:beforeAutospacing="0" w:after="0" w:afterAutospacing="0"/>
              <w:ind w:left="0" w:right="0"/>
              <w:jc w:val="center"/>
              <w:rPr>
                <w:rFonts w:hint="eastAsia" w:asciiTheme="minorEastAsia" w:hAnsiTheme="minorEastAsia" w:eastAsiaTheme="minorEastAsia"/>
                <w:color w:val="auto"/>
                <w:szCs w:val="21"/>
                <w:lang w:val="en-US" w:eastAsia="zh-CN"/>
              </w:rPr>
            </w:pPr>
            <w:r>
              <w:rPr>
                <w:rFonts w:hint="eastAsia" w:ascii="宋体" w:hAnsi="宋体"/>
                <w:szCs w:val="21"/>
                <w:lang w:val="en-US" w:eastAsia="zh-CN"/>
              </w:rPr>
              <w:t>征集</w:t>
            </w:r>
            <w:r>
              <w:rPr>
                <w:rFonts w:hint="eastAsia" w:ascii="宋体" w:hAnsi="宋体"/>
                <w:szCs w:val="21"/>
              </w:rPr>
              <w:t>商务</w:t>
            </w:r>
            <w:r>
              <w:rPr>
                <w:rFonts w:hint="eastAsia" w:ascii="宋体" w:hAnsi="宋体"/>
                <w:szCs w:val="21"/>
                <w:lang w:val="en-US" w:eastAsia="zh-CN"/>
              </w:rPr>
              <w:t>要求</w:t>
            </w:r>
          </w:p>
        </w:tc>
        <w:tc>
          <w:tcPr>
            <w:tcW w:w="2341" w:type="dxa"/>
            <w:shd w:val="clear" w:color="auto" w:fill="EAF1DD" w:themeFill="accent3" w:themeFillTint="33"/>
            <w:vAlign w:val="center"/>
          </w:tcPr>
          <w:p w14:paraId="5A5F691A">
            <w:pPr>
              <w:keepNext w:val="0"/>
              <w:keepLines w:val="0"/>
              <w:suppressLineNumbers w:val="0"/>
              <w:spacing w:before="0" w:beforeAutospacing="0" w:after="0" w:afterAutospacing="0"/>
              <w:ind w:left="0" w:right="0"/>
              <w:jc w:val="center"/>
              <w:rPr>
                <w:rFonts w:hint="default" w:asciiTheme="minorEastAsia" w:hAnsiTheme="minorEastAsia" w:eastAsiaTheme="minorEastAsia"/>
                <w:color w:val="auto"/>
                <w:szCs w:val="21"/>
              </w:rPr>
            </w:pPr>
            <w:r>
              <w:rPr>
                <w:rFonts w:hint="eastAsia" w:ascii="宋体" w:hAnsi="宋体"/>
                <w:szCs w:val="21"/>
              </w:rPr>
              <w:t>投标商务响应</w:t>
            </w:r>
          </w:p>
        </w:tc>
        <w:tc>
          <w:tcPr>
            <w:tcW w:w="1750" w:type="dxa"/>
            <w:shd w:val="clear" w:color="auto" w:fill="EAF1DD" w:themeFill="accent3" w:themeFillTint="33"/>
            <w:vAlign w:val="center"/>
          </w:tcPr>
          <w:p w14:paraId="5EB892DA">
            <w:pPr>
              <w:keepNext w:val="0"/>
              <w:keepLines w:val="0"/>
              <w:suppressLineNumbers w:val="0"/>
              <w:spacing w:before="0" w:beforeAutospacing="0" w:after="0" w:afterAutospacing="0"/>
              <w:ind w:left="0" w:right="0"/>
              <w:jc w:val="center"/>
              <w:rPr>
                <w:rFonts w:hint="default" w:asciiTheme="minorEastAsia" w:hAnsiTheme="minorEastAsia" w:eastAsiaTheme="minorEastAsia"/>
                <w:color w:val="auto"/>
                <w:szCs w:val="21"/>
              </w:rPr>
            </w:pPr>
            <w:r>
              <w:rPr>
                <w:rFonts w:hint="eastAsia" w:asciiTheme="minorEastAsia" w:hAnsiTheme="minorEastAsia" w:eastAsiaTheme="minorEastAsia"/>
                <w:color w:val="auto"/>
                <w:szCs w:val="21"/>
              </w:rPr>
              <w:t>偏离情况（填写“正偏离、</w:t>
            </w:r>
            <w:r>
              <w:rPr>
                <w:rFonts w:hint="eastAsia" w:asciiTheme="minorEastAsia" w:hAnsiTheme="minorEastAsia"/>
                <w:color w:val="auto"/>
                <w:szCs w:val="21"/>
                <w:lang w:val="en-US" w:eastAsia="zh-CN"/>
              </w:rPr>
              <w:t>无偏离</w:t>
            </w:r>
            <w:r>
              <w:rPr>
                <w:rFonts w:hint="eastAsia" w:asciiTheme="minorEastAsia" w:hAnsiTheme="minorEastAsia" w:eastAsiaTheme="minorEastAsia"/>
                <w:color w:val="auto"/>
                <w:szCs w:val="21"/>
              </w:rPr>
              <w:t>或负偏离”）</w:t>
            </w:r>
          </w:p>
        </w:tc>
        <w:tc>
          <w:tcPr>
            <w:tcW w:w="1623" w:type="dxa"/>
            <w:shd w:val="clear" w:color="auto" w:fill="EAF1DD" w:themeFill="accent3" w:themeFillTint="33"/>
            <w:vAlign w:val="center"/>
          </w:tcPr>
          <w:p w14:paraId="174B985C">
            <w:pPr>
              <w:keepNext w:val="0"/>
              <w:keepLines w:val="0"/>
              <w:suppressLineNumbers w:val="0"/>
              <w:spacing w:before="0" w:beforeAutospacing="0" w:after="0" w:afterAutospacing="0"/>
              <w:ind w:left="0" w:right="0"/>
              <w:jc w:val="center"/>
              <w:rPr>
                <w:rFonts w:hint="default" w:asciiTheme="minorEastAsia" w:hAnsiTheme="minorEastAsia" w:eastAsiaTheme="minorEastAsia"/>
                <w:color w:val="auto"/>
                <w:szCs w:val="21"/>
              </w:rPr>
            </w:pPr>
            <w:r>
              <w:rPr>
                <w:rFonts w:hint="eastAsia" w:asciiTheme="minorEastAsia" w:hAnsiTheme="minorEastAsia" w:eastAsiaTheme="minorEastAsia"/>
                <w:color w:val="auto"/>
                <w:szCs w:val="21"/>
              </w:rPr>
              <w:t>说明</w:t>
            </w:r>
          </w:p>
        </w:tc>
      </w:tr>
      <w:tr w14:paraId="50CE995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8" w:hRule="atLeast"/>
        </w:trPr>
        <w:tc>
          <w:tcPr>
            <w:tcW w:w="9059" w:type="dxa"/>
            <w:gridSpan w:val="5"/>
            <w:vAlign w:val="center"/>
          </w:tcPr>
          <w:p w14:paraId="29324E30">
            <w:pPr>
              <w:keepNext w:val="0"/>
              <w:keepLines w:val="0"/>
              <w:suppressLineNumbers w:val="0"/>
              <w:spacing w:before="0" w:beforeAutospacing="0" w:after="0" w:afterAutospacing="0"/>
              <w:ind w:left="0" w:right="0"/>
              <w:rPr>
                <w:rFonts w:hint="default" w:asciiTheme="minorEastAsia" w:hAnsiTheme="minorEastAsia" w:eastAsiaTheme="minorEastAsia"/>
                <w:szCs w:val="21"/>
              </w:rPr>
            </w:pPr>
            <w:r>
              <w:rPr>
                <w:rFonts w:hint="eastAsia" w:asciiTheme="minorEastAsia" w:hAnsiTheme="minorEastAsia"/>
                <w:szCs w:val="21"/>
                <w:lang w:val="en-US" w:eastAsia="zh-CN"/>
              </w:rPr>
              <w:t>商务</w:t>
            </w:r>
            <w:r>
              <w:rPr>
                <w:rFonts w:hint="eastAsia" w:asciiTheme="minorEastAsia" w:hAnsiTheme="minorEastAsia" w:eastAsiaTheme="minorEastAsia"/>
                <w:szCs w:val="21"/>
              </w:rPr>
              <w:t>条款</w:t>
            </w:r>
          </w:p>
        </w:tc>
      </w:tr>
      <w:tr w14:paraId="77AD199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830" w:type="dxa"/>
            <w:vAlign w:val="center"/>
          </w:tcPr>
          <w:p w14:paraId="75F5768C">
            <w:pPr>
              <w:keepNext w:val="0"/>
              <w:keepLines w:val="0"/>
              <w:suppressLineNumbers w:val="0"/>
              <w:spacing w:before="0" w:beforeAutospacing="0" w:after="0" w:afterAutospacing="0"/>
              <w:ind w:left="0" w:right="0"/>
              <w:rPr>
                <w:rFonts w:hint="default" w:asciiTheme="minorEastAsia" w:hAnsiTheme="minorEastAsia" w:eastAsiaTheme="minorEastAsia"/>
                <w:szCs w:val="21"/>
              </w:rPr>
            </w:pPr>
            <w:r>
              <w:rPr>
                <w:rFonts w:hint="eastAsia" w:asciiTheme="minorEastAsia" w:hAnsiTheme="minorEastAsia" w:eastAsiaTheme="minorEastAsia"/>
                <w:szCs w:val="21"/>
              </w:rPr>
              <w:t>1</w:t>
            </w:r>
          </w:p>
        </w:tc>
        <w:tc>
          <w:tcPr>
            <w:tcW w:w="2515" w:type="dxa"/>
            <w:vAlign w:val="center"/>
          </w:tcPr>
          <w:p w14:paraId="18A89F64">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2341" w:type="dxa"/>
            <w:vAlign w:val="center"/>
          </w:tcPr>
          <w:p w14:paraId="41C7FE13">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1750" w:type="dxa"/>
            <w:vAlign w:val="center"/>
          </w:tcPr>
          <w:p w14:paraId="6E3F4AEC">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1623" w:type="dxa"/>
            <w:vAlign w:val="center"/>
          </w:tcPr>
          <w:p w14:paraId="534721EE">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r>
      <w:tr w14:paraId="525F713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830" w:type="dxa"/>
            <w:vAlign w:val="center"/>
          </w:tcPr>
          <w:p w14:paraId="75A57EE7">
            <w:pPr>
              <w:keepNext w:val="0"/>
              <w:keepLines w:val="0"/>
              <w:suppressLineNumbers w:val="0"/>
              <w:spacing w:before="0" w:beforeAutospacing="0" w:after="0" w:afterAutospacing="0"/>
              <w:ind w:left="0" w:right="0"/>
              <w:rPr>
                <w:rFonts w:hint="default" w:asciiTheme="minorEastAsia" w:hAnsiTheme="minorEastAsia" w:eastAsiaTheme="minorEastAsia"/>
                <w:szCs w:val="21"/>
              </w:rPr>
            </w:pPr>
            <w:r>
              <w:rPr>
                <w:rFonts w:hint="eastAsia" w:asciiTheme="minorEastAsia" w:hAnsiTheme="minorEastAsia" w:eastAsiaTheme="minorEastAsia"/>
                <w:szCs w:val="21"/>
              </w:rPr>
              <w:t>2</w:t>
            </w:r>
          </w:p>
        </w:tc>
        <w:tc>
          <w:tcPr>
            <w:tcW w:w="2515" w:type="dxa"/>
            <w:vAlign w:val="center"/>
          </w:tcPr>
          <w:p w14:paraId="4D13A263">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2341" w:type="dxa"/>
            <w:vAlign w:val="center"/>
          </w:tcPr>
          <w:p w14:paraId="391D2ADB">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1750" w:type="dxa"/>
            <w:vAlign w:val="center"/>
          </w:tcPr>
          <w:p w14:paraId="04141B8E">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1623" w:type="dxa"/>
            <w:vAlign w:val="center"/>
          </w:tcPr>
          <w:p w14:paraId="79B22E1E">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r>
      <w:tr w14:paraId="16C2378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830" w:type="dxa"/>
            <w:vAlign w:val="center"/>
          </w:tcPr>
          <w:p w14:paraId="40DB666A">
            <w:pPr>
              <w:keepNext w:val="0"/>
              <w:keepLines w:val="0"/>
              <w:suppressLineNumbers w:val="0"/>
              <w:spacing w:before="0" w:beforeAutospacing="0" w:after="0" w:afterAutospacing="0"/>
              <w:ind w:left="0" w:right="0"/>
              <w:rPr>
                <w:rFonts w:hint="eastAsia" w:asciiTheme="minorEastAsia" w:hAnsiTheme="minorEastAsia" w:eastAsiaTheme="minorEastAsia"/>
                <w:szCs w:val="21"/>
                <w:lang w:val="en-US" w:eastAsia="zh-CN"/>
              </w:rPr>
            </w:pPr>
            <w:r>
              <w:rPr>
                <w:rFonts w:hint="eastAsia" w:asciiTheme="minorEastAsia" w:hAnsiTheme="minorEastAsia"/>
                <w:szCs w:val="21"/>
                <w:lang w:val="en-US" w:eastAsia="zh-CN"/>
              </w:rPr>
              <w:t>3</w:t>
            </w:r>
          </w:p>
        </w:tc>
        <w:tc>
          <w:tcPr>
            <w:tcW w:w="2515" w:type="dxa"/>
            <w:vAlign w:val="center"/>
          </w:tcPr>
          <w:p w14:paraId="5609A787">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2341" w:type="dxa"/>
            <w:vAlign w:val="center"/>
          </w:tcPr>
          <w:p w14:paraId="7B37A5E3">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1750" w:type="dxa"/>
            <w:vAlign w:val="center"/>
          </w:tcPr>
          <w:p w14:paraId="0CD55632">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1623" w:type="dxa"/>
            <w:vAlign w:val="center"/>
          </w:tcPr>
          <w:p w14:paraId="7173ACB2">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r>
      <w:tr w14:paraId="46EDF5D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830" w:type="dxa"/>
            <w:vAlign w:val="center"/>
          </w:tcPr>
          <w:p w14:paraId="628F007B">
            <w:pPr>
              <w:keepNext w:val="0"/>
              <w:keepLines w:val="0"/>
              <w:suppressLineNumbers w:val="0"/>
              <w:spacing w:before="0" w:beforeAutospacing="0" w:after="0" w:afterAutospacing="0"/>
              <w:ind w:left="0" w:right="0"/>
              <w:rPr>
                <w:rFonts w:hint="eastAsia" w:asciiTheme="minorEastAsia" w:hAnsiTheme="minorEastAsia" w:eastAsiaTheme="minorEastAsia"/>
                <w:szCs w:val="21"/>
                <w:lang w:val="en-US" w:eastAsia="zh-CN"/>
              </w:rPr>
            </w:pPr>
            <w:r>
              <w:rPr>
                <w:rFonts w:hint="eastAsia" w:asciiTheme="minorEastAsia" w:hAnsiTheme="minorEastAsia"/>
                <w:szCs w:val="21"/>
                <w:lang w:val="en-US" w:eastAsia="zh-CN"/>
              </w:rPr>
              <w:t>4</w:t>
            </w:r>
          </w:p>
        </w:tc>
        <w:tc>
          <w:tcPr>
            <w:tcW w:w="2515" w:type="dxa"/>
            <w:vAlign w:val="center"/>
          </w:tcPr>
          <w:p w14:paraId="39911D4E">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2341" w:type="dxa"/>
            <w:vAlign w:val="center"/>
          </w:tcPr>
          <w:p w14:paraId="12D282E5">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1750" w:type="dxa"/>
            <w:vAlign w:val="center"/>
          </w:tcPr>
          <w:p w14:paraId="5F34C41D">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1623" w:type="dxa"/>
            <w:vAlign w:val="center"/>
          </w:tcPr>
          <w:p w14:paraId="2E071018">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r>
      <w:tr w14:paraId="7A0B236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830" w:type="dxa"/>
            <w:vAlign w:val="center"/>
          </w:tcPr>
          <w:p w14:paraId="21405C05">
            <w:pPr>
              <w:keepNext w:val="0"/>
              <w:keepLines w:val="0"/>
              <w:suppressLineNumbers w:val="0"/>
              <w:spacing w:before="0" w:beforeAutospacing="0" w:after="0" w:afterAutospacing="0"/>
              <w:ind w:left="0" w:right="0"/>
              <w:rPr>
                <w:rFonts w:hint="eastAsia" w:asciiTheme="minorEastAsia" w:hAnsiTheme="minorEastAsia" w:eastAsiaTheme="minorEastAsia"/>
                <w:szCs w:val="21"/>
                <w:lang w:val="en-US" w:eastAsia="zh-CN"/>
              </w:rPr>
            </w:pPr>
            <w:r>
              <w:rPr>
                <w:rFonts w:hint="eastAsia" w:asciiTheme="minorEastAsia" w:hAnsiTheme="minorEastAsia"/>
                <w:szCs w:val="21"/>
                <w:lang w:val="en-US" w:eastAsia="zh-CN"/>
              </w:rPr>
              <w:t>5</w:t>
            </w:r>
          </w:p>
        </w:tc>
        <w:tc>
          <w:tcPr>
            <w:tcW w:w="2515" w:type="dxa"/>
            <w:vAlign w:val="center"/>
          </w:tcPr>
          <w:p w14:paraId="14DE0ECF">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2341" w:type="dxa"/>
            <w:vAlign w:val="center"/>
          </w:tcPr>
          <w:p w14:paraId="4D95AB4C">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1750" w:type="dxa"/>
            <w:vAlign w:val="center"/>
          </w:tcPr>
          <w:p w14:paraId="0D97C411">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1623" w:type="dxa"/>
            <w:vAlign w:val="center"/>
          </w:tcPr>
          <w:p w14:paraId="53FA1D57">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r>
      <w:tr w14:paraId="41267E3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830" w:type="dxa"/>
            <w:vAlign w:val="center"/>
          </w:tcPr>
          <w:p w14:paraId="52503923">
            <w:pPr>
              <w:keepNext w:val="0"/>
              <w:keepLines w:val="0"/>
              <w:suppressLineNumbers w:val="0"/>
              <w:spacing w:before="0" w:beforeAutospacing="0" w:after="0" w:afterAutospacing="0"/>
              <w:ind w:left="0" w:right="0"/>
              <w:rPr>
                <w:rFonts w:hint="eastAsia" w:asciiTheme="minorEastAsia" w:hAnsiTheme="minorEastAsia" w:eastAsiaTheme="minorEastAsia"/>
                <w:szCs w:val="21"/>
                <w:lang w:val="en-US" w:eastAsia="zh-CN"/>
              </w:rPr>
            </w:pPr>
            <w:r>
              <w:rPr>
                <w:rFonts w:hint="eastAsia" w:asciiTheme="minorEastAsia" w:hAnsiTheme="minorEastAsia"/>
                <w:szCs w:val="21"/>
                <w:lang w:val="en-US" w:eastAsia="zh-CN"/>
              </w:rPr>
              <w:t>6</w:t>
            </w:r>
          </w:p>
        </w:tc>
        <w:tc>
          <w:tcPr>
            <w:tcW w:w="2515" w:type="dxa"/>
            <w:vAlign w:val="center"/>
          </w:tcPr>
          <w:p w14:paraId="3EB1FC95">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2341" w:type="dxa"/>
            <w:vAlign w:val="center"/>
          </w:tcPr>
          <w:p w14:paraId="1DF40BB2">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1750" w:type="dxa"/>
            <w:vAlign w:val="center"/>
          </w:tcPr>
          <w:p w14:paraId="3B51D467">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1623" w:type="dxa"/>
            <w:vAlign w:val="center"/>
          </w:tcPr>
          <w:p w14:paraId="3B65CDBC">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r>
      <w:tr w14:paraId="644EB17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8" w:hRule="atLeast"/>
        </w:trPr>
        <w:tc>
          <w:tcPr>
            <w:tcW w:w="830" w:type="dxa"/>
            <w:vAlign w:val="center"/>
          </w:tcPr>
          <w:p w14:paraId="09674852">
            <w:pPr>
              <w:keepNext w:val="0"/>
              <w:keepLines w:val="0"/>
              <w:suppressLineNumbers w:val="0"/>
              <w:spacing w:before="0" w:beforeAutospacing="0" w:after="0" w:afterAutospacing="0"/>
              <w:ind w:left="0" w:right="0"/>
              <w:rPr>
                <w:rFonts w:hint="default" w:asciiTheme="minorEastAsia" w:hAnsiTheme="minorEastAsia" w:eastAsiaTheme="minorEastAsia"/>
                <w:szCs w:val="21"/>
              </w:rPr>
            </w:pPr>
            <w:r>
              <w:rPr>
                <w:rFonts w:hint="eastAsia" w:asciiTheme="minorEastAsia" w:hAnsiTheme="minorEastAsia" w:eastAsiaTheme="minorEastAsia"/>
                <w:szCs w:val="21"/>
              </w:rPr>
              <w:t>……</w:t>
            </w:r>
          </w:p>
        </w:tc>
        <w:tc>
          <w:tcPr>
            <w:tcW w:w="2515" w:type="dxa"/>
            <w:vAlign w:val="center"/>
          </w:tcPr>
          <w:p w14:paraId="7CDB4A27">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2341" w:type="dxa"/>
            <w:vAlign w:val="center"/>
          </w:tcPr>
          <w:p w14:paraId="008BE62A">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1750" w:type="dxa"/>
            <w:vAlign w:val="center"/>
          </w:tcPr>
          <w:p w14:paraId="60DFCF1F">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1623" w:type="dxa"/>
            <w:vAlign w:val="center"/>
          </w:tcPr>
          <w:p w14:paraId="3AE040FF">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r>
    </w:tbl>
    <w:p w14:paraId="526C6290">
      <w:pPr>
        <w:spacing w:line="360" w:lineRule="auto"/>
        <w:ind w:right="84" w:rightChars="40"/>
        <w:rPr>
          <w:rFonts w:ascii="宋体" w:hAnsi="宋体"/>
          <w:szCs w:val="21"/>
        </w:rPr>
      </w:pPr>
      <w:r>
        <w:rPr>
          <w:rFonts w:hint="eastAsia" w:ascii="宋体" w:hAnsi="宋体"/>
          <w:szCs w:val="21"/>
        </w:rPr>
        <w:t>备注：投标人必须按</w:t>
      </w:r>
      <w:r>
        <w:rPr>
          <w:rFonts w:hint="eastAsia" w:ascii="宋体" w:hAnsi="宋体"/>
          <w:szCs w:val="21"/>
          <w:lang w:eastAsia="zh-CN"/>
        </w:rPr>
        <w:t>征集</w:t>
      </w:r>
      <w:r>
        <w:rPr>
          <w:rFonts w:hint="eastAsia" w:ascii="宋体" w:hAnsi="宋体"/>
          <w:szCs w:val="21"/>
        </w:rPr>
        <w:t>文件要求附相关证明文件，如未提供的视为负偏离。</w:t>
      </w:r>
    </w:p>
    <w:bookmarkEnd w:id="96"/>
    <w:bookmarkEnd w:id="97"/>
    <w:p w14:paraId="1F5586D6">
      <w:pPr>
        <w:spacing w:line="360" w:lineRule="auto"/>
        <w:ind w:right="84" w:rightChars="40"/>
        <w:rPr>
          <w:rFonts w:hint="eastAsia" w:ascii="宋体" w:hAnsi="宋体"/>
          <w:szCs w:val="21"/>
        </w:rPr>
      </w:pPr>
      <w:r>
        <w:rPr>
          <w:rFonts w:hint="eastAsia" w:ascii="宋体" w:hAnsi="宋体"/>
          <w:szCs w:val="21"/>
        </w:rPr>
        <w:t>《商务条款响应</w:t>
      </w:r>
      <w:r>
        <w:rPr>
          <w:rFonts w:hint="eastAsia" w:ascii="宋体" w:hAnsi="宋体"/>
          <w:szCs w:val="21"/>
          <w:lang w:val="en-US" w:eastAsia="zh-CN"/>
        </w:rPr>
        <w:t>一栏表</w:t>
      </w:r>
      <w:r>
        <w:rPr>
          <w:rFonts w:hint="eastAsia" w:ascii="宋体" w:hAnsi="宋体"/>
          <w:szCs w:val="21"/>
        </w:rPr>
        <w:t>》编制指引：</w:t>
      </w:r>
    </w:p>
    <w:p w14:paraId="4E2607C5">
      <w:pPr>
        <w:spacing w:line="360" w:lineRule="auto"/>
        <w:ind w:right="84" w:rightChars="40"/>
        <w:rPr>
          <w:rFonts w:hint="eastAsia" w:ascii="宋体" w:hAnsi="宋体"/>
          <w:szCs w:val="21"/>
        </w:rPr>
      </w:pPr>
      <w:r>
        <w:rPr>
          <w:rFonts w:hint="eastAsia" w:ascii="宋体" w:hAnsi="宋体"/>
          <w:szCs w:val="21"/>
          <w:lang w:val="en-US" w:eastAsia="zh-CN"/>
        </w:rPr>
        <w:t>1</w:t>
      </w:r>
      <w:r>
        <w:rPr>
          <w:rFonts w:hint="eastAsia" w:ascii="宋体" w:hAnsi="宋体"/>
          <w:szCs w:val="21"/>
        </w:rPr>
        <w:t>、“投标商务响应”一栏必须一一对照“</w:t>
      </w:r>
      <w:r>
        <w:rPr>
          <w:rFonts w:hint="eastAsia" w:ascii="宋体" w:hAnsi="宋体"/>
          <w:szCs w:val="21"/>
          <w:lang w:eastAsia="zh-CN"/>
        </w:rPr>
        <w:t>征集</w:t>
      </w:r>
      <w:r>
        <w:rPr>
          <w:rFonts w:hint="eastAsia" w:ascii="宋体" w:hAnsi="宋体"/>
          <w:szCs w:val="21"/>
        </w:rPr>
        <w:t>商务要求”，详细填写自身响应情况，而不能不合理照搬照抄</w:t>
      </w:r>
      <w:r>
        <w:rPr>
          <w:rFonts w:hint="eastAsia" w:ascii="宋体" w:hAnsi="宋体"/>
          <w:szCs w:val="21"/>
          <w:lang w:eastAsia="zh-CN"/>
        </w:rPr>
        <w:t>征集</w:t>
      </w:r>
      <w:r>
        <w:rPr>
          <w:rFonts w:hint="eastAsia" w:ascii="宋体" w:hAnsi="宋体"/>
          <w:szCs w:val="21"/>
        </w:rPr>
        <w:t>文件的商务要求，以体现具体响应情况。</w:t>
      </w:r>
    </w:p>
    <w:p w14:paraId="401E1F14">
      <w:pPr>
        <w:spacing w:line="360" w:lineRule="auto"/>
        <w:ind w:right="84" w:rightChars="40"/>
        <w:rPr>
          <w:rFonts w:hint="eastAsia" w:ascii="宋体" w:hAnsi="宋体"/>
          <w:szCs w:val="21"/>
        </w:rPr>
      </w:pPr>
      <w:r>
        <w:rPr>
          <w:rFonts w:hint="eastAsia" w:ascii="宋体" w:hAnsi="宋体"/>
          <w:szCs w:val="21"/>
          <w:lang w:val="en-US" w:eastAsia="zh-CN"/>
        </w:rPr>
        <w:t>2</w:t>
      </w:r>
      <w:r>
        <w:rPr>
          <w:rFonts w:hint="eastAsia" w:ascii="宋体" w:hAnsi="宋体"/>
          <w:szCs w:val="21"/>
        </w:rPr>
        <w:t>、“偏离情况”一栏如实填写“正偏离”、“负偏离”或“无偏离”，其中：“正偏离”表示“投标</w:t>
      </w:r>
      <w:r>
        <w:rPr>
          <w:rFonts w:hint="eastAsia" w:ascii="宋体" w:hAnsi="宋体"/>
          <w:szCs w:val="21"/>
          <w:lang w:val="en-US" w:eastAsia="zh-CN"/>
        </w:rPr>
        <w:t>商务</w:t>
      </w:r>
      <w:r>
        <w:rPr>
          <w:rFonts w:hint="eastAsia" w:ascii="宋体" w:hAnsi="宋体"/>
          <w:szCs w:val="21"/>
        </w:rPr>
        <w:t>响应优于</w:t>
      </w:r>
      <w:r>
        <w:rPr>
          <w:rFonts w:hint="eastAsia" w:ascii="宋体" w:hAnsi="宋体"/>
          <w:szCs w:val="21"/>
          <w:lang w:eastAsia="zh-CN"/>
        </w:rPr>
        <w:t>征集</w:t>
      </w:r>
      <w:r>
        <w:rPr>
          <w:rFonts w:hint="eastAsia" w:ascii="宋体" w:hAnsi="宋体"/>
          <w:szCs w:val="21"/>
        </w:rPr>
        <w:t>商务要求”，“负偏离”表示“投标</w:t>
      </w:r>
      <w:r>
        <w:rPr>
          <w:rFonts w:hint="eastAsia" w:ascii="宋体" w:hAnsi="宋体"/>
          <w:szCs w:val="21"/>
          <w:lang w:val="en-US" w:eastAsia="zh-CN"/>
        </w:rPr>
        <w:t>商务</w:t>
      </w:r>
      <w:r>
        <w:rPr>
          <w:rFonts w:hint="eastAsia" w:ascii="宋体" w:hAnsi="宋体"/>
          <w:szCs w:val="21"/>
        </w:rPr>
        <w:t>响应不满足</w:t>
      </w:r>
      <w:r>
        <w:rPr>
          <w:rFonts w:hint="eastAsia" w:ascii="宋体" w:hAnsi="宋体"/>
          <w:szCs w:val="21"/>
          <w:lang w:eastAsia="zh-CN"/>
        </w:rPr>
        <w:t>征集</w:t>
      </w:r>
      <w:r>
        <w:rPr>
          <w:rFonts w:hint="eastAsia" w:ascii="宋体" w:hAnsi="宋体"/>
          <w:szCs w:val="21"/>
        </w:rPr>
        <w:t>商务要求”，“无偏离”表示“投标</w:t>
      </w:r>
      <w:r>
        <w:rPr>
          <w:rFonts w:hint="eastAsia" w:ascii="宋体" w:hAnsi="宋体"/>
          <w:szCs w:val="21"/>
          <w:lang w:val="en-US" w:eastAsia="zh-CN"/>
        </w:rPr>
        <w:t>商务</w:t>
      </w:r>
      <w:r>
        <w:rPr>
          <w:rFonts w:hint="eastAsia" w:ascii="宋体" w:hAnsi="宋体"/>
          <w:szCs w:val="21"/>
        </w:rPr>
        <w:t>响应与</w:t>
      </w:r>
      <w:r>
        <w:rPr>
          <w:rFonts w:hint="eastAsia" w:ascii="宋体" w:hAnsi="宋体"/>
          <w:szCs w:val="21"/>
          <w:lang w:eastAsia="zh-CN"/>
        </w:rPr>
        <w:t>征集</w:t>
      </w:r>
      <w:r>
        <w:rPr>
          <w:rFonts w:hint="eastAsia" w:ascii="宋体" w:hAnsi="宋体"/>
          <w:szCs w:val="21"/>
        </w:rPr>
        <w:t>商务要求一致”。</w:t>
      </w:r>
    </w:p>
    <w:p w14:paraId="381E0A73">
      <w:pPr>
        <w:spacing w:line="360" w:lineRule="auto"/>
        <w:ind w:right="84" w:rightChars="40"/>
        <w:rPr>
          <w:rFonts w:hint="eastAsia" w:ascii="宋体" w:hAnsi="宋体"/>
          <w:szCs w:val="21"/>
        </w:rPr>
      </w:pPr>
      <w:r>
        <w:rPr>
          <w:rFonts w:hint="eastAsia" w:ascii="宋体" w:hAnsi="宋体"/>
          <w:szCs w:val="21"/>
          <w:lang w:val="en-US" w:eastAsia="zh-CN"/>
        </w:rPr>
        <w:t>3</w:t>
      </w:r>
      <w:r>
        <w:rPr>
          <w:rFonts w:hint="eastAsia" w:ascii="宋体" w:hAnsi="宋体"/>
          <w:szCs w:val="21"/>
        </w:rPr>
        <w:t>、“投标商务响应”对比“</w:t>
      </w:r>
      <w:r>
        <w:rPr>
          <w:rFonts w:hint="eastAsia" w:ascii="宋体" w:hAnsi="宋体"/>
          <w:szCs w:val="21"/>
          <w:lang w:eastAsia="zh-CN"/>
        </w:rPr>
        <w:t>征集</w:t>
      </w:r>
      <w:r>
        <w:rPr>
          <w:rFonts w:hint="eastAsia" w:ascii="宋体" w:hAnsi="宋体"/>
          <w:szCs w:val="21"/>
        </w:rPr>
        <w:t>商务要求”存在响应不全（包括未响应整项</w:t>
      </w:r>
      <w:r>
        <w:rPr>
          <w:rFonts w:hint="eastAsia" w:ascii="宋体" w:hAnsi="宋体"/>
          <w:szCs w:val="21"/>
          <w:lang w:eastAsia="zh-CN"/>
        </w:rPr>
        <w:t>征集</w:t>
      </w:r>
      <w:r>
        <w:rPr>
          <w:rFonts w:hint="eastAsia" w:ascii="宋体" w:hAnsi="宋体"/>
          <w:szCs w:val="21"/>
        </w:rPr>
        <w:t>商务要求或者未响应一项</w:t>
      </w:r>
      <w:r>
        <w:rPr>
          <w:rFonts w:hint="eastAsia" w:ascii="宋体" w:hAnsi="宋体"/>
          <w:szCs w:val="21"/>
          <w:lang w:eastAsia="zh-CN"/>
        </w:rPr>
        <w:t>征集</w:t>
      </w:r>
      <w:r>
        <w:rPr>
          <w:rFonts w:hint="eastAsia" w:ascii="宋体" w:hAnsi="宋体"/>
          <w:szCs w:val="21"/>
        </w:rPr>
        <w:t>商务要求的部分内容），均视为“负偏离”。</w:t>
      </w:r>
    </w:p>
    <w:p w14:paraId="0D577773">
      <w:pPr>
        <w:adjustRightInd w:val="0"/>
        <w:snapToGrid w:val="0"/>
        <w:spacing w:line="300" w:lineRule="auto"/>
        <w:rPr>
          <w:rFonts w:hint="eastAsia" w:ascii="宋体" w:hAnsi="宋体" w:eastAsia="宋体" w:cs="宋体"/>
          <w:sz w:val="24"/>
          <w:highlight w:val="none"/>
        </w:rPr>
      </w:pPr>
    </w:p>
    <w:p w14:paraId="3DEAE6B1">
      <w:pPr>
        <w:adjustRightInd w:val="0"/>
        <w:snapToGrid w:val="0"/>
        <w:spacing w:line="300" w:lineRule="auto"/>
        <w:ind w:firstLine="470" w:firstLineChars="224"/>
        <w:rPr>
          <w:rFonts w:hint="eastAsia" w:ascii="宋体" w:hAnsi="宋体" w:eastAsia="宋体" w:cs="宋体"/>
          <w:szCs w:val="21"/>
          <w:highlight w:val="none"/>
        </w:rPr>
      </w:pPr>
      <w:r>
        <w:rPr>
          <w:rFonts w:hint="eastAsia" w:ascii="宋体" w:hAnsi="宋体" w:eastAsia="宋体" w:cs="宋体"/>
          <w:szCs w:val="21"/>
          <w:highlight w:val="none"/>
        </w:rPr>
        <w:t>投标人法定代表人（或法定代表人授权代表）签字：</w:t>
      </w:r>
      <w:r>
        <w:rPr>
          <w:rFonts w:hint="eastAsia" w:ascii="宋体" w:hAnsi="宋体" w:eastAsia="宋体" w:cs="宋体"/>
          <w:szCs w:val="21"/>
          <w:highlight w:val="none"/>
          <w:u w:val="single"/>
        </w:rPr>
        <w:t xml:space="preserve">               </w:t>
      </w:r>
    </w:p>
    <w:p w14:paraId="40FCA40A">
      <w:pPr>
        <w:adjustRightInd w:val="0"/>
        <w:snapToGrid w:val="0"/>
        <w:spacing w:line="300" w:lineRule="auto"/>
        <w:ind w:firstLine="470" w:firstLineChars="224"/>
        <w:rPr>
          <w:rFonts w:hint="eastAsia" w:ascii="宋体" w:hAnsi="宋体" w:eastAsia="宋体" w:cs="宋体"/>
          <w:szCs w:val="21"/>
          <w:highlight w:val="none"/>
          <w:u w:val="single"/>
        </w:rPr>
      </w:pPr>
      <w:r>
        <w:rPr>
          <w:rFonts w:hint="eastAsia" w:ascii="宋体" w:hAnsi="宋体" w:eastAsia="宋体" w:cs="宋体"/>
          <w:szCs w:val="21"/>
          <w:highlight w:val="none"/>
        </w:rPr>
        <w:t>投标人名称（加盖公章）：</w:t>
      </w:r>
      <w:r>
        <w:rPr>
          <w:rFonts w:hint="eastAsia" w:ascii="宋体" w:hAnsi="宋体" w:eastAsia="宋体" w:cs="宋体"/>
          <w:szCs w:val="21"/>
          <w:highlight w:val="none"/>
          <w:u w:val="single"/>
        </w:rPr>
        <w:t xml:space="preserve">                        </w:t>
      </w:r>
    </w:p>
    <w:p w14:paraId="453EC51C">
      <w:pPr>
        <w:ind w:left="2" w:firstLine="470" w:firstLineChars="224"/>
        <w:rPr>
          <w:rFonts w:ascii="Arial" w:hAnsi="Arial" w:eastAsia="黑体"/>
          <w:bCs/>
          <w:sz w:val="32"/>
          <w:szCs w:val="32"/>
        </w:rPr>
      </w:pPr>
      <w:r>
        <w:rPr>
          <w:rFonts w:hint="eastAsia" w:ascii="宋体" w:hAnsi="宋体" w:eastAsia="宋体" w:cs="宋体"/>
          <w:szCs w:val="21"/>
          <w:highlight w:val="none"/>
        </w:rPr>
        <w:t>日期：   年   月   日</w:t>
      </w:r>
      <w:bookmarkStart w:id="102" w:name="_Toc173553195"/>
      <w:bookmarkStart w:id="103" w:name="_Toc435515318"/>
      <w:bookmarkStart w:id="104" w:name="_Toc275865626"/>
      <w:bookmarkStart w:id="105" w:name="_Toc435514878"/>
    </w:p>
    <w:p w14:paraId="57099E2D">
      <w:pPr>
        <w:pStyle w:val="4"/>
        <w:numPr>
          <w:ilvl w:val="0"/>
          <w:numId w:val="0"/>
        </w:numPr>
        <w:jc w:val="center"/>
        <w:outlineLvl w:val="9"/>
        <w:rPr>
          <w:rFonts w:hint="eastAsia" w:ascii="宋体" w:hAnsi="宋体" w:cs="宋体" w:eastAsiaTheme="minorEastAsia"/>
          <w:kern w:val="2"/>
          <w:sz w:val="30"/>
          <w:szCs w:val="30"/>
          <w:lang w:val="en-US" w:eastAsia="zh-CN" w:bidi="ar-SA"/>
        </w:rPr>
      </w:pPr>
      <w:bookmarkStart w:id="106" w:name="_Toc5084"/>
      <w:bookmarkStart w:id="107" w:name="_Toc23178"/>
      <w:bookmarkStart w:id="108" w:name="_Toc24015580"/>
    </w:p>
    <w:p w14:paraId="7A683F8F">
      <w:pPr>
        <w:pStyle w:val="4"/>
        <w:numPr>
          <w:ilvl w:val="0"/>
          <w:numId w:val="0"/>
        </w:numPr>
        <w:jc w:val="center"/>
        <w:outlineLvl w:val="9"/>
        <w:rPr>
          <w:rFonts w:hint="eastAsia" w:ascii="宋体" w:hAnsi="宋体" w:cs="宋体" w:eastAsiaTheme="minorEastAsia"/>
          <w:kern w:val="2"/>
          <w:sz w:val="30"/>
          <w:szCs w:val="30"/>
          <w:lang w:val="en-US" w:eastAsia="zh-CN" w:bidi="ar-SA"/>
        </w:rPr>
      </w:pPr>
    </w:p>
    <w:p w14:paraId="34D72260">
      <w:pPr>
        <w:pStyle w:val="4"/>
        <w:numPr>
          <w:ilvl w:val="0"/>
          <w:numId w:val="0"/>
        </w:numPr>
        <w:jc w:val="center"/>
        <w:outlineLvl w:val="9"/>
        <w:rPr>
          <w:rFonts w:hint="eastAsia" w:ascii="宋体" w:hAnsi="宋体" w:cs="宋体" w:eastAsiaTheme="minorEastAsia"/>
          <w:kern w:val="2"/>
          <w:sz w:val="30"/>
          <w:szCs w:val="30"/>
          <w:lang w:val="en-US" w:eastAsia="zh-CN" w:bidi="ar-SA"/>
        </w:rPr>
      </w:pPr>
    </w:p>
    <w:p w14:paraId="16B3BBAB">
      <w:pPr>
        <w:pStyle w:val="4"/>
        <w:numPr>
          <w:ilvl w:val="0"/>
          <w:numId w:val="0"/>
        </w:numPr>
        <w:ind w:left="0" w:leftChars="0" w:firstLine="0" w:firstLineChars="0"/>
        <w:jc w:val="center"/>
        <w:outlineLvl w:val="0"/>
        <w:rPr>
          <w:rFonts w:ascii="宋体" w:hAnsi="宋体"/>
          <w:sz w:val="30"/>
          <w:szCs w:val="30"/>
        </w:rPr>
      </w:pPr>
      <w:bookmarkStart w:id="109" w:name="_Toc27675"/>
      <w:r>
        <w:rPr>
          <w:rFonts w:hint="eastAsia" w:ascii="宋体" w:hAnsi="宋体" w:cs="宋体" w:eastAsiaTheme="minorEastAsia"/>
          <w:kern w:val="2"/>
          <w:sz w:val="30"/>
          <w:szCs w:val="30"/>
          <w:lang w:val="en-US" w:eastAsia="zh-CN" w:bidi="ar-SA"/>
        </w:rPr>
        <w:t>（</w:t>
      </w:r>
      <w:r>
        <w:rPr>
          <w:rFonts w:hint="eastAsia" w:ascii="宋体" w:hAnsi="宋体" w:cs="宋体"/>
          <w:kern w:val="2"/>
          <w:sz w:val="30"/>
          <w:szCs w:val="30"/>
          <w:lang w:val="en-US" w:eastAsia="zh-CN" w:bidi="ar-SA"/>
        </w:rPr>
        <w:t>二十一</w:t>
      </w:r>
      <w:r>
        <w:rPr>
          <w:rFonts w:hint="eastAsia" w:ascii="宋体" w:hAnsi="宋体" w:cs="宋体" w:eastAsiaTheme="minorEastAsia"/>
          <w:kern w:val="2"/>
          <w:sz w:val="30"/>
          <w:szCs w:val="30"/>
          <w:lang w:val="en-US" w:eastAsia="zh-CN" w:bidi="ar-SA"/>
        </w:rPr>
        <w:t>）</w:t>
      </w:r>
      <w:r>
        <w:rPr>
          <w:rFonts w:hint="eastAsia" w:ascii="宋体" w:hAnsi="宋体"/>
          <w:sz w:val="30"/>
          <w:szCs w:val="30"/>
        </w:rPr>
        <w:t>履约承诺函</w:t>
      </w:r>
      <w:bookmarkEnd w:id="109"/>
    </w:p>
    <w:p w14:paraId="06DFCD19">
      <w:pPr>
        <w:keepNext w:val="0"/>
        <w:keepLines w:val="0"/>
        <w:pageBreakBefore w:val="0"/>
        <w:widowControl w:val="0"/>
        <w:kinsoku/>
        <w:wordWrap/>
        <w:overflowPunct/>
        <w:topLinePunct w:val="0"/>
        <w:autoSpaceDE/>
        <w:autoSpaceDN/>
        <w:bidi w:val="0"/>
        <w:adjustRightInd w:val="0"/>
        <w:snapToGrid w:val="0"/>
        <w:spacing w:line="360" w:lineRule="auto"/>
        <w:ind w:left="422" w:hanging="422" w:hangingChars="200"/>
        <w:textAlignment w:val="auto"/>
        <w:rPr>
          <w:rFonts w:hint="eastAsia"/>
          <w:b/>
          <w:szCs w:val="21"/>
        </w:rPr>
      </w:pPr>
      <w:r>
        <w:rPr>
          <w:rFonts w:hint="eastAsia"/>
          <w:b/>
          <w:szCs w:val="21"/>
          <w:lang w:val="en-US" w:eastAsia="zh-CN"/>
        </w:rPr>
        <w:t>深圳市福田区第二人民医院</w:t>
      </w:r>
      <w:r>
        <w:rPr>
          <w:rFonts w:hint="eastAsia"/>
          <w:b/>
          <w:szCs w:val="21"/>
        </w:rPr>
        <w:t>：</w:t>
      </w:r>
    </w:p>
    <w:p w14:paraId="600BDB15">
      <w:pPr>
        <w:keepNext w:val="0"/>
        <w:keepLines w:val="0"/>
        <w:pageBreakBefore w:val="0"/>
        <w:widowControl w:val="0"/>
        <w:kinsoku/>
        <w:wordWrap/>
        <w:overflowPunct/>
        <w:topLinePunct w:val="0"/>
        <w:autoSpaceDE/>
        <w:autoSpaceDN/>
        <w:bidi w:val="0"/>
        <w:adjustRightInd w:val="0"/>
        <w:snapToGrid w:val="0"/>
        <w:spacing w:line="360" w:lineRule="auto"/>
        <w:ind w:left="422" w:hanging="420" w:hangingChars="200"/>
        <w:textAlignment w:val="auto"/>
        <w:rPr>
          <w:rFonts w:ascii="宋体" w:hAnsi="宋体"/>
          <w:szCs w:val="21"/>
        </w:rPr>
      </w:pPr>
      <w:r>
        <w:rPr>
          <w:rFonts w:hint="eastAsia" w:ascii="宋体" w:hAnsi="宋体"/>
          <w:szCs w:val="21"/>
        </w:rPr>
        <w:t>我公司承诺：</w:t>
      </w:r>
    </w:p>
    <w:p w14:paraId="044CCBB5">
      <w:pPr>
        <w:pStyle w:val="34"/>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0" w:leftChars="0" w:firstLine="0" w:firstLineChars="0"/>
        <w:textAlignment w:val="auto"/>
        <w:outlineLvl w:val="9"/>
        <w:rPr>
          <w:rFonts w:ascii="宋体" w:hAnsi="宋体"/>
          <w:szCs w:val="21"/>
        </w:rPr>
      </w:pPr>
      <w:r>
        <w:rPr>
          <w:rFonts w:hint="eastAsia" w:ascii="宋体" w:hAnsi="宋体"/>
          <w:szCs w:val="21"/>
          <w:lang w:val="en-US" w:eastAsia="zh-CN"/>
        </w:rPr>
        <w:t>1.</w:t>
      </w:r>
      <w:r>
        <w:rPr>
          <w:rFonts w:hint="eastAsia" w:ascii="宋体" w:hAnsi="宋体"/>
          <w:szCs w:val="21"/>
        </w:rPr>
        <w:t>我公司本</w:t>
      </w:r>
      <w:r>
        <w:rPr>
          <w:rFonts w:hint="eastAsia" w:ascii="宋体" w:hAnsi="宋体"/>
          <w:szCs w:val="21"/>
          <w:lang w:eastAsia="zh-CN"/>
        </w:rPr>
        <w:t>征集</w:t>
      </w:r>
      <w:r>
        <w:rPr>
          <w:rFonts w:hint="eastAsia" w:ascii="宋体" w:hAnsi="宋体"/>
          <w:szCs w:val="21"/>
        </w:rPr>
        <w:t>项目所提供的货物或服务未侵犯知识产权。</w:t>
      </w:r>
    </w:p>
    <w:p w14:paraId="5EC7A22A">
      <w:pPr>
        <w:pStyle w:val="34"/>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0" w:firstLine="0" w:firstLineChars="0"/>
        <w:textAlignment w:val="auto"/>
        <w:rPr>
          <w:rFonts w:ascii="宋体" w:hAnsi="宋体"/>
          <w:szCs w:val="21"/>
        </w:rPr>
      </w:pPr>
      <w:r>
        <w:rPr>
          <w:rFonts w:hint="eastAsia" w:ascii="宋体" w:hAnsi="宋体"/>
          <w:szCs w:val="21"/>
          <w:lang w:val="en-US" w:eastAsia="zh-CN"/>
        </w:rPr>
        <w:t>2.</w:t>
      </w:r>
      <w:r>
        <w:rPr>
          <w:rFonts w:hint="eastAsia" w:ascii="宋体" w:hAnsi="宋体"/>
          <w:szCs w:val="21"/>
        </w:rPr>
        <w:t>我公司参与本项目</w:t>
      </w:r>
      <w:r>
        <w:rPr>
          <w:rFonts w:hint="eastAsia"/>
          <w:szCs w:val="21"/>
        </w:rPr>
        <w:t>政府采购活动时不存在被有关部门禁止参与政府采购活动且在有效期内的情况。</w:t>
      </w:r>
    </w:p>
    <w:p w14:paraId="26098554">
      <w:pPr>
        <w:pStyle w:val="34"/>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0" w:leftChars="0" w:firstLine="0" w:firstLineChars="0"/>
        <w:textAlignment w:val="auto"/>
        <w:outlineLvl w:val="9"/>
        <w:rPr>
          <w:rFonts w:ascii="宋体" w:hAnsi="宋体" w:cs="宋体"/>
          <w:szCs w:val="21"/>
        </w:rPr>
      </w:pPr>
      <w:r>
        <w:rPr>
          <w:rFonts w:hint="eastAsia" w:ascii="宋体" w:hAnsi="宋体" w:cs="宋体"/>
          <w:kern w:val="0"/>
          <w:szCs w:val="21"/>
          <w:lang w:val="en-US" w:eastAsia="zh-CN"/>
        </w:rPr>
        <w:t>3.</w:t>
      </w:r>
      <w:r>
        <w:rPr>
          <w:rFonts w:hint="eastAsia" w:ascii="宋体" w:hAnsi="宋体" w:cs="宋体"/>
          <w:kern w:val="0"/>
          <w:szCs w:val="21"/>
        </w:rPr>
        <w:t>法律、行政法规规定的其他条件。</w:t>
      </w:r>
    </w:p>
    <w:p w14:paraId="2A0CE905">
      <w:pPr>
        <w:pStyle w:val="34"/>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0" w:firstLine="0" w:firstLineChars="0"/>
        <w:textAlignment w:val="auto"/>
        <w:rPr>
          <w:rFonts w:ascii="宋体" w:hAnsi="宋体" w:cs="宋体"/>
          <w:szCs w:val="21"/>
        </w:rPr>
      </w:pPr>
      <w:r>
        <w:rPr>
          <w:rFonts w:hint="eastAsia" w:ascii="宋体" w:hAnsi="宋体" w:cs="宋体"/>
          <w:szCs w:val="21"/>
          <w:lang w:val="en-US" w:eastAsia="zh-CN"/>
        </w:rPr>
        <w:t>4.</w:t>
      </w:r>
      <w:r>
        <w:rPr>
          <w:rFonts w:hint="eastAsia" w:ascii="宋体" w:hAnsi="宋体" w:cs="宋体"/>
          <w:szCs w:val="21"/>
        </w:rPr>
        <w:t>我公司具备《中华人民共和国政府采购法》第二十二条第一款规定的六项条件。</w:t>
      </w:r>
    </w:p>
    <w:p w14:paraId="19112A81">
      <w:pPr>
        <w:pStyle w:val="34"/>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0" w:firstLine="0" w:firstLineChars="0"/>
        <w:textAlignment w:val="auto"/>
        <w:rPr>
          <w:rFonts w:ascii="宋体" w:hAnsi="宋体" w:cs="宋体"/>
          <w:szCs w:val="21"/>
        </w:rPr>
      </w:pPr>
      <w:r>
        <w:rPr>
          <w:rFonts w:hint="eastAsia" w:ascii="宋体" w:hAnsi="宋体" w:cs="宋体"/>
          <w:szCs w:val="21"/>
          <w:lang w:val="en-US" w:eastAsia="zh-CN"/>
        </w:rPr>
        <w:t>5.</w:t>
      </w:r>
      <w:r>
        <w:rPr>
          <w:rFonts w:hint="eastAsia" w:ascii="宋体" w:hAnsi="宋体" w:cs="宋体"/>
          <w:szCs w:val="21"/>
        </w:rPr>
        <w:t>我公司未被列入失信被执行人、重大税收违法案件当事人名单、政府采购严重违法失信行为记录名单。</w:t>
      </w:r>
    </w:p>
    <w:p w14:paraId="489D07BA">
      <w:pPr>
        <w:pStyle w:val="34"/>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0" w:firstLine="0" w:firstLineChars="0"/>
        <w:textAlignment w:val="auto"/>
        <w:rPr>
          <w:rFonts w:ascii="宋体" w:hAnsi="宋体" w:cs="宋体"/>
          <w:szCs w:val="21"/>
        </w:rPr>
      </w:pPr>
      <w:r>
        <w:rPr>
          <w:rFonts w:hint="eastAsia" w:ascii="宋体" w:hAnsi="宋体" w:cs="宋体"/>
          <w:szCs w:val="21"/>
          <w:lang w:val="en-US" w:eastAsia="zh-CN"/>
        </w:rPr>
        <w:t>6.</w:t>
      </w:r>
      <w:r>
        <w:rPr>
          <w:rFonts w:hint="eastAsia" w:ascii="宋体" w:hAnsi="宋体" w:cs="宋体"/>
          <w:szCs w:val="21"/>
        </w:rPr>
        <w:t>我公司没有为采购项目同一合同项下提供整体设计、规范编制或者项目管理、监理、检测等服务。</w:t>
      </w:r>
    </w:p>
    <w:p w14:paraId="044E3019">
      <w:pPr>
        <w:pStyle w:val="34"/>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0" w:firstLine="0" w:firstLineChars="0"/>
        <w:textAlignment w:val="auto"/>
        <w:rPr>
          <w:rFonts w:ascii="宋体" w:hAnsi="宋体"/>
          <w:szCs w:val="21"/>
        </w:rPr>
      </w:pPr>
      <w:r>
        <w:rPr>
          <w:rFonts w:hint="eastAsia" w:ascii="宋体" w:hAnsi="宋体"/>
          <w:szCs w:val="21"/>
          <w:lang w:val="en-US" w:eastAsia="zh-CN"/>
        </w:rPr>
        <w:t>7.</w:t>
      </w:r>
      <w:r>
        <w:rPr>
          <w:rFonts w:hint="eastAsia" w:ascii="宋体" w:hAnsi="宋体"/>
          <w:szCs w:val="21"/>
        </w:rPr>
        <w:t>我公司承诺如与本项目同一合同项下其他的单位负责人为同一人或者存在直接控股、管理关系的情形，同意按</w:t>
      </w:r>
      <w:r>
        <w:rPr>
          <w:rFonts w:hint="eastAsia" w:ascii="宋体" w:hAnsi="宋体"/>
          <w:szCs w:val="21"/>
          <w:lang w:val="en-US" w:eastAsia="zh-CN"/>
        </w:rPr>
        <w:t>投标</w:t>
      </w:r>
      <w:r>
        <w:rPr>
          <w:rFonts w:hint="eastAsia" w:ascii="宋体" w:hAnsi="宋体"/>
          <w:szCs w:val="21"/>
        </w:rPr>
        <w:t>无效处理。</w:t>
      </w:r>
    </w:p>
    <w:p w14:paraId="0E3BCCD7">
      <w:pPr>
        <w:pStyle w:val="34"/>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0" w:firstLine="0" w:firstLineChars="0"/>
        <w:textAlignment w:val="auto"/>
        <w:rPr>
          <w:rFonts w:ascii="宋体" w:hAnsi="宋体"/>
          <w:szCs w:val="21"/>
        </w:rPr>
      </w:pPr>
      <w:r>
        <w:rPr>
          <w:rFonts w:hint="eastAsia" w:ascii="宋体" w:hAnsi="宋体"/>
          <w:szCs w:val="21"/>
          <w:lang w:val="en-US" w:eastAsia="zh-CN"/>
        </w:rPr>
        <w:t>8.</w:t>
      </w:r>
      <w:r>
        <w:rPr>
          <w:rFonts w:hint="eastAsia" w:ascii="宋体" w:hAnsi="宋体"/>
          <w:szCs w:val="21"/>
        </w:rPr>
        <w:t>我公司参与该项目</w:t>
      </w:r>
      <w:r>
        <w:rPr>
          <w:rFonts w:hint="eastAsia" w:ascii="宋体" w:hAnsi="宋体"/>
          <w:szCs w:val="21"/>
          <w:lang w:val="en-US" w:eastAsia="zh-CN"/>
        </w:rPr>
        <w:t>投标</w:t>
      </w:r>
      <w:r>
        <w:rPr>
          <w:rFonts w:hint="eastAsia" w:ascii="宋体" w:hAnsi="宋体"/>
          <w:szCs w:val="21"/>
        </w:rPr>
        <w:t>，严格遵循公平竞争的原则，不恶意串通，不妨碍其他议价的竞争行为，不损害贵院或者其他议价的合法权益。我公司已清楚，如违反上述要求，将作议价无效处理。</w:t>
      </w:r>
    </w:p>
    <w:p w14:paraId="7BD64138">
      <w:pPr>
        <w:pStyle w:val="34"/>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0" w:firstLine="0" w:firstLineChars="0"/>
        <w:textAlignment w:val="auto"/>
        <w:rPr>
          <w:rFonts w:ascii="宋体" w:hAnsi="宋体"/>
          <w:szCs w:val="21"/>
        </w:rPr>
      </w:pPr>
      <w:r>
        <w:rPr>
          <w:rFonts w:hint="eastAsia" w:ascii="宋体" w:hAnsi="宋体"/>
          <w:szCs w:val="21"/>
          <w:lang w:val="en-US" w:eastAsia="zh-CN"/>
        </w:rPr>
        <w:t>9.</w:t>
      </w:r>
      <w:r>
        <w:rPr>
          <w:rFonts w:hint="eastAsia" w:ascii="宋体" w:hAnsi="宋体"/>
          <w:szCs w:val="21"/>
        </w:rPr>
        <w:t>我公司如果中标，做到守信，不偷工减料，依照本项目采购文件需求内容、签署的采购合同及本公司在议价中所作的一切承诺履约。</w:t>
      </w:r>
    </w:p>
    <w:p w14:paraId="1757DA05">
      <w:pPr>
        <w:pStyle w:val="34"/>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0" w:firstLine="0" w:firstLineChars="0"/>
        <w:textAlignment w:val="auto"/>
        <w:rPr>
          <w:rFonts w:ascii="宋体" w:hAnsi="宋体"/>
          <w:szCs w:val="21"/>
        </w:rPr>
      </w:pPr>
      <w:r>
        <w:rPr>
          <w:rFonts w:hint="eastAsia" w:ascii="宋体" w:hAnsi="宋体"/>
          <w:szCs w:val="21"/>
          <w:lang w:val="en-US" w:eastAsia="zh-CN"/>
        </w:rPr>
        <w:t>10.</w:t>
      </w:r>
      <w:r>
        <w:rPr>
          <w:rFonts w:hint="eastAsia" w:ascii="宋体" w:hAnsi="宋体"/>
          <w:szCs w:val="21"/>
        </w:rPr>
        <w:t>我公司对本项目的报价负责，中标后将严格按照本项目需求、签署的采购合同及我公司在议价中所作的全部承诺履行。我公司清楚，若我公司以“报价太低而无法履约”为理由放弃本项目中标资格时，将接受主管部门的处理处罚。若我公司中标本项目，我公司的报价明显低于其他议价的报价时，我公司清楚，本项目将成为重点监管、重点验收项目，我公司将按时保质保量完成，并全力配合有关监管、验收工作；若我公司未按上述要求履约，我公司愿意接受主管部门的处理处罚。</w:t>
      </w:r>
    </w:p>
    <w:p w14:paraId="1829F7B5">
      <w:pPr>
        <w:pStyle w:val="34"/>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0" w:firstLine="0" w:firstLineChars="0"/>
        <w:textAlignment w:val="auto"/>
        <w:rPr>
          <w:rFonts w:ascii="宋体" w:hAnsi="宋体"/>
          <w:szCs w:val="21"/>
        </w:rPr>
      </w:pPr>
      <w:r>
        <w:rPr>
          <w:rFonts w:hint="eastAsia" w:ascii="宋体" w:hAnsi="宋体"/>
          <w:szCs w:val="21"/>
          <w:lang w:val="en-US" w:eastAsia="zh-CN"/>
        </w:rPr>
        <w:t>11.</w:t>
      </w:r>
      <w:r>
        <w:rPr>
          <w:rFonts w:hint="eastAsia" w:ascii="宋体" w:hAnsi="宋体"/>
          <w:szCs w:val="21"/>
        </w:rPr>
        <w:t>我公司已认真核实了响应文件的全部内容，所有资料均为真实资料。我公司对响应文件中全部</w:t>
      </w:r>
      <w:r>
        <w:rPr>
          <w:rFonts w:hint="eastAsia" w:ascii="宋体" w:hAnsi="宋体"/>
          <w:szCs w:val="21"/>
          <w:lang w:val="en-US" w:eastAsia="zh-CN"/>
        </w:rPr>
        <w:t>投标</w:t>
      </w:r>
      <w:r>
        <w:rPr>
          <w:rFonts w:hint="eastAsia" w:ascii="宋体" w:hAnsi="宋体"/>
          <w:szCs w:val="21"/>
        </w:rPr>
        <w:t>资料的真实性负责，如被证实我公司的响应文件中存在虚假资料的，则视为我公司隐瞒真实情况、提供虚假资料，我公司愿意接受主管部门作出的行政处罚。</w:t>
      </w:r>
    </w:p>
    <w:p w14:paraId="4EE04E8F">
      <w:pPr>
        <w:pStyle w:val="34"/>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0" w:leftChars="0" w:firstLine="0" w:firstLineChars="0"/>
        <w:textAlignment w:val="auto"/>
        <w:outlineLvl w:val="9"/>
        <w:rPr>
          <w:rFonts w:ascii="宋体" w:hAnsi="宋体"/>
          <w:szCs w:val="21"/>
        </w:rPr>
      </w:pPr>
      <w:r>
        <w:rPr>
          <w:rFonts w:hint="eastAsia" w:ascii="宋体" w:hAnsi="宋体"/>
          <w:szCs w:val="21"/>
          <w:lang w:val="en-US" w:eastAsia="zh-CN"/>
        </w:rPr>
        <w:t>12.</w:t>
      </w:r>
      <w:r>
        <w:rPr>
          <w:rFonts w:hint="eastAsia" w:ascii="宋体" w:hAnsi="宋体"/>
          <w:szCs w:val="21"/>
        </w:rPr>
        <w:t>我公司承诺不非法转包、分包。</w:t>
      </w:r>
    </w:p>
    <w:p w14:paraId="20E1EEBB">
      <w:pPr>
        <w:keepNext w:val="0"/>
        <w:keepLines w:val="0"/>
        <w:pageBreakBefore w:val="0"/>
        <w:widowControl w:val="0"/>
        <w:kinsoku/>
        <w:wordWrap/>
        <w:overflowPunct/>
        <w:topLinePunct w:val="0"/>
        <w:autoSpaceDE/>
        <w:autoSpaceDN/>
        <w:bidi w:val="0"/>
        <w:adjustRightInd/>
        <w:snapToGrid w:val="0"/>
        <w:spacing w:line="360" w:lineRule="auto"/>
        <w:ind w:left="0" w:firstLine="0" w:firstLineChars="0"/>
        <w:textAlignment w:val="auto"/>
        <w:rPr>
          <w:szCs w:val="21"/>
        </w:rPr>
      </w:pPr>
      <w:r>
        <w:rPr>
          <w:rFonts w:hint="eastAsia" w:ascii="宋体" w:hAnsi="宋体"/>
          <w:szCs w:val="21"/>
        </w:rPr>
        <w:t>以上承诺，如有违反，愿依照国家相关法律处理，并承担由此给贵院带来的损失。</w:t>
      </w:r>
    </w:p>
    <w:p w14:paraId="5BB28807">
      <w:pPr>
        <w:spacing w:line="360" w:lineRule="auto"/>
        <w:ind w:firstLine="420"/>
        <w:jc w:val="center"/>
        <w:rPr>
          <w:rFonts w:ascii="宋体" w:hAnsi="宋体" w:cs="宋体"/>
          <w:color w:val="000000" w:themeColor="text1"/>
          <w:sz w:val="24"/>
          <w14:textFill>
            <w14:solidFill>
              <w14:schemeClr w14:val="tx1"/>
            </w14:solidFill>
          </w14:textFill>
        </w:rPr>
      </w:pPr>
      <w:r>
        <w:rPr>
          <w:rFonts w:hint="eastAsia" w:ascii="宋体" w:hAnsi="宋体" w:cs="宋体"/>
          <w:b/>
          <w:bCs/>
          <w:color w:val="000000" w:themeColor="text1"/>
          <w:sz w:val="24"/>
          <w:lang w:val="en-US" w:eastAsia="zh-CN"/>
          <w14:textFill>
            <w14:solidFill>
              <w14:schemeClr w14:val="tx1"/>
            </w14:solidFill>
          </w14:textFill>
        </w:rPr>
        <w:t xml:space="preserve">                             投标</w:t>
      </w:r>
      <w:r>
        <w:rPr>
          <w:rFonts w:hint="eastAsia" w:ascii="宋体" w:hAnsi="宋体" w:cs="宋体"/>
          <w:b/>
          <w:bCs/>
          <w:color w:val="000000" w:themeColor="text1"/>
          <w:sz w:val="24"/>
          <w14:textFill>
            <w14:solidFill>
              <w14:schemeClr w14:val="tx1"/>
            </w14:solidFill>
          </w14:textFill>
        </w:rPr>
        <w:t>单位名称：</w:t>
      </w:r>
      <w:r>
        <w:rPr>
          <w:rFonts w:hint="eastAsia" w:ascii="宋体" w:hAnsi="宋体" w:cs="宋体"/>
          <w:color w:val="000000" w:themeColor="text1"/>
          <w:sz w:val="24"/>
          <w14:textFill>
            <w14:solidFill>
              <w14:schemeClr w14:val="tx1"/>
            </w14:solidFill>
          </w14:textFill>
        </w:rPr>
        <w:t>　　　　　　　</w:t>
      </w:r>
    </w:p>
    <w:p w14:paraId="64C0F3BF">
      <w:pPr>
        <w:spacing w:line="360" w:lineRule="auto"/>
        <w:ind w:firstLine="420"/>
        <w:jc w:val="center"/>
        <w:rPr>
          <w:rFonts w:hint="eastAsia" w:ascii="宋体" w:hAnsi="宋体" w:cs="宋体"/>
          <w:b/>
          <w:bCs/>
          <w:sz w:val="24"/>
        </w:rPr>
      </w:pPr>
      <w:r>
        <w:rPr>
          <w:rFonts w:hint="eastAsia" w:ascii="宋体" w:hAnsi="宋体" w:cs="宋体"/>
          <w:b/>
          <w:bCs/>
          <w:color w:val="000000" w:themeColor="text1"/>
          <w:sz w:val="24"/>
          <w:lang w:val="en-US" w:eastAsia="zh-CN"/>
          <w14:textFill>
            <w14:solidFill>
              <w14:schemeClr w14:val="tx1"/>
            </w14:solidFill>
          </w14:textFill>
        </w:rPr>
        <w:t xml:space="preserve">                            </w:t>
      </w:r>
      <w:r>
        <w:rPr>
          <w:rFonts w:hint="eastAsia" w:ascii="宋体" w:hAnsi="宋体" w:cs="宋体"/>
          <w:b/>
          <w:bCs/>
          <w:color w:val="000000" w:themeColor="text1"/>
          <w:sz w:val="24"/>
          <w14:textFill>
            <w14:solidFill>
              <w14:schemeClr w14:val="tx1"/>
            </w14:solidFill>
          </w14:textFill>
        </w:rPr>
        <w:t>日期：</w:t>
      </w:r>
      <w:r>
        <w:rPr>
          <w:rFonts w:hint="eastAsia" w:ascii="宋体" w:hAnsi="宋体" w:cs="宋体"/>
          <w:b/>
          <w:bCs/>
          <w:color w:val="000000" w:themeColor="text1"/>
          <w:sz w:val="24"/>
          <w:lang w:val="en-US" w:eastAsia="zh-CN"/>
          <w14:textFill>
            <w14:solidFill>
              <w14:schemeClr w14:val="tx1"/>
            </w14:solidFill>
          </w14:textFill>
        </w:rPr>
        <w:t xml:space="preserve">  </w:t>
      </w:r>
      <w:r>
        <w:rPr>
          <w:rFonts w:hint="eastAsia" w:ascii="宋体" w:hAnsi="宋体" w:cs="宋体"/>
          <w:b/>
          <w:bCs/>
          <w:sz w:val="24"/>
        </w:rPr>
        <w:t>年</w:t>
      </w:r>
      <w:r>
        <w:rPr>
          <w:rFonts w:hint="eastAsia" w:ascii="宋体" w:hAnsi="宋体" w:cs="宋体"/>
          <w:b/>
          <w:bCs/>
          <w:sz w:val="24"/>
          <w:lang w:val="en-US" w:eastAsia="zh-CN"/>
        </w:rPr>
        <w:t xml:space="preserve">  </w:t>
      </w:r>
      <w:r>
        <w:rPr>
          <w:rFonts w:hint="eastAsia" w:ascii="宋体" w:hAnsi="宋体" w:cs="宋体"/>
          <w:b/>
          <w:bCs/>
          <w:sz w:val="24"/>
        </w:rPr>
        <w:t>月</w:t>
      </w:r>
      <w:r>
        <w:rPr>
          <w:rFonts w:hint="eastAsia" w:ascii="宋体" w:hAnsi="宋体" w:cs="宋体"/>
          <w:b/>
          <w:bCs/>
          <w:sz w:val="24"/>
          <w:lang w:val="en-US" w:eastAsia="zh-CN"/>
        </w:rPr>
        <w:t xml:space="preserve">  </w:t>
      </w:r>
      <w:r>
        <w:rPr>
          <w:rFonts w:hint="eastAsia" w:ascii="宋体" w:hAnsi="宋体" w:cs="宋体"/>
          <w:b/>
          <w:bCs/>
          <w:sz w:val="24"/>
        </w:rPr>
        <w:t>日</w:t>
      </w:r>
    </w:p>
    <w:p w14:paraId="7A407CCC">
      <w:pPr>
        <w:spacing w:line="360" w:lineRule="auto"/>
        <w:ind w:firstLine="4578" w:firstLineChars="1900"/>
        <w:jc w:val="both"/>
        <w:outlineLvl w:val="9"/>
        <w:rPr>
          <w:rFonts w:hint="eastAsia" w:cs="宋体" w:asciiTheme="majorEastAsia" w:hAnsiTheme="majorEastAsia" w:eastAsiaTheme="majorEastAsia"/>
          <w:kern w:val="2"/>
          <w:sz w:val="30"/>
          <w:szCs w:val="30"/>
          <w:lang w:val="en-US" w:eastAsia="zh-CN" w:bidi="ar-SA"/>
        </w:rPr>
      </w:pPr>
      <w:r>
        <w:rPr>
          <w:rFonts w:hint="eastAsia" w:ascii="宋体" w:hAnsi="宋体" w:cs="宋体"/>
          <w:b/>
          <w:sz w:val="24"/>
        </w:rPr>
        <w:t>（此处加盖</w:t>
      </w:r>
      <w:r>
        <w:rPr>
          <w:rFonts w:hint="eastAsia" w:ascii="宋体" w:hAnsi="宋体" w:cs="宋体"/>
          <w:b/>
          <w:sz w:val="24"/>
          <w:lang w:val="en-US" w:eastAsia="zh-CN"/>
        </w:rPr>
        <w:t>投标</w:t>
      </w:r>
      <w:r>
        <w:rPr>
          <w:rFonts w:hint="eastAsia" w:ascii="宋体" w:hAnsi="宋体" w:cs="宋体"/>
          <w:b/>
          <w:sz w:val="24"/>
        </w:rPr>
        <w:t>单位公章）</w:t>
      </w:r>
    </w:p>
    <w:p w14:paraId="4F9A8435">
      <w:pPr>
        <w:keepNext w:val="0"/>
        <w:keepLines w:val="0"/>
        <w:widowControl/>
        <w:suppressLineNumbers w:val="0"/>
        <w:jc w:val="center"/>
        <w:textAlignment w:val="center"/>
        <w:outlineLvl w:val="0"/>
        <w:rPr>
          <w:rFonts w:hint="eastAsia" w:cs="宋体" w:asciiTheme="majorEastAsia" w:hAnsiTheme="majorEastAsia" w:eastAsiaTheme="majorEastAsia"/>
          <w:kern w:val="2"/>
          <w:sz w:val="30"/>
          <w:szCs w:val="30"/>
          <w:lang w:val="en-US" w:eastAsia="zh-CN" w:bidi="ar-SA"/>
        </w:rPr>
      </w:pPr>
      <w:bookmarkStart w:id="110" w:name="_Toc2085"/>
      <w:r>
        <w:rPr>
          <w:rFonts w:hint="eastAsia" w:cs="宋体" w:asciiTheme="majorEastAsia" w:hAnsiTheme="majorEastAsia" w:eastAsiaTheme="majorEastAsia"/>
          <w:kern w:val="2"/>
          <w:sz w:val="30"/>
          <w:szCs w:val="30"/>
          <w:lang w:val="en-US" w:eastAsia="zh-CN" w:bidi="ar-SA"/>
        </w:rPr>
        <w:t>（二十二）项目实施方案（格式自拟）</w:t>
      </w:r>
    </w:p>
    <w:p w14:paraId="5EC4804C">
      <w:pPr>
        <w:rPr>
          <w:rFonts w:hint="default" w:ascii="宋体" w:hAnsi="宋体" w:cs="宋体"/>
          <w:color w:val="auto"/>
          <w:szCs w:val="21"/>
          <w:highlight w:val="none"/>
          <w:lang w:val="en-US" w:eastAsia="zh-CN"/>
        </w:rPr>
      </w:pPr>
      <w:r>
        <w:rPr>
          <w:rFonts w:hint="eastAsia" w:ascii="宋体" w:hAnsi="宋体" w:cs="宋体"/>
          <w:color w:val="auto"/>
          <w:szCs w:val="21"/>
          <w:highlight w:val="none"/>
          <w:lang w:val="en-US" w:eastAsia="zh-CN"/>
        </w:rPr>
        <w:t>1.供货计划及进度安排</w:t>
      </w:r>
    </w:p>
    <w:p w14:paraId="1913FA0A">
      <w:pPr>
        <w:rPr>
          <w:rFonts w:hint="default" w:ascii="宋体" w:hAnsi="宋体" w:cs="宋体"/>
          <w:color w:val="auto"/>
          <w:szCs w:val="21"/>
          <w:highlight w:val="none"/>
          <w:lang w:val="en-US" w:eastAsia="zh-CN"/>
        </w:rPr>
      </w:pPr>
      <w:r>
        <w:rPr>
          <w:rFonts w:hint="eastAsia" w:ascii="宋体" w:hAnsi="宋体" w:cs="宋体"/>
          <w:color w:val="auto"/>
          <w:szCs w:val="21"/>
          <w:highlight w:val="none"/>
          <w:lang w:val="en-US" w:eastAsia="zh-CN"/>
        </w:rPr>
        <w:t>2.到货验收组织方案</w:t>
      </w:r>
    </w:p>
    <w:p w14:paraId="4B5A5B42">
      <w:pPr>
        <w:rPr>
          <w:rFonts w:hint="default" w:ascii="宋体" w:hAnsi="宋体" w:cs="宋体"/>
          <w:color w:val="auto"/>
          <w:szCs w:val="21"/>
          <w:highlight w:val="none"/>
          <w:lang w:val="en-US" w:eastAsia="zh-CN"/>
        </w:rPr>
      </w:pPr>
      <w:r>
        <w:rPr>
          <w:rFonts w:hint="eastAsia" w:ascii="宋体" w:hAnsi="宋体" w:cs="宋体"/>
          <w:color w:val="auto"/>
          <w:szCs w:val="21"/>
          <w:highlight w:val="none"/>
          <w:lang w:val="en-US" w:eastAsia="zh-CN"/>
        </w:rPr>
        <w:t>3.供货应急方案</w:t>
      </w:r>
    </w:p>
    <w:p w14:paraId="45AFB2F9">
      <w:pPr>
        <w:keepNext w:val="0"/>
        <w:keepLines w:val="0"/>
        <w:widowControl/>
        <w:suppressLineNumbers w:val="0"/>
        <w:jc w:val="center"/>
        <w:textAlignment w:val="center"/>
        <w:outlineLvl w:val="0"/>
        <w:rPr>
          <w:rFonts w:hint="eastAsia" w:cs="宋体" w:asciiTheme="majorEastAsia" w:hAnsiTheme="majorEastAsia" w:eastAsiaTheme="majorEastAsia"/>
          <w:kern w:val="2"/>
          <w:sz w:val="30"/>
          <w:szCs w:val="30"/>
          <w:lang w:val="en-US" w:eastAsia="zh-CN" w:bidi="ar-SA"/>
        </w:rPr>
      </w:pPr>
    </w:p>
    <w:p w14:paraId="60CE9181">
      <w:pPr>
        <w:pStyle w:val="2"/>
        <w:rPr>
          <w:rFonts w:hint="eastAsia" w:cs="宋体" w:asciiTheme="majorEastAsia" w:hAnsiTheme="majorEastAsia" w:eastAsiaTheme="majorEastAsia"/>
          <w:kern w:val="2"/>
          <w:sz w:val="30"/>
          <w:szCs w:val="30"/>
          <w:lang w:val="en-US" w:eastAsia="zh-CN" w:bidi="ar-SA"/>
        </w:rPr>
      </w:pPr>
    </w:p>
    <w:p w14:paraId="5F99199E">
      <w:pPr>
        <w:pStyle w:val="2"/>
        <w:rPr>
          <w:rFonts w:hint="eastAsia" w:cs="宋体" w:asciiTheme="majorEastAsia" w:hAnsiTheme="majorEastAsia" w:eastAsiaTheme="majorEastAsia"/>
          <w:kern w:val="2"/>
          <w:sz w:val="30"/>
          <w:szCs w:val="30"/>
          <w:lang w:val="en-US" w:eastAsia="zh-CN" w:bidi="ar-SA"/>
        </w:rPr>
      </w:pPr>
    </w:p>
    <w:p w14:paraId="2E26CD9E">
      <w:pPr>
        <w:pStyle w:val="2"/>
        <w:rPr>
          <w:rFonts w:hint="eastAsia" w:cs="宋体" w:asciiTheme="majorEastAsia" w:hAnsiTheme="majorEastAsia" w:eastAsiaTheme="majorEastAsia"/>
          <w:kern w:val="2"/>
          <w:sz w:val="30"/>
          <w:szCs w:val="30"/>
          <w:lang w:val="en-US" w:eastAsia="zh-CN" w:bidi="ar-SA"/>
        </w:rPr>
      </w:pPr>
    </w:p>
    <w:p w14:paraId="06F818C6">
      <w:pPr>
        <w:pStyle w:val="2"/>
        <w:rPr>
          <w:rFonts w:hint="eastAsia" w:cs="宋体" w:asciiTheme="majorEastAsia" w:hAnsiTheme="majorEastAsia" w:eastAsiaTheme="majorEastAsia"/>
          <w:kern w:val="2"/>
          <w:sz w:val="30"/>
          <w:szCs w:val="30"/>
          <w:lang w:val="en-US" w:eastAsia="zh-CN" w:bidi="ar-SA"/>
        </w:rPr>
      </w:pPr>
    </w:p>
    <w:p w14:paraId="52D4DD90">
      <w:pPr>
        <w:pStyle w:val="2"/>
        <w:rPr>
          <w:rFonts w:hint="eastAsia" w:cs="宋体" w:asciiTheme="majorEastAsia" w:hAnsiTheme="majorEastAsia" w:eastAsiaTheme="majorEastAsia"/>
          <w:kern w:val="2"/>
          <w:sz w:val="30"/>
          <w:szCs w:val="30"/>
          <w:lang w:val="en-US" w:eastAsia="zh-CN" w:bidi="ar-SA"/>
        </w:rPr>
      </w:pPr>
    </w:p>
    <w:p w14:paraId="796C0F9F">
      <w:pPr>
        <w:pStyle w:val="2"/>
        <w:rPr>
          <w:rFonts w:hint="eastAsia" w:cs="宋体" w:asciiTheme="majorEastAsia" w:hAnsiTheme="majorEastAsia" w:eastAsiaTheme="majorEastAsia"/>
          <w:kern w:val="2"/>
          <w:sz w:val="30"/>
          <w:szCs w:val="30"/>
          <w:lang w:val="en-US" w:eastAsia="zh-CN" w:bidi="ar-SA"/>
        </w:rPr>
      </w:pPr>
    </w:p>
    <w:p w14:paraId="7DA75BA2">
      <w:pPr>
        <w:pStyle w:val="2"/>
        <w:rPr>
          <w:rFonts w:hint="eastAsia" w:cs="宋体" w:asciiTheme="majorEastAsia" w:hAnsiTheme="majorEastAsia" w:eastAsiaTheme="majorEastAsia"/>
          <w:kern w:val="2"/>
          <w:sz w:val="30"/>
          <w:szCs w:val="30"/>
          <w:lang w:val="en-US" w:eastAsia="zh-CN" w:bidi="ar-SA"/>
        </w:rPr>
      </w:pPr>
    </w:p>
    <w:p w14:paraId="3087EA0E">
      <w:pPr>
        <w:pStyle w:val="2"/>
        <w:rPr>
          <w:rFonts w:hint="eastAsia" w:cs="宋体" w:asciiTheme="majorEastAsia" w:hAnsiTheme="majorEastAsia" w:eastAsiaTheme="majorEastAsia"/>
          <w:kern w:val="2"/>
          <w:sz w:val="30"/>
          <w:szCs w:val="30"/>
          <w:lang w:val="en-US" w:eastAsia="zh-CN" w:bidi="ar-SA"/>
        </w:rPr>
      </w:pPr>
    </w:p>
    <w:p w14:paraId="674ED90E">
      <w:pPr>
        <w:pStyle w:val="2"/>
        <w:rPr>
          <w:rFonts w:hint="eastAsia" w:cs="宋体" w:asciiTheme="majorEastAsia" w:hAnsiTheme="majorEastAsia" w:eastAsiaTheme="majorEastAsia"/>
          <w:kern w:val="2"/>
          <w:sz w:val="30"/>
          <w:szCs w:val="30"/>
          <w:lang w:val="en-US" w:eastAsia="zh-CN" w:bidi="ar-SA"/>
        </w:rPr>
      </w:pPr>
    </w:p>
    <w:p w14:paraId="32D93E66">
      <w:pPr>
        <w:pStyle w:val="2"/>
        <w:rPr>
          <w:rFonts w:hint="eastAsia" w:cs="宋体" w:asciiTheme="majorEastAsia" w:hAnsiTheme="majorEastAsia" w:eastAsiaTheme="majorEastAsia"/>
          <w:kern w:val="2"/>
          <w:sz w:val="30"/>
          <w:szCs w:val="30"/>
          <w:lang w:val="en-US" w:eastAsia="zh-CN" w:bidi="ar-SA"/>
        </w:rPr>
      </w:pPr>
    </w:p>
    <w:p w14:paraId="44C7BE92">
      <w:pPr>
        <w:pStyle w:val="2"/>
        <w:rPr>
          <w:rFonts w:hint="eastAsia" w:cs="宋体" w:asciiTheme="majorEastAsia" w:hAnsiTheme="majorEastAsia" w:eastAsiaTheme="majorEastAsia"/>
          <w:kern w:val="2"/>
          <w:sz w:val="30"/>
          <w:szCs w:val="30"/>
          <w:lang w:val="en-US" w:eastAsia="zh-CN" w:bidi="ar-SA"/>
        </w:rPr>
      </w:pPr>
    </w:p>
    <w:p w14:paraId="7593B0CF">
      <w:pPr>
        <w:pStyle w:val="2"/>
        <w:rPr>
          <w:rFonts w:hint="eastAsia" w:cs="宋体" w:asciiTheme="majorEastAsia" w:hAnsiTheme="majorEastAsia" w:eastAsiaTheme="majorEastAsia"/>
          <w:kern w:val="2"/>
          <w:sz w:val="30"/>
          <w:szCs w:val="30"/>
          <w:lang w:val="en-US" w:eastAsia="zh-CN" w:bidi="ar-SA"/>
        </w:rPr>
      </w:pPr>
    </w:p>
    <w:p w14:paraId="0EC83414">
      <w:pPr>
        <w:pStyle w:val="2"/>
        <w:rPr>
          <w:rFonts w:hint="eastAsia" w:cs="宋体" w:asciiTheme="majorEastAsia" w:hAnsiTheme="majorEastAsia" w:eastAsiaTheme="majorEastAsia"/>
          <w:kern w:val="2"/>
          <w:sz w:val="30"/>
          <w:szCs w:val="30"/>
          <w:lang w:val="en-US" w:eastAsia="zh-CN" w:bidi="ar-SA"/>
        </w:rPr>
      </w:pPr>
    </w:p>
    <w:p w14:paraId="5D1F57CD">
      <w:pPr>
        <w:pStyle w:val="2"/>
        <w:rPr>
          <w:rFonts w:hint="eastAsia" w:cs="宋体" w:asciiTheme="majorEastAsia" w:hAnsiTheme="majorEastAsia" w:eastAsiaTheme="majorEastAsia"/>
          <w:kern w:val="2"/>
          <w:sz w:val="30"/>
          <w:szCs w:val="30"/>
          <w:lang w:val="en-US" w:eastAsia="zh-CN" w:bidi="ar-SA"/>
        </w:rPr>
      </w:pPr>
    </w:p>
    <w:p w14:paraId="5B9400AE">
      <w:pPr>
        <w:pStyle w:val="2"/>
        <w:rPr>
          <w:rFonts w:hint="eastAsia" w:cs="宋体" w:asciiTheme="majorEastAsia" w:hAnsiTheme="majorEastAsia" w:eastAsiaTheme="majorEastAsia"/>
          <w:kern w:val="2"/>
          <w:sz w:val="30"/>
          <w:szCs w:val="30"/>
          <w:lang w:val="en-US" w:eastAsia="zh-CN" w:bidi="ar-SA"/>
        </w:rPr>
      </w:pPr>
    </w:p>
    <w:p w14:paraId="4CD80FEA">
      <w:pPr>
        <w:pStyle w:val="2"/>
        <w:rPr>
          <w:rFonts w:hint="eastAsia" w:cs="宋体" w:asciiTheme="majorEastAsia" w:hAnsiTheme="majorEastAsia" w:eastAsiaTheme="majorEastAsia"/>
          <w:kern w:val="2"/>
          <w:sz w:val="30"/>
          <w:szCs w:val="30"/>
          <w:lang w:val="en-US" w:eastAsia="zh-CN" w:bidi="ar-SA"/>
        </w:rPr>
      </w:pPr>
    </w:p>
    <w:p w14:paraId="1D925E1C">
      <w:pPr>
        <w:pStyle w:val="2"/>
        <w:rPr>
          <w:rFonts w:hint="eastAsia" w:cs="宋体" w:asciiTheme="majorEastAsia" w:hAnsiTheme="majorEastAsia" w:eastAsiaTheme="majorEastAsia"/>
          <w:kern w:val="2"/>
          <w:sz w:val="30"/>
          <w:szCs w:val="30"/>
          <w:lang w:val="en-US" w:eastAsia="zh-CN" w:bidi="ar-SA"/>
        </w:rPr>
      </w:pPr>
    </w:p>
    <w:p w14:paraId="486E52CF">
      <w:pPr>
        <w:pStyle w:val="2"/>
        <w:rPr>
          <w:rFonts w:hint="eastAsia" w:cs="宋体" w:asciiTheme="majorEastAsia" w:hAnsiTheme="majorEastAsia" w:eastAsiaTheme="majorEastAsia"/>
          <w:kern w:val="2"/>
          <w:sz w:val="30"/>
          <w:szCs w:val="30"/>
          <w:lang w:val="en-US" w:eastAsia="zh-CN" w:bidi="ar-SA"/>
        </w:rPr>
      </w:pPr>
    </w:p>
    <w:p w14:paraId="161CA2E8">
      <w:pPr>
        <w:pStyle w:val="2"/>
        <w:rPr>
          <w:rFonts w:hint="eastAsia" w:cs="宋体" w:asciiTheme="majorEastAsia" w:hAnsiTheme="majorEastAsia" w:eastAsiaTheme="majorEastAsia"/>
          <w:kern w:val="2"/>
          <w:sz w:val="30"/>
          <w:szCs w:val="30"/>
          <w:lang w:val="en-US" w:eastAsia="zh-CN" w:bidi="ar-SA"/>
        </w:rPr>
      </w:pPr>
    </w:p>
    <w:p w14:paraId="35E40BD2">
      <w:pPr>
        <w:keepNext w:val="0"/>
        <w:keepLines w:val="0"/>
        <w:widowControl/>
        <w:suppressLineNumbers w:val="0"/>
        <w:jc w:val="center"/>
        <w:textAlignment w:val="center"/>
        <w:outlineLvl w:val="0"/>
        <w:rPr>
          <w:rFonts w:hint="eastAsia" w:cs="宋体" w:asciiTheme="majorEastAsia" w:hAnsiTheme="majorEastAsia" w:eastAsiaTheme="majorEastAsia"/>
          <w:kern w:val="2"/>
          <w:sz w:val="30"/>
          <w:szCs w:val="30"/>
          <w:lang w:val="en-US" w:eastAsia="zh-CN" w:bidi="ar-SA"/>
        </w:rPr>
      </w:pPr>
      <w:r>
        <w:rPr>
          <w:rFonts w:hint="eastAsia" w:cs="宋体" w:asciiTheme="majorEastAsia" w:hAnsiTheme="majorEastAsia" w:eastAsiaTheme="majorEastAsia"/>
          <w:kern w:val="2"/>
          <w:sz w:val="30"/>
          <w:szCs w:val="30"/>
          <w:lang w:val="en-US" w:eastAsia="zh-CN" w:bidi="ar-SA"/>
        </w:rPr>
        <w:t>（二十三）</w:t>
      </w:r>
      <w:bookmarkEnd w:id="106"/>
      <w:bookmarkEnd w:id="110"/>
      <w:r>
        <w:rPr>
          <w:rFonts w:hint="eastAsia" w:cs="宋体" w:asciiTheme="majorEastAsia" w:hAnsiTheme="majorEastAsia" w:eastAsiaTheme="majorEastAsia"/>
          <w:kern w:val="2"/>
          <w:sz w:val="30"/>
          <w:szCs w:val="30"/>
          <w:lang w:val="en-US" w:eastAsia="zh-CN" w:bidi="ar-SA"/>
        </w:rPr>
        <w:t>售后服务方案（格式自拟）</w:t>
      </w:r>
    </w:p>
    <w:p w14:paraId="6EBD759F">
      <w:pPr>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1.售后服务体系及人员配置</w:t>
      </w:r>
    </w:p>
    <w:p w14:paraId="3692532A">
      <w:pPr>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2.故障响应及维修处置方案</w:t>
      </w:r>
    </w:p>
    <w:p w14:paraId="407C579F">
      <w:pPr>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3.备用装备保障方案</w:t>
      </w:r>
    </w:p>
    <w:p w14:paraId="32448156">
      <w:pPr>
        <w:rPr>
          <w:rFonts w:hint="default" w:cs="宋体" w:asciiTheme="majorEastAsia" w:hAnsiTheme="majorEastAsia" w:eastAsiaTheme="majorEastAsia"/>
          <w:kern w:val="2"/>
          <w:sz w:val="30"/>
          <w:szCs w:val="30"/>
          <w:lang w:val="en-US" w:eastAsia="zh-CN" w:bidi="ar-SA"/>
        </w:rPr>
      </w:pPr>
      <w:r>
        <w:rPr>
          <w:rFonts w:hint="eastAsia" w:ascii="宋体" w:hAnsi="宋体" w:cs="宋体"/>
          <w:color w:val="auto"/>
          <w:szCs w:val="21"/>
          <w:highlight w:val="none"/>
          <w:lang w:val="en-US" w:eastAsia="zh-CN"/>
        </w:rPr>
        <w:t>4.维护及技术支持方案</w:t>
      </w:r>
    </w:p>
    <w:p w14:paraId="05FF5B71">
      <w:pPr>
        <w:pStyle w:val="4"/>
        <w:numPr>
          <w:ilvl w:val="0"/>
          <w:numId w:val="0"/>
        </w:numPr>
        <w:spacing w:line="240" w:lineRule="auto"/>
        <w:ind w:left="0" w:leftChars="0" w:firstLine="0" w:firstLineChars="0"/>
        <w:jc w:val="center"/>
        <w:outlineLvl w:val="9"/>
        <w:rPr>
          <w:rFonts w:hint="eastAsia" w:asciiTheme="majorEastAsia" w:hAnsiTheme="majorEastAsia" w:eastAsiaTheme="majorEastAsia"/>
          <w:sz w:val="30"/>
          <w:szCs w:val="30"/>
        </w:rPr>
      </w:pPr>
    </w:p>
    <w:p w14:paraId="142BDA7C">
      <w:pPr>
        <w:widowControl w:val="0"/>
        <w:numPr>
          <w:ilvl w:val="0"/>
          <w:numId w:val="0"/>
        </w:numPr>
        <w:jc w:val="both"/>
        <w:rPr>
          <w:rFonts w:hint="eastAsia"/>
          <w:sz w:val="32"/>
          <w:szCs w:val="32"/>
          <w:lang w:val="en-US" w:eastAsia="zh-CN"/>
        </w:rPr>
      </w:pPr>
    </w:p>
    <w:p w14:paraId="386EC165">
      <w:pPr>
        <w:widowControl w:val="0"/>
        <w:numPr>
          <w:ilvl w:val="0"/>
          <w:numId w:val="0"/>
        </w:numPr>
        <w:jc w:val="both"/>
        <w:rPr>
          <w:rFonts w:hint="eastAsia"/>
          <w:sz w:val="32"/>
          <w:szCs w:val="32"/>
          <w:lang w:val="en-US" w:eastAsia="zh-CN"/>
        </w:rPr>
      </w:pPr>
    </w:p>
    <w:p w14:paraId="50E0B4B0">
      <w:pPr>
        <w:widowControl w:val="0"/>
        <w:numPr>
          <w:ilvl w:val="0"/>
          <w:numId w:val="0"/>
        </w:numPr>
        <w:jc w:val="both"/>
        <w:rPr>
          <w:rFonts w:hint="eastAsia"/>
          <w:sz w:val="32"/>
          <w:szCs w:val="32"/>
          <w:lang w:val="en-US" w:eastAsia="zh-CN"/>
        </w:rPr>
      </w:pPr>
    </w:p>
    <w:p w14:paraId="07EB7E8B">
      <w:pPr>
        <w:widowControl w:val="0"/>
        <w:numPr>
          <w:ilvl w:val="0"/>
          <w:numId w:val="0"/>
        </w:numPr>
        <w:jc w:val="both"/>
        <w:rPr>
          <w:rFonts w:hint="eastAsia"/>
          <w:sz w:val="32"/>
          <w:szCs w:val="32"/>
          <w:lang w:val="en-US" w:eastAsia="zh-CN"/>
        </w:rPr>
      </w:pPr>
    </w:p>
    <w:p w14:paraId="379CB4BF">
      <w:pPr>
        <w:pStyle w:val="20"/>
        <w:numPr>
          <w:ilvl w:val="0"/>
          <w:numId w:val="0"/>
        </w:numPr>
        <w:ind w:left="0" w:leftChars="0" w:firstLine="0" w:firstLineChars="0"/>
        <w:jc w:val="center"/>
        <w:rPr>
          <w:rFonts w:hint="eastAsia" w:asciiTheme="majorEastAsia" w:hAnsiTheme="majorEastAsia" w:eastAsiaTheme="minorEastAsia" w:cstheme="minorBidi"/>
          <w:kern w:val="2"/>
          <w:sz w:val="32"/>
          <w:szCs w:val="32"/>
          <w:lang w:val="en-US" w:eastAsia="zh-CN" w:bidi="ar-SA"/>
        </w:rPr>
      </w:pPr>
      <w:bookmarkStart w:id="111" w:name="_Toc435515322"/>
      <w:bookmarkStart w:id="112" w:name="_Toc435514882"/>
    </w:p>
    <w:p w14:paraId="44FBB5B3">
      <w:pPr>
        <w:pStyle w:val="20"/>
        <w:numPr>
          <w:ilvl w:val="0"/>
          <w:numId w:val="0"/>
        </w:numPr>
        <w:ind w:left="0" w:leftChars="0" w:firstLine="0" w:firstLineChars="0"/>
        <w:jc w:val="center"/>
        <w:rPr>
          <w:rFonts w:hint="eastAsia" w:asciiTheme="majorEastAsia" w:hAnsiTheme="majorEastAsia" w:eastAsiaTheme="minorEastAsia" w:cstheme="minorBidi"/>
          <w:kern w:val="2"/>
          <w:sz w:val="32"/>
          <w:szCs w:val="32"/>
          <w:lang w:val="en-US" w:eastAsia="zh-CN" w:bidi="ar-SA"/>
        </w:rPr>
      </w:pPr>
    </w:p>
    <w:p w14:paraId="79EE82B4">
      <w:pPr>
        <w:pStyle w:val="20"/>
        <w:numPr>
          <w:ilvl w:val="0"/>
          <w:numId w:val="0"/>
        </w:numPr>
        <w:ind w:left="0" w:leftChars="0" w:firstLine="0" w:firstLineChars="0"/>
        <w:jc w:val="center"/>
        <w:rPr>
          <w:rFonts w:hint="eastAsia" w:asciiTheme="majorEastAsia" w:hAnsiTheme="majorEastAsia" w:eastAsiaTheme="minorEastAsia" w:cstheme="minorBidi"/>
          <w:kern w:val="2"/>
          <w:sz w:val="32"/>
          <w:szCs w:val="32"/>
          <w:lang w:val="en-US" w:eastAsia="zh-CN" w:bidi="ar-SA"/>
        </w:rPr>
      </w:pPr>
    </w:p>
    <w:p w14:paraId="57ED4A22">
      <w:pPr>
        <w:pStyle w:val="20"/>
        <w:numPr>
          <w:ilvl w:val="0"/>
          <w:numId w:val="0"/>
        </w:numPr>
        <w:ind w:left="0" w:leftChars="0" w:firstLine="0" w:firstLineChars="0"/>
        <w:jc w:val="center"/>
        <w:rPr>
          <w:rFonts w:hint="eastAsia" w:asciiTheme="majorEastAsia" w:hAnsiTheme="majorEastAsia" w:eastAsiaTheme="minorEastAsia" w:cstheme="minorBidi"/>
          <w:kern w:val="2"/>
          <w:sz w:val="32"/>
          <w:szCs w:val="32"/>
          <w:lang w:val="en-US" w:eastAsia="zh-CN" w:bidi="ar-SA"/>
        </w:rPr>
      </w:pPr>
    </w:p>
    <w:p w14:paraId="40D78151">
      <w:pPr>
        <w:pStyle w:val="20"/>
        <w:numPr>
          <w:ilvl w:val="0"/>
          <w:numId w:val="0"/>
        </w:numPr>
        <w:ind w:left="0" w:leftChars="0" w:firstLine="0" w:firstLineChars="0"/>
        <w:jc w:val="center"/>
        <w:rPr>
          <w:rFonts w:hint="eastAsia" w:asciiTheme="majorEastAsia" w:hAnsiTheme="majorEastAsia" w:eastAsiaTheme="minorEastAsia" w:cstheme="minorBidi"/>
          <w:kern w:val="2"/>
          <w:sz w:val="32"/>
          <w:szCs w:val="32"/>
          <w:lang w:val="en-US" w:eastAsia="zh-CN" w:bidi="ar-SA"/>
        </w:rPr>
      </w:pPr>
    </w:p>
    <w:p w14:paraId="67E0C35D">
      <w:pPr>
        <w:pStyle w:val="20"/>
        <w:numPr>
          <w:ilvl w:val="0"/>
          <w:numId w:val="0"/>
        </w:numPr>
        <w:ind w:left="0" w:leftChars="0" w:firstLine="0" w:firstLineChars="0"/>
        <w:jc w:val="center"/>
        <w:rPr>
          <w:rFonts w:hint="eastAsia" w:asciiTheme="majorEastAsia" w:hAnsiTheme="majorEastAsia" w:eastAsiaTheme="minorEastAsia" w:cstheme="minorBidi"/>
          <w:kern w:val="2"/>
          <w:sz w:val="32"/>
          <w:szCs w:val="32"/>
          <w:lang w:val="en-US" w:eastAsia="zh-CN" w:bidi="ar-SA"/>
        </w:rPr>
      </w:pPr>
    </w:p>
    <w:p w14:paraId="0B94A021">
      <w:pPr>
        <w:pStyle w:val="20"/>
        <w:numPr>
          <w:ilvl w:val="0"/>
          <w:numId w:val="0"/>
        </w:numPr>
        <w:ind w:left="0" w:leftChars="0" w:firstLine="0" w:firstLineChars="0"/>
        <w:jc w:val="center"/>
        <w:rPr>
          <w:rFonts w:hint="eastAsia" w:asciiTheme="majorEastAsia" w:hAnsiTheme="majorEastAsia" w:eastAsiaTheme="minorEastAsia" w:cstheme="minorBidi"/>
          <w:kern w:val="2"/>
          <w:sz w:val="32"/>
          <w:szCs w:val="32"/>
          <w:lang w:val="en-US" w:eastAsia="zh-CN" w:bidi="ar-SA"/>
        </w:rPr>
      </w:pPr>
    </w:p>
    <w:p w14:paraId="7D17910D">
      <w:pPr>
        <w:pStyle w:val="20"/>
        <w:numPr>
          <w:ilvl w:val="0"/>
          <w:numId w:val="0"/>
        </w:numPr>
        <w:ind w:left="0" w:leftChars="0" w:firstLine="0" w:firstLineChars="0"/>
        <w:jc w:val="center"/>
        <w:rPr>
          <w:rFonts w:hint="eastAsia" w:asciiTheme="majorEastAsia" w:hAnsiTheme="majorEastAsia" w:eastAsiaTheme="minorEastAsia" w:cstheme="minorBidi"/>
          <w:kern w:val="2"/>
          <w:sz w:val="32"/>
          <w:szCs w:val="32"/>
          <w:lang w:val="en-US" w:eastAsia="zh-CN" w:bidi="ar-SA"/>
        </w:rPr>
      </w:pPr>
    </w:p>
    <w:p w14:paraId="25642173">
      <w:pPr>
        <w:pStyle w:val="20"/>
        <w:numPr>
          <w:ilvl w:val="0"/>
          <w:numId w:val="0"/>
        </w:numPr>
        <w:ind w:left="0" w:leftChars="0" w:firstLine="0" w:firstLineChars="0"/>
        <w:jc w:val="center"/>
        <w:rPr>
          <w:rFonts w:hint="eastAsia" w:asciiTheme="majorEastAsia" w:hAnsiTheme="majorEastAsia" w:eastAsiaTheme="minorEastAsia" w:cstheme="minorBidi"/>
          <w:kern w:val="2"/>
          <w:sz w:val="32"/>
          <w:szCs w:val="32"/>
          <w:lang w:val="en-US" w:eastAsia="zh-CN" w:bidi="ar-SA"/>
        </w:rPr>
      </w:pPr>
    </w:p>
    <w:p w14:paraId="5CC54C3A">
      <w:pPr>
        <w:pStyle w:val="20"/>
        <w:numPr>
          <w:ilvl w:val="0"/>
          <w:numId w:val="0"/>
        </w:numPr>
        <w:ind w:left="0" w:leftChars="0" w:firstLine="0" w:firstLineChars="0"/>
        <w:jc w:val="center"/>
        <w:rPr>
          <w:rFonts w:hint="eastAsia" w:asciiTheme="majorEastAsia" w:hAnsiTheme="majorEastAsia" w:eastAsiaTheme="minorEastAsia" w:cstheme="minorBidi"/>
          <w:kern w:val="2"/>
          <w:sz w:val="32"/>
          <w:szCs w:val="32"/>
          <w:lang w:val="en-US" w:eastAsia="zh-CN" w:bidi="ar-SA"/>
        </w:rPr>
      </w:pPr>
    </w:p>
    <w:p w14:paraId="6FE501F5">
      <w:pPr>
        <w:pStyle w:val="20"/>
        <w:numPr>
          <w:ilvl w:val="0"/>
          <w:numId w:val="0"/>
        </w:numPr>
        <w:ind w:left="0" w:leftChars="0" w:firstLine="0" w:firstLineChars="0"/>
        <w:jc w:val="center"/>
        <w:rPr>
          <w:rFonts w:hint="eastAsia" w:asciiTheme="majorEastAsia" w:hAnsiTheme="majorEastAsia" w:eastAsiaTheme="minorEastAsia" w:cstheme="minorBidi"/>
          <w:kern w:val="2"/>
          <w:sz w:val="32"/>
          <w:szCs w:val="32"/>
          <w:lang w:val="en-US" w:eastAsia="zh-CN" w:bidi="ar-SA"/>
        </w:rPr>
      </w:pPr>
    </w:p>
    <w:p w14:paraId="668A0206">
      <w:pPr>
        <w:pStyle w:val="20"/>
        <w:numPr>
          <w:ilvl w:val="0"/>
          <w:numId w:val="0"/>
        </w:numPr>
        <w:ind w:left="0" w:leftChars="0" w:firstLine="0" w:firstLineChars="0"/>
        <w:jc w:val="center"/>
        <w:rPr>
          <w:rFonts w:hint="eastAsia" w:asciiTheme="majorEastAsia" w:hAnsiTheme="majorEastAsia" w:eastAsiaTheme="minorEastAsia" w:cstheme="minorBidi"/>
          <w:kern w:val="2"/>
          <w:sz w:val="32"/>
          <w:szCs w:val="32"/>
          <w:lang w:val="en-US" w:eastAsia="zh-CN" w:bidi="ar-SA"/>
        </w:rPr>
      </w:pPr>
    </w:p>
    <w:p w14:paraId="288D0701">
      <w:pPr>
        <w:pStyle w:val="20"/>
        <w:numPr>
          <w:ilvl w:val="0"/>
          <w:numId w:val="0"/>
        </w:numPr>
        <w:ind w:left="0" w:leftChars="0" w:firstLine="0" w:firstLineChars="0"/>
        <w:jc w:val="center"/>
        <w:rPr>
          <w:rFonts w:hint="eastAsia" w:asciiTheme="majorEastAsia" w:hAnsiTheme="majorEastAsia" w:eastAsiaTheme="minorEastAsia" w:cstheme="minorBidi"/>
          <w:kern w:val="2"/>
          <w:sz w:val="32"/>
          <w:szCs w:val="32"/>
          <w:lang w:val="en-US" w:eastAsia="zh-CN" w:bidi="ar-SA"/>
        </w:rPr>
      </w:pPr>
    </w:p>
    <w:p w14:paraId="51CB9269">
      <w:pPr>
        <w:pStyle w:val="20"/>
        <w:numPr>
          <w:ilvl w:val="0"/>
          <w:numId w:val="0"/>
        </w:numPr>
        <w:ind w:left="0" w:leftChars="0" w:firstLine="0" w:firstLineChars="0"/>
        <w:jc w:val="center"/>
        <w:rPr>
          <w:rFonts w:hint="eastAsia" w:asciiTheme="majorEastAsia" w:hAnsiTheme="majorEastAsia" w:eastAsiaTheme="minorEastAsia" w:cstheme="minorBidi"/>
          <w:kern w:val="2"/>
          <w:sz w:val="32"/>
          <w:szCs w:val="32"/>
          <w:lang w:val="en-US" w:eastAsia="zh-CN" w:bidi="ar-SA"/>
        </w:rPr>
      </w:pPr>
    </w:p>
    <w:p w14:paraId="74048E0C">
      <w:pPr>
        <w:pStyle w:val="20"/>
        <w:numPr>
          <w:ilvl w:val="0"/>
          <w:numId w:val="0"/>
        </w:numPr>
        <w:ind w:left="0" w:leftChars="0" w:firstLine="0" w:firstLineChars="0"/>
        <w:jc w:val="center"/>
        <w:rPr>
          <w:rFonts w:hint="eastAsia" w:asciiTheme="majorEastAsia" w:hAnsiTheme="majorEastAsia" w:eastAsiaTheme="minorEastAsia" w:cstheme="minorBidi"/>
          <w:kern w:val="2"/>
          <w:sz w:val="32"/>
          <w:szCs w:val="32"/>
          <w:lang w:val="en-US" w:eastAsia="zh-CN" w:bidi="ar-SA"/>
        </w:rPr>
      </w:pPr>
    </w:p>
    <w:p w14:paraId="595C51CB">
      <w:pPr>
        <w:pStyle w:val="20"/>
        <w:numPr>
          <w:ilvl w:val="0"/>
          <w:numId w:val="0"/>
        </w:numPr>
        <w:ind w:left="0" w:leftChars="0" w:firstLine="0" w:firstLineChars="0"/>
        <w:jc w:val="both"/>
        <w:rPr>
          <w:rFonts w:hint="eastAsia" w:asciiTheme="majorEastAsia" w:hAnsiTheme="majorEastAsia" w:eastAsiaTheme="minorEastAsia" w:cstheme="minorBidi"/>
          <w:kern w:val="2"/>
          <w:sz w:val="32"/>
          <w:szCs w:val="32"/>
          <w:lang w:val="en-US" w:eastAsia="zh-CN" w:bidi="ar-SA"/>
        </w:rPr>
      </w:pPr>
    </w:p>
    <w:p w14:paraId="451040B1">
      <w:pPr>
        <w:keepNext w:val="0"/>
        <w:keepLines w:val="0"/>
        <w:widowControl/>
        <w:suppressLineNumbers w:val="0"/>
        <w:jc w:val="center"/>
        <w:textAlignment w:val="center"/>
        <w:outlineLvl w:val="0"/>
        <w:rPr>
          <w:rFonts w:hint="eastAsia" w:cs="宋体" w:asciiTheme="majorEastAsia" w:hAnsiTheme="majorEastAsia" w:eastAsiaTheme="majorEastAsia"/>
          <w:kern w:val="2"/>
          <w:sz w:val="30"/>
          <w:szCs w:val="30"/>
          <w:lang w:val="en-US" w:eastAsia="zh-CN" w:bidi="ar-SA"/>
        </w:rPr>
      </w:pPr>
      <w:bookmarkStart w:id="113" w:name="_Toc7641"/>
      <w:r>
        <w:rPr>
          <w:rFonts w:hint="eastAsia" w:cs="宋体" w:asciiTheme="majorEastAsia" w:hAnsiTheme="majorEastAsia" w:eastAsiaTheme="majorEastAsia"/>
          <w:kern w:val="2"/>
          <w:sz w:val="30"/>
          <w:szCs w:val="30"/>
          <w:lang w:val="en-US" w:eastAsia="zh-CN" w:bidi="ar-SA"/>
        </w:rPr>
        <w:t>（二十四）有效业绩</w:t>
      </w:r>
      <w:bookmarkEnd w:id="113"/>
    </w:p>
    <w:p w14:paraId="4A0B5855">
      <w:pPr>
        <w:pStyle w:val="20"/>
        <w:numPr>
          <w:ilvl w:val="0"/>
          <w:numId w:val="0"/>
        </w:numPr>
        <w:ind w:left="0" w:leftChars="0" w:firstLine="0" w:firstLineChars="0"/>
        <w:jc w:val="center"/>
        <w:rPr>
          <w:rFonts w:hint="eastAsia" w:asciiTheme="majorEastAsia" w:hAnsiTheme="majorEastAsia" w:eastAsiaTheme="minorEastAsia" w:cstheme="minorBidi"/>
          <w:kern w:val="2"/>
          <w:sz w:val="30"/>
          <w:szCs w:val="30"/>
          <w:lang w:val="en-US" w:eastAsia="zh-CN" w:bidi="ar-SA"/>
        </w:rPr>
      </w:pPr>
    </w:p>
    <w:p w14:paraId="33D3DFEE">
      <w:pPr>
        <w:pStyle w:val="20"/>
        <w:numPr>
          <w:ilvl w:val="0"/>
          <w:numId w:val="0"/>
        </w:numPr>
        <w:ind w:left="0" w:leftChars="0" w:firstLine="0" w:firstLineChars="0"/>
        <w:jc w:val="center"/>
        <w:rPr>
          <w:rFonts w:hint="eastAsia" w:asciiTheme="majorEastAsia" w:hAnsiTheme="majorEastAsia" w:eastAsiaTheme="minorEastAsia" w:cstheme="minorBidi"/>
          <w:kern w:val="2"/>
          <w:sz w:val="30"/>
          <w:szCs w:val="30"/>
          <w:lang w:val="en-US" w:eastAsia="zh-CN" w:bidi="ar-SA"/>
        </w:rPr>
      </w:pPr>
    </w:p>
    <w:p w14:paraId="77C76D66">
      <w:pPr>
        <w:pStyle w:val="20"/>
        <w:numPr>
          <w:ilvl w:val="0"/>
          <w:numId w:val="0"/>
        </w:numPr>
        <w:ind w:left="0" w:leftChars="0" w:firstLine="0" w:firstLineChars="0"/>
        <w:jc w:val="center"/>
        <w:rPr>
          <w:rFonts w:hint="eastAsia" w:asciiTheme="majorEastAsia" w:hAnsiTheme="majorEastAsia" w:eastAsiaTheme="minorEastAsia" w:cstheme="minorBidi"/>
          <w:kern w:val="2"/>
          <w:sz w:val="30"/>
          <w:szCs w:val="30"/>
          <w:lang w:val="en-US" w:eastAsia="zh-CN" w:bidi="ar-SA"/>
        </w:rPr>
      </w:pPr>
    </w:p>
    <w:p w14:paraId="4E241D1F">
      <w:pPr>
        <w:pStyle w:val="20"/>
        <w:numPr>
          <w:ilvl w:val="0"/>
          <w:numId w:val="0"/>
        </w:numPr>
        <w:ind w:left="0" w:leftChars="0" w:firstLine="0" w:firstLineChars="0"/>
        <w:jc w:val="center"/>
        <w:rPr>
          <w:rFonts w:hint="eastAsia" w:asciiTheme="majorEastAsia" w:hAnsiTheme="majorEastAsia" w:eastAsiaTheme="minorEastAsia" w:cstheme="minorBidi"/>
          <w:kern w:val="2"/>
          <w:sz w:val="30"/>
          <w:szCs w:val="30"/>
          <w:lang w:val="en-US" w:eastAsia="zh-CN" w:bidi="ar-SA"/>
        </w:rPr>
      </w:pPr>
    </w:p>
    <w:p w14:paraId="272C0D11">
      <w:pPr>
        <w:pStyle w:val="20"/>
        <w:numPr>
          <w:ilvl w:val="0"/>
          <w:numId w:val="0"/>
        </w:numPr>
        <w:ind w:left="0" w:leftChars="0" w:firstLine="0" w:firstLineChars="0"/>
        <w:jc w:val="center"/>
        <w:rPr>
          <w:rFonts w:hint="eastAsia" w:asciiTheme="majorEastAsia" w:hAnsiTheme="majorEastAsia" w:eastAsiaTheme="minorEastAsia" w:cstheme="minorBidi"/>
          <w:kern w:val="2"/>
          <w:sz w:val="30"/>
          <w:szCs w:val="30"/>
          <w:lang w:val="en-US" w:eastAsia="zh-CN" w:bidi="ar-SA"/>
        </w:rPr>
      </w:pPr>
    </w:p>
    <w:p w14:paraId="0E407A8F">
      <w:pPr>
        <w:pStyle w:val="20"/>
        <w:numPr>
          <w:ilvl w:val="0"/>
          <w:numId w:val="0"/>
        </w:numPr>
        <w:ind w:left="0" w:leftChars="0" w:firstLine="0" w:firstLineChars="0"/>
        <w:jc w:val="center"/>
        <w:rPr>
          <w:rFonts w:hint="eastAsia" w:asciiTheme="majorEastAsia" w:hAnsiTheme="majorEastAsia" w:eastAsiaTheme="minorEastAsia" w:cstheme="minorBidi"/>
          <w:kern w:val="2"/>
          <w:sz w:val="30"/>
          <w:szCs w:val="30"/>
          <w:lang w:val="en-US" w:eastAsia="zh-CN" w:bidi="ar-SA"/>
        </w:rPr>
      </w:pPr>
    </w:p>
    <w:p w14:paraId="5928BA83">
      <w:pPr>
        <w:pStyle w:val="20"/>
        <w:numPr>
          <w:ilvl w:val="0"/>
          <w:numId w:val="0"/>
        </w:numPr>
        <w:ind w:left="0" w:leftChars="0" w:firstLine="0" w:firstLineChars="0"/>
        <w:jc w:val="center"/>
        <w:rPr>
          <w:rFonts w:hint="eastAsia" w:asciiTheme="majorEastAsia" w:hAnsiTheme="majorEastAsia" w:eastAsiaTheme="minorEastAsia" w:cstheme="minorBidi"/>
          <w:kern w:val="2"/>
          <w:sz w:val="30"/>
          <w:szCs w:val="30"/>
          <w:lang w:val="en-US" w:eastAsia="zh-CN" w:bidi="ar-SA"/>
        </w:rPr>
      </w:pPr>
    </w:p>
    <w:p w14:paraId="14013F4D">
      <w:pPr>
        <w:pStyle w:val="20"/>
        <w:numPr>
          <w:ilvl w:val="0"/>
          <w:numId w:val="0"/>
        </w:numPr>
        <w:ind w:left="0" w:leftChars="0" w:firstLine="0" w:firstLineChars="0"/>
        <w:jc w:val="center"/>
        <w:rPr>
          <w:rFonts w:hint="eastAsia" w:asciiTheme="majorEastAsia" w:hAnsiTheme="majorEastAsia" w:eastAsiaTheme="minorEastAsia" w:cstheme="minorBidi"/>
          <w:kern w:val="2"/>
          <w:sz w:val="30"/>
          <w:szCs w:val="30"/>
          <w:lang w:val="en-US" w:eastAsia="zh-CN" w:bidi="ar-SA"/>
        </w:rPr>
      </w:pPr>
    </w:p>
    <w:p w14:paraId="56488E10">
      <w:pPr>
        <w:pStyle w:val="20"/>
        <w:numPr>
          <w:ilvl w:val="0"/>
          <w:numId w:val="0"/>
        </w:numPr>
        <w:ind w:left="0" w:leftChars="0" w:firstLine="0" w:firstLineChars="0"/>
        <w:jc w:val="center"/>
        <w:rPr>
          <w:rFonts w:hint="eastAsia" w:asciiTheme="majorEastAsia" w:hAnsiTheme="majorEastAsia" w:eastAsiaTheme="minorEastAsia" w:cstheme="minorBidi"/>
          <w:kern w:val="2"/>
          <w:sz w:val="30"/>
          <w:szCs w:val="30"/>
          <w:lang w:val="en-US" w:eastAsia="zh-CN" w:bidi="ar-SA"/>
        </w:rPr>
      </w:pPr>
    </w:p>
    <w:p w14:paraId="4F081C0A">
      <w:pPr>
        <w:pStyle w:val="20"/>
        <w:numPr>
          <w:ilvl w:val="0"/>
          <w:numId w:val="0"/>
        </w:numPr>
        <w:ind w:left="0" w:leftChars="0" w:firstLine="0" w:firstLineChars="0"/>
        <w:jc w:val="center"/>
        <w:rPr>
          <w:rFonts w:hint="eastAsia" w:asciiTheme="majorEastAsia" w:hAnsiTheme="majorEastAsia" w:eastAsiaTheme="minorEastAsia" w:cstheme="minorBidi"/>
          <w:kern w:val="2"/>
          <w:sz w:val="30"/>
          <w:szCs w:val="30"/>
          <w:lang w:val="en-US" w:eastAsia="zh-CN" w:bidi="ar-SA"/>
        </w:rPr>
      </w:pPr>
    </w:p>
    <w:p w14:paraId="5167D38E">
      <w:pPr>
        <w:pStyle w:val="20"/>
        <w:numPr>
          <w:ilvl w:val="0"/>
          <w:numId w:val="0"/>
        </w:numPr>
        <w:ind w:left="0" w:leftChars="0" w:firstLine="0" w:firstLineChars="0"/>
        <w:jc w:val="center"/>
        <w:rPr>
          <w:rFonts w:hint="eastAsia" w:asciiTheme="majorEastAsia" w:hAnsiTheme="majorEastAsia" w:eastAsiaTheme="minorEastAsia" w:cstheme="minorBidi"/>
          <w:kern w:val="2"/>
          <w:sz w:val="30"/>
          <w:szCs w:val="30"/>
          <w:lang w:val="en-US" w:eastAsia="zh-CN" w:bidi="ar-SA"/>
        </w:rPr>
      </w:pPr>
    </w:p>
    <w:p w14:paraId="408EC393">
      <w:pPr>
        <w:pStyle w:val="20"/>
        <w:numPr>
          <w:ilvl w:val="0"/>
          <w:numId w:val="0"/>
        </w:numPr>
        <w:ind w:left="0" w:leftChars="0" w:firstLine="0" w:firstLineChars="0"/>
        <w:jc w:val="center"/>
        <w:rPr>
          <w:rFonts w:hint="eastAsia" w:asciiTheme="majorEastAsia" w:hAnsiTheme="majorEastAsia" w:eastAsiaTheme="minorEastAsia" w:cstheme="minorBidi"/>
          <w:kern w:val="2"/>
          <w:sz w:val="30"/>
          <w:szCs w:val="30"/>
          <w:lang w:val="en-US" w:eastAsia="zh-CN" w:bidi="ar-SA"/>
        </w:rPr>
      </w:pPr>
    </w:p>
    <w:p w14:paraId="3AD6A4CD">
      <w:pPr>
        <w:pStyle w:val="20"/>
        <w:numPr>
          <w:ilvl w:val="0"/>
          <w:numId w:val="0"/>
        </w:numPr>
        <w:ind w:left="0" w:leftChars="0" w:firstLine="0" w:firstLineChars="0"/>
        <w:jc w:val="center"/>
        <w:rPr>
          <w:rFonts w:hint="eastAsia" w:asciiTheme="majorEastAsia" w:hAnsiTheme="majorEastAsia" w:eastAsiaTheme="minorEastAsia" w:cstheme="minorBidi"/>
          <w:kern w:val="2"/>
          <w:sz w:val="30"/>
          <w:szCs w:val="30"/>
          <w:lang w:val="en-US" w:eastAsia="zh-CN" w:bidi="ar-SA"/>
        </w:rPr>
      </w:pPr>
    </w:p>
    <w:p w14:paraId="7D538EA1">
      <w:pPr>
        <w:pStyle w:val="20"/>
        <w:numPr>
          <w:ilvl w:val="0"/>
          <w:numId w:val="0"/>
        </w:numPr>
        <w:ind w:left="0" w:leftChars="0" w:firstLine="0" w:firstLineChars="0"/>
        <w:jc w:val="center"/>
        <w:rPr>
          <w:rFonts w:hint="eastAsia" w:asciiTheme="majorEastAsia" w:hAnsiTheme="majorEastAsia" w:eastAsiaTheme="minorEastAsia" w:cstheme="minorBidi"/>
          <w:kern w:val="2"/>
          <w:sz w:val="30"/>
          <w:szCs w:val="30"/>
          <w:lang w:val="en-US" w:eastAsia="zh-CN" w:bidi="ar-SA"/>
        </w:rPr>
      </w:pPr>
    </w:p>
    <w:p w14:paraId="4E98773D">
      <w:pPr>
        <w:pStyle w:val="20"/>
        <w:numPr>
          <w:ilvl w:val="0"/>
          <w:numId w:val="0"/>
        </w:numPr>
        <w:ind w:left="0" w:leftChars="0" w:firstLine="0" w:firstLineChars="0"/>
        <w:jc w:val="center"/>
        <w:rPr>
          <w:rFonts w:hint="eastAsia" w:asciiTheme="majorEastAsia" w:hAnsiTheme="majorEastAsia" w:eastAsiaTheme="minorEastAsia" w:cstheme="minorBidi"/>
          <w:kern w:val="2"/>
          <w:sz w:val="30"/>
          <w:szCs w:val="30"/>
          <w:lang w:val="en-US" w:eastAsia="zh-CN" w:bidi="ar-SA"/>
        </w:rPr>
      </w:pPr>
    </w:p>
    <w:p w14:paraId="133CECA4">
      <w:pPr>
        <w:pStyle w:val="20"/>
        <w:numPr>
          <w:ilvl w:val="0"/>
          <w:numId w:val="0"/>
        </w:numPr>
        <w:ind w:left="0" w:leftChars="0" w:firstLine="0" w:firstLineChars="0"/>
        <w:jc w:val="center"/>
        <w:rPr>
          <w:rFonts w:hint="eastAsia" w:asciiTheme="majorEastAsia" w:hAnsiTheme="majorEastAsia" w:eastAsiaTheme="minorEastAsia" w:cstheme="minorBidi"/>
          <w:kern w:val="2"/>
          <w:sz w:val="30"/>
          <w:szCs w:val="30"/>
          <w:lang w:val="en-US" w:eastAsia="zh-CN" w:bidi="ar-SA"/>
        </w:rPr>
      </w:pPr>
    </w:p>
    <w:p w14:paraId="7306C941">
      <w:pPr>
        <w:pStyle w:val="20"/>
        <w:numPr>
          <w:ilvl w:val="0"/>
          <w:numId w:val="0"/>
        </w:numPr>
        <w:ind w:left="0" w:leftChars="0" w:firstLine="0" w:firstLineChars="0"/>
        <w:jc w:val="center"/>
        <w:rPr>
          <w:rFonts w:hint="eastAsia" w:asciiTheme="majorEastAsia" w:hAnsiTheme="majorEastAsia" w:eastAsiaTheme="minorEastAsia" w:cstheme="minorBidi"/>
          <w:kern w:val="2"/>
          <w:sz w:val="30"/>
          <w:szCs w:val="30"/>
          <w:lang w:val="en-US" w:eastAsia="zh-CN" w:bidi="ar-SA"/>
        </w:rPr>
      </w:pPr>
    </w:p>
    <w:p w14:paraId="0FE3A0F8">
      <w:pPr>
        <w:pStyle w:val="20"/>
        <w:numPr>
          <w:ilvl w:val="0"/>
          <w:numId w:val="0"/>
        </w:numPr>
        <w:ind w:left="0" w:leftChars="0" w:firstLine="0" w:firstLineChars="0"/>
        <w:jc w:val="center"/>
        <w:rPr>
          <w:rFonts w:hint="eastAsia" w:asciiTheme="majorEastAsia" w:hAnsiTheme="majorEastAsia" w:eastAsiaTheme="minorEastAsia" w:cstheme="minorBidi"/>
          <w:kern w:val="2"/>
          <w:sz w:val="30"/>
          <w:szCs w:val="30"/>
          <w:lang w:val="en-US" w:eastAsia="zh-CN" w:bidi="ar-SA"/>
        </w:rPr>
      </w:pPr>
    </w:p>
    <w:p w14:paraId="54735608">
      <w:pPr>
        <w:pStyle w:val="12"/>
        <w:numPr>
          <w:ilvl w:val="0"/>
          <w:numId w:val="0"/>
        </w:numPr>
        <w:spacing w:line="360" w:lineRule="auto"/>
        <w:jc w:val="both"/>
        <w:rPr>
          <w:rFonts w:hint="eastAsia" w:asciiTheme="majorEastAsia" w:hAnsiTheme="majorEastAsia" w:eastAsiaTheme="majorEastAsia"/>
          <w:sz w:val="30"/>
          <w:szCs w:val="30"/>
          <w:lang w:eastAsia="zh-CN"/>
        </w:rPr>
      </w:pPr>
    </w:p>
    <w:p w14:paraId="33DE6472">
      <w:pPr>
        <w:pStyle w:val="12"/>
        <w:numPr>
          <w:ilvl w:val="0"/>
          <w:numId w:val="0"/>
        </w:numPr>
        <w:spacing w:line="360" w:lineRule="auto"/>
        <w:jc w:val="both"/>
        <w:rPr>
          <w:rFonts w:hint="eastAsia" w:asciiTheme="majorEastAsia" w:hAnsiTheme="majorEastAsia" w:eastAsiaTheme="majorEastAsia"/>
          <w:sz w:val="30"/>
          <w:szCs w:val="30"/>
          <w:lang w:eastAsia="zh-CN"/>
        </w:rPr>
      </w:pPr>
    </w:p>
    <w:p w14:paraId="2F802E55">
      <w:pPr>
        <w:pStyle w:val="12"/>
        <w:numPr>
          <w:ilvl w:val="0"/>
          <w:numId w:val="0"/>
        </w:numPr>
        <w:spacing w:line="360" w:lineRule="auto"/>
        <w:jc w:val="both"/>
        <w:rPr>
          <w:rFonts w:hint="eastAsia" w:asciiTheme="majorEastAsia" w:hAnsiTheme="majorEastAsia" w:eastAsiaTheme="majorEastAsia"/>
          <w:sz w:val="30"/>
          <w:szCs w:val="30"/>
          <w:lang w:eastAsia="zh-CN"/>
        </w:rPr>
      </w:pPr>
    </w:p>
    <w:p w14:paraId="311974B5">
      <w:pPr>
        <w:pStyle w:val="12"/>
        <w:numPr>
          <w:ilvl w:val="0"/>
          <w:numId w:val="0"/>
        </w:numPr>
        <w:spacing w:line="360" w:lineRule="auto"/>
        <w:jc w:val="center"/>
        <w:rPr>
          <w:rFonts w:hint="eastAsia" w:asciiTheme="majorEastAsia" w:hAnsiTheme="majorEastAsia" w:eastAsiaTheme="majorEastAsia"/>
          <w:sz w:val="30"/>
          <w:szCs w:val="30"/>
          <w:lang w:eastAsia="zh-CN"/>
        </w:rPr>
      </w:pPr>
    </w:p>
    <w:p w14:paraId="175A2CD7">
      <w:pPr>
        <w:snapToGrid w:val="0"/>
        <w:ind w:left="0" w:leftChars="0" w:firstLine="0" w:firstLineChars="0"/>
        <w:jc w:val="center"/>
        <w:rPr>
          <w:rFonts w:hint="eastAsia" w:asciiTheme="majorEastAsia" w:hAnsiTheme="majorEastAsia" w:eastAsiaTheme="majorEastAsia"/>
          <w:sz w:val="30"/>
          <w:szCs w:val="30"/>
          <w:lang w:eastAsia="zh-CN"/>
        </w:rPr>
      </w:pPr>
    </w:p>
    <w:p w14:paraId="3323938C">
      <w:pPr>
        <w:pStyle w:val="20"/>
        <w:numPr>
          <w:ilvl w:val="0"/>
          <w:numId w:val="0"/>
        </w:numPr>
        <w:ind w:left="0" w:leftChars="0" w:firstLine="0" w:firstLineChars="0"/>
        <w:jc w:val="center"/>
        <w:outlineLvl w:val="0"/>
        <w:rPr>
          <w:rFonts w:hint="eastAsia" w:asciiTheme="majorEastAsia" w:hAnsiTheme="majorEastAsia"/>
          <w:sz w:val="30"/>
          <w:szCs w:val="30"/>
        </w:rPr>
      </w:pPr>
      <w:bookmarkStart w:id="114" w:name="_Toc21342"/>
      <w:r>
        <w:rPr>
          <w:rFonts w:hint="eastAsia" w:asciiTheme="majorEastAsia" w:hAnsiTheme="majorEastAsia" w:eastAsiaTheme="minorEastAsia" w:cstheme="minorBidi"/>
          <w:kern w:val="2"/>
          <w:sz w:val="30"/>
          <w:szCs w:val="30"/>
          <w:lang w:val="en-US" w:eastAsia="zh-CN" w:bidi="ar-SA"/>
        </w:rPr>
        <w:t>（</w:t>
      </w:r>
      <w:r>
        <w:rPr>
          <w:rFonts w:hint="eastAsia" w:asciiTheme="majorEastAsia" w:hAnsiTheme="majorEastAsia" w:cstheme="minorBidi"/>
          <w:kern w:val="2"/>
          <w:sz w:val="30"/>
          <w:szCs w:val="30"/>
          <w:lang w:val="en-US" w:eastAsia="zh-CN" w:bidi="ar-SA"/>
        </w:rPr>
        <w:t>二十五</w:t>
      </w:r>
      <w:r>
        <w:rPr>
          <w:rFonts w:hint="eastAsia" w:asciiTheme="majorEastAsia" w:hAnsiTheme="majorEastAsia" w:eastAsiaTheme="minorEastAsia" w:cstheme="minorBidi"/>
          <w:kern w:val="2"/>
          <w:sz w:val="30"/>
          <w:szCs w:val="30"/>
          <w:lang w:val="en-US" w:eastAsia="zh-CN" w:bidi="ar-SA"/>
        </w:rPr>
        <w:t>）</w:t>
      </w:r>
      <w:r>
        <w:rPr>
          <w:rFonts w:hint="eastAsia" w:asciiTheme="majorEastAsia" w:hAnsiTheme="majorEastAsia"/>
          <w:sz w:val="30"/>
          <w:szCs w:val="30"/>
        </w:rPr>
        <w:t>所投</w:t>
      </w:r>
      <w:r>
        <w:rPr>
          <w:rFonts w:hint="eastAsia" w:asciiTheme="majorEastAsia" w:hAnsiTheme="majorEastAsia"/>
          <w:sz w:val="30"/>
          <w:szCs w:val="30"/>
          <w:lang w:val="en-US" w:eastAsia="zh-CN"/>
        </w:rPr>
        <w:t>医疗设备</w:t>
      </w:r>
      <w:r>
        <w:rPr>
          <w:rFonts w:hint="eastAsia" w:asciiTheme="majorEastAsia" w:hAnsiTheme="majorEastAsia"/>
          <w:sz w:val="30"/>
          <w:szCs w:val="30"/>
        </w:rPr>
        <w:t>参数及产品注册时的检测报告</w:t>
      </w:r>
      <w:bookmarkEnd w:id="114"/>
    </w:p>
    <w:p w14:paraId="40472A44">
      <w:pPr>
        <w:rPr>
          <w:rFonts w:hint="eastAsia" w:asciiTheme="majorEastAsia" w:hAnsiTheme="majorEastAsia" w:eastAsiaTheme="majorEastAsia"/>
          <w:sz w:val="30"/>
          <w:szCs w:val="30"/>
          <w:lang w:eastAsia="zh-CN"/>
        </w:rPr>
      </w:pPr>
    </w:p>
    <w:p w14:paraId="7588BA56">
      <w:pPr>
        <w:pStyle w:val="7"/>
        <w:rPr>
          <w:rFonts w:hint="eastAsia" w:asciiTheme="majorEastAsia" w:hAnsiTheme="majorEastAsia" w:eastAsiaTheme="majorEastAsia"/>
          <w:sz w:val="30"/>
          <w:szCs w:val="30"/>
          <w:lang w:eastAsia="zh-CN"/>
        </w:rPr>
      </w:pPr>
    </w:p>
    <w:p w14:paraId="17CABD36">
      <w:pPr>
        <w:rPr>
          <w:rFonts w:hint="eastAsia" w:asciiTheme="majorEastAsia" w:hAnsiTheme="majorEastAsia" w:eastAsiaTheme="majorEastAsia"/>
          <w:sz w:val="30"/>
          <w:szCs w:val="30"/>
          <w:lang w:eastAsia="zh-CN"/>
        </w:rPr>
      </w:pPr>
    </w:p>
    <w:p w14:paraId="4EFA4CC0">
      <w:pPr>
        <w:pStyle w:val="7"/>
        <w:rPr>
          <w:rFonts w:hint="eastAsia" w:asciiTheme="majorEastAsia" w:hAnsiTheme="majorEastAsia" w:eastAsiaTheme="majorEastAsia"/>
          <w:sz w:val="30"/>
          <w:szCs w:val="30"/>
          <w:lang w:eastAsia="zh-CN"/>
        </w:rPr>
      </w:pPr>
    </w:p>
    <w:p w14:paraId="4BD30BB8">
      <w:pPr>
        <w:rPr>
          <w:rFonts w:hint="eastAsia" w:asciiTheme="majorEastAsia" w:hAnsiTheme="majorEastAsia" w:eastAsiaTheme="majorEastAsia"/>
          <w:sz w:val="30"/>
          <w:szCs w:val="30"/>
          <w:lang w:eastAsia="zh-CN"/>
        </w:rPr>
      </w:pPr>
    </w:p>
    <w:p w14:paraId="67DAEE38">
      <w:pPr>
        <w:pStyle w:val="7"/>
        <w:rPr>
          <w:rFonts w:hint="eastAsia" w:asciiTheme="majorEastAsia" w:hAnsiTheme="majorEastAsia" w:eastAsiaTheme="majorEastAsia"/>
          <w:sz w:val="30"/>
          <w:szCs w:val="30"/>
          <w:lang w:eastAsia="zh-CN"/>
        </w:rPr>
      </w:pPr>
    </w:p>
    <w:p w14:paraId="0C2C9215">
      <w:pPr>
        <w:rPr>
          <w:rFonts w:hint="eastAsia" w:asciiTheme="majorEastAsia" w:hAnsiTheme="majorEastAsia" w:eastAsiaTheme="majorEastAsia"/>
          <w:sz w:val="30"/>
          <w:szCs w:val="30"/>
          <w:lang w:eastAsia="zh-CN"/>
        </w:rPr>
      </w:pPr>
    </w:p>
    <w:p w14:paraId="23AEC420">
      <w:pPr>
        <w:pStyle w:val="7"/>
        <w:rPr>
          <w:rFonts w:hint="eastAsia" w:asciiTheme="majorEastAsia" w:hAnsiTheme="majorEastAsia" w:eastAsiaTheme="majorEastAsia"/>
          <w:sz w:val="30"/>
          <w:szCs w:val="30"/>
          <w:lang w:eastAsia="zh-CN"/>
        </w:rPr>
      </w:pPr>
    </w:p>
    <w:p w14:paraId="1DA4F157">
      <w:pPr>
        <w:rPr>
          <w:rFonts w:hint="eastAsia" w:asciiTheme="majorEastAsia" w:hAnsiTheme="majorEastAsia" w:eastAsiaTheme="majorEastAsia"/>
          <w:sz w:val="30"/>
          <w:szCs w:val="30"/>
          <w:lang w:eastAsia="zh-CN"/>
        </w:rPr>
      </w:pPr>
    </w:p>
    <w:p w14:paraId="2612965B">
      <w:pPr>
        <w:pStyle w:val="7"/>
        <w:rPr>
          <w:rFonts w:hint="eastAsia" w:asciiTheme="majorEastAsia" w:hAnsiTheme="majorEastAsia" w:eastAsiaTheme="majorEastAsia"/>
          <w:sz w:val="30"/>
          <w:szCs w:val="30"/>
          <w:lang w:eastAsia="zh-CN"/>
        </w:rPr>
      </w:pPr>
    </w:p>
    <w:p w14:paraId="42B2449E">
      <w:pPr>
        <w:rPr>
          <w:rFonts w:hint="eastAsia" w:asciiTheme="majorEastAsia" w:hAnsiTheme="majorEastAsia" w:eastAsiaTheme="majorEastAsia"/>
          <w:sz w:val="30"/>
          <w:szCs w:val="30"/>
          <w:lang w:eastAsia="zh-CN"/>
        </w:rPr>
      </w:pPr>
    </w:p>
    <w:p w14:paraId="2AE8F28C">
      <w:pPr>
        <w:pStyle w:val="7"/>
        <w:rPr>
          <w:rFonts w:hint="eastAsia" w:asciiTheme="majorEastAsia" w:hAnsiTheme="majorEastAsia" w:eastAsiaTheme="majorEastAsia"/>
          <w:sz w:val="30"/>
          <w:szCs w:val="30"/>
          <w:lang w:eastAsia="zh-CN"/>
        </w:rPr>
      </w:pPr>
    </w:p>
    <w:p w14:paraId="1C6F6F6C">
      <w:pPr>
        <w:rPr>
          <w:rFonts w:hint="eastAsia" w:asciiTheme="majorEastAsia" w:hAnsiTheme="majorEastAsia" w:eastAsiaTheme="majorEastAsia"/>
          <w:sz w:val="30"/>
          <w:szCs w:val="30"/>
          <w:lang w:eastAsia="zh-CN"/>
        </w:rPr>
      </w:pPr>
    </w:p>
    <w:p w14:paraId="461EB672">
      <w:pPr>
        <w:pStyle w:val="7"/>
        <w:rPr>
          <w:rFonts w:hint="eastAsia" w:asciiTheme="majorEastAsia" w:hAnsiTheme="majorEastAsia" w:eastAsiaTheme="majorEastAsia"/>
          <w:sz w:val="30"/>
          <w:szCs w:val="30"/>
          <w:lang w:eastAsia="zh-CN"/>
        </w:rPr>
      </w:pPr>
    </w:p>
    <w:p w14:paraId="303E52EE">
      <w:pPr>
        <w:rPr>
          <w:rFonts w:hint="eastAsia" w:asciiTheme="majorEastAsia" w:hAnsiTheme="majorEastAsia" w:eastAsiaTheme="majorEastAsia"/>
          <w:sz w:val="30"/>
          <w:szCs w:val="30"/>
          <w:lang w:eastAsia="zh-CN"/>
        </w:rPr>
      </w:pPr>
    </w:p>
    <w:p w14:paraId="46B53A22">
      <w:pPr>
        <w:pStyle w:val="7"/>
        <w:rPr>
          <w:rFonts w:hint="eastAsia" w:asciiTheme="majorEastAsia" w:hAnsiTheme="majorEastAsia" w:eastAsiaTheme="majorEastAsia"/>
          <w:sz w:val="30"/>
          <w:szCs w:val="30"/>
          <w:lang w:eastAsia="zh-CN"/>
        </w:rPr>
      </w:pPr>
    </w:p>
    <w:p w14:paraId="6412A59E">
      <w:pPr>
        <w:pStyle w:val="7"/>
        <w:rPr>
          <w:rFonts w:hint="eastAsia"/>
          <w:lang w:eastAsia="zh-CN"/>
        </w:rPr>
      </w:pPr>
    </w:p>
    <w:p w14:paraId="706D9213">
      <w:pPr>
        <w:rPr>
          <w:rFonts w:hint="eastAsia"/>
          <w:lang w:eastAsia="zh-CN"/>
        </w:rPr>
      </w:pPr>
    </w:p>
    <w:p w14:paraId="565BAA7E">
      <w:pPr>
        <w:rPr>
          <w:rFonts w:hint="eastAsia"/>
          <w:lang w:eastAsia="zh-CN"/>
        </w:rPr>
      </w:pPr>
    </w:p>
    <w:p w14:paraId="0D900A92">
      <w:pPr>
        <w:rPr>
          <w:rFonts w:hint="eastAsia"/>
          <w:lang w:eastAsia="zh-CN"/>
        </w:rPr>
      </w:pPr>
    </w:p>
    <w:p w14:paraId="22E4BFDB">
      <w:pPr>
        <w:rPr>
          <w:rFonts w:hint="eastAsia"/>
          <w:lang w:eastAsia="zh-CN"/>
        </w:rPr>
      </w:pPr>
    </w:p>
    <w:p w14:paraId="7D5BD77E">
      <w:pPr>
        <w:snapToGrid w:val="0"/>
        <w:ind w:left="0" w:leftChars="0" w:firstLine="0" w:firstLineChars="0"/>
        <w:jc w:val="center"/>
        <w:outlineLvl w:val="9"/>
        <w:rPr>
          <w:rFonts w:hint="eastAsia" w:asciiTheme="majorEastAsia" w:hAnsiTheme="majorEastAsia" w:eastAsiaTheme="majorEastAsia"/>
          <w:sz w:val="30"/>
          <w:szCs w:val="30"/>
          <w:lang w:eastAsia="zh-CN"/>
        </w:rPr>
      </w:pPr>
    </w:p>
    <w:p w14:paraId="5F0A14F1">
      <w:pPr>
        <w:snapToGrid w:val="0"/>
        <w:ind w:left="0" w:leftChars="0" w:firstLine="0" w:firstLineChars="0"/>
        <w:jc w:val="center"/>
        <w:outlineLvl w:val="0"/>
        <w:rPr>
          <w:rFonts w:hint="default" w:hAnsi="宋体" w:cs="Times New Roman" w:eastAsiaTheme="majorEastAsia"/>
          <w:sz w:val="30"/>
          <w:szCs w:val="30"/>
          <w:lang w:val="en-US" w:eastAsia="zh-CN"/>
        </w:rPr>
      </w:pPr>
      <w:bookmarkStart w:id="115" w:name="_Toc24218"/>
      <w:r>
        <w:rPr>
          <w:rFonts w:hint="eastAsia" w:asciiTheme="majorEastAsia" w:hAnsiTheme="majorEastAsia" w:eastAsiaTheme="majorEastAsia"/>
          <w:sz w:val="30"/>
          <w:szCs w:val="30"/>
          <w:lang w:eastAsia="zh-CN"/>
        </w:rPr>
        <w:t>（</w:t>
      </w:r>
      <w:r>
        <w:rPr>
          <w:rFonts w:hint="eastAsia" w:asciiTheme="majorEastAsia" w:hAnsiTheme="majorEastAsia" w:eastAsiaTheme="majorEastAsia"/>
          <w:sz w:val="30"/>
          <w:szCs w:val="30"/>
          <w:lang w:val="en-US" w:eastAsia="zh-CN"/>
        </w:rPr>
        <w:t>二十六</w:t>
      </w:r>
      <w:r>
        <w:rPr>
          <w:rFonts w:hint="eastAsia" w:asciiTheme="majorEastAsia" w:hAnsiTheme="majorEastAsia" w:eastAsiaTheme="majorEastAsia"/>
          <w:sz w:val="30"/>
          <w:szCs w:val="30"/>
          <w:lang w:eastAsia="zh-CN"/>
        </w:rPr>
        <w:t>）</w:t>
      </w:r>
      <w:r>
        <w:rPr>
          <w:rFonts w:hint="eastAsia" w:hAnsi="宋体" w:cs="Times New Roman" w:eastAsiaTheme="majorEastAsia"/>
          <w:sz w:val="30"/>
          <w:szCs w:val="30"/>
          <w:lang w:val="en-US" w:eastAsia="zh-CN"/>
        </w:rPr>
        <w:t>征集文件要求的其他内容及投标人认为需要加以说明其他内容</w:t>
      </w:r>
      <w:bookmarkEnd w:id="115"/>
    </w:p>
    <w:bookmarkEnd w:id="102"/>
    <w:bookmarkEnd w:id="103"/>
    <w:bookmarkEnd w:id="104"/>
    <w:bookmarkEnd w:id="105"/>
    <w:bookmarkEnd w:id="107"/>
    <w:bookmarkEnd w:id="108"/>
    <w:bookmarkEnd w:id="111"/>
    <w:bookmarkEnd w:id="112"/>
    <w:p w14:paraId="07274D8C">
      <w:pPr>
        <w:rPr>
          <w:rFonts w:hint="eastAsia"/>
          <w:lang w:val="en-US" w:eastAsia="zh-CN"/>
        </w:rPr>
      </w:pPr>
      <w:bookmarkStart w:id="116" w:name="_Toc438223136"/>
      <w:bookmarkStart w:id="117" w:name="_Toc435174933"/>
      <w:bookmarkStart w:id="118" w:name="_Toc435516650"/>
      <w:bookmarkStart w:id="119" w:name="_Toc11652"/>
      <w:bookmarkStart w:id="120" w:name="_Toc1658"/>
    </w:p>
    <w:p w14:paraId="01839AA0">
      <w:pPr>
        <w:rPr>
          <w:rFonts w:hint="eastAsia"/>
          <w:lang w:val="en-US" w:eastAsia="zh-CN"/>
        </w:rPr>
      </w:pPr>
    </w:p>
    <w:p w14:paraId="6160C6A8">
      <w:pPr>
        <w:rPr>
          <w:rFonts w:hint="eastAsia"/>
          <w:lang w:val="en-US" w:eastAsia="zh-CN"/>
        </w:rPr>
      </w:pPr>
    </w:p>
    <w:p w14:paraId="05FF164F">
      <w:pPr>
        <w:rPr>
          <w:rFonts w:hint="eastAsia"/>
          <w:lang w:val="en-US" w:eastAsia="zh-CN"/>
        </w:rPr>
      </w:pPr>
    </w:p>
    <w:p w14:paraId="3924BB1C">
      <w:pPr>
        <w:rPr>
          <w:rFonts w:hint="eastAsia"/>
          <w:lang w:val="en-US" w:eastAsia="zh-CN"/>
        </w:rPr>
      </w:pPr>
    </w:p>
    <w:p w14:paraId="765374E4">
      <w:pPr>
        <w:rPr>
          <w:rFonts w:hint="eastAsia"/>
          <w:lang w:val="en-US" w:eastAsia="zh-CN"/>
        </w:rPr>
      </w:pPr>
    </w:p>
    <w:p w14:paraId="2E12F95B">
      <w:pPr>
        <w:rPr>
          <w:rFonts w:hint="eastAsia"/>
          <w:lang w:val="en-US" w:eastAsia="zh-CN"/>
        </w:rPr>
      </w:pPr>
    </w:p>
    <w:p w14:paraId="3986F0E4">
      <w:pPr>
        <w:rPr>
          <w:rFonts w:hint="eastAsia"/>
          <w:lang w:val="en-US" w:eastAsia="zh-CN"/>
        </w:rPr>
      </w:pPr>
    </w:p>
    <w:p w14:paraId="7B2A69DA">
      <w:pPr>
        <w:rPr>
          <w:rFonts w:hint="eastAsia"/>
          <w:lang w:val="en-US" w:eastAsia="zh-CN"/>
        </w:rPr>
      </w:pPr>
    </w:p>
    <w:p w14:paraId="60E6783B">
      <w:pPr>
        <w:rPr>
          <w:rFonts w:hint="eastAsia"/>
          <w:lang w:val="en-US" w:eastAsia="zh-CN"/>
        </w:rPr>
      </w:pPr>
    </w:p>
    <w:p w14:paraId="66C19318">
      <w:pPr>
        <w:rPr>
          <w:rFonts w:hint="eastAsia"/>
          <w:lang w:val="en-US" w:eastAsia="zh-CN"/>
        </w:rPr>
      </w:pPr>
    </w:p>
    <w:p w14:paraId="77167894">
      <w:pPr>
        <w:rPr>
          <w:rFonts w:hint="eastAsia"/>
          <w:lang w:val="en-US" w:eastAsia="zh-CN"/>
        </w:rPr>
      </w:pPr>
    </w:p>
    <w:p w14:paraId="7C31674A">
      <w:pPr>
        <w:rPr>
          <w:rFonts w:hint="eastAsia"/>
          <w:lang w:val="en-US" w:eastAsia="zh-CN"/>
        </w:rPr>
      </w:pPr>
    </w:p>
    <w:p w14:paraId="4430B061">
      <w:pPr>
        <w:rPr>
          <w:rFonts w:hint="eastAsia"/>
          <w:lang w:val="en-US" w:eastAsia="zh-CN"/>
        </w:rPr>
      </w:pPr>
    </w:p>
    <w:p w14:paraId="74078B60">
      <w:pPr>
        <w:rPr>
          <w:rFonts w:hint="eastAsia"/>
          <w:lang w:val="en-US" w:eastAsia="zh-CN"/>
        </w:rPr>
      </w:pPr>
    </w:p>
    <w:p w14:paraId="46A15B1E">
      <w:pPr>
        <w:rPr>
          <w:rFonts w:hint="eastAsia"/>
          <w:lang w:val="en-US" w:eastAsia="zh-CN"/>
        </w:rPr>
      </w:pPr>
    </w:p>
    <w:p w14:paraId="50475D5C">
      <w:pPr>
        <w:rPr>
          <w:rFonts w:hint="eastAsia"/>
          <w:lang w:val="en-US" w:eastAsia="zh-CN"/>
        </w:rPr>
      </w:pPr>
    </w:p>
    <w:p w14:paraId="24550BB2">
      <w:pPr>
        <w:rPr>
          <w:rFonts w:hint="eastAsia"/>
          <w:lang w:val="en-US" w:eastAsia="zh-CN"/>
        </w:rPr>
      </w:pPr>
    </w:p>
    <w:p w14:paraId="7CADD6A8">
      <w:pPr>
        <w:rPr>
          <w:rFonts w:hint="eastAsia"/>
          <w:lang w:val="en-US" w:eastAsia="zh-CN"/>
        </w:rPr>
      </w:pPr>
    </w:p>
    <w:p w14:paraId="3AE379AE">
      <w:pPr>
        <w:rPr>
          <w:rFonts w:hint="eastAsia"/>
          <w:lang w:val="en-US" w:eastAsia="zh-CN"/>
        </w:rPr>
      </w:pPr>
    </w:p>
    <w:p w14:paraId="0DFBB981">
      <w:pPr>
        <w:rPr>
          <w:rFonts w:hint="eastAsia"/>
          <w:lang w:val="en-US" w:eastAsia="zh-CN"/>
        </w:rPr>
      </w:pPr>
    </w:p>
    <w:p w14:paraId="2874A78B">
      <w:pPr>
        <w:rPr>
          <w:rFonts w:hint="eastAsia"/>
          <w:lang w:val="en-US" w:eastAsia="zh-CN"/>
        </w:rPr>
      </w:pPr>
    </w:p>
    <w:p w14:paraId="02B6A54E">
      <w:pPr>
        <w:rPr>
          <w:rFonts w:hint="eastAsia"/>
          <w:lang w:val="en-US" w:eastAsia="zh-CN"/>
        </w:rPr>
      </w:pPr>
    </w:p>
    <w:p w14:paraId="417C402B">
      <w:pPr>
        <w:rPr>
          <w:rFonts w:hint="eastAsia"/>
          <w:lang w:val="en-US" w:eastAsia="zh-CN"/>
        </w:rPr>
      </w:pPr>
    </w:p>
    <w:p w14:paraId="22766AED">
      <w:pPr>
        <w:rPr>
          <w:rFonts w:hint="eastAsia"/>
          <w:lang w:val="en-US" w:eastAsia="zh-CN"/>
        </w:rPr>
      </w:pPr>
    </w:p>
    <w:p w14:paraId="34925213">
      <w:pPr>
        <w:rPr>
          <w:rFonts w:hint="eastAsia"/>
          <w:lang w:val="en-US" w:eastAsia="zh-CN"/>
        </w:rPr>
      </w:pPr>
    </w:p>
    <w:p w14:paraId="2373C163">
      <w:pPr>
        <w:rPr>
          <w:rFonts w:hint="eastAsia"/>
          <w:lang w:val="en-US" w:eastAsia="zh-CN"/>
        </w:rPr>
      </w:pPr>
    </w:p>
    <w:p w14:paraId="7430E413">
      <w:pPr>
        <w:rPr>
          <w:rFonts w:hint="eastAsia"/>
          <w:lang w:val="en-US" w:eastAsia="zh-CN"/>
        </w:rPr>
      </w:pPr>
    </w:p>
    <w:p w14:paraId="1AF218DC">
      <w:pPr>
        <w:rPr>
          <w:rFonts w:hint="eastAsia"/>
          <w:lang w:val="en-US" w:eastAsia="zh-CN"/>
        </w:rPr>
      </w:pPr>
    </w:p>
    <w:p w14:paraId="25B0008D">
      <w:pPr>
        <w:rPr>
          <w:rFonts w:hint="eastAsia"/>
          <w:lang w:val="en-US" w:eastAsia="zh-CN"/>
        </w:rPr>
      </w:pPr>
    </w:p>
    <w:p w14:paraId="6236D4D8">
      <w:pPr>
        <w:rPr>
          <w:rFonts w:hint="eastAsia"/>
          <w:lang w:val="en-US" w:eastAsia="zh-CN"/>
        </w:rPr>
      </w:pPr>
    </w:p>
    <w:p w14:paraId="457F6D09">
      <w:pPr>
        <w:rPr>
          <w:rFonts w:hint="eastAsia"/>
          <w:lang w:val="en-US" w:eastAsia="zh-CN"/>
        </w:rPr>
      </w:pPr>
    </w:p>
    <w:p w14:paraId="3A13A657">
      <w:pPr>
        <w:rPr>
          <w:rFonts w:hint="eastAsia"/>
          <w:lang w:val="en-US" w:eastAsia="zh-CN"/>
        </w:rPr>
      </w:pPr>
    </w:p>
    <w:p w14:paraId="440FB7F8">
      <w:pPr>
        <w:rPr>
          <w:rFonts w:hint="eastAsia"/>
          <w:lang w:val="en-US" w:eastAsia="zh-CN"/>
        </w:rPr>
      </w:pPr>
    </w:p>
    <w:p w14:paraId="563C929D">
      <w:pPr>
        <w:rPr>
          <w:rFonts w:hint="eastAsia"/>
          <w:lang w:val="en-US" w:eastAsia="zh-CN"/>
        </w:rPr>
      </w:pPr>
    </w:p>
    <w:p w14:paraId="1A933B1C">
      <w:pPr>
        <w:rPr>
          <w:rFonts w:hint="eastAsia"/>
          <w:lang w:val="en-US" w:eastAsia="zh-CN"/>
        </w:rPr>
      </w:pPr>
    </w:p>
    <w:p w14:paraId="29A89262">
      <w:pPr>
        <w:rPr>
          <w:rFonts w:hint="eastAsia"/>
          <w:lang w:val="en-US" w:eastAsia="zh-CN"/>
        </w:rPr>
      </w:pPr>
    </w:p>
    <w:p w14:paraId="17BD064E">
      <w:pPr>
        <w:rPr>
          <w:rFonts w:hint="eastAsia"/>
          <w:lang w:val="en-US" w:eastAsia="zh-CN"/>
        </w:rPr>
      </w:pPr>
    </w:p>
    <w:p w14:paraId="79979A95">
      <w:pPr>
        <w:rPr>
          <w:rFonts w:hint="eastAsia"/>
          <w:lang w:val="en-US" w:eastAsia="zh-CN"/>
        </w:rPr>
      </w:pPr>
    </w:p>
    <w:p w14:paraId="6BCEC9D5">
      <w:pPr>
        <w:rPr>
          <w:rFonts w:hint="eastAsia"/>
          <w:lang w:val="en-US" w:eastAsia="zh-CN"/>
        </w:rPr>
      </w:pPr>
    </w:p>
    <w:p w14:paraId="0D842D59">
      <w:pPr>
        <w:rPr>
          <w:rFonts w:hint="eastAsia"/>
          <w:lang w:val="en-US" w:eastAsia="zh-CN"/>
        </w:rPr>
      </w:pPr>
    </w:p>
    <w:p w14:paraId="660F3520">
      <w:pPr>
        <w:rPr>
          <w:rFonts w:hint="eastAsia"/>
          <w:lang w:val="en-US" w:eastAsia="zh-CN"/>
        </w:rPr>
      </w:pPr>
    </w:p>
    <w:p w14:paraId="4844EB47">
      <w:pPr>
        <w:pStyle w:val="4"/>
        <w:numPr>
          <w:ilvl w:val="0"/>
          <w:numId w:val="17"/>
        </w:numPr>
        <w:spacing w:line="240" w:lineRule="auto"/>
        <w:ind w:left="420" w:leftChars="0" w:hanging="420" w:firstLineChars="0"/>
        <w:jc w:val="center"/>
        <w:outlineLvl w:val="0"/>
        <w:rPr>
          <w:rFonts w:asciiTheme="majorEastAsia" w:hAnsiTheme="majorEastAsia" w:eastAsiaTheme="majorEastAsia"/>
          <w:sz w:val="32"/>
          <w:szCs w:val="32"/>
          <w:lang w:eastAsia="zh-TW"/>
        </w:rPr>
      </w:pPr>
      <w:bookmarkStart w:id="121" w:name="_Toc5245"/>
      <w:r>
        <w:rPr>
          <w:rFonts w:asciiTheme="majorEastAsia" w:hAnsiTheme="majorEastAsia" w:eastAsiaTheme="majorEastAsia"/>
          <w:sz w:val="32"/>
          <w:szCs w:val="32"/>
          <w:lang w:eastAsia="zh-TW"/>
        </w:rPr>
        <w:t>说 明</w:t>
      </w:r>
      <w:bookmarkEnd w:id="116"/>
      <w:bookmarkEnd w:id="117"/>
      <w:bookmarkEnd w:id="118"/>
      <w:bookmarkEnd w:id="119"/>
      <w:bookmarkEnd w:id="120"/>
      <w:bookmarkEnd w:id="121"/>
      <w:bookmarkStart w:id="122" w:name="_Toc292267791"/>
    </w:p>
    <w:p w14:paraId="7D46DAAC">
      <w:pPr>
        <w:numPr>
          <w:ilvl w:val="0"/>
          <w:numId w:val="0"/>
        </w:numPr>
        <w:jc w:val="center"/>
        <w:rPr>
          <w:rFonts w:hint="default" w:eastAsiaTheme="minorEastAsia"/>
          <w:sz w:val="30"/>
          <w:szCs w:val="30"/>
          <w:lang w:val="en-US" w:eastAsia="zh-CN"/>
        </w:rPr>
      </w:pPr>
      <w:r>
        <w:rPr>
          <w:rFonts w:hint="eastAsia"/>
          <w:sz w:val="30"/>
          <w:szCs w:val="30"/>
          <w:lang w:val="en-US" w:eastAsia="zh-CN"/>
        </w:rPr>
        <w:t>总则</w:t>
      </w:r>
    </w:p>
    <w:bookmarkEnd w:id="122"/>
    <w:p w14:paraId="6C6C625E">
      <w:pPr>
        <w:numPr>
          <w:ilvl w:val="0"/>
          <w:numId w:val="18"/>
        </w:numPr>
        <w:autoSpaceDE w:val="0"/>
        <w:autoSpaceDN w:val="0"/>
        <w:adjustRightInd w:val="0"/>
        <w:snapToGrid w:val="0"/>
        <w:spacing w:line="360" w:lineRule="auto"/>
        <w:outlineLvl w:val="1"/>
        <w:rPr>
          <w:rFonts w:ascii="宋体" w:hAnsi="宋体"/>
          <w:b/>
          <w:bCs/>
          <w:szCs w:val="21"/>
        </w:rPr>
      </w:pPr>
      <w:bookmarkStart w:id="123" w:name="_Toc23054"/>
      <w:r>
        <w:rPr>
          <w:rFonts w:hint="eastAsia" w:ascii="宋体" w:hAnsi="宋体"/>
          <w:b/>
          <w:bCs/>
          <w:szCs w:val="21"/>
        </w:rPr>
        <w:t>适用范围</w:t>
      </w:r>
      <w:bookmarkEnd w:id="123"/>
    </w:p>
    <w:p w14:paraId="5425D084">
      <w:pPr>
        <w:numPr>
          <w:ilvl w:val="0"/>
          <w:numId w:val="0"/>
        </w:numPr>
        <w:autoSpaceDE w:val="0"/>
        <w:autoSpaceDN w:val="0"/>
        <w:adjustRightInd w:val="0"/>
        <w:snapToGrid w:val="0"/>
        <w:spacing w:line="360" w:lineRule="auto"/>
        <w:ind w:leftChars="0"/>
        <w:jc w:val="left"/>
        <w:outlineLvl w:val="9"/>
        <w:rPr>
          <w:rFonts w:ascii="宋体" w:hAnsi="宋体"/>
          <w:b/>
          <w:bCs/>
          <w:szCs w:val="21"/>
        </w:rPr>
      </w:pPr>
      <w:r>
        <w:rPr>
          <w:rFonts w:hint="eastAsia" w:ascii="宋体" w:hAnsi="宋体"/>
          <w:szCs w:val="21"/>
          <w:lang w:val="en-US" w:eastAsia="zh-CN"/>
        </w:rPr>
        <w:t>1.1.</w:t>
      </w:r>
      <w:r>
        <w:rPr>
          <w:rFonts w:hint="eastAsia" w:ascii="宋体" w:hAnsi="宋体"/>
          <w:szCs w:val="21"/>
        </w:rPr>
        <w:t>本</w:t>
      </w:r>
      <w:r>
        <w:rPr>
          <w:rFonts w:hint="eastAsia" w:ascii="宋体" w:hAnsi="宋体"/>
          <w:szCs w:val="21"/>
          <w:lang w:eastAsia="zh-CN"/>
        </w:rPr>
        <w:t>征集</w:t>
      </w:r>
      <w:r>
        <w:rPr>
          <w:rFonts w:hint="eastAsia" w:ascii="宋体" w:hAnsi="宋体"/>
          <w:szCs w:val="21"/>
        </w:rPr>
        <w:t>文件适用于本投标邀请中所述采购项目。</w:t>
      </w:r>
    </w:p>
    <w:p w14:paraId="39FB9C80">
      <w:pPr>
        <w:numPr>
          <w:ilvl w:val="0"/>
          <w:numId w:val="0"/>
        </w:numPr>
        <w:autoSpaceDE w:val="0"/>
        <w:autoSpaceDN w:val="0"/>
        <w:adjustRightInd w:val="0"/>
        <w:snapToGrid w:val="0"/>
        <w:spacing w:line="360" w:lineRule="auto"/>
        <w:ind w:leftChars="0"/>
        <w:jc w:val="left"/>
        <w:outlineLvl w:val="9"/>
        <w:rPr>
          <w:rFonts w:hint="eastAsia" w:ascii="宋体" w:hAnsi="宋体"/>
          <w:szCs w:val="21"/>
        </w:rPr>
      </w:pPr>
      <w:r>
        <w:rPr>
          <w:rFonts w:hint="eastAsia" w:ascii="宋体" w:hAnsi="宋体"/>
          <w:szCs w:val="21"/>
          <w:lang w:val="en-US" w:eastAsia="zh-CN"/>
        </w:rPr>
        <w:t>1.2.</w:t>
      </w:r>
      <w:r>
        <w:rPr>
          <w:rFonts w:hint="eastAsia" w:ascii="宋体" w:hAnsi="宋体"/>
          <w:szCs w:val="21"/>
        </w:rPr>
        <w:t>本项目参照《深圳经济特区政府采购条例》《深圳经济特区政府采购条例实施细则》的规定，并参考有关法规、政策、规章、规定，通过公开</w:t>
      </w:r>
      <w:r>
        <w:rPr>
          <w:rFonts w:hint="eastAsia" w:ascii="宋体" w:hAnsi="宋体"/>
          <w:szCs w:val="21"/>
          <w:lang w:eastAsia="zh-CN"/>
        </w:rPr>
        <w:t>征集</w:t>
      </w:r>
      <w:r>
        <w:rPr>
          <w:rFonts w:hint="eastAsia" w:ascii="宋体" w:hAnsi="宋体"/>
          <w:szCs w:val="21"/>
        </w:rPr>
        <w:t>择优选定供应商。</w:t>
      </w:r>
    </w:p>
    <w:p w14:paraId="0810A1EC">
      <w:pPr>
        <w:numPr>
          <w:ilvl w:val="0"/>
          <w:numId w:val="0"/>
        </w:numPr>
        <w:autoSpaceDE w:val="0"/>
        <w:autoSpaceDN w:val="0"/>
        <w:adjustRightInd w:val="0"/>
        <w:snapToGrid w:val="0"/>
        <w:spacing w:line="360" w:lineRule="auto"/>
        <w:ind w:leftChars="0"/>
        <w:jc w:val="left"/>
        <w:outlineLvl w:val="9"/>
        <w:rPr>
          <w:rFonts w:ascii="宋体" w:hAnsi="宋体"/>
          <w:b/>
          <w:bCs/>
          <w:szCs w:val="21"/>
        </w:rPr>
      </w:pPr>
      <w:r>
        <w:rPr>
          <w:rFonts w:hint="eastAsia" w:ascii="宋体" w:hAnsi="宋体"/>
          <w:szCs w:val="21"/>
          <w:lang w:val="en-US" w:eastAsia="zh-CN"/>
        </w:rPr>
        <w:t>1.3.</w:t>
      </w:r>
      <w:r>
        <w:rPr>
          <w:rFonts w:hint="eastAsia" w:ascii="宋体" w:hAnsi="宋体"/>
          <w:szCs w:val="21"/>
        </w:rPr>
        <w:t>本</w:t>
      </w:r>
      <w:r>
        <w:rPr>
          <w:rFonts w:hint="eastAsia" w:ascii="宋体" w:hAnsi="宋体"/>
          <w:szCs w:val="21"/>
          <w:lang w:eastAsia="zh-CN"/>
        </w:rPr>
        <w:t>征集</w:t>
      </w:r>
      <w:r>
        <w:rPr>
          <w:rFonts w:hint="eastAsia" w:ascii="宋体" w:hAnsi="宋体"/>
          <w:szCs w:val="21"/>
        </w:rPr>
        <w:t>文件适用于货物采购项目。</w:t>
      </w:r>
    </w:p>
    <w:p w14:paraId="7B029138">
      <w:pPr>
        <w:numPr>
          <w:ilvl w:val="0"/>
          <w:numId w:val="18"/>
        </w:numPr>
        <w:autoSpaceDE w:val="0"/>
        <w:autoSpaceDN w:val="0"/>
        <w:adjustRightInd w:val="0"/>
        <w:snapToGrid w:val="0"/>
        <w:spacing w:line="360" w:lineRule="auto"/>
        <w:ind w:left="449" w:hanging="449" w:hangingChars="213"/>
        <w:outlineLvl w:val="1"/>
        <w:rPr>
          <w:rFonts w:ascii="宋体" w:hAnsi="宋体"/>
          <w:b/>
          <w:bCs/>
          <w:strike/>
          <w:szCs w:val="21"/>
        </w:rPr>
      </w:pPr>
      <w:bookmarkStart w:id="124" w:name="_Toc28379"/>
      <w:r>
        <w:rPr>
          <w:rFonts w:hint="eastAsia" w:ascii="宋体" w:hAnsi="宋体"/>
          <w:b/>
          <w:szCs w:val="21"/>
        </w:rPr>
        <w:t>定义</w:t>
      </w:r>
      <w:bookmarkEnd w:id="124"/>
    </w:p>
    <w:p w14:paraId="293D86D5">
      <w:pPr>
        <w:numPr>
          <w:ilvl w:val="0"/>
          <w:numId w:val="0"/>
        </w:numPr>
        <w:autoSpaceDE w:val="0"/>
        <w:autoSpaceDN w:val="0"/>
        <w:adjustRightInd w:val="0"/>
        <w:snapToGrid w:val="0"/>
        <w:spacing w:line="360" w:lineRule="auto"/>
        <w:ind w:leftChars="0"/>
        <w:rPr>
          <w:rFonts w:ascii="宋体" w:hAnsi="宋体"/>
          <w:szCs w:val="21"/>
        </w:rPr>
      </w:pPr>
      <w:r>
        <w:rPr>
          <w:rFonts w:hint="eastAsia" w:ascii="宋体" w:hAnsi="宋体"/>
          <w:szCs w:val="21"/>
          <w:lang w:val="en-US" w:eastAsia="zh-CN"/>
        </w:rPr>
        <w:t>2.1.</w:t>
      </w:r>
      <w:r>
        <w:rPr>
          <w:rFonts w:hint="eastAsia" w:ascii="宋体" w:hAnsi="宋体"/>
          <w:szCs w:val="21"/>
        </w:rPr>
        <w:t>采购人</w:t>
      </w:r>
      <w:r>
        <w:rPr>
          <w:rFonts w:hint="eastAsia" w:ascii="宋体" w:hAnsi="宋体"/>
          <w:szCs w:val="21"/>
          <w:lang w:val="en-US" w:eastAsia="zh-CN"/>
        </w:rPr>
        <w:t>是</w:t>
      </w:r>
      <w:r>
        <w:rPr>
          <w:rFonts w:hint="eastAsia" w:ascii="宋体" w:hAnsi="宋体"/>
          <w:szCs w:val="21"/>
        </w:rPr>
        <w:t>指各级</w:t>
      </w:r>
      <w:r>
        <w:rPr>
          <w:rFonts w:ascii="宋体" w:hAnsi="宋体"/>
          <w:szCs w:val="21"/>
        </w:rPr>
        <w:t>国家机关、事业单位和团体组织</w:t>
      </w:r>
      <w:r>
        <w:rPr>
          <w:rFonts w:hint="eastAsia" w:ascii="宋体" w:hAnsi="宋体"/>
          <w:szCs w:val="21"/>
          <w:lang w:eastAsia="zh-CN"/>
        </w:rPr>
        <w:t>。</w:t>
      </w:r>
      <w:r>
        <w:rPr>
          <w:rFonts w:hint="eastAsia" w:ascii="宋体" w:hAnsi="宋体" w:cs="宋体"/>
          <w:szCs w:val="21"/>
        </w:rPr>
        <w:t>采购人已拥有一笔财政性资金或资金来源已落实。采购人计划将一部分或全部资金用于支付本次采购后所签订合同项下的款项。</w:t>
      </w:r>
    </w:p>
    <w:p w14:paraId="3ECABCB9">
      <w:pPr>
        <w:numPr>
          <w:ilvl w:val="0"/>
          <w:numId w:val="0"/>
        </w:numPr>
        <w:autoSpaceDE w:val="0"/>
        <w:autoSpaceDN w:val="0"/>
        <w:adjustRightInd w:val="0"/>
        <w:snapToGrid w:val="0"/>
        <w:spacing w:line="360" w:lineRule="auto"/>
        <w:ind w:leftChars="0"/>
        <w:rPr>
          <w:rFonts w:ascii="宋体" w:hAnsi="宋体"/>
          <w:szCs w:val="21"/>
        </w:rPr>
      </w:pPr>
      <w:r>
        <w:rPr>
          <w:rFonts w:hint="eastAsia" w:ascii="宋体" w:hAnsi="宋体"/>
          <w:szCs w:val="21"/>
          <w:lang w:val="en-US" w:eastAsia="zh-CN"/>
        </w:rPr>
        <w:t>2.2.</w:t>
      </w:r>
      <w:r>
        <w:rPr>
          <w:rFonts w:hint="eastAsia" w:ascii="宋体" w:hAnsi="宋体"/>
          <w:szCs w:val="21"/>
        </w:rPr>
        <w:t>供应商是指向采购人提供货物、工程或者服务的法人、其他组织或者自然人。</w:t>
      </w:r>
    </w:p>
    <w:p w14:paraId="65BBC7FD">
      <w:pPr>
        <w:numPr>
          <w:ilvl w:val="0"/>
          <w:numId w:val="0"/>
        </w:numPr>
        <w:autoSpaceDE w:val="0"/>
        <w:autoSpaceDN w:val="0"/>
        <w:adjustRightInd w:val="0"/>
        <w:snapToGrid w:val="0"/>
        <w:spacing w:line="360" w:lineRule="auto"/>
        <w:ind w:leftChars="0"/>
        <w:rPr>
          <w:rFonts w:hint="eastAsia" w:ascii="宋体" w:hAnsi="宋体"/>
          <w:szCs w:val="21"/>
        </w:rPr>
      </w:pPr>
      <w:r>
        <w:rPr>
          <w:rFonts w:hint="eastAsia" w:ascii="宋体" w:hAnsi="宋体"/>
          <w:szCs w:val="21"/>
          <w:lang w:val="en-US" w:eastAsia="zh-CN"/>
        </w:rPr>
        <w:t>2.3.评标</w:t>
      </w:r>
      <w:r>
        <w:rPr>
          <w:rFonts w:hint="eastAsia" w:ascii="宋体" w:hAnsi="宋体"/>
          <w:szCs w:val="21"/>
        </w:rPr>
        <w:t>委员会是</w:t>
      </w:r>
      <w:r>
        <w:rPr>
          <w:rFonts w:hint="eastAsia" w:ascii="宋体" w:hAnsi="宋体"/>
          <w:szCs w:val="21"/>
          <w:lang w:val="en-US" w:eastAsia="zh-CN"/>
        </w:rPr>
        <w:t>指</w:t>
      </w:r>
      <w:r>
        <w:rPr>
          <w:rFonts w:hint="eastAsia" w:ascii="宋体" w:hAnsi="宋体"/>
          <w:szCs w:val="21"/>
        </w:rPr>
        <w:t>专门负责本项目评标工作的临时性机构。</w:t>
      </w:r>
    </w:p>
    <w:p w14:paraId="10EFBBBE">
      <w:pPr>
        <w:numPr>
          <w:ilvl w:val="0"/>
          <w:numId w:val="0"/>
        </w:numPr>
        <w:autoSpaceDE w:val="0"/>
        <w:autoSpaceDN w:val="0"/>
        <w:adjustRightInd w:val="0"/>
        <w:snapToGrid w:val="0"/>
        <w:spacing w:line="360" w:lineRule="auto"/>
        <w:ind w:leftChars="0"/>
        <w:rPr>
          <w:rFonts w:ascii="宋体" w:hAnsi="宋体"/>
          <w:szCs w:val="21"/>
        </w:rPr>
      </w:pPr>
      <w:r>
        <w:rPr>
          <w:rFonts w:hint="eastAsia" w:ascii="宋体" w:hAnsi="宋体"/>
          <w:szCs w:val="21"/>
          <w:lang w:val="en-US" w:eastAsia="zh-CN"/>
        </w:rPr>
        <w:t>2.4.</w:t>
      </w:r>
      <w:r>
        <w:rPr>
          <w:rFonts w:hint="eastAsia" w:ascii="宋体" w:hAnsi="宋体"/>
          <w:szCs w:val="21"/>
        </w:rPr>
        <w:t>投标人是指响应</w:t>
      </w:r>
      <w:r>
        <w:rPr>
          <w:rFonts w:hint="eastAsia" w:ascii="宋体" w:hAnsi="宋体"/>
          <w:szCs w:val="21"/>
          <w:lang w:eastAsia="zh-CN"/>
        </w:rPr>
        <w:t>征集</w:t>
      </w:r>
      <w:r>
        <w:rPr>
          <w:rFonts w:hint="eastAsia" w:ascii="宋体" w:hAnsi="宋体"/>
          <w:szCs w:val="21"/>
        </w:rPr>
        <w:t>、参加投标竞争的法人、其他组织或者自然人。</w:t>
      </w:r>
    </w:p>
    <w:p w14:paraId="03F60D92">
      <w:pPr>
        <w:numPr>
          <w:ilvl w:val="0"/>
          <w:numId w:val="0"/>
        </w:numPr>
        <w:autoSpaceDE w:val="0"/>
        <w:autoSpaceDN w:val="0"/>
        <w:adjustRightInd w:val="0"/>
        <w:snapToGrid w:val="0"/>
        <w:spacing w:line="360" w:lineRule="auto"/>
        <w:ind w:leftChars="0"/>
        <w:outlineLvl w:val="9"/>
        <w:rPr>
          <w:rFonts w:ascii="宋体" w:hAnsi="宋体"/>
          <w:szCs w:val="21"/>
        </w:rPr>
      </w:pPr>
      <w:r>
        <w:rPr>
          <w:rFonts w:hint="eastAsia" w:ascii="宋体" w:hAnsi="宋体"/>
          <w:szCs w:val="21"/>
          <w:lang w:val="en-US" w:eastAsia="zh-CN"/>
        </w:rPr>
        <w:t>2.5.</w:t>
      </w:r>
      <w:r>
        <w:rPr>
          <w:rFonts w:hint="eastAsia" w:ascii="宋体" w:hAnsi="宋体"/>
          <w:szCs w:val="21"/>
        </w:rPr>
        <w:t>中标人是指经法定程序确定并授予合同的投标人。</w:t>
      </w:r>
    </w:p>
    <w:p w14:paraId="176C9523">
      <w:pPr>
        <w:numPr>
          <w:ilvl w:val="0"/>
          <w:numId w:val="0"/>
        </w:numPr>
        <w:autoSpaceDE w:val="0"/>
        <w:autoSpaceDN w:val="0"/>
        <w:adjustRightInd w:val="0"/>
        <w:snapToGrid w:val="0"/>
        <w:spacing w:line="360" w:lineRule="auto"/>
        <w:ind w:leftChars="0"/>
        <w:rPr>
          <w:rFonts w:hint="eastAsia" w:ascii="宋体" w:hAnsi="宋体"/>
          <w:szCs w:val="21"/>
        </w:rPr>
      </w:pPr>
      <w:r>
        <w:rPr>
          <w:rFonts w:hint="eastAsia" w:ascii="宋体" w:hAnsi="宋体"/>
          <w:szCs w:val="21"/>
          <w:lang w:val="en-US" w:eastAsia="zh-CN"/>
        </w:rPr>
        <w:t>2.6.</w:t>
      </w:r>
      <w:r>
        <w:rPr>
          <w:rFonts w:hint="eastAsia" w:ascii="宋体" w:hAnsi="宋体"/>
          <w:szCs w:val="21"/>
        </w:rPr>
        <w:t>合同</w:t>
      </w:r>
      <w:r>
        <w:rPr>
          <w:rFonts w:hint="eastAsia" w:ascii="宋体" w:hAnsi="宋体"/>
          <w:szCs w:val="21"/>
          <w:lang w:val="en-US" w:eastAsia="zh-CN"/>
        </w:rPr>
        <w:t>是</w:t>
      </w:r>
      <w:r>
        <w:rPr>
          <w:rFonts w:hint="eastAsia" w:ascii="宋体" w:hAnsi="宋体"/>
          <w:szCs w:val="21"/>
        </w:rPr>
        <w:t>指由本次</w:t>
      </w:r>
      <w:r>
        <w:rPr>
          <w:rFonts w:hint="eastAsia" w:ascii="宋体" w:hAnsi="宋体"/>
          <w:szCs w:val="21"/>
          <w:lang w:eastAsia="zh-CN"/>
        </w:rPr>
        <w:t>征集</w:t>
      </w:r>
      <w:r>
        <w:rPr>
          <w:rFonts w:hint="eastAsia" w:ascii="宋体" w:hAnsi="宋体"/>
          <w:szCs w:val="21"/>
        </w:rPr>
        <w:t>所产生的合同或合约文件。</w:t>
      </w:r>
    </w:p>
    <w:p w14:paraId="0EE11412">
      <w:pPr>
        <w:numPr>
          <w:ilvl w:val="0"/>
          <w:numId w:val="0"/>
        </w:numPr>
        <w:autoSpaceDE w:val="0"/>
        <w:autoSpaceDN w:val="0"/>
        <w:adjustRightInd w:val="0"/>
        <w:snapToGrid w:val="0"/>
        <w:spacing w:line="360" w:lineRule="auto"/>
        <w:ind w:leftChars="0"/>
        <w:outlineLvl w:val="9"/>
        <w:rPr>
          <w:rFonts w:hint="eastAsia" w:ascii="宋体" w:hAnsi="宋体"/>
          <w:szCs w:val="21"/>
        </w:rPr>
      </w:pPr>
      <w:r>
        <w:rPr>
          <w:rFonts w:hint="eastAsia" w:ascii="宋体" w:hAnsi="宋体"/>
          <w:szCs w:val="21"/>
          <w:lang w:val="en-US" w:eastAsia="zh-CN"/>
        </w:rPr>
        <w:t>2.7.</w:t>
      </w:r>
      <w:r>
        <w:rPr>
          <w:rFonts w:hint="eastAsia" w:ascii="宋体" w:hAnsi="宋体"/>
          <w:szCs w:val="21"/>
        </w:rPr>
        <w:t>纸质投标文件</w:t>
      </w:r>
      <w:r>
        <w:rPr>
          <w:rFonts w:hint="eastAsia" w:ascii="宋体" w:hAnsi="宋体"/>
          <w:szCs w:val="21"/>
          <w:lang w:val="en-US" w:eastAsia="zh-CN"/>
        </w:rPr>
        <w:t>是</w:t>
      </w:r>
      <w:r>
        <w:rPr>
          <w:rFonts w:hint="eastAsia" w:ascii="宋体" w:hAnsi="宋体"/>
          <w:szCs w:val="21"/>
        </w:rPr>
        <w:t>指根据本</w:t>
      </w:r>
      <w:r>
        <w:rPr>
          <w:rFonts w:hint="eastAsia" w:ascii="宋体" w:hAnsi="宋体"/>
          <w:szCs w:val="21"/>
          <w:lang w:eastAsia="zh-CN"/>
        </w:rPr>
        <w:t>征集</w:t>
      </w:r>
      <w:r>
        <w:rPr>
          <w:rFonts w:hint="eastAsia" w:ascii="宋体" w:hAnsi="宋体"/>
          <w:szCs w:val="21"/>
        </w:rPr>
        <w:t>文件模板的要求规范填写，打印输出并盖有单位公章的投标文件原件。</w:t>
      </w:r>
    </w:p>
    <w:p w14:paraId="0DADBB14">
      <w:pPr>
        <w:numPr>
          <w:ilvl w:val="0"/>
          <w:numId w:val="0"/>
        </w:numPr>
        <w:autoSpaceDE w:val="0"/>
        <w:autoSpaceDN w:val="0"/>
        <w:adjustRightInd w:val="0"/>
        <w:snapToGrid w:val="0"/>
        <w:spacing w:line="360" w:lineRule="auto"/>
        <w:ind w:leftChars="0"/>
        <w:rPr>
          <w:rFonts w:hint="eastAsia" w:ascii="宋体" w:hAnsi="宋体"/>
          <w:szCs w:val="21"/>
        </w:rPr>
      </w:pPr>
      <w:r>
        <w:rPr>
          <w:rFonts w:hint="eastAsia" w:ascii="宋体" w:hAnsi="宋体"/>
          <w:szCs w:val="21"/>
          <w:lang w:val="en-US" w:eastAsia="zh-CN"/>
        </w:rPr>
        <w:t>2.8.</w:t>
      </w:r>
      <w:r>
        <w:rPr>
          <w:rFonts w:hint="eastAsia" w:ascii="宋体" w:hAnsi="宋体"/>
          <w:szCs w:val="21"/>
        </w:rPr>
        <w:t>现场投标</w:t>
      </w:r>
      <w:r>
        <w:rPr>
          <w:rFonts w:hint="eastAsia" w:ascii="宋体" w:hAnsi="宋体"/>
          <w:szCs w:val="21"/>
          <w:lang w:val="en-US" w:eastAsia="zh-CN"/>
        </w:rPr>
        <w:t>是</w:t>
      </w:r>
      <w:r>
        <w:rPr>
          <w:rFonts w:hint="eastAsia" w:ascii="宋体" w:hAnsi="宋体"/>
          <w:szCs w:val="21"/>
        </w:rPr>
        <w:t>指在规定时间内直接向</w:t>
      </w:r>
      <w:r>
        <w:rPr>
          <w:rFonts w:hint="eastAsia" w:ascii="宋体" w:hAnsi="宋体"/>
          <w:szCs w:val="21"/>
          <w:lang w:val="en-US" w:eastAsia="zh-CN"/>
        </w:rPr>
        <w:t>我院</w:t>
      </w:r>
      <w:r>
        <w:rPr>
          <w:rFonts w:hint="eastAsia" w:ascii="宋体" w:hAnsi="宋体"/>
          <w:szCs w:val="21"/>
        </w:rPr>
        <w:t>提交纸质投标文件。</w:t>
      </w:r>
    </w:p>
    <w:p w14:paraId="4EC4B668">
      <w:pPr>
        <w:numPr>
          <w:ilvl w:val="0"/>
          <w:numId w:val="0"/>
        </w:numPr>
        <w:autoSpaceDE w:val="0"/>
        <w:autoSpaceDN w:val="0"/>
        <w:adjustRightInd w:val="0"/>
        <w:snapToGrid w:val="0"/>
        <w:spacing w:line="360" w:lineRule="auto"/>
        <w:ind w:leftChars="0"/>
        <w:rPr>
          <w:rFonts w:hint="eastAsia" w:ascii="宋体" w:hAnsi="宋体"/>
          <w:szCs w:val="21"/>
        </w:rPr>
      </w:pPr>
      <w:r>
        <w:rPr>
          <w:rFonts w:hint="eastAsia" w:ascii="宋体" w:hAnsi="宋体"/>
          <w:szCs w:val="21"/>
          <w:lang w:val="en-US" w:eastAsia="zh-CN"/>
        </w:rPr>
        <w:t>2.9.</w:t>
      </w:r>
      <w:r>
        <w:rPr>
          <w:rFonts w:hint="eastAsia" w:ascii="宋体" w:hAnsi="宋体"/>
          <w:szCs w:val="21"/>
          <w:lang w:eastAsia="zh-CN"/>
        </w:rPr>
        <w:t>征集</w:t>
      </w:r>
      <w:r>
        <w:rPr>
          <w:rFonts w:hint="eastAsia" w:ascii="宋体" w:hAnsi="宋体"/>
          <w:szCs w:val="21"/>
        </w:rPr>
        <w:t>文件中的标题或题名仅起引导作用，而不应视为对</w:t>
      </w:r>
      <w:r>
        <w:rPr>
          <w:rFonts w:hint="eastAsia" w:ascii="宋体" w:hAnsi="宋体"/>
          <w:szCs w:val="21"/>
          <w:lang w:eastAsia="zh-CN"/>
        </w:rPr>
        <w:t>征集</w:t>
      </w:r>
      <w:r>
        <w:rPr>
          <w:rFonts w:hint="eastAsia" w:ascii="宋体" w:hAnsi="宋体"/>
          <w:szCs w:val="21"/>
        </w:rPr>
        <w:t>文件内容的理解和解释。</w:t>
      </w:r>
    </w:p>
    <w:p w14:paraId="77DE7CA6">
      <w:pPr>
        <w:numPr>
          <w:ilvl w:val="0"/>
          <w:numId w:val="0"/>
        </w:numPr>
        <w:autoSpaceDE w:val="0"/>
        <w:autoSpaceDN w:val="0"/>
        <w:adjustRightInd w:val="0"/>
        <w:snapToGrid w:val="0"/>
        <w:spacing w:line="360" w:lineRule="auto"/>
        <w:ind w:leftChars="0"/>
        <w:rPr>
          <w:rFonts w:hint="eastAsia" w:ascii="宋体" w:hAnsi="宋体"/>
          <w:szCs w:val="21"/>
        </w:rPr>
      </w:pPr>
      <w:r>
        <w:rPr>
          <w:rFonts w:hint="eastAsia" w:ascii="宋体" w:hAnsi="宋体"/>
          <w:szCs w:val="21"/>
          <w:lang w:val="en-US" w:eastAsia="zh-CN"/>
        </w:rPr>
        <w:t>2.10.</w:t>
      </w:r>
      <w:r>
        <w:rPr>
          <w:rFonts w:hint="eastAsia" w:ascii="宋体" w:hAnsi="宋体"/>
          <w:szCs w:val="21"/>
        </w:rPr>
        <w:t>日期</w:t>
      </w:r>
      <w:r>
        <w:rPr>
          <w:rFonts w:hint="eastAsia" w:ascii="宋体" w:hAnsi="宋体"/>
          <w:szCs w:val="21"/>
          <w:lang w:val="en-US" w:eastAsia="zh-CN"/>
        </w:rPr>
        <w:t>是</w:t>
      </w:r>
      <w:r>
        <w:rPr>
          <w:rFonts w:hint="eastAsia" w:ascii="宋体" w:hAnsi="宋体"/>
          <w:szCs w:val="21"/>
        </w:rPr>
        <w:t>指公历日。</w:t>
      </w:r>
    </w:p>
    <w:p w14:paraId="767FC079">
      <w:pPr>
        <w:numPr>
          <w:ilvl w:val="0"/>
          <w:numId w:val="0"/>
        </w:numPr>
        <w:autoSpaceDE w:val="0"/>
        <w:autoSpaceDN w:val="0"/>
        <w:adjustRightInd w:val="0"/>
        <w:snapToGrid w:val="0"/>
        <w:spacing w:line="360" w:lineRule="auto"/>
        <w:ind w:leftChars="0"/>
        <w:rPr>
          <w:rFonts w:hint="default" w:ascii="宋体" w:hAnsi="宋体" w:eastAsiaTheme="minorEastAsia"/>
          <w:szCs w:val="21"/>
          <w:lang w:val="en-US" w:eastAsia="zh-CN"/>
        </w:rPr>
      </w:pPr>
      <w:r>
        <w:rPr>
          <w:rFonts w:hint="eastAsia" w:ascii="宋体" w:hAnsi="宋体"/>
          <w:szCs w:val="21"/>
          <w:lang w:val="en-US" w:eastAsia="zh-CN"/>
        </w:rPr>
        <w:t>2.11.征集</w:t>
      </w:r>
      <w:r>
        <w:rPr>
          <w:rFonts w:hint="eastAsia" w:ascii="宋体" w:hAnsi="宋体"/>
          <w:szCs w:val="21"/>
        </w:rPr>
        <w:t>文件中的标题或题名仅起引导作用，而不应视为对</w:t>
      </w:r>
      <w:r>
        <w:rPr>
          <w:rFonts w:hint="eastAsia" w:ascii="宋体" w:hAnsi="宋体"/>
          <w:szCs w:val="21"/>
          <w:lang w:val="en-US" w:eastAsia="zh-CN"/>
        </w:rPr>
        <w:t>征集</w:t>
      </w:r>
      <w:r>
        <w:rPr>
          <w:rFonts w:hint="eastAsia" w:ascii="宋体" w:hAnsi="宋体"/>
          <w:szCs w:val="21"/>
        </w:rPr>
        <w:t>文件内容的理解和解释。</w:t>
      </w:r>
    </w:p>
    <w:p w14:paraId="08E94636">
      <w:pPr>
        <w:numPr>
          <w:ilvl w:val="0"/>
          <w:numId w:val="18"/>
        </w:numPr>
        <w:autoSpaceDE w:val="0"/>
        <w:autoSpaceDN w:val="0"/>
        <w:adjustRightInd w:val="0"/>
        <w:snapToGrid w:val="0"/>
        <w:spacing w:line="360" w:lineRule="auto"/>
        <w:ind w:left="449" w:hanging="449" w:hangingChars="213"/>
        <w:outlineLvl w:val="1"/>
        <w:rPr>
          <w:rFonts w:ascii="宋体" w:hAnsi="宋体"/>
          <w:b/>
          <w:bCs/>
          <w:szCs w:val="21"/>
        </w:rPr>
      </w:pPr>
      <w:bookmarkStart w:id="125" w:name="_Toc4681"/>
      <w:r>
        <w:rPr>
          <w:rFonts w:hint="eastAsia" w:ascii="宋体" w:hAnsi="宋体"/>
          <w:b/>
          <w:bCs/>
          <w:szCs w:val="21"/>
        </w:rPr>
        <w:t>合格的货物和服务</w:t>
      </w:r>
      <w:bookmarkEnd w:id="125"/>
    </w:p>
    <w:p w14:paraId="6CA79C08">
      <w:pPr>
        <w:numPr>
          <w:ilvl w:val="0"/>
          <w:numId w:val="0"/>
        </w:numPr>
        <w:autoSpaceDE w:val="0"/>
        <w:autoSpaceDN w:val="0"/>
        <w:adjustRightInd w:val="0"/>
        <w:snapToGrid w:val="0"/>
        <w:spacing w:line="360" w:lineRule="auto"/>
        <w:ind w:leftChars="0"/>
        <w:rPr>
          <w:rFonts w:ascii="宋体" w:hAnsi="宋体" w:cs="黑体"/>
          <w:b/>
          <w:bCs/>
          <w:szCs w:val="21"/>
        </w:rPr>
      </w:pPr>
      <w:r>
        <w:rPr>
          <w:rFonts w:hint="eastAsia" w:ascii="宋体" w:hAnsi="宋体"/>
          <w:szCs w:val="21"/>
          <w:lang w:val="en-US" w:eastAsia="zh-CN"/>
        </w:rPr>
        <w:t>3.1.</w:t>
      </w:r>
      <w:r>
        <w:rPr>
          <w:rFonts w:hint="eastAsia" w:ascii="宋体" w:hAnsi="宋体"/>
          <w:szCs w:val="21"/>
        </w:rPr>
        <w:t>货物是指投标人制造或组织符合</w:t>
      </w:r>
      <w:r>
        <w:rPr>
          <w:rFonts w:hint="eastAsia" w:ascii="宋体" w:hAnsi="宋体"/>
          <w:szCs w:val="21"/>
          <w:lang w:eastAsia="zh-CN"/>
        </w:rPr>
        <w:t>征集</w:t>
      </w:r>
      <w:r>
        <w:rPr>
          <w:rFonts w:hint="eastAsia" w:ascii="宋体" w:hAnsi="宋体"/>
          <w:szCs w:val="21"/>
        </w:rPr>
        <w:t>文件要求的货物等。投标的货物必须是其合法生产、合法来源的符合国家有关标准要求的货物，并满足</w:t>
      </w:r>
      <w:r>
        <w:rPr>
          <w:rFonts w:hint="eastAsia" w:ascii="宋体" w:hAnsi="宋体"/>
          <w:szCs w:val="21"/>
          <w:lang w:eastAsia="zh-CN"/>
        </w:rPr>
        <w:t>征集</w:t>
      </w:r>
      <w:r>
        <w:rPr>
          <w:rFonts w:hint="eastAsia" w:ascii="宋体" w:hAnsi="宋体"/>
          <w:szCs w:val="21"/>
        </w:rPr>
        <w:t>文件规定的规格、参数、质量、价格、有效期、售后服务等要求。</w:t>
      </w:r>
    </w:p>
    <w:p w14:paraId="26B52F2E">
      <w:pPr>
        <w:numPr>
          <w:ilvl w:val="0"/>
          <w:numId w:val="0"/>
        </w:numPr>
        <w:autoSpaceDE w:val="0"/>
        <w:autoSpaceDN w:val="0"/>
        <w:adjustRightInd w:val="0"/>
        <w:snapToGrid w:val="0"/>
        <w:spacing w:line="360" w:lineRule="auto"/>
        <w:ind w:leftChars="0"/>
        <w:rPr>
          <w:rFonts w:ascii="宋体" w:hAnsi="宋体"/>
          <w:szCs w:val="21"/>
        </w:rPr>
      </w:pPr>
      <w:r>
        <w:rPr>
          <w:rFonts w:hint="eastAsia" w:ascii="宋体" w:hAnsi="宋体"/>
          <w:szCs w:val="21"/>
          <w:lang w:val="en-US" w:eastAsia="zh-CN"/>
        </w:rPr>
        <w:t>3.2.</w:t>
      </w:r>
      <w:r>
        <w:rPr>
          <w:rFonts w:hint="eastAsia" w:ascii="宋体" w:hAnsi="宋体"/>
          <w:szCs w:val="21"/>
        </w:rPr>
        <w:t>服务是指除货物和工程以外的其他政府采购对象，其中包括：投标人须承担的运输、安装、技术支持、培训以及</w:t>
      </w:r>
      <w:r>
        <w:rPr>
          <w:rFonts w:hint="eastAsia" w:ascii="宋体" w:hAnsi="宋体"/>
          <w:szCs w:val="21"/>
          <w:lang w:eastAsia="zh-CN"/>
        </w:rPr>
        <w:t>征集</w:t>
      </w:r>
      <w:r>
        <w:rPr>
          <w:rFonts w:hint="eastAsia" w:ascii="宋体" w:hAnsi="宋体"/>
          <w:szCs w:val="21"/>
        </w:rPr>
        <w:t>文件规定的其它服务。</w:t>
      </w:r>
    </w:p>
    <w:p w14:paraId="1B2DAB83">
      <w:pPr>
        <w:numPr>
          <w:ilvl w:val="0"/>
          <w:numId w:val="0"/>
        </w:numPr>
        <w:autoSpaceDE w:val="0"/>
        <w:autoSpaceDN w:val="0"/>
        <w:adjustRightInd w:val="0"/>
        <w:snapToGrid w:val="0"/>
        <w:spacing w:line="360" w:lineRule="auto"/>
        <w:ind w:leftChars="0"/>
        <w:rPr>
          <w:rFonts w:ascii="宋体" w:hAnsi="宋体"/>
          <w:szCs w:val="21"/>
        </w:rPr>
      </w:pPr>
      <w:r>
        <w:rPr>
          <w:rFonts w:hint="eastAsia" w:ascii="宋体" w:hAnsi="宋体"/>
          <w:szCs w:val="21"/>
          <w:lang w:val="en-US" w:eastAsia="zh-CN"/>
        </w:rPr>
        <w:t>3.3.</w:t>
      </w:r>
      <w:r>
        <w:rPr>
          <w:rFonts w:hint="eastAsia" w:ascii="宋体" w:hAnsi="宋体"/>
          <w:szCs w:val="21"/>
        </w:rPr>
        <w:t>国产的货物及其有关服务必须符合中华人民共和国的设计、制造生产标准及行业标准。</w:t>
      </w:r>
      <w:r>
        <w:rPr>
          <w:rFonts w:hint="eastAsia" w:ascii="宋体" w:hAnsi="宋体"/>
          <w:szCs w:val="21"/>
          <w:lang w:eastAsia="zh-CN"/>
        </w:rPr>
        <w:t>征集</w:t>
      </w:r>
      <w:r>
        <w:rPr>
          <w:rFonts w:hint="eastAsia" w:ascii="宋体" w:hAnsi="宋体"/>
          <w:szCs w:val="21"/>
        </w:rPr>
        <w:t>公告有其他要求的，亦应符合其要求。进口货物及其有关服务必须符合原产地和中华人民共和国的设计、制造生产标准及行业标准。进口的货物必须具有合法的进口手续和途径，并通过中华人民共和国商检部门检验。</w:t>
      </w:r>
      <w:r>
        <w:rPr>
          <w:rFonts w:hint="eastAsia" w:ascii="宋体" w:hAnsi="宋体"/>
          <w:szCs w:val="21"/>
          <w:lang w:eastAsia="zh-CN"/>
        </w:rPr>
        <w:t>征集</w:t>
      </w:r>
      <w:r>
        <w:rPr>
          <w:rFonts w:hint="eastAsia" w:ascii="宋体" w:hAnsi="宋体"/>
          <w:szCs w:val="21"/>
        </w:rPr>
        <w:t>公告有其他要求的，亦应符合其要求。</w:t>
      </w:r>
    </w:p>
    <w:p w14:paraId="03AB9CC5">
      <w:pPr>
        <w:numPr>
          <w:ilvl w:val="0"/>
          <w:numId w:val="0"/>
        </w:numPr>
        <w:autoSpaceDE w:val="0"/>
        <w:autoSpaceDN w:val="0"/>
        <w:adjustRightInd w:val="0"/>
        <w:snapToGrid w:val="0"/>
        <w:spacing w:line="360" w:lineRule="auto"/>
        <w:ind w:leftChars="0"/>
        <w:rPr>
          <w:rFonts w:ascii="宋体" w:hAnsi="宋体"/>
          <w:szCs w:val="21"/>
        </w:rPr>
      </w:pPr>
      <w:r>
        <w:rPr>
          <w:rFonts w:hint="eastAsia" w:ascii="宋体" w:hAnsi="宋体"/>
          <w:szCs w:val="21"/>
          <w:lang w:val="en-US" w:eastAsia="zh-CN"/>
        </w:rPr>
        <w:t>3.4.</w:t>
      </w:r>
      <w:r>
        <w:rPr>
          <w:rFonts w:hint="eastAsia" w:ascii="宋体" w:hAnsi="宋体"/>
          <w:szCs w:val="21"/>
        </w:rPr>
        <w:t>关于进口产品：根据财政部《政府采购进口产品管理办法》（财库〔2007〕119 号）“第三条本办法所称进口产品是指通过中国海关报关验放进入中国境内且产自关境外的产品。” 及《关于政府采购进口产品管理有关问题的通知》（财办库[2008]248号）“二、关于关境和海关特殊监管区域产品认定 根据《中华人民共和国海关法》(以下简称海关法)的规定，我国现行关境是指适用海关法的中华人民共和国行政管辖区域，不包括香港、澳门和台湾金马等单独关境地区。保税区、出口加工区、保税港区、珠澳跨境工业区珠海园区、中哈霍尔果斯国际边境合作中心中方配套区、综合保税区等区域，为海关特殊监管区域，这些区域仅在关税待遇及贸易管制方面实施不同于我国关境内其他地区的特殊政策，但仍属于中华人民共和国关境内区域，由海关按照海关法实施监管。因此，凡在海关特殊监管区域内企业生产或加工(包括从境外进口料件)销往境内其他地区的产品，不作为政府采购项下进口产品。对从境外进入海关特殊监管区域，再经办理报关手续后从海关特殊监管区进入境内其他地区的产品，应当认定为进口产品。”。</w:t>
      </w:r>
    </w:p>
    <w:p w14:paraId="7CB46EEB">
      <w:pPr>
        <w:numPr>
          <w:ilvl w:val="0"/>
          <w:numId w:val="0"/>
        </w:numPr>
        <w:autoSpaceDE w:val="0"/>
        <w:autoSpaceDN w:val="0"/>
        <w:adjustRightInd w:val="0"/>
        <w:snapToGrid w:val="0"/>
        <w:spacing w:line="360" w:lineRule="auto"/>
        <w:ind w:leftChars="0"/>
        <w:rPr>
          <w:rFonts w:ascii="宋体" w:hAnsi="宋体"/>
          <w:szCs w:val="21"/>
        </w:rPr>
      </w:pPr>
      <w:r>
        <w:rPr>
          <w:rFonts w:hint="eastAsia" w:ascii="宋体" w:hAnsi="宋体"/>
          <w:szCs w:val="21"/>
          <w:lang w:val="en-US" w:eastAsia="zh-CN"/>
        </w:rPr>
        <w:t>3.5.</w:t>
      </w:r>
      <w:r>
        <w:rPr>
          <w:rFonts w:hint="eastAsia" w:ascii="宋体" w:hAnsi="宋体"/>
          <w:szCs w:val="21"/>
        </w:rPr>
        <w:t>若所投产品属于政府强制采购节能产品的，则投标人必须提供该产品国家强制性节能产品进行响应，并提供强制性节能产品认证证书，否则视为无效投标。</w:t>
      </w:r>
    </w:p>
    <w:p w14:paraId="4D908F58">
      <w:pPr>
        <w:numPr>
          <w:ilvl w:val="0"/>
          <w:numId w:val="0"/>
        </w:numPr>
        <w:autoSpaceDE w:val="0"/>
        <w:autoSpaceDN w:val="0"/>
        <w:adjustRightInd w:val="0"/>
        <w:snapToGrid w:val="0"/>
        <w:spacing w:line="360" w:lineRule="auto"/>
        <w:ind w:leftChars="0"/>
        <w:rPr>
          <w:rFonts w:hint="eastAsia" w:ascii="宋体" w:hAnsi="宋体"/>
          <w:szCs w:val="21"/>
        </w:rPr>
      </w:pPr>
      <w:r>
        <w:rPr>
          <w:rFonts w:hint="eastAsia" w:ascii="宋体" w:hAnsi="宋体"/>
          <w:szCs w:val="21"/>
          <w:lang w:val="en-US" w:eastAsia="zh-CN"/>
        </w:rPr>
        <w:t>3.6.</w:t>
      </w:r>
      <w:r>
        <w:rPr>
          <w:rFonts w:hint="eastAsia" w:ascii="宋体" w:hAnsi="宋体"/>
          <w:szCs w:val="21"/>
        </w:rPr>
        <w:t>投标人</w:t>
      </w:r>
      <w:bookmarkStart w:id="126" w:name="_Hlk72152753"/>
      <w:r>
        <w:rPr>
          <w:rFonts w:hint="eastAsia" w:ascii="宋体" w:hAnsi="宋体"/>
          <w:szCs w:val="21"/>
        </w:rPr>
        <w:t>应保证，其所提供的货物通过合法正规渠道供货，在提供给采购人前具有完全的所有权，采购人在中华人民共和国使用该货物或货物的任何一部分时，不会产生因第三方提出的包括但不限于侵犯其专利权、商标权、工业设计权等知识产权和侵犯其所有权、抵押权等物权及其他权利而引发的纠纷。如有纠纷，投标人应承担全部责任。</w:t>
      </w:r>
      <w:bookmarkEnd w:id="126"/>
    </w:p>
    <w:p w14:paraId="7436C279">
      <w:pPr>
        <w:numPr>
          <w:ilvl w:val="0"/>
          <w:numId w:val="0"/>
        </w:numPr>
        <w:autoSpaceDE w:val="0"/>
        <w:autoSpaceDN w:val="0"/>
        <w:adjustRightInd w:val="0"/>
        <w:snapToGrid w:val="0"/>
        <w:spacing w:line="360" w:lineRule="auto"/>
        <w:ind w:leftChars="0"/>
        <w:rPr>
          <w:rFonts w:hint="eastAsia" w:ascii="宋体" w:hAnsi="宋体"/>
          <w:szCs w:val="21"/>
        </w:rPr>
      </w:pPr>
      <w:r>
        <w:rPr>
          <w:rFonts w:hint="eastAsia" w:ascii="宋体" w:hAnsi="宋体"/>
          <w:szCs w:val="21"/>
          <w:lang w:val="en-US" w:eastAsia="zh-CN"/>
        </w:rPr>
        <w:t>3.7.</w:t>
      </w:r>
      <w:r>
        <w:rPr>
          <w:rFonts w:hint="eastAsia" w:ascii="宋体" w:hAnsi="宋体"/>
          <w:szCs w:val="21"/>
        </w:rPr>
        <w:t>投标人应保证，其所提供的货物符合国家强制性标准要求；符合相关行业标准（如具备行政主管部门颁发的资质证书或国家质量监督部门的产品《检验报告》等）。设备到货验收时，还必须提供设备的产品合格证、质量保证文件。若中标后，除非另有约定，投标人必须按合同规定完成设备的安装，并达到验收标准。</w:t>
      </w:r>
    </w:p>
    <w:p w14:paraId="73CF8BAC">
      <w:pPr>
        <w:numPr>
          <w:ilvl w:val="0"/>
          <w:numId w:val="0"/>
        </w:numPr>
        <w:autoSpaceDE w:val="0"/>
        <w:autoSpaceDN w:val="0"/>
        <w:adjustRightInd w:val="0"/>
        <w:snapToGrid w:val="0"/>
        <w:spacing w:line="360" w:lineRule="auto"/>
        <w:ind w:leftChars="0"/>
        <w:rPr>
          <w:rFonts w:hint="eastAsia" w:ascii="宋体" w:hAnsi="宋体"/>
          <w:szCs w:val="21"/>
        </w:rPr>
      </w:pPr>
      <w:r>
        <w:rPr>
          <w:rFonts w:hint="eastAsia" w:ascii="宋体" w:hAnsi="宋体"/>
          <w:szCs w:val="21"/>
          <w:lang w:val="en-US" w:eastAsia="zh-CN"/>
        </w:rPr>
        <w:t>3.8.</w:t>
      </w:r>
      <w:r>
        <w:rPr>
          <w:rFonts w:hint="eastAsia" w:ascii="宋体" w:hAnsi="宋体"/>
          <w:szCs w:val="21"/>
        </w:rPr>
        <w:t>工期要求：投标人在投标时对其所投项目应提交交货进度、交货计划等，在合同规定的时间内完成项目实施工作。</w:t>
      </w:r>
    </w:p>
    <w:p w14:paraId="5D1ABA44">
      <w:pPr>
        <w:numPr>
          <w:ilvl w:val="0"/>
          <w:numId w:val="0"/>
        </w:numPr>
        <w:autoSpaceDE w:val="0"/>
        <w:autoSpaceDN w:val="0"/>
        <w:adjustRightInd w:val="0"/>
        <w:snapToGrid w:val="0"/>
        <w:spacing w:line="360" w:lineRule="auto"/>
        <w:ind w:leftChars="0"/>
        <w:rPr>
          <w:rFonts w:hint="eastAsia" w:ascii="宋体" w:hAnsi="宋体"/>
          <w:szCs w:val="21"/>
        </w:rPr>
      </w:pPr>
      <w:r>
        <w:rPr>
          <w:rFonts w:hint="eastAsia" w:ascii="宋体" w:hAnsi="宋体"/>
          <w:szCs w:val="21"/>
          <w:lang w:val="en-US" w:eastAsia="zh-CN"/>
        </w:rPr>
        <w:t>3.9.</w:t>
      </w:r>
      <w:r>
        <w:rPr>
          <w:rFonts w:hint="eastAsia" w:ascii="宋体" w:hAnsi="宋体"/>
          <w:szCs w:val="21"/>
        </w:rPr>
        <w:t>投标人必须承担的设备运输、安装调试、验收检测和提供设备操作说明书、图纸等其他相关及类似的义务。</w:t>
      </w:r>
    </w:p>
    <w:p w14:paraId="45BD45A2">
      <w:pPr>
        <w:numPr>
          <w:ilvl w:val="0"/>
          <w:numId w:val="18"/>
        </w:numPr>
        <w:autoSpaceDE w:val="0"/>
        <w:autoSpaceDN w:val="0"/>
        <w:adjustRightInd w:val="0"/>
        <w:snapToGrid w:val="0"/>
        <w:spacing w:line="360" w:lineRule="auto"/>
        <w:ind w:left="449" w:hanging="449" w:hangingChars="213"/>
        <w:outlineLvl w:val="1"/>
        <w:rPr>
          <w:rFonts w:ascii="宋体" w:hAnsi="宋体"/>
          <w:b/>
          <w:bCs/>
          <w:szCs w:val="21"/>
        </w:rPr>
      </w:pPr>
      <w:bookmarkStart w:id="127" w:name="_Toc27847"/>
      <w:r>
        <w:rPr>
          <w:rFonts w:hint="eastAsia" w:ascii="宋体" w:hAnsi="宋体"/>
          <w:b/>
          <w:bCs/>
          <w:szCs w:val="21"/>
        </w:rPr>
        <w:t>其他</w:t>
      </w:r>
      <w:bookmarkEnd w:id="127"/>
    </w:p>
    <w:p w14:paraId="20835FFD">
      <w:pPr>
        <w:numPr>
          <w:ilvl w:val="0"/>
          <w:numId w:val="0"/>
        </w:numPr>
        <w:autoSpaceDE w:val="0"/>
        <w:autoSpaceDN w:val="0"/>
        <w:adjustRightInd w:val="0"/>
        <w:snapToGrid w:val="0"/>
        <w:spacing w:line="360" w:lineRule="auto"/>
        <w:ind w:leftChars="0"/>
        <w:rPr>
          <w:rFonts w:ascii="宋体" w:hAnsi="宋体" w:cs="宋体"/>
          <w:color w:val="auto"/>
          <w:szCs w:val="21"/>
          <w:highlight w:val="none"/>
        </w:rPr>
      </w:pPr>
      <w:r>
        <w:rPr>
          <w:rFonts w:hint="eastAsia" w:ascii="宋体" w:hAnsi="宋体" w:cs="宋体"/>
          <w:szCs w:val="21"/>
          <w:lang w:val="en-US" w:eastAsia="zh-CN"/>
        </w:rPr>
        <w:t>4.1.</w:t>
      </w:r>
      <w:r>
        <w:rPr>
          <w:rFonts w:hint="eastAsia" w:ascii="宋体" w:hAnsi="宋体" w:cs="宋体"/>
          <w:szCs w:val="21"/>
        </w:rPr>
        <w:t>所有时间均为24小时制北京时间，所有货币单位均为人民币元，所使用的计量单位均以《中华</w:t>
      </w:r>
      <w:r>
        <w:rPr>
          <w:rFonts w:hint="eastAsia" w:ascii="宋体" w:hAnsi="宋体" w:cs="宋体"/>
          <w:color w:val="auto"/>
          <w:szCs w:val="21"/>
          <w:highlight w:val="none"/>
        </w:rPr>
        <w:t>人民共和国法定计量单位》为准（特别注明除外）。</w:t>
      </w:r>
    </w:p>
    <w:p w14:paraId="18D56482">
      <w:pPr>
        <w:numPr>
          <w:ilvl w:val="0"/>
          <w:numId w:val="0"/>
        </w:numPr>
        <w:autoSpaceDE w:val="0"/>
        <w:autoSpaceDN w:val="0"/>
        <w:adjustRightInd w:val="0"/>
        <w:snapToGrid w:val="0"/>
        <w:spacing w:line="360" w:lineRule="auto"/>
        <w:ind w:leftChars="0"/>
        <w:rPr>
          <w:rFonts w:ascii="宋体" w:hAnsi="宋体" w:cs="宋体"/>
          <w:color w:val="auto"/>
          <w:szCs w:val="21"/>
          <w:highlight w:val="none"/>
        </w:rPr>
      </w:pPr>
      <w:r>
        <w:rPr>
          <w:rFonts w:hint="eastAsia" w:ascii="宋体" w:hAnsi="宋体" w:cs="宋体"/>
          <w:color w:val="auto"/>
          <w:szCs w:val="21"/>
          <w:highlight w:val="none"/>
          <w:lang w:val="en-US" w:eastAsia="zh-CN"/>
        </w:rPr>
        <w:t>4.2.</w:t>
      </w:r>
      <w:r>
        <w:rPr>
          <w:rFonts w:hint="eastAsia" w:ascii="宋体" w:hAnsi="宋体" w:cs="宋体"/>
          <w:color w:val="auto"/>
          <w:szCs w:val="21"/>
          <w:highlight w:val="none"/>
        </w:rPr>
        <w:t>供应商（投标人）向我</w:t>
      </w:r>
      <w:r>
        <w:rPr>
          <w:rFonts w:hint="eastAsia" w:ascii="宋体" w:hAnsi="宋体" w:cs="宋体"/>
          <w:color w:val="auto"/>
          <w:szCs w:val="21"/>
          <w:highlight w:val="none"/>
          <w:lang w:val="en-US" w:eastAsia="zh-CN"/>
        </w:rPr>
        <w:t>院</w:t>
      </w:r>
      <w:r>
        <w:rPr>
          <w:rFonts w:hint="eastAsia" w:ascii="宋体" w:hAnsi="宋体" w:cs="宋体"/>
          <w:color w:val="auto"/>
          <w:szCs w:val="21"/>
          <w:highlight w:val="none"/>
        </w:rPr>
        <w:t>咨询的有关项目事项，一切以法律法规的规定和本</w:t>
      </w:r>
      <w:r>
        <w:rPr>
          <w:rFonts w:hint="eastAsia" w:ascii="宋体" w:hAnsi="宋体" w:cs="宋体"/>
          <w:color w:val="auto"/>
          <w:szCs w:val="21"/>
          <w:highlight w:val="none"/>
          <w:lang w:val="en-US" w:eastAsia="zh-CN"/>
        </w:rPr>
        <w:t>院</w:t>
      </w:r>
      <w:r>
        <w:rPr>
          <w:rFonts w:hint="eastAsia" w:ascii="宋体" w:hAnsi="宋体" w:cs="宋体"/>
          <w:color w:val="auto"/>
          <w:szCs w:val="21"/>
          <w:highlight w:val="none"/>
        </w:rPr>
        <w:t>书面答复为准，其他一切形式均为个人意见，不代表本</w:t>
      </w:r>
      <w:r>
        <w:rPr>
          <w:rFonts w:hint="eastAsia" w:ascii="宋体" w:hAnsi="宋体" w:cs="宋体"/>
          <w:color w:val="auto"/>
          <w:szCs w:val="21"/>
          <w:highlight w:val="none"/>
          <w:lang w:val="en-US" w:eastAsia="zh-CN"/>
        </w:rPr>
        <w:t>院</w:t>
      </w:r>
      <w:r>
        <w:rPr>
          <w:rFonts w:hint="eastAsia" w:ascii="宋体" w:hAnsi="宋体" w:cs="宋体"/>
          <w:color w:val="auto"/>
          <w:szCs w:val="21"/>
          <w:highlight w:val="none"/>
        </w:rPr>
        <w:t>的意见。</w:t>
      </w:r>
    </w:p>
    <w:p w14:paraId="50953B09">
      <w:pPr>
        <w:numPr>
          <w:ilvl w:val="0"/>
          <w:numId w:val="0"/>
        </w:numPr>
        <w:adjustRightInd w:val="0"/>
        <w:snapToGrid w:val="0"/>
        <w:spacing w:line="360" w:lineRule="auto"/>
        <w:ind w:leftChars="0"/>
        <w:rPr>
          <w:rFonts w:cs="宋体" w:asciiTheme="minorEastAsia" w:hAnsiTheme="minorEastAsia" w:eastAsiaTheme="minorEastAsia"/>
          <w:bCs/>
          <w:color w:val="auto"/>
          <w:szCs w:val="21"/>
          <w:highlight w:val="none"/>
        </w:rPr>
      </w:pPr>
      <w:bookmarkStart w:id="128" w:name="_Hlk21592778"/>
      <w:r>
        <w:rPr>
          <w:rFonts w:hint="eastAsia" w:asciiTheme="minorEastAsia" w:hAnsiTheme="minorEastAsia"/>
          <w:color w:val="auto"/>
          <w:szCs w:val="21"/>
          <w:highlight w:val="none"/>
          <w:lang w:val="en-US" w:eastAsia="zh-CN"/>
        </w:rPr>
        <w:t>4.3.</w:t>
      </w:r>
      <w:r>
        <w:rPr>
          <w:rFonts w:hint="eastAsia" w:asciiTheme="minorEastAsia" w:hAnsiTheme="minorEastAsia" w:eastAsiaTheme="minorEastAsia"/>
          <w:color w:val="auto"/>
          <w:szCs w:val="21"/>
          <w:highlight w:val="none"/>
        </w:rPr>
        <w:t>对列入失信</w:t>
      </w:r>
      <w:r>
        <w:rPr>
          <w:rFonts w:asciiTheme="minorEastAsia" w:hAnsiTheme="minorEastAsia" w:eastAsiaTheme="minorEastAsia"/>
          <w:color w:val="auto"/>
          <w:szCs w:val="21"/>
          <w:highlight w:val="none"/>
        </w:rPr>
        <w:t>“</w:t>
      </w:r>
      <w:r>
        <w:rPr>
          <w:rFonts w:hint="eastAsia" w:asciiTheme="minorEastAsia" w:hAnsiTheme="minorEastAsia" w:eastAsiaTheme="minorEastAsia"/>
          <w:color w:val="auto"/>
          <w:szCs w:val="21"/>
          <w:highlight w:val="none"/>
        </w:rPr>
        <w:t>黑名单</w:t>
      </w:r>
      <w:r>
        <w:rPr>
          <w:rFonts w:asciiTheme="minorEastAsia" w:hAnsiTheme="minorEastAsia" w:eastAsiaTheme="minorEastAsia"/>
          <w:color w:val="auto"/>
          <w:szCs w:val="21"/>
          <w:highlight w:val="none"/>
        </w:rPr>
        <w:t>”</w:t>
      </w:r>
      <w:r>
        <w:rPr>
          <w:rFonts w:hint="eastAsia" w:asciiTheme="minorEastAsia" w:hAnsiTheme="minorEastAsia" w:eastAsiaTheme="minorEastAsia"/>
          <w:color w:val="auto"/>
          <w:szCs w:val="21"/>
          <w:highlight w:val="none"/>
        </w:rPr>
        <w:t>的</w:t>
      </w:r>
      <w:bookmarkStart w:id="129" w:name="_Hlk21591509"/>
      <w:r>
        <w:rPr>
          <w:rFonts w:hint="eastAsia" w:asciiTheme="minorEastAsia" w:hAnsiTheme="minorEastAsia" w:eastAsiaTheme="minorEastAsia"/>
          <w:color w:val="auto"/>
          <w:szCs w:val="21"/>
          <w:highlight w:val="none"/>
        </w:rPr>
        <w:t>供应商限制参与政府采购</w:t>
      </w:r>
      <w:bookmarkEnd w:id="129"/>
      <w:r>
        <w:rPr>
          <w:rFonts w:hint="eastAsia" w:asciiTheme="minorEastAsia" w:hAnsiTheme="minorEastAsia" w:eastAsiaTheme="minorEastAsia"/>
          <w:color w:val="auto"/>
          <w:szCs w:val="21"/>
          <w:highlight w:val="none"/>
        </w:rPr>
        <w:t>。</w:t>
      </w:r>
      <w:r>
        <w:rPr>
          <w:rFonts w:hint="eastAsia" w:cs="宋体" w:asciiTheme="minorEastAsia" w:hAnsiTheme="minorEastAsia" w:eastAsiaTheme="minorEastAsia"/>
          <w:bCs/>
          <w:color w:val="auto"/>
          <w:szCs w:val="21"/>
          <w:highlight w:val="none"/>
        </w:rPr>
        <w:t>供应商诚信查询方式：</w:t>
      </w:r>
      <w:r>
        <w:rPr>
          <w:rFonts w:asciiTheme="minorEastAsia" w:hAnsiTheme="minorEastAsia" w:eastAsiaTheme="minorEastAsia"/>
          <w:color w:val="auto"/>
          <w:szCs w:val="21"/>
          <w:highlight w:val="none"/>
        </w:rPr>
        <w:t>“信用中国”网站(www.creditchina.gov.cn)</w:t>
      </w:r>
      <w:r>
        <w:rPr>
          <w:rFonts w:hint="eastAsia" w:asciiTheme="minorEastAsia" w:hAnsiTheme="minorEastAsia" w:eastAsiaTheme="minorEastAsia"/>
          <w:color w:val="auto"/>
          <w:szCs w:val="21"/>
          <w:highlight w:val="none"/>
        </w:rPr>
        <w:t>没有以下任意记录名单之一：①</w:t>
      </w:r>
      <w:r>
        <w:rPr>
          <w:rFonts w:asciiTheme="minorEastAsia" w:hAnsiTheme="minorEastAsia" w:eastAsiaTheme="minorEastAsia"/>
          <w:color w:val="auto"/>
          <w:szCs w:val="21"/>
          <w:highlight w:val="none"/>
        </w:rPr>
        <w:t>记录失信被执行人</w:t>
      </w:r>
      <w:r>
        <w:rPr>
          <w:rFonts w:hint="eastAsia" w:asciiTheme="minorEastAsia" w:hAnsiTheme="minorEastAsia" w:eastAsiaTheme="minorEastAsia"/>
          <w:color w:val="auto"/>
          <w:szCs w:val="21"/>
          <w:highlight w:val="none"/>
        </w:rPr>
        <w:t>；②税收违法黑名单；</w:t>
      </w:r>
      <w:r>
        <w:rPr>
          <w:rFonts w:asciiTheme="minorEastAsia" w:hAnsiTheme="minorEastAsia" w:eastAsiaTheme="minorEastAsia"/>
          <w:color w:val="auto"/>
          <w:szCs w:val="21"/>
          <w:highlight w:val="none"/>
        </w:rPr>
        <w:t>中国政府采购网(www.ccgp.gov.cn)不处于“政府采购严重违法失信行为信息记录”中的禁止参加政府采购活动期间</w:t>
      </w:r>
      <w:r>
        <w:rPr>
          <w:rFonts w:hint="eastAsia" w:asciiTheme="minorEastAsia" w:hAnsiTheme="minorEastAsia" w:eastAsiaTheme="minorEastAsia"/>
          <w:color w:val="auto"/>
          <w:szCs w:val="21"/>
          <w:highlight w:val="none"/>
        </w:rPr>
        <w:t>；</w:t>
      </w:r>
      <w:bookmarkEnd w:id="128"/>
      <w:r>
        <w:rPr>
          <w:rFonts w:hint="eastAsia" w:asciiTheme="minorEastAsia" w:hAnsiTheme="minorEastAsia" w:eastAsiaTheme="minorEastAsia"/>
          <w:color w:val="auto"/>
          <w:szCs w:val="21"/>
          <w:highlight w:val="none"/>
        </w:rPr>
        <w:t>在深圳信用网（</w:t>
      </w:r>
      <w:r>
        <w:rPr>
          <w:rFonts w:asciiTheme="minorEastAsia" w:hAnsiTheme="minorEastAsia" w:eastAsiaTheme="minorEastAsia"/>
          <w:color w:val="auto"/>
          <w:szCs w:val="21"/>
          <w:highlight w:val="none"/>
        </w:rPr>
        <w:t>https://www.szcredit.com.cn</w:t>
      </w:r>
      <w:r>
        <w:rPr>
          <w:rFonts w:hint="eastAsia" w:asciiTheme="minorEastAsia" w:hAnsiTheme="minorEastAsia" w:eastAsiaTheme="minorEastAsia"/>
          <w:color w:val="auto"/>
          <w:szCs w:val="21"/>
          <w:highlight w:val="none"/>
        </w:rPr>
        <w:t>）、</w:t>
      </w:r>
      <w:r>
        <w:rPr>
          <w:rFonts w:hint="eastAsia" w:cs="宋体" w:asciiTheme="minorEastAsia" w:hAnsiTheme="minorEastAsia" w:eastAsiaTheme="minorEastAsia"/>
          <w:bCs/>
          <w:color w:val="auto"/>
          <w:szCs w:val="21"/>
          <w:highlight w:val="none"/>
        </w:rPr>
        <w:t>深圳市政府采购监管网（zfcg.sz.gov.cn）查询相关主体信用记录，对不符合《中华人民共和国政府采购法》第二十二条规定条件的供应商限制参与政府采购。</w:t>
      </w:r>
      <w:r>
        <w:rPr>
          <w:rFonts w:hint="eastAsia" w:cs="宋体" w:asciiTheme="minorEastAsia" w:hAnsiTheme="minorEastAsia" w:eastAsiaTheme="minorEastAsia"/>
          <w:color w:val="auto"/>
          <w:szCs w:val="21"/>
          <w:highlight w:val="none"/>
        </w:rPr>
        <w:t>联合体投标的，对</w:t>
      </w:r>
      <w:r>
        <w:rPr>
          <w:rFonts w:cs="宋体" w:asciiTheme="minorEastAsia" w:hAnsiTheme="minorEastAsia" w:eastAsiaTheme="minorEastAsia"/>
          <w:color w:val="auto"/>
          <w:szCs w:val="21"/>
          <w:highlight w:val="none"/>
        </w:rPr>
        <w:t>所有联合体成员进行信用记录查询，联合体成员存在不良信用记录的，视同联合体存在不良信用记录。</w:t>
      </w:r>
      <w:r>
        <w:rPr>
          <w:rFonts w:cs="宋体" w:asciiTheme="minorEastAsia" w:hAnsiTheme="minorEastAsia" w:eastAsiaTheme="minorEastAsia"/>
          <w:bCs/>
          <w:color w:val="auto"/>
          <w:szCs w:val="21"/>
          <w:highlight w:val="none"/>
        </w:rPr>
        <w:t>如在上述网站查询结果均显示没有相关记录，视为</w:t>
      </w:r>
      <w:r>
        <w:rPr>
          <w:rFonts w:hint="eastAsia" w:cs="宋体" w:asciiTheme="minorEastAsia" w:hAnsiTheme="minorEastAsia" w:eastAsiaTheme="minorEastAsia"/>
          <w:bCs/>
          <w:color w:val="auto"/>
          <w:szCs w:val="21"/>
          <w:highlight w:val="none"/>
        </w:rPr>
        <w:t>不存在</w:t>
      </w:r>
      <w:r>
        <w:rPr>
          <w:rFonts w:cs="宋体" w:asciiTheme="minorEastAsia" w:hAnsiTheme="minorEastAsia" w:eastAsiaTheme="minorEastAsia"/>
          <w:bCs/>
          <w:color w:val="auto"/>
          <w:szCs w:val="21"/>
          <w:highlight w:val="none"/>
        </w:rPr>
        <w:t>上述不良信用记录</w:t>
      </w:r>
      <w:r>
        <w:rPr>
          <w:rFonts w:hint="eastAsia" w:cs="宋体" w:asciiTheme="minorEastAsia" w:hAnsiTheme="minorEastAsia" w:eastAsiaTheme="minorEastAsia"/>
          <w:bCs/>
          <w:color w:val="auto"/>
          <w:szCs w:val="21"/>
          <w:highlight w:val="none"/>
        </w:rPr>
        <w:t>。由</w:t>
      </w:r>
      <w:r>
        <w:rPr>
          <w:rFonts w:hint="eastAsia" w:cs="宋体" w:asciiTheme="minorEastAsia" w:hAnsiTheme="minorEastAsia"/>
          <w:bCs/>
          <w:color w:val="auto"/>
          <w:szCs w:val="21"/>
          <w:highlight w:val="none"/>
          <w:lang w:val="en-US" w:eastAsia="zh-CN"/>
        </w:rPr>
        <w:t>采购人工作人员</w:t>
      </w:r>
      <w:r>
        <w:rPr>
          <w:rFonts w:hint="eastAsia" w:cs="宋体" w:asciiTheme="minorEastAsia" w:hAnsiTheme="minorEastAsia" w:eastAsiaTheme="minorEastAsia"/>
          <w:bCs/>
          <w:color w:val="auto"/>
          <w:szCs w:val="21"/>
          <w:highlight w:val="none"/>
        </w:rPr>
        <w:t>对信用信息查询记录和证据截图或下载存档，</w:t>
      </w:r>
      <w:r>
        <w:rPr>
          <w:rFonts w:hint="eastAsia" w:asciiTheme="minorEastAsia" w:hAnsiTheme="minorEastAsia" w:eastAsiaTheme="minorEastAsia"/>
          <w:color w:val="auto"/>
          <w:szCs w:val="21"/>
          <w:highlight w:val="none"/>
        </w:rPr>
        <w:t>相关信息以开标当日的查询结果为准。信用信息查询记录应当作为项目档案材料一并保存。</w:t>
      </w:r>
    </w:p>
    <w:p w14:paraId="33445C9F">
      <w:pPr>
        <w:numPr>
          <w:ilvl w:val="0"/>
          <w:numId w:val="0"/>
        </w:numPr>
        <w:adjustRightInd w:val="0"/>
        <w:snapToGrid w:val="0"/>
        <w:spacing w:line="360" w:lineRule="auto"/>
        <w:ind w:leftChars="0"/>
        <w:rPr>
          <w:rFonts w:hint="eastAsia" w:cs="宋体" w:asciiTheme="minorEastAsia" w:hAnsiTheme="minorEastAsia" w:eastAsiaTheme="minorEastAsia"/>
          <w:bCs/>
          <w:color w:val="auto"/>
          <w:szCs w:val="21"/>
          <w:highlight w:val="none"/>
        </w:rPr>
      </w:pPr>
    </w:p>
    <w:p w14:paraId="5CDF3448">
      <w:pPr>
        <w:numPr>
          <w:ilvl w:val="0"/>
          <w:numId w:val="0"/>
        </w:numPr>
        <w:adjustRightInd w:val="0"/>
        <w:snapToGrid w:val="0"/>
        <w:spacing w:line="360" w:lineRule="auto"/>
        <w:ind w:leftChars="0"/>
        <w:jc w:val="center"/>
        <w:rPr>
          <w:rFonts w:hint="eastAsia" w:cs="宋体" w:asciiTheme="majorEastAsia" w:hAnsiTheme="majorEastAsia" w:eastAsiaTheme="majorEastAsia"/>
          <w:kern w:val="2"/>
          <w:sz w:val="30"/>
          <w:szCs w:val="30"/>
          <w:lang w:val="en-US" w:eastAsia="zh-CN" w:bidi="ar-SA"/>
        </w:rPr>
      </w:pPr>
      <w:r>
        <w:rPr>
          <w:rFonts w:hint="eastAsia" w:cs="宋体" w:asciiTheme="majorEastAsia" w:hAnsiTheme="majorEastAsia" w:eastAsiaTheme="majorEastAsia"/>
          <w:kern w:val="2"/>
          <w:sz w:val="30"/>
          <w:szCs w:val="30"/>
          <w:lang w:val="en-US" w:eastAsia="zh-CN" w:bidi="ar-SA"/>
        </w:rPr>
        <w:t>征集文件</w:t>
      </w:r>
    </w:p>
    <w:p w14:paraId="1C971EE1">
      <w:pPr>
        <w:numPr>
          <w:ilvl w:val="0"/>
          <w:numId w:val="18"/>
        </w:numPr>
        <w:autoSpaceDE w:val="0"/>
        <w:autoSpaceDN w:val="0"/>
        <w:adjustRightInd w:val="0"/>
        <w:snapToGrid w:val="0"/>
        <w:spacing w:line="360" w:lineRule="auto"/>
        <w:ind w:left="449" w:hanging="449" w:hangingChars="213"/>
        <w:outlineLvl w:val="1"/>
        <w:rPr>
          <w:rFonts w:ascii="宋体" w:hAnsi="宋体"/>
          <w:b/>
          <w:bCs/>
          <w:szCs w:val="21"/>
        </w:rPr>
      </w:pPr>
      <w:r>
        <w:rPr>
          <w:rFonts w:hint="eastAsia" w:ascii="宋体" w:hAnsi="宋体"/>
          <w:b/>
          <w:bCs/>
          <w:szCs w:val="21"/>
          <w:lang w:val="en-US" w:eastAsia="zh-CN"/>
        </w:rPr>
        <w:t>征集文件注意事项</w:t>
      </w:r>
    </w:p>
    <w:p w14:paraId="38D39AA9">
      <w:pPr>
        <w:numPr>
          <w:ilvl w:val="0"/>
          <w:numId w:val="0"/>
        </w:numPr>
        <w:adjustRightInd w:val="0"/>
        <w:snapToGrid w:val="0"/>
        <w:spacing w:line="360" w:lineRule="auto"/>
        <w:ind w:leftChars="0"/>
        <w:rPr>
          <w:rFonts w:hint="eastAsia" w:cs="宋体" w:asciiTheme="minorEastAsia" w:hAnsiTheme="minorEastAsia" w:eastAsiaTheme="minorEastAsia"/>
          <w:bCs/>
          <w:color w:val="auto"/>
          <w:szCs w:val="21"/>
          <w:highlight w:val="none"/>
        </w:rPr>
      </w:pPr>
      <w:r>
        <w:rPr>
          <w:rFonts w:hint="eastAsia" w:cs="宋体" w:asciiTheme="minorEastAsia" w:hAnsiTheme="minorEastAsia"/>
          <w:bCs/>
          <w:color w:val="auto"/>
          <w:szCs w:val="21"/>
          <w:highlight w:val="none"/>
          <w:lang w:val="en-US" w:eastAsia="zh-CN"/>
        </w:rPr>
        <w:t>5.1.</w:t>
      </w:r>
      <w:r>
        <w:rPr>
          <w:rFonts w:hint="eastAsia" w:cs="宋体" w:asciiTheme="minorEastAsia" w:hAnsiTheme="minorEastAsia" w:eastAsiaTheme="minorEastAsia"/>
          <w:bCs/>
          <w:color w:val="auto"/>
          <w:szCs w:val="21"/>
          <w:highlight w:val="none"/>
        </w:rPr>
        <w:t>投标人获得</w:t>
      </w:r>
      <w:r>
        <w:rPr>
          <w:rFonts w:hint="eastAsia" w:cs="宋体" w:asciiTheme="minorEastAsia" w:hAnsiTheme="minorEastAsia"/>
          <w:bCs/>
          <w:color w:val="auto"/>
          <w:szCs w:val="21"/>
          <w:highlight w:val="none"/>
          <w:lang w:eastAsia="zh-CN"/>
        </w:rPr>
        <w:t>征集</w:t>
      </w:r>
      <w:r>
        <w:rPr>
          <w:rFonts w:hint="eastAsia" w:cs="宋体" w:asciiTheme="minorEastAsia" w:hAnsiTheme="minorEastAsia" w:eastAsiaTheme="minorEastAsia"/>
          <w:bCs/>
          <w:color w:val="auto"/>
          <w:szCs w:val="21"/>
          <w:highlight w:val="none"/>
        </w:rPr>
        <w:t>文件后，应仔细检查</w:t>
      </w:r>
      <w:r>
        <w:rPr>
          <w:rFonts w:hint="eastAsia" w:cs="宋体" w:asciiTheme="minorEastAsia" w:hAnsiTheme="minorEastAsia"/>
          <w:bCs/>
          <w:color w:val="auto"/>
          <w:szCs w:val="21"/>
          <w:highlight w:val="none"/>
          <w:lang w:eastAsia="zh-CN"/>
        </w:rPr>
        <w:t>征集</w:t>
      </w:r>
      <w:r>
        <w:rPr>
          <w:rFonts w:hint="eastAsia" w:cs="宋体" w:asciiTheme="minorEastAsia" w:hAnsiTheme="minorEastAsia" w:eastAsiaTheme="minorEastAsia"/>
          <w:bCs/>
          <w:color w:val="auto"/>
          <w:szCs w:val="21"/>
          <w:highlight w:val="none"/>
        </w:rPr>
        <w:t>文件的所有内容，如有残缺应在投标截止时间</w:t>
      </w:r>
      <w:r>
        <w:rPr>
          <w:rFonts w:hint="eastAsia" w:cs="宋体" w:asciiTheme="minorEastAsia" w:hAnsiTheme="minorEastAsia"/>
          <w:bCs/>
          <w:color w:val="auto"/>
          <w:szCs w:val="21"/>
          <w:highlight w:val="none"/>
          <w:lang w:val="en-US" w:eastAsia="zh-CN"/>
        </w:rPr>
        <w:t>1个工作日</w:t>
      </w:r>
      <w:r>
        <w:rPr>
          <w:rFonts w:hint="eastAsia" w:cs="宋体" w:asciiTheme="minorEastAsia" w:hAnsiTheme="minorEastAsia" w:eastAsiaTheme="minorEastAsia"/>
          <w:bCs/>
          <w:color w:val="auto"/>
          <w:szCs w:val="21"/>
          <w:highlight w:val="none"/>
        </w:rPr>
        <w:t>前向</w:t>
      </w:r>
      <w:r>
        <w:rPr>
          <w:rFonts w:hint="eastAsia" w:cs="宋体" w:asciiTheme="minorEastAsia" w:hAnsiTheme="minorEastAsia"/>
          <w:bCs/>
          <w:color w:val="auto"/>
          <w:szCs w:val="21"/>
          <w:highlight w:val="none"/>
          <w:lang w:val="en-US" w:eastAsia="zh-CN"/>
        </w:rPr>
        <w:t>我院</w:t>
      </w:r>
      <w:r>
        <w:rPr>
          <w:rFonts w:hint="eastAsia" w:cs="宋体" w:asciiTheme="minorEastAsia" w:hAnsiTheme="minorEastAsia" w:eastAsiaTheme="minorEastAsia"/>
          <w:bCs/>
          <w:color w:val="auto"/>
          <w:szCs w:val="21"/>
          <w:highlight w:val="none"/>
        </w:rPr>
        <w:t>提出，否则，由此引起的投标损失自负；投标人同时应认真审阅</w:t>
      </w:r>
      <w:r>
        <w:rPr>
          <w:rFonts w:hint="eastAsia" w:cs="宋体" w:asciiTheme="minorEastAsia" w:hAnsiTheme="minorEastAsia"/>
          <w:bCs/>
          <w:color w:val="auto"/>
          <w:szCs w:val="21"/>
          <w:highlight w:val="none"/>
          <w:lang w:eastAsia="zh-CN"/>
        </w:rPr>
        <w:t>征集</w:t>
      </w:r>
      <w:r>
        <w:rPr>
          <w:rFonts w:hint="eastAsia" w:cs="宋体" w:asciiTheme="minorEastAsia" w:hAnsiTheme="minorEastAsia" w:eastAsiaTheme="minorEastAsia"/>
          <w:bCs/>
          <w:color w:val="auto"/>
          <w:szCs w:val="21"/>
          <w:highlight w:val="none"/>
        </w:rPr>
        <w:t>文件所有的事项、格式、条款和规范要求等，如果投标人的投标文件没有按</w:t>
      </w:r>
      <w:r>
        <w:rPr>
          <w:rFonts w:hint="eastAsia" w:cs="宋体" w:asciiTheme="minorEastAsia" w:hAnsiTheme="minorEastAsia"/>
          <w:bCs/>
          <w:color w:val="auto"/>
          <w:szCs w:val="21"/>
          <w:highlight w:val="none"/>
          <w:lang w:eastAsia="zh-CN"/>
        </w:rPr>
        <w:t>征集</w:t>
      </w:r>
      <w:r>
        <w:rPr>
          <w:rFonts w:hint="eastAsia" w:cs="宋体" w:asciiTheme="minorEastAsia" w:hAnsiTheme="minorEastAsia" w:eastAsiaTheme="minorEastAsia"/>
          <w:bCs/>
          <w:color w:val="auto"/>
          <w:szCs w:val="21"/>
          <w:highlight w:val="none"/>
        </w:rPr>
        <w:t>文件要求提交全部资料或者投标文件没有对</w:t>
      </w:r>
      <w:r>
        <w:rPr>
          <w:rFonts w:hint="eastAsia" w:cs="宋体" w:asciiTheme="minorEastAsia" w:hAnsiTheme="minorEastAsia"/>
          <w:bCs/>
          <w:color w:val="auto"/>
          <w:szCs w:val="21"/>
          <w:highlight w:val="none"/>
          <w:lang w:eastAsia="zh-CN"/>
        </w:rPr>
        <w:t>征集</w:t>
      </w:r>
      <w:r>
        <w:rPr>
          <w:rFonts w:hint="eastAsia" w:cs="宋体" w:asciiTheme="minorEastAsia" w:hAnsiTheme="minorEastAsia" w:eastAsiaTheme="minorEastAsia"/>
          <w:bCs/>
          <w:color w:val="auto"/>
          <w:szCs w:val="21"/>
          <w:highlight w:val="none"/>
        </w:rPr>
        <w:t>文件做出实质性响应，其风险应由投标人自行承担，并根据有关条款规定，其投标有可能被拒绝。</w:t>
      </w:r>
    </w:p>
    <w:p w14:paraId="4B9F136D">
      <w:pPr>
        <w:numPr>
          <w:ilvl w:val="0"/>
          <w:numId w:val="0"/>
        </w:numPr>
        <w:adjustRightInd w:val="0"/>
        <w:snapToGrid w:val="0"/>
        <w:spacing w:line="360" w:lineRule="auto"/>
        <w:ind w:leftChars="0"/>
        <w:rPr>
          <w:rFonts w:ascii="宋体" w:hAnsi="宋体" w:cs="黑体"/>
          <w:b/>
          <w:bCs/>
          <w:szCs w:val="21"/>
        </w:rPr>
      </w:pPr>
      <w:r>
        <w:rPr>
          <w:rFonts w:hint="eastAsia" w:cs="宋体" w:asciiTheme="minorEastAsia" w:hAnsiTheme="minorEastAsia"/>
          <w:bCs/>
          <w:color w:val="auto"/>
          <w:szCs w:val="21"/>
          <w:highlight w:val="none"/>
          <w:lang w:val="en-US" w:eastAsia="zh-CN"/>
        </w:rPr>
        <w:t>5.2.</w:t>
      </w:r>
      <w:r>
        <w:rPr>
          <w:rFonts w:hint="eastAsia" w:cs="宋体" w:asciiTheme="minorEastAsia" w:hAnsiTheme="minorEastAsia" w:eastAsiaTheme="minorEastAsia"/>
          <w:bCs/>
          <w:color w:val="auto"/>
          <w:szCs w:val="21"/>
          <w:highlight w:val="none"/>
        </w:rPr>
        <w:t>任何人或任何组织向投标人提交的任何书面或口头资料，未经</w:t>
      </w:r>
      <w:r>
        <w:rPr>
          <w:rFonts w:hint="eastAsia" w:cs="宋体" w:asciiTheme="minorEastAsia" w:hAnsiTheme="minorEastAsia"/>
          <w:bCs/>
          <w:color w:val="auto"/>
          <w:szCs w:val="21"/>
          <w:highlight w:val="none"/>
          <w:lang w:val="en-US" w:eastAsia="zh-CN"/>
        </w:rPr>
        <w:t>我院</w:t>
      </w:r>
      <w:r>
        <w:rPr>
          <w:rFonts w:hint="eastAsia" w:cs="宋体" w:asciiTheme="minorEastAsia" w:hAnsiTheme="minorEastAsia" w:eastAsiaTheme="minorEastAsia"/>
          <w:bCs/>
          <w:color w:val="auto"/>
          <w:szCs w:val="21"/>
          <w:highlight w:val="none"/>
        </w:rPr>
        <w:t>在网上发布或书面通知，均作无效处理，不得作为</w:t>
      </w:r>
      <w:r>
        <w:rPr>
          <w:rFonts w:hint="eastAsia" w:cs="宋体" w:asciiTheme="minorEastAsia" w:hAnsiTheme="minorEastAsia"/>
          <w:bCs/>
          <w:color w:val="auto"/>
          <w:szCs w:val="21"/>
          <w:highlight w:val="none"/>
          <w:lang w:eastAsia="zh-CN"/>
        </w:rPr>
        <w:t>征集</w:t>
      </w:r>
      <w:r>
        <w:rPr>
          <w:rFonts w:hint="eastAsia" w:cs="宋体" w:asciiTheme="minorEastAsia" w:hAnsiTheme="minorEastAsia" w:eastAsiaTheme="minorEastAsia"/>
          <w:bCs/>
          <w:color w:val="auto"/>
          <w:szCs w:val="21"/>
          <w:highlight w:val="none"/>
        </w:rPr>
        <w:t>文件的组成部分。</w:t>
      </w:r>
      <w:r>
        <w:rPr>
          <w:rFonts w:hint="eastAsia" w:cs="宋体" w:asciiTheme="minorEastAsia" w:hAnsiTheme="minorEastAsia"/>
          <w:bCs/>
          <w:color w:val="auto"/>
          <w:szCs w:val="21"/>
          <w:highlight w:val="none"/>
          <w:lang w:val="en-US" w:eastAsia="zh-CN"/>
        </w:rPr>
        <w:t>我院</w:t>
      </w:r>
      <w:r>
        <w:rPr>
          <w:rFonts w:hint="eastAsia" w:cs="宋体" w:asciiTheme="minorEastAsia" w:hAnsiTheme="minorEastAsia" w:eastAsiaTheme="minorEastAsia"/>
          <w:bCs/>
          <w:color w:val="auto"/>
          <w:szCs w:val="21"/>
          <w:highlight w:val="none"/>
        </w:rPr>
        <w:t>对投标人由此而做出的推论、理解和结论概不负责。</w:t>
      </w:r>
    </w:p>
    <w:p w14:paraId="11AE4433">
      <w:pPr>
        <w:numPr>
          <w:ilvl w:val="0"/>
          <w:numId w:val="0"/>
        </w:numPr>
        <w:adjustRightInd w:val="0"/>
        <w:snapToGrid w:val="0"/>
        <w:spacing w:line="360" w:lineRule="auto"/>
        <w:ind w:leftChars="0"/>
        <w:rPr>
          <w:rFonts w:hint="eastAsia" w:cs="宋体" w:asciiTheme="minorEastAsia" w:hAnsiTheme="minorEastAsia" w:eastAsiaTheme="minorEastAsia"/>
          <w:bCs/>
          <w:color w:val="auto"/>
          <w:szCs w:val="21"/>
          <w:highlight w:val="none"/>
        </w:rPr>
      </w:pPr>
      <w:r>
        <w:rPr>
          <w:rFonts w:hint="eastAsia" w:cs="宋体" w:asciiTheme="minorEastAsia" w:hAnsiTheme="minorEastAsia"/>
          <w:bCs/>
          <w:color w:val="auto"/>
          <w:szCs w:val="21"/>
          <w:highlight w:val="none"/>
          <w:lang w:val="en-US" w:eastAsia="zh-CN"/>
        </w:rPr>
        <w:t>5.3.</w:t>
      </w:r>
      <w:r>
        <w:rPr>
          <w:rFonts w:hint="eastAsia" w:cs="宋体" w:asciiTheme="minorEastAsia" w:hAnsiTheme="minorEastAsia"/>
          <w:bCs/>
          <w:color w:val="auto"/>
          <w:szCs w:val="21"/>
          <w:highlight w:val="none"/>
          <w:lang w:eastAsia="zh-CN"/>
        </w:rPr>
        <w:t>征集</w:t>
      </w:r>
      <w:r>
        <w:rPr>
          <w:rFonts w:hint="eastAsia" w:cs="宋体" w:asciiTheme="minorEastAsia" w:hAnsiTheme="minorEastAsia" w:eastAsiaTheme="minorEastAsia"/>
          <w:bCs/>
          <w:color w:val="auto"/>
          <w:szCs w:val="21"/>
          <w:highlight w:val="none"/>
        </w:rPr>
        <w:t>文件澄清的目的是澄清、解答投标人在查阅</w:t>
      </w:r>
      <w:r>
        <w:rPr>
          <w:rFonts w:hint="eastAsia" w:cs="宋体" w:asciiTheme="minorEastAsia" w:hAnsiTheme="minorEastAsia"/>
          <w:bCs/>
          <w:color w:val="auto"/>
          <w:szCs w:val="21"/>
          <w:highlight w:val="none"/>
          <w:lang w:eastAsia="zh-CN"/>
        </w:rPr>
        <w:t>征集</w:t>
      </w:r>
      <w:r>
        <w:rPr>
          <w:rFonts w:hint="eastAsia" w:cs="宋体" w:asciiTheme="minorEastAsia" w:hAnsiTheme="minorEastAsia" w:eastAsiaTheme="minorEastAsia"/>
          <w:bCs/>
          <w:color w:val="auto"/>
          <w:szCs w:val="21"/>
          <w:highlight w:val="none"/>
        </w:rPr>
        <w:t>文件后或现场踏勘中可能提出的与投标有关的疑问或询问。</w:t>
      </w:r>
      <w:r>
        <w:rPr>
          <w:rFonts w:hint="eastAsia" w:cs="宋体" w:asciiTheme="minorEastAsia" w:hAnsiTheme="minorEastAsia"/>
          <w:bCs/>
          <w:color w:val="auto"/>
          <w:szCs w:val="21"/>
          <w:highlight w:val="none"/>
          <w:lang w:val="en-US" w:eastAsia="zh-CN"/>
        </w:rPr>
        <w:t>征集</w:t>
      </w:r>
      <w:r>
        <w:rPr>
          <w:rFonts w:hint="eastAsia" w:cs="宋体" w:asciiTheme="minorEastAsia" w:hAnsiTheme="minorEastAsia" w:eastAsiaTheme="minorEastAsia"/>
          <w:bCs/>
          <w:color w:val="auto"/>
          <w:szCs w:val="21"/>
          <w:highlight w:val="none"/>
        </w:rPr>
        <w:t>文件的修改性文件，如补充、澄清文件或</w:t>
      </w:r>
      <w:r>
        <w:rPr>
          <w:rFonts w:hint="eastAsia" w:cs="宋体" w:asciiTheme="minorEastAsia" w:hAnsiTheme="minorEastAsia"/>
          <w:bCs/>
          <w:color w:val="auto"/>
          <w:szCs w:val="21"/>
          <w:highlight w:val="none"/>
          <w:lang w:val="en-US" w:eastAsia="zh-CN"/>
        </w:rPr>
        <w:t>征集</w:t>
      </w:r>
      <w:r>
        <w:rPr>
          <w:rFonts w:hint="eastAsia" w:cs="宋体" w:asciiTheme="minorEastAsia" w:hAnsiTheme="minorEastAsia" w:eastAsiaTheme="minorEastAsia"/>
          <w:bCs/>
          <w:color w:val="auto"/>
          <w:szCs w:val="21"/>
          <w:highlight w:val="none"/>
        </w:rPr>
        <w:t>文件修订说明同样具有法律效力。</w:t>
      </w:r>
    </w:p>
    <w:p w14:paraId="769203AE">
      <w:pPr>
        <w:numPr>
          <w:ilvl w:val="0"/>
          <w:numId w:val="0"/>
        </w:numPr>
        <w:adjustRightInd w:val="0"/>
        <w:snapToGrid w:val="0"/>
        <w:spacing w:line="360" w:lineRule="auto"/>
        <w:ind w:leftChars="0"/>
        <w:rPr>
          <w:rFonts w:hint="eastAsia" w:cs="宋体" w:asciiTheme="minorEastAsia" w:hAnsiTheme="minorEastAsia" w:eastAsiaTheme="minorEastAsia"/>
          <w:bCs/>
          <w:color w:val="auto"/>
          <w:szCs w:val="21"/>
          <w:highlight w:val="none"/>
        </w:rPr>
      </w:pPr>
      <w:r>
        <w:rPr>
          <w:rFonts w:hint="eastAsia" w:cs="宋体" w:asciiTheme="minorEastAsia" w:hAnsiTheme="minorEastAsia"/>
          <w:bCs/>
          <w:color w:val="auto"/>
          <w:szCs w:val="21"/>
          <w:highlight w:val="none"/>
          <w:lang w:val="en-US" w:eastAsia="zh-CN"/>
        </w:rPr>
        <w:t>5.4.</w:t>
      </w:r>
      <w:r>
        <w:rPr>
          <w:rFonts w:hint="eastAsia" w:cs="宋体" w:asciiTheme="minorEastAsia" w:hAnsiTheme="minorEastAsia" w:eastAsiaTheme="minorEastAsia"/>
          <w:bCs/>
          <w:color w:val="auto"/>
          <w:szCs w:val="21"/>
          <w:highlight w:val="none"/>
        </w:rPr>
        <w:t>对</w:t>
      </w:r>
      <w:r>
        <w:rPr>
          <w:rFonts w:hint="eastAsia" w:cs="宋体" w:asciiTheme="minorEastAsia" w:hAnsiTheme="minorEastAsia"/>
          <w:bCs/>
          <w:color w:val="auto"/>
          <w:szCs w:val="21"/>
          <w:highlight w:val="none"/>
          <w:lang w:eastAsia="zh-CN"/>
        </w:rPr>
        <w:t>征集</w:t>
      </w:r>
      <w:r>
        <w:rPr>
          <w:rFonts w:hint="eastAsia" w:cs="宋体" w:asciiTheme="minorEastAsia" w:hAnsiTheme="minorEastAsia" w:eastAsiaTheme="minorEastAsia"/>
          <w:bCs/>
          <w:color w:val="auto"/>
          <w:szCs w:val="21"/>
          <w:highlight w:val="none"/>
        </w:rPr>
        <w:t>文件进行澄清或者对</w:t>
      </w:r>
      <w:r>
        <w:rPr>
          <w:rFonts w:hint="eastAsia" w:cs="宋体" w:asciiTheme="minorEastAsia" w:hAnsiTheme="minorEastAsia"/>
          <w:bCs/>
          <w:color w:val="auto"/>
          <w:szCs w:val="21"/>
          <w:highlight w:val="none"/>
          <w:lang w:eastAsia="zh-CN"/>
        </w:rPr>
        <w:t>征集</w:t>
      </w:r>
      <w:r>
        <w:rPr>
          <w:rFonts w:hint="eastAsia" w:cs="宋体" w:asciiTheme="minorEastAsia" w:hAnsiTheme="minorEastAsia" w:eastAsiaTheme="minorEastAsia"/>
          <w:bCs/>
          <w:color w:val="auto"/>
          <w:szCs w:val="21"/>
          <w:highlight w:val="none"/>
        </w:rPr>
        <w:t>文件有限制性、倾向性条款提出</w:t>
      </w:r>
      <w:r>
        <w:rPr>
          <w:rFonts w:hint="eastAsia" w:cs="宋体" w:asciiTheme="minorEastAsia" w:hAnsiTheme="minorEastAsia"/>
          <w:bCs/>
          <w:color w:val="auto"/>
          <w:szCs w:val="21"/>
          <w:highlight w:val="none"/>
          <w:lang w:val="en-US" w:eastAsia="zh-CN"/>
        </w:rPr>
        <w:t>征集答疑</w:t>
      </w:r>
      <w:r>
        <w:rPr>
          <w:rFonts w:hint="eastAsia" w:cs="宋体" w:asciiTheme="minorEastAsia" w:hAnsiTheme="minorEastAsia" w:eastAsiaTheme="minorEastAsia"/>
          <w:bCs/>
          <w:color w:val="auto"/>
          <w:szCs w:val="21"/>
          <w:highlight w:val="none"/>
        </w:rPr>
        <w:t>的投标人，均应于“</w:t>
      </w:r>
      <w:r>
        <w:rPr>
          <w:rFonts w:hint="eastAsia" w:cs="宋体" w:asciiTheme="minorEastAsia" w:hAnsiTheme="minorEastAsia"/>
          <w:bCs/>
          <w:color w:val="auto"/>
          <w:szCs w:val="21"/>
          <w:highlight w:val="none"/>
          <w:lang w:eastAsia="zh-CN"/>
        </w:rPr>
        <w:t>征集</w:t>
      </w:r>
      <w:r>
        <w:rPr>
          <w:rFonts w:hint="eastAsia" w:cs="宋体" w:asciiTheme="minorEastAsia" w:hAnsiTheme="minorEastAsia" w:eastAsiaTheme="minorEastAsia"/>
          <w:bCs/>
          <w:color w:val="auto"/>
          <w:szCs w:val="21"/>
          <w:highlight w:val="none"/>
        </w:rPr>
        <w:t>公告”中所述</w:t>
      </w:r>
      <w:r>
        <w:rPr>
          <w:rFonts w:hint="eastAsia" w:cs="宋体" w:asciiTheme="minorEastAsia" w:hAnsiTheme="minorEastAsia"/>
          <w:bCs/>
          <w:color w:val="auto"/>
          <w:szCs w:val="21"/>
          <w:highlight w:val="none"/>
          <w:lang w:val="en-US" w:eastAsia="zh-CN"/>
        </w:rPr>
        <w:t>投标</w:t>
      </w:r>
      <w:r>
        <w:rPr>
          <w:rFonts w:hint="eastAsia" w:cs="宋体" w:asciiTheme="minorEastAsia" w:hAnsiTheme="minorEastAsia" w:eastAsiaTheme="minorEastAsia"/>
          <w:bCs/>
          <w:color w:val="auto"/>
          <w:szCs w:val="21"/>
          <w:highlight w:val="none"/>
        </w:rPr>
        <w:t>截止时间</w:t>
      </w:r>
      <w:r>
        <w:rPr>
          <w:rFonts w:hint="eastAsia" w:cs="宋体" w:asciiTheme="minorEastAsia" w:hAnsiTheme="minorEastAsia"/>
          <w:bCs/>
          <w:color w:val="auto"/>
          <w:szCs w:val="21"/>
          <w:highlight w:val="none"/>
          <w:lang w:val="en-US" w:eastAsia="zh-CN"/>
        </w:rPr>
        <w:t>1个工作日</w:t>
      </w:r>
      <w:r>
        <w:rPr>
          <w:rFonts w:hint="eastAsia" w:cs="宋体" w:asciiTheme="minorEastAsia" w:hAnsiTheme="minorEastAsia" w:eastAsiaTheme="minorEastAsia"/>
          <w:bCs/>
          <w:color w:val="auto"/>
          <w:szCs w:val="21"/>
          <w:highlight w:val="none"/>
        </w:rPr>
        <w:t>前书面通知</w:t>
      </w:r>
      <w:r>
        <w:rPr>
          <w:rFonts w:hint="eastAsia" w:cs="宋体" w:asciiTheme="minorEastAsia" w:hAnsiTheme="minorEastAsia"/>
          <w:bCs/>
          <w:color w:val="auto"/>
          <w:szCs w:val="21"/>
          <w:highlight w:val="none"/>
          <w:lang w:val="en-US" w:eastAsia="zh-CN"/>
        </w:rPr>
        <w:t>我院</w:t>
      </w:r>
      <w:r>
        <w:rPr>
          <w:rFonts w:hint="eastAsia" w:cs="宋体" w:asciiTheme="minorEastAsia" w:hAnsiTheme="minorEastAsia" w:eastAsiaTheme="minorEastAsia"/>
          <w:bCs/>
          <w:color w:val="auto"/>
          <w:szCs w:val="21"/>
          <w:highlight w:val="none"/>
        </w:rPr>
        <w:t>。</w:t>
      </w:r>
      <w:r>
        <w:rPr>
          <w:rFonts w:hint="eastAsia" w:cs="宋体" w:asciiTheme="minorEastAsia" w:hAnsiTheme="minorEastAsia"/>
          <w:bCs/>
          <w:color w:val="auto"/>
          <w:szCs w:val="21"/>
          <w:highlight w:val="none"/>
          <w:lang w:val="en-US" w:eastAsia="zh-CN"/>
        </w:rPr>
        <w:t>我院</w:t>
      </w:r>
      <w:r>
        <w:rPr>
          <w:rFonts w:hint="eastAsia" w:cs="宋体" w:asciiTheme="minorEastAsia" w:hAnsiTheme="minorEastAsia" w:eastAsiaTheme="minorEastAsia"/>
          <w:bCs/>
          <w:color w:val="auto"/>
          <w:szCs w:val="21"/>
          <w:highlight w:val="none"/>
        </w:rPr>
        <w:t>对规定时间内收到的对</w:t>
      </w:r>
      <w:r>
        <w:rPr>
          <w:rFonts w:hint="eastAsia" w:cs="宋体" w:asciiTheme="minorEastAsia" w:hAnsiTheme="minorEastAsia"/>
          <w:bCs/>
          <w:color w:val="auto"/>
          <w:szCs w:val="21"/>
          <w:highlight w:val="none"/>
          <w:lang w:eastAsia="zh-CN"/>
        </w:rPr>
        <w:t>征集</w:t>
      </w:r>
      <w:r>
        <w:rPr>
          <w:rFonts w:hint="eastAsia" w:cs="宋体" w:asciiTheme="minorEastAsia" w:hAnsiTheme="minorEastAsia" w:eastAsiaTheme="minorEastAsia"/>
          <w:bCs/>
          <w:color w:val="auto"/>
          <w:szCs w:val="21"/>
          <w:highlight w:val="none"/>
        </w:rPr>
        <w:t>文件的澄清或者</w:t>
      </w:r>
      <w:r>
        <w:rPr>
          <w:rFonts w:hint="eastAsia" w:cs="宋体" w:asciiTheme="minorEastAsia" w:hAnsiTheme="minorEastAsia"/>
          <w:bCs/>
          <w:color w:val="auto"/>
          <w:szCs w:val="21"/>
          <w:highlight w:val="none"/>
          <w:lang w:val="en-US" w:eastAsia="zh-CN"/>
        </w:rPr>
        <w:t>质疑</w:t>
      </w:r>
      <w:r>
        <w:rPr>
          <w:rFonts w:hint="eastAsia" w:cs="宋体" w:asciiTheme="minorEastAsia" w:hAnsiTheme="minorEastAsia" w:eastAsiaTheme="minorEastAsia"/>
          <w:bCs/>
          <w:color w:val="auto"/>
          <w:szCs w:val="21"/>
          <w:highlight w:val="none"/>
        </w:rPr>
        <w:t>，视情况予以答复。</w:t>
      </w:r>
    </w:p>
    <w:p w14:paraId="212D6499">
      <w:pPr>
        <w:numPr>
          <w:ilvl w:val="0"/>
          <w:numId w:val="0"/>
        </w:numPr>
        <w:adjustRightInd w:val="0"/>
        <w:snapToGrid w:val="0"/>
        <w:spacing w:line="360" w:lineRule="auto"/>
        <w:ind w:leftChars="0"/>
        <w:rPr>
          <w:rFonts w:hint="eastAsia" w:cs="宋体" w:asciiTheme="minorEastAsia" w:hAnsiTheme="minorEastAsia" w:eastAsiaTheme="minorEastAsia"/>
          <w:bCs/>
          <w:color w:val="auto"/>
          <w:szCs w:val="21"/>
          <w:highlight w:val="none"/>
        </w:rPr>
      </w:pPr>
      <w:r>
        <w:rPr>
          <w:rFonts w:hint="eastAsia" w:cs="宋体" w:asciiTheme="minorEastAsia" w:hAnsiTheme="minorEastAsia"/>
          <w:bCs/>
          <w:color w:val="auto"/>
          <w:szCs w:val="21"/>
          <w:highlight w:val="none"/>
          <w:lang w:val="en-US" w:eastAsia="zh-CN"/>
        </w:rPr>
        <w:t>5.5.</w:t>
      </w:r>
      <w:r>
        <w:rPr>
          <w:rFonts w:hint="eastAsia" w:cs="宋体" w:asciiTheme="minorEastAsia" w:hAnsiTheme="minorEastAsia" w:eastAsiaTheme="minorEastAsia"/>
          <w:bCs/>
          <w:color w:val="auto"/>
          <w:szCs w:val="21"/>
          <w:highlight w:val="none"/>
        </w:rPr>
        <w:t>不论是</w:t>
      </w:r>
      <w:r>
        <w:rPr>
          <w:rFonts w:hint="eastAsia" w:cs="宋体" w:asciiTheme="minorEastAsia" w:hAnsiTheme="minorEastAsia"/>
          <w:bCs/>
          <w:color w:val="auto"/>
          <w:szCs w:val="21"/>
          <w:highlight w:val="none"/>
          <w:lang w:val="en-US" w:eastAsia="zh-CN"/>
        </w:rPr>
        <w:t>我院</w:t>
      </w:r>
      <w:r>
        <w:rPr>
          <w:rFonts w:hint="eastAsia" w:cs="宋体" w:asciiTheme="minorEastAsia" w:hAnsiTheme="minorEastAsia" w:eastAsiaTheme="minorEastAsia"/>
          <w:bCs/>
          <w:color w:val="auto"/>
          <w:szCs w:val="21"/>
          <w:highlight w:val="none"/>
        </w:rPr>
        <w:t>根据需要主动对</w:t>
      </w:r>
      <w:r>
        <w:rPr>
          <w:rFonts w:hint="eastAsia" w:cs="宋体" w:asciiTheme="minorEastAsia" w:hAnsiTheme="minorEastAsia"/>
          <w:bCs/>
          <w:color w:val="auto"/>
          <w:szCs w:val="21"/>
          <w:highlight w:val="none"/>
          <w:lang w:eastAsia="zh-CN"/>
        </w:rPr>
        <w:t>征集</w:t>
      </w:r>
      <w:r>
        <w:rPr>
          <w:rFonts w:hint="eastAsia" w:cs="宋体" w:asciiTheme="minorEastAsia" w:hAnsiTheme="minorEastAsia" w:eastAsiaTheme="minorEastAsia"/>
          <w:bCs/>
          <w:color w:val="auto"/>
          <w:szCs w:val="21"/>
          <w:highlight w:val="none"/>
        </w:rPr>
        <w:t>文件进行必要的澄清或是根据投标人的要求对</w:t>
      </w:r>
      <w:r>
        <w:rPr>
          <w:rFonts w:hint="eastAsia" w:cs="宋体" w:asciiTheme="minorEastAsia" w:hAnsiTheme="minorEastAsia"/>
          <w:bCs/>
          <w:color w:val="auto"/>
          <w:szCs w:val="21"/>
          <w:highlight w:val="none"/>
          <w:lang w:eastAsia="zh-CN"/>
        </w:rPr>
        <w:t>征集</w:t>
      </w:r>
      <w:r>
        <w:rPr>
          <w:rFonts w:hint="eastAsia" w:cs="宋体" w:asciiTheme="minorEastAsia" w:hAnsiTheme="minorEastAsia" w:eastAsiaTheme="minorEastAsia"/>
          <w:bCs/>
          <w:color w:val="auto"/>
          <w:szCs w:val="21"/>
          <w:highlight w:val="none"/>
        </w:rPr>
        <w:t>文件做出澄清，</w:t>
      </w:r>
      <w:r>
        <w:rPr>
          <w:rFonts w:hint="eastAsia" w:cs="宋体" w:asciiTheme="minorEastAsia" w:hAnsiTheme="minorEastAsia"/>
          <w:bCs/>
          <w:color w:val="auto"/>
          <w:szCs w:val="21"/>
          <w:highlight w:val="none"/>
          <w:lang w:val="en-US" w:eastAsia="zh-CN"/>
        </w:rPr>
        <w:t>我院</w:t>
      </w:r>
      <w:r>
        <w:rPr>
          <w:rFonts w:hint="eastAsia" w:cs="宋体" w:asciiTheme="minorEastAsia" w:hAnsiTheme="minorEastAsia" w:eastAsiaTheme="minorEastAsia"/>
          <w:bCs/>
          <w:color w:val="auto"/>
          <w:szCs w:val="21"/>
          <w:highlight w:val="none"/>
        </w:rPr>
        <w:t>都将在投标截止日期前以书面形式（包括网站发布方式）答复或发送给所有投标人。答复内容是</w:t>
      </w:r>
      <w:r>
        <w:rPr>
          <w:rFonts w:hint="eastAsia" w:cs="宋体" w:asciiTheme="minorEastAsia" w:hAnsiTheme="minorEastAsia"/>
          <w:bCs/>
          <w:color w:val="auto"/>
          <w:szCs w:val="21"/>
          <w:highlight w:val="none"/>
          <w:lang w:eastAsia="zh-CN"/>
        </w:rPr>
        <w:t>征集</w:t>
      </w:r>
      <w:r>
        <w:rPr>
          <w:rFonts w:hint="eastAsia" w:cs="宋体" w:asciiTheme="minorEastAsia" w:hAnsiTheme="minorEastAsia" w:eastAsiaTheme="minorEastAsia"/>
          <w:bCs/>
          <w:color w:val="auto"/>
          <w:szCs w:val="21"/>
          <w:highlight w:val="none"/>
        </w:rPr>
        <w:t>文件的组成部分，对投标人起约束作用。</w:t>
      </w:r>
    </w:p>
    <w:p w14:paraId="71321A82">
      <w:pPr>
        <w:numPr>
          <w:ilvl w:val="0"/>
          <w:numId w:val="0"/>
        </w:numPr>
        <w:adjustRightInd w:val="0"/>
        <w:snapToGrid w:val="0"/>
        <w:spacing w:line="360" w:lineRule="auto"/>
        <w:ind w:leftChars="0"/>
        <w:rPr>
          <w:rFonts w:hint="eastAsia" w:cs="宋体" w:asciiTheme="minorEastAsia" w:hAnsiTheme="minorEastAsia" w:eastAsiaTheme="minorEastAsia"/>
          <w:bCs/>
          <w:color w:val="auto"/>
          <w:szCs w:val="21"/>
          <w:highlight w:val="none"/>
        </w:rPr>
      </w:pPr>
      <w:r>
        <w:rPr>
          <w:rFonts w:hint="eastAsia" w:cs="宋体" w:asciiTheme="minorEastAsia" w:hAnsiTheme="minorEastAsia"/>
          <w:bCs/>
          <w:color w:val="auto"/>
          <w:szCs w:val="21"/>
          <w:highlight w:val="none"/>
          <w:lang w:val="en-US" w:eastAsia="zh-CN"/>
        </w:rPr>
        <w:t>5.6.</w:t>
      </w:r>
      <w:r>
        <w:rPr>
          <w:rFonts w:hint="eastAsia" w:cs="宋体" w:asciiTheme="minorEastAsia" w:hAnsiTheme="minorEastAsia"/>
          <w:bCs/>
          <w:color w:val="auto"/>
          <w:szCs w:val="21"/>
          <w:highlight w:val="none"/>
          <w:lang w:eastAsia="zh-CN"/>
        </w:rPr>
        <w:t>征集</w:t>
      </w:r>
      <w:r>
        <w:rPr>
          <w:rFonts w:hint="eastAsia" w:cs="宋体" w:asciiTheme="minorEastAsia" w:hAnsiTheme="minorEastAsia" w:eastAsiaTheme="minorEastAsia"/>
          <w:bCs/>
          <w:color w:val="auto"/>
          <w:szCs w:val="21"/>
          <w:highlight w:val="none"/>
        </w:rPr>
        <w:t>文件发出后，在投标截止日期前任何时候，确需要变更</w:t>
      </w:r>
      <w:r>
        <w:rPr>
          <w:rFonts w:hint="eastAsia" w:cs="宋体" w:asciiTheme="minorEastAsia" w:hAnsiTheme="minorEastAsia"/>
          <w:bCs/>
          <w:color w:val="auto"/>
          <w:szCs w:val="21"/>
          <w:highlight w:val="none"/>
          <w:lang w:eastAsia="zh-CN"/>
        </w:rPr>
        <w:t>征集</w:t>
      </w:r>
      <w:r>
        <w:rPr>
          <w:rFonts w:hint="eastAsia" w:cs="宋体" w:asciiTheme="minorEastAsia" w:hAnsiTheme="minorEastAsia" w:eastAsiaTheme="minorEastAsia"/>
          <w:bCs/>
          <w:color w:val="auto"/>
          <w:szCs w:val="21"/>
          <w:highlight w:val="none"/>
        </w:rPr>
        <w:t>内容的，</w:t>
      </w:r>
      <w:r>
        <w:rPr>
          <w:rFonts w:hint="eastAsia" w:cs="宋体" w:asciiTheme="minorEastAsia" w:hAnsiTheme="minorEastAsia"/>
          <w:bCs/>
          <w:color w:val="auto"/>
          <w:szCs w:val="21"/>
          <w:highlight w:val="none"/>
          <w:lang w:val="en-US" w:eastAsia="zh-CN"/>
        </w:rPr>
        <w:t>我院</w:t>
      </w:r>
      <w:r>
        <w:rPr>
          <w:rFonts w:hint="eastAsia" w:cs="宋体" w:asciiTheme="minorEastAsia" w:hAnsiTheme="minorEastAsia" w:eastAsiaTheme="minorEastAsia"/>
          <w:bCs/>
          <w:color w:val="auto"/>
          <w:szCs w:val="21"/>
          <w:highlight w:val="none"/>
        </w:rPr>
        <w:t>可主动地或在解答投标人提出的澄清问题时对</w:t>
      </w:r>
      <w:r>
        <w:rPr>
          <w:rFonts w:hint="eastAsia" w:cs="宋体" w:asciiTheme="minorEastAsia" w:hAnsiTheme="minorEastAsia"/>
          <w:bCs/>
          <w:color w:val="auto"/>
          <w:szCs w:val="21"/>
          <w:highlight w:val="none"/>
          <w:lang w:eastAsia="zh-CN"/>
        </w:rPr>
        <w:t>征集</w:t>
      </w:r>
      <w:r>
        <w:rPr>
          <w:rFonts w:hint="eastAsia" w:cs="宋体" w:asciiTheme="minorEastAsia" w:hAnsiTheme="minorEastAsia" w:eastAsiaTheme="minorEastAsia"/>
          <w:bCs/>
          <w:color w:val="auto"/>
          <w:szCs w:val="21"/>
          <w:highlight w:val="none"/>
        </w:rPr>
        <w:t>文件进行修改</w:t>
      </w:r>
      <w:r>
        <w:rPr>
          <w:rFonts w:hint="eastAsia" w:cs="宋体" w:asciiTheme="minorEastAsia" w:hAnsiTheme="minorEastAsia"/>
          <w:bCs/>
          <w:color w:val="auto"/>
          <w:szCs w:val="21"/>
          <w:highlight w:val="none"/>
          <w:lang w:eastAsia="zh-CN"/>
        </w:rPr>
        <w:t>。</w:t>
      </w:r>
    </w:p>
    <w:p w14:paraId="0B39DAF2">
      <w:pPr>
        <w:numPr>
          <w:ilvl w:val="0"/>
          <w:numId w:val="0"/>
        </w:numPr>
        <w:adjustRightInd w:val="0"/>
        <w:snapToGrid w:val="0"/>
        <w:spacing w:line="360" w:lineRule="auto"/>
        <w:ind w:leftChars="0"/>
        <w:rPr>
          <w:rFonts w:hint="eastAsia" w:cs="宋体" w:asciiTheme="minorEastAsia" w:hAnsiTheme="minorEastAsia" w:eastAsiaTheme="minorEastAsia"/>
          <w:bCs/>
          <w:color w:val="auto"/>
          <w:szCs w:val="21"/>
          <w:highlight w:val="none"/>
        </w:rPr>
      </w:pPr>
      <w:r>
        <w:rPr>
          <w:rFonts w:hint="eastAsia" w:cs="宋体" w:asciiTheme="minorEastAsia" w:hAnsiTheme="minorEastAsia"/>
          <w:bCs/>
          <w:color w:val="auto"/>
          <w:szCs w:val="21"/>
          <w:highlight w:val="none"/>
          <w:lang w:val="en-US" w:eastAsia="zh-CN"/>
        </w:rPr>
        <w:t>5.7.</w:t>
      </w:r>
      <w:r>
        <w:rPr>
          <w:rFonts w:hint="eastAsia" w:cs="宋体" w:asciiTheme="minorEastAsia" w:hAnsiTheme="minorEastAsia"/>
          <w:bCs/>
          <w:color w:val="auto"/>
          <w:szCs w:val="21"/>
          <w:highlight w:val="none"/>
          <w:lang w:eastAsia="zh-CN"/>
        </w:rPr>
        <w:t>征集</w:t>
      </w:r>
      <w:r>
        <w:rPr>
          <w:rFonts w:hint="eastAsia" w:cs="宋体" w:asciiTheme="minorEastAsia" w:hAnsiTheme="minorEastAsia" w:eastAsiaTheme="minorEastAsia"/>
          <w:bCs/>
          <w:color w:val="auto"/>
          <w:szCs w:val="21"/>
          <w:highlight w:val="none"/>
        </w:rPr>
        <w:t>文件的修改均在指定网站</w:t>
      </w:r>
      <w:r>
        <w:rPr>
          <w:rFonts w:hint="eastAsia" w:cs="宋体" w:asciiTheme="minorEastAsia" w:hAnsiTheme="minorEastAsia"/>
          <w:bCs/>
          <w:color w:val="auto"/>
          <w:szCs w:val="21"/>
          <w:highlight w:val="none"/>
          <w:lang w:eastAsia="zh-CN"/>
        </w:rPr>
        <w:t>（</w:t>
      </w:r>
      <w:r>
        <w:rPr>
          <w:rFonts w:hint="eastAsia" w:cs="宋体" w:asciiTheme="minorEastAsia" w:hAnsiTheme="minorEastAsia"/>
          <w:bCs/>
          <w:color w:val="auto"/>
          <w:szCs w:val="21"/>
          <w:highlight w:val="none"/>
          <w:lang w:val="en-US" w:eastAsia="zh-CN"/>
        </w:rPr>
        <w:t>医院官网</w:t>
      </w:r>
      <w:r>
        <w:rPr>
          <w:rFonts w:hint="eastAsia" w:cs="宋体" w:asciiTheme="minorEastAsia" w:hAnsiTheme="minorEastAsia"/>
          <w:bCs/>
          <w:color w:val="auto"/>
          <w:szCs w:val="21"/>
          <w:highlight w:val="none"/>
          <w:lang w:eastAsia="zh-CN"/>
        </w:rPr>
        <w:t>）</w:t>
      </w:r>
      <w:r>
        <w:rPr>
          <w:rFonts w:hint="eastAsia" w:cs="宋体" w:asciiTheme="minorEastAsia" w:hAnsiTheme="minorEastAsia" w:eastAsiaTheme="minorEastAsia"/>
          <w:bCs/>
          <w:color w:val="auto"/>
          <w:szCs w:val="21"/>
          <w:highlight w:val="none"/>
        </w:rPr>
        <w:t>以网上公告形式发布，并对投标人具有约束力，在项目开标前，投标人有义务上网查看，公告一经上网发布，即视为送达。</w:t>
      </w:r>
    </w:p>
    <w:p w14:paraId="03A88549">
      <w:pPr>
        <w:numPr>
          <w:ilvl w:val="0"/>
          <w:numId w:val="0"/>
        </w:numPr>
        <w:adjustRightInd w:val="0"/>
        <w:snapToGrid w:val="0"/>
        <w:spacing w:line="360" w:lineRule="auto"/>
        <w:ind w:leftChars="0"/>
        <w:rPr>
          <w:rFonts w:hint="eastAsia" w:cs="宋体" w:asciiTheme="minorEastAsia" w:hAnsiTheme="minorEastAsia" w:eastAsiaTheme="minorEastAsia"/>
          <w:bCs/>
          <w:color w:val="auto"/>
          <w:szCs w:val="21"/>
          <w:highlight w:val="none"/>
        </w:rPr>
      </w:pPr>
      <w:r>
        <w:rPr>
          <w:rFonts w:hint="eastAsia" w:cs="宋体" w:asciiTheme="minorEastAsia" w:hAnsiTheme="minorEastAsia"/>
          <w:bCs/>
          <w:color w:val="auto"/>
          <w:szCs w:val="21"/>
          <w:highlight w:val="none"/>
          <w:lang w:val="en-US" w:eastAsia="zh-CN"/>
        </w:rPr>
        <w:t>5.8.</w:t>
      </w:r>
      <w:r>
        <w:rPr>
          <w:rFonts w:hint="eastAsia" w:cs="宋体" w:asciiTheme="minorEastAsia" w:hAnsiTheme="minorEastAsia"/>
          <w:bCs/>
          <w:color w:val="auto"/>
          <w:szCs w:val="21"/>
          <w:highlight w:val="none"/>
          <w:lang w:eastAsia="zh-CN"/>
        </w:rPr>
        <w:t>征集</w:t>
      </w:r>
      <w:r>
        <w:rPr>
          <w:rFonts w:hint="eastAsia" w:cs="宋体" w:asciiTheme="minorEastAsia" w:hAnsiTheme="minorEastAsia" w:eastAsiaTheme="minorEastAsia"/>
          <w:bCs/>
          <w:color w:val="auto"/>
          <w:szCs w:val="21"/>
          <w:highlight w:val="none"/>
        </w:rPr>
        <w:t>文件、</w:t>
      </w:r>
      <w:r>
        <w:rPr>
          <w:rFonts w:hint="eastAsia" w:cs="宋体" w:asciiTheme="minorEastAsia" w:hAnsiTheme="minorEastAsia"/>
          <w:bCs/>
          <w:color w:val="auto"/>
          <w:szCs w:val="21"/>
          <w:highlight w:val="none"/>
          <w:lang w:eastAsia="zh-CN"/>
        </w:rPr>
        <w:t>征集</w:t>
      </w:r>
      <w:r>
        <w:rPr>
          <w:rFonts w:hint="eastAsia" w:cs="宋体" w:asciiTheme="minorEastAsia" w:hAnsiTheme="minorEastAsia" w:eastAsiaTheme="minorEastAsia"/>
          <w:bCs/>
          <w:color w:val="auto"/>
          <w:szCs w:val="21"/>
          <w:highlight w:val="none"/>
        </w:rPr>
        <w:t>文件澄清（答疑）纪要、</w:t>
      </w:r>
      <w:r>
        <w:rPr>
          <w:rFonts w:hint="eastAsia" w:cs="宋体" w:asciiTheme="minorEastAsia" w:hAnsiTheme="minorEastAsia"/>
          <w:bCs/>
          <w:color w:val="auto"/>
          <w:szCs w:val="21"/>
          <w:highlight w:val="none"/>
          <w:lang w:eastAsia="zh-CN"/>
        </w:rPr>
        <w:t>征集</w:t>
      </w:r>
      <w:r>
        <w:rPr>
          <w:rFonts w:hint="eastAsia" w:cs="宋体" w:asciiTheme="minorEastAsia" w:hAnsiTheme="minorEastAsia" w:eastAsiaTheme="minorEastAsia"/>
          <w:bCs/>
          <w:color w:val="auto"/>
          <w:szCs w:val="21"/>
          <w:highlight w:val="none"/>
        </w:rPr>
        <w:t>文件修改补充通知内容均以书面明确的内容为准。当</w:t>
      </w:r>
      <w:r>
        <w:rPr>
          <w:rFonts w:hint="eastAsia" w:cs="宋体" w:asciiTheme="minorEastAsia" w:hAnsiTheme="minorEastAsia"/>
          <w:bCs/>
          <w:color w:val="auto"/>
          <w:szCs w:val="21"/>
          <w:highlight w:val="none"/>
          <w:lang w:eastAsia="zh-CN"/>
        </w:rPr>
        <w:t>征集</w:t>
      </w:r>
      <w:r>
        <w:rPr>
          <w:rFonts w:hint="eastAsia" w:cs="宋体" w:asciiTheme="minorEastAsia" w:hAnsiTheme="minorEastAsia" w:eastAsiaTheme="minorEastAsia"/>
          <w:bCs/>
          <w:color w:val="auto"/>
          <w:szCs w:val="21"/>
          <w:highlight w:val="none"/>
        </w:rPr>
        <w:t>文件、修改补充通知、澄清（答疑）纪要内容相互矛盾时，以最后发出的通知（或纪要）或修改文件为准</w:t>
      </w:r>
      <w:r>
        <w:rPr>
          <w:rFonts w:hint="eastAsia" w:cs="宋体" w:asciiTheme="minorEastAsia" w:hAnsiTheme="minorEastAsia"/>
          <w:bCs/>
          <w:color w:val="auto"/>
          <w:szCs w:val="21"/>
          <w:highlight w:val="none"/>
          <w:lang w:eastAsia="zh-CN"/>
        </w:rPr>
        <w:t>。</w:t>
      </w:r>
    </w:p>
    <w:p w14:paraId="01BD5C1A">
      <w:pPr>
        <w:numPr>
          <w:ilvl w:val="0"/>
          <w:numId w:val="0"/>
        </w:numPr>
        <w:adjustRightInd w:val="0"/>
        <w:snapToGrid w:val="0"/>
        <w:spacing w:line="360" w:lineRule="auto"/>
        <w:ind w:leftChars="0"/>
        <w:rPr>
          <w:rFonts w:hint="eastAsia" w:cs="宋体" w:asciiTheme="minorEastAsia" w:hAnsiTheme="minorEastAsia" w:eastAsiaTheme="minorEastAsia"/>
          <w:bCs/>
          <w:color w:val="auto"/>
          <w:szCs w:val="21"/>
          <w:highlight w:val="none"/>
        </w:rPr>
      </w:pPr>
      <w:r>
        <w:rPr>
          <w:rFonts w:hint="eastAsia" w:cs="宋体" w:asciiTheme="minorEastAsia" w:hAnsiTheme="minorEastAsia"/>
          <w:bCs/>
          <w:color w:val="auto"/>
          <w:szCs w:val="21"/>
          <w:highlight w:val="none"/>
          <w:lang w:val="en-US" w:eastAsia="zh-CN"/>
        </w:rPr>
        <w:t>5.9.我院</w:t>
      </w:r>
      <w:r>
        <w:rPr>
          <w:rFonts w:hint="eastAsia" w:cs="宋体" w:asciiTheme="minorEastAsia" w:hAnsiTheme="minorEastAsia" w:eastAsiaTheme="minorEastAsia"/>
          <w:bCs/>
          <w:color w:val="auto"/>
          <w:szCs w:val="21"/>
          <w:highlight w:val="none"/>
        </w:rPr>
        <w:t>保证</w:t>
      </w:r>
      <w:r>
        <w:rPr>
          <w:rFonts w:hint="eastAsia" w:cs="宋体" w:asciiTheme="minorEastAsia" w:hAnsiTheme="minorEastAsia"/>
          <w:bCs/>
          <w:color w:val="auto"/>
          <w:szCs w:val="21"/>
          <w:highlight w:val="none"/>
          <w:lang w:eastAsia="zh-CN"/>
        </w:rPr>
        <w:t>征集</w:t>
      </w:r>
      <w:r>
        <w:rPr>
          <w:rFonts w:hint="eastAsia" w:cs="宋体" w:asciiTheme="minorEastAsia" w:hAnsiTheme="minorEastAsia" w:eastAsiaTheme="minorEastAsia"/>
          <w:bCs/>
          <w:color w:val="auto"/>
          <w:szCs w:val="21"/>
          <w:highlight w:val="none"/>
        </w:rPr>
        <w:t>文件澄清（答疑）纪要和</w:t>
      </w:r>
      <w:r>
        <w:rPr>
          <w:rFonts w:hint="eastAsia" w:cs="宋体" w:asciiTheme="minorEastAsia" w:hAnsiTheme="minorEastAsia"/>
          <w:bCs/>
          <w:color w:val="auto"/>
          <w:szCs w:val="21"/>
          <w:highlight w:val="none"/>
          <w:lang w:eastAsia="zh-CN"/>
        </w:rPr>
        <w:t>征集</w:t>
      </w:r>
      <w:r>
        <w:rPr>
          <w:rFonts w:hint="eastAsia" w:cs="宋体" w:asciiTheme="minorEastAsia" w:hAnsiTheme="minorEastAsia" w:eastAsiaTheme="minorEastAsia"/>
          <w:bCs/>
          <w:color w:val="auto"/>
          <w:szCs w:val="21"/>
          <w:highlight w:val="none"/>
        </w:rPr>
        <w:t>文件修改补充通知在投标截止时间前以网站公开发布形式或书面形式发送给所有投标人。为使投标人在编写投标文件时有充分时间对</w:t>
      </w:r>
      <w:r>
        <w:rPr>
          <w:rFonts w:hint="eastAsia" w:cs="宋体" w:asciiTheme="minorEastAsia" w:hAnsiTheme="minorEastAsia"/>
          <w:bCs/>
          <w:color w:val="auto"/>
          <w:szCs w:val="21"/>
          <w:highlight w:val="none"/>
          <w:lang w:eastAsia="zh-CN"/>
        </w:rPr>
        <w:t>征集</w:t>
      </w:r>
      <w:r>
        <w:rPr>
          <w:rFonts w:hint="eastAsia" w:cs="宋体" w:asciiTheme="minorEastAsia" w:hAnsiTheme="minorEastAsia" w:eastAsiaTheme="minorEastAsia"/>
          <w:bCs/>
          <w:color w:val="auto"/>
          <w:szCs w:val="21"/>
          <w:highlight w:val="none"/>
        </w:rPr>
        <w:t>文件的修改部分进行研究，</w:t>
      </w:r>
      <w:r>
        <w:rPr>
          <w:rFonts w:hint="eastAsia" w:cs="宋体" w:asciiTheme="minorEastAsia" w:hAnsiTheme="minorEastAsia"/>
          <w:bCs/>
          <w:color w:val="auto"/>
          <w:szCs w:val="21"/>
          <w:highlight w:val="none"/>
          <w:lang w:val="en-US" w:eastAsia="zh-CN"/>
        </w:rPr>
        <w:t>我院</w:t>
      </w:r>
      <w:r>
        <w:rPr>
          <w:rFonts w:hint="eastAsia" w:cs="宋体" w:asciiTheme="minorEastAsia" w:hAnsiTheme="minorEastAsia" w:eastAsiaTheme="minorEastAsia"/>
          <w:bCs/>
          <w:color w:val="auto"/>
          <w:szCs w:val="21"/>
          <w:highlight w:val="none"/>
        </w:rPr>
        <w:t>可以酌情延长递交投标文件的截止日期，具体时间将在修改补充通知中明确。</w:t>
      </w:r>
    </w:p>
    <w:p w14:paraId="162D3CE0">
      <w:pPr>
        <w:numPr>
          <w:ilvl w:val="0"/>
          <w:numId w:val="0"/>
        </w:numPr>
        <w:adjustRightInd w:val="0"/>
        <w:snapToGrid w:val="0"/>
        <w:spacing w:line="360" w:lineRule="auto"/>
        <w:ind w:leftChars="0"/>
        <w:rPr>
          <w:rFonts w:hint="eastAsia" w:cs="宋体" w:asciiTheme="minorEastAsia" w:hAnsiTheme="minorEastAsia"/>
          <w:bCs/>
          <w:color w:val="auto"/>
          <w:szCs w:val="21"/>
          <w:highlight w:val="none"/>
          <w:lang w:val="en-US" w:eastAsia="zh-CN"/>
        </w:rPr>
      </w:pPr>
      <w:r>
        <w:rPr>
          <w:rFonts w:hint="eastAsia" w:cs="宋体" w:asciiTheme="minorEastAsia" w:hAnsiTheme="minorEastAsia"/>
          <w:bCs/>
          <w:color w:val="auto"/>
          <w:szCs w:val="21"/>
          <w:highlight w:val="none"/>
          <w:lang w:val="en-US" w:eastAsia="zh-CN"/>
        </w:rPr>
        <w:t>5.10.征集文件由深圳市福田区第二人民医院负责解释。</w:t>
      </w:r>
    </w:p>
    <w:p w14:paraId="59DC293A">
      <w:pPr>
        <w:numPr>
          <w:ilvl w:val="0"/>
          <w:numId w:val="0"/>
        </w:numPr>
        <w:adjustRightInd w:val="0"/>
        <w:snapToGrid w:val="0"/>
        <w:spacing w:line="360" w:lineRule="auto"/>
        <w:ind w:leftChars="0"/>
        <w:rPr>
          <w:rFonts w:hint="eastAsia" w:ascii="宋体" w:hAnsi="宋体"/>
          <w:szCs w:val="21"/>
        </w:rPr>
      </w:pPr>
      <w:r>
        <w:rPr>
          <w:rFonts w:hint="eastAsia" w:cs="宋体" w:asciiTheme="minorEastAsia" w:hAnsiTheme="minorEastAsia"/>
          <w:bCs/>
          <w:color w:val="auto"/>
          <w:szCs w:val="21"/>
          <w:highlight w:val="none"/>
          <w:lang w:val="en-US" w:eastAsia="zh-CN"/>
        </w:rPr>
        <w:t>5.11.</w:t>
      </w:r>
      <w:r>
        <w:rPr>
          <w:rFonts w:hint="eastAsia" w:ascii="宋体" w:hAnsi="宋体"/>
          <w:szCs w:val="21"/>
        </w:rPr>
        <w:t>本次招投标的最终解释权归</w:t>
      </w:r>
      <w:r>
        <w:rPr>
          <w:rFonts w:hint="eastAsia" w:cs="宋体" w:asciiTheme="minorEastAsia" w:hAnsiTheme="minorEastAsia"/>
          <w:bCs/>
          <w:color w:val="auto"/>
          <w:szCs w:val="21"/>
          <w:highlight w:val="none"/>
          <w:lang w:val="en-US" w:eastAsia="zh-CN"/>
        </w:rPr>
        <w:t>深圳市福田区第二人民医院</w:t>
      </w:r>
      <w:r>
        <w:rPr>
          <w:rFonts w:hint="eastAsia" w:ascii="宋体" w:hAnsi="宋体"/>
          <w:szCs w:val="21"/>
        </w:rPr>
        <w:t>所有。本文件未作须知明示，而又有相关法律、法规规定的，</w:t>
      </w:r>
      <w:r>
        <w:rPr>
          <w:rFonts w:hint="eastAsia" w:cs="宋体" w:asciiTheme="minorEastAsia" w:hAnsiTheme="minorEastAsia"/>
          <w:bCs/>
          <w:color w:val="auto"/>
          <w:szCs w:val="21"/>
          <w:highlight w:val="none"/>
          <w:lang w:val="en-US" w:eastAsia="zh-CN"/>
        </w:rPr>
        <w:t>深圳市福田区第二人民医院</w:t>
      </w:r>
      <w:r>
        <w:rPr>
          <w:rFonts w:hint="eastAsia" w:ascii="宋体" w:hAnsi="宋体"/>
          <w:szCs w:val="21"/>
        </w:rPr>
        <w:t>将对此解释为依据有关法律、法规的规定。</w:t>
      </w:r>
    </w:p>
    <w:p w14:paraId="65742B83">
      <w:pPr>
        <w:numPr>
          <w:ilvl w:val="0"/>
          <w:numId w:val="0"/>
        </w:numPr>
        <w:adjustRightInd w:val="0"/>
        <w:snapToGrid w:val="0"/>
        <w:spacing w:line="360" w:lineRule="auto"/>
        <w:ind w:leftChars="0"/>
        <w:rPr>
          <w:rFonts w:hint="default" w:cs="宋体" w:asciiTheme="minorEastAsia" w:hAnsiTheme="minorEastAsia"/>
          <w:bCs/>
          <w:color w:val="auto"/>
          <w:szCs w:val="21"/>
          <w:highlight w:val="none"/>
          <w:lang w:val="en-US" w:eastAsia="zh-CN"/>
        </w:rPr>
      </w:pPr>
    </w:p>
    <w:p w14:paraId="71E88C04">
      <w:pPr>
        <w:pStyle w:val="4"/>
        <w:numPr>
          <w:ilvl w:val="0"/>
          <w:numId w:val="0"/>
        </w:numPr>
        <w:spacing w:line="240" w:lineRule="auto"/>
        <w:ind w:left="420" w:leftChars="0" w:hanging="420" w:firstLineChars="0"/>
        <w:jc w:val="center"/>
        <w:outlineLvl w:val="0"/>
        <w:rPr>
          <w:rFonts w:asciiTheme="majorEastAsia" w:hAnsiTheme="majorEastAsia" w:eastAsiaTheme="majorEastAsia"/>
          <w:sz w:val="30"/>
          <w:szCs w:val="30"/>
          <w:lang w:eastAsia="zh-TW"/>
        </w:rPr>
      </w:pPr>
      <w:bookmarkStart w:id="130" w:name="_Toc435174935"/>
      <w:bookmarkStart w:id="131" w:name="_Toc15510"/>
      <w:bookmarkStart w:id="132" w:name="_Toc438223138"/>
      <w:bookmarkStart w:id="133" w:name="_Toc22222"/>
      <w:bookmarkStart w:id="134" w:name="_Toc435516652"/>
      <w:bookmarkStart w:id="135" w:name="_Toc26815"/>
      <w:r>
        <w:rPr>
          <w:rFonts w:hint="eastAsia" w:asciiTheme="majorEastAsia" w:hAnsiTheme="majorEastAsia" w:eastAsiaTheme="majorEastAsia"/>
          <w:sz w:val="30"/>
          <w:szCs w:val="30"/>
          <w:lang w:eastAsia="zh-TW"/>
        </w:rPr>
        <w:t>投标文件的编制</w:t>
      </w:r>
      <w:bookmarkEnd w:id="130"/>
      <w:bookmarkEnd w:id="131"/>
      <w:bookmarkEnd w:id="132"/>
      <w:bookmarkEnd w:id="133"/>
      <w:bookmarkEnd w:id="134"/>
      <w:bookmarkEnd w:id="135"/>
    </w:p>
    <w:p w14:paraId="5EBD4F7D">
      <w:pPr>
        <w:numPr>
          <w:ilvl w:val="0"/>
          <w:numId w:val="18"/>
        </w:numPr>
        <w:autoSpaceDE w:val="0"/>
        <w:autoSpaceDN w:val="0"/>
        <w:adjustRightInd w:val="0"/>
        <w:snapToGrid w:val="0"/>
        <w:spacing w:line="360" w:lineRule="auto"/>
        <w:ind w:left="449" w:hanging="449" w:hangingChars="213"/>
        <w:outlineLvl w:val="1"/>
        <w:rPr>
          <w:rFonts w:ascii="宋体" w:hAnsi="宋体"/>
          <w:b/>
          <w:bCs/>
          <w:szCs w:val="21"/>
        </w:rPr>
      </w:pPr>
      <w:bookmarkStart w:id="136" w:name="_Toc27317"/>
      <w:r>
        <w:rPr>
          <w:rFonts w:hint="eastAsia" w:ascii="宋体" w:hAnsi="宋体"/>
          <w:b/>
          <w:bCs/>
          <w:szCs w:val="21"/>
        </w:rPr>
        <w:t>投标的语言</w:t>
      </w:r>
      <w:bookmarkEnd w:id="136"/>
      <w:r>
        <w:rPr>
          <w:rFonts w:hint="eastAsia" w:ascii="宋体" w:hAnsi="宋体"/>
          <w:b/>
          <w:bCs/>
          <w:szCs w:val="21"/>
          <w:lang w:val="en-US" w:eastAsia="zh-CN"/>
        </w:rPr>
        <w:t>及度量单位</w:t>
      </w:r>
    </w:p>
    <w:p w14:paraId="60E51897">
      <w:pPr>
        <w:numPr>
          <w:ilvl w:val="0"/>
          <w:numId w:val="0"/>
        </w:numPr>
        <w:autoSpaceDE w:val="0"/>
        <w:autoSpaceDN w:val="0"/>
        <w:adjustRightInd w:val="0"/>
        <w:snapToGrid w:val="0"/>
        <w:spacing w:line="360" w:lineRule="auto"/>
        <w:ind w:leftChars="0"/>
        <w:rPr>
          <w:rFonts w:ascii="宋体" w:hAnsi="宋体" w:cs="黑体"/>
          <w:b/>
          <w:bCs/>
          <w:szCs w:val="21"/>
        </w:rPr>
      </w:pPr>
      <w:r>
        <w:rPr>
          <w:rFonts w:hint="eastAsia" w:ascii="宋体" w:hAnsi="宋体" w:cs="宋体"/>
          <w:szCs w:val="21"/>
          <w:lang w:val="en-US" w:eastAsia="zh-CN"/>
        </w:rPr>
        <w:t>6.1.</w:t>
      </w:r>
      <w:r>
        <w:rPr>
          <w:rFonts w:hint="eastAsia" w:ascii="宋体" w:hAnsi="宋体" w:cs="宋体"/>
          <w:szCs w:val="21"/>
        </w:rPr>
        <w:t>投标人提交的投标文件以及投标人与采购人就有关投标的所有来往函电均应使用中文书写。投标人提交的支持文件或印刷的资料可以用另一种语言，但相应内容应附有中文翻译本，由翻译机构盖章或者翻译人员签名。</w:t>
      </w:r>
      <w:r>
        <w:rPr>
          <w:rFonts w:hint="eastAsia" w:ascii="宋体" w:hAnsi="宋体"/>
        </w:rPr>
        <w:t>两种语言不一致时以中文翻译本为准。</w:t>
      </w:r>
    </w:p>
    <w:p w14:paraId="2EC9C25D">
      <w:pPr>
        <w:numPr>
          <w:ilvl w:val="0"/>
          <w:numId w:val="0"/>
        </w:numPr>
        <w:autoSpaceDE w:val="0"/>
        <w:autoSpaceDN w:val="0"/>
        <w:adjustRightInd w:val="0"/>
        <w:snapToGrid w:val="0"/>
        <w:spacing w:line="360" w:lineRule="auto"/>
        <w:ind w:leftChars="0"/>
        <w:rPr>
          <w:rFonts w:hint="eastAsia" w:ascii="宋体" w:hAnsi="宋体" w:cs="宋体"/>
          <w:szCs w:val="21"/>
        </w:rPr>
      </w:pPr>
      <w:r>
        <w:rPr>
          <w:rFonts w:hint="eastAsia" w:ascii="宋体" w:hAnsi="宋体" w:cs="宋体"/>
          <w:szCs w:val="21"/>
          <w:lang w:val="en-US" w:eastAsia="zh-CN"/>
        </w:rPr>
        <w:t>6.2.</w:t>
      </w:r>
      <w:r>
        <w:rPr>
          <w:rFonts w:hint="eastAsia" w:ascii="宋体" w:hAnsi="宋体" w:cs="宋体"/>
          <w:szCs w:val="21"/>
        </w:rPr>
        <w:t>除技术规范另有规定外，投标文件使用的度量单位，均采用中华人民共和国法定计量单位。</w:t>
      </w:r>
    </w:p>
    <w:p w14:paraId="5EB2D7D4">
      <w:pPr>
        <w:numPr>
          <w:ilvl w:val="0"/>
          <w:numId w:val="18"/>
        </w:numPr>
        <w:autoSpaceDE w:val="0"/>
        <w:autoSpaceDN w:val="0"/>
        <w:adjustRightInd w:val="0"/>
        <w:snapToGrid w:val="0"/>
        <w:spacing w:line="360" w:lineRule="auto"/>
        <w:ind w:left="449" w:hanging="449" w:hangingChars="213"/>
        <w:outlineLvl w:val="1"/>
        <w:rPr>
          <w:rFonts w:ascii="宋体" w:hAnsi="宋体"/>
          <w:b/>
          <w:bCs/>
          <w:szCs w:val="21"/>
        </w:rPr>
      </w:pPr>
      <w:bookmarkStart w:id="137" w:name="_Toc2446"/>
      <w:r>
        <w:rPr>
          <w:rFonts w:hint="eastAsia" w:ascii="宋体" w:hAnsi="宋体"/>
          <w:b/>
          <w:bCs/>
          <w:szCs w:val="21"/>
        </w:rPr>
        <w:t>投标文件的构成</w:t>
      </w:r>
      <w:bookmarkEnd w:id="137"/>
    </w:p>
    <w:p w14:paraId="57D603E8">
      <w:pPr>
        <w:numPr>
          <w:ilvl w:val="0"/>
          <w:numId w:val="0"/>
        </w:numPr>
        <w:autoSpaceDE w:val="0"/>
        <w:autoSpaceDN w:val="0"/>
        <w:adjustRightInd w:val="0"/>
        <w:snapToGrid w:val="0"/>
        <w:spacing w:line="360" w:lineRule="auto"/>
        <w:ind w:leftChars="0"/>
        <w:rPr>
          <w:rFonts w:ascii="宋体" w:hAnsi="宋体" w:cs="宋体"/>
          <w:szCs w:val="21"/>
        </w:rPr>
      </w:pPr>
      <w:r>
        <w:rPr>
          <w:rFonts w:hint="eastAsia" w:ascii="宋体" w:hAnsi="宋体" w:cs="宋体"/>
          <w:szCs w:val="21"/>
          <w:lang w:val="en-US" w:eastAsia="zh-CN"/>
        </w:rPr>
        <w:t>7.1.</w:t>
      </w:r>
      <w:r>
        <w:rPr>
          <w:rFonts w:hint="eastAsia" w:ascii="宋体" w:hAnsi="宋体" w:cs="宋体"/>
          <w:szCs w:val="21"/>
        </w:rPr>
        <w:t>投标人编写的投标文件应包括资格性文件、符合性文件、技术文件、商务文件等，编排顺序参见投标文件格式。</w:t>
      </w:r>
    </w:p>
    <w:p w14:paraId="219B7BC5">
      <w:pPr>
        <w:numPr>
          <w:ilvl w:val="0"/>
          <w:numId w:val="0"/>
        </w:numPr>
        <w:autoSpaceDE w:val="0"/>
        <w:autoSpaceDN w:val="0"/>
        <w:adjustRightInd w:val="0"/>
        <w:snapToGrid w:val="0"/>
        <w:spacing w:line="360" w:lineRule="auto"/>
        <w:ind w:leftChars="0"/>
        <w:outlineLvl w:val="9"/>
        <w:rPr>
          <w:rFonts w:ascii="宋体" w:hAnsi="宋体" w:cs="宋体"/>
          <w:szCs w:val="21"/>
        </w:rPr>
      </w:pPr>
      <w:r>
        <w:rPr>
          <w:rFonts w:hint="eastAsia" w:ascii="宋体" w:hAnsi="宋体" w:cs="宋体"/>
          <w:szCs w:val="21"/>
          <w:lang w:val="en-US" w:eastAsia="zh-CN"/>
        </w:rPr>
        <w:t>7.2.</w:t>
      </w:r>
      <w:r>
        <w:rPr>
          <w:rFonts w:hint="eastAsia" w:ascii="宋体" w:hAnsi="宋体" w:cs="宋体"/>
          <w:szCs w:val="21"/>
        </w:rPr>
        <w:t>投标文件的构成应符合法律法规及</w:t>
      </w:r>
      <w:r>
        <w:rPr>
          <w:rFonts w:hint="eastAsia" w:ascii="宋体" w:hAnsi="宋体" w:cs="宋体"/>
          <w:szCs w:val="21"/>
          <w:lang w:eastAsia="zh-CN"/>
        </w:rPr>
        <w:t>征集</w:t>
      </w:r>
      <w:r>
        <w:rPr>
          <w:rFonts w:hint="eastAsia" w:ascii="宋体" w:hAnsi="宋体" w:cs="宋体"/>
          <w:szCs w:val="21"/>
        </w:rPr>
        <w:t>文件的要求。</w:t>
      </w:r>
    </w:p>
    <w:p w14:paraId="0F86CEF7">
      <w:pPr>
        <w:numPr>
          <w:ilvl w:val="0"/>
          <w:numId w:val="18"/>
        </w:numPr>
        <w:autoSpaceDE w:val="0"/>
        <w:autoSpaceDN w:val="0"/>
        <w:adjustRightInd w:val="0"/>
        <w:snapToGrid w:val="0"/>
        <w:spacing w:line="360" w:lineRule="auto"/>
        <w:ind w:left="449" w:hanging="449" w:hangingChars="213"/>
        <w:outlineLvl w:val="1"/>
        <w:rPr>
          <w:rFonts w:ascii="宋体" w:hAnsi="宋体"/>
          <w:b/>
          <w:bCs/>
          <w:szCs w:val="21"/>
        </w:rPr>
      </w:pPr>
      <w:bookmarkStart w:id="138" w:name="_Toc11091"/>
      <w:r>
        <w:rPr>
          <w:rFonts w:hint="eastAsia" w:ascii="宋体" w:hAnsi="宋体"/>
          <w:b/>
          <w:bCs/>
          <w:szCs w:val="21"/>
        </w:rPr>
        <w:t>投标文件的编写</w:t>
      </w:r>
      <w:bookmarkEnd w:id="138"/>
    </w:p>
    <w:p w14:paraId="3AA1BCA5">
      <w:pPr>
        <w:numPr>
          <w:ilvl w:val="0"/>
          <w:numId w:val="0"/>
        </w:numPr>
        <w:autoSpaceDE w:val="0"/>
        <w:autoSpaceDN w:val="0"/>
        <w:adjustRightInd w:val="0"/>
        <w:snapToGrid w:val="0"/>
        <w:spacing w:line="360" w:lineRule="auto"/>
        <w:ind w:leftChars="0"/>
        <w:rPr>
          <w:rFonts w:ascii="宋体" w:hAnsi="宋体" w:cs="宋体"/>
          <w:szCs w:val="21"/>
        </w:rPr>
      </w:pPr>
      <w:r>
        <w:rPr>
          <w:rFonts w:hint="eastAsia" w:ascii="宋体" w:hAnsi="宋体" w:cs="宋体"/>
          <w:szCs w:val="21"/>
          <w:lang w:val="en-US" w:eastAsia="zh-CN"/>
        </w:rPr>
        <w:t>8.1.</w:t>
      </w:r>
      <w:r>
        <w:rPr>
          <w:rFonts w:hint="eastAsia" w:ascii="宋体" w:hAnsi="宋体" w:cs="宋体"/>
          <w:szCs w:val="21"/>
        </w:rPr>
        <w:t>投标人对</w:t>
      </w:r>
      <w:r>
        <w:rPr>
          <w:rFonts w:hint="eastAsia" w:ascii="宋体" w:hAnsi="宋体" w:cs="宋体"/>
          <w:szCs w:val="21"/>
          <w:lang w:eastAsia="zh-CN"/>
        </w:rPr>
        <w:t>征集</w:t>
      </w:r>
      <w:r>
        <w:rPr>
          <w:rFonts w:hint="eastAsia" w:ascii="宋体" w:hAnsi="宋体" w:cs="宋体"/>
          <w:szCs w:val="21"/>
        </w:rPr>
        <w:t>文件中多个包组进行投标的，其投标文件的编制可按每个包组的要求分别装订和密封。投标人应当对投标文件进行装订，对未经装订的投标文件可能发生的文件散落或缺损，由此造成的后果和责任由投标人承担。</w:t>
      </w:r>
    </w:p>
    <w:p w14:paraId="2476390D">
      <w:pPr>
        <w:numPr>
          <w:ilvl w:val="0"/>
          <w:numId w:val="0"/>
        </w:numPr>
        <w:tabs>
          <w:tab w:val="left" w:pos="709"/>
        </w:tabs>
        <w:autoSpaceDE w:val="0"/>
        <w:autoSpaceDN w:val="0"/>
        <w:adjustRightInd w:val="0"/>
        <w:snapToGrid w:val="0"/>
        <w:spacing w:line="360" w:lineRule="auto"/>
        <w:ind w:leftChars="0"/>
        <w:rPr>
          <w:rFonts w:ascii="宋体" w:hAnsi="宋体" w:cs="宋体"/>
          <w:szCs w:val="21"/>
        </w:rPr>
      </w:pPr>
      <w:r>
        <w:rPr>
          <w:rFonts w:hint="eastAsia" w:ascii="宋体" w:hAnsi="宋体" w:cs="宋体"/>
          <w:szCs w:val="21"/>
          <w:lang w:val="en-US" w:eastAsia="zh-CN"/>
        </w:rPr>
        <w:t>8.2.</w:t>
      </w:r>
      <w:r>
        <w:rPr>
          <w:rFonts w:hint="eastAsia" w:ascii="宋体" w:hAnsi="宋体" w:cs="宋体"/>
          <w:szCs w:val="21"/>
        </w:rPr>
        <w:t>投标人必须对投标文件所提供的全部资料的真实性承担法律责任，并无条件接受采购人或者</w:t>
      </w:r>
      <w:r>
        <w:rPr>
          <w:rFonts w:hint="eastAsia" w:ascii="宋体" w:hAnsi="宋体"/>
          <w:szCs w:val="21"/>
        </w:rPr>
        <w:t>政府采购监督管理部门</w:t>
      </w:r>
      <w:r>
        <w:rPr>
          <w:rFonts w:hint="eastAsia" w:ascii="宋体" w:hAnsi="宋体" w:cs="宋体"/>
          <w:szCs w:val="21"/>
        </w:rPr>
        <w:t>对其中任何资料进行核实的要求。</w:t>
      </w:r>
    </w:p>
    <w:p w14:paraId="1EC5433C">
      <w:pPr>
        <w:numPr>
          <w:ilvl w:val="0"/>
          <w:numId w:val="0"/>
        </w:numPr>
        <w:autoSpaceDE w:val="0"/>
        <w:autoSpaceDN w:val="0"/>
        <w:adjustRightInd w:val="0"/>
        <w:snapToGrid w:val="0"/>
        <w:spacing w:line="360" w:lineRule="auto"/>
        <w:ind w:leftChars="0"/>
        <w:rPr>
          <w:rFonts w:ascii="宋体" w:hAnsi="宋体" w:cs="宋体"/>
          <w:szCs w:val="21"/>
        </w:rPr>
      </w:pPr>
      <w:r>
        <w:rPr>
          <w:rFonts w:hint="eastAsia" w:ascii="宋体" w:hAnsi="宋体" w:cs="宋体"/>
          <w:szCs w:val="21"/>
          <w:lang w:val="en-US" w:eastAsia="zh-CN"/>
        </w:rPr>
        <w:t>8.3.</w:t>
      </w:r>
      <w:r>
        <w:rPr>
          <w:rFonts w:hint="eastAsia" w:ascii="宋体" w:hAnsi="宋体" w:cs="宋体"/>
          <w:szCs w:val="21"/>
        </w:rPr>
        <w:t>如果因为投标人的投标文件只填写和提供了本</w:t>
      </w:r>
      <w:r>
        <w:rPr>
          <w:rFonts w:hint="eastAsia" w:ascii="宋体" w:hAnsi="宋体" w:cs="宋体"/>
          <w:szCs w:val="21"/>
          <w:lang w:eastAsia="zh-CN"/>
        </w:rPr>
        <w:t>征集</w:t>
      </w:r>
      <w:r>
        <w:rPr>
          <w:rFonts w:hint="eastAsia" w:ascii="宋体" w:hAnsi="宋体" w:cs="宋体"/>
          <w:szCs w:val="21"/>
        </w:rPr>
        <w:t>文件要求的部分内容和附件，或没有提供</w:t>
      </w:r>
      <w:r>
        <w:rPr>
          <w:rFonts w:hint="eastAsia" w:ascii="宋体" w:hAnsi="宋体" w:cs="宋体"/>
          <w:szCs w:val="21"/>
          <w:lang w:eastAsia="zh-CN"/>
        </w:rPr>
        <w:t>征集</w:t>
      </w:r>
      <w:r>
        <w:rPr>
          <w:rFonts w:hint="eastAsia" w:ascii="宋体" w:hAnsi="宋体" w:cs="宋体"/>
          <w:szCs w:val="21"/>
        </w:rPr>
        <w:t>文件中所要求的资料及数据，由此造成的后果和责任由投标人承担。</w:t>
      </w:r>
    </w:p>
    <w:p w14:paraId="274B42DA">
      <w:pPr>
        <w:numPr>
          <w:ilvl w:val="0"/>
          <w:numId w:val="0"/>
        </w:numPr>
        <w:autoSpaceDE w:val="0"/>
        <w:autoSpaceDN w:val="0"/>
        <w:adjustRightInd w:val="0"/>
        <w:snapToGrid w:val="0"/>
        <w:spacing w:line="360" w:lineRule="auto"/>
        <w:ind w:leftChars="0"/>
        <w:rPr>
          <w:rFonts w:ascii="宋体" w:hAnsi="宋体" w:cs="宋体"/>
          <w:szCs w:val="21"/>
        </w:rPr>
      </w:pPr>
      <w:r>
        <w:rPr>
          <w:rFonts w:hint="eastAsia" w:ascii="宋体" w:hAnsi="宋体" w:cs="宋体"/>
          <w:szCs w:val="21"/>
          <w:lang w:val="en-US" w:eastAsia="zh-CN"/>
        </w:rPr>
        <w:t>8.4.</w:t>
      </w:r>
      <w:r>
        <w:rPr>
          <w:rFonts w:hint="eastAsia" w:ascii="宋体" w:hAnsi="宋体" w:cs="宋体"/>
          <w:szCs w:val="21"/>
        </w:rPr>
        <w:t>投标人应认真阅读、并充分理解</w:t>
      </w:r>
      <w:r>
        <w:rPr>
          <w:rFonts w:hint="eastAsia" w:ascii="宋体" w:hAnsi="宋体" w:cs="宋体"/>
          <w:szCs w:val="21"/>
          <w:lang w:eastAsia="zh-CN"/>
        </w:rPr>
        <w:t>征集</w:t>
      </w:r>
      <w:r>
        <w:rPr>
          <w:rFonts w:hint="eastAsia" w:ascii="宋体" w:hAnsi="宋体" w:cs="宋体"/>
          <w:szCs w:val="21"/>
        </w:rPr>
        <w:t>文件的全部内容（包括所有的补充、修改内容重要事项、格式、条款和技术规范、参数及要求等）。投标人没有按照</w:t>
      </w:r>
      <w:r>
        <w:rPr>
          <w:rFonts w:hint="eastAsia" w:ascii="宋体" w:hAnsi="宋体" w:cs="宋体"/>
          <w:szCs w:val="21"/>
          <w:lang w:eastAsia="zh-CN"/>
        </w:rPr>
        <w:t>征集</w:t>
      </w:r>
      <w:r>
        <w:rPr>
          <w:rFonts w:hint="eastAsia" w:ascii="宋体" w:hAnsi="宋体" w:cs="宋体"/>
          <w:szCs w:val="21"/>
        </w:rPr>
        <w:t>文件要求提交资料，或者投标文件没有对</w:t>
      </w:r>
      <w:r>
        <w:rPr>
          <w:rFonts w:hint="eastAsia" w:ascii="宋体" w:hAnsi="宋体" w:cs="宋体"/>
          <w:szCs w:val="21"/>
          <w:lang w:eastAsia="zh-CN"/>
        </w:rPr>
        <w:t>征集</w:t>
      </w:r>
      <w:r>
        <w:rPr>
          <w:rFonts w:hint="eastAsia" w:ascii="宋体" w:hAnsi="宋体" w:cs="宋体"/>
          <w:szCs w:val="21"/>
        </w:rPr>
        <w:t>文件在各方面都作出实质性响应是投标人的风险，有可能导致其投标被认定为无效投标或被确定为投标无效。</w:t>
      </w:r>
    </w:p>
    <w:p w14:paraId="20EF46CE">
      <w:pPr>
        <w:numPr>
          <w:ilvl w:val="0"/>
          <w:numId w:val="0"/>
        </w:numPr>
        <w:autoSpaceDE w:val="0"/>
        <w:autoSpaceDN w:val="0"/>
        <w:adjustRightInd w:val="0"/>
        <w:snapToGrid w:val="0"/>
        <w:spacing w:line="360" w:lineRule="auto"/>
        <w:ind w:leftChars="0"/>
        <w:rPr>
          <w:rFonts w:ascii="宋体" w:hAnsi="宋体" w:cs="宋体"/>
          <w:szCs w:val="21"/>
        </w:rPr>
      </w:pPr>
      <w:r>
        <w:rPr>
          <w:rFonts w:hint="eastAsia" w:ascii="宋体" w:hAnsi="宋体" w:cs="宋体"/>
          <w:szCs w:val="21"/>
          <w:lang w:val="en-US" w:eastAsia="zh-CN"/>
        </w:rPr>
        <w:t>8.5.</w:t>
      </w:r>
      <w:r>
        <w:rPr>
          <w:rFonts w:hint="eastAsia" w:ascii="宋体" w:hAnsi="宋体" w:cs="宋体"/>
          <w:szCs w:val="21"/>
        </w:rPr>
        <w:t>如</w:t>
      </w:r>
      <w:r>
        <w:rPr>
          <w:rFonts w:hint="eastAsia" w:ascii="宋体" w:hAnsi="宋体" w:cs="宋体"/>
          <w:szCs w:val="21"/>
          <w:lang w:eastAsia="zh-CN"/>
        </w:rPr>
        <w:t>征集</w:t>
      </w:r>
      <w:r>
        <w:rPr>
          <w:rFonts w:hint="eastAsia" w:ascii="宋体" w:hAnsi="宋体" w:cs="宋体"/>
          <w:szCs w:val="21"/>
        </w:rPr>
        <w:t>文件提供了投标文件格式，则投标人提交的投标文件必须毫无例外地使用</w:t>
      </w:r>
      <w:r>
        <w:rPr>
          <w:rFonts w:hint="eastAsia" w:ascii="宋体" w:hAnsi="宋体" w:cs="宋体"/>
          <w:szCs w:val="21"/>
          <w:lang w:eastAsia="zh-CN"/>
        </w:rPr>
        <w:t>征集</w:t>
      </w:r>
      <w:r>
        <w:rPr>
          <w:rFonts w:hint="eastAsia" w:ascii="宋体" w:hAnsi="宋体" w:cs="宋体"/>
          <w:szCs w:val="21"/>
        </w:rPr>
        <w:t>文件所提供的相应格式（表格可以按同样格式扩展）。</w:t>
      </w:r>
    </w:p>
    <w:p w14:paraId="17A80A89">
      <w:pPr>
        <w:numPr>
          <w:ilvl w:val="0"/>
          <w:numId w:val="18"/>
        </w:numPr>
        <w:autoSpaceDE w:val="0"/>
        <w:autoSpaceDN w:val="0"/>
        <w:adjustRightInd w:val="0"/>
        <w:snapToGrid w:val="0"/>
        <w:spacing w:line="360" w:lineRule="auto"/>
        <w:ind w:left="449" w:hanging="449" w:hangingChars="213"/>
        <w:outlineLvl w:val="1"/>
        <w:rPr>
          <w:rFonts w:ascii="宋体" w:hAnsi="宋体"/>
          <w:b/>
          <w:bCs/>
          <w:szCs w:val="21"/>
        </w:rPr>
      </w:pPr>
      <w:bookmarkStart w:id="139" w:name="_Toc7497"/>
      <w:r>
        <w:rPr>
          <w:rFonts w:hint="eastAsia" w:ascii="宋体" w:hAnsi="宋体"/>
          <w:b/>
          <w:bCs/>
          <w:szCs w:val="21"/>
        </w:rPr>
        <w:t>投标报价</w:t>
      </w:r>
      <w:bookmarkEnd w:id="139"/>
    </w:p>
    <w:p w14:paraId="34667E9C">
      <w:pPr>
        <w:numPr>
          <w:ilvl w:val="0"/>
          <w:numId w:val="0"/>
        </w:numPr>
        <w:autoSpaceDE w:val="0"/>
        <w:autoSpaceDN w:val="0"/>
        <w:adjustRightInd w:val="0"/>
        <w:snapToGrid w:val="0"/>
        <w:spacing w:line="360" w:lineRule="auto"/>
        <w:ind w:leftChars="0"/>
        <w:rPr>
          <w:rFonts w:ascii="宋体" w:hAnsi="宋体" w:cs="黑体"/>
          <w:b/>
          <w:bCs/>
          <w:szCs w:val="21"/>
        </w:rPr>
      </w:pPr>
      <w:r>
        <w:rPr>
          <w:rFonts w:hint="eastAsia" w:ascii="宋体" w:hAnsi="宋体" w:cs="宋体"/>
          <w:szCs w:val="21"/>
          <w:lang w:val="en-US" w:eastAsia="zh-CN"/>
        </w:rPr>
        <w:t>9.1.</w:t>
      </w:r>
      <w:r>
        <w:rPr>
          <w:rFonts w:hint="eastAsia" w:ascii="宋体" w:hAnsi="宋体" w:cs="宋体"/>
          <w:szCs w:val="21"/>
        </w:rPr>
        <w:t>投标人应按照“用户需求书”中采购项目技术规格、参数及要求规定的内容、责任范围进行报价。并按《开标一览表(报价表)》及《投标分项报价表》（如适用）的要求报出总价和分项价格。</w:t>
      </w:r>
    </w:p>
    <w:p w14:paraId="4C0B5911">
      <w:pPr>
        <w:numPr>
          <w:ilvl w:val="0"/>
          <w:numId w:val="0"/>
        </w:numPr>
        <w:autoSpaceDE w:val="0"/>
        <w:autoSpaceDN w:val="0"/>
        <w:adjustRightInd w:val="0"/>
        <w:snapToGrid w:val="0"/>
        <w:spacing w:line="360" w:lineRule="auto"/>
        <w:ind w:leftChars="0"/>
        <w:outlineLvl w:val="9"/>
        <w:rPr>
          <w:rFonts w:ascii="宋体" w:hAnsi="宋体"/>
          <w:szCs w:val="21"/>
        </w:rPr>
      </w:pPr>
      <w:r>
        <w:rPr>
          <w:rFonts w:hint="eastAsia" w:ascii="宋体" w:hAnsi="宋体" w:cs="宋体"/>
          <w:szCs w:val="21"/>
          <w:lang w:val="en-US" w:eastAsia="zh-CN"/>
        </w:rPr>
        <w:t>9.2.</w:t>
      </w:r>
      <w:r>
        <w:rPr>
          <w:rFonts w:hint="eastAsia" w:ascii="宋体" w:hAnsi="宋体" w:cs="宋体"/>
          <w:szCs w:val="21"/>
          <w:lang w:eastAsia="zh-TW"/>
        </w:rPr>
        <w:t>投标分项报价</w:t>
      </w:r>
      <w:r>
        <w:rPr>
          <w:rFonts w:hint="eastAsia" w:ascii="宋体" w:hAnsi="宋体" w:cs="宋体"/>
          <w:szCs w:val="21"/>
        </w:rPr>
        <w:t>应包含：</w:t>
      </w:r>
    </w:p>
    <w:p w14:paraId="7BEEE35F">
      <w:pPr>
        <w:numPr>
          <w:ilvl w:val="0"/>
          <w:numId w:val="0"/>
        </w:numPr>
        <w:tabs>
          <w:tab w:val="left" w:pos="851"/>
        </w:tabs>
        <w:autoSpaceDE w:val="0"/>
        <w:autoSpaceDN w:val="0"/>
        <w:adjustRightInd w:val="0"/>
        <w:snapToGrid w:val="0"/>
        <w:spacing w:line="360" w:lineRule="auto"/>
        <w:ind w:leftChars="0"/>
        <w:jc w:val="left"/>
        <w:rPr>
          <w:rFonts w:ascii="宋体" w:hAnsi="宋体" w:cs="宋体"/>
          <w:szCs w:val="21"/>
        </w:rPr>
      </w:pPr>
      <w:r>
        <w:rPr>
          <w:rFonts w:hint="eastAsia" w:ascii="宋体" w:hAnsi="宋体" w:cs="宋体"/>
          <w:szCs w:val="21"/>
          <w:lang w:val="en-US" w:eastAsia="zh-CN"/>
        </w:rPr>
        <w:t>9.2.1.</w:t>
      </w:r>
      <w:r>
        <w:rPr>
          <w:rFonts w:hint="eastAsia" w:ascii="宋体" w:hAnsi="宋体" w:cs="宋体"/>
          <w:szCs w:val="21"/>
        </w:rPr>
        <w:t>按</w:t>
      </w:r>
      <w:r>
        <w:rPr>
          <w:rFonts w:hint="eastAsia" w:ascii="宋体" w:hAnsi="宋体" w:cs="宋体"/>
          <w:szCs w:val="21"/>
          <w:lang w:eastAsia="zh-CN"/>
        </w:rPr>
        <w:t>征集</w:t>
      </w:r>
      <w:r>
        <w:rPr>
          <w:rFonts w:hint="eastAsia" w:ascii="宋体" w:hAnsi="宋体" w:cs="宋体"/>
          <w:szCs w:val="21"/>
        </w:rPr>
        <w:t>文件的要求全部货物及服务内容所需的所有费用，</w:t>
      </w:r>
      <w:r>
        <w:t>包括但不限于项目的</w:t>
      </w:r>
      <w:r>
        <w:rPr>
          <w:rFonts w:hint="eastAsia" w:ascii="宋体" w:hAnsi="宋体" w:cs="宋体"/>
          <w:szCs w:val="21"/>
        </w:rPr>
        <w:t>全部产品价格、服务价格、应向中华人民共和国政府缴纳的增值税和其它税等全部税费、</w:t>
      </w:r>
      <w:r>
        <w:t>运输、保险、安装、伴随服务、</w:t>
      </w:r>
      <w:r>
        <w:rPr>
          <w:rFonts w:hint="eastAsia" w:ascii="宋体" w:hAnsi="宋体" w:cs="宋体"/>
          <w:szCs w:val="21"/>
        </w:rPr>
        <w:t>标准附件价、备品备件及专用工具价</w:t>
      </w:r>
      <w:r>
        <w:rPr>
          <w:rFonts w:ascii="宋体" w:hAnsi="宋体" w:cs="宋体"/>
          <w:szCs w:val="21"/>
        </w:rPr>
        <w:t>(</w:t>
      </w:r>
      <w:r>
        <w:rPr>
          <w:rFonts w:hint="eastAsia" w:ascii="宋体" w:hAnsi="宋体" w:cs="宋体"/>
          <w:szCs w:val="21"/>
        </w:rPr>
        <w:t>如有</w:t>
      </w:r>
      <w:r>
        <w:rPr>
          <w:rFonts w:ascii="宋体" w:hAnsi="宋体" w:cs="宋体"/>
          <w:szCs w:val="21"/>
        </w:rPr>
        <w:t>)、</w:t>
      </w:r>
      <w:r>
        <w:t>以及</w:t>
      </w:r>
      <w:r>
        <w:rPr>
          <w:rFonts w:hint="eastAsia" w:ascii="宋体" w:hAnsi="宋体" w:cs="宋体"/>
          <w:szCs w:val="21"/>
        </w:rPr>
        <w:t>履行合同所需的费用、</w:t>
      </w:r>
      <w:r>
        <w:t>所有风险、责任等</w:t>
      </w:r>
      <w:r>
        <w:rPr>
          <w:rFonts w:hint="eastAsia" w:ascii="宋体" w:hAnsi="宋体" w:cs="宋体"/>
          <w:szCs w:val="21"/>
        </w:rPr>
        <w:t>其他一切隐含及不可预见的费用</w:t>
      </w:r>
      <w:r>
        <w:t>。如是</w:t>
      </w:r>
      <w:r>
        <w:rPr>
          <w:rFonts w:hint="eastAsia" w:ascii="宋体" w:hAnsi="宋体" w:cs="宋体"/>
          <w:szCs w:val="21"/>
        </w:rPr>
        <w:t>提供境外的货物，还应包括货物从境外进口己缴纳或应缴纳的全部关税、增值税和其它税、报货物境外离岸价格、国外运输费、国外运输保险费等费用。投标资料表中对进口环节关税和增值税另有规定的，从其规定。</w:t>
      </w:r>
    </w:p>
    <w:p w14:paraId="46B2DB31">
      <w:pPr>
        <w:numPr>
          <w:ilvl w:val="0"/>
          <w:numId w:val="0"/>
        </w:numPr>
        <w:tabs>
          <w:tab w:val="left" w:pos="851"/>
        </w:tabs>
        <w:autoSpaceDE w:val="0"/>
        <w:autoSpaceDN w:val="0"/>
        <w:adjustRightInd w:val="0"/>
        <w:snapToGrid w:val="0"/>
        <w:spacing w:line="360" w:lineRule="auto"/>
        <w:ind w:leftChars="0"/>
        <w:jc w:val="left"/>
        <w:outlineLvl w:val="9"/>
        <w:rPr>
          <w:rFonts w:ascii="宋体" w:hAnsi="宋体" w:cs="宋体"/>
          <w:szCs w:val="21"/>
        </w:rPr>
      </w:pPr>
      <w:r>
        <w:rPr>
          <w:rFonts w:hint="eastAsia" w:ascii="宋体" w:hAnsi="宋体" w:cs="宋体"/>
          <w:szCs w:val="21"/>
          <w:lang w:val="en-US" w:eastAsia="zh-CN"/>
        </w:rPr>
        <w:t>9.2.2.</w:t>
      </w:r>
      <w:r>
        <w:rPr>
          <w:rFonts w:hint="eastAsia" w:ascii="宋体" w:hAnsi="宋体" w:cs="宋体"/>
          <w:szCs w:val="21"/>
        </w:rPr>
        <w:t>对于报价免费的内容须标明“免费”。</w:t>
      </w:r>
    </w:p>
    <w:p w14:paraId="3708B8C6">
      <w:pPr>
        <w:numPr>
          <w:ilvl w:val="0"/>
          <w:numId w:val="0"/>
        </w:numPr>
        <w:autoSpaceDE w:val="0"/>
        <w:autoSpaceDN w:val="0"/>
        <w:adjustRightInd w:val="0"/>
        <w:snapToGrid w:val="0"/>
        <w:spacing w:line="360" w:lineRule="auto"/>
        <w:ind w:leftChars="0"/>
        <w:rPr>
          <w:rFonts w:ascii="宋体" w:hAnsi="宋体" w:cs="宋体"/>
          <w:szCs w:val="21"/>
        </w:rPr>
      </w:pPr>
      <w:r>
        <w:rPr>
          <w:rFonts w:hint="eastAsia" w:ascii="宋体" w:hAnsi="宋体"/>
          <w:szCs w:val="21"/>
          <w:lang w:val="en-US" w:eastAsia="zh-CN"/>
        </w:rPr>
        <w:t>9.3.</w:t>
      </w:r>
      <w:r>
        <w:rPr>
          <w:rFonts w:hint="eastAsia" w:ascii="宋体" w:hAnsi="宋体"/>
          <w:szCs w:val="21"/>
        </w:rPr>
        <w:t>除</w:t>
      </w:r>
      <w:r>
        <w:rPr>
          <w:rFonts w:hint="eastAsia" w:ascii="宋体" w:hAnsi="宋体" w:cs="宋体"/>
          <w:szCs w:val="21"/>
        </w:rPr>
        <w:t>投标资料表中另有</w:t>
      </w:r>
      <w:r>
        <w:rPr>
          <w:rFonts w:hint="eastAsia" w:ascii="宋体" w:hAnsi="宋体"/>
          <w:szCs w:val="21"/>
        </w:rPr>
        <w:t>规定，</w:t>
      </w:r>
      <w:r>
        <w:rPr>
          <w:rFonts w:hint="eastAsia" w:ascii="宋体" w:hAnsi="宋体" w:cs="宋体"/>
          <w:szCs w:val="21"/>
        </w:rPr>
        <w:t>投标人所报的投标价在合同执行过程中是固定不变的，不得以任何理由予以变更。任何包含价格调整要求的投标被认为是非实质性响应投标而予以拒绝。</w:t>
      </w:r>
    </w:p>
    <w:p w14:paraId="36D75F95">
      <w:pPr>
        <w:numPr>
          <w:ilvl w:val="0"/>
          <w:numId w:val="0"/>
        </w:numPr>
        <w:autoSpaceDE w:val="0"/>
        <w:autoSpaceDN w:val="0"/>
        <w:adjustRightInd w:val="0"/>
        <w:snapToGrid w:val="0"/>
        <w:spacing w:line="360" w:lineRule="auto"/>
        <w:ind w:leftChars="0"/>
        <w:rPr>
          <w:rFonts w:ascii="宋体" w:hAnsi="宋体"/>
          <w:szCs w:val="21"/>
        </w:rPr>
      </w:pPr>
      <w:r>
        <w:rPr>
          <w:rFonts w:hint="eastAsia" w:ascii="宋体" w:hAnsi="宋体" w:cs="宋体"/>
          <w:szCs w:val="21"/>
          <w:lang w:val="en-US" w:eastAsia="zh-CN"/>
        </w:rPr>
        <w:t>9.4.</w:t>
      </w:r>
      <w:r>
        <w:rPr>
          <w:rFonts w:hint="eastAsia" w:ascii="宋体" w:hAnsi="宋体" w:cs="宋体"/>
          <w:szCs w:val="21"/>
        </w:rPr>
        <w:t>除投标资料表中允许有</w:t>
      </w:r>
      <w:r>
        <w:rPr>
          <w:rFonts w:hint="eastAsia" w:ascii="宋体" w:hAnsi="宋体"/>
          <w:szCs w:val="21"/>
        </w:rPr>
        <w:t>备选方案外，本次</w:t>
      </w:r>
      <w:r>
        <w:rPr>
          <w:rFonts w:hint="eastAsia" w:ascii="宋体" w:hAnsi="宋体"/>
          <w:szCs w:val="21"/>
          <w:lang w:eastAsia="zh-CN"/>
        </w:rPr>
        <w:t>征集</w:t>
      </w:r>
      <w:r>
        <w:rPr>
          <w:rFonts w:hint="eastAsia" w:ascii="宋体" w:hAnsi="宋体"/>
          <w:szCs w:val="21"/>
        </w:rPr>
        <w:t>不接受选择性报价，</w:t>
      </w:r>
      <w:r>
        <w:rPr>
          <w:rFonts w:hint="eastAsia" w:ascii="宋体" w:hAnsi="宋体" w:cs="宋体"/>
          <w:szCs w:val="21"/>
        </w:rPr>
        <w:t>否则将被视为无效投标。</w:t>
      </w:r>
    </w:p>
    <w:p w14:paraId="32B5E02E">
      <w:pPr>
        <w:numPr>
          <w:ilvl w:val="0"/>
          <w:numId w:val="0"/>
        </w:numPr>
        <w:autoSpaceDE w:val="0"/>
        <w:autoSpaceDN w:val="0"/>
        <w:adjustRightInd w:val="0"/>
        <w:snapToGrid w:val="0"/>
        <w:spacing w:line="360" w:lineRule="auto"/>
        <w:ind w:leftChars="0"/>
        <w:rPr>
          <w:rFonts w:ascii="宋体" w:hAnsi="宋体" w:cs="宋体"/>
          <w:szCs w:val="21"/>
        </w:rPr>
      </w:pPr>
      <w:r>
        <w:rPr>
          <w:rFonts w:hint="eastAsia" w:ascii="宋体" w:hAnsi="宋体"/>
          <w:szCs w:val="21"/>
          <w:lang w:val="en-US" w:eastAsia="zh-CN"/>
        </w:rPr>
        <w:t>9.5.</w:t>
      </w:r>
      <w:r>
        <w:rPr>
          <w:rFonts w:hint="eastAsia" w:ascii="宋体" w:hAnsi="宋体"/>
          <w:szCs w:val="21"/>
        </w:rPr>
        <w:t>除投标资料表另有规定外，本次</w:t>
      </w:r>
      <w:r>
        <w:rPr>
          <w:rFonts w:hint="eastAsia" w:ascii="宋体" w:hAnsi="宋体"/>
          <w:szCs w:val="21"/>
          <w:lang w:eastAsia="zh-CN"/>
        </w:rPr>
        <w:t>征集</w:t>
      </w:r>
      <w:r>
        <w:rPr>
          <w:rFonts w:hint="eastAsia" w:ascii="宋体" w:hAnsi="宋体"/>
          <w:szCs w:val="21"/>
        </w:rPr>
        <w:t>不接受具有附加条件的报价，</w:t>
      </w:r>
      <w:r>
        <w:rPr>
          <w:rFonts w:hint="eastAsia" w:ascii="宋体" w:hAnsi="宋体" w:cs="宋体"/>
          <w:szCs w:val="21"/>
        </w:rPr>
        <w:t>否则将被视为无效投标。</w:t>
      </w:r>
    </w:p>
    <w:p w14:paraId="2B358E29">
      <w:pPr>
        <w:numPr>
          <w:ilvl w:val="0"/>
          <w:numId w:val="18"/>
        </w:numPr>
        <w:autoSpaceDE w:val="0"/>
        <w:autoSpaceDN w:val="0"/>
        <w:adjustRightInd w:val="0"/>
        <w:snapToGrid w:val="0"/>
        <w:spacing w:line="360" w:lineRule="auto"/>
        <w:ind w:left="449" w:hanging="449" w:hangingChars="213"/>
        <w:outlineLvl w:val="1"/>
        <w:rPr>
          <w:rFonts w:ascii="宋体" w:hAnsi="宋体"/>
          <w:b/>
          <w:bCs/>
          <w:szCs w:val="21"/>
        </w:rPr>
      </w:pPr>
      <w:bookmarkStart w:id="140" w:name="_Toc2827"/>
      <w:r>
        <w:rPr>
          <w:rFonts w:hint="eastAsia" w:ascii="宋体" w:hAnsi="宋体"/>
          <w:b/>
          <w:bCs/>
          <w:szCs w:val="21"/>
        </w:rPr>
        <w:t>投标货币</w:t>
      </w:r>
      <w:bookmarkEnd w:id="140"/>
    </w:p>
    <w:p w14:paraId="75F25268">
      <w:pPr>
        <w:numPr>
          <w:ilvl w:val="1"/>
          <w:numId w:val="18"/>
        </w:numPr>
        <w:autoSpaceDE w:val="0"/>
        <w:autoSpaceDN w:val="0"/>
        <w:adjustRightInd w:val="0"/>
        <w:snapToGrid w:val="0"/>
        <w:spacing w:line="360" w:lineRule="auto"/>
        <w:ind w:left="567" w:leftChars="0" w:hanging="567" w:firstLineChars="0"/>
        <w:outlineLvl w:val="9"/>
        <w:rPr>
          <w:rFonts w:ascii="宋体" w:hAnsi="宋体"/>
          <w:szCs w:val="21"/>
        </w:rPr>
      </w:pPr>
      <w:r>
        <w:rPr>
          <w:rFonts w:hint="eastAsia" w:ascii="宋体" w:hAnsi="宋体"/>
          <w:szCs w:val="21"/>
        </w:rPr>
        <w:t>投标人所提供的货物和服务均应以人民币报价。</w:t>
      </w:r>
    </w:p>
    <w:p w14:paraId="74EED58B">
      <w:pPr>
        <w:numPr>
          <w:ilvl w:val="0"/>
          <w:numId w:val="18"/>
        </w:numPr>
        <w:autoSpaceDE w:val="0"/>
        <w:autoSpaceDN w:val="0"/>
        <w:adjustRightInd w:val="0"/>
        <w:snapToGrid w:val="0"/>
        <w:spacing w:line="360" w:lineRule="auto"/>
        <w:ind w:left="449" w:hanging="449" w:hangingChars="213"/>
        <w:outlineLvl w:val="1"/>
        <w:rPr>
          <w:rFonts w:ascii="宋体" w:hAnsi="宋体"/>
          <w:b/>
          <w:bCs/>
          <w:szCs w:val="21"/>
        </w:rPr>
      </w:pPr>
      <w:bookmarkStart w:id="141" w:name="_Toc23174"/>
      <w:r>
        <w:rPr>
          <w:rFonts w:hint="eastAsia" w:ascii="宋体" w:hAnsi="宋体"/>
          <w:b/>
          <w:bCs/>
          <w:szCs w:val="21"/>
        </w:rPr>
        <w:t>联合体投标</w:t>
      </w:r>
      <w:bookmarkEnd w:id="141"/>
    </w:p>
    <w:p w14:paraId="1C1E2EC5">
      <w:pPr>
        <w:numPr>
          <w:ilvl w:val="1"/>
          <w:numId w:val="18"/>
        </w:numPr>
        <w:autoSpaceDE w:val="0"/>
        <w:autoSpaceDN w:val="0"/>
        <w:adjustRightInd w:val="0"/>
        <w:snapToGrid w:val="0"/>
        <w:spacing w:line="360" w:lineRule="auto"/>
        <w:rPr>
          <w:rFonts w:ascii="宋体" w:hAnsi="宋体" w:cs="黑体"/>
          <w:b/>
          <w:bCs/>
          <w:szCs w:val="21"/>
        </w:rPr>
      </w:pPr>
      <w:r>
        <w:rPr>
          <w:rFonts w:hint="eastAsia" w:ascii="宋体" w:hAnsi="宋体"/>
          <w:szCs w:val="21"/>
        </w:rPr>
        <w:t>除</w:t>
      </w:r>
      <w:r>
        <w:rPr>
          <w:rFonts w:hint="eastAsia" w:ascii="宋体" w:hAnsi="宋体"/>
          <w:bCs/>
          <w:szCs w:val="20"/>
        </w:rPr>
        <w:t>非投标邀请中另有规定</w:t>
      </w:r>
      <w:r>
        <w:rPr>
          <w:rFonts w:hint="eastAsia" w:ascii="宋体" w:hAnsi="宋体"/>
          <w:szCs w:val="21"/>
        </w:rPr>
        <w:t>，不接受联合体投标。如果投标邀请中规定允许联合体投标的，则必须满足：</w:t>
      </w:r>
    </w:p>
    <w:p w14:paraId="5EFCE263">
      <w:pPr>
        <w:numPr>
          <w:ilvl w:val="0"/>
          <w:numId w:val="0"/>
        </w:numPr>
        <w:autoSpaceDE w:val="0"/>
        <w:autoSpaceDN w:val="0"/>
        <w:adjustRightInd w:val="0"/>
        <w:snapToGrid w:val="0"/>
        <w:spacing w:line="360" w:lineRule="auto"/>
        <w:ind w:leftChars="0"/>
        <w:rPr>
          <w:rFonts w:ascii="宋体" w:hAnsi="宋体"/>
          <w:szCs w:val="21"/>
        </w:rPr>
      </w:pPr>
      <w:r>
        <w:rPr>
          <w:rFonts w:hint="eastAsia" w:ascii="宋体" w:hAnsi="宋体"/>
          <w:szCs w:val="21"/>
          <w:lang w:val="en-US" w:eastAsia="zh-CN"/>
        </w:rPr>
        <w:t>11.1.1.</w:t>
      </w:r>
      <w:r>
        <w:rPr>
          <w:rFonts w:hint="eastAsia" w:ascii="宋体" w:hAnsi="宋体"/>
          <w:szCs w:val="21"/>
        </w:rPr>
        <w:t>以联合体形式参加投标的，联合体各方均必须符合联合体各方均必须符合</w:t>
      </w:r>
      <w:r>
        <w:rPr>
          <w:rFonts w:hint="eastAsia" w:ascii="宋体" w:hAnsi="宋体"/>
          <w:bCs/>
          <w:szCs w:val="20"/>
        </w:rPr>
        <w:t>《中华人民共和国政府采购法》第二十二条第（一）至（六）项规定。</w:t>
      </w:r>
    </w:p>
    <w:p w14:paraId="7D7ADB52">
      <w:pPr>
        <w:numPr>
          <w:ilvl w:val="0"/>
          <w:numId w:val="0"/>
        </w:numPr>
        <w:autoSpaceDE w:val="0"/>
        <w:autoSpaceDN w:val="0"/>
        <w:adjustRightInd w:val="0"/>
        <w:snapToGrid w:val="0"/>
        <w:spacing w:line="360" w:lineRule="auto"/>
        <w:ind w:leftChars="0"/>
        <w:rPr>
          <w:rFonts w:ascii="宋体" w:hAnsi="宋体"/>
          <w:szCs w:val="21"/>
        </w:rPr>
      </w:pPr>
      <w:r>
        <w:rPr>
          <w:rFonts w:hint="eastAsia" w:ascii="宋体" w:hAnsi="宋体"/>
          <w:szCs w:val="21"/>
          <w:lang w:val="en-US" w:eastAsia="zh-CN"/>
        </w:rPr>
        <w:t>11.1.2.</w:t>
      </w:r>
      <w:r>
        <w:rPr>
          <w:rFonts w:hint="eastAsia" w:ascii="宋体" w:hAnsi="宋体"/>
          <w:szCs w:val="21"/>
        </w:rPr>
        <w:t>联合体投标的，必须提供各方签订的联合投标协议，明确约定各方承担的工作和相应的责任。联合体各方签订联合投标协议后，不得再以自己名义单独在同一项目（或包组）中投标，也不得组成新的联合体参加同一项目（或包组）投标。</w:t>
      </w:r>
    </w:p>
    <w:p w14:paraId="168C4E3F">
      <w:pPr>
        <w:numPr>
          <w:ilvl w:val="0"/>
          <w:numId w:val="0"/>
        </w:numPr>
        <w:autoSpaceDE w:val="0"/>
        <w:autoSpaceDN w:val="0"/>
        <w:adjustRightInd w:val="0"/>
        <w:snapToGrid w:val="0"/>
        <w:spacing w:line="360" w:lineRule="auto"/>
        <w:ind w:leftChars="0"/>
        <w:rPr>
          <w:rFonts w:ascii="宋体" w:hAnsi="宋体"/>
          <w:szCs w:val="21"/>
        </w:rPr>
      </w:pPr>
      <w:r>
        <w:rPr>
          <w:rFonts w:hint="eastAsia" w:ascii="宋体" w:hAnsi="宋体"/>
          <w:szCs w:val="21"/>
          <w:lang w:val="en-US" w:eastAsia="zh-CN"/>
        </w:rPr>
        <w:t>11.1.3.</w:t>
      </w:r>
      <w:r>
        <w:rPr>
          <w:rFonts w:hint="eastAsia" w:ascii="宋体" w:hAnsi="宋体"/>
          <w:szCs w:val="21"/>
        </w:rPr>
        <w:t>联合体中有同类资质的供应商按照联合体分工承担相同工作的，应当按照资质等级较低的供应商确定资质等级。</w:t>
      </w:r>
    </w:p>
    <w:p w14:paraId="637120FC">
      <w:pPr>
        <w:numPr>
          <w:ilvl w:val="0"/>
          <w:numId w:val="0"/>
        </w:numPr>
        <w:tabs>
          <w:tab w:val="left" w:pos="851"/>
        </w:tabs>
        <w:autoSpaceDE w:val="0"/>
        <w:autoSpaceDN w:val="0"/>
        <w:adjustRightInd w:val="0"/>
        <w:snapToGrid w:val="0"/>
        <w:spacing w:line="360" w:lineRule="auto"/>
        <w:ind w:leftChars="0"/>
        <w:rPr>
          <w:rFonts w:ascii="宋体" w:hAnsi="宋体"/>
          <w:szCs w:val="21"/>
        </w:rPr>
      </w:pPr>
      <w:r>
        <w:rPr>
          <w:rFonts w:hint="eastAsia" w:ascii="宋体" w:hAnsi="宋体"/>
          <w:szCs w:val="21"/>
          <w:lang w:val="en-US" w:eastAsia="zh-CN"/>
        </w:rPr>
        <w:t>11.1.4.</w:t>
      </w:r>
      <w:r>
        <w:rPr>
          <w:rFonts w:ascii="宋体" w:hAnsi="宋体"/>
          <w:szCs w:val="21"/>
        </w:rPr>
        <w:t>联合体中标的，联合体各方应当共同与</w:t>
      </w:r>
      <w:r>
        <w:rPr>
          <w:rFonts w:hint="eastAsia" w:ascii="宋体" w:hAnsi="宋体"/>
          <w:szCs w:val="21"/>
        </w:rPr>
        <w:t>采购</w:t>
      </w:r>
      <w:r>
        <w:rPr>
          <w:rFonts w:ascii="宋体" w:hAnsi="宋体"/>
          <w:szCs w:val="21"/>
        </w:rPr>
        <w:t>人签订合同。</w:t>
      </w:r>
    </w:p>
    <w:p w14:paraId="1D5AF8E3">
      <w:pPr>
        <w:numPr>
          <w:ilvl w:val="0"/>
          <w:numId w:val="18"/>
        </w:numPr>
        <w:autoSpaceDE w:val="0"/>
        <w:autoSpaceDN w:val="0"/>
        <w:adjustRightInd w:val="0"/>
        <w:snapToGrid w:val="0"/>
        <w:spacing w:line="360" w:lineRule="auto"/>
        <w:ind w:left="449" w:hanging="449" w:hangingChars="213"/>
        <w:outlineLvl w:val="1"/>
        <w:rPr>
          <w:rFonts w:ascii="宋体" w:hAnsi="宋体"/>
          <w:b/>
          <w:bCs/>
          <w:szCs w:val="21"/>
        </w:rPr>
      </w:pPr>
      <w:bookmarkStart w:id="142" w:name="_Toc14020"/>
      <w:r>
        <w:rPr>
          <w:rFonts w:hint="eastAsia" w:ascii="宋体" w:hAnsi="宋体"/>
          <w:b/>
          <w:bCs/>
          <w:szCs w:val="21"/>
        </w:rPr>
        <w:t>证明投标人合格和资格的文件</w:t>
      </w:r>
      <w:bookmarkEnd w:id="142"/>
    </w:p>
    <w:p w14:paraId="5439B540">
      <w:pPr>
        <w:numPr>
          <w:ilvl w:val="1"/>
          <w:numId w:val="18"/>
        </w:numPr>
        <w:autoSpaceDE w:val="0"/>
        <w:autoSpaceDN w:val="0"/>
        <w:adjustRightInd w:val="0"/>
        <w:snapToGrid w:val="0"/>
        <w:spacing w:line="360" w:lineRule="auto"/>
        <w:rPr>
          <w:rFonts w:ascii="宋体" w:hAnsi="宋体" w:cs="黑体"/>
          <w:b/>
          <w:bCs/>
          <w:szCs w:val="21"/>
        </w:rPr>
      </w:pPr>
      <w:r>
        <w:rPr>
          <w:rFonts w:hint="eastAsia" w:ascii="宋体" w:hAnsi="宋体" w:cs="宋体"/>
          <w:szCs w:val="21"/>
        </w:rPr>
        <w:t>投标人应提交证明其有资格参加投标和中标后有能力履行合同的文件，并作为其投标文件的一部分。如果投标人为联合体，应提交联合体各方的资格证明文件、</w:t>
      </w:r>
      <w:r>
        <w:rPr>
          <w:rFonts w:hint="eastAsia" w:ascii="宋体" w:hAnsi="宋体"/>
          <w:szCs w:val="21"/>
        </w:rPr>
        <w:t>联合</w:t>
      </w:r>
      <w:r>
        <w:rPr>
          <w:rFonts w:hint="eastAsia" w:ascii="宋体" w:hAnsi="宋体" w:cs="宋体"/>
          <w:szCs w:val="21"/>
        </w:rPr>
        <w:t>投标协议并注明主体方及各方拟承担的工作和责任。</w:t>
      </w:r>
      <w:r>
        <w:rPr>
          <w:rFonts w:hint="eastAsia" w:ascii="宋体" w:hAnsi="宋体" w:cs="宋体"/>
          <w:szCs w:val="21"/>
          <w:lang w:eastAsia="zh-TW"/>
        </w:rPr>
        <w:t>否则</w:t>
      </w:r>
      <w:r>
        <w:rPr>
          <w:rFonts w:hint="eastAsia" w:ascii="宋体" w:hAnsi="宋体" w:cs="宋体"/>
          <w:szCs w:val="21"/>
        </w:rPr>
        <w:t>，</w:t>
      </w:r>
      <w:r>
        <w:rPr>
          <w:rFonts w:hint="eastAsia" w:ascii="宋体" w:hAnsi="宋体" w:cs="宋体"/>
          <w:szCs w:val="21"/>
          <w:lang w:eastAsia="zh-TW"/>
        </w:rPr>
        <w:t>将导致其投标</w:t>
      </w:r>
      <w:r>
        <w:rPr>
          <w:rFonts w:hint="eastAsia" w:ascii="宋体" w:hAnsi="宋体" w:cs="宋体"/>
          <w:szCs w:val="21"/>
        </w:rPr>
        <w:t>无效。</w:t>
      </w:r>
    </w:p>
    <w:p w14:paraId="2E771B7C">
      <w:pPr>
        <w:numPr>
          <w:ilvl w:val="1"/>
          <w:numId w:val="18"/>
        </w:numPr>
        <w:autoSpaceDE w:val="0"/>
        <w:autoSpaceDN w:val="0"/>
        <w:adjustRightInd w:val="0"/>
        <w:snapToGrid w:val="0"/>
        <w:spacing w:line="360" w:lineRule="auto"/>
        <w:rPr>
          <w:rFonts w:ascii="宋体" w:hAnsi="宋体" w:cs="宋体"/>
          <w:szCs w:val="21"/>
        </w:rPr>
      </w:pPr>
      <w:r>
        <w:rPr>
          <w:rFonts w:hint="eastAsia" w:ascii="宋体" w:hAnsi="宋体" w:cs="宋体"/>
          <w:szCs w:val="21"/>
        </w:rPr>
        <w:t>投标人提交的资格证明文件应证明其满足</w:t>
      </w:r>
      <w:r>
        <w:rPr>
          <w:rFonts w:hint="eastAsia" w:ascii="宋体"/>
          <w:bCs/>
          <w:szCs w:val="20"/>
        </w:rPr>
        <w:t>投标人的资格要求</w:t>
      </w:r>
      <w:r>
        <w:rPr>
          <w:rFonts w:hint="eastAsia" w:ascii="宋体" w:hAnsi="宋体" w:cs="宋体"/>
          <w:szCs w:val="21"/>
        </w:rPr>
        <w:t>。</w:t>
      </w:r>
    </w:p>
    <w:p w14:paraId="62D82397">
      <w:pPr>
        <w:numPr>
          <w:ilvl w:val="0"/>
          <w:numId w:val="18"/>
        </w:numPr>
        <w:autoSpaceDE w:val="0"/>
        <w:autoSpaceDN w:val="0"/>
        <w:adjustRightInd w:val="0"/>
        <w:snapToGrid w:val="0"/>
        <w:spacing w:line="360" w:lineRule="auto"/>
        <w:ind w:left="449" w:hanging="449" w:hangingChars="213"/>
        <w:outlineLvl w:val="1"/>
        <w:rPr>
          <w:rFonts w:ascii="宋体" w:hAnsi="宋体"/>
          <w:b/>
          <w:bCs/>
          <w:szCs w:val="21"/>
        </w:rPr>
      </w:pPr>
      <w:bookmarkStart w:id="143" w:name="_Toc17198"/>
      <w:r>
        <w:rPr>
          <w:rFonts w:ascii="宋体" w:hAnsi="宋体"/>
          <w:b/>
          <w:bCs/>
          <w:szCs w:val="21"/>
        </w:rPr>
        <w:t>证明投标标的的合格性和符合</w:t>
      </w:r>
      <w:r>
        <w:rPr>
          <w:rFonts w:hint="eastAsia" w:ascii="宋体" w:hAnsi="宋体"/>
          <w:b/>
          <w:bCs/>
          <w:szCs w:val="21"/>
          <w:lang w:eastAsia="zh-CN"/>
        </w:rPr>
        <w:t>征集</w:t>
      </w:r>
      <w:r>
        <w:rPr>
          <w:rFonts w:ascii="宋体" w:hAnsi="宋体"/>
          <w:b/>
          <w:bCs/>
          <w:szCs w:val="21"/>
        </w:rPr>
        <w:t>文件规定的文件</w:t>
      </w:r>
      <w:bookmarkEnd w:id="143"/>
    </w:p>
    <w:p w14:paraId="6B9702A6">
      <w:pPr>
        <w:numPr>
          <w:ilvl w:val="1"/>
          <w:numId w:val="18"/>
        </w:numPr>
        <w:autoSpaceDE w:val="0"/>
        <w:autoSpaceDN w:val="0"/>
        <w:adjustRightInd w:val="0"/>
        <w:snapToGrid w:val="0"/>
        <w:spacing w:line="360" w:lineRule="auto"/>
        <w:rPr>
          <w:rFonts w:ascii="宋体" w:hAnsi="宋体" w:cs="黑体"/>
          <w:b/>
          <w:bCs/>
          <w:szCs w:val="21"/>
        </w:rPr>
      </w:pPr>
      <w:r>
        <w:rPr>
          <w:rFonts w:hint="eastAsia" w:ascii="宋体" w:hAnsi="宋体" w:cs="宋体"/>
          <w:szCs w:val="21"/>
        </w:rPr>
        <w:t>投标人应提交证明文件，证明其拟投标的货物和服务的合格性符合</w:t>
      </w:r>
      <w:r>
        <w:rPr>
          <w:rFonts w:hint="eastAsia" w:ascii="宋体" w:hAnsi="宋体" w:cs="宋体"/>
          <w:szCs w:val="21"/>
          <w:lang w:eastAsia="zh-CN"/>
        </w:rPr>
        <w:t>征集</w:t>
      </w:r>
      <w:r>
        <w:rPr>
          <w:rFonts w:hint="eastAsia" w:ascii="宋体" w:hAnsi="宋体" w:cs="宋体"/>
          <w:szCs w:val="21"/>
        </w:rPr>
        <w:t>文件规定。该证明文件作为投标文件的一部分。</w:t>
      </w:r>
    </w:p>
    <w:p w14:paraId="2283C2D1">
      <w:pPr>
        <w:numPr>
          <w:ilvl w:val="1"/>
          <w:numId w:val="18"/>
        </w:numPr>
        <w:autoSpaceDE w:val="0"/>
        <w:autoSpaceDN w:val="0"/>
        <w:adjustRightInd w:val="0"/>
        <w:snapToGrid w:val="0"/>
        <w:spacing w:line="360" w:lineRule="auto"/>
        <w:rPr>
          <w:rFonts w:ascii="宋体" w:hAnsi="宋体" w:cs="宋体"/>
          <w:szCs w:val="21"/>
        </w:rPr>
      </w:pPr>
      <w:r>
        <w:rPr>
          <w:rFonts w:hint="eastAsia" w:ascii="宋体" w:hAnsi="宋体" w:cs="宋体"/>
          <w:szCs w:val="21"/>
        </w:rPr>
        <w:t>货物和服务合格性的证明文件应包括投标分项报价表中对货物和服务原产地的说明。</w:t>
      </w:r>
    </w:p>
    <w:p w14:paraId="34664144">
      <w:pPr>
        <w:numPr>
          <w:ilvl w:val="1"/>
          <w:numId w:val="18"/>
        </w:numPr>
        <w:autoSpaceDE w:val="0"/>
        <w:autoSpaceDN w:val="0"/>
        <w:adjustRightInd w:val="0"/>
        <w:snapToGrid w:val="0"/>
        <w:spacing w:line="360" w:lineRule="auto"/>
        <w:rPr>
          <w:rFonts w:ascii="宋体" w:hAnsi="宋体"/>
          <w:strike/>
          <w:color w:val="auto"/>
          <w:szCs w:val="21"/>
        </w:rPr>
      </w:pPr>
      <w:r>
        <w:rPr>
          <w:rFonts w:hint="eastAsia" w:ascii="宋体" w:hAnsi="宋体" w:cs="宋体"/>
          <w:szCs w:val="21"/>
        </w:rPr>
        <w:t>证</w:t>
      </w:r>
      <w:r>
        <w:rPr>
          <w:rFonts w:hint="eastAsia" w:ascii="宋体" w:hAnsi="宋体" w:cs="宋体"/>
          <w:color w:val="auto"/>
          <w:szCs w:val="21"/>
        </w:rPr>
        <w:t>明货物和服务与</w:t>
      </w:r>
      <w:r>
        <w:rPr>
          <w:rFonts w:hint="eastAsia" w:ascii="宋体" w:hAnsi="宋体" w:cs="宋体"/>
          <w:color w:val="auto"/>
          <w:szCs w:val="21"/>
          <w:lang w:eastAsia="zh-CN"/>
        </w:rPr>
        <w:t>征集</w:t>
      </w:r>
      <w:r>
        <w:rPr>
          <w:rFonts w:hint="eastAsia" w:ascii="宋体" w:hAnsi="宋体" w:cs="宋体"/>
          <w:color w:val="auto"/>
          <w:szCs w:val="21"/>
        </w:rPr>
        <w:t>文件的要求相一致的文件，可以是文字资料、图纸和数据。</w:t>
      </w:r>
    </w:p>
    <w:p w14:paraId="4D4BF88B">
      <w:pPr>
        <w:numPr>
          <w:ilvl w:val="0"/>
          <w:numId w:val="18"/>
        </w:numPr>
        <w:autoSpaceDE w:val="0"/>
        <w:autoSpaceDN w:val="0"/>
        <w:adjustRightInd w:val="0"/>
        <w:snapToGrid w:val="0"/>
        <w:spacing w:line="360" w:lineRule="auto"/>
        <w:ind w:left="449" w:hanging="449" w:hangingChars="213"/>
        <w:outlineLvl w:val="1"/>
        <w:rPr>
          <w:rFonts w:ascii="宋体" w:hAnsi="宋体"/>
          <w:b/>
          <w:bCs/>
          <w:szCs w:val="21"/>
        </w:rPr>
      </w:pPr>
      <w:bookmarkStart w:id="144" w:name="_Toc20270"/>
      <w:r>
        <w:rPr>
          <w:rFonts w:hint="eastAsia" w:ascii="宋体" w:hAnsi="宋体"/>
          <w:b/>
          <w:bCs/>
          <w:szCs w:val="21"/>
        </w:rPr>
        <w:t>投标文件的式样和签署、密封</w:t>
      </w:r>
      <w:bookmarkEnd w:id="144"/>
    </w:p>
    <w:p w14:paraId="669ADE1D">
      <w:pPr>
        <w:numPr>
          <w:ilvl w:val="1"/>
          <w:numId w:val="18"/>
        </w:numPr>
        <w:autoSpaceDE w:val="0"/>
        <w:autoSpaceDN w:val="0"/>
        <w:adjustRightInd w:val="0"/>
        <w:snapToGrid w:val="0"/>
        <w:spacing w:line="360" w:lineRule="auto"/>
        <w:rPr>
          <w:rFonts w:ascii="宋体" w:hAnsi="宋体" w:cs="黑体"/>
          <w:b/>
          <w:bCs/>
          <w:szCs w:val="21"/>
        </w:rPr>
      </w:pPr>
      <w:bookmarkStart w:id="145" w:name="_Toc438223139"/>
      <w:bookmarkStart w:id="146" w:name="_Toc435516653"/>
      <w:bookmarkStart w:id="147" w:name="_Toc435174936"/>
      <w:r>
        <w:rPr>
          <w:rFonts w:hint="eastAsia" w:ascii="宋体" w:hAnsi="宋体" w:cs="宋体"/>
          <w:szCs w:val="21"/>
        </w:rPr>
        <w:t>投标文件的式样：投标人应准备纸质投标文件一份正本、电子文件和</w:t>
      </w:r>
      <w:r>
        <w:rPr>
          <w:rFonts w:hint="eastAsia" w:ascii="宋体" w:hAnsi="宋体" w:cs="宋体"/>
          <w:szCs w:val="21"/>
          <w:lang w:val="en-US" w:eastAsia="zh-CN"/>
        </w:rPr>
        <w:t>征集须知</w:t>
      </w:r>
      <w:r>
        <w:rPr>
          <w:rFonts w:hint="eastAsia" w:ascii="宋体" w:hAnsi="宋体" w:cs="宋体"/>
          <w:szCs w:val="21"/>
        </w:rPr>
        <w:t>中规定数目的纸质副本</w:t>
      </w:r>
      <w:r>
        <w:rPr>
          <w:rFonts w:hint="eastAsia" w:ascii="宋体" w:hAnsi="宋体" w:cs="宋体"/>
          <w:szCs w:val="21"/>
          <w:lang w:eastAsia="zh-CN"/>
        </w:rPr>
        <w:t>（</w:t>
      </w:r>
      <w:r>
        <w:rPr>
          <w:rFonts w:hint="eastAsia" w:ascii="宋体" w:hAnsi="宋体" w:cs="宋体"/>
          <w:szCs w:val="21"/>
          <w:lang w:val="en-US" w:eastAsia="zh-CN"/>
        </w:rPr>
        <w:t>三份</w:t>
      </w:r>
      <w:r>
        <w:rPr>
          <w:rFonts w:hint="eastAsia" w:ascii="宋体" w:hAnsi="宋体" w:cs="宋体"/>
          <w:szCs w:val="21"/>
          <w:lang w:eastAsia="zh-CN"/>
        </w:rPr>
        <w:t>）</w:t>
      </w:r>
      <w:r>
        <w:rPr>
          <w:rFonts w:hint="eastAsia" w:ascii="宋体" w:hAnsi="宋体" w:cs="宋体"/>
          <w:szCs w:val="21"/>
        </w:rPr>
        <w:t>。投标文件的副本可采用正本的复印件。每套投标文件须清楚地标明“正本”或“副本”。</w:t>
      </w:r>
      <w:r>
        <w:rPr>
          <w:rFonts w:hint="eastAsia" w:ascii="宋体" w:hAnsi="宋体" w:cs="宋体"/>
          <w:szCs w:val="21"/>
          <w:lang w:eastAsia="zh-TW"/>
        </w:rPr>
        <w:t>若副本与正本不符</w:t>
      </w:r>
      <w:r>
        <w:rPr>
          <w:rFonts w:hint="eastAsia" w:ascii="宋体" w:hAnsi="宋体" w:cs="宋体"/>
          <w:szCs w:val="21"/>
        </w:rPr>
        <w:t>，</w:t>
      </w:r>
      <w:r>
        <w:rPr>
          <w:rFonts w:hint="eastAsia" w:ascii="宋体" w:hAnsi="宋体" w:cs="宋体"/>
          <w:szCs w:val="21"/>
          <w:lang w:eastAsia="zh-TW"/>
        </w:rPr>
        <w:t>以正本为准。</w:t>
      </w:r>
    </w:p>
    <w:p w14:paraId="33C4C948">
      <w:pPr>
        <w:numPr>
          <w:ilvl w:val="1"/>
          <w:numId w:val="18"/>
        </w:numPr>
        <w:autoSpaceDE w:val="0"/>
        <w:autoSpaceDN w:val="0"/>
        <w:adjustRightInd w:val="0"/>
        <w:snapToGrid w:val="0"/>
        <w:spacing w:line="360" w:lineRule="auto"/>
        <w:rPr>
          <w:rFonts w:ascii="宋体" w:hAnsi="宋体" w:cs="宋体"/>
          <w:szCs w:val="21"/>
        </w:rPr>
      </w:pPr>
      <w:r>
        <w:rPr>
          <w:rFonts w:hint="eastAsia" w:ascii="宋体" w:hAnsi="宋体" w:cs="宋体"/>
          <w:szCs w:val="21"/>
        </w:rPr>
        <w:t>电子文件：是指将按</w:t>
      </w:r>
      <w:r>
        <w:rPr>
          <w:rFonts w:hint="eastAsia" w:ascii="宋体" w:hAnsi="宋体" w:cs="宋体"/>
          <w:szCs w:val="21"/>
          <w:lang w:eastAsia="zh-CN"/>
        </w:rPr>
        <w:t>征集</w:t>
      </w:r>
      <w:r>
        <w:rPr>
          <w:rFonts w:hint="eastAsia" w:ascii="宋体" w:hAnsi="宋体" w:cs="宋体"/>
          <w:szCs w:val="21"/>
        </w:rPr>
        <w:t>文件要求签署、盖章后的正本投标文件扫描成PDF格式后拷贝至无病毒无密码的U盘或光盘。电子文件与</w:t>
      </w:r>
      <w:r>
        <w:rPr>
          <w:rFonts w:hint="eastAsia" w:ascii="宋体" w:hAnsi="宋体" w:cs="宋体"/>
          <w:szCs w:val="21"/>
          <w:lang w:val="en-US" w:eastAsia="zh-CN"/>
        </w:rPr>
        <w:t>开标一览表</w:t>
      </w:r>
      <w:r>
        <w:rPr>
          <w:rFonts w:hint="eastAsia" w:ascii="宋体" w:hAnsi="宋体" w:cs="宋体"/>
          <w:szCs w:val="21"/>
        </w:rPr>
        <w:t>一同密封，若电子文件与正本不符，以正本为准。</w:t>
      </w:r>
    </w:p>
    <w:p w14:paraId="2956E498">
      <w:pPr>
        <w:numPr>
          <w:ilvl w:val="1"/>
          <w:numId w:val="18"/>
        </w:numPr>
        <w:autoSpaceDE w:val="0"/>
        <w:autoSpaceDN w:val="0"/>
        <w:adjustRightInd w:val="0"/>
        <w:snapToGrid w:val="0"/>
        <w:spacing w:line="360" w:lineRule="auto"/>
        <w:ind w:left="567" w:leftChars="0" w:hanging="567" w:firstLineChars="0"/>
        <w:outlineLvl w:val="9"/>
        <w:rPr>
          <w:rFonts w:ascii="宋体" w:hAnsi="宋体" w:cs="黑体"/>
          <w:b/>
          <w:bCs/>
          <w:szCs w:val="21"/>
        </w:rPr>
      </w:pPr>
      <w:r>
        <w:rPr>
          <w:rFonts w:hint="eastAsia" w:ascii="宋体" w:hAnsi="宋体" w:cs="宋体"/>
          <w:szCs w:val="21"/>
          <w:lang w:eastAsia="zh-TW"/>
        </w:rPr>
        <w:t>投标文件的签署：</w:t>
      </w:r>
      <w:r>
        <w:rPr>
          <w:rFonts w:ascii="宋体" w:hAnsi="宋体" w:cs="黑体"/>
          <w:b/>
          <w:bCs/>
          <w:szCs w:val="21"/>
        </w:rPr>
        <w:t xml:space="preserve"> </w:t>
      </w:r>
    </w:p>
    <w:p w14:paraId="17D5B1D7">
      <w:pPr>
        <w:numPr>
          <w:ilvl w:val="0"/>
          <w:numId w:val="0"/>
        </w:numPr>
        <w:autoSpaceDE w:val="0"/>
        <w:autoSpaceDN w:val="0"/>
        <w:adjustRightInd w:val="0"/>
        <w:snapToGrid w:val="0"/>
        <w:spacing w:line="360" w:lineRule="auto"/>
        <w:ind w:leftChars="0"/>
        <w:rPr>
          <w:rFonts w:ascii="宋体" w:hAnsi="宋体"/>
          <w:szCs w:val="21"/>
        </w:rPr>
      </w:pPr>
      <w:r>
        <w:rPr>
          <w:rFonts w:hint="eastAsia" w:ascii="宋体" w:hAnsi="宋体" w:cs="宋体"/>
          <w:szCs w:val="21"/>
          <w:lang w:val="en-US" w:eastAsia="zh-CN"/>
        </w:rPr>
        <w:t>14.3.1.</w:t>
      </w:r>
      <w:r>
        <w:rPr>
          <w:rFonts w:hint="eastAsia" w:ascii="宋体" w:hAnsi="宋体" w:cs="宋体"/>
          <w:szCs w:val="21"/>
        </w:rPr>
        <w:t>投标文件的正本需打印或用不褪色墨水书写，且</w:t>
      </w:r>
      <w:r>
        <w:rPr>
          <w:rFonts w:hint="eastAsia" w:ascii="宋体" w:hAnsi="宋体" w:cs="宋体"/>
          <w:szCs w:val="21"/>
          <w:lang w:eastAsia="zh-CN"/>
        </w:rPr>
        <w:t>征集</w:t>
      </w:r>
      <w:r>
        <w:rPr>
          <w:rFonts w:hint="eastAsia" w:ascii="宋体" w:hAnsi="宋体" w:cs="宋体"/>
          <w:szCs w:val="21"/>
        </w:rPr>
        <w:t>文件要求签名的由法定代表人或经其正式授权的代表签字或盖章，以及</w:t>
      </w:r>
      <w:r>
        <w:rPr>
          <w:rFonts w:hint="eastAsia" w:ascii="宋体" w:hAnsi="宋体" w:cs="宋体"/>
          <w:szCs w:val="21"/>
          <w:lang w:eastAsia="zh-CN"/>
        </w:rPr>
        <w:t>征集</w:t>
      </w:r>
      <w:r>
        <w:rPr>
          <w:rFonts w:hint="eastAsia" w:ascii="宋体" w:hAnsi="宋体" w:cs="宋体"/>
          <w:szCs w:val="21"/>
        </w:rPr>
        <w:t>文件中明示盖公章处及要求提供的证明材料应盖投标人公章，副本可以</w:t>
      </w:r>
      <w:r>
        <w:rPr>
          <w:rFonts w:hint="eastAsia" w:ascii="宋体" w:hAnsi="宋体" w:cs="Courier New"/>
        </w:rPr>
        <w:t>用正本</w:t>
      </w:r>
      <w:r>
        <w:rPr>
          <w:rFonts w:hint="eastAsia" w:ascii="宋体" w:hAnsi="宋体" w:cs="宋体"/>
          <w:szCs w:val="21"/>
        </w:rPr>
        <w:t>复印，与正本具有同等法律效力。授权代表须将以书面形式出具的《法定代表人授权委托书》附在投标文件中。</w:t>
      </w:r>
    </w:p>
    <w:p w14:paraId="087BEF45">
      <w:pPr>
        <w:numPr>
          <w:ilvl w:val="2"/>
          <w:numId w:val="18"/>
        </w:numPr>
        <w:tabs>
          <w:tab w:val="left" w:pos="851"/>
        </w:tabs>
        <w:autoSpaceDE w:val="0"/>
        <w:autoSpaceDN w:val="0"/>
        <w:adjustRightInd w:val="0"/>
        <w:snapToGrid w:val="0"/>
        <w:spacing w:line="360" w:lineRule="auto"/>
        <w:ind w:left="851" w:hanging="851"/>
        <w:rPr>
          <w:rFonts w:ascii="宋体" w:hAnsi="宋体" w:cs="宋体"/>
          <w:b w:val="0"/>
          <w:bCs w:val="0"/>
          <w:szCs w:val="21"/>
        </w:rPr>
      </w:pPr>
      <w:r>
        <w:rPr>
          <w:rFonts w:hint="eastAsia" w:ascii="宋体" w:hAnsi="宋体" w:cs="宋体"/>
          <w:szCs w:val="21"/>
        </w:rPr>
        <w:t>投标文件中的任何重要的插字、涂改和增删，必须由法定代表人或经其正式授权的</w:t>
      </w:r>
      <w:r>
        <w:rPr>
          <w:rFonts w:hint="eastAsia" w:ascii="宋体" w:hAnsi="宋体" w:cs="宋体"/>
          <w:b w:val="0"/>
          <w:bCs w:val="0"/>
          <w:szCs w:val="21"/>
        </w:rPr>
        <w:t>代表在旁边签章或签字</w:t>
      </w:r>
      <w:r>
        <w:rPr>
          <w:rFonts w:hint="eastAsia" w:ascii="宋体" w:hAnsi="宋体"/>
          <w:b w:val="0"/>
          <w:bCs w:val="0"/>
        </w:rPr>
        <w:t>或盖投标人公章</w:t>
      </w:r>
      <w:r>
        <w:rPr>
          <w:rFonts w:hint="eastAsia" w:ascii="宋体" w:hAnsi="宋体" w:cs="宋体"/>
          <w:b w:val="0"/>
          <w:bCs w:val="0"/>
          <w:szCs w:val="21"/>
        </w:rPr>
        <w:t>才有效。</w:t>
      </w:r>
    </w:p>
    <w:p w14:paraId="3179F55C">
      <w:pPr>
        <w:numPr>
          <w:ilvl w:val="1"/>
          <w:numId w:val="18"/>
        </w:numPr>
        <w:autoSpaceDE w:val="0"/>
        <w:autoSpaceDN w:val="0"/>
        <w:adjustRightInd w:val="0"/>
        <w:snapToGrid w:val="0"/>
        <w:spacing w:line="360" w:lineRule="auto"/>
        <w:ind w:left="567" w:leftChars="0" w:hanging="567" w:firstLineChars="0"/>
        <w:outlineLvl w:val="9"/>
        <w:rPr>
          <w:rFonts w:ascii="宋体" w:hAnsi="宋体" w:cs="黑体"/>
          <w:b w:val="0"/>
          <w:bCs w:val="0"/>
          <w:szCs w:val="21"/>
        </w:rPr>
      </w:pPr>
      <w:r>
        <w:rPr>
          <w:rFonts w:hint="eastAsia" w:ascii="宋体" w:hAnsi="宋体" w:cs="宋体"/>
          <w:b w:val="0"/>
          <w:bCs w:val="0"/>
          <w:szCs w:val="21"/>
          <w:lang w:eastAsia="zh-TW"/>
        </w:rPr>
        <w:t>投标文件</w:t>
      </w:r>
      <w:r>
        <w:rPr>
          <w:rFonts w:hint="eastAsia" w:ascii="宋体" w:hAnsi="宋体" w:cs="宋体"/>
          <w:b w:val="0"/>
          <w:bCs w:val="0"/>
          <w:szCs w:val="21"/>
          <w:lang w:val="en-US" w:eastAsia="zh-CN"/>
        </w:rPr>
        <w:t>必须</w:t>
      </w:r>
      <w:r>
        <w:rPr>
          <w:rFonts w:hint="eastAsia" w:ascii="宋体" w:hAnsi="宋体"/>
          <w:b w:val="0"/>
          <w:bCs w:val="0"/>
          <w:szCs w:val="21"/>
        </w:rPr>
        <w:t>密封</w:t>
      </w:r>
      <w:r>
        <w:rPr>
          <w:rFonts w:hint="eastAsia" w:ascii="宋体" w:hAnsi="宋体" w:cs="宋体"/>
          <w:b w:val="0"/>
          <w:bCs w:val="0"/>
          <w:szCs w:val="21"/>
          <w:lang w:eastAsia="zh-TW"/>
        </w:rPr>
        <w:t>：</w:t>
      </w:r>
    </w:p>
    <w:p w14:paraId="10B9B55B">
      <w:pPr>
        <w:numPr>
          <w:ilvl w:val="2"/>
          <w:numId w:val="18"/>
        </w:numPr>
        <w:tabs>
          <w:tab w:val="left" w:pos="851"/>
          <w:tab w:val="clear" w:pos="567"/>
        </w:tabs>
        <w:autoSpaceDE w:val="0"/>
        <w:autoSpaceDN w:val="0"/>
        <w:adjustRightInd w:val="0"/>
        <w:snapToGrid w:val="0"/>
        <w:spacing w:line="360" w:lineRule="auto"/>
        <w:ind w:left="567" w:leftChars="0" w:hanging="567" w:firstLineChars="0"/>
        <w:rPr>
          <w:rFonts w:hint="eastAsia" w:ascii="宋体" w:hAnsi="宋体" w:cs="宋体"/>
          <w:szCs w:val="21"/>
        </w:rPr>
      </w:pPr>
      <w:r>
        <w:rPr>
          <w:rFonts w:hint="eastAsia" w:ascii="宋体" w:hAnsi="宋体"/>
        </w:rPr>
        <w:t>信封或外包装上应当</w:t>
      </w:r>
      <w:r>
        <w:rPr>
          <w:rFonts w:hint="eastAsia" w:ascii="宋体" w:hAnsi="宋体" w:cs="宋体"/>
          <w:szCs w:val="21"/>
        </w:rPr>
        <w:t>清楚写明</w:t>
      </w:r>
      <w:r>
        <w:rPr>
          <w:rFonts w:hint="eastAsia" w:ascii="宋体" w:hAnsi="宋体"/>
        </w:rPr>
        <w:t>投标人名称、项目名称、项目编号、</w:t>
      </w:r>
      <w:r>
        <w:rPr>
          <w:rFonts w:hint="eastAsia" w:ascii="宋体" w:hAnsi="宋体" w:cs="宋体"/>
          <w:szCs w:val="21"/>
        </w:rPr>
        <w:t>包组号（如有）和</w:t>
      </w:r>
      <w:r>
        <w:rPr>
          <w:rFonts w:hint="eastAsia" w:ascii="宋体" w:hAnsi="宋体"/>
          <w:szCs w:val="21"/>
        </w:rPr>
        <w:t>“</w:t>
      </w:r>
      <w:r>
        <w:rPr>
          <w:rFonts w:hint="eastAsia" w:ascii="宋体" w:hAnsi="宋体" w:cs="宋体"/>
          <w:szCs w:val="21"/>
        </w:rPr>
        <w:t>在</w:t>
      </w:r>
      <w:r>
        <w:rPr>
          <w:rFonts w:ascii="宋体" w:hAnsi="宋体" w:cs="宋体"/>
          <w:szCs w:val="21"/>
        </w:rPr>
        <w:t>(</w:t>
      </w:r>
      <w:r>
        <w:rPr>
          <w:rFonts w:hint="eastAsia" w:ascii="宋体" w:hAnsi="宋体" w:cs="宋体"/>
          <w:szCs w:val="21"/>
          <w:lang w:eastAsia="zh-CN"/>
        </w:rPr>
        <w:t>征集</w:t>
      </w:r>
      <w:r>
        <w:rPr>
          <w:rFonts w:hint="eastAsia" w:ascii="宋体" w:hAnsi="宋体" w:cs="宋体"/>
          <w:szCs w:val="21"/>
        </w:rPr>
        <w:t>文件中规定的开标日期和时间</w:t>
      </w:r>
      <w:r>
        <w:rPr>
          <w:rFonts w:ascii="宋体" w:hAnsi="宋体" w:cs="宋体"/>
          <w:szCs w:val="21"/>
        </w:rPr>
        <w:t>)</w:t>
      </w:r>
      <w:r>
        <w:rPr>
          <w:rFonts w:hint="eastAsia" w:ascii="宋体" w:hAnsi="宋体" w:cs="宋体"/>
          <w:szCs w:val="21"/>
        </w:rPr>
        <w:t>之前不得启封”的字样。</w:t>
      </w:r>
    </w:p>
    <w:p w14:paraId="74C79580">
      <w:pPr>
        <w:numPr>
          <w:ilvl w:val="0"/>
          <w:numId w:val="0"/>
        </w:numPr>
        <w:tabs>
          <w:tab w:val="left" w:pos="851"/>
        </w:tabs>
        <w:autoSpaceDE w:val="0"/>
        <w:autoSpaceDN w:val="0"/>
        <w:adjustRightInd w:val="0"/>
        <w:snapToGrid w:val="0"/>
        <w:spacing w:line="360" w:lineRule="auto"/>
        <w:ind w:leftChars="0"/>
        <w:rPr>
          <w:rFonts w:hint="eastAsia" w:ascii="宋体" w:hAnsi="宋体" w:cs="宋体"/>
          <w:szCs w:val="21"/>
        </w:rPr>
      </w:pPr>
    </w:p>
    <w:p w14:paraId="2761954F">
      <w:pPr>
        <w:pStyle w:val="4"/>
        <w:numPr>
          <w:ilvl w:val="0"/>
          <w:numId w:val="0"/>
        </w:numPr>
        <w:spacing w:line="240" w:lineRule="auto"/>
        <w:ind w:left="420" w:leftChars="0" w:hanging="420" w:firstLineChars="0"/>
        <w:jc w:val="center"/>
        <w:outlineLvl w:val="9"/>
        <w:rPr>
          <w:rFonts w:asciiTheme="majorEastAsia" w:hAnsiTheme="majorEastAsia" w:eastAsiaTheme="majorEastAsia"/>
          <w:sz w:val="30"/>
          <w:szCs w:val="30"/>
          <w:lang w:eastAsia="zh-TW"/>
        </w:rPr>
      </w:pPr>
      <w:bookmarkStart w:id="148" w:name="_Toc5252"/>
      <w:bookmarkStart w:id="149" w:name="_Toc28883"/>
      <w:r>
        <w:rPr>
          <w:rFonts w:hint="eastAsia" w:asciiTheme="majorEastAsia" w:hAnsiTheme="majorEastAsia" w:eastAsiaTheme="majorEastAsia"/>
          <w:sz w:val="30"/>
          <w:szCs w:val="30"/>
          <w:lang w:eastAsia="zh-TW"/>
        </w:rPr>
        <w:t>投标文件的递交</w:t>
      </w:r>
      <w:bookmarkEnd w:id="145"/>
      <w:bookmarkEnd w:id="146"/>
      <w:bookmarkEnd w:id="147"/>
      <w:bookmarkEnd w:id="148"/>
      <w:bookmarkEnd w:id="149"/>
    </w:p>
    <w:p w14:paraId="34019736">
      <w:pPr>
        <w:numPr>
          <w:ilvl w:val="0"/>
          <w:numId w:val="18"/>
        </w:numPr>
        <w:autoSpaceDE w:val="0"/>
        <w:autoSpaceDN w:val="0"/>
        <w:adjustRightInd w:val="0"/>
        <w:snapToGrid w:val="0"/>
        <w:spacing w:line="360" w:lineRule="auto"/>
        <w:ind w:left="449" w:hanging="449" w:hangingChars="213"/>
        <w:outlineLvl w:val="1"/>
        <w:rPr>
          <w:rFonts w:ascii="宋体" w:hAnsi="宋体"/>
          <w:b/>
          <w:bCs/>
          <w:szCs w:val="21"/>
        </w:rPr>
      </w:pPr>
      <w:bookmarkStart w:id="150" w:name="_Toc13202"/>
      <w:r>
        <w:rPr>
          <w:rFonts w:hint="eastAsia" w:ascii="宋体" w:hAnsi="宋体"/>
          <w:b/>
          <w:bCs/>
          <w:szCs w:val="21"/>
        </w:rPr>
        <w:t>投标文件递交</w:t>
      </w:r>
      <w:bookmarkEnd w:id="150"/>
    </w:p>
    <w:p w14:paraId="6CF7C752">
      <w:pPr>
        <w:numPr>
          <w:ilvl w:val="1"/>
          <w:numId w:val="18"/>
        </w:numPr>
        <w:autoSpaceDE w:val="0"/>
        <w:autoSpaceDN w:val="0"/>
        <w:adjustRightInd w:val="0"/>
        <w:snapToGrid w:val="0"/>
        <w:spacing w:line="360" w:lineRule="auto"/>
        <w:rPr>
          <w:rFonts w:ascii="宋体" w:hAnsi="宋体" w:cs="黑体"/>
          <w:b/>
          <w:bCs/>
          <w:szCs w:val="21"/>
        </w:rPr>
      </w:pPr>
      <w:r>
        <w:rPr>
          <w:rFonts w:hint="eastAsia" w:ascii="宋体" w:hAnsi="宋体" w:cs="宋体"/>
          <w:szCs w:val="21"/>
        </w:rPr>
        <w:t>投标人的投标文件应在</w:t>
      </w:r>
      <w:r>
        <w:rPr>
          <w:rFonts w:hint="eastAsia" w:ascii="宋体" w:hAnsi="宋体"/>
        </w:rPr>
        <w:t>本项目投标截止时间前送达开标地点。</w:t>
      </w:r>
    </w:p>
    <w:p w14:paraId="3C3AF87B">
      <w:pPr>
        <w:numPr>
          <w:ilvl w:val="1"/>
          <w:numId w:val="18"/>
        </w:numPr>
        <w:autoSpaceDE w:val="0"/>
        <w:autoSpaceDN w:val="0"/>
        <w:adjustRightInd w:val="0"/>
        <w:snapToGrid w:val="0"/>
        <w:spacing w:line="360" w:lineRule="auto"/>
        <w:rPr>
          <w:rFonts w:hint="eastAsia" w:ascii="宋体" w:hAnsi="宋体"/>
        </w:rPr>
      </w:pPr>
      <w:r>
        <w:rPr>
          <w:rFonts w:hint="eastAsia" w:ascii="宋体" w:hAnsi="宋体"/>
        </w:rPr>
        <w:t>逾期送达或者未按照</w:t>
      </w:r>
      <w:r>
        <w:rPr>
          <w:rFonts w:hint="eastAsia" w:ascii="宋体" w:hAnsi="宋体"/>
          <w:lang w:eastAsia="zh-CN"/>
        </w:rPr>
        <w:t>征集</w:t>
      </w:r>
      <w:r>
        <w:rPr>
          <w:rFonts w:hint="eastAsia" w:ascii="宋体" w:hAnsi="宋体"/>
        </w:rPr>
        <w:t>文件要求密封的投标文件，采购人应当拒收。</w:t>
      </w:r>
    </w:p>
    <w:p w14:paraId="4E5AD5BF">
      <w:pPr>
        <w:numPr>
          <w:ilvl w:val="1"/>
          <w:numId w:val="18"/>
        </w:numPr>
        <w:autoSpaceDE w:val="0"/>
        <w:autoSpaceDN w:val="0"/>
        <w:adjustRightInd w:val="0"/>
        <w:snapToGrid w:val="0"/>
        <w:spacing w:line="360" w:lineRule="auto"/>
        <w:rPr>
          <w:rFonts w:hint="eastAsia" w:ascii="宋体" w:hAnsi="宋体"/>
        </w:rPr>
      </w:pPr>
      <w:r>
        <w:rPr>
          <w:rFonts w:hint="eastAsia" w:ascii="宋体" w:hAnsi="宋体"/>
        </w:rPr>
        <w:t>《开标一览表》作为开标时唱标的依据，除按格式要求放入投标文件中外，还应另行单独密封提交一份，在封口密封处加盖公章（或密封封口处粘贴封条并加盖投标单位公章），并在信封上标明“开标一览表”字样。</w:t>
      </w:r>
    </w:p>
    <w:p w14:paraId="29C8BEAC">
      <w:pPr>
        <w:numPr>
          <w:ilvl w:val="1"/>
          <w:numId w:val="18"/>
        </w:numPr>
        <w:autoSpaceDE w:val="0"/>
        <w:autoSpaceDN w:val="0"/>
        <w:adjustRightInd w:val="0"/>
        <w:snapToGrid w:val="0"/>
        <w:spacing w:line="360" w:lineRule="auto"/>
        <w:rPr>
          <w:rFonts w:hint="eastAsia" w:ascii="宋体" w:hAnsi="宋体"/>
        </w:rPr>
      </w:pPr>
      <w:r>
        <w:rPr>
          <w:rFonts w:hint="eastAsia" w:ascii="宋体" w:hAnsi="宋体"/>
        </w:rPr>
        <w:t>投标文件正本、所有的副本应统一封装在一个信封中，信封密封封口处须加盖投标单位公章（或信封密封封口处粘贴封条并加盖投标单位公章）。</w:t>
      </w:r>
    </w:p>
    <w:p w14:paraId="5D6ABDE0">
      <w:pPr>
        <w:numPr>
          <w:ilvl w:val="1"/>
          <w:numId w:val="18"/>
        </w:numPr>
        <w:autoSpaceDE w:val="0"/>
        <w:autoSpaceDN w:val="0"/>
        <w:adjustRightInd w:val="0"/>
        <w:snapToGrid w:val="0"/>
        <w:spacing w:line="360" w:lineRule="auto"/>
        <w:rPr>
          <w:rFonts w:hint="eastAsia" w:ascii="宋体" w:hAnsi="宋体"/>
        </w:rPr>
      </w:pPr>
      <w:r>
        <w:rPr>
          <w:rFonts w:hint="eastAsia" w:ascii="宋体" w:hAnsi="宋体"/>
        </w:rPr>
        <w:t>密封包上</w:t>
      </w:r>
      <w:r>
        <w:rPr>
          <w:rFonts w:hint="eastAsia" w:ascii="宋体" w:hAnsi="宋体"/>
          <w:lang w:val="en-US" w:eastAsia="zh-CN"/>
        </w:rPr>
        <w:t>应</w:t>
      </w:r>
      <w:r>
        <w:rPr>
          <w:rFonts w:hint="eastAsia" w:ascii="宋体" w:hAnsi="宋体"/>
        </w:rPr>
        <w:t>注明所规定的开标时间（指</w:t>
      </w:r>
      <w:r>
        <w:rPr>
          <w:rFonts w:hint="eastAsia" w:ascii="宋体" w:hAnsi="宋体"/>
          <w:lang w:eastAsia="zh-CN"/>
        </w:rPr>
        <w:t>征集</w:t>
      </w:r>
      <w:r>
        <w:rPr>
          <w:rFonts w:hint="eastAsia" w:ascii="宋体" w:hAnsi="宋体"/>
        </w:rPr>
        <w:t>公告中规定的开标时间）前不准启封的字样。</w:t>
      </w:r>
    </w:p>
    <w:p w14:paraId="5C42D29C">
      <w:pPr>
        <w:numPr>
          <w:ilvl w:val="1"/>
          <w:numId w:val="18"/>
        </w:numPr>
        <w:autoSpaceDE w:val="0"/>
        <w:autoSpaceDN w:val="0"/>
        <w:adjustRightInd w:val="0"/>
        <w:snapToGrid w:val="0"/>
        <w:spacing w:line="360" w:lineRule="auto"/>
        <w:rPr>
          <w:rFonts w:hint="eastAsia" w:ascii="宋体" w:hAnsi="宋体"/>
        </w:rPr>
      </w:pPr>
      <w:r>
        <w:rPr>
          <w:rFonts w:hint="eastAsia" w:ascii="宋体" w:hAnsi="宋体"/>
          <w:lang w:val="en-US" w:eastAsia="zh-CN"/>
        </w:rPr>
        <w:t>我院将拒绝并原封退回在其规定的投标截止期后收到的任何投标文件。</w:t>
      </w:r>
    </w:p>
    <w:p w14:paraId="5FB9A843">
      <w:pPr>
        <w:numPr>
          <w:ilvl w:val="0"/>
          <w:numId w:val="18"/>
        </w:numPr>
        <w:autoSpaceDE w:val="0"/>
        <w:autoSpaceDN w:val="0"/>
        <w:adjustRightInd w:val="0"/>
        <w:snapToGrid w:val="0"/>
        <w:spacing w:line="360" w:lineRule="auto"/>
        <w:ind w:left="449" w:hanging="449" w:hangingChars="213"/>
        <w:outlineLvl w:val="1"/>
        <w:rPr>
          <w:rFonts w:ascii="宋体" w:hAnsi="宋体"/>
          <w:b/>
          <w:bCs/>
          <w:szCs w:val="21"/>
        </w:rPr>
      </w:pPr>
      <w:bookmarkStart w:id="151" w:name="_Toc22017"/>
      <w:r>
        <w:rPr>
          <w:rFonts w:hint="eastAsia" w:ascii="宋体" w:hAnsi="宋体"/>
          <w:b/>
          <w:bCs/>
          <w:szCs w:val="21"/>
        </w:rPr>
        <w:t>投标文件的修改和撤回、撤销</w:t>
      </w:r>
      <w:bookmarkEnd w:id="151"/>
    </w:p>
    <w:p w14:paraId="6E8E5B6D">
      <w:pPr>
        <w:numPr>
          <w:ilvl w:val="1"/>
          <w:numId w:val="18"/>
        </w:numPr>
        <w:autoSpaceDE w:val="0"/>
        <w:autoSpaceDN w:val="0"/>
        <w:adjustRightInd w:val="0"/>
        <w:snapToGrid w:val="0"/>
        <w:spacing w:line="360" w:lineRule="auto"/>
        <w:rPr>
          <w:rFonts w:ascii="宋体" w:hAnsi="宋体" w:cs="黑体"/>
          <w:b/>
          <w:bCs/>
          <w:szCs w:val="21"/>
        </w:rPr>
      </w:pPr>
      <w:r>
        <w:rPr>
          <w:rFonts w:hint="eastAsia" w:ascii="宋体" w:hAnsi="宋体" w:cs="宋体"/>
          <w:szCs w:val="21"/>
        </w:rPr>
        <w:t>投标人在投标截止时间前，可以对所递交的投标文件进行补充、修改或者撤回。补充、修改的内容应当按</w:t>
      </w:r>
      <w:r>
        <w:rPr>
          <w:rFonts w:hint="eastAsia" w:ascii="宋体" w:hAnsi="宋体" w:cs="宋体"/>
          <w:szCs w:val="21"/>
          <w:lang w:eastAsia="zh-CN"/>
        </w:rPr>
        <w:t>征集</w:t>
      </w:r>
      <w:r>
        <w:rPr>
          <w:rFonts w:hint="eastAsia" w:ascii="宋体" w:hAnsi="宋体" w:cs="宋体"/>
          <w:szCs w:val="21"/>
        </w:rPr>
        <w:t>文件要求签署、盖章、密封后，并作为投标文件的组成部分。在投标截止时间之后，投标人不得对其投标文件做任何修改和补充。</w:t>
      </w:r>
    </w:p>
    <w:p w14:paraId="00F01FD5">
      <w:pPr>
        <w:numPr>
          <w:ilvl w:val="1"/>
          <w:numId w:val="18"/>
        </w:numPr>
        <w:autoSpaceDE w:val="0"/>
        <w:autoSpaceDN w:val="0"/>
        <w:adjustRightInd w:val="0"/>
        <w:snapToGrid w:val="0"/>
        <w:spacing w:line="360" w:lineRule="auto"/>
        <w:rPr>
          <w:rFonts w:ascii="宋体" w:hAnsi="宋体" w:cs="黑体"/>
          <w:b/>
          <w:bCs/>
          <w:strike/>
          <w:szCs w:val="21"/>
        </w:rPr>
      </w:pPr>
      <w:r>
        <w:rPr>
          <w:rFonts w:hint="eastAsia" w:ascii="宋体" w:hAnsi="宋体"/>
          <w:bCs/>
        </w:rPr>
        <w:t>投标人在投标截止后或在</w:t>
      </w:r>
      <w:r>
        <w:rPr>
          <w:rFonts w:hint="eastAsia" w:ascii="宋体" w:hAnsi="宋体"/>
          <w:bCs/>
          <w:lang w:eastAsia="zh-CN"/>
        </w:rPr>
        <w:t>征集</w:t>
      </w:r>
      <w:r>
        <w:rPr>
          <w:rFonts w:hint="eastAsia" w:ascii="宋体" w:hAnsi="宋体"/>
          <w:bCs/>
        </w:rPr>
        <w:t>文件中规定的投标有效期内不可撤销其投标。</w:t>
      </w:r>
      <w:r>
        <w:rPr>
          <w:rFonts w:hint="eastAsia" w:ascii="宋体" w:hAnsi="宋体"/>
        </w:rPr>
        <w:t>投标人所提交的投标文件在本项目投标截止时间后均不予退还。</w:t>
      </w:r>
    </w:p>
    <w:p w14:paraId="6D72A899">
      <w:pPr>
        <w:numPr>
          <w:ilvl w:val="0"/>
          <w:numId w:val="18"/>
        </w:numPr>
        <w:autoSpaceDE w:val="0"/>
        <w:autoSpaceDN w:val="0"/>
        <w:adjustRightInd w:val="0"/>
        <w:snapToGrid w:val="0"/>
        <w:spacing w:line="360" w:lineRule="auto"/>
        <w:ind w:left="449" w:hanging="449" w:hangingChars="213"/>
        <w:outlineLvl w:val="1"/>
        <w:rPr>
          <w:rFonts w:ascii="宋体" w:hAnsi="宋体" w:cs="黑体"/>
          <w:bCs/>
          <w:szCs w:val="21"/>
        </w:rPr>
      </w:pPr>
      <w:bookmarkStart w:id="152" w:name="_Toc18853"/>
      <w:r>
        <w:rPr>
          <w:rFonts w:hint="eastAsia" w:ascii="宋体" w:hAnsi="宋体"/>
          <w:b/>
          <w:bCs/>
          <w:szCs w:val="21"/>
        </w:rPr>
        <w:t>质疑</w:t>
      </w:r>
      <w:bookmarkEnd w:id="152"/>
    </w:p>
    <w:p w14:paraId="40FAED7F">
      <w:pPr>
        <w:numPr>
          <w:ilvl w:val="1"/>
          <w:numId w:val="18"/>
        </w:numPr>
        <w:autoSpaceDE w:val="0"/>
        <w:autoSpaceDN w:val="0"/>
        <w:adjustRightInd w:val="0"/>
        <w:snapToGrid w:val="0"/>
        <w:spacing w:line="360" w:lineRule="auto"/>
        <w:ind w:left="567" w:leftChars="0" w:hanging="567" w:firstLineChars="0"/>
        <w:outlineLvl w:val="9"/>
        <w:rPr>
          <w:rFonts w:ascii="宋体" w:hAnsi="宋体" w:cs="黑体"/>
          <w:bCs/>
          <w:szCs w:val="21"/>
        </w:rPr>
      </w:pPr>
      <w:r>
        <w:rPr>
          <w:rFonts w:hint="eastAsia" w:ascii="宋体" w:hAnsi="宋体" w:cs="黑体"/>
          <w:bCs/>
          <w:szCs w:val="21"/>
        </w:rPr>
        <w:t>质疑期限：</w:t>
      </w:r>
    </w:p>
    <w:p w14:paraId="495E23B1">
      <w:pPr>
        <w:numPr>
          <w:ilvl w:val="0"/>
          <w:numId w:val="0"/>
        </w:numPr>
        <w:tabs>
          <w:tab w:val="left" w:pos="1078"/>
        </w:tabs>
        <w:autoSpaceDE w:val="0"/>
        <w:autoSpaceDN w:val="0"/>
        <w:adjustRightInd w:val="0"/>
        <w:snapToGrid w:val="0"/>
        <w:spacing w:line="360" w:lineRule="auto"/>
        <w:ind w:leftChars="0"/>
        <w:rPr>
          <w:rFonts w:ascii="宋体" w:hAnsi="宋体" w:cs="黑体"/>
          <w:bCs/>
          <w:szCs w:val="21"/>
        </w:rPr>
      </w:pPr>
      <w:r>
        <w:rPr>
          <w:rFonts w:hint="eastAsia" w:ascii="宋体" w:hAnsi="宋体" w:cs="黑体"/>
          <w:bCs/>
          <w:szCs w:val="21"/>
          <w:lang w:val="en-US" w:eastAsia="zh-CN"/>
        </w:rPr>
        <w:t>17.1.1.</w:t>
      </w:r>
      <w:r>
        <w:rPr>
          <w:rFonts w:hint="eastAsia" w:ascii="宋体" w:hAnsi="宋体" w:cs="黑体"/>
          <w:bCs/>
          <w:szCs w:val="21"/>
        </w:rPr>
        <w:t>供应商认为采购文件的内容损害其权益的，应在采购文件公布之日起七个工作日内。</w:t>
      </w:r>
    </w:p>
    <w:p w14:paraId="285D781C">
      <w:pPr>
        <w:numPr>
          <w:ilvl w:val="0"/>
          <w:numId w:val="0"/>
        </w:numPr>
        <w:tabs>
          <w:tab w:val="left" w:pos="1078"/>
        </w:tabs>
        <w:autoSpaceDE w:val="0"/>
        <w:autoSpaceDN w:val="0"/>
        <w:adjustRightInd w:val="0"/>
        <w:snapToGrid w:val="0"/>
        <w:spacing w:line="360" w:lineRule="auto"/>
        <w:ind w:leftChars="0"/>
        <w:rPr>
          <w:rFonts w:ascii="宋体" w:hAnsi="宋体" w:cs="黑体"/>
          <w:bCs/>
          <w:szCs w:val="21"/>
        </w:rPr>
      </w:pPr>
      <w:r>
        <w:rPr>
          <w:rFonts w:hint="eastAsia" w:ascii="宋体" w:hAnsi="宋体" w:cs="黑体"/>
          <w:bCs/>
          <w:szCs w:val="21"/>
          <w:lang w:val="en-US" w:eastAsia="zh-CN"/>
        </w:rPr>
        <w:t>17.1.2.</w:t>
      </w:r>
      <w:r>
        <w:rPr>
          <w:rFonts w:hint="eastAsia" w:ascii="宋体" w:hAnsi="宋体" w:cs="黑体"/>
          <w:bCs/>
          <w:szCs w:val="21"/>
        </w:rPr>
        <w:t>供应商认为采购过程损害其权益的，应在各采购程序环节结束之日起七个工作日内。</w:t>
      </w:r>
    </w:p>
    <w:p w14:paraId="09A5D385">
      <w:pPr>
        <w:numPr>
          <w:ilvl w:val="0"/>
          <w:numId w:val="0"/>
        </w:numPr>
        <w:tabs>
          <w:tab w:val="left" w:pos="1078"/>
        </w:tabs>
        <w:autoSpaceDE w:val="0"/>
        <w:autoSpaceDN w:val="0"/>
        <w:adjustRightInd w:val="0"/>
        <w:snapToGrid w:val="0"/>
        <w:spacing w:line="360" w:lineRule="auto"/>
        <w:ind w:leftChars="0"/>
        <w:rPr>
          <w:rFonts w:ascii="宋体" w:hAnsi="宋体" w:cs="黑体"/>
          <w:bCs/>
          <w:szCs w:val="21"/>
        </w:rPr>
      </w:pPr>
      <w:r>
        <w:rPr>
          <w:rFonts w:hint="eastAsia" w:ascii="宋体" w:hAnsi="宋体" w:cs="黑体"/>
          <w:bCs/>
          <w:szCs w:val="21"/>
          <w:lang w:val="en-US" w:eastAsia="zh-CN"/>
        </w:rPr>
        <w:t>17.1.3.</w:t>
      </w:r>
      <w:r>
        <w:rPr>
          <w:rFonts w:hint="eastAsia" w:ascii="宋体" w:hAnsi="宋体" w:cs="黑体"/>
          <w:bCs/>
          <w:szCs w:val="21"/>
        </w:rPr>
        <w:t>供应商认为中标或者成交结果以及</w:t>
      </w:r>
      <w:r>
        <w:rPr>
          <w:rFonts w:hint="eastAsia" w:ascii="宋体" w:hAnsi="宋体" w:cs="黑体"/>
          <w:bCs/>
          <w:szCs w:val="21"/>
          <w:lang w:eastAsia="zh-CN"/>
        </w:rPr>
        <w:t>评标委员会</w:t>
      </w:r>
      <w:r>
        <w:rPr>
          <w:rFonts w:hint="eastAsia" w:ascii="宋体" w:hAnsi="宋体" w:cs="黑体"/>
          <w:bCs/>
          <w:szCs w:val="21"/>
        </w:rPr>
        <w:t>、谈判小组、竞价小组组成人员损害其权益的，应在中标或者成交结果公示之日起七个工作日内。</w:t>
      </w:r>
    </w:p>
    <w:p w14:paraId="4AC2CB6D">
      <w:pPr>
        <w:numPr>
          <w:ilvl w:val="1"/>
          <w:numId w:val="18"/>
        </w:numPr>
        <w:autoSpaceDE w:val="0"/>
        <w:autoSpaceDN w:val="0"/>
        <w:adjustRightInd w:val="0"/>
        <w:snapToGrid w:val="0"/>
        <w:spacing w:line="360" w:lineRule="auto"/>
        <w:ind w:left="567" w:leftChars="0" w:hanging="567" w:firstLineChars="0"/>
        <w:outlineLvl w:val="9"/>
        <w:rPr>
          <w:rFonts w:ascii="宋体" w:hAnsi="宋体" w:cs="黑体"/>
          <w:bCs/>
          <w:szCs w:val="21"/>
        </w:rPr>
      </w:pPr>
      <w:r>
        <w:rPr>
          <w:rFonts w:hint="eastAsia" w:ascii="宋体" w:hAnsi="宋体" w:cs="黑体"/>
          <w:bCs/>
          <w:szCs w:val="21"/>
        </w:rPr>
        <w:t>提交要求：</w:t>
      </w:r>
    </w:p>
    <w:p w14:paraId="119713E8">
      <w:pPr>
        <w:numPr>
          <w:ilvl w:val="0"/>
          <w:numId w:val="0"/>
        </w:numPr>
        <w:autoSpaceDE w:val="0"/>
        <w:autoSpaceDN w:val="0"/>
        <w:adjustRightInd w:val="0"/>
        <w:snapToGrid w:val="0"/>
        <w:spacing w:line="360" w:lineRule="auto"/>
        <w:ind w:leftChars="0"/>
        <w:rPr>
          <w:rFonts w:ascii="宋体" w:hAnsi="宋体" w:cs="黑体"/>
          <w:bCs/>
          <w:szCs w:val="21"/>
        </w:rPr>
      </w:pPr>
      <w:r>
        <w:rPr>
          <w:rFonts w:hint="eastAsia" w:ascii="宋体" w:hAnsi="宋体" w:cs="黑体"/>
          <w:bCs/>
          <w:szCs w:val="21"/>
          <w:lang w:val="en-US" w:eastAsia="zh-CN"/>
        </w:rPr>
        <w:t>17.2.1.</w:t>
      </w:r>
      <w:r>
        <w:rPr>
          <w:rFonts w:hint="eastAsia" w:ascii="宋体" w:hAnsi="宋体" w:cs="黑体"/>
          <w:bCs/>
          <w:szCs w:val="21"/>
        </w:rPr>
        <w:t>以书面形式向采购人</w:t>
      </w:r>
      <w:r>
        <w:rPr>
          <w:rFonts w:hint="eastAsia" w:ascii="宋体" w:hAnsi="宋体" w:cs="宋体"/>
          <w:szCs w:val="21"/>
        </w:rPr>
        <w:t>一次性提出针对同一采购程序环节的</w:t>
      </w:r>
      <w:r>
        <w:rPr>
          <w:rFonts w:hint="eastAsia" w:ascii="宋体" w:hAnsi="宋体" w:cs="黑体"/>
          <w:bCs/>
          <w:szCs w:val="21"/>
        </w:rPr>
        <w:t>质疑。</w:t>
      </w:r>
    </w:p>
    <w:p w14:paraId="43876402">
      <w:pPr>
        <w:numPr>
          <w:ilvl w:val="0"/>
          <w:numId w:val="0"/>
        </w:numPr>
        <w:autoSpaceDE w:val="0"/>
        <w:autoSpaceDN w:val="0"/>
        <w:adjustRightInd w:val="0"/>
        <w:snapToGrid w:val="0"/>
        <w:spacing w:line="360" w:lineRule="auto"/>
        <w:ind w:leftChars="0"/>
        <w:rPr>
          <w:rFonts w:ascii="宋体" w:hAnsi="宋体" w:cs="黑体"/>
          <w:bCs/>
          <w:szCs w:val="21"/>
        </w:rPr>
      </w:pPr>
      <w:r>
        <w:rPr>
          <w:rFonts w:hint="eastAsia" w:ascii="宋体" w:hAnsi="宋体" w:cs="黑体"/>
          <w:bCs/>
          <w:szCs w:val="21"/>
          <w:lang w:val="en-US" w:eastAsia="zh-CN"/>
        </w:rPr>
        <w:t>17.2.2.</w:t>
      </w:r>
      <w:r>
        <w:rPr>
          <w:rFonts w:hint="eastAsia" w:ascii="宋体" w:hAnsi="宋体" w:cs="黑体"/>
          <w:bCs/>
          <w:szCs w:val="21"/>
        </w:rPr>
        <w:t>以联合体形式参加政府采购活动的，其质疑应当由组成联合体的所有供应商共同提出。</w:t>
      </w:r>
    </w:p>
    <w:p w14:paraId="720447C5">
      <w:pPr>
        <w:numPr>
          <w:ilvl w:val="0"/>
          <w:numId w:val="0"/>
        </w:numPr>
        <w:autoSpaceDE w:val="0"/>
        <w:autoSpaceDN w:val="0"/>
        <w:adjustRightInd w:val="0"/>
        <w:snapToGrid w:val="0"/>
        <w:spacing w:line="360" w:lineRule="auto"/>
        <w:ind w:leftChars="0"/>
        <w:rPr>
          <w:rFonts w:hint="eastAsia" w:ascii="宋体" w:hAnsi="宋体" w:eastAsia="宋体" w:cs="宋体"/>
          <w:bCs/>
          <w:szCs w:val="21"/>
        </w:rPr>
      </w:pPr>
      <w:r>
        <w:rPr>
          <w:rFonts w:hint="eastAsia" w:ascii="宋体" w:hAnsi="宋体" w:cs="黑体"/>
          <w:bCs/>
          <w:szCs w:val="21"/>
          <w:lang w:val="en-US" w:eastAsia="zh-CN"/>
        </w:rPr>
        <w:t>17.2.3.</w:t>
      </w:r>
      <w:r>
        <w:rPr>
          <w:rFonts w:hint="eastAsia" w:ascii="宋体" w:hAnsi="宋体" w:cs="黑体"/>
          <w:bCs/>
          <w:szCs w:val="21"/>
        </w:rPr>
        <w:t>质疑函内容：应包括供应商的姓名或者名称、地址、邮编、联系人及联系电话、质疑项目的名称及编号、具体且明确的质疑事项和与质疑事项相关的请求、事实依据、必要的法律依据、提出质疑的日期。供应商为自然人的，质疑函应当由本人签字；供应商为法人或者其他组织的，应当由法定代表人、主要负责人或授权代表签字或者盖章，并加盖公章。响应供应商递交质疑函时非法定代表人亲自办理的需提供法定代表人授权委托书（应载明授权</w:t>
      </w:r>
      <w:r>
        <w:rPr>
          <w:rFonts w:hint="eastAsia" w:ascii="宋体" w:hAnsi="宋体" w:eastAsia="宋体" w:cs="宋体"/>
          <w:bCs/>
          <w:szCs w:val="21"/>
        </w:rPr>
        <w:t>代表的姓名或者名称、代理事项、具体权限、期限和相关事项）及授权代表身份证复印件。</w:t>
      </w:r>
    </w:p>
    <w:p w14:paraId="44F2E68E">
      <w:pPr>
        <w:numPr>
          <w:ilvl w:val="0"/>
          <w:numId w:val="0"/>
        </w:numPr>
        <w:autoSpaceDE w:val="0"/>
        <w:autoSpaceDN w:val="0"/>
        <w:adjustRightInd w:val="0"/>
        <w:snapToGrid w:val="0"/>
        <w:spacing w:line="360" w:lineRule="auto"/>
        <w:ind w:leftChars="0"/>
        <w:rPr>
          <w:rFonts w:hAnsi="宋体"/>
          <w:snapToGrid w:val="0"/>
          <w:szCs w:val="21"/>
        </w:rPr>
      </w:pPr>
      <w:r>
        <w:rPr>
          <w:rFonts w:hint="eastAsia" w:ascii="宋体" w:hAnsi="宋体" w:eastAsia="宋体" w:cs="宋体"/>
          <w:szCs w:val="21"/>
          <w:lang w:val="en-US" w:eastAsia="zh-CN"/>
        </w:rPr>
        <w:t>17.2.4.</w:t>
      </w:r>
      <w:r>
        <w:rPr>
          <w:rFonts w:hint="eastAsia" w:ascii="宋体" w:hAnsi="宋体" w:eastAsia="宋体" w:cs="宋体"/>
          <w:szCs w:val="21"/>
        </w:rPr>
        <w:t>供应商捏造</w:t>
      </w:r>
      <w:r>
        <w:rPr>
          <w:rFonts w:hint="eastAsia" w:hAnsi="宋体"/>
          <w:szCs w:val="21"/>
        </w:rPr>
        <w:t>事实、提供虚假材料或者以非法手段取得证明材料不能作为质疑的证明材料</w:t>
      </w:r>
      <w:r>
        <w:rPr>
          <w:rFonts w:hint="eastAsia" w:hAnsi="宋体"/>
          <w:snapToGrid w:val="0"/>
          <w:szCs w:val="21"/>
        </w:rPr>
        <w:t>。</w:t>
      </w:r>
    </w:p>
    <w:p w14:paraId="13B078DA">
      <w:pPr>
        <w:numPr>
          <w:ilvl w:val="0"/>
          <w:numId w:val="0"/>
        </w:numPr>
        <w:tabs>
          <w:tab w:val="left" w:pos="1134"/>
        </w:tabs>
        <w:autoSpaceDE w:val="0"/>
        <w:autoSpaceDN w:val="0"/>
        <w:adjustRightInd w:val="0"/>
        <w:snapToGrid w:val="0"/>
        <w:spacing w:line="360" w:lineRule="auto"/>
        <w:ind w:leftChars="0"/>
        <w:rPr>
          <w:rFonts w:ascii="宋体" w:hAnsi="宋体" w:cs="黑体"/>
          <w:bCs/>
          <w:szCs w:val="21"/>
        </w:rPr>
      </w:pPr>
      <w:r>
        <w:rPr>
          <w:rFonts w:hint="eastAsia" w:ascii="宋体" w:hAnsi="宋体" w:cs="宋体"/>
          <w:szCs w:val="21"/>
          <w:lang w:val="en-US" w:eastAsia="zh-CN"/>
        </w:rPr>
        <w:t>17.2.5.</w:t>
      </w:r>
      <w:r>
        <w:rPr>
          <w:rFonts w:hint="eastAsia" w:ascii="宋体" w:hAnsi="宋体" w:cs="宋体"/>
          <w:szCs w:val="21"/>
        </w:rPr>
        <w:t>采购人</w:t>
      </w:r>
      <w:r>
        <w:rPr>
          <w:rFonts w:hint="eastAsia" w:ascii="宋体" w:hAnsi="宋体"/>
          <w:szCs w:val="21"/>
        </w:rPr>
        <w:t>在收到投标人的书面质疑后七个工作日内作出答复，并以书面形式通知质疑投标人和其他有关投标人，但答复内容不涉及商业秘密。质疑投标人须提供相关证明材料，包括但不限于权益受损害的情况说明及受损害的原因、证据内容等，并对质疑内容的真实性承担责任。</w:t>
      </w:r>
    </w:p>
    <w:p w14:paraId="743620BC">
      <w:pPr>
        <w:numPr>
          <w:ilvl w:val="0"/>
          <w:numId w:val="0"/>
        </w:numPr>
        <w:autoSpaceDE w:val="0"/>
        <w:autoSpaceDN w:val="0"/>
        <w:adjustRightInd w:val="0"/>
        <w:snapToGrid w:val="0"/>
        <w:spacing w:line="360" w:lineRule="auto"/>
        <w:ind w:leftChars="0"/>
        <w:rPr>
          <w:rFonts w:hint="eastAsia" w:ascii="宋体" w:hAnsi="宋体" w:eastAsia="宋体" w:cs="宋体"/>
          <w:b/>
          <w:bCs/>
          <w:szCs w:val="21"/>
        </w:rPr>
      </w:pPr>
      <w:r>
        <w:rPr>
          <w:rFonts w:hint="eastAsia" w:ascii="宋体" w:hAnsi="宋体" w:eastAsia="宋体" w:cs="宋体"/>
          <w:snapToGrid w:val="0"/>
          <w:szCs w:val="21"/>
          <w:lang w:val="en-US" w:eastAsia="zh-CN"/>
        </w:rPr>
        <w:t>17.2.6.</w:t>
      </w:r>
      <w:r>
        <w:rPr>
          <w:rFonts w:hint="eastAsia" w:ascii="宋体" w:hAnsi="宋体" w:eastAsia="宋体" w:cs="宋体"/>
          <w:snapToGrid w:val="0"/>
          <w:szCs w:val="21"/>
        </w:rPr>
        <w:t>采购</w:t>
      </w:r>
      <w:r>
        <w:rPr>
          <w:rFonts w:hint="eastAsia" w:hAnsi="宋体"/>
          <w:snapToGrid w:val="0"/>
          <w:szCs w:val="21"/>
        </w:rPr>
        <w:t>人接收以书面形式递交的质疑函，接收质疑函的联系人、联系方式和通讯地址</w:t>
      </w:r>
      <w:r>
        <w:rPr>
          <w:rFonts w:hint="eastAsia" w:ascii="宋体" w:hAnsi="宋体" w:eastAsia="宋体" w:cs="宋体"/>
          <w:snapToGrid w:val="0"/>
          <w:szCs w:val="21"/>
          <w:lang w:val="en-US" w:eastAsia="zh-CN"/>
        </w:rPr>
        <w:t>见征集公告</w:t>
      </w:r>
      <w:r>
        <w:rPr>
          <w:rFonts w:hint="eastAsia" w:ascii="宋体" w:hAnsi="宋体" w:eastAsia="宋体" w:cs="宋体"/>
          <w:szCs w:val="21"/>
        </w:rPr>
        <w:t>。</w:t>
      </w:r>
    </w:p>
    <w:p w14:paraId="263985DD">
      <w:pPr>
        <w:numPr>
          <w:ilvl w:val="0"/>
          <w:numId w:val="0"/>
        </w:numPr>
        <w:autoSpaceDE w:val="0"/>
        <w:autoSpaceDN w:val="0"/>
        <w:adjustRightInd w:val="0"/>
        <w:snapToGrid w:val="0"/>
        <w:spacing w:line="360" w:lineRule="auto"/>
        <w:ind w:leftChars="0"/>
        <w:rPr>
          <w:rFonts w:hint="eastAsia" w:ascii="宋体" w:hAnsi="宋体" w:eastAsia="宋体" w:cs="宋体"/>
          <w:snapToGrid w:val="0"/>
          <w:szCs w:val="21"/>
        </w:rPr>
      </w:pPr>
      <w:r>
        <w:rPr>
          <w:rFonts w:hint="eastAsia" w:ascii="宋体" w:hAnsi="宋体" w:eastAsia="宋体" w:cs="宋体"/>
          <w:snapToGrid w:val="0"/>
          <w:szCs w:val="21"/>
          <w:lang w:val="en-US" w:eastAsia="zh-CN"/>
        </w:rPr>
        <w:t>17.2.7.</w:t>
      </w:r>
      <w:r>
        <w:rPr>
          <w:rFonts w:hint="eastAsia" w:ascii="宋体" w:hAnsi="宋体" w:eastAsia="宋体" w:cs="宋体"/>
          <w:snapToGrid w:val="0"/>
          <w:szCs w:val="21"/>
        </w:rPr>
        <w:t>提出质疑的供应商应当是参与所质疑项目采购活动的供应商。</w:t>
      </w:r>
    </w:p>
    <w:p w14:paraId="25732EA9">
      <w:pPr>
        <w:numPr>
          <w:ilvl w:val="0"/>
          <w:numId w:val="0"/>
        </w:numPr>
        <w:autoSpaceDE w:val="0"/>
        <w:autoSpaceDN w:val="0"/>
        <w:adjustRightInd w:val="0"/>
        <w:snapToGrid w:val="0"/>
        <w:spacing w:line="360" w:lineRule="auto"/>
        <w:ind w:leftChars="0"/>
        <w:rPr>
          <w:rFonts w:hint="eastAsia" w:ascii="宋体" w:hAnsi="宋体" w:eastAsia="宋体" w:cs="宋体"/>
          <w:snapToGrid w:val="0"/>
          <w:szCs w:val="21"/>
        </w:rPr>
      </w:pPr>
      <w:r>
        <w:rPr>
          <w:rFonts w:hint="eastAsia" w:ascii="宋体" w:hAnsi="宋体" w:eastAsia="宋体" w:cs="宋体"/>
          <w:snapToGrid w:val="0"/>
          <w:szCs w:val="21"/>
          <w:lang w:val="en-US" w:eastAsia="zh-CN"/>
        </w:rPr>
        <w:t>17.2.8.</w:t>
      </w:r>
      <w:r>
        <w:rPr>
          <w:rFonts w:hint="eastAsia" w:ascii="宋体" w:hAnsi="宋体" w:eastAsia="宋体" w:cs="宋体"/>
          <w:snapToGrid w:val="0"/>
          <w:szCs w:val="21"/>
        </w:rPr>
        <w:t>供应商质疑不成立，或者成立但未对中标、成交结果构成影响的，继续开展采购活动。</w:t>
      </w:r>
    </w:p>
    <w:p w14:paraId="26A23E6B">
      <w:pPr>
        <w:numPr>
          <w:ilvl w:val="0"/>
          <w:numId w:val="0"/>
        </w:numPr>
        <w:autoSpaceDE w:val="0"/>
        <w:autoSpaceDN w:val="0"/>
        <w:adjustRightInd w:val="0"/>
        <w:snapToGrid w:val="0"/>
        <w:spacing w:line="360" w:lineRule="auto"/>
        <w:ind w:leftChars="0"/>
        <w:rPr>
          <w:rFonts w:hint="eastAsia" w:ascii="宋体" w:hAnsi="宋体" w:eastAsia="宋体" w:cs="宋体"/>
          <w:snapToGrid w:val="0"/>
          <w:szCs w:val="21"/>
        </w:rPr>
      </w:pPr>
      <w:r>
        <w:rPr>
          <w:rFonts w:hint="eastAsia" w:ascii="宋体" w:hAnsi="宋体" w:eastAsia="宋体" w:cs="宋体"/>
          <w:snapToGrid w:val="0"/>
          <w:szCs w:val="21"/>
          <w:lang w:val="en-US" w:eastAsia="zh-CN"/>
        </w:rPr>
        <w:t>17.2.9.</w:t>
      </w:r>
      <w:r>
        <w:rPr>
          <w:rFonts w:hint="eastAsia" w:ascii="宋体" w:hAnsi="宋体" w:eastAsia="宋体" w:cs="宋体"/>
          <w:snapToGrid w:val="0"/>
          <w:szCs w:val="21"/>
        </w:rPr>
        <w:t>供应商质疑成立且影响或者可能影响中标、成交结果的，按照下列情况处理：</w:t>
      </w:r>
    </w:p>
    <w:p w14:paraId="3C314CF7">
      <w:pPr>
        <w:snapToGrid w:val="0"/>
        <w:spacing w:line="360" w:lineRule="auto"/>
        <w:rPr>
          <w:rFonts w:hint="eastAsia" w:hAnsi="宋体"/>
          <w:snapToGrid w:val="0"/>
          <w:szCs w:val="21"/>
        </w:rPr>
      </w:pPr>
      <w:r>
        <w:rPr>
          <w:rFonts w:hint="eastAsia" w:ascii="宋体" w:hAnsi="宋体" w:eastAsia="宋体" w:cs="宋体"/>
          <w:snapToGrid w:val="0"/>
          <w:szCs w:val="21"/>
          <w:lang w:val="en-US" w:eastAsia="zh-CN"/>
        </w:rPr>
        <w:t>17.2.10.</w:t>
      </w:r>
      <w:r>
        <w:rPr>
          <w:rFonts w:hint="eastAsia" w:ascii="宋体" w:hAnsi="宋体" w:eastAsia="宋体" w:cs="宋体"/>
          <w:snapToGrid w:val="0"/>
          <w:szCs w:val="21"/>
        </w:rPr>
        <w:t>对采购文件提</w:t>
      </w:r>
      <w:r>
        <w:rPr>
          <w:rFonts w:hint="eastAsia" w:hAnsi="宋体"/>
          <w:snapToGrid w:val="0"/>
          <w:szCs w:val="21"/>
        </w:rPr>
        <w:t>出的质疑，依法通过澄清或者修改可以继续开展采购活动的，澄清或者修改采购文件后继续开展采购活动；否则应当修改采购文件后重新开展采购活动。</w:t>
      </w:r>
    </w:p>
    <w:p w14:paraId="7E90B108">
      <w:pPr>
        <w:numPr>
          <w:ilvl w:val="0"/>
          <w:numId w:val="18"/>
        </w:numPr>
        <w:autoSpaceDE w:val="0"/>
        <w:autoSpaceDN w:val="0"/>
        <w:adjustRightInd w:val="0"/>
        <w:snapToGrid w:val="0"/>
        <w:spacing w:line="360" w:lineRule="auto"/>
        <w:ind w:left="449" w:hanging="449" w:hangingChars="213"/>
        <w:outlineLvl w:val="1"/>
        <w:rPr>
          <w:rFonts w:ascii="宋体" w:hAnsi="宋体"/>
          <w:b/>
          <w:bCs/>
          <w:szCs w:val="21"/>
        </w:rPr>
      </w:pPr>
      <w:r>
        <w:rPr>
          <w:rFonts w:hint="eastAsia" w:ascii="宋体" w:hAnsi="宋体"/>
          <w:b/>
          <w:bCs/>
          <w:szCs w:val="21"/>
          <w:lang w:val="en-US" w:eastAsia="zh-CN"/>
        </w:rPr>
        <w:t>违约责任</w:t>
      </w:r>
    </w:p>
    <w:p w14:paraId="37F2FCB9">
      <w:pPr>
        <w:numPr>
          <w:ilvl w:val="1"/>
          <w:numId w:val="18"/>
        </w:numPr>
        <w:snapToGrid w:val="0"/>
        <w:spacing w:line="360" w:lineRule="auto"/>
        <w:ind w:left="567" w:leftChars="0" w:hanging="567" w:firstLineChars="0"/>
        <w:rPr>
          <w:rFonts w:hint="eastAsia" w:hAnsi="宋体"/>
          <w:snapToGrid w:val="0"/>
          <w:szCs w:val="21"/>
          <w:lang w:val="en-US" w:eastAsia="zh-CN"/>
        </w:rPr>
      </w:pPr>
      <w:r>
        <w:rPr>
          <w:rFonts w:hint="eastAsia" w:hAnsi="宋体"/>
          <w:snapToGrid w:val="0"/>
          <w:szCs w:val="21"/>
          <w:lang w:val="en-US" w:eastAsia="zh-CN"/>
        </w:rPr>
        <w:t>供应商若在政府采购活动存在下列违法行为，给采购人造成损失的，应当承担赔偿责任。</w:t>
      </w:r>
    </w:p>
    <w:p w14:paraId="47E13451">
      <w:pPr>
        <w:snapToGrid w:val="0"/>
        <w:spacing w:line="360" w:lineRule="auto"/>
        <w:rPr>
          <w:rFonts w:hint="eastAsia" w:hAnsi="宋体"/>
          <w:snapToGrid w:val="0"/>
          <w:szCs w:val="21"/>
        </w:rPr>
      </w:pPr>
      <w:r>
        <w:rPr>
          <w:rFonts w:hint="eastAsia" w:hAnsi="宋体"/>
          <w:snapToGrid w:val="0"/>
          <w:szCs w:val="21"/>
        </w:rPr>
        <w:t>（1）未按照规定签订、履行采购合同；</w:t>
      </w:r>
    </w:p>
    <w:p w14:paraId="25A0EEAE">
      <w:pPr>
        <w:snapToGrid w:val="0"/>
        <w:spacing w:line="360" w:lineRule="auto"/>
        <w:rPr>
          <w:rFonts w:hint="eastAsia" w:hAnsi="宋体"/>
          <w:snapToGrid w:val="0"/>
          <w:szCs w:val="21"/>
        </w:rPr>
      </w:pPr>
      <w:r>
        <w:rPr>
          <w:rFonts w:hint="eastAsia" w:hAnsi="宋体"/>
          <w:snapToGrid w:val="0"/>
          <w:szCs w:val="21"/>
        </w:rPr>
        <w:t>（2）提供虚假材料谋取中标、成交的；</w:t>
      </w:r>
    </w:p>
    <w:p w14:paraId="29F1483A">
      <w:pPr>
        <w:snapToGrid w:val="0"/>
        <w:spacing w:line="360" w:lineRule="auto"/>
        <w:rPr>
          <w:rFonts w:hint="eastAsia" w:hAnsi="宋体"/>
          <w:snapToGrid w:val="0"/>
          <w:szCs w:val="21"/>
        </w:rPr>
      </w:pPr>
      <w:r>
        <w:rPr>
          <w:rFonts w:hint="eastAsia" w:hAnsi="宋体"/>
          <w:snapToGrid w:val="0"/>
          <w:szCs w:val="21"/>
        </w:rPr>
        <w:t>（3）采取不正当手段诋毁、排挤其他供应商的；</w:t>
      </w:r>
    </w:p>
    <w:p w14:paraId="286CA9B2">
      <w:pPr>
        <w:snapToGrid w:val="0"/>
        <w:spacing w:line="360" w:lineRule="auto"/>
        <w:rPr>
          <w:rFonts w:hint="eastAsia" w:hAnsi="宋体"/>
          <w:snapToGrid w:val="0"/>
          <w:szCs w:val="21"/>
        </w:rPr>
      </w:pPr>
      <w:r>
        <w:rPr>
          <w:rFonts w:hint="eastAsia" w:hAnsi="宋体"/>
          <w:snapToGrid w:val="0"/>
          <w:szCs w:val="21"/>
        </w:rPr>
        <w:t>（4）与其他供应商恶意串通的；</w:t>
      </w:r>
    </w:p>
    <w:p w14:paraId="6BB6D639">
      <w:pPr>
        <w:snapToGrid w:val="0"/>
        <w:spacing w:line="360" w:lineRule="auto"/>
        <w:rPr>
          <w:rFonts w:hint="eastAsia" w:hAnsi="宋体"/>
          <w:snapToGrid w:val="0"/>
          <w:szCs w:val="21"/>
        </w:rPr>
      </w:pPr>
      <w:r>
        <w:rPr>
          <w:rFonts w:hint="eastAsia" w:hAnsi="宋体"/>
          <w:snapToGrid w:val="0"/>
          <w:szCs w:val="21"/>
        </w:rPr>
        <w:t>（5）拒绝有关部门监督检查或者提供虚假情况的；</w:t>
      </w:r>
    </w:p>
    <w:p w14:paraId="60452A43">
      <w:pPr>
        <w:snapToGrid w:val="0"/>
        <w:spacing w:line="360" w:lineRule="auto"/>
        <w:rPr>
          <w:rFonts w:hint="eastAsia" w:hAnsi="宋体"/>
          <w:snapToGrid w:val="0"/>
          <w:szCs w:val="21"/>
        </w:rPr>
      </w:pPr>
      <w:r>
        <w:rPr>
          <w:rFonts w:hint="eastAsia" w:hAnsi="宋体"/>
          <w:snapToGrid w:val="0"/>
          <w:szCs w:val="21"/>
        </w:rPr>
        <w:t>（6）经主管部门认定的其他违法采购相关法律法规的行为。</w:t>
      </w:r>
    </w:p>
    <w:p w14:paraId="74E07005">
      <w:pPr>
        <w:numPr>
          <w:ilvl w:val="0"/>
          <w:numId w:val="18"/>
        </w:numPr>
        <w:autoSpaceDE w:val="0"/>
        <w:autoSpaceDN w:val="0"/>
        <w:adjustRightInd w:val="0"/>
        <w:snapToGrid w:val="0"/>
        <w:spacing w:line="360" w:lineRule="auto"/>
        <w:ind w:left="449" w:hanging="449" w:hangingChars="213"/>
        <w:outlineLvl w:val="1"/>
        <w:rPr>
          <w:rFonts w:ascii="宋体" w:hAnsi="宋体"/>
          <w:b/>
          <w:bCs/>
          <w:szCs w:val="21"/>
        </w:rPr>
      </w:pPr>
      <w:bookmarkStart w:id="153" w:name="_Toc19729"/>
      <w:r>
        <w:rPr>
          <w:rFonts w:hint="eastAsia" w:ascii="宋体" w:hAnsi="宋体"/>
          <w:b/>
          <w:bCs/>
          <w:szCs w:val="21"/>
        </w:rPr>
        <w:t>中标通知书</w:t>
      </w:r>
      <w:bookmarkEnd w:id="153"/>
    </w:p>
    <w:p w14:paraId="0275F8BA">
      <w:pPr>
        <w:numPr>
          <w:ilvl w:val="1"/>
          <w:numId w:val="18"/>
        </w:numPr>
        <w:autoSpaceDE w:val="0"/>
        <w:autoSpaceDN w:val="0"/>
        <w:adjustRightInd w:val="0"/>
        <w:snapToGrid w:val="0"/>
        <w:spacing w:line="360" w:lineRule="auto"/>
        <w:rPr>
          <w:rFonts w:ascii="宋体" w:hAnsi="宋体" w:cs="黑体"/>
          <w:b/>
          <w:bCs/>
          <w:szCs w:val="21"/>
        </w:rPr>
      </w:pPr>
      <w:r>
        <w:rPr>
          <w:rFonts w:hint="eastAsia" w:ascii="宋体" w:hAnsi="宋体" w:cs="宋体"/>
          <w:szCs w:val="21"/>
        </w:rPr>
        <w:t>中标人确定后，采购</w:t>
      </w:r>
      <w:r>
        <w:rPr>
          <w:rFonts w:hint="eastAsia" w:ascii="宋体" w:hAnsi="宋体" w:cs="宋体"/>
          <w:szCs w:val="21"/>
          <w:lang w:val="en-US" w:eastAsia="zh-CN"/>
        </w:rPr>
        <w:t>人</w:t>
      </w:r>
      <w:r>
        <w:rPr>
          <w:rFonts w:hint="eastAsia" w:ascii="宋体" w:hAnsi="宋体" w:cs="宋体"/>
          <w:szCs w:val="21"/>
        </w:rPr>
        <w:t>将在发布采购信息公告的媒体上发布中标公告，并向中标人发出《中标通知书》，</w:t>
      </w:r>
      <w:r>
        <w:rPr>
          <w:rFonts w:hint="eastAsia" w:ascii="宋体" w:hAnsi="宋体" w:cs="宋体"/>
          <w:szCs w:val="21"/>
          <w:lang w:val="en-US" w:eastAsia="zh-CN"/>
        </w:rPr>
        <w:t>其中</w:t>
      </w:r>
      <w:r>
        <w:rPr>
          <w:rFonts w:hint="eastAsia" w:ascii="宋体" w:hAnsi="宋体" w:cs="宋体"/>
          <w:szCs w:val="21"/>
        </w:rPr>
        <w:t>《中标通知书》对中标人和采购人具有同等法律效力。</w:t>
      </w:r>
    </w:p>
    <w:p w14:paraId="1A6AFA14">
      <w:pPr>
        <w:numPr>
          <w:ilvl w:val="1"/>
          <w:numId w:val="18"/>
        </w:numPr>
        <w:autoSpaceDE w:val="0"/>
        <w:autoSpaceDN w:val="0"/>
        <w:adjustRightInd w:val="0"/>
        <w:snapToGrid w:val="0"/>
        <w:spacing w:line="360" w:lineRule="auto"/>
        <w:rPr>
          <w:rFonts w:ascii="宋体" w:hAnsi="宋体" w:cs="黑体"/>
          <w:b/>
          <w:bCs/>
          <w:szCs w:val="21"/>
        </w:rPr>
      </w:pPr>
      <w:r>
        <w:rPr>
          <w:rFonts w:hint="eastAsia" w:ascii="宋体" w:hAnsi="宋体"/>
          <w:szCs w:val="21"/>
        </w:rPr>
        <w:t>《中标通知书》将作为授予合同资格的合法依据，是合同的一个组成部分。</w:t>
      </w:r>
    </w:p>
    <w:p w14:paraId="49145DAD">
      <w:pPr>
        <w:numPr>
          <w:ilvl w:val="0"/>
          <w:numId w:val="0"/>
        </w:numPr>
        <w:autoSpaceDE w:val="0"/>
        <w:autoSpaceDN w:val="0"/>
        <w:adjustRightInd w:val="0"/>
        <w:snapToGrid w:val="0"/>
        <w:spacing w:line="360" w:lineRule="auto"/>
        <w:ind w:leftChars="0"/>
        <w:rPr>
          <w:rFonts w:ascii="宋体" w:hAnsi="宋体" w:cs="黑体"/>
          <w:b/>
          <w:bCs/>
          <w:szCs w:val="21"/>
        </w:rPr>
      </w:pPr>
    </w:p>
    <w:p w14:paraId="3FF9917A">
      <w:pPr>
        <w:pStyle w:val="4"/>
        <w:numPr>
          <w:ilvl w:val="0"/>
          <w:numId w:val="0"/>
        </w:numPr>
        <w:spacing w:line="240" w:lineRule="auto"/>
        <w:ind w:left="420" w:leftChars="0" w:hanging="420" w:firstLineChars="0"/>
        <w:jc w:val="center"/>
        <w:outlineLvl w:val="0"/>
        <w:rPr>
          <w:rFonts w:asciiTheme="majorEastAsia" w:hAnsiTheme="majorEastAsia" w:eastAsiaTheme="majorEastAsia"/>
          <w:sz w:val="30"/>
          <w:szCs w:val="30"/>
          <w:lang w:eastAsia="zh-TW"/>
        </w:rPr>
      </w:pPr>
      <w:bookmarkStart w:id="154" w:name="_Toc435174938"/>
      <w:bookmarkStart w:id="155" w:name="_Toc20050"/>
      <w:bookmarkStart w:id="156" w:name="_Toc435516655"/>
      <w:bookmarkStart w:id="157" w:name="_Toc438223141"/>
      <w:bookmarkStart w:id="158" w:name="_Toc21548"/>
      <w:bookmarkStart w:id="159" w:name="_Toc6704"/>
      <w:r>
        <w:rPr>
          <w:rFonts w:hint="eastAsia" w:asciiTheme="majorEastAsia" w:hAnsiTheme="majorEastAsia" w:eastAsiaTheme="majorEastAsia"/>
          <w:sz w:val="30"/>
          <w:szCs w:val="30"/>
          <w:lang w:eastAsia="zh-TW"/>
        </w:rPr>
        <w:t>授予合同</w:t>
      </w:r>
      <w:bookmarkEnd w:id="154"/>
      <w:bookmarkEnd w:id="155"/>
      <w:bookmarkEnd w:id="156"/>
      <w:bookmarkEnd w:id="157"/>
      <w:bookmarkEnd w:id="158"/>
      <w:bookmarkEnd w:id="159"/>
    </w:p>
    <w:p w14:paraId="58EF3211">
      <w:pPr>
        <w:numPr>
          <w:ilvl w:val="0"/>
          <w:numId w:val="18"/>
        </w:numPr>
        <w:autoSpaceDE w:val="0"/>
        <w:autoSpaceDN w:val="0"/>
        <w:adjustRightInd w:val="0"/>
        <w:snapToGrid w:val="0"/>
        <w:spacing w:line="360" w:lineRule="auto"/>
        <w:ind w:left="449" w:hanging="449" w:hangingChars="213"/>
        <w:outlineLvl w:val="1"/>
        <w:rPr>
          <w:rFonts w:ascii="宋体" w:hAnsi="宋体"/>
          <w:b/>
          <w:bCs/>
          <w:szCs w:val="21"/>
        </w:rPr>
      </w:pPr>
      <w:bookmarkStart w:id="160" w:name="_Toc5467"/>
      <w:bookmarkStart w:id="161" w:name="_Toc23713"/>
      <w:r>
        <w:rPr>
          <w:rFonts w:hint="eastAsia" w:ascii="宋体" w:hAnsi="宋体"/>
          <w:b/>
          <w:bCs/>
          <w:szCs w:val="21"/>
        </w:rPr>
        <w:t>合同的订立</w:t>
      </w:r>
      <w:bookmarkEnd w:id="160"/>
      <w:bookmarkEnd w:id="161"/>
    </w:p>
    <w:p w14:paraId="4D85A810">
      <w:pPr>
        <w:numPr>
          <w:ilvl w:val="1"/>
          <w:numId w:val="18"/>
        </w:numPr>
        <w:autoSpaceDE w:val="0"/>
        <w:autoSpaceDN w:val="0"/>
        <w:adjustRightInd w:val="0"/>
        <w:snapToGrid w:val="0"/>
        <w:spacing w:line="360" w:lineRule="auto"/>
        <w:rPr>
          <w:rFonts w:ascii="宋体" w:hAnsi="宋体" w:cs="黑体"/>
          <w:b/>
          <w:bCs/>
          <w:szCs w:val="21"/>
        </w:rPr>
      </w:pPr>
      <w:r>
        <w:rPr>
          <w:rFonts w:hint="eastAsia" w:ascii="宋体" w:hAnsi="宋体" w:cs="宋体"/>
          <w:szCs w:val="21"/>
        </w:rPr>
        <w:t>采购人应当自中标通知书发出之日起十个工作日内，按照</w:t>
      </w:r>
      <w:r>
        <w:rPr>
          <w:rFonts w:hint="eastAsia" w:ascii="宋体" w:hAnsi="宋体" w:cs="宋体"/>
          <w:szCs w:val="21"/>
          <w:lang w:eastAsia="zh-CN"/>
        </w:rPr>
        <w:t>征集</w:t>
      </w:r>
      <w:r>
        <w:rPr>
          <w:rFonts w:hint="eastAsia" w:ascii="宋体" w:hAnsi="宋体" w:cs="宋体"/>
          <w:szCs w:val="21"/>
        </w:rPr>
        <w:t>文件和中标人投标文件的约定，与中标人签订书面合同。所签订的合同不得对</w:t>
      </w:r>
      <w:r>
        <w:rPr>
          <w:rFonts w:hint="eastAsia" w:ascii="宋体" w:hAnsi="宋体" w:cs="宋体"/>
          <w:szCs w:val="21"/>
          <w:lang w:eastAsia="zh-CN"/>
        </w:rPr>
        <w:t>征集</w:t>
      </w:r>
      <w:r>
        <w:rPr>
          <w:rFonts w:hint="eastAsia" w:ascii="宋体" w:hAnsi="宋体" w:cs="宋体"/>
          <w:szCs w:val="21"/>
        </w:rPr>
        <w:t>文件和中标人投标文件作实质性修改。</w:t>
      </w:r>
    </w:p>
    <w:p w14:paraId="6A8641E7">
      <w:pPr>
        <w:numPr>
          <w:ilvl w:val="1"/>
          <w:numId w:val="18"/>
        </w:numPr>
        <w:autoSpaceDE w:val="0"/>
        <w:autoSpaceDN w:val="0"/>
        <w:adjustRightInd w:val="0"/>
        <w:snapToGrid w:val="0"/>
        <w:spacing w:line="360" w:lineRule="auto"/>
        <w:rPr>
          <w:rFonts w:ascii="宋体" w:hAnsi="宋体" w:cs="宋体"/>
          <w:szCs w:val="21"/>
        </w:rPr>
      </w:pPr>
      <w:r>
        <w:rPr>
          <w:rFonts w:hint="eastAsia" w:ascii="宋体" w:hAnsi="宋体" w:cs="宋体"/>
          <w:szCs w:val="21"/>
        </w:rPr>
        <w:t xml:space="preserve">采购人不得向中标人提出任何不合理的要求，作为签订合同的条件，不得与中标人私下订立背离合同实质性内容的协议。 </w:t>
      </w:r>
    </w:p>
    <w:p w14:paraId="5A4F68FF">
      <w:pPr>
        <w:numPr>
          <w:ilvl w:val="1"/>
          <w:numId w:val="18"/>
        </w:numPr>
        <w:autoSpaceDE w:val="0"/>
        <w:autoSpaceDN w:val="0"/>
        <w:adjustRightInd w:val="0"/>
        <w:snapToGrid w:val="0"/>
        <w:spacing w:line="360" w:lineRule="auto"/>
        <w:rPr>
          <w:rFonts w:ascii="宋体" w:hAnsi="宋体" w:cs="宋体"/>
          <w:szCs w:val="21"/>
        </w:rPr>
      </w:pPr>
      <w:r>
        <w:rPr>
          <w:rFonts w:hint="eastAsia" w:ascii="宋体" w:hAnsi="宋体" w:cs="宋体"/>
          <w:szCs w:val="21"/>
        </w:rPr>
        <w:t>自政府采购合同签订之日起2个工作日内，采购人应将政府采购合同在指定的渠道公告，但政府采购合同中涉及国家秘密、商业秘密的内容除外。</w:t>
      </w:r>
    </w:p>
    <w:p w14:paraId="608A44DF">
      <w:pPr>
        <w:numPr>
          <w:ilvl w:val="1"/>
          <w:numId w:val="18"/>
        </w:numPr>
        <w:autoSpaceDE w:val="0"/>
        <w:autoSpaceDN w:val="0"/>
        <w:adjustRightInd w:val="0"/>
        <w:snapToGrid w:val="0"/>
        <w:spacing w:line="360" w:lineRule="auto"/>
        <w:rPr>
          <w:rFonts w:ascii="宋体" w:hAnsi="宋体" w:cs="宋体"/>
          <w:szCs w:val="21"/>
        </w:rPr>
      </w:pPr>
      <w:r>
        <w:rPr>
          <w:rFonts w:hint="eastAsia" w:ascii="宋体" w:hAnsi="宋体" w:cs="宋体"/>
          <w:szCs w:val="21"/>
        </w:rPr>
        <w:t>政府采购合同签订之日起10日内，采购人应将政府采购合同副本报同级监管部门备案和有关部门备案。</w:t>
      </w:r>
    </w:p>
    <w:p w14:paraId="38113B04">
      <w:pPr>
        <w:numPr>
          <w:ilvl w:val="0"/>
          <w:numId w:val="18"/>
        </w:numPr>
        <w:autoSpaceDE w:val="0"/>
        <w:autoSpaceDN w:val="0"/>
        <w:adjustRightInd w:val="0"/>
        <w:snapToGrid w:val="0"/>
        <w:spacing w:line="360" w:lineRule="auto"/>
        <w:ind w:left="449" w:hanging="449" w:hangingChars="213"/>
        <w:outlineLvl w:val="1"/>
        <w:rPr>
          <w:rFonts w:ascii="宋体" w:hAnsi="宋体"/>
          <w:b/>
          <w:bCs/>
          <w:szCs w:val="21"/>
        </w:rPr>
      </w:pPr>
      <w:bookmarkStart w:id="162" w:name="_Toc560"/>
      <w:bookmarkStart w:id="163" w:name="_Toc5053"/>
      <w:r>
        <w:rPr>
          <w:rFonts w:hint="eastAsia" w:ascii="宋体" w:hAnsi="宋体"/>
          <w:b/>
          <w:bCs/>
          <w:szCs w:val="21"/>
        </w:rPr>
        <w:t>合同的履行</w:t>
      </w:r>
      <w:bookmarkEnd w:id="162"/>
      <w:bookmarkEnd w:id="163"/>
    </w:p>
    <w:p w14:paraId="5265F92B">
      <w:pPr>
        <w:numPr>
          <w:ilvl w:val="1"/>
          <w:numId w:val="18"/>
        </w:numPr>
        <w:autoSpaceDE w:val="0"/>
        <w:autoSpaceDN w:val="0"/>
        <w:adjustRightInd w:val="0"/>
        <w:snapToGrid w:val="0"/>
        <w:spacing w:line="360" w:lineRule="auto"/>
        <w:rPr>
          <w:rFonts w:ascii="宋体" w:hAnsi="宋体" w:cs="黑体"/>
          <w:b/>
          <w:bCs/>
          <w:szCs w:val="21"/>
        </w:rPr>
      </w:pPr>
      <w:r>
        <w:rPr>
          <w:rFonts w:hint="eastAsia" w:ascii="宋体" w:hAnsi="宋体" w:cs="宋体"/>
          <w:szCs w:val="21"/>
        </w:rPr>
        <w:t>政府采购合同订立后，合同各方不得擅自变更、中止或者终止合同。政府采购合同需要变更的，采购人应将有关合同变更内容，以书面形式报政府采购监督管理部门备案；因特殊情况需要中止或终止合同的，采购人应将中止或终止合同的理由以及相应措施，以书面形式报政府采购监督管理部门备案。</w:t>
      </w:r>
    </w:p>
    <w:p w14:paraId="0B352265">
      <w:pPr>
        <w:numPr>
          <w:ilvl w:val="1"/>
          <w:numId w:val="18"/>
        </w:numPr>
        <w:autoSpaceDE w:val="0"/>
        <w:autoSpaceDN w:val="0"/>
        <w:adjustRightInd w:val="0"/>
        <w:snapToGrid w:val="0"/>
        <w:spacing w:line="360" w:lineRule="auto"/>
        <w:rPr>
          <w:rFonts w:hint="eastAsia" w:ascii="黑体" w:hAnsi="宋体" w:eastAsia="黑体" w:cs="黑体"/>
          <w:b/>
          <w:bCs/>
          <w:kern w:val="44"/>
          <w:sz w:val="44"/>
          <w:szCs w:val="44"/>
        </w:rPr>
      </w:pPr>
      <w:r>
        <w:rPr>
          <w:rFonts w:hint="eastAsia" w:ascii="宋体" w:hAnsi="宋体" w:cs="宋体"/>
          <w:szCs w:val="21"/>
        </w:rPr>
        <w:t>政府采购合同履行中，采购人需追加与合同标的相同的货物、工程或者服务的，在不改变合同其他条款的前提下，可以与供应商签订补充合同，但所补充合同的采购金额不得超过原合同采购金额的百分之十。</w:t>
      </w:r>
      <w:r>
        <w:rPr>
          <w:rFonts w:hint="eastAsia" w:ascii="宋体" w:hAnsi="宋体" w:cs="宋体"/>
          <w:szCs w:val="21"/>
          <w:lang w:eastAsia="zh-TW"/>
        </w:rPr>
        <w:t>签订补充合同的必须按规定备案。</w:t>
      </w:r>
      <w:bookmarkStart w:id="164" w:name="_Toc6953"/>
    </w:p>
    <w:p w14:paraId="5B5517A4">
      <w:pPr>
        <w:pStyle w:val="3"/>
        <w:widowControl/>
        <w:numPr>
          <w:ilvl w:val="0"/>
          <w:numId w:val="0"/>
        </w:numPr>
        <w:spacing w:before="0" w:beforeAutospacing="0" w:after="0" w:afterAutospacing="0"/>
        <w:ind w:left="0" w:leftChars="0" w:firstLine="0" w:firstLineChars="0"/>
        <w:jc w:val="center"/>
        <w:outlineLvl w:val="9"/>
        <w:rPr>
          <w:rFonts w:hint="eastAsia" w:ascii="黑体" w:hAnsi="宋体" w:eastAsia="黑体" w:cs="黑体"/>
          <w:b/>
          <w:bCs/>
          <w:kern w:val="44"/>
          <w:sz w:val="44"/>
          <w:szCs w:val="44"/>
        </w:rPr>
      </w:pPr>
    </w:p>
    <w:p w14:paraId="362B0181">
      <w:pPr>
        <w:pStyle w:val="3"/>
        <w:widowControl/>
        <w:numPr>
          <w:ilvl w:val="0"/>
          <w:numId w:val="0"/>
        </w:numPr>
        <w:spacing w:before="0" w:beforeAutospacing="0" w:after="0" w:afterAutospacing="0"/>
        <w:ind w:left="0" w:leftChars="0" w:firstLine="0" w:firstLineChars="0"/>
        <w:jc w:val="center"/>
        <w:outlineLvl w:val="9"/>
        <w:rPr>
          <w:rFonts w:hint="eastAsia" w:ascii="黑体" w:hAnsi="宋体" w:eastAsia="黑体" w:cs="黑体"/>
          <w:b/>
          <w:bCs/>
          <w:kern w:val="44"/>
          <w:sz w:val="44"/>
          <w:szCs w:val="44"/>
        </w:rPr>
      </w:pPr>
    </w:p>
    <w:p w14:paraId="33DF0F3B">
      <w:pPr>
        <w:pStyle w:val="3"/>
        <w:widowControl/>
        <w:numPr>
          <w:ilvl w:val="0"/>
          <w:numId w:val="0"/>
        </w:numPr>
        <w:spacing w:before="0" w:beforeAutospacing="0" w:after="0" w:afterAutospacing="0"/>
        <w:ind w:left="0" w:leftChars="0" w:firstLine="0" w:firstLineChars="0"/>
        <w:jc w:val="center"/>
        <w:outlineLvl w:val="9"/>
        <w:rPr>
          <w:rFonts w:hint="eastAsia" w:ascii="黑体" w:hAnsi="宋体" w:eastAsia="黑体" w:cs="黑体"/>
          <w:b/>
          <w:bCs/>
          <w:kern w:val="44"/>
          <w:sz w:val="44"/>
          <w:szCs w:val="44"/>
        </w:rPr>
      </w:pPr>
    </w:p>
    <w:p w14:paraId="16BB0921">
      <w:pPr>
        <w:pStyle w:val="3"/>
        <w:widowControl/>
        <w:numPr>
          <w:ilvl w:val="0"/>
          <w:numId w:val="0"/>
        </w:numPr>
        <w:spacing w:before="0" w:beforeAutospacing="0" w:after="0" w:afterAutospacing="0"/>
        <w:ind w:left="0" w:leftChars="0" w:firstLine="0" w:firstLineChars="0"/>
        <w:jc w:val="center"/>
        <w:outlineLvl w:val="9"/>
        <w:rPr>
          <w:rFonts w:hint="eastAsia" w:ascii="黑体" w:hAnsi="宋体" w:eastAsia="黑体" w:cs="黑体"/>
          <w:b/>
          <w:bCs/>
          <w:kern w:val="44"/>
          <w:sz w:val="44"/>
          <w:szCs w:val="44"/>
        </w:rPr>
      </w:pPr>
    </w:p>
    <w:p w14:paraId="1803C8D8">
      <w:pPr>
        <w:pStyle w:val="3"/>
        <w:widowControl/>
        <w:numPr>
          <w:ilvl w:val="0"/>
          <w:numId w:val="0"/>
        </w:numPr>
        <w:spacing w:before="0" w:beforeAutospacing="0" w:after="0" w:afterAutospacing="0"/>
        <w:ind w:left="0" w:leftChars="0" w:firstLine="0" w:firstLineChars="0"/>
        <w:jc w:val="center"/>
        <w:outlineLvl w:val="9"/>
        <w:rPr>
          <w:rFonts w:hint="eastAsia" w:ascii="黑体" w:hAnsi="宋体" w:eastAsia="黑体" w:cs="黑体"/>
          <w:b/>
          <w:bCs/>
          <w:kern w:val="44"/>
          <w:sz w:val="44"/>
          <w:szCs w:val="44"/>
        </w:rPr>
      </w:pPr>
    </w:p>
    <w:p w14:paraId="5C6F6BA8">
      <w:pPr>
        <w:pStyle w:val="3"/>
        <w:widowControl/>
        <w:numPr>
          <w:ilvl w:val="0"/>
          <w:numId w:val="0"/>
        </w:numPr>
        <w:spacing w:before="0" w:beforeAutospacing="0" w:after="0" w:afterAutospacing="0"/>
        <w:ind w:left="0" w:leftChars="0" w:firstLine="0" w:firstLineChars="0"/>
        <w:jc w:val="both"/>
        <w:outlineLvl w:val="9"/>
        <w:rPr>
          <w:rFonts w:hint="eastAsia" w:ascii="黑体" w:hAnsi="宋体" w:eastAsia="黑体" w:cs="黑体"/>
          <w:b/>
          <w:bCs/>
          <w:kern w:val="44"/>
          <w:sz w:val="44"/>
          <w:szCs w:val="44"/>
        </w:rPr>
      </w:pPr>
    </w:p>
    <w:p w14:paraId="14AE1EFA">
      <w:pPr>
        <w:pStyle w:val="3"/>
        <w:widowControl/>
        <w:numPr>
          <w:ilvl w:val="0"/>
          <w:numId w:val="0"/>
        </w:numPr>
        <w:spacing w:before="0" w:beforeAutospacing="0" w:after="0" w:afterAutospacing="0"/>
        <w:ind w:left="0" w:leftChars="0" w:firstLine="0" w:firstLineChars="0"/>
        <w:jc w:val="center"/>
        <w:outlineLvl w:val="9"/>
        <w:rPr>
          <w:rFonts w:hint="eastAsia" w:ascii="黑体" w:hAnsi="宋体" w:eastAsia="黑体" w:cs="黑体"/>
          <w:b/>
          <w:bCs/>
          <w:kern w:val="44"/>
          <w:sz w:val="44"/>
          <w:szCs w:val="44"/>
        </w:rPr>
      </w:pPr>
    </w:p>
    <w:p w14:paraId="046234DE">
      <w:pPr>
        <w:pStyle w:val="3"/>
        <w:widowControl/>
        <w:numPr>
          <w:ilvl w:val="0"/>
          <w:numId w:val="0"/>
        </w:numPr>
        <w:spacing w:before="0" w:beforeAutospacing="0" w:after="0" w:afterAutospacing="0"/>
        <w:ind w:left="0" w:leftChars="0" w:firstLine="0" w:firstLineChars="0"/>
        <w:jc w:val="center"/>
        <w:outlineLvl w:val="9"/>
        <w:rPr>
          <w:rFonts w:hint="eastAsia" w:ascii="黑体" w:hAnsi="宋体" w:eastAsia="黑体" w:cs="黑体"/>
          <w:b/>
          <w:bCs/>
          <w:kern w:val="44"/>
          <w:sz w:val="44"/>
          <w:szCs w:val="44"/>
        </w:rPr>
      </w:pPr>
    </w:p>
    <w:p w14:paraId="4C2332A4">
      <w:pPr>
        <w:pStyle w:val="3"/>
        <w:widowControl/>
        <w:numPr>
          <w:ilvl w:val="0"/>
          <w:numId w:val="0"/>
        </w:numPr>
        <w:spacing w:before="0" w:beforeAutospacing="0" w:after="0" w:afterAutospacing="0"/>
        <w:ind w:left="0" w:leftChars="0" w:firstLine="0" w:firstLineChars="0"/>
        <w:jc w:val="center"/>
        <w:outlineLvl w:val="9"/>
        <w:rPr>
          <w:rFonts w:hint="eastAsia" w:ascii="黑体" w:hAnsi="宋体" w:eastAsia="黑体" w:cs="黑体"/>
          <w:b/>
          <w:bCs/>
          <w:kern w:val="44"/>
          <w:sz w:val="44"/>
          <w:szCs w:val="44"/>
        </w:rPr>
      </w:pPr>
    </w:p>
    <w:p w14:paraId="4567B637">
      <w:pPr>
        <w:pStyle w:val="3"/>
        <w:widowControl/>
        <w:numPr>
          <w:ilvl w:val="0"/>
          <w:numId w:val="0"/>
        </w:numPr>
        <w:spacing w:before="0" w:beforeAutospacing="0" w:after="0" w:afterAutospacing="0"/>
        <w:ind w:left="0" w:leftChars="0" w:firstLine="0" w:firstLineChars="0"/>
        <w:jc w:val="center"/>
        <w:outlineLvl w:val="9"/>
        <w:rPr>
          <w:rFonts w:hint="eastAsia" w:ascii="黑体" w:hAnsi="宋体" w:eastAsia="黑体" w:cs="黑体"/>
          <w:b/>
          <w:bCs/>
          <w:kern w:val="44"/>
          <w:sz w:val="44"/>
          <w:szCs w:val="44"/>
        </w:rPr>
      </w:pPr>
    </w:p>
    <w:p w14:paraId="077F369F">
      <w:pPr>
        <w:pStyle w:val="3"/>
        <w:widowControl/>
        <w:numPr>
          <w:ilvl w:val="0"/>
          <w:numId w:val="0"/>
        </w:numPr>
        <w:spacing w:before="0" w:beforeAutospacing="0" w:after="0" w:afterAutospacing="0"/>
        <w:ind w:left="0" w:leftChars="0" w:firstLine="0" w:firstLineChars="0"/>
        <w:jc w:val="center"/>
        <w:outlineLvl w:val="9"/>
        <w:rPr>
          <w:rFonts w:hint="eastAsia" w:ascii="黑体" w:hAnsi="宋体" w:eastAsia="黑体" w:cs="黑体"/>
          <w:b/>
          <w:bCs/>
          <w:kern w:val="44"/>
          <w:sz w:val="44"/>
          <w:szCs w:val="44"/>
        </w:rPr>
      </w:pPr>
    </w:p>
    <w:p w14:paraId="3DFD1B82">
      <w:pPr>
        <w:pStyle w:val="3"/>
        <w:widowControl/>
        <w:numPr>
          <w:ilvl w:val="0"/>
          <w:numId w:val="0"/>
        </w:numPr>
        <w:spacing w:before="0" w:beforeAutospacing="0" w:after="0" w:afterAutospacing="0"/>
        <w:ind w:left="0" w:leftChars="0" w:firstLine="0" w:firstLineChars="0"/>
        <w:jc w:val="center"/>
        <w:outlineLvl w:val="9"/>
        <w:rPr>
          <w:rFonts w:hint="eastAsia" w:ascii="黑体" w:hAnsi="宋体" w:eastAsia="黑体" w:cs="黑体"/>
          <w:b/>
          <w:bCs/>
          <w:kern w:val="44"/>
          <w:sz w:val="44"/>
          <w:szCs w:val="44"/>
        </w:rPr>
      </w:pPr>
    </w:p>
    <w:p w14:paraId="1FD4DA5F">
      <w:pPr>
        <w:pStyle w:val="3"/>
        <w:widowControl/>
        <w:numPr>
          <w:ilvl w:val="0"/>
          <w:numId w:val="0"/>
        </w:numPr>
        <w:spacing w:before="0" w:beforeAutospacing="0" w:after="0" w:afterAutospacing="0"/>
        <w:ind w:left="0" w:leftChars="0" w:firstLine="0" w:firstLineChars="0"/>
        <w:jc w:val="center"/>
        <w:outlineLvl w:val="9"/>
        <w:rPr>
          <w:rFonts w:hint="eastAsia" w:ascii="黑体" w:hAnsi="宋体" w:eastAsia="黑体" w:cs="黑体"/>
          <w:b/>
          <w:bCs/>
          <w:kern w:val="44"/>
          <w:sz w:val="44"/>
          <w:szCs w:val="44"/>
        </w:rPr>
      </w:pPr>
    </w:p>
    <w:p w14:paraId="6827F9DC">
      <w:pPr>
        <w:pStyle w:val="3"/>
        <w:widowControl/>
        <w:numPr>
          <w:ilvl w:val="0"/>
          <w:numId w:val="0"/>
        </w:numPr>
        <w:spacing w:before="0" w:beforeAutospacing="0" w:after="0" w:afterAutospacing="0"/>
        <w:ind w:left="0" w:leftChars="0" w:firstLine="0" w:firstLineChars="0"/>
        <w:jc w:val="center"/>
        <w:outlineLvl w:val="9"/>
        <w:rPr>
          <w:rFonts w:hint="eastAsia" w:ascii="黑体" w:hAnsi="宋体" w:eastAsia="黑体" w:cs="黑体"/>
          <w:b/>
          <w:bCs/>
          <w:kern w:val="44"/>
          <w:sz w:val="44"/>
          <w:szCs w:val="44"/>
        </w:rPr>
      </w:pPr>
    </w:p>
    <w:p w14:paraId="13F5D706">
      <w:pPr>
        <w:rPr>
          <w:rFonts w:hint="eastAsia" w:ascii="黑体" w:hAnsi="宋体" w:eastAsia="黑体" w:cs="黑体"/>
          <w:b/>
          <w:bCs/>
          <w:kern w:val="44"/>
          <w:sz w:val="44"/>
          <w:szCs w:val="44"/>
        </w:rPr>
      </w:pPr>
    </w:p>
    <w:p w14:paraId="3C195DDC">
      <w:pPr>
        <w:rPr>
          <w:rFonts w:hint="eastAsia" w:ascii="黑体" w:hAnsi="宋体" w:eastAsia="黑体" w:cs="黑体"/>
          <w:b/>
          <w:bCs/>
          <w:kern w:val="44"/>
          <w:sz w:val="44"/>
          <w:szCs w:val="44"/>
        </w:rPr>
      </w:pPr>
    </w:p>
    <w:p w14:paraId="669EE19B">
      <w:pPr>
        <w:rPr>
          <w:rFonts w:hint="eastAsia" w:ascii="黑体" w:hAnsi="宋体" w:eastAsia="黑体" w:cs="黑体"/>
          <w:b/>
          <w:bCs/>
          <w:kern w:val="44"/>
          <w:sz w:val="44"/>
          <w:szCs w:val="44"/>
        </w:rPr>
      </w:pPr>
    </w:p>
    <w:p w14:paraId="5BF0ADAF">
      <w:pPr>
        <w:pStyle w:val="3"/>
        <w:widowControl/>
        <w:numPr>
          <w:ilvl w:val="0"/>
          <w:numId w:val="0"/>
        </w:numPr>
        <w:spacing w:before="0" w:beforeAutospacing="0" w:after="0" w:afterAutospacing="0"/>
        <w:ind w:left="0" w:leftChars="0" w:firstLine="0" w:firstLineChars="0"/>
        <w:jc w:val="center"/>
        <w:outlineLvl w:val="9"/>
        <w:rPr>
          <w:rFonts w:hint="eastAsia" w:ascii="黑体" w:hAnsi="宋体" w:eastAsia="黑体" w:cs="Times New Roman"/>
          <w:kern w:val="2"/>
          <w:sz w:val="21"/>
          <w:szCs w:val="21"/>
        </w:rPr>
      </w:pPr>
      <w:r>
        <w:rPr>
          <w:rFonts w:hint="eastAsia" w:ascii="黑体" w:hAnsi="宋体" w:eastAsia="黑体" w:cs="黑体"/>
          <w:b/>
          <w:bCs/>
          <w:kern w:val="44"/>
          <w:sz w:val="44"/>
          <w:szCs w:val="44"/>
        </w:rPr>
        <w:t>合同格式</w:t>
      </w:r>
      <w:bookmarkEnd w:id="164"/>
    </w:p>
    <w:p w14:paraId="144919E2">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kern w:val="2"/>
          <w:sz w:val="21"/>
          <w:szCs w:val="21"/>
        </w:rPr>
      </w:pPr>
      <w:r>
        <w:rPr>
          <w:rFonts w:hint="eastAsia" w:ascii="宋体" w:hAnsi="宋体" w:eastAsia="宋体" w:cs="宋体"/>
          <w:b/>
          <w:bCs/>
          <w:color w:val="FF0000"/>
          <w:kern w:val="2"/>
          <w:sz w:val="21"/>
          <w:szCs w:val="21"/>
          <w:highlight w:val="none"/>
          <w:lang w:val="en-US" w:eastAsia="zh-CN" w:bidi="ar"/>
        </w:rPr>
        <w:t>（此部分仅供参考，具体以实际签订为准）</w:t>
      </w:r>
    </w:p>
    <w:p w14:paraId="09180E1A">
      <w:pPr>
        <w:keepNext w:val="0"/>
        <w:keepLines w:val="0"/>
        <w:widowControl w:val="0"/>
        <w:suppressLineNumbers w:val="0"/>
        <w:spacing w:before="0" w:beforeAutospacing="0" w:after="0" w:afterAutospacing="0"/>
        <w:ind w:left="0" w:right="0"/>
        <w:jc w:val="left"/>
        <w:rPr>
          <w:rFonts w:hint="default" w:ascii="Times New Roman" w:hAnsi="Times New Roman" w:eastAsia="宋体" w:cs="Times New Roman"/>
          <w:kern w:val="2"/>
          <w:sz w:val="21"/>
          <w:szCs w:val="21"/>
        </w:rPr>
      </w:pPr>
      <w:r>
        <w:rPr>
          <w:rFonts w:hint="default" w:ascii="Times New Roman" w:hAnsi="Times New Roman" w:eastAsia="宋体" w:cs="Times New Roman"/>
          <w:kern w:val="2"/>
          <w:sz w:val="21"/>
          <w:szCs w:val="21"/>
          <w:lang w:val="en-US" w:eastAsia="zh-CN" w:bidi="ar"/>
        </w:rPr>
        <w:t xml:space="preserve"> </w:t>
      </w:r>
    </w:p>
    <w:p w14:paraId="7BDB2344">
      <w:pPr>
        <w:keepNext w:val="0"/>
        <w:keepLines w:val="0"/>
        <w:widowControl w:val="0"/>
        <w:suppressLineNumbers w:val="0"/>
        <w:spacing w:before="0" w:beforeAutospacing="0" w:after="0" w:afterAutospacing="0"/>
        <w:ind w:left="0" w:right="0"/>
        <w:jc w:val="right"/>
        <w:rPr>
          <w:rFonts w:hint="eastAsia" w:ascii="仿宋" w:hAnsi="仿宋" w:eastAsia="仿宋" w:cs="Times New Roman"/>
          <w:b/>
          <w:bCs w:val="0"/>
          <w:kern w:val="2"/>
          <w:sz w:val="32"/>
          <w:szCs w:val="32"/>
        </w:rPr>
      </w:pPr>
      <w:r>
        <w:rPr>
          <w:rFonts w:hint="eastAsia" w:ascii="仿宋" w:hAnsi="仿宋" w:eastAsia="仿宋" w:cs="仿宋"/>
          <w:b/>
          <w:bCs w:val="0"/>
          <w:kern w:val="2"/>
          <w:sz w:val="32"/>
          <w:szCs w:val="32"/>
          <w:lang w:val="en-US" w:eastAsia="zh-CN" w:bidi="ar"/>
        </w:rPr>
        <w:t>合同编号：</w:t>
      </w:r>
      <w:r>
        <w:rPr>
          <w:rFonts w:hint="eastAsia" w:ascii="仿宋" w:hAnsi="仿宋" w:eastAsia="仿宋" w:cs="Times New Roman"/>
          <w:b/>
          <w:bCs w:val="0"/>
          <w:kern w:val="2"/>
          <w:sz w:val="32"/>
          <w:szCs w:val="32"/>
          <w:lang w:val="en-US" w:eastAsia="zh-CN" w:bidi="ar"/>
        </w:rPr>
        <w:t xml:space="preserve"> </w:t>
      </w:r>
    </w:p>
    <w:p w14:paraId="7B5A5D2C">
      <w:pPr>
        <w:keepNext w:val="0"/>
        <w:keepLines w:val="0"/>
        <w:widowControl w:val="0"/>
        <w:suppressLineNumbers w:val="0"/>
        <w:spacing w:before="0" w:beforeAutospacing="0" w:after="0" w:afterAutospacing="0"/>
        <w:ind w:left="0" w:right="0"/>
        <w:jc w:val="right"/>
        <w:rPr>
          <w:rFonts w:hint="eastAsia" w:ascii="仿宋" w:hAnsi="仿宋" w:eastAsia="仿宋" w:cs="Times New Roman"/>
          <w:b/>
          <w:bCs w:val="0"/>
          <w:kern w:val="2"/>
          <w:sz w:val="32"/>
          <w:szCs w:val="32"/>
        </w:rPr>
      </w:pPr>
      <w:r>
        <w:rPr>
          <w:rFonts w:hint="eastAsia" w:ascii="仿宋" w:hAnsi="仿宋" w:eastAsia="仿宋" w:cs="Times New Roman"/>
          <w:b/>
          <w:bCs w:val="0"/>
          <w:kern w:val="2"/>
          <w:sz w:val="32"/>
          <w:szCs w:val="32"/>
          <w:lang w:val="en-US" w:eastAsia="zh-CN" w:bidi="ar"/>
        </w:rPr>
        <w:t xml:space="preserve"> </w:t>
      </w:r>
    </w:p>
    <w:p w14:paraId="1954386D">
      <w:pPr>
        <w:keepNext w:val="0"/>
        <w:keepLines w:val="0"/>
        <w:widowControl w:val="0"/>
        <w:suppressLineNumbers w:val="0"/>
        <w:spacing w:before="0" w:beforeAutospacing="0" w:after="0" w:afterAutospacing="0"/>
        <w:ind w:left="0" w:right="0"/>
        <w:jc w:val="right"/>
        <w:rPr>
          <w:rFonts w:hint="eastAsia" w:ascii="仿宋" w:hAnsi="仿宋" w:eastAsia="仿宋" w:cs="Times New Roman"/>
          <w:b/>
          <w:bCs w:val="0"/>
          <w:kern w:val="2"/>
          <w:sz w:val="32"/>
          <w:szCs w:val="32"/>
        </w:rPr>
      </w:pPr>
      <w:r>
        <w:rPr>
          <w:rFonts w:hint="eastAsia" w:ascii="仿宋" w:hAnsi="仿宋" w:eastAsia="仿宋" w:cs="Times New Roman"/>
          <w:b/>
          <w:bCs w:val="0"/>
          <w:kern w:val="2"/>
          <w:sz w:val="32"/>
          <w:szCs w:val="32"/>
          <w:lang w:val="en-US" w:eastAsia="zh-CN" w:bidi="ar"/>
        </w:rPr>
        <w:t xml:space="preserve"> </w:t>
      </w:r>
    </w:p>
    <w:p w14:paraId="6023CF0F">
      <w:pPr>
        <w:keepNext w:val="0"/>
        <w:keepLines w:val="0"/>
        <w:widowControl w:val="0"/>
        <w:suppressLineNumbers w:val="0"/>
        <w:spacing w:before="0" w:beforeAutospacing="0" w:after="0" w:afterAutospacing="0"/>
        <w:ind w:left="0" w:right="0"/>
        <w:jc w:val="right"/>
        <w:rPr>
          <w:rFonts w:hint="eastAsia" w:ascii="仿宋" w:hAnsi="仿宋" w:eastAsia="仿宋" w:cs="Times New Roman"/>
          <w:b/>
          <w:bCs w:val="0"/>
          <w:kern w:val="2"/>
          <w:sz w:val="21"/>
          <w:szCs w:val="21"/>
        </w:rPr>
      </w:pPr>
      <w:r>
        <w:rPr>
          <w:rFonts w:hint="eastAsia" w:ascii="仿宋" w:hAnsi="仿宋" w:eastAsia="仿宋" w:cs="Times New Roman"/>
          <w:b/>
          <w:bCs w:val="0"/>
          <w:kern w:val="2"/>
          <w:sz w:val="21"/>
          <w:szCs w:val="21"/>
          <w:lang w:val="en-US" w:eastAsia="zh-CN" w:bidi="ar"/>
        </w:rPr>
        <w:t xml:space="preserve"> </w:t>
      </w:r>
    </w:p>
    <w:p w14:paraId="02EDA3B9">
      <w:pPr>
        <w:keepNext w:val="0"/>
        <w:keepLines w:val="0"/>
        <w:widowControl w:val="0"/>
        <w:suppressLineNumbers w:val="0"/>
        <w:spacing w:before="0" w:beforeAutospacing="0" w:after="0" w:afterAutospacing="0"/>
        <w:ind w:left="0" w:right="0"/>
        <w:jc w:val="center"/>
        <w:rPr>
          <w:rFonts w:hint="eastAsia" w:ascii="宋体" w:hAnsi="宋体" w:eastAsia="宋体" w:cs="宋体"/>
          <w:b/>
          <w:bCs/>
          <w:kern w:val="2"/>
          <w:sz w:val="72"/>
          <w:szCs w:val="72"/>
        </w:rPr>
      </w:pPr>
      <w:r>
        <w:rPr>
          <w:rFonts w:hint="eastAsia" w:ascii="宋体" w:hAnsi="宋体" w:eastAsia="宋体" w:cs="宋体"/>
          <w:b/>
          <w:bCs/>
          <w:kern w:val="2"/>
          <w:sz w:val="72"/>
          <w:szCs w:val="72"/>
          <w:lang w:val="en-US" w:eastAsia="zh-CN" w:bidi="ar"/>
        </w:rPr>
        <w:t>福田区卫生系统采购合同</w:t>
      </w:r>
    </w:p>
    <w:p w14:paraId="511DCED3">
      <w:pPr>
        <w:keepNext w:val="0"/>
        <w:keepLines w:val="0"/>
        <w:widowControl w:val="0"/>
        <w:suppressLineNumbers w:val="0"/>
        <w:spacing w:before="0" w:beforeAutospacing="0" w:after="0" w:afterAutospacing="0"/>
        <w:ind w:left="0" w:right="0"/>
        <w:jc w:val="both"/>
        <w:rPr>
          <w:rFonts w:hint="default" w:ascii="Times New Roman" w:hAnsi="Times New Roman" w:eastAsia="宋体" w:cs="Times New Roman"/>
          <w:kern w:val="2"/>
          <w:sz w:val="21"/>
          <w:szCs w:val="21"/>
        </w:rPr>
      </w:pPr>
      <w:r>
        <w:rPr>
          <w:rFonts w:hint="default" w:ascii="Times New Roman" w:hAnsi="Times New Roman" w:eastAsia="宋体" w:cs="Times New Roman"/>
          <w:kern w:val="2"/>
          <w:sz w:val="21"/>
          <w:szCs w:val="21"/>
          <w:lang w:val="en-US" w:eastAsia="zh-CN" w:bidi="ar"/>
        </w:rPr>
        <w:t xml:space="preserve"> </w:t>
      </w:r>
    </w:p>
    <w:p w14:paraId="77814D16">
      <w:pPr>
        <w:keepNext w:val="0"/>
        <w:keepLines w:val="0"/>
        <w:widowControl w:val="0"/>
        <w:suppressLineNumbers w:val="0"/>
        <w:spacing w:before="0" w:beforeAutospacing="0" w:after="0" w:afterAutospacing="0"/>
        <w:ind w:left="0" w:right="0"/>
        <w:jc w:val="both"/>
        <w:rPr>
          <w:rFonts w:hint="default" w:ascii="Times New Roman" w:hAnsi="Times New Roman" w:eastAsia="宋体" w:cs="Times New Roman"/>
          <w:kern w:val="2"/>
          <w:sz w:val="21"/>
          <w:szCs w:val="21"/>
        </w:rPr>
      </w:pPr>
      <w:r>
        <w:rPr>
          <w:rFonts w:hint="default" w:ascii="Times New Roman" w:hAnsi="Times New Roman" w:eastAsia="宋体" w:cs="Times New Roman"/>
          <w:kern w:val="2"/>
          <w:sz w:val="21"/>
          <w:szCs w:val="21"/>
          <w:lang w:val="en-US" w:eastAsia="zh-CN" w:bidi="ar"/>
        </w:rPr>
        <w:t xml:space="preserve"> </w:t>
      </w:r>
    </w:p>
    <w:p w14:paraId="3FCEDB11">
      <w:pPr>
        <w:keepNext w:val="0"/>
        <w:keepLines w:val="0"/>
        <w:widowControl w:val="0"/>
        <w:suppressLineNumbers w:val="0"/>
        <w:spacing w:before="0" w:beforeAutospacing="0" w:after="0" w:afterAutospacing="0"/>
        <w:ind w:left="0" w:right="0"/>
        <w:jc w:val="both"/>
        <w:rPr>
          <w:rFonts w:hint="default" w:ascii="Times New Roman" w:hAnsi="Times New Roman" w:eastAsia="宋体" w:cs="Times New Roman"/>
          <w:kern w:val="2"/>
          <w:sz w:val="21"/>
          <w:szCs w:val="21"/>
        </w:rPr>
      </w:pPr>
      <w:r>
        <w:rPr>
          <w:rFonts w:hint="default" w:ascii="Times New Roman" w:hAnsi="Times New Roman" w:eastAsia="宋体" w:cs="Times New Roman"/>
          <w:kern w:val="2"/>
          <w:sz w:val="21"/>
          <w:szCs w:val="21"/>
          <w:lang w:val="en-US" w:eastAsia="zh-CN" w:bidi="ar"/>
        </w:rPr>
        <w:t xml:space="preserve"> </w:t>
      </w:r>
    </w:p>
    <w:p w14:paraId="2A9CD248">
      <w:pPr>
        <w:keepNext w:val="0"/>
        <w:keepLines w:val="0"/>
        <w:widowControl w:val="0"/>
        <w:suppressLineNumbers w:val="0"/>
        <w:spacing w:before="0" w:beforeAutospacing="0" w:after="0" w:afterAutospacing="0"/>
        <w:ind w:left="0" w:right="0"/>
        <w:jc w:val="both"/>
        <w:rPr>
          <w:rFonts w:hint="default" w:ascii="Times New Roman" w:hAnsi="Times New Roman" w:eastAsia="宋体" w:cs="Times New Roman"/>
          <w:kern w:val="2"/>
          <w:sz w:val="21"/>
          <w:szCs w:val="21"/>
        </w:rPr>
      </w:pPr>
      <w:r>
        <w:rPr>
          <w:rFonts w:hint="default" w:ascii="Times New Roman" w:hAnsi="Times New Roman" w:eastAsia="宋体" w:cs="Times New Roman"/>
          <w:kern w:val="2"/>
          <w:sz w:val="21"/>
          <w:szCs w:val="21"/>
          <w:lang w:val="en-US" w:eastAsia="zh-CN" w:bidi="ar"/>
        </w:rPr>
        <w:t xml:space="preserve"> </w:t>
      </w:r>
    </w:p>
    <w:p w14:paraId="3E3DE5F7">
      <w:pPr>
        <w:keepNext w:val="0"/>
        <w:keepLines w:val="0"/>
        <w:widowControl w:val="0"/>
        <w:suppressLineNumbers w:val="0"/>
        <w:spacing w:before="0" w:beforeAutospacing="0" w:after="0" w:afterAutospacing="0"/>
        <w:ind w:left="0" w:right="0"/>
        <w:jc w:val="both"/>
        <w:rPr>
          <w:rFonts w:hint="default" w:ascii="Times New Roman" w:hAnsi="Times New Roman" w:eastAsia="宋体" w:cs="Times New Roman"/>
          <w:kern w:val="2"/>
          <w:sz w:val="21"/>
          <w:szCs w:val="21"/>
        </w:rPr>
      </w:pPr>
      <w:r>
        <w:rPr>
          <w:rFonts w:hint="default" w:ascii="Times New Roman" w:hAnsi="Times New Roman" w:eastAsia="宋体" w:cs="Times New Roman"/>
          <w:kern w:val="2"/>
          <w:sz w:val="21"/>
          <w:szCs w:val="21"/>
          <w:lang w:val="en-US" w:eastAsia="zh-CN" w:bidi="ar"/>
        </w:rPr>
        <w:t xml:space="preserve"> </w:t>
      </w:r>
    </w:p>
    <w:p w14:paraId="60428329">
      <w:pPr>
        <w:keepNext w:val="0"/>
        <w:keepLines w:val="0"/>
        <w:widowControl w:val="0"/>
        <w:suppressLineNumbers w:val="0"/>
        <w:spacing w:before="0" w:beforeAutospacing="0" w:after="0" w:afterAutospacing="0"/>
        <w:ind w:left="0" w:right="0"/>
        <w:jc w:val="both"/>
        <w:rPr>
          <w:rFonts w:hint="default" w:ascii="Times New Roman" w:hAnsi="Times New Roman" w:eastAsia="宋体" w:cs="Times New Roman"/>
          <w:kern w:val="2"/>
          <w:sz w:val="21"/>
          <w:szCs w:val="21"/>
        </w:rPr>
      </w:pPr>
      <w:r>
        <w:rPr>
          <w:rFonts w:hint="default" w:ascii="Times New Roman" w:hAnsi="Times New Roman" w:eastAsia="宋体" w:cs="Times New Roman"/>
          <w:kern w:val="2"/>
          <w:sz w:val="21"/>
          <w:szCs w:val="21"/>
          <w:lang w:val="en-US" w:eastAsia="zh-CN" w:bidi="ar"/>
        </w:rPr>
        <w:t xml:space="preserve"> </w:t>
      </w:r>
    </w:p>
    <w:p w14:paraId="0FDD6601">
      <w:pPr>
        <w:keepNext w:val="0"/>
        <w:keepLines w:val="0"/>
        <w:widowControl w:val="0"/>
        <w:suppressLineNumbers w:val="0"/>
        <w:spacing w:before="0" w:beforeAutospacing="0" w:after="0" w:afterAutospacing="0"/>
        <w:ind w:left="0" w:right="0"/>
        <w:jc w:val="both"/>
        <w:rPr>
          <w:rFonts w:hint="default" w:ascii="Times New Roman" w:hAnsi="Times New Roman" w:eastAsia="宋体" w:cs="Times New Roman"/>
          <w:kern w:val="2"/>
          <w:sz w:val="21"/>
          <w:szCs w:val="21"/>
        </w:rPr>
      </w:pPr>
      <w:r>
        <w:rPr>
          <w:rFonts w:hint="eastAsia" w:ascii="Times New Roman" w:hAnsi="Times New Roman" w:eastAsia="宋体" w:cs="Times New Roman"/>
          <w:kern w:val="2"/>
          <w:sz w:val="21"/>
          <w:szCs w:val="21"/>
          <w:lang w:val="en-US" w:eastAsia="zh-CN" w:bidi="ar"/>
        </w:rPr>
        <w:t xml:space="preserve"> </w:t>
      </w:r>
    </w:p>
    <w:p w14:paraId="379846F8">
      <w:pPr>
        <w:keepNext w:val="0"/>
        <w:keepLines w:val="0"/>
        <w:widowControl w:val="0"/>
        <w:suppressLineNumbers w:val="0"/>
        <w:spacing w:before="0" w:beforeAutospacing="0" w:after="0" w:afterAutospacing="0"/>
        <w:ind w:left="0" w:right="0" w:firstLine="1120" w:firstLineChars="350"/>
        <w:jc w:val="both"/>
        <w:rPr>
          <w:rFonts w:hint="eastAsia" w:ascii="仿宋_GB2312" w:eastAsia="仿宋_GB2312" w:cs="仿宋_GB2312"/>
          <w:bCs/>
          <w:kern w:val="2"/>
          <w:sz w:val="32"/>
          <w:szCs w:val="32"/>
        </w:rPr>
      </w:pPr>
      <w:r>
        <w:rPr>
          <w:rFonts w:hint="eastAsia" w:ascii="仿宋_GB2312" w:hAnsi="Times New Roman" w:eastAsia="仿宋_GB2312" w:cs="仿宋_GB2312"/>
          <w:bCs/>
          <w:kern w:val="2"/>
          <w:sz w:val="32"/>
          <w:szCs w:val="32"/>
          <w:lang w:val="en-US" w:eastAsia="zh-CN" w:bidi="ar"/>
        </w:rPr>
        <w:t>项目名称：</w:t>
      </w:r>
      <w:r>
        <w:rPr>
          <w:rFonts w:hint="eastAsia" w:ascii="仿宋_GB2312" w:hAnsi="Times New Roman" w:eastAsia="仿宋_GB2312" w:cs="仿宋_GB2312"/>
          <w:bCs/>
          <w:kern w:val="2"/>
          <w:sz w:val="32"/>
          <w:szCs w:val="32"/>
          <w:u w:val="single"/>
          <w:lang w:val="en-US" w:eastAsia="zh-CN" w:bidi="ar"/>
        </w:rPr>
        <w:t xml:space="preserve">                               </w:t>
      </w:r>
    </w:p>
    <w:p w14:paraId="5FE8EE7C">
      <w:pPr>
        <w:keepNext w:val="0"/>
        <w:keepLines w:val="0"/>
        <w:widowControl w:val="0"/>
        <w:suppressLineNumbers w:val="0"/>
        <w:spacing w:before="0" w:beforeAutospacing="0" w:after="0" w:afterAutospacing="0"/>
        <w:ind w:left="0" w:right="0" w:firstLine="1120" w:firstLineChars="350"/>
        <w:jc w:val="both"/>
        <w:rPr>
          <w:rFonts w:hint="eastAsia" w:ascii="仿宋_GB2312" w:eastAsia="仿宋_GB2312" w:cs="仿宋_GB2312"/>
          <w:bCs/>
          <w:kern w:val="2"/>
          <w:sz w:val="32"/>
          <w:szCs w:val="32"/>
          <w:u w:val="single"/>
        </w:rPr>
      </w:pPr>
      <w:r>
        <w:rPr>
          <w:rFonts w:hint="eastAsia" w:ascii="仿宋_GB2312" w:hAnsi="Times New Roman" w:eastAsia="仿宋_GB2312" w:cs="仿宋_GB2312"/>
          <w:bCs/>
          <w:kern w:val="2"/>
          <w:sz w:val="32"/>
          <w:szCs w:val="32"/>
          <w:lang w:val="en-US" w:eastAsia="zh-CN" w:bidi="ar"/>
        </w:rPr>
        <w:t>甲    方：</w:t>
      </w:r>
      <w:r>
        <w:rPr>
          <w:rFonts w:hint="eastAsia" w:ascii="仿宋_GB2312" w:hAnsi="Times New Roman" w:eastAsia="仿宋_GB2312" w:cs="仿宋_GB2312"/>
          <w:kern w:val="2"/>
          <w:sz w:val="32"/>
          <w:szCs w:val="32"/>
          <w:u w:val="single"/>
          <w:lang w:val="en-US" w:eastAsia="zh-CN" w:bidi="ar"/>
        </w:rPr>
        <w:t xml:space="preserve">    深圳市福田区第二人民医院   </w:t>
      </w:r>
    </w:p>
    <w:p w14:paraId="391FCCB2">
      <w:pPr>
        <w:keepNext w:val="0"/>
        <w:keepLines w:val="0"/>
        <w:widowControl w:val="0"/>
        <w:suppressLineNumbers w:val="0"/>
        <w:spacing w:before="0" w:beforeAutospacing="0" w:after="0" w:afterAutospacing="0"/>
        <w:ind w:left="0" w:right="0" w:firstLine="1120" w:firstLineChars="350"/>
        <w:jc w:val="both"/>
        <w:rPr>
          <w:rFonts w:hint="eastAsia" w:ascii="仿宋_GB2312" w:eastAsia="仿宋_GB2312" w:cs="仿宋_GB2312"/>
          <w:bCs/>
          <w:kern w:val="2"/>
          <w:sz w:val="32"/>
          <w:szCs w:val="32"/>
          <w:u w:val="single"/>
        </w:rPr>
      </w:pPr>
      <w:r>
        <w:rPr>
          <w:rFonts w:hint="eastAsia" w:ascii="仿宋_GB2312" w:hAnsi="Times New Roman" w:eastAsia="仿宋_GB2312" w:cs="仿宋_GB2312"/>
          <w:bCs/>
          <w:kern w:val="2"/>
          <w:sz w:val="32"/>
          <w:szCs w:val="32"/>
          <w:lang w:val="en-US" w:eastAsia="zh-CN" w:bidi="ar"/>
        </w:rPr>
        <w:t>乙    方：</w:t>
      </w:r>
      <w:r>
        <w:rPr>
          <w:rFonts w:hint="eastAsia" w:ascii="仿宋_GB2312" w:hAnsi="Times New Roman" w:eastAsia="仿宋_GB2312" w:cs="仿宋_GB2312"/>
          <w:bCs/>
          <w:kern w:val="2"/>
          <w:sz w:val="32"/>
          <w:szCs w:val="32"/>
          <w:u w:val="single"/>
          <w:lang w:val="en-US" w:eastAsia="zh-CN" w:bidi="ar"/>
        </w:rPr>
        <w:t xml:space="preserve">                           </w:t>
      </w:r>
      <w:r>
        <w:rPr>
          <w:rFonts w:hint="eastAsia" w:ascii="仿宋_GB2312" w:hAnsi="Times New Roman" w:eastAsia="仿宋_GB2312" w:cs="仿宋_GB2312"/>
          <w:bCs/>
          <w:color w:val="FF0000"/>
          <w:kern w:val="2"/>
          <w:sz w:val="32"/>
          <w:szCs w:val="32"/>
          <w:u w:val="single"/>
          <w:lang w:val="en-US" w:eastAsia="zh-CN" w:bidi="ar"/>
        </w:rPr>
        <w:t xml:space="preserve"> </w:t>
      </w:r>
      <w:r>
        <w:rPr>
          <w:rFonts w:hint="eastAsia" w:ascii="仿宋_GB2312" w:hAnsi="Times New Roman" w:eastAsia="仿宋_GB2312" w:cs="仿宋_GB2312"/>
          <w:bCs/>
          <w:kern w:val="2"/>
          <w:sz w:val="32"/>
          <w:szCs w:val="32"/>
          <w:u w:val="single"/>
          <w:lang w:val="en-US" w:eastAsia="zh-CN" w:bidi="ar"/>
        </w:rPr>
        <w:t xml:space="preserve">   </w:t>
      </w:r>
    </w:p>
    <w:p w14:paraId="4F59B20D">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kern w:val="2"/>
          <w:sz w:val="48"/>
          <w:szCs w:val="48"/>
        </w:rPr>
      </w:pPr>
      <w:r>
        <w:rPr>
          <w:rFonts w:hint="default" w:ascii="Times New Roman" w:hAnsi="Times New Roman" w:eastAsia="宋体" w:cs="Times New Roman"/>
          <w:kern w:val="2"/>
          <w:sz w:val="48"/>
          <w:szCs w:val="48"/>
          <w:lang w:val="en-US" w:eastAsia="zh-CN" w:bidi="ar"/>
        </w:rPr>
        <w:t xml:space="preserve"> </w:t>
      </w:r>
    </w:p>
    <w:p w14:paraId="07517EA1">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kern w:val="2"/>
          <w:sz w:val="48"/>
          <w:szCs w:val="48"/>
        </w:rPr>
      </w:pPr>
      <w:r>
        <w:rPr>
          <w:rFonts w:hint="default" w:ascii="Times New Roman" w:hAnsi="Times New Roman" w:eastAsia="宋体" w:cs="Times New Roman"/>
          <w:kern w:val="2"/>
          <w:sz w:val="48"/>
          <w:szCs w:val="48"/>
          <w:lang w:val="en-US" w:eastAsia="zh-CN" w:bidi="ar"/>
        </w:rPr>
        <w:t xml:space="preserve"> </w:t>
      </w:r>
    </w:p>
    <w:p w14:paraId="3CCED6E0">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kern w:val="2"/>
          <w:sz w:val="48"/>
          <w:szCs w:val="48"/>
          <w:lang w:val="en-US" w:eastAsia="zh-CN" w:bidi="ar"/>
        </w:rPr>
      </w:pPr>
      <w:r>
        <w:rPr>
          <w:rFonts w:hint="default" w:ascii="Times New Roman" w:hAnsi="Times New Roman" w:eastAsia="宋体" w:cs="Times New Roman"/>
          <w:kern w:val="2"/>
          <w:sz w:val="48"/>
          <w:szCs w:val="48"/>
          <w:lang w:val="en-US" w:eastAsia="zh-CN" w:bidi="ar"/>
        </w:rPr>
        <w:t xml:space="preserve"> </w:t>
      </w:r>
    </w:p>
    <w:p w14:paraId="4AA5236E">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kern w:val="2"/>
          <w:sz w:val="48"/>
          <w:szCs w:val="48"/>
          <w:lang w:val="en-US" w:eastAsia="zh-CN" w:bidi="ar"/>
        </w:rPr>
      </w:pPr>
    </w:p>
    <w:p w14:paraId="58D762C3">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kern w:val="2"/>
          <w:sz w:val="48"/>
          <w:szCs w:val="48"/>
          <w:lang w:val="en-US" w:eastAsia="zh-CN" w:bidi="ar"/>
        </w:rPr>
      </w:pPr>
    </w:p>
    <w:p w14:paraId="5288040C">
      <w:pPr>
        <w:pStyle w:val="2"/>
        <w:rPr>
          <w:rFonts w:hint="default" w:ascii="Times New Roman" w:hAnsi="Times New Roman" w:eastAsia="宋体" w:cs="Times New Roman"/>
          <w:kern w:val="2"/>
          <w:sz w:val="48"/>
          <w:szCs w:val="48"/>
          <w:lang w:val="en-US" w:eastAsia="zh-CN" w:bidi="ar"/>
        </w:rPr>
      </w:pPr>
    </w:p>
    <w:p w14:paraId="16BCB3E7">
      <w:pPr>
        <w:pStyle w:val="2"/>
        <w:rPr>
          <w:rFonts w:hint="default" w:ascii="Times New Roman" w:hAnsi="Times New Roman" w:eastAsia="宋体" w:cs="Times New Roman"/>
          <w:kern w:val="2"/>
          <w:sz w:val="48"/>
          <w:szCs w:val="48"/>
          <w:lang w:val="en-US" w:eastAsia="zh-CN" w:bidi="ar"/>
        </w:rPr>
      </w:pPr>
    </w:p>
    <w:p w14:paraId="70058330">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kern w:val="2"/>
          <w:sz w:val="48"/>
          <w:szCs w:val="48"/>
          <w:lang w:val="en-US" w:eastAsia="zh-CN" w:bidi="ar"/>
        </w:rPr>
      </w:pPr>
    </w:p>
    <w:p w14:paraId="5DDCA062">
      <w:pPr>
        <w:keepNext w:val="0"/>
        <w:keepLines w:val="0"/>
        <w:widowControl/>
        <w:suppressLineNumbers w:val="0"/>
        <w:spacing w:before="0" w:beforeAutospacing="0" w:after="0" w:afterAutospacing="0"/>
        <w:ind w:left="0" w:right="0"/>
        <w:jc w:val="center"/>
        <w:rPr>
          <w:rFonts w:hint="eastAsia" w:ascii="宋体" w:hAnsi="宋体" w:eastAsia="宋体" w:cs="Times New Roman"/>
          <w:b/>
          <w:bCs w:val="0"/>
          <w:kern w:val="2"/>
          <w:sz w:val="24"/>
          <w:szCs w:val="24"/>
        </w:rPr>
      </w:pPr>
      <w:r>
        <w:rPr>
          <w:rFonts w:hint="eastAsia" w:ascii="方正小标宋简体" w:hAnsi="方正小标宋简体" w:eastAsia="方正小标宋简体" w:cs="方正小标宋简体"/>
          <w:kern w:val="2"/>
          <w:sz w:val="44"/>
          <w:szCs w:val="44"/>
          <w:lang w:val="en-US" w:eastAsia="zh-CN" w:bidi="ar"/>
        </w:rPr>
        <w:t>福田区卫生系统采购合同</w:t>
      </w:r>
    </w:p>
    <w:p w14:paraId="79729736">
      <w:pPr>
        <w:keepNext w:val="0"/>
        <w:keepLines w:val="0"/>
        <w:widowControl w:val="0"/>
        <w:suppressLineNumbers w:val="0"/>
        <w:spacing w:before="0" w:beforeAutospacing="0" w:after="0" w:afterAutospacing="0" w:line="360" w:lineRule="auto"/>
        <w:ind w:left="0" w:right="0"/>
        <w:jc w:val="left"/>
        <w:rPr>
          <w:rFonts w:hint="eastAsia" w:ascii="仿宋_GB2312" w:eastAsia="仿宋_GB2312" w:cs="仿宋_GB2312"/>
          <w:kern w:val="2"/>
          <w:sz w:val="28"/>
          <w:szCs w:val="28"/>
        </w:rPr>
      </w:pPr>
      <w:r>
        <w:rPr>
          <w:rFonts w:hint="eastAsia" w:ascii="仿宋_GB2312" w:hAnsi="Times New Roman" w:eastAsia="仿宋_GB2312" w:cs="仿宋_GB2312"/>
          <w:kern w:val="2"/>
          <w:sz w:val="28"/>
          <w:szCs w:val="28"/>
          <w:lang w:val="en-US" w:eastAsia="zh-CN" w:bidi="ar"/>
        </w:rPr>
        <w:t>甲方（采购人）：深圳市福田区第二人民医院</w:t>
      </w:r>
    </w:p>
    <w:p w14:paraId="3C39095F">
      <w:pPr>
        <w:keepNext w:val="0"/>
        <w:keepLines w:val="0"/>
        <w:widowControl w:val="0"/>
        <w:suppressLineNumbers w:val="0"/>
        <w:spacing w:before="0" w:beforeAutospacing="0" w:after="0" w:afterAutospacing="0" w:line="360" w:lineRule="auto"/>
        <w:ind w:left="0" w:right="0"/>
        <w:jc w:val="left"/>
        <w:rPr>
          <w:rFonts w:hint="eastAsia" w:ascii="仿宋_GB2312" w:eastAsia="仿宋_GB2312" w:cs="仿宋_GB2312"/>
          <w:kern w:val="2"/>
          <w:sz w:val="28"/>
          <w:szCs w:val="28"/>
        </w:rPr>
      </w:pPr>
      <w:r>
        <w:rPr>
          <w:rFonts w:hint="eastAsia" w:ascii="仿宋_GB2312" w:hAnsi="Times New Roman" w:eastAsia="仿宋_GB2312" w:cs="仿宋_GB2312"/>
          <w:kern w:val="2"/>
          <w:sz w:val="28"/>
          <w:szCs w:val="28"/>
          <w:lang w:val="en-US" w:eastAsia="zh-CN" w:bidi="ar"/>
        </w:rPr>
        <w:t>法定代表人/负责人或授权代表：</w:t>
      </w:r>
    </w:p>
    <w:p w14:paraId="02A429C5">
      <w:pPr>
        <w:keepNext w:val="0"/>
        <w:keepLines w:val="0"/>
        <w:widowControl w:val="0"/>
        <w:suppressLineNumbers w:val="0"/>
        <w:adjustRightInd w:val="0"/>
        <w:snapToGrid w:val="0"/>
        <w:spacing w:before="0" w:beforeAutospacing="0" w:after="0" w:afterAutospacing="0" w:line="560" w:lineRule="exact"/>
        <w:ind w:left="0" w:right="0"/>
        <w:jc w:val="left"/>
        <w:rPr>
          <w:rFonts w:hint="eastAsia" w:ascii="仿宋_GB2312" w:eastAsia="仿宋_GB2312" w:cs="仿宋_GB2312"/>
          <w:kern w:val="2"/>
          <w:sz w:val="28"/>
          <w:szCs w:val="28"/>
          <w:u w:val="single"/>
        </w:rPr>
      </w:pPr>
      <w:r>
        <w:rPr>
          <w:rFonts w:hint="eastAsia" w:ascii="仿宋_GB2312" w:hAnsi="Times New Roman" w:eastAsia="仿宋_GB2312" w:cs="仿宋_GB2312"/>
          <w:kern w:val="2"/>
          <w:sz w:val="28"/>
          <w:szCs w:val="28"/>
          <w:lang w:val="en-US" w:eastAsia="zh-CN" w:bidi="ar"/>
        </w:rPr>
        <w:t>地址：</w:t>
      </w:r>
    </w:p>
    <w:p w14:paraId="314251D8">
      <w:pPr>
        <w:keepNext w:val="0"/>
        <w:keepLines w:val="0"/>
        <w:widowControl w:val="0"/>
        <w:suppressLineNumbers w:val="0"/>
        <w:adjustRightInd w:val="0"/>
        <w:snapToGrid w:val="0"/>
        <w:spacing w:before="0" w:beforeAutospacing="0" w:after="0" w:afterAutospacing="0" w:line="560" w:lineRule="exact"/>
        <w:ind w:left="0" w:right="0"/>
        <w:jc w:val="left"/>
        <w:rPr>
          <w:rFonts w:hint="eastAsia" w:ascii="仿宋_GB2312" w:eastAsia="仿宋_GB2312" w:cs="仿宋_GB2312"/>
          <w:kern w:val="2"/>
          <w:sz w:val="28"/>
          <w:szCs w:val="28"/>
        </w:rPr>
      </w:pPr>
      <w:r>
        <w:rPr>
          <w:rFonts w:hint="eastAsia" w:ascii="仿宋_GB2312" w:hAnsi="Times New Roman" w:eastAsia="仿宋_GB2312" w:cs="仿宋_GB2312"/>
          <w:kern w:val="2"/>
          <w:sz w:val="28"/>
          <w:szCs w:val="28"/>
          <w:lang w:val="en-US" w:eastAsia="zh-CN" w:bidi="ar"/>
        </w:rPr>
        <w:t>联系电话：</w:t>
      </w:r>
    </w:p>
    <w:p w14:paraId="305A9A1D">
      <w:pPr>
        <w:keepNext w:val="0"/>
        <w:keepLines w:val="0"/>
        <w:widowControl w:val="0"/>
        <w:suppressLineNumbers w:val="0"/>
        <w:adjustRightInd w:val="0"/>
        <w:snapToGrid w:val="0"/>
        <w:spacing w:before="0" w:beforeAutospacing="0" w:after="0" w:afterAutospacing="0" w:line="560" w:lineRule="exact"/>
        <w:ind w:left="0" w:right="0"/>
        <w:jc w:val="left"/>
        <w:rPr>
          <w:rFonts w:hint="eastAsia" w:ascii="仿宋_GB2312" w:eastAsia="仿宋_GB2312" w:cs="仿宋_GB2312"/>
          <w:kern w:val="2"/>
          <w:sz w:val="28"/>
          <w:szCs w:val="28"/>
        </w:rPr>
      </w:pPr>
      <w:r>
        <w:rPr>
          <w:rFonts w:hint="eastAsia" w:ascii="仿宋_GB2312" w:hAnsi="Times New Roman" w:eastAsia="仿宋_GB2312" w:cs="仿宋_GB2312"/>
          <w:kern w:val="2"/>
          <w:sz w:val="28"/>
          <w:szCs w:val="28"/>
          <w:lang w:val="en-US" w:eastAsia="zh-CN" w:bidi="ar"/>
        </w:rPr>
        <w:t xml:space="preserve"> </w:t>
      </w:r>
    </w:p>
    <w:p w14:paraId="6E127DCF">
      <w:pPr>
        <w:keepNext w:val="0"/>
        <w:keepLines w:val="0"/>
        <w:widowControl w:val="0"/>
        <w:suppressLineNumbers w:val="0"/>
        <w:adjustRightInd w:val="0"/>
        <w:snapToGrid w:val="0"/>
        <w:spacing w:before="0" w:beforeAutospacing="0" w:after="0" w:afterAutospacing="0" w:line="560" w:lineRule="exact"/>
        <w:ind w:left="0" w:right="0"/>
        <w:jc w:val="left"/>
        <w:rPr>
          <w:rFonts w:hint="eastAsia" w:ascii="仿宋_GB2312" w:eastAsia="仿宋_GB2312" w:cs="仿宋_GB2312"/>
          <w:color w:val="000000" w:themeColor="text1"/>
          <w:kern w:val="2"/>
          <w:sz w:val="28"/>
          <w:szCs w:val="28"/>
          <w:u w:val="single"/>
          <w14:textFill>
            <w14:solidFill>
              <w14:schemeClr w14:val="tx1"/>
            </w14:solidFill>
          </w14:textFill>
        </w:rPr>
      </w:pPr>
      <w:r>
        <w:rPr>
          <w:rFonts w:hint="eastAsia" w:ascii="仿宋_GB2312" w:hAnsi="Times New Roman" w:eastAsia="仿宋_GB2312" w:cs="仿宋_GB2312"/>
          <w:color w:val="000000" w:themeColor="text1"/>
          <w:kern w:val="2"/>
          <w:sz w:val="28"/>
          <w:szCs w:val="28"/>
          <w:lang w:val="en-US" w:eastAsia="zh-CN" w:bidi="ar"/>
          <w14:textFill>
            <w14:solidFill>
              <w14:schemeClr w14:val="tx1"/>
            </w14:solidFill>
          </w14:textFill>
        </w:rPr>
        <w:t>乙方（供应商）：</w:t>
      </w:r>
    </w:p>
    <w:p w14:paraId="52868DAA">
      <w:pPr>
        <w:keepNext w:val="0"/>
        <w:keepLines w:val="0"/>
        <w:widowControl w:val="0"/>
        <w:suppressLineNumbers w:val="0"/>
        <w:adjustRightInd w:val="0"/>
        <w:snapToGrid w:val="0"/>
        <w:spacing w:before="0" w:beforeAutospacing="0" w:after="0" w:afterAutospacing="0" w:line="560" w:lineRule="exact"/>
        <w:ind w:left="0" w:right="0"/>
        <w:jc w:val="left"/>
        <w:rPr>
          <w:rFonts w:hint="eastAsia" w:ascii="仿宋_GB2312" w:eastAsia="仿宋_GB2312" w:cs="仿宋_GB2312"/>
          <w:kern w:val="2"/>
          <w:sz w:val="28"/>
          <w:szCs w:val="28"/>
        </w:rPr>
      </w:pPr>
      <w:r>
        <w:rPr>
          <w:rFonts w:hint="eastAsia" w:ascii="仿宋_GB2312" w:hAnsi="Times New Roman" w:eastAsia="仿宋_GB2312" w:cs="仿宋_GB2312"/>
          <w:kern w:val="2"/>
          <w:sz w:val="28"/>
          <w:szCs w:val="28"/>
          <w:lang w:val="en-US" w:eastAsia="zh-CN" w:bidi="ar"/>
        </w:rPr>
        <w:t>法定代表人或授权代表：</w:t>
      </w:r>
    </w:p>
    <w:p w14:paraId="697044E0">
      <w:pPr>
        <w:keepNext w:val="0"/>
        <w:keepLines w:val="0"/>
        <w:widowControl w:val="0"/>
        <w:suppressLineNumbers w:val="0"/>
        <w:adjustRightInd w:val="0"/>
        <w:snapToGrid w:val="0"/>
        <w:spacing w:before="0" w:beforeAutospacing="0" w:after="0" w:afterAutospacing="0" w:line="560" w:lineRule="exact"/>
        <w:ind w:left="0" w:right="0"/>
        <w:jc w:val="left"/>
        <w:rPr>
          <w:rFonts w:hint="eastAsia" w:ascii="仿宋_GB2312" w:eastAsia="仿宋_GB2312" w:cs="仿宋_GB2312"/>
          <w:kern w:val="2"/>
          <w:sz w:val="28"/>
          <w:szCs w:val="28"/>
        </w:rPr>
      </w:pPr>
      <w:r>
        <w:rPr>
          <w:rFonts w:hint="eastAsia" w:ascii="仿宋_GB2312" w:hAnsi="Times New Roman" w:eastAsia="仿宋_GB2312" w:cs="仿宋_GB2312"/>
          <w:kern w:val="2"/>
          <w:sz w:val="28"/>
          <w:szCs w:val="28"/>
          <w:lang w:val="en-US" w:eastAsia="zh-CN" w:bidi="ar"/>
        </w:rPr>
        <w:t>地址：</w:t>
      </w:r>
    </w:p>
    <w:p w14:paraId="76DC2565">
      <w:pPr>
        <w:keepNext w:val="0"/>
        <w:keepLines w:val="0"/>
        <w:widowControl w:val="0"/>
        <w:suppressLineNumbers w:val="0"/>
        <w:adjustRightInd w:val="0"/>
        <w:snapToGrid w:val="0"/>
        <w:spacing w:before="0" w:beforeAutospacing="0" w:after="0" w:afterAutospacing="0" w:line="560" w:lineRule="exact"/>
        <w:ind w:left="0" w:right="0"/>
        <w:jc w:val="left"/>
        <w:rPr>
          <w:rFonts w:hint="eastAsia" w:ascii="仿宋_GB2312" w:eastAsia="仿宋_GB2312" w:cs="仿宋_GB2312"/>
          <w:kern w:val="2"/>
          <w:sz w:val="28"/>
          <w:szCs w:val="28"/>
        </w:rPr>
      </w:pPr>
      <w:r>
        <w:rPr>
          <w:rFonts w:hint="eastAsia" w:ascii="仿宋_GB2312" w:hAnsi="Times New Roman" w:eastAsia="仿宋_GB2312" w:cs="仿宋_GB2312"/>
          <w:kern w:val="2"/>
          <w:sz w:val="28"/>
          <w:szCs w:val="28"/>
          <w:lang w:val="en-US" w:eastAsia="zh-CN" w:bidi="ar"/>
        </w:rPr>
        <w:t>联系电话：</w:t>
      </w:r>
    </w:p>
    <w:p w14:paraId="5D062FA0">
      <w:pPr>
        <w:keepNext w:val="0"/>
        <w:keepLines w:val="0"/>
        <w:widowControl w:val="0"/>
        <w:suppressLineNumbers w:val="0"/>
        <w:adjustRightInd w:val="0"/>
        <w:snapToGrid w:val="0"/>
        <w:spacing w:before="0" w:beforeAutospacing="0" w:after="0" w:afterAutospacing="0" w:line="560" w:lineRule="exact"/>
        <w:ind w:left="0" w:right="0" w:firstLine="560"/>
        <w:jc w:val="both"/>
        <w:rPr>
          <w:rFonts w:hint="default" w:ascii="Times New Roman" w:hAnsi="Times New Roman" w:eastAsia="宋体" w:cs="Times New Roman"/>
          <w:kern w:val="2"/>
          <w:sz w:val="21"/>
          <w:szCs w:val="21"/>
        </w:rPr>
      </w:pPr>
      <w:r>
        <w:rPr>
          <w:rFonts w:hint="eastAsia" w:ascii="仿宋_GB2312" w:hAnsi="Times New Roman" w:eastAsia="仿宋_GB2312" w:cs="仿宋_GB2312"/>
          <w:color w:val="000000"/>
          <w:kern w:val="2"/>
          <w:sz w:val="28"/>
          <w:szCs w:val="28"/>
          <w:lang w:val="en-US" w:eastAsia="zh-CN" w:bidi="ar"/>
        </w:rPr>
        <w:t>甲、乙双方</w:t>
      </w:r>
      <w:r>
        <w:rPr>
          <w:rFonts w:hint="eastAsia" w:ascii="仿宋_GB2312" w:hAnsi="Times New Roman" w:eastAsia="仿宋_GB2312" w:cs="仿宋_GB2312"/>
          <w:color w:val="000000" w:themeColor="text1"/>
          <w:kern w:val="2"/>
          <w:sz w:val="28"/>
          <w:szCs w:val="28"/>
          <w:lang w:val="en-US" w:eastAsia="zh-CN" w:bidi="ar"/>
          <w14:textFill>
            <w14:solidFill>
              <w14:schemeClr w14:val="tx1"/>
            </w14:solidFill>
          </w14:textFill>
        </w:rPr>
        <w:t>根据 2026年XX月XX日“XXXX”（征集编号：XXXX）采购项目的结果，按照《中华人民共和国民法典》《中华人民共和国</w:t>
      </w:r>
      <w:r>
        <w:rPr>
          <w:rFonts w:hint="eastAsia" w:ascii="仿宋_GB2312" w:hAnsi="Times New Roman" w:eastAsia="仿宋_GB2312" w:cs="仿宋_GB2312"/>
          <w:kern w:val="2"/>
          <w:sz w:val="28"/>
          <w:szCs w:val="28"/>
          <w:lang w:val="en-US" w:eastAsia="zh-CN" w:bidi="ar"/>
        </w:rPr>
        <w:t>政府采购法》《深圳经济特区政府采购条例》《深圳经济特区政府采购条例实施细则》等相关法律法规的规定，经双方协商一致，达成以下合同条款：</w:t>
      </w:r>
    </w:p>
    <w:p w14:paraId="5E99CF32">
      <w:pPr>
        <w:keepNext w:val="0"/>
        <w:keepLines w:val="0"/>
        <w:widowControl w:val="0"/>
        <w:suppressLineNumbers w:val="0"/>
        <w:adjustRightInd w:val="0"/>
        <w:snapToGrid w:val="0"/>
        <w:spacing w:before="0" w:beforeAutospacing="0" w:after="0" w:afterAutospacing="0" w:line="560" w:lineRule="exact"/>
        <w:ind w:left="0" w:leftChars="0" w:right="0" w:rightChars="0"/>
        <w:jc w:val="both"/>
        <w:outlineLvl w:val="0"/>
        <w:rPr>
          <w:rFonts w:hint="eastAsia" w:ascii="仿宋_GB2312" w:eastAsia="仿宋_GB2312" w:cs="仿宋_GB2312"/>
          <w:b/>
          <w:bCs w:val="0"/>
          <w:kern w:val="2"/>
          <w:sz w:val="28"/>
          <w:szCs w:val="28"/>
        </w:rPr>
      </w:pPr>
      <w:bookmarkStart w:id="165" w:name="_Toc15229"/>
      <w:r>
        <w:rPr>
          <w:rFonts w:hint="eastAsia" w:ascii="仿宋_GB2312" w:hAnsi="Times New Roman" w:eastAsia="仿宋_GB2312" w:cs="仿宋_GB2312"/>
          <w:b/>
          <w:bCs w:val="0"/>
          <w:kern w:val="2"/>
          <w:sz w:val="28"/>
          <w:szCs w:val="28"/>
          <w:lang w:val="en-US" w:eastAsia="zh-CN" w:bidi="ar"/>
        </w:rPr>
        <w:t>第一条  合同标的</w:t>
      </w:r>
      <w:bookmarkEnd w:id="165"/>
    </w:p>
    <w:tbl>
      <w:tblPr>
        <w:tblStyle w:val="21"/>
        <w:tblW w:w="631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512"/>
        <w:gridCol w:w="1001"/>
        <w:gridCol w:w="870"/>
        <w:gridCol w:w="1083"/>
        <w:gridCol w:w="1116"/>
        <w:gridCol w:w="658"/>
        <w:gridCol w:w="794"/>
        <w:gridCol w:w="554"/>
        <w:gridCol w:w="1275"/>
        <w:gridCol w:w="1162"/>
        <w:gridCol w:w="465"/>
        <w:gridCol w:w="474"/>
        <w:gridCol w:w="801"/>
      </w:tblGrid>
      <w:tr w14:paraId="3FD0C4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21" w:hRule="atLeast"/>
          <w:jc w:val="center"/>
        </w:trPr>
        <w:tc>
          <w:tcPr>
            <w:tcW w:w="541" w:type="dxa"/>
            <w:tcBorders>
              <w:top w:val="single" w:color="auto" w:sz="4" w:space="0"/>
              <w:left w:val="single" w:color="auto" w:sz="4" w:space="0"/>
              <w:bottom w:val="single" w:color="auto" w:sz="4" w:space="0"/>
              <w:right w:val="single" w:color="auto" w:sz="4" w:space="0"/>
            </w:tcBorders>
            <w:shd w:val="clear" w:color="auto" w:fill="auto"/>
            <w:vAlign w:val="center"/>
          </w:tcPr>
          <w:p w14:paraId="1F0EB107">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kern w:val="2"/>
                <w:sz w:val="21"/>
                <w:szCs w:val="21"/>
              </w:rPr>
            </w:pPr>
            <w:r>
              <w:rPr>
                <w:rFonts w:hint="eastAsia" w:ascii="宋体" w:hAnsi="宋体" w:eastAsia="宋体" w:cs="宋体"/>
                <w:kern w:val="2"/>
                <w:sz w:val="21"/>
                <w:szCs w:val="21"/>
                <w:lang w:val="en-US" w:eastAsia="zh-CN" w:bidi="ar"/>
              </w:rPr>
              <w:t>序号</w:t>
            </w:r>
          </w:p>
        </w:tc>
        <w:tc>
          <w:tcPr>
            <w:tcW w:w="1058" w:type="dxa"/>
            <w:tcBorders>
              <w:top w:val="single" w:color="auto" w:sz="4" w:space="0"/>
              <w:left w:val="nil"/>
              <w:bottom w:val="single" w:color="auto" w:sz="4" w:space="0"/>
              <w:right w:val="single" w:color="auto" w:sz="4" w:space="0"/>
            </w:tcBorders>
            <w:shd w:val="clear" w:color="auto" w:fill="auto"/>
            <w:vAlign w:val="center"/>
          </w:tcPr>
          <w:p w14:paraId="78A04309">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kern w:val="2"/>
                <w:sz w:val="21"/>
                <w:szCs w:val="21"/>
              </w:rPr>
            </w:pPr>
            <w:r>
              <w:rPr>
                <w:rFonts w:hint="eastAsia" w:ascii="宋体" w:hAnsi="宋体" w:eastAsia="宋体" w:cs="宋体"/>
                <w:kern w:val="2"/>
                <w:sz w:val="21"/>
                <w:szCs w:val="21"/>
                <w:lang w:val="en-US" w:eastAsia="zh-CN" w:bidi="ar"/>
              </w:rPr>
              <w:t>设备</w:t>
            </w:r>
          </w:p>
          <w:p w14:paraId="50AC90BD">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kern w:val="2"/>
                <w:sz w:val="21"/>
                <w:szCs w:val="21"/>
              </w:rPr>
            </w:pPr>
            <w:r>
              <w:rPr>
                <w:rFonts w:hint="eastAsia" w:ascii="宋体" w:hAnsi="宋体" w:eastAsia="宋体" w:cs="宋体"/>
                <w:kern w:val="2"/>
                <w:sz w:val="21"/>
                <w:szCs w:val="21"/>
                <w:lang w:val="en-US" w:eastAsia="zh-CN" w:bidi="ar"/>
              </w:rPr>
              <w:t>名称</w:t>
            </w:r>
          </w:p>
        </w:tc>
        <w:tc>
          <w:tcPr>
            <w:tcW w:w="919" w:type="dxa"/>
            <w:tcBorders>
              <w:top w:val="single" w:color="auto" w:sz="4" w:space="0"/>
              <w:left w:val="nil"/>
              <w:bottom w:val="single" w:color="auto" w:sz="4" w:space="0"/>
              <w:right w:val="single" w:color="auto" w:sz="4" w:space="0"/>
            </w:tcBorders>
            <w:shd w:val="clear" w:color="auto" w:fill="auto"/>
            <w:vAlign w:val="center"/>
          </w:tcPr>
          <w:p w14:paraId="07CCF94C">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kern w:val="2"/>
                <w:sz w:val="21"/>
                <w:szCs w:val="21"/>
              </w:rPr>
            </w:pPr>
            <w:r>
              <w:rPr>
                <w:rFonts w:hint="eastAsia" w:ascii="宋体" w:hAnsi="宋体" w:eastAsia="宋体" w:cs="宋体"/>
                <w:kern w:val="2"/>
                <w:sz w:val="21"/>
                <w:szCs w:val="21"/>
                <w:lang w:val="en-US" w:eastAsia="zh-CN" w:bidi="ar"/>
              </w:rPr>
              <w:t>产地</w:t>
            </w:r>
            <w:r>
              <w:rPr>
                <w:rFonts w:hint="eastAsia" w:ascii="Times New Roman" w:hAnsi="Times New Roman" w:eastAsia="宋体" w:cs="Times New Roman"/>
                <w:kern w:val="2"/>
                <w:sz w:val="21"/>
                <w:szCs w:val="21"/>
                <w:lang w:val="en-US" w:eastAsia="zh-CN" w:bidi="ar"/>
              </w:rPr>
              <w:t xml:space="preserve"> </w:t>
            </w:r>
            <w:r>
              <w:rPr>
                <w:rFonts w:hint="eastAsia" w:ascii="宋体" w:hAnsi="宋体" w:eastAsia="宋体" w:cs="宋体"/>
                <w:kern w:val="2"/>
                <w:sz w:val="21"/>
                <w:szCs w:val="21"/>
                <w:lang w:val="en-US" w:eastAsia="zh-CN" w:bidi="ar"/>
              </w:rPr>
              <w:t>品牌</w:t>
            </w:r>
          </w:p>
        </w:tc>
        <w:tc>
          <w:tcPr>
            <w:tcW w:w="1144" w:type="dxa"/>
            <w:tcBorders>
              <w:top w:val="single" w:color="auto" w:sz="4" w:space="0"/>
              <w:left w:val="nil"/>
              <w:bottom w:val="single" w:color="auto" w:sz="4" w:space="0"/>
              <w:right w:val="single" w:color="auto" w:sz="4" w:space="0"/>
            </w:tcBorders>
            <w:shd w:val="clear" w:color="auto" w:fill="auto"/>
            <w:vAlign w:val="center"/>
          </w:tcPr>
          <w:p w14:paraId="36E0222C">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kern w:val="2"/>
                <w:sz w:val="21"/>
                <w:szCs w:val="21"/>
              </w:rPr>
            </w:pPr>
            <w:r>
              <w:rPr>
                <w:rFonts w:hint="eastAsia" w:ascii="宋体" w:hAnsi="宋体" w:eastAsia="宋体" w:cs="宋体"/>
                <w:kern w:val="2"/>
                <w:sz w:val="21"/>
                <w:szCs w:val="21"/>
                <w:lang w:val="en-US" w:eastAsia="zh-CN" w:bidi="ar"/>
              </w:rPr>
              <w:t>规格型号</w:t>
            </w:r>
          </w:p>
        </w:tc>
        <w:tc>
          <w:tcPr>
            <w:tcW w:w="1179" w:type="dxa"/>
            <w:tcBorders>
              <w:top w:val="single" w:color="auto" w:sz="4" w:space="0"/>
              <w:left w:val="nil"/>
              <w:bottom w:val="single" w:color="auto" w:sz="4" w:space="0"/>
              <w:right w:val="single" w:color="auto" w:sz="4" w:space="0"/>
            </w:tcBorders>
            <w:shd w:val="clear" w:color="auto" w:fill="auto"/>
            <w:vAlign w:val="center"/>
          </w:tcPr>
          <w:p w14:paraId="06BCE06A">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kern w:val="2"/>
                <w:sz w:val="21"/>
                <w:szCs w:val="21"/>
              </w:rPr>
            </w:pPr>
            <w:r>
              <w:rPr>
                <w:rFonts w:hint="eastAsia" w:ascii="宋体" w:hAnsi="宋体" w:eastAsia="宋体" w:cs="宋体"/>
                <w:kern w:val="2"/>
                <w:sz w:val="21"/>
                <w:szCs w:val="21"/>
                <w:lang w:val="en-US" w:eastAsia="zh-CN" w:bidi="ar"/>
              </w:rPr>
              <w:t>注册证名</w:t>
            </w:r>
          </w:p>
        </w:tc>
        <w:tc>
          <w:tcPr>
            <w:tcW w:w="695" w:type="dxa"/>
            <w:tcBorders>
              <w:top w:val="single" w:color="auto" w:sz="4" w:space="0"/>
              <w:left w:val="nil"/>
              <w:bottom w:val="single" w:color="auto" w:sz="4" w:space="0"/>
              <w:right w:val="single" w:color="auto" w:sz="4" w:space="0"/>
            </w:tcBorders>
            <w:shd w:val="clear" w:color="auto" w:fill="auto"/>
            <w:vAlign w:val="center"/>
          </w:tcPr>
          <w:p w14:paraId="48A79582">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kern w:val="2"/>
                <w:sz w:val="21"/>
                <w:szCs w:val="21"/>
              </w:rPr>
            </w:pPr>
            <w:r>
              <w:rPr>
                <w:rFonts w:hint="eastAsia" w:ascii="宋体" w:hAnsi="宋体" w:eastAsia="宋体" w:cs="宋体"/>
                <w:kern w:val="2"/>
                <w:sz w:val="21"/>
                <w:szCs w:val="21"/>
                <w:lang w:val="en-US" w:eastAsia="zh-CN" w:bidi="ar"/>
              </w:rPr>
              <w:t>注册证号</w:t>
            </w:r>
          </w:p>
        </w:tc>
        <w:tc>
          <w:tcPr>
            <w:tcW w:w="839" w:type="dxa"/>
            <w:tcBorders>
              <w:top w:val="single" w:color="auto" w:sz="4" w:space="0"/>
              <w:left w:val="nil"/>
              <w:bottom w:val="single" w:color="auto" w:sz="4" w:space="0"/>
              <w:right w:val="single" w:color="auto" w:sz="4" w:space="0"/>
            </w:tcBorders>
            <w:shd w:val="clear" w:color="auto" w:fill="auto"/>
            <w:vAlign w:val="center"/>
          </w:tcPr>
          <w:p w14:paraId="3193F870">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kern w:val="2"/>
                <w:sz w:val="21"/>
                <w:szCs w:val="21"/>
              </w:rPr>
            </w:pPr>
            <w:r>
              <w:rPr>
                <w:rFonts w:hint="eastAsia" w:ascii="宋体" w:hAnsi="宋体" w:eastAsia="宋体" w:cs="宋体"/>
                <w:kern w:val="2"/>
                <w:sz w:val="21"/>
                <w:szCs w:val="21"/>
                <w:lang w:val="en-US" w:eastAsia="zh-CN" w:bidi="ar"/>
              </w:rPr>
              <w:t>单位</w:t>
            </w:r>
          </w:p>
        </w:tc>
        <w:tc>
          <w:tcPr>
            <w:tcW w:w="585" w:type="dxa"/>
            <w:tcBorders>
              <w:top w:val="single" w:color="auto" w:sz="4" w:space="0"/>
              <w:left w:val="nil"/>
              <w:bottom w:val="single" w:color="auto" w:sz="4" w:space="0"/>
              <w:right w:val="single" w:color="auto" w:sz="4" w:space="0"/>
            </w:tcBorders>
            <w:shd w:val="clear" w:color="auto" w:fill="auto"/>
            <w:vAlign w:val="center"/>
          </w:tcPr>
          <w:p w14:paraId="2F52B8D3">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kern w:val="2"/>
                <w:sz w:val="21"/>
                <w:szCs w:val="21"/>
              </w:rPr>
            </w:pPr>
            <w:r>
              <w:rPr>
                <w:rFonts w:hint="eastAsia" w:ascii="宋体" w:hAnsi="宋体" w:eastAsia="宋体" w:cs="宋体"/>
                <w:kern w:val="2"/>
                <w:sz w:val="21"/>
                <w:szCs w:val="21"/>
                <w:lang w:val="en-US" w:eastAsia="zh-CN" w:bidi="ar"/>
              </w:rPr>
              <w:t>数量</w:t>
            </w:r>
          </w:p>
        </w:tc>
        <w:tc>
          <w:tcPr>
            <w:tcW w:w="1347" w:type="dxa"/>
            <w:tcBorders>
              <w:top w:val="single" w:color="auto" w:sz="4" w:space="0"/>
              <w:left w:val="nil"/>
              <w:bottom w:val="single" w:color="auto" w:sz="4" w:space="0"/>
              <w:right w:val="single" w:color="auto" w:sz="4" w:space="0"/>
            </w:tcBorders>
            <w:shd w:val="clear" w:color="auto" w:fill="auto"/>
            <w:vAlign w:val="center"/>
          </w:tcPr>
          <w:p w14:paraId="6DB72FA5">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kern w:val="2"/>
                <w:sz w:val="21"/>
                <w:szCs w:val="21"/>
              </w:rPr>
            </w:pPr>
            <w:r>
              <w:rPr>
                <w:rFonts w:hint="eastAsia" w:ascii="宋体" w:hAnsi="宋体" w:eastAsia="宋体" w:cs="宋体"/>
                <w:kern w:val="2"/>
                <w:sz w:val="21"/>
                <w:szCs w:val="21"/>
                <w:lang w:val="en-US" w:eastAsia="zh-CN" w:bidi="ar"/>
              </w:rPr>
              <w:t>单价（元）</w:t>
            </w:r>
          </w:p>
        </w:tc>
        <w:tc>
          <w:tcPr>
            <w:tcW w:w="1228" w:type="dxa"/>
            <w:tcBorders>
              <w:top w:val="single" w:color="auto" w:sz="4" w:space="0"/>
              <w:left w:val="nil"/>
              <w:bottom w:val="single" w:color="auto" w:sz="4" w:space="0"/>
              <w:right w:val="single" w:color="auto" w:sz="4" w:space="0"/>
            </w:tcBorders>
            <w:shd w:val="clear" w:color="auto" w:fill="auto"/>
            <w:vAlign w:val="center"/>
          </w:tcPr>
          <w:p w14:paraId="5793F155">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kern w:val="2"/>
                <w:sz w:val="21"/>
                <w:szCs w:val="21"/>
              </w:rPr>
            </w:pPr>
            <w:r>
              <w:rPr>
                <w:rFonts w:hint="eastAsia" w:ascii="宋体" w:hAnsi="宋体" w:eastAsia="宋体" w:cs="宋体"/>
                <w:kern w:val="2"/>
                <w:sz w:val="21"/>
                <w:szCs w:val="21"/>
                <w:lang w:val="en-US" w:eastAsia="zh-CN" w:bidi="ar"/>
              </w:rPr>
              <w:t>总价（元）</w:t>
            </w:r>
          </w:p>
        </w:tc>
        <w:tc>
          <w:tcPr>
            <w:tcW w:w="491" w:type="dxa"/>
            <w:tcBorders>
              <w:top w:val="single" w:color="auto" w:sz="4" w:space="0"/>
              <w:left w:val="nil"/>
              <w:bottom w:val="single" w:color="auto" w:sz="4" w:space="0"/>
              <w:right w:val="single" w:color="auto" w:sz="4" w:space="0"/>
            </w:tcBorders>
            <w:shd w:val="clear" w:color="auto" w:fill="auto"/>
            <w:vAlign w:val="center"/>
          </w:tcPr>
          <w:p w14:paraId="54EF4760">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kern w:val="2"/>
                <w:sz w:val="21"/>
                <w:szCs w:val="21"/>
              </w:rPr>
            </w:pPr>
            <w:r>
              <w:rPr>
                <w:rFonts w:hint="eastAsia" w:ascii="宋体" w:hAnsi="宋体" w:eastAsia="宋体" w:cs="宋体"/>
                <w:kern w:val="2"/>
                <w:sz w:val="21"/>
                <w:szCs w:val="21"/>
                <w:lang w:val="en-US" w:eastAsia="zh-CN" w:bidi="ar"/>
              </w:rPr>
              <w:t>随机配件</w:t>
            </w:r>
          </w:p>
        </w:tc>
        <w:tc>
          <w:tcPr>
            <w:tcW w:w="501" w:type="dxa"/>
            <w:tcBorders>
              <w:top w:val="single" w:color="auto" w:sz="4" w:space="0"/>
              <w:left w:val="nil"/>
              <w:bottom w:val="single" w:color="auto" w:sz="4" w:space="0"/>
              <w:right w:val="single" w:color="auto" w:sz="4" w:space="0"/>
            </w:tcBorders>
            <w:shd w:val="clear" w:color="auto" w:fill="auto"/>
            <w:vAlign w:val="center"/>
          </w:tcPr>
          <w:p w14:paraId="3AF54D1A">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kern w:val="2"/>
                <w:sz w:val="21"/>
                <w:szCs w:val="21"/>
              </w:rPr>
            </w:pPr>
            <w:r>
              <w:rPr>
                <w:rFonts w:hint="eastAsia" w:ascii="宋体" w:hAnsi="宋体" w:eastAsia="宋体" w:cs="宋体"/>
                <w:kern w:val="2"/>
                <w:sz w:val="21"/>
                <w:szCs w:val="21"/>
                <w:lang w:val="en-US" w:eastAsia="zh-CN" w:bidi="ar"/>
              </w:rPr>
              <w:t>使用科室</w:t>
            </w:r>
          </w:p>
        </w:tc>
        <w:tc>
          <w:tcPr>
            <w:tcW w:w="846" w:type="dxa"/>
            <w:tcBorders>
              <w:top w:val="single" w:color="auto" w:sz="4" w:space="0"/>
              <w:left w:val="nil"/>
              <w:bottom w:val="single" w:color="auto" w:sz="4" w:space="0"/>
              <w:right w:val="single" w:color="auto" w:sz="4" w:space="0"/>
            </w:tcBorders>
            <w:shd w:val="clear" w:color="auto" w:fill="auto"/>
            <w:vAlign w:val="center"/>
          </w:tcPr>
          <w:p w14:paraId="058F805F">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kern w:val="2"/>
                <w:sz w:val="21"/>
                <w:szCs w:val="21"/>
              </w:rPr>
            </w:pPr>
            <w:r>
              <w:rPr>
                <w:rFonts w:hint="eastAsia" w:ascii="宋体" w:hAnsi="宋体" w:eastAsia="宋体" w:cs="宋体"/>
                <w:kern w:val="2"/>
                <w:sz w:val="21"/>
                <w:szCs w:val="21"/>
                <w:lang w:val="en-US" w:eastAsia="zh-CN" w:bidi="ar"/>
              </w:rPr>
              <w:t>设备用途</w:t>
            </w:r>
          </w:p>
        </w:tc>
      </w:tr>
      <w:tr w14:paraId="6BFB30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541" w:type="dxa"/>
            <w:tcBorders>
              <w:top w:val="single" w:color="auto" w:sz="4" w:space="0"/>
              <w:left w:val="single" w:color="auto" w:sz="4" w:space="0"/>
              <w:bottom w:val="single" w:color="auto" w:sz="4" w:space="0"/>
              <w:right w:val="single" w:color="auto" w:sz="4" w:space="0"/>
            </w:tcBorders>
            <w:shd w:val="clear" w:color="auto" w:fill="auto"/>
            <w:vAlign w:val="center"/>
          </w:tcPr>
          <w:p w14:paraId="2D8498A9">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kern w:val="2"/>
                <w:sz w:val="21"/>
                <w:szCs w:val="21"/>
              </w:rPr>
            </w:pPr>
            <w:r>
              <w:rPr>
                <w:rFonts w:hint="default" w:ascii="Times New Roman" w:hAnsi="Times New Roman" w:eastAsia="宋体" w:cs="Times New Roman"/>
                <w:kern w:val="2"/>
                <w:sz w:val="21"/>
                <w:szCs w:val="21"/>
                <w:lang w:val="en-US" w:eastAsia="zh-CN" w:bidi="ar"/>
              </w:rPr>
              <w:t>1</w:t>
            </w:r>
          </w:p>
        </w:tc>
        <w:tc>
          <w:tcPr>
            <w:tcW w:w="1058" w:type="dxa"/>
            <w:tcBorders>
              <w:top w:val="single" w:color="auto" w:sz="4" w:space="0"/>
              <w:left w:val="nil"/>
              <w:bottom w:val="single" w:color="auto" w:sz="4" w:space="0"/>
              <w:right w:val="single" w:color="auto" w:sz="4" w:space="0"/>
            </w:tcBorders>
            <w:shd w:val="clear" w:color="auto" w:fill="auto"/>
            <w:vAlign w:val="center"/>
          </w:tcPr>
          <w:p w14:paraId="2DC1999C">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color w:val="FF0000"/>
                <w:kern w:val="2"/>
                <w:sz w:val="21"/>
                <w:szCs w:val="21"/>
              </w:rPr>
            </w:pPr>
          </w:p>
        </w:tc>
        <w:tc>
          <w:tcPr>
            <w:tcW w:w="919" w:type="dxa"/>
            <w:tcBorders>
              <w:top w:val="single" w:color="auto" w:sz="4" w:space="0"/>
              <w:left w:val="nil"/>
              <w:bottom w:val="single" w:color="auto" w:sz="4" w:space="0"/>
              <w:right w:val="single" w:color="auto" w:sz="4" w:space="0"/>
            </w:tcBorders>
            <w:shd w:val="clear" w:color="auto" w:fill="auto"/>
            <w:vAlign w:val="center"/>
          </w:tcPr>
          <w:p w14:paraId="28E6FAD3">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color w:val="FF0000"/>
                <w:kern w:val="2"/>
                <w:sz w:val="21"/>
                <w:szCs w:val="21"/>
              </w:rPr>
            </w:pPr>
          </w:p>
        </w:tc>
        <w:tc>
          <w:tcPr>
            <w:tcW w:w="1144" w:type="dxa"/>
            <w:tcBorders>
              <w:top w:val="single" w:color="auto" w:sz="4" w:space="0"/>
              <w:left w:val="nil"/>
              <w:bottom w:val="single" w:color="auto" w:sz="4" w:space="0"/>
              <w:right w:val="single" w:color="auto" w:sz="4" w:space="0"/>
            </w:tcBorders>
            <w:shd w:val="clear" w:color="auto" w:fill="auto"/>
            <w:vAlign w:val="center"/>
          </w:tcPr>
          <w:p w14:paraId="10DCF5B7">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color w:val="FF0000"/>
                <w:kern w:val="2"/>
                <w:sz w:val="21"/>
                <w:szCs w:val="21"/>
              </w:rPr>
            </w:pPr>
          </w:p>
        </w:tc>
        <w:tc>
          <w:tcPr>
            <w:tcW w:w="1179" w:type="dxa"/>
            <w:tcBorders>
              <w:top w:val="single" w:color="auto" w:sz="4" w:space="0"/>
              <w:left w:val="nil"/>
              <w:bottom w:val="single" w:color="auto" w:sz="4" w:space="0"/>
              <w:right w:val="single" w:color="auto" w:sz="4" w:space="0"/>
            </w:tcBorders>
            <w:shd w:val="clear" w:color="auto" w:fill="auto"/>
            <w:vAlign w:val="center"/>
          </w:tcPr>
          <w:p w14:paraId="02ACD994">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color w:val="FF0000"/>
                <w:kern w:val="2"/>
                <w:sz w:val="21"/>
                <w:szCs w:val="21"/>
              </w:rPr>
            </w:pPr>
          </w:p>
        </w:tc>
        <w:tc>
          <w:tcPr>
            <w:tcW w:w="695" w:type="dxa"/>
            <w:tcBorders>
              <w:top w:val="single" w:color="auto" w:sz="4" w:space="0"/>
              <w:left w:val="nil"/>
              <w:bottom w:val="single" w:color="auto" w:sz="4" w:space="0"/>
              <w:right w:val="single" w:color="auto" w:sz="4" w:space="0"/>
            </w:tcBorders>
            <w:shd w:val="clear" w:color="auto" w:fill="auto"/>
            <w:vAlign w:val="center"/>
          </w:tcPr>
          <w:p w14:paraId="5C20AFF6">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color w:val="FF0000"/>
                <w:kern w:val="2"/>
                <w:sz w:val="21"/>
                <w:szCs w:val="21"/>
              </w:rPr>
            </w:pPr>
          </w:p>
        </w:tc>
        <w:tc>
          <w:tcPr>
            <w:tcW w:w="839" w:type="dxa"/>
            <w:tcBorders>
              <w:top w:val="single" w:color="auto" w:sz="4" w:space="0"/>
              <w:left w:val="nil"/>
              <w:bottom w:val="single" w:color="auto" w:sz="4" w:space="0"/>
              <w:right w:val="single" w:color="auto" w:sz="4" w:space="0"/>
            </w:tcBorders>
            <w:shd w:val="clear" w:color="auto" w:fill="auto"/>
            <w:vAlign w:val="center"/>
          </w:tcPr>
          <w:p w14:paraId="3776F7E9">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color w:val="FF0000"/>
                <w:kern w:val="2"/>
                <w:sz w:val="21"/>
                <w:szCs w:val="21"/>
              </w:rPr>
            </w:pPr>
          </w:p>
        </w:tc>
        <w:tc>
          <w:tcPr>
            <w:tcW w:w="585" w:type="dxa"/>
            <w:tcBorders>
              <w:top w:val="single" w:color="auto" w:sz="4" w:space="0"/>
              <w:left w:val="nil"/>
              <w:bottom w:val="single" w:color="auto" w:sz="4" w:space="0"/>
              <w:right w:val="single" w:color="auto" w:sz="4" w:space="0"/>
            </w:tcBorders>
            <w:shd w:val="clear" w:color="auto" w:fill="auto"/>
            <w:vAlign w:val="center"/>
          </w:tcPr>
          <w:p w14:paraId="6A1BBB9F">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color w:val="FF0000"/>
                <w:kern w:val="2"/>
                <w:sz w:val="21"/>
                <w:szCs w:val="21"/>
              </w:rPr>
            </w:pPr>
          </w:p>
        </w:tc>
        <w:tc>
          <w:tcPr>
            <w:tcW w:w="1347" w:type="dxa"/>
            <w:tcBorders>
              <w:top w:val="single" w:color="auto" w:sz="4" w:space="0"/>
              <w:left w:val="nil"/>
              <w:bottom w:val="single" w:color="auto" w:sz="4" w:space="0"/>
              <w:right w:val="single" w:color="auto" w:sz="4" w:space="0"/>
            </w:tcBorders>
            <w:shd w:val="clear" w:color="auto" w:fill="auto"/>
            <w:vAlign w:val="center"/>
          </w:tcPr>
          <w:p w14:paraId="2B327643">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color w:val="FF0000"/>
                <w:kern w:val="2"/>
                <w:sz w:val="21"/>
                <w:szCs w:val="21"/>
              </w:rPr>
            </w:pPr>
          </w:p>
        </w:tc>
        <w:tc>
          <w:tcPr>
            <w:tcW w:w="1228" w:type="dxa"/>
            <w:tcBorders>
              <w:top w:val="single" w:color="auto" w:sz="4" w:space="0"/>
              <w:left w:val="nil"/>
              <w:bottom w:val="single" w:color="auto" w:sz="4" w:space="0"/>
              <w:right w:val="single" w:color="auto" w:sz="4" w:space="0"/>
            </w:tcBorders>
            <w:shd w:val="clear" w:color="auto" w:fill="auto"/>
            <w:vAlign w:val="center"/>
          </w:tcPr>
          <w:p w14:paraId="644A5CFC">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color w:val="FF0000"/>
                <w:kern w:val="2"/>
                <w:sz w:val="21"/>
                <w:szCs w:val="21"/>
              </w:rPr>
            </w:pPr>
          </w:p>
        </w:tc>
        <w:tc>
          <w:tcPr>
            <w:tcW w:w="491" w:type="dxa"/>
            <w:tcBorders>
              <w:top w:val="single" w:color="auto" w:sz="4" w:space="0"/>
              <w:left w:val="nil"/>
              <w:bottom w:val="single" w:color="auto" w:sz="4" w:space="0"/>
              <w:right w:val="single" w:color="auto" w:sz="4" w:space="0"/>
            </w:tcBorders>
            <w:shd w:val="clear" w:color="auto" w:fill="auto"/>
            <w:vAlign w:val="center"/>
          </w:tcPr>
          <w:p w14:paraId="5CBC5944">
            <w:pPr>
              <w:keepNext w:val="0"/>
              <w:keepLines w:val="0"/>
              <w:widowControl w:val="0"/>
              <w:suppressLineNumbers w:val="0"/>
              <w:spacing w:before="0" w:beforeAutospacing="0" w:after="0" w:afterAutospacing="0"/>
              <w:ind w:left="0" w:right="0"/>
              <w:jc w:val="both"/>
              <w:rPr>
                <w:rFonts w:hint="default" w:ascii="Times New Roman" w:hAnsi="Times New Roman" w:eastAsia="宋体" w:cs="Times New Roman"/>
                <w:color w:val="FF0000"/>
                <w:kern w:val="2"/>
                <w:sz w:val="21"/>
                <w:szCs w:val="21"/>
              </w:rPr>
            </w:pPr>
            <w:r>
              <w:rPr>
                <w:rFonts w:hint="eastAsia" w:ascii="宋体" w:hAnsi="宋体" w:eastAsia="宋体" w:cs="宋体"/>
                <w:kern w:val="2"/>
                <w:sz w:val="21"/>
                <w:szCs w:val="21"/>
                <w:lang w:val="en-US" w:eastAsia="zh-CN" w:bidi="ar"/>
              </w:rPr>
              <w:t>详见配置清单</w:t>
            </w:r>
          </w:p>
        </w:tc>
        <w:tc>
          <w:tcPr>
            <w:tcW w:w="501" w:type="dxa"/>
            <w:tcBorders>
              <w:top w:val="single" w:color="auto" w:sz="4" w:space="0"/>
              <w:left w:val="nil"/>
              <w:bottom w:val="single" w:color="auto" w:sz="4" w:space="0"/>
              <w:right w:val="single" w:color="auto" w:sz="4" w:space="0"/>
            </w:tcBorders>
            <w:shd w:val="clear" w:color="auto" w:fill="auto"/>
            <w:vAlign w:val="top"/>
          </w:tcPr>
          <w:p w14:paraId="69888EB5">
            <w:pPr>
              <w:keepNext w:val="0"/>
              <w:keepLines w:val="0"/>
              <w:widowControl w:val="0"/>
              <w:suppressLineNumbers w:val="0"/>
              <w:spacing w:before="0" w:beforeAutospacing="0" w:after="0" w:afterAutospacing="0"/>
              <w:ind w:left="0" w:right="0"/>
              <w:jc w:val="both"/>
              <w:rPr>
                <w:rFonts w:hint="default" w:ascii="Times New Roman" w:hAnsi="Times New Roman" w:eastAsia="宋体" w:cs="Times New Roman"/>
                <w:color w:val="FF0000"/>
                <w:kern w:val="2"/>
                <w:sz w:val="21"/>
                <w:szCs w:val="21"/>
              </w:rPr>
            </w:pPr>
          </w:p>
        </w:tc>
        <w:tc>
          <w:tcPr>
            <w:tcW w:w="846" w:type="dxa"/>
            <w:tcBorders>
              <w:top w:val="single" w:color="auto" w:sz="4" w:space="0"/>
              <w:left w:val="nil"/>
              <w:bottom w:val="single" w:color="auto" w:sz="4" w:space="0"/>
              <w:right w:val="single" w:color="auto" w:sz="4" w:space="0"/>
            </w:tcBorders>
            <w:shd w:val="clear" w:color="auto" w:fill="auto"/>
            <w:vAlign w:val="top"/>
          </w:tcPr>
          <w:p w14:paraId="7AACBBBE">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color w:val="FF0000"/>
                <w:kern w:val="2"/>
                <w:sz w:val="21"/>
                <w:szCs w:val="21"/>
              </w:rPr>
            </w:pPr>
          </w:p>
          <w:p w14:paraId="2F048FAB">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color w:val="FF0000"/>
                <w:kern w:val="2"/>
                <w:sz w:val="21"/>
                <w:szCs w:val="21"/>
              </w:rPr>
            </w:pPr>
          </w:p>
          <w:p w14:paraId="55CF7186">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color w:val="FF0000"/>
                <w:kern w:val="2"/>
                <w:sz w:val="21"/>
                <w:szCs w:val="21"/>
              </w:rPr>
            </w:pPr>
          </w:p>
        </w:tc>
      </w:tr>
      <w:tr w14:paraId="3378BF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7" w:hRule="atLeast"/>
          <w:jc w:val="center"/>
        </w:trPr>
        <w:tc>
          <w:tcPr>
            <w:tcW w:w="11373" w:type="dxa"/>
            <w:gridSpan w:val="13"/>
            <w:tcBorders>
              <w:top w:val="single" w:color="auto" w:sz="4" w:space="0"/>
              <w:left w:val="single" w:color="auto" w:sz="4" w:space="0"/>
              <w:bottom w:val="single" w:color="auto" w:sz="4" w:space="0"/>
              <w:right w:val="single" w:color="auto" w:sz="4" w:space="0"/>
            </w:tcBorders>
            <w:shd w:val="clear" w:color="auto" w:fill="auto"/>
            <w:vAlign w:val="center"/>
          </w:tcPr>
          <w:p w14:paraId="46583CD8">
            <w:pPr>
              <w:keepNext w:val="0"/>
              <w:keepLines w:val="0"/>
              <w:widowControl w:val="0"/>
              <w:suppressLineNumbers w:val="0"/>
              <w:spacing w:before="0" w:beforeAutospacing="0" w:after="0" w:afterAutospacing="0"/>
              <w:ind w:left="0" w:right="0"/>
              <w:jc w:val="both"/>
              <w:rPr>
                <w:rFonts w:hint="default" w:ascii="Times New Roman" w:hAnsi="Times New Roman" w:eastAsia="宋体" w:cs="Times New Roman"/>
                <w:kern w:val="2"/>
                <w:sz w:val="21"/>
                <w:szCs w:val="21"/>
              </w:rPr>
            </w:pPr>
            <w:r>
              <w:rPr>
                <w:rFonts w:hint="eastAsia" w:ascii="宋体" w:hAnsi="宋体" w:eastAsia="宋体" w:cs="宋体"/>
                <w:kern w:val="2"/>
                <w:sz w:val="21"/>
                <w:szCs w:val="21"/>
                <w:lang w:val="en-US" w:eastAsia="zh-CN" w:bidi="ar"/>
              </w:rPr>
              <w:t>合计人民币：</w:t>
            </w:r>
            <w:r>
              <w:rPr>
                <w:rFonts w:hint="default" w:ascii="Times New Roman" w:hAnsi="Times New Roman" w:eastAsia="宋体" w:cs="Times New Roman"/>
                <w:kern w:val="2"/>
                <w:sz w:val="21"/>
                <w:szCs w:val="21"/>
                <w:lang w:val="en-US" w:eastAsia="zh-CN" w:bidi="ar"/>
              </w:rPr>
              <w:t>XXXX</w:t>
            </w:r>
            <w:r>
              <w:rPr>
                <w:rFonts w:hint="eastAsia" w:ascii="宋体" w:hAnsi="宋体" w:eastAsia="宋体" w:cs="宋体"/>
                <w:kern w:val="2"/>
                <w:sz w:val="21"/>
                <w:szCs w:val="21"/>
                <w:lang w:val="en-US" w:eastAsia="zh-CN" w:bidi="ar"/>
              </w:rPr>
              <w:t xml:space="preserve">元整（￥ </w:t>
            </w:r>
            <w:r>
              <w:rPr>
                <w:rFonts w:hint="default" w:ascii="Times New Roman" w:hAnsi="Times New Roman" w:eastAsia="宋体" w:cs="Times New Roman"/>
                <w:kern w:val="2"/>
                <w:sz w:val="21"/>
                <w:szCs w:val="21"/>
                <w:lang w:val="en-US" w:eastAsia="zh-CN" w:bidi="ar"/>
              </w:rPr>
              <w:t>XXXX.00</w:t>
            </w:r>
            <w:r>
              <w:rPr>
                <w:rFonts w:hint="eastAsia" w:ascii="宋体" w:hAnsi="宋体" w:eastAsia="宋体" w:cs="宋体"/>
                <w:kern w:val="2"/>
                <w:sz w:val="21"/>
                <w:szCs w:val="21"/>
                <w:lang w:val="en-US" w:eastAsia="zh-CN" w:bidi="ar"/>
              </w:rPr>
              <w:t>元）</w:t>
            </w:r>
          </w:p>
        </w:tc>
      </w:tr>
    </w:tbl>
    <w:p w14:paraId="34CBD8BD">
      <w:pPr>
        <w:keepNext w:val="0"/>
        <w:keepLines w:val="0"/>
        <w:widowControl w:val="0"/>
        <w:suppressLineNumbers w:val="0"/>
        <w:adjustRightInd w:val="0"/>
        <w:snapToGrid w:val="0"/>
        <w:spacing w:before="0" w:beforeAutospacing="0" w:after="0" w:afterAutospacing="0" w:line="560" w:lineRule="exact"/>
        <w:ind w:left="0" w:right="0"/>
        <w:jc w:val="both"/>
        <w:rPr>
          <w:rFonts w:hint="eastAsia" w:ascii="仿宋_GB2312" w:eastAsia="仿宋_GB2312" w:cs="仿宋_GB2312"/>
          <w:b/>
          <w:bCs w:val="0"/>
          <w:kern w:val="2"/>
          <w:sz w:val="28"/>
          <w:szCs w:val="28"/>
        </w:rPr>
      </w:pPr>
      <w:r>
        <w:rPr>
          <w:rFonts w:hint="eastAsia" w:ascii="仿宋_GB2312" w:hAnsi="Times New Roman" w:eastAsia="仿宋_GB2312" w:cs="仿宋_GB2312"/>
          <w:b/>
          <w:bCs w:val="0"/>
          <w:kern w:val="2"/>
          <w:sz w:val="28"/>
          <w:szCs w:val="28"/>
          <w:lang w:val="en-US" w:eastAsia="zh-CN" w:bidi="ar"/>
        </w:rPr>
        <w:t xml:space="preserve"> </w:t>
      </w:r>
    </w:p>
    <w:p w14:paraId="55128311">
      <w:pPr>
        <w:keepNext w:val="0"/>
        <w:keepLines w:val="0"/>
        <w:widowControl w:val="0"/>
        <w:suppressLineNumbers w:val="0"/>
        <w:adjustRightInd w:val="0"/>
        <w:snapToGrid w:val="0"/>
        <w:spacing w:before="0" w:beforeAutospacing="0" w:after="0" w:afterAutospacing="0" w:line="560" w:lineRule="exact"/>
        <w:ind w:left="0" w:leftChars="0" w:right="0" w:rightChars="0" w:firstLine="560" w:firstLineChars="0"/>
        <w:jc w:val="both"/>
        <w:outlineLvl w:val="0"/>
        <w:rPr>
          <w:rFonts w:hint="eastAsia" w:ascii="仿宋_GB2312" w:eastAsia="仿宋_GB2312" w:cs="仿宋_GB2312"/>
          <w:b/>
          <w:bCs w:val="0"/>
          <w:kern w:val="2"/>
          <w:sz w:val="28"/>
          <w:szCs w:val="28"/>
        </w:rPr>
      </w:pPr>
      <w:bookmarkStart w:id="166" w:name="_Toc8755"/>
      <w:r>
        <w:rPr>
          <w:rFonts w:hint="eastAsia" w:ascii="仿宋_GB2312" w:hAnsi="Times New Roman" w:eastAsia="仿宋_GB2312" w:cs="仿宋_GB2312"/>
          <w:b/>
          <w:bCs w:val="0"/>
          <w:kern w:val="2"/>
          <w:sz w:val="28"/>
          <w:szCs w:val="28"/>
          <w:lang w:val="en-US" w:eastAsia="zh-CN" w:bidi="ar"/>
        </w:rPr>
        <w:t>第二条 合同价款</w:t>
      </w:r>
      <w:bookmarkEnd w:id="166"/>
    </w:p>
    <w:p w14:paraId="2C6C2F13">
      <w:pPr>
        <w:keepNext w:val="0"/>
        <w:keepLines w:val="0"/>
        <w:widowControl w:val="0"/>
        <w:suppressLineNumbers w:val="0"/>
        <w:adjustRightInd w:val="0"/>
        <w:snapToGrid w:val="0"/>
        <w:spacing w:before="0" w:beforeAutospacing="0" w:after="0" w:afterAutospacing="0" w:line="560" w:lineRule="exact"/>
        <w:ind w:left="0" w:right="0" w:firstLine="560"/>
        <w:jc w:val="left"/>
        <w:rPr>
          <w:rFonts w:hint="eastAsia" w:ascii="仿宋_GB2312" w:eastAsia="仿宋_GB2312" w:cs="仿宋_GB2312"/>
          <w:kern w:val="2"/>
          <w:sz w:val="28"/>
          <w:szCs w:val="28"/>
        </w:rPr>
      </w:pPr>
      <w:r>
        <w:rPr>
          <w:rFonts w:hint="eastAsia" w:ascii="仿宋_GB2312" w:hAnsi="Times New Roman" w:eastAsia="仿宋_GB2312" w:cs="仿宋_GB2312"/>
          <w:kern w:val="2"/>
          <w:sz w:val="28"/>
          <w:szCs w:val="28"/>
          <w:lang w:val="en-US" w:eastAsia="zh-CN" w:bidi="ar"/>
        </w:rPr>
        <w:t>1.本合同项下甲乙双方买卖</w:t>
      </w:r>
      <w:r>
        <w:rPr>
          <w:rFonts w:hint="eastAsia" w:ascii="仿宋_GB2312" w:hAnsi="Times New Roman" w:eastAsia="仿宋_GB2312" w:cs="仿宋_GB2312"/>
          <w:color w:val="000000" w:themeColor="text1"/>
          <w:kern w:val="2"/>
          <w:sz w:val="28"/>
          <w:szCs w:val="28"/>
          <w:lang w:val="en-US" w:eastAsia="zh-CN" w:bidi="ar"/>
          <w14:textFill>
            <w14:solidFill>
              <w14:schemeClr w14:val="tx1"/>
            </w14:solidFill>
          </w14:textFill>
        </w:rPr>
        <w:t>设备含税总价款为：大写人民币</w:t>
      </w:r>
      <w:r>
        <w:rPr>
          <w:rFonts w:hint="eastAsia" w:ascii="仿宋_GB2312" w:hAnsi="Times New Roman" w:eastAsia="仿宋_GB2312" w:cs="仿宋_GB2312"/>
          <w:color w:val="000000" w:themeColor="text1"/>
          <w:kern w:val="2"/>
          <w:sz w:val="28"/>
          <w:szCs w:val="28"/>
          <w:u w:val="single"/>
          <w:lang w:val="en-US" w:eastAsia="zh-CN" w:bidi="ar"/>
          <w14:textFill>
            <w14:solidFill>
              <w14:schemeClr w14:val="tx1"/>
            </w14:solidFill>
          </w14:textFill>
        </w:rPr>
        <w:t>XXXX</w:t>
      </w:r>
      <w:r>
        <w:rPr>
          <w:rFonts w:hint="eastAsia" w:ascii="仿宋_GB2312" w:hAnsi="Times New Roman" w:eastAsia="仿宋_GB2312" w:cs="仿宋_GB2312"/>
          <w:color w:val="000000" w:themeColor="text1"/>
          <w:kern w:val="2"/>
          <w:sz w:val="28"/>
          <w:szCs w:val="28"/>
          <w:lang w:val="en-US" w:eastAsia="zh-CN" w:bidi="ar"/>
          <w14:textFill>
            <w14:solidFill>
              <w14:schemeClr w14:val="tx1"/>
            </w14:solidFill>
          </w14:textFill>
        </w:rPr>
        <w:t>元整（￥</w:t>
      </w:r>
      <w:r>
        <w:rPr>
          <w:rFonts w:hint="eastAsia" w:ascii="仿宋_GB2312" w:hAnsi="Times New Roman" w:eastAsia="仿宋_GB2312" w:cs="仿宋_GB2312"/>
          <w:color w:val="000000" w:themeColor="text1"/>
          <w:kern w:val="2"/>
          <w:sz w:val="28"/>
          <w:szCs w:val="28"/>
          <w:u w:val="single"/>
          <w:lang w:val="en-US" w:eastAsia="zh-CN" w:bidi="ar"/>
          <w14:textFill>
            <w14:solidFill>
              <w14:schemeClr w14:val="tx1"/>
            </w14:solidFill>
          </w14:textFill>
        </w:rPr>
        <w:t xml:space="preserve"> XXXX.00元</w:t>
      </w:r>
      <w:r>
        <w:rPr>
          <w:rFonts w:hint="eastAsia" w:ascii="仿宋_GB2312" w:hAnsi="Times New Roman" w:eastAsia="仿宋_GB2312" w:cs="仿宋_GB2312"/>
          <w:color w:val="000000" w:themeColor="text1"/>
          <w:kern w:val="2"/>
          <w:sz w:val="28"/>
          <w:szCs w:val="28"/>
          <w:lang w:val="en-US" w:eastAsia="zh-CN" w:bidi="ar"/>
          <w14:textFill>
            <w14:solidFill>
              <w14:schemeClr w14:val="tx1"/>
            </w14:solidFill>
          </w14:textFill>
        </w:rPr>
        <w:t>）。此价款为甲方履行本合同义务而产生的一切费用，除此以外甲方不再对乙方承担任何支付价款或以外费用的责任。此价款包括但不限于报装费、设计费、设备</w:t>
      </w:r>
      <w:r>
        <w:rPr>
          <w:rFonts w:hint="eastAsia" w:ascii="仿宋_GB2312" w:hAnsi="Times New Roman" w:eastAsia="仿宋_GB2312" w:cs="仿宋_GB2312"/>
          <w:kern w:val="2"/>
          <w:sz w:val="28"/>
          <w:szCs w:val="28"/>
          <w:lang w:val="en-US" w:eastAsia="zh-CN" w:bidi="ar"/>
        </w:rPr>
        <w:t>制造费、包装费、仓储费、运输费、安装调试费、验收和保修期届满前备品备件费用以及与本合同设备及服务相关的税和费。合同总价款不因通货膨胀、市场行情等市场价格的变动而变动，但本合同另有约定的除外。</w:t>
      </w:r>
    </w:p>
    <w:p w14:paraId="00F9F276">
      <w:pPr>
        <w:keepNext w:val="0"/>
        <w:keepLines w:val="0"/>
        <w:widowControl w:val="0"/>
        <w:suppressLineNumbers w:val="0"/>
        <w:adjustRightInd w:val="0"/>
        <w:snapToGrid w:val="0"/>
        <w:spacing w:before="0" w:beforeAutospacing="0" w:after="0" w:afterAutospacing="0" w:line="560" w:lineRule="exact"/>
        <w:ind w:left="0" w:right="0" w:firstLine="560"/>
        <w:jc w:val="both"/>
        <w:rPr>
          <w:rFonts w:hint="eastAsia" w:ascii="仿宋_GB2312" w:eastAsia="仿宋_GB2312" w:cs="仿宋_GB2312"/>
          <w:b/>
          <w:bCs w:val="0"/>
          <w:kern w:val="2"/>
          <w:sz w:val="28"/>
          <w:szCs w:val="28"/>
        </w:rPr>
      </w:pPr>
      <w:r>
        <w:rPr>
          <w:rFonts w:hint="eastAsia" w:ascii="仿宋_GB2312" w:hAnsi="Times New Roman" w:eastAsia="仿宋_GB2312" w:cs="仿宋_GB2312"/>
          <w:kern w:val="2"/>
          <w:sz w:val="28"/>
          <w:szCs w:val="28"/>
          <w:lang w:val="en-US" w:eastAsia="zh-CN" w:bidi="ar"/>
        </w:rPr>
        <w:t>2.合同价款的支付方式（双方应共同选择一项，并在所选项□内打“√”）：</w:t>
      </w:r>
    </w:p>
    <w:p w14:paraId="64AF8125">
      <w:pPr>
        <w:keepNext w:val="0"/>
        <w:keepLines w:val="0"/>
        <w:widowControl w:val="0"/>
        <w:suppressLineNumbers w:val="0"/>
        <w:adjustRightInd w:val="0"/>
        <w:snapToGrid w:val="0"/>
        <w:spacing w:before="0" w:beforeAutospacing="0" w:after="0" w:afterAutospacing="0" w:line="560" w:lineRule="exact"/>
        <w:ind w:left="0" w:right="0" w:firstLine="560" w:firstLineChars="200"/>
        <w:jc w:val="both"/>
        <w:rPr>
          <w:rFonts w:hint="eastAsia" w:ascii="仿宋_GB2312" w:eastAsia="仿宋_GB2312" w:cs="仿宋_GB2312"/>
          <w:kern w:val="2"/>
          <w:sz w:val="28"/>
          <w:szCs w:val="28"/>
        </w:rPr>
      </w:pPr>
      <w:r>
        <w:rPr>
          <w:rFonts w:hint="eastAsia" w:ascii="仿宋_GB2312" w:hAnsi="Wingdings 2" w:eastAsia="仿宋_GB2312" w:cs="仿宋_GB2312"/>
          <w:kern w:val="2"/>
          <w:sz w:val="28"/>
          <w:szCs w:val="28"/>
          <w:lang w:val="en-US" w:eastAsia="zh-CN" w:bidi="ar"/>
        </w:rPr>
        <w:t>£</w:t>
      </w:r>
      <w:r>
        <w:rPr>
          <w:rFonts w:hint="eastAsia" w:ascii="仿宋_GB2312" w:hAnsi="Times New Roman" w:eastAsia="仿宋_GB2312" w:cs="仿宋_GB2312"/>
          <w:kern w:val="2"/>
          <w:sz w:val="28"/>
          <w:szCs w:val="28"/>
          <w:lang w:val="en-US" w:eastAsia="zh-CN" w:bidi="ar"/>
        </w:rPr>
        <w:t>一次性支付</w:t>
      </w:r>
    </w:p>
    <w:p w14:paraId="249405FA">
      <w:pPr>
        <w:keepNext w:val="0"/>
        <w:keepLines w:val="0"/>
        <w:widowControl w:val="0"/>
        <w:suppressLineNumbers w:val="0"/>
        <w:adjustRightInd w:val="0"/>
        <w:snapToGrid w:val="0"/>
        <w:spacing w:before="0" w:beforeAutospacing="0" w:after="0" w:afterAutospacing="0" w:line="560" w:lineRule="exact"/>
        <w:ind w:left="0" w:right="0" w:firstLine="560"/>
        <w:jc w:val="both"/>
        <w:rPr>
          <w:rFonts w:hint="eastAsia" w:ascii="仿宋_GB2312" w:eastAsia="仿宋_GB2312" w:cs="仿宋_GB2312"/>
          <w:color w:val="000000"/>
          <w:kern w:val="2"/>
          <w:sz w:val="28"/>
          <w:szCs w:val="28"/>
        </w:rPr>
      </w:pPr>
      <w:r>
        <w:rPr>
          <w:rFonts w:hint="eastAsia" w:ascii="仿宋_GB2312" w:hAnsi="Times New Roman" w:eastAsia="仿宋_GB2312" w:cs="仿宋_GB2312"/>
          <w:color w:val="000000"/>
          <w:kern w:val="2"/>
          <w:sz w:val="28"/>
          <w:szCs w:val="28"/>
          <w:lang w:val="en-US" w:eastAsia="zh-CN" w:bidi="ar"/>
        </w:rPr>
        <w:t>货到安装、调试验收合格后，乙方应按本合同全额价款出具正规税务发票，甲方财务科收到乙方发票等相关资料后</w:t>
      </w:r>
      <w:r>
        <w:rPr>
          <w:rFonts w:hint="eastAsia" w:ascii="仿宋_GB2312" w:hAnsi="Times New Roman" w:eastAsia="仿宋_GB2312" w:cs="仿宋_GB2312"/>
          <w:color w:val="000000"/>
          <w:kern w:val="2"/>
          <w:sz w:val="28"/>
          <w:szCs w:val="28"/>
          <w:u w:val="single"/>
          <w:lang w:val="en-US" w:eastAsia="zh-CN" w:bidi="ar"/>
        </w:rPr>
        <w:t>10</w:t>
      </w:r>
      <w:r>
        <w:rPr>
          <w:rFonts w:hint="eastAsia" w:ascii="仿宋_GB2312" w:hAnsi="Times New Roman" w:eastAsia="仿宋_GB2312" w:cs="仿宋_GB2312"/>
          <w:color w:val="000000"/>
          <w:kern w:val="2"/>
          <w:sz w:val="28"/>
          <w:szCs w:val="28"/>
          <w:lang w:val="en-US" w:eastAsia="zh-CN" w:bidi="ar"/>
        </w:rPr>
        <w:t>个工作日内向乙方支付合同全款。</w:t>
      </w:r>
    </w:p>
    <w:p w14:paraId="66857BA4">
      <w:pPr>
        <w:keepNext w:val="0"/>
        <w:keepLines w:val="0"/>
        <w:widowControl w:val="0"/>
        <w:suppressLineNumbers w:val="0"/>
        <w:adjustRightInd w:val="0"/>
        <w:snapToGrid w:val="0"/>
        <w:spacing w:before="0" w:beforeAutospacing="0" w:after="0" w:afterAutospacing="0" w:line="560" w:lineRule="exact"/>
        <w:ind w:left="0" w:right="0" w:firstLine="560"/>
        <w:jc w:val="both"/>
        <w:rPr>
          <w:rFonts w:hint="eastAsia" w:ascii="仿宋_GB2312" w:eastAsia="仿宋_GB2312" w:cs="仿宋_GB2312"/>
          <w:kern w:val="2"/>
          <w:sz w:val="28"/>
          <w:szCs w:val="28"/>
        </w:rPr>
      </w:pPr>
      <w:r>
        <w:rPr>
          <w:rFonts w:hint="eastAsia" w:ascii="仿宋_GB2312" w:hAnsi="Wingdings 2" w:eastAsia="仿宋_GB2312" w:cs="仿宋_GB2312"/>
          <w:kern w:val="2"/>
          <w:sz w:val="28"/>
          <w:szCs w:val="28"/>
          <w:lang w:val="en-US" w:eastAsia="zh-CN" w:bidi="ar"/>
        </w:rPr>
        <w:t>£</w:t>
      </w:r>
      <w:r>
        <w:rPr>
          <w:rFonts w:hint="eastAsia" w:ascii="仿宋_GB2312" w:hAnsi="Times New Roman" w:eastAsia="仿宋_GB2312" w:cs="仿宋_GB2312"/>
          <w:kern w:val="2"/>
          <w:sz w:val="28"/>
          <w:szCs w:val="28"/>
          <w:lang w:val="en-US" w:eastAsia="zh-CN" w:bidi="ar"/>
        </w:rPr>
        <w:t>分笔支付</w:t>
      </w:r>
    </w:p>
    <w:p w14:paraId="65E4F975">
      <w:pPr>
        <w:keepNext w:val="0"/>
        <w:keepLines w:val="0"/>
        <w:widowControl w:val="0"/>
        <w:suppressLineNumbers w:val="0"/>
        <w:adjustRightInd w:val="0"/>
        <w:snapToGrid w:val="0"/>
        <w:spacing w:before="0" w:beforeAutospacing="0" w:after="0" w:afterAutospacing="0" w:line="560" w:lineRule="exact"/>
        <w:ind w:left="0" w:right="0" w:firstLine="560"/>
        <w:jc w:val="both"/>
        <w:rPr>
          <w:rFonts w:hint="eastAsia" w:ascii="仿宋_GB2312" w:eastAsia="仿宋_GB2312" w:cs="仿宋_GB2312"/>
          <w:kern w:val="2"/>
          <w:sz w:val="28"/>
          <w:szCs w:val="28"/>
        </w:rPr>
      </w:pPr>
      <w:r>
        <w:rPr>
          <w:rFonts w:hint="eastAsia" w:ascii="仿宋_GB2312" w:hAnsi="Times New Roman" w:eastAsia="仿宋_GB2312" w:cs="仿宋_GB2312"/>
          <w:color w:val="000000"/>
          <w:kern w:val="2"/>
          <w:sz w:val="28"/>
          <w:szCs w:val="28"/>
          <w:lang w:val="en-US" w:eastAsia="zh-CN" w:bidi="ar"/>
        </w:rPr>
        <w:t>货到安装、调试验收合格且财政资金下达后，乙方应按本合同全额价款出具正规税务发票，甲方财务科收到乙方发票等相关资料后15日内向乙方支付合同价款的90%；若财政当次下达资金未达合同价款的90%，则以当次实际下达资金为准，直至付款至合同价款的90%。货款余额（合同价款的10%）在项目结算并下达尾款资金后支付。</w:t>
      </w:r>
    </w:p>
    <w:p w14:paraId="7F6EF684">
      <w:pPr>
        <w:keepNext w:val="0"/>
        <w:keepLines w:val="0"/>
        <w:widowControl w:val="0"/>
        <w:suppressLineNumbers w:val="0"/>
        <w:adjustRightInd w:val="0"/>
        <w:snapToGrid w:val="0"/>
        <w:spacing w:before="0" w:beforeAutospacing="0" w:after="0" w:afterAutospacing="0" w:line="560" w:lineRule="exact"/>
        <w:ind w:left="0" w:right="0" w:firstLine="560" w:firstLineChars="200"/>
        <w:jc w:val="both"/>
        <w:rPr>
          <w:rFonts w:hint="eastAsia" w:ascii="仿宋_GB2312" w:eastAsia="仿宋_GB2312" w:cs="仿宋_GB2312"/>
          <w:color w:val="000000" w:themeColor="text1"/>
          <w:kern w:val="2"/>
          <w:sz w:val="28"/>
          <w:szCs w:val="28"/>
          <w14:textFill>
            <w14:solidFill>
              <w14:schemeClr w14:val="tx1"/>
            </w14:solidFill>
          </w14:textFill>
        </w:rPr>
      </w:pPr>
      <w:r>
        <w:rPr>
          <w:rFonts w:hint="eastAsia" w:ascii="仿宋_GB2312" w:hAnsi="Times New Roman" w:eastAsia="仿宋_GB2312" w:cs="仿宋_GB2312"/>
          <w:color w:val="000000" w:themeColor="text1"/>
          <w:kern w:val="2"/>
          <w:sz w:val="28"/>
          <w:szCs w:val="28"/>
          <w:lang w:val="en-US" w:eastAsia="zh-CN" w:bidi="ar"/>
          <w14:textFill>
            <w14:solidFill>
              <w14:schemeClr w14:val="tx1"/>
            </w14:solidFill>
          </w14:textFill>
        </w:rPr>
        <w:t>3.乙方指定的收款账户：</w:t>
      </w:r>
    </w:p>
    <w:p w14:paraId="1EA99589">
      <w:pPr>
        <w:keepNext w:val="0"/>
        <w:keepLines w:val="0"/>
        <w:widowControl w:val="0"/>
        <w:suppressLineNumbers w:val="0"/>
        <w:adjustRightInd w:val="0"/>
        <w:snapToGrid w:val="0"/>
        <w:spacing w:before="0" w:beforeAutospacing="0" w:after="0" w:afterAutospacing="0" w:line="560" w:lineRule="exact"/>
        <w:ind w:left="0" w:right="0" w:firstLine="560"/>
        <w:jc w:val="both"/>
        <w:rPr>
          <w:rFonts w:hint="eastAsia" w:ascii="仿宋_GB2312" w:eastAsia="仿宋_GB2312" w:cs="仿宋_GB2312"/>
          <w:color w:val="000000" w:themeColor="text1"/>
          <w:kern w:val="2"/>
          <w:sz w:val="28"/>
          <w:szCs w:val="28"/>
          <w14:textFill>
            <w14:solidFill>
              <w14:schemeClr w14:val="tx1"/>
            </w14:solidFill>
          </w14:textFill>
        </w:rPr>
      </w:pPr>
      <w:r>
        <w:rPr>
          <w:rFonts w:hint="eastAsia" w:ascii="仿宋_GB2312" w:hAnsi="Times New Roman" w:eastAsia="仿宋_GB2312" w:cs="仿宋_GB2312"/>
          <w:color w:val="000000" w:themeColor="text1"/>
          <w:kern w:val="2"/>
          <w:sz w:val="28"/>
          <w:szCs w:val="28"/>
          <w:lang w:val="en-US" w:eastAsia="zh-CN" w:bidi="ar"/>
          <w14:textFill>
            <w14:solidFill>
              <w14:schemeClr w14:val="tx1"/>
            </w14:solidFill>
          </w14:textFill>
        </w:rPr>
        <w:t>户名：</w:t>
      </w:r>
    </w:p>
    <w:p w14:paraId="0832B239">
      <w:pPr>
        <w:keepNext w:val="0"/>
        <w:keepLines w:val="0"/>
        <w:widowControl w:val="0"/>
        <w:suppressLineNumbers w:val="0"/>
        <w:adjustRightInd w:val="0"/>
        <w:snapToGrid w:val="0"/>
        <w:spacing w:before="0" w:beforeAutospacing="0" w:after="0" w:afterAutospacing="0" w:line="560" w:lineRule="exact"/>
        <w:ind w:left="0" w:right="0" w:firstLine="560"/>
        <w:jc w:val="both"/>
        <w:rPr>
          <w:rFonts w:hint="eastAsia" w:ascii="仿宋_GB2312" w:eastAsia="仿宋_GB2312" w:cs="仿宋_GB2312"/>
          <w:kern w:val="2"/>
          <w:sz w:val="28"/>
          <w:szCs w:val="28"/>
        </w:rPr>
      </w:pPr>
      <w:r>
        <w:rPr>
          <w:rFonts w:hint="eastAsia" w:ascii="仿宋_GB2312" w:hAnsi="Times New Roman" w:eastAsia="仿宋_GB2312" w:cs="仿宋_GB2312"/>
          <w:color w:val="000000" w:themeColor="text1"/>
          <w:kern w:val="2"/>
          <w:sz w:val="28"/>
          <w:szCs w:val="28"/>
          <w:lang w:val="en-US" w:eastAsia="zh-CN" w:bidi="ar"/>
          <w14:textFill>
            <w14:solidFill>
              <w14:schemeClr w14:val="tx1"/>
            </w14:solidFill>
          </w14:textFill>
        </w:rPr>
        <w:t>银行账号</w:t>
      </w:r>
      <w:r>
        <w:rPr>
          <w:rFonts w:hint="eastAsia" w:ascii="仿宋_GB2312" w:hAnsi="Times New Roman" w:eastAsia="仿宋_GB2312" w:cs="仿宋_GB2312"/>
          <w:kern w:val="2"/>
          <w:sz w:val="28"/>
          <w:szCs w:val="28"/>
          <w:lang w:val="en-US" w:eastAsia="zh-CN" w:bidi="ar"/>
        </w:rPr>
        <w:t>：</w:t>
      </w:r>
    </w:p>
    <w:p w14:paraId="4660AF90">
      <w:pPr>
        <w:keepNext w:val="0"/>
        <w:keepLines w:val="0"/>
        <w:widowControl w:val="0"/>
        <w:suppressLineNumbers w:val="0"/>
        <w:adjustRightInd w:val="0"/>
        <w:snapToGrid w:val="0"/>
        <w:spacing w:before="0" w:beforeAutospacing="0" w:after="0" w:afterAutospacing="0" w:line="560" w:lineRule="exact"/>
        <w:ind w:left="0" w:right="0" w:firstLine="560"/>
        <w:jc w:val="both"/>
        <w:rPr>
          <w:rFonts w:hint="eastAsia" w:ascii="仿宋_GB2312" w:eastAsia="仿宋_GB2312" w:cs="仿宋_GB2312"/>
          <w:kern w:val="2"/>
          <w:sz w:val="28"/>
          <w:szCs w:val="28"/>
        </w:rPr>
      </w:pPr>
      <w:r>
        <w:rPr>
          <w:rFonts w:hint="eastAsia" w:ascii="仿宋_GB2312" w:hAnsi="Times New Roman" w:eastAsia="仿宋_GB2312" w:cs="仿宋_GB2312"/>
          <w:kern w:val="2"/>
          <w:sz w:val="28"/>
          <w:szCs w:val="28"/>
          <w:lang w:val="en-US" w:eastAsia="zh-CN" w:bidi="ar"/>
        </w:rPr>
        <w:t>开户行：</w:t>
      </w:r>
    </w:p>
    <w:p w14:paraId="1AAFC1EE">
      <w:pPr>
        <w:keepNext w:val="0"/>
        <w:keepLines w:val="0"/>
        <w:widowControl w:val="0"/>
        <w:suppressLineNumbers w:val="0"/>
        <w:adjustRightInd w:val="0"/>
        <w:snapToGrid w:val="0"/>
        <w:spacing w:before="0" w:beforeAutospacing="0" w:after="0" w:afterAutospacing="0" w:line="560" w:lineRule="exact"/>
        <w:ind w:left="0" w:leftChars="0" w:right="0" w:rightChars="0" w:firstLine="560" w:firstLineChars="0"/>
        <w:jc w:val="both"/>
        <w:outlineLvl w:val="0"/>
        <w:rPr>
          <w:rFonts w:hint="eastAsia" w:ascii="仿宋_GB2312" w:eastAsia="仿宋_GB2312" w:cs="仿宋_GB2312"/>
          <w:b/>
          <w:bCs w:val="0"/>
          <w:kern w:val="2"/>
          <w:sz w:val="28"/>
          <w:szCs w:val="28"/>
        </w:rPr>
      </w:pPr>
      <w:bookmarkStart w:id="167" w:name="_Toc3012"/>
      <w:r>
        <w:rPr>
          <w:rFonts w:hint="eastAsia" w:ascii="仿宋_GB2312" w:hAnsi="Times New Roman" w:eastAsia="仿宋_GB2312" w:cs="仿宋_GB2312"/>
          <w:b/>
          <w:bCs w:val="0"/>
          <w:kern w:val="2"/>
          <w:sz w:val="28"/>
          <w:szCs w:val="28"/>
          <w:lang w:val="en-US" w:eastAsia="zh-CN" w:bidi="ar"/>
        </w:rPr>
        <w:t>第三条  质量标准</w:t>
      </w:r>
      <w:bookmarkEnd w:id="167"/>
    </w:p>
    <w:p w14:paraId="50F884C0">
      <w:pPr>
        <w:keepNext w:val="0"/>
        <w:keepLines w:val="0"/>
        <w:widowControl w:val="0"/>
        <w:suppressLineNumbers w:val="0"/>
        <w:adjustRightInd w:val="0"/>
        <w:snapToGrid w:val="0"/>
        <w:spacing w:before="0" w:beforeAutospacing="0" w:after="0" w:afterAutospacing="0" w:line="560" w:lineRule="exact"/>
        <w:ind w:left="0" w:right="0" w:firstLine="560" w:firstLineChars="200"/>
        <w:jc w:val="both"/>
        <w:rPr>
          <w:rFonts w:hint="eastAsia" w:ascii="仿宋_GB2312" w:eastAsia="仿宋_GB2312" w:cs="仿宋_GB2312"/>
          <w:bCs/>
          <w:kern w:val="2"/>
          <w:sz w:val="28"/>
          <w:szCs w:val="28"/>
        </w:rPr>
      </w:pPr>
      <w:r>
        <w:rPr>
          <w:rFonts w:hint="eastAsia" w:ascii="仿宋_GB2312" w:hAnsi="Times New Roman" w:eastAsia="仿宋_GB2312" w:cs="仿宋_GB2312"/>
          <w:bCs/>
          <w:kern w:val="2"/>
          <w:sz w:val="28"/>
          <w:szCs w:val="28"/>
          <w:lang w:val="en-US" w:eastAsia="zh-CN" w:bidi="ar"/>
        </w:rPr>
        <w:t>1.乙方在本合同项下向甲方提供的</w:t>
      </w:r>
      <w:r>
        <w:rPr>
          <w:rFonts w:hint="eastAsia" w:ascii="仿宋_GB2312" w:hAnsi="Times New Roman" w:eastAsia="仿宋_GB2312" w:cs="仿宋_GB2312"/>
          <w:kern w:val="2"/>
          <w:sz w:val="28"/>
          <w:szCs w:val="28"/>
          <w:lang w:val="en-US" w:eastAsia="zh-CN" w:bidi="ar"/>
        </w:rPr>
        <w:t>设备</w:t>
      </w:r>
      <w:r>
        <w:rPr>
          <w:rFonts w:hint="eastAsia" w:ascii="仿宋_GB2312" w:hAnsi="Times New Roman" w:eastAsia="仿宋_GB2312" w:cs="仿宋_GB2312"/>
          <w:bCs/>
          <w:kern w:val="2"/>
          <w:sz w:val="28"/>
          <w:szCs w:val="28"/>
          <w:lang w:val="en-US" w:eastAsia="zh-CN" w:bidi="ar"/>
        </w:rPr>
        <w:t>质量和技术规格应符合以下标准：</w:t>
      </w:r>
    </w:p>
    <w:p w14:paraId="527B30EB">
      <w:pPr>
        <w:keepNext w:val="0"/>
        <w:keepLines w:val="0"/>
        <w:widowControl w:val="0"/>
        <w:suppressLineNumbers w:val="0"/>
        <w:adjustRightInd w:val="0"/>
        <w:snapToGrid w:val="0"/>
        <w:spacing w:before="0" w:beforeAutospacing="0" w:after="0" w:afterAutospacing="0" w:line="560" w:lineRule="exact"/>
        <w:ind w:left="0" w:right="0" w:firstLine="560"/>
        <w:jc w:val="both"/>
        <w:rPr>
          <w:rFonts w:hint="eastAsia" w:ascii="仿宋_GB2312" w:eastAsia="仿宋_GB2312" w:cs="仿宋_GB2312"/>
          <w:kern w:val="2"/>
          <w:sz w:val="28"/>
          <w:szCs w:val="28"/>
        </w:rPr>
      </w:pPr>
      <w:r>
        <w:rPr>
          <w:rFonts w:hint="eastAsia" w:ascii="仿宋_GB2312" w:hAnsi="Times New Roman" w:eastAsia="仿宋_GB2312" w:cs="仿宋_GB2312"/>
          <w:kern w:val="2"/>
          <w:sz w:val="28"/>
          <w:szCs w:val="28"/>
          <w:lang w:val="en-US" w:eastAsia="zh-CN" w:bidi="ar"/>
        </w:rPr>
        <w:t>（1）项目的中标通知书、征集文件、答疑及补充通知；</w:t>
      </w:r>
    </w:p>
    <w:p w14:paraId="0F52D330">
      <w:pPr>
        <w:keepNext w:val="0"/>
        <w:keepLines w:val="0"/>
        <w:widowControl w:val="0"/>
        <w:suppressLineNumbers w:val="0"/>
        <w:adjustRightInd w:val="0"/>
        <w:snapToGrid w:val="0"/>
        <w:spacing w:before="0" w:beforeAutospacing="0" w:after="0" w:afterAutospacing="0" w:line="560" w:lineRule="exact"/>
        <w:ind w:left="0" w:right="0" w:firstLine="560" w:firstLineChars="200"/>
        <w:jc w:val="both"/>
        <w:rPr>
          <w:rFonts w:hint="eastAsia" w:ascii="仿宋_GB2312" w:eastAsia="仿宋_GB2312" w:cs="仿宋_GB2312"/>
          <w:kern w:val="2"/>
          <w:sz w:val="28"/>
          <w:szCs w:val="28"/>
        </w:rPr>
      </w:pPr>
      <w:r>
        <w:rPr>
          <w:rFonts w:hint="eastAsia" w:ascii="仿宋_GB2312" w:hAnsi="Times New Roman" w:eastAsia="仿宋_GB2312" w:cs="仿宋_GB2312"/>
          <w:kern w:val="2"/>
          <w:sz w:val="28"/>
          <w:szCs w:val="28"/>
          <w:lang w:val="en-US" w:eastAsia="zh-CN" w:bidi="ar"/>
        </w:rPr>
        <w:t>（2）乙方的投标文件；</w:t>
      </w:r>
    </w:p>
    <w:p w14:paraId="32546F1B">
      <w:pPr>
        <w:keepNext w:val="0"/>
        <w:keepLines w:val="0"/>
        <w:widowControl w:val="0"/>
        <w:suppressLineNumbers w:val="0"/>
        <w:adjustRightInd w:val="0"/>
        <w:snapToGrid w:val="0"/>
        <w:spacing w:before="0" w:beforeAutospacing="0" w:after="0" w:afterAutospacing="0" w:line="560" w:lineRule="exact"/>
        <w:ind w:left="0" w:right="0" w:firstLine="560" w:firstLineChars="200"/>
        <w:jc w:val="both"/>
        <w:rPr>
          <w:rFonts w:hint="eastAsia" w:ascii="仿宋_GB2312" w:eastAsia="仿宋_GB2312" w:cs="仿宋_GB2312"/>
          <w:bCs/>
          <w:kern w:val="2"/>
          <w:sz w:val="28"/>
          <w:szCs w:val="28"/>
          <w:u w:val="single"/>
        </w:rPr>
      </w:pPr>
      <w:r>
        <w:rPr>
          <w:rFonts w:hint="eastAsia" w:ascii="仿宋_GB2312" w:hAnsi="Times New Roman" w:eastAsia="仿宋_GB2312" w:cs="仿宋_GB2312"/>
          <w:kern w:val="2"/>
          <w:sz w:val="28"/>
          <w:szCs w:val="28"/>
          <w:lang w:val="en-US" w:eastAsia="zh-CN" w:bidi="ar"/>
        </w:rPr>
        <w:t>（3）本合同附件</w:t>
      </w:r>
      <w:r>
        <w:rPr>
          <w:rFonts w:hint="eastAsia" w:ascii="仿宋_GB2312" w:hAnsi="Times New Roman" w:eastAsia="仿宋_GB2312" w:cs="仿宋_GB2312"/>
          <w:bCs/>
          <w:kern w:val="2"/>
          <w:sz w:val="28"/>
          <w:szCs w:val="28"/>
          <w:lang w:val="en-US" w:eastAsia="zh-CN" w:bidi="ar"/>
        </w:rPr>
        <w:t>的约定；</w:t>
      </w:r>
    </w:p>
    <w:p w14:paraId="3011BCE6">
      <w:pPr>
        <w:keepNext w:val="0"/>
        <w:keepLines w:val="0"/>
        <w:widowControl w:val="0"/>
        <w:suppressLineNumbers w:val="0"/>
        <w:adjustRightInd w:val="0"/>
        <w:snapToGrid w:val="0"/>
        <w:spacing w:before="0" w:beforeAutospacing="0" w:after="0" w:afterAutospacing="0" w:line="560" w:lineRule="exact"/>
        <w:ind w:left="0" w:right="0" w:firstLine="560" w:firstLineChars="200"/>
        <w:jc w:val="both"/>
        <w:rPr>
          <w:rFonts w:hint="eastAsia" w:ascii="仿宋_GB2312" w:eastAsia="仿宋_GB2312" w:cs="仿宋_GB2312"/>
          <w:bCs/>
          <w:kern w:val="2"/>
          <w:sz w:val="28"/>
          <w:szCs w:val="28"/>
        </w:rPr>
      </w:pPr>
      <w:r>
        <w:rPr>
          <w:rFonts w:hint="eastAsia" w:ascii="仿宋_GB2312" w:hAnsi="Times New Roman" w:eastAsia="仿宋_GB2312" w:cs="仿宋_GB2312"/>
          <w:bCs/>
          <w:kern w:val="2"/>
          <w:sz w:val="28"/>
          <w:szCs w:val="28"/>
          <w:lang w:val="en-US" w:eastAsia="zh-CN" w:bidi="ar"/>
        </w:rPr>
        <w:t>（4）国家关于该类设备的设计和制造生产标准；</w:t>
      </w:r>
    </w:p>
    <w:p w14:paraId="59F70D45">
      <w:pPr>
        <w:keepNext w:val="0"/>
        <w:keepLines w:val="0"/>
        <w:widowControl w:val="0"/>
        <w:suppressLineNumbers w:val="0"/>
        <w:adjustRightInd w:val="0"/>
        <w:snapToGrid w:val="0"/>
        <w:spacing w:before="0" w:beforeAutospacing="0" w:after="0" w:afterAutospacing="0" w:line="560" w:lineRule="exact"/>
        <w:ind w:left="0" w:right="0" w:firstLine="560" w:firstLineChars="200"/>
        <w:jc w:val="both"/>
        <w:rPr>
          <w:rFonts w:hint="eastAsia" w:ascii="仿宋_GB2312" w:eastAsia="仿宋_GB2312" w:cs="仿宋_GB2312"/>
          <w:bCs/>
          <w:kern w:val="2"/>
          <w:sz w:val="28"/>
          <w:szCs w:val="28"/>
        </w:rPr>
      </w:pPr>
      <w:r>
        <w:rPr>
          <w:rFonts w:hint="eastAsia" w:ascii="仿宋_GB2312" w:hAnsi="Times New Roman" w:eastAsia="仿宋_GB2312" w:cs="仿宋_GB2312"/>
          <w:bCs/>
          <w:kern w:val="2"/>
          <w:sz w:val="28"/>
          <w:szCs w:val="28"/>
          <w:lang w:val="en-US" w:eastAsia="zh-CN" w:bidi="ar"/>
        </w:rPr>
        <w:t>（5）国家关于该类设备质量的行业标准；</w:t>
      </w:r>
    </w:p>
    <w:p w14:paraId="6855ACB1">
      <w:pPr>
        <w:keepNext w:val="0"/>
        <w:keepLines w:val="0"/>
        <w:widowControl w:val="0"/>
        <w:suppressLineNumbers w:val="0"/>
        <w:adjustRightInd w:val="0"/>
        <w:snapToGrid w:val="0"/>
        <w:spacing w:before="0" w:beforeAutospacing="0" w:after="0" w:afterAutospacing="0" w:line="560" w:lineRule="exact"/>
        <w:ind w:left="0" w:right="0" w:firstLine="560"/>
        <w:jc w:val="both"/>
        <w:rPr>
          <w:rFonts w:hint="eastAsia" w:ascii="仿宋_GB2312" w:eastAsia="仿宋_GB2312" w:cs="仿宋_GB2312"/>
          <w:bCs/>
          <w:kern w:val="2"/>
          <w:sz w:val="28"/>
          <w:szCs w:val="28"/>
        </w:rPr>
      </w:pPr>
      <w:r>
        <w:rPr>
          <w:rFonts w:hint="eastAsia" w:ascii="仿宋_GB2312" w:hAnsi="Times New Roman" w:eastAsia="仿宋_GB2312" w:cs="仿宋_GB2312"/>
          <w:bCs/>
          <w:kern w:val="2"/>
          <w:sz w:val="28"/>
          <w:szCs w:val="28"/>
          <w:lang w:val="en-US" w:eastAsia="zh-CN" w:bidi="ar"/>
        </w:rPr>
        <w:t>（6）符合国家有关安全、环保等规范和要求（乙方须提供设备测验报告）；</w:t>
      </w:r>
    </w:p>
    <w:p w14:paraId="76C7E72E">
      <w:pPr>
        <w:keepNext w:val="0"/>
        <w:keepLines w:val="0"/>
        <w:widowControl w:val="0"/>
        <w:suppressLineNumbers w:val="0"/>
        <w:adjustRightInd w:val="0"/>
        <w:snapToGrid w:val="0"/>
        <w:spacing w:before="0" w:beforeAutospacing="0" w:after="0" w:afterAutospacing="0" w:line="560" w:lineRule="exact"/>
        <w:ind w:left="0" w:right="0" w:firstLine="560" w:firstLineChars="200"/>
        <w:jc w:val="both"/>
        <w:rPr>
          <w:rFonts w:hint="eastAsia" w:ascii="仿宋_GB2312" w:eastAsia="仿宋_GB2312" w:cs="仿宋_GB2312"/>
          <w:bCs/>
          <w:kern w:val="2"/>
          <w:sz w:val="28"/>
          <w:szCs w:val="28"/>
        </w:rPr>
      </w:pPr>
      <w:r>
        <w:rPr>
          <w:rFonts w:hint="eastAsia" w:ascii="仿宋_GB2312" w:hAnsi="Times New Roman" w:eastAsia="仿宋_GB2312" w:cs="仿宋_GB2312"/>
          <w:bCs/>
          <w:kern w:val="2"/>
          <w:sz w:val="28"/>
          <w:szCs w:val="28"/>
          <w:lang w:val="en-US" w:eastAsia="zh-CN" w:bidi="ar"/>
        </w:rPr>
        <w:t>（7）进口设备具有进口注册证书、《入境设备检验检疫证明》等中国海关商检合格证明</w:t>
      </w:r>
    </w:p>
    <w:p w14:paraId="475DF8D3">
      <w:pPr>
        <w:keepNext w:val="0"/>
        <w:keepLines w:val="0"/>
        <w:widowControl w:val="0"/>
        <w:suppressLineNumbers w:val="0"/>
        <w:adjustRightInd w:val="0"/>
        <w:snapToGrid w:val="0"/>
        <w:spacing w:before="0" w:beforeAutospacing="0" w:after="0" w:afterAutospacing="0" w:line="560" w:lineRule="exact"/>
        <w:ind w:left="0" w:right="0" w:firstLine="560" w:firstLineChars="200"/>
        <w:jc w:val="both"/>
        <w:rPr>
          <w:rFonts w:hint="eastAsia" w:ascii="仿宋_GB2312" w:eastAsia="仿宋_GB2312" w:cs="仿宋_GB2312"/>
          <w:bCs/>
          <w:kern w:val="2"/>
          <w:sz w:val="28"/>
          <w:szCs w:val="28"/>
        </w:rPr>
      </w:pPr>
      <w:r>
        <w:rPr>
          <w:rFonts w:hint="eastAsia" w:ascii="仿宋_GB2312" w:hAnsi="Times New Roman" w:eastAsia="仿宋_GB2312" w:cs="仿宋_GB2312"/>
          <w:bCs/>
          <w:kern w:val="2"/>
          <w:sz w:val="28"/>
          <w:szCs w:val="28"/>
          <w:lang w:val="en-US" w:eastAsia="zh-CN" w:bidi="ar"/>
        </w:rPr>
        <w:t>2.设备注册证名、产地品牌、规格型号应与在行政部门登记的注册证描述一致并在有效期内。消毒设备在注册证号栏中分别填入注册证号、卫生许可证号、卫生许可证批号。合同设备如属《中华人民共和国进口计量器具型式审查目录》或《中华人民共和国强制检定的工作计量器具目录》内的，乙方需提供计量合格证，所有上述证照办理的费用均包含在合同总价内。</w:t>
      </w:r>
    </w:p>
    <w:p w14:paraId="127CB90B">
      <w:pPr>
        <w:keepNext w:val="0"/>
        <w:keepLines w:val="0"/>
        <w:widowControl w:val="0"/>
        <w:suppressLineNumbers w:val="0"/>
        <w:adjustRightInd w:val="0"/>
        <w:snapToGrid w:val="0"/>
        <w:spacing w:before="0" w:beforeAutospacing="0" w:after="0" w:afterAutospacing="0" w:line="560" w:lineRule="exact"/>
        <w:ind w:left="0" w:right="0" w:firstLine="560" w:firstLineChars="200"/>
        <w:jc w:val="both"/>
        <w:rPr>
          <w:rFonts w:hint="eastAsia" w:ascii="仿宋_GB2312" w:eastAsia="仿宋_GB2312" w:cs="仿宋_GB2312"/>
          <w:bCs/>
          <w:kern w:val="2"/>
          <w:sz w:val="28"/>
          <w:szCs w:val="28"/>
        </w:rPr>
      </w:pPr>
      <w:r>
        <w:rPr>
          <w:rFonts w:hint="eastAsia" w:ascii="仿宋_GB2312" w:hAnsi="Times New Roman" w:eastAsia="仿宋_GB2312" w:cs="仿宋_GB2312"/>
          <w:bCs/>
          <w:kern w:val="2"/>
          <w:sz w:val="28"/>
          <w:szCs w:val="28"/>
          <w:lang w:val="en-US" w:eastAsia="zh-CN" w:bidi="ar"/>
        </w:rPr>
        <w:t>3.如合同设备属于国家规定的强检设备，由乙方负责完成首次计量强制检定，验收前乙方必须附上计量检定合格报告。</w:t>
      </w:r>
    </w:p>
    <w:p w14:paraId="632E43A2">
      <w:pPr>
        <w:keepNext w:val="0"/>
        <w:keepLines w:val="0"/>
        <w:widowControl w:val="0"/>
        <w:suppressLineNumbers w:val="0"/>
        <w:adjustRightInd w:val="0"/>
        <w:snapToGrid w:val="0"/>
        <w:spacing w:before="0" w:beforeAutospacing="0" w:after="0" w:afterAutospacing="0" w:line="560" w:lineRule="exact"/>
        <w:ind w:left="0" w:right="0" w:firstLine="560" w:firstLineChars="200"/>
        <w:jc w:val="both"/>
        <w:rPr>
          <w:rFonts w:hint="eastAsia" w:ascii="仿宋_GB2312" w:eastAsia="仿宋_GB2312" w:cs="仿宋_GB2312"/>
          <w:bCs/>
          <w:kern w:val="2"/>
          <w:sz w:val="28"/>
          <w:szCs w:val="28"/>
        </w:rPr>
      </w:pPr>
      <w:r>
        <w:rPr>
          <w:rFonts w:hint="eastAsia" w:ascii="仿宋_GB2312" w:hAnsi="Times New Roman" w:eastAsia="仿宋_GB2312" w:cs="仿宋_GB2312"/>
          <w:bCs/>
          <w:kern w:val="2"/>
          <w:sz w:val="28"/>
          <w:szCs w:val="28"/>
          <w:lang w:val="en-US" w:eastAsia="zh-CN" w:bidi="ar"/>
        </w:rPr>
        <w:t>4.</w:t>
      </w:r>
      <w:r>
        <w:rPr>
          <w:rFonts w:hint="eastAsia" w:ascii="仿宋_GB2312" w:hAnsi="Times New Roman" w:eastAsia="仿宋_GB2312" w:cs="仿宋_GB2312"/>
          <w:bCs/>
          <w:color w:val="000000"/>
          <w:kern w:val="2"/>
          <w:sz w:val="28"/>
          <w:szCs w:val="28"/>
          <w:lang w:val="en-US" w:eastAsia="zh-CN" w:bidi="ar"/>
        </w:rPr>
        <w:t>如合同设备需要甲方信息端口，则由乙方负责甲方信息系统端口连接的安装工作及费用（包含信息系统方的接口开发费）。甲方协助乙方完成信息系统安装，确保设备稳定运行。</w:t>
      </w:r>
    </w:p>
    <w:p w14:paraId="2E910D0C">
      <w:pPr>
        <w:keepNext w:val="0"/>
        <w:keepLines w:val="0"/>
        <w:widowControl w:val="0"/>
        <w:suppressLineNumbers w:val="0"/>
        <w:adjustRightInd w:val="0"/>
        <w:snapToGrid w:val="0"/>
        <w:spacing w:before="0" w:beforeAutospacing="0" w:after="0" w:afterAutospacing="0" w:line="560" w:lineRule="exact"/>
        <w:ind w:left="0" w:right="0" w:firstLine="560" w:firstLineChars="200"/>
        <w:jc w:val="both"/>
        <w:rPr>
          <w:rFonts w:hint="eastAsia" w:ascii="仿宋_GB2312" w:eastAsia="仿宋_GB2312" w:cs="仿宋_GB2312"/>
          <w:bCs/>
          <w:kern w:val="2"/>
          <w:sz w:val="28"/>
          <w:szCs w:val="28"/>
        </w:rPr>
      </w:pPr>
      <w:r>
        <w:rPr>
          <w:rFonts w:hint="eastAsia" w:ascii="仿宋_GB2312" w:hAnsi="Times New Roman" w:eastAsia="仿宋_GB2312" w:cs="仿宋_GB2312"/>
          <w:bCs/>
          <w:kern w:val="2"/>
          <w:sz w:val="28"/>
          <w:szCs w:val="28"/>
          <w:lang w:val="en-US" w:eastAsia="zh-CN" w:bidi="ar"/>
        </w:rPr>
        <w:t xml:space="preserve"> </w:t>
      </w:r>
    </w:p>
    <w:p w14:paraId="28EAC693">
      <w:pPr>
        <w:keepNext w:val="0"/>
        <w:keepLines w:val="0"/>
        <w:widowControl w:val="0"/>
        <w:suppressLineNumbers w:val="0"/>
        <w:adjustRightInd w:val="0"/>
        <w:snapToGrid w:val="0"/>
        <w:spacing w:before="0" w:beforeAutospacing="0" w:after="0" w:afterAutospacing="0" w:line="560" w:lineRule="exact"/>
        <w:ind w:left="0" w:leftChars="0" w:right="0" w:rightChars="0" w:firstLine="560" w:firstLineChars="0"/>
        <w:jc w:val="both"/>
        <w:outlineLvl w:val="0"/>
        <w:rPr>
          <w:rFonts w:hint="eastAsia" w:ascii="仿宋_GB2312" w:eastAsia="仿宋_GB2312" w:cs="仿宋_GB2312"/>
          <w:bCs/>
          <w:kern w:val="2"/>
          <w:sz w:val="28"/>
          <w:szCs w:val="28"/>
        </w:rPr>
      </w:pPr>
      <w:bookmarkStart w:id="168" w:name="_Toc23268"/>
      <w:r>
        <w:rPr>
          <w:rFonts w:hint="eastAsia" w:ascii="仿宋_GB2312" w:hAnsi="Times New Roman" w:eastAsia="仿宋_GB2312" w:cs="仿宋_GB2312"/>
          <w:b/>
          <w:bCs w:val="0"/>
          <w:kern w:val="2"/>
          <w:sz w:val="28"/>
          <w:szCs w:val="28"/>
          <w:lang w:val="en-US" w:eastAsia="zh-CN" w:bidi="ar"/>
        </w:rPr>
        <w:t>第四条  质量保证及售后服务</w:t>
      </w:r>
      <w:bookmarkEnd w:id="168"/>
    </w:p>
    <w:p w14:paraId="4A74E58C">
      <w:pPr>
        <w:keepNext w:val="0"/>
        <w:keepLines w:val="0"/>
        <w:widowControl w:val="0"/>
        <w:suppressLineNumbers w:val="0"/>
        <w:adjustRightInd w:val="0"/>
        <w:snapToGrid w:val="0"/>
        <w:spacing w:before="0" w:beforeAutospacing="0" w:after="0" w:afterAutospacing="0" w:line="560" w:lineRule="exact"/>
        <w:ind w:left="0" w:right="0" w:firstLine="560" w:firstLineChars="200"/>
        <w:jc w:val="both"/>
        <w:rPr>
          <w:rFonts w:hint="eastAsia" w:ascii="仿宋_GB2312" w:eastAsia="仿宋_GB2312" w:cs="仿宋_GB2312"/>
          <w:bCs/>
          <w:color w:val="FF0000"/>
          <w:kern w:val="2"/>
          <w:sz w:val="28"/>
          <w:szCs w:val="28"/>
        </w:rPr>
      </w:pPr>
      <w:r>
        <w:rPr>
          <w:rFonts w:hint="eastAsia" w:ascii="仿宋_GB2312" w:hAnsi="Times New Roman" w:eastAsia="仿宋_GB2312" w:cs="仿宋_GB2312"/>
          <w:bCs/>
          <w:kern w:val="2"/>
          <w:sz w:val="28"/>
          <w:szCs w:val="28"/>
          <w:lang w:val="en-US" w:eastAsia="zh-CN" w:bidi="ar"/>
        </w:rPr>
        <w:t>1.乙方应保证设备是全新、未使用过的原装合格正品（包括零部件），设备到达甲方安装现场时外包装应完好无损，最新生产批次且经检验合格的产品。</w:t>
      </w:r>
    </w:p>
    <w:p w14:paraId="48CE8139">
      <w:pPr>
        <w:keepNext w:val="0"/>
        <w:keepLines w:val="0"/>
        <w:widowControl w:val="0"/>
        <w:suppressLineNumbers w:val="0"/>
        <w:adjustRightInd w:val="0"/>
        <w:snapToGrid w:val="0"/>
        <w:spacing w:before="0" w:beforeAutospacing="0" w:after="0" w:afterAutospacing="0" w:line="560" w:lineRule="exact"/>
        <w:ind w:left="0" w:right="0" w:firstLine="560" w:firstLineChars="200"/>
        <w:jc w:val="both"/>
        <w:rPr>
          <w:rFonts w:hint="eastAsia" w:ascii="仿宋_GB2312" w:eastAsia="仿宋_GB2312" w:cs="仿宋_GB2312"/>
          <w:bCs/>
          <w:kern w:val="2"/>
          <w:sz w:val="28"/>
          <w:szCs w:val="28"/>
        </w:rPr>
      </w:pPr>
      <w:r>
        <w:rPr>
          <w:rFonts w:hint="eastAsia" w:ascii="仿宋_GB2312" w:hAnsi="Times New Roman" w:eastAsia="仿宋_GB2312" w:cs="仿宋_GB2312"/>
          <w:bCs/>
          <w:kern w:val="2"/>
          <w:sz w:val="28"/>
          <w:szCs w:val="28"/>
          <w:lang w:val="en-US" w:eastAsia="zh-CN" w:bidi="ar"/>
        </w:rPr>
        <w:t>2.乙方对本合同设备提供质</w:t>
      </w:r>
      <w:r>
        <w:rPr>
          <w:rFonts w:hint="eastAsia" w:ascii="仿宋_GB2312" w:hAnsi="Times New Roman" w:eastAsia="仿宋_GB2312" w:cs="仿宋_GB2312"/>
          <w:bCs/>
          <w:color w:val="000000" w:themeColor="text1"/>
          <w:kern w:val="2"/>
          <w:sz w:val="28"/>
          <w:szCs w:val="28"/>
          <w:lang w:val="en-US" w:eastAsia="zh-CN" w:bidi="ar"/>
          <w14:textFill>
            <w14:solidFill>
              <w14:schemeClr w14:val="tx1"/>
            </w14:solidFill>
          </w14:textFill>
        </w:rPr>
        <w:t>保期</w:t>
      </w:r>
      <w:r>
        <w:rPr>
          <w:rFonts w:hint="eastAsia" w:ascii="仿宋_GB2312" w:hAnsi="Times New Roman" w:eastAsia="仿宋_GB2312" w:cs="仿宋_GB2312"/>
          <w:bCs/>
          <w:color w:val="000000" w:themeColor="text1"/>
          <w:kern w:val="2"/>
          <w:sz w:val="28"/>
          <w:szCs w:val="28"/>
          <w:u w:val="single"/>
          <w:lang w:val="en-US" w:eastAsia="zh-CN" w:bidi="ar"/>
          <w14:textFill>
            <w14:solidFill>
              <w14:schemeClr w14:val="tx1"/>
            </w14:solidFill>
          </w14:textFill>
        </w:rPr>
        <w:t>1</w:t>
      </w:r>
      <w:r>
        <w:rPr>
          <w:rFonts w:hint="eastAsia" w:ascii="仿宋_GB2312" w:hAnsi="Times New Roman" w:eastAsia="仿宋_GB2312" w:cs="仿宋_GB2312"/>
          <w:bCs/>
          <w:color w:val="000000" w:themeColor="text1"/>
          <w:kern w:val="2"/>
          <w:sz w:val="28"/>
          <w:szCs w:val="28"/>
          <w:lang w:val="en-US" w:eastAsia="zh-CN" w:bidi="ar"/>
          <w14:textFill>
            <w14:solidFill>
              <w14:schemeClr w14:val="tx1"/>
            </w14:solidFill>
          </w14:textFill>
        </w:rPr>
        <w:t>年（</w:t>
      </w:r>
      <w:r>
        <w:rPr>
          <w:rFonts w:hint="eastAsia" w:ascii="仿宋_GB2312" w:hAnsi="Times New Roman" w:eastAsia="仿宋_GB2312" w:cs="仿宋_GB2312"/>
          <w:bCs/>
          <w:kern w:val="2"/>
          <w:sz w:val="28"/>
          <w:szCs w:val="28"/>
          <w:lang w:val="en-US" w:eastAsia="zh-CN" w:bidi="ar"/>
        </w:rPr>
        <w:t>自验收合格之日起算），终身维护。质保期内免费提供每年2次定期保养。设备出现故障时乙方应在接到甲方通知时4小时响应，24小时内到位，若乙方未能在24小时内消除障碍，甲方有权聘请第三方消除障碍，</w:t>
      </w:r>
      <w:r>
        <w:rPr>
          <w:rFonts w:hint="eastAsia" w:ascii="仿宋_GB2312" w:hAnsi="Times New Roman" w:eastAsia="仿宋_GB2312" w:cs="仿宋_GB2312"/>
          <w:kern w:val="2"/>
          <w:sz w:val="28"/>
          <w:szCs w:val="28"/>
          <w:lang w:val="en-US" w:eastAsia="zh-CN" w:bidi="ar"/>
        </w:rPr>
        <w:t>所发生的费用由乙方全部承担，乙方应于故障发生后</w:t>
      </w:r>
      <w:r>
        <w:rPr>
          <w:rFonts w:hint="eastAsia" w:ascii="仿宋_GB2312" w:hAnsi="Times New Roman" w:eastAsia="仿宋_GB2312" w:cs="仿宋_GB2312"/>
          <w:bCs/>
          <w:kern w:val="2"/>
          <w:sz w:val="28"/>
          <w:szCs w:val="28"/>
          <w:u w:val="single"/>
          <w:lang w:val="en-US" w:eastAsia="zh-CN" w:bidi="ar"/>
        </w:rPr>
        <w:t xml:space="preserve"> 15 </w:t>
      </w:r>
      <w:r>
        <w:rPr>
          <w:rFonts w:hint="eastAsia" w:ascii="仿宋_GB2312" w:hAnsi="Times New Roman" w:eastAsia="仿宋_GB2312" w:cs="仿宋_GB2312"/>
          <w:kern w:val="2"/>
          <w:sz w:val="28"/>
          <w:szCs w:val="28"/>
          <w:lang w:val="en-US" w:eastAsia="zh-CN" w:bidi="ar"/>
        </w:rPr>
        <w:t>日内支付。</w:t>
      </w:r>
    </w:p>
    <w:p w14:paraId="3867D030">
      <w:pPr>
        <w:keepNext w:val="0"/>
        <w:keepLines w:val="0"/>
        <w:widowControl w:val="0"/>
        <w:suppressLineNumbers w:val="0"/>
        <w:adjustRightInd w:val="0"/>
        <w:snapToGrid w:val="0"/>
        <w:spacing w:before="0" w:beforeAutospacing="0" w:after="0" w:afterAutospacing="0" w:line="560" w:lineRule="exact"/>
        <w:ind w:left="0" w:right="0" w:firstLine="560" w:firstLineChars="200"/>
        <w:jc w:val="both"/>
        <w:rPr>
          <w:rFonts w:hint="eastAsia" w:ascii="仿宋_GB2312" w:eastAsia="仿宋_GB2312" w:cs="仿宋_GB2312"/>
          <w:bCs/>
          <w:kern w:val="2"/>
          <w:sz w:val="28"/>
          <w:szCs w:val="28"/>
        </w:rPr>
      </w:pPr>
      <w:r>
        <w:rPr>
          <w:rFonts w:hint="eastAsia" w:ascii="仿宋_GB2312" w:hAnsi="Times New Roman" w:eastAsia="仿宋_GB2312" w:cs="仿宋_GB2312"/>
          <w:bCs/>
          <w:kern w:val="2"/>
          <w:sz w:val="28"/>
          <w:szCs w:val="28"/>
          <w:lang w:val="en-US" w:eastAsia="zh-CN" w:bidi="ar"/>
        </w:rPr>
        <w:t>3.质保期内非因甲方人为原因而出现的质量问题，由乙方负责包修、包换或者包退，并承担修理、调换或退货的实际费用。乙方不能修理或不能调换，按不能交货处理。</w:t>
      </w:r>
    </w:p>
    <w:p w14:paraId="2CF296AD">
      <w:pPr>
        <w:keepNext w:val="0"/>
        <w:keepLines w:val="0"/>
        <w:widowControl w:val="0"/>
        <w:suppressLineNumbers w:val="0"/>
        <w:adjustRightInd w:val="0"/>
        <w:snapToGrid w:val="0"/>
        <w:spacing w:before="0" w:beforeAutospacing="0" w:after="0" w:afterAutospacing="0" w:line="560" w:lineRule="exact"/>
        <w:ind w:left="0" w:right="0" w:firstLine="560" w:firstLineChars="200"/>
        <w:jc w:val="both"/>
        <w:rPr>
          <w:rFonts w:hint="eastAsia" w:ascii="仿宋_GB2312" w:eastAsia="仿宋_GB2312" w:cs="仿宋_GB2312"/>
          <w:bCs/>
          <w:kern w:val="2"/>
          <w:sz w:val="28"/>
          <w:szCs w:val="28"/>
        </w:rPr>
      </w:pPr>
      <w:r>
        <w:rPr>
          <w:rFonts w:hint="eastAsia" w:ascii="仿宋_GB2312" w:hAnsi="Times New Roman" w:eastAsia="仿宋_GB2312" w:cs="仿宋_GB2312"/>
          <w:bCs/>
          <w:kern w:val="2"/>
          <w:sz w:val="28"/>
          <w:szCs w:val="28"/>
          <w:lang w:val="en-US" w:eastAsia="zh-CN" w:bidi="ar"/>
        </w:rPr>
        <w:t>4.乙方必须提供由设备生产原厂签署承诺的合法有效的保修、维修证明（售后服务承诺函，盖厂家公章），厂家签署承诺的保修期应与投标供应商承诺的保修期一致；必须由原厂工程师及技术人员直接提供保修、维修、免费技术培训服务。</w:t>
      </w:r>
    </w:p>
    <w:p w14:paraId="00ADCC34">
      <w:pPr>
        <w:keepNext w:val="0"/>
        <w:keepLines w:val="0"/>
        <w:widowControl w:val="0"/>
        <w:suppressLineNumbers w:val="0"/>
        <w:adjustRightInd w:val="0"/>
        <w:snapToGrid w:val="0"/>
        <w:spacing w:before="0" w:beforeAutospacing="0" w:after="0" w:afterAutospacing="0" w:line="560" w:lineRule="exact"/>
        <w:ind w:left="0" w:right="0" w:firstLine="560" w:firstLineChars="200"/>
        <w:jc w:val="both"/>
        <w:rPr>
          <w:rFonts w:hint="eastAsia" w:ascii="仿宋_GB2312" w:eastAsia="仿宋_GB2312" w:cs="仿宋_GB2312"/>
          <w:bCs/>
          <w:kern w:val="2"/>
          <w:sz w:val="28"/>
          <w:szCs w:val="28"/>
        </w:rPr>
      </w:pPr>
      <w:r>
        <w:rPr>
          <w:rFonts w:hint="eastAsia" w:ascii="仿宋_GB2312" w:hAnsi="Times New Roman" w:eastAsia="仿宋_GB2312" w:cs="仿宋_GB2312"/>
          <w:kern w:val="2"/>
          <w:sz w:val="28"/>
          <w:szCs w:val="28"/>
          <w:lang w:val="en-US" w:eastAsia="zh-CN" w:bidi="ar"/>
        </w:rPr>
        <w:t>5.保修期届满后，乙方应按其在深圳地区同类产品的优惠价格提供维保服务，具体设备维护事宜由双方另行协商。</w:t>
      </w:r>
    </w:p>
    <w:p w14:paraId="41941F25">
      <w:pPr>
        <w:keepNext w:val="0"/>
        <w:keepLines w:val="0"/>
        <w:widowControl w:val="0"/>
        <w:suppressLineNumbers w:val="0"/>
        <w:adjustRightInd w:val="0"/>
        <w:snapToGrid w:val="0"/>
        <w:spacing w:before="0" w:beforeAutospacing="0" w:after="0" w:afterAutospacing="0" w:line="560" w:lineRule="exact"/>
        <w:ind w:left="0" w:leftChars="0" w:right="0" w:rightChars="0" w:firstLine="560" w:firstLineChars="0"/>
        <w:jc w:val="both"/>
        <w:outlineLvl w:val="0"/>
        <w:rPr>
          <w:rFonts w:hint="eastAsia" w:ascii="仿宋_GB2312" w:eastAsia="仿宋_GB2312" w:cs="仿宋_GB2312"/>
          <w:b/>
          <w:bCs w:val="0"/>
          <w:kern w:val="2"/>
          <w:sz w:val="28"/>
          <w:szCs w:val="28"/>
        </w:rPr>
      </w:pPr>
      <w:bookmarkStart w:id="169" w:name="_Toc23356"/>
      <w:r>
        <w:rPr>
          <w:rFonts w:hint="eastAsia" w:ascii="仿宋_GB2312" w:hAnsi="Times New Roman" w:eastAsia="仿宋_GB2312" w:cs="仿宋_GB2312"/>
          <w:b/>
          <w:bCs w:val="0"/>
          <w:kern w:val="2"/>
          <w:sz w:val="28"/>
          <w:szCs w:val="28"/>
          <w:lang w:val="en-US" w:eastAsia="zh-CN" w:bidi="ar"/>
        </w:rPr>
        <w:t>第五条  进口设备手续（进口设备方使用该条款）</w:t>
      </w:r>
      <w:bookmarkEnd w:id="169"/>
    </w:p>
    <w:p w14:paraId="214316D4">
      <w:pPr>
        <w:keepNext w:val="0"/>
        <w:keepLines w:val="0"/>
        <w:widowControl w:val="0"/>
        <w:suppressLineNumbers w:val="0"/>
        <w:adjustRightInd w:val="0"/>
        <w:snapToGrid w:val="0"/>
        <w:spacing w:before="0" w:beforeAutospacing="0" w:after="0" w:afterAutospacing="0" w:line="560" w:lineRule="exact"/>
        <w:ind w:left="0" w:right="0" w:firstLine="560" w:firstLineChars="200"/>
        <w:jc w:val="both"/>
        <w:rPr>
          <w:rFonts w:hint="eastAsia" w:ascii="仿宋_GB2312" w:eastAsia="仿宋_GB2312" w:cs="仿宋_GB2312"/>
          <w:bCs/>
          <w:kern w:val="2"/>
          <w:sz w:val="28"/>
          <w:szCs w:val="28"/>
        </w:rPr>
      </w:pPr>
      <w:r>
        <w:rPr>
          <w:rFonts w:hint="eastAsia" w:ascii="仿宋_GB2312" w:hAnsi="Times New Roman" w:eastAsia="仿宋_GB2312" w:cs="仿宋_GB2312"/>
          <w:bCs/>
          <w:kern w:val="2"/>
          <w:sz w:val="28"/>
          <w:szCs w:val="28"/>
          <w:lang w:val="en-US" w:eastAsia="zh-CN" w:bidi="ar"/>
        </w:rPr>
        <w:t>乙方提供的进口设备必须具有合法的进口手续，并负责办理设备进口报关等手续。</w:t>
      </w:r>
    </w:p>
    <w:p w14:paraId="23575CE2">
      <w:pPr>
        <w:keepNext w:val="0"/>
        <w:keepLines w:val="0"/>
        <w:widowControl w:val="0"/>
        <w:suppressLineNumbers w:val="0"/>
        <w:adjustRightInd w:val="0"/>
        <w:snapToGrid w:val="0"/>
        <w:spacing w:before="0" w:beforeAutospacing="0" w:after="0" w:afterAutospacing="0" w:line="560" w:lineRule="exact"/>
        <w:ind w:left="0" w:leftChars="0" w:right="0" w:rightChars="0" w:firstLine="560" w:firstLineChars="0"/>
        <w:jc w:val="both"/>
        <w:outlineLvl w:val="0"/>
        <w:rPr>
          <w:rFonts w:hint="eastAsia" w:ascii="仿宋_GB2312" w:eastAsia="仿宋_GB2312" w:cs="仿宋_GB2312"/>
          <w:b/>
          <w:bCs w:val="0"/>
          <w:kern w:val="2"/>
          <w:sz w:val="28"/>
          <w:szCs w:val="28"/>
        </w:rPr>
      </w:pPr>
      <w:bookmarkStart w:id="170" w:name="_Toc7546"/>
      <w:r>
        <w:rPr>
          <w:rFonts w:hint="eastAsia" w:ascii="仿宋_GB2312" w:hAnsi="Times New Roman" w:eastAsia="仿宋_GB2312" w:cs="仿宋_GB2312"/>
          <w:b/>
          <w:bCs w:val="0"/>
          <w:kern w:val="2"/>
          <w:sz w:val="28"/>
          <w:szCs w:val="28"/>
          <w:lang w:val="en-US" w:eastAsia="zh-CN" w:bidi="ar"/>
        </w:rPr>
        <w:t>第六条  包装</w:t>
      </w:r>
      <w:bookmarkEnd w:id="170"/>
    </w:p>
    <w:p w14:paraId="3598D30B">
      <w:pPr>
        <w:keepNext w:val="0"/>
        <w:keepLines w:val="0"/>
        <w:widowControl w:val="0"/>
        <w:suppressLineNumbers w:val="0"/>
        <w:adjustRightInd w:val="0"/>
        <w:snapToGrid w:val="0"/>
        <w:spacing w:before="0" w:beforeAutospacing="0" w:after="0" w:afterAutospacing="0" w:line="560" w:lineRule="exact"/>
        <w:ind w:left="0" w:right="0" w:firstLine="560" w:firstLineChars="200"/>
        <w:jc w:val="both"/>
        <w:rPr>
          <w:rFonts w:hint="eastAsia" w:ascii="仿宋_GB2312" w:eastAsia="仿宋_GB2312" w:cs="仿宋_GB2312"/>
          <w:bCs/>
          <w:kern w:val="2"/>
          <w:sz w:val="28"/>
          <w:szCs w:val="28"/>
        </w:rPr>
      </w:pPr>
      <w:r>
        <w:rPr>
          <w:rFonts w:hint="eastAsia" w:ascii="仿宋_GB2312" w:hAnsi="Times New Roman" w:eastAsia="仿宋_GB2312" w:cs="仿宋_GB2312"/>
          <w:bCs/>
          <w:kern w:val="2"/>
          <w:sz w:val="28"/>
          <w:szCs w:val="28"/>
          <w:lang w:val="en-US" w:eastAsia="zh-CN" w:bidi="ar"/>
        </w:rPr>
        <w:t>乙方提供设备运输至本合同指定的交货地点所需要的包装，包装费用由乙方承担，包装物不返还，归甲方所有。设备的包装均应有良好的防湿、防锈、防潮、防雨、防腐及防碰撞的措施，符合产品标准关于包装的要求。凡由于包装问题造成的损失和由此产生的费用均由乙方承担。</w:t>
      </w:r>
    </w:p>
    <w:p w14:paraId="02E7C3D4">
      <w:pPr>
        <w:keepNext w:val="0"/>
        <w:keepLines w:val="0"/>
        <w:widowControl w:val="0"/>
        <w:suppressLineNumbers w:val="0"/>
        <w:adjustRightInd w:val="0"/>
        <w:snapToGrid w:val="0"/>
        <w:spacing w:before="0" w:beforeAutospacing="0" w:after="0" w:afterAutospacing="0" w:line="560" w:lineRule="exact"/>
        <w:ind w:left="0" w:leftChars="0" w:right="0" w:rightChars="0" w:firstLine="560" w:firstLineChars="0"/>
        <w:jc w:val="both"/>
        <w:outlineLvl w:val="0"/>
        <w:rPr>
          <w:rFonts w:hint="eastAsia" w:ascii="仿宋_GB2312" w:eastAsia="仿宋_GB2312" w:cs="仿宋_GB2312"/>
          <w:bCs/>
          <w:kern w:val="2"/>
          <w:sz w:val="28"/>
          <w:szCs w:val="28"/>
        </w:rPr>
      </w:pPr>
      <w:bookmarkStart w:id="171" w:name="_Toc10140"/>
      <w:r>
        <w:rPr>
          <w:rFonts w:hint="eastAsia" w:ascii="仿宋_GB2312" w:hAnsi="Times New Roman" w:eastAsia="仿宋_GB2312" w:cs="仿宋_GB2312"/>
          <w:b/>
          <w:bCs w:val="0"/>
          <w:kern w:val="2"/>
          <w:sz w:val="28"/>
          <w:szCs w:val="28"/>
          <w:lang w:val="en-US" w:eastAsia="zh-CN" w:bidi="ar"/>
        </w:rPr>
        <w:t>第七条  交付</w:t>
      </w:r>
      <w:bookmarkEnd w:id="171"/>
    </w:p>
    <w:p w14:paraId="24E40373">
      <w:pPr>
        <w:keepNext w:val="0"/>
        <w:keepLines w:val="0"/>
        <w:widowControl w:val="0"/>
        <w:suppressLineNumbers w:val="0"/>
        <w:adjustRightInd w:val="0"/>
        <w:snapToGrid w:val="0"/>
        <w:spacing w:before="0" w:beforeAutospacing="0" w:after="0" w:afterAutospacing="0" w:line="560" w:lineRule="exact"/>
        <w:ind w:left="0" w:right="0" w:firstLine="560" w:firstLineChars="200"/>
        <w:jc w:val="both"/>
        <w:rPr>
          <w:rFonts w:hint="eastAsia" w:ascii="仿宋_GB2312" w:eastAsia="仿宋_GB2312" w:cs="仿宋_GB2312"/>
          <w:bCs/>
          <w:kern w:val="2"/>
          <w:sz w:val="28"/>
          <w:szCs w:val="28"/>
        </w:rPr>
      </w:pPr>
      <w:r>
        <w:rPr>
          <w:rFonts w:hint="eastAsia" w:ascii="仿宋_GB2312" w:hAnsi="Times New Roman" w:eastAsia="仿宋_GB2312" w:cs="仿宋_GB2312"/>
          <w:bCs/>
          <w:kern w:val="2"/>
          <w:sz w:val="28"/>
          <w:szCs w:val="28"/>
          <w:lang w:val="en-US" w:eastAsia="zh-CN" w:bidi="ar"/>
        </w:rPr>
        <w:t>1.交货时间：合同签订并接甲方</w:t>
      </w:r>
      <w:r>
        <w:rPr>
          <w:rFonts w:hint="eastAsia" w:ascii="仿宋_GB2312" w:hAnsi="Times New Roman" w:eastAsia="仿宋_GB2312" w:cs="仿宋_GB2312"/>
          <w:bCs/>
          <w:color w:val="000000" w:themeColor="text1"/>
          <w:kern w:val="2"/>
          <w:sz w:val="28"/>
          <w:szCs w:val="28"/>
          <w:lang w:val="en-US" w:eastAsia="zh-CN" w:bidi="ar"/>
          <w14:textFill>
            <w14:solidFill>
              <w14:schemeClr w14:val="tx1"/>
            </w14:solidFill>
          </w14:textFill>
        </w:rPr>
        <w:t>通知后</w:t>
      </w:r>
      <w:r>
        <w:rPr>
          <w:rFonts w:hint="eastAsia" w:ascii="仿宋_GB2312" w:hAnsi="Times New Roman" w:eastAsia="仿宋_GB2312" w:cs="仿宋_GB2312"/>
          <w:bCs/>
          <w:color w:val="000000" w:themeColor="text1"/>
          <w:kern w:val="2"/>
          <w:sz w:val="28"/>
          <w:szCs w:val="28"/>
          <w:u w:val="single"/>
          <w:lang w:val="en-US" w:eastAsia="zh-CN" w:bidi="ar"/>
          <w14:textFill>
            <w14:solidFill>
              <w14:schemeClr w14:val="tx1"/>
            </w14:solidFill>
          </w14:textFill>
        </w:rPr>
        <w:t xml:space="preserve">    </w:t>
      </w:r>
      <w:r>
        <w:rPr>
          <w:rFonts w:hint="eastAsia" w:ascii="仿宋_GB2312" w:hAnsi="Times New Roman" w:eastAsia="仿宋_GB2312" w:cs="仿宋_GB2312"/>
          <w:bCs/>
          <w:color w:val="000000" w:themeColor="text1"/>
          <w:kern w:val="2"/>
          <w:sz w:val="28"/>
          <w:szCs w:val="28"/>
          <w:lang w:val="en-US" w:eastAsia="zh-CN" w:bidi="ar"/>
          <w14:textFill>
            <w14:solidFill>
              <w14:schemeClr w14:val="tx1"/>
            </w14:solidFill>
          </w14:textFill>
        </w:rPr>
        <w:t>日内。</w:t>
      </w:r>
    </w:p>
    <w:p w14:paraId="503DD4D3">
      <w:pPr>
        <w:keepNext w:val="0"/>
        <w:keepLines w:val="0"/>
        <w:widowControl w:val="0"/>
        <w:suppressLineNumbers w:val="0"/>
        <w:adjustRightInd w:val="0"/>
        <w:snapToGrid w:val="0"/>
        <w:spacing w:before="0" w:beforeAutospacing="0" w:after="0" w:afterAutospacing="0" w:line="560" w:lineRule="exact"/>
        <w:ind w:left="0" w:right="0" w:firstLine="560" w:firstLineChars="200"/>
        <w:jc w:val="both"/>
        <w:rPr>
          <w:rFonts w:hint="eastAsia" w:ascii="仿宋_GB2312" w:eastAsia="仿宋_GB2312" w:cs="仿宋_GB2312"/>
          <w:bCs/>
          <w:kern w:val="2"/>
          <w:sz w:val="28"/>
          <w:szCs w:val="28"/>
        </w:rPr>
      </w:pPr>
      <w:r>
        <w:rPr>
          <w:rFonts w:hint="eastAsia" w:ascii="仿宋_GB2312" w:hAnsi="Times New Roman" w:eastAsia="仿宋_GB2312" w:cs="仿宋_GB2312"/>
          <w:bCs/>
          <w:kern w:val="2"/>
          <w:sz w:val="28"/>
          <w:szCs w:val="28"/>
          <w:lang w:val="en-US" w:eastAsia="zh-CN" w:bidi="ar"/>
        </w:rPr>
        <w:t>2.交货地点：运输及卸车搬至甲方指定地点。运输费用及风险由乙方承担。在乙方将设备送至该交货地点前，甲方有权单方变更该交货地点，但应提前</w:t>
      </w:r>
      <w:r>
        <w:rPr>
          <w:rFonts w:hint="eastAsia" w:ascii="仿宋_GB2312" w:hAnsi="Times New Roman" w:eastAsia="仿宋_GB2312" w:cs="仿宋_GB2312"/>
          <w:bCs/>
          <w:kern w:val="2"/>
          <w:sz w:val="28"/>
          <w:szCs w:val="28"/>
          <w:u w:val="single"/>
          <w:lang w:val="en-US" w:eastAsia="zh-CN" w:bidi="ar"/>
        </w:rPr>
        <w:t xml:space="preserve"> 1 </w:t>
      </w:r>
      <w:r>
        <w:rPr>
          <w:rFonts w:hint="eastAsia" w:ascii="仿宋_GB2312" w:hAnsi="Times New Roman" w:eastAsia="仿宋_GB2312" w:cs="仿宋_GB2312"/>
          <w:bCs/>
          <w:kern w:val="2"/>
          <w:sz w:val="28"/>
          <w:szCs w:val="28"/>
          <w:lang w:val="en-US" w:eastAsia="zh-CN" w:bidi="ar"/>
        </w:rPr>
        <w:t>日通知乙方，乙方应无条件服从，因此产生的费用由乙方承担。</w:t>
      </w:r>
    </w:p>
    <w:p w14:paraId="1D62D960">
      <w:pPr>
        <w:pStyle w:val="19"/>
        <w:keepNext w:val="0"/>
        <w:keepLines w:val="0"/>
        <w:widowControl w:val="0"/>
        <w:suppressLineNumbers w:val="0"/>
        <w:adjustRightInd w:val="0"/>
        <w:snapToGrid w:val="0"/>
        <w:spacing w:before="0" w:beforeAutospacing="0" w:after="0" w:afterAutospacing="0" w:line="560" w:lineRule="exact"/>
        <w:ind w:left="0" w:right="0" w:firstLine="560" w:firstLineChars="200"/>
        <w:jc w:val="left"/>
        <w:rPr>
          <w:rFonts w:hint="eastAsia" w:ascii="仿宋_GB2312" w:eastAsia="仿宋_GB2312" w:cs="仿宋_GB2312"/>
          <w:bCs/>
          <w:kern w:val="2"/>
          <w:sz w:val="28"/>
          <w:szCs w:val="28"/>
        </w:rPr>
      </w:pPr>
      <w:r>
        <w:rPr>
          <w:rFonts w:hint="eastAsia" w:ascii="仿宋_GB2312" w:hAnsi="Calibri" w:eastAsia="仿宋_GB2312" w:cs="仿宋_GB2312"/>
          <w:bCs/>
          <w:kern w:val="2"/>
          <w:sz w:val="28"/>
          <w:szCs w:val="28"/>
          <w:lang w:val="en-US" w:eastAsia="zh-CN" w:bidi="ar"/>
        </w:rPr>
        <w:t>3.乙方应随设备向甲方交付设备中文版《使用说明书》等与本合同设备使用有关的所有资料。如为进口设备，乙方还应提供进口设备原产地证、检测报告、检验检疫证明、进口报关手续等资料。</w:t>
      </w:r>
    </w:p>
    <w:p w14:paraId="2780DE8F">
      <w:pPr>
        <w:keepNext w:val="0"/>
        <w:keepLines w:val="0"/>
        <w:widowControl w:val="0"/>
        <w:suppressLineNumbers w:val="0"/>
        <w:adjustRightInd w:val="0"/>
        <w:snapToGrid w:val="0"/>
        <w:spacing w:before="0" w:beforeAutospacing="0" w:after="0" w:afterAutospacing="0" w:line="560" w:lineRule="exact"/>
        <w:ind w:left="0" w:leftChars="0" w:right="0" w:rightChars="0" w:firstLine="560" w:firstLineChars="0"/>
        <w:jc w:val="both"/>
        <w:outlineLvl w:val="0"/>
        <w:rPr>
          <w:rFonts w:hint="eastAsia" w:ascii="仿宋_GB2312" w:eastAsia="仿宋_GB2312" w:cs="仿宋_GB2312"/>
          <w:b/>
          <w:bCs w:val="0"/>
          <w:kern w:val="2"/>
          <w:sz w:val="28"/>
          <w:szCs w:val="28"/>
        </w:rPr>
      </w:pPr>
      <w:bookmarkStart w:id="172" w:name="_Toc1684"/>
      <w:r>
        <w:rPr>
          <w:rFonts w:hint="eastAsia" w:ascii="仿宋_GB2312" w:hAnsi="Times New Roman" w:eastAsia="仿宋_GB2312" w:cs="仿宋_GB2312"/>
          <w:b/>
          <w:bCs w:val="0"/>
          <w:kern w:val="2"/>
          <w:sz w:val="28"/>
          <w:szCs w:val="28"/>
          <w:lang w:val="en-US" w:eastAsia="zh-CN" w:bidi="ar"/>
        </w:rPr>
        <w:t>第八条  安装调试</w:t>
      </w:r>
      <w:bookmarkEnd w:id="172"/>
    </w:p>
    <w:p w14:paraId="341EA768">
      <w:pPr>
        <w:keepNext w:val="0"/>
        <w:keepLines w:val="0"/>
        <w:widowControl w:val="0"/>
        <w:suppressLineNumbers w:val="0"/>
        <w:adjustRightInd w:val="0"/>
        <w:snapToGrid w:val="0"/>
        <w:spacing w:before="0" w:beforeAutospacing="0" w:after="0" w:afterAutospacing="0" w:line="560" w:lineRule="exact"/>
        <w:ind w:left="0" w:right="0" w:firstLine="560" w:firstLineChars="200"/>
        <w:jc w:val="both"/>
        <w:rPr>
          <w:rFonts w:hint="eastAsia" w:ascii="仿宋_GB2312" w:eastAsia="仿宋_GB2312" w:cs="仿宋_GB2312"/>
          <w:bCs/>
          <w:color w:val="000000" w:themeColor="text1"/>
          <w:kern w:val="2"/>
          <w:sz w:val="28"/>
          <w:szCs w:val="28"/>
          <w14:textFill>
            <w14:solidFill>
              <w14:schemeClr w14:val="tx1"/>
            </w14:solidFill>
          </w14:textFill>
        </w:rPr>
      </w:pPr>
      <w:r>
        <w:rPr>
          <w:rFonts w:hint="eastAsia" w:ascii="仿宋_GB2312" w:hAnsi="Times New Roman" w:eastAsia="仿宋_GB2312" w:cs="仿宋_GB2312"/>
          <w:bCs/>
          <w:kern w:val="2"/>
          <w:sz w:val="28"/>
          <w:szCs w:val="28"/>
          <w:lang w:val="en-US" w:eastAsia="zh-CN" w:bidi="ar"/>
        </w:rPr>
        <w:t>1.安装调试时间</w:t>
      </w:r>
      <w:r>
        <w:rPr>
          <w:rFonts w:hint="eastAsia" w:ascii="仿宋_GB2312" w:hAnsi="Times New Roman" w:eastAsia="仿宋_GB2312" w:cs="仿宋_GB2312"/>
          <w:bCs/>
          <w:color w:val="000000" w:themeColor="text1"/>
          <w:kern w:val="2"/>
          <w:sz w:val="28"/>
          <w:szCs w:val="28"/>
          <w:lang w:val="en-US" w:eastAsia="zh-CN" w:bidi="ar"/>
          <w14:textFill>
            <w14:solidFill>
              <w14:schemeClr w14:val="tx1"/>
            </w14:solidFill>
          </w14:textFill>
        </w:rPr>
        <w:t>：自交货</w:t>
      </w:r>
      <w:r>
        <w:rPr>
          <w:rFonts w:hint="eastAsia" w:ascii="仿宋_GB2312" w:hAnsi="Times New Roman" w:eastAsia="仿宋_GB2312" w:cs="仿宋_GB2312"/>
          <w:bCs/>
          <w:color w:val="000000" w:themeColor="text1"/>
          <w:kern w:val="2"/>
          <w:sz w:val="28"/>
          <w:szCs w:val="28"/>
          <w:u w:val="single"/>
          <w:lang w:val="en-US" w:eastAsia="zh-CN" w:bidi="ar"/>
          <w14:textFill>
            <w14:solidFill>
              <w14:schemeClr w14:val="tx1"/>
            </w14:solidFill>
          </w14:textFill>
        </w:rPr>
        <w:t xml:space="preserve">  </w:t>
      </w:r>
      <w:r>
        <w:rPr>
          <w:rFonts w:hint="eastAsia" w:ascii="仿宋_GB2312" w:hAnsi="Times New Roman" w:eastAsia="仿宋_GB2312" w:cs="仿宋_GB2312"/>
          <w:bCs/>
          <w:color w:val="000000" w:themeColor="text1"/>
          <w:kern w:val="2"/>
          <w:sz w:val="28"/>
          <w:szCs w:val="28"/>
          <w:lang w:val="en-US" w:eastAsia="zh-CN" w:bidi="ar"/>
          <w14:textFill>
            <w14:solidFill>
              <w14:schemeClr w14:val="tx1"/>
            </w14:solidFill>
          </w14:textFill>
        </w:rPr>
        <w:t>日内完成。</w:t>
      </w:r>
    </w:p>
    <w:p w14:paraId="5F47CA3C">
      <w:pPr>
        <w:keepNext w:val="0"/>
        <w:keepLines w:val="0"/>
        <w:widowControl w:val="0"/>
        <w:suppressLineNumbers w:val="0"/>
        <w:adjustRightInd w:val="0"/>
        <w:snapToGrid w:val="0"/>
        <w:spacing w:before="0" w:beforeAutospacing="0" w:after="0" w:afterAutospacing="0" w:line="560" w:lineRule="exact"/>
        <w:ind w:left="0" w:right="0" w:firstLine="560" w:firstLineChars="200"/>
        <w:jc w:val="both"/>
        <w:rPr>
          <w:rFonts w:hint="eastAsia" w:ascii="仿宋_GB2312" w:eastAsia="仿宋_GB2312" w:cs="仿宋_GB2312"/>
          <w:bCs/>
          <w:kern w:val="2"/>
          <w:sz w:val="28"/>
          <w:szCs w:val="28"/>
        </w:rPr>
      </w:pPr>
      <w:r>
        <w:rPr>
          <w:rFonts w:hint="eastAsia" w:ascii="仿宋_GB2312" w:hAnsi="Times New Roman" w:eastAsia="仿宋_GB2312" w:cs="仿宋_GB2312"/>
          <w:bCs/>
          <w:color w:val="000000" w:themeColor="text1"/>
          <w:kern w:val="2"/>
          <w:sz w:val="28"/>
          <w:szCs w:val="28"/>
          <w:lang w:val="en-US" w:eastAsia="zh-CN" w:bidi="ar"/>
          <w14:textFill>
            <w14:solidFill>
              <w14:schemeClr w14:val="tx1"/>
            </w14:solidFill>
          </w14:textFill>
        </w:rPr>
        <w:t>2.乙方负责合同项下设备的安装、调</w:t>
      </w:r>
      <w:r>
        <w:rPr>
          <w:rFonts w:hint="eastAsia" w:ascii="仿宋_GB2312" w:hAnsi="Times New Roman" w:eastAsia="仿宋_GB2312" w:cs="仿宋_GB2312"/>
          <w:bCs/>
          <w:kern w:val="2"/>
          <w:sz w:val="28"/>
          <w:szCs w:val="28"/>
          <w:lang w:val="en-US" w:eastAsia="zh-CN" w:bidi="ar"/>
        </w:rPr>
        <w:t>试，一切费用及责任由乙方承担。</w:t>
      </w:r>
    </w:p>
    <w:p w14:paraId="0950F281">
      <w:pPr>
        <w:keepNext w:val="0"/>
        <w:keepLines w:val="0"/>
        <w:widowControl w:val="0"/>
        <w:suppressLineNumbers w:val="0"/>
        <w:adjustRightInd w:val="0"/>
        <w:snapToGrid w:val="0"/>
        <w:spacing w:before="0" w:beforeAutospacing="0" w:after="0" w:afterAutospacing="0" w:line="560" w:lineRule="exact"/>
        <w:ind w:left="0" w:right="0" w:firstLine="560" w:firstLineChars="200"/>
        <w:jc w:val="both"/>
        <w:rPr>
          <w:rFonts w:hint="eastAsia" w:ascii="仿宋_GB2312" w:eastAsia="仿宋_GB2312" w:cs="仿宋_GB2312"/>
          <w:bCs/>
          <w:kern w:val="2"/>
          <w:sz w:val="28"/>
          <w:szCs w:val="28"/>
        </w:rPr>
      </w:pPr>
      <w:r>
        <w:rPr>
          <w:rFonts w:hint="eastAsia" w:ascii="仿宋_GB2312" w:hAnsi="Times New Roman" w:eastAsia="仿宋_GB2312" w:cs="仿宋_GB2312"/>
          <w:bCs/>
          <w:kern w:val="2"/>
          <w:sz w:val="28"/>
          <w:szCs w:val="28"/>
          <w:lang w:val="en-US" w:eastAsia="zh-CN" w:bidi="ar"/>
        </w:rPr>
        <w:t>3.设备安装需施工的，乙方应在合同签订前提供设备安装施工图纸，甲方与乙方共同签字确定安装场地施工方案，确保安装场地（包括消防、环保等）适合设备安装，如因乙方延迟提供材料或未及时签字确认方案等致设备无法如期安装所造成的损失由乙方承担。安装前乙方通知甲方使用科室、设备科三方共同到场开箱，并填写开箱记录。乙方应提供与设备相符且完整的资料，提供包括但不限于如下资料：①产品安装、操作和维修手册②中文版使用说明书③出厂合格证（进口产品提供进口报关单及检疫证明）④到货清单。</w:t>
      </w:r>
    </w:p>
    <w:p w14:paraId="4A932002">
      <w:pPr>
        <w:keepNext w:val="0"/>
        <w:keepLines w:val="0"/>
        <w:widowControl w:val="0"/>
        <w:suppressLineNumbers w:val="0"/>
        <w:adjustRightInd w:val="0"/>
        <w:snapToGrid w:val="0"/>
        <w:spacing w:before="0" w:beforeAutospacing="0" w:after="0" w:afterAutospacing="0" w:line="560" w:lineRule="exact"/>
        <w:ind w:left="0" w:right="0" w:firstLine="560" w:firstLineChars="200"/>
        <w:jc w:val="both"/>
        <w:rPr>
          <w:rFonts w:hint="eastAsia" w:ascii="仿宋_GB2312" w:eastAsia="仿宋_GB2312" w:cs="仿宋_GB2312"/>
          <w:bCs/>
          <w:kern w:val="2"/>
          <w:sz w:val="28"/>
          <w:szCs w:val="28"/>
        </w:rPr>
      </w:pPr>
      <w:r>
        <w:rPr>
          <w:rFonts w:hint="eastAsia" w:ascii="仿宋_GB2312" w:hAnsi="Times New Roman" w:eastAsia="仿宋_GB2312" w:cs="仿宋_GB2312"/>
          <w:bCs/>
          <w:kern w:val="2"/>
          <w:sz w:val="28"/>
          <w:szCs w:val="28"/>
          <w:lang w:val="en-US" w:eastAsia="zh-CN" w:bidi="ar"/>
        </w:rPr>
        <w:t>4.乙方安装时须对安装场地及场地内的其他设备、设施有良好保护措施。如因乙方原因造成甲方场地或场地内其他设备、设施损坏，由乙方承担赔偿责任。如安装地点不适合应当书面通知甲方调换合适的地点，设备运送、安装调试以及计量检测所产生的费用由乙方负责。</w:t>
      </w:r>
    </w:p>
    <w:p w14:paraId="21A3797A">
      <w:pPr>
        <w:keepNext w:val="0"/>
        <w:keepLines w:val="0"/>
        <w:widowControl w:val="0"/>
        <w:suppressLineNumbers w:val="0"/>
        <w:adjustRightInd w:val="0"/>
        <w:snapToGrid w:val="0"/>
        <w:spacing w:before="0" w:beforeAutospacing="0" w:after="0" w:afterAutospacing="0" w:line="560" w:lineRule="exact"/>
        <w:ind w:left="0" w:right="0" w:firstLine="560" w:firstLineChars="200"/>
        <w:jc w:val="both"/>
        <w:rPr>
          <w:rFonts w:hint="default" w:ascii="Times New Roman" w:hAnsi="Times New Roman" w:eastAsia="宋体" w:cs="Times New Roman"/>
          <w:kern w:val="2"/>
          <w:sz w:val="21"/>
          <w:szCs w:val="21"/>
        </w:rPr>
      </w:pPr>
      <w:r>
        <w:rPr>
          <w:rFonts w:hint="eastAsia" w:ascii="仿宋_GB2312" w:hAnsi="Times New Roman" w:eastAsia="仿宋_GB2312" w:cs="仿宋_GB2312"/>
          <w:bCs/>
          <w:kern w:val="2"/>
          <w:sz w:val="28"/>
          <w:szCs w:val="28"/>
          <w:lang w:val="en-US" w:eastAsia="zh-CN" w:bidi="ar"/>
        </w:rPr>
        <w:t>5.如乙方人员（包括受乙方委托提供送货、安装、调试等服务的人员）应提供安全、专业的服务，如在送货、安装、调试过程中造成乙方及乙方服务人员自身、甲方及甲方人员或者任何第三方的人身或财产损害，应由乙方自行承担责任；</w:t>
      </w:r>
    </w:p>
    <w:p w14:paraId="66E68496">
      <w:pPr>
        <w:keepNext w:val="0"/>
        <w:keepLines w:val="0"/>
        <w:widowControl w:val="0"/>
        <w:suppressLineNumbers w:val="0"/>
        <w:adjustRightInd w:val="0"/>
        <w:snapToGrid w:val="0"/>
        <w:spacing w:before="0" w:beforeAutospacing="0" w:after="0" w:afterAutospacing="0" w:line="560" w:lineRule="exact"/>
        <w:ind w:left="0" w:leftChars="0" w:right="0" w:rightChars="0" w:firstLine="560" w:firstLineChars="0"/>
        <w:jc w:val="both"/>
        <w:outlineLvl w:val="0"/>
        <w:rPr>
          <w:rFonts w:hint="eastAsia" w:ascii="仿宋_GB2312" w:eastAsia="仿宋_GB2312" w:cs="仿宋_GB2312"/>
          <w:b/>
          <w:bCs w:val="0"/>
          <w:kern w:val="2"/>
          <w:sz w:val="28"/>
          <w:szCs w:val="28"/>
        </w:rPr>
      </w:pPr>
      <w:bookmarkStart w:id="173" w:name="_Toc25027"/>
      <w:r>
        <w:rPr>
          <w:rFonts w:hint="eastAsia" w:ascii="仿宋_GB2312" w:hAnsi="Times New Roman" w:eastAsia="仿宋_GB2312" w:cs="仿宋_GB2312"/>
          <w:b/>
          <w:bCs w:val="0"/>
          <w:kern w:val="2"/>
          <w:sz w:val="28"/>
          <w:szCs w:val="28"/>
          <w:lang w:val="en-US" w:eastAsia="zh-CN" w:bidi="ar"/>
        </w:rPr>
        <w:t>第九条  验收</w:t>
      </w:r>
      <w:bookmarkEnd w:id="173"/>
    </w:p>
    <w:p w14:paraId="5A4AD280">
      <w:pPr>
        <w:keepNext w:val="0"/>
        <w:keepLines w:val="0"/>
        <w:widowControl w:val="0"/>
        <w:suppressLineNumbers w:val="0"/>
        <w:adjustRightInd w:val="0"/>
        <w:snapToGrid w:val="0"/>
        <w:spacing w:before="0" w:beforeAutospacing="0" w:after="0" w:afterAutospacing="0" w:line="560" w:lineRule="exact"/>
        <w:ind w:left="0" w:right="0" w:firstLine="560" w:firstLineChars="200"/>
        <w:jc w:val="both"/>
        <w:rPr>
          <w:rFonts w:hint="eastAsia" w:ascii="仿宋_GB2312" w:eastAsia="仿宋_GB2312" w:cs="仿宋_GB2312"/>
          <w:bCs/>
          <w:kern w:val="2"/>
          <w:sz w:val="28"/>
          <w:szCs w:val="28"/>
        </w:rPr>
      </w:pPr>
      <w:r>
        <w:rPr>
          <w:rFonts w:hint="eastAsia" w:ascii="仿宋_GB2312" w:hAnsi="Times New Roman" w:eastAsia="仿宋_GB2312" w:cs="仿宋_GB2312"/>
          <w:bCs/>
          <w:kern w:val="2"/>
          <w:sz w:val="28"/>
          <w:szCs w:val="28"/>
          <w:lang w:val="en-US" w:eastAsia="zh-CN" w:bidi="ar"/>
        </w:rPr>
        <w:t>1.验收时间：设备安装调试完毕，并正常运行后</w:t>
      </w:r>
      <w:r>
        <w:rPr>
          <w:rFonts w:hint="eastAsia" w:ascii="仿宋_GB2312" w:hAnsi="Times New Roman" w:eastAsia="仿宋_GB2312" w:cs="仿宋_GB2312"/>
          <w:bCs/>
          <w:color w:val="FF0000"/>
          <w:kern w:val="2"/>
          <w:sz w:val="28"/>
          <w:szCs w:val="28"/>
          <w:u w:val="single"/>
          <w:lang w:val="en-US" w:eastAsia="zh-CN" w:bidi="ar"/>
        </w:rPr>
        <w:t xml:space="preserve">  </w:t>
      </w:r>
      <w:r>
        <w:rPr>
          <w:rFonts w:hint="eastAsia" w:ascii="仿宋_GB2312" w:hAnsi="Times New Roman" w:eastAsia="仿宋_GB2312" w:cs="仿宋_GB2312"/>
          <w:bCs/>
          <w:kern w:val="2"/>
          <w:sz w:val="28"/>
          <w:szCs w:val="28"/>
          <w:lang w:val="en-US" w:eastAsia="zh-CN" w:bidi="ar"/>
        </w:rPr>
        <w:t>日内。</w:t>
      </w:r>
    </w:p>
    <w:p w14:paraId="666954D5">
      <w:pPr>
        <w:keepNext w:val="0"/>
        <w:keepLines w:val="0"/>
        <w:widowControl w:val="0"/>
        <w:suppressLineNumbers w:val="0"/>
        <w:adjustRightInd w:val="0"/>
        <w:snapToGrid w:val="0"/>
        <w:spacing w:before="0" w:beforeAutospacing="0" w:after="0" w:afterAutospacing="0" w:line="560" w:lineRule="exact"/>
        <w:ind w:left="0" w:right="0" w:firstLine="560" w:firstLineChars="200"/>
        <w:jc w:val="both"/>
        <w:rPr>
          <w:rFonts w:hint="eastAsia" w:ascii="仿宋_GB2312" w:eastAsia="仿宋_GB2312" w:cs="仿宋_GB2312"/>
          <w:bCs/>
          <w:kern w:val="2"/>
          <w:sz w:val="28"/>
          <w:szCs w:val="28"/>
        </w:rPr>
      </w:pPr>
      <w:r>
        <w:rPr>
          <w:rFonts w:hint="eastAsia" w:ascii="仿宋_GB2312" w:hAnsi="Times New Roman" w:eastAsia="仿宋_GB2312" w:cs="仿宋_GB2312"/>
          <w:bCs/>
          <w:kern w:val="2"/>
          <w:sz w:val="28"/>
          <w:szCs w:val="28"/>
          <w:lang w:val="en-US" w:eastAsia="zh-CN" w:bidi="ar"/>
        </w:rPr>
        <w:t>2.验收日期前乙方必须完成合同约定的各项培训，包括对甲方相关人员进行设备使用培训及日常保养培训并提供培训记录。现场验收时乙方提供必要的技术支持并协助甲方完成各项指标和功能的测试，否则因验收延误产生的后果由乙方负责。</w:t>
      </w:r>
    </w:p>
    <w:p w14:paraId="5628763E">
      <w:pPr>
        <w:keepNext w:val="0"/>
        <w:keepLines w:val="0"/>
        <w:widowControl w:val="0"/>
        <w:suppressLineNumbers w:val="0"/>
        <w:adjustRightInd w:val="0"/>
        <w:snapToGrid w:val="0"/>
        <w:spacing w:before="0" w:beforeAutospacing="0" w:after="0" w:afterAutospacing="0" w:line="560" w:lineRule="exact"/>
        <w:ind w:left="0" w:right="0" w:firstLine="560" w:firstLineChars="200"/>
        <w:jc w:val="both"/>
        <w:rPr>
          <w:rFonts w:hint="eastAsia" w:ascii="仿宋_GB2312" w:eastAsia="仿宋_GB2312" w:cs="仿宋_GB2312"/>
          <w:bCs/>
          <w:kern w:val="2"/>
          <w:sz w:val="28"/>
          <w:szCs w:val="28"/>
        </w:rPr>
      </w:pPr>
      <w:r>
        <w:rPr>
          <w:rFonts w:hint="eastAsia" w:ascii="仿宋_GB2312" w:hAnsi="Times New Roman" w:eastAsia="仿宋_GB2312" w:cs="仿宋_GB2312"/>
          <w:bCs/>
          <w:kern w:val="2"/>
          <w:sz w:val="28"/>
          <w:szCs w:val="28"/>
          <w:lang w:val="en-US" w:eastAsia="zh-CN" w:bidi="ar"/>
        </w:rPr>
        <w:t>3.合同设备安装调试完毕后，乙方应及时书面提请验收。甲乙双方共同对</w:t>
      </w:r>
      <w:r>
        <w:rPr>
          <w:rFonts w:hint="eastAsia" w:ascii="仿宋_GB2312" w:hAnsi="Times New Roman" w:eastAsia="仿宋_GB2312" w:cs="仿宋_GB2312"/>
          <w:kern w:val="2"/>
          <w:sz w:val="28"/>
          <w:szCs w:val="28"/>
          <w:lang w:val="en-US" w:eastAsia="zh-CN" w:bidi="ar"/>
        </w:rPr>
        <w:t>设备</w:t>
      </w:r>
      <w:r>
        <w:rPr>
          <w:rFonts w:hint="eastAsia" w:ascii="仿宋_GB2312" w:hAnsi="Times New Roman" w:eastAsia="仿宋_GB2312" w:cs="仿宋_GB2312"/>
          <w:bCs/>
          <w:kern w:val="2"/>
          <w:sz w:val="28"/>
          <w:szCs w:val="28"/>
          <w:lang w:val="en-US" w:eastAsia="zh-CN" w:bidi="ar"/>
        </w:rPr>
        <w:t>的包装、外观、数量、商标、型号、规格、质量以及设备随附单证、资料等进行验收。经双方验收后，由双方共同签署验收报告。乙方提供的设备及其随附物件的风险在经验收合格后转移至甲方。因乙方未及时书面提请验收造成付款延误的，由乙方自行承担责任。</w:t>
      </w:r>
    </w:p>
    <w:p w14:paraId="6085CCA0">
      <w:pPr>
        <w:keepNext w:val="0"/>
        <w:keepLines w:val="0"/>
        <w:widowControl w:val="0"/>
        <w:suppressLineNumbers w:val="0"/>
        <w:adjustRightInd w:val="0"/>
        <w:snapToGrid w:val="0"/>
        <w:spacing w:before="0" w:beforeAutospacing="0" w:after="0" w:afterAutospacing="0" w:line="560" w:lineRule="exact"/>
        <w:ind w:left="0" w:right="0" w:firstLine="560" w:firstLineChars="200"/>
        <w:jc w:val="both"/>
        <w:rPr>
          <w:rFonts w:hint="eastAsia" w:ascii="仿宋_GB2312" w:eastAsia="仿宋_GB2312" w:cs="仿宋_GB2312"/>
          <w:bCs/>
          <w:kern w:val="2"/>
          <w:sz w:val="28"/>
          <w:szCs w:val="28"/>
        </w:rPr>
      </w:pPr>
      <w:r>
        <w:rPr>
          <w:rFonts w:hint="eastAsia" w:ascii="仿宋_GB2312" w:hAnsi="Times New Roman" w:eastAsia="仿宋_GB2312" w:cs="仿宋_GB2312"/>
          <w:bCs/>
          <w:kern w:val="2"/>
          <w:sz w:val="28"/>
          <w:szCs w:val="28"/>
          <w:lang w:val="en-US" w:eastAsia="zh-CN" w:bidi="ar"/>
        </w:rPr>
        <w:t>4.验收按本合同要求及国家有关的规定、规范进行。验收时如发现所交付的设备有短装、次品、损坏或其它不符合本合同规定之情形者，甲方可作现场记录，或由甲乙双方签署备忘录。此现场记录或备忘录可用作换货、补充缺失、更换损坏部件和追责的有效证据。由此产生的有关费用由乙方承担。乙方提供的各种文件载明的内容必须真实，甲方对产品的技术数据置疑时，有权要求乙方按照双方认可的第三方检测机构出具的检验方法进行检测（检测费用由乙方承担），检测结果必须证明乙方提供的技术数据是真实的，否则视为不合格。</w:t>
      </w:r>
    </w:p>
    <w:p w14:paraId="738C1179">
      <w:pPr>
        <w:keepNext w:val="0"/>
        <w:keepLines w:val="0"/>
        <w:widowControl w:val="0"/>
        <w:suppressLineNumbers w:val="0"/>
        <w:tabs>
          <w:tab w:val="left" w:pos="780"/>
        </w:tabs>
        <w:adjustRightInd w:val="0"/>
        <w:snapToGrid w:val="0"/>
        <w:spacing w:before="0" w:beforeAutospacing="0" w:after="0" w:afterAutospacing="0" w:line="560" w:lineRule="exact"/>
        <w:ind w:left="0" w:right="0" w:firstLine="560" w:firstLineChars="200"/>
        <w:jc w:val="both"/>
        <w:rPr>
          <w:rFonts w:hint="eastAsia" w:ascii="仿宋_GB2312" w:eastAsia="仿宋_GB2312" w:cs="仿宋_GB2312"/>
          <w:bCs/>
          <w:kern w:val="2"/>
          <w:sz w:val="28"/>
          <w:szCs w:val="28"/>
        </w:rPr>
      </w:pPr>
      <w:r>
        <w:rPr>
          <w:rFonts w:hint="eastAsia" w:ascii="仿宋_GB2312" w:hAnsi="Times New Roman" w:eastAsia="仿宋_GB2312" w:cs="仿宋_GB2312"/>
          <w:bCs/>
          <w:kern w:val="2"/>
          <w:sz w:val="28"/>
          <w:szCs w:val="28"/>
          <w:lang w:val="en-US" w:eastAsia="zh-CN" w:bidi="ar"/>
        </w:rPr>
        <w:t>5.验收发现设备短装、损坏或质量不符合本合同之规定，不论何种原因导致，在甲方提出换货要求的情况下，乙方应及时安排换货，以保证合同设备如期安装、通过验收。换货的相关费用和相应后果由乙方承担，验收时间不予顺延。</w:t>
      </w:r>
    </w:p>
    <w:p w14:paraId="581AEB88">
      <w:pPr>
        <w:keepNext w:val="0"/>
        <w:keepLines w:val="0"/>
        <w:widowControl w:val="0"/>
        <w:suppressLineNumbers w:val="0"/>
        <w:adjustRightInd w:val="0"/>
        <w:snapToGrid w:val="0"/>
        <w:spacing w:before="0" w:beforeAutospacing="0" w:after="0" w:afterAutospacing="0" w:line="560" w:lineRule="exact"/>
        <w:ind w:left="0" w:leftChars="0" w:right="0" w:rightChars="0" w:firstLine="560" w:firstLineChars="0"/>
        <w:jc w:val="both"/>
        <w:outlineLvl w:val="0"/>
        <w:rPr>
          <w:rFonts w:hint="eastAsia" w:ascii="仿宋_GB2312" w:eastAsia="仿宋_GB2312" w:cs="仿宋_GB2312"/>
          <w:b/>
          <w:bCs w:val="0"/>
          <w:kern w:val="2"/>
          <w:sz w:val="28"/>
          <w:szCs w:val="28"/>
        </w:rPr>
      </w:pPr>
      <w:bookmarkStart w:id="174" w:name="_Toc22375"/>
      <w:r>
        <w:rPr>
          <w:rFonts w:hint="eastAsia" w:ascii="仿宋_GB2312" w:hAnsi="Times New Roman" w:eastAsia="仿宋_GB2312" w:cs="仿宋_GB2312"/>
          <w:b/>
          <w:bCs w:val="0"/>
          <w:kern w:val="2"/>
          <w:sz w:val="28"/>
          <w:szCs w:val="28"/>
          <w:lang w:val="en-US" w:eastAsia="zh-CN" w:bidi="ar"/>
        </w:rPr>
        <w:t>第十条 权利保证</w:t>
      </w:r>
      <w:bookmarkEnd w:id="174"/>
    </w:p>
    <w:p w14:paraId="6DEBE08B">
      <w:pPr>
        <w:keepNext w:val="0"/>
        <w:keepLines w:val="0"/>
        <w:widowControl w:val="0"/>
        <w:suppressLineNumbers w:val="0"/>
        <w:adjustRightInd w:val="0"/>
        <w:snapToGrid w:val="0"/>
        <w:spacing w:before="0" w:beforeAutospacing="0" w:after="0" w:afterAutospacing="0" w:line="560" w:lineRule="exact"/>
        <w:ind w:left="0" w:right="0" w:firstLine="560"/>
        <w:jc w:val="both"/>
        <w:rPr>
          <w:rFonts w:hint="eastAsia" w:ascii="仿宋_GB2312" w:eastAsia="仿宋_GB2312" w:cs="仿宋_GB2312"/>
          <w:kern w:val="2"/>
          <w:sz w:val="28"/>
          <w:szCs w:val="28"/>
        </w:rPr>
      </w:pPr>
      <w:r>
        <w:rPr>
          <w:rFonts w:hint="eastAsia" w:ascii="仿宋_GB2312" w:hAnsi="Times New Roman" w:eastAsia="仿宋_GB2312" w:cs="仿宋_GB2312"/>
          <w:bCs/>
          <w:kern w:val="2"/>
          <w:sz w:val="28"/>
          <w:szCs w:val="28"/>
          <w:lang w:val="en-US" w:eastAsia="zh-CN" w:bidi="ar"/>
        </w:rPr>
        <w:t>1.</w:t>
      </w:r>
      <w:r>
        <w:rPr>
          <w:rFonts w:hint="eastAsia" w:ascii="仿宋_GB2312" w:hAnsi="Times New Roman" w:eastAsia="仿宋_GB2312" w:cs="仿宋_GB2312"/>
          <w:kern w:val="2"/>
          <w:sz w:val="28"/>
          <w:szCs w:val="28"/>
          <w:lang w:val="en-US" w:eastAsia="zh-CN" w:bidi="ar"/>
        </w:rPr>
        <w:t>乙方保证所提供的设备通过合法、正规渠道供货，在交付甲方时具有完全的所有权或有处分权，甲方在使用本合同项下标的物或标的物的任何一部分时，不会产生因第三方提出的包括但不限于侵犯其专利权、商标权、工业设计权等知识产权和侵犯其所有权、抵押权等物权及其他权利而引发的纠纷。如有纠纷，乙方应承担全部责任，并赔偿因此给甲方所造成的损失，损失包括但不限于第三方权利人索赔、因与第三方权利人侵权等纠纷导致甲方不能正常使用设备造成的全部损失、律师费、诉讼费、取证费、差旅费、保全费、担保费、鉴证费、公证费、执行费以及间接损失等。</w:t>
      </w:r>
    </w:p>
    <w:p w14:paraId="0E5F35F1">
      <w:pPr>
        <w:keepNext w:val="0"/>
        <w:keepLines w:val="0"/>
        <w:widowControl w:val="0"/>
        <w:suppressLineNumbers w:val="0"/>
        <w:adjustRightInd w:val="0"/>
        <w:snapToGrid w:val="0"/>
        <w:spacing w:before="0" w:beforeAutospacing="0" w:after="0" w:afterAutospacing="0" w:line="560" w:lineRule="exact"/>
        <w:ind w:left="0" w:right="0" w:firstLine="560"/>
        <w:jc w:val="both"/>
        <w:rPr>
          <w:rFonts w:hint="eastAsia" w:ascii="仿宋_GB2312" w:eastAsia="仿宋_GB2312" w:cs="仿宋_GB2312"/>
          <w:bCs/>
          <w:kern w:val="2"/>
          <w:sz w:val="28"/>
          <w:szCs w:val="28"/>
        </w:rPr>
      </w:pPr>
      <w:r>
        <w:rPr>
          <w:rFonts w:hint="eastAsia" w:ascii="仿宋_GB2312" w:hAnsi="Times New Roman" w:eastAsia="仿宋_GB2312" w:cs="仿宋_GB2312"/>
          <w:kern w:val="2"/>
          <w:sz w:val="28"/>
          <w:szCs w:val="28"/>
          <w:lang w:val="en-US" w:eastAsia="zh-CN" w:bidi="ar"/>
        </w:rPr>
        <w:t>2.乙方保证所提供的设备符合征集文件以及合同约定的所有质量和技术、配置等要求，并不存在危及人身财产安全的缺陷，对于因产品在正常使用过程中发生的因产品质量缺陷等造成甲方或者任何第三方的人身损害或者财产损失，乙方应当承担赔偿责任及由此给甲方造成的全部损失，包括但不限于第三方权利人的索赔，因纠纷导致甲方不能正常使用设备的损失及因纠纷造成的其他损失（如被保全等）、甲方为解决纠纷支出的律师费、诉讼费、保全费、担保费、差旅费、鉴证费、公证费、执行费等全部费用以及全部间接损失。</w:t>
      </w:r>
    </w:p>
    <w:p w14:paraId="74A55061">
      <w:pPr>
        <w:keepNext w:val="0"/>
        <w:keepLines w:val="0"/>
        <w:widowControl w:val="0"/>
        <w:suppressLineNumbers w:val="0"/>
        <w:adjustRightInd w:val="0"/>
        <w:snapToGrid w:val="0"/>
        <w:spacing w:before="0" w:beforeAutospacing="0" w:after="0" w:afterAutospacing="0" w:line="560" w:lineRule="exact"/>
        <w:ind w:left="0" w:right="0" w:firstLine="560" w:firstLineChars="200"/>
        <w:jc w:val="both"/>
        <w:rPr>
          <w:rFonts w:hint="eastAsia" w:ascii="仿宋_GB2312" w:eastAsia="仿宋_GB2312" w:cs="仿宋_GB2312"/>
          <w:bCs/>
          <w:kern w:val="2"/>
          <w:sz w:val="28"/>
          <w:szCs w:val="28"/>
        </w:rPr>
      </w:pPr>
      <w:r>
        <w:rPr>
          <w:rFonts w:hint="eastAsia" w:ascii="仿宋_GB2312" w:hAnsi="Times New Roman" w:eastAsia="仿宋_GB2312" w:cs="仿宋_GB2312"/>
          <w:bCs/>
          <w:kern w:val="2"/>
          <w:sz w:val="28"/>
          <w:szCs w:val="28"/>
          <w:lang w:val="en-US" w:eastAsia="zh-CN" w:bidi="ar"/>
        </w:rPr>
        <w:t>3.如有关法院、仲裁机构或行政机关禁止甲方继续使用本合同项目下设备的部分或全部，乙方应酌情采取以下措施之一：</w:t>
      </w:r>
    </w:p>
    <w:p w14:paraId="68CEDF55">
      <w:pPr>
        <w:keepNext w:val="0"/>
        <w:keepLines w:val="0"/>
        <w:widowControl w:val="0"/>
        <w:suppressLineNumbers w:val="0"/>
        <w:adjustRightInd w:val="0"/>
        <w:snapToGrid w:val="0"/>
        <w:spacing w:before="0" w:beforeAutospacing="0" w:after="0" w:afterAutospacing="0" w:line="560" w:lineRule="exact"/>
        <w:ind w:left="0" w:right="0" w:firstLine="560" w:firstLineChars="200"/>
        <w:jc w:val="both"/>
        <w:rPr>
          <w:rFonts w:hint="eastAsia" w:ascii="仿宋_GB2312" w:eastAsia="仿宋_GB2312" w:cs="仿宋_GB2312"/>
          <w:bCs/>
          <w:kern w:val="2"/>
          <w:sz w:val="28"/>
          <w:szCs w:val="28"/>
        </w:rPr>
      </w:pPr>
      <w:r>
        <w:rPr>
          <w:rFonts w:hint="eastAsia" w:ascii="仿宋_GB2312" w:hAnsi="Times New Roman" w:eastAsia="仿宋_GB2312" w:cs="仿宋_GB2312"/>
          <w:bCs/>
          <w:kern w:val="2"/>
          <w:sz w:val="28"/>
          <w:szCs w:val="28"/>
          <w:lang w:val="en-US" w:eastAsia="zh-CN" w:bidi="ar"/>
        </w:rPr>
        <w:t xml:space="preserve">（1）使甲方重新免费获得使用上述设备的权利； </w:t>
      </w:r>
    </w:p>
    <w:p w14:paraId="1CBDBA28">
      <w:pPr>
        <w:keepNext w:val="0"/>
        <w:keepLines w:val="0"/>
        <w:widowControl w:val="0"/>
        <w:suppressLineNumbers w:val="0"/>
        <w:adjustRightInd w:val="0"/>
        <w:snapToGrid w:val="0"/>
        <w:spacing w:before="0" w:beforeAutospacing="0" w:after="0" w:afterAutospacing="0" w:line="560" w:lineRule="exact"/>
        <w:ind w:left="0" w:right="0" w:firstLine="560" w:firstLineChars="200"/>
        <w:jc w:val="both"/>
        <w:rPr>
          <w:rFonts w:hint="eastAsia" w:ascii="仿宋_GB2312" w:eastAsia="仿宋_GB2312" w:cs="仿宋_GB2312"/>
          <w:bCs/>
          <w:kern w:val="2"/>
          <w:sz w:val="28"/>
          <w:szCs w:val="28"/>
        </w:rPr>
      </w:pPr>
      <w:r>
        <w:rPr>
          <w:rFonts w:hint="eastAsia" w:ascii="仿宋_GB2312" w:hAnsi="Times New Roman" w:eastAsia="仿宋_GB2312" w:cs="仿宋_GB2312"/>
          <w:bCs/>
          <w:kern w:val="2"/>
          <w:sz w:val="28"/>
          <w:szCs w:val="28"/>
          <w:lang w:val="en-US" w:eastAsia="zh-CN" w:bidi="ar"/>
        </w:rPr>
        <w:t>（2）免费更换或改造上述设备，使甲方不受上述禁令限制继续使用该设备。</w:t>
      </w:r>
    </w:p>
    <w:p w14:paraId="748CF3DF">
      <w:pPr>
        <w:keepNext w:val="0"/>
        <w:keepLines w:val="0"/>
        <w:widowControl w:val="0"/>
        <w:suppressLineNumbers w:val="0"/>
        <w:adjustRightInd w:val="0"/>
        <w:snapToGrid w:val="0"/>
        <w:spacing w:before="0" w:beforeAutospacing="0" w:after="0" w:afterAutospacing="0" w:line="560" w:lineRule="exact"/>
        <w:ind w:left="0" w:right="0" w:firstLine="560" w:firstLineChars="200"/>
        <w:jc w:val="both"/>
        <w:rPr>
          <w:rFonts w:hint="eastAsia" w:ascii="仿宋_GB2312" w:eastAsia="仿宋_GB2312" w:cs="仿宋_GB2312"/>
          <w:bCs/>
          <w:kern w:val="2"/>
          <w:sz w:val="28"/>
          <w:szCs w:val="28"/>
        </w:rPr>
      </w:pPr>
      <w:r>
        <w:rPr>
          <w:rFonts w:hint="eastAsia" w:ascii="仿宋_GB2312" w:hAnsi="Times New Roman" w:eastAsia="仿宋_GB2312" w:cs="仿宋_GB2312"/>
          <w:bCs/>
          <w:kern w:val="2"/>
          <w:sz w:val="28"/>
          <w:szCs w:val="28"/>
          <w:lang w:val="en-US" w:eastAsia="zh-CN" w:bidi="ar"/>
        </w:rPr>
        <w:t>乙方采取上述措施不能免除乙方就甲方因此遭受的损失进行赔偿的义务。</w:t>
      </w:r>
    </w:p>
    <w:p w14:paraId="034A79A9">
      <w:pPr>
        <w:keepNext w:val="0"/>
        <w:keepLines w:val="0"/>
        <w:widowControl w:val="0"/>
        <w:suppressLineNumbers w:val="0"/>
        <w:adjustRightInd w:val="0"/>
        <w:snapToGrid w:val="0"/>
        <w:spacing w:before="0" w:beforeAutospacing="0" w:after="0" w:afterAutospacing="0" w:line="560" w:lineRule="exact"/>
        <w:ind w:left="0" w:leftChars="0" w:right="0" w:rightChars="0" w:firstLine="560" w:firstLineChars="0"/>
        <w:jc w:val="both"/>
        <w:outlineLvl w:val="0"/>
        <w:rPr>
          <w:rFonts w:hint="eastAsia" w:ascii="仿宋_GB2312" w:eastAsia="仿宋_GB2312" w:cs="仿宋_GB2312"/>
          <w:b/>
          <w:bCs w:val="0"/>
          <w:kern w:val="2"/>
          <w:sz w:val="28"/>
          <w:szCs w:val="28"/>
        </w:rPr>
      </w:pPr>
      <w:bookmarkStart w:id="175" w:name="_Toc21144"/>
      <w:r>
        <w:rPr>
          <w:rFonts w:hint="eastAsia" w:ascii="仿宋_GB2312" w:hAnsi="Times New Roman" w:eastAsia="仿宋_GB2312" w:cs="仿宋_GB2312"/>
          <w:b/>
          <w:bCs w:val="0"/>
          <w:kern w:val="2"/>
          <w:sz w:val="28"/>
          <w:szCs w:val="28"/>
          <w:lang w:val="en-US" w:eastAsia="zh-CN" w:bidi="ar"/>
        </w:rPr>
        <w:t>第十一条  违约责任</w:t>
      </w:r>
      <w:bookmarkEnd w:id="175"/>
    </w:p>
    <w:p w14:paraId="2DAF2192">
      <w:pPr>
        <w:keepNext w:val="0"/>
        <w:keepLines w:val="0"/>
        <w:widowControl w:val="0"/>
        <w:suppressLineNumbers w:val="0"/>
        <w:adjustRightInd w:val="0"/>
        <w:snapToGrid w:val="0"/>
        <w:spacing w:before="0" w:beforeAutospacing="0" w:after="0" w:afterAutospacing="0" w:line="560" w:lineRule="exact"/>
        <w:ind w:left="0" w:right="0" w:firstLine="560"/>
        <w:jc w:val="both"/>
        <w:rPr>
          <w:rFonts w:hint="eastAsia" w:ascii="仿宋_GB2312" w:eastAsia="仿宋_GB2312" w:cs="仿宋_GB2312"/>
          <w:bCs/>
          <w:kern w:val="2"/>
          <w:sz w:val="28"/>
          <w:szCs w:val="28"/>
        </w:rPr>
      </w:pPr>
      <w:r>
        <w:rPr>
          <w:rFonts w:hint="eastAsia" w:ascii="仿宋_GB2312" w:hAnsi="Times New Roman" w:eastAsia="仿宋_GB2312" w:cs="仿宋_GB2312"/>
          <w:bCs/>
          <w:kern w:val="2"/>
          <w:sz w:val="28"/>
          <w:szCs w:val="28"/>
          <w:lang w:val="en-US" w:eastAsia="zh-CN" w:bidi="ar"/>
        </w:rPr>
        <w:t>1.甲方无正当理由拒收设备、拒付设备款的，甲方向乙方偿付其所拒收设备总值的</w:t>
      </w:r>
      <w:r>
        <w:rPr>
          <w:rFonts w:hint="eastAsia" w:ascii="仿宋_GB2312" w:hAnsi="Times New Roman" w:eastAsia="仿宋_GB2312" w:cs="仿宋_GB2312"/>
          <w:kern w:val="2"/>
          <w:sz w:val="28"/>
          <w:szCs w:val="28"/>
          <w:u w:val="single"/>
          <w:lang w:val="en-US" w:eastAsia="zh-CN" w:bidi="ar"/>
        </w:rPr>
        <w:t xml:space="preserve"> 10 </w:t>
      </w:r>
      <w:r>
        <w:rPr>
          <w:rFonts w:hint="eastAsia" w:ascii="仿宋_GB2312" w:hAnsi="Times New Roman" w:eastAsia="仿宋_GB2312" w:cs="仿宋_GB2312"/>
          <w:kern w:val="2"/>
          <w:sz w:val="28"/>
          <w:szCs w:val="28"/>
          <w:lang w:val="en-US" w:eastAsia="zh-CN" w:bidi="ar"/>
        </w:rPr>
        <w:t>％</w:t>
      </w:r>
      <w:r>
        <w:rPr>
          <w:rFonts w:hint="eastAsia" w:ascii="仿宋_GB2312" w:hAnsi="Times New Roman" w:eastAsia="仿宋_GB2312" w:cs="仿宋_GB2312"/>
          <w:bCs/>
          <w:kern w:val="2"/>
          <w:sz w:val="28"/>
          <w:szCs w:val="28"/>
          <w:lang w:val="en-US" w:eastAsia="zh-CN" w:bidi="ar"/>
        </w:rPr>
        <w:t>的违约金。</w:t>
      </w:r>
    </w:p>
    <w:p w14:paraId="73CAB818">
      <w:pPr>
        <w:pStyle w:val="51"/>
        <w:widowControl/>
        <w:adjustRightInd w:val="0"/>
        <w:snapToGrid w:val="0"/>
        <w:spacing w:line="560" w:lineRule="exact"/>
        <w:ind w:left="0" w:firstLine="602"/>
        <w:jc w:val="left"/>
        <w:rPr>
          <w:rFonts w:hint="default" w:ascii="Calibri" w:hAnsi="Calibri" w:eastAsia="宋体" w:cs="Times New Roman"/>
          <w:kern w:val="2"/>
          <w:sz w:val="24"/>
          <w:szCs w:val="24"/>
        </w:rPr>
      </w:pPr>
      <w:r>
        <w:rPr>
          <w:rFonts w:hint="eastAsia" w:ascii="仿宋_GB2312" w:eastAsia="仿宋_GB2312" w:cs="仿宋_GB2312"/>
          <w:bCs/>
          <w:kern w:val="2"/>
          <w:sz w:val="28"/>
          <w:szCs w:val="28"/>
        </w:rPr>
        <w:t>2.甲方逾期付设备款的，甲方向乙方每日偿付欠款总额</w:t>
      </w:r>
      <w:r>
        <w:rPr>
          <w:rFonts w:hint="eastAsia" w:ascii="仿宋_GB2312" w:eastAsia="仿宋_GB2312" w:cs="仿宋_GB2312"/>
          <w:kern w:val="2"/>
          <w:sz w:val="28"/>
          <w:szCs w:val="28"/>
          <w:u w:val="single"/>
        </w:rPr>
        <w:t xml:space="preserve">  1  </w:t>
      </w:r>
      <w:r>
        <w:rPr>
          <w:rFonts w:hint="eastAsia" w:ascii="仿宋_GB2312" w:eastAsia="仿宋_GB2312" w:cs="仿宋_GB2312"/>
          <w:kern w:val="2"/>
          <w:sz w:val="28"/>
          <w:szCs w:val="28"/>
        </w:rPr>
        <w:t>‰</w:t>
      </w:r>
      <w:r>
        <w:rPr>
          <w:rFonts w:hint="eastAsia" w:ascii="仿宋_GB2312" w:eastAsia="仿宋_GB2312" w:cs="仿宋_GB2312"/>
          <w:bCs/>
          <w:kern w:val="2"/>
          <w:sz w:val="28"/>
          <w:szCs w:val="28"/>
        </w:rPr>
        <w:t>的违约金，违约金总额最高不超过逾期支付设备款项的5%。但因甲方使用的是财政资金，甲方应在约定期限内办理财政支付申请手续（不含政府财政支付部门审核的时间）。因财政支付流程造成的延误，应视为甲方依约履行，甲方不承担任何逾期付款的违约责任。</w:t>
      </w:r>
    </w:p>
    <w:p w14:paraId="443668E0">
      <w:pPr>
        <w:keepNext w:val="0"/>
        <w:keepLines w:val="0"/>
        <w:widowControl w:val="0"/>
        <w:suppressLineNumbers w:val="0"/>
        <w:adjustRightInd w:val="0"/>
        <w:snapToGrid w:val="0"/>
        <w:spacing w:before="0" w:beforeAutospacing="0" w:after="0" w:afterAutospacing="0" w:line="560" w:lineRule="exact"/>
        <w:ind w:left="0" w:right="0" w:firstLine="560" w:firstLineChars="200"/>
        <w:jc w:val="left"/>
        <w:rPr>
          <w:rFonts w:hint="eastAsia" w:ascii="仿宋_GB2312" w:eastAsia="仿宋_GB2312" w:cs="仿宋_GB2312"/>
          <w:bCs/>
          <w:kern w:val="2"/>
          <w:sz w:val="28"/>
          <w:szCs w:val="28"/>
        </w:rPr>
      </w:pPr>
      <w:r>
        <w:rPr>
          <w:rFonts w:hint="eastAsia" w:ascii="仿宋_GB2312" w:hAnsi="Times New Roman" w:eastAsia="仿宋_GB2312" w:cs="仿宋_GB2312"/>
          <w:kern w:val="2"/>
          <w:sz w:val="28"/>
          <w:szCs w:val="28"/>
          <w:lang w:val="en-US" w:eastAsia="zh-CN" w:bidi="ar"/>
        </w:rPr>
        <w:t>3.乙方逾期交付设备的，每逾期1日，乙方向甲方偿付</w:t>
      </w:r>
      <w:r>
        <w:rPr>
          <w:rFonts w:hint="eastAsia" w:ascii="仿宋_GB2312" w:hAnsi="Times New Roman" w:eastAsia="仿宋_GB2312" w:cs="仿宋_GB2312"/>
          <w:bCs/>
          <w:kern w:val="2"/>
          <w:sz w:val="28"/>
          <w:szCs w:val="28"/>
          <w:lang w:val="en-US" w:eastAsia="zh-CN" w:bidi="ar"/>
        </w:rPr>
        <w:t>本合同总价款</w:t>
      </w:r>
      <w:r>
        <w:rPr>
          <w:rFonts w:hint="eastAsia" w:ascii="仿宋_GB2312" w:hAnsi="Times New Roman" w:eastAsia="仿宋_GB2312" w:cs="仿宋_GB2312"/>
          <w:kern w:val="2"/>
          <w:sz w:val="28"/>
          <w:szCs w:val="28"/>
          <w:u w:val="single"/>
          <w:lang w:val="en-US" w:eastAsia="zh-CN" w:bidi="ar"/>
        </w:rPr>
        <w:t xml:space="preserve">  5  </w:t>
      </w:r>
      <w:r>
        <w:rPr>
          <w:rFonts w:hint="eastAsia" w:ascii="仿宋_GB2312" w:hAnsi="Times New Roman" w:eastAsia="仿宋_GB2312" w:cs="仿宋_GB2312"/>
          <w:kern w:val="2"/>
          <w:sz w:val="28"/>
          <w:szCs w:val="28"/>
          <w:lang w:val="en-US" w:eastAsia="zh-CN" w:bidi="ar"/>
        </w:rPr>
        <w:t>‰</w:t>
      </w:r>
      <w:r>
        <w:rPr>
          <w:rFonts w:hint="eastAsia" w:ascii="仿宋_GB2312" w:hAnsi="Times New Roman" w:eastAsia="仿宋_GB2312" w:cs="仿宋_GB2312"/>
          <w:bCs/>
          <w:kern w:val="2"/>
          <w:sz w:val="28"/>
          <w:szCs w:val="28"/>
          <w:lang w:val="en-US" w:eastAsia="zh-CN" w:bidi="ar"/>
        </w:rPr>
        <w:t>的违约金</w:t>
      </w:r>
      <w:r>
        <w:rPr>
          <w:rFonts w:hint="eastAsia" w:ascii="仿宋_GB2312" w:hAnsi="Times New Roman" w:eastAsia="仿宋_GB2312" w:cs="仿宋_GB2312"/>
          <w:kern w:val="2"/>
          <w:sz w:val="28"/>
          <w:szCs w:val="28"/>
          <w:lang w:val="en-US" w:eastAsia="zh-CN" w:bidi="ar"/>
        </w:rPr>
        <w:t>。如乙方逾期交货达</w:t>
      </w:r>
      <w:r>
        <w:rPr>
          <w:rFonts w:hint="eastAsia" w:ascii="仿宋_GB2312" w:hAnsi="Times New Roman" w:eastAsia="仿宋_GB2312" w:cs="仿宋_GB2312"/>
          <w:kern w:val="2"/>
          <w:sz w:val="28"/>
          <w:szCs w:val="28"/>
          <w:u w:val="single"/>
          <w:lang w:val="en-US" w:eastAsia="zh-CN" w:bidi="ar"/>
        </w:rPr>
        <w:t xml:space="preserve">  30  </w:t>
      </w:r>
      <w:r>
        <w:rPr>
          <w:rFonts w:hint="eastAsia" w:ascii="仿宋_GB2312" w:hAnsi="Times New Roman" w:eastAsia="仿宋_GB2312" w:cs="仿宋_GB2312"/>
          <w:kern w:val="2"/>
          <w:sz w:val="28"/>
          <w:szCs w:val="28"/>
          <w:lang w:val="en-US" w:eastAsia="zh-CN" w:bidi="ar"/>
        </w:rPr>
        <w:t>日，甲方有权单方解除合同，同时乙方应向甲方</w:t>
      </w:r>
      <w:r>
        <w:rPr>
          <w:rFonts w:hint="eastAsia" w:ascii="仿宋_GB2312" w:hAnsi="Times New Roman" w:eastAsia="仿宋_GB2312" w:cs="仿宋_GB2312"/>
          <w:bCs/>
          <w:kern w:val="2"/>
          <w:sz w:val="28"/>
          <w:szCs w:val="28"/>
          <w:lang w:val="en-US" w:eastAsia="zh-CN" w:bidi="ar"/>
        </w:rPr>
        <w:t>支付合同总价款</w:t>
      </w:r>
      <w:r>
        <w:rPr>
          <w:rFonts w:hint="eastAsia" w:ascii="仿宋_GB2312" w:hAnsi="Times New Roman" w:eastAsia="仿宋_GB2312" w:cs="仿宋_GB2312"/>
          <w:kern w:val="2"/>
          <w:sz w:val="28"/>
          <w:szCs w:val="28"/>
          <w:u w:val="single"/>
          <w:lang w:val="en-US" w:eastAsia="zh-CN" w:bidi="ar"/>
        </w:rPr>
        <w:t xml:space="preserve">  30  </w:t>
      </w:r>
      <w:r>
        <w:rPr>
          <w:rFonts w:hint="eastAsia" w:ascii="仿宋_GB2312" w:hAnsi="Times New Roman" w:eastAsia="仿宋_GB2312" w:cs="仿宋_GB2312"/>
          <w:kern w:val="2"/>
          <w:sz w:val="28"/>
          <w:szCs w:val="28"/>
          <w:lang w:val="en-US" w:eastAsia="zh-CN" w:bidi="ar"/>
        </w:rPr>
        <w:t>％</w:t>
      </w:r>
      <w:r>
        <w:rPr>
          <w:rFonts w:hint="eastAsia" w:ascii="仿宋_GB2312" w:hAnsi="Times New Roman" w:eastAsia="仿宋_GB2312" w:cs="仿宋_GB2312"/>
          <w:bCs/>
          <w:kern w:val="2"/>
          <w:sz w:val="28"/>
          <w:szCs w:val="28"/>
          <w:lang w:val="en-US" w:eastAsia="zh-CN" w:bidi="ar"/>
        </w:rPr>
        <w:t>的违约金。</w:t>
      </w:r>
    </w:p>
    <w:p w14:paraId="25819B11">
      <w:pPr>
        <w:keepNext w:val="0"/>
        <w:keepLines w:val="0"/>
        <w:widowControl w:val="0"/>
        <w:suppressLineNumbers w:val="0"/>
        <w:adjustRightInd w:val="0"/>
        <w:snapToGrid w:val="0"/>
        <w:spacing w:before="0" w:beforeAutospacing="0" w:after="0" w:afterAutospacing="0" w:line="560" w:lineRule="exact"/>
        <w:ind w:left="0" w:right="0" w:firstLine="560"/>
        <w:jc w:val="left"/>
        <w:rPr>
          <w:rFonts w:hint="eastAsia" w:ascii="仿宋_GB2312" w:eastAsia="仿宋_GB2312" w:cs="仿宋_GB2312"/>
          <w:bCs/>
          <w:kern w:val="2"/>
          <w:sz w:val="28"/>
          <w:szCs w:val="28"/>
        </w:rPr>
      </w:pPr>
      <w:r>
        <w:rPr>
          <w:rFonts w:hint="eastAsia" w:ascii="仿宋_GB2312" w:hAnsi="Times New Roman" w:eastAsia="仿宋_GB2312" w:cs="仿宋_GB2312"/>
          <w:kern w:val="2"/>
          <w:sz w:val="28"/>
          <w:szCs w:val="28"/>
          <w:lang w:val="en-US" w:eastAsia="zh-CN" w:bidi="ar"/>
        </w:rPr>
        <w:t>4.乙方所交付的设备品种、型号、规格、质量标准等不符合合同约定的，甲方有权要求乙方进行退换货处理;设备已安装的，乙方须按照甲方要求的时间、方式拆除处置乙方设备，由此产生一切费用（含恢复原状费用）由乙方承担。乙方在甲方要求时间内不予处置的，甲方有权自行处置，乙方应向甲方支付货款总额</w:t>
      </w:r>
      <w:r>
        <w:rPr>
          <w:rFonts w:hint="eastAsia" w:ascii="仿宋_GB2312" w:hAnsi="Times New Roman" w:eastAsia="仿宋_GB2312" w:cs="仿宋_GB2312"/>
          <w:kern w:val="2"/>
          <w:sz w:val="28"/>
          <w:szCs w:val="28"/>
          <w:u w:val="single"/>
          <w:lang w:val="en-US" w:eastAsia="zh-CN" w:bidi="ar"/>
        </w:rPr>
        <w:t xml:space="preserve"> 30 </w:t>
      </w:r>
      <w:r>
        <w:rPr>
          <w:rFonts w:hint="eastAsia" w:ascii="仿宋_GB2312" w:hAnsi="Times New Roman" w:eastAsia="仿宋_GB2312" w:cs="仿宋_GB2312"/>
          <w:kern w:val="2"/>
          <w:sz w:val="28"/>
          <w:szCs w:val="28"/>
          <w:lang w:val="en-US" w:eastAsia="zh-CN" w:bidi="ar"/>
        </w:rPr>
        <w:t>％的违约金。乙方因退换货造成逾期交货的，按本条第3点的约定执行。</w:t>
      </w:r>
    </w:p>
    <w:p w14:paraId="6F6DC6D4">
      <w:pPr>
        <w:keepNext w:val="0"/>
        <w:keepLines w:val="0"/>
        <w:widowControl w:val="0"/>
        <w:suppressLineNumbers w:val="0"/>
        <w:adjustRightInd w:val="0"/>
        <w:snapToGrid w:val="0"/>
        <w:spacing w:before="0" w:beforeAutospacing="0" w:after="0" w:afterAutospacing="0" w:line="560" w:lineRule="exact"/>
        <w:ind w:left="0" w:right="0" w:firstLine="560"/>
        <w:jc w:val="both"/>
        <w:rPr>
          <w:rFonts w:hint="eastAsia" w:ascii="仿宋_GB2312" w:eastAsia="仿宋_GB2312" w:cs="仿宋_GB2312"/>
          <w:kern w:val="2"/>
          <w:sz w:val="28"/>
          <w:szCs w:val="28"/>
        </w:rPr>
      </w:pPr>
      <w:r>
        <w:rPr>
          <w:rFonts w:hint="eastAsia" w:ascii="仿宋_GB2312" w:hAnsi="Times New Roman" w:eastAsia="仿宋_GB2312" w:cs="仿宋_GB2312"/>
          <w:kern w:val="2"/>
          <w:sz w:val="28"/>
          <w:szCs w:val="28"/>
          <w:lang w:val="en-US" w:eastAsia="zh-CN" w:bidi="ar"/>
        </w:rPr>
        <w:t>5.在乙方承诺的或国家规定的质量保证期内（取两者中最长的期限），如经乙方两次维修或更换，设备仍不能达到合同约定的质量标准，甲方有权单方解除合同，乙方应退回全部货款并赔偿甲方因此遭受的损失，同时乙方应向甲方支付合同总价</w:t>
      </w:r>
      <w:r>
        <w:rPr>
          <w:rFonts w:hint="eastAsia" w:ascii="仿宋_GB2312" w:hAnsi="Times New Roman" w:eastAsia="仿宋_GB2312" w:cs="仿宋_GB2312"/>
          <w:kern w:val="2"/>
          <w:sz w:val="28"/>
          <w:szCs w:val="28"/>
          <w:u w:val="single"/>
          <w:lang w:val="en-US" w:eastAsia="zh-CN" w:bidi="ar"/>
        </w:rPr>
        <w:t xml:space="preserve"> 30 </w:t>
      </w:r>
      <w:r>
        <w:rPr>
          <w:rFonts w:hint="eastAsia" w:ascii="仿宋_GB2312" w:hAnsi="Times New Roman" w:eastAsia="仿宋_GB2312" w:cs="仿宋_GB2312"/>
          <w:kern w:val="2"/>
          <w:sz w:val="28"/>
          <w:szCs w:val="28"/>
          <w:lang w:val="en-US" w:eastAsia="zh-CN" w:bidi="ar"/>
        </w:rPr>
        <w:t>％的违约金。</w:t>
      </w:r>
    </w:p>
    <w:p w14:paraId="346B6D96">
      <w:pPr>
        <w:keepNext w:val="0"/>
        <w:keepLines w:val="0"/>
        <w:widowControl w:val="0"/>
        <w:suppressLineNumbers w:val="0"/>
        <w:adjustRightInd w:val="0"/>
        <w:snapToGrid w:val="0"/>
        <w:spacing w:before="0" w:beforeAutospacing="0" w:after="0" w:afterAutospacing="0" w:line="560" w:lineRule="exact"/>
        <w:ind w:left="0" w:right="0" w:firstLine="560"/>
        <w:jc w:val="both"/>
        <w:rPr>
          <w:rFonts w:hint="eastAsia" w:ascii="仿宋_GB2312" w:eastAsia="仿宋_GB2312" w:cs="仿宋_GB2312"/>
          <w:bCs/>
          <w:kern w:val="2"/>
          <w:sz w:val="28"/>
          <w:szCs w:val="28"/>
        </w:rPr>
      </w:pPr>
      <w:r>
        <w:rPr>
          <w:rFonts w:hint="eastAsia" w:ascii="仿宋_GB2312" w:hAnsi="Times New Roman" w:eastAsia="仿宋_GB2312" w:cs="仿宋_GB2312"/>
          <w:kern w:val="2"/>
          <w:sz w:val="28"/>
          <w:szCs w:val="28"/>
          <w:lang w:val="en-US" w:eastAsia="zh-CN" w:bidi="ar"/>
        </w:rPr>
        <w:t>6.乙方未履行本合同项下的其他义务或违反征集文件的要求或其在投标文件中的相关承诺的，乙方须在</w:t>
      </w:r>
      <w:r>
        <w:rPr>
          <w:rFonts w:hint="eastAsia" w:ascii="仿宋_GB2312" w:hAnsi="Times New Roman" w:eastAsia="仿宋_GB2312" w:cs="仿宋_GB2312"/>
          <w:kern w:val="2"/>
          <w:sz w:val="28"/>
          <w:szCs w:val="28"/>
          <w:u w:val="single"/>
          <w:lang w:val="en-US" w:eastAsia="zh-CN" w:bidi="ar"/>
        </w:rPr>
        <w:t>10日</w:t>
      </w:r>
      <w:r>
        <w:rPr>
          <w:rFonts w:hint="eastAsia" w:ascii="仿宋_GB2312" w:hAnsi="Times New Roman" w:eastAsia="仿宋_GB2312" w:cs="仿宋_GB2312"/>
          <w:kern w:val="2"/>
          <w:sz w:val="28"/>
          <w:szCs w:val="28"/>
          <w:lang w:val="en-US" w:eastAsia="zh-CN" w:bidi="ar"/>
        </w:rPr>
        <w:t>内改正，未能在</w:t>
      </w:r>
      <w:r>
        <w:rPr>
          <w:rFonts w:hint="eastAsia" w:ascii="仿宋_GB2312" w:hAnsi="Times New Roman" w:eastAsia="仿宋_GB2312" w:cs="仿宋_GB2312"/>
          <w:kern w:val="2"/>
          <w:sz w:val="28"/>
          <w:szCs w:val="28"/>
          <w:u w:val="single"/>
          <w:lang w:val="en-US" w:eastAsia="zh-CN" w:bidi="ar"/>
        </w:rPr>
        <w:t>10日</w:t>
      </w:r>
      <w:r>
        <w:rPr>
          <w:rFonts w:hint="eastAsia" w:ascii="仿宋_GB2312" w:hAnsi="Times New Roman" w:eastAsia="仿宋_GB2312" w:cs="仿宋_GB2312"/>
          <w:kern w:val="2"/>
          <w:sz w:val="28"/>
          <w:szCs w:val="28"/>
          <w:lang w:val="en-US" w:eastAsia="zh-CN" w:bidi="ar"/>
        </w:rPr>
        <w:t>内改正且无正当理由的，甲方有权单方解除合同，乙方应退回全部货款，同时乙方应向甲方支付合同总价</w:t>
      </w:r>
      <w:r>
        <w:rPr>
          <w:rFonts w:hint="eastAsia" w:ascii="仿宋_GB2312" w:hAnsi="Times New Roman" w:eastAsia="仿宋_GB2312" w:cs="仿宋_GB2312"/>
          <w:kern w:val="2"/>
          <w:sz w:val="28"/>
          <w:szCs w:val="28"/>
          <w:u w:val="single"/>
          <w:lang w:val="en-US" w:eastAsia="zh-CN" w:bidi="ar"/>
        </w:rPr>
        <w:t xml:space="preserve"> 30 </w:t>
      </w:r>
      <w:r>
        <w:rPr>
          <w:rFonts w:hint="eastAsia" w:ascii="仿宋_GB2312" w:hAnsi="Times New Roman" w:eastAsia="仿宋_GB2312" w:cs="仿宋_GB2312"/>
          <w:kern w:val="2"/>
          <w:sz w:val="28"/>
          <w:szCs w:val="28"/>
          <w:lang w:val="en-US" w:eastAsia="zh-CN" w:bidi="ar"/>
        </w:rPr>
        <w:t>％的违约金。</w:t>
      </w:r>
    </w:p>
    <w:p w14:paraId="3B50EAB8">
      <w:pPr>
        <w:keepNext w:val="0"/>
        <w:keepLines w:val="0"/>
        <w:widowControl w:val="0"/>
        <w:suppressLineNumbers w:val="0"/>
        <w:adjustRightInd w:val="0"/>
        <w:snapToGrid w:val="0"/>
        <w:spacing w:before="0" w:beforeAutospacing="0" w:after="0" w:afterAutospacing="0" w:line="560" w:lineRule="exact"/>
        <w:ind w:left="0" w:right="0" w:firstLine="560"/>
        <w:jc w:val="both"/>
        <w:rPr>
          <w:rFonts w:hint="eastAsia" w:ascii="仿宋_GB2312" w:eastAsia="仿宋_GB2312" w:cs="仿宋_GB2312"/>
          <w:kern w:val="2"/>
          <w:sz w:val="28"/>
          <w:szCs w:val="28"/>
        </w:rPr>
      </w:pPr>
      <w:r>
        <w:rPr>
          <w:rFonts w:hint="eastAsia" w:ascii="仿宋_GB2312" w:hAnsi="Times New Roman" w:eastAsia="仿宋_GB2312" w:cs="仿宋_GB2312"/>
          <w:kern w:val="2"/>
          <w:sz w:val="28"/>
          <w:szCs w:val="28"/>
          <w:lang w:val="en-US" w:eastAsia="zh-CN" w:bidi="ar"/>
        </w:rPr>
        <w:t>7.乙方在承担上述一项或多项违约责任后，仍应继续履行合同规定的义务（甲方解除合同的除外）。甲方未能及时追究乙方的任何一项违约责任并不表明甲方放弃追究乙方该项或其他违约责任。</w:t>
      </w:r>
    </w:p>
    <w:p w14:paraId="7DCC9C7C">
      <w:pPr>
        <w:keepNext w:val="0"/>
        <w:keepLines w:val="0"/>
        <w:widowControl w:val="0"/>
        <w:suppressLineNumbers w:val="0"/>
        <w:adjustRightInd w:val="0"/>
        <w:snapToGrid w:val="0"/>
        <w:spacing w:before="0" w:beforeAutospacing="0" w:after="0" w:afterAutospacing="0" w:line="560" w:lineRule="exact"/>
        <w:ind w:left="0" w:right="0" w:firstLine="560"/>
        <w:jc w:val="both"/>
        <w:rPr>
          <w:rFonts w:hint="eastAsia" w:ascii="仿宋_GB2312" w:eastAsia="仿宋_GB2312" w:cs="仿宋_GB2312"/>
          <w:kern w:val="2"/>
          <w:sz w:val="28"/>
          <w:szCs w:val="28"/>
          <w:u w:val="single"/>
        </w:rPr>
      </w:pPr>
      <w:r>
        <w:rPr>
          <w:rFonts w:hint="eastAsia" w:ascii="仿宋_GB2312" w:hAnsi="Times New Roman" w:eastAsia="仿宋_GB2312" w:cs="仿宋_GB2312"/>
          <w:kern w:val="2"/>
          <w:sz w:val="28"/>
          <w:szCs w:val="28"/>
          <w:lang w:val="en-US" w:eastAsia="zh-CN" w:bidi="ar"/>
        </w:rPr>
        <w:t>8.合同双方认为应补充的内容（不违反招投标文件及相关法律法规）：</w:t>
      </w:r>
      <w:r>
        <w:rPr>
          <w:rFonts w:hint="eastAsia" w:ascii="仿宋_GB2312" w:hAnsi="Times New Roman" w:eastAsia="仿宋_GB2312" w:cs="仿宋_GB2312"/>
          <w:kern w:val="2"/>
          <w:sz w:val="28"/>
          <w:szCs w:val="28"/>
          <w:u w:val="single"/>
          <w:lang w:val="en-US" w:eastAsia="zh-CN" w:bidi="ar"/>
        </w:rPr>
        <w:t xml:space="preserve">   无   </w:t>
      </w:r>
    </w:p>
    <w:p w14:paraId="6FF5175D">
      <w:pPr>
        <w:keepNext w:val="0"/>
        <w:keepLines w:val="0"/>
        <w:widowControl w:val="0"/>
        <w:suppressLineNumbers w:val="0"/>
        <w:adjustRightInd w:val="0"/>
        <w:snapToGrid w:val="0"/>
        <w:spacing w:before="0" w:beforeAutospacing="0" w:after="0" w:afterAutospacing="0" w:line="560" w:lineRule="exact"/>
        <w:ind w:left="0" w:leftChars="0" w:right="0" w:rightChars="0" w:firstLine="560" w:firstLineChars="0"/>
        <w:jc w:val="both"/>
        <w:outlineLvl w:val="0"/>
        <w:rPr>
          <w:rFonts w:hint="eastAsia" w:ascii="仿宋_GB2312" w:eastAsia="仿宋_GB2312" w:cs="仿宋_GB2312"/>
          <w:b/>
          <w:bCs w:val="0"/>
          <w:kern w:val="2"/>
          <w:sz w:val="28"/>
          <w:szCs w:val="28"/>
        </w:rPr>
      </w:pPr>
      <w:bookmarkStart w:id="176" w:name="_Toc14233"/>
      <w:r>
        <w:rPr>
          <w:rFonts w:hint="eastAsia" w:ascii="仿宋_GB2312" w:hAnsi="Times New Roman" w:eastAsia="仿宋_GB2312" w:cs="仿宋_GB2312"/>
          <w:b/>
          <w:bCs w:val="0"/>
          <w:kern w:val="2"/>
          <w:sz w:val="28"/>
          <w:szCs w:val="28"/>
          <w:lang w:val="en-US" w:eastAsia="zh-CN" w:bidi="ar"/>
        </w:rPr>
        <w:t>第十二条  不可抗力</w:t>
      </w:r>
      <w:bookmarkEnd w:id="176"/>
    </w:p>
    <w:p w14:paraId="4E4FA3D7">
      <w:pPr>
        <w:keepNext w:val="0"/>
        <w:keepLines w:val="0"/>
        <w:widowControl w:val="0"/>
        <w:suppressLineNumbers w:val="0"/>
        <w:adjustRightInd w:val="0"/>
        <w:snapToGrid w:val="0"/>
        <w:spacing w:before="0" w:beforeAutospacing="0" w:after="0" w:afterAutospacing="0" w:line="560" w:lineRule="exact"/>
        <w:ind w:left="0" w:right="0" w:firstLine="560" w:firstLineChars="200"/>
        <w:jc w:val="both"/>
        <w:rPr>
          <w:rFonts w:hint="eastAsia" w:ascii="仿宋_GB2312" w:eastAsia="仿宋_GB2312" w:cs="仿宋_GB2312"/>
          <w:bCs/>
          <w:kern w:val="2"/>
          <w:sz w:val="28"/>
          <w:szCs w:val="28"/>
        </w:rPr>
      </w:pPr>
      <w:r>
        <w:rPr>
          <w:rFonts w:hint="eastAsia" w:ascii="仿宋_GB2312" w:hAnsi="Times New Roman" w:eastAsia="仿宋_GB2312" w:cs="仿宋_GB2312"/>
          <w:bCs/>
          <w:kern w:val="2"/>
          <w:sz w:val="28"/>
          <w:szCs w:val="28"/>
          <w:lang w:val="en-US" w:eastAsia="zh-CN" w:bidi="ar"/>
        </w:rPr>
        <w:t>1.本合同约定的不可抗力指甲乙双方任何一方在签订本合同时不可预见的、遭受影响的一方不能克服和不能避免的，并对本合同的履行产生影响的事件。包括但不限于：（1）战争、敌对行动、入侵、外敌行为；（2）叛乱、恐怖主义、暴动；（3）自然灾害，如地震、飓风、台风或火山活动；（4）</w:t>
      </w:r>
      <w:r>
        <w:rPr>
          <w:rFonts w:hint="eastAsia" w:ascii="仿宋_GB2312" w:hAnsi="Times New Roman" w:eastAsia="仿宋_GB2312" w:cs="仿宋_GB2312"/>
          <w:kern w:val="2"/>
          <w:sz w:val="28"/>
          <w:szCs w:val="28"/>
          <w:lang w:val="en-US" w:eastAsia="zh-CN" w:bidi="ar"/>
        </w:rPr>
        <w:t>突发公共卫生事件</w:t>
      </w:r>
      <w:r>
        <w:rPr>
          <w:rFonts w:hint="eastAsia" w:ascii="仿宋_GB2312" w:hAnsi="Times New Roman" w:eastAsia="仿宋_GB2312" w:cs="仿宋_GB2312"/>
          <w:bCs/>
          <w:kern w:val="2"/>
          <w:sz w:val="28"/>
          <w:szCs w:val="28"/>
          <w:lang w:val="en-US" w:eastAsia="zh-CN" w:bidi="ar"/>
        </w:rPr>
        <w:t>等。</w:t>
      </w:r>
    </w:p>
    <w:p w14:paraId="033C406E">
      <w:pPr>
        <w:keepNext w:val="0"/>
        <w:keepLines w:val="0"/>
        <w:widowControl w:val="0"/>
        <w:suppressLineNumbers w:val="0"/>
        <w:adjustRightInd w:val="0"/>
        <w:snapToGrid w:val="0"/>
        <w:spacing w:before="0" w:beforeAutospacing="0" w:after="0" w:afterAutospacing="0" w:line="560" w:lineRule="exact"/>
        <w:ind w:left="0" w:right="0" w:firstLine="560" w:firstLineChars="200"/>
        <w:jc w:val="both"/>
        <w:rPr>
          <w:rFonts w:hint="eastAsia" w:ascii="仿宋_GB2312" w:eastAsia="仿宋_GB2312" w:cs="仿宋_GB2312"/>
          <w:bCs/>
          <w:kern w:val="2"/>
          <w:sz w:val="28"/>
          <w:szCs w:val="28"/>
        </w:rPr>
      </w:pPr>
      <w:r>
        <w:rPr>
          <w:rFonts w:hint="eastAsia" w:ascii="仿宋_GB2312" w:hAnsi="Times New Roman" w:eastAsia="仿宋_GB2312" w:cs="仿宋_GB2312"/>
          <w:bCs/>
          <w:kern w:val="2"/>
          <w:sz w:val="28"/>
          <w:szCs w:val="28"/>
          <w:lang w:val="en-US" w:eastAsia="zh-CN" w:bidi="ar"/>
        </w:rPr>
        <w:t>2.甲乙双方任何一方遭受不可抗力时应尽可能在最短的时间内通知另一方，解释其需要提出发生不可抗力的理由，并在该不可抗力事件发生后十五日内向另一方提供关于此种不可抗力事件及其持续时间的证据。未及时履行通知义务而导致损失扩大的，过错方应当承担赔偿责任。主张不可抗力事件导致其对本合同的履行在客观上成为不可能或不实际的一方，有责任尽一切合理的努力消除或减轻此等不可抗力事件的影响。</w:t>
      </w:r>
    </w:p>
    <w:p w14:paraId="4278B0BF">
      <w:pPr>
        <w:keepNext w:val="0"/>
        <w:keepLines w:val="0"/>
        <w:widowControl w:val="0"/>
        <w:suppressLineNumbers w:val="0"/>
        <w:adjustRightInd w:val="0"/>
        <w:snapToGrid w:val="0"/>
        <w:spacing w:before="0" w:beforeAutospacing="0" w:after="0" w:afterAutospacing="0" w:line="560" w:lineRule="exact"/>
        <w:ind w:left="0" w:right="0" w:firstLine="560" w:firstLineChars="200"/>
        <w:jc w:val="both"/>
        <w:rPr>
          <w:rFonts w:hint="eastAsia" w:ascii="仿宋_GB2312" w:eastAsia="仿宋_GB2312" w:cs="仿宋_GB2312"/>
          <w:bCs/>
          <w:kern w:val="2"/>
          <w:sz w:val="28"/>
          <w:szCs w:val="28"/>
        </w:rPr>
      </w:pPr>
      <w:r>
        <w:rPr>
          <w:rFonts w:hint="eastAsia" w:ascii="仿宋_GB2312" w:hAnsi="Times New Roman" w:eastAsia="仿宋_GB2312" w:cs="仿宋_GB2312"/>
          <w:bCs/>
          <w:kern w:val="2"/>
          <w:sz w:val="28"/>
          <w:szCs w:val="28"/>
          <w:lang w:val="en-US" w:eastAsia="zh-CN" w:bidi="ar"/>
        </w:rPr>
        <w:t>3.如果发生不可抗力事件，任何一方不应对另一方因此而未能履行本合同下的全部或部分义务承担责任，该义务履行在不可抗力事件妨碍期间中止。本合同项下的其他不受不可抗力事件影响的义务应继续履行。</w:t>
      </w:r>
    </w:p>
    <w:p w14:paraId="3170BE37">
      <w:pPr>
        <w:keepNext w:val="0"/>
        <w:keepLines w:val="0"/>
        <w:widowControl w:val="0"/>
        <w:suppressLineNumbers w:val="0"/>
        <w:adjustRightInd w:val="0"/>
        <w:snapToGrid w:val="0"/>
        <w:spacing w:before="0" w:beforeAutospacing="0" w:after="0" w:afterAutospacing="0" w:line="560" w:lineRule="exact"/>
        <w:ind w:left="0" w:right="0" w:firstLine="560" w:firstLineChars="200"/>
        <w:jc w:val="both"/>
        <w:rPr>
          <w:rFonts w:hint="eastAsia" w:ascii="仿宋_GB2312" w:eastAsia="仿宋_GB2312" w:cs="仿宋_GB2312"/>
          <w:bCs/>
          <w:kern w:val="2"/>
          <w:sz w:val="28"/>
          <w:szCs w:val="28"/>
        </w:rPr>
      </w:pPr>
      <w:r>
        <w:rPr>
          <w:rFonts w:hint="eastAsia" w:ascii="仿宋_GB2312" w:hAnsi="Times New Roman" w:eastAsia="仿宋_GB2312" w:cs="仿宋_GB2312"/>
          <w:bCs/>
          <w:kern w:val="2"/>
          <w:sz w:val="28"/>
          <w:szCs w:val="28"/>
          <w:lang w:val="en-US" w:eastAsia="zh-CN" w:bidi="ar"/>
        </w:rPr>
        <w:t>4.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适用本合同关于合同终止的规定。</w:t>
      </w:r>
    </w:p>
    <w:p w14:paraId="6116D662">
      <w:pPr>
        <w:keepNext w:val="0"/>
        <w:keepLines w:val="0"/>
        <w:widowControl w:val="0"/>
        <w:suppressLineNumbers w:val="0"/>
        <w:adjustRightInd w:val="0"/>
        <w:snapToGrid w:val="0"/>
        <w:spacing w:before="0" w:beforeAutospacing="0" w:after="0" w:afterAutospacing="0" w:line="560" w:lineRule="exact"/>
        <w:ind w:left="0" w:leftChars="0" w:right="0" w:rightChars="0" w:firstLine="562" w:firstLineChars="200"/>
        <w:jc w:val="both"/>
        <w:outlineLvl w:val="0"/>
        <w:rPr>
          <w:rFonts w:hint="eastAsia" w:ascii="仿宋_GB2312" w:eastAsia="仿宋_GB2312" w:cs="仿宋_GB2312"/>
          <w:b/>
          <w:bCs w:val="0"/>
          <w:kern w:val="2"/>
          <w:sz w:val="28"/>
          <w:szCs w:val="28"/>
          <w:u w:val="single"/>
        </w:rPr>
      </w:pPr>
      <w:bookmarkStart w:id="177" w:name="_Toc1028"/>
      <w:r>
        <w:rPr>
          <w:rFonts w:hint="eastAsia" w:ascii="仿宋_GB2312" w:hAnsi="Times New Roman" w:eastAsia="仿宋_GB2312" w:cs="仿宋_GB2312"/>
          <w:b/>
          <w:bCs w:val="0"/>
          <w:kern w:val="2"/>
          <w:sz w:val="28"/>
          <w:szCs w:val="28"/>
          <w:lang w:val="en-US" w:eastAsia="zh-CN" w:bidi="ar"/>
        </w:rPr>
        <w:t>第十三条 变更、终止条款</w:t>
      </w:r>
      <w:bookmarkEnd w:id="177"/>
    </w:p>
    <w:p w14:paraId="74735353">
      <w:pPr>
        <w:keepNext w:val="0"/>
        <w:keepLines w:val="0"/>
        <w:widowControl w:val="0"/>
        <w:suppressLineNumbers w:val="0"/>
        <w:adjustRightInd w:val="0"/>
        <w:snapToGrid w:val="0"/>
        <w:spacing w:before="0" w:beforeAutospacing="0" w:after="0" w:afterAutospacing="0" w:line="560" w:lineRule="exact"/>
        <w:ind w:left="0" w:right="0" w:firstLine="560"/>
        <w:jc w:val="both"/>
        <w:rPr>
          <w:rFonts w:hint="eastAsia" w:ascii="仿宋_GB2312" w:eastAsia="仿宋_GB2312" w:cs="仿宋_GB2312"/>
          <w:kern w:val="2"/>
          <w:sz w:val="28"/>
          <w:szCs w:val="28"/>
        </w:rPr>
      </w:pPr>
      <w:r>
        <w:rPr>
          <w:rFonts w:hint="eastAsia" w:ascii="仿宋_GB2312" w:hAnsi="Times New Roman" w:eastAsia="仿宋_GB2312" w:cs="仿宋_GB2312"/>
          <w:kern w:val="2"/>
          <w:sz w:val="28"/>
          <w:szCs w:val="28"/>
          <w:lang w:val="en-US" w:eastAsia="zh-CN" w:bidi="ar"/>
        </w:rPr>
        <w:t>1.除继续履行将损害国家利益和社会公共利益的外，双方不得擅自变更或者终止合同，确有需要的，甲乙双方应根据相关规定完成合同变更程序。</w:t>
      </w:r>
    </w:p>
    <w:p w14:paraId="7A67EE99">
      <w:pPr>
        <w:keepNext w:val="0"/>
        <w:keepLines w:val="0"/>
        <w:widowControl w:val="0"/>
        <w:suppressLineNumbers w:val="0"/>
        <w:adjustRightInd w:val="0"/>
        <w:snapToGrid w:val="0"/>
        <w:spacing w:before="0" w:beforeAutospacing="0" w:after="0" w:afterAutospacing="0" w:line="560" w:lineRule="exact"/>
        <w:ind w:left="0" w:right="0" w:firstLine="560" w:firstLineChars="200"/>
        <w:jc w:val="both"/>
        <w:rPr>
          <w:rFonts w:hint="eastAsia" w:ascii="仿宋_GB2312" w:eastAsia="仿宋_GB2312" w:cs="仿宋_GB2312"/>
          <w:kern w:val="2"/>
          <w:sz w:val="28"/>
          <w:szCs w:val="28"/>
        </w:rPr>
      </w:pPr>
      <w:r>
        <w:rPr>
          <w:rFonts w:hint="eastAsia" w:ascii="仿宋_GB2312" w:hAnsi="Times New Roman" w:eastAsia="仿宋_GB2312" w:cs="仿宋_GB2312"/>
          <w:kern w:val="2"/>
          <w:sz w:val="28"/>
          <w:szCs w:val="28"/>
          <w:lang w:val="en-US" w:eastAsia="zh-CN" w:bidi="ar"/>
        </w:rPr>
        <w:t>2.如继续履行将损害国家利益和社会公共利益的，主张变更或终止权利一方应在终止事件或情形发生时通知另一方。双方另行签订变更或终止协议。</w:t>
      </w:r>
    </w:p>
    <w:p w14:paraId="62277166">
      <w:pPr>
        <w:keepNext w:val="0"/>
        <w:keepLines w:val="0"/>
        <w:widowControl w:val="0"/>
        <w:suppressLineNumbers w:val="0"/>
        <w:adjustRightInd w:val="0"/>
        <w:snapToGrid w:val="0"/>
        <w:spacing w:before="0" w:beforeAutospacing="0" w:after="0" w:afterAutospacing="0" w:line="560" w:lineRule="exact"/>
        <w:ind w:left="0" w:right="0" w:firstLine="560" w:firstLineChars="200"/>
        <w:jc w:val="both"/>
        <w:rPr>
          <w:rFonts w:hint="default" w:ascii="Times New Roman" w:hAnsi="Times New Roman" w:eastAsia="宋体" w:cs="Times New Roman"/>
          <w:kern w:val="2"/>
          <w:sz w:val="21"/>
          <w:szCs w:val="21"/>
        </w:rPr>
      </w:pPr>
      <w:r>
        <w:rPr>
          <w:rFonts w:hint="eastAsia" w:ascii="仿宋_GB2312" w:hAnsi="Times New Roman" w:eastAsia="仿宋_GB2312" w:cs="仿宋_GB2312"/>
          <w:kern w:val="2"/>
          <w:sz w:val="28"/>
          <w:szCs w:val="28"/>
          <w:lang w:val="en-US" w:eastAsia="zh-CN" w:bidi="ar"/>
        </w:rPr>
        <w:t>3.合同履行期间，相关法律、法规、规章、规范性文件和政策发生变化或者颁布新的规定，导致本合同的履行依据发生变化的，双方可以按照修改后或者新的规定执行，并另行签订变更协议。</w:t>
      </w:r>
    </w:p>
    <w:p w14:paraId="694F3FFF">
      <w:pPr>
        <w:keepNext w:val="0"/>
        <w:keepLines w:val="0"/>
        <w:widowControl w:val="0"/>
        <w:suppressLineNumbers w:val="0"/>
        <w:adjustRightInd w:val="0"/>
        <w:snapToGrid w:val="0"/>
        <w:spacing w:before="0" w:beforeAutospacing="0" w:after="0" w:afterAutospacing="0" w:line="560" w:lineRule="exact"/>
        <w:ind w:left="0" w:leftChars="0" w:right="0" w:rightChars="0" w:firstLine="562" w:firstLineChars="200"/>
        <w:jc w:val="both"/>
        <w:outlineLvl w:val="0"/>
        <w:rPr>
          <w:rFonts w:hint="eastAsia" w:ascii="仿宋_GB2312" w:eastAsia="仿宋_GB2312" w:cs="仿宋_GB2312"/>
          <w:b/>
          <w:bCs w:val="0"/>
          <w:kern w:val="2"/>
          <w:sz w:val="28"/>
          <w:szCs w:val="28"/>
        </w:rPr>
      </w:pPr>
      <w:bookmarkStart w:id="178" w:name="_Toc28393"/>
      <w:r>
        <w:rPr>
          <w:rFonts w:hint="eastAsia" w:ascii="仿宋_GB2312" w:hAnsi="Times New Roman" w:eastAsia="仿宋_GB2312" w:cs="仿宋_GB2312"/>
          <w:b/>
          <w:bCs w:val="0"/>
          <w:kern w:val="2"/>
          <w:sz w:val="28"/>
          <w:szCs w:val="28"/>
          <w:lang w:val="en-US" w:eastAsia="zh-CN" w:bidi="ar"/>
        </w:rPr>
        <w:t>第十四条  争议解决</w:t>
      </w:r>
      <w:bookmarkEnd w:id="178"/>
    </w:p>
    <w:p w14:paraId="54A40327">
      <w:pPr>
        <w:keepNext w:val="0"/>
        <w:keepLines w:val="0"/>
        <w:widowControl w:val="0"/>
        <w:suppressLineNumbers w:val="0"/>
        <w:adjustRightInd w:val="0"/>
        <w:snapToGrid w:val="0"/>
        <w:spacing w:before="0" w:beforeAutospacing="0" w:after="0" w:afterAutospacing="0" w:line="560" w:lineRule="exact"/>
        <w:ind w:left="0" w:right="0" w:firstLine="560"/>
        <w:jc w:val="both"/>
        <w:rPr>
          <w:rFonts w:hint="eastAsia" w:ascii="仿宋_GB2312" w:eastAsia="仿宋_GB2312" w:cs="仿宋_GB2312"/>
          <w:kern w:val="2"/>
          <w:sz w:val="28"/>
          <w:szCs w:val="28"/>
        </w:rPr>
      </w:pPr>
      <w:r>
        <w:rPr>
          <w:rFonts w:hint="eastAsia" w:ascii="仿宋_GB2312" w:hAnsi="Times New Roman" w:eastAsia="仿宋_GB2312" w:cs="仿宋_GB2312"/>
          <w:kern w:val="2"/>
          <w:sz w:val="28"/>
          <w:szCs w:val="28"/>
          <w:lang w:val="en-US" w:eastAsia="zh-CN" w:bidi="ar"/>
        </w:rPr>
        <w:t>1.因设备的质量问题发生争议，由国家和市政府指定的技术单位进行质量鉴定，该鉴定结论是终局的，甲乙双方应当接受。</w:t>
      </w:r>
    </w:p>
    <w:p w14:paraId="4488280B">
      <w:pPr>
        <w:keepNext w:val="0"/>
        <w:keepLines w:val="0"/>
        <w:widowControl w:val="0"/>
        <w:suppressLineNumbers w:val="0"/>
        <w:adjustRightInd w:val="0"/>
        <w:snapToGrid w:val="0"/>
        <w:spacing w:before="0" w:beforeAutospacing="0" w:after="0" w:afterAutospacing="0" w:line="560" w:lineRule="exact"/>
        <w:ind w:left="0" w:right="0" w:firstLine="560"/>
        <w:jc w:val="both"/>
        <w:rPr>
          <w:rFonts w:hint="eastAsia" w:ascii="仿宋_GB2312" w:eastAsia="仿宋_GB2312" w:cs="仿宋_GB2312"/>
          <w:kern w:val="2"/>
          <w:sz w:val="28"/>
          <w:szCs w:val="28"/>
        </w:rPr>
      </w:pPr>
      <w:r>
        <w:rPr>
          <w:rFonts w:hint="eastAsia" w:ascii="仿宋_GB2312" w:hAnsi="Times New Roman" w:eastAsia="仿宋_GB2312" w:cs="仿宋_GB2312"/>
          <w:kern w:val="2"/>
          <w:sz w:val="28"/>
          <w:szCs w:val="28"/>
          <w:lang w:val="en-US" w:eastAsia="zh-CN" w:bidi="ar"/>
        </w:rPr>
        <w:t>2.因履行本合同引起的或与本合同有关的争议，甲、乙双方应首先通过友好协商解决，如果协商不能解决争议，则向甲方所在地有管辖权的人民法院提起诉讼。</w:t>
      </w:r>
    </w:p>
    <w:p w14:paraId="4DE7BD5A">
      <w:pPr>
        <w:keepNext w:val="0"/>
        <w:keepLines w:val="0"/>
        <w:widowControl w:val="0"/>
        <w:suppressLineNumbers w:val="0"/>
        <w:adjustRightInd w:val="0"/>
        <w:snapToGrid w:val="0"/>
        <w:spacing w:before="0" w:beforeAutospacing="0" w:after="0" w:afterAutospacing="0" w:line="560" w:lineRule="exact"/>
        <w:ind w:left="0" w:right="0" w:firstLine="560"/>
        <w:jc w:val="both"/>
        <w:rPr>
          <w:rFonts w:hint="eastAsia" w:ascii="仿宋_GB2312" w:eastAsia="仿宋_GB2312" w:cs="仿宋_GB2312"/>
          <w:kern w:val="2"/>
          <w:sz w:val="28"/>
          <w:szCs w:val="28"/>
        </w:rPr>
      </w:pPr>
      <w:r>
        <w:rPr>
          <w:rFonts w:hint="eastAsia" w:ascii="仿宋_GB2312" w:hAnsi="Times New Roman" w:eastAsia="仿宋_GB2312" w:cs="仿宋_GB2312"/>
          <w:kern w:val="2"/>
          <w:sz w:val="28"/>
          <w:szCs w:val="28"/>
          <w:lang w:val="en-US" w:eastAsia="zh-CN" w:bidi="ar"/>
        </w:rPr>
        <w:t>3.有关本协议的效力、解释及可执行性的所有问题均应当受中华人民共和国法律管辖并按照其法律进行解释。</w:t>
      </w:r>
    </w:p>
    <w:p w14:paraId="1308FC55">
      <w:pPr>
        <w:keepNext w:val="0"/>
        <w:keepLines w:val="0"/>
        <w:widowControl w:val="0"/>
        <w:suppressLineNumbers w:val="0"/>
        <w:adjustRightInd w:val="0"/>
        <w:snapToGrid w:val="0"/>
        <w:spacing w:before="0" w:beforeAutospacing="0" w:after="0" w:afterAutospacing="0" w:line="560" w:lineRule="exact"/>
        <w:ind w:left="0" w:leftChars="0" w:right="0" w:rightChars="0" w:firstLine="562" w:firstLineChars="200"/>
        <w:jc w:val="both"/>
        <w:outlineLvl w:val="0"/>
        <w:rPr>
          <w:rFonts w:hint="eastAsia" w:ascii="仿宋_GB2312" w:eastAsia="仿宋_GB2312" w:cs="仿宋_GB2312"/>
          <w:b/>
          <w:bCs w:val="0"/>
          <w:kern w:val="2"/>
          <w:sz w:val="28"/>
          <w:szCs w:val="28"/>
        </w:rPr>
      </w:pPr>
      <w:bookmarkStart w:id="179" w:name="_Toc13943"/>
      <w:r>
        <w:rPr>
          <w:rFonts w:hint="eastAsia" w:ascii="仿宋_GB2312" w:hAnsi="Times New Roman" w:eastAsia="仿宋_GB2312" w:cs="仿宋_GB2312"/>
          <w:b/>
          <w:bCs w:val="0"/>
          <w:kern w:val="2"/>
          <w:sz w:val="28"/>
          <w:szCs w:val="28"/>
          <w:lang w:val="en-US" w:eastAsia="zh-CN" w:bidi="ar"/>
        </w:rPr>
        <w:t>第十五条  保密责任</w:t>
      </w:r>
      <w:bookmarkEnd w:id="179"/>
    </w:p>
    <w:p w14:paraId="0122AC32">
      <w:pPr>
        <w:keepNext w:val="0"/>
        <w:keepLines w:val="0"/>
        <w:widowControl w:val="0"/>
        <w:suppressLineNumbers w:val="0"/>
        <w:adjustRightInd w:val="0"/>
        <w:snapToGrid w:val="0"/>
        <w:spacing w:before="0" w:beforeAutospacing="0" w:after="0" w:afterAutospacing="0" w:line="560" w:lineRule="exact"/>
        <w:ind w:left="0" w:right="0" w:firstLine="560" w:firstLineChars="200"/>
        <w:jc w:val="both"/>
        <w:rPr>
          <w:rFonts w:hint="eastAsia" w:ascii="仿宋_GB2312" w:eastAsia="仿宋_GB2312" w:cs="仿宋_GB2312"/>
          <w:bCs/>
          <w:kern w:val="2"/>
          <w:sz w:val="28"/>
          <w:szCs w:val="28"/>
        </w:rPr>
      </w:pPr>
      <w:r>
        <w:rPr>
          <w:rFonts w:hint="eastAsia" w:ascii="仿宋_GB2312" w:hAnsi="Times New Roman" w:eastAsia="仿宋_GB2312" w:cs="仿宋_GB2312"/>
          <w:bCs/>
          <w:kern w:val="2"/>
          <w:sz w:val="28"/>
          <w:szCs w:val="28"/>
          <w:lang w:val="en-US" w:eastAsia="zh-CN" w:bidi="ar"/>
        </w:rPr>
        <w:t>1.乙方保证对在讨论、签订、执行本协议过程中所获悉的属于甲方的且无法自公开渠道获得的信息、文件及资料（包括商业秘密、商业计划、运营活动、财务信息、技术信息、经营信息及其他商业秘密）予以保密。未经该信息、资料和文件的原提供方同意，乙方不得向任何第三方泄露该商业秘密的全部或部分内容，更不得不正当使用。但法律、法规另有规定或双方另有约定的除外。乙方同时应保证其雇员、代表履行上述保密义务，乙方雇员、代表等违反上述保密义务视为乙方违反保密义务。</w:t>
      </w:r>
    </w:p>
    <w:p w14:paraId="7847E6C7">
      <w:pPr>
        <w:keepNext w:val="0"/>
        <w:keepLines w:val="0"/>
        <w:widowControl w:val="0"/>
        <w:suppressLineNumbers w:val="0"/>
        <w:adjustRightInd w:val="0"/>
        <w:snapToGrid w:val="0"/>
        <w:spacing w:before="0" w:beforeAutospacing="0" w:after="0" w:afterAutospacing="0" w:line="560" w:lineRule="exact"/>
        <w:ind w:left="0" w:right="0" w:firstLine="560" w:firstLineChars="200"/>
        <w:jc w:val="both"/>
        <w:rPr>
          <w:rFonts w:hint="eastAsia" w:ascii="仿宋_GB2312" w:eastAsia="仿宋_GB2312" w:cs="仿宋_GB2312"/>
          <w:bCs/>
          <w:kern w:val="2"/>
          <w:sz w:val="28"/>
          <w:szCs w:val="28"/>
          <w:u w:val="single"/>
        </w:rPr>
      </w:pPr>
      <w:r>
        <w:rPr>
          <w:rFonts w:hint="eastAsia" w:ascii="仿宋_GB2312" w:hAnsi="Times New Roman" w:eastAsia="仿宋_GB2312" w:cs="仿宋_GB2312"/>
          <w:bCs/>
          <w:kern w:val="2"/>
          <w:sz w:val="28"/>
          <w:szCs w:val="28"/>
          <w:lang w:val="en-US" w:eastAsia="zh-CN" w:bidi="ar"/>
        </w:rPr>
        <w:t>2.上述保密义务长期有效，不因本协议的终止而失效。乙方违反该条款给甲方造成损失的，应当赔偿甲方的损失。该损失包括但是不限于律师费、诉讼费、取证费、差旅费、保全费、担保费、鉴证费、公证费、执行费以及间接损失等。</w:t>
      </w:r>
    </w:p>
    <w:p w14:paraId="255E804D">
      <w:pPr>
        <w:keepNext w:val="0"/>
        <w:keepLines w:val="0"/>
        <w:widowControl w:val="0"/>
        <w:suppressLineNumbers w:val="0"/>
        <w:adjustRightInd w:val="0"/>
        <w:snapToGrid w:val="0"/>
        <w:spacing w:before="0" w:beforeAutospacing="0" w:after="0" w:afterAutospacing="0" w:line="560" w:lineRule="exact"/>
        <w:ind w:left="0" w:leftChars="0" w:right="0" w:rightChars="0" w:firstLine="562" w:firstLineChars="200"/>
        <w:jc w:val="both"/>
        <w:outlineLvl w:val="0"/>
        <w:rPr>
          <w:rFonts w:hint="eastAsia" w:ascii="仿宋_GB2312" w:eastAsia="仿宋_GB2312" w:cs="仿宋_GB2312"/>
          <w:b/>
          <w:bCs w:val="0"/>
          <w:kern w:val="2"/>
          <w:sz w:val="28"/>
          <w:szCs w:val="28"/>
        </w:rPr>
      </w:pPr>
      <w:bookmarkStart w:id="180" w:name="_Toc7432"/>
      <w:r>
        <w:rPr>
          <w:rFonts w:hint="eastAsia" w:ascii="仿宋_GB2312" w:hAnsi="Times New Roman" w:eastAsia="仿宋_GB2312" w:cs="仿宋_GB2312"/>
          <w:b/>
          <w:bCs w:val="0"/>
          <w:kern w:val="2"/>
          <w:sz w:val="28"/>
          <w:szCs w:val="28"/>
          <w:lang w:val="en-US" w:eastAsia="zh-CN" w:bidi="ar"/>
        </w:rPr>
        <w:t>第十六条  通信送达</w:t>
      </w:r>
      <w:bookmarkEnd w:id="180"/>
    </w:p>
    <w:p w14:paraId="624E5387">
      <w:pPr>
        <w:keepNext w:val="0"/>
        <w:keepLines w:val="0"/>
        <w:widowControl w:val="0"/>
        <w:suppressLineNumbers w:val="0"/>
        <w:adjustRightInd w:val="0"/>
        <w:snapToGrid w:val="0"/>
        <w:spacing w:before="0" w:beforeAutospacing="0" w:after="0" w:afterAutospacing="0" w:line="560" w:lineRule="exact"/>
        <w:ind w:left="0" w:right="0" w:firstLine="560"/>
        <w:jc w:val="both"/>
        <w:rPr>
          <w:rFonts w:hint="eastAsia" w:ascii="仿宋_GB2312" w:eastAsia="仿宋_GB2312" w:cs="仿宋_GB2312"/>
          <w:bCs/>
          <w:kern w:val="2"/>
          <w:sz w:val="28"/>
          <w:szCs w:val="28"/>
        </w:rPr>
      </w:pPr>
      <w:r>
        <w:rPr>
          <w:rFonts w:hint="eastAsia" w:ascii="仿宋_GB2312" w:hAnsi="Times New Roman" w:eastAsia="仿宋_GB2312" w:cs="仿宋_GB2312"/>
          <w:bCs/>
          <w:kern w:val="2"/>
          <w:sz w:val="28"/>
          <w:szCs w:val="28"/>
          <w:lang w:val="en-US" w:eastAsia="zh-CN" w:bidi="ar"/>
        </w:rPr>
        <w:t>1.乙方履行本合同的指定联系人及授</w:t>
      </w:r>
      <w:r>
        <w:rPr>
          <w:rFonts w:hint="eastAsia" w:ascii="仿宋_GB2312" w:hAnsi="Times New Roman" w:eastAsia="仿宋_GB2312" w:cs="仿宋_GB2312"/>
          <w:bCs/>
          <w:color w:val="000000" w:themeColor="text1"/>
          <w:kern w:val="2"/>
          <w:sz w:val="28"/>
          <w:szCs w:val="28"/>
          <w:lang w:val="en-US" w:eastAsia="zh-CN" w:bidi="ar"/>
          <w14:textFill>
            <w14:solidFill>
              <w14:schemeClr w14:val="tx1"/>
            </w14:solidFill>
          </w14:textFill>
        </w:rPr>
        <w:t>权代表为</w:t>
      </w:r>
      <w:r>
        <w:rPr>
          <w:rFonts w:hint="eastAsia" w:ascii="仿宋_GB2312" w:hAnsi="Times New Roman" w:eastAsia="仿宋_GB2312" w:cs="仿宋_GB2312"/>
          <w:bCs/>
          <w:color w:val="000000" w:themeColor="text1"/>
          <w:kern w:val="2"/>
          <w:sz w:val="28"/>
          <w:szCs w:val="28"/>
          <w:u w:val="single"/>
          <w:lang w:val="en-US" w:eastAsia="zh-CN" w:bidi="ar"/>
          <w14:textFill>
            <w14:solidFill>
              <w14:schemeClr w14:val="tx1"/>
            </w14:solidFill>
          </w14:textFill>
        </w:rPr>
        <w:t xml:space="preserve">   XXXX   </w:t>
      </w:r>
      <w:r>
        <w:rPr>
          <w:rFonts w:hint="eastAsia" w:ascii="仿宋_GB2312" w:hAnsi="Times New Roman" w:eastAsia="仿宋_GB2312" w:cs="仿宋_GB2312"/>
          <w:bCs/>
          <w:color w:val="000000" w:themeColor="text1"/>
          <w:kern w:val="2"/>
          <w:sz w:val="28"/>
          <w:szCs w:val="28"/>
          <w:lang w:val="en-US" w:eastAsia="zh-CN" w:bidi="ar"/>
          <w14:textFill>
            <w14:solidFill>
              <w14:schemeClr w14:val="tx1"/>
            </w14:solidFill>
          </w14:textFill>
        </w:rPr>
        <w:t>；职务</w:t>
      </w:r>
      <w:r>
        <w:rPr>
          <w:rFonts w:hint="eastAsia" w:ascii="仿宋_GB2312" w:hAnsi="Times New Roman" w:eastAsia="仿宋_GB2312" w:cs="仿宋_GB2312"/>
          <w:bCs/>
          <w:color w:val="000000" w:themeColor="text1"/>
          <w:kern w:val="2"/>
          <w:sz w:val="28"/>
          <w:szCs w:val="28"/>
          <w:u w:val="single"/>
          <w:lang w:val="en-US" w:eastAsia="zh-CN" w:bidi="ar"/>
          <w14:textFill>
            <w14:solidFill>
              <w14:schemeClr w14:val="tx1"/>
            </w14:solidFill>
          </w14:textFill>
        </w:rPr>
        <w:t>销售经理</w:t>
      </w:r>
      <w:r>
        <w:rPr>
          <w:rFonts w:hint="eastAsia" w:ascii="仿宋_GB2312" w:hAnsi="Times New Roman" w:eastAsia="仿宋_GB2312" w:cs="仿宋_GB2312"/>
          <w:bCs/>
          <w:color w:val="000000" w:themeColor="text1"/>
          <w:kern w:val="2"/>
          <w:sz w:val="28"/>
          <w:szCs w:val="28"/>
          <w:lang w:val="en-US" w:eastAsia="zh-CN" w:bidi="ar"/>
          <w14:textFill>
            <w14:solidFill>
              <w14:schemeClr w14:val="tx1"/>
            </w14:solidFill>
          </w14:textFill>
        </w:rPr>
        <w:t>；联系电话</w:t>
      </w:r>
      <w:r>
        <w:rPr>
          <w:rFonts w:hint="eastAsia" w:ascii="仿宋_GB2312" w:hAnsi="Times New Roman" w:eastAsia="仿宋_GB2312" w:cs="仿宋_GB2312"/>
          <w:bCs/>
          <w:color w:val="000000" w:themeColor="text1"/>
          <w:kern w:val="2"/>
          <w:sz w:val="28"/>
          <w:szCs w:val="28"/>
          <w:u w:val="single"/>
          <w:lang w:val="en-US" w:eastAsia="zh-CN" w:bidi="ar"/>
          <w14:textFill>
            <w14:solidFill>
              <w14:schemeClr w14:val="tx1"/>
            </w14:solidFill>
          </w14:textFill>
        </w:rPr>
        <w:t xml:space="preserve"> XXXX </w:t>
      </w:r>
      <w:r>
        <w:rPr>
          <w:rFonts w:hint="eastAsia" w:ascii="仿宋_GB2312" w:hAnsi="Times New Roman" w:eastAsia="仿宋_GB2312" w:cs="仿宋_GB2312"/>
          <w:bCs/>
          <w:color w:val="000000" w:themeColor="text1"/>
          <w:kern w:val="2"/>
          <w:sz w:val="28"/>
          <w:szCs w:val="28"/>
          <w:lang w:val="en-US" w:eastAsia="zh-CN" w:bidi="ar"/>
          <w14:textFill>
            <w14:solidFill>
              <w14:schemeClr w14:val="tx1"/>
            </w14:solidFill>
          </w14:textFill>
        </w:rPr>
        <w:t>；电子邮箱</w:t>
      </w:r>
      <w:r>
        <w:rPr>
          <w:rFonts w:hint="eastAsia" w:ascii="仿宋_GB2312" w:hAnsi="Times New Roman" w:eastAsia="仿宋_GB2312" w:cs="仿宋_GB2312"/>
          <w:bCs/>
          <w:color w:val="000000" w:themeColor="text1"/>
          <w:kern w:val="2"/>
          <w:sz w:val="28"/>
          <w:szCs w:val="28"/>
          <w:u w:val="single"/>
          <w:lang w:val="en-US" w:eastAsia="zh-CN" w:bidi="ar"/>
          <w14:textFill>
            <w14:solidFill>
              <w14:schemeClr w14:val="tx1"/>
            </w14:solidFill>
          </w14:textFill>
        </w:rPr>
        <w:t xml:space="preserve"> XXXX </w:t>
      </w:r>
      <w:r>
        <w:rPr>
          <w:rFonts w:hint="eastAsia" w:ascii="仿宋_GB2312" w:hAnsi="Times New Roman" w:eastAsia="仿宋_GB2312" w:cs="仿宋_GB2312"/>
          <w:bCs/>
          <w:color w:val="000000" w:themeColor="text1"/>
          <w:kern w:val="2"/>
          <w:sz w:val="28"/>
          <w:szCs w:val="28"/>
          <w:lang w:val="en-US" w:eastAsia="zh-CN" w:bidi="ar"/>
          <w14:textFill>
            <w14:solidFill>
              <w14:schemeClr w14:val="tx1"/>
            </w14:solidFill>
          </w14:textFill>
        </w:rPr>
        <w:t>。在履行合同过程中，该指定联系人及授权代表的行为、意思表示及对甲方所作的任何</w:t>
      </w:r>
      <w:r>
        <w:rPr>
          <w:rFonts w:hint="eastAsia" w:ascii="仿宋_GB2312" w:hAnsi="Times New Roman" w:eastAsia="仿宋_GB2312" w:cs="仿宋_GB2312"/>
          <w:bCs/>
          <w:kern w:val="2"/>
          <w:sz w:val="28"/>
          <w:szCs w:val="28"/>
          <w:lang w:val="en-US" w:eastAsia="zh-CN" w:bidi="ar"/>
        </w:rPr>
        <w:t>承诺、通知等，都对乙方直接具有约束力；甲方通知送达该联系人及授权代表时，即视为通知送达乙方。</w:t>
      </w:r>
    </w:p>
    <w:p w14:paraId="339E78F1">
      <w:pPr>
        <w:keepNext w:val="0"/>
        <w:keepLines w:val="0"/>
        <w:widowControl w:val="0"/>
        <w:suppressLineNumbers w:val="0"/>
        <w:adjustRightInd w:val="0"/>
        <w:snapToGrid w:val="0"/>
        <w:spacing w:before="0" w:beforeAutospacing="0" w:after="0" w:afterAutospacing="0" w:line="560" w:lineRule="exact"/>
        <w:ind w:left="0" w:right="0" w:firstLine="560"/>
        <w:jc w:val="both"/>
        <w:rPr>
          <w:rFonts w:hint="eastAsia" w:ascii="仿宋_GB2312" w:eastAsia="仿宋_GB2312" w:cs="仿宋_GB2312"/>
          <w:kern w:val="2"/>
          <w:sz w:val="28"/>
          <w:szCs w:val="28"/>
        </w:rPr>
      </w:pPr>
      <w:r>
        <w:rPr>
          <w:rFonts w:hint="eastAsia" w:ascii="仿宋_GB2312" w:hAnsi="Times New Roman" w:eastAsia="仿宋_GB2312" w:cs="仿宋_GB2312"/>
          <w:bCs/>
          <w:kern w:val="2"/>
          <w:sz w:val="28"/>
          <w:szCs w:val="28"/>
          <w:lang w:val="en-US" w:eastAsia="zh-CN" w:bidi="ar"/>
        </w:rPr>
        <w:t>2.乙方的指定联系人、授权代表的信息发生变化的，或乙方联系地址、电话等发生变化的，应提前5个工作日书面通知到甲方。否则相关送达的不利后果及责任，由乙方自行承担。</w:t>
      </w:r>
    </w:p>
    <w:p w14:paraId="5543FC91">
      <w:pPr>
        <w:keepNext w:val="0"/>
        <w:keepLines w:val="0"/>
        <w:widowControl w:val="0"/>
        <w:suppressLineNumbers w:val="0"/>
        <w:adjustRightInd w:val="0"/>
        <w:snapToGrid w:val="0"/>
        <w:spacing w:before="0" w:beforeAutospacing="0" w:after="0" w:afterAutospacing="0" w:line="560" w:lineRule="exact"/>
        <w:ind w:left="0" w:right="0" w:firstLine="560"/>
        <w:jc w:val="both"/>
        <w:rPr>
          <w:rFonts w:hint="eastAsia" w:ascii="仿宋_GB2312" w:eastAsia="仿宋_GB2312" w:cs="仿宋_GB2312"/>
          <w:bCs/>
          <w:kern w:val="2"/>
          <w:sz w:val="28"/>
          <w:szCs w:val="28"/>
        </w:rPr>
      </w:pPr>
      <w:r>
        <w:rPr>
          <w:rFonts w:hint="eastAsia" w:ascii="仿宋_GB2312" w:hAnsi="Times New Roman" w:eastAsia="仿宋_GB2312" w:cs="仿宋_GB2312"/>
          <w:bCs/>
          <w:kern w:val="2"/>
          <w:sz w:val="28"/>
          <w:szCs w:val="28"/>
          <w:lang w:val="en-US" w:eastAsia="zh-CN" w:bidi="ar"/>
        </w:rPr>
        <w:t>3.如上述地址无法送达的，以双方当事人的注册地址作为送达地址。</w:t>
      </w:r>
    </w:p>
    <w:p w14:paraId="1C321F47">
      <w:pPr>
        <w:keepNext w:val="0"/>
        <w:keepLines w:val="0"/>
        <w:widowControl w:val="0"/>
        <w:suppressLineNumbers w:val="0"/>
        <w:adjustRightInd w:val="0"/>
        <w:snapToGrid w:val="0"/>
        <w:spacing w:before="0" w:beforeAutospacing="0" w:after="0" w:afterAutospacing="0" w:line="560" w:lineRule="exact"/>
        <w:ind w:left="0" w:leftChars="0" w:right="0" w:rightChars="0" w:firstLine="562" w:firstLineChars="0"/>
        <w:jc w:val="both"/>
        <w:outlineLvl w:val="0"/>
        <w:rPr>
          <w:rFonts w:hint="eastAsia" w:ascii="仿宋_GB2312" w:eastAsia="仿宋_GB2312" w:cs="仿宋_GB2312"/>
          <w:b/>
          <w:bCs w:val="0"/>
          <w:kern w:val="2"/>
          <w:sz w:val="28"/>
          <w:szCs w:val="28"/>
        </w:rPr>
      </w:pPr>
      <w:bookmarkStart w:id="181" w:name="_Toc28631"/>
      <w:r>
        <w:rPr>
          <w:rFonts w:hint="eastAsia" w:ascii="仿宋_GB2312" w:hAnsi="Times New Roman" w:eastAsia="仿宋_GB2312" w:cs="仿宋_GB2312"/>
          <w:b/>
          <w:bCs w:val="0"/>
          <w:kern w:val="2"/>
          <w:sz w:val="28"/>
          <w:szCs w:val="28"/>
          <w:lang w:val="en-US" w:eastAsia="zh-CN" w:bidi="ar"/>
        </w:rPr>
        <w:t>第十七条  廉洁合作</w:t>
      </w:r>
      <w:bookmarkEnd w:id="181"/>
    </w:p>
    <w:p w14:paraId="4300A405">
      <w:pPr>
        <w:keepNext w:val="0"/>
        <w:keepLines w:val="0"/>
        <w:widowControl w:val="0"/>
        <w:suppressLineNumbers w:val="0"/>
        <w:adjustRightInd w:val="0"/>
        <w:snapToGrid w:val="0"/>
        <w:spacing w:before="0" w:beforeAutospacing="0" w:after="0" w:afterAutospacing="0" w:line="560" w:lineRule="exact"/>
        <w:ind w:left="0" w:right="0" w:firstLine="560" w:firstLineChars="200"/>
        <w:jc w:val="both"/>
        <w:rPr>
          <w:rFonts w:hint="eastAsia" w:ascii="仿宋_GB2312" w:eastAsia="仿宋_GB2312" w:cs="仿宋_GB2312"/>
          <w:bCs/>
          <w:kern w:val="2"/>
          <w:sz w:val="28"/>
          <w:szCs w:val="28"/>
        </w:rPr>
      </w:pPr>
      <w:r>
        <w:rPr>
          <w:rFonts w:hint="eastAsia" w:ascii="仿宋_GB2312" w:hAnsi="Times New Roman" w:eastAsia="仿宋_GB2312" w:cs="仿宋_GB2312"/>
          <w:bCs/>
          <w:kern w:val="2"/>
          <w:sz w:val="28"/>
          <w:szCs w:val="28"/>
          <w:lang w:val="en-US" w:eastAsia="zh-CN" w:bidi="ar"/>
        </w:rPr>
        <w:t>1.为确保防范通过政府采购项目拿回扣、职务侵占、商业贿赂等腐败行为，乙方应在合同签订时将《廉洁合作承诺书(企业承诺)》一并递交甲方备案,并在合同签订后与员工签订《廉洁从业承诺书(员工承诺)》,乙方存档备查。</w:t>
      </w:r>
    </w:p>
    <w:p w14:paraId="14E0434F">
      <w:pPr>
        <w:keepNext w:val="0"/>
        <w:keepLines w:val="0"/>
        <w:widowControl w:val="0"/>
        <w:suppressLineNumbers w:val="0"/>
        <w:adjustRightInd w:val="0"/>
        <w:snapToGrid w:val="0"/>
        <w:spacing w:before="0" w:beforeAutospacing="0" w:after="0" w:afterAutospacing="0" w:line="560" w:lineRule="exact"/>
        <w:ind w:left="0" w:right="0" w:firstLine="560" w:firstLineChars="200"/>
        <w:jc w:val="both"/>
        <w:rPr>
          <w:rFonts w:hint="eastAsia" w:ascii="仿宋_GB2312" w:eastAsia="仿宋_GB2312" w:cs="仿宋_GB2312"/>
          <w:bCs/>
          <w:kern w:val="2"/>
          <w:sz w:val="28"/>
          <w:szCs w:val="28"/>
        </w:rPr>
      </w:pPr>
      <w:r>
        <w:rPr>
          <w:rFonts w:hint="eastAsia" w:ascii="仿宋_GB2312" w:hAnsi="Times New Roman" w:eastAsia="仿宋_GB2312" w:cs="仿宋_GB2312"/>
          <w:bCs/>
          <w:kern w:val="2"/>
          <w:sz w:val="28"/>
          <w:szCs w:val="28"/>
          <w:lang w:val="en-US" w:eastAsia="zh-CN" w:bidi="ar"/>
        </w:rPr>
        <w:t>2.因本项目使用资金为财政资金，乙方应具备健全的财务会计制度，并完整保存本项目相关资料，审计部门等监管机构有权对资金流向实施监管。对不配合监督检查工作的，审计部门等监管机构可以根据相关规定进行处理，并向有关部门提出给予处分的建议。</w:t>
      </w:r>
    </w:p>
    <w:p w14:paraId="48E4A2A7">
      <w:pPr>
        <w:keepNext w:val="0"/>
        <w:keepLines w:val="0"/>
        <w:widowControl w:val="0"/>
        <w:suppressLineNumbers w:val="0"/>
        <w:adjustRightInd w:val="0"/>
        <w:snapToGrid w:val="0"/>
        <w:spacing w:before="0" w:beforeAutospacing="0" w:after="0" w:afterAutospacing="0" w:line="560" w:lineRule="exact"/>
        <w:ind w:left="0" w:leftChars="0" w:right="0" w:rightChars="0" w:firstLine="562" w:firstLineChars="0"/>
        <w:jc w:val="both"/>
        <w:outlineLvl w:val="0"/>
        <w:rPr>
          <w:rFonts w:hint="eastAsia" w:ascii="仿宋_GB2312" w:eastAsia="仿宋_GB2312" w:cs="仿宋_GB2312"/>
          <w:b/>
          <w:bCs w:val="0"/>
          <w:kern w:val="2"/>
          <w:sz w:val="28"/>
          <w:szCs w:val="28"/>
        </w:rPr>
      </w:pPr>
      <w:bookmarkStart w:id="182" w:name="_Toc26962"/>
      <w:r>
        <w:rPr>
          <w:rFonts w:hint="eastAsia" w:ascii="仿宋_GB2312" w:hAnsi="Times New Roman" w:eastAsia="仿宋_GB2312" w:cs="仿宋_GB2312"/>
          <w:b/>
          <w:bCs w:val="0"/>
          <w:kern w:val="2"/>
          <w:sz w:val="28"/>
          <w:szCs w:val="28"/>
          <w:lang w:val="en-US" w:eastAsia="zh-CN" w:bidi="ar"/>
        </w:rPr>
        <w:t>第十八条  附则</w:t>
      </w:r>
      <w:bookmarkEnd w:id="182"/>
    </w:p>
    <w:p w14:paraId="21CD95DA">
      <w:pPr>
        <w:keepNext w:val="0"/>
        <w:keepLines w:val="0"/>
        <w:widowControl w:val="0"/>
        <w:suppressLineNumbers w:val="0"/>
        <w:adjustRightInd w:val="0"/>
        <w:snapToGrid w:val="0"/>
        <w:spacing w:before="0" w:beforeAutospacing="0" w:after="0" w:afterAutospacing="0" w:line="560" w:lineRule="exact"/>
        <w:ind w:left="0" w:right="0" w:firstLine="560" w:firstLineChars="200"/>
        <w:jc w:val="both"/>
        <w:rPr>
          <w:rFonts w:hint="eastAsia" w:ascii="仿宋_GB2312" w:eastAsia="仿宋_GB2312" w:cs="仿宋_GB2312"/>
          <w:bCs/>
          <w:kern w:val="2"/>
          <w:sz w:val="28"/>
          <w:szCs w:val="28"/>
        </w:rPr>
      </w:pPr>
      <w:r>
        <w:rPr>
          <w:rFonts w:hint="eastAsia" w:ascii="仿宋_GB2312" w:hAnsi="Times New Roman" w:eastAsia="仿宋_GB2312" w:cs="仿宋_GB2312"/>
          <w:bCs/>
          <w:kern w:val="2"/>
          <w:sz w:val="28"/>
          <w:szCs w:val="28"/>
          <w:lang w:val="en-US" w:eastAsia="zh-CN" w:bidi="ar"/>
        </w:rPr>
        <w:t>1.本合同一式</w:t>
      </w:r>
      <w:r>
        <w:rPr>
          <w:rFonts w:hint="eastAsia" w:ascii="仿宋_GB2312" w:hAnsi="Times New Roman" w:eastAsia="仿宋_GB2312" w:cs="仿宋_GB2312"/>
          <w:kern w:val="2"/>
          <w:sz w:val="28"/>
          <w:szCs w:val="28"/>
          <w:u w:val="single"/>
          <w:lang w:val="en-US" w:eastAsia="zh-CN" w:bidi="ar"/>
        </w:rPr>
        <w:t xml:space="preserve"> 陆 </w:t>
      </w:r>
      <w:r>
        <w:rPr>
          <w:rFonts w:hint="eastAsia" w:ascii="仿宋_GB2312" w:hAnsi="Times New Roman" w:eastAsia="仿宋_GB2312" w:cs="仿宋_GB2312"/>
          <w:bCs/>
          <w:kern w:val="2"/>
          <w:sz w:val="28"/>
          <w:szCs w:val="28"/>
          <w:lang w:val="en-US" w:eastAsia="zh-CN" w:bidi="ar"/>
        </w:rPr>
        <w:t>份，甲方执</w:t>
      </w:r>
      <w:r>
        <w:rPr>
          <w:rFonts w:hint="eastAsia" w:ascii="仿宋_GB2312" w:hAnsi="Times New Roman" w:eastAsia="仿宋_GB2312" w:cs="仿宋_GB2312"/>
          <w:kern w:val="2"/>
          <w:sz w:val="28"/>
          <w:szCs w:val="28"/>
          <w:u w:val="single"/>
          <w:lang w:val="en-US" w:eastAsia="zh-CN" w:bidi="ar"/>
        </w:rPr>
        <w:t xml:space="preserve"> 伍 </w:t>
      </w:r>
      <w:r>
        <w:rPr>
          <w:rFonts w:hint="eastAsia" w:ascii="仿宋_GB2312" w:hAnsi="Times New Roman" w:eastAsia="仿宋_GB2312" w:cs="仿宋_GB2312"/>
          <w:bCs/>
          <w:kern w:val="2"/>
          <w:sz w:val="28"/>
          <w:szCs w:val="28"/>
          <w:lang w:val="en-US" w:eastAsia="zh-CN" w:bidi="ar"/>
        </w:rPr>
        <w:t>份、乙方执</w:t>
      </w:r>
      <w:r>
        <w:rPr>
          <w:rFonts w:hint="eastAsia" w:ascii="仿宋_GB2312" w:hAnsi="Times New Roman" w:eastAsia="仿宋_GB2312" w:cs="仿宋_GB2312"/>
          <w:kern w:val="2"/>
          <w:sz w:val="28"/>
          <w:szCs w:val="28"/>
          <w:u w:val="single"/>
          <w:lang w:val="en-US" w:eastAsia="zh-CN" w:bidi="ar"/>
        </w:rPr>
        <w:t xml:space="preserve"> 壹 </w:t>
      </w:r>
      <w:r>
        <w:rPr>
          <w:rFonts w:hint="eastAsia" w:ascii="仿宋_GB2312" w:hAnsi="Times New Roman" w:eastAsia="仿宋_GB2312" w:cs="仿宋_GB2312"/>
          <w:bCs/>
          <w:kern w:val="2"/>
          <w:sz w:val="28"/>
          <w:szCs w:val="28"/>
          <w:lang w:val="en-US" w:eastAsia="zh-CN" w:bidi="ar"/>
        </w:rPr>
        <w:t>份，具有同等法律效力。本合同自双方法定代表人或有权代理人签字并加盖双方公章或合同专用章之日起生效。</w:t>
      </w:r>
    </w:p>
    <w:p w14:paraId="30BA3AC6">
      <w:pPr>
        <w:keepNext w:val="0"/>
        <w:keepLines w:val="0"/>
        <w:widowControl w:val="0"/>
        <w:suppressLineNumbers w:val="0"/>
        <w:adjustRightInd w:val="0"/>
        <w:snapToGrid w:val="0"/>
        <w:spacing w:before="0" w:beforeAutospacing="0" w:after="0" w:afterAutospacing="0" w:line="560" w:lineRule="exact"/>
        <w:ind w:left="0" w:right="0" w:firstLine="560"/>
        <w:jc w:val="both"/>
        <w:rPr>
          <w:rFonts w:hint="eastAsia" w:ascii="仿宋_GB2312" w:eastAsia="仿宋_GB2312" w:cs="仿宋_GB2312"/>
          <w:bCs/>
          <w:kern w:val="2"/>
          <w:sz w:val="28"/>
          <w:szCs w:val="28"/>
        </w:rPr>
      </w:pPr>
      <w:r>
        <w:rPr>
          <w:rFonts w:hint="eastAsia" w:ascii="仿宋_GB2312" w:hAnsi="Times New Roman" w:eastAsia="仿宋_GB2312" w:cs="仿宋_GB2312"/>
          <w:bCs/>
          <w:kern w:val="2"/>
          <w:sz w:val="28"/>
          <w:szCs w:val="28"/>
          <w:lang w:val="en-US" w:eastAsia="zh-CN" w:bidi="ar"/>
        </w:rPr>
        <w:t>2.本合同未尽事宜，由双方协商处理，经协商一致可签订补充协议。</w:t>
      </w:r>
    </w:p>
    <w:p w14:paraId="30A3ABE0">
      <w:pPr>
        <w:keepNext w:val="0"/>
        <w:keepLines w:val="0"/>
        <w:widowControl w:val="0"/>
        <w:suppressLineNumbers w:val="0"/>
        <w:adjustRightInd w:val="0"/>
        <w:snapToGrid w:val="0"/>
        <w:spacing w:before="0" w:beforeAutospacing="0" w:after="0" w:afterAutospacing="0" w:line="560" w:lineRule="exact"/>
        <w:ind w:left="0" w:right="0" w:firstLine="560"/>
        <w:jc w:val="both"/>
        <w:rPr>
          <w:rFonts w:hint="eastAsia" w:ascii="仿宋_GB2312" w:eastAsia="仿宋_GB2312" w:cs="仿宋_GB2312"/>
          <w:bCs/>
          <w:kern w:val="2"/>
          <w:sz w:val="28"/>
          <w:szCs w:val="28"/>
        </w:rPr>
      </w:pPr>
      <w:r>
        <w:rPr>
          <w:rFonts w:hint="eastAsia" w:ascii="仿宋_GB2312" w:hAnsi="Times New Roman" w:eastAsia="仿宋_GB2312" w:cs="仿宋_GB2312"/>
          <w:bCs/>
          <w:kern w:val="2"/>
          <w:sz w:val="28"/>
          <w:szCs w:val="28"/>
          <w:lang w:val="en-US" w:eastAsia="zh-CN" w:bidi="ar"/>
        </w:rPr>
        <w:t>3.如有设备相关耗材、试剂或易损器械，设备及主要维修配件，乙方应提供并分别列出它们的优惠价格。</w:t>
      </w:r>
    </w:p>
    <w:p w14:paraId="7F4E5407">
      <w:pPr>
        <w:keepNext w:val="0"/>
        <w:keepLines w:val="0"/>
        <w:widowControl w:val="0"/>
        <w:suppressLineNumbers w:val="0"/>
        <w:adjustRightInd w:val="0"/>
        <w:snapToGrid w:val="0"/>
        <w:spacing w:before="0" w:beforeAutospacing="0" w:after="0" w:afterAutospacing="0" w:line="560" w:lineRule="exact"/>
        <w:ind w:left="0" w:leftChars="0" w:right="0" w:rightChars="0" w:firstLine="562" w:firstLineChars="0"/>
        <w:jc w:val="both"/>
        <w:outlineLvl w:val="0"/>
        <w:rPr>
          <w:rFonts w:hint="eastAsia" w:ascii="仿宋_GB2312" w:eastAsia="仿宋_GB2312" w:cs="仿宋_GB2312"/>
          <w:b/>
          <w:bCs w:val="0"/>
          <w:kern w:val="2"/>
          <w:sz w:val="28"/>
          <w:szCs w:val="28"/>
        </w:rPr>
      </w:pPr>
      <w:bookmarkStart w:id="183" w:name="_Toc22233"/>
      <w:r>
        <w:rPr>
          <w:rFonts w:hint="eastAsia" w:ascii="仿宋_GB2312" w:hAnsi="Times New Roman" w:eastAsia="仿宋_GB2312" w:cs="仿宋_GB2312"/>
          <w:b/>
          <w:bCs w:val="0"/>
          <w:kern w:val="2"/>
          <w:sz w:val="28"/>
          <w:szCs w:val="28"/>
          <w:lang w:val="en-US" w:eastAsia="zh-CN" w:bidi="ar"/>
        </w:rPr>
        <w:t>第十九条  合同组成文件</w:t>
      </w:r>
      <w:bookmarkEnd w:id="183"/>
    </w:p>
    <w:p w14:paraId="7EADE498">
      <w:pPr>
        <w:keepNext w:val="0"/>
        <w:keepLines w:val="0"/>
        <w:widowControl w:val="0"/>
        <w:suppressLineNumbers w:val="0"/>
        <w:adjustRightInd w:val="0"/>
        <w:snapToGrid w:val="0"/>
        <w:spacing w:before="0" w:beforeAutospacing="0" w:after="0" w:afterAutospacing="0" w:line="560" w:lineRule="exact"/>
        <w:ind w:left="0" w:right="0" w:firstLine="560"/>
        <w:jc w:val="both"/>
        <w:rPr>
          <w:rFonts w:hint="eastAsia" w:ascii="仿宋_GB2312" w:eastAsia="仿宋_GB2312" w:cs="仿宋_GB2312"/>
          <w:kern w:val="2"/>
          <w:sz w:val="28"/>
          <w:szCs w:val="28"/>
        </w:rPr>
      </w:pPr>
      <w:r>
        <w:rPr>
          <w:rFonts w:hint="eastAsia" w:ascii="仿宋_GB2312" w:hAnsi="Times New Roman" w:eastAsia="仿宋_GB2312" w:cs="仿宋_GB2312"/>
          <w:kern w:val="2"/>
          <w:sz w:val="28"/>
          <w:szCs w:val="28"/>
          <w:lang w:val="en-US" w:eastAsia="zh-CN" w:bidi="ar"/>
        </w:rPr>
        <w:t>下列文件为本合同的组成部分，并构成一个整体，需综合解释、相互补充。如果下列文件内容出现不一致的情形，在保证按照采购文件确定的事项的前提下，组成本合同的多个文件的优先适用顺序如下：</w:t>
      </w:r>
    </w:p>
    <w:p w14:paraId="66D58A3A">
      <w:pPr>
        <w:keepNext w:val="0"/>
        <w:keepLines w:val="0"/>
        <w:widowControl w:val="0"/>
        <w:suppressLineNumbers w:val="0"/>
        <w:adjustRightInd w:val="0"/>
        <w:snapToGrid w:val="0"/>
        <w:spacing w:before="0" w:beforeAutospacing="0" w:after="0" w:afterAutospacing="0" w:line="560" w:lineRule="exact"/>
        <w:ind w:left="0" w:right="0" w:firstLine="560"/>
        <w:jc w:val="both"/>
        <w:rPr>
          <w:rFonts w:hint="eastAsia" w:ascii="仿宋_GB2312" w:eastAsia="仿宋_GB2312" w:cs="仿宋_GB2312"/>
          <w:kern w:val="2"/>
          <w:sz w:val="28"/>
          <w:szCs w:val="28"/>
        </w:rPr>
      </w:pPr>
      <w:r>
        <w:rPr>
          <w:rFonts w:hint="eastAsia" w:ascii="仿宋_GB2312" w:hAnsi="Times New Roman" w:eastAsia="仿宋_GB2312" w:cs="仿宋_GB2312"/>
          <w:kern w:val="2"/>
          <w:sz w:val="28"/>
          <w:szCs w:val="28"/>
          <w:lang w:val="en-US" w:eastAsia="zh-CN" w:bidi="ar"/>
        </w:rPr>
        <w:t>1.本合同及其附件、补充合同、变更协议；</w:t>
      </w:r>
    </w:p>
    <w:p w14:paraId="28FF17B3">
      <w:pPr>
        <w:keepNext w:val="0"/>
        <w:keepLines w:val="0"/>
        <w:widowControl w:val="0"/>
        <w:suppressLineNumbers w:val="0"/>
        <w:adjustRightInd w:val="0"/>
        <w:snapToGrid w:val="0"/>
        <w:spacing w:before="0" w:beforeAutospacing="0" w:after="0" w:afterAutospacing="0" w:line="560" w:lineRule="exact"/>
        <w:ind w:left="0" w:right="0" w:firstLine="560"/>
        <w:jc w:val="both"/>
        <w:rPr>
          <w:rFonts w:hint="eastAsia" w:ascii="仿宋_GB2312" w:eastAsia="仿宋_GB2312" w:cs="仿宋_GB2312"/>
          <w:kern w:val="2"/>
          <w:sz w:val="28"/>
          <w:szCs w:val="28"/>
        </w:rPr>
      </w:pPr>
      <w:r>
        <w:rPr>
          <w:rFonts w:hint="eastAsia" w:ascii="仿宋_GB2312" w:hAnsi="Times New Roman" w:eastAsia="仿宋_GB2312" w:cs="仿宋_GB2312"/>
          <w:kern w:val="2"/>
          <w:sz w:val="28"/>
          <w:szCs w:val="28"/>
          <w:lang w:val="en-US" w:eastAsia="zh-CN" w:bidi="ar"/>
        </w:rPr>
        <w:t>2.中标通知书；</w:t>
      </w:r>
    </w:p>
    <w:p w14:paraId="566848FE">
      <w:pPr>
        <w:keepNext w:val="0"/>
        <w:keepLines w:val="0"/>
        <w:widowControl w:val="0"/>
        <w:suppressLineNumbers w:val="0"/>
        <w:adjustRightInd w:val="0"/>
        <w:snapToGrid w:val="0"/>
        <w:spacing w:before="0" w:beforeAutospacing="0" w:after="0" w:afterAutospacing="0" w:line="560" w:lineRule="exact"/>
        <w:ind w:left="0" w:right="0" w:firstLine="560"/>
        <w:jc w:val="both"/>
        <w:rPr>
          <w:rFonts w:hint="eastAsia" w:ascii="仿宋_GB2312" w:eastAsia="仿宋_GB2312" w:cs="仿宋_GB2312"/>
          <w:kern w:val="2"/>
          <w:sz w:val="28"/>
          <w:szCs w:val="28"/>
        </w:rPr>
      </w:pPr>
      <w:r>
        <w:rPr>
          <w:rFonts w:hint="eastAsia" w:ascii="仿宋_GB2312" w:hAnsi="Times New Roman" w:eastAsia="仿宋_GB2312" w:cs="仿宋_GB2312"/>
          <w:kern w:val="2"/>
          <w:sz w:val="28"/>
          <w:szCs w:val="28"/>
          <w:lang w:val="en-US" w:eastAsia="zh-CN" w:bidi="ar"/>
        </w:rPr>
        <w:t>3.投标文件（含澄清或者说明文件）；</w:t>
      </w:r>
    </w:p>
    <w:p w14:paraId="57028774">
      <w:pPr>
        <w:keepNext w:val="0"/>
        <w:keepLines w:val="0"/>
        <w:widowControl w:val="0"/>
        <w:suppressLineNumbers w:val="0"/>
        <w:adjustRightInd w:val="0"/>
        <w:snapToGrid w:val="0"/>
        <w:spacing w:before="0" w:beforeAutospacing="0" w:after="0" w:afterAutospacing="0" w:line="560" w:lineRule="exact"/>
        <w:ind w:left="0" w:right="0" w:firstLine="560"/>
        <w:jc w:val="both"/>
        <w:rPr>
          <w:rFonts w:hint="eastAsia" w:ascii="仿宋_GB2312" w:eastAsia="仿宋_GB2312" w:cs="仿宋_GB2312"/>
          <w:kern w:val="2"/>
          <w:sz w:val="28"/>
          <w:szCs w:val="28"/>
        </w:rPr>
      </w:pPr>
      <w:r>
        <w:rPr>
          <w:rFonts w:hint="eastAsia" w:ascii="仿宋_GB2312" w:hAnsi="Times New Roman" w:eastAsia="仿宋_GB2312" w:cs="仿宋_GB2312"/>
          <w:kern w:val="2"/>
          <w:sz w:val="28"/>
          <w:szCs w:val="28"/>
          <w:lang w:val="en-US" w:eastAsia="zh-CN" w:bidi="ar"/>
        </w:rPr>
        <w:t>4.征集文件（含澄清或者修改文件）；</w:t>
      </w:r>
    </w:p>
    <w:p w14:paraId="7FBE8B5E">
      <w:pPr>
        <w:keepNext w:val="0"/>
        <w:keepLines w:val="0"/>
        <w:widowControl w:val="0"/>
        <w:suppressLineNumbers w:val="0"/>
        <w:adjustRightInd w:val="0"/>
        <w:snapToGrid w:val="0"/>
        <w:spacing w:before="0" w:beforeAutospacing="0" w:after="0" w:afterAutospacing="0" w:line="560" w:lineRule="exact"/>
        <w:ind w:left="0" w:right="0" w:firstLine="560" w:firstLineChars="200"/>
        <w:jc w:val="both"/>
        <w:rPr>
          <w:rFonts w:hint="eastAsia" w:ascii="仿宋_GB2312" w:eastAsia="仿宋_GB2312" w:cs="仿宋_GB2312"/>
          <w:bCs/>
          <w:kern w:val="2"/>
          <w:sz w:val="28"/>
          <w:szCs w:val="28"/>
        </w:rPr>
      </w:pPr>
      <w:r>
        <w:rPr>
          <w:rFonts w:hint="eastAsia" w:ascii="仿宋_GB2312" w:hAnsi="Times New Roman" w:eastAsia="仿宋_GB2312" w:cs="仿宋_GB2312"/>
          <w:kern w:val="2"/>
          <w:sz w:val="28"/>
          <w:szCs w:val="28"/>
          <w:lang w:val="en-US" w:eastAsia="zh-CN" w:bidi="ar"/>
        </w:rPr>
        <w:t>5.其他相关采购文件。</w:t>
      </w:r>
    </w:p>
    <w:p w14:paraId="1DBDB0B2">
      <w:pPr>
        <w:keepNext w:val="0"/>
        <w:keepLines w:val="0"/>
        <w:widowControl w:val="0"/>
        <w:suppressLineNumbers w:val="0"/>
        <w:adjustRightInd w:val="0"/>
        <w:snapToGrid w:val="0"/>
        <w:spacing w:before="0" w:beforeAutospacing="0" w:after="0" w:afterAutospacing="0" w:line="560" w:lineRule="exact"/>
        <w:ind w:left="0" w:right="0" w:firstLine="560" w:firstLineChars="200"/>
        <w:jc w:val="both"/>
        <w:rPr>
          <w:rFonts w:hint="eastAsia" w:ascii="仿宋_GB2312" w:eastAsia="仿宋_GB2312" w:cs="仿宋_GB2312"/>
          <w:bCs/>
          <w:kern w:val="2"/>
          <w:sz w:val="28"/>
          <w:szCs w:val="28"/>
        </w:rPr>
      </w:pPr>
      <w:r>
        <w:rPr>
          <w:rFonts w:hint="eastAsia" w:ascii="仿宋_GB2312" w:hAnsi="Times New Roman" w:eastAsia="仿宋_GB2312" w:cs="仿宋_GB2312"/>
          <w:bCs/>
          <w:kern w:val="2"/>
          <w:sz w:val="28"/>
          <w:szCs w:val="28"/>
          <w:lang w:val="en-US" w:eastAsia="zh-CN" w:bidi="ar"/>
        </w:rPr>
        <w:t>附件一：中标通知书</w:t>
      </w:r>
    </w:p>
    <w:p w14:paraId="1CDC973A">
      <w:pPr>
        <w:keepNext w:val="0"/>
        <w:keepLines w:val="0"/>
        <w:widowControl w:val="0"/>
        <w:suppressLineNumbers w:val="0"/>
        <w:adjustRightInd w:val="0"/>
        <w:snapToGrid w:val="0"/>
        <w:spacing w:before="0" w:beforeAutospacing="0" w:after="0" w:afterAutospacing="0" w:line="560" w:lineRule="exact"/>
        <w:ind w:left="0" w:right="0" w:firstLine="560"/>
        <w:jc w:val="left"/>
        <w:rPr>
          <w:rFonts w:hint="eastAsia" w:ascii="仿宋_GB2312" w:eastAsia="仿宋_GB2312" w:cs="仿宋_GB2312"/>
          <w:kern w:val="2"/>
          <w:sz w:val="28"/>
          <w:szCs w:val="28"/>
        </w:rPr>
      </w:pPr>
      <w:r>
        <w:rPr>
          <w:rFonts w:hint="eastAsia" w:ascii="仿宋_GB2312" w:hAnsi="Times New Roman" w:eastAsia="仿宋_GB2312" w:cs="仿宋_GB2312"/>
          <w:kern w:val="2"/>
          <w:sz w:val="28"/>
          <w:szCs w:val="28"/>
          <w:lang w:val="en-US" w:eastAsia="zh-CN" w:bidi="ar"/>
        </w:rPr>
        <w:t>附件二：廉洁合作承诺书（企业承诺）</w:t>
      </w:r>
    </w:p>
    <w:p w14:paraId="79CA7C50">
      <w:pPr>
        <w:keepNext w:val="0"/>
        <w:keepLines w:val="0"/>
        <w:widowControl w:val="0"/>
        <w:suppressLineNumbers w:val="0"/>
        <w:adjustRightInd w:val="0"/>
        <w:snapToGrid w:val="0"/>
        <w:spacing w:before="0" w:beforeAutospacing="0" w:after="0" w:afterAutospacing="0" w:line="560" w:lineRule="exact"/>
        <w:ind w:left="0" w:right="0" w:firstLine="560"/>
        <w:jc w:val="left"/>
        <w:rPr>
          <w:rFonts w:hint="eastAsia" w:ascii="仿宋_GB2312" w:eastAsia="仿宋_GB2312" w:cs="仿宋_GB2312"/>
          <w:bCs/>
          <w:kern w:val="2"/>
          <w:sz w:val="28"/>
          <w:szCs w:val="28"/>
        </w:rPr>
      </w:pPr>
      <w:r>
        <w:rPr>
          <w:rFonts w:hint="eastAsia" w:ascii="仿宋_GB2312" w:hAnsi="Times New Roman" w:eastAsia="仿宋_GB2312" w:cs="仿宋_GB2312"/>
          <w:kern w:val="2"/>
          <w:sz w:val="28"/>
          <w:szCs w:val="28"/>
          <w:lang w:val="en-US" w:eastAsia="zh-CN" w:bidi="ar"/>
        </w:rPr>
        <w:t>附件三：廉洁从业承诺书（员工承诺）</w:t>
      </w:r>
    </w:p>
    <w:p w14:paraId="1EFC61B5">
      <w:pPr>
        <w:keepNext w:val="0"/>
        <w:keepLines w:val="0"/>
        <w:widowControl w:val="0"/>
        <w:suppressLineNumbers w:val="0"/>
        <w:adjustRightInd w:val="0"/>
        <w:snapToGrid w:val="0"/>
        <w:spacing w:before="0" w:beforeAutospacing="0" w:after="0" w:afterAutospacing="0" w:line="560" w:lineRule="exact"/>
        <w:ind w:left="0" w:right="0" w:firstLine="560"/>
        <w:jc w:val="both"/>
        <w:rPr>
          <w:rFonts w:hint="eastAsia" w:ascii="仿宋_GB2312" w:eastAsia="仿宋_GB2312" w:cs="仿宋_GB2312"/>
          <w:bCs/>
          <w:kern w:val="2"/>
          <w:sz w:val="28"/>
          <w:szCs w:val="28"/>
        </w:rPr>
      </w:pPr>
      <w:r>
        <w:rPr>
          <w:rFonts w:hint="eastAsia" w:ascii="仿宋_GB2312" w:hAnsi="Times New Roman" w:eastAsia="仿宋_GB2312" w:cs="仿宋_GB2312"/>
          <w:bCs/>
          <w:kern w:val="2"/>
          <w:sz w:val="28"/>
          <w:szCs w:val="28"/>
          <w:lang w:val="en-US" w:eastAsia="zh-CN" w:bidi="ar"/>
        </w:rPr>
        <w:t>附件四：配置清单</w:t>
      </w:r>
    </w:p>
    <w:p w14:paraId="138DABC3">
      <w:pPr>
        <w:keepNext w:val="0"/>
        <w:keepLines w:val="0"/>
        <w:widowControl w:val="0"/>
        <w:suppressLineNumbers w:val="0"/>
        <w:adjustRightInd w:val="0"/>
        <w:snapToGrid w:val="0"/>
        <w:spacing w:before="0" w:beforeAutospacing="0" w:after="0" w:afterAutospacing="0" w:line="560" w:lineRule="exact"/>
        <w:ind w:left="0" w:right="0" w:firstLine="560"/>
        <w:jc w:val="both"/>
        <w:rPr>
          <w:rFonts w:hint="eastAsia" w:ascii="仿宋_GB2312" w:eastAsia="仿宋_GB2312" w:cs="仿宋_GB2312"/>
          <w:bCs/>
          <w:kern w:val="2"/>
          <w:sz w:val="28"/>
          <w:szCs w:val="28"/>
        </w:rPr>
      </w:pPr>
      <w:r>
        <w:rPr>
          <w:rFonts w:hint="eastAsia" w:ascii="仿宋_GB2312" w:hAnsi="Times New Roman" w:eastAsia="仿宋_GB2312" w:cs="仿宋_GB2312"/>
          <w:bCs/>
          <w:kern w:val="2"/>
          <w:sz w:val="28"/>
          <w:szCs w:val="28"/>
          <w:lang w:val="en-US" w:eastAsia="zh-CN" w:bidi="ar"/>
        </w:rPr>
        <w:t>附件五：技术偏离表</w:t>
      </w:r>
    </w:p>
    <w:p w14:paraId="00F6C0AD">
      <w:pPr>
        <w:keepNext w:val="0"/>
        <w:keepLines w:val="0"/>
        <w:widowControl w:val="0"/>
        <w:suppressLineNumbers w:val="0"/>
        <w:adjustRightInd w:val="0"/>
        <w:snapToGrid w:val="0"/>
        <w:spacing w:before="0" w:beforeAutospacing="0" w:after="0" w:afterAutospacing="0" w:line="560" w:lineRule="exact"/>
        <w:ind w:left="0" w:right="0" w:firstLine="560"/>
        <w:jc w:val="both"/>
        <w:rPr>
          <w:rFonts w:hint="eastAsia" w:ascii="仿宋_GB2312" w:eastAsia="仿宋_GB2312" w:cs="仿宋_GB2312"/>
          <w:bCs/>
          <w:kern w:val="2"/>
          <w:sz w:val="28"/>
          <w:szCs w:val="28"/>
        </w:rPr>
      </w:pPr>
      <w:r>
        <w:rPr>
          <w:rFonts w:hint="eastAsia" w:ascii="仿宋_GB2312" w:hAnsi="Times New Roman" w:eastAsia="仿宋_GB2312" w:cs="仿宋_GB2312"/>
          <w:bCs/>
          <w:kern w:val="2"/>
          <w:sz w:val="28"/>
          <w:szCs w:val="28"/>
          <w:lang w:val="en-US" w:eastAsia="zh-CN" w:bidi="ar"/>
        </w:rPr>
        <w:t>附件六：售后服务承诺（含厂家）</w:t>
      </w:r>
    </w:p>
    <w:p w14:paraId="61B1BB15">
      <w:pPr>
        <w:keepNext w:val="0"/>
        <w:keepLines w:val="0"/>
        <w:widowControl w:val="0"/>
        <w:suppressLineNumbers w:val="0"/>
        <w:adjustRightInd w:val="0"/>
        <w:snapToGrid w:val="0"/>
        <w:spacing w:before="0" w:beforeAutospacing="0" w:after="0" w:afterAutospacing="0" w:line="560" w:lineRule="exact"/>
        <w:ind w:left="0" w:right="0"/>
        <w:jc w:val="both"/>
        <w:rPr>
          <w:rFonts w:hint="eastAsia" w:ascii="仿宋_GB2312" w:eastAsia="仿宋_GB2312" w:cs="仿宋_GB2312"/>
          <w:kern w:val="2"/>
          <w:sz w:val="28"/>
          <w:szCs w:val="28"/>
        </w:rPr>
      </w:pPr>
      <w:r>
        <w:rPr>
          <w:rFonts w:hint="eastAsia" w:ascii="仿宋_GB2312" w:hAnsi="Times New Roman" w:eastAsia="仿宋_GB2312" w:cs="仿宋_GB2312"/>
          <w:kern w:val="2"/>
          <w:sz w:val="28"/>
          <w:szCs w:val="28"/>
          <w:lang w:val="en-US" w:eastAsia="zh-CN" w:bidi="ar"/>
        </w:rPr>
        <w:t xml:space="preserve"> </w:t>
      </w:r>
    </w:p>
    <w:p w14:paraId="76F7AE85">
      <w:pPr>
        <w:keepNext w:val="0"/>
        <w:keepLines w:val="0"/>
        <w:widowControl w:val="0"/>
        <w:suppressLineNumbers w:val="0"/>
        <w:adjustRightInd w:val="0"/>
        <w:snapToGrid w:val="0"/>
        <w:spacing w:before="0" w:beforeAutospacing="0" w:after="0" w:afterAutospacing="0" w:line="560" w:lineRule="exact"/>
        <w:ind w:left="0" w:right="0"/>
        <w:jc w:val="left"/>
        <w:rPr>
          <w:rFonts w:hint="eastAsia" w:ascii="仿宋_GB2312" w:eastAsia="仿宋_GB2312" w:cs="仿宋_GB2312"/>
          <w:kern w:val="2"/>
          <w:sz w:val="28"/>
          <w:szCs w:val="28"/>
        </w:rPr>
      </w:pPr>
      <w:r>
        <w:rPr>
          <w:rFonts w:hint="eastAsia" w:ascii="仿宋_GB2312" w:hAnsi="Times New Roman" w:eastAsia="仿宋_GB2312" w:cs="仿宋_GB2312"/>
          <w:kern w:val="2"/>
          <w:sz w:val="28"/>
          <w:szCs w:val="28"/>
          <w:lang w:val="en-US" w:eastAsia="zh-CN" w:bidi="ar"/>
        </w:rPr>
        <w:t xml:space="preserve"> </w:t>
      </w:r>
    </w:p>
    <w:p w14:paraId="67BF623C">
      <w:pPr>
        <w:keepNext w:val="0"/>
        <w:keepLines w:val="0"/>
        <w:widowControl w:val="0"/>
        <w:suppressLineNumbers w:val="0"/>
        <w:adjustRightInd w:val="0"/>
        <w:snapToGrid w:val="0"/>
        <w:spacing w:before="0" w:beforeAutospacing="0" w:after="0" w:afterAutospacing="0" w:line="560" w:lineRule="exact"/>
        <w:ind w:left="0" w:right="0"/>
        <w:jc w:val="left"/>
        <w:rPr>
          <w:rFonts w:hint="eastAsia" w:ascii="仿宋_GB2312" w:eastAsia="仿宋_GB2312" w:cs="仿宋_GB2312"/>
          <w:kern w:val="2"/>
          <w:sz w:val="28"/>
          <w:szCs w:val="28"/>
        </w:rPr>
      </w:pPr>
      <w:r>
        <w:rPr>
          <w:rFonts w:hint="eastAsia" w:ascii="仿宋_GB2312" w:hAnsi="Times New Roman" w:eastAsia="仿宋_GB2312" w:cs="仿宋_GB2312"/>
          <w:kern w:val="2"/>
          <w:sz w:val="28"/>
          <w:szCs w:val="28"/>
          <w:lang w:val="en-US" w:eastAsia="zh-CN" w:bidi="ar"/>
        </w:rPr>
        <w:t xml:space="preserve"> </w:t>
      </w:r>
    </w:p>
    <w:p w14:paraId="7283FF78">
      <w:pPr>
        <w:keepNext w:val="0"/>
        <w:keepLines w:val="0"/>
        <w:widowControl/>
        <w:suppressLineNumbers w:val="0"/>
        <w:spacing w:before="0" w:beforeAutospacing="0" w:after="0" w:afterAutospacing="0"/>
        <w:ind w:left="0" w:right="0"/>
        <w:jc w:val="left"/>
        <w:rPr>
          <w:rFonts w:hint="eastAsia" w:ascii="仿宋_GB2312" w:eastAsia="仿宋_GB2312" w:cs="仿宋_GB2312"/>
          <w:kern w:val="2"/>
          <w:sz w:val="28"/>
          <w:szCs w:val="28"/>
        </w:rPr>
      </w:pPr>
      <w:r>
        <w:rPr>
          <w:rFonts w:hint="eastAsia" w:ascii="仿宋_GB2312" w:hAnsi="Times New Roman" w:eastAsia="仿宋_GB2312" w:cs="仿宋_GB2312"/>
          <w:kern w:val="2"/>
          <w:sz w:val="28"/>
          <w:szCs w:val="28"/>
          <w:lang w:val="en-US" w:eastAsia="zh-CN" w:bidi="ar"/>
        </w:rPr>
        <w:br w:type="page"/>
      </w:r>
    </w:p>
    <w:p w14:paraId="7094F3A3">
      <w:pPr>
        <w:keepNext w:val="0"/>
        <w:keepLines w:val="0"/>
        <w:widowControl w:val="0"/>
        <w:suppressLineNumbers w:val="0"/>
        <w:adjustRightInd w:val="0"/>
        <w:snapToGrid w:val="0"/>
        <w:spacing w:before="0" w:beforeAutospacing="0" w:after="0" w:afterAutospacing="0" w:line="560" w:lineRule="exact"/>
        <w:ind w:left="0" w:right="0"/>
        <w:jc w:val="left"/>
        <w:rPr>
          <w:rFonts w:hint="eastAsia" w:ascii="仿宋_GB2312" w:eastAsia="仿宋_GB2312" w:cs="仿宋_GB2312"/>
          <w:kern w:val="2"/>
          <w:sz w:val="28"/>
          <w:szCs w:val="28"/>
        </w:rPr>
      </w:pPr>
      <w:r>
        <w:rPr>
          <w:rFonts w:hint="eastAsia" w:ascii="仿宋_GB2312" w:hAnsi="Times New Roman" w:eastAsia="仿宋_GB2312" w:cs="仿宋_GB2312"/>
          <w:kern w:val="2"/>
          <w:sz w:val="28"/>
          <w:szCs w:val="28"/>
          <w:lang w:val="en-US" w:eastAsia="zh-CN" w:bidi="ar"/>
        </w:rPr>
        <w:t>（本页无正文</w:t>
      </w:r>
      <w:r>
        <w:rPr>
          <w:rFonts w:hint="eastAsia" w:ascii="仿宋_GB2312" w:hAnsi="Times New Roman" w:eastAsia="仿宋_GB2312" w:cs="仿宋_GB2312"/>
          <w:color w:val="000000" w:themeColor="text1"/>
          <w:kern w:val="2"/>
          <w:sz w:val="28"/>
          <w:szCs w:val="28"/>
          <w:lang w:val="en-US" w:eastAsia="zh-CN" w:bidi="ar"/>
          <w14:textFill>
            <w14:solidFill>
              <w14:schemeClr w14:val="tx1"/>
            </w14:solidFill>
          </w14:textFill>
        </w:rPr>
        <w:t>，为《XXXX》签署页</w:t>
      </w:r>
      <w:r>
        <w:rPr>
          <w:rFonts w:hint="eastAsia" w:ascii="仿宋_GB2312" w:hAnsi="Times New Roman" w:eastAsia="仿宋_GB2312" w:cs="仿宋_GB2312"/>
          <w:kern w:val="2"/>
          <w:sz w:val="28"/>
          <w:szCs w:val="28"/>
          <w:lang w:val="en-US" w:eastAsia="zh-CN" w:bidi="ar"/>
        </w:rPr>
        <w:t>）</w:t>
      </w:r>
    </w:p>
    <w:p w14:paraId="4F8276BF">
      <w:pPr>
        <w:keepNext w:val="0"/>
        <w:keepLines w:val="0"/>
        <w:widowControl w:val="0"/>
        <w:suppressLineNumbers w:val="0"/>
        <w:adjustRightInd w:val="0"/>
        <w:snapToGrid w:val="0"/>
        <w:spacing w:before="0" w:beforeAutospacing="0" w:after="0" w:afterAutospacing="0" w:line="560" w:lineRule="exact"/>
        <w:ind w:left="0" w:right="0"/>
        <w:jc w:val="both"/>
        <w:rPr>
          <w:rFonts w:hint="eastAsia" w:ascii="仿宋_GB2312" w:eastAsia="仿宋_GB2312" w:cs="仿宋_GB2312"/>
          <w:kern w:val="2"/>
          <w:sz w:val="28"/>
          <w:szCs w:val="28"/>
        </w:rPr>
      </w:pPr>
      <w:r>
        <w:rPr>
          <w:rFonts w:hint="eastAsia" w:ascii="仿宋_GB2312" w:hAnsi="Times New Roman" w:eastAsia="仿宋_GB2312" w:cs="仿宋_GB2312"/>
          <w:kern w:val="2"/>
          <w:sz w:val="28"/>
          <w:szCs w:val="28"/>
          <w:lang w:val="en-US" w:eastAsia="zh-CN" w:bidi="ar"/>
        </w:rPr>
        <w:t xml:space="preserve"> </w:t>
      </w:r>
    </w:p>
    <w:p w14:paraId="2EEB6780">
      <w:pPr>
        <w:keepNext w:val="0"/>
        <w:keepLines w:val="0"/>
        <w:widowControl w:val="0"/>
        <w:suppressLineNumbers w:val="0"/>
        <w:adjustRightInd w:val="0"/>
        <w:snapToGrid w:val="0"/>
        <w:spacing w:before="0" w:beforeAutospacing="0" w:after="0" w:afterAutospacing="0" w:line="560" w:lineRule="exact"/>
        <w:ind w:left="0" w:right="0"/>
        <w:jc w:val="both"/>
        <w:rPr>
          <w:rFonts w:hint="eastAsia" w:ascii="仿宋_GB2312" w:eastAsia="仿宋_GB2312" w:cs="仿宋_GB2312"/>
          <w:kern w:val="2"/>
          <w:sz w:val="28"/>
          <w:szCs w:val="28"/>
        </w:rPr>
      </w:pPr>
      <w:r>
        <w:rPr>
          <w:rFonts w:hint="eastAsia" w:ascii="仿宋_GB2312" w:hAnsi="Times New Roman" w:eastAsia="仿宋_GB2312" w:cs="仿宋_GB2312"/>
          <w:kern w:val="2"/>
          <w:sz w:val="28"/>
          <w:szCs w:val="28"/>
          <w:lang w:val="en-US" w:eastAsia="zh-CN" w:bidi="ar"/>
        </w:rPr>
        <w:t xml:space="preserve"> </w:t>
      </w:r>
    </w:p>
    <w:p w14:paraId="5D9DE3DA">
      <w:pPr>
        <w:keepNext w:val="0"/>
        <w:keepLines w:val="0"/>
        <w:widowControl w:val="0"/>
        <w:suppressLineNumbers w:val="0"/>
        <w:adjustRightInd w:val="0"/>
        <w:snapToGrid w:val="0"/>
        <w:spacing w:before="0" w:beforeAutospacing="0" w:after="0" w:afterAutospacing="0" w:line="560" w:lineRule="exact"/>
        <w:ind w:left="0" w:right="0"/>
        <w:jc w:val="both"/>
        <w:rPr>
          <w:rFonts w:hint="default" w:ascii="Times New Roman" w:hAnsi="Times New Roman" w:eastAsia="宋体" w:cs="Times New Roman"/>
          <w:kern w:val="2"/>
          <w:sz w:val="21"/>
          <w:szCs w:val="21"/>
        </w:rPr>
      </w:pPr>
      <w:r>
        <w:rPr>
          <w:rFonts w:hint="default" w:ascii="Times New Roman" w:hAnsi="Times New Roman" w:eastAsia="宋体" w:cs="Times New Roman"/>
          <w:kern w:val="2"/>
          <w:sz w:val="21"/>
          <w:szCs w:val="21"/>
          <w:lang w:val="en-US" w:eastAsia="zh-CN" w:bidi="ar"/>
        </w:rPr>
        <w:t xml:space="preserve"> </w:t>
      </w:r>
    </w:p>
    <w:tbl>
      <w:tblPr>
        <w:tblStyle w:val="22"/>
        <w:tblW w:w="5000" w:type="pct"/>
        <w:jc w:val="center"/>
        <w:tblBorders>
          <w:top w:val="none" w:color="auto" w:sz="4" w:space="0"/>
          <w:left w:val="none" w:color="auto" w:sz="4" w:space="0"/>
          <w:bottom w:val="none" w:color="auto" w:sz="4" w:space="0"/>
          <w:right w:val="none" w:color="auto" w:sz="4"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4362"/>
        <w:gridCol w:w="4160"/>
      </w:tblGrid>
      <w:tr w14:paraId="13BE9969">
        <w:tblPrEx>
          <w:tblBorders>
            <w:top w:val="none" w:color="auto" w:sz="4" w:space="0"/>
            <w:left w:val="none" w:color="auto" w:sz="4" w:space="0"/>
            <w:bottom w:val="none" w:color="auto" w:sz="4" w:space="0"/>
            <w:right w:val="non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jc w:val="center"/>
        </w:trPr>
        <w:tc>
          <w:tcPr>
            <w:tcW w:w="2559" w:type="pct"/>
            <w:tcBorders>
              <w:top w:val="nil"/>
              <w:left w:val="nil"/>
              <w:bottom w:val="nil"/>
              <w:right w:val="nil"/>
            </w:tcBorders>
            <w:shd w:val="clear" w:color="auto" w:fill="auto"/>
            <w:vAlign w:val="top"/>
          </w:tcPr>
          <w:p w14:paraId="14D854B5">
            <w:pPr>
              <w:keepNext w:val="0"/>
              <w:keepLines w:val="0"/>
              <w:widowControl w:val="0"/>
              <w:suppressLineNumbers w:val="0"/>
              <w:spacing w:before="0" w:beforeAutospacing="0" w:after="0" w:afterAutospacing="0" w:line="360" w:lineRule="auto"/>
              <w:ind w:left="0" w:right="0"/>
              <w:jc w:val="both"/>
              <w:rPr>
                <w:rFonts w:hint="eastAsia" w:ascii="仿宋" w:hAnsi="仿宋" w:eastAsia="仿宋" w:cs="Times New Roman"/>
                <w:kern w:val="2"/>
                <w:sz w:val="28"/>
                <w:szCs w:val="28"/>
              </w:rPr>
            </w:pPr>
            <w:r>
              <w:rPr>
                <w:rFonts w:hint="eastAsia" w:ascii="仿宋" w:hAnsi="仿宋" w:eastAsia="仿宋" w:cs="仿宋"/>
                <w:kern w:val="2"/>
                <w:sz w:val="28"/>
                <w:szCs w:val="28"/>
                <w:lang w:val="en-US" w:eastAsia="zh-CN" w:bidi="ar"/>
              </w:rPr>
              <w:t>甲方：深圳市福田区第二人民医院</w:t>
            </w:r>
          </w:p>
        </w:tc>
        <w:tc>
          <w:tcPr>
            <w:tcW w:w="2441" w:type="pct"/>
            <w:tcBorders>
              <w:top w:val="nil"/>
              <w:left w:val="nil"/>
              <w:bottom w:val="nil"/>
              <w:right w:val="nil"/>
            </w:tcBorders>
            <w:shd w:val="clear" w:color="auto" w:fill="auto"/>
            <w:vAlign w:val="top"/>
          </w:tcPr>
          <w:p w14:paraId="3C71B5CB">
            <w:pPr>
              <w:keepNext w:val="0"/>
              <w:keepLines w:val="0"/>
              <w:widowControl w:val="0"/>
              <w:suppressLineNumbers w:val="0"/>
              <w:spacing w:before="0" w:beforeAutospacing="0" w:after="0" w:afterAutospacing="0" w:line="360" w:lineRule="auto"/>
              <w:ind w:left="0" w:right="0"/>
              <w:jc w:val="both"/>
              <w:rPr>
                <w:rFonts w:hint="eastAsia" w:ascii="仿宋" w:hAnsi="仿宋" w:eastAsia="仿宋" w:cs="Times New Roman"/>
                <w:kern w:val="2"/>
                <w:sz w:val="28"/>
                <w:szCs w:val="28"/>
              </w:rPr>
            </w:pPr>
            <w:r>
              <w:rPr>
                <w:rFonts w:hint="eastAsia" w:ascii="仿宋" w:hAnsi="仿宋" w:eastAsia="仿宋" w:cs="仿宋"/>
                <w:kern w:val="2"/>
                <w:sz w:val="28"/>
                <w:szCs w:val="28"/>
                <w:lang w:val="en-US" w:eastAsia="zh-CN" w:bidi="ar"/>
              </w:rPr>
              <w:t>乙方：</w:t>
            </w:r>
          </w:p>
        </w:tc>
      </w:tr>
      <w:tr w14:paraId="223952E9">
        <w:tblPrEx>
          <w:tblBorders>
            <w:top w:val="none" w:color="auto" w:sz="4" w:space="0"/>
            <w:left w:val="none" w:color="auto" w:sz="4" w:space="0"/>
            <w:bottom w:val="none" w:color="auto" w:sz="4" w:space="0"/>
            <w:right w:val="non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59" w:type="pct"/>
            <w:tcBorders>
              <w:top w:val="nil"/>
              <w:left w:val="nil"/>
              <w:bottom w:val="nil"/>
              <w:right w:val="nil"/>
            </w:tcBorders>
            <w:shd w:val="clear" w:color="auto" w:fill="auto"/>
            <w:vAlign w:val="top"/>
          </w:tcPr>
          <w:p w14:paraId="01358CA2">
            <w:pPr>
              <w:keepNext w:val="0"/>
              <w:keepLines w:val="0"/>
              <w:widowControl w:val="0"/>
              <w:suppressLineNumbers w:val="0"/>
              <w:spacing w:before="0" w:beforeAutospacing="0" w:after="0" w:afterAutospacing="0" w:line="360" w:lineRule="auto"/>
              <w:ind w:left="0" w:right="0" w:firstLine="840" w:firstLineChars="300"/>
              <w:jc w:val="both"/>
              <w:rPr>
                <w:rFonts w:hint="eastAsia" w:ascii="仿宋" w:hAnsi="仿宋" w:eastAsia="仿宋" w:cs="Times New Roman"/>
                <w:kern w:val="2"/>
                <w:sz w:val="28"/>
                <w:szCs w:val="28"/>
              </w:rPr>
            </w:pPr>
            <w:r>
              <w:rPr>
                <w:rFonts w:hint="eastAsia" w:ascii="仿宋" w:hAnsi="仿宋" w:eastAsia="仿宋" w:cs="仿宋"/>
                <w:kern w:val="2"/>
                <w:sz w:val="28"/>
                <w:szCs w:val="28"/>
                <w:lang w:val="en-US" w:eastAsia="zh-CN" w:bidi="ar"/>
              </w:rPr>
              <w:t>地址：</w:t>
            </w:r>
          </w:p>
        </w:tc>
        <w:tc>
          <w:tcPr>
            <w:tcW w:w="2441" w:type="pct"/>
            <w:tcBorders>
              <w:top w:val="nil"/>
              <w:left w:val="nil"/>
              <w:bottom w:val="nil"/>
              <w:right w:val="nil"/>
            </w:tcBorders>
            <w:shd w:val="clear" w:color="auto" w:fill="auto"/>
            <w:vAlign w:val="top"/>
          </w:tcPr>
          <w:p w14:paraId="344D2F80">
            <w:pPr>
              <w:keepNext w:val="0"/>
              <w:keepLines w:val="0"/>
              <w:widowControl w:val="0"/>
              <w:suppressLineNumbers w:val="0"/>
              <w:spacing w:before="0" w:beforeAutospacing="0" w:after="0" w:afterAutospacing="0" w:line="360" w:lineRule="auto"/>
              <w:ind w:left="0" w:right="0"/>
              <w:jc w:val="both"/>
              <w:rPr>
                <w:rFonts w:hint="eastAsia" w:ascii="仿宋" w:hAnsi="仿宋" w:eastAsia="仿宋" w:cs="Times New Roman"/>
                <w:kern w:val="2"/>
                <w:sz w:val="28"/>
                <w:szCs w:val="28"/>
              </w:rPr>
            </w:pPr>
            <w:r>
              <w:rPr>
                <w:rFonts w:hint="eastAsia" w:ascii="仿宋" w:hAnsi="仿宋" w:eastAsia="仿宋" w:cs="仿宋"/>
                <w:kern w:val="2"/>
                <w:sz w:val="28"/>
                <w:szCs w:val="28"/>
                <w:lang w:val="en-US" w:eastAsia="zh-CN" w:bidi="ar"/>
              </w:rPr>
              <w:t>地</w:t>
            </w:r>
            <w:r>
              <w:rPr>
                <w:rFonts w:hint="eastAsia" w:ascii="仿宋" w:hAnsi="仿宋" w:eastAsia="仿宋" w:cs="Times New Roman"/>
                <w:kern w:val="2"/>
                <w:sz w:val="28"/>
                <w:szCs w:val="28"/>
                <w:lang w:val="en-US" w:eastAsia="zh-CN" w:bidi="ar"/>
              </w:rPr>
              <w:t xml:space="preserve"> </w:t>
            </w:r>
            <w:r>
              <w:rPr>
                <w:rFonts w:hint="eastAsia" w:ascii="仿宋" w:hAnsi="仿宋" w:eastAsia="仿宋" w:cs="仿宋"/>
                <w:kern w:val="2"/>
                <w:sz w:val="28"/>
                <w:szCs w:val="28"/>
                <w:lang w:val="en-US" w:eastAsia="zh-CN" w:bidi="ar"/>
              </w:rPr>
              <w:t>址：</w:t>
            </w:r>
          </w:p>
        </w:tc>
      </w:tr>
      <w:tr w14:paraId="1DC6AC51">
        <w:tblPrEx>
          <w:tblBorders>
            <w:top w:val="none" w:color="auto" w:sz="4" w:space="0"/>
            <w:left w:val="none" w:color="auto" w:sz="4" w:space="0"/>
            <w:bottom w:val="none" w:color="auto" w:sz="4" w:space="0"/>
            <w:right w:val="non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jc w:val="center"/>
        </w:trPr>
        <w:tc>
          <w:tcPr>
            <w:tcW w:w="2559" w:type="pct"/>
            <w:tcBorders>
              <w:top w:val="nil"/>
              <w:left w:val="nil"/>
              <w:bottom w:val="nil"/>
              <w:right w:val="nil"/>
            </w:tcBorders>
            <w:shd w:val="clear" w:color="auto" w:fill="auto"/>
            <w:vAlign w:val="top"/>
          </w:tcPr>
          <w:p w14:paraId="64BC953D">
            <w:pPr>
              <w:keepNext w:val="0"/>
              <w:keepLines w:val="0"/>
              <w:widowControl w:val="0"/>
              <w:suppressLineNumbers w:val="0"/>
              <w:spacing w:before="0" w:beforeAutospacing="0" w:after="0" w:afterAutospacing="0" w:line="360" w:lineRule="auto"/>
              <w:ind w:left="0" w:right="0"/>
              <w:jc w:val="both"/>
              <w:rPr>
                <w:rFonts w:hint="eastAsia" w:ascii="仿宋" w:hAnsi="仿宋" w:eastAsia="仿宋" w:cs="Times New Roman"/>
                <w:kern w:val="2"/>
                <w:sz w:val="28"/>
                <w:szCs w:val="28"/>
              </w:rPr>
            </w:pPr>
            <w:r>
              <w:rPr>
                <w:rFonts w:hint="eastAsia" w:ascii="仿宋" w:hAnsi="仿宋" w:eastAsia="仿宋" w:cs="仿宋"/>
                <w:kern w:val="2"/>
                <w:sz w:val="28"/>
                <w:szCs w:val="28"/>
                <w:lang w:val="en-US" w:eastAsia="zh-CN" w:bidi="ar"/>
              </w:rPr>
              <w:t>法定代表人：</w:t>
            </w:r>
          </w:p>
          <w:p w14:paraId="2A2D2CB3">
            <w:pPr>
              <w:keepNext w:val="0"/>
              <w:keepLines w:val="0"/>
              <w:widowControl w:val="0"/>
              <w:suppressLineNumbers w:val="0"/>
              <w:spacing w:before="0" w:beforeAutospacing="0" w:after="0" w:afterAutospacing="0" w:line="360" w:lineRule="auto"/>
              <w:ind w:left="0" w:right="0"/>
              <w:jc w:val="both"/>
              <w:rPr>
                <w:rFonts w:hint="eastAsia" w:ascii="仿宋" w:hAnsi="仿宋" w:eastAsia="仿宋" w:cs="Times New Roman"/>
                <w:kern w:val="2"/>
                <w:sz w:val="28"/>
                <w:szCs w:val="28"/>
              </w:rPr>
            </w:pPr>
          </w:p>
        </w:tc>
        <w:tc>
          <w:tcPr>
            <w:tcW w:w="2441" w:type="pct"/>
            <w:tcBorders>
              <w:top w:val="nil"/>
              <w:left w:val="nil"/>
              <w:bottom w:val="nil"/>
              <w:right w:val="nil"/>
            </w:tcBorders>
            <w:shd w:val="clear" w:color="auto" w:fill="auto"/>
            <w:vAlign w:val="top"/>
          </w:tcPr>
          <w:p w14:paraId="4DAE673C">
            <w:pPr>
              <w:keepNext w:val="0"/>
              <w:keepLines w:val="0"/>
              <w:widowControl w:val="0"/>
              <w:suppressLineNumbers w:val="0"/>
              <w:spacing w:before="0" w:beforeAutospacing="0" w:after="0" w:afterAutospacing="0" w:line="360" w:lineRule="auto"/>
              <w:ind w:left="0" w:right="0"/>
              <w:jc w:val="both"/>
              <w:rPr>
                <w:rFonts w:hint="eastAsia" w:ascii="仿宋" w:hAnsi="仿宋" w:eastAsia="仿宋" w:cs="Times New Roman"/>
                <w:kern w:val="2"/>
                <w:sz w:val="28"/>
                <w:szCs w:val="28"/>
              </w:rPr>
            </w:pPr>
            <w:r>
              <w:rPr>
                <w:rFonts w:hint="eastAsia" w:ascii="仿宋" w:hAnsi="仿宋" w:eastAsia="仿宋" w:cs="仿宋"/>
                <w:kern w:val="2"/>
                <w:sz w:val="28"/>
                <w:szCs w:val="28"/>
                <w:lang w:val="en-US" w:eastAsia="zh-CN" w:bidi="ar"/>
              </w:rPr>
              <w:t>法定代表人：</w:t>
            </w:r>
          </w:p>
        </w:tc>
      </w:tr>
      <w:tr w14:paraId="338836D8">
        <w:tblPrEx>
          <w:tblBorders>
            <w:top w:val="none" w:color="auto" w:sz="4" w:space="0"/>
            <w:left w:val="none" w:color="auto" w:sz="4" w:space="0"/>
            <w:bottom w:val="none" w:color="auto" w:sz="4" w:space="0"/>
            <w:right w:val="non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jc w:val="center"/>
        </w:trPr>
        <w:tc>
          <w:tcPr>
            <w:tcW w:w="2559" w:type="pct"/>
            <w:tcBorders>
              <w:top w:val="nil"/>
              <w:left w:val="nil"/>
              <w:bottom w:val="nil"/>
              <w:right w:val="nil"/>
            </w:tcBorders>
            <w:shd w:val="clear" w:color="auto" w:fill="auto"/>
            <w:vAlign w:val="top"/>
          </w:tcPr>
          <w:p w14:paraId="0F1B7B50">
            <w:pPr>
              <w:keepNext w:val="0"/>
              <w:keepLines w:val="0"/>
              <w:widowControl w:val="0"/>
              <w:suppressLineNumbers w:val="0"/>
              <w:spacing w:before="0" w:beforeAutospacing="0" w:after="0" w:afterAutospacing="0" w:line="360" w:lineRule="auto"/>
              <w:ind w:left="0" w:right="0"/>
              <w:jc w:val="both"/>
              <w:rPr>
                <w:rFonts w:hint="eastAsia" w:ascii="仿宋" w:hAnsi="仿宋" w:eastAsia="仿宋" w:cs="Times New Roman"/>
                <w:kern w:val="2"/>
                <w:sz w:val="28"/>
                <w:szCs w:val="28"/>
              </w:rPr>
            </w:pPr>
            <w:r>
              <w:rPr>
                <w:rFonts w:hint="eastAsia" w:ascii="仿宋" w:hAnsi="仿宋" w:eastAsia="仿宋" w:cs="仿宋"/>
                <w:kern w:val="2"/>
                <w:sz w:val="28"/>
                <w:szCs w:val="28"/>
                <w:lang w:val="en-US" w:eastAsia="zh-CN" w:bidi="ar"/>
              </w:rPr>
              <w:t>委托代理人：</w:t>
            </w:r>
          </w:p>
          <w:p w14:paraId="2B13E927">
            <w:pPr>
              <w:keepNext w:val="0"/>
              <w:keepLines w:val="0"/>
              <w:widowControl w:val="0"/>
              <w:suppressLineNumbers w:val="0"/>
              <w:spacing w:before="0" w:beforeAutospacing="0" w:after="0" w:afterAutospacing="0" w:line="360" w:lineRule="auto"/>
              <w:ind w:left="0" w:right="0"/>
              <w:jc w:val="both"/>
              <w:rPr>
                <w:rFonts w:hint="eastAsia" w:ascii="仿宋" w:hAnsi="仿宋" w:eastAsia="仿宋" w:cs="Times New Roman"/>
                <w:kern w:val="2"/>
                <w:sz w:val="28"/>
                <w:szCs w:val="28"/>
              </w:rPr>
            </w:pPr>
          </w:p>
        </w:tc>
        <w:tc>
          <w:tcPr>
            <w:tcW w:w="2441" w:type="pct"/>
            <w:tcBorders>
              <w:top w:val="nil"/>
              <w:left w:val="nil"/>
              <w:bottom w:val="nil"/>
              <w:right w:val="nil"/>
            </w:tcBorders>
            <w:shd w:val="clear" w:color="auto" w:fill="auto"/>
            <w:vAlign w:val="top"/>
          </w:tcPr>
          <w:p w14:paraId="69E7D060">
            <w:pPr>
              <w:keepNext w:val="0"/>
              <w:keepLines w:val="0"/>
              <w:widowControl w:val="0"/>
              <w:suppressLineNumbers w:val="0"/>
              <w:spacing w:before="0" w:beforeAutospacing="0" w:after="0" w:afterAutospacing="0" w:line="360" w:lineRule="auto"/>
              <w:ind w:left="0" w:right="0"/>
              <w:jc w:val="both"/>
              <w:rPr>
                <w:rFonts w:hint="eastAsia" w:ascii="仿宋" w:hAnsi="仿宋" w:eastAsia="仿宋" w:cs="Times New Roman"/>
                <w:kern w:val="2"/>
                <w:sz w:val="28"/>
                <w:szCs w:val="28"/>
              </w:rPr>
            </w:pPr>
            <w:r>
              <w:rPr>
                <w:rFonts w:hint="eastAsia" w:ascii="仿宋" w:hAnsi="仿宋" w:eastAsia="仿宋" w:cs="仿宋"/>
                <w:kern w:val="2"/>
                <w:sz w:val="28"/>
                <w:szCs w:val="28"/>
                <w:lang w:val="en-US" w:eastAsia="zh-CN" w:bidi="ar"/>
              </w:rPr>
              <w:t>委托代理人：</w:t>
            </w:r>
          </w:p>
        </w:tc>
      </w:tr>
      <w:tr w14:paraId="066AEE46">
        <w:tblPrEx>
          <w:tblBorders>
            <w:top w:val="none" w:color="auto" w:sz="4" w:space="0"/>
            <w:left w:val="none" w:color="auto" w:sz="4" w:space="0"/>
            <w:bottom w:val="none" w:color="auto" w:sz="4" w:space="0"/>
            <w:right w:val="non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jc w:val="center"/>
        </w:trPr>
        <w:tc>
          <w:tcPr>
            <w:tcW w:w="2559" w:type="pct"/>
            <w:tcBorders>
              <w:top w:val="nil"/>
              <w:left w:val="nil"/>
              <w:bottom w:val="nil"/>
              <w:right w:val="nil"/>
            </w:tcBorders>
            <w:shd w:val="clear" w:color="auto" w:fill="auto"/>
            <w:vAlign w:val="top"/>
          </w:tcPr>
          <w:p w14:paraId="09AF21AF">
            <w:pPr>
              <w:keepNext w:val="0"/>
              <w:keepLines w:val="0"/>
              <w:widowControl w:val="0"/>
              <w:suppressLineNumbers w:val="0"/>
              <w:spacing w:before="0" w:beforeAutospacing="0" w:after="0" w:afterAutospacing="0" w:line="360" w:lineRule="auto"/>
              <w:ind w:left="0" w:right="0"/>
              <w:jc w:val="both"/>
              <w:rPr>
                <w:rFonts w:hint="eastAsia" w:ascii="仿宋" w:hAnsi="仿宋" w:eastAsia="仿宋" w:cs="Times New Roman"/>
                <w:kern w:val="2"/>
                <w:sz w:val="28"/>
                <w:szCs w:val="28"/>
              </w:rPr>
            </w:pPr>
            <w:r>
              <w:rPr>
                <w:rFonts w:hint="eastAsia" w:ascii="仿宋" w:hAnsi="仿宋" w:eastAsia="仿宋" w:cs="仿宋"/>
                <w:kern w:val="2"/>
                <w:sz w:val="28"/>
                <w:szCs w:val="28"/>
                <w:lang w:val="en-US" w:eastAsia="zh-CN" w:bidi="ar"/>
              </w:rPr>
              <w:t>电</w:t>
            </w:r>
            <w:r>
              <w:rPr>
                <w:rFonts w:hint="eastAsia" w:ascii="仿宋" w:hAnsi="仿宋" w:eastAsia="仿宋" w:cs="Times New Roman"/>
                <w:kern w:val="2"/>
                <w:sz w:val="28"/>
                <w:szCs w:val="28"/>
                <w:lang w:val="en-US" w:eastAsia="zh-CN" w:bidi="ar"/>
              </w:rPr>
              <w:t xml:space="preserve"> </w:t>
            </w:r>
            <w:r>
              <w:rPr>
                <w:rFonts w:hint="eastAsia" w:ascii="仿宋" w:hAnsi="仿宋" w:eastAsia="仿宋" w:cs="仿宋"/>
                <w:kern w:val="2"/>
                <w:sz w:val="28"/>
                <w:szCs w:val="28"/>
                <w:lang w:val="en-US" w:eastAsia="zh-CN" w:bidi="ar"/>
              </w:rPr>
              <w:t>话：</w:t>
            </w:r>
          </w:p>
        </w:tc>
        <w:tc>
          <w:tcPr>
            <w:tcW w:w="2441" w:type="pct"/>
            <w:tcBorders>
              <w:top w:val="nil"/>
              <w:left w:val="nil"/>
              <w:bottom w:val="nil"/>
              <w:right w:val="nil"/>
            </w:tcBorders>
            <w:shd w:val="clear" w:color="auto" w:fill="auto"/>
            <w:vAlign w:val="top"/>
          </w:tcPr>
          <w:p w14:paraId="245F03FD">
            <w:pPr>
              <w:keepNext w:val="0"/>
              <w:keepLines w:val="0"/>
              <w:widowControl w:val="0"/>
              <w:suppressLineNumbers w:val="0"/>
              <w:spacing w:before="0" w:beforeAutospacing="0" w:after="0" w:afterAutospacing="0" w:line="360" w:lineRule="auto"/>
              <w:ind w:left="0" w:right="0"/>
              <w:jc w:val="both"/>
              <w:rPr>
                <w:rFonts w:hint="eastAsia" w:ascii="仿宋" w:hAnsi="仿宋" w:eastAsia="仿宋" w:cs="Times New Roman"/>
                <w:kern w:val="2"/>
                <w:sz w:val="28"/>
                <w:szCs w:val="28"/>
              </w:rPr>
            </w:pPr>
            <w:r>
              <w:rPr>
                <w:rFonts w:hint="eastAsia" w:ascii="仿宋" w:hAnsi="仿宋" w:eastAsia="仿宋" w:cs="仿宋"/>
                <w:kern w:val="2"/>
                <w:sz w:val="28"/>
                <w:szCs w:val="28"/>
                <w:lang w:val="en-US" w:eastAsia="zh-CN" w:bidi="ar"/>
              </w:rPr>
              <w:t>电</w:t>
            </w:r>
            <w:r>
              <w:rPr>
                <w:rFonts w:hint="eastAsia" w:ascii="仿宋" w:hAnsi="仿宋" w:eastAsia="仿宋" w:cs="Times New Roman"/>
                <w:kern w:val="2"/>
                <w:sz w:val="28"/>
                <w:szCs w:val="28"/>
                <w:lang w:val="en-US" w:eastAsia="zh-CN" w:bidi="ar"/>
              </w:rPr>
              <w:t xml:space="preserve"> </w:t>
            </w:r>
            <w:r>
              <w:rPr>
                <w:rFonts w:hint="eastAsia" w:ascii="仿宋" w:hAnsi="仿宋" w:eastAsia="仿宋" w:cs="仿宋"/>
                <w:kern w:val="2"/>
                <w:sz w:val="28"/>
                <w:szCs w:val="28"/>
                <w:lang w:val="en-US" w:eastAsia="zh-CN" w:bidi="ar"/>
              </w:rPr>
              <w:t>话：</w:t>
            </w:r>
          </w:p>
        </w:tc>
      </w:tr>
      <w:tr w14:paraId="1B115055">
        <w:tblPrEx>
          <w:tblBorders>
            <w:top w:val="none" w:color="auto" w:sz="4" w:space="0"/>
            <w:left w:val="none" w:color="auto" w:sz="4" w:space="0"/>
            <w:bottom w:val="none" w:color="auto" w:sz="4" w:space="0"/>
            <w:right w:val="non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jc w:val="center"/>
        </w:trPr>
        <w:tc>
          <w:tcPr>
            <w:tcW w:w="2559" w:type="pct"/>
            <w:tcBorders>
              <w:top w:val="nil"/>
              <w:left w:val="nil"/>
              <w:bottom w:val="nil"/>
              <w:right w:val="nil"/>
            </w:tcBorders>
            <w:shd w:val="clear" w:color="auto" w:fill="auto"/>
            <w:vAlign w:val="top"/>
          </w:tcPr>
          <w:p w14:paraId="0CD57FBD">
            <w:pPr>
              <w:keepNext w:val="0"/>
              <w:keepLines w:val="0"/>
              <w:widowControl w:val="0"/>
              <w:suppressLineNumbers w:val="0"/>
              <w:spacing w:before="0" w:beforeAutospacing="0" w:after="0" w:afterAutospacing="0" w:line="360" w:lineRule="auto"/>
              <w:ind w:left="0" w:right="0"/>
              <w:jc w:val="both"/>
              <w:rPr>
                <w:rFonts w:hint="eastAsia" w:ascii="仿宋" w:hAnsi="仿宋" w:eastAsia="仿宋" w:cs="Times New Roman"/>
                <w:kern w:val="2"/>
                <w:sz w:val="28"/>
                <w:szCs w:val="28"/>
              </w:rPr>
            </w:pPr>
            <w:r>
              <w:rPr>
                <w:rFonts w:hint="eastAsia" w:ascii="仿宋" w:hAnsi="仿宋" w:eastAsia="仿宋" w:cs="仿宋"/>
                <w:kern w:val="2"/>
                <w:sz w:val="28"/>
                <w:szCs w:val="28"/>
                <w:lang w:val="en-US" w:eastAsia="zh-CN" w:bidi="ar"/>
              </w:rPr>
              <w:t>开户银行：</w:t>
            </w:r>
          </w:p>
        </w:tc>
        <w:tc>
          <w:tcPr>
            <w:tcW w:w="2441" w:type="pct"/>
            <w:tcBorders>
              <w:top w:val="nil"/>
              <w:left w:val="nil"/>
              <w:bottom w:val="nil"/>
              <w:right w:val="nil"/>
            </w:tcBorders>
            <w:shd w:val="clear" w:color="auto" w:fill="auto"/>
            <w:vAlign w:val="top"/>
          </w:tcPr>
          <w:p w14:paraId="0C5397A8">
            <w:pPr>
              <w:keepNext w:val="0"/>
              <w:keepLines w:val="0"/>
              <w:widowControl w:val="0"/>
              <w:suppressLineNumbers w:val="0"/>
              <w:spacing w:before="0" w:beforeAutospacing="0" w:after="0" w:afterAutospacing="0" w:line="360" w:lineRule="auto"/>
              <w:ind w:left="0" w:right="0"/>
              <w:jc w:val="both"/>
              <w:rPr>
                <w:rFonts w:hint="eastAsia" w:ascii="仿宋" w:hAnsi="仿宋" w:eastAsia="仿宋" w:cs="Times New Roman"/>
                <w:kern w:val="2"/>
                <w:sz w:val="28"/>
                <w:szCs w:val="28"/>
              </w:rPr>
            </w:pPr>
            <w:r>
              <w:rPr>
                <w:rFonts w:hint="eastAsia" w:ascii="仿宋" w:hAnsi="仿宋" w:eastAsia="仿宋" w:cs="仿宋"/>
                <w:kern w:val="2"/>
                <w:sz w:val="28"/>
                <w:szCs w:val="28"/>
                <w:lang w:val="en-US" w:eastAsia="zh-CN" w:bidi="ar"/>
              </w:rPr>
              <w:t>开户银行：</w:t>
            </w:r>
          </w:p>
        </w:tc>
      </w:tr>
      <w:tr w14:paraId="36411420">
        <w:tblPrEx>
          <w:tblBorders>
            <w:top w:val="none" w:color="auto" w:sz="4" w:space="0"/>
            <w:left w:val="none" w:color="auto" w:sz="4" w:space="0"/>
            <w:bottom w:val="none" w:color="auto" w:sz="4" w:space="0"/>
            <w:right w:val="non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jc w:val="center"/>
        </w:trPr>
        <w:tc>
          <w:tcPr>
            <w:tcW w:w="2559" w:type="pct"/>
            <w:tcBorders>
              <w:top w:val="nil"/>
              <w:left w:val="nil"/>
              <w:bottom w:val="nil"/>
              <w:right w:val="nil"/>
            </w:tcBorders>
            <w:shd w:val="clear" w:color="auto" w:fill="auto"/>
            <w:vAlign w:val="top"/>
          </w:tcPr>
          <w:p w14:paraId="6EA15F9D">
            <w:pPr>
              <w:keepNext w:val="0"/>
              <w:keepLines w:val="0"/>
              <w:widowControl w:val="0"/>
              <w:suppressLineNumbers w:val="0"/>
              <w:spacing w:before="0" w:beforeAutospacing="0" w:after="0" w:afterAutospacing="0" w:line="360" w:lineRule="auto"/>
              <w:ind w:left="0" w:right="0"/>
              <w:jc w:val="both"/>
              <w:rPr>
                <w:rFonts w:hint="eastAsia" w:ascii="仿宋" w:hAnsi="仿宋" w:eastAsia="仿宋" w:cs="Times New Roman"/>
                <w:kern w:val="2"/>
                <w:sz w:val="28"/>
                <w:szCs w:val="28"/>
              </w:rPr>
            </w:pPr>
            <w:r>
              <w:rPr>
                <w:rFonts w:hint="eastAsia" w:ascii="仿宋" w:hAnsi="仿宋" w:eastAsia="仿宋" w:cs="仿宋"/>
                <w:kern w:val="2"/>
                <w:sz w:val="28"/>
                <w:szCs w:val="28"/>
                <w:lang w:val="en-US" w:eastAsia="zh-CN" w:bidi="ar"/>
              </w:rPr>
              <w:t>账</w:t>
            </w:r>
            <w:r>
              <w:rPr>
                <w:rFonts w:hint="eastAsia" w:ascii="仿宋" w:hAnsi="仿宋" w:eastAsia="仿宋" w:cs="Times New Roman"/>
                <w:kern w:val="2"/>
                <w:sz w:val="28"/>
                <w:szCs w:val="28"/>
                <w:lang w:val="en-US" w:eastAsia="zh-CN" w:bidi="ar"/>
              </w:rPr>
              <w:t xml:space="preserve"> </w:t>
            </w:r>
            <w:r>
              <w:rPr>
                <w:rFonts w:hint="eastAsia" w:ascii="仿宋" w:hAnsi="仿宋" w:eastAsia="仿宋" w:cs="仿宋"/>
                <w:kern w:val="2"/>
                <w:sz w:val="28"/>
                <w:szCs w:val="28"/>
                <w:lang w:val="en-US" w:eastAsia="zh-CN" w:bidi="ar"/>
              </w:rPr>
              <w:t>号：</w:t>
            </w:r>
          </w:p>
        </w:tc>
        <w:tc>
          <w:tcPr>
            <w:tcW w:w="2441" w:type="pct"/>
            <w:tcBorders>
              <w:top w:val="nil"/>
              <w:left w:val="nil"/>
              <w:bottom w:val="nil"/>
              <w:right w:val="nil"/>
            </w:tcBorders>
            <w:shd w:val="clear" w:color="auto" w:fill="auto"/>
            <w:vAlign w:val="top"/>
          </w:tcPr>
          <w:p w14:paraId="05A37C21">
            <w:pPr>
              <w:keepNext w:val="0"/>
              <w:keepLines w:val="0"/>
              <w:widowControl w:val="0"/>
              <w:suppressLineNumbers w:val="0"/>
              <w:spacing w:before="0" w:beforeAutospacing="0" w:after="0" w:afterAutospacing="0" w:line="360" w:lineRule="auto"/>
              <w:ind w:left="0" w:right="0"/>
              <w:jc w:val="both"/>
              <w:rPr>
                <w:rFonts w:hint="eastAsia" w:ascii="仿宋" w:hAnsi="仿宋" w:eastAsia="仿宋" w:cs="Times New Roman"/>
                <w:kern w:val="2"/>
                <w:sz w:val="28"/>
                <w:szCs w:val="28"/>
              </w:rPr>
            </w:pPr>
            <w:r>
              <w:rPr>
                <w:rFonts w:hint="eastAsia" w:ascii="仿宋" w:hAnsi="仿宋" w:eastAsia="仿宋" w:cs="仿宋"/>
                <w:kern w:val="2"/>
                <w:sz w:val="28"/>
                <w:szCs w:val="28"/>
                <w:lang w:val="en-US" w:eastAsia="zh-CN" w:bidi="ar"/>
              </w:rPr>
              <w:t>账</w:t>
            </w:r>
            <w:r>
              <w:rPr>
                <w:rFonts w:hint="eastAsia" w:ascii="仿宋" w:hAnsi="仿宋" w:eastAsia="仿宋" w:cs="Times New Roman"/>
                <w:kern w:val="2"/>
                <w:sz w:val="28"/>
                <w:szCs w:val="28"/>
                <w:lang w:val="en-US" w:eastAsia="zh-CN" w:bidi="ar"/>
              </w:rPr>
              <w:t xml:space="preserve"> </w:t>
            </w:r>
            <w:r>
              <w:rPr>
                <w:rFonts w:hint="eastAsia" w:ascii="仿宋" w:hAnsi="仿宋" w:eastAsia="仿宋" w:cs="仿宋"/>
                <w:kern w:val="2"/>
                <w:sz w:val="28"/>
                <w:szCs w:val="28"/>
                <w:lang w:val="en-US" w:eastAsia="zh-CN" w:bidi="ar"/>
              </w:rPr>
              <w:t>号：</w:t>
            </w:r>
          </w:p>
        </w:tc>
      </w:tr>
      <w:tr w14:paraId="5467284B">
        <w:tblPrEx>
          <w:tblBorders>
            <w:top w:val="none" w:color="auto" w:sz="4" w:space="0"/>
            <w:left w:val="none" w:color="auto" w:sz="4" w:space="0"/>
            <w:bottom w:val="none" w:color="auto" w:sz="4" w:space="0"/>
            <w:right w:val="non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59" w:type="pct"/>
            <w:tcBorders>
              <w:top w:val="nil"/>
              <w:left w:val="nil"/>
              <w:bottom w:val="nil"/>
              <w:right w:val="nil"/>
            </w:tcBorders>
            <w:shd w:val="clear" w:color="auto" w:fill="auto"/>
            <w:vAlign w:val="top"/>
          </w:tcPr>
          <w:p w14:paraId="4C27A9FB">
            <w:pPr>
              <w:keepNext w:val="0"/>
              <w:keepLines w:val="0"/>
              <w:widowControl w:val="0"/>
              <w:suppressLineNumbers w:val="0"/>
              <w:spacing w:before="0" w:beforeAutospacing="0" w:after="0" w:afterAutospacing="0" w:line="360" w:lineRule="auto"/>
              <w:ind w:left="0" w:right="0"/>
              <w:jc w:val="both"/>
              <w:rPr>
                <w:rFonts w:hint="eastAsia" w:ascii="仿宋" w:hAnsi="仿宋" w:eastAsia="仿宋" w:cs="Times New Roman"/>
                <w:kern w:val="2"/>
                <w:sz w:val="28"/>
                <w:szCs w:val="28"/>
              </w:rPr>
            </w:pPr>
            <w:r>
              <w:rPr>
                <w:rFonts w:hint="eastAsia" w:ascii="仿宋" w:hAnsi="仿宋" w:eastAsia="仿宋" w:cs="仿宋"/>
                <w:kern w:val="2"/>
                <w:sz w:val="28"/>
                <w:szCs w:val="28"/>
                <w:lang w:val="en-US" w:eastAsia="zh-CN" w:bidi="ar"/>
              </w:rPr>
              <w:t>签约时间：</w:t>
            </w:r>
            <w:r>
              <w:rPr>
                <w:rFonts w:hint="eastAsia" w:ascii="仿宋" w:hAnsi="仿宋" w:eastAsia="仿宋" w:cs="Times New Roman"/>
                <w:kern w:val="2"/>
                <w:sz w:val="28"/>
                <w:szCs w:val="28"/>
                <w:lang w:val="en-US" w:eastAsia="zh-CN" w:bidi="ar"/>
              </w:rPr>
              <w:t xml:space="preserve"> </w:t>
            </w:r>
            <w:r>
              <w:rPr>
                <w:rFonts w:hint="eastAsia" w:ascii="仿宋" w:hAnsi="仿宋" w:eastAsia="仿宋" w:cs="仿宋"/>
                <w:kern w:val="2"/>
                <w:sz w:val="28"/>
                <w:szCs w:val="28"/>
                <w:lang w:val="en-US" w:eastAsia="zh-CN" w:bidi="ar"/>
              </w:rPr>
              <w:t xml:space="preserve">   年</w:t>
            </w:r>
            <w:r>
              <w:rPr>
                <w:rFonts w:hint="eastAsia" w:ascii="仿宋" w:hAnsi="仿宋" w:eastAsia="仿宋" w:cs="Times New Roman"/>
                <w:kern w:val="2"/>
                <w:sz w:val="28"/>
                <w:szCs w:val="28"/>
                <w:lang w:val="en-US" w:eastAsia="zh-CN" w:bidi="ar"/>
              </w:rPr>
              <w:t xml:space="preserve"> </w:t>
            </w:r>
            <w:r>
              <w:rPr>
                <w:rFonts w:hint="eastAsia" w:ascii="仿宋" w:hAnsi="仿宋" w:eastAsia="仿宋" w:cs="仿宋"/>
                <w:kern w:val="2"/>
                <w:sz w:val="28"/>
                <w:szCs w:val="28"/>
                <w:lang w:val="en-US" w:eastAsia="zh-CN" w:bidi="ar"/>
              </w:rPr>
              <w:t xml:space="preserve">  月</w:t>
            </w:r>
            <w:r>
              <w:rPr>
                <w:rFonts w:hint="eastAsia" w:ascii="仿宋" w:hAnsi="仿宋" w:eastAsia="仿宋" w:cs="Times New Roman"/>
                <w:kern w:val="2"/>
                <w:sz w:val="28"/>
                <w:szCs w:val="28"/>
                <w:lang w:val="en-US" w:eastAsia="zh-CN" w:bidi="ar"/>
              </w:rPr>
              <w:t xml:space="preserve"> </w:t>
            </w:r>
            <w:r>
              <w:rPr>
                <w:rFonts w:hint="eastAsia" w:ascii="仿宋" w:hAnsi="仿宋" w:eastAsia="仿宋" w:cs="仿宋"/>
                <w:kern w:val="2"/>
                <w:sz w:val="28"/>
                <w:szCs w:val="28"/>
                <w:lang w:val="en-US" w:eastAsia="zh-CN" w:bidi="ar"/>
              </w:rPr>
              <w:t xml:space="preserve">  日</w:t>
            </w:r>
          </w:p>
        </w:tc>
        <w:tc>
          <w:tcPr>
            <w:tcW w:w="2441" w:type="pct"/>
            <w:tcBorders>
              <w:top w:val="nil"/>
              <w:left w:val="nil"/>
              <w:bottom w:val="nil"/>
              <w:right w:val="nil"/>
            </w:tcBorders>
            <w:shd w:val="clear" w:color="auto" w:fill="auto"/>
            <w:vAlign w:val="top"/>
          </w:tcPr>
          <w:p w14:paraId="73E6F56A">
            <w:pPr>
              <w:keepNext w:val="0"/>
              <w:keepLines w:val="0"/>
              <w:widowControl w:val="0"/>
              <w:suppressLineNumbers w:val="0"/>
              <w:spacing w:before="0" w:beforeAutospacing="0" w:after="0" w:afterAutospacing="0" w:line="360" w:lineRule="auto"/>
              <w:ind w:left="0" w:right="0"/>
              <w:jc w:val="both"/>
              <w:rPr>
                <w:rFonts w:hint="eastAsia" w:ascii="仿宋" w:hAnsi="仿宋" w:eastAsia="仿宋" w:cs="Times New Roman"/>
                <w:kern w:val="2"/>
                <w:sz w:val="28"/>
                <w:szCs w:val="28"/>
              </w:rPr>
            </w:pPr>
            <w:r>
              <w:rPr>
                <w:rFonts w:hint="eastAsia" w:ascii="仿宋" w:hAnsi="仿宋" w:eastAsia="仿宋" w:cs="仿宋"/>
                <w:kern w:val="2"/>
                <w:sz w:val="28"/>
                <w:szCs w:val="28"/>
                <w:lang w:val="en-US" w:eastAsia="zh-CN" w:bidi="ar"/>
              </w:rPr>
              <w:t>签约时间：</w:t>
            </w:r>
            <w:r>
              <w:rPr>
                <w:rFonts w:hint="eastAsia" w:ascii="仿宋" w:hAnsi="仿宋" w:eastAsia="仿宋" w:cs="Times New Roman"/>
                <w:kern w:val="2"/>
                <w:sz w:val="28"/>
                <w:szCs w:val="28"/>
                <w:lang w:val="en-US" w:eastAsia="zh-CN" w:bidi="ar"/>
              </w:rPr>
              <w:t xml:space="preserve"> </w:t>
            </w:r>
            <w:r>
              <w:rPr>
                <w:rFonts w:hint="eastAsia" w:ascii="仿宋" w:hAnsi="仿宋" w:eastAsia="仿宋" w:cs="仿宋"/>
                <w:kern w:val="2"/>
                <w:sz w:val="28"/>
                <w:szCs w:val="28"/>
                <w:lang w:val="en-US" w:eastAsia="zh-CN" w:bidi="ar"/>
              </w:rPr>
              <w:t xml:space="preserve">   年</w:t>
            </w:r>
            <w:r>
              <w:rPr>
                <w:rFonts w:hint="eastAsia" w:ascii="仿宋" w:hAnsi="仿宋" w:eastAsia="仿宋" w:cs="Times New Roman"/>
                <w:kern w:val="2"/>
                <w:sz w:val="28"/>
                <w:szCs w:val="28"/>
                <w:lang w:val="en-US" w:eastAsia="zh-CN" w:bidi="ar"/>
              </w:rPr>
              <w:t xml:space="preserve"> </w:t>
            </w:r>
            <w:r>
              <w:rPr>
                <w:rFonts w:hint="eastAsia" w:ascii="仿宋" w:hAnsi="仿宋" w:eastAsia="仿宋" w:cs="仿宋"/>
                <w:kern w:val="2"/>
                <w:sz w:val="28"/>
                <w:szCs w:val="28"/>
                <w:lang w:val="en-US" w:eastAsia="zh-CN" w:bidi="ar"/>
              </w:rPr>
              <w:t xml:space="preserve">  月</w:t>
            </w:r>
            <w:r>
              <w:rPr>
                <w:rFonts w:hint="eastAsia" w:ascii="仿宋" w:hAnsi="仿宋" w:eastAsia="仿宋" w:cs="Times New Roman"/>
                <w:kern w:val="2"/>
                <w:sz w:val="28"/>
                <w:szCs w:val="28"/>
                <w:lang w:val="en-US" w:eastAsia="zh-CN" w:bidi="ar"/>
              </w:rPr>
              <w:t xml:space="preserve"> </w:t>
            </w:r>
            <w:r>
              <w:rPr>
                <w:rFonts w:hint="eastAsia" w:ascii="仿宋" w:hAnsi="仿宋" w:eastAsia="仿宋" w:cs="仿宋"/>
                <w:kern w:val="2"/>
                <w:sz w:val="28"/>
                <w:szCs w:val="28"/>
                <w:lang w:val="en-US" w:eastAsia="zh-CN" w:bidi="ar"/>
              </w:rPr>
              <w:t xml:space="preserve">  日</w:t>
            </w:r>
          </w:p>
        </w:tc>
      </w:tr>
    </w:tbl>
    <w:p w14:paraId="48D2DAA0">
      <w:pPr>
        <w:keepNext w:val="0"/>
        <w:keepLines w:val="0"/>
        <w:widowControl w:val="0"/>
        <w:suppressLineNumbers w:val="0"/>
        <w:adjustRightInd w:val="0"/>
        <w:snapToGrid w:val="0"/>
        <w:spacing w:before="0" w:beforeAutospacing="0" w:after="0" w:afterAutospacing="0" w:line="560" w:lineRule="exact"/>
        <w:ind w:left="0" w:right="0"/>
        <w:jc w:val="both"/>
        <w:rPr>
          <w:rFonts w:hint="default" w:ascii="Times New Roman" w:hAnsi="Times New Roman" w:eastAsia="宋体" w:cs="Times New Roman"/>
          <w:kern w:val="2"/>
          <w:sz w:val="21"/>
          <w:szCs w:val="21"/>
        </w:rPr>
      </w:pPr>
      <w:r>
        <w:rPr>
          <w:rFonts w:hint="default" w:ascii="Times New Roman" w:hAnsi="Times New Roman" w:eastAsia="宋体" w:cs="Times New Roman"/>
          <w:kern w:val="2"/>
          <w:sz w:val="21"/>
          <w:szCs w:val="21"/>
          <w:lang w:val="en-US" w:eastAsia="zh-CN" w:bidi="ar"/>
        </w:rPr>
        <w:t xml:space="preserve"> </w:t>
      </w:r>
    </w:p>
    <w:p w14:paraId="2FDF13AE">
      <w:pPr>
        <w:keepNext w:val="0"/>
        <w:keepLines w:val="0"/>
        <w:widowControl w:val="0"/>
        <w:suppressLineNumbers w:val="0"/>
        <w:adjustRightInd w:val="0"/>
        <w:snapToGrid w:val="0"/>
        <w:spacing w:before="0" w:beforeAutospacing="0" w:after="0" w:afterAutospacing="0" w:line="560" w:lineRule="exact"/>
        <w:ind w:left="0" w:right="0"/>
        <w:jc w:val="both"/>
        <w:rPr>
          <w:rFonts w:hint="default" w:ascii="Times New Roman" w:hAnsi="Times New Roman" w:eastAsia="宋体" w:cs="Times New Roman"/>
          <w:kern w:val="2"/>
          <w:sz w:val="21"/>
          <w:szCs w:val="21"/>
        </w:rPr>
      </w:pPr>
      <w:r>
        <w:rPr>
          <w:rFonts w:hint="default" w:ascii="Times New Roman" w:hAnsi="Times New Roman" w:eastAsia="宋体" w:cs="Times New Roman"/>
          <w:kern w:val="2"/>
          <w:sz w:val="21"/>
          <w:szCs w:val="21"/>
          <w:lang w:val="en-US" w:eastAsia="zh-CN" w:bidi="ar"/>
        </w:rPr>
        <w:t xml:space="preserve"> </w:t>
      </w:r>
    </w:p>
    <w:p w14:paraId="776B3E01">
      <w:pPr>
        <w:keepNext w:val="0"/>
        <w:keepLines w:val="0"/>
        <w:widowControl w:val="0"/>
        <w:suppressLineNumbers w:val="0"/>
        <w:adjustRightInd w:val="0"/>
        <w:snapToGrid w:val="0"/>
        <w:spacing w:before="0" w:beforeAutospacing="0" w:after="0" w:afterAutospacing="0" w:line="560" w:lineRule="exact"/>
        <w:ind w:left="0" w:right="0"/>
        <w:jc w:val="both"/>
        <w:rPr>
          <w:rFonts w:hint="default" w:ascii="Times New Roman" w:hAnsi="Times New Roman" w:eastAsia="宋体" w:cs="Times New Roman"/>
          <w:kern w:val="2"/>
          <w:sz w:val="21"/>
          <w:szCs w:val="21"/>
        </w:rPr>
      </w:pPr>
      <w:r>
        <w:rPr>
          <w:rFonts w:hint="default" w:ascii="Times New Roman" w:hAnsi="Times New Roman" w:eastAsia="宋体" w:cs="Times New Roman"/>
          <w:kern w:val="2"/>
          <w:sz w:val="21"/>
          <w:szCs w:val="21"/>
          <w:lang w:val="en-US" w:eastAsia="zh-CN" w:bidi="ar"/>
        </w:rPr>
        <w:t xml:space="preserve"> </w:t>
      </w:r>
    </w:p>
    <w:p w14:paraId="1F751C3F">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kern w:val="2"/>
          <w:sz w:val="21"/>
          <w:szCs w:val="21"/>
        </w:rPr>
      </w:pPr>
      <w:r>
        <w:rPr>
          <w:rFonts w:hint="default" w:ascii="Times New Roman" w:hAnsi="Times New Roman" w:eastAsia="宋体" w:cs="Times New Roman"/>
          <w:kern w:val="2"/>
          <w:sz w:val="21"/>
          <w:szCs w:val="21"/>
          <w:lang w:val="en-US" w:eastAsia="zh-CN" w:bidi="ar"/>
        </w:rPr>
        <w:br w:type="page"/>
      </w:r>
    </w:p>
    <w:p w14:paraId="3BA9FD39">
      <w:pPr>
        <w:pStyle w:val="19"/>
        <w:keepNext w:val="0"/>
        <w:keepLines w:val="0"/>
        <w:widowControl/>
        <w:suppressLineNumbers w:val="0"/>
        <w:tabs>
          <w:tab w:val="left" w:pos="7497"/>
        </w:tabs>
        <w:spacing w:before="0" w:beforeAutospacing="1" w:after="120" w:afterLines="50" w:afterAutospacing="0" w:line="600" w:lineRule="exact"/>
        <w:ind w:left="0" w:right="0"/>
        <w:jc w:val="left"/>
        <w:rPr>
          <w:rFonts w:hint="eastAsia" w:ascii="仿宋_GB2312" w:eastAsia="仿宋_GB2312" w:cs="仿宋_GB2312"/>
          <w:b/>
          <w:bCs/>
          <w:kern w:val="0"/>
          <w:sz w:val="28"/>
          <w:szCs w:val="28"/>
        </w:rPr>
      </w:pPr>
      <w:r>
        <w:rPr>
          <w:rFonts w:hint="eastAsia" w:ascii="仿宋_GB2312" w:hAnsi="Times New Roman" w:eastAsia="仿宋_GB2312" w:cs="仿宋_GB2312"/>
          <w:b/>
          <w:bCs/>
          <w:kern w:val="0"/>
          <w:sz w:val="28"/>
          <w:szCs w:val="28"/>
          <w:lang w:val="en-US" w:eastAsia="zh-CN" w:bidi="ar"/>
        </w:rPr>
        <w:t>附件一：中标通知书</w:t>
      </w:r>
    </w:p>
    <w:p w14:paraId="3C84B435">
      <w:pPr>
        <w:keepNext w:val="0"/>
        <w:keepLines w:val="0"/>
        <w:widowControl/>
        <w:suppressLineNumbers w:val="0"/>
        <w:spacing w:before="0" w:beforeAutospacing="0" w:after="0" w:afterAutospacing="0"/>
        <w:ind w:left="0" w:right="0"/>
        <w:jc w:val="left"/>
        <w:rPr>
          <w:rFonts w:hint="eastAsia" w:ascii="方正小标宋_GBK" w:hAnsi="方正小标宋_GBK" w:eastAsia="方正小标宋_GBK" w:cs="方正小标宋_GBK"/>
          <w:bCs/>
          <w:kern w:val="0"/>
          <w:sz w:val="44"/>
          <w:szCs w:val="44"/>
        </w:rPr>
      </w:pPr>
      <w:r>
        <w:rPr>
          <w:rFonts w:hint="eastAsia" w:ascii="方正小标宋_GBK" w:hAnsi="方正小标宋_GBK" w:eastAsia="方正小标宋_GBK" w:cs="方正小标宋_GBK"/>
          <w:bCs/>
          <w:kern w:val="0"/>
          <w:sz w:val="44"/>
          <w:szCs w:val="44"/>
          <w:lang w:val="en-US" w:eastAsia="zh-CN" w:bidi="ar"/>
        </w:rPr>
        <w:t xml:space="preserve"> </w:t>
      </w:r>
    </w:p>
    <w:p w14:paraId="37E6A5D3">
      <w:pPr>
        <w:keepNext w:val="0"/>
        <w:keepLines w:val="0"/>
        <w:widowControl/>
        <w:suppressLineNumbers w:val="0"/>
        <w:spacing w:before="0" w:beforeAutospacing="0" w:after="0" w:afterAutospacing="0"/>
        <w:ind w:left="0" w:right="0"/>
        <w:jc w:val="left"/>
        <w:rPr>
          <w:rFonts w:hint="eastAsia" w:ascii="仿宋_GB2312" w:eastAsia="仿宋_GB2312" w:cs="仿宋_GB2312"/>
          <w:b/>
          <w:bCs w:val="0"/>
          <w:kern w:val="0"/>
          <w:sz w:val="28"/>
          <w:szCs w:val="28"/>
        </w:rPr>
      </w:pPr>
      <w:r>
        <w:rPr>
          <w:rFonts w:hint="eastAsia" w:ascii="仿宋_GB2312" w:hAnsi="Times New Roman" w:eastAsia="仿宋_GB2312" w:cs="仿宋_GB2312"/>
          <w:b/>
          <w:bCs w:val="0"/>
          <w:kern w:val="2"/>
          <w:sz w:val="28"/>
          <w:szCs w:val="28"/>
          <w:lang w:val="en-US" w:eastAsia="zh-CN" w:bidi="ar"/>
        </w:rPr>
        <w:br w:type="page"/>
      </w:r>
    </w:p>
    <w:p w14:paraId="362DF27A">
      <w:pPr>
        <w:pStyle w:val="19"/>
        <w:keepNext w:val="0"/>
        <w:keepLines w:val="0"/>
        <w:widowControl/>
        <w:suppressLineNumbers w:val="0"/>
        <w:tabs>
          <w:tab w:val="left" w:pos="7497"/>
        </w:tabs>
        <w:spacing w:before="0" w:beforeAutospacing="1" w:after="120" w:afterLines="50" w:afterAutospacing="0" w:line="600" w:lineRule="exact"/>
        <w:ind w:left="0" w:right="0"/>
        <w:jc w:val="left"/>
        <w:rPr>
          <w:rFonts w:hint="eastAsia" w:ascii="方正小标宋_GBK" w:hAnsi="方正小标宋_GBK" w:eastAsia="方正小标宋_GBK" w:cs="方正小标宋_GBK"/>
          <w:b/>
          <w:bCs/>
          <w:kern w:val="0"/>
          <w:sz w:val="44"/>
          <w:szCs w:val="44"/>
        </w:rPr>
      </w:pPr>
      <w:r>
        <w:rPr>
          <w:rFonts w:hint="eastAsia" w:ascii="仿宋_GB2312" w:hAnsi="Times New Roman" w:eastAsia="仿宋_GB2312" w:cs="仿宋_GB2312"/>
          <w:b/>
          <w:bCs w:val="0"/>
          <w:kern w:val="0"/>
          <w:sz w:val="28"/>
          <w:szCs w:val="28"/>
          <w:lang w:val="en-US" w:eastAsia="zh-CN" w:bidi="ar"/>
        </w:rPr>
        <w:t>附件二：廉洁合作承诺书（企业承诺）</w:t>
      </w:r>
    </w:p>
    <w:p w14:paraId="3F649317">
      <w:pPr>
        <w:pStyle w:val="19"/>
        <w:keepNext w:val="0"/>
        <w:keepLines w:val="0"/>
        <w:widowControl/>
        <w:suppressLineNumbers w:val="0"/>
        <w:tabs>
          <w:tab w:val="left" w:pos="7497"/>
        </w:tabs>
        <w:spacing w:before="0" w:beforeAutospacing="1" w:after="120" w:afterLines="50" w:afterAutospacing="0" w:line="600" w:lineRule="exact"/>
        <w:ind w:left="0" w:right="0"/>
        <w:jc w:val="center"/>
        <w:rPr>
          <w:rFonts w:hint="eastAsia" w:ascii="方正小标宋_GBK" w:hAnsi="方正小标宋_GBK" w:eastAsia="方正小标宋_GBK" w:cs="方正小标宋_GBK"/>
          <w:bCs/>
          <w:kern w:val="0"/>
          <w:sz w:val="44"/>
          <w:szCs w:val="44"/>
        </w:rPr>
      </w:pPr>
      <w:r>
        <w:rPr>
          <w:rFonts w:hint="eastAsia" w:ascii="方正小标宋_GBK" w:hAnsi="方正小标宋_GBK" w:eastAsia="方正小标宋_GBK" w:cs="方正小标宋_GBK"/>
          <w:bCs/>
          <w:kern w:val="0"/>
          <w:sz w:val="44"/>
          <w:szCs w:val="44"/>
          <w:lang w:val="en-US" w:eastAsia="zh-CN" w:bidi="ar"/>
        </w:rPr>
        <w:t>廉洁合作承诺书</w:t>
      </w:r>
    </w:p>
    <w:p w14:paraId="70CCDE80">
      <w:pPr>
        <w:pStyle w:val="19"/>
        <w:keepNext w:val="0"/>
        <w:keepLines w:val="0"/>
        <w:widowControl/>
        <w:suppressLineNumbers w:val="0"/>
        <w:spacing w:before="0" w:beforeAutospacing="1" w:after="120" w:afterLines="50" w:afterAutospacing="0" w:line="600" w:lineRule="exact"/>
        <w:ind w:left="0" w:right="0"/>
        <w:jc w:val="center"/>
        <w:rPr>
          <w:rFonts w:hint="eastAsia" w:ascii="仿宋_GB2312" w:eastAsia="仿宋_GB2312" w:cs="仿宋_GB2312"/>
          <w:b/>
          <w:bCs w:val="0"/>
          <w:kern w:val="0"/>
          <w:sz w:val="28"/>
          <w:szCs w:val="28"/>
        </w:rPr>
      </w:pPr>
      <w:r>
        <w:rPr>
          <w:rFonts w:hint="eastAsia" w:ascii="仿宋_GB2312" w:hAnsi="Times New Roman" w:eastAsia="仿宋_GB2312" w:cs="仿宋_GB2312"/>
          <w:b/>
          <w:bCs w:val="0"/>
          <w:kern w:val="0"/>
          <w:sz w:val="28"/>
          <w:szCs w:val="28"/>
          <w:lang w:val="en-US" w:eastAsia="zh-CN" w:bidi="ar"/>
        </w:rPr>
        <w:t>（企业承诺）</w:t>
      </w:r>
    </w:p>
    <w:p w14:paraId="0C7FE7E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560" w:firstLineChars="200"/>
        <w:jc w:val="left"/>
        <w:textAlignment w:val="auto"/>
        <w:rPr>
          <w:rFonts w:hint="eastAsia" w:ascii="仿宋_GB2312" w:hAnsi="Times New Roman" w:eastAsia="仿宋_GB2312" w:cs="仿宋_GB2312"/>
          <w:kern w:val="0"/>
          <w:sz w:val="28"/>
          <w:szCs w:val="28"/>
          <w:lang w:val="en-US" w:eastAsia="zh-CN" w:bidi="ar"/>
        </w:rPr>
      </w:pPr>
      <w:r>
        <w:rPr>
          <w:rFonts w:hint="eastAsia" w:ascii="仿宋_GB2312" w:hAnsi="Times New Roman" w:eastAsia="仿宋_GB2312" w:cs="仿宋_GB2312"/>
          <w:kern w:val="0"/>
          <w:sz w:val="28"/>
          <w:szCs w:val="28"/>
          <w:lang w:val="en-US" w:eastAsia="zh-CN" w:bidi="ar"/>
        </w:rPr>
        <w:t>本公司决定参加项目投标。为维护公平竞争的市场秩序，促进企业廉洁从业、诚实守信，特承诺如下：</w:t>
      </w:r>
    </w:p>
    <w:p w14:paraId="5498C24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leftChars="0" w:right="0" w:rightChars="0" w:firstLine="560" w:firstLineChars="200"/>
        <w:jc w:val="left"/>
        <w:textAlignment w:val="auto"/>
        <w:outlineLvl w:val="0"/>
        <w:rPr>
          <w:rFonts w:hint="eastAsia" w:ascii="仿宋_GB2312" w:hAnsi="Times New Roman" w:eastAsia="仿宋_GB2312" w:cs="仿宋_GB2312"/>
          <w:kern w:val="0"/>
          <w:sz w:val="28"/>
          <w:szCs w:val="28"/>
          <w:lang w:val="en-US" w:eastAsia="zh-CN" w:bidi="ar"/>
        </w:rPr>
      </w:pPr>
      <w:bookmarkStart w:id="184" w:name="_Toc12621"/>
      <w:r>
        <w:rPr>
          <w:rFonts w:hint="eastAsia" w:ascii="仿宋_GB2312" w:hAnsi="Times New Roman" w:eastAsia="仿宋_GB2312" w:cs="仿宋_GB2312"/>
          <w:kern w:val="0"/>
          <w:sz w:val="28"/>
          <w:szCs w:val="28"/>
          <w:lang w:val="en-US" w:eastAsia="zh-CN" w:bidi="ar"/>
        </w:rPr>
        <w:t>一、严格遵守《中华人民共和国征集投标法》、《中华人民共和国政府采购法》等法律法规，决不发生以下行为：</w:t>
      </w:r>
      <w:bookmarkEnd w:id="184"/>
    </w:p>
    <w:p w14:paraId="05B6A13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right="0" w:firstLine="560" w:firstLineChars="200"/>
        <w:jc w:val="left"/>
        <w:textAlignment w:val="auto"/>
        <w:rPr>
          <w:rFonts w:hint="eastAsia" w:ascii="仿宋_GB2312" w:hAnsi="Times New Roman" w:eastAsia="仿宋_GB2312" w:cs="仿宋_GB2312"/>
          <w:kern w:val="0"/>
          <w:sz w:val="28"/>
          <w:szCs w:val="28"/>
          <w:lang w:val="en-US" w:eastAsia="zh-CN" w:bidi="ar"/>
        </w:rPr>
      </w:pPr>
      <w:r>
        <w:rPr>
          <w:rFonts w:hint="eastAsia" w:ascii="仿宋_GB2312" w:hAnsi="Times New Roman" w:eastAsia="仿宋_GB2312" w:cs="仿宋_GB2312"/>
          <w:kern w:val="0"/>
          <w:sz w:val="28"/>
          <w:szCs w:val="28"/>
          <w:lang w:val="en-US" w:eastAsia="zh-CN" w:bidi="ar"/>
        </w:rPr>
        <w:t>1.以他人名义投标，允许其他单位或个人使用本单位资质投标；</w:t>
      </w:r>
    </w:p>
    <w:p w14:paraId="30DBBB0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right="0" w:firstLine="560" w:firstLineChars="200"/>
        <w:jc w:val="left"/>
        <w:textAlignment w:val="auto"/>
        <w:rPr>
          <w:rFonts w:hint="eastAsia" w:ascii="仿宋_GB2312" w:hAnsi="Times New Roman" w:eastAsia="仿宋_GB2312" w:cs="仿宋_GB2312"/>
          <w:kern w:val="0"/>
          <w:sz w:val="28"/>
          <w:szCs w:val="28"/>
          <w:lang w:val="en-US" w:eastAsia="zh-CN" w:bidi="ar"/>
        </w:rPr>
      </w:pPr>
      <w:r>
        <w:rPr>
          <w:rFonts w:hint="eastAsia" w:ascii="仿宋_GB2312" w:hAnsi="Times New Roman" w:eastAsia="仿宋_GB2312" w:cs="仿宋_GB2312"/>
          <w:kern w:val="0"/>
          <w:sz w:val="28"/>
          <w:szCs w:val="28"/>
          <w:lang w:val="en-US" w:eastAsia="zh-CN" w:bidi="ar"/>
        </w:rPr>
        <w:t>2.提供虚假材料，或以其他方式弄虚作假骗取中标；</w:t>
      </w:r>
    </w:p>
    <w:p w14:paraId="6CDDC9E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right="0" w:firstLine="560" w:firstLineChars="200"/>
        <w:jc w:val="left"/>
        <w:textAlignment w:val="auto"/>
        <w:rPr>
          <w:rFonts w:hint="eastAsia" w:ascii="仿宋_GB2312" w:hAnsi="Times New Roman" w:eastAsia="仿宋_GB2312" w:cs="仿宋_GB2312"/>
          <w:kern w:val="0"/>
          <w:sz w:val="28"/>
          <w:szCs w:val="28"/>
          <w:lang w:val="en-US" w:eastAsia="zh-CN" w:bidi="ar"/>
        </w:rPr>
      </w:pPr>
      <w:r>
        <w:rPr>
          <w:rFonts w:hint="eastAsia" w:ascii="仿宋_GB2312" w:hAnsi="Times New Roman" w:eastAsia="仿宋_GB2312" w:cs="仿宋_GB2312"/>
          <w:kern w:val="0"/>
          <w:sz w:val="28"/>
          <w:szCs w:val="28"/>
          <w:lang w:val="en-US" w:eastAsia="zh-CN" w:bidi="ar"/>
        </w:rPr>
        <w:t>3.与征集人或者其他投标人相互串通投标；</w:t>
      </w:r>
    </w:p>
    <w:p w14:paraId="56CFF1E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right="0" w:firstLine="560" w:firstLineChars="200"/>
        <w:jc w:val="left"/>
        <w:textAlignment w:val="auto"/>
        <w:rPr>
          <w:rFonts w:hint="eastAsia" w:ascii="仿宋_GB2312" w:hAnsi="Times New Roman" w:eastAsia="仿宋_GB2312" w:cs="仿宋_GB2312"/>
          <w:kern w:val="0"/>
          <w:sz w:val="28"/>
          <w:szCs w:val="28"/>
          <w:lang w:val="en-US" w:eastAsia="zh-CN" w:bidi="ar"/>
        </w:rPr>
      </w:pPr>
      <w:r>
        <w:rPr>
          <w:rFonts w:hint="eastAsia" w:ascii="仿宋_GB2312" w:hAnsi="Times New Roman" w:eastAsia="仿宋_GB2312" w:cs="仿宋_GB2312"/>
          <w:kern w:val="0"/>
          <w:sz w:val="28"/>
          <w:szCs w:val="28"/>
          <w:lang w:val="en-US" w:eastAsia="zh-CN" w:bidi="ar"/>
        </w:rPr>
        <w:t>4.中标后将项目转包，或违法分包；</w:t>
      </w:r>
    </w:p>
    <w:p w14:paraId="273200B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right="0" w:firstLine="560" w:firstLineChars="200"/>
        <w:jc w:val="left"/>
        <w:textAlignment w:val="auto"/>
        <w:rPr>
          <w:rFonts w:hint="eastAsia" w:ascii="仿宋_GB2312" w:hAnsi="Times New Roman" w:eastAsia="仿宋_GB2312" w:cs="仿宋_GB2312"/>
          <w:kern w:val="0"/>
          <w:sz w:val="28"/>
          <w:szCs w:val="28"/>
          <w:lang w:val="en-US" w:eastAsia="zh-CN" w:bidi="ar"/>
        </w:rPr>
      </w:pPr>
      <w:r>
        <w:rPr>
          <w:rFonts w:hint="eastAsia" w:ascii="仿宋_GB2312" w:hAnsi="Times New Roman" w:eastAsia="仿宋_GB2312" w:cs="仿宋_GB2312"/>
          <w:kern w:val="0"/>
          <w:sz w:val="28"/>
          <w:szCs w:val="28"/>
          <w:lang w:val="en-US" w:eastAsia="zh-CN" w:bidi="ar"/>
        </w:rPr>
        <w:t>5.中标后与征集人签订背离投标文件及合同实质性内容的私下协议；</w:t>
      </w:r>
    </w:p>
    <w:p w14:paraId="19B581D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right="0" w:firstLine="560" w:firstLineChars="200"/>
        <w:jc w:val="left"/>
        <w:textAlignment w:val="auto"/>
        <w:rPr>
          <w:rFonts w:hint="eastAsia" w:ascii="仿宋_GB2312" w:hAnsi="Times New Roman" w:eastAsia="仿宋_GB2312" w:cs="仿宋_GB2312"/>
          <w:kern w:val="0"/>
          <w:sz w:val="28"/>
          <w:szCs w:val="28"/>
          <w:lang w:val="en-US" w:eastAsia="zh-CN" w:bidi="ar"/>
        </w:rPr>
      </w:pPr>
      <w:r>
        <w:rPr>
          <w:rFonts w:hint="eastAsia" w:ascii="仿宋_GB2312" w:hAnsi="Times New Roman" w:eastAsia="仿宋_GB2312" w:cs="仿宋_GB2312"/>
          <w:kern w:val="0"/>
          <w:sz w:val="28"/>
          <w:szCs w:val="28"/>
          <w:lang w:val="en-US" w:eastAsia="zh-CN" w:bidi="ar"/>
        </w:rPr>
        <w:t>6.其他违反征集投标、政府采购等法律法规的行为。</w:t>
      </w:r>
    </w:p>
    <w:p w14:paraId="680C45C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leftChars="0" w:right="0" w:rightChars="0" w:firstLine="560" w:firstLineChars="200"/>
        <w:jc w:val="left"/>
        <w:textAlignment w:val="auto"/>
        <w:outlineLvl w:val="0"/>
        <w:rPr>
          <w:rFonts w:hint="eastAsia" w:ascii="仿宋_GB2312" w:hAnsi="Times New Roman" w:eastAsia="仿宋_GB2312" w:cs="仿宋_GB2312"/>
          <w:kern w:val="0"/>
          <w:sz w:val="28"/>
          <w:szCs w:val="28"/>
          <w:lang w:val="en-US" w:eastAsia="zh-CN" w:bidi="ar"/>
        </w:rPr>
      </w:pPr>
      <w:bookmarkStart w:id="185" w:name="_Toc26117"/>
      <w:r>
        <w:rPr>
          <w:rFonts w:hint="eastAsia" w:ascii="仿宋_GB2312" w:hAnsi="Times New Roman" w:eastAsia="仿宋_GB2312" w:cs="仿宋_GB2312"/>
          <w:kern w:val="0"/>
          <w:sz w:val="28"/>
          <w:szCs w:val="28"/>
          <w:lang w:val="en-US" w:eastAsia="zh-CN" w:bidi="ar"/>
        </w:rPr>
        <w:t>二、不以任何理由给予采购单位、主管部门、相关单位及其工作人员以下好处：</w:t>
      </w:r>
      <w:bookmarkEnd w:id="185"/>
    </w:p>
    <w:p w14:paraId="6BCA906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right="0" w:firstLine="560" w:firstLineChars="200"/>
        <w:jc w:val="left"/>
        <w:textAlignment w:val="auto"/>
        <w:rPr>
          <w:rFonts w:hint="eastAsia" w:ascii="仿宋_GB2312" w:hAnsi="Times New Roman" w:eastAsia="仿宋_GB2312" w:cs="仿宋_GB2312"/>
          <w:kern w:val="0"/>
          <w:sz w:val="28"/>
          <w:szCs w:val="28"/>
          <w:lang w:val="en-US" w:eastAsia="zh-CN" w:bidi="ar"/>
        </w:rPr>
      </w:pPr>
      <w:r>
        <w:rPr>
          <w:rFonts w:hint="eastAsia" w:ascii="仿宋_GB2312" w:hAnsi="Times New Roman" w:eastAsia="仿宋_GB2312" w:cs="仿宋_GB2312"/>
          <w:kern w:val="0"/>
          <w:sz w:val="28"/>
          <w:szCs w:val="28"/>
          <w:lang w:val="en-US" w:eastAsia="zh-CN" w:bidi="ar"/>
        </w:rPr>
        <w:t>1.赠送礼金、有价证券、贵重物品，或给予回扣、感谢费、劳务费等各种名目的经费；</w:t>
      </w:r>
    </w:p>
    <w:p w14:paraId="0F4FE80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right="0" w:firstLine="560" w:firstLineChars="200"/>
        <w:jc w:val="left"/>
        <w:textAlignment w:val="auto"/>
        <w:rPr>
          <w:rFonts w:hint="eastAsia" w:ascii="仿宋_GB2312" w:hAnsi="Times New Roman" w:eastAsia="仿宋_GB2312" w:cs="仿宋_GB2312"/>
          <w:kern w:val="0"/>
          <w:sz w:val="28"/>
          <w:szCs w:val="28"/>
          <w:lang w:val="en-US" w:eastAsia="zh-CN" w:bidi="ar"/>
        </w:rPr>
      </w:pPr>
      <w:r>
        <w:rPr>
          <w:rFonts w:hint="eastAsia" w:ascii="仿宋_GB2312" w:hAnsi="Times New Roman" w:eastAsia="仿宋_GB2312" w:cs="仿宋_GB2312"/>
          <w:kern w:val="0"/>
          <w:sz w:val="28"/>
          <w:szCs w:val="28"/>
          <w:lang w:val="en-US" w:eastAsia="zh-CN" w:bidi="ar"/>
        </w:rPr>
        <w:t>2.报销应由上述单位或个人支付的费用；</w:t>
      </w:r>
    </w:p>
    <w:p w14:paraId="3776D0C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right="0" w:firstLine="560" w:firstLineChars="200"/>
        <w:jc w:val="left"/>
        <w:textAlignment w:val="auto"/>
        <w:rPr>
          <w:rFonts w:hint="eastAsia" w:ascii="仿宋_GB2312" w:hAnsi="Times New Roman" w:eastAsia="仿宋_GB2312" w:cs="仿宋_GB2312"/>
          <w:kern w:val="0"/>
          <w:sz w:val="28"/>
          <w:szCs w:val="28"/>
          <w:lang w:val="en-US" w:eastAsia="zh-CN" w:bidi="ar"/>
        </w:rPr>
      </w:pPr>
      <w:r>
        <w:rPr>
          <w:rFonts w:hint="eastAsia" w:ascii="仿宋_GB2312" w:hAnsi="Times New Roman" w:eastAsia="仿宋_GB2312" w:cs="仿宋_GB2312"/>
          <w:kern w:val="0"/>
          <w:sz w:val="28"/>
          <w:szCs w:val="28"/>
          <w:lang w:val="en-US" w:eastAsia="zh-CN" w:bidi="ar"/>
        </w:rPr>
        <w:t>3.赠送或提供通讯工具、交通工具和高档办公用品等；</w:t>
      </w:r>
    </w:p>
    <w:p w14:paraId="7BD1957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right="0" w:firstLine="560" w:firstLineChars="200"/>
        <w:jc w:val="left"/>
        <w:textAlignment w:val="auto"/>
        <w:rPr>
          <w:rFonts w:hint="eastAsia" w:ascii="仿宋_GB2312" w:hAnsi="Times New Roman" w:eastAsia="仿宋_GB2312" w:cs="仿宋_GB2312"/>
          <w:kern w:val="0"/>
          <w:sz w:val="28"/>
          <w:szCs w:val="28"/>
          <w:lang w:val="en-US" w:eastAsia="zh-CN" w:bidi="ar"/>
        </w:rPr>
      </w:pPr>
      <w:r>
        <w:rPr>
          <w:rFonts w:hint="eastAsia" w:ascii="仿宋_GB2312" w:hAnsi="Times New Roman" w:eastAsia="仿宋_GB2312" w:cs="仿宋_GB2312"/>
          <w:kern w:val="0"/>
          <w:sz w:val="28"/>
          <w:szCs w:val="28"/>
          <w:lang w:val="en-US" w:eastAsia="zh-CN" w:bidi="ar"/>
        </w:rPr>
        <w:t xml:space="preserve">4.提供宴请、健身、旅游、娱乐等高消费活动； </w:t>
      </w:r>
    </w:p>
    <w:p w14:paraId="6CB9B2D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right="0" w:firstLine="560" w:firstLineChars="200"/>
        <w:jc w:val="left"/>
        <w:textAlignment w:val="auto"/>
        <w:rPr>
          <w:rFonts w:hint="eastAsia" w:ascii="仿宋_GB2312" w:hAnsi="Times New Roman" w:eastAsia="仿宋_GB2312" w:cs="仿宋_GB2312"/>
          <w:kern w:val="0"/>
          <w:sz w:val="28"/>
          <w:szCs w:val="28"/>
          <w:lang w:val="en-US" w:eastAsia="zh-CN" w:bidi="ar"/>
        </w:rPr>
      </w:pPr>
      <w:r>
        <w:rPr>
          <w:rFonts w:hint="eastAsia" w:ascii="仿宋_GB2312" w:hAnsi="Times New Roman" w:eastAsia="仿宋_GB2312" w:cs="仿宋_GB2312"/>
          <w:kern w:val="0"/>
          <w:sz w:val="28"/>
          <w:szCs w:val="28"/>
          <w:lang w:val="en-US" w:eastAsia="zh-CN" w:bidi="ar"/>
        </w:rPr>
        <w:t>5.无偿或明显低于市场价装修住房。</w:t>
      </w:r>
    </w:p>
    <w:p w14:paraId="73BFB70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560" w:firstLineChars="200"/>
        <w:jc w:val="left"/>
        <w:textAlignment w:val="auto"/>
        <w:rPr>
          <w:rFonts w:hint="eastAsia" w:ascii="仿宋_GB2312" w:hAnsi="Times New Roman" w:eastAsia="仿宋_GB2312" w:cs="仿宋_GB2312"/>
          <w:kern w:val="0"/>
          <w:sz w:val="28"/>
          <w:szCs w:val="28"/>
          <w:lang w:val="en-US" w:eastAsia="zh-CN" w:bidi="ar"/>
        </w:rPr>
      </w:pPr>
      <w:r>
        <w:rPr>
          <w:rFonts w:hint="eastAsia" w:ascii="仿宋_GB2312" w:hAnsi="Times New Roman" w:eastAsia="仿宋_GB2312" w:cs="仿宋_GB2312"/>
          <w:kern w:val="0"/>
          <w:sz w:val="28"/>
          <w:szCs w:val="28"/>
          <w:lang w:val="en-US" w:eastAsia="zh-CN" w:bidi="ar"/>
        </w:rPr>
        <w:t>三、不以任何理由为采购单位、主管部门、相关单位的工作人员及其配偶、子女等亲属的工作安排以及出国（境）等提供方便。</w:t>
      </w:r>
    </w:p>
    <w:p w14:paraId="68BC2CE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560" w:firstLineChars="200"/>
        <w:jc w:val="left"/>
        <w:textAlignment w:val="auto"/>
        <w:rPr>
          <w:rFonts w:hint="eastAsia" w:ascii="仿宋_GB2312" w:hAnsi="Times New Roman" w:eastAsia="仿宋_GB2312" w:cs="仿宋_GB2312"/>
          <w:kern w:val="0"/>
          <w:sz w:val="28"/>
          <w:szCs w:val="28"/>
          <w:lang w:val="en-US" w:eastAsia="zh-CN" w:bidi="ar"/>
        </w:rPr>
      </w:pPr>
      <w:r>
        <w:rPr>
          <w:rFonts w:hint="eastAsia" w:ascii="仿宋_GB2312" w:hAnsi="Times New Roman" w:eastAsia="仿宋_GB2312" w:cs="仿宋_GB2312"/>
          <w:kern w:val="0"/>
          <w:sz w:val="28"/>
          <w:szCs w:val="28"/>
          <w:lang w:val="en-US" w:eastAsia="zh-CN" w:bidi="ar"/>
        </w:rPr>
        <w:t>四、自觉接受有关部门和派驻廉政监察组等机构的监督，积极配合采购单位开展廉政文化进工程工作，加强廉洁从业环境宣传、项目管理制度建设，多种形式开展廉洁教育。</w:t>
      </w:r>
    </w:p>
    <w:p w14:paraId="19F8A32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560" w:firstLineChars="200"/>
        <w:jc w:val="left"/>
        <w:textAlignment w:val="auto"/>
        <w:rPr>
          <w:rFonts w:hint="eastAsia" w:ascii="仿宋_GB2312" w:hAnsi="Times New Roman" w:eastAsia="仿宋_GB2312" w:cs="仿宋_GB2312"/>
          <w:kern w:val="0"/>
          <w:sz w:val="28"/>
          <w:szCs w:val="28"/>
          <w:lang w:val="en-US" w:eastAsia="zh-CN" w:bidi="ar"/>
        </w:rPr>
      </w:pPr>
      <w:r>
        <w:rPr>
          <w:rFonts w:hint="eastAsia" w:ascii="仿宋_GB2312" w:hAnsi="Times New Roman" w:eastAsia="仿宋_GB2312" w:cs="仿宋_GB2312"/>
          <w:kern w:val="0"/>
          <w:sz w:val="28"/>
          <w:szCs w:val="28"/>
          <w:lang w:val="en-US" w:eastAsia="zh-CN" w:bidi="ar"/>
        </w:rPr>
        <w:t>上述承诺如有违反，愿接受录入诚信档案的处理，构成违纪违法的，由相关部门依纪依法作出处理。</w:t>
      </w:r>
    </w:p>
    <w:p w14:paraId="4877FAE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560" w:firstLineChars="200"/>
        <w:jc w:val="left"/>
        <w:textAlignment w:val="auto"/>
        <w:rPr>
          <w:rFonts w:hint="eastAsia" w:ascii="仿宋_GB2312" w:hAnsi="Times New Roman" w:eastAsia="仿宋_GB2312" w:cs="仿宋_GB2312"/>
          <w:kern w:val="0"/>
          <w:sz w:val="28"/>
          <w:szCs w:val="28"/>
          <w:lang w:val="en-US" w:eastAsia="zh-CN" w:bidi="ar"/>
        </w:rPr>
      </w:pPr>
      <w:r>
        <w:rPr>
          <w:rFonts w:hint="eastAsia" w:ascii="仿宋_GB2312" w:hAnsi="Times New Roman" w:eastAsia="仿宋_GB2312" w:cs="仿宋_GB2312"/>
          <w:kern w:val="0"/>
          <w:sz w:val="28"/>
          <w:szCs w:val="28"/>
          <w:lang w:val="en-US" w:eastAsia="zh-CN" w:bidi="ar"/>
        </w:rPr>
        <w:t>（本承诺书由投标人法定代表人签名，并加盖公章；一式贰份，采购单位与履约供应商各持壹份。）</w:t>
      </w:r>
    </w:p>
    <w:p w14:paraId="150BEEC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640" w:firstLineChars="200"/>
        <w:jc w:val="left"/>
        <w:textAlignment w:val="auto"/>
        <w:rPr>
          <w:rFonts w:hint="eastAsia" w:ascii="仿宋_GB2312" w:hAnsi="Times New Roman" w:eastAsia="仿宋_GB2312" w:cs="仿宋_GB2312"/>
          <w:kern w:val="0"/>
          <w:sz w:val="32"/>
          <w:szCs w:val="32"/>
          <w:lang w:val="en-US" w:eastAsia="zh-CN" w:bidi="ar"/>
        </w:rPr>
      </w:pPr>
      <w:r>
        <w:rPr>
          <w:rFonts w:hint="eastAsia" w:ascii="仿宋_GB2312" w:hAnsi="Times New Roman" w:eastAsia="仿宋_GB2312" w:cs="仿宋_GB2312"/>
          <w:kern w:val="0"/>
          <w:sz w:val="32"/>
          <w:szCs w:val="32"/>
          <w:lang w:val="en-US" w:eastAsia="zh-CN" w:bidi="ar"/>
        </w:rPr>
        <w:t xml:space="preserve"> </w:t>
      </w:r>
    </w:p>
    <w:p w14:paraId="762692D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560" w:firstLineChars="200"/>
        <w:jc w:val="left"/>
        <w:textAlignment w:val="auto"/>
        <w:rPr>
          <w:rFonts w:hint="eastAsia" w:ascii="仿宋_GB2312" w:hAnsi="Times New Roman" w:eastAsia="仿宋_GB2312" w:cs="仿宋_GB2312"/>
          <w:kern w:val="0"/>
          <w:sz w:val="28"/>
          <w:szCs w:val="28"/>
          <w:lang w:val="en-US" w:eastAsia="zh-CN" w:bidi="ar"/>
        </w:rPr>
      </w:pPr>
      <w:r>
        <w:rPr>
          <w:rFonts w:hint="eastAsia" w:ascii="仿宋_GB2312" w:hAnsi="Times New Roman" w:eastAsia="仿宋_GB2312" w:cs="仿宋_GB2312"/>
          <w:kern w:val="0"/>
          <w:sz w:val="28"/>
          <w:szCs w:val="28"/>
          <w:lang w:val="en-US" w:eastAsia="zh-CN" w:bidi="ar"/>
        </w:rPr>
        <w:t xml:space="preserve">  </w:t>
      </w:r>
    </w:p>
    <w:p w14:paraId="17047F3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560" w:firstLineChars="200"/>
        <w:jc w:val="right"/>
        <w:textAlignment w:val="auto"/>
        <w:rPr>
          <w:rFonts w:hint="eastAsia" w:ascii="仿宋_GB2312" w:hAnsi="Times New Roman" w:eastAsia="仿宋_GB2312" w:cs="仿宋_GB2312"/>
          <w:kern w:val="0"/>
          <w:sz w:val="28"/>
          <w:szCs w:val="28"/>
          <w:lang w:val="en-US" w:eastAsia="zh-CN" w:bidi="ar"/>
        </w:rPr>
      </w:pPr>
      <w:r>
        <w:rPr>
          <w:rFonts w:hint="eastAsia" w:ascii="仿宋_GB2312" w:hAnsi="Times New Roman" w:eastAsia="仿宋_GB2312" w:cs="仿宋_GB2312"/>
          <w:kern w:val="0"/>
          <w:sz w:val="28"/>
          <w:szCs w:val="28"/>
          <w:lang w:val="en-US" w:eastAsia="zh-CN" w:bidi="ar"/>
        </w:rPr>
        <w:t>法定代表人签名：</w:t>
      </w:r>
    </w:p>
    <w:p w14:paraId="67FFCAA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560" w:firstLineChars="200"/>
        <w:jc w:val="right"/>
        <w:textAlignment w:val="auto"/>
        <w:rPr>
          <w:rFonts w:hint="eastAsia" w:ascii="仿宋_GB2312" w:hAnsi="Times New Roman" w:eastAsia="仿宋_GB2312" w:cs="仿宋_GB2312"/>
          <w:kern w:val="0"/>
          <w:sz w:val="28"/>
          <w:szCs w:val="28"/>
          <w:lang w:val="en-US" w:eastAsia="zh-CN" w:bidi="ar"/>
        </w:rPr>
      </w:pPr>
      <w:r>
        <w:rPr>
          <w:rFonts w:hint="eastAsia" w:ascii="仿宋_GB2312" w:hAnsi="Times New Roman" w:eastAsia="仿宋_GB2312" w:cs="仿宋_GB2312"/>
          <w:kern w:val="0"/>
          <w:sz w:val="28"/>
          <w:szCs w:val="28"/>
          <w:lang w:val="en-US" w:eastAsia="zh-CN" w:bidi="ar"/>
        </w:rPr>
        <w:t>承诺单位（公章）：</w:t>
      </w:r>
    </w:p>
    <w:p w14:paraId="70C0297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560" w:firstLineChars="200"/>
        <w:jc w:val="right"/>
        <w:textAlignment w:val="auto"/>
        <w:rPr>
          <w:rFonts w:hint="eastAsia" w:ascii="仿宋_GB2312" w:eastAsia="仿宋_GB2312" w:cs="仿宋_GB2312"/>
          <w:kern w:val="2"/>
          <w:sz w:val="28"/>
          <w:szCs w:val="28"/>
        </w:rPr>
      </w:pPr>
      <w:r>
        <w:rPr>
          <w:rFonts w:hint="eastAsia" w:ascii="仿宋_GB2312" w:hAnsi="Times New Roman" w:eastAsia="仿宋_GB2312" w:cs="仿宋_GB2312"/>
          <w:kern w:val="0"/>
          <w:sz w:val="28"/>
          <w:szCs w:val="28"/>
          <w:lang w:val="en-US" w:eastAsia="zh-CN" w:bidi="ar"/>
        </w:rPr>
        <w:t>承诺日期：</w:t>
      </w:r>
      <w:r>
        <w:rPr>
          <w:rFonts w:hint="eastAsia" w:ascii="仿宋_GB2312" w:hAnsi="Times New Roman" w:eastAsia="仿宋_GB2312" w:cs="仿宋_GB2312"/>
          <w:kern w:val="2"/>
          <w:sz w:val="28"/>
          <w:szCs w:val="28"/>
          <w:lang w:val="en-US" w:eastAsia="zh-CN" w:bidi="ar"/>
        </w:rPr>
        <w:br w:type="page"/>
      </w:r>
    </w:p>
    <w:p w14:paraId="26DE5847">
      <w:pPr>
        <w:keepNext w:val="0"/>
        <w:keepLines w:val="0"/>
        <w:widowControl/>
        <w:suppressLineNumbers w:val="0"/>
        <w:spacing w:before="0" w:beforeAutospacing="0" w:after="0" w:afterAutospacing="0"/>
        <w:ind w:left="0" w:leftChars="0" w:right="0" w:rightChars="0"/>
        <w:jc w:val="left"/>
        <w:outlineLvl w:val="0"/>
        <w:rPr>
          <w:rFonts w:hint="eastAsia" w:ascii="仿宋_GB2312" w:eastAsia="仿宋_GB2312" w:cs="仿宋_GB2312"/>
          <w:b/>
          <w:bCs w:val="0"/>
          <w:kern w:val="2"/>
          <w:sz w:val="28"/>
          <w:szCs w:val="28"/>
        </w:rPr>
      </w:pPr>
      <w:bookmarkStart w:id="186" w:name="_Toc13331"/>
      <w:r>
        <w:rPr>
          <w:rFonts w:hint="eastAsia" w:ascii="仿宋_GB2312" w:hAnsi="Times New Roman" w:eastAsia="仿宋_GB2312" w:cs="仿宋_GB2312"/>
          <w:b/>
          <w:bCs w:val="0"/>
          <w:kern w:val="2"/>
          <w:sz w:val="28"/>
          <w:szCs w:val="28"/>
          <w:lang w:val="en-US" w:eastAsia="zh-CN" w:bidi="ar"/>
        </w:rPr>
        <w:t>附件三：廉洁从业承诺书（员工承诺）</w:t>
      </w:r>
      <w:bookmarkEnd w:id="186"/>
    </w:p>
    <w:p w14:paraId="15EB66DC">
      <w:pPr>
        <w:keepNext w:val="0"/>
        <w:keepLines w:val="0"/>
        <w:widowControl/>
        <w:suppressLineNumbers w:val="0"/>
        <w:spacing w:before="0" w:beforeAutospacing="0" w:after="0" w:afterAutospacing="0"/>
        <w:ind w:left="0" w:right="0"/>
        <w:jc w:val="center"/>
        <w:rPr>
          <w:rFonts w:hint="eastAsia" w:ascii="方正小标宋_GBK" w:hAnsi="方正小标宋_GBK" w:eastAsia="方正小标宋_GBK" w:cs="方正小标宋_GBK"/>
          <w:bCs/>
          <w:kern w:val="2"/>
          <w:sz w:val="44"/>
          <w:szCs w:val="44"/>
        </w:rPr>
      </w:pPr>
      <w:r>
        <w:rPr>
          <w:rFonts w:hint="eastAsia" w:ascii="方正小标宋_GBK" w:hAnsi="方正小标宋_GBK" w:eastAsia="方正小标宋_GBK" w:cs="方正小标宋_GBK"/>
          <w:bCs/>
          <w:kern w:val="2"/>
          <w:sz w:val="44"/>
          <w:szCs w:val="44"/>
          <w:lang w:val="en-US" w:eastAsia="zh-CN" w:bidi="ar"/>
        </w:rPr>
        <w:t>廉洁从业承诺书</w:t>
      </w:r>
    </w:p>
    <w:p w14:paraId="36F8610E">
      <w:pPr>
        <w:pStyle w:val="19"/>
        <w:keepNext w:val="0"/>
        <w:keepLines w:val="0"/>
        <w:widowControl/>
        <w:suppressLineNumbers w:val="0"/>
        <w:spacing w:before="0" w:beforeAutospacing="1" w:after="120" w:afterLines="50" w:afterAutospacing="0" w:line="600" w:lineRule="exact"/>
        <w:ind w:left="0" w:right="0"/>
        <w:jc w:val="center"/>
        <w:rPr>
          <w:rFonts w:hint="eastAsia" w:ascii="仿宋_GB2312" w:eastAsia="仿宋_GB2312" w:cs="仿宋_GB2312"/>
          <w:b/>
          <w:bCs w:val="0"/>
          <w:kern w:val="0"/>
          <w:sz w:val="28"/>
          <w:szCs w:val="28"/>
        </w:rPr>
      </w:pPr>
      <w:r>
        <w:rPr>
          <w:rFonts w:hint="eastAsia" w:ascii="仿宋_GB2312" w:hAnsi="Times New Roman" w:eastAsia="仿宋_GB2312" w:cs="仿宋_GB2312"/>
          <w:b/>
          <w:bCs w:val="0"/>
          <w:kern w:val="0"/>
          <w:sz w:val="28"/>
          <w:szCs w:val="28"/>
          <w:lang w:val="en-US" w:eastAsia="zh-CN" w:bidi="ar"/>
        </w:rPr>
        <w:t>（员工承诺）</w:t>
      </w:r>
    </w:p>
    <w:p w14:paraId="160FFA6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560" w:firstLineChars="200"/>
        <w:jc w:val="left"/>
        <w:textAlignment w:val="auto"/>
        <w:rPr>
          <w:rFonts w:hint="eastAsia" w:ascii="仿宋_GB2312" w:hAnsi="Times New Roman" w:eastAsia="仿宋_GB2312" w:cs="仿宋_GB2312"/>
          <w:kern w:val="0"/>
          <w:sz w:val="28"/>
          <w:szCs w:val="28"/>
          <w:lang w:val="en-US" w:eastAsia="zh-CN" w:bidi="ar"/>
        </w:rPr>
      </w:pPr>
      <w:r>
        <w:rPr>
          <w:rFonts w:hint="eastAsia" w:ascii="仿宋_GB2312" w:hAnsi="Times New Roman" w:eastAsia="仿宋_GB2312" w:cs="仿宋_GB2312"/>
          <w:kern w:val="0"/>
          <w:sz w:val="28"/>
          <w:szCs w:val="28"/>
          <w:lang w:val="en-US" w:eastAsia="zh-CN" w:bidi="ar"/>
        </w:rPr>
        <w:t>本人决定自愿参加本项目。为了更好的树立公司对外形象，更好地打造公司的品牌，促进个人廉洁从业、诚实守信，特承诺如下：</w:t>
      </w:r>
    </w:p>
    <w:p w14:paraId="14C7029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560" w:firstLineChars="200"/>
        <w:jc w:val="left"/>
        <w:textAlignment w:val="auto"/>
        <w:rPr>
          <w:rFonts w:hint="eastAsia" w:ascii="仿宋_GB2312" w:hAnsi="Times New Roman" w:eastAsia="仿宋_GB2312" w:cs="仿宋_GB2312"/>
          <w:kern w:val="0"/>
          <w:sz w:val="28"/>
          <w:szCs w:val="28"/>
          <w:lang w:val="en-US" w:eastAsia="zh-CN" w:bidi="ar"/>
        </w:rPr>
      </w:pPr>
      <w:r>
        <w:rPr>
          <w:rFonts w:hint="eastAsia" w:ascii="仿宋_GB2312" w:hAnsi="Times New Roman" w:eastAsia="仿宋_GB2312" w:cs="仿宋_GB2312"/>
          <w:kern w:val="0"/>
          <w:sz w:val="28"/>
          <w:szCs w:val="28"/>
          <w:lang w:val="en-US" w:eastAsia="zh-CN" w:bidi="ar"/>
        </w:rPr>
        <w:t>一、不以任何理由给予采购单位、主管部门、相关单位及其工作人员以下好处：</w:t>
      </w:r>
    </w:p>
    <w:p w14:paraId="37FDC96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right="0" w:firstLine="560" w:firstLineChars="200"/>
        <w:jc w:val="left"/>
        <w:textAlignment w:val="auto"/>
        <w:rPr>
          <w:rFonts w:hint="eastAsia" w:ascii="仿宋_GB2312" w:hAnsi="Times New Roman" w:eastAsia="仿宋_GB2312" w:cs="仿宋_GB2312"/>
          <w:kern w:val="0"/>
          <w:sz w:val="28"/>
          <w:szCs w:val="28"/>
          <w:lang w:val="en-US" w:eastAsia="zh-CN" w:bidi="ar"/>
        </w:rPr>
      </w:pPr>
      <w:r>
        <w:rPr>
          <w:rFonts w:hint="eastAsia" w:ascii="仿宋_GB2312" w:hAnsi="Times New Roman" w:eastAsia="仿宋_GB2312" w:cs="仿宋_GB2312"/>
          <w:kern w:val="0"/>
          <w:sz w:val="28"/>
          <w:szCs w:val="28"/>
          <w:lang w:val="en-US" w:eastAsia="zh-CN" w:bidi="ar"/>
        </w:rPr>
        <w:t>1.赠送礼金、有价证券、贵重物品，或给予回扣、感谢费、劳务费等各种名目的经费；</w:t>
      </w:r>
    </w:p>
    <w:p w14:paraId="73AF2FC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right="0" w:firstLine="560" w:firstLineChars="200"/>
        <w:jc w:val="left"/>
        <w:textAlignment w:val="auto"/>
        <w:rPr>
          <w:rFonts w:hint="eastAsia" w:ascii="仿宋_GB2312" w:hAnsi="Times New Roman" w:eastAsia="仿宋_GB2312" w:cs="仿宋_GB2312"/>
          <w:kern w:val="0"/>
          <w:sz w:val="28"/>
          <w:szCs w:val="28"/>
          <w:lang w:val="en-US" w:eastAsia="zh-CN" w:bidi="ar"/>
        </w:rPr>
      </w:pPr>
      <w:r>
        <w:rPr>
          <w:rFonts w:hint="eastAsia" w:ascii="仿宋_GB2312" w:hAnsi="Times New Roman" w:eastAsia="仿宋_GB2312" w:cs="仿宋_GB2312"/>
          <w:kern w:val="0"/>
          <w:sz w:val="28"/>
          <w:szCs w:val="28"/>
          <w:lang w:val="en-US" w:eastAsia="zh-CN" w:bidi="ar"/>
        </w:rPr>
        <w:t>2.报销应由上述单位或个人支付的费用；</w:t>
      </w:r>
    </w:p>
    <w:p w14:paraId="409FEA5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right="0" w:firstLine="560" w:firstLineChars="200"/>
        <w:jc w:val="left"/>
        <w:textAlignment w:val="auto"/>
        <w:rPr>
          <w:rFonts w:hint="eastAsia" w:ascii="仿宋_GB2312" w:hAnsi="Times New Roman" w:eastAsia="仿宋_GB2312" w:cs="仿宋_GB2312"/>
          <w:kern w:val="0"/>
          <w:sz w:val="28"/>
          <w:szCs w:val="28"/>
          <w:lang w:val="en-US" w:eastAsia="zh-CN" w:bidi="ar"/>
        </w:rPr>
      </w:pPr>
      <w:r>
        <w:rPr>
          <w:rFonts w:hint="eastAsia" w:ascii="仿宋_GB2312" w:hAnsi="Times New Roman" w:eastAsia="仿宋_GB2312" w:cs="仿宋_GB2312"/>
          <w:kern w:val="0"/>
          <w:sz w:val="28"/>
          <w:szCs w:val="28"/>
          <w:lang w:val="en-US" w:eastAsia="zh-CN" w:bidi="ar"/>
        </w:rPr>
        <w:t>3.赠送或提供通讯工具、交通工具和高档办公用品等；</w:t>
      </w:r>
    </w:p>
    <w:p w14:paraId="6CE6FB0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right="0" w:firstLine="560" w:firstLineChars="200"/>
        <w:jc w:val="left"/>
        <w:textAlignment w:val="auto"/>
        <w:rPr>
          <w:rFonts w:hint="eastAsia" w:ascii="仿宋_GB2312" w:hAnsi="Times New Roman" w:eastAsia="仿宋_GB2312" w:cs="仿宋_GB2312"/>
          <w:kern w:val="0"/>
          <w:sz w:val="28"/>
          <w:szCs w:val="28"/>
          <w:lang w:val="en-US" w:eastAsia="zh-CN" w:bidi="ar"/>
        </w:rPr>
      </w:pPr>
      <w:r>
        <w:rPr>
          <w:rFonts w:hint="eastAsia" w:ascii="仿宋_GB2312" w:hAnsi="Times New Roman" w:eastAsia="仿宋_GB2312" w:cs="仿宋_GB2312"/>
          <w:kern w:val="0"/>
          <w:sz w:val="28"/>
          <w:szCs w:val="28"/>
          <w:lang w:val="en-US" w:eastAsia="zh-CN" w:bidi="ar"/>
        </w:rPr>
        <w:t>4.提供宴请、健身、旅游、娱乐等高消费活动；</w:t>
      </w:r>
    </w:p>
    <w:p w14:paraId="49386F7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right="0" w:firstLine="560" w:firstLineChars="200"/>
        <w:jc w:val="left"/>
        <w:textAlignment w:val="auto"/>
        <w:rPr>
          <w:rFonts w:hint="eastAsia" w:ascii="仿宋_GB2312" w:hAnsi="Times New Roman" w:eastAsia="仿宋_GB2312" w:cs="仿宋_GB2312"/>
          <w:kern w:val="0"/>
          <w:sz w:val="28"/>
          <w:szCs w:val="28"/>
          <w:lang w:val="en-US" w:eastAsia="zh-CN" w:bidi="ar"/>
        </w:rPr>
      </w:pPr>
      <w:r>
        <w:rPr>
          <w:rFonts w:hint="eastAsia" w:ascii="仿宋_GB2312" w:hAnsi="Times New Roman" w:eastAsia="仿宋_GB2312" w:cs="仿宋_GB2312"/>
          <w:kern w:val="0"/>
          <w:sz w:val="28"/>
          <w:szCs w:val="28"/>
          <w:lang w:val="en-US" w:eastAsia="zh-CN" w:bidi="ar"/>
        </w:rPr>
        <w:t>5.无偿或明显低于市场价装修住房。</w:t>
      </w:r>
    </w:p>
    <w:p w14:paraId="291ED75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560" w:firstLineChars="200"/>
        <w:jc w:val="left"/>
        <w:textAlignment w:val="auto"/>
        <w:rPr>
          <w:rFonts w:hint="eastAsia" w:ascii="仿宋_GB2312" w:hAnsi="Times New Roman" w:eastAsia="仿宋_GB2312" w:cs="仿宋_GB2312"/>
          <w:kern w:val="0"/>
          <w:sz w:val="28"/>
          <w:szCs w:val="28"/>
          <w:lang w:val="en-US" w:eastAsia="zh-CN" w:bidi="ar"/>
        </w:rPr>
      </w:pPr>
      <w:r>
        <w:rPr>
          <w:rFonts w:hint="eastAsia" w:ascii="仿宋_GB2312" w:hAnsi="Times New Roman" w:eastAsia="仿宋_GB2312" w:cs="仿宋_GB2312"/>
          <w:kern w:val="0"/>
          <w:sz w:val="28"/>
          <w:szCs w:val="28"/>
          <w:lang w:val="en-US" w:eastAsia="zh-CN" w:bidi="ar"/>
        </w:rPr>
        <w:t>二、不以任何理由为采购单位、主管部门、相关单位的工作人员及其配偶、子女等亲属的工作安排以及出国（境）等提供方便。</w:t>
      </w:r>
    </w:p>
    <w:p w14:paraId="164A13E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560" w:firstLineChars="200"/>
        <w:jc w:val="left"/>
        <w:textAlignment w:val="auto"/>
        <w:rPr>
          <w:rFonts w:hint="eastAsia" w:ascii="仿宋_GB2312" w:hAnsi="Times New Roman" w:eastAsia="仿宋_GB2312" w:cs="仿宋_GB2312"/>
          <w:kern w:val="0"/>
          <w:sz w:val="28"/>
          <w:szCs w:val="28"/>
          <w:lang w:val="en-US" w:eastAsia="zh-CN" w:bidi="ar"/>
        </w:rPr>
      </w:pPr>
      <w:r>
        <w:rPr>
          <w:rFonts w:hint="eastAsia" w:ascii="仿宋_GB2312" w:hAnsi="Times New Roman" w:eastAsia="仿宋_GB2312" w:cs="仿宋_GB2312"/>
          <w:kern w:val="0"/>
          <w:sz w:val="28"/>
          <w:szCs w:val="28"/>
          <w:lang w:val="en-US" w:eastAsia="zh-CN" w:bidi="ar"/>
        </w:rPr>
        <w:t>三、自觉接受有关部门和派驻廉政监察组等机构的监督。</w:t>
      </w:r>
    </w:p>
    <w:p w14:paraId="419BE5B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560" w:firstLineChars="200"/>
        <w:jc w:val="left"/>
        <w:textAlignment w:val="auto"/>
        <w:rPr>
          <w:rFonts w:hint="eastAsia" w:ascii="仿宋_GB2312" w:hAnsi="Times New Roman" w:eastAsia="仿宋_GB2312" w:cs="仿宋_GB2312"/>
          <w:kern w:val="0"/>
          <w:sz w:val="28"/>
          <w:szCs w:val="28"/>
          <w:lang w:val="en-US" w:eastAsia="zh-CN" w:bidi="ar"/>
        </w:rPr>
      </w:pPr>
      <w:r>
        <w:rPr>
          <w:rFonts w:hint="eastAsia" w:ascii="仿宋_GB2312" w:hAnsi="Times New Roman" w:eastAsia="仿宋_GB2312" w:cs="仿宋_GB2312"/>
          <w:kern w:val="0"/>
          <w:sz w:val="28"/>
          <w:szCs w:val="28"/>
          <w:lang w:val="en-US" w:eastAsia="zh-CN" w:bidi="ar"/>
        </w:rPr>
        <w:t>以上承诺接受公司和广大员工的监督。本人如有违反承诺，自愿承担违诺责任和法律后果。</w:t>
      </w:r>
    </w:p>
    <w:p w14:paraId="1B3B62D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right="0"/>
        <w:jc w:val="left"/>
        <w:textAlignment w:val="auto"/>
        <w:rPr>
          <w:rFonts w:hint="eastAsia" w:ascii="仿宋_GB2312" w:hAnsi="Times New Roman" w:eastAsia="仿宋_GB2312" w:cs="仿宋_GB2312"/>
          <w:kern w:val="0"/>
          <w:sz w:val="28"/>
          <w:szCs w:val="28"/>
          <w:lang w:val="en-US" w:eastAsia="zh-CN" w:bidi="ar"/>
        </w:rPr>
      </w:pPr>
      <w:r>
        <w:rPr>
          <w:rFonts w:hint="eastAsia" w:ascii="仿宋_GB2312" w:hAnsi="Times New Roman" w:eastAsia="仿宋_GB2312" w:cs="仿宋_GB2312"/>
          <w:kern w:val="0"/>
          <w:sz w:val="28"/>
          <w:szCs w:val="28"/>
          <w:lang w:val="en-US" w:eastAsia="zh-CN" w:bidi="ar"/>
        </w:rPr>
        <w:t>（本承诺书由项目人员签名，一式贰份。公司与项目人员各持壹份。）</w:t>
      </w:r>
    </w:p>
    <w:p w14:paraId="0CBF6ED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560" w:firstLineChars="200"/>
        <w:jc w:val="right"/>
        <w:textAlignment w:val="auto"/>
        <w:rPr>
          <w:rFonts w:hint="eastAsia" w:ascii="仿宋_GB2312" w:hAnsi="Times New Roman" w:eastAsia="仿宋_GB2312" w:cs="仿宋_GB2312"/>
          <w:kern w:val="0"/>
          <w:sz w:val="28"/>
          <w:szCs w:val="28"/>
          <w:lang w:val="en-US" w:eastAsia="zh-CN" w:bidi="ar"/>
        </w:rPr>
      </w:pPr>
      <w:r>
        <w:rPr>
          <w:rFonts w:hint="eastAsia" w:ascii="仿宋_GB2312" w:hAnsi="Times New Roman" w:eastAsia="仿宋_GB2312" w:cs="仿宋_GB2312"/>
          <w:kern w:val="0"/>
          <w:sz w:val="28"/>
          <w:szCs w:val="28"/>
          <w:lang w:val="en-US" w:eastAsia="zh-CN" w:bidi="ar"/>
        </w:rPr>
        <w:t>承诺人：</w:t>
      </w:r>
    </w:p>
    <w:p w14:paraId="797BAB2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560" w:firstLineChars="200"/>
        <w:jc w:val="right"/>
        <w:textAlignment w:val="auto"/>
        <w:rPr>
          <w:rFonts w:hint="eastAsia" w:ascii="仿宋_GB2312" w:hAnsi="Times New Roman" w:eastAsia="仿宋_GB2312" w:cs="仿宋_GB2312"/>
          <w:kern w:val="0"/>
          <w:sz w:val="28"/>
          <w:szCs w:val="28"/>
          <w:lang w:val="en-US" w:eastAsia="zh-CN" w:bidi="ar"/>
        </w:rPr>
      </w:pPr>
      <w:r>
        <w:rPr>
          <w:rFonts w:hint="eastAsia" w:ascii="仿宋_GB2312" w:hAnsi="Times New Roman" w:eastAsia="仿宋_GB2312" w:cs="仿宋_GB2312"/>
          <w:kern w:val="0"/>
          <w:sz w:val="28"/>
          <w:szCs w:val="28"/>
          <w:lang w:val="en-US" w:eastAsia="zh-CN" w:bidi="ar"/>
        </w:rPr>
        <w:t>承诺日期：</w:t>
      </w:r>
    </w:p>
    <w:p w14:paraId="328685BE">
      <w:pPr>
        <w:pStyle w:val="19"/>
        <w:keepNext w:val="0"/>
        <w:keepLines w:val="0"/>
        <w:widowControl/>
        <w:suppressLineNumbers w:val="0"/>
        <w:adjustRightInd w:val="0"/>
        <w:snapToGrid w:val="0"/>
        <w:spacing w:before="0" w:beforeAutospacing="1" w:after="0" w:afterAutospacing="1" w:line="579" w:lineRule="exact"/>
        <w:ind w:left="0" w:right="0"/>
        <w:jc w:val="left"/>
        <w:rPr>
          <w:rFonts w:hint="default" w:ascii="Times New Roman" w:hAnsi="Times New Roman" w:cs="Times New Roman"/>
          <w:color w:val="FFFFFF"/>
          <w:kern w:val="2"/>
          <w:sz w:val="16"/>
          <w:szCs w:val="16"/>
          <w:shd w:val="clear" w:fill="000000"/>
        </w:rPr>
      </w:pPr>
      <w:r>
        <w:rPr>
          <w:rFonts w:hint="eastAsia" w:ascii="仿宋_GB2312" w:hAnsi="Times New Roman" w:eastAsia="仿宋_GB2312" w:cs="仿宋_GB2312"/>
          <w:b/>
          <w:bCs/>
          <w:kern w:val="0"/>
          <w:sz w:val="28"/>
          <w:szCs w:val="28"/>
          <w:lang w:val="en-US" w:eastAsia="zh-CN" w:bidi="ar"/>
        </w:rPr>
        <w:t>附件四：配置清单</w:t>
      </w:r>
    </w:p>
    <w:p w14:paraId="042C0A60">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kern w:val="2"/>
          <w:sz w:val="21"/>
          <w:szCs w:val="21"/>
        </w:rPr>
      </w:pPr>
      <w:r>
        <w:rPr>
          <w:rFonts w:hint="default" w:ascii="Times New Roman" w:hAnsi="Times New Roman" w:eastAsia="宋体" w:cs="Times New Roman"/>
          <w:kern w:val="2"/>
          <w:sz w:val="21"/>
          <w:szCs w:val="21"/>
          <w:lang w:val="en-US" w:eastAsia="zh-CN" w:bidi="ar"/>
        </w:rPr>
        <w:br w:type="page"/>
      </w:r>
    </w:p>
    <w:p w14:paraId="0F829A2F">
      <w:pPr>
        <w:keepNext w:val="0"/>
        <w:keepLines w:val="0"/>
        <w:widowControl w:val="0"/>
        <w:suppressLineNumbers w:val="0"/>
        <w:spacing w:before="0" w:beforeAutospacing="0" w:after="0" w:afterAutospacing="0"/>
        <w:ind w:left="0" w:right="0"/>
        <w:jc w:val="left"/>
        <w:rPr>
          <w:rFonts w:hint="eastAsia" w:ascii="仿宋" w:hAnsi="仿宋" w:eastAsia="仿宋" w:cs="Times New Roman"/>
          <w:b/>
          <w:bCs w:val="0"/>
          <w:color w:val="FF0000"/>
          <w:kern w:val="2"/>
          <w:sz w:val="28"/>
          <w:szCs w:val="28"/>
        </w:rPr>
      </w:pPr>
      <w:r>
        <w:rPr>
          <w:rFonts w:hint="eastAsia" w:ascii="仿宋" w:hAnsi="仿宋" w:eastAsia="仿宋" w:cs="仿宋"/>
          <w:b/>
          <w:bCs w:val="0"/>
          <w:kern w:val="2"/>
          <w:sz w:val="28"/>
          <w:szCs w:val="28"/>
          <w:lang w:val="en-US" w:eastAsia="zh-CN" w:bidi="ar"/>
        </w:rPr>
        <w:t>附件五：技术参数偏离表</w:t>
      </w:r>
    </w:p>
    <w:p w14:paraId="4881B7C8">
      <w:pPr>
        <w:keepNext w:val="0"/>
        <w:keepLines w:val="0"/>
        <w:widowControl w:val="0"/>
        <w:suppressLineNumbers w:val="0"/>
        <w:spacing w:before="0" w:beforeAutospacing="0" w:after="0" w:afterAutospacing="0"/>
        <w:ind w:left="0" w:right="0"/>
        <w:jc w:val="left"/>
        <w:rPr>
          <w:rFonts w:hint="default" w:ascii="Times New Roman" w:hAnsi="Times New Roman" w:eastAsia="宋体" w:cs="Times New Roman"/>
          <w:kern w:val="2"/>
          <w:sz w:val="21"/>
          <w:szCs w:val="21"/>
        </w:rPr>
      </w:pPr>
      <w:r>
        <w:rPr>
          <w:rFonts w:hint="default" w:ascii="Times New Roman" w:hAnsi="Times New Roman" w:eastAsia="宋体" w:cs="Times New Roman"/>
          <w:kern w:val="2"/>
          <w:sz w:val="21"/>
          <w:szCs w:val="21"/>
          <w:lang w:val="en-US" w:eastAsia="zh-CN" w:bidi="ar"/>
        </w:rPr>
        <w:t xml:space="preserve"> </w:t>
      </w:r>
    </w:p>
    <w:p w14:paraId="674263CC">
      <w:pPr>
        <w:keepNext w:val="0"/>
        <w:keepLines w:val="0"/>
        <w:widowControl w:val="0"/>
        <w:suppressLineNumbers w:val="0"/>
        <w:spacing w:before="0" w:beforeAutospacing="0" w:after="0" w:afterAutospacing="0"/>
        <w:ind w:left="0" w:right="0"/>
        <w:jc w:val="both"/>
        <w:rPr>
          <w:rFonts w:hint="default" w:ascii="Times New Roman" w:hAnsi="Times New Roman" w:eastAsia="宋体" w:cs="Times New Roman"/>
          <w:kern w:val="2"/>
          <w:sz w:val="21"/>
          <w:szCs w:val="21"/>
        </w:rPr>
      </w:pPr>
      <w:r>
        <w:rPr>
          <w:rFonts w:hint="default" w:ascii="Times New Roman" w:hAnsi="Times New Roman" w:eastAsia="宋体" w:cs="Times New Roman"/>
          <w:kern w:val="2"/>
          <w:sz w:val="21"/>
          <w:szCs w:val="21"/>
          <w:lang w:val="en-US" w:eastAsia="zh-CN" w:bidi="ar"/>
        </w:rPr>
        <w:t xml:space="preserve"> </w:t>
      </w:r>
    </w:p>
    <w:p w14:paraId="724BB280">
      <w:pPr>
        <w:keepNext w:val="0"/>
        <w:keepLines w:val="0"/>
        <w:widowControl/>
        <w:suppressLineNumbers w:val="0"/>
        <w:spacing w:before="0" w:beforeAutospacing="0" w:after="0" w:afterAutospacing="0"/>
        <w:ind w:left="0" w:right="0"/>
        <w:jc w:val="left"/>
        <w:rPr>
          <w:rFonts w:hint="eastAsia" w:ascii="仿宋_GB2312" w:eastAsia="仿宋_GB2312" w:cs="仿宋_GB2312"/>
          <w:b/>
          <w:bCs/>
          <w:kern w:val="2"/>
          <w:sz w:val="28"/>
          <w:szCs w:val="28"/>
        </w:rPr>
      </w:pPr>
      <w:r>
        <w:rPr>
          <w:rFonts w:hint="eastAsia" w:ascii="仿宋_GB2312" w:hAnsi="Times New Roman" w:eastAsia="仿宋_GB2312" w:cs="仿宋_GB2312"/>
          <w:b/>
          <w:bCs/>
          <w:kern w:val="2"/>
          <w:sz w:val="28"/>
          <w:szCs w:val="28"/>
          <w:lang w:val="en-US" w:eastAsia="zh-CN" w:bidi="ar"/>
        </w:rPr>
        <w:br w:type="page"/>
      </w:r>
    </w:p>
    <w:p w14:paraId="122DB131">
      <w:pPr>
        <w:keepNext w:val="0"/>
        <w:keepLines w:val="0"/>
        <w:widowControl w:val="0"/>
        <w:suppressLineNumbers w:val="0"/>
        <w:adjustRightInd w:val="0"/>
        <w:snapToGrid w:val="0"/>
        <w:spacing w:before="0" w:beforeAutospacing="0" w:after="0" w:afterAutospacing="0" w:line="560" w:lineRule="exact"/>
        <w:ind w:left="0" w:right="0"/>
        <w:jc w:val="both"/>
        <w:rPr>
          <w:rFonts w:hint="default" w:ascii="Times New Roman" w:hAnsi="Times New Roman" w:eastAsia="宋体" w:cs="Times New Roman"/>
          <w:kern w:val="2"/>
          <w:sz w:val="21"/>
          <w:szCs w:val="21"/>
        </w:rPr>
      </w:pPr>
      <w:r>
        <w:rPr>
          <w:rFonts w:hint="eastAsia" w:ascii="仿宋_GB2312" w:hAnsi="Times New Roman" w:eastAsia="仿宋_GB2312" w:cs="仿宋_GB2312"/>
          <w:b/>
          <w:bCs/>
          <w:kern w:val="2"/>
          <w:sz w:val="28"/>
          <w:szCs w:val="28"/>
          <w:lang w:val="en-US" w:eastAsia="zh-CN" w:bidi="ar"/>
        </w:rPr>
        <w:t>附件六：售后服务承诺（含厂家）</w:t>
      </w:r>
    </w:p>
    <w:p w14:paraId="6D05C46A">
      <w:pPr>
        <w:keepNext w:val="0"/>
        <w:keepLines w:val="0"/>
        <w:widowControl/>
        <w:suppressLineNumbers w:val="0"/>
        <w:spacing w:before="0" w:beforeAutospacing="0" w:after="0" w:afterAutospacing="0"/>
        <w:ind w:left="0" w:right="0"/>
        <w:jc w:val="left"/>
        <w:rPr>
          <w:rFonts w:hint="eastAsia" w:ascii="宋体" w:hAnsi="宋体" w:cs="宋体"/>
          <w:color w:val="000000" w:themeColor="text1"/>
          <w:szCs w:val="21"/>
          <w:lang w:eastAsia="zh-CN"/>
          <w14:textFill>
            <w14:solidFill>
              <w14:schemeClr w14:val="tx1"/>
            </w14:solidFill>
          </w14:textFill>
        </w:rPr>
      </w:pPr>
    </w:p>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8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7ECEF3C0-9927-4F7B-A5EA-7C55FB4A9128}"/>
  </w:font>
  <w:font w:name="黑体">
    <w:panose1 w:val="02010609060101010101"/>
    <w:charset w:val="86"/>
    <w:family w:val="auto"/>
    <w:pitch w:val="default"/>
    <w:sig w:usb0="800002BF" w:usb1="38CF7CFA" w:usb2="00000016" w:usb3="00000000" w:csb0="00040001" w:csb1="00000000"/>
    <w:embedRegular r:id="rId2" w:fontKey="{5E2F8747-B7E7-4C9F-AC4A-C266C8FB42E4}"/>
  </w:font>
  <w:font w:name="Courier New">
    <w:panose1 w:val="02070309020205020404"/>
    <w:charset w:val="01"/>
    <w:family w:val="modern"/>
    <w:pitch w:val="default"/>
    <w:sig w:usb0="E0002EFF" w:usb1="C0007843" w:usb2="00000009" w:usb3="00000000" w:csb0="400001FF" w:csb1="FFFF0000"/>
    <w:embedRegular r:id="rId3" w:fontKey="{8A00EF0C-63FC-4EAD-AEC4-9229417C0DC7}"/>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4" w:fontKey="{BC5B6B11-30D8-4EA4-8095-E81995487CC8}"/>
  </w:font>
  <w:font w:name="Cambria">
    <w:panose1 w:val="02040503050406030204"/>
    <w:charset w:val="00"/>
    <w:family w:val="roman"/>
    <w:pitch w:val="default"/>
    <w:sig w:usb0="E00006FF" w:usb1="420024FF" w:usb2="02000000" w:usb3="00000000" w:csb0="2000019F" w:csb1="00000000"/>
  </w:font>
  <w:font w:name="长城仿宋">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embedRegular r:id="rId5" w:fontKey="{4CDD72AB-430B-4F8F-999E-F36995061146}"/>
  </w:font>
  <w:font w:name="微软雅黑">
    <w:panose1 w:val="020B0503020204020204"/>
    <w:charset w:val="86"/>
    <w:family w:val="swiss"/>
    <w:pitch w:val="default"/>
    <w:sig w:usb0="80000287" w:usb1="2ACF3C50" w:usb2="00000016" w:usb3="00000000" w:csb0="0004001F" w:csb1="00000000"/>
  </w:font>
  <w:font w:name="华文宋体">
    <w:altName w:val="宋体"/>
    <w:panose1 w:val="00000000000000000000"/>
    <w:charset w:val="00"/>
    <w:family w:val="auto"/>
    <w:pitch w:val="default"/>
    <w:sig w:usb0="00000000" w:usb1="00000000" w:usb2="00000000" w:usb3="00000000" w:csb0="00000000" w:csb1="00000000"/>
  </w:font>
  <w:font w:name="仿宋_GB2312">
    <w:panose1 w:val="02010609030101010101"/>
    <w:charset w:val="86"/>
    <w:family w:val="auto"/>
    <w:pitch w:val="default"/>
    <w:sig w:usb0="00000001" w:usb1="080E0000" w:usb2="00000000" w:usb3="00000000" w:csb0="00040000" w:csb1="00000000"/>
    <w:embedRegular r:id="rId6" w:fontKey="{E25420D6-EC78-4220-9397-0426F65DBA62}"/>
  </w:font>
  <w:font w:name="Wingdings 2">
    <w:panose1 w:val="05020102010507070707"/>
    <w:charset w:val="00"/>
    <w:family w:val="auto"/>
    <w:pitch w:val="default"/>
    <w:sig w:usb0="00000000" w:usb1="00000000" w:usb2="00000000" w:usb3="00000000" w:csb0="80000000" w:csb1="00000000"/>
    <w:embedRegular r:id="rId7" w:fontKey="{E61D750D-6614-44FD-8D39-661020575AFE}"/>
  </w:font>
  <w:font w:name="方正仿宋_GBK">
    <w:altName w:val="微软雅黑"/>
    <w:panose1 w:val="00000000000000000000"/>
    <w:charset w:val="86"/>
    <w:family w:val="auto"/>
    <w:pitch w:val="default"/>
    <w:sig w:usb0="00000000" w:usb1="00000000" w:usb2="00000000" w:usb3="00000000" w:csb0="00040000" w:csb1="00000000"/>
    <w:embedRegular r:id="rId8" w:fontKey="{E3C767D1-43EE-4F08-AE8F-B17A3B951079}"/>
  </w:font>
  <w:font w:name="楷体_GB2312">
    <w:altName w:val="楷体"/>
    <w:panose1 w:val="00000000000000000000"/>
    <w:charset w:val="00"/>
    <w:family w:val="auto"/>
    <w:pitch w:val="default"/>
    <w:sig w:usb0="00000000" w:usb1="00000000" w:usb2="00000000" w:usb3="00000000" w:csb0="00000000" w:csb1="00000000"/>
    <w:embedRegular r:id="rId9" w:fontKey="{C76DEF03-4F04-4C10-8E6E-740A7646CB3D}"/>
  </w:font>
  <w:font w:name="楷体">
    <w:panose1 w:val="02010609060101010101"/>
    <w:charset w:val="86"/>
    <w:family w:val="auto"/>
    <w:pitch w:val="default"/>
    <w:sig w:usb0="800002BF" w:usb1="38CF7CFA" w:usb2="00000016" w:usb3="00000000" w:csb0="00040001" w:csb1="00000000"/>
  </w:font>
  <w:font w:name="ˎ̥">
    <w:altName w:val="Times New Roman"/>
    <w:panose1 w:val="00000000000000000000"/>
    <w:charset w:val="00"/>
    <w:family w:val="roman"/>
    <w:pitch w:val="default"/>
    <w:sig w:usb0="00000000" w:usb1="00000000" w:usb2="00000000" w:usb3="00000000" w:csb0="00040001" w:csb1="00000000"/>
    <w:embedRegular r:id="rId10" w:fontKey="{0BB500D5-AE44-4D2C-AFEC-0C22B4A824C4}"/>
  </w:font>
  <w:font w:name="方正小标宋简体">
    <w:panose1 w:val="02010600010101010101"/>
    <w:charset w:val="86"/>
    <w:family w:val="auto"/>
    <w:pitch w:val="default"/>
    <w:sig w:usb0="00000001" w:usb1="080E0000" w:usb2="00000000" w:usb3="00000000" w:csb0="00040000" w:csb1="00000000"/>
    <w:embedRegular r:id="rId11" w:fontKey="{01F36AF5-78CF-4A12-A7BE-41B710E65822}"/>
  </w:font>
  <w:font w:name="方正小标宋_GBK">
    <w:panose1 w:val="02000000000000000000"/>
    <w:charset w:val="86"/>
    <w:family w:val="auto"/>
    <w:pitch w:val="default"/>
    <w:sig w:usb0="A00002BF" w:usb1="38CF7CFA" w:usb2="00082016" w:usb3="00000000" w:csb0="00040001" w:csb1="00000000"/>
    <w:embedRegular r:id="rId12" w:fontKey="{851D3422-7477-4C00-B141-E4D6F586E7AE}"/>
  </w:font>
  <w:font w:name="WPSEMBED12">
    <w:panose1 w:val="05020102010507070707"/>
    <w:charset w:val="00"/>
    <w:family w:val="auto"/>
    <w:pitch w:val="default"/>
    <w:sig w:usb0="00000000" w:usb1="00000000" w:usb2="00000000" w:usb3="00000000" w:csb0="80000000" w:csb1="00000000"/>
  </w:font>
  <w:font w:name="KSOFF9CBECC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CFC0B5">
    <w:pPr>
      <w:pStyle w:val="13"/>
      <w:jc w:val="center"/>
      <w:rPr>
        <w:rStyle w:val="25"/>
        <w:rFonts w:hint="eastAsia"/>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B4776B1">
                          <w:pPr>
                            <w:pStyle w:val="13"/>
                            <w:jc w:val="center"/>
                          </w:pPr>
                          <w:r>
                            <w:t xml:space="preserve">第 </w:t>
                          </w:r>
                          <w:r>
                            <w:fldChar w:fldCharType="begin"/>
                          </w:r>
                          <w:r>
                            <w:instrText xml:space="preserve"> PAGE  \* MERGEFORMAT </w:instrText>
                          </w:r>
                          <w:r>
                            <w:fldChar w:fldCharType="separate"/>
                          </w:r>
                          <w:r>
                            <w:t>5</w:t>
                          </w:r>
                          <w:r>
                            <w:fldChar w:fldCharType="end"/>
                          </w:r>
                          <w:r>
                            <w:t xml:space="preserve"> 页 共 </w:t>
                          </w:r>
                          <w:r>
                            <w:fldChar w:fldCharType="begin"/>
                          </w:r>
                          <w:r>
                            <w:instrText xml:space="preserve"> NUMPAGES  \* MERGEFORMAT </w:instrText>
                          </w:r>
                          <w:r>
                            <w:fldChar w:fldCharType="separate"/>
                          </w:r>
                          <w:r>
                            <w:t>85</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2B4776B1">
                    <w:pPr>
                      <w:pStyle w:val="13"/>
                      <w:jc w:val="center"/>
                    </w:pPr>
                    <w:r>
                      <w:t xml:space="preserve">第 </w:t>
                    </w:r>
                    <w:r>
                      <w:fldChar w:fldCharType="begin"/>
                    </w:r>
                    <w:r>
                      <w:instrText xml:space="preserve"> PAGE  \* MERGEFORMAT </w:instrText>
                    </w:r>
                    <w:r>
                      <w:fldChar w:fldCharType="separate"/>
                    </w:r>
                    <w:r>
                      <w:t>5</w:t>
                    </w:r>
                    <w:r>
                      <w:fldChar w:fldCharType="end"/>
                    </w:r>
                    <w:r>
                      <w:t xml:space="preserve"> 页 共 </w:t>
                    </w:r>
                    <w:r>
                      <w:fldChar w:fldCharType="begin"/>
                    </w:r>
                    <w:r>
                      <w:instrText xml:space="preserve"> NUMPAGES  \* MERGEFORMAT </w:instrText>
                    </w:r>
                    <w:r>
                      <w:fldChar w:fldCharType="separate"/>
                    </w:r>
                    <w:r>
                      <w:t>85</w:t>
                    </w:r>
                    <w:r>
                      <w:fldChar w:fldCharType="end"/>
                    </w:r>
                    <w:r>
                      <w:t xml:space="preserve"> 页</w:t>
                    </w:r>
                  </w:p>
                </w:txbxContent>
              </v:textbox>
            </v:shape>
          </w:pict>
        </mc:Fallback>
      </mc:AlternateContent>
    </w:r>
  </w:p>
  <w:p w14:paraId="5AE7A01B">
    <w:pPr>
      <w:pStyle w:val="1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B9996D">
    <w:pPr>
      <w:pStyle w:val="14"/>
      <w:jc w:val="right"/>
      <w:rPr>
        <w:rFonts w:hint="eastAsia" w:ascii="宋体" w:hAnsi="宋体" w:eastAsia="宋体"/>
        <w:color w:val="auto"/>
        <w:lang w:eastAsia="zh-C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E59F5C3"/>
    <w:multiLevelType w:val="singleLevel"/>
    <w:tmpl w:val="8E59F5C3"/>
    <w:lvl w:ilvl="0" w:tentative="0">
      <w:start w:val="1"/>
      <w:numFmt w:val="decimal"/>
      <w:suff w:val="space"/>
      <w:lvlText w:val="%1."/>
      <w:lvlJc w:val="left"/>
    </w:lvl>
  </w:abstractNum>
  <w:abstractNum w:abstractNumId="1">
    <w:nsid w:val="9FC0C0C7"/>
    <w:multiLevelType w:val="singleLevel"/>
    <w:tmpl w:val="9FC0C0C7"/>
    <w:lvl w:ilvl="0" w:tentative="0">
      <w:start w:val="1"/>
      <w:numFmt w:val="decimal"/>
      <w:lvlText w:val="%1."/>
      <w:lvlJc w:val="left"/>
      <w:pPr>
        <w:tabs>
          <w:tab w:val="left" w:pos="312"/>
        </w:tabs>
      </w:pPr>
    </w:lvl>
  </w:abstractNum>
  <w:abstractNum w:abstractNumId="2">
    <w:nsid w:val="C2FF3313"/>
    <w:multiLevelType w:val="singleLevel"/>
    <w:tmpl w:val="C2FF3313"/>
    <w:lvl w:ilvl="0" w:tentative="0">
      <w:start w:val="3"/>
      <w:numFmt w:val="chineseCounting"/>
      <w:suff w:val="space"/>
      <w:lvlText w:val="（%1）"/>
      <w:lvlJc w:val="left"/>
      <w:rPr>
        <w:rFonts w:hint="eastAsia"/>
      </w:rPr>
    </w:lvl>
  </w:abstractNum>
  <w:abstractNum w:abstractNumId="3">
    <w:nsid w:val="F4421C38"/>
    <w:multiLevelType w:val="singleLevel"/>
    <w:tmpl w:val="F4421C38"/>
    <w:lvl w:ilvl="0" w:tentative="0">
      <w:start w:val="1"/>
      <w:numFmt w:val="chineseCounting"/>
      <w:suff w:val="space"/>
      <w:lvlText w:val="第%1章"/>
      <w:lvlJc w:val="left"/>
      <w:rPr>
        <w:rFonts w:hint="eastAsia"/>
      </w:rPr>
    </w:lvl>
  </w:abstractNum>
  <w:abstractNum w:abstractNumId="4">
    <w:nsid w:val="25AC778E"/>
    <w:multiLevelType w:val="multilevel"/>
    <w:tmpl w:val="25AC778E"/>
    <w:lvl w:ilvl="0" w:tentative="0">
      <w:start w:val="1"/>
      <w:numFmt w:val="japaneseCounting"/>
      <w:lvlText w:val="%1、"/>
      <w:lvlJc w:val="left"/>
      <w:pPr>
        <w:tabs>
          <w:tab w:val="left" w:pos="420"/>
        </w:tabs>
        <w:ind w:left="420" w:hanging="420"/>
      </w:pPr>
      <w:rPr>
        <w:rFonts w:ascii="宋体" w:hAnsi="宋体" w:eastAsia="宋体" w:cs="Courier New"/>
      </w:rPr>
    </w:lvl>
    <w:lvl w:ilvl="1" w:tentative="0">
      <w:start w:val="1"/>
      <w:numFmt w:val="decimal"/>
      <w:lvlText w:val="%2、"/>
      <w:lvlJc w:val="left"/>
      <w:pPr>
        <w:tabs>
          <w:tab w:val="left" w:pos="780"/>
        </w:tabs>
        <w:ind w:left="780" w:hanging="360"/>
      </w:pPr>
      <w:rPr>
        <w:rFonts w:hint="default"/>
        <w:b w:val="0"/>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5">
    <w:nsid w:val="28DC7BB2"/>
    <w:multiLevelType w:val="singleLevel"/>
    <w:tmpl w:val="28DC7BB2"/>
    <w:lvl w:ilvl="0" w:tentative="0">
      <w:start w:val="1"/>
      <w:numFmt w:val="decimal"/>
      <w:lvlText w:val="%1."/>
      <w:lvlJc w:val="left"/>
      <w:pPr>
        <w:tabs>
          <w:tab w:val="left" w:pos="312"/>
        </w:tabs>
      </w:pPr>
    </w:lvl>
  </w:abstractNum>
  <w:abstractNum w:abstractNumId="6">
    <w:nsid w:val="35844DFD"/>
    <w:multiLevelType w:val="multilevel"/>
    <w:tmpl w:val="35844DFD"/>
    <w:lvl w:ilvl="0" w:tentative="0">
      <w:start w:val="2"/>
      <w:numFmt w:val="decimal"/>
      <w:lvlText w:val="(%1)"/>
      <w:lvlJc w:val="left"/>
      <w:pPr>
        <w:tabs>
          <w:tab w:val="left" w:pos="1200"/>
        </w:tabs>
        <w:ind w:left="1200" w:hanging="360"/>
      </w:pPr>
      <w:rPr>
        <w:rFonts w:hint="default"/>
      </w:rPr>
    </w:lvl>
    <w:lvl w:ilvl="1" w:tentative="0">
      <w:start w:val="1"/>
      <w:numFmt w:val="decimal"/>
      <w:lvlText w:val="%2．"/>
      <w:lvlJc w:val="left"/>
      <w:pPr>
        <w:tabs>
          <w:tab w:val="left" w:pos="1620"/>
        </w:tabs>
        <w:ind w:left="1620" w:hanging="360"/>
      </w:pPr>
      <w:rPr>
        <w:rFonts w:hint="default" w:ascii="宋体" w:hAnsi="宋体" w:eastAsia="宋体"/>
      </w:rPr>
    </w:lvl>
    <w:lvl w:ilvl="2" w:tentative="0">
      <w:start w:val="1"/>
      <w:numFmt w:val="lowerRoman"/>
      <w:lvlText w:val="%3."/>
      <w:lvlJc w:val="right"/>
      <w:pPr>
        <w:tabs>
          <w:tab w:val="left" w:pos="2100"/>
        </w:tabs>
        <w:ind w:left="2100" w:hanging="420"/>
      </w:pPr>
    </w:lvl>
    <w:lvl w:ilvl="3" w:tentative="0">
      <w:start w:val="1"/>
      <w:numFmt w:val="decimal"/>
      <w:lvlText w:val="%4."/>
      <w:lvlJc w:val="left"/>
      <w:pPr>
        <w:tabs>
          <w:tab w:val="left" w:pos="2520"/>
        </w:tabs>
        <w:ind w:left="2520" w:hanging="420"/>
      </w:pPr>
    </w:lvl>
    <w:lvl w:ilvl="4" w:tentative="0">
      <w:start w:val="1"/>
      <w:numFmt w:val="lowerLetter"/>
      <w:lvlText w:val="%5)"/>
      <w:lvlJc w:val="left"/>
      <w:pPr>
        <w:tabs>
          <w:tab w:val="left" w:pos="2940"/>
        </w:tabs>
        <w:ind w:left="2940" w:hanging="420"/>
      </w:pPr>
    </w:lvl>
    <w:lvl w:ilvl="5" w:tentative="0">
      <w:start w:val="1"/>
      <w:numFmt w:val="lowerRoman"/>
      <w:lvlText w:val="%6."/>
      <w:lvlJc w:val="right"/>
      <w:pPr>
        <w:tabs>
          <w:tab w:val="left" w:pos="3360"/>
        </w:tabs>
        <w:ind w:left="3360" w:hanging="420"/>
      </w:pPr>
    </w:lvl>
    <w:lvl w:ilvl="6" w:tentative="0">
      <w:start w:val="1"/>
      <w:numFmt w:val="decimal"/>
      <w:lvlText w:val="%7."/>
      <w:lvlJc w:val="left"/>
      <w:pPr>
        <w:tabs>
          <w:tab w:val="left" w:pos="3780"/>
        </w:tabs>
        <w:ind w:left="3780" w:hanging="420"/>
      </w:pPr>
    </w:lvl>
    <w:lvl w:ilvl="7" w:tentative="0">
      <w:start w:val="1"/>
      <w:numFmt w:val="lowerLetter"/>
      <w:lvlText w:val="%8)"/>
      <w:lvlJc w:val="left"/>
      <w:pPr>
        <w:tabs>
          <w:tab w:val="left" w:pos="4200"/>
        </w:tabs>
        <w:ind w:left="4200" w:hanging="420"/>
      </w:pPr>
    </w:lvl>
    <w:lvl w:ilvl="8" w:tentative="0">
      <w:start w:val="1"/>
      <w:numFmt w:val="lowerRoman"/>
      <w:lvlText w:val="%9."/>
      <w:lvlJc w:val="right"/>
      <w:pPr>
        <w:tabs>
          <w:tab w:val="left" w:pos="4620"/>
        </w:tabs>
        <w:ind w:left="4620" w:hanging="420"/>
      </w:pPr>
    </w:lvl>
  </w:abstractNum>
  <w:abstractNum w:abstractNumId="7">
    <w:nsid w:val="4501719F"/>
    <w:multiLevelType w:val="multilevel"/>
    <w:tmpl w:val="4501719F"/>
    <w:lvl w:ilvl="0" w:tentative="0">
      <w:start w:val="1"/>
      <w:numFmt w:val="decimal"/>
      <w:lvlText w:val="%1."/>
      <w:lvlJc w:val="left"/>
      <w:pPr>
        <w:tabs>
          <w:tab w:val="left" w:pos="420"/>
        </w:tabs>
        <w:ind w:left="420"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8">
    <w:nsid w:val="4AF300E9"/>
    <w:multiLevelType w:val="multilevel"/>
    <w:tmpl w:val="4AF300E9"/>
    <w:lvl w:ilvl="0" w:tentative="0">
      <w:start w:val="2"/>
      <w:numFmt w:val="decimal"/>
      <w:lvlText w:val="(%1)"/>
      <w:lvlJc w:val="left"/>
      <w:pPr>
        <w:tabs>
          <w:tab w:val="left" w:pos="1200"/>
        </w:tabs>
        <w:ind w:left="1200" w:hanging="360"/>
      </w:pPr>
      <w:rPr>
        <w:rFonts w:hint="default"/>
      </w:rPr>
    </w:lvl>
    <w:lvl w:ilvl="1" w:tentative="0">
      <w:start w:val="1"/>
      <w:numFmt w:val="decimal"/>
      <w:lvlText w:val="%2．"/>
      <w:lvlJc w:val="left"/>
      <w:pPr>
        <w:tabs>
          <w:tab w:val="left" w:pos="1620"/>
        </w:tabs>
        <w:ind w:left="1620" w:hanging="360"/>
      </w:pPr>
      <w:rPr>
        <w:rFonts w:hint="default" w:ascii="宋体" w:hAnsi="宋体" w:eastAsia="宋体"/>
      </w:rPr>
    </w:lvl>
    <w:lvl w:ilvl="2" w:tentative="0">
      <w:start w:val="1"/>
      <w:numFmt w:val="lowerRoman"/>
      <w:lvlText w:val="%3."/>
      <w:lvlJc w:val="right"/>
      <w:pPr>
        <w:tabs>
          <w:tab w:val="left" w:pos="2100"/>
        </w:tabs>
        <w:ind w:left="2100" w:hanging="420"/>
      </w:pPr>
    </w:lvl>
    <w:lvl w:ilvl="3" w:tentative="0">
      <w:start w:val="1"/>
      <w:numFmt w:val="decimal"/>
      <w:lvlText w:val="%4."/>
      <w:lvlJc w:val="left"/>
      <w:pPr>
        <w:tabs>
          <w:tab w:val="left" w:pos="2520"/>
        </w:tabs>
        <w:ind w:left="2520" w:hanging="420"/>
      </w:pPr>
    </w:lvl>
    <w:lvl w:ilvl="4" w:tentative="0">
      <w:start w:val="1"/>
      <w:numFmt w:val="lowerLetter"/>
      <w:lvlText w:val="%5)"/>
      <w:lvlJc w:val="left"/>
      <w:pPr>
        <w:tabs>
          <w:tab w:val="left" w:pos="2940"/>
        </w:tabs>
        <w:ind w:left="2940" w:hanging="420"/>
      </w:pPr>
    </w:lvl>
    <w:lvl w:ilvl="5" w:tentative="0">
      <w:start w:val="1"/>
      <w:numFmt w:val="lowerRoman"/>
      <w:lvlText w:val="%6."/>
      <w:lvlJc w:val="right"/>
      <w:pPr>
        <w:tabs>
          <w:tab w:val="left" w:pos="3360"/>
        </w:tabs>
        <w:ind w:left="3360" w:hanging="420"/>
      </w:pPr>
    </w:lvl>
    <w:lvl w:ilvl="6" w:tentative="0">
      <w:start w:val="1"/>
      <w:numFmt w:val="decimal"/>
      <w:lvlText w:val="%7."/>
      <w:lvlJc w:val="left"/>
      <w:pPr>
        <w:tabs>
          <w:tab w:val="left" w:pos="3780"/>
        </w:tabs>
        <w:ind w:left="3780" w:hanging="420"/>
      </w:pPr>
    </w:lvl>
    <w:lvl w:ilvl="7" w:tentative="0">
      <w:start w:val="1"/>
      <w:numFmt w:val="lowerLetter"/>
      <w:lvlText w:val="%8)"/>
      <w:lvlJc w:val="left"/>
      <w:pPr>
        <w:tabs>
          <w:tab w:val="left" w:pos="4200"/>
        </w:tabs>
        <w:ind w:left="4200" w:hanging="420"/>
      </w:pPr>
    </w:lvl>
    <w:lvl w:ilvl="8" w:tentative="0">
      <w:start w:val="1"/>
      <w:numFmt w:val="lowerRoman"/>
      <w:lvlText w:val="%9."/>
      <w:lvlJc w:val="right"/>
      <w:pPr>
        <w:tabs>
          <w:tab w:val="left" w:pos="4620"/>
        </w:tabs>
        <w:ind w:left="4620" w:hanging="420"/>
      </w:pPr>
    </w:lvl>
  </w:abstractNum>
  <w:abstractNum w:abstractNumId="9">
    <w:nsid w:val="4C5BCD0C"/>
    <w:multiLevelType w:val="singleLevel"/>
    <w:tmpl w:val="4C5BCD0C"/>
    <w:lvl w:ilvl="0" w:tentative="0">
      <w:start w:val="6"/>
      <w:numFmt w:val="chineseCounting"/>
      <w:suff w:val="space"/>
      <w:lvlText w:val="第%1章"/>
      <w:lvlJc w:val="left"/>
      <w:rPr>
        <w:rFonts w:hint="eastAsia"/>
      </w:rPr>
    </w:lvl>
  </w:abstractNum>
  <w:abstractNum w:abstractNumId="10">
    <w:nsid w:val="507A66DD"/>
    <w:multiLevelType w:val="singleLevel"/>
    <w:tmpl w:val="507A66DD"/>
    <w:lvl w:ilvl="0" w:tentative="0">
      <w:start w:val="5"/>
      <w:numFmt w:val="chineseCounting"/>
      <w:suff w:val="nothing"/>
      <w:lvlText w:val="%1、"/>
      <w:lvlJc w:val="left"/>
      <w:rPr>
        <w:rFonts w:hint="eastAsia"/>
      </w:rPr>
    </w:lvl>
  </w:abstractNum>
  <w:abstractNum w:abstractNumId="11">
    <w:nsid w:val="50FB4E67"/>
    <w:multiLevelType w:val="singleLevel"/>
    <w:tmpl w:val="50FB4E67"/>
    <w:lvl w:ilvl="0" w:tentative="0">
      <w:start w:val="1"/>
      <w:numFmt w:val="decimal"/>
      <w:suff w:val="space"/>
      <w:lvlText w:val="%1."/>
      <w:lvlJc w:val="left"/>
    </w:lvl>
  </w:abstractNum>
  <w:abstractNum w:abstractNumId="12">
    <w:nsid w:val="59215DE2"/>
    <w:multiLevelType w:val="singleLevel"/>
    <w:tmpl w:val="59215DE2"/>
    <w:lvl w:ilvl="0" w:tentative="0">
      <w:start w:val="2"/>
      <w:numFmt w:val="decimal"/>
      <w:suff w:val="nothing"/>
      <w:lvlText w:val="（%1）"/>
      <w:lvlJc w:val="left"/>
    </w:lvl>
  </w:abstractNum>
  <w:abstractNum w:abstractNumId="13">
    <w:nsid w:val="59E0775A"/>
    <w:multiLevelType w:val="singleLevel"/>
    <w:tmpl w:val="59E0775A"/>
    <w:lvl w:ilvl="0" w:tentative="0">
      <w:start w:val="1"/>
      <w:numFmt w:val="chineseCounting"/>
      <w:suff w:val="nothing"/>
      <w:lvlText w:val="%1、"/>
      <w:lvlJc w:val="left"/>
      <w:pPr>
        <w:ind w:left="0" w:firstLine="420"/>
      </w:pPr>
      <w:rPr>
        <w:rFonts w:hint="eastAsia"/>
      </w:rPr>
    </w:lvl>
  </w:abstractNum>
  <w:abstractNum w:abstractNumId="14">
    <w:nsid w:val="5DE61E17"/>
    <w:multiLevelType w:val="multilevel"/>
    <w:tmpl w:val="5DE61E17"/>
    <w:lvl w:ilvl="0" w:tentative="0">
      <w:start w:val="1"/>
      <w:numFmt w:val="decimal"/>
      <w:lvlText w:val="%1"/>
      <w:lvlJc w:val="left"/>
      <w:pPr>
        <w:tabs>
          <w:tab w:val="left" w:pos="425"/>
        </w:tabs>
        <w:ind w:left="425" w:hanging="425"/>
      </w:pPr>
      <w:rPr>
        <w:rFonts w:hint="eastAsia" w:ascii="宋体" w:hAnsi="宋体" w:eastAsia="宋体"/>
        <w:strike w:val="0"/>
      </w:rPr>
    </w:lvl>
    <w:lvl w:ilvl="1" w:tentative="0">
      <w:start w:val="1"/>
      <w:numFmt w:val="decimal"/>
      <w:lvlText w:val="%1.%2."/>
      <w:lvlJc w:val="left"/>
      <w:pPr>
        <w:tabs>
          <w:tab w:val="left" w:pos="567"/>
        </w:tabs>
        <w:ind w:left="567" w:hanging="567"/>
      </w:pPr>
      <w:rPr>
        <w:rFonts w:hint="eastAsia" w:ascii="宋体" w:hAnsi="宋体" w:eastAsia="宋体"/>
        <w:b w:val="0"/>
        <w:strike w:val="0"/>
        <w:dstrike w:val="0"/>
        <w:sz w:val="21"/>
        <w:szCs w:val="21"/>
      </w:rPr>
    </w:lvl>
    <w:lvl w:ilvl="2" w:tentative="0">
      <w:start w:val="1"/>
      <w:numFmt w:val="decimal"/>
      <w:lvlText w:val="%1.%2.%3."/>
      <w:lvlJc w:val="left"/>
      <w:pPr>
        <w:tabs>
          <w:tab w:val="left" w:pos="567"/>
        </w:tabs>
        <w:ind w:left="567" w:hanging="567"/>
      </w:pPr>
      <w:rPr>
        <w:rFonts w:hint="eastAsia" w:ascii="宋体" w:hAnsi="宋体" w:eastAsia="宋体"/>
        <w:b w:val="0"/>
        <w:sz w:val="21"/>
        <w:szCs w:val="21"/>
      </w:rPr>
    </w:lvl>
    <w:lvl w:ilvl="3" w:tentative="0">
      <w:start w:val="1"/>
      <w:numFmt w:val="decimal"/>
      <w:lvlText w:val="%1.%2.%3.%4."/>
      <w:lvlJc w:val="left"/>
      <w:pPr>
        <w:tabs>
          <w:tab w:val="left" w:pos="851"/>
        </w:tabs>
        <w:ind w:left="851" w:hanging="851"/>
      </w:pPr>
      <w:rPr>
        <w:rFonts w:hint="eastAsia" w:ascii="宋体" w:hAnsi="宋体" w:eastAsia="宋体"/>
        <w:dstrike w:val="0"/>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15">
    <w:nsid w:val="6EEB7F65"/>
    <w:multiLevelType w:val="multilevel"/>
    <w:tmpl w:val="6EEB7F65"/>
    <w:lvl w:ilvl="0" w:tentative="0">
      <w:start w:val="1"/>
      <w:numFmt w:val="chineseCountingThousand"/>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6">
    <w:nsid w:val="72A91BB4"/>
    <w:multiLevelType w:val="multilevel"/>
    <w:tmpl w:val="72A91BB4"/>
    <w:lvl w:ilvl="0" w:tentative="0">
      <w:start w:val="1"/>
      <w:numFmt w:val="japaneseCounting"/>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7">
    <w:nsid w:val="78D54744"/>
    <w:multiLevelType w:val="multilevel"/>
    <w:tmpl w:val="78D54744"/>
    <w:lvl w:ilvl="0" w:tentative="0">
      <w:start w:val="1"/>
      <w:numFmt w:val="decimal"/>
      <w:lvlText w:val="%1."/>
      <w:lvlJc w:val="left"/>
      <w:pPr>
        <w:tabs>
          <w:tab w:val="left" w:pos="780"/>
        </w:tabs>
        <w:ind w:left="780" w:hanging="36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12"/>
  </w:num>
  <w:num w:numId="4">
    <w:abstractNumId w:val="10"/>
  </w:num>
  <w:num w:numId="5">
    <w:abstractNumId w:val="7"/>
  </w:num>
  <w:num w:numId="6">
    <w:abstractNumId w:val="4"/>
  </w:num>
  <w:num w:numId="7">
    <w:abstractNumId w:val="5"/>
  </w:num>
  <w:num w:numId="8">
    <w:abstractNumId w:val="1"/>
  </w:num>
  <w:num w:numId="9">
    <w:abstractNumId w:val="0"/>
  </w:num>
  <w:num w:numId="10">
    <w:abstractNumId w:val="15"/>
  </w:num>
  <w:num w:numId="11">
    <w:abstractNumId w:val="2"/>
  </w:num>
  <w:num w:numId="12">
    <w:abstractNumId w:val="11"/>
  </w:num>
  <w:num w:numId="13">
    <w:abstractNumId w:val="8"/>
  </w:num>
  <w:num w:numId="14">
    <w:abstractNumId w:val="6"/>
  </w:num>
  <w:num w:numId="15">
    <w:abstractNumId w:val="17"/>
  </w:num>
  <w:num w:numId="16">
    <w:abstractNumId w:val="13"/>
  </w:num>
  <w:num w:numId="17">
    <w:abstractNumId w:val="9"/>
  </w:num>
  <w:num w:numId="1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3"/>
  <w:doNotDisplayPageBoundaries w:val="1"/>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EyNDYyYmQ1ZDA0NDE2ZWMxMTVjMTBjNjZlNGMxZWMifQ=="/>
  </w:docVars>
  <w:rsids>
    <w:rsidRoot w:val="00172A27"/>
    <w:rsid w:val="00053647"/>
    <w:rsid w:val="00085086"/>
    <w:rsid w:val="000962F1"/>
    <w:rsid w:val="00103746"/>
    <w:rsid w:val="00153EC7"/>
    <w:rsid w:val="001C4B92"/>
    <w:rsid w:val="001E3994"/>
    <w:rsid w:val="00265A7A"/>
    <w:rsid w:val="002B0228"/>
    <w:rsid w:val="00305A7B"/>
    <w:rsid w:val="003476CA"/>
    <w:rsid w:val="00362699"/>
    <w:rsid w:val="00393014"/>
    <w:rsid w:val="003D734D"/>
    <w:rsid w:val="004434B5"/>
    <w:rsid w:val="004E10A0"/>
    <w:rsid w:val="00515D3E"/>
    <w:rsid w:val="00525336"/>
    <w:rsid w:val="00526253"/>
    <w:rsid w:val="00582E4C"/>
    <w:rsid w:val="00587EFF"/>
    <w:rsid w:val="005B67A2"/>
    <w:rsid w:val="005C3928"/>
    <w:rsid w:val="005C4239"/>
    <w:rsid w:val="006A1144"/>
    <w:rsid w:val="0073551B"/>
    <w:rsid w:val="007463C5"/>
    <w:rsid w:val="007F4C78"/>
    <w:rsid w:val="00820D55"/>
    <w:rsid w:val="008E7AB4"/>
    <w:rsid w:val="008F2D7D"/>
    <w:rsid w:val="0093371A"/>
    <w:rsid w:val="00960105"/>
    <w:rsid w:val="00975532"/>
    <w:rsid w:val="009A6F43"/>
    <w:rsid w:val="00A14DD6"/>
    <w:rsid w:val="00A45DF8"/>
    <w:rsid w:val="00A818CE"/>
    <w:rsid w:val="00B05B1C"/>
    <w:rsid w:val="00B11F87"/>
    <w:rsid w:val="00B429BE"/>
    <w:rsid w:val="00B4641D"/>
    <w:rsid w:val="00B54575"/>
    <w:rsid w:val="00BD37E9"/>
    <w:rsid w:val="00C035E7"/>
    <w:rsid w:val="00C12F48"/>
    <w:rsid w:val="00C242B3"/>
    <w:rsid w:val="00CB48A0"/>
    <w:rsid w:val="00D076D9"/>
    <w:rsid w:val="00D27E74"/>
    <w:rsid w:val="00D36759"/>
    <w:rsid w:val="00D70391"/>
    <w:rsid w:val="00DD4B18"/>
    <w:rsid w:val="00DE0DB1"/>
    <w:rsid w:val="00DF281B"/>
    <w:rsid w:val="00E309D1"/>
    <w:rsid w:val="00E70B1C"/>
    <w:rsid w:val="00EE5E48"/>
    <w:rsid w:val="00FC1F7B"/>
    <w:rsid w:val="00FD6AFE"/>
    <w:rsid w:val="00FF2DFF"/>
    <w:rsid w:val="02A9777F"/>
    <w:rsid w:val="02AF66E0"/>
    <w:rsid w:val="031E1CC9"/>
    <w:rsid w:val="0320670E"/>
    <w:rsid w:val="034B4BE6"/>
    <w:rsid w:val="03D86CBB"/>
    <w:rsid w:val="0407590C"/>
    <w:rsid w:val="046F3F65"/>
    <w:rsid w:val="047E7636"/>
    <w:rsid w:val="05830AC6"/>
    <w:rsid w:val="05B34ED2"/>
    <w:rsid w:val="05C7701E"/>
    <w:rsid w:val="05E163D0"/>
    <w:rsid w:val="06A974F2"/>
    <w:rsid w:val="0729050F"/>
    <w:rsid w:val="0744295F"/>
    <w:rsid w:val="075E2523"/>
    <w:rsid w:val="07711AD4"/>
    <w:rsid w:val="07AB1C61"/>
    <w:rsid w:val="07BE659A"/>
    <w:rsid w:val="07FB70D8"/>
    <w:rsid w:val="080655EC"/>
    <w:rsid w:val="0861098D"/>
    <w:rsid w:val="08D364DD"/>
    <w:rsid w:val="098008CA"/>
    <w:rsid w:val="09A06388"/>
    <w:rsid w:val="09E35FBD"/>
    <w:rsid w:val="0AA16DFC"/>
    <w:rsid w:val="0B89451B"/>
    <w:rsid w:val="0C415C2B"/>
    <w:rsid w:val="0C775C71"/>
    <w:rsid w:val="0CA95AF4"/>
    <w:rsid w:val="0D2F59DD"/>
    <w:rsid w:val="0DD34C1E"/>
    <w:rsid w:val="0F2B57C3"/>
    <w:rsid w:val="0F3833E7"/>
    <w:rsid w:val="0FEF647A"/>
    <w:rsid w:val="1099323E"/>
    <w:rsid w:val="11170236"/>
    <w:rsid w:val="113F716A"/>
    <w:rsid w:val="11547CE6"/>
    <w:rsid w:val="11A46535"/>
    <w:rsid w:val="12DD6F01"/>
    <w:rsid w:val="12EC5AC1"/>
    <w:rsid w:val="13251FF4"/>
    <w:rsid w:val="133438E9"/>
    <w:rsid w:val="14103048"/>
    <w:rsid w:val="14784417"/>
    <w:rsid w:val="147A1F3B"/>
    <w:rsid w:val="14992682"/>
    <w:rsid w:val="14BB18F8"/>
    <w:rsid w:val="15E056F0"/>
    <w:rsid w:val="165B02D3"/>
    <w:rsid w:val="16E878A8"/>
    <w:rsid w:val="16FD7F75"/>
    <w:rsid w:val="17422DCB"/>
    <w:rsid w:val="17BE6A0B"/>
    <w:rsid w:val="17C0574B"/>
    <w:rsid w:val="182D25C2"/>
    <w:rsid w:val="187C40C2"/>
    <w:rsid w:val="18CD0295"/>
    <w:rsid w:val="18D1626C"/>
    <w:rsid w:val="195F5F50"/>
    <w:rsid w:val="19C34D79"/>
    <w:rsid w:val="19E23181"/>
    <w:rsid w:val="1A2A0151"/>
    <w:rsid w:val="1AF57CC6"/>
    <w:rsid w:val="1B710915"/>
    <w:rsid w:val="1BCD1BBD"/>
    <w:rsid w:val="1CB04F5A"/>
    <w:rsid w:val="1CBD6967"/>
    <w:rsid w:val="1CF04135"/>
    <w:rsid w:val="1D0B2FB0"/>
    <w:rsid w:val="1E1B7543"/>
    <w:rsid w:val="1E287231"/>
    <w:rsid w:val="1F4F5FCE"/>
    <w:rsid w:val="1FB10D31"/>
    <w:rsid w:val="201B5E8D"/>
    <w:rsid w:val="20533A26"/>
    <w:rsid w:val="205729C5"/>
    <w:rsid w:val="20B61DE1"/>
    <w:rsid w:val="20FE7400"/>
    <w:rsid w:val="210D20DA"/>
    <w:rsid w:val="21307DB2"/>
    <w:rsid w:val="216A22EC"/>
    <w:rsid w:val="220311B7"/>
    <w:rsid w:val="22E70F8C"/>
    <w:rsid w:val="22F35ED1"/>
    <w:rsid w:val="230949B3"/>
    <w:rsid w:val="231B2B24"/>
    <w:rsid w:val="239F6B5C"/>
    <w:rsid w:val="23BE36F5"/>
    <w:rsid w:val="23C063DE"/>
    <w:rsid w:val="24106E72"/>
    <w:rsid w:val="24487A08"/>
    <w:rsid w:val="24BE1867"/>
    <w:rsid w:val="25DE2164"/>
    <w:rsid w:val="262C78E7"/>
    <w:rsid w:val="268564DD"/>
    <w:rsid w:val="26A900A8"/>
    <w:rsid w:val="271324B7"/>
    <w:rsid w:val="274550D1"/>
    <w:rsid w:val="275859A0"/>
    <w:rsid w:val="27BB7CDD"/>
    <w:rsid w:val="29833AC2"/>
    <w:rsid w:val="2A786D8D"/>
    <w:rsid w:val="2A802951"/>
    <w:rsid w:val="2B4C1378"/>
    <w:rsid w:val="2BE90BA6"/>
    <w:rsid w:val="2C0F2178"/>
    <w:rsid w:val="2C150838"/>
    <w:rsid w:val="2C3E49FC"/>
    <w:rsid w:val="2CD71545"/>
    <w:rsid w:val="2D18339C"/>
    <w:rsid w:val="2D8D5C78"/>
    <w:rsid w:val="2DB23294"/>
    <w:rsid w:val="2DDC55FA"/>
    <w:rsid w:val="2EE67D35"/>
    <w:rsid w:val="2F623005"/>
    <w:rsid w:val="2F807931"/>
    <w:rsid w:val="3153125F"/>
    <w:rsid w:val="315F792B"/>
    <w:rsid w:val="32674CE9"/>
    <w:rsid w:val="32BB4225"/>
    <w:rsid w:val="33EC55F9"/>
    <w:rsid w:val="348651FA"/>
    <w:rsid w:val="34FE4919"/>
    <w:rsid w:val="35294DAE"/>
    <w:rsid w:val="355369E9"/>
    <w:rsid w:val="35F51174"/>
    <w:rsid w:val="35F76384"/>
    <w:rsid w:val="364E3EA8"/>
    <w:rsid w:val="366D7269"/>
    <w:rsid w:val="36865435"/>
    <w:rsid w:val="371231E8"/>
    <w:rsid w:val="37206CBB"/>
    <w:rsid w:val="37743C09"/>
    <w:rsid w:val="37753A04"/>
    <w:rsid w:val="38550BC9"/>
    <w:rsid w:val="38AA1DD4"/>
    <w:rsid w:val="38E30E42"/>
    <w:rsid w:val="38EF30F5"/>
    <w:rsid w:val="3AE26400"/>
    <w:rsid w:val="3B273268"/>
    <w:rsid w:val="3BF5514F"/>
    <w:rsid w:val="3C32050E"/>
    <w:rsid w:val="3C844841"/>
    <w:rsid w:val="3D626DA6"/>
    <w:rsid w:val="3E896739"/>
    <w:rsid w:val="3E8E35FE"/>
    <w:rsid w:val="3ED82EA8"/>
    <w:rsid w:val="3F951D49"/>
    <w:rsid w:val="3FB3156E"/>
    <w:rsid w:val="3FF9372A"/>
    <w:rsid w:val="4000052B"/>
    <w:rsid w:val="40624EF6"/>
    <w:rsid w:val="413D74AE"/>
    <w:rsid w:val="41B77024"/>
    <w:rsid w:val="437A1489"/>
    <w:rsid w:val="45FD1696"/>
    <w:rsid w:val="46614FB8"/>
    <w:rsid w:val="480F755D"/>
    <w:rsid w:val="486B29D8"/>
    <w:rsid w:val="487C5A0C"/>
    <w:rsid w:val="48C4659A"/>
    <w:rsid w:val="48DB3851"/>
    <w:rsid w:val="494A4D03"/>
    <w:rsid w:val="49F56077"/>
    <w:rsid w:val="4A294F03"/>
    <w:rsid w:val="4A421E6C"/>
    <w:rsid w:val="4A4B30A6"/>
    <w:rsid w:val="4A673681"/>
    <w:rsid w:val="4AA541A9"/>
    <w:rsid w:val="4BA80704"/>
    <w:rsid w:val="4BB057D6"/>
    <w:rsid w:val="4C1770A2"/>
    <w:rsid w:val="4C186067"/>
    <w:rsid w:val="4CFC253C"/>
    <w:rsid w:val="4D4B557E"/>
    <w:rsid w:val="4E287B8F"/>
    <w:rsid w:val="4E2B2C17"/>
    <w:rsid w:val="4F276100"/>
    <w:rsid w:val="4F337933"/>
    <w:rsid w:val="4F7227C9"/>
    <w:rsid w:val="508B63A7"/>
    <w:rsid w:val="51226553"/>
    <w:rsid w:val="51CA5707"/>
    <w:rsid w:val="52662470"/>
    <w:rsid w:val="52796647"/>
    <w:rsid w:val="52835739"/>
    <w:rsid w:val="528965FF"/>
    <w:rsid w:val="54034D64"/>
    <w:rsid w:val="546465A8"/>
    <w:rsid w:val="54707634"/>
    <w:rsid w:val="548605A3"/>
    <w:rsid w:val="54CD1DCA"/>
    <w:rsid w:val="55223429"/>
    <w:rsid w:val="55301E37"/>
    <w:rsid w:val="564156CE"/>
    <w:rsid w:val="57004BF9"/>
    <w:rsid w:val="5703767D"/>
    <w:rsid w:val="570C231F"/>
    <w:rsid w:val="571C54EC"/>
    <w:rsid w:val="57641802"/>
    <w:rsid w:val="58704048"/>
    <w:rsid w:val="58DE2B70"/>
    <w:rsid w:val="58E662E9"/>
    <w:rsid w:val="58EB2CD9"/>
    <w:rsid w:val="592204BC"/>
    <w:rsid w:val="595C38E5"/>
    <w:rsid w:val="5A0A5E9A"/>
    <w:rsid w:val="5B0F6FF4"/>
    <w:rsid w:val="5B8147BE"/>
    <w:rsid w:val="5D045FFD"/>
    <w:rsid w:val="5D0D455B"/>
    <w:rsid w:val="5DAE1F62"/>
    <w:rsid w:val="5DE35818"/>
    <w:rsid w:val="5DED21E0"/>
    <w:rsid w:val="5DFC0378"/>
    <w:rsid w:val="5DFC6F6D"/>
    <w:rsid w:val="5E3A0E09"/>
    <w:rsid w:val="5E533026"/>
    <w:rsid w:val="5F7F1015"/>
    <w:rsid w:val="5F8F74AA"/>
    <w:rsid w:val="603040BD"/>
    <w:rsid w:val="61131A15"/>
    <w:rsid w:val="63DA5557"/>
    <w:rsid w:val="651F6AF8"/>
    <w:rsid w:val="6591642E"/>
    <w:rsid w:val="65AF2FC0"/>
    <w:rsid w:val="664D7777"/>
    <w:rsid w:val="66934D57"/>
    <w:rsid w:val="66FB3482"/>
    <w:rsid w:val="672B148E"/>
    <w:rsid w:val="6773695A"/>
    <w:rsid w:val="67775E34"/>
    <w:rsid w:val="67B840B0"/>
    <w:rsid w:val="68086D86"/>
    <w:rsid w:val="68921DB9"/>
    <w:rsid w:val="69D81A4D"/>
    <w:rsid w:val="69EE0DB5"/>
    <w:rsid w:val="6A507835"/>
    <w:rsid w:val="6B1E5ABE"/>
    <w:rsid w:val="6B7258C3"/>
    <w:rsid w:val="6B9D7D0A"/>
    <w:rsid w:val="6CA908B2"/>
    <w:rsid w:val="6D6134B1"/>
    <w:rsid w:val="6EF015E7"/>
    <w:rsid w:val="6F445C8F"/>
    <w:rsid w:val="6FA3559F"/>
    <w:rsid w:val="700B526E"/>
    <w:rsid w:val="70497201"/>
    <w:rsid w:val="7083201C"/>
    <w:rsid w:val="708A7E9A"/>
    <w:rsid w:val="70A95EF1"/>
    <w:rsid w:val="70C67989"/>
    <w:rsid w:val="72207836"/>
    <w:rsid w:val="723039E4"/>
    <w:rsid w:val="72367718"/>
    <w:rsid w:val="72ED6ADA"/>
    <w:rsid w:val="7328077E"/>
    <w:rsid w:val="73C80160"/>
    <w:rsid w:val="73F85F77"/>
    <w:rsid w:val="744F0493"/>
    <w:rsid w:val="74B661AA"/>
    <w:rsid w:val="755469EE"/>
    <w:rsid w:val="76074F9A"/>
    <w:rsid w:val="76525A3A"/>
    <w:rsid w:val="76764645"/>
    <w:rsid w:val="77187ACC"/>
    <w:rsid w:val="77785B42"/>
    <w:rsid w:val="77813724"/>
    <w:rsid w:val="77CB584B"/>
    <w:rsid w:val="780A23D9"/>
    <w:rsid w:val="786D4A31"/>
    <w:rsid w:val="788039DC"/>
    <w:rsid w:val="78B60C02"/>
    <w:rsid w:val="78FA0D3D"/>
    <w:rsid w:val="7A2747BD"/>
    <w:rsid w:val="7A7430CC"/>
    <w:rsid w:val="7B2C15E1"/>
    <w:rsid w:val="7B3F3385"/>
    <w:rsid w:val="7BC4348B"/>
    <w:rsid w:val="7C22504E"/>
    <w:rsid w:val="7CA61410"/>
    <w:rsid w:val="7D0D1FD1"/>
    <w:rsid w:val="7D806106"/>
    <w:rsid w:val="7D863BB0"/>
    <w:rsid w:val="7D986F5E"/>
    <w:rsid w:val="7E060C3F"/>
    <w:rsid w:val="7E370052"/>
    <w:rsid w:val="7ED11769"/>
    <w:rsid w:val="7F0D1DA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name="toc 1"/>
    <w:lsdException w:qFormat="1" w:uiPriority="39" w:name="toc 2"/>
    <w:lsdException w:qFormat="1"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99" w:semiHidden="0" w:name="Normal Indent"/>
    <w:lsdException w:uiPriority="99" w:name="footnote text"/>
    <w:lsdException w:qFormat="1" w:unhideWhenUsed="0" w:uiPriority="0" w:semiHidden="0"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qFormat="1" w:unhideWhenUsed="0" w:uiPriority="0" w:semiHidden="0"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0" w:semiHidden="0" w:name="Strong"/>
    <w:lsdException w:qFormat="1" w:unhideWhenUsed="0" w:uiPriority="0" w:semiHidden="0" w:name="Emphasis"/>
    <w:lsdException w:uiPriority="99" w:name="Document Map"/>
    <w:lsdException w:qFormat="1"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qFormat="1"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0"/>
    <w:pPr>
      <w:keepNext/>
      <w:widowControl/>
      <w:jc w:val="left"/>
      <w:outlineLvl w:val="0"/>
    </w:pPr>
    <w:rPr>
      <w:b/>
      <w:bCs/>
      <w:kern w:val="0"/>
      <w:sz w:val="24"/>
    </w:rPr>
  </w:style>
  <w:style w:type="paragraph" w:styleId="4">
    <w:name w:val="heading 2"/>
    <w:basedOn w:val="1"/>
    <w:next w:val="1"/>
    <w:qFormat/>
    <w:uiPriority w:val="0"/>
    <w:pPr>
      <w:outlineLvl w:val="1"/>
    </w:pPr>
    <w:rPr>
      <w:rFonts w:ascii="Cambria" w:hAnsi="Cambria" w:cs="宋体"/>
    </w:rPr>
  </w:style>
  <w:style w:type="paragraph" w:styleId="5">
    <w:name w:val="heading 3"/>
    <w:basedOn w:val="1"/>
    <w:next w:val="1"/>
    <w:semiHidden/>
    <w:unhideWhenUsed/>
    <w:qFormat/>
    <w:uiPriority w:val="9"/>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23">
    <w:name w:val="Default Paragraph Font"/>
    <w:semiHidden/>
    <w:unhideWhenUsed/>
    <w:qFormat/>
    <w:uiPriority w:val="1"/>
  </w:style>
  <w:style w:type="table" w:default="1" w:styleId="21">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2">
    <w:name w:val="No Spacing"/>
    <w:autoRedefine/>
    <w:qFormat/>
    <w:uiPriority w:val="1"/>
    <w:pPr>
      <w:widowControl w:val="0"/>
      <w:jc w:val="both"/>
    </w:pPr>
    <w:rPr>
      <w:rFonts w:ascii="Times New Roman" w:hAnsi="Times New Roman" w:eastAsia="宋体" w:cs="Times New Roman"/>
      <w:kern w:val="2"/>
      <w:sz w:val="21"/>
      <w:lang w:val="en-US" w:eastAsia="zh-CN" w:bidi="ar-SA"/>
    </w:rPr>
  </w:style>
  <w:style w:type="paragraph" w:styleId="6">
    <w:name w:val="Normal Indent"/>
    <w:basedOn w:val="1"/>
    <w:next w:val="7"/>
    <w:qFormat/>
    <w:uiPriority w:val="99"/>
    <w:pPr>
      <w:ind w:firstLine="420" w:firstLineChars="200"/>
    </w:pPr>
  </w:style>
  <w:style w:type="paragraph" w:styleId="7">
    <w:name w:val="Body Text"/>
    <w:basedOn w:val="1"/>
    <w:next w:val="8"/>
    <w:qFormat/>
    <w:uiPriority w:val="0"/>
    <w:pPr>
      <w:spacing w:after="120"/>
    </w:pPr>
  </w:style>
  <w:style w:type="paragraph" w:styleId="8">
    <w:name w:val="Body Text 2"/>
    <w:basedOn w:val="1"/>
    <w:qFormat/>
    <w:uiPriority w:val="0"/>
    <w:pPr>
      <w:spacing w:line="360" w:lineRule="auto"/>
    </w:pPr>
    <w:rPr>
      <w:sz w:val="24"/>
    </w:rPr>
  </w:style>
  <w:style w:type="paragraph" w:styleId="9">
    <w:name w:val="annotation text"/>
    <w:basedOn w:val="1"/>
    <w:qFormat/>
    <w:uiPriority w:val="0"/>
    <w:pPr>
      <w:jc w:val="left"/>
    </w:pPr>
    <w:rPr>
      <w:rFonts w:asciiTheme="minorHAnsi" w:hAnsiTheme="minorHAnsi" w:eastAsiaTheme="minorEastAsia" w:cstheme="minorBidi"/>
    </w:rPr>
  </w:style>
  <w:style w:type="paragraph" w:styleId="10">
    <w:name w:val="Body Text Indent"/>
    <w:basedOn w:val="1"/>
    <w:qFormat/>
    <w:uiPriority w:val="0"/>
    <w:pPr>
      <w:spacing w:line="560" w:lineRule="exact"/>
      <w:ind w:left="300"/>
    </w:pPr>
    <w:rPr>
      <w:sz w:val="24"/>
    </w:rPr>
  </w:style>
  <w:style w:type="paragraph" w:styleId="11">
    <w:name w:val="toc 3"/>
    <w:basedOn w:val="1"/>
    <w:next w:val="1"/>
    <w:semiHidden/>
    <w:unhideWhenUsed/>
    <w:qFormat/>
    <w:uiPriority w:val="39"/>
    <w:pPr>
      <w:ind w:left="840" w:leftChars="400"/>
    </w:pPr>
  </w:style>
  <w:style w:type="paragraph" w:styleId="12">
    <w:name w:val="Plain Text"/>
    <w:basedOn w:val="1"/>
    <w:link w:val="32"/>
    <w:semiHidden/>
    <w:unhideWhenUsed/>
    <w:qFormat/>
    <w:uiPriority w:val="99"/>
    <w:rPr>
      <w:rFonts w:ascii="宋体" w:hAnsi="Courier New" w:eastAsia="宋体" w:cs="Times New Roman"/>
      <w:szCs w:val="20"/>
    </w:rPr>
  </w:style>
  <w:style w:type="paragraph" w:styleId="13">
    <w:name w:val="footer"/>
    <w:basedOn w:val="1"/>
    <w:link w:val="31"/>
    <w:semiHidden/>
    <w:unhideWhenUsed/>
    <w:qFormat/>
    <w:uiPriority w:val="99"/>
    <w:pPr>
      <w:tabs>
        <w:tab w:val="center" w:pos="4153"/>
        <w:tab w:val="right" w:pos="8306"/>
      </w:tabs>
      <w:snapToGrid w:val="0"/>
      <w:jc w:val="left"/>
    </w:pPr>
    <w:rPr>
      <w:sz w:val="18"/>
      <w:szCs w:val="18"/>
    </w:rPr>
  </w:style>
  <w:style w:type="paragraph" w:styleId="14">
    <w:name w:val="header"/>
    <w:basedOn w:val="1"/>
    <w:link w:val="30"/>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15">
    <w:name w:val="toc 1"/>
    <w:basedOn w:val="1"/>
    <w:next w:val="1"/>
    <w:semiHidden/>
    <w:unhideWhenUsed/>
    <w:qFormat/>
    <w:uiPriority w:val="39"/>
  </w:style>
  <w:style w:type="paragraph" w:styleId="16">
    <w:name w:val="Subtitle"/>
    <w:basedOn w:val="1"/>
    <w:next w:val="1"/>
    <w:qFormat/>
    <w:uiPriority w:val="0"/>
    <w:pPr>
      <w:tabs>
        <w:tab w:val="left" w:pos="426"/>
      </w:tabs>
      <w:spacing w:before="240" w:after="60" w:line="312" w:lineRule="auto"/>
      <w:jc w:val="center"/>
      <w:outlineLvl w:val="1"/>
    </w:pPr>
    <w:rPr>
      <w:rFonts w:ascii="Cambria" w:hAnsi="Cambria" w:cs="Times New Roman"/>
      <w:b/>
      <w:bCs/>
      <w:kern w:val="28"/>
      <w:sz w:val="28"/>
      <w:szCs w:val="32"/>
    </w:rPr>
  </w:style>
  <w:style w:type="paragraph" w:styleId="17">
    <w:name w:val="toc 2"/>
    <w:basedOn w:val="1"/>
    <w:next w:val="1"/>
    <w:semiHidden/>
    <w:unhideWhenUsed/>
    <w:qFormat/>
    <w:uiPriority w:val="39"/>
    <w:pPr>
      <w:ind w:left="420" w:leftChars="200"/>
    </w:pPr>
  </w:style>
  <w:style w:type="paragraph" w:styleId="18">
    <w:name w:val="HTML Preformatted"/>
    <w:basedOn w:val="1"/>
    <w:semiHidden/>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19">
    <w:name w:val="Normal (Web)"/>
    <w:basedOn w:val="1"/>
    <w:semiHidden/>
    <w:unhideWhenUsed/>
    <w:qFormat/>
    <w:uiPriority w:val="99"/>
    <w:pPr>
      <w:widowControl/>
      <w:spacing w:before="0" w:beforeAutospacing="1" w:after="0" w:afterAutospacing="1"/>
      <w:ind w:left="0" w:right="0"/>
      <w:jc w:val="left"/>
    </w:pPr>
    <w:rPr>
      <w:rFonts w:ascii="宋体" w:hAnsi="宋体" w:eastAsia="宋体" w:cs="宋体"/>
      <w:kern w:val="0"/>
      <w:sz w:val="24"/>
      <w:szCs w:val="24"/>
      <w:lang w:val="en-US" w:eastAsia="zh-CN" w:bidi="ar"/>
    </w:rPr>
  </w:style>
  <w:style w:type="paragraph" w:styleId="20">
    <w:name w:val="Body Text First Indent 2"/>
    <w:basedOn w:val="10"/>
    <w:qFormat/>
    <w:uiPriority w:val="0"/>
    <w:pPr>
      <w:ind w:firstLine="420" w:firstLineChars="200"/>
    </w:pPr>
    <w:rPr>
      <w:sz w:val="21"/>
    </w:rPr>
  </w:style>
  <w:style w:type="table" w:styleId="22">
    <w:name w:val="Table Grid"/>
    <w:basedOn w:val="21"/>
    <w:qFormat/>
    <w:uiPriority w:val="0"/>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tcPr>
      <w:tcBorders>
        <w:top w:val="single" w:color="auto" w:sz="4" w:space="0"/>
        <w:left w:val="single" w:color="auto" w:sz="4" w:space="0"/>
        <w:bottom w:val="single" w:color="auto" w:sz="4" w:space="0"/>
        <w:right w:val="single" w:color="auto" w:sz="4" w:space="0"/>
      </w:tcBorders>
    </w:tcPr>
  </w:style>
  <w:style w:type="character" w:styleId="24">
    <w:name w:val="Strong"/>
    <w:basedOn w:val="23"/>
    <w:qFormat/>
    <w:uiPriority w:val="0"/>
    <w:rPr>
      <w:b/>
      <w:bCs/>
    </w:rPr>
  </w:style>
  <w:style w:type="character" w:styleId="25">
    <w:name w:val="page number"/>
    <w:basedOn w:val="23"/>
    <w:qFormat/>
    <w:uiPriority w:val="0"/>
  </w:style>
  <w:style w:type="character" w:styleId="26">
    <w:name w:val="Emphasis"/>
    <w:basedOn w:val="23"/>
    <w:qFormat/>
    <w:uiPriority w:val="0"/>
    <w:rPr>
      <w:i/>
      <w:iCs/>
    </w:rPr>
  </w:style>
  <w:style w:type="character" w:styleId="27">
    <w:name w:val="Hyperlink"/>
    <w:qFormat/>
    <w:uiPriority w:val="99"/>
    <w:rPr>
      <w:color w:val="0000FF"/>
      <w:u w:val="single"/>
    </w:rPr>
  </w:style>
  <w:style w:type="character" w:styleId="28">
    <w:name w:val="HTML Code"/>
    <w:basedOn w:val="23"/>
    <w:semiHidden/>
    <w:unhideWhenUsed/>
    <w:qFormat/>
    <w:uiPriority w:val="99"/>
    <w:rPr>
      <w:rFonts w:ascii="Courier New" w:hAnsi="Courier New"/>
      <w:sz w:val="20"/>
    </w:rPr>
  </w:style>
  <w:style w:type="paragraph" w:customStyle="1" w:styleId="29">
    <w:name w:val="文档正文"/>
    <w:basedOn w:val="1"/>
    <w:qFormat/>
    <w:uiPriority w:val="99"/>
    <w:pPr>
      <w:adjustRightInd w:val="0"/>
      <w:spacing w:line="480" w:lineRule="atLeast"/>
      <w:ind w:firstLine="567" w:firstLineChars="200"/>
      <w:textAlignment w:val="baseline"/>
    </w:pPr>
    <w:rPr>
      <w:rFonts w:ascii="长城仿宋"/>
      <w:szCs w:val="20"/>
    </w:rPr>
  </w:style>
  <w:style w:type="character" w:customStyle="1" w:styleId="30">
    <w:name w:val="页眉 Char"/>
    <w:basedOn w:val="23"/>
    <w:link w:val="14"/>
    <w:semiHidden/>
    <w:qFormat/>
    <w:uiPriority w:val="99"/>
    <w:rPr>
      <w:sz w:val="18"/>
      <w:szCs w:val="18"/>
    </w:rPr>
  </w:style>
  <w:style w:type="character" w:customStyle="1" w:styleId="31">
    <w:name w:val="页脚 Char"/>
    <w:basedOn w:val="23"/>
    <w:link w:val="13"/>
    <w:semiHidden/>
    <w:qFormat/>
    <w:uiPriority w:val="99"/>
    <w:rPr>
      <w:sz w:val="18"/>
      <w:szCs w:val="18"/>
    </w:rPr>
  </w:style>
  <w:style w:type="character" w:customStyle="1" w:styleId="32">
    <w:name w:val="纯文本 Char"/>
    <w:basedOn w:val="23"/>
    <w:link w:val="12"/>
    <w:semiHidden/>
    <w:qFormat/>
    <w:uiPriority w:val="99"/>
    <w:rPr>
      <w:rFonts w:ascii="宋体" w:hAnsi="Courier New" w:eastAsia="宋体" w:cs="Times New Roman"/>
      <w:szCs w:val="20"/>
    </w:rPr>
  </w:style>
  <w:style w:type="paragraph" w:customStyle="1" w:styleId="33">
    <w:name w:val="列出段落11"/>
    <w:basedOn w:val="1"/>
    <w:qFormat/>
    <w:uiPriority w:val="0"/>
    <w:pPr>
      <w:ind w:firstLine="420" w:firstLineChars="200"/>
    </w:pPr>
  </w:style>
  <w:style w:type="paragraph" w:styleId="34">
    <w:name w:val="List Paragraph"/>
    <w:basedOn w:val="1"/>
    <w:autoRedefine/>
    <w:qFormat/>
    <w:uiPriority w:val="34"/>
    <w:pPr>
      <w:ind w:firstLine="420" w:firstLineChars="200"/>
    </w:pPr>
    <w:rPr>
      <w:rFonts w:ascii="Calibri" w:hAnsi="Calibri"/>
      <w:szCs w:val="22"/>
    </w:rPr>
  </w:style>
  <w:style w:type="character" w:customStyle="1" w:styleId="35">
    <w:name w:val="font11"/>
    <w:basedOn w:val="23"/>
    <w:qFormat/>
    <w:uiPriority w:val="0"/>
    <w:rPr>
      <w:rFonts w:hint="eastAsia" w:ascii="宋体" w:hAnsi="宋体" w:eastAsia="宋体" w:cs="宋体"/>
      <w:color w:val="000000"/>
      <w:sz w:val="24"/>
      <w:szCs w:val="24"/>
      <w:u w:val="none"/>
    </w:rPr>
  </w:style>
  <w:style w:type="character" w:customStyle="1" w:styleId="36">
    <w:name w:val="font41"/>
    <w:basedOn w:val="23"/>
    <w:qFormat/>
    <w:uiPriority w:val="0"/>
    <w:rPr>
      <w:rFonts w:hint="default" w:ascii="Times New Roman" w:hAnsi="Times New Roman" w:cs="Times New Roman"/>
      <w:color w:val="000000"/>
      <w:sz w:val="24"/>
      <w:szCs w:val="24"/>
      <w:u w:val="none"/>
    </w:rPr>
  </w:style>
  <w:style w:type="paragraph" w:customStyle="1" w:styleId="37">
    <w:name w:val="*正文"/>
    <w:basedOn w:val="1"/>
    <w:qFormat/>
    <w:uiPriority w:val="0"/>
    <w:pPr>
      <w:spacing w:line="360" w:lineRule="auto"/>
      <w:ind w:firstLine="200" w:firstLineChars="200"/>
    </w:pPr>
    <w:rPr>
      <w:rFonts w:ascii="宋体" w:hAnsi="宋体"/>
      <w:kern w:val="0"/>
      <w:sz w:val="22"/>
      <w:szCs w:val="24"/>
    </w:rPr>
  </w:style>
  <w:style w:type="paragraph" w:customStyle="1" w:styleId="38">
    <w:name w:val="图"/>
    <w:basedOn w:val="1"/>
    <w:autoRedefine/>
    <w:qFormat/>
    <w:uiPriority w:val="0"/>
    <w:pPr>
      <w:keepNext/>
      <w:adjustRightInd w:val="0"/>
      <w:spacing w:before="60" w:after="60" w:line="300" w:lineRule="auto"/>
      <w:jc w:val="center"/>
      <w:textAlignment w:val="center"/>
    </w:pPr>
    <w:rPr>
      <w:snapToGrid w:val="0"/>
      <w:spacing w:val="20"/>
      <w:kern w:val="0"/>
      <w:sz w:val="24"/>
      <w:szCs w:val="20"/>
    </w:rPr>
  </w:style>
  <w:style w:type="paragraph" w:customStyle="1" w:styleId="39">
    <w:name w:val="_Style 33"/>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0">
    <w:name w:val="列出段落1"/>
    <w:basedOn w:val="1"/>
    <w:autoRedefine/>
    <w:qFormat/>
    <w:uiPriority w:val="34"/>
    <w:pPr>
      <w:ind w:firstLine="420" w:firstLineChars="200"/>
    </w:pPr>
  </w:style>
  <w:style w:type="table" w:customStyle="1" w:styleId="41">
    <w:name w:val="网格型1"/>
    <w:basedOn w:val="21"/>
    <w:autoRedefine/>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42">
    <w:name w:val="font21"/>
    <w:basedOn w:val="23"/>
    <w:qFormat/>
    <w:uiPriority w:val="0"/>
    <w:rPr>
      <w:rFonts w:hint="eastAsia" w:ascii="宋体" w:hAnsi="宋体" w:eastAsia="宋体" w:cs="宋体"/>
      <w:color w:val="000000"/>
      <w:sz w:val="22"/>
      <w:szCs w:val="22"/>
      <w:u w:val="none"/>
    </w:rPr>
  </w:style>
  <w:style w:type="character" w:customStyle="1" w:styleId="43">
    <w:name w:val="font71"/>
    <w:basedOn w:val="23"/>
    <w:qFormat/>
    <w:uiPriority w:val="0"/>
    <w:rPr>
      <w:rFonts w:hint="eastAsia" w:ascii="微软雅黑" w:hAnsi="微软雅黑" w:eastAsia="微软雅黑" w:cs="微软雅黑"/>
      <w:color w:val="FF0000"/>
      <w:sz w:val="22"/>
      <w:szCs w:val="22"/>
      <w:u w:val="none"/>
    </w:rPr>
  </w:style>
  <w:style w:type="character" w:customStyle="1" w:styleId="44">
    <w:name w:val="font81"/>
    <w:basedOn w:val="23"/>
    <w:qFormat/>
    <w:uiPriority w:val="0"/>
    <w:rPr>
      <w:rFonts w:hint="eastAsia" w:ascii="宋体" w:hAnsi="宋体" w:eastAsia="宋体" w:cs="宋体"/>
      <w:color w:val="000000"/>
      <w:sz w:val="22"/>
      <w:szCs w:val="22"/>
      <w:u w:val="none"/>
    </w:rPr>
  </w:style>
  <w:style w:type="character" w:customStyle="1" w:styleId="45">
    <w:name w:val="font91"/>
    <w:basedOn w:val="23"/>
    <w:qFormat/>
    <w:uiPriority w:val="0"/>
    <w:rPr>
      <w:rFonts w:hint="default" w:ascii="Times New Roman" w:hAnsi="Times New Roman" w:cs="Times New Roman"/>
      <w:color w:val="FF0000"/>
      <w:sz w:val="22"/>
      <w:szCs w:val="22"/>
      <w:u w:val="none"/>
    </w:rPr>
  </w:style>
  <w:style w:type="character" w:customStyle="1" w:styleId="46">
    <w:name w:val="font101"/>
    <w:basedOn w:val="23"/>
    <w:qFormat/>
    <w:uiPriority w:val="0"/>
    <w:rPr>
      <w:rFonts w:hint="eastAsia" w:ascii="宋体" w:hAnsi="宋体" w:eastAsia="宋体" w:cs="宋体"/>
      <w:color w:val="FF0000"/>
      <w:sz w:val="22"/>
      <w:szCs w:val="22"/>
      <w:u w:val="none"/>
    </w:rPr>
  </w:style>
  <w:style w:type="character" w:customStyle="1" w:styleId="47">
    <w:name w:val="font51"/>
    <w:basedOn w:val="23"/>
    <w:qFormat/>
    <w:uiPriority w:val="0"/>
    <w:rPr>
      <w:rFonts w:hint="default" w:ascii="华文宋体" w:hAnsi="华文宋体" w:eastAsia="华文宋体" w:cs="华文宋体"/>
      <w:color w:val="000000"/>
      <w:sz w:val="22"/>
      <w:szCs w:val="22"/>
      <w:u w:val="none"/>
    </w:rPr>
  </w:style>
  <w:style w:type="character" w:customStyle="1" w:styleId="48">
    <w:name w:val="font121"/>
    <w:basedOn w:val="23"/>
    <w:qFormat/>
    <w:uiPriority w:val="0"/>
    <w:rPr>
      <w:rFonts w:hint="default" w:ascii="华文宋体" w:hAnsi="华文宋体" w:eastAsia="华文宋体" w:cs="华文宋体"/>
      <w:color w:val="FF0000"/>
      <w:sz w:val="22"/>
      <w:szCs w:val="22"/>
      <w:u w:val="none"/>
    </w:rPr>
  </w:style>
  <w:style w:type="character" w:customStyle="1" w:styleId="49">
    <w:name w:val="font111"/>
    <w:basedOn w:val="23"/>
    <w:qFormat/>
    <w:uiPriority w:val="0"/>
    <w:rPr>
      <w:rFonts w:ascii="Arial" w:hAnsi="Arial" w:cs="Arial"/>
      <w:color w:val="000000"/>
      <w:sz w:val="22"/>
      <w:szCs w:val="22"/>
      <w:u w:val="none"/>
    </w:rPr>
  </w:style>
  <w:style w:type="paragraph" w:customStyle="1" w:styleId="50">
    <w:name w:val="WPSOffice手动目录 1"/>
    <w:qFormat/>
    <w:uiPriority w:val="0"/>
    <w:pPr>
      <w:ind w:leftChars="0"/>
    </w:pPr>
    <w:rPr>
      <w:rFonts w:ascii="Times New Roman" w:hAnsi="Times New Roman" w:eastAsia="宋体" w:cs="Times New Roman"/>
      <w:sz w:val="20"/>
      <w:szCs w:val="20"/>
    </w:rPr>
  </w:style>
  <w:style w:type="paragraph" w:customStyle="1" w:styleId="51">
    <w:name w:val="样式1 Char Char"/>
    <w:basedOn w:val="1"/>
    <w:qFormat/>
    <w:uiPriority w:val="0"/>
    <w:pPr>
      <w:keepNext w:val="0"/>
      <w:keepLines w:val="0"/>
      <w:widowControl w:val="0"/>
      <w:suppressLineNumbers w:val="0"/>
      <w:spacing w:before="0" w:beforeAutospacing="0" w:after="0" w:afterAutospacing="0" w:line="360" w:lineRule="auto"/>
      <w:ind w:left="0" w:right="0" w:firstLine="516" w:firstLineChars="215"/>
      <w:jc w:val="both"/>
    </w:pPr>
    <w:rPr>
      <w:rFonts w:hint="default" w:ascii="Calibri" w:hAnsi="Calibri" w:eastAsia="宋体" w:cs="Times New Roman"/>
      <w:kern w:val="2"/>
      <w:sz w:val="24"/>
      <w:szCs w:val="24"/>
      <w:lang w:val="en-US" w:eastAsia="zh-CN" w:bidi="ar"/>
    </w:rPr>
  </w:style>
  <w:style w:type="character" w:customStyle="1" w:styleId="52">
    <w:name w:val="font31"/>
    <w:basedOn w:val="23"/>
    <w:qFormat/>
    <w:uiPriority w:val="0"/>
    <w:rPr>
      <w:rFonts w:hint="eastAsia" w:ascii="宋体" w:hAnsi="宋体" w:eastAsia="宋体" w:cs="宋体"/>
      <w:color w:val="FF0000"/>
      <w:sz w:val="22"/>
      <w:szCs w:val="22"/>
      <w:u w:val="none"/>
    </w:rPr>
  </w:style>
  <w:style w:type="character" w:customStyle="1" w:styleId="53">
    <w:name w:val="font61"/>
    <w:basedOn w:val="23"/>
    <w:qFormat/>
    <w:uiPriority w:val="0"/>
    <w:rPr>
      <w:rFonts w:hint="eastAsia" w:ascii="宋体" w:hAnsi="宋体" w:eastAsia="宋体" w:cs="宋体"/>
      <w:color w:val="000000"/>
      <w:sz w:val="24"/>
      <w:szCs w:val="24"/>
      <w:u w:val="none"/>
      <w:vertAlign w:val="superscript"/>
    </w:rPr>
  </w:style>
  <w:style w:type="paragraph" w:customStyle="1" w:styleId="54">
    <w:name w:val="0五号正文"/>
    <w:basedOn w:val="1"/>
    <w:qFormat/>
    <w:uiPriority w:val="0"/>
    <w:pPr>
      <w:widowControl w:val="0"/>
      <w:shd w:val="clear" w:color="auto" w:fill="auto"/>
      <w:spacing w:line="300" w:lineRule="auto"/>
      <w:ind w:firstLine="420" w:firstLineChars="200"/>
    </w:pPr>
    <w:rPr>
      <w:rFonts w:cs="Times New Roman"/>
      <w:kern w:val="2"/>
      <w:szCs w:val="21"/>
    </w:rPr>
  </w:style>
  <w:style w:type="paragraph" w:customStyle="1" w:styleId="55">
    <w:name w:val="WPSOffice手动目录 2"/>
    <w:qFormat/>
    <w:uiPriority w:val="0"/>
    <w:pPr>
      <w:ind w:leftChars="200"/>
    </w:pPr>
    <w:rPr>
      <w:rFonts w:ascii="Times New Roman" w:hAnsi="Times New Roman" w:eastAsia="宋体" w:cs="Times New Roman"/>
      <w:sz w:val="20"/>
      <w:szCs w:val="20"/>
    </w:rPr>
  </w:style>
  <w:style w:type="paragraph" w:customStyle="1" w:styleId="56">
    <w:name w:val="WPSOffice手动目录 3"/>
    <w:qFormat/>
    <w:uiPriority w:val="0"/>
    <w:pPr>
      <w:ind w:leftChars="400"/>
    </w:pPr>
    <w:rPr>
      <w:rFonts w:ascii="Times New Roman" w:hAnsi="Times New Roman" w:eastAsia="宋体" w:cs="Times New Roman"/>
      <w:sz w:val="20"/>
      <w:szCs w:val="20"/>
    </w:rPr>
  </w:style>
  <w:style w:type="paragraph" w:customStyle="1" w:styleId="57">
    <w:name w:val="彩色列表 - 强调文字颜色 111"/>
    <w:basedOn w:val="1"/>
    <w:autoRedefine/>
    <w:qFormat/>
    <w:uiPriority w:val="0"/>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2" Type="http://schemas.openxmlformats.org/officeDocument/2006/relationships/font" Target="fonts/font1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101</Pages>
  <Words>5689</Words>
  <Characters>5834</Characters>
  <Lines>1</Lines>
  <Paragraphs>1</Paragraphs>
  <TotalTime>12</TotalTime>
  <ScaleCrop>false</ScaleCrop>
  <LinksUpToDate>false</LinksUpToDate>
  <CharactersWithSpaces>6087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2020-12-22T01:51:00Z</dcterms:created>
  <dc:creator>lenovo</dc:creator>
  <cp:lastModifiedBy>路菲君</cp:lastModifiedBy>
  <dcterms:modified xsi:type="dcterms:W3CDTF">2026-08-14T07:28:06Z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7D0B61F725174E1C944304EB39138611_13</vt:lpwstr>
  </property>
  <property fmtid="{D5CDD505-2E9C-101B-9397-08002B2CF9AE}" pid="4" name="KSOTemplateDocerSaveRecord">
    <vt:lpwstr>eyJoZGlkIjoiM2EyNDYyYmQ1ZDA0NDE2ZWMxMTVjMTBjNjZlNGMxZWMiLCJ1c2VySWQiOiIxOTQ5NzkyNTQifQ==</vt:lpwstr>
  </property>
</Properties>
</file>