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3C76E">
      <w:pPr>
        <w:jc w:val="center"/>
        <w:rPr>
          <w:rFonts w:asciiTheme="minorEastAsia" w:hAnsiTheme="minorEastAsia" w:cstheme="minorEastAsia"/>
          <w:b/>
          <w:bCs/>
          <w:sz w:val="24"/>
        </w:rPr>
      </w:pPr>
    </w:p>
    <w:p w14:paraId="032FC704">
      <w:pPr>
        <w:jc w:val="center"/>
        <w:rPr>
          <w:rFonts w:hint="eastAsia" w:asciiTheme="minorEastAsia" w:hAnsiTheme="minorEastAsia" w:cstheme="minorEastAsia"/>
          <w:b/>
          <w:bCs/>
          <w:sz w:val="40"/>
          <w:szCs w:val="40"/>
        </w:rPr>
      </w:pPr>
      <w:r>
        <w:rPr>
          <w:rFonts w:hint="eastAsia" w:asciiTheme="minorEastAsia" w:hAnsiTheme="minorEastAsia" w:cstheme="minorEastAsia"/>
          <w:b/>
          <w:bCs/>
          <w:sz w:val="40"/>
          <w:szCs w:val="40"/>
        </w:rPr>
        <w:t>福田区第二人民医院医疗器械</w:t>
      </w:r>
      <w:r>
        <w:rPr>
          <w:rFonts w:hint="eastAsia" w:asciiTheme="minorEastAsia" w:hAnsiTheme="minorEastAsia" w:cstheme="minorEastAsia"/>
          <w:b/>
          <w:bCs/>
          <w:sz w:val="40"/>
          <w:szCs w:val="40"/>
          <w:lang w:val="en-US" w:eastAsia="zh-CN"/>
        </w:rPr>
        <w:t>征集</w:t>
      </w:r>
      <w:r>
        <w:rPr>
          <w:rFonts w:hint="eastAsia" w:asciiTheme="minorEastAsia" w:hAnsiTheme="minorEastAsia" w:cstheme="minorEastAsia"/>
          <w:b/>
          <w:bCs/>
          <w:sz w:val="40"/>
          <w:szCs w:val="40"/>
        </w:rPr>
        <w:t>文件</w:t>
      </w:r>
    </w:p>
    <w:p w14:paraId="57CAD207">
      <w:pPr>
        <w:jc w:val="both"/>
        <w:rPr>
          <w:rFonts w:hint="eastAsia" w:ascii="宋体" w:hAnsi="宋体" w:eastAsia="宋体" w:cs="宋体"/>
          <w:b/>
          <w:bCs/>
          <w:color w:val="FF0000"/>
          <w:kern w:val="44"/>
          <w:sz w:val="44"/>
          <w:szCs w:val="44"/>
          <w:highlight w:val="none"/>
          <w:lang w:eastAsia="zh-CN"/>
        </w:rPr>
      </w:pPr>
    </w:p>
    <w:p w14:paraId="1802C3A9">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rPr>
        <w:t>1、深圳市福田区第二人民医院对本单位部分</w:t>
      </w:r>
      <w:r>
        <w:rPr>
          <w:rFonts w:hint="eastAsia" w:ascii="宋体" w:hAnsi="宋体" w:cs="宋体"/>
          <w:sz w:val="28"/>
          <w:szCs w:val="28"/>
          <w:lang w:val="en-US" w:eastAsia="zh-CN"/>
        </w:rPr>
        <w:t>医疗器械</w:t>
      </w:r>
      <w:r>
        <w:rPr>
          <w:rFonts w:hint="eastAsia" w:ascii="宋体" w:hAnsi="宋体" w:cs="宋体"/>
          <w:sz w:val="28"/>
          <w:szCs w:val="28"/>
        </w:rPr>
        <w:t xml:space="preserve">进行公开征集。欢迎各经营企业或生产企业参加投标。 </w:t>
      </w:r>
    </w:p>
    <w:p w14:paraId="46D0B5CE">
      <w:pPr>
        <w:keepNext w:val="0"/>
        <w:keepLines w:val="0"/>
        <w:pageBreakBefore w:val="0"/>
        <w:widowControl w:val="0"/>
        <w:kinsoku/>
        <w:wordWrap/>
        <w:overflowPunct/>
        <w:topLinePunct w:val="0"/>
        <w:autoSpaceDE/>
        <w:autoSpaceDN/>
        <w:bidi w:val="0"/>
        <w:adjustRightInd/>
        <w:snapToGrid/>
        <w:spacing w:line="480" w:lineRule="auto"/>
        <w:ind w:firstLine="280" w:firstLineChars="100"/>
        <w:textAlignment w:val="auto"/>
        <w:rPr>
          <w:rFonts w:hint="eastAsia" w:ascii="宋体" w:hAnsi="宋体" w:cs="宋体"/>
          <w:sz w:val="28"/>
          <w:szCs w:val="28"/>
        </w:rPr>
      </w:pPr>
      <w:r>
        <w:rPr>
          <w:rFonts w:hint="eastAsia" w:ascii="宋体" w:hAnsi="宋体" w:cs="宋体"/>
          <w:sz w:val="28"/>
          <w:szCs w:val="28"/>
        </w:rPr>
        <w:t>2、供应商可根据自身的经营情况，选择投一个或多个采购条目，但不允许将一个采购条目流水号的内容拆散。</w:t>
      </w:r>
      <w:r>
        <w:rPr>
          <w:rFonts w:hint="eastAsia" w:ascii="宋体" w:hAnsi="宋体" w:cs="宋体"/>
          <w:b/>
          <w:bCs/>
          <w:sz w:val="28"/>
          <w:szCs w:val="28"/>
        </w:rPr>
        <w:t>请准备投标文件</w:t>
      </w:r>
      <w:r>
        <w:rPr>
          <w:rFonts w:hint="eastAsia" w:ascii="宋体" w:hAnsi="宋体" w:cs="宋体"/>
          <w:b/>
          <w:bCs/>
          <w:sz w:val="28"/>
          <w:szCs w:val="28"/>
          <w:lang w:val="en-US" w:eastAsia="zh-CN"/>
        </w:rPr>
        <w:t>四</w:t>
      </w:r>
      <w:r>
        <w:rPr>
          <w:rFonts w:hint="eastAsia" w:ascii="宋体" w:hAnsi="宋体" w:cs="宋体"/>
          <w:b/>
          <w:bCs/>
          <w:sz w:val="28"/>
          <w:szCs w:val="28"/>
        </w:rPr>
        <w:t>份</w:t>
      </w:r>
      <w:r>
        <w:rPr>
          <w:rFonts w:hint="eastAsia" w:ascii="宋体" w:hAnsi="宋体" w:cs="宋体"/>
          <w:sz w:val="28"/>
          <w:szCs w:val="28"/>
        </w:rPr>
        <w:t>（</w:t>
      </w:r>
      <w:r>
        <w:rPr>
          <w:rFonts w:hint="eastAsia" w:ascii="宋体" w:hAnsi="宋体" w:cs="宋体"/>
          <w:color w:val="FF0000"/>
          <w:sz w:val="28"/>
          <w:szCs w:val="28"/>
        </w:rPr>
        <w:t>一份正本</w:t>
      </w:r>
      <w:r>
        <w:rPr>
          <w:rFonts w:hint="eastAsia" w:ascii="宋体" w:hAnsi="宋体" w:cs="宋体"/>
          <w:color w:val="FF0000"/>
          <w:sz w:val="28"/>
          <w:szCs w:val="28"/>
          <w:lang w:val="en-US" w:eastAsia="zh-CN"/>
        </w:rPr>
        <w:t>三</w:t>
      </w:r>
      <w:r>
        <w:rPr>
          <w:rFonts w:hint="eastAsia" w:ascii="宋体" w:hAnsi="宋体" w:cs="宋体"/>
          <w:color w:val="FF0000"/>
          <w:sz w:val="28"/>
          <w:szCs w:val="28"/>
        </w:rPr>
        <w:t>份副本</w:t>
      </w:r>
      <w:r>
        <w:rPr>
          <w:rFonts w:hint="eastAsia" w:ascii="宋体" w:hAnsi="宋体" w:cs="宋体"/>
          <w:color w:val="FF0000"/>
          <w:sz w:val="28"/>
          <w:szCs w:val="28"/>
          <w:lang w:eastAsia="zh-CN"/>
        </w:rPr>
        <w:t>，</w:t>
      </w:r>
      <w:r>
        <w:rPr>
          <w:rFonts w:hint="eastAsia" w:ascii="宋体" w:hAnsi="宋体" w:cs="宋体"/>
          <w:color w:val="FF0000"/>
          <w:sz w:val="28"/>
          <w:szCs w:val="28"/>
          <w:lang w:val="en-US" w:eastAsia="zh-CN"/>
        </w:rPr>
        <w:t>开标一览表需单独密封，电子文件拷贝到U盘存放于开标一览表密封袋内。</w:t>
      </w:r>
      <w:r>
        <w:rPr>
          <w:rFonts w:hint="eastAsia" w:ascii="宋体" w:hAnsi="宋体" w:cs="宋体"/>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宋体" w:hAnsi="宋体" w:cs="宋体"/>
          <w:sz w:val="28"/>
          <w:szCs w:val="28"/>
          <w:lang w:eastAsia="zh-CN"/>
        </w:rPr>
        <w:t>征集</w:t>
      </w:r>
      <w:r>
        <w:rPr>
          <w:rFonts w:hint="eastAsia" w:ascii="宋体" w:hAnsi="宋体" w:cs="宋体"/>
          <w:sz w:val="28"/>
          <w:szCs w:val="28"/>
        </w:rPr>
        <w:t>文件要求签署并加盖公章</w:t>
      </w:r>
      <w:r>
        <w:rPr>
          <w:rFonts w:hint="eastAsia" w:ascii="宋体" w:hAnsi="宋体" w:cs="宋体"/>
          <w:sz w:val="28"/>
          <w:szCs w:val="28"/>
          <w:lang w:eastAsia="zh-CN"/>
        </w:rPr>
        <w:t>。</w:t>
      </w:r>
      <w:r>
        <w:rPr>
          <w:rFonts w:hint="eastAsia" w:ascii="宋体" w:hAnsi="宋体" w:cs="宋体"/>
          <w:sz w:val="28"/>
          <w:szCs w:val="28"/>
        </w:rPr>
        <w:t>）</w:t>
      </w:r>
    </w:p>
    <w:p w14:paraId="2774F517">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企业参加投标，即表示接受本次</w:t>
      </w:r>
      <w:r>
        <w:rPr>
          <w:rFonts w:hint="eastAsia" w:ascii="宋体" w:hAnsi="宋体" w:cs="宋体"/>
          <w:sz w:val="28"/>
          <w:szCs w:val="28"/>
          <w:lang w:eastAsia="zh-CN"/>
        </w:rPr>
        <w:t>征集</w:t>
      </w:r>
      <w:r>
        <w:rPr>
          <w:rFonts w:hint="eastAsia" w:ascii="宋体" w:hAnsi="宋体" w:cs="宋体"/>
          <w:sz w:val="28"/>
          <w:szCs w:val="28"/>
        </w:rPr>
        <w:t>的各项要求。</w:t>
      </w:r>
    </w:p>
    <w:p w14:paraId="1227C97E">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4、</w:t>
      </w:r>
      <w:r>
        <w:rPr>
          <w:rFonts w:hint="eastAsia" w:ascii="宋体" w:hAnsi="宋体" w:cs="宋体"/>
          <w:sz w:val="28"/>
          <w:szCs w:val="28"/>
          <w:lang w:eastAsia="zh-CN"/>
        </w:rPr>
        <w:t>征集</w:t>
      </w:r>
      <w:r>
        <w:rPr>
          <w:rFonts w:hint="eastAsia" w:ascii="宋体" w:hAnsi="宋体" w:cs="宋体"/>
          <w:sz w:val="28"/>
          <w:szCs w:val="28"/>
        </w:rPr>
        <w:t>活动的最终解释权属于深圳市福田区第二人民医院。</w:t>
      </w:r>
    </w:p>
    <w:p w14:paraId="6627C96D">
      <w:pPr>
        <w:jc w:val="both"/>
        <w:rPr>
          <w:rFonts w:hint="eastAsia" w:ascii="宋体" w:hAnsi="宋体" w:eastAsia="宋体" w:cs="宋体"/>
          <w:b/>
          <w:bCs/>
          <w:color w:val="FF0000"/>
          <w:kern w:val="44"/>
          <w:sz w:val="44"/>
          <w:szCs w:val="44"/>
          <w:highlight w:val="none"/>
          <w:lang w:eastAsia="zh-CN"/>
        </w:rPr>
      </w:pPr>
    </w:p>
    <w:p w14:paraId="63C995F2">
      <w:pPr>
        <w:jc w:val="both"/>
        <w:rPr>
          <w:rFonts w:hint="eastAsia" w:ascii="宋体" w:hAnsi="宋体" w:eastAsia="宋体" w:cs="宋体"/>
          <w:b/>
          <w:bCs/>
          <w:color w:val="FF0000"/>
          <w:kern w:val="44"/>
          <w:sz w:val="44"/>
          <w:szCs w:val="44"/>
          <w:highlight w:val="none"/>
          <w:lang w:eastAsia="zh-CN"/>
        </w:rPr>
      </w:pPr>
    </w:p>
    <w:p w14:paraId="44269B29">
      <w:pPr>
        <w:jc w:val="both"/>
        <w:rPr>
          <w:rFonts w:hint="eastAsia" w:ascii="宋体" w:hAnsi="宋体" w:eastAsia="宋体" w:cs="宋体"/>
          <w:b/>
          <w:bCs/>
          <w:color w:val="FF0000"/>
          <w:kern w:val="44"/>
          <w:sz w:val="44"/>
          <w:szCs w:val="44"/>
          <w:highlight w:val="none"/>
          <w:lang w:eastAsia="zh-CN"/>
        </w:rPr>
      </w:pPr>
    </w:p>
    <w:p w14:paraId="4D69B061">
      <w:pPr>
        <w:jc w:val="both"/>
        <w:rPr>
          <w:rFonts w:hint="eastAsia" w:ascii="宋体" w:hAnsi="宋体" w:eastAsia="宋体" w:cs="宋体"/>
          <w:b/>
          <w:bCs/>
          <w:color w:val="FF0000"/>
          <w:kern w:val="44"/>
          <w:sz w:val="44"/>
          <w:szCs w:val="44"/>
          <w:highlight w:val="none"/>
          <w:lang w:eastAsia="zh-CN"/>
        </w:rPr>
      </w:pPr>
    </w:p>
    <w:p w14:paraId="78224E58">
      <w:pPr>
        <w:jc w:val="both"/>
        <w:rPr>
          <w:rFonts w:hint="eastAsia" w:ascii="宋体" w:hAnsi="宋体" w:eastAsia="宋体" w:cs="宋体"/>
          <w:b/>
          <w:bCs/>
          <w:color w:val="FF0000"/>
          <w:kern w:val="44"/>
          <w:sz w:val="44"/>
          <w:szCs w:val="44"/>
          <w:highlight w:val="none"/>
          <w:lang w:eastAsia="zh-CN"/>
        </w:rPr>
      </w:pPr>
    </w:p>
    <w:p w14:paraId="44CF2BDC">
      <w:pPr>
        <w:jc w:val="both"/>
        <w:rPr>
          <w:rFonts w:hint="eastAsia" w:ascii="宋体" w:hAnsi="宋体" w:eastAsia="宋体" w:cs="宋体"/>
          <w:b/>
          <w:bCs/>
          <w:color w:val="FF0000"/>
          <w:kern w:val="44"/>
          <w:sz w:val="44"/>
          <w:szCs w:val="44"/>
          <w:highlight w:val="none"/>
          <w:lang w:eastAsia="zh-CN"/>
        </w:rPr>
      </w:pPr>
    </w:p>
    <w:p w14:paraId="7213294F">
      <w:pPr>
        <w:jc w:val="both"/>
        <w:rPr>
          <w:rFonts w:hint="eastAsia" w:ascii="宋体" w:hAnsi="宋体" w:eastAsia="宋体" w:cs="宋体"/>
          <w:b/>
          <w:bCs/>
          <w:color w:val="FF0000"/>
          <w:kern w:val="44"/>
          <w:sz w:val="44"/>
          <w:szCs w:val="44"/>
          <w:highlight w:val="none"/>
          <w:lang w:eastAsia="zh-CN"/>
        </w:rPr>
      </w:pPr>
    </w:p>
    <w:p w14:paraId="7F12044C">
      <w:pPr>
        <w:jc w:val="both"/>
        <w:rPr>
          <w:rFonts w:hint="eastAsia" w:ascii="宋体" w:hAnsi="宋体" w:eastAsia="宋体" w:cs="宋体"/>
          <w:b/>
          <w:bCs/>
          <w:color w:val="FF0000"/>
          <w:kern w:val="44"/>
          <w:sz w:val="44"/>
          <w:szCs w:val="44"/>
          <w:highlight w:val="none"/>
          <w:lang w:eastAsia="zh-CN"/>
        </w:rPr>
      </w:pPr>
    </w:p>
    <w:p w14:paraId="273ED2AD">
      <w:pPr>
        <w:jc w:val="both"/>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36"/>
          <w:szCs w:val="36"/>
          <w:highlight w:val="none"/>
          <w:lang w:val="en-US" w:eastAsia="zh-CN"/>
        </w:rPr>
      </w:pPr>
      <w:bookmarkStart w:id="0" w:name="_Toc3689"/>
      <w:bookmarkStart w:id="1" w:name="_Toc29098"/>
      <w:r>
        <w:rPr>
          <w:rFonts w:hint="eastAsia" w:ascii="宋体" w:hAnsi="宋体" w:eastAsia="宋体" w:cs="宋体"/>
          <w:b/>
          <w:bCs/>
          <w:color w:val="FF0000"/>
          <w:kern w:val="44"/>
          <w:sz w:val="36"/>
          <w:szCs w:val="36"/>
          <w:highlight w:val="none"/>
          <w:lang w:eastAsia="zh-CN"/>
        </w:rPr>
        <w:t>特别</w:t>
      </w:r>
      <w:r>
        <w:rPr>
          <w:rFonts w:hint="eastAsia" w:ascii="宋体" w:hAnsi="宋体" w:eastAsia="宋体" w:cs="宋体"/>
          <w:b/>
          <w:bCs/>
          <w:color w:val="FF0000"/>
          <w:kern w:val="44"/>
          <w:sz w:val="36"/>
          <w:szCs w:val="36"/>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179585CB">
      <w:pPr>
        <w:rPr>
          <w:rFonts w:asciiTheme="minorEastAsia" w:hAnsiTheme="minorEastAsia" w:cstheme="minorEastAsia"/>
          <w:szCs w:val="21"/>
        </w:rPr>
      </w:pPr>
    </w:p>
    <w:p w14:paraId="10E164FD">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538F311D">
      <w:pPr>
        <w:rPr>
          <w:rFonts w:hint="eastAsia" w:asciiTheme="minorEastAsia" w:hAnsiTheme="minorEastAsia" w:cstheme="minorEastAsia"/>
          <w:szCs w:val="21"/>
        </w:rPr>
      </w:pPr>
    </w:p>
    <w:p w14:paraId="1D12076D">
      <w:pPr>
        <w:rPr>
          <w:rFonts w:hint="eastAsia" w:asciiTheme="minorEastAsia" w:hAnsiTheme="minorEastAsia" w:cstheme="minorEastAsia"/>
          <w:szCs w:val="21"/>
        </w:rPr>
      </w:pPr>
    </w:p>
    <w:p w14:paraId="0592315D">
      <w:pPr>
        <w:rPr>
          <w:rFonts w:hint="eastAsia" w:asciiTheme="minorEastAsia" w:hAnsiTheme="minorEastAsia" w:cstheme="minorEastAsia"/>
          <w:szCs w:val="21"/>
        </w:rPr>
      </w:pPr>
    </w:p>
    <w:p w14:paraId="2277D1FB">
      <w:pPr>
        <w:rPr>
          <w:rFonts w:hint="eastAsia" w:asciiTheme="minorEastAsia" w:hAnsiTheme="minorEastAsia" w:cstheme="minorEastAsia"/>
          <w:szCs w:val="21"/>
        </w:rPr>
      </w:pPr>
    </w:p>
    <w:p w14:paraId="5A35ED88">
      <w:pPr>
        <w:rPr>
          <w:rFonts w:hint="eastAsia" w:asciiTheme="minorEastAsia" w:hAnsiTheme="minorEastAsia" w:cstheme="minorEastAsia"/>
          <w:szCs w:val="21"/>
        </w:rPr>
      </w:pPr>
    </w:p>
    <w:p w14:paraId="2FF3BF78">
      <w:pPr>
        <w:rPr>
          <w:rFonts w:hint="eastAsia" w:asciiTheme="minorEastAsia" w:hAnsiTheme="minorEastAsia" w:cstheme="minorEastAsia"/>
          <w:szCs w:val="21"/>
        </w:rPr>
      </w:pPr>
    </w:p>
    <w:p w14:paraId="135AA796">
      <w:pPr>
        <w:rPr>
          <w:rFonts w:hint="eastAsia" w:asciiTheme="minorEastAsia" w:hAnsiTheme="minorEastAsia" w:cstheme="minorEastAsia"/>
          <w:szCs w:val="21"/>
        </w:rPr>
      </w:pPr>
    </w:p>
    <w:p w14:paraId="189AF714">
      <w:pPr>
        <w:rPr>
          <w:rFonts w:hint="eastAsia" w:asciiTheme="minorEastAsia" w:hAnsiTheme="minorEastAsia" w:cstheme="minorEastAsia"/>
          <w:szCs w:val="21"/>
        </w:rPr>
      </w:pPr>
    </w:p>
    <w:p w14:paraId="458ADCBE">
      <w:pPr>
        <w:rPr>
          <w:rFonts w:hint="eastAsia" w:asciiTheme="minorEastAsia" w:hAnsiTheme="minorEastAsia" w:cstheme="minorEastAsia"/>
          <w:szCs w:val="21"/>
        </w:rPr>
      </w:pPr>
    </w:p>
    <w:p w14:paraId="42E54434">
      <w:pPr>
        <w:rPr>
          <w:rFonts w:hint="eastAsia" w:asciiTheme="minorEastAsia" w:hAnsiTheme="minorEastAsia" w:cstheme="minorEastAsia"/>
          <w:szCs w:val="21"/>
        </w:rPr>
      </w:pPr>
    </w:p>
    <w:p w14:paraId="01F3185B">
      <w:pPr>
        <w:rPr>
          <w:rFonts w:hint="eastAsia" w:asciiTheme="minorEastAsia" w:hAnsiTheme="minorEastAsia" w:cstheme="minorEastAsia"/>
          <w:szCs w:val="21"/>
        </w:rPr>
      </w:pPr>
    </w:p>
    <w:p w14:paraId="65721845">
      <w:pPr>
        <w:rPr>
          <w:rFonts w:hint="eastAsia" w:asciiTheme="minorEastAsia" w:hAnsiTheme="minorEastAsia" w:cstheme="minorEastAsia"/>
          <w:szCs w:val="21"/>
        </w:rPr>
      </w:pPr>
    </w:p>
    <w:p w14:paraId="7BC49D61">
      <w:pPr>
        <w:rPr>
          <w:rFonts w:hint="eastAsia" w:asciiTheme="minorEastAsia" w:hAnsiTheme="minorEastAsia" w:cstheme="minorEastAsia"/>
          <w:szCs w:val="21"/>
        </w:rPr>
      </w:pPr>
    </w:p>
    <w:p w14:paraId="577D42E0">
      <w:pPr>
        <w:rPr>
          <w:rFonts w:hint="eastAsia" w:asciiTheme="minorEastAsia" w:hAnsiTheme="minorEastAsia" w:cstheme="minorEastAsia"/>
          <w:szCs w:val="21"/>
        </w:rPr>
      </w:pPr>
    </w:p>
    <w:p w14:paraId="5A0E7C44">
      <w:pPr>
        <w:rPr>
          <w:rFonts w:hint="eastAsia" w:asciiTheme="minorEastAsia" w:hAnsiTheme="minorEastAsia" w:cstheme="minorEastAsia"/>
          <w:szCs w:val="21"/>
        </w:rPr>
      </w:pPr>
    </w:p>
    <w:p w14:paraId="761FAC16">
      <w:pPr>
        <w:rPr>
          <w:rFonts w:hint="eastAsia" w:asciiTheme="minorEastAsia" w:hAnsiTheme="minorEastAsia" w:cstheme="minorEastAsia"/>
          <w:szCs w:val="21"/>
        </w:rPr>
      </w:pPr>
    </w:p>
    <w:p w14:paraId="34E45245">
      <w:pPr>
        <w:jc w:val="both"/>
        <w:outlineLvl w:val="9"/>
        <w:rPr>
          <w:rFonts w:hint="eastAsia" w:ascii="宋体" w:hAnsi="宋体" w:eastAsia="宋体" w:cs="宋体"/>
          <w:b/>
          <w:bCs/>
          <w:color w:val="FF0000"/>
          <w:sz w:val="36"/>
          <w:szCs w:val="36"/>
          <w:highlight w:val="none"/>
          <w:lang w:val="en-US" w:eastAsia="zh-CN"/>
        </w:rPr>
      </w:pPr>
    </w:p>
    <w:p w14:paraId="3857BC07">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474C1D0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316AF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7EEE27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4808C23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345B83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3340A433">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136FED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59253F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F389C1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02FF8D1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51EEDF7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2ADCC08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55ED522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78F14F4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16658C6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5196299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434F021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4A398E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79CD4B5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741CCB3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596ABDA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34B9408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17A6347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2EF686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06D6419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7076758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191943C1">
      <w:pPr>
        <w:jc w:val="center"/>
        <w:rPr>
          <w:rFonts w:hint="eastAsia" w:ascii="宋体" w:hAnsi="宋体" w:eastAsia="宋体" w:cs="宋体"/>
          <w:b/>
          <w:sz w:val="32"/>
          <w:szCs w:val="32"/>
          <w:highlight w:val="none"/>
        </w:rPr>
      </w:pPr>
    </w:p>
    <w:p w14:paraId="5AD8C285">
      <w:pPr>
        <w:jc w:val="center"/>
        <w:rPr>
          <w:rFonts w:hint="eastAsia" w:ascii="宋体" w:hAnsi="宋体" w:eastAsia="宋体" w:cs="宋体"/>
          <w:b/>
          <w:sz w:val="32"/>
          <w:szCs w:val="32"/>
          <w:highlight w:val="none"/>
        </w:rPr>
      </w:pPr>
    </w:p>
    <w:p w14:paraId="495C1FD1">
      <w:pPr>
        <w:jc w:val="center"/>
        <w:rPr>
          <w:rFonts w:hint="eastAsia" w:ascii="宋体" w:hAnsi="宋体" w:eastAsia="宋体" w:cs="宋体"/>
          <w:b/>
          <w:sz w:val="32"/>
          <w:szCs w:val="32"/>
          <w:highlight w:val="none"/>
        </w:rPr>
      </w:pPr>
    </w:p>
    <w:p w14:paraId="7563BCC5">
      <w:pPr>
        <w:jc w:val="center"/>
        <w:rPr>
          <w:rFonts w:hint="eastAsia" w:ascii="宋体" w:hAnsi="宋体" w:eastAsia="宋体" w:cs="宋体"/>
          <w:b/>
          <w:sz w:val="32"/>
          <w:szCs w:val="32"/>
          <w:highlight w:val="none"/>
        </w:rPr>
      </w:pPr>
    </w:p>
    <w:p w14:paraId="57E07ABD">
      <w:pPr>
        <w:jc w:val="center"/>
        <w:rPr>
          <w:rFonts w:hint="eastAsia" w:ascii="宋体" w:hAnsi="宋体" w:eastAsia="宋体" w:cs="宋体"/>
          <w:b/>
          <w:sz w:val="32"/>
          <w:szCs w:val="32"/>
          <w:highlight w:val="none"/>
        </w:rPr>
      </w:pPr>
    </w:p>
    <w:p w14:paraId="1CC4582F">
      <w:pPr>
        <w:jc w:val="center"/>
        <w:rPr>
          <w:rFonts w:hint="eastAsia" w:ascii="宋体" w:hAnsi="宋体" w:eastAsia="宋体" w:cs="宋体"/>
          <w:b/>
          <w:sz w:val="32"/>
          <w:szCs w:val="32"/>
          <w:highlight w:val="none"/>
        </w:rPr>
      </w:pPr>
    </w:p>
    <w:p w14:paraId="7F89AD23">
      <w:pPr>
        <w:jc w:val="center"/>
        <w:rPr>
          <w:rFonts w:hint="eastAsia" w:ascii="宋体" w:hAnsi="宋体" w:eastAsia="宋体" w:cs="宋体"/>
          <w:b/>
          <w:sz w:val="32"/>
          <w:szCs w:val="32"/>
          <w:highlight w:val="none"/>
        </w:rPr>
      </w:pPr>
    </w:p>
    <w:p w14:paraId="5DAEDA22">
      <w:pPr>
        <w:jc w:val="center"/>
        <w:rPr>
          <w:rFonts w:hint="eastAsia" w:ascii="宋体" w:hAnsi="宋体" w:eastAsia="宋体" w:cs="宋体"/>
          <w:b/>
          <w:sz w:val="32"/>
          <w:szCs w:val="32"/>
          <w:highlight w:val="none"/>
        </w:rPr>
      </w:pPr>
    </w:p>
    <w:p w14:paraId="1F255A35">
      <w:pPr>
        <w:jc w:val="center"/>
        <w:rPr>
          <w:rFonts w:hint="eastAsia" w:ascii="宋体" w:hAnsi="宋体" w:eastAsia="宋体" w:cs="宋体"/>
          <w:b/>
          <w:sz w:val="32"/>
          <w:szCs w:val="32"/>
          <w:highlight w:val="none"/>
        </w:rPr>
      </w:pPr>
    </w:p>
    <w:p w14:paraId="032CF264">
      <w:pPr>
        <w:jc w:val="center"/>
        <w:rPr>
          <w:rFonts w:hint="eastAsia" w:ascii="宋体" w:hAnsi="宋体" w:eastAsia="宋体" w:cs="宋体"/>
          <w:b/>
          <w:sz w:val="32"/>
          <w:szCs w:val="32"/>
          <w:highlight w:val="none"/>
        </w:rPr>
      </w:pPr>
    </w:p>
    <w:p w14:paraId="16EE13F7">
      <w:pPr>
        <w:jc w:val="center"/>
        <w:rPr>
          <w:rFonts w:hint="eastAsia" w:ascii="宋体" w:hAnsi="宋体" w:eastAsia="宋体" w:cs="宋体"/>
          <w:b/>
          <w:sz w:val="32"/>
          <w:szCs w:val="32"/>
          <w:highlight w:val="none"/>
        </w:rPr>
      </w:pPr>
    </w:p>
    <w:p w14:paraId="57E2BA82">
      <w:pPr>
        <w:jc w:val="center"/>
        <w:rPr>
          <w:rFonts w:hint="eastAsia" w:ascii="宋体" w:hAnsi="宋体" w:eastAsia="宋体" w:cs="宋体"/>
          <w:b/>
          <w:sz w:val="32"/>
          <w:szCs w:val="32"/>
          <w:highlight w:val="none"/>
        </w:rPr>
      </w:pPr>
    </w:p>
    <w:p w14:paraId="3E23D7FC">
      <w:pPr>
        <w:jc w:val="center"/>
        <w:rPr>
          <w:rFonts w:hint="eastAsia" w:ascii="宋体" w:hAnsi="宋体" w:eastAsia="宋体" w:cs="宋体"/>
          <w:b/>
          <w:sz w:val="32"/>
          <w:szCs w:val="32"/>
          <w:highlight w:val="none"/>
        </w:rPr>
      </w:pPr>
    </w:p>
    <w:p w14:paraId="08E9A76A">
      <w:pPr>
        <w:jc w:val="center"/>
        <w:rPr>
          <w:rFonts w:hint="eastAsia" w:ascii="宋体" w:hAnsi="宋体" w:eastAsia="宋体" w:cs="宋体"/>
          <w:b/>
          <w:sz w:val="32"/>
          <w:szCs w:val="32"/>
          <w:highlight w:val="none"/>
        </w:rPr>
      </w:pPr>
    </w:p>
    <w:p w14:paraId="6B9E7D71">
      <w:pPr>
        <w:jc w:val="center"/>
        <w:rPr>
          <w:rFonts w:hint="eastAsia" w:ascii="宋体" w:hAnsi="宋体" w:eastAsia="宋体" w:cs="宋体"/>
          <w:b/>
          <w:sz w:val="32"/>
          <w:szCs w:val="32"/>
          <w:highlight w:val="none"/>
        </w:rPr>
      </w:pPr>
    </w:p>
    <w:p w14:paraId="1B6F6483">
      <w:pPr>
        <w:jc w:val="center"/>
        <w:rPr>
          <w:rFonts w:hint="eastAsia" w:ascii="宋体" w:hAnsi="宋体" w:eastAsia="宋体" w:cs="宋体"/>
          <w:b/>
          <w:sz w:val="32"/>
          <w:szCs w:val="32"/>
          <w:highlight w:val="none"/>
        </w:rPr>
      </w:pPr>
    </w:p>
    <w:p w14:paraId="70E7584F">
      <w:pPr>
        <w:jc w:val="center"/>
        <w:rPr>
          <w:rFonts w:hint="eastAsia" w:ascii="宋体" w:hAnsi="宋体" w:eastAsia="宋体" w:cs="宋体"/>
          <w:b/>
          <w:sz w:val="32"/>
          <w:szCs w:val="32"/>
          <w:highlight w:val="none"/>
        </w:rPr>
      </w:pPr>
    </w:p>
    <w:p w14:paraId="4C3A21C0">
      <w:pPr>
        <w:jc w:val="center"/>
        <w:rPr>
          <w:rFonts w:hint="eastAsia" w:ascii="宋体" w:hAnsi="宋体" w:eastAsia="宋体" w:cs="宋体"/>
          <w:b/>
          <w:sz w:val="32"/>
          <w:szCs w:val="32"/>
          <w:highlight w:val="none"/>
        </w:rPr>
      </w:pPr>
    </w:p>
    <w:p w14:paraId="6DD6C5A3">
      <w:pPr>
        <w:jc w:val="center"/>
        <w:rPr>
          <w:rFonts w:hint="eastAsia" w:ascii="宋体" w:hAnsi="宋体" w:eastAsia="宋体" w:cs="宋体"/>
          <w:b/>
          <w:sz w:val="32"/>
          <w:szCs w:val="32"/>
          <w:highlight w:val="none"/>
        </w:rPr>
      </w:pPr>
    </w:p>
    <w:p w14:paraId="77FC1E81">
      <w:pPr>
        <w:jc w:val="center"/>
        <w:rPr>
          <w:rFonts w:hint="eastAsia" w:ascii="宋体" w:hAnsi="宋体" w:eastAsia="宋体" w:cs="宋体"/>
          <w:b/>
          <w:sz w:val="32"/>
          <w:szCs w:val="32"/>
          <w:highlight w:val="none"/>
        </w:rPr>
      </w:pPr>
    </w:p>
    <w:p w14:paraId="62CC7F3E">
      <w:pPr>
        <w:jc w:val="center"/>
        <w:rPr>
          <w:rFonts w:hint="eastAsia" w:ascii="宋体" w:hAnsi="宋体" w:eastAsia="宋体" w:cs="宋体"/>
          <w:b/>
          <w:sz w:val="32"/>
          <w:szCs w:val="32"/>
          <w:highlight w:val="none"/>
        </w:rPr>
      </w:pPr>
    </w:p>
    <w:p w14:paraId="7A95538A">
      <w:pPr>
        <w:jc w:val="center"/>
        <w:rPr>
          <w:rFonts w:hint="eastAsia" w:ascii="宋体" w:hAnsi="宋体" w:eastAsia="宋体" w:cs="宋体"/>
          <w:b/>
          <w:sz w:val="32"/>
          <w:szCs w:val="32"/>
          <w:highlight w:val="none"/>
        </w:rPr>
      </w:pPr>
    </w:p>
    <w:p w14:paraId="10A81449">
      <w:pPr>
        <w:jc w:val="center"/>
        <w:rPr>
          <w:rFonts w:hint="eastAsia" w:ascii="宋体" w:hAnsi="宋体" w:eastAsia="宋体" w:cs="宋体"/>
          <w:b/>
          <w:sz w:val="32"/>
          <w:szCs w:val="32"/>
          <w:highlight w:val="none"/>
        </w:rPr>
      </w:pPr>
    </w:p>
    <w:p w14:paraId="0C40F559">
      <w:pPr>
        <w:jc w:val="center"/>
        <w:rPr>
          <w:rFonts w:hint="eastAsia" w:ascii="宋体" w:hAnsi="宋体" w:eastAsia="宋体" w:cs="宋体"/>
          <w:b/>
          <w:sz w:val="32"/>
          <w:szCs w:val="32"/>
          <w:highlight w:val="none"/>
        </w:rPr>
      </w:pPr>
    </w:p>
    <w:p w14:paraId="7E4EA099">
      <w:pPr>
        <w:jc w:val="center"/>
        <w:rPr>
          <w:rFonts w:hint="eastAsia" w:ascii="宋体" w:hAnsi="宋体" w:eastAsia="宋体" w:cs="宋体"/>
          <w:b/>
          <w:sz w:val="32"/>
          <w:szCs w:val="32"/>
          <w:highlight w:val="none"/>
        </w:rPr>
      </w:pPr>
    </w:p>
    <w:p w14:paraId="08424518">
      <w:pPr>
        <w:jc w:val="center"/>
        <w:rPr>
          <w:rFonts w:hint="eastAsia" w:ascii="宋体" w:hAnsi="宋体" w:eastAsia="宋体" w:cs="宋体"/>
          <w:b/>
          <w:sz w:val="32"/>
          <w:szCs w:val="32"/>
          <w:highlight w:val="none"/>
        </w:rPr>
      </w:pPr>
    </w:p>
    <w:p w14:paraId="21CC3886">
      <w:pPr>
        <w:jc w:val="center"/>
        <w:rPr>
          <w:rFonts w:hint="eastAsia" w:ascii="宋体" w:hAnsi="宋体" w:eastAsia="宋体" w:cs="宋体"/>
          <w:b/>
          <w:sz w:val="32"/>
          <w:szCs w:val="32"/>
          <w:highlight w:val="none"/>
        </w:rPr>
      </w:pPr>
    </w:p>
    <w:p w14:paraId="075C18DA">
      <w:pPr>
        <w:jc w:val="center"/>
        <w:rPr>
          <w:rFonts w:hint="eastAsia" w:ascii="宋体" w:hAnsi="宋体" w:eastAsia="宋体" w:cs="宋体"/>
          <w:b/>
          <w:sz w:val="32"/>
          <w:szCs w:val="32"/>
          <w:highlight w:val="none"/>
        </w:rPr>
      </w:pPr>
    </w:p>
    <w:p w14:paraId="4835AF48">
      <w:pPr>
        <w:jc w:val="both"/>
        <w:rPr>
          <w:rFonts w:hint="eastAsia" w:ascii="宋体" w:hAnsi="宋体" w:eastAsia="宋体" w:cs="宋体"/>
          <w:b/>
          <w:sz w:val="32"/>
          <w:szCs w:val="32"/>
          <w:highlight w:val="none"/>
        </w:rPr>
      </w:pPr>
    </w:p>
    <w:p w14:paraId="631F895F">
      <w:pPr>
        <w:jc w:val="center"/>
        <w:rPr>
          <w:rFonts w:hint="eastAsia" w:ascii="宋体" w:hAnsi="宋体" w:eastAsia="宋体" w:cs="宋体"/>
          <w:b/>
          <w:sz w:val="32"/>
          <w:szCs w:val="32"/>
          <w:highlight w:val="none"/>
        </w:rPr>
      </w:pPr>
    </w:p>
    <w:p w14:paraId="05CF0733">
      <w:pPr>
        <w:jc w:val="center"/>
        <w:rPr>
          <w:rFonts w:hint="eastAsia" w:ascii="宋体" w:hAnsi="宋体" w:eastAsia="宋体" w:cs="宋体"/>
          <w:b/>
          <w:sz w:val="32"/>
          <w:szCs w:val="32"/>
          <w:highlight w:val="none"/>
        </w:rPr>
      </w:pPr>
    </w:p>
    <w:p w14:paraId="06CB2F47">
      <w:pPr>
        <w:jc w:val="center"/>
        <w:rPr>
          <w:rFonts w:hint="eastAsia" w:ascii="宋体" w:hAnsi="宋体" w:eastAsia="宋体" w:cs="宋体"/>
          <w:b/>
          <w:sz w:val="32"/>
          <w:szCs w:val="32"/>
          <w:highlight w:val="none"/>
        </w:rPr>
      </w:pPr>
    </w:p>
    <w:p w14:paraId="0D27806F">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温 馨 提 示</w:t>
      </w:r>
    </w:p>
    <w:p w14:paraId="1FAD975D">
      <w:pPr>
        <w:jc w:val="center"/>
        <w:rPr>
          <w:rFonts w:hint="eastAsia" w:ascii="宋体" w:hAnsi="宋体" w:eastAsia="宋体" w:cs="宋体"/>
          <w:b/>
          <w:sz w:val="36"/>
          <w:szCs w:val="36"/>
          <w:highlight w:val="none"/>
        </w:rPr>
      </w:pPr>
    </w:p>
    <w:p w14:paraId="3621BD62">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如无另行说明，投标文件递交时间为</w:t>
      </w:r>
      <w:r>
        <w:rPr>
          <w:rFonts w:hint="eastAsia" w:ascii="宋体" w:hAnsi="宋体" w:eastAsia="宋体" w:cs="宋体"/>
          <w:b/>
          <w:bCs/>
          <w:sz w:val="28"/>
          <w:szCs w:val="28"/>
          <w:highlight w:val="none"/>
          <w:u w:val="single"/>
          <w:lang w:val="en-US" w:eastAsia="zh-CN"/>
        </w:rPr>
        <w:t>开标</w:t>
      </w:r>
      <w:r>
        <w:rPr>
          <w:rFonts w:hint="eastAsia" w:ascii="宋体" w:hAnsi="宋体" w:eastAsia="宋体" w:cs="宋体"/>
          <w:b/>
          <w:bCs/>
          <w:sz w:val="28"/>
          <w:szCs w:val="28"/>
          <w:highlight w:val="none"/>
          <w:u w:val="single"/>
        </w:rPr>
        <w:t>截止</w:t>
      </w:r>
      <w:r>
        <w:rPr>
          <w:rFonts w:hint="eastAsia" w:ascii="宋体" w:hAnsi="宋体" w:eastAsia="宋体" w:cs="宋体"/>
          <w:b/>
          <w:sz w:val="28"/>
          <w:szCs w:val="28"/>
          <w:highlight w:val="none"/>
          <w:u w:val="single"/>
        </w:rPr>
        <w:t>时间之前30分</w:t>
      </w:r>
      <w:r>
        <w:rPr>
          <w:rFonts w:hint="eastAsia" w:ascii="宋体" w:hAnsi="宋体" w:eastAsia="宋体" w:cs="宋体"/>
          <w:b/>
          <w:bCs w:val="0"/>
          <w:sz w:val="28"/>
          <w:szCs w:val="28"/>
          <w:highlight w:val="none"/>
          <w:u w:val="single"/>
        </w:rPr>
        <w:t>钟内</w:t>
      </w:r>
      <w:r>
        <w:rPr>
          <w:rFonts w:hint="eastAsia" w:ascii="宋体" w:hAnsi="宋体" w:eastAsia="宋体" w:cs="宋体"/>
          <w:sz w:val="28"/>
          <w:szCs w:val="28"/>
          <w:highlight w:val="none"/>
        </w:rPr>
        <w:t>。</w:t>
      </w:r>
    </w:p>
    <w:p w14:paraId="3DBA86A7">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为避免因迟到而失去投标资格，请</w:t>
      </w:r>
      <w:r>
        <w:rPr>
          <w:rFonts w:hint="eastAsia" w:ascii="宋体" w:hAnsi="宋体" w:eastAsia="宋体" w:cs="宋体"/>
          <w:b/>
          <w:sz w:val="28"/>
          <w:szCs w:val="28"/>
          <w:highlight w:val="none"/>
          <w:u w:val="single"/>
        </w:rPr>
        <w:t>适当提前到达</w:t>
      </w:r>
      <w:r>
        <w:rPr>
          <w:rFonts w:hint="eastAsia" w:ascii="宋体" w:hAnsi="宋体" w:eastAsia="宋体" w:cs="宋体"/>
          <w:sz w:val="28"/>
          <w:szCs w:val="28"/>
          <w:highlight w:val="none"/>
        </w:rPr>
        <w:t>。</w:t>
      </w:r>
    </w:p>
    <w:p w14:paraId="462579F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投标文件</w:t>
      </w:r>
      <w:r>
        <w:rPr>
          <w:rFonts w:hint="eastAsia" w:ascii="宋体" w:hAnsi="宋体" w:eastAsia="宋体" w:cs="宋体"/>
          <w:b/>
          <w:bCs/>
          <w:sz w:val="28"/>
          <w:szCs w:val="28"/>
          <w:highlight w:val="none"/>
          <w:u w:val="single"/>
        </w:rPr>
        <w:t>应</w:t>
      </w:r>
      <w:r>
        <w:rPr>
          <w:rFonts w:hint="eastAsia" w:ascii="宋体" w:hAnsi="宋体" w:eastAsia="宋体" w:cs="宋体"/>
          <w:b/>
          <w:bCs/>
          <w:sz w:val="28"/>
          <w:szCs w:val="28"/>
          <w:highlight w:val="none"/>
          <w:u w:val="single"/>
          <w:lang w:val="en-US" w:eastAsia="zh-CN"/>
        </w:rPr>
        <w:t>有目录并</w:t>
      </w:r>
      <w:r>
        <w:rPr>
          <w:rFonts w:hint="eastAsia" w:ascii="宋体" w:hAnsi="宋体" w:eastAsia="宋体" w:cs="宋体"/>
          <w:b/>
          <w:bCs/>
          <w:sz w:val="28"/>
          <w:szCs w:val="28"/>
          <w:highlight w:val="none"/>
          <w:u w:val="single"/>
        </w:rPr>
        <w:t>按顺序编</w:t>
      </w:r>
      <w:r>
        <w:rPr>
          <w:rFonts w:hint="eastAsia" w:ascii="宋体" w:hAnsi="宋体" w:eastAsia="宋体" w:cs="宋体"/>
          <w:b/>
          <w:sz w:val="28"/>
          <w:szCs w:val="28"/>
          <w:highlight w:val="none"/>
          <w:u w:val="single"/>
        </w:rPr>
        <w:t>制页码</w:t>
      </w:r>
      <w:r>
        <w:rPr>
          <w:rFonts w:hint="eastAsia" w:ascii="宋体" w:hAnsi="宋体" w:eastAsia="宋体" w:cs="宋体"/>
          <w:sz w:val="28"/>
          <w:szCs w:val="28"/>
          <w:highlight w:val="none"/>
        </w:rPr>
        <w:t>。</w:t>
      </w:r>
    </w:p>
    <w:p w14:paraId="14FE425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请仔细检查投标文件是否已按</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文件要求</w:t>
      </w:r>
      <w:r>
        <w:rPr>
          <w:rFonts w:hint="eastAsia" w:ascii="宋体" w:hAnsi="宋体" w:eastAsia="宋体" w:cs="宋体"/>
          <w:b/>
          <w:sz w:val="28"/>
          <w:szCs w:val="28"/>
          <w:highlight w:val="none"/>
          <w:u w:val="single"/>
        </w:rPr>
        <w:t>盖章、签名及密封</w:t>
      </w:r>
      <w:r>
        <w:rPr>
          <w:rFonts w:hint="eastAsia" w:ascii="宋体" w:hAnsi="宋体" w:eastAsia="宋体" w:cs="宋体"/>
          <w:sz w:val="28"/>
          <w:szCs w:val="28"/>
          <w:highlight w:val="none"/>
        </w:rPr>
        <w:t>。</w:t>
      </w:r>
    </w:p>
    <w:p w14:paraId="0F34933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请正确填写《开标一览表》，封装在单独的唱标信封当中</w:t>
      </w:r>
      <w:r>
        <w:rPr>
          <w:rFonts w:hint="eastAsia" w:ascii="宋体" w:hAnsi="宋体" w:eastAsia="宋体" w:cs="宋体"/>
          <w:sz w:val="28"/>
          <w:szCs w:val="28"/>
          <w:highlight w:val="none"/>
          <w:lang w:eastAsia="zh-CN"/>
        </w:rPr>
        <w:t>，</w:t>
      </w:r>
      <w:r>
        <w:rPr>
          <w:rFonts w:hint="eastAsia" w:ascii="宋体" w:hAnsi="宋体" w:eastAsia="宋体" w:cs="宋体"/>
          <w:b/>
          <w:sz w:val="28"/>
          <w:szCs w:val="28"/>
          <w:highlight w:val="none"/>
          <w:u w:val="single"/>
        </w:rPr>
        <w:t>多包项目请每包单独封装</w:t>
      </w:r>
      <w:r>
        <w:rPr>
          <w:rFonts w:hint="eastAsia" w:ascii="宋体" w:hAnsi="宋体" w:eastAsia="宋体" w:cs="宋体"/>
          <w:sz w:val="28"/>
          <w:szCs w:val="28"/>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项目内或所投包号内有多项设备或报价内容的，</w:t>
      </w:r>
      <w:r>
        <w:rPr>
          <w:rFonts w:hint="eastAsia" w:ascii="宋体" w:hAnsi="宋体" w:eastAsia="宋体" w:cs="宋体"/>
          <w:b/>
          <w:sz w:val="28"/>
          <w:szCs w:val="28"/>
          <w:highlight w:val="none"/>
          <w:u w:val="single"/>
        </w:rPr>
        <w:t>应加总后报总价</w:t>
      </w:r>
      <w:r>
        <w:rPr>
          <w:rFonts w:hint="eastAsia" w:ascii="宋体" w:hAnsi="宋体" w:eastAsia="宋体" w:cs="宋体"/>
          <w:sz w:val="28"/>
          <w:szCs w:val="28"/>
          <w:highlight w:val="none"/>
        </w:rPr>
        <w:t>。</w:t>
      </w:r>
    </w:p>
    <w:p w14:paraId="6356504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1134" w:hangingChars="405"/>
        <w:rPr>
          <w:rFonts w:hint="eastAsia" w:ascii="宋体" w:hAnsi="宋体" w:eastAsia="宋体" w:cs="宋体"/>
          <w:sz w:val="28"/>
          <w:szCs w:val="28"/>
          <w:highlight w:val="none"/>
        </w:rPr>
      </w:pPr>
      <w:r>
        <w:rPr>
          <w:rFonts w:hint="eastAsia" w:ascii="宋体" w:hAnsi="宋体" w:eastAsia="宋体" w:cs="宋体"/>
          <w:sz w:val="28"/>
          <w:szCs w:val="28"/>
          <w:highlight w:val="none"/>
        </w:rPr>
        <w:tab/>
      </w:r>
      <w:r>
        <w:rPr>
          <w:rFonts w:hint="eastAsia" w:ascii="宋体" w:hAnsi="宋体" w:eastAsia="宋体" w:cs="宋体"/>
          <w:sz w:val="28"/>
          <w:szCs w:val="28"/>
          <w:highlight w:val="none"/>
        </w:rPr>
        <w:t>（以上提示内容</w:t>
      </w:r>
      <w:r>
        <w:rPr>
          <w:rFonts w:hint="eastAsia" w:ascii="宋体" w:hAnsi="宋体" w:eastAsia="宋体" w:cs="宋体"/>
          <w:sz w:val="28"/>
          <w:szCs w:val="28"/>
          <w:highlight w:val="none"/>
          <w:lang w:eastAsia="zh-CN"/>
        </w:rPr>
        <w:t>仅是</w:t>
      </w:r>
      <w:r>
        <w:rPr>
          <w:rFonts w:hint="eastAsia" w:ascii="宋体" w:hAnsi="宋体" w:eastAsia="宋体" w:cs="宋体"/>
          <w:sz w:val="28"/>
          <w:szCs w:val="28"/>
          <w:highlight w:val="none"/>
        </w:rPr>
        <w:t>一般项提醒，如与实际</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项目要求有不一致，以</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文件为准）</w:t>
      </w:r>
    </w:p>
    <w:p w14:paraId="16CAAC3F">
      <w:pPr>
        <w:rPr>
          <w:rFonts w:hint="eastAsia" w:asciiTheme="minorEastAsia" w:hAnsiTheme="minorEastAsia" w:cstheme="minorEastAsia"/>
          <w:szCs w:val="21"/>
        </w:rPr>
      </w:pPr>
    </w:p>
    <w:p w14:paraId="47039B92">
      <w:pPr>
        <w:rPr>
          <w:rFonts w:hint="eastAsia" w:asciiTheme="minorEastAsia" w:hAnsiTheme="minorEastAsia" w:cstheme="minorEastAsia"/>
          <w:szCs w:val="21"/>
        </w:rPr>
      </w:pPr>
    </w:p>
    <w:p w14:paraId="7B13E3C0">
      <w:pPr>
        <w:rPr>
          <w:rFonts w:hint="eastAsia" w:asciiTheme="minorEastAsia" w:hAnsiTheme="minorEastAsia" w:cstheme="minorEastAsia"/>
          <w:szCs w:val="21"/>
        </w:rPr>
      </w:pPr>
    </w:p>
    <w:p w14:paraId="5A64B025">
      <w:pPr>
        <w:rPr>
          <w:rFonts w:hint="eastAsia" w:asciiTheme="minorEastAsia" w:hAnsiTheme="minorEastAsia" w:cstheme="minorEastAsia"/>
          <w:szCs w:val="21"/>
        </w:rPr>
      </w:pPr>
    </w:p>
    <w:p w14:paraId="34556B53">
      <w:pPr>
        <w:rPr>
          <w:rFonts w:hint="eastAsia" w:asciiTheme="minorEastAsia" w:hAnsiTheme="minorEastAsia" w:cstheme="minorEastAsia"/>
          <w:szCs w:val="21"/>
        </w:rPr>
      </w:pPr>
    </w:p>
    <w:p w14:paraId="63B3F4CA">
      <w:pPr>
        <w:rPr>
          <w:rFonts w:hint="eastAsia" w:asciiTheme="minorEastAsia" w:hAnsiTheme="minorEastAsia" w:cstheme="minorEastAsia"/>
          <w:szCs w:val="21"/>
        </w:rPr>
      </w:pPr>
    </w:p>
    <w:p w14:paraId="238999D2">
      <w:pPr>
        <w:rPr>
          <w:rFonts w:hint="eastAsia" w:asciiTheme="minorEastAsia" w:hAnsiTheme="minorEastAsia" w:cstheme="minorEastAsia"/>
          <w:szCs w:val="21"/>
        </w:rPr>
      </w:pPr>
    </w:p>
    <w:p w14:paraId="5EE83BD7">
      <w:pPr>
        <w:rPr>
          <w:rFonts w:hint="eastAsia" w:asciiTheme="minorEastAsia" w:hAnsiTheme="minorEastAsia" w:cstheme="minorEastAsia"/>
          <w:szCs w:val="21"/>
        </w:rPr>
      </w:pPr>
    </w:p>
    <w:p w14:paraId="1A7B06A3">
      <w:pPr>
        <w:rPr>
          <w:rFonts w:hint="eastAsia" w:asciiTheme="minorEastAsia" w:hAnsiTheme="minorEastAsia" w:cstheme="minorEastAsia"/>
          <w:szCs w:val="21"/>
        </w:rPr>
      </w:pPr>
    </w:p>
    <w:p w14:paraId="0BE9234F">
      <w:pPr>
        <w:rPr>
          <w:rFonts w:hint="eastAsia" w:asciiTheme="minorEastAsia" w:hAnsiTheme="minorEastAsia" w:cstheme="minorEastAsia"/>
          <w:szCs w:val="21"/>
        </w:rPr>
      </w:pPr>
    </w:p>
    <w:p w14:paraId="6AFB3A9E">
      <w:pPr>
        <w:rPr>
          <w:rFonts w:hint="eastAsia" w:asciiTheme="minorEastAsia" w:hAnsiTheme="minorEastAsia" w:cstheme="minorEastAsia"/>
          <w:szCs w:val="21"/>
        </w:rPr>
      </w:pPr>
    </w:p>
    <w:p w14:paraId="3251FB3B">
      <w:pPr>
        <w:rPr>
          <w:rFonts w:hint="eastAsia" w:asciiTheme="minorEastAsia" w:hAnsiTheme="minorEastAsia" w:cstheme="minorEastAsia"/>
          <w:szCs w:val="21"/>
        </w:rPr>
      </w:pPr>
    </w:p>
    <w:p w14:paraId="0EF5ADC6">
      <w:pPr>
        <w:rPr>
          <w:rFonts w:hint="eastAsia" w:asciiTheme="minorEastAsia" w:hAnsiTheme="minorEastAsia" w:cstheme="minorEastAsia"/>
          <w:szCs w:val="21"/>
        </w:rPr>
      </w:pPr>
    </w:p>
    <w:p w14:paraId="2CE665B9">
      <w:pPr>
        <w:rPr>
          <w:rFonts w:hint="eastAsia" w:asciiTheme="minorEastAsia" w:hAnsiTheme="minorEastAsia" w:cstheme="minorEastAsia"/>
          <w:szCs w:val="21"/>
        </w:rPr>
      </w:pPr>
    </w:p>
    <w:p w14:paraId="53D7BD1D">
      <w:pPr>
        <w:rPr>
          <w:rFonts w:hint="eastAsia" w:asciiTheme="minorEastAsia" w:hAnsiTheme="minorEastAsia" w:cstheme="minorEastAsia"/>
          <w:szCs w:val="21"/>
        </w:rPr>
      </w:pPr>
    </w:p>
    <w:p w14:paraId="6607EFBE">
      <w:pPr>
        <w:rPr>
          <w:rFonts w:hint="eastAsia" w:asciiTheme="minorEastAsia" w:hAnsiTheme="minorEastAsia" w:cstheme="minorEastAsia"/>
          <w:szCs w:val="21"/>
        </w:rPr>
      </w:pPr>
    </w:p>
    <w:p w14:paraId="3B8FF10C">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38395D03">
      <w:pPr>
        <w:jc w:val="center"/>
        <w:rPr>
          <w:rFonts w:hint="eastAsia" w:asciiTheme="minorEastAsia" w:hAnsiTheme="minorEastAsia" w:cstheme="minorEastAsia"/>
          <w:sz w:val="36"/>
          <w:szCs w:val="36"/>
          <w:lang w:val="en-US" w:eastAsia="zh-CN"/>
        </w:rPr>
      </w:pPr>
    </w:p>
    <w:p w14:paraId="4D764082">
      <w:pPr>
        <w:jc w:val="center"/>
        <w:rPr>
          <w:rFonts w:hint="eastAsia" w:asciiTheme="minorEastAsia" w:hAnsiTheme="minorEastAsia" w:cstheme="minorEastAsia"/>
          <w:sz w:val="36"/>
          <w:szCs w:val="36"/>
          <w:lang w:val="en-US" w:eastAsia="zh-CN"/>
        </w:rPr>
      </w:pPr>
    </w:p>
    <w:p w14:paraId="51B6ABE7">
      <w:pPr>
        <w:jc w:val="center"/>
        <w:rPr>
          <w:rFonts w:hint="eastAsia" w:asciiTheme="minorEastAsia" w:hAnsiTheme="minorEastAsia" w:cstheme="minorEastAsia"/>
          <w:sz w:val="36"/>
          <w:szCs w:val="36"/>
          <w:lang w:val="en-US" w:eastAsia="zh-CN"/>
        </w:rPr>
      </w:pPr>
    </w:p>
    <w:p w14:paraId="015693CC">
      <w:pPr>
        <w:jc w:val="center"/>
        <w:rPr>
          <w:rFonts w:hint="eastAsia" w:asciiTheme="minorEastAsia" w:hAnsiTheme="minorEastAsia" w:cstheme="minorEastAsia"/>
          <w:sz w:val="36"/>
          <w:szCs w:val="36"/>
          <w:lang w:val="en-US" w:eastAsia="zh-CN"/>
        </w:rPr>
      </w:pPr>
    </w:p>
    <w:p w14:paraId="7BEFF80F">
      <w:pPr>
        <w:jc w:val="both"/>
        <w:rPr>
          <w:rFonts w:hint="eastAsia" w:asciiTheme="minorEastAsia" w:hAnsiTheme="minorEastAsia" w:cstheme="minorEastAsia"/>
          <w:sz w:val="36"/>
          <w:szCs w:val="36"/>
          <w:lang w:val="en-US" w:eastAsia="zh-CN"/>
        </w:rPr>
      </w:pPr>
    </w:p>
    <w:sdt>
      <w:sdtPr>
        <w:rPr>
          <w:rFonts w:ascii="宋体" w:hAnsi="宋体" w:eastAsia="宋体" w:cstheme="minorBidi"/>
          <w:kern w:val="2"/>
          <w:sz w:val="56"/>
          <w:szCs w:val="72"/>
          <w:lang w:val="en-US" w:eastAsia="zh-CN" w:bidi="ar-SA"/>
        </w:rPr>
        <w:id w:val="147465074"/>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53C0C78A">
          <w:pPr>
            <w:spacing w:before="0" w:beforeLines="0" w:after="0" w:afterLines="0" w:line="240" w:lineRule="auto"/>
            <w:ind w:left="0" w:leftChars="0" w:right="0" w:rightChars="0" w:firstLine="0" w:firstLineChars="0"/>
            <w:jc w:val="center"/>
            <w:rPr>
              <w:rFonts w:ascii="宋体" w:hAnsi="宋体" w:eastAsia="宋体"/>
              <w:sz w:val="56"/>
              <w:szCs w:val="72"/>
            </w:rPr>
          </w:pPr>
          <w:bookmarkStart w:id="190" w:name="_GoBack"/>
          <w:bookmarkEnd w:id="190"/>
          <w:r>
            <w:rPr>
              <w:rFonts w:ascii="宋体" w:hAnsi="宋体" w:eastAsia="宋体"/>
              <w:sz w:val="56"/>
              <w:szCs w:val="72"/>
            </w:rPr>
            <w:t>目录</w:t>
          </w:r>
        </w:p>
        <w:p w14:paraId="7D744D07">
          <w:pPr>
            <w:spacing w:before="0" w:beforeLines="0" w:after="0" w:afterLines="0" w:line="240" w:lineRule="auto"/>
            <w:ind w:left="0" w:leftChars="0" w:right="0" w:rightChars="0" w:firstLine="0" w:firstLineChars="0"/>
            <w:jc w:val="center"/>
            <w:rPr>
              <w:rFonts w:ascii="宋体" w:hAnsi="宋体" w:eastAsia="宋体"/>
              <w:sz w:val="56"/>
              <w:szCs w:val="72"/>
            </w:rPr>
          </w:pPr>
        </w:p>
        <w:p w14:paraId="4544B408">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21"/>
              <w:szCs w:val="24"/>
              <w:lang w:val="en-US" w:eastAsia="zh-CN" w:bidi="ar-SA"/>
            </w:rPr>
            <w:fldChar w:fldCharType="begin"/>
          </w:r>
          <w:r>
            <w:rPr>
              <w:rFonts w:asciiTheme="minorHAnsi" w:hAnsiTheme="minorHAnsi" w:eastAsiaTheme="minorEastAsia" w:cstheme="minorBidi"/>
              <w:kern w:val="2"/>
              <w:sz w:val="21"/>
              <w:szCs w:val="24"/>
              <w:lang w:val="en-US" w:eastAsia="zh-CN" w:bidi="ar-SA"/>
            </w:rPr>
            <w:instrText xml:space="preserve">TOC \o "1-1" \h \u </w:instrText>
          </w:r>
          <w:r>
            <w:rPr>
              <w:rFonts w:asciiTheme="minorHAnsi" w:hAnsiTheme="minorHAnsi" w:eastAsiaTheme="minorEastAsia" w:cstheme="minorBidi"/>
              <w:kern w:val="2"/>
              <w:sz w:val="21"/>
              <w:szCs w:val="24"/>
              <w:lang w:val="en-US" w:eastAsia="zh-CN" w:bidi="ar-SA"/>
            </w:rPr>
            <w:fldChar w:fldCharType="separate"/>
          </w: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_Toc16484 </w:instrText>
          </w:r>
          <w:r>
            <w:rPr>
              <w:rFonts w:asciiTheme="minorHAnsi" w:hAnsiTheme="minorHAnsi" w:eastAsiaTheme="minorEastAsia" w:cstheme="minorBidi"/>
              <w:kern w:val="2"/>
              <w:sz w:val="44"/>
              <w:szCs w:val="52"/>
              <w:lang w:val="en-US" w:eastAsia="zh-CN" w:bidi="ar-SA"/>
            </w:rPr>
            <w:fldChar w:fldCharType="separate"/>
          </w:r>
          <w:r>
            <w:rPr>
              <w:rFonts w:hint="eastAsia" w:cs="宋体" w:asciiTheme="majorEastAsia" w:hAnsiTheme="majorEastAsia" w:eastAsiaTheme="majorEastAsia"/>
              <w:kern w:val="2"/>
              <w:sz w:val="44"/>
              <w:szCs w:val="60"/>
              <w:lang w:val="en-US" w:eastAsia="zh-CN" w:bidi="ar-SA"/>
            </w:rPr>
            <w:t xml:space="preserve">第一章 </w:t>
          </w:r>
          <w:r>
            <w:rPr>
              <w:rFonts w:hint="eastAsia" w:cs="宋体" w:asciiTheme="majorEastAsia" w:hAnsiTheme="majorEastAsia" w:eastAsiaTheme="majorEastAsia"/>
              <w:kern w:val="2"/>
              <w:sz w:val="44"/>
              <w:szCs w:val="60"/>
              <w:highlight w:val="none"/>
              <w:lang w:val="en-US" w:eastAsia="zh-CN" w:bidi="ar-SA"/>
            </w:rPr>
            <w:t>评标信息（综合评分法）</w:t>
          </w:r>
          <w:r>
            <w:rPr>
              <w:sz w:val="44"/>
              <w:szCs w:val="52"/>
            </w:rPr>
            <w:tab/>
          </w:r>
          <w:r>
            <w:rPr>
              <w:sz w:val="44"/>
              <w:szCs w:val="52"/>
            </w:rPr>
            <w:fldChar w:fldCharType="begin"/>
          </w:r>
          <w:r>
            <w:rPr>
              <w:sz w:val="44"/>
              <w:szCs w:val="52"/>
            </w:rPr>
            <w:instrText xml:space="preserve"> PAGEREF _Toc16484 \h </w:instrText>
          </w:r>
          <w:r>
            <w:rPr>
              <w:sz w:val="44"/>
              <w:szCs w:val="52"/>
            </w:rPr>
            <w:fldChar w:fldCharType="separate"/>
          </w:r>
          <w:r>
            <w:rPr>
              <w:sz w:val="44"/>
              <w:szCs w:val="52"/>
            </w:rPr>
            <w:t>7</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B0EB9C5">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_Toc12920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第二章 征集公告</w:t>
          </w:r>
          <w:r>
            <w:rPr>
              <w:sz w:val="44"/>
              <w:szCs w:val="52"/>
            </w:rPr>
            <w:tab/>
          </w:r>
          <w:r>
            <w:rPr>
              <w:sz w:val="44"/>
              <w:szCs w:val="52"/>
            </w:rPr>
            <w:fldChar w:fldCharType="begin"/>
          </w:r>
          <w:r>
            <w:rPr>
              <w:sz w:val="44"/>
              <w:szCs w:val="52"/>
            </w:rPr>
            <w:instrText xml:space="preserve"> PAGEREF _Toc12920 \h </w:instrText>
          </w:r>
          <w:r>
            <w:rPr>
              <w:sz w:val="44"/>
              <w:szCs w:val="52"/>
            </w:rPr>
            <w:fldChar w:fldCharType="separate"/>
          </w:r>
          <w:r>
            <w:rPr>
              <w:sz w:val="44"/>
              <w:szCs w:val="52"/>
            </w:rPr>
            <w:t>9</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2B3D7DF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_Toc2752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第三章 用户需求书</w:t>
          </w:r>
          <w:r>
            <w:rPr>
              <w:sz w:val="44"/>
              <w:szCs w:val="52"/>
            </w:rPr>
            <w:tab/>
          </w:r>
          <w:r>
            <w:rPr>
              <w:sz w:val="44"/>
              <w:szCs w:val="52"/>
            </w:rPr>
            <w:fldChar w:fldCharType="begin"/>
          </w:r>
          <w:r>
            <w:rPr>
              <w:sz w:val="44"/>
              <w:szCs w:val="52"/>
            </w:rPr>
            <w:instrText xml:space="preserve"> PAGEREF _Toc2752 \h </w:instrText>
          </w:r>
          <w:r>
            <w:rPr>
              <w:sz w:val="44"/>
              <w:szCs w:val="52"/>
            </w:rPr>
            <w:fldChar w:fldCharType="separate"/>
          </w:r>
          <w:r>
            <w:rPr>
              <w:sz w:val="44"/>
              <w:szCs w:val="52"/>
            </w:rPr>
            <w:t>13</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63ECD74">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_Toc10317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cstheme="majorEastAsia"/>
              <w:kern w:val="2"/>
              <w:sz w:val="44"/>
              <w:szCs w:val="60"/>
              <w:lang w:val="en-US" w:eastAsia="zh-CN" w:bidi="ar-SA"/>
            </w:rPr>
            <w:t xml:space="preserve">第四章 </w:t>
          </w:r>
          <w:r>
            <w:rPr>
              <w:rFonts w:hint="eastAsia" w:asciiTheme="majorEastAsia" w:hAnsiTheme="majorEastAsia" w:eastAsiaTheme="majorEastAsia" w:cstheme="majorEastAsia"/>
              <w:sz w:val="44"/>
              <w:szCs w:val="60"/>
            </w:rPr>
            <w:t>开标、评标、定标</w:t>
          </w:r>
          <w:r>
            <w:rPr>
              <w:sz w:val="44"/>
              <w:szCs w:val="52"/>
            </w:rPr>
            <w:tab/>
          </w:r>
          <w:r>
            <w:rPr>
              <w:sz w:val="44"/>
              <w:szCs w:val="52"/>
            </w:rPr>
            <w:fldChar w:fldCharType="begin"/>
          </w:r>
          <w:r>
            <w:rPr>
              <w:sz w:val="44"/>
              <w:szCs w:val="52"/>
            </w:rPr>
            <w:instrText xml:space="preserve"> PAGEREF _Toc10317 \h </w:instrText>
          </w:r>
          <w:r>
            <w:rPr>
              <w:sz w:val="44"/>
              <w:szCs w:val="52"/>
            </w:rPr>
            <w:fldChar w:fldCharType="separate"/>
          </w:r>
          <w:r>
            <w:rPr>
              <w:sz w:val="44"/>
              <w:szCs w:val="52"/>
            </w:rPr>
            <w:t>17</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341CF5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_Toc7421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 xml:space="preserve">第五章 </w:t>
          </w:r>
          <w:r>
            <w:rPr>
              <w:rFonts w:hint="eastAsia" w:asciiTheme="majorEastAsia" w:hAnsiTheme="majorEastAsia" w:eastAsiaTheme="majorEastAsia"/>
              <w:sz w:val="44"/>
              <w:szCs w:val="60"/>
            </w:rPr>
            <w:t>投标文件</w:t>
          </w:r>
          <w:r>
            <w:rPr>
              <w:rFonts w:hint="eastAsia" w:asciiTheme="majorEastAsia" w:hAnsiTheme="majorEastAsia" w:eastAsiaTheme="majorEastAsia"/>
              <w:sz w:val="44"/>
              <w:szCs w:val="60"/>
              <w:lang w:eastAsia="zh-CN"/>
            </w:rPr>
            <w:t>（</w:t>
          </w:r>
          <w:r>
            <w:rPr>
              <w:rFonts w:hint="eastAsia" w:asciiTheme="majorEastAsia" w:hAnsiTheme="majorEastAsia" w:eastAsiaTheme="majorEastAsia"/>
              <w:sz w:val="44"/>
              <w:szCs w:val="60"/>
              <w:lang w:val="en-US" w:eastAsia="zh-CN"/>
            </w:rPr>
            <w:t>编制</w:t>
          </w:r>
          <w:r>
            <w:rPr>
              <w:rFonts w:hint="eastAsia" w:asciiTheme="majorEastAsia" w:hAnsiTheme="majorEastAsia" w:eastAsiaTheme="majorEastAsia"/>
              <w:sz w:val="44"/>
              <w:szCs w:val="60"/>
            </w:rPr>
            <w:t>参考</w:t>
          </w:r>
          <w:r>
            <w:rPr>
              <w:rFonts w:hint="eastAsia" w:asciiTheme="majorEastAsia" w:hAnsiTheme="majorEastAsia" w:eastAsiaTheme="majorEastAsia"/>
              <w:sz w:val="44"/>
              <w:szCs w:val="60"/>
              <w:lang w:val="en-US" w:eastAsia="zh-CN"/>
            </w:rPr>
            <w:t>模板</w:t>
          </w:r>
          <w:r>
            <w:rPr>
              <w:rFonts w:hint="eastAsia" w:asciiTheme="majorEastAsia" w:hAnsiTheme="majorEastAsia" w:eastAsiaTheme="majorEastAsia"/>
              <w:sz w:val="44"/>
              <w:szCs w:val="60"/>
              <w:lang w:eastAsia="zh-CN"/>
            </w:rPr>
            <w:t>）</w:t>
          </w:r>
          <w:r>
            <w:rPr>
              <w:sz w:val="44"/>
              <w:szCs w:val="52"/>
            </w:rPr>
            <w:tab/>
          </w:r>
          <w:r>
            <w:rPr>
              <w:sz w:val="44"/>
              <w:szCs w:val="52"/>
            </w:rPr>
            <w:fldChar w:fldCharType="begin"/>
          </w:r>
          <w:r>
            <w:rPr>
              <w:sz w:val="44"/>
              <w:szCs w:val="52"/>
            </w:rPr>
            <w:instrText xml:space="preserve"> PAGEREF _Toc7421 \h </w:instrText>
          </w:r>
          <w:r>
            <w:rPr>
              <w:sz w:val="44"/>
              <w:szCs w:val="52"/>
            </w:rPr>
            <w:fldChar w:fldCharType="separate"/>
          </w:r>
          <w:r>
            <w:rPr>
              <w:sz w:val="44"/>
              <w:szCs w:val="52"/>
            </w:rPr>
            <w:t>25</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D95A8BF">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_Toc5245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eastAsia="zh-TW"/>
            </w:rPr>
            <w:t xml:space="preserve">第六章 </w:t>
          </w:r>
          <w:r>
            <w:rPr>
              <w:rFonts w:asciiTheme="majorEastAsia" w:hAnsiTheme="majorEastAsia" w:eastAsiaTheme="majorEastAsia"/>
              <w:sz w:val="44"/>
              <w:szCs w:val="60"/>
              <w:lang w:eastAsia="zh-TW"/>
            </w:rPr>
            <w:t>说 明</w:t>
          </w:r>
          <w:r>
            <w:rPr>
              <w:sz w:val="44"/>
              <w:szCs w:val="52"/>
            </w:rPr>
            <w:tab/>
          </w:r>
          <w:r>
            <w:rPr>
              <w:sz w:val="44"/>
              <w:szCs w:val="52"/>
            </w:rPr>
            <w:fldChar w:fldCharType="begin"/>
          </w:r>
          <w:r>
            <w:rPr>
              <w:sz w:val="44"/>
              <w:szCs w:val="52"/>
            </w:rPr>
            <w:instrText xml:space="preserve"> PAGEREF _Toc5245 \h </w:instrText>
          </w:r>
          <w:r>
            <w:rPr>
              <w:sz w:val="44"/>
              <w:szCs w:val="52"/>
            </w:rPr>
            <w:fldChar w:fldCharType="separate"/>
          </w:r>
          <w:r>
            <w:rPr>
              <w:sz w:val="44"/>
              <w:szCs w:val="52"/>
            </w:rPr>
            <w:t>66</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6A5C77F7">
          <w:pPr>
            <w:pStyle w:val="13"/>
            <w:tabs>
              <w:tab w:val="right" w:leader="dot" w:pos="9354"/>
            </w:tabs>
          </w:pPr>
        </w:p>
        <w:p w14:paraId="3B657D6A">
          <w:pPr>
            <w:rPr>
              <w:rFonts w:asciiTheme="minorHAnsi" w:hAnsiTheme="minorHAnsi" w:eastAsiaTheme="minorEastAsia" w:cstheme="minorBidi"/>
              <w:kern w:val="2"/>
              <w:sz w:val="21"/>
              <w:szCs w:val="24"/>
              <w:lang w:val="en-US" w:eastAsia="zh-CN" w:bidi="ar-SA"/>
            </w:rPr>
          </w:pPr>
          <w:r>
            <w:rPr>
              <w:rFonts w:asciiTheme="minorHAnsi" w:hAnsiTheme="minorHAnsi" w:eastAsiaTheme="minorEastAsia" w:cstheme="minorBidi"/>
              <w:kern w:val="2"/>
              <w:szCs w:val="24"/>
              <w:lang w:val="en-US" w:eastAsia="zh-CN" w:bidi="ar-SA"/>
            </w:rPr>
            <w:fldChar w:fldCharType="end"/>
          </w:r>
        </w:p>
      </w:sdtContent>
    </w:sdt>
    <w:p w14:paraId="4B020EC8">
      <w:pPr>
        <w:rPr>
          <w:rFonts w:asciiTheme="minorHAnsi" w:hAnsiTheme="minorHAnsi" w:eastAsiaTheme="minorEastAsia" w:cstheme="minorBidi"/>
          <w:kern w:val="2"/>
          <w:sz w:val="21"/>
          <w:szCs w:val="24"/>
          <w:lang w:val="en-US" w:eastAsia="zh-CN" w:bidi="ar-SA"/>
        </w:rPr>
      </w:pPr>
    </w:p>
    <w:p w14:paraId="0CF51C02"/>
    <w:p w14:paraId="2EC45284">
      <w:pPr>
        <w:pStyle w:val="3"/>
        <w:numPr>
          <w:ilvl w:val="0"/>
          <w:numId w:val="0"/>
        </w:numPr>
        <w:spacing w:line="240" w:lineRule="auto"/>
        <w:ind w:left="0" w:leftChars="0" w:firstLine="0" w:firstLineChars="0"/>
        <w:jc w:val="both"/>
        <w:outlineLvl w:val="9"/>
        <w:rPr>
          <w:rFonts w:hint="eastAsia" w:cs="宋体" w:asciiTheme="majorEastAsia" w:hAnsiTheme="majorEastAsia" w:eastAsiaTheme="majorEastAsia"/>
          <w:kern w:val="2"/>
          <w:sz w:val="32"/>
          <w:szCs w:val="32"/>
          <w:highlight w:val="none"/>
          <w:lang w:val="en-US" w:eastAsia="zh-CN" w:bidi="ar-SA"/>
        </w:rPr>
      </w:pPr>
      <w:r>
        <w:rPr>
          <w:highlight w:val="none"/>
        </w:rPr>
        <w:br w:type="page"/>
      </w:r>
      <w:bookmarkStart w:id="2" w:name="_Toc24015566"/>
      <w:bookmarkStart w:id="3" w:name="_Toc28823"/>
    </w:p>
    <w:bookmarkEnd w:id="2"/>
    <w:bookmarkEnd w:id="3"/>
    <w:p w14:paraId="549DA7AA">
      <w:pPr>
        <w:widowControl/>
        <w:numPr>
          <w:ilvl w:val="0"/>
          <w:numId w:val="2"/>
        </w:numPr>
        <w:ind w:firstLine="640" w:firstLineChars="200"/>
        <w:jc w:val="center"/>
        <w:outlineLvl w:val="0"/>
        <w:rPr>
          <w:rFonts w:hint="eastAsia" w:cs="宋体" w:asciiTheme="majorEastAsia" w:hAnsiTheme="majorEastAsia" w:eastAsiaTheme="majorEastAsia"/>
          <w:kern w:val="2"/>
          <w:sz w:val="32"/>
          <w:szCs w:val="32"/>
          <w:highlight w:val="none"/>
          <w:lang w:val="en-US" w:eastAsia="zh-CN" w:bidi="ar-SA"/>
        </w:rPr>
      </w:pPr>
      <w:bookmarkStart w:id="4" w:name="_Toc16484"/>
      <w:r>
        <w:rPr>
          <w:rFonts w:hint="eastAsia" w:cs="宋体" w:asciiTheme="majorEastAsia" w:hAnsiTheme="majorEastAsia" w:eastAsiaTheme="majorEastAsia"/>
          <w:kern w:val="2"/>
          <w:sz w:val="32"/>
          <w:szCs w:val="32"/>
          <w:highlight w:val="none"/>
          <w:lang w:val="en-US" w:eastAsia="zh-CN" w:bidi="ar-SA"/>
        </w:rPr>
        <w:t>评标信息 （综合评分法）</w:t>
      </w:r>
      <w:bookmarkEnd w:id="4"/>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67991690">
      <w:pPr>
        <w:tabs>
          <w:tab w:val="left" w:pos="426"/>
        </w:tabs>
        <w:spacing w:line="300" w:lineRule="auto"/>
        <w:ind w:firstLine="420" w:firstLineChars="200"/>
        <w:rPr>
          <w:rFonts w:hint="eastAsia" w:ascii="Times New Roman" w:hAnsi="Times New Roman" w:cs="Times New Roman"/>
          <w:szCs w:val="21"/>
        </w:rPr>
      </w:pPr>
    </w:p>
    <w:tbl>
      <w:tblPr>
        <w:tblStyle w:val="18"/>
        <w:tblW w:w="98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7"/>
        <w:gridCol w:w="647"/>
        <w:gridCol w:w="7443"/>
        <w:gridCol w:w="702"/>
      </w:tblGrid>
      <w:tr w14:paraId="18A3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29" w:type="dxa"/>
            <w:gridSpan w:val="4"/>
            <w:tcBorders>
              <w:top w:val="nil"/>
              <w:left w:val="nil"/>
              <w:bottom w:val="nil"/>
              <w:right w:val="nil"/>
            </w:tcBorders>
            <w:shd w:val="clear" w:color="auto" w:fill="auto"/>
            <w:noWrap/>
            <w:vAlign w:val="center"/>
          </w:tcPr>
          <w:p w14:paraId="38A70D40">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ascii="宋体" w:hAnsi="宋体"/>
                <w:b/>
                <w:bCs w:val="0"/>
                <w:sz w:val="24"/>
                <w:szCs w:val="24"/>
                <w:highlight w:val="none"/>
              </w:rPr>
            </w:pPr>
            <w:r>
              <w:rPr>
                <w:rFonts w:hint="eastAsia" w:ascii="宋体" w:hAnsi="宋体"/>
                <w:b/>
                <w:bCs w:val="0"/>
                <w:sz w:val="24"/>
                <w:szCs w:val="24"/>
                <w:highlight w:val="none"/>
              </w:rPr>
              <w:t>评分细则表</w:t>
            </w:r>
          </w:p>
          <w:p w14:paraId="67E24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Style w:val="31"/>
                <w:sz w:val="21"/>
                <w:szCs w:val="21"/>
                <w:lang w:val="en-US" w:eastAsia="zh-CN" w:bidi="ar"/>
              </w:rPr>
              <w:t>项目名称：                         征集编号：</w:t>
            </w:r>
          </w:p>
        </w:tc>
      </w:tr>
      <w:tr w14:paraId="0EA4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9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评分项目</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2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7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评分因素</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2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r>
      <w:tr w14:paraId="27E6F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bottom w:val="nil"/>
              <w:right w:val="single" w:color="000000" w:sz="4" w:space="0"/>
            </w:tcBorders>
            <w:shd w:val="clear" w:color="auto" w:fill="auto"/>
            <w:vAlign w:val="center"/>
          </w:tcPr>
          <w:p w14:paraId="06E82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3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77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技术参数响应情况                                                               投标供应商应如实填写《技术规格偏离表》，评审委员会根据技术需求参数响应情况进行打分，每1项负偏离的，扣1分；扣完为止。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9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25</w:t>
            </w:r>
          </w:p>
        </w:tc>
      </w:tr>
      <w:tr w14:paraId="0E3F4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17FCE8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D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86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重要技术参数响应评分                                                                投标供应商应如实填写《技术规格偏离表》，评审委员会根据技术需求参数响应情况进行打分，每1项负偏离的，扣5分；扣完为止。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69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r>
      <w:tr w14:paraId="298D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7"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7BF0D3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8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F0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技术保障措施</w:t>
            </w:r>
          </w:p>
          <w:p w14:paraId="46D8BE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投标人在投标文件中提供技术保障措施，评分标准：</w:t>
            </w:r>
          </w:p>
          <w:p w14:paraId="59F074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1.安装售后服务保障</w:t>
            </w:r>
          </w:p>
          <w:p w14:paraId="73706E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2.紧急情况响应程度</w:t>
            </w:r>
          </w:p>
          <w:p w14:paraId="6870C1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3.人员培训措施综合评价</w:t>
            </w:r>
          </w:p>
          <w:p w14:paraId="46EFB3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每提供一项得2分，最高不超过6分。</w:t>
            </w:r>
          </w:p>
          <w:p w14:paraId="219DFB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在此基础上，专家根据各供应商的具体响应内容进一步评审，评审标准如下：</w:t>
            </w:r>
          </w:p>
          <w:p w14:paraId="0FE438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(1)所投产品的安装售后服务保障、紧急情况响应程度、人员培训措施内容全面，得4分，</w:t>
            </w:r>
          </w:p>
          <w:p w14:paraId="49757A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(2)所投产品的安装售后服务保障、紧急情况响应程度、人员培训措施评价较为内容全面，得2分，</w:t>
            </w:r>
          </w:p>
          <w:p w14:paraId="5FF525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(3)所投产品的安装售后服务保障、紧急情况响应程度、人员培训措施评价一般，得1分，</w:t>
            </w:r>
          </w:p>
          <w:p w14:paraId="2DBF4B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(4)所投产品的安装售后服务保障、紧急情况响应程度、人员培训措施评价差，不得分。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91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r>
      <w:tr w14:paraId="6BAC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right w:val="single" w:color="000000" w:sz="4" w:space="0"/>
            </w:tcBorders>
            <w:shd w:val="clear" w:color="auto" w:fill="auto"/>
            <w:vAlign w:val="center"/>
          </w:tcPr>
          <w:p w14:paraId="79D6F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商务部分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F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B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有效业绩                                                                        提供1项有效业绩的，得1分；以此类推，最高不超过5分。不提供或者不能有效证明的，得0分。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有效业绩定义：（同时满足以下全部要求同类业绩才属于有效业绩）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1.为投标供应商所投产品的同类业绩（所投核心产品同品牌同型号的产品）。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2.合同签订时间为2024年1月1日至投标截止时间前。</w:t>
            </w:r>
          </w:p>
          <w:p w14:paraId="520CBE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3.合同中的乙方（或供货方）必须是该投标供应商。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证明文件：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供应商必须提供项目合同关键页（首页、体现采购内容页、签字盖章页、签订时间页），未提供证明资料或者专家无法凭所提供资料判断是否得分的情况，一律作不得分处理。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F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w:t>
            </w:r>
          </w:p>
        </w:tc>
      </w:tr>
      <w:tr w14:paraId="4B29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right w:val="single" w:color="000000" w:sz="4" w:space="0"/>
            </w:tcBorders>
            <w:shd w:val="clear" w:color="auto" w:fill="auto"/>
            <w:vAlign w:val="center"/>
          </w:tcPr>
          <w:p w14:paraId="194ACA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FC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26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履约评价</w:t>
            </w:r>
          </w:p>
          <w:p w14:paraId="6DCCC97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投标人提供上述同类项目业绩中，能够提供用户出具的履约评价书，且评价为优或满意以上的，每提供1份得1分，本项最高得5分。</w:t>
            </w:r>
          </w:p>
          <w:p w14:paraId="663F275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603CC2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须提供用户出具的履约评价书扫描件或复印件，并加盖用户公章，原件备查。</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EC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368D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bottom w:val="nil"/>
              <w:right w:val="single" w:color="000000" w:sz="4" w:space="0"/>
            </w:tcBorders>
            <w:shd w:val="clear" w:color="auto" w:fill="auto"/>
            <w:vAlign w:val="center"/>
          </w:tcPr>
          <w:p w14:paraId="3F305F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EF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BA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诚信</w:t>
            </w:r>
          </w:p>
          <w:p w14:paraId="52E5F7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664356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01CE7CB9">
            <w:pPr>
              <w:keepNext w:val="0"/>
              <w:keepLines w:val="0"/>
              <w:widowControl/>
              <w:suppressLineNumbers w:val="0"/>
              <w:spacing w:before="0" w:beforeAutospacing="0" w:after="0" w:afterAutospacing="0"/>
              <w:ind w:left="0" w:right="0"/>
              <w:jc w:val="left"/>
              <w:textAlignment w:val="center"/>
              <w:rPr>
                <w:rFonts w:hint="eastAsia" w:ascii="宋体" w:hAnsi="宋体" w:cs="宋体" w:eastAsiaTheme="minorEastAsia"/>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投标人无需提供任何证明材料，由工作人员向评审委员会提供相关信息。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F6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0AEF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5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价格部分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A5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采用低价优先法计算，即满足征集文件要求且投标价格最低的投标报价为评标基准价，其价格分为满分。其他投标人的价格分统一按照下列公式计算： </w:t>
            </w:r>
          </w:p>
          <w:p w14:paraId="4FE03F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投标报价得分=(基准价／扣除后的报价)×30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6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1920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E73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2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bl>
    <w:p w14:paraId="3E733A93">
      <w:pPr>
        <w:widowControl/>
        <w:jc w:val="left"/>
        <w:rPr>
          <w:rFonts w:hint="eastAsia" w:ascii="宋体" w:cs="宋体"/>
          <w:snapToGrid w:val="0"/>
          <w:kern w:val="0"/>
        </w:rPr>
      </w:pPr>
      <w:r>
        <w:rPr>
          <w:rFonts w:hint="eastAsia" w:ascii="宋体" w:cs="宋体"/>
          <w:snapToGrid w:val="0"/>
          <w:kern w:val="0"/>
        </w:rPr>
        <w:t>备注：</w:t>
      </w:r>
    </w:p>
    <w:p w14:paraId="473E4B7C">
      <w:pPr>
        <w:spacing w:line="240" w:lineRule="auto"/>
      </w:pPr>
      <w:r>
        <w:rPr>
          <w:rFonts w:hint="eastAsia"/>
        </w:rPr>
        <w:t>1.每一项的得分均不能超过该项最高分值。</w:t>
      </w:r>
    </w:p>
    <w:p w14:paraId="760A847C">
      <w:pPr>
        <w:spacing w:line="240" w:lineRule="auto"/>
      </w:pPr>
      <w:r>
        <w:rPr>
          <w:rFonts w:hint="eastAsia"/>
        </w:rPr>
        <w:t>2.缺项则该项为0分或不合格为0分。</w:t>
      </w:r>
    </w:p>
    <w:p w14:paraId="2C1A9024">
      <w:pPr>
        <w:spacing w:line="240" w:lineRule="auto"/>
      </w:pPr>
      <w:r>
        <w:rPr>
          <w:rFonts w:hint="eastAsia"/>
        </w:rPr>
        <w:t>3.价格、技术、商务部分为针对项目具体情况设置项目，累加满分为100分。</w:t>
      </w:r>
    </w:p>
    <w:p w14:paraId="6BA35CC1">
      <w:pPr>
        <w:spacing w:line="240" w:lineRule="auto"/>
        <w:rPr>
          <w:rFonts w:ascii="Arial" w:hAnsi="Arial" w:cs="Arial"/>
          <w:snapToGrid w:val="0"/>
          <w:szCs w:val="18"/>
        </w:rPr>
      </w:pPr>
      <w:r>
        <w:rPr>
          <w:rFonts w:hint="eastAsia"/>
        </w:rPr>
        <w:t>4.综合以上</w:t>
      </w:r>
      <w:r>
        <w:rPr>
          <w:rFonts w:hint="eastAsia"/>
          <w:snapToGrid w:val="0"/>
        </w:rPr>
        <w:t>分析比较，</w:t>
      </w:r>
      <w:r>
        <w:rPr>
          <w:rFonts w:hint="eastAsia" w:ascii="宋体" w:hAnsi="宋体" w:cstheme="minorBidi"/>
          <w:color w:val="auto"/>
          <w:kern w:val="2"/>
          <w:sz w:val="21"/>
          <w:szCs w:val="21"/>
          <w:lang w:val="en-US" w:eastAsia="zh-CN" w:bidi="ar-SA"/>
        </w:rPr>
        <w:t>评标委员会</w:t>
      </w:r>
      <w:r>
        <w:rPr>
          <w:rFonts w:hint="eastAsia"/>
          <w:snapToGrid w:val="0"/>
        </w:rPr>
        <w:t>将对各投标文件进行书面的量化评定</w:t>
      </w:r>
      <w:r>
        <w:rPr>
          <w:rFonts w:hint="eastAsia" w:ascii="Arial" w:hAnsi="Arial" w:cs="Arial"/>
          <w:snapToGrid w:val="0"/>
          <w:szCs w:val="18"/>
        </w:rPr>
        <w:t>。</w:t>
      </w:r>
    </w:p>
    <w:p w14:paraId="6A1A1A41">
      <w:pPr>
        <w:spacing w:line="240" w:lineRule="auto"/>
        <w:rPr>
          <w:rFonts w:hint="eastAsia" w:eastAsiaTheme="minorEastAsia"/>
          <w:lang w:eastAsia="zh-CN"/>
        </w:rPr>
        <w:sectPr>
          <w:pgSz w:w="11906" w:h="16838"/>
          <w:pgMar w:top="1134" w:right="1134" w:bottom="1134" w:left="1418" w:header="851" w:footer="992" w:gutter="0"/>
          <w:cols w:space="720" w:num="1"/>
          <w:docGrid w:linePitch="462" w:charSpace="0"/>
        </w:sectPr>
      </w:pPr>
      <w:r>
        <w:rPr>
          <w:rFonts w:hint="eastAsia"/>
        </w:rPr>
        <w:t>5.客观评分项，所有评审专家应当统一打分分值；主观评分项，评审专家应当按照打分标准独立打分</w:t>
      </w:r>
      <w:r>
        <w:rPr>
          <w:rFonts w:hint="eastAsia"/>
          <w:lang w:eastAsia="zh-CN"/>
        </w:rPr>
        <w:t>。</w:t>
      </w:r>
    </w:p>
    <w:p w14:paraId="7C88F462">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5" w:name="_Toc12920"/>
      <w:r>
        <w:rPr>
          <w:rFonts w:hint="eastAsia" w:asciiTheme="majorEastAsia" w:hAnsiTheme="majorEastAsia" w:eastAsiaTheme="majorEastAsia"/>
          <w:sz w:val="32"/>
          <w:szCs w:val="32"/>
          <w:lang w:val="en-US" w:eastAsia="zh-CN"/>
        </w:rPr>
        <w:t>征集公告</w:t>
      </w:r>
      <w:bookmarkEnd w:id="5"/>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6" w:name="OLE_LINK3"/>
      <w:bookmarkStart w:id="7" w:name="OLE_LINK1"/>
      <w:r>
        <w:rPr>
          <w:rFonts w:hint="eastAsia" w:ascii="宋体" w:hAnsi="宋体"/>
          <w:szCs w:val="28"/>
        </w:rPr>
        <w:t>项目概况</w:t>
      </w:r>
    </w:p>
    <w:p w14:paraId="6AAB300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r>
        <w:rPr>
          <w:rFonts w:hint="eastAsia" w:ascii="宋体" w:hAnsi="宋体"/>
          <w:szCs w:val="28"/>
          <w:u w:val="single"/>
          <w:lang w:val="en-US" w:eastAsia="zh-CN"/>
        </w:rPr>
        <w:t>治疗型电子鼻咽喉软镜系统</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bCs/>
          <w:szCs w:val="28"/>
          <w:highlight w:val="none"/>
          <w:u w:val="single"/>
        </w:rPr>
        <w:t>年</w:t>
      </w:r>
      <w:r>
        <w:rPr>
          <w:rFonts w:hint="eastAsia" w:ascii="宋体" w:hAnsi="宋体"/>
          <w:bCs/>
          <w:szCs w:val="28"/>
          <w:highlight w:val="none"/>
          <w:u w:val="single"/>
          <w:lang w:val="en-US" w:eastAsia="zh-CN"/>
        </w:rPr>
        <w:t>9</w:t>
      </w:r>
      <w:r>
        <w:rPr>
          <w:rFonts w:hint="eastAsia" w:ascii="宋体" w:hAnsi="宋体"/>
          <w:bCs/>
          <w:szCs w:val="28"/>
          <w:highlight w:val="none"/>
          <w:u w:val="single"/>
        </w:rPr>
        <w:t>月</w:t>
      </w:r>
      <w:r>
        <w:rPr>
          <w:rFonts w:hint="eastAsia" w:ascii="宋体" w:hAnsi="宋体"/>
          <w:bCs/>
          <w:szCs w:val="28"/>
          <w:highlight w:val="none"/>
          <w:u w:val="single"/>
          <w:lang w:val="en-US" w:eastAsia="zh-CN"/>
        </w:rPr>
        <w:t>8</w:t>
      </w:r>
      <w:r>
        <w:rPr>
          <w:rFonts w:hint="eastAsia" w:ascii="宋体" w:hAnsi="宋体"/>
          <w:bCs/>
          <w:szCs w:val="28"/>
          <w:highlight w:val="none"/>
          <w:u w:val="single"/>
        </w:rPr>
        <w:t>日</w:t>
      </w:r>
      <w:r>
        <w:rPr>
          <w:rFonts w:hint="eastAsia" w:ascii="宋体" w:hAnsi="宋体"/>
          <w:bCs/>
          <w:szCs w:val="28"/>
          <w:highlight w:val="none"/>
          <w:u w:val="single"/>
          <w:lang w:val="en-US" w:eastAsia="zh-CN"/>
        </w:rPr>
        <w:t>9</w:t>
      </w:r>
      <w:r>
        <w:rPr>
          <w:rFonts w:hint="eastAsia" w:ascii="宋体" w:hAnsi="宋体"/>
          <w:bCs/>
          <w:szCs w:val="28"/>
          <w:highlight w:val="none"/>
          <w:u w:val="single"/>
        </w:rPr>
        <w:t>点</w:t>
      </w:r>
      <w:r>
        <w:rPr>
          <w:rFonts w:hint="eastAsia" w:ascii="宋体" w:hAnsi="宋体"/>
          <w:bCs/>
          <w:szCs w:val="28"/>
          <w:highlight w:val="none"/>
          <w:u w:val="single"/>
          <w:lang w:val="en-US" w:eastAsia="zh-CN"/>
        </w:rPr>
        <w:t>0</w:t>
      </w:r>
      <w:r>
        <w:rPr>
          <w:rFonts w:hint="eastAsia" w:ascii="宋体" w:hAnsi="宋体"/>
          <w:bCs/>
          <w:szCs w:val="28"/>
          <w:highlight w:val="none"/>
          <w:u w:val="single"/>
        </w:rPr>
        <w:t>0分</w:t>
      </w:r>
      <w:r>
        <w:rPr>
          <w:rFonts w:hint="eastAsia" w:ascii="宋体" w:hAnsi="宋体"/>
          <w:bCs/>
          <w:szCs w:val="28"/>
          <w:highlight w:val="none"/>
          <w:u w:val="none"/>
        </w:rPr>
        <w:t>（</w:t>
      </w:r>
      <w:r>
        <w:rPr>
          <w:rFonts w:hint="eastAsia" w:ascii="宋体" w:hAnsi="宋体"/>
          <w:bCs/>
          <w:szCs w:val="28"/>
          <w:highlight w:val="none"/>
        </w:rPr>
        <w:t>北京时间）前递交投标</w:t>
      </w:r>
      <w:r>
        <w:rPr>
          <w:rFonts w:ascii="宋体" w:hAnsi="宋体"/>
          <w:bCs/>
          <w:szCs w:val="28"/>
          <w:highlight w:val="none"/>
        </w:rPr>
        <w:t>文件</w:t>
      </w:r>
      <w:r>
        <w:rPr>
          <w:rFonts w:hint="eastAsia" w:ascii="宋体" w:hAnsi="宋体"/>
          <w:szCs w:val="28"/>
          <w:highlight w:val="none"/>
        </w:rPr>
        <w:t>。</w:t>
      </w:r>
    </w:p>
    <w:p w14:paraId="75F49FC0">
      <w:pPr>
        <w:spacing w:line="360" w:lineRule="auto"/>
        <w:ind w:firstLine="420" w:firstLineChars="200"/>
        <w:rPr>
          <w:rFonts w:hint="eastAsia" w:ascii="宋体" w:hAnsi="宋体"/>
        </w:rPr>
      </w:pPr>
      <w:bookmarkStart w:id="8" w:name="OLE_LINK2"/>
    </w:p>
    <w:p w14:paraId="445E017D">
      <w:pPr>
        <w:spacing w:line="360" w:lineRule="auto"/>
        <w:ind w:firstLine="420" w:firstLineChars="200"/>
        <w:outlineLvl w:val="9"/>
        <w:rPr>
          <w:rFonts w:ascii="宋体" w:hAnsi="宋体"/>
          <w:b/>
        </w:rPr>
      </w:pPr>
      <w:r>
        <w:rPr>
          <w:rFonts w:hint="eastAsia" w:ascii="宋体" w:hAnsi="宋体"/>
        </w:rPr>
        <w:t>一、项目基本情况</w:t>
      </w:r>
    </w:p>
    <w:p w14:paraId="656BF1CC">
      <w:pPr>
        <w:spacing w:line="360" w:lineRule="auto"/>
        <w:ind w:firstLine="420" w:firstLineChars="200"/>
        <w:rPr>
          <w:rFonts w:hint="default" w:ascii="宋体" w:hAnsi="宋体" w:eastAsiaTheme="minorEastAsia"/>
          <w:lang w:val="en-US" w:eastAsia="zh-CN"/>
        </w:rPr>
      </w:pPr>
      <w:r>
        <w:rPr>
          <w:rFonts w:hint="eastAsia" w:ascii="宋体" w:hAnsi="宋体"/>
        </w:rPr>
        <w:t>项目编号：</w:t>
      </w:r>
      <w:r>
        <w:rPr>
          <w:rFonts w:hint="eastAsia" w:ascii="宋体" w:hAnsi="宋体"/>
          <w:lang w:val="en-US" w:eastAsia="zh-CN"/>
        </w:rPr>
        <w:t>FTEY-202506-QX014</w:t>
      </w:r>
    </w:p>
    <w:p w14:paraId="792813B2">
      <w:pPr>
        <w:spacing w:line="360" w:lineRule="auto"/>
        <w:ind w:firstLine="420" w:firstLineChars="200"/>
        <w:rPr>
          <w:rFonts w:hint="default" w:ascii="宋体" w:hAnsi="宋体"/>
          <w:lang w:val="en-US" w:eastAsia="zh-CN"/>
        </w:rPr>
      </w:pPr>
      <w:r>
        <w:rPr>
          <w:rFonts w:hint="eastAsia" w:ascii="宋体" w:hAnsi="宋体"/>
        </w:rPr>
        <w:t>项</w:t>
      </w:r>
      <w:r>
        <w:rPr>
          <w:rFonts w:hint="eastAsia" w:ascii="宋体" w:hAnsi="宋体"/>
          <w:lang w:val="en-US" w:eastAsia="zh-CN"/>
        </w:rPr>
        <w:t>目名称：治疗型电子鼻咽喉软镜系统</w:t>
      </w:r>
    </w:p>
    <w:p w14:paraId="118885C8">
      <w:pPr>
        <w:spacing w:line="360" w:lineRule="auto"/>
        <w:ind w:firstLine="420" w:firstLineChars="200"/>
        <w:rPr>
          <w:rFonts w:hint="eastAsia" w:ascii="宋体" w:hAnsi="宋体"/>
        </w:rPr>
      </w:pPr>
      <w:r>
        <w:rPr>
          <w:rFonts w:hint="eastAsia" w:ascii="宋体" w:hAnsi="宋体"/>
        </w:rPr>
        <w:t>预算金额：人民币壹拾玖万伍仟元整（¥</w:t>
      </w:r>
      <w:r>
        <w:rPr>
          <w:rFonts w:hint="eastAsia" w:ascii="宋体" w:hAnsi="宋体"/>
          <w:lang w:val="en-US" w:eastAsia="zh-CN"/>
        </w:rPr>
        <w:t>195000</w:t>
      </w:r>
      <w:r>
        <w:rPr>
          <w:rFonts w:hint="eastAsia" w:ascii="宋体" w:hAnsi="宋体"/>
        </w:rPr>
        <w:t>.00元）</w:t>
      </w:r>
    </w:p>
    <w:p w14:paraId="11B5D75C">
      <w:pPr>
        <w:spacing w:line="360" w:lineRule="auto"/>
        <w:ind w:firstLine="420" w:firstLineChars="200"/>
        <w:rPr>
          <w:rFonts w:hint="default" w:ascii="宋体" w:hAnsi="宋体"/>
          <w:lang w:val="en-US" w:eastAsia="zh-CN"/>
        </w:rPr>
      </w:pPr>
      <w:r>
        <w:rPr>
          <w:rFonts w:hint="eastAsia" w:ascii="宋体" w:hAnsi="宋体"/>
          <w:lang w:val="en-US" w:eastAsia="zh-CN"/>
        </w:rPr>
        <w:t>采购方式：公开征集</w:t>
      </w:r>
    </w:p>
    <w:p w14:paraId="3D8115B5">
      <w:pPr>
        <w:spacing w:line="360" w:lineRule="auto"/>
        <w:ind w:firstLine="420" w:firstLineChars="200"/>
        <w:rPr>
          <w:rFonts w:hint="eastAsia" w:ascii="宋体" w:hAnsi="宋体"/>
        </w:rPr>
      </w:pPr>
      <w:r>
        <w:rPr>
          <w:rFonts w:hint="eastAsia" w:ascii="宋体" w:hAnsi="宋体"/>
        </w:rPr>
        <w:t>采购需求：详见</w:t>
      </w:r>
      <w:r>
        <w:rPr>
          <w:rFonts w:hint="eastAsia" w:ascii="宋体" w:hAnsi="宋体"/>
          <w:lang w:eastAsia="zh-CN"/>
        </w:rPr>
        <w:t>征集</w:t>
      </w:r>
      <w:r>
        <w:rPr>
          <w:rFonts w:hint="eastAsia" w:ascii="宋体" w:hAnsi="宋体"/>
        </w:rPr>
        <w:t>文件</w:t>
      </w:r>
    </w:p>
    <w:p w14:paraId="1C2AA89B">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22B32CBD">
      <w:pPr>
        <w:spacing w:line="360" w:lineRule="auto"/>
        <w:ind w:firstLine="420" w:firstLineChars="200"/>
        <w:rPr>
          <w:rFonts w:hint="eastAsia" w:ascii="宋体" w:hAnsi="宋体"/>
        </w:rPr>
      </w:pPr>
      <w:r>
        <w:rPr>
          <w:rFonts w:hint="eastAsia" w:ascii="宋体" w:hAnsi="宋体"/>
        </w:rPr>
        <w:t>本项目不接受联合体投标。</w:t>
      </w:r>
    </w:p>
    <w:p w14:paraId="25206CE6">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9"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9"/>
    </w:p>
    <w:p w14:paraId="4857933A">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72C9B98">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b/>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10"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10"/>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2E0B1E6D">
      <w:pPr>
        <w:spacing w:line="360" w:lineRule="auto"/>
        <w:ind w:firstLine="420" w:firstLineChars="200"/>
        <w:outlineLvl w:val="9"/>
        <w:rPr>
          <w:rFonts w:hint="default" w:ascii="宋体" w:hAnsi="宋体" w:eastAsiaTheme="minorEastAsia"/>
          <w:b/>
          <w:highlight w:val="none"/>
          <w:lang w:val="en-US" w:eastAsia="zh-CN"/>
        </w:rPr>
      </w:pPr>
      <w:r>
        <w:rPr>
          <w:rFonts w:hint="eastAsia" w:ascii="宋体" w:hAnsi="宋体"/>
          <w:highlight w:val="none"/>
          <w:lang w:val="en-US" w:eastAsia="zh-CN"/>
        </w:rPr>
        <w:t>三</w:t>
      </w:r>
      <w:r>
        <w:rPr>
          <w:rFonts w:hint="eastAsia" w:ascii="宋体" w:hAnsi="宋体"/>
          <w:highlight w:val="none"/>
        </w:rPr>
        <w:t>、</w:t>
      </w:r>
      <w:r>
        <w:rPr>
          <w:rFonts w:hint="eastAsia" w:ascii="宋体" w:hAnsi="宋体"/>
          <w:highlight w:val="none"/>
          <w:lang w:val="en-US" w:eastAsia="zh-CN"/>
        </w:rPr>
        <w:t>相关招投标时间及地点信息</w:t>
      </w:r>
    </w:p>
    <w:p w14:paraId="23728CC8">
      <w:pPr>
        <w:numPr>
          <w:ilvl w:val="0"/>
          <w:numId w:val="0"/>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eastAsiaTheme="minorEastAsia" w:cstheme="minorBidi"/>
          <w:bCs/>
          <w:kern w:val="2"/>
          <w:sz w:val="21"/>
          <w:szCs w:val="24"/>
          <w:highlight w:val="none"/>
          <w:lang w:val="en-US" w:eastAsia="zh-CN" w:bidi="ar-SA"/>
        </w:rPr>
        <w:t>1、</w:t>
      </w:r>
      <w:r>
        <w:rPr>
          <w:rFonts w:hint="eastAsia" w:ascii="宋体" w:hAnsi="宋体" w:eastAsia="宋体" w:cs="宋体"/>
          <w:i w:val="0"/>
          <w:iCs w:val="0"/>
          <w:caps w:val="0"/>
          <w:strike w:val="0"/>
          <w:dstrike w:val="0"/>
          <w:color w:val="000000" w:themeColor="text1"/>
          <w:spacing w:val="0"/>
          <w:kern w:val="0"/>
          <w:sz w:val="21"/>
          <w:szCs w:val="21"/>
          <w:highlight w:val="none"/>
          <w:shd w:val="clear" w:fill="FFFFFF"/>
          <w:lang w:val="en-US" w:eastAsia="zh-CN" w:bidi="ar"/>
          <w14:textFill>
            <w14:solidFill>
              <w14:schemeClr w14:val="tx1"/>
            </w14:solidFill>
          </w14:textFill>
        </w:rPr>
        <w:t>报名时间：2026年8月28日8时00分至2026年9月3日17时00分止</w:t>
      </w:r>
    </w:p>
    <w:p w14:paraId="493B828A">
      <w:pPr>
        <w:spacing w:line="360" w:lineRule="auto"/>
        <w:ind w:firstLine="420" w:firstLineChars="200"/>
        <w:rPr>
          <w:rFonts w:ascii="宋体" w:hAnsi="宋体"/>
          <w:bCs/>
          <w:highlight w:val="none"/>
        </w:rPr>
      </w:pPr>
      <w:r>
        <w:rPr>
          <w:rFonts w:hint="eastAsia" w:ascii="宋体" w:hAnsi="宋体"/>
          <w:bCs/>
          <w:highlight w:val="none"/>
          <w:lang w:val="en-US" w:eastAsia="zh-CN"/>
        </w:rPr>
        <w:t>2</w:t>
      </w:r>
      <w:r>
        <w:rPr>
          <w:rFonts w:hint="eastAsia" w:ascii="宋体" w:hAnsi="宋体"/>
          <w:bCs/>
          <w:highlight w:val="none"/>
        </w:rPr>
        <w:t>、投标文件递交时间：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8</w:t>
      </w:r>
      <w:r>
        <w:rPr>
          <w:rFonts w:hint="eastAsia" w:ascii="宋体" w:hAnsi="宋体"/>
          <w:highlight w:val="none"/>
        </w:rPr>
        <w:t>日</w:t>
      </w:r>
      <w:r>
        <w:rPr>
          <w:rFonts w:hint="eastAsia" w:ascii="宋体" w:hAnsi="宋体"/>
          <w:highlight w:val="none"/>
          <w:lang w:val="en-US" w:eastAsia="zh-CN"/>
        </w:rPr>
        <w:t>8</w:t>
      </w:r>
      <w:r>
        <w:rPr>
          <w:rFonts w:hint="eastAsia" w:ascii="宋体" w:hAnsi="宋体"/>
          <w:bCs/>
          <w:highlight w:val="none"/>
        </w:rPr>
        <w:t>:</w:t>
      </w:r>
      <w:r>
        <w:rPr>
          <w:rFonts w:hint="eastAsia" w:ascii="宋体" w:hAnsi="宋体"/>
          <w:bCs/>
          <w:highlight w:val="none"/>
          <w:lang w:val="en-US" w:eastAsia="zh-CN"/>
        </w:rPr>
        <w:t>3</w:t>
      </w:r>
      <w:r>
        <w:rPr>
          <w:rFonts w:hint="eastAsia" w:ascii="宋体" w:hAnsi="宋体"/>
          <w:bCs/>
          <w:highlight w:val="none"/>
        </w:rPr>
        <w:t>0至</w:t>
      </w:r>
      <w:r>
        <w:rPr>
          <w:rFonts w:hint="eastAsia" w:ascii="宋体" w:hAnsi="宋体"/>
          <w:bCs/>
          <w:highlight w:val="none"/>
          <w:lang w:val="en-US" w:eastAsia="zh-CN"/>
        </w:rPr>
        <w:t>9</w:t>
      </w:r>
      <w:r>
        <w:rPr>
          <w:rFonts w:hint="eastAsia" w:ascii="宋体" w:hAnsi="宋体"/>
          <w:bCs/>
          <w:highlight w:val="none"/>
        </w:rPr>
        <w:t>:</w:t>
      </w:r>
      <w:r>
        <w:rPr>
          <w:rFonts w:hint="eastAsia" w:ascii="宋体" w:hAnsi="宋体"/>
          <w:bCs/>
          <w:highlight w:val="none"/>
          <w:lang w:val="en-US" w:eastAsia="zh-CN"/>
        </w:rPr>
        <w:t>0</w:t>
      </w:r>
      <w:r>
        <w:rPr>
          <w:rFonts w:hint="eastAsia" w:ascii="宋体" w:hAnsi="宋体"/>
          <w:bCs/>
          <w:highlight w:val="none"/>
        </w:rPr>
        <w:t>0（北京时间）</w:t>
      </w:r>
    </w:p>
    <w:p w14:paraId="4372C886">
      <w:pPr>
        <w:spacing w:line="360" w:lineRule="auto"/>
        <w:ind w:firstLine="420" w:firstLineChars="200"/>
        <w:rPr>
          <w:rFonts w:hint="default" w:ascii="宋体" w:hAnsi="宋体"/>
          <w:bCs/>
          <w:highlight w:val="none"/>
          <w:lang w:val="en-US"/>
        </w:rPr>
      </w:pPr>
      <w:r>
        <w:rPr>
          <w:rFonts w:hint="eastAsia" w:ascii="宋体" w:hAnsi="宋体"/>
          <w:bCs/>
          <w:highlight w:val="none"/>
          <w:lang w:val="en-US" w:eastAsia="zh-CN"/>
        </w:rPr>
        <w:t>3</w:t>
      </w:r>
      <w:r>
        <w:rPr>
          <w:rFonts w:hint="eastAsia" w:ascii="宋体" w:hAnsi="宋体"/>
          <w:bCs/>
          <w:highlight w:val="none"/>
        </w:rPr>
        <w:t>、投标文件递交地点：</w:t>
      </w:r>
      <w:r>
        <w:rPr>
          <w:rFonts w:hint="eastAsia" w:ascii="宋体"/>
          <w:bCs/>
          <w:color w:val="auto"/>
          <w:szCs w:val="20"/>
          <w:highlight w:val="none"/>
          <w:lang w:val="en-US" w:eastAsia="zh-CN"/>
        </w:rPr>
        <w:t>深圳市福田区梅林路上梅林社区健康服务中心116室（9号线梅村地铁站C2口）</w:t>
      </w:r>
    </w:p>
    <w:p w14:paraId="0D5AB0C5">
      <w:pPr>
        <w:spacing w:line="360" w:lineRule="auto"/>
        <w:ind w:firstLine="420" w:firstLineChars="200"/>
        <w:rPr>
          <w:rFonts w:ascii="宋体" w:hAnsi="宋体"/>
          <w:bCs/>
          <w:highlight w:val="none"/>
        </w:rPr>
      </w:pPr>
      <w:r>
        <w:rPr>
          <w:rFonts w:hint="eastAsia" w:ascii="宋体" w:hAnsi="宋体"/>
          <w:bCs/>
          <w:highlight w:val="none"/>
          <w:lang w:val="en-US" w:eastAsia="zh-CN"/>
        </w:rPr>
        <w:t>4</w:t>
      </w:r>
      <w:r>
        <w:rPr>
          <w:rFonts w:hint="eastAsia" w:ascii="宋体" w:hAnsi="宋体"/>
          <w:bCs/>
          <w:highlight w:val="none"/>
        </w:rPr>
        <w:t>、递交投标文件截止时间：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8</w:t>
      </w:r>
      <w:r>
        <w:rPr>
          <w:rFonts w:hint="eastAsia" w:ascii="宋体" w:hAnsi="宋体"/>
          <w:highlight w:val="none"/>
        </w:rPr>
        <w:t>日</w:t>
      </w:r>
      <w:r>
        <w:rPr>
          <w:rFonts w:hint="eastAsia" w:ascii="宋体" w:hAnsi="宋体"/>
          <w:highlight w:val="none"/>
          <w:lang w:val="en-US" w:eastAsia="zh-CN"/>
        </w:rPr>
        <w:t>9</w:t>
      </w:r>
      <w:r>
        <w:rPr>
          <w:rFonts w:hint="eastAsia" w:ascii="宋体" w:hAnsi="宋体"/>
          <w:bCs/>
          <w:highlight w:val="none"/>
        </w:rPr>
        <w:t>:</w:t>
      </w:r>
      <w:r>
        <w:rPr>
          <w:rFonts w:hint="eastAsia" w:ascii="宋体" w:hAnsi="宋体"/>
          <w:bCs/>
          <w:highlight w:val="none"/>
          <w:lang w:val="en-US" w:eastAsia="zh-CN"/>
        </w:rPr>
        <w:t>0</w:t>
      </w:r>
      <w:r>
        <w:rPr>
          <w:rFonts w:hint="eastAsia" w:ascii="宋体" w:hAnsi="宋体"/>
          <w:bCs/>
          <w:highlight w:val="none"/>
        </w:rPr>
        <w:t>0（北京时间）</w:t>
      </w:r>
      <w:r>
        <w:rPr>
          <w:rFonts w:hint="eastAsia" w:ascii="宋体" w:hAnsi="宋体"/>
          <w:bCs/>
          <w:highlight w:val="none"/>
          <w:lang w:eastAsia="zh-CN"/>
        </w:rPr>
        <w:t>，</w:t>
      </w:r>
      <w:r>
        <w:rPr>
          <w:rFonts w:hint="eastAsia" w:ascii="宋体" w:hAnsi="宋体"/>
          <w:bCs/>
          <w:highlight w:val="none"/>
        </w:rPr>
        <w:t>所有投标文件应于投标截止时间之前递交，迟交的投标文件将拒绝接收</w:t>
      </w:r>
    </w:p>
    <w:p w14:paraId="2408B001">
      <w:pPr>
        <w:spacing w:line="360" w:lineRule="auto"/>
        <w:ind w:firstLine="420" w:firstLineChars="200"/>
        <w:rPr>
          <w:rFonts w:ascii="宋体" w:hAnsi="宋体"/>
          <w:bCs/>
          <w:highlight w:val="none"/>
        </w:rPr>
      </w:pPr>
      <w:r>
        <w:rPr>
          <w:rFonts w:hint="eastAsia" w:ascii="宋体" w:hAnsi="宋体"/>
          <w:bCs/>
          <w:highlight w:val="none"/>
          <w:lang w:val="en-US" w:eastAsia="zh-CN"/>
        </w:rPr>
        <w:t>5</w:t>
      </w:r>
      <w:r>
        <w:rPr>
          <w:rFonts w:hint="eastAsia" w:ascii="宋体" w:hAnsi="宋体"/>
          <w:bCs/>
          <w:highlight w:val="none"/>
        </w:rPr>
        <w:t>、开标时间：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8</w:t>
      </w:r>
      <w:r>
        <w:rPr>
          <w:rFonts w:hint="eastAsia" w:ascii="宋体" w:hAnsi="宋体"/>
          <w:highlight w:val="none"/>
        </w:rPr>
        <w:t>日</w:t>
      </w:r>
      <w:r>
        <w:rPr>
          <w:rFonts w:hint="eastAsia" w:ascii="宋体" w:hAnsi="宋体"/>
          <w:highlight w:val="none"/>
          <w:lang w:val="en-US" w:eastAsia="zh-CN"/>
        </w:rPr>
        <w:t>9</w:t>
      </w:r>
      <w:r>
        <w:rPr>
          <w:rFonts w:hint="eastAsia" w:ascii="宋体" w:hAnsi="宋体"/>
          <w:bCs/>
          <w:highlight w:val="none"/>
        </w:rPr>
        <w:t>:</w:t>
      </w:r>
      <w:r>
        <w:rPr>
          <w:rFonts w:hint="eastAsia" w:ascii="宋体" w:hAnsi="宋体"/>
          <w:bCs/>
          <w:highlight w:val="none"/>
          <w:lang w:val="en-US" w:eastAsia="zh-CN"/>
        </w:rPr>
        <w:t>0</w:t>
      </w:r>
      <w:r>
        <w:rPr>
          <w:rFonts w:hint="eastAsia" w:ascii="宋体" w:hAnsi="宋体"/>
          <w:bCs/>
          <w:highlight w:val="none"/>
        </w:rPr>
        <w:t>0（北京时间）</w:t>
      </w:r>
    </w:p>
    <w:p w14:paraId="5D3E32EE">
      <w:pPr>
        <w:spacing w:line="360" w:lineRule="auto"/>
        <w:ind w:firstLine="420" w:firstLineChars="200"/>
        <w:rPr>
          <w:rFonts w:hint="eastAsia" w:ascii="宋体"/>
          <w:bCs/>
          <w:color w:val="auto"/>
          <w:szCs w:val="20"/>
          <w:highlight w:val="none"/>
          <w:lang w:val="en-US" w:eastAsia="zh-CN"/>
        </w:rPr>
      </w:pPr>
      <w:r>
        <w:rPr>
          <w:rFonts w:hint="eastAsia" w:ascii="宋体" w:hAnsi="宋体"/>
          <w:bCs/>
          <w:highlight w:val="none"/>
          <w:lang w:val="en-US" w:eastAsia="zh-CN"/>
        </w:rPr>
        <w:t>6</w:t>
      </w:r>
      <w:r>
        <w:rPr>
          <w:rFonts w:hint="eastAsia" w:ascii="宋体" w:hAnsi="宋体"/>
          <w:bCs/>
          <w:highlight w:val="none"/>
        </w:rPr>
        <w:t>、开标地点：</w:t>
      </w:r>
      <w:r>
        <w:rPr>
          <w:rFonts w:hint="eastAsia" w:ascii="宋体"/>
          <w:bCs/>
          <w:color w:val="auto"/>
          <w:szCs w:val="20"/>
          <w:highlight w:val="none"/>
          <w:lang w:val="en-US" w:eastAsia="zh-CN"/>
        </w:rPr>
        <w:t>深圳市福田区梅林路上梅林社区健康服务中心116室（9号线梅村地铁站C2口）</w:t>
      </w:r>
    </w:p>
    <w:p w14:paraId="679DB4EF">
      <w:pPr>
        <w:spacing w:line="360" w:lineRule="auto"/>
        <w:ind w:firstLine="420" w:firstLineChars="200"/>
        <w:rPr>
          <w:rFonts w:hint="default" w:ascii="宋体"/>
          <w:bCs/>
          <w:color w:val="auto"/>
          <w:szCs w:val="20"/>
          <w:highlight w:val="none"/>
          <w:lang w:val="en-US" w:eastAsia="zh-CN"/>
        </w:rPr>
      </w:pPr>
      <w:r>
        <w:rPr>
          <w:rFonts w:hint="eastAsia" w:ascii="宋体"/>
          <w:bCs/>
          <w:color w:val="auto"/>
          <w:szCs w:val="20"/>
          <w:highlight w:val="none"/>
          <w:lang w:val="en-US" w:eastAsia="zh-CN"/>
        </w:rPr>
        <w:t>7、开标地点停车不便，建议绿色出行</w:t>
      </w:r>
    </w:p>
    <w:p w14:paraId="78D069FC">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53BA3E0E">
      <w:pPr>
        <w:spacing w:line="360" w:lineRule="auto"/>
        <w:ind w:firstLine="420" w:firstLineChars="200"/>
        <w:rPr>
          <w:rFonts w:ascii="宋体" w:hAnsi="宋体"/>
          <w:kern w:val="0"/>
        </w:rPr>
      </w:pPr>
      <w:r>
        <w:rPr>
          <w:rFonts w:hint="eastAsia" w:ascii="宋体" w:hAnsi="宋体"/>
          <w:kern w:val="0"/>
        </w:rPr>
        <w:t>自本公告发布之日起5个工作日。</w:t>
      </w:r>
    </w:p>
    <w:p w14:paraId="790F53A0">
      <w:pPr>
        <w:spacing w:line="360" w:lineRule="auto"/>
        <w:ind w:firstLine="420" w:firstLineChars="200"/>
        <w:rPr>
          <w:rFonts w:hint="eastAsia" w:ascii="宋体" w:hAnsi="宋体"/>
          <w:lang w:val="en-US" w:eastAsia="zh-CN"/>
        </w:rPr>
      </w:pPr>
    </w:p>
    <w:p w14:paraId="0972B18F">
      <w:pPr>
        <w:numPr>
          <w:ilvl w:val="0"/>
          <w:numId w:val="4"/>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5AAE8624">
      <w:pPr>
        <w:numPr>
          <w:ilvl w:val="0"/>
          <w:numId w:val="0"/>
        </w:numPr>
        <w:spacing w:line="360" w:lineRule="auto"/>
        <w:ind w:firstLine="420" w:firstLineChars="200"/>
        <w:rPr>
          <w:rFonts w:hint="default" w:ascii="宋体" w:hAnsi="宋体"/>
          <w:lang w:val="en-US" w:eastAsia="zh-CN"/>
        </w:rPr>
      </w:pPr>
    </w:p>
    <w:p w14:paraId="4F2DF4E0">
      <w:pPr>
        <w:numPr>
          <w:ilvl w:val="0"/>
          <w:numId w:val="4"/>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w:t>
      </w:r>
    </w:p>
    <w:p w14:paraId="30405C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r>
        <w:rPr>
          <w:rFonts w:hint="eastAsia" w:ascii="宋体" w:hAnsi="宋体"/>
          <w:lang w:val="en-US" w:eastAsia="zh-CN"/>
        </w:rPr>
        <w:t>2.</w:t>
      </w:r>
      <w:r>
        <w:rPr>
          <w:rFonts w:hint="eastAsia" w:ascii="宋体" w:hAnsi="宋体"/>
        </w:rPr>
        <w:t>投标人有义务在</w:t>
      </w:r>
      <w:r>
        <w:rPr>
          <w:rFonts w:hint="eastAsia" w:ascii="宋体" w:hAnsi="宋体"/>
          <w:lang w:eastAsia="zh-CN"/>
        </w:rPr>
        <w:t>征集</w:t>
      </w:r>
      <w:r>
        <w:rPr>
          <w:rFonts w:hint="eastAsia" w:ascii="宋体" w:hAnsi="宋体"/>
        </w:rPr>
        <w:t>活动期间浏览</w:t>
      </w:r>
      <w:r>
        <w:rPr>
          <w:rFonts w:hint="eastAsia" w:ascii="宋体" w:hAnsi="宋体"/>
          <w:lang w:val="en-US" w:eastAsia="zh-CN"/>
        </w:rPr>
        <w:t>深圳市福田区第二人民医院</w:t>
      </w:r>
      <w:r>
        <w:rPr>
          <w:rFonts w:hint="eastAsia" w:ascii="宋体"/>
          <w:bCs/>
          <w:color w:val="auto"/>
          <w:szCs w:val="20"/>
          <w:highlight w:val="none"/>
          <w:lang w:val="en-US" w:eastAsia="zh-CN"/>
        </w:rPr>
        <w:t>网站（https://www.ft2yy.cn/）。相关公告在上述媒体上公布之日即视为有效送达，不再另行通知。</w:t>
      </w:r>
    </w:p>
    <w:p w14:paraId="28D320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p>
    <w:p w14:paraId="3019BE1D">
      <w:pPr>
        <w:spacing w:line="360" w:lineRule="auto"/>
        <w:ind w:firstLine="420" w:firstLineChars="200"/>
        <w:outlineLvl w:val="9"/>
        <w:rPr>
          <w:rFonts w:ascii="宋体" w:hAnsi="宋体"/>
          <w:b/>
        </w:rPr>
      </w:pPr>
      <w:r>
        <w:rPr>
          <w:rFonts w:hint="eastAsia" w:ascii="宋体" w:hAnsi="宋体"/>
          <w:lang w:val="en-US" w:eastAsia="zh-CN"/>
        </w:rPr>
        <w:t>七</w:t>
      </w:r>
      <w:r>
        <w:rPr>
          <w:rFonts w:hint="eastAsia" w:ascii="宋体" w:hAnsi="宋体"/>
        </w:rPr>
        <w:t>、对本次</w:t>
      </w:r>
      <w:r>
        <w:rPr>
          <w:rFonts w:hint="eastAsia" w:ascii="宋体" w:hAnsi="宋体"/>
          <w:lang w:eastAsia="zh-CN"/>
        </w:rPr>
        <w:t>征集</w:t>
      </w:r>
      <w:r>
        <w:rPr>
          <w:rFonts w:hint="eastAsia" w:ascii="宋体" w:hAnsi="宋体"/>
        </w:rPr>
        <w:t>提出询问，请按</w:t>
      </w:r>
      <w:r>
        <w:rPr>
          <w:rFonts w:ascii="宋体" w:hAnsi="宋体"/>
        </w:rPr>
        <w:t>以下方式</w:t>
      </w:r>
      <w:r>
        <w:rPr>
          <w:rFonts w:hint="eastAsia" w:ascii="宋体" w:hAnsi="宋体"/>
        </w:rPr>
        <w:t>联系。</w:t>
      </w:r>
    </w:p>
    <w:p w14:paraId="4F679AC3">
      <w:pPr>
        <w:adjustRightInd w:val="0"/>
        <w:snapToGrid w:val="0"/>
        <w:spacing w:line="360" w:lineRule="auto"/>
        <w:ind w:firstLine="424" w:firstLineChars="202"/>
        <w:rPr>
          <w:rFonts w:hint="default" w:ascii="宋体"/>
          <w:bCs/>
          <w:color w:val="auto"/>
          <w:szCs w:val="20"/>
          <w:highlight w:val="none"/>
          <w:lang w:val="en-US" w:eastAsia="zh-CN"/>
        </w:rPr>
      </w:pPr>
      <w:r>
        <w:rPr>
          <w:rFonts w:hint="eastAsia" w:ascii="宋体"/>
          <w:bCs/>
          <w:color w:val="auto"/>
          <w:szCs w:val="20"/>
          <w:highlight w:val="none"/>
          <w:lang w:val="en-US" w:eastAsia="zh-CN"/>
        </w:rPr>
        <w:t>医学装备部联系人</w:t>
      </w:r>
      <w:r>
        <w:rPr>
          <w:rFonts w:hint="eastAsia" w:ascii="宋体"/>
          <w:bCs/>
          <w:color w:val="auto"/>
          <w:szCs w:val="20"/>
          <w:highlight w:val="none"/>
        </w:rPr>
        <w:t>：</w:t>
      </w:r>
      <w:r>
        <w:rPr>
          <w:rFonts w:hint="eastAsia" w:ascii="宋体"/>
          <w:bCs/>
          <w:color w:val="auto"/>
          <w:szCs w:val="20"/>
          <w:highlight w:val="none"/>
          <w:lang w:val="en-US" w:eastAsia="zh-CN"/>
        </w:rPr>
        <w:t>石老师 0755-83116181</w:t>
      </w:r>
    </w:p>
    <w:p w14:paraId="1D33796B">
      <w:pPr>
        <w:adjustRightInd w:val="0"/>
        <w:snapToGrid w:val="0"/>
        <w:spacing w:line="360" w:lineRule="auto"/>
        <w:ind w:firstLine="424" w:firstLineChars="202"/>
        <w:rPr>
          <w:rFonts w:hint="eastAsia" w:ascii="宋体"/>
          <w:bCs/>
          <w:color w:val="auto"/>
          <w:szCs w:val="20"/>
          <w:highlight w:val="none"/>
        </w:rPr>
      </w:pPr>
      <w:r>
        <w:rPr>
          <w:rFonts w:hint="eastAsia" w:ascii="宋体"/>
          <w:bCs/>
          <w:color w:val="auto"/>
          <w:szCs w:val="20"/>
          <w:highlight w:val="none"/>
          <w:lang w:val="en-US" w:eastAsia="zh-CN"/>
        </w:rPr>
        <w:t>招标采购办联系人：吴老师 0755-83279817</w:t>
      </w:r>
    </w:p>
    <w:p w14:paraId="4B886C7A">
      <w:pPr>
        <w:spacing w:line="400" w:lineRule="exact"/>
        <w:rPr>
          <w:rFonts w:ascii="宋体" w:hAnsi="宋体"/>
          <w:szCs w:val="21"/>
          <w:u w:val="single"/>
        </w:rPr>
      </w:pPr>
    </w:p>
    <w:p w14:paraId="12B3098F">
      <w:pPr>
        <w:spacing w:line="400" w:lineRule="exact"/>
        <w:ind w:firstLine="420" w:firstLineChars="200"/>
        <w:jc w:val="right"/>
        <w:rPr>
          <w:rFonts w:hint="eastAsia" w:ascii="宋体" w:hAnsi="宋体"/>
          <w:szCs w:val="21"/>
          <w:highlight w:val="none"/>
          <w:lang w:val="en-US" w:eastAsia="zh-CN"/>
        </w:rPr>
      </w:pPr>
      <w:r>
        <w:rPr>
          <w:rFonts w:hint="eastAsia" w:ascii="宋体" w:hAnsi="宋体"/>
          <w:szCs w:val="21"/>
          <w:lang w:val="en-US" w:eastAsia="zh-CN"/>
        </w:rPr>
        <w:t>深圳市</w:t>
      </w:r>
      <w:r>
        <w:rPr>
          <w:rFonts w:hint="eastAsia" w:ascii="宋体" w:hAnsi="宋体"/>
          <w:szCs w:val="21"/>
          <w:highlight w:val="none"/>
          <w:lang w:val="en-US" w:eastAsia="zh-CN"/>
        </w:rPr>
        <w:t>福田区第二人民医院</w:t>
      </w:r>
    </w:p>
    <w:bookmarkEnd w:id="6"/>
    <w:bookmarkEnd w:id="7"/>
    <w:bookmarkEnd w:id="8"/>
    <w:p w14:paraId="63D6D281">
      <w:pPr>
        <w:spacing w:line="400" w:lineRule="exact"/>
        <w:ind w:firstLine="7140" w:firstLineChars="3400"/>
        <w:jc w:val="both"/>
        <w:rPr>
          <w:rFonts w:hint="eastAsia" w:ascii="宋体" w:hAnsi="宋体"/>
          <w:highlight w:val="none"/>
        </w:rPr>
      </w:pP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27</w:t>
      </w:r>
      <w:r>
        <w:rPr>
          <w:rFonts w:hint="eastAsia" w:ascii="宋体" w:hAnsi="宋体"/>
          <w:highlight w:val="none"/>
        </w:rPr>
        <w:t>日</w:t>
      </w:r>
    </w:p>
    <w:p w14:paraId="295908F9">
      <w:pPr>
        <w:spacing w:line="400" w:lineRule="exact"/>
        <w:ind w:firstLine="7140" w:firstLineChars="3400"/>
        <w:jc w:val="both"/>
        <w:rPr>
          <w:rFonts w:hint="eastAsia" w:ascii="宋体" w:hAnsi="宋体"/>
          <w:highlight w:val="none"/>
        </w:rPr>
      </w:pPr>
    </w:p>
    <w:p w14:paraId="6BEBC402">
      <w:pPr>
        <w:spacing w:line="400" w:lineRule="exact"/>
        <w:ind w:firstLine="7140" w:firstLineChars="3400"/>
        <w:jc w:val="both"/>
        <w:rPr>
          <w:rFonts w:hint="eastAsia" w:ascii="宋体" w:hAnsi="宋体"/>
          <w:highlight w:val="none"/>
        </w:rPr>
      </w:pPr>
    </w:p>
    <w:p w14:paraId="5A962F05">
      <w:pPr>
        <w:spacing w:line="400" w:lineRule="exact"/>
        <w:ind w:firstLine="7140" w:firstLineChars="3400"/>
        <w:jc w:val="both"/>
        <w:rPr>
          <w:rFonts w:hint="eastAsia" w:ascii="宋体" w:hAnsi="宋体"/>
          <w:highlight w:val="none"/>
        </w:rPr>
      </w:pPr>
    </w:p>
    <w:p w14:paraId="393CF482">
      <w:pPr>
        <w:spacing w:line="400" w:lineRule="exact"/>
        <w:ind w:firstLine="7140" w:firstLineChars="3400"/>
        <w:jc w:val="both"/>
        <w:rPr>
          <w:rFonts w:hint="eastAsia" w:ascii="宋体" w:hAnsi="宋体"/>
          <w:highlight w:val="none"/>
        </w:rPr>
      </w:pPr>
    </w:p>
    <w:p w14:paraId="328A02CB">
      <w:pPr>
        <w:spacing w:line="400" w:lineRule="exact"/>
        <w:ind w:firstLine="7140" w:firstLineChars="3400"/>
        <w:jc w:val="both"/>
        <w:rPr>
          <w:rFonts w:hint="eastAsia" w:ascii="宋体" w:hAnsi="宋体"/>
          <w:highlight w:val="none"/>
        </w:rPr>
      </w:pPr>
    </w:p>
    <w:p w14:paraId="043DBC0C">
      <w:pPr>
        <w:spacing w:line="400" w:lineRule="exact"/>
        <w:ind w:firstLine="7140" w:firstLineChars="3400"/>
        <w:jc w:val="both"/>
        <w:rPr>
          <w:rFonts w:hint="eastAsia" w:ascii="宋体" w:hAnsi="宋体"/>
          <w:highlight w:val="none"/>
        </w:rPr>
      </w:pPr>
    </w:p>
    <w:p w14:paraId="345C6933">
      <w:pPr>
        <w:spacing w:line="400" w:lineRule="exact"/>
        <w:ind w:firstLine="7140" w:firstLineChars="3400"/>
        <w:jc w:val="both"/>
        <w:rPr>
          <w:rFonts w:hint="eastAsia" w:ascii="宋体" w:hAnsi="宋体"/>
          <w:highlight w:val="none"/>
        </w:rPr>
      </w:pPr>
    </w:p>
    <w:p w14:paraId="63505853">
      <w:pPr>
        <w:spacing w:line="400" w:lineRule="exact"/>
        <w:ind w:firstLine="7140" w:firstLineChars="3400"/>
        <w:jc w:val="both"/>
        <w:rPr>
          <w:rFonts w:hint="eastAsia" w:ascii="宋体" w:hAnsi="宋体"/>
          <w:highlight w:val="none"/>
        </w:rPr>
      </w:pPr>
    </w:p>
    <w:p w14:paraId="2A568F66">
      <w:pPr>
        <w:spacing w:line="400" w:lineRule="exact"/>
        <w:ind w:firstLine="7140" w:firstLineChars="3400"/>
        <w:jc w:val="both"/>
        <w:rPr>
          <w:rFonts w:hint="eastAsia" w:ascii="宋体" w:hAnsi="宋体"/>
          <w:highlight w:val="none"/>
        </w:rPr>
      </w:pPr>
    </w:p>
    <w:p w14:paraId="1DBB3C7D">
      <w:pPr>
        <w:spacing w:line="400" w:lineRule="exact"/>
        <w:ind w:firstLine="7140" w:firstLineChars="3400"/>
        <w:jc w:val="both"/>
        <w:rPr>
          <w:rFonts w:hint="eastAsia" w:ascii="宋体" w:hAnsi="宋体"/>
          <w:highlight w:val="none"/>
        </w:rPr>
      </w:pPr>
    </w:p>
    <w:p w14:paraId="2BBB1515">
      <w:pPr>
        <w:spacing w:line="400" w:lineRule="exact"/>
        <w:ind w:firstLine="7140" w:firstLineChars="3400"/>
        <w:jc w:val="both"/>
        <w:rPr>
          <w:rFonts w:hint="eastAsia" w:ascii="宋体" w:hAnsi="宋体"/>
          <w:highlight w:val="none"/>
        </w:rPr>
      </w:pPr>
    </w:p>
    <w:p w14:paraId="2775609A">
      <w:pPr>
        <w:spacing w:line="400" w:lineRule="exact"/>
        <w:ind w:firstLine="7140" w:firstLineChars="3400"/>
        <w:jc w:val="both"/>
        <w:rPr>
          <w:rFonts w:hint="eastAsia" w:ascii="宋体" w:hAnsi="宋体"/>
          <w:highlight w:val="none"/>
        </w:rPr>
      </w:pPr>
    </w:p>
    <w:p w14:paraId="48C28FD6">
      <w:pPr>
        <w:spacing w:line="400" w:lineRule="exact"/>
        <w:ind w:firstLine="7140" w:firstLineChars="3400"/>
        <w:jc w:val="both"/>
        <w:rPr>
          <w:rFonts w:hint="eastAsia" w:ascii="宋体" w:hAnsi="宋体"/>
          <w:highlight w:val="none"/>
        </w:rPr>
      </w:pPr>
    </w:p>
    <w:p w14:paraId="65126FD0">
      <w:pPr>
        <w:spacing w:line="400" w:lineRule="exact"/>
        <w:ind w:firstLine="7140" w:firstLineChars="3400"/>
        <w:jc w:val="both"/>
        <w:rPr>
          <w:rFonts w:hint="eastAsia" w:ascii="宋体" w:hAnsi="宋体"/>
          <w:highlight w:val="none"/>
        </w:rPr>
      </w:pPr>
    </w:p>
    <w:p w14:paraId="6A6F305C">
      <w:pPr>
        <w:spacing w:line="400" w:lineRule="exact"/>
        <w:ind w:firstLine="7140" w:firstLineChars="3400"/>
        <w:jc w:val="both"/>
        <w:rPr>
          <w:rFonts w:hint="eastAsia" w:ascii="宋体" w:hAnsi="宋体"/>
          <w:highlight w:val="none"/>
        </w:rPr>
      </w:pPr>
    </w:p>
    <w:p w14:paraId="3749D942">
      <w:pPr>
        <w:spacing w:line="400" w:lineRule="exact"/>
        <w:ind w:firstLine="7140" w:firstLineChars="3400"/>
        <w:jc w:val="both"/>
        <w:rPr>
          <w:rFonts w:hint="eastAsia" w:ascii="宋体" w:hAnsi="宋体"/>
          <w:highlight w:val="none"/>
        </w:rPr>
      </w:pPr>
    </w:p>
    <w:p w14:paraId="59F1DA37">
      <w:pPr>
        <w:spacing w:line="400" w:lineRule="exact"/>
        <w:ind w:firstLine="7140" w:firstLineChars="3400"/>
        <w:jc w:val="both"/>
        <w:rPr>
          <w:rFonts w:hint="eastAsia" w:ascii="宋体" w:hAnsi="宋体"/>
          <w:highlight w:val="none"/>
        </w:rPr>
      </w:pPr>
    </w:p>
    <w:p w14:paraId="77AE4D25">
      <w:pPr>
        <w:spacing w:line="400" w:lineRule="exact"/>
        <w:ind w:firstLine="7140" w:firstLineChars="3400"/>
        <w:jc w:val="both"/>
        <w:rPr>
          <w:rFonts w:hint="eastAsia" w:ascii="宋体" w:hAnsi="宋体"/>
          <w:highlight w:val="none"/>
        </w:rPr>
      </w:pPr>
    </w:p>
    <w:p w14:paraId="26C9ABCC">
      <w:pPr>
        <w:spacing w:line="400" w:lineRule="exact"/>
        <w:ind w:firstLine="7140" w:firstLineChars="3400"/>
        <w:jc w:val="both"/>
        <w:rPr>
          <w:rFonts w:hint="eastAsia" w:ascii="宋体" w:hAnsi="宋体"/>
          <w:highlight w:val="none"/>
        </w:rPr>
      </w:pPr>
    </w:p>
    <w:p w14:paraId="794FD65F">
      <w:pPr>
        <w:spacing w:line="400" w:lineRule="exact"/>
        <w:ind w:firstLine="7140" w:firstLineChars="3400"/>
        <w:jc w:val="both"/>
        <w:rPr>
          <w:rFonts w:hint="eastAsia" w:ascii="宋体" w:hAnsi="宋体"/>
          <w:highlight w:val="none"/>
        </w:rPr>
      </w:pPr>
    </w:p>
    <w:p w14:paraId="75131DED">
      <w:pPr>
        <w:spacing w:line="400" w:lineRule="exact"/>
        <w:ind w:firstLine="7140" w:firstLineChars="3400"/>
        <w:jc w:val="both"/>
        <w:rPr>
          <w:rFonts w:hint="eastAsia" w:ascii="宋体" w:hAnsi="宋体"/>
          <w:highlight w:val="none"/>
        </w:rPr>
      </w:pPr>
    </w:p>
    <w:p w14:paraId="4BC94EC2">
      <w:pPr>
        <w:spacing w:line="400" w:lineRule="exact"/>
        <w:ind w:firstLine="7140" w:firstLineChars="3400"/>
        <w:jc w:val="both"/>
        <w:rPr>
          <w:rFonts w:hint="eastAsia" w:ascii="宋体" w:hAnsi="宋体"/>
          <w:highlight w:val="none"/>
        </w:rPr>
      </w:pPr>
    </w:p>
    <w:p w14:paraId="009C1296">
      <w:pPr>
        <w:spacing w:line="400" w:lineRule="exact"/>
        <w:ind w:firstLine="7140" w:firstLineChars="3400"/>
        <w:jc w:val="both"/>
        <w:rPr>
          <w:rFonts w:hint="eastAsia" w:ascii="宋体" w:hAnsi="宋体"/>
          <w:highlight w:val="none"/>
        </w:rPr>
      </w:pPr>
    </w:p>
    <w:p w14:paraId="298037CE">
      <w:pPr>
        <w:spacing w:line="400" w:lineRule="exact"/>
        <w:ind w:firstLine="7140" w:firstLineChars="3400"/>
        <w:jc w:val="both"/>
        <w:rPr>
          <w:rFonts w:hint="eastAsia" w:ascii="宋体" w:hAnsi="宋体"/>
          <w:highlight w:val="none"/>
        </w:rPr>
      </w:pPr>
    </w:p>
    <w:p w14:paraId="7DE3C846">
      <w:pPr>
        <w:spacing w:line="400" w:lineRule="exact"/>
        <w:ind w:firstLine="7140" w:firstLineChars="3400"/>
        <w:jc w:val="both"/>
        <w:rPr>
          <w:rFonts w:hint="eastAsia" w:ascii="宋体" w:hAnsi="宋体"/>
          <w:highlight w:val="none"/>
        </w:rPr>
      </w:pPr>
    </w:p>
    <w:p w14:paraId="3F00CDB8">
      <w:pPr>
        <w:spacing w:line="400" w:lineRule="exact"/>
        <w:ind w:firstLine="7140" w:firstLineChars="3400"/>
        <w:jc w:val="both"/>
        <w:rPr>
          <w:rFonts w:hint="eastAsia" w:ascii="宋体" w:hAnsi="宋体"/>
          <w:highlight w:val="none"/>
        </w:rPr>
      </w:pPr>
    </w:p>
    <w:p w14:paraId="256FFE8B">
      <w:pPr>
        <w:spacing w:line="400" w:lineRule="exact"/>
        <w:ind w:firstLine="7140" w:firstLineChars="3400"/>
        <w:jc w:val="both"/>
        <w:rPr>
          <w:rFonts w:hint="eastAsia" w:ascii="宋体" w:hAnsi="宋体"/>
          <w:highlight w:val="none"/>
        </w:rPr>
      </w:pPr>
    </w:p>
    <w:p w14:paraId="36D786F1">
      <w:pPr>
        <w:spacing w:line="400" w:lineRule="exact"/>
        <w:ind w:firstLine="7140" w:firstLineChars="3400"/>
        <w:jc w:val="both"/>
        <w:rPr>
          <w:rFonts w:hint="eastAsia" w:ascii="宋体" w:hAnsi="宋体"/>
          <w:highlight w:val="none"/>
        </w:rPr>
      </w:pPr>
    </w:p>
    <w:p w14:paraId="3C28CB28">
      <w:pPr>
        <w:spacing w:line="400" w:lineRule="exact"/>
        <w:ind w:firstLine="7140" w:firstLineChars="3400"/>
        <w:jc w:val="both"/>
        <w:rPr>
          <w:rFonts w:hint="eastAsia" w:ascii="宋体" w:hAnsi="宋体"/>
          <w:highlight w:val="none"/>
        </w:rPr>
      </w:pPr>
    </w:p>
    <w:p w14:paraId="74DD9458">
      <w:pPr>
        <w:spacing w:line="400" w:lineRule="exact"/>
        <w:ind w:firstLine="7140" w:firstLineChars="3400"/>
        <w:jc w:val="both"/>
        <w:rPr>
          <w:rFonts w:hint="eastAsia" w:ascii="宋体" w:hAnsi="宋体"/>
          <w:highlight w:val="none"/>
        </w:rPr>
      </w:pPr>
    </w:p>
    <w:p w14:paraId="41BF59C5">
      <w:pPr>
        <w:spacing w:line="400" w:lineRule="exact"/>
        <w:jc w:val="both"/>
        <w:rPr>
          <w:rFonts w:hint="eastAsia" w:ascii="宋体" w:hAnsi="宋体"/>
          <w:highlight w:val="none"/>
          <w:lang w:val="en-US" w:eastAsia="zh-CN"/>
        </w:rPr>
      </w:pPr>
    </w:p>
    <w:p w14:paraId="3F56D25A">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11" w:name="_Toc2752"/>
      <w:r>
        <w:rPr>
          <w:rFonts w:hint="eastAsia" w:asciiTheme="majorEastAsia" w:hAnsiTheme="majorEastAsia" w:eastAsiaTheme="majorEastAsia"/>
          <w:sz w:val="32"/>
          <w:szCs w:val="32"/>
          <w:lang w:val="en-US" w:eastAsia="zh-CN"/>
        </w:rPr>
        <w:t>用户需求书</w:t>
      </w:r>
      <w:bookmarkEnd w:id="11"/>
    </w:p>
    <w:p w14:paraId="1A0964E7">
      <w:pPr>
        <w:snapToGrid w:val="0"/>
        <w:spacing w:line="360" w:lineRule="auto"/>
        <w:rPr>
          <w:rFonts w:ascii="宋体"/>
          <w:b/>
          <w:bCs/>
          <w:szCs w:val="20"/>
        </w:rPr>
      </w:pPr>
      <w:r>
        <w:rPr>
          <w:rFonts w:hint="eastAsia" w:ascii="宋体"/>
          <w:b/>
          <w:bCs/>
          <w:szCs w:val="20"/>
        </w:rPr>
        <w:t>说明：</w:t>
      </w:r>
    </w:p>
    <w:p w14:paraId="41B0864D">
      <w:pPr>
        <w:numPr>
          <w:ilvl w:val="0"/>
          <w:numId w:val="5"/>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36AC43F5">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用户需求书中打“●”号的为采购的核心产品，投标人应在《投标报价</w:t>
      </w:r>
      <w:r>
        <w:rPr>
          <w:rFonts w:hint="eastAsia" w:asciiTheme="minorEastAsia" w:hAnsiTheme="minorEastAsia" w:eastAsiaTheme="minorEastAsia"/>
          <w:b/>
          <w:bCs/>
          <w:color w:val="auto"/>
          <w:szCs w:val="21"/>
          <w:lang w:val="en-US" w:eastAsia="zh-CN"/>
        </w:rPr>
        <w:t>明细</w:t>
      </w:r>
      <w:r>
        <w:rPr>
          <w:rFonts w:hint="eastAsia" w:asciiTheme="minorEastAsia" w:hAnsiTheme="minorEastAsia" w:eastAsiaTheme="minorEastAsia"/>
          <w:b/>
          <w:bCs/>
          <w:color w:val="auto"/>
          <w:szCs w:val="21"/>
        </w:rPr>
        <w:t>表》中清晰列明“产品名称、品牌”。</w:t>
      </w:r>
    </w:p>
    <w:p w14:paraId="5AAF2DBC">
      <w:pPr>
        <w:pStyle w:val="10"/>
        <w:numPr>
          <w:ilvl w:val="0"/>
          <w:numId w:val="6"/>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8"/>
        <w:tblW w:w="10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9"/>
        <w:gridCol w:w="874"/>
        <w:gridCol w:w="2166"/>
        <w:gridCol w:w="2110"/>
        <w:gridCol w:w="2111"/>
        <w:gridCol w:w="1122"/>
      </w:tblGrid>
      <w:tr w14:paraId="3CF2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039" w:type="dxa"/>
            <w:shd w:val="clear" w:color="auto" w:fill="EEECE1"/>
            <w:vAlign w:val="center"/>
          </w:tcPr>
          <w:p w14:paraId="515F1896">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874" w:type="dxa"/>
            <w:shd w:val="clear" w:color="auto" w:fill="EEECE1"/>
            <w:vAlign w:val="center"/>
          </w:tcPr>
          <w:p w14:paraId="6E527C4A">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166" w:type="dxa"/>
            <w:shd w:val="clear" w:color="auto" w:fill="EEECE1"/>
            <w:vAlign w:val="center"/>
          </w:tcPr>
          <w:p w14:paraId="1F7013D0">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交货期</w:t>
            </w:r>
          </w:p>
        </w:tc>
        <w:tc>
          <w:tcPr>
            <w:tcW w:w="2110" w:type="dxa"/>
            <w:shd w:val="clear" w:color="auto" w:fill="EEECE1"/>
            <w:vAlign w:val="center"/>
          </w:tcPr>
          <w:p w14:paraId="16D9626C">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预算金额</w:t>
            </w:r>
          </w:p>
        </w:tc>
        <w:tc>
          <w:tcPr>
            <w:tcW w:w="2111" w:type="dxa"/>
            <w:shd w:val="clear" w:color="auto" w:fill="EEECE1"/>
            <w:vAlign w:val="center"/>
          </w:tcPr>
          <w:p w14:paraId="77A1679F">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最高限价</w:t>
            </w:r>
          </w:p>
        </w:tc>
        <w:tc>
          <w:tcPr>
            <w:tcW w:w="1122" w:type="dxa"/>
            <w:shd w:val="clear" w:color="auto" w:fill="EEECE1"/>
            <w:vAlign w:val="center"/>
          </w:tcPr>
          <w:p w14:paraId="20EB26C1">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0A12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039" w:type="dxa"/>
            <w:vAlign w:val="center"/>
          </w:tcPr>
          <w:p w14:paraId="262358C2">
            <w:pPr>
              <w:keepNext w:val="0"/>
              <w:keepLines w:val="0"/>
              <w:suppressLineNumbers w:val="0"/>
              <w:spacing w:before="0" w:beforeAutospacing="0" w:after="0" w:afterAutospacing="0"/>
              <w:ind w:left="0" w:leftChars="0" w:right="0" w:rightChars="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治疗型电子鼻咽喉软镜系统</w:t>
            </w:r>
          </w:p>
        </w:tc>
        <w:tc>
          <w:tcPr>
            <w:tcW w:w="874" w:type="dxa"/>
            <w:vAlign w:val="center"/>
          </w:tcPr>
          <w:p w14:paraId="390AF9D4">
            <w:pPr>
              <w:keepNext w:val="0"/>
              <w:keepLines w:val="0"/>
              <w:suppressLineNumbers w:val="0"/>
              <w:spacing w:before="0" w:beforeAutospacing="0" w:after="0" w:afterAutospacing="0"/>
              <w:ind w:left="0" w:leftChars="0" w:right="0" w:rightChars="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1套</w:t>
            </w:r>
          </w:p>
        </w:tc>
        <w:tc>
          <w:tcPr>
            <w:tcW w:w="2166" w:type="dxa"/>
            <w:vAlign w:val="center"/>
          </w:tcPr>
          <w:p w14:paraId="36A3EC96">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合同签订并接院方通知后15日内交货</w:t>
            </w:r>
          </w:p>
        </w:tc>
        <w:tc>
          <w:tcPr>
            <w:tcW w:w="2110" w:type="dxa"/>
            <w:vAlign w:val="center"/>
          </w:tcPr>
          <w:p w14:paraId="5EB8399A">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人民币195000.00元</w:t>
            </w:r>
          </w:p>
        </w:tc>
        <w:tc>
          <w:tcPr>
            <w:tcW w:w="2111" w:type="dxa"/>
            <w:vAlign w:val="center"/>
          </w:tcPr>
          <w:p w14:paraId="113A87B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人民币195000.00元</w:t>
            </w:r>
          </w:p>
        </w:tc>
        <w:tc>
          <w:tcPr>
            <w:tcW w:w="1122" w:type="dxa"/>
            <w:vAlign w:val="center"/>
          </w:tcPr>
          <w:p w14:paraId="6694BA1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70B3C683">
      <w:pPr>
        <w:pStyle w:val="10"/>
        <w:tabs>
          <w:tab w:val="left" w:pos="540"/>
        </w:tabs>
        <w:adjustRightInd w:val="0"/>
        <w:snapToGrid w:val="0"/>
        <w:spacing w:line="360" w:lineRule="auto"/>
        <w:rPr>
          <w:rFonts w:hAnsi="宋体"/>
          <w:b/>
          <w:color w:val="auto"/>
        </w:rPr>
      </w:pPr>
    </w:p>
    <w:p w14:paraId="3142D659">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项目采购标的清单</w:t>
      </w:r>
      <w:r>
        <w:rPr>
          <w:rFonts w:hint="eastAsia" w:hAnsi="宋体"/>
          <w:b/>
          <w:color w:val="auto"/>
          <w:lang w:eastAsia="zh-CN"/>
        </w:rPr>
        <w:t>（</w:t>
      </w:r>
      <w:r>
        <w:rPr>
          <w:rFonts w:hint="eastAsia" w:hAnsi="宋体"/>
          <w:b/>
          <w:color w:val="auto"/>
          <w:lang w:val="en-US" w:eastAsia="zh-CN"/>
        </w:rPr>
        <w:t>配</w:t>
      </w:r>
      <w:r>
        <w:rPr>
          <w:rFonts w:hint="eastAsia" w:ascii="宋体" w:hAnsi="宋体" w:eastAsia="宋体"/>
          <w:b/>
          <w:color w:val="auto"/>
          <w:lang w:val="en-US" w:eastAsia="zh-CN"/>
        </w:rPr>
        <w:t>置清单</w:t>
      </w:r>
      <w:r>
        <w:rPr>
          <w:rFonts w:hint="eastAsia" w:ascii="宋体" w:hAnsi="宋体" w:eastAsia="宋体"/>
          <w:b/>
          <w:color w:val="auto"/>
          <w:lang w:eastAsia="zh-CN"/>
        </w:rPr>
        <w:t>）：（</w:t>
      </w:r>
      <w:r>
        <w:rPr>
          <w:rFonts w:hint="eastAsia" w:hAnsi="宋体"/>
          <w:b/>
          <w:color w:val="auto"/>
          <w:lang w:val="en-US" w:eastAsia="zh-CN"/>
        </w:rPr>
        <w:t>配置清单应</w:t>
      </w:r>
      <w:r>
        <w:rPr>
          <w:rFonts w:hint="eastAsia" w:ascii="宋体" w:hAnsi="宋体" w:eastAsia="宋体"/>
          <w:b/>
          <w:color w:val="auto"/>
          <w:lang w:eastAsia="zh-CN"/>
        </w:rPr>
        <w:t>不低于下表配置）</w:t>
      </w:r>
    </w:p>
    <w:tbl>
      <w:tblPr>
        <w:tblStyle w:val="19"/>
        <w:tblW w:w="10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665"/>
        <w:gridCol w:w="2126"/>
        <w:gridCol w:w="922"/>
        <w:gridCol w:w="1022"/>
        <w:gridCol w:w="1286"/>
        <w:gridCol w:w="1286"/>
      </w:tblGrid>
      <w:tr w14:paraId="17BD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shd w:val="clear" w:color="auto" w:fill="EEECE1" w:themeFill="background2"/>
            <w:vAlign w:val="center"/>
          </w:tcPr>
          <w:p w14:paraId="31685FAE">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序号</w:t>
            </w:r>
          </w:p>
        </w:tc>
        <w:tc>
          <w:tcPr>
            <w:tcW w:w="2665" w:type="dxa"/>
            <w:shd w:val="clear" w:color="auto" w:fill="EEECE1" w:themeFill="background2"/>
            <w:vAlign w:val="center"/>
          </w:tcPr>
          <w:p w14:paraId="69748C28">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货物名称</w:t>
            </w:r>
          </w:p>
        </w:tc>
        <w:tc>
          <w:tcPr>
            <w:tcW w:w="2126" w:type="dxa"/>
            <w:shd w:val="clear" w:color="auto" w:fill="EEECE1" w:themeFill="background2"/>
            <w:vAlign w:val="center"/>
          </w:tcPr>
          <w:p w14:paraId="18375BE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预算价格</w:t>
            </w:r>
          </w:p>
        </w:tc>
        <w:tc>
          <w:tcPr>
            <w:tcW w:w="922" w:type="dxa"/>
            <w:shd w:val="clear" w:color="auto" w:fill="EEECE1" w:themeFill="background2"/>
            <w:vAlign w:val="center"/>
          </w:tcPr>
          <w:p w14:paraId="4F3D85F1">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数量</w:t>
            </w:r>
          </w:p>
        </w:tc>
        <w:tc>
          <w:tcPr>
            <w:tcW w:w="1022" w:type="dxa"/>
            <w:shd w:val="clear" w:color="auto" w:fill="EEECE1" w:themeFill="background2"/>
            <w:vAlign w:val="center"/>
          </w:tcPr>
          <w:p w14:paraId="211C175B">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单位</w:t>
            </w:r>
          </w:p>
        </w:tc>
        <w:tc>
          <w:tcPr>
            <w:tcW w:w="1286" w:type="dxa"/>
            <w:shd w:val="clear" w:color="auto" w:fill="EEECE1" w:themeFill="background2"/>
            <w:vAlign w:val="center"/>
          </w:tcPr>
          <w:p w14:paraId="24AFDF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bCs w:val="0"/>
                <w:color w:val="auto"/>
                <w:vertAlign w:val="baseline"/>
                <w:lang w:val="en-US" w:eastAsia="zh-CN"/>
              </w:rPr>
            </w:pPr>
            <w:r>
              <w:rPr>
                <w:rFonts w:hint="eastAsia" w:ascii="宋体" w:hAnsi="宋体" w:eastAsia="宋体" w:cs="宋体"/>
                <w:b/>
                <w:bCs/>
                <w:i w:val="0"/>
                <w:iCs w:val="0"/>
                <w:color w:val="000000"/>
                <w:kern w:val="0"/>
                <w:sz w:val="20"/>
                <w:szCs w:val="20"/>
                <w:u w:val="none"/>
                <w:lang w:val="en-US" w:eastAsia="zh-CN" w:bidi="ar"/>
              </w:rPr>
              <w:t>备注</w:t>
            </w:r>
          </w:p>
        </w:tc>
        <w:tc>
          <w:tcPr>
            <w:tcW w:w="1286" w:type="dxa"/>
            <w:shd w:val="clear" w:color="auto" w:fill="EEECE1" w:themeFill="background2"/>
            <w:vAlign w:val="center"/>
          </w:tcPr>
          <w:p w14:paraId="4E504C0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14:paraId="0F8A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14:paraId="111891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665" w:type="dxa"/>
            <w:shd w:val="clear" w:color="auto" w:fill="auto"/>
            <w:vAlign w:val="center"/>
          </w:tcPr>
          <w:p w14:paraId="02F7A6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Theme="minorEastAsia" w:hAnsiTheme="minorEastAsia" w:eastAsiaTheme="minorEastAsia"/>
                <w:b/>
                <w:bCs/>
                <w:color w:val="auto"/>
                <w:szCs w:val="21"/>
              </w:rPr>
              <w:t>●</w:t>
            </w:r>
            <w:r>
              <w:rPr>
                <w:rFonts w:hint="eastAsia" w:ascii="宋体" w:hAnsi="宋体" w:eastAsia="宋体" w:cs="宋体"/>
                <w:i w:val="0"/>
                <w:iCs w:val="0"/>
                <w:color w:val="auto"/>
                <w:kern w:val="0"/>
                <w:sz w:val="21"/>
                <w:szCs w:val="21"/>
                <w:u w:val="none"/>
                <w:lang w:val="en-US" w:eastAsia="zh-CN" w:bidi="ar"/>
              </w:rPr>
              <w:t>治疗型电子鼻咽喉软镜</w:t>
            </w:r>
          </w:p>
        </w:tc>
        <w:tc>
          <w:tcPr>
            <w:tcW w:w="2126" w:type="dxa"/>
            <w:vMerge w:val="restart"/>
            <w:shd w:val="clear" w:color="auto" w:fill="auto"/>
            <w:vAlign w:val="center"/>
          </w:tcPr>
          <w:p w14:paraId="413407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人民币195000.00元</w:t>
            </w:r>
          </w:p>
        </w:tc>
        <w:tc>
          <w:tcPr>
            <w:tcW w:w="922" w:type="dxa"/>
            <w:shd w:val="clear" w:color="auto" w:fill="auto"/>
            <w:vAlign w:val="center"/>
          </w:tcPr>
          <w:p w14:paraId="498A6DB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2BDBA0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1286" w:type="dxa"/>
            <w:vAlign w:val="center"/>
          </w:tcPr>
          <w:p w14:paraId="2BFC1F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7FE27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696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14:paraId="6FE4E66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2665" w:type="dxa"/>
            <w:shd w:val="clear" w:color="auto" w:fill="auto"/>
            <w:vAlign w:val="center"/>
          </w:tcPr>
          <w:p w14:paraId="75D81F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电子内窥镜图像处理器</w:t>
            </w:r>
          </w:p>
        </w:tc>
        <w:tc>
          <w:tcPr>
            <w:tcW w:w="2126" w:type="dxa"/>
            <w:vMerge w:val="continue"/>
            <w:shd w:val="clear" w:color="auto" w:fill="auto"/>
            <w:vAlign w:val="center"/>
          </w:tcPr>
          <w:p w14:paraId="47A5A6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4AC6AA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191D7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1286" w:type="dxa"/>
            <w:vAlign w:val="center"/>
          </w:tcPr>
          <w:p w14:paraId="30431F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49422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25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14:paraId="7C0428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2665" w:type="dxa"/>
            <w:shd w:val="clear" w:color="auto" w:fill="auto"/>
            <w:vAlign w:val="center"/>
          </w:tcPr>
          <w:p w14:paraId="686551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内窥镜冷光源</w:t>
            </w:r>
          </w:p>
        </w:tc>
        <w:tc>
          <w:tcPr>
            <w:tcW w:w="2126" w:type="dxa"/>
            <w:vMerge w:val="continue"/>
            <w:shd w:val="clear" w:color="auto" w:fill="auto"/>
            <w:vAlign w:val="center"/>
          </w:tcPr>
          <w:p w14:paraId="5A7068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2E0F34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0351B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1286" w:type="dxa"/>
            <w:vAlign w:val="center"/>
          </w:tcPr>
          <w:p w14:paraId="78B2F5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2616C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E1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14:paraId="279452E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2665" w:type="dxa"/>
            <w:shd w:val="clear" w:color="auto" w:fill="auto"/>
            <w:vAlign w:val="center"/>
          </w:tcPr>
          <w:p w14:paraId="7ACA70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医用显示器</w:t>
            </w:r>
          </w:p>
        </w:tc>
        <w:tc>
          <w:tcPr>
            <w:tcW w:w="2126" w:type="dxa"/>
            <w:vMerge w:val="continue"/>
            <w:shd w:val="clear" w:color="auto" w:fill="auto"/>
            <w:vAlign w:val="center"/>
          </w:tcPr>
          <w:p w14:paraId="6F4EB3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A9DA26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0D1F7C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1286" w:type="dxa"/>
            <w:vAlign w:val="center"/>
          </w:tcPr>
          <w:p w14:paraId="6FB585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8B80E3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p>
        </w:tc>
      </w:tr>
      <w:tr w14:paraId="721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14:paraId="41BAD9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2665" w:type="dxa"/>
            <w:shd w:val="clear" w:color="auto" w:fill="auto"/>
            <w:vAlign w:val="center"/>
          </w:tcPr>
          <w:p w14:paraId="5FE888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台车</w:t>
            </w:r>
          </w:p>
        </w:tc>
        <w:tc>
          <w:tcPr>
            <w:tcW w:w="2126" w:type="dxa"/>
            <w:vMerge w:val="continue"/>
            <w:shd w:val="clear" w:color="auto" w:fill="auto"/>
            <w:vAlign w:val="center"/>
          </w:tcPr>
          <w:p w14:paraId="41DEA9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FD1AE3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07C6CC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1286" w:type="dxa"/>
            <w:vAlign w:val="center"/>
          </w:tcPr>
          <w:p w14:paraId="6AA974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D3E14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bl>
    <w:p w14:paraId="68C6DDA6">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50"/>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w:t>
      </w:r>
      <w:r>
        <w:rPr>
          <w:rFonts w:hint="eastAsia" w:ascii="宋体" w:hAnsi="宋体" w:eastAsia="宋体" w:cs="宋体"/>
          <w:i w:val="0"/>
          <w:iCs w:val="0"/>
          <w:color w:val="000000"/>
          <w:kern w:val="0"/>
          <w:sz w:val="21"/>
          <w:szCs w:val="21"/>
          <w:highlight w:val="none"/>
          <w:u w:val="none"/>
          <w:lang w:val="en-US" w:eastAsia="zh-CN" w:bidi="ar"/>
        </w:rPr>
        <w:t>的供应商的进口产品，相关内容以财库〔2007〕119 号文和财办库〔2008〕248 号文的相关规定为准。</w:t>
      </w:r>
    </w:p>
    <w:p w14:paraId="209231EE">
      <w:pPr>
        <w:pStyle w:val="50"/>
        <w:shd w:val="clear" w:color="auto" w:fill="auto"/>
        <w:ind w:firstLine="422"/>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4.本项目为非单一产品采购，本项目的核心产品是1.</w:t>
      </w:r>
      <w:r>
        <w:rPr>
          <w:rFonts w:hint="eastAsia" w:ascii="宋体" w:hAnsi="宋体" w:eastAsia="宋体" w:cs="宋体"/>
          <w:i w:val="0"/>
          <w:iCs w:val="0"/>
          <w:color w:val="auto"/>
          <w:kern w:val="0"/>
          <w:sz w:val="21"/>
          <w:szCs w:val="21"/>
          <w:u w:val="none"/>
          <w:lang w:val="en-US" w:eastAsia="zh-CN" w:bidi="ar"/>
        </w:rPr>
        <w:t>治疗型电子鼻咽喉软镜。</w:t>
      </w:r>
    </w:p>
    <w:p w14:paraId="0B46E42C">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5.当多家投标人提供的核心产品品</w:t>
      </w:r>
      <w:r>
        <w:rPr>
          <w:rFonts w:hint="eastAsia" w:ascii="宋体" w:hAnsi="宋体" w:eastAsia="宋体" w:cs="宋体"/>
          <w:i w:val="0"/>
          <w:iCs w:val="0"/>
          <w:color w:val="000000"/>
          <w:kern w:val="0"/>
          <w:sz w:val="21"/>
          <w:szCs w:val="21"/>
          <w:u w:val="none"/>
          <w:lang w:val="en-US" w:eastAsia="zh-CN" w:bidi="ar"/>
        </w:rPr>
        <w:t>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5453A9EA">
      <w:pPr>
        <w:pStyle w:val="10"/>
        <w:numPr>
          <w:ilvl w:val="0"/>
          <w:numId w:val="0"/>
        </w:numPr>
        <w:tabs>
          <w:tab w:val="left" w:pos="540"/>
        </w:tabs>
        <w:adjustRightInd w:val="0"/>
        <w:snapToGrid w:val="0"/>
        <w:spacing w:line="360" w:lineRule="auto"/>
        <w:ind w:leftChars="0"/>
        <w:outlineLvl w:val="9"/>
        <w:rPr>
          <w:rFonts w:hAnsi="宋体"/>
          <w:b/>
          <w:color w:val="auto"/>
        </w:rPr>
      </w:pPr>
    </w:p>
    <w:p w14:paraId="705CA8FA">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技术要求：</w:t>
      </w:r>
    </w:p>
    <w:tbl>
      <w:tblPr>
        <w:tblStyle w:val="18"/>
        <w:tblW w:w="964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754"/>
        <w:gridCol w:w="6743"/>
        <w:gridCol w:w="1152"/>
      </w:tblGrid>
      <w:tr w14:paraId="7FB416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tcBorders>
              <w:tl2br w:val="nil"/>
              <w:tr2bl w:val="nil"/>
            </w:tcBorders>
            <w:shd w:val="clear" w:color="auto" w:fill="EEECE1" w:themeFill="background2"/>
            <w:vAlign w:val="center"/>
          </w:tcPr>
          <w:p w14:paraId="44747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6743" w:type="dxa"/>
            <w:tcBorders>
              <w:tl2br w:val="nil"/>
              <w:tr2bl w:val="nil"/>
            </w:tcBorders>
            <w:shd w:val="clear" w:color="auto" w:fill="EEECE1" w:themeFill="background2"/>
            <w:vAlign w:val="center"/>
          </w:tcPr>
          <w:p w14:paraId="45189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技术要求</w:t>
            </w:r>
          </w:p>
        </w:tc>
        <w:tc>
          <w:tcPr>
            <w:tcW w:w="1152" w:type="dxa"/>
            <w:tcBorders>
              <w:tl2br w:val="nil"/>
              <w:tr2bl w:val="nil"/>
            </w:tcBorders>
            <w:shd w:val="clear" w:color="auto" w:fill="EEECE1" w:themeFill="background2"/>
            <w:vAlign w:val="center"/>
          </w:tcPr>
          <w:p w14:paraId="653EA3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标注</w:t>
            </w:r>
          </w:p>
        </w:tc>
      </w:tr>
      <w:tr w14:paraId="3A1E62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restart"/>
            <w:tcBorders>
              <w:tl2br w:val="nil"/>
              <w:tr2bl w:val="nil"/>
            </w:tcBorders>
            <w:shd w:val="clear" w:color="auto" w:fill="auto"/>
            <w:vAlign w:val="center"/>
          </w:tcPr>
          <w:p w14:paraId="1ED5D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snapToGrid/>
                <w:color w:val="auto"/>
                <w:spacing w:val="0"/>
                <w:kern w:val="2"/>
                <w:sz w:val="21"/>
                <w:szCs w:val="24"/>
                <w:highlight w:val="none"/>
                <w:lang w:val="en-US" w:eastAsia="zh-CN" w:bidi="ar-SA"/>
              </w:rPr>
              <w:t>治疗型电子鼻咽喉软镜系统</w:t>
            </w:r>
          </w:p>
        </w:tc>
        <w:tc>
          <w:tcPr>
            <w:tcW w:w="6743" w:type="dxa"/>
            <w:tcBorders>
              <w:tl2br w:val="nil"/>
              <w:tr2bl w:val="nil"/>
            </w:tcBorders>
            <w:shd w:val="clear" w:color="auto" w:fill="auto"/>
            <w:vAlign w:val="center"/>
          </w:tcPr>
          <w:p w14:paraId="2F55B7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一、治疗型电子鼻咽喉软镜</w:t>
            </w:r>
          </w:p>
        </w:tc>
        <w:tc>
          <w:tcPr>
            <w:tcW w:w="1152" w:type="dxa"/>
            <w:tcBorders>
              <w:tl2br w:val="nil"/>
              <w:tr2bl w:val="nil"/>
            </w:tcBorders>
            <w:shd w:val="clear" w:color="auto" w:fill="auto"/>
            <w:vAlign w:val="center"/>
          </w:tcPr>
          <w:p w14:paraId="2DFC33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DF83D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FFD2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9FED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1.采用CMOS图像传感器成像</w:t>
            </w:r>
          </w:p>
        </w:tc>
        <w:tc>
          <w:tcPr>
            <w:tcW w:w="1152" w:type="dxa"/>
            <w:tcBorders>
              <w:tl2br w:val="nil"/>
              <w:tr2bl w:val="nil"/>
            </w:tcBorders>
            <w:shd w:val="clear" w:color="auto" w:fill="auto"/>
            <w:vAlign w:val="center"/>
          </w:tcPr>
          <w:p w14:paraId="0CF639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DCD2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6945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18FB5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2.工作长度≥450mm</w:t>
            </w:r>
          </w:p>
        </w:tc>
        <w:tc>
          <w:tcPr>
            <w:tcW w:w="1152" w:type="dxa"/>
            <w:tcBorders>
              <w:tl2br w:val="nil"/>
              <w:tr2bl w:val="nil"/>
            </w:tcBorders>
            <w:shd w:val="clear" w:color="auto" w:fill="auto"/>
            <w:vAlign w:val="center"/>
          </w:tcPr>
          <w:p w14:paraId="12E2BA94">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snapToGrid/>
                <w:color w:val="auto"/>
                <w:spacing w:val="0"/>
                <w:kern w:val="2"/>
                <w:sz w:val="21"/>
                <w:szCs w:val="24"/>
                <w:highlight w:val="none"/>
                <w:lang w:val="en-US" w:eastAsia="zh-CN" w:bidi="ar-SA"/>
              </w:rPr>
            </w:pPr>
          </w:p>
        </w:tc>
      </w:tr>
      <w:tr w14:paraId="7182CB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03FD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A8F034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3.全长≥700mm</w:t>
            </w:r>
          </w:p>
        </w:tc>
        <w:tc>
          <w:tcPr>
            <w:tcW w:w="1152" w:type="dxa"/>
            <w:tcBorders>
              <w:tl2br w:val="nil"/>
              <w:tr2bl w:val="nil"/>
            </w:tcBorders>
            <w:shd w:val="clear" w:color="auto" w:fill="auto"/>
            <w:vAlign w:val="center"/>
          </w:tcPr>
          <w:p w14:paraId="3F7166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12A03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0D00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A20FF2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4.视场角≥120°</w:t>
            </w:r>
          </w:p>
        </w:tc>
        <w:tc>
          <w:tcPr>
            <w:tcW w:w="1152" w:type="dxa"/>
            <w:tcBorders>
              <w:tl2br w:val="nil"/>
              <w:tr2bl w:val="nil"/>
            </w:tcBorders>
            <w:shd w:val="clear" w:color="auto" w:fill="auto"/>
            <w:vAlign w:val="center"/>
          </w:tcPr>
          <w:p w14:paraId="5ACDD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05E510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A268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B8D9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5.软镜可重复消毒使用，景深：2-50mm,头端部外径≤5.0mm,钳道孔径≥2.0mm(需提供产品彩页或厂家技术白皮书佐证）</w:t>
            </w:r>
          </w:p>
        </w:tc>
        <w:tc>
          <w:tcPr>
            <w:tcW w:w="1152" w:type="dxa"/>
            <w:tcBorders>
              <w:tl2br w:val="nil"/>
              <w:tr2bl w:val="nil"/>
            </w:tcBorders>
            <w:shd w:val="clear" w:color="auto" w:fill="auto"/>
            <w:vAlign w:val="center"/>
          </w:tcPr>
          <w:p w14:paraId="40779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1F122D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F7A4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762FD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6.主软管外径≤5.0mm</w:t>
            </w:r>
          </w:p>
        </w:tc>
        <w:tc>
          <w:tcPr>
            <w:tcW w:w="1152" w:type="dxa"/>
            <w:tcBorders>
              <w:tl2br w:val="nil"/>
              <w:tr2bl w:val="nil"/>
            </w:tcBorders>
            <w:shd w:val="clear" w:color="auto" w:fill="auto"/>
            <w:vAlign w:val="center"/>
          </w:tcPr>
          <w:p w14:paraId="40C455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71241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C26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6EED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7.配备防水帽全密封式设计</w:t>
            </w:r>
          </w:p>
        </w:tc>
        <w:tc>
          <w:tcPr>
            <w:tcW w:w="1152" w:type="dxa"/>
            <w:tcBorders>
              <w:tl2br w:val="nil"/>
              <w:tr2bl w:val="nil"/>
            </w:tcBorders>
            <w:shd w:val="clear" w:color="auto" w:fill="auto"/>
            <w:vAlign w:val="center"/>
          </w:tcPr>
          <w:p w14:paraId="6DB346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EEC1B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D85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F8EDE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8.弯曲角度上≥130°，下≥130°</w:t>
            </w:r>
          </w:p>
        </w:tc>
        <w:tc>
          <w:tcPr>
            <w:tcW w:w="1152" w:type="dxa"/>
            <w:tcBorders>
              <w:tl2br w:val="nil"/>
              <w:tr2bl w:val="nil"/>
            </w:tcBorders>
            <w:shd w:val="clear" w:color="auto" w:fill="auto"/>
            <w:vAlign w:val="center"/>
          </w:tcPr>
          <w:p w14:paraId="6BBDF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814F4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BCDF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DAC1A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9.兼容高频电装置治疗和激光装置</w:t>
            </w:r>
          </w:p>
        </w:tc>
        <w:tc>
          <w:tcPr>
            <w:tcW w:w="1152" w:type="dxa"/>
            <w:tcBorders>
              <w:tl2br w:val="nil"/>
              <w:tr2bl w:val="nil"/>
            </w:tcBorders>
            <w:shd w:val="clear" w:color="auto" w:fill="auto"/>
            <w:vAlign w:val="center"/>
          </w:tcPr>
          <w:p w14:paraId="53586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9FA9B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9674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E55D93A">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10.采用外接医用LED冷光源，非鼻咽喉镜先端内置LED灯泡(需提供产品彩页或厂家技术白皮书佐证）</w:t>
            </w:r>
          </w:p>
        </w:tc>
        <w:tc>
          <w:tcPr>
            <w:tcW w:w="1152" w:type="dxa"/>
            <w:tcBorders>
              <w:tl2br w:val="nil"/>
              <w:tr2bl w:val="nil"/>
            </w:tcBorders>
            <w:shd w:val="clear" w:color="auto" w:fill="auto"/>
            <w:vAlign w:val="center"/>
          </w:tcPr>
          <w:p w14:paraId="535887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09818C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2EF7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33A52E5">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11.具备≥2个自定义功能按钮，可根据操作习惯设置不同功能</w:t>
            </w:r>
          </w:p>
        </w:tc>
        <w:tc>
          <w:tcPr>
            <w:tcW w:w="1152" w:type="dxa"/>
            <w:tcBorders>
              <w:tl2br w:val="nil"/>
              <w:tr2bl w:val="nil"/>
            </w:tcBorders>
            <w:shd w:val="clear" w:color="auto" w:fill="auto"/>
            <w:vAlign w:val="center"/>
          </w:tcPr>
          <w:p w14:paraId="738282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1873B04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F23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CB5B82C">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二、电子内窥镜图像处理器</w:t>
            </w:r>
          </w:p>
        </w:tc>
        <w:tc>
          <w:tcPr>
            <w:tcW w:w="1152" w:type="dxa"/>
            <w:tcBorders>
              <w:tl2br w:val="nil"/>
              <w:tr2bl w:val="nil"/>
            </w:tcBorders>
            <w:shd w:val="clear" w:color="auto" w:fill="auto"/>
            <w:vAlign w:val="center"/>
          </w:tcPr>
          <w:p w14:paraId="0BC08A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46C9D80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96BC4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73D5104">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12.具备图像增强功能：强调黏膜形态或轮廓，增加内镜图像的锐度</w:t>
            </w:r>
          </w:p>
        </w:tc>
        <w:tc>
          <w:tcPr>
            <w:tcW w:w="1152" w:type="dxa"/>
            <w:tcBorders>
              <w:tl2br w:val="nil"/>
              <w:tr2bl w:val="nil"/>
            </w:tcBorders>
            <w:shd w:val="clear" w:color="auto" w:fill="auto"/>
            <w:vAlign w:val="center"/>
          </w:tcPr>
          <w:p w14:paraId="1D20A2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6D24B4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B577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B746C31">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13.具备红色增强功能，凸显强调黏膜毛细血管形态</w:t>
            </w:r>
          </w:p>
        </w:tc>
        <w:tc>
          <w:tcPr>
            <w:tcW w:w="1152" w:type="dxa"/>
            <w:tcBorders>
              <w:tl2br w:val="nil"/>
              <w:tr2bl w:val="nil"/>
            </w:tcBorders>
            <w:shd w:val="clear" w:color="auto" w:fill="auto"/>
            <w:vAlign w:val="center"/>
          </w:tcPr>
          <w:p w14:paraId="52EB8C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54F75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E43A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F24F61">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14.色彩调节：具备红色、绿色、蓝色调节：≥±50级可调（需提供产品彩页或产品说明书或技术白皮书佐证）</w:t>
            </w:r>
          </w:p>
        </w:tc>
        <w:tc>
          <w:tcPr>
            <w:tcW w:w="1152" w:type="dxa"/>
            <w:tcBorders>
              <w:tl2br w:val="nil"/>
              <w:tr2bl w:val="nil"/>
            </w:tcBorders>
            <w:shd w:val="clear" w:color="auto" w:fill="auto"/>
            <w:vAlign w:val="center"/>
          </w:tcPr>
          <w:p w14:paraId="11F5D7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2C96D0E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8547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74C98CF">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15.亮度调节：可以调整图像亮度，≥±50级可调（需提供产品彩页或产品说明书或技术白皮书佐证）</w:t>
            </w:r>
          </w:p>
        </w:tc>
        <w:tc>
          <w:tcPr>
            <w:tcW w:w="1152" w:type="dxa"/>
            <w:tcBorders>
              <w:tl2br w:val="nil"/>
              <w:tr2bl w:val="nil"/>
            </w:tcBorders>
            <w:shd w:val="clear" w:color="auto" w:fill="auto"/>
            <w:vAlign w:val="center"/>
          </w:tcPr>
          <w:p w14:paraId="5ED658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2D6DB6B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E3E5A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319ECE9">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16.可冻结实时图像，保存的图像可回放</w:t>
            </w:r>
          </w:p>
        </w:tc>
        <w:tc>
          <w:tcPr>
            <w:tcW w:w="1152" w:type="dxa"/>
            <w:tcBorders>
              <w:tl2br w:val="nil"/>
              <w:tr2bl w:val="nil"/>
            </w:tcBorders>
            <w:shd w:val="clear" w:color="auto" w:fill="auto"/>
            <w:vAlign w:val="center"/>
          </w:tcPr>
          <w:p w14:paraId="6E6AC0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300B9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A19F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E6773C">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17.具备平均测光和峰值测光模式等多种测光模式</w:t>
            </w:r>
          </w:p>
        </w:tc>
        <w:tc>
          <w:tcPr>
            <w:tcW w:w="1152" w:type="dxa"/>
            <w:tcBorders>
              <w:tl2br w:val="nil"/>
              <w:tr2bl w:val="nil"/>
            </w:tcBorders>
            <w:shd w:val="clear" w:color="auto" w:fill="auto"/>
            <w:vAlign w:val="center"/>
          </w:tcPr>
          <w:p w14:paraId="2EA107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633C80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DA1A8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BD4319B">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18.可兼容电子胃镜、肠镜、支气管镜、鼻咽喉镜（需提供产品彩页或产品说明书或技术白皮书佐证）  </w:t>
            </w:r>
          </w:p>
        </w:tc>
        <w:tc>
          <w:tcPr>
            <w:tcW w:w="1152" w:type="dxa"/>
            <w:tcBorders>
              <w:tl2br w:val="nil"/>
              <w:tr2bl w:val="nil"/>
            </w:tcBorders>
            <w:shd w:val="clear" w:color="auto" w:fill="auto"/>
            <w:vAlign w:val="center"/>
          </w:tcPr>
          <w:p w14:paraId="156E24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F0772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10B8C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0EDEDC5">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19.具备≥2个USB接口，可存储视频和图片，具备摄像和拍照功能，一键录入，方便快捷</w:t>
            </w:r>
          </w:p>
        </w:tc>
        <w:tc>
          <w:tcPr>
            <w:tcW w:w="1152" w:type="dxa"/>
            <w:tcBorders>
              <w:tl2br w:val="nil"/>
              <w:tr2bl w:val="nil"/>
            </w:tcBorders>
            <w:shd w:val="clear" w:color="auto" w:fill="auto"/>
            <w:vAlign w:val="center"/>
          </w:tcPr>
          <w:p w14:paraId="55E939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3F1593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F1106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2A1817">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20.具备白平衡功能</w:t>
            </w:r>
          </w:p>
        </w:tc>
        <w:tc>
          <w:tcPr>
            <w:tcW w:w="1152" w:type="dxa"/>
            <w:tcBorders>
              <w:tl2br w:val="nil"/>
              <w:tr2bl w:val="nil"/>
            </w:tcBorders>
            <w:shd w:val="clear" w:color="auto" w:fill="auto"/>
            <w:vAlign w:val="center"/>
          </w:tcPr>
          <w:p w14:paraId="32E320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64C8F8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C4B3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E2B92B0">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21.兼容高频电装置治疗和激光装置</w:t>
            </w:r>
          </w:p>
        </w:tc>
        <w:tc>
          <w:tcPr>
            <w:tcW w:w="1152" w:type="dxa"/>
            <w:tcBorders>
              <w:tl2br w:val="nil"/>
              <w:tr2bl w:val="nil"/>
            </w:tcBorders>
            <w:shd w:val="clear" w:color="auto" w:fill="auto"/>
            <w:vAlign w:val="center"/>
          </w:tcPr>
          <w:p w14:paraId="510CDC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84804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CB3E1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71F5482">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22.具备结构强调功能，凸显内镜图像的边缘和轮廓</w:t>
            </w:r>
          </w:p>
        </w:tc>
        <w:tc>
          <w:tcPr>
            <w:tcW w:w="1152" w:type="dxa"/>
            <w:tcBorders>
              <w:tl2br w:val="nil"/>
              <w:tr2bl w:val="nil"/>
            </w:tcBorders>
            <w:shd w:val="clear" w:color="auto" w:fill="auto"/>
            <w:vAlign w:val="center"/>
          </w:tcPr>
          <w:p w14:paraId="79666D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C90B9D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E99A4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2BD8679">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三、内窥镜冷光源</w:t>
            </w:r>
          </w:p>
        </w:tc>
        <w:tc>
          <w:tcPr>
            <w:tcW w:w="1152" w:type="dxa"/>
            <w:tcBorders>
              <w:tl2br w:val="nil"/>
              <w:tr2bl w:val="nil"/>
            </w:tcBorders>
            <w:shd w:val="clear" w:color="auto" w:fill="auto"/>
            <w:vAlign w:val="center"/>
          </w:tcPr>
          <w:p w14:paraId="76AEBB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B22E9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4C7E9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A89DD4B">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23.内窥镜图像处理器与光源分体式设计，具备独立的电源与散热系统。（需提供产品彩页或产品说明书或技术白皮书佐证）  </w:t>
            </w:r>
          </w:p>
        </w:tc>
        <w:tc>
          <w:tcPr>
            <w:tcW w:w="1152" w:type="dxa"/>
            <w:tcBorders>
              <w:tl2br w:val="nil"/>
              <w:tr2bl w:val="nil"/>
            </w:tcBorders>
            <w:shd w:val="clear" w:color="auto" w:fill="auto"/>
            <w:vAlign w:val="center"/>
          </w:tcPr>
          <w:p w14:paraId="63F6D1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F8B67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B0A5E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271F025">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24.独立内窥镜冷光源：内置LED灯</w:t>
            </w:r>
          </w:p>
        </w:tc>
        <w:tc>
          <w:tcPr>
            <w:tcW w:w="1152" w:type="dxa"/>
            <w:tcBorders>
              <w:tl2br w:val="nil"/>
              <w:tr2bl w:val="nil"/>
            </w:tcBorders>
            <w:shd w:val="clear" w:color="auto" w:fill="auto"/>
            <w:vAlign w:val="center"/>
          </w:tcPr>
          <w:p w14:paraId="5C0E04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CACB5A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60003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3E0BB9F">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25.光源使用寿命≥10000小时（需提供产品彩页或技术白皮书佐证）</w:t>
            </w:r>
          </w:p>
        </w:tc>
        <w:tc>
          <w:tcPr>
            <w:tcW w:w="1152" w:type="dxa"/>
            <w:tcBorders>
              <w:tl2br w:val="nil"/>
              <w:tr2bl w:val="nil"/>
            </w:tcBorders>
            <w:shd w:val="clear" w:color="auto" w:fill="auto"/>
            <w:vAlign w:val="center"/>
          </w:tcPr>
          <w:p w14:paraId="7191C6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03DDB9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3322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21AEAA0">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26.显色指数：≥90</w:t>
            </w:r>
          </w:p>
        </w:tc>
        <w:tc>
          <w:tcPr>
            <w:tcW w:w="1152" w:type="dxa"/>
            <w:tcBorders>
              <w:tl2br w:val="nil"/>
              <w:tr2bl w:val="nil"/>
            </w:tcBorders>
            <w:shd w:val="clear" w:color="auto" w:fill="auto"/>
            <w:vAlign w:val="center"/>
          </w:tcPr>
          <w:p w14:paraId="18C80F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57AEE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FF850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49DAD1F">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27.具备手动调光模式，≥12档可调</w:t>
            </w:r>
          </w:p>
        </w:tc>
        <w:tc>
          <w:tcPr>
            <w:tcW w:w="1152" w:type="dxa"/>
            <w:tcBorders>
              <w:tl2br w:val="nil"/>
              <w:tr2bl w:val="nil"/>
            </w:tcBorders>
            <w:shd w:val="clear" w:color="auto" w:fill="auto"/>
            <w:vAlign w:val="center"/>
          </w:tcPr>
          <w:p w14:paraId="53B95C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9C59D9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2DB0D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E457764">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28.输出光通量60lm，允差±5%，色温至少包含3000K-7000K</w:t>
            </w:r>
          </w:p>
        </w:tc>
        <w:tc>
          <w:tcPr>
            <w:tcW w:w="1152" w:type="dxa"/>
            <w:tcBorders>
              <w:tl2br w:val="nil"/>
              <w:tr2bl w:val="nil"/>
            </w:tcBorders>
            <w:shd w:val="clear" w:color="auto" w:fill="auto"/>
            <w:vAlign w:val="center"/>
          </w:tcPr>
          <w:p w14:paraId="5FBCEC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EFBA63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30860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267299F">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29.气泵压力至少包含40-90Kpa,≥3档可调</w:t>
            </w:r>
          </w:p>
        </w:tc>
        <w:tc>
          <w:tcPr>
            <w:tcW w:w="1152" w:type="dxa"/>
            <w:tcBorders>
              <w:tl2br w:val="nil"/>
              <w:tr2bl w:val="nil"/>
            </w:tcBorders>
            <w:shd w:val="clear" w:color="auto" w:fill="auto"/>
            <w:vAlign w:val="center"/>
          </w:tcPr>
          <w:p w14:paraId="62747C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bl>
    <w:p w14:paraId="1EBD2FE2">
      <w:pPr>
        <w:pStyle w:val="10"/>
        <w:tabs>
          <w:tab w:val="left" w:pos="420"/>
          <w:tab w:val="left" w:pos="540"/>
        </w:tabs>
        <w:adjustRightInd w:val="0"/>
        <w:snapToGrid w:val="0"/>
        <w:spacing w:line="360" w:lineRule="auto"/>
        <w:rPr>
          <w:rFonts w:hAnsi="宋体"/>
          <w:b/>
          <w:color w:val="auto"/>
        </w:rPr>
      </w:pPr>
    </w:p>
    <w:p w14:paraId="7C2FC4C4">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ascii="宋体" w:hAnsi="宋体" w:cs="宋体"/>
          <w:b/>
          <w:sz w:val="24"/>
        </w:rPr>
        <w:t>★</w:t>
      </w:r>
      <w:r>
        <w:rPr>
          <w:rFonts w:hint="eastAsia" w:hAnsi="宋体"/>
          <w:b/>
          <w:color w:val="auto"/>
        </w:rPr>
        <w:t>商务要求：</w:t>
      </w:r>
    </w:p>
    <w:tbl>
      <w:tblPr>
        <w:tblStyle w:val="18"/>
        <w:tblW w:w="9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8683"/>
      </w:tblGrid>
      <w:tr w14:paraId="36F6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A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4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商务条款</w:t>
            </w:r>
          </w:p>
        </w:tc>
      </w:tr>
      <w:tr w14:paraId="3F86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1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AC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交货时间：合同签订并接院方通知后15日内。</w:t>
            </w:r>
          </w:p>
        </w:tc>
      </w:tr>
      <w:tr w14:paraId="35A0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C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8A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免费保修期：系指中标供应商提供的产品在非使用者人为破坏情况下，出现任何质量问题造成产品不能使用时，由中标供应商免费维修、更换以确保产品正常使用的时间期限。此时间期限从设备验收合格之日起计算。具体是指设备验收合格后3年内 。</w:t>
            </w:r>
          </w:p>
        </w:tc>
      </w:tr>
      <w:tr w14:paraId="262F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A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53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中标方应保证设备是全新、未使用过的原装合格正品（包括零部件），设备到达院方安装现场时外包装应完好无损。进口产品生产日期在采购人收到货物日期前</w:t>
            </w:r>
            <w:r>
              <w:rPr>
                <w:rFonts w:hint="default" w:ascii="宋体" w:hAnsi="宋体" w:eastAsia="宋体" w:cs="宋体"/>
                <w:i w:val="0"/>
                <w:iCs w:val="0"/>
                <w:color w:val="auto"/>
                <w:kern w:val="0"/>
                <w:sz w:val="21"/>
                <w:szCs w:val="21"/>
                <w:u w:val="none"/>
                <w:lang w:val="en-US" w:eastAsia="zh-CN" w:bidi="ar"/>
              </w:rPr>
              <w:t>12</w:t>
            </w:r>
            <w:r>
              <w:rPr>
                <w:rFonts w:hint="eastAsia" w:ascii="宋体" w:hAnsi="宋体" w:eastAsia="宋体" w:cs="宋体"/>
                <w:i w:val="0"/>
                <w:iCs w:val="0"/>
                <w:color w:val="auto"/>
                <w:kern w:val="0"/>
                <w:sz w:val="21"/>
                <w:szCs w:val="21"/>
                <w:u w:val="none"/>
                <w:lang w:val="en-US" w:eastAsia="zh-CN" w:bidi="ar"/>
              </w:rPr>
              <w:t>个月内，本国产品生产日期在采购人收到货物日期前</w:t>
            </w:r>
            <w:r>
              <w:rPr>
                <w:rFonts w:hint="default" w:ascii="宋体" w:hAnsi="宋体" w:eastAsia="宋体" w:cs="宋体"/>
                <w:i w:val="0"/>
                <w:iCs w:val="0"/>
                <w:color w:val="auto"/>
                <w:kern w:val="0"/>
                <w:sz w:val="21"/>
                <w:szCs w:val="21"/>
                <w:u w:val="none"/>
                <w:lang w:val="en-US" w:eastAsia="zh-CN" w:bidi="ar"/>
              </w:rPr>
              <w:t>6</w:t>
            </w:r>
            <w:r>
              <w:rPr>
                <w:rFonts w:hint="eastAsia" w:ascii="宋体" w:hAnsi="宋体" w:eastAsia="宋体" w:cs="宋体"/>
                <w:i w:val="0"/>
                <w:iCs w:val="0"/>
                <w:color w:val="auto"/>
                <w:kern w:val="0"/>
                <w:sz w:val="21"/>
                <w:szCs w:val="21"/>
                <w:u w:val="none"/>
                <w:lang w:val="en-US" w:eastAsia="zh-CN" w:bidi="ar"/>
              </w:rPr>
              <w:t>个月内，最新生产批次且经检验合格的产品。</w:t>
            </w:r>
          </w:p>
        </w:tc>
      </w:tr>
      <w:tr w14:paraId="782E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6A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DB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随设备向院方交付设备中文版《使用说明书》《医疗器械生产企业许可证》《医疗器械经营企业许可证》《医疗器械注册证》等与本合同设备使用有关的所有资料。如为进口设备，中标方还应提供进口设备原产地证、检测报告、《进口医疗器械注册证》、检验检疫证明、进口报关手续等资料。</w:t>
            </w:r>
          </w:p>
        </w:tc>
      </w:tr>
      <w:tr w14:paraId="3003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8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E2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验收日期前中标方必须完成合同约定的各项培训，包括对院方相关人员进行设备使用培训及日常保养培训并提供培训记录。现场验收时中标方需提供必要的技术支持并协助院方完成各项指标和功能的测试，否则因验收延误产生的后果由中标方负责。</w:t>
            </w:r>
          </w:p>
        </w:tc>
      </w:tr>
      <w:tr w14:paraId="68DB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9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41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货到安装、调试验收合格后，中标方应按本合同全额价款出具正规税务发票，院方财务科收到中标方发票等相关资料后</w:t>
            </w:r>
            <w:r>
              <w:rPr>
                <w:rFonts w:hint="default" w:ascii="宋体" w:hAnsi="宋体" w:eastAsia="宋体" w:cs="宋体"/>
                <w:i w:val="0"/>
                <w:iCs w:val="0"/>
                <w:color w:val="auto"/>
                <w:kern w:val="0"/>
                <w:sz w:val="21"/>
                <w:szCs w:val="21"/>
                <w:u w:val="none"/>
                <w:lang w:val="en-US" w:eastAsia="zh-CN" w:bidi="ar"/>
              </w:rPr>
              <w:t>10</w:t>
            </w:r>
            <w:r>
              <w:rPr>
                <w:rFonts w:hint="eastAsia" w:ascii="宋体" w:hAnsi="宋体" w:eastAsia="宋体" w:cs="宋体"/>
                <w:i w:val="0"/>
                <w:iCs w:val="0"/>
                <w:color w:val="auto"/>
                <w:kern w:val="0"/>
                <w:sz w:val="21"/>
                <w:szCs w:val="21"/>
                <w:u w:val="none"/>
                <w:lang w:val="en-US" w:eastAsia="zh-CN" w:bidi="ar"/>
              </w:rPr>
              <w:t>个工作日内向中标方支付合同全款。</w:t>
            </w:r>
          </w:p>
        </w:tc>
      </w:tr>
      <w:tr w14:paraId="09FD4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2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B75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设备出现故障时中标方应在接到院方通知时</w:t>
            </w:r>
            <w:r>
              <w:rPr>
                <w:rFonts w:hint="default" w:ascii="宋体" w:hAnsi="宋体" w:eastAsia="宋体" w:cs="宋体"/>
                <w:i w:val="0"/>
                <w:iCs w:val="0"/>
                <w:color w:val="auto"/>
                <w:kern w:val="0"/>
                <w:sz w:val="21"/>
                <w:szCs w:val="21"/>
                <w:u w:val="none"/>
                <w:lang w:val="en-US" w:eastAsia="zh-CN" w:bidi="ar"/>
              </w:rPr>
              <w:t>4</w:t>
            </w:r>
            <w:r>
              <w:rPr>
                <w:rFonts w:hint="eastAsia" w:ascii="宋体" w:hAnsi="宋体" w:eastAsia="宋体" w:cs="宋体"/>
                <w:i w:val="0"/>
                <w:iCs w:val="0"/>
                <w:color w:val="auto"/>
                <w:kern w:val="0"/>
                <w:sz w:val="21"/>
                <w:szCs w:val="21"/>
                <w:u w:val="none"/>
                <w:lang w:val="en-US" w:eastAsia="zh-CN" w:bidi="ar"/>
              </w:rPr>
              <w:t>小时响应，</w:t>
            </w:r>
            <w:r>
              <w:rPr>
                <w:rFonts w:hint="default" w:ascii="宋体" w:hAnsi="宋体" w:eastAsia="宋体" w:cs="宋体"/>
                <w:i w:val="0"/>
                <w:iCs w:val="0"/>
                <w:color w:val="auto"/>
                <w:kern w:val="0"/>
                <w:sz w:val="21"/>
                <w:szCs w:val="21"/>
                <w:u w:val="none"/>
                <w:lang w:val="en-US" w:eastAsia="zh-CN" w:bidi="ar"/>
              </w:rPr>
              <w:t>24</w:t>
            </w:r>
            <w:r>
              <w:rPr>
                <w:rFonts w:hint="eastAsia" w:ascii="宋体" w:hAnsi="宋体" w:eastAsia="宋体" w:cs="宋体"/>
                <w:i w:val="0"/>
                <w:iCs w:val="0"/>
                <w:color w:val="auto"/>
                <w:kern w:val="0"/>
                <w:sz w:val="21"/>
                <w:szCs w:val="21"/>
                <w:u w:val="none"/>
                <w:lang w:val="en-US" w:eastAsia="zh-CN" w:bidi="ar"/>
              </w:rPr>
              <w:t>小时内到位，若中标方未能在</w:t>
            </w:r>
            <w:r>
              <w:rPr>
                <w:rFonts w:hint="default" w:ascii="宋体" w:hAnsi="宋体" w:eastAsia="宋体" w:cs="宋体"/>
                <w:i w:val="0"/>
                <w:iCs w:val="0"/>
                <w:color w:val="auto"/>
                <w:kern w:val="0"/>
                <w:sz w:val="21"/>
                <w:szCs w:val="21"/>
                <w:u w:val="none"/>
                <w:lang w:val="en-US" w:eastAsia="zh-CN" w:bidi="ar"/>
              </w:rPr>
              <w:t>24</w:t>
            </w:r>
            <w:r>
              <w:rPr>
                <w:rFonts w:hint="eastAsia" w:ascii="宋体" w:hAnsi="宋体" w:eastAsia="宋体" w:cs="宋体"/>
                <w:i w:val="0"/>
                <w:iCs w:val="0"/>
                <w:color w:val="auto"/>
                <w:kern w:val="0"/>
                <w:sz w:val="21"/>
                <w:szCs w:val="21"/>
                <w:u w:val="none"/>
                <w:lang w:val="en-US" w:eastAsia="zh-CN" w:bidi="ar"/>
              </w:rPr>
              <w:t>小时内消除障碍，院方有权聘请第三方消除障碍，所发生的费用由中标方全部承担。维保期内每年提供不少于2次的维护保养，并按照产品说明书提供具体维护保养内容。</w:t>
            </w:r>
          </w:p>
        </w:tc>
      </w:tr>
      <w:tr w14:paraId="7F376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0E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32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如中标设备需要医院信息端口，则由中标方负责医院信息系统端口连接的安装工作及费用（包含信息系统方的接口开发费），医院协助中标方完成信息系统安装，确保设备稳定运行。</w:t>
            </w:r>
          </w:p>
        </w:tc>
      </w:tr>
      <w:tr w14:paraId="4982C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957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D9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需提供设备使用年限（提供设备铭牌标签或产品说明书佐证，非单一产品提供核心产品使用年限）。</w:t>
            </w:r>
          </w:p>
        </w:tc>
      </w:tr>
    </w:tbl>
    <w:p w14:paraId="5F5E8381">
      <w:pPr>
        <w:rPr>
          <w:rFonts w:hint="eastAsia" w:asciiTheme="majorEastAsia" w:hAnsiTheme="majorEastAsia" w:eastAsiaTheme="majorEastAsia" w:cstheme="majorEastAsia"/>
          <w:kern w:val="2"/>
          <w:sz w:val="32"/>
          <w:szCs w:val="32"/>
          <w:lang w:val="en-US" w:eastAsia="zh-CN" w:bidi="ar-SA"/>
        </w:rPr>
      </w:pPr>
    </w:p>
    <w:p w14:paraId="0E8FC5E4">
      <w:pPr>
        <w:rPr>
          <w:rFonts w:hint="eastAsia" w:asciiTheme="majorEastAsia" w:hAnsiTheme="majorEastAsia" w:eastAsiaTheme="majorEastAsia" w:cstheme="majorEastAsia"/>
          <w:kern w:val="2"/>
          <w:sz w:val="32"/>
          <w:szCs w:val="32"/>
          <w:lang w:val="en-US" w:eastAsia="zh-CN" w:bidi="ar-SA"/>
        </w:rPr>
      </w:pPr>
    </w:p>
    <w:p w14:paraId="6A75F3C1">
      <w:pPr>
        <w:rPr>
          <w:rFonts w:hint="eastAsia" w:asciiTheme="majorEastAsia" w:hAnsiTheme="majorEastAsia" w:eastAsiaTheme="majorEastAsia" w:cstheme="majorEastAsia"/>
          <w:kern w:val="2"/>
          <w:sz w:val="32"/>
          <w:szCs w:val="32"/>
          <w:lang w:val="en-US" w:eastAsia="zh-CN" w:bidi="ar-SA"/>
        </w:rPr>
      </w:pPr>
    </w:p>
    <w:p w14:paraId="07FDDC1F">
      <w:pPr>
        <w:rPr>
          <w:rFonts w:hint="eastAsia" w:asciiTheme="majorEastAsia" w:hAnsiTheme="majorEastAsia" w:eastAsiaTheme="majorEastAsia" w:cstheme="majorEastAsia"/>
          <w:kern w:val="2"/>
          <w:sz w:val="32"/>
          <w:szCs w:val="32"/>
          <w:lang w:val="en-US" w:eastAsia="zh-CN" w:bidi="ar-SA"/>
        </w:rPr>
      </w:pPr>
    </w:p>
    <w:p w14:paraId="750FBE2E">
      <w:pPr>
        <w:rPr>
          <w:rFonts w:hint="eastAsia" w:asciiTheme="majorEastAsia" w:hAnsiTheme="majorEastAsia" w:eastAsiaTheme="majorEastAsia" w:cstheme="majorEastAsia"/>
          <w:kern w:val="2"/>
          <w:sz w:val="32"/>
          <w:szCs w:val="32"/>
          <w:lang w:val="en-US" w:eastAsia="zh-CN" w:bidi="ar-SA"/>
        </w:rPr>
      </w:pPr>
    </w:p>
    <w:p w14:paraId="5F063D58">
      <w:pPr>
        <w:rPr>
          <w:rFonts w:hint="eastAsia" w:asciiTheme="majorEastAsia" w:hAnsiTheme="majorEastAsia" w:eastAsiaTheme="majorEastAsia" w:cstheme="majorEastAsia"/>
          <w:kern w:val="2"/>
          <w:sz w:val="32"/>
          <w:szCs w:val="32"/>
          <w:lang w:val="en-US" w:eastAsia="zh-CN" w:bidi="ar-SA"/>
        </w:rPr>
      </w:pPr>
    </w:p>
    <w:p w14:paraId="63FDDE6C">
      <w:pPr>
        <w:rPr>
          <w:rFonts w:hint="eastAsia" w:asciiTheme="majorEastAsia" w:hAnsiTheme="majorEastAsia" w:eastAsiaTheme="majorEastAsia" w:cstheme="majorEastAsia"/>
          <w:kern w:val="2"/>
          <w:sz w:val="32"/>
          <w:szCs w:val="32"/>
          <w:lang w:val="en-US" w:eastAsia="zh-CN" w:bidi="ar-SA"/>
        </w:rPr>
      </w:pPr>
    </w:p>
    <w:p w14:paraId="1889DA67">
      <w:pPr>
        <w:rPr>
          <w:rFonts w:hint="eastAsia" w:asciiTheme="majorEastAsia" w:hAnsiTheme="majorEastAsia" w:eastAsiaTheme="majorEastAsia" w:cstheme="majorEastAsia"/>
          <w:kern w:val="2"/>
          <w:sz w:val="32"/>
          <w:szCs w:val="32"/>
          <w:lang w:val="en-US" w:eastAsia="zh-CN" w:bidi="ar-SA"/>
        </w:rPr>
      </w:pPr>
    </w:p>
    <w:p w14:paraId="5C57F83E">
      <w:pPr>
        <w:rPr>
          <w:rFonts w:hint="eastAsia" w:asciiTheme="majorEastAsia" w:hAnsiTheme="majorEastAsia" w:eastAsiaTheme="majorEastAsia" w:cstheme="majorEastAsia"/>
          <w:kern w:val="2"/>
          <w:sz w:val="32"/>
          <w:szCs w:val="32"/>
          <w:lang w:val="en-US" w:eastAsia="zh-CN" w:bidi="ar-SA"/>
        </w:rPr>
      </w:pPr>
    </w:p>
    <w:p w14:paraId="17773DC1">
      <w:pPr>
        <w:rPr>
          <w:rFonts w:hint="eastAsia" w:asciiTheme="majorEastAsia" w:hAnsiTheme="majorEastAsia" w:eastAsiaTheme="majorEastAsia" w:cstheme="majorEastAsia"/>
          <w:kern w:val="2"/>
          <w:sz w:val="32"/>
          <w:szCs w:val="32"/>
          <w:lang w:val="en-US" w:eastAsia="zh-CN" w:bidi="ar-SA"/>
        </w:rPr>
      </w:pPr>
    </w:p>
    <w:p w14:paraId="3EC5C0F6">
      <w:pPr>
        <w:rPr>
          <w:rFonts w:hint="eastAsia" w:asciiTheme="majorEastAsia" w:hAnsiTheme="majorEastAsia" w:eastAsiaTheme="majorEastAsia" w:cstheme="majorEastAsia"/>
          <w:kern w:val="2"/>
          <w:sz w:val="32"/>
          <w:szCs w:val="32"/>
          <w:lang w:val="en-US" w:eastAsia="zh-CN" w:bidi="ar-SA"/>
        </w:rPr>
      </w:pPr>
    </w:p>
    <w:p w14:paraId="2C7D0498">
      <w:pPr>
        <w:rPr>
          <w:rFonts w:hint="eastAsia" w:asciiTheme="majorEastAsia" w:hAnsiTheme="majorEastAsia" w:eastAsiaTheme="majorEastAsia" w:cstheme="majorEastAsia"/>
          <w:kern w:val="2"/>
          <w:sz w:val="32"/>
          <w:szCs w:val="32"/>
          <w:lang w:val="en-US" w:eastAsia="zh-CN" w:bidi="ar-SA"/>
        </w:rPr>
      </w:pPr>
    </w:p>
    <w:p w14:paraId="7A03CDF1">
      <w:pPr>
        <w:rPr>
          <w:rFonts w:hint="eastAsia" w:asciiTheme="majorEastAsia" w:hAnsiTheme="majorEastAsia" w:eastAsiaTheme="majorEastAsia" w:cstheme="majorEastAsia"/>
          <w:kern w:val="2"/>
          <w:sz w:val="32"/>
          <w:szCs w:val="32"/>
          <w:lang w:val="en-US" w:eastAsia="zh-CN" w:bidi="ar-SA"/>
        </w:rPr>
      </w:pPr>
    </w:p>
    <w:p w14:paraId="08D33B6A">
      <w:pPr>
        <w:rPr>
          <w:rFonts w:hint="eastAsia" w:asciiTheme="majorEastAsia" w:hAnsiTheme="majorEastAsia" w:eastAsiaTheme="majorEastAsia" w:cstheme="majorEastAsia"/>
          <w:kern w:val="2"/>
          <w:sz w:val="32"/>
          <w:szCs w:val="32"/>
          <w:lang w:val="en-US" w:eastAsia="zh-CN" w:bidi="ar-SA"/>
        </w:rPr>
      </w:pPr>
    </w:p>
    <w:p w14:paraId="6BFF953C">
      <w:pPr>
        <w:rPr>
          <w:rFonts w:hint="eastAsia" w:asciiTheme="majorEastAsia" w:hAnsiTheme="majorEastAsia" w:eastAsiaTheme="majorEastAsia" w:cstheme="majorEastAsia"/>
          <w:kern w:val="2"/>
          <w:sz w:val="32"/>
          <w:szCs w:val="32"/>
          <w:lang w:val="en-US" w:eastAsia="zh-CN" w:bidi="ar-SA"/>
        </w:rPr>
      </w:pPr>
    </w:p>
    <w:p w14:paraId="417043B8">
      <w:pPr>
        <w:rPr>
          <w:rFonts w:hint="eastAsia" w:asciiTheme="majorEastAsia" w:hAnsiTheme="majorEastAsia" w:eastAsiaTheme="majorEastAsia" w:cstheme="majorEastAsia"/>
          <w:kern w:val="2"/>
          <w:sz w:val="32"/>
          <w:szCs w:val="32"/>
          <w:lang w:val="en-US" w:eastAsia="zh-CN" w:bidi="ar-SA"/>
        </w:rPr>
      </w:pPr>
    </w:p>
    <w:p w14:paraId="20759626">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12" w:name="_Toc10317"/>
      <w:r>
        <w:rPr>
          <w:rFonts w:hint="eastAsia" w:asciiTheme="majorEastAsia" w:hAnsiTheme="majorEastAsia" w:eastAsiaTheme="majorEastAsia" w:cstheme="majorEastAsia"/>
          <w:kern w:val="2"/>
          <w:sz w:val="32"/>
          <w:szCs w:val="32"/>
          <w:lang w:val="en-US" w:eastAsia="zh-CN" w:bidi="ar-SA"/>
        </w:rPr>
        <w:t xml:space="preserve">第四章 </w:t>
      </w:r>
      <w:r>
        <w:rPr>
          <w:rFonts w:hint="eastAsia" w:asciiTheme="majorEastAsia" w:hAnsiTheme="majorEastAsia" w:eastAsiaTheme="majorEastAsia" w:cstheme="majorEastAsia"/>
          <w:sz w:val="32"/>
          <w:szCs w:val="32"/>
        </w:rPr>
        <w:t>开标、评标、定标</w:t>
      </w:r>
      <w:bookmarkEnd w:id="12"/>
    </w:p>
    <w:p w14:paraId="3B4C8BEE">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3" w:name="_Toc1703"/>
      <w:bookmarkStart w:id="14" w:name="_Toc15209"/>
      <w:bookmarkStart w:id="15" w:name="_Toc24015563"/>
      <w:bookmarkStart w:id="16" w:name="_Toc1988"/>
      <w:r>
        <w:rPr>
          <w:rFonts w:hint="eastAsia" w:ascii="宋体" w:hAnsi="宋体" w:cs="宋体" w:eastAsiaTheme="minorEastAsia"/>
          <w:kern w:val="2"/>
          <w:sz w:val="21"/>
          <w:szCs w:val="21"/>
          <w:lang w:val="en-US" w:eastAsia="zh-CN" w:bidi="ar-SA"/>
        </w:rPr>
        <w:t>资格性审查表</w:t>
      </w:r>
      <w:bookmarkEnd w:id="13"/>
      <w:bookmarkEnd w:id="14"/>
      <w:bookmarkEnd w:id="15"/>
      <w:bookmarkEnd w:id="16"/>
    </w:p>
    <w:tbl>
      <w:tblPr>
        <w:tblStyle w:val="18"/>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2C7A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9A3AE57">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7" w:name="_Toc15975"/>
            <w:r>
              <w:rPr>
                <w:rFonts w:hint="eastAsia" w:ascii="宋体" w:hAnsi="宋体" w:eastAsia="宋体" w:cs="宋体"/>
                <w:b/>
                <w:bCs/>
                <w:color w:val="000000"/>
                <w:sz w:val="21"/>
                <w:szCs w:val="21"/>
              </w:rPr>
              <w:t>序号</w:t>
            </w:r>
          </w:p>
        </w:tc>
        <w:tc>
          <w:tcPr>
            <w:tcW w:w="9286" w:type="dxa"/>
            <w:noWrap w:val="0"/>
            <w:vAlign w:val="center"/>
          </w:tcPr>
          <w:p w14:paraId="492F829C">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2E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424D38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37E0A346">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FD2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03FDA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3A1E4E1D">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66E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0A8585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462A7070">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7"/>
    </w:p>
    <w:p w14:paraId="41BA4C69">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8" w:name="_Toc2053"/>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8"/>
    </w:p>
    <w:tbl>
      <w:tblPr>
        <w:tblStyle w:val="18"/>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2E74DB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3684B3E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9F5E7C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CFD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65F1BD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9319" w:type="dxa"/>
            <w:shd w:val="clear" w:color="auto" w:fill="auto"/>
            <w:noWrap w:val="0"/>
            <w:vAlign w:val="center"/>
          </w:tcPr>
          <w:p w14:paraId="2F67352B">
            <w:pPr>
              <w:keepNext w:val="0"/>
              <w:keepLines w:val="0"/>
              <w:suppressLineNumbers w:val="0"/>
              <w:spacing w:before="0" w:beforeAutospacing="0" w:after="0" w:afterAutospacing="0"/>
              <w:ind w:left="0" w:leftChars="0" w:right="0" w:rightChars="0"/>
              <w:rPr>
                <w:rFonts w:hint="eastAsia" w:ascii="宋体" w:hAnsi="宋体" w:eastAsia="宋体" w:cs="宋体"/>
                <w:sz w:val="21"/>
                <w:szCs w:val="21"/>
                <w:lang w:val="en-US" w:eastAsia="zh-CN"/>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15D79638">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4B0DFA4">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jc w:val="center"/>
        </w:trPr>
        <w:tc>
          <w:tcPr>
            <w:tcW w:w="685" w:type="dxa"/>
            <w:shd w:val="clear" w:color="auto" w:fill="auto"/>
            <w:noWrap w:val="0"/>
            <w:vAlign w:val="center"/>
          </w:tcPr>
          <w:p w14:paraId="3B2F8E9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CBFECB3">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84C9650">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41899103">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EF1F89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4FDF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8D15117">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9319" w:type="dxa"/>
            <w:shd w:val="clear" w:color="auto" w:fill="auto"/>
            <w:noWrap w:val="0"/>
            <w:vAlign w:val="center"/>
          </w:tcPr>
          <w:p w14:paraId="6B1EEF3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544B3F43">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8"/>
        </w:numPr>
        <w:ind w:left="0" w:leftChars="0" w:firstLine="0" w:firstLineChars="0"/>
        <w:jc w:val="left"/>
        <w:outlineLvl w:val="0"/>
        <w:rPr>
          <w:color w:val="auto"/>
        </w:rPr>
      </w:pPr>
      <w:bookmarkStart w:id="19" w:name="_Toc10843"/>
      <w:r>
        <w:rPr>
          <w:rFonts w:hint="eastAsia" w:ascii="宋体" w:hAnsi="宋体" w:cs="宋体" w:eastAsiaTheme="minorEastAsia"/>
          <w:kern w:val="2"/>
          <w:sz w:val="21"/>
          <w:szCs w:val="21"/>
          <w:lang w:val="en-US" w:eastAsia="zh-CN" w:bidi="ar-SA"/>
        </w:rPr>
        <w:t>福田区自行采购供应商资格审查表</w:t>
      </w:r>
      <w:bookmarkEnd w:id="19"/>
    </w:p>
    <w:tbl>
      <w:tblPr>
        <w:tblStyle w:val="19"/>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4D79F9F6">
      <w:pPr>
        <w:pStyle w:val="36"/>
        <w:widowControl/>
        <w:numPr>
          <w:ilvl w:val="0"/>
          <w:numId w:val="9"/>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r>
        <w:rPr>
          <w:rFonts w:hint="eastAsia" w:hAnsi="宋体"/>
          <w:b/>
          <w:bCs/>
        </w:rPr>
        <w:t>开标</w:t>
      </w:r>
    </w:p>
    <w:p w14:paraId="069C9231">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1.1. 应在规定的日期、时间和地点组织公开开标。开标时邀请所有投标人代表参加。参加开标的代表应签名报到以证明其出席。</w:t>
      </w:r>
    </w:p>
    <w:p w14:paraId="45B9A2A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p>
    <w:p w14:paraId="3E406D95">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p>
    <w:p w14:paraId="0C42C018">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1.4. 投标人未参加开标的，视同认可开标结果。</w:t>
      </w:r>
    </w:p>
    <w:p w14:paraId="15660E1E">
      <w:pPr>
        <w:pStyle w:val="36"/>
        <w:widowControl/>
        <w:numPr>
          <w:ilvl w:val="0"/>
          <w:numId w:val="0"/>
        </w:numPr>
        <w:spacing w:line="360" w:lineRule="auto"/>
        <w:ind w:leftChars="0"/>
        <w:jc w:val="left"/>
        <w:outlineLvl w:val="1"/>
        <w:rPr>
          <w:rFonts w:hint="eastAsia" w:ascii="宋体" w:hAnsi="宋体" w:cs="宋体"/>
          <w:szCs w:val="21"/>
        </w:rPr>
      </w:pPr>
      <w:r>
        <w:rPr>
          <w:rFonts w:hint="eastAsia" w:hAnsi="宋体"/>
          <w:b/>
          <w:lang w:val="en-US" w:eastAsia="zh-CN"/>
        </w:rPr>
        <w:t>2.  评标委员会的组成</w:t>
      </w:r>
    </w:p>
    <w:p w14:paraId="625E4982">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2.1. 评标委员会依法组建，由3人或以上单数组成。</w:t>
      </w:r>
    </w:p>
    <w:p w14:paraId="0EA1849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p>
    <w:p w14:paraId="1A8F301E">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7705E9">
      <w:pPr>
        <w:pStyle w:val="36"/>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43B1EC83">
      <w:pPr>
        <w:pStyle w:val="36"/>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70185EF8">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6"/>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p>
    <w:p w14:paraId="33596E13">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6"/>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55F4A46C">
      <w:pPr>
        <w:pStyle w:val="36"/>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6"/>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6"/>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7C7305C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bookmarkStart w:id="20" w:name="_Toc435515292"/>
      <w:bookmarkStart w:id="21" w:name="_Toc8080"/>
      <w:bookmarkStart w:id="22" w:name="_Toc435514852"/>
      <w:bookmarkStart w:id="23" w:name="_Toc1246"/>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658402E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09AD85D9">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08F6603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54B4AF3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6CC7918">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1146D06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3CAB0B6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5400BE">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30"/>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0C9F6675">
      <w:pPr>
        <w:pStyle w:val="36"/>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2C6264F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7731A654">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26A36E8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5C4B5AF2">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7B03FBAD">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0A2DE8F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6ECF0761">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24487F7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B56CBFB">
      <w:pPr>
        <w:pStyle w:val="3"/>
        <w:numPr>
          <w:ilvl w:val="0"/>
          <w:numId w:val="0"/>
        </w:numPr>
        <w:spacing w:line="240" w:lineRule="auto"/>
        <w:ind w:leftChars="0"/>
        <w:jc w:val="center"/>
        <w:outlineLvl w:val="0"/>
        <w:rPr>
          <w:rFonts w:asciiTheme="majorEastAsia" w:hAnsiTheme="majorEastAsia" w:eastAsiaTheme="majorEastAsia"/>
          <w:sz w:val="32"/>
          <w:szCs w:val="32"/>
        </w:rPr>
      </w:pPr>
      <w:bookmarkStart w:id="24" w:name="_Toc7421"/>
      <w:r>
        <w:rPr>
          <w:rFonts w:hint="eastAsia" w:asciiTheme="majorEastAsia" w:hAnsiTheme="majorEastAsia" w:eastAsiaTheme="majorEastAsia"/>
          <w:sz w:val="32"/>
          <w:szCs w:val="32"/>
          <w:lang w:val="en-US" w:eastAsia="zh-CN"/>
        </w:rPr>
        <w:t xml:space="preserve">第五章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0"/>
      <w:bookmarkEnd w:id="21"/>
      <w:bookmarkEnd w:id="22"/>
      <w:bookmarkEnd w:id="23"/>
      <w:bookmarkEnd w:id="24"/>
    </w:p>
    <w:tbl>
      <w:tblPr>
        <w:tblStyle w:val="18"/>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14:paraId="0168BCD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5DD6665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4F96A7D5">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24E0C28B">
            <w:pPr>
              <w:pStyle w:val="6"/>
              <w:keepNext w:val="0"/>
              <w:keepLines w:val="0"/>
              <w:suppressLineNumbers w:val="0"/>
              <w:spacing w:before="0" w:beforeAutospacing="0" w:afterAutospacing="0" w:line="360" w:lineRule="auto"/>
              <w:ind w:left="0" w:right="0"/>
              <w:jc w:val="center"/>
              <w:rPr>
                <w:rFonts w:hint="default" w:ascii="黑体" w:eastAsia="黑体"/>
                <w:b/>
                <w:sz w:val="72"/>
                <w:szCs w:val="72"/>
              </w:rPr>
            </w:pPr>
            <w:r>
              <w:rPr>
                <w:rFonts w:hint="eastAsia" w:ascii="黑体" w:eastAsia="黑体"/>
                <w:b/>
                <w:sz w:val="72"/>
                <w:szCs w:val="72"/>
              </w:rPr>
              <w:t>投 标 文 件</w:t>
            </w:r>
          </w:p>
          <w:p w14:paraId="056E2451">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408DEE70">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F535991">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8F76FDC">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投标人名称：</w:t>
            </w:r>
          </w:p>
          <w:p w14:paraId="3E773E6D">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投标人地址：</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eastAsia" w:ascii="仿宋_GB2312" w:eastAsia="仿宋_GB2312"/>
                <w:b/>
                <w:sz w:val="28"/>
                <w:szCs w:val="28"/>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仿宋_GB2312" w:eastAsia="仿宋_GB2312"/>
                <w:b/>
                <w:sz w:val="32"/>
              </w:rPr>
            </w:pPr>
            <w:r>
              <w:rPr>
                <w:rFonts w:hint="eastAsia" w:ascii="仿宋_GB2312" w:eastAsia="仿宋_GB2312"/>
                <w:b/>
                <w:sz w:val="28"/>
                <w:szCs w:val="28"/>
              </w:rPr>
              <w:t>开标之前不得启封</w:t>
            </w:r>
          </w:p>
        </w:tc>
      </w:tr>
    </w:tbl>
    <w:p w14:paraId="737696D6">
      <w:pPr>
        <w:rPr>
          <w:rFonts w:hint="eastAsia"/>
        </w:rPr>
      </w:pPr>
      <w:bookmarkStart w:id="25" w:name="_Toc435514865"/>
      <w:bookmarkStart w:id="26" w:name="_Toc435515305"/>
      <w:r>
        <w:rPr>
          <w:rFonts w:hint="eastAsia"/>
        </w:rPr>
        <w:br w:type="page"/>
      </w:r>
    </w:p>
    <w:p w14:paraId="6AE90F56">
      <w:pPr>
        <w:tabs>
          <w:tab w:val="left" w:pos="426"/>
        </w:tabs>
        <w:adjustRightInd/>
        <w:snapToGrid/>
        <w:spacing w:before="280" w:after="290" w:line="377" w:lineRule="auto"/>
        <w:jc w:val="center"/>
        <w:outlineLvl w:val="2"/>
        <w:rPr>
          <w:b w:val="0"/>
          <w:bCs/>
          <w:sz w:val="32"/>
          <w:szCs w:val="32"/>
        </w:rPr>
      </w:pPr>
      <w:r>
        <w:rPr>
          <w:rFonts w:hint="eastAsia"/>
          <w:b w:val="0"/>
          <w:bCs/>
          <w:sz w:val="32"/>
          <w:szCs w:val="32"/>
        </w:rPr>
        <w:t>投标文件目录（目录格式自定）</w:t>
      </w:r>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1D961AC8">
      <w:pPr>
        <w:rPr>
          <w:rFonts w:hint="eastAsia"/>
        </w:rPr>
      </w:pPr>
    </w:p>
    <w:p w14:paraId="02053261">
      <w:pPr>
        <w:rPr>
          <w:rFonts w:hint="eastAsia"/>
        </w:rPr>
      </w:pPr>
    </w:p>
    <w:p w14:paraId="1D6C04F4">
      <w:pPr>
        <w:rPr>
          <w:rFonts w:hint="eastAsia"/>
        </w:rPr>
      </w:pPr>
    </w:p>
    <w:p w14:paraId="1E3BB2F1">
      <w:pPr>
        <w:rPr>
          <w:rFonts w:hint="eastAsia"/>
        </w:rPr>
      </w:pPr>
    </w:p>
    <w:p w14:paraId="21359D58">
      <w:pPr>
        <w:rPr>
          <w:rFonts w:hint="eastAsia"/>
        </w:rPr>
      </w:pPr>
    </w:p>
    <w:p w14:paraId="71D2D919">
      <w:pPr>
        <w:rPr>
          <w:rFonts w:hint="eastAsia"/>
        </w:rPr>
      </w:pPr>
    </w:p>
    <w:p w14:paraId="5065B947">
      <w:pPr>
        <w:rPr>
          <w:rFonts w:hint="eastAsia"/>
        </w:rPr>
      </w:pPr>
    </w:p>
    <w:p w14:paraId="2E7BC407">
      <w:pPr>
        <w:rPr>
          <w:rFonts w:hint="eastAsia"/>
        </w:rPr>
      </w:pPr>
    </w:p>
    <w:p w14:paraId="50C5CBD9">
      <w:pPr>
        <w:rPr>
          <w:rFonts w:hint="eastAsia"/>
        </w:rPr>
      </w:pPr>
    </w:p>
    <w:p w14:paraId="00084625">
      <w:pPr>
        <w:rPr>
          <w:rFonts w:hint="eastAsia"/>
        </w:rPr>
      </w:pPr>
    </w:p>
    <w:p w14:paraId="35CF33C7">
      <w:pPr>
        <w:rPr>
          <w:rFonts w:hint="eastAsia"/>
        </w:rPr>
      </w:pPr>
    </w:p>
    <w:p w14:paraId="51DEE31A">
      <w:pPr>
        <w:rPr>
          <w:rFonts w:hint="eastAsia"/>
        </w:rPr>
      </w:pPr>
    </w:p>
    <w:p w14:paraId="086B5680">
      <w:pPr>
        <w:rPr>
          <w:rFonts w:hint="eastAsia"/>
        </w:rPr>
      </w:pPr>
    </w:p>
    <w:p w14:paraId="11FC2BF7">
      <w:pPr>
        <w:rPr>
          <w:rFonts w:hint="eastAsia"/>
        </w:rPr>
      </w:pPr>
    </w:p>
    <w:p w14:paraId="4042EA33">
      <w:pPr>
        <w:rPr>
          <w:rFonts w:hint="eastAsia"/>
        </w:rPr>
      </w:pPr>
    </w:p>
    <w:p w14:paraId="16D9AE58">
      <w:pPr>
        <w:rPr>
          <w:rFonts w:hint="eastAsia"/>
        </w:rPr>
      </w:pPr>
    </w:p>
    <w:p w14:paraId="4FFEED58">
      <w:pPr>
        <w:rPr>
          <w:rFonts w:hint="eastAsia"/>
        </w:rPr>
      </w:pPr>
    </w:p>
    <w:p w14:paraId="7AC2A352">
      <w:pPr>
        <w:rPr>
          <w:rFonts w:hint="eastAsia"/>
        </w:rPr>
      </w:pPr>
    </w:p>
    <w:p w14:paraId="1AC7D2B2">
      <w:pPr>
        <w:rPr>
          <w:rFonts w:hint="eastAsia"/>
        </w:rPr>
      </w:pPr>
    </w:p>
    <w:p w14:paraId="4F6ACFC2">
      <w:pPr>
        <w:rPr>
          <w:rFonts w:hint="eastAsia"/>
        </w:rPr>
      </w:pPr>
    </w:p>
    <w:p w14:paraId="7CE2D948">
      <w:pPr>
        <w:rPr>
          <w:rFonts w:hint="eastAsia"/>
        </w:rPr>
      </w:pPr>
    </w:p>
    <w:p w14:paraId="6D033397">
      <w:pPr>
        <w:rPr>
          <w:rFonts w:hint="eastAsia"/>
        </w:rPr>
      </w:pPr>
    </w:p>
    <w:p w14:paraId="27B3345A">
      <w:pPr>
        <w:rPr>
          <w:rFonts w:hint="eastAsia"/>
        </w:rPr>
      </w:pPr>
    </w:p>
    <w:p w14:paraId="377507E9">
      <w:pPr>
        <w:rPr>
          <w:rFonts w:hint="eastAsia"/>
        </w:rPr>
      </w:pPr>
    </w:p>
    <w:p w14:paraId="5A177FE4">
      <w:pPr>
        <w:rPr>
          <w:rFonts w:hint="eastAsia"/>
        </w:rPr>
      </w:pPr>
    </w:p>
    <w:p w14:paraId="04C15F81">
      <w:pPr>
        <w:rPr>
          <w:rFonts w:hint="eastAsia"/>
        </w:rPr>
      </w:pPr>
    </w:p>
    <w:p w14:paraId="39925326">
      <w:pPr>
        <w:rPr>
          <w:rFonts w:hint="eastAsia"/>
        </w:rPr>
      </w:pPr>
    </w:p>
    <w:p w14:paraId="3772C4EC">
      <w:pPr>
        <w:rPr>
          <w:rFonts w:hint="eastAsia"/>
        </w:rPr>
      </w:pPr>
    </w:p>
    <w:p w14:paraId="6297EA93">
      <w:pPr>
        <w:rPr>
          <w:rFonts w:hint="eastAsia"/>
        </w:rPr>
      </w:pPr>
    </w:p>
    <w:p w14:paraId="7EBC4E58">
      <w:pPr>
        <w:rPr>
          <w:rFonts w:hint="eastAsia"/>
        </w:rPr>
      </w:pPr>
    </w:p>
    <w:p w14:paraId="58B6B216">
      <w:pPr>
        <w:rPr>
          <w:rFonts w:hint="eastAsia"/>
        </w:rPr>
      </w:pPr>
    </w:p>
    <w:p w14:paraId="0456DEC2">
      <w:pPr>
        <w:rPr>
          <w:rFonts w:hint="eastAsia"/>
        </w:rPr>
      </w:pPr>
    </w:p>
    <w:p w14:paraId="56070B07">
      <w:pPr>
        <w:rPr>
          <w:rFonts w:hint="eastAsia"/>
        </w:rPr>
      </w:pPr>
    </w:p>
    <w:p w14:paraId="0E716F07">
      <w:pPr>
        <w:rPr>
          <w:rFonts w:hint="eastAsia"/>
        </w:rPr>
      </w:pPr>
    </w:p>
    <w:p w14:paraId="0B24C85E">
      <w:pPr>
        <w:rPr>
          <w:rFonts w:hint="eastAsia"/>
        </w:rPr>
      </w:pPr>
    </w:p>
    <w:p w14:paraId="057A93AC">
      <w:pPr>
        <w:rPr>
          <w:rFonts w:hint="eastAsia"/>
        </w:rPr>
      </w:pPr>
    </w:p>
    <w:p w14:paraId="54B51591">
      <w:pPr>
        <w:rPr>
          <w:rFonts w:hint="eastAsia"/>
        </w:rPr>
      </w:pPr>
    </w:p>
    <w:p w14:paraId="47F614A4">
      <w:pPr>
        <w:rPr>
          <w:rFonts w:hint="eastAsia"/>
        </w:rPr>
      </w:pPr>
    </w:p>
    <w:p w14:paraId="3ED4EA77">
      <w:pPr>
        <w:rPr>
          <w:rFonts w:hint="eastAsia"/>
        </w:rPr>
      </w:pPr>
    </w:p>
    <w:p w14:paraId="0A0C8592">
      <w:pPr>
        <w:rPr>
          <w:rFonts w:hint="eastAsia"/>
        </w:rPr>
      </w:pPr>
    </w:p>
    <w:p w14:paraId="5B3C692F">
      <w:pPr>
        <w:pStyle w:val="3"/>
        <w:numPr>
          <w:ilvl w:val="0"/>
          <w:numId w:val="0"/>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27" w:name="_Toc4441"/>
      <w:bookmarkStart w:id="28" w:name="_Toc28307"/>
      <w:bookmarkStart w:id="29" w:name="_Toc29334"/>
      <w:r>
        <w:rPr>
          <w:rFonts w:hint="eastAsia" w:cs="宋体" w:asciiTheme="majorEastAsia" w:hAnsiTheme="majorEastAsia" w:eastAsiaTheme="majorEastAsia"/>
          <w:kern w:val="2"/>
          <w:sz w:val="30"/>
          <w:szCs w:val="30"/>
          <w:lang w:val="en-US" w:eastAsia="zh-CN" w:bidi="ar-SA"/>
        </w:rPr>
        <w:t>（一）资格性自查表</w:t>
      </w:r>
      <w:bookmarkEnd w:id="27"/>
    </w:p>
    <w:tbl>
      <w:tblPr>
        <w:tblStyle w:val="18"/>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0CA5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7AFD81E">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291C9C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05F2E11">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58327D04">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5DE9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08A38E4A">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2D4DF4E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45BD21F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5A22CED">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12EF8529">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331E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02091EDD">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3688507B">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1FE8465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60377F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701AE31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20A7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A7BCF2C">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30E8502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56D445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05E07D">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5313B8D7">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0"/>
        </w:numPr>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（二）符合性自查表</w:t>
      </w:r>
    </w:p>
    <w:tbl>
      <w:tblPr>
        <w:tblStyle w:val="18"/>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2E1B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8" w:type="dxa"/>
            <w:vAlign w:val="center"/>
          </w:tcPr>
          <w:p w14:paraId="6BDD0664">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47A7A07B">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77891499">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799F1D15">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7231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7586257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505738C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29CF0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04C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219854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39608BB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EFBCF2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CC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381DCB4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7665786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A451F8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E9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9DC0A8">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71A26AA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BF002A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05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62B4EED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323DD3F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0403B9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646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97844E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55E1F0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FCEFD0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2B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E8BCCF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12DE733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BA5D88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5E7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7D4A6A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47FBAF7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BE4E5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06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E86990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072620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B2F362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19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BF9E474">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2BC975CF">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3061E2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9BB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451AC4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37030BEA">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58E75A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（三）警示情形自查确认表</w:t>
      </w: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8"/>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0" w:name="_Toc1006"/>
      <w:r>
        <w:rPr>
          <w:rFonts w:hint="eastAsia" w:asciiTheme="majorEastAsia" w:hAnsiTheme="majorEastAsia" w:eastAsiaTheme="majorEastAsia"/>
          <w:sz w:val="30"/>
          <w:szCs w:val="30"/>
          <w:lang w:val="en-US" w:eastAsia="zh-CN"/>
        </w:rPr>
        <w:t>综合评分指引</w:t>
      </w:r>
      <w:bookmarkEnd w:id="30"/>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60D7A47">
      <w:pPr>
        <w:numPr>
          <w:ilvl w:val="0"/>
          <w:numId w:val="0"/>
        </w:numPr>
        <w:ind w:leftChars="0"/>
        <w:rPr>
          <w:rFonts w:hint="eastAsia"/>
          <w:lang w:val="en-US" w:eastAsia="zh-CN"/>
        </w:rPr>
      </w:pPr>
    </w:p>
    <w:p w14:paraId="1B2C3062">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3652D17">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163C87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CA0D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24022B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C0E4DD3">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7186ED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48117D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D3A274">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F674D68">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4115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D7BB6C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6D7C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4C12BA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31" w:name="_Toc24549"/>
      <w:r>
        <w:rPr>
          <w:rFonts w:hint="eastAsia" w:cs="宋体" w:asciiTheme="majorEastAsia" w:hAnsiTheme="majorEastAsia" w:eastAsiaTheme="majorEastAsia"/>
          <w:kern w:val="2"/>
          <w:sz w:val="30"/>
          <w:szCs w:val="30"/>
          <w:lang w:val="en-US" w:eastAsia="zh-CN" w:bidi="ar-SA"/>
        </w:rPr>
        <w:t>（五）</w:t>
      </w:r>
      <w:r>
        <w:rPr>
          <w:rFonts w:hint="eastAsia" w:asciiTheme="majorEastAsia" w:hAnsiTheme="majorEastAsia" w:eastAsiaTheme="majorEastAsia"/>
          <w:sz w:val="30"/>
          <w:szCs w:val="30"/>
        </w:rPr>
        <w:t>资质文件</w:t>
      </w:r>
      <w:bookmarkEnd w:id="28"/>
      <w:bookmarkEnd w:id="31"/>
    </w:p>
    <w:p w14:paraId="54708C25">
      <w:pPr>
        <w:rPr>
          <w:rFonts w:hint="eastAsia"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1.投标供应商营业执照、第二类医疗器械经营备案凭证（</w:t>
      </w:r>
      <w:r>
        <w:rPr>
          <w:rFonts w:hint="eastAsia" w:asciiTheme="majorEastAsia" w:hAnsiTheme="majorEastAsia" w:eastAsiaTheme="majorEastAsia" w:cstheme="majorEastAsia"/>
          <w:sz w:val="24"/>
          <w:szCs w:val="22"/>
          <w:lang w:val="en-US" w:eastAsia="zh-CN"/>
        </w:rPr>
        <w:t>如项目涉及</w:t>
      </w:r>
      <w:r>
        <w:rPr>
          <w:rFonts w:hint="eastAsia" w:asciiTheme="majorEastAsia" w:hAnsiTheme="majorEastAsia" w:eastAsiaTheme="majorEastAsia" w:cstheme="majorEastAsia"/>
          <w:sz w:val="24"/>
          <w:szCs w:val="32"/>
          <w:lang w:val="en-US" w:eastAsia="zh-CN"/>
        </w:rPr>
        <w:t>）、医疗器械经营许可证（</w:t>
      </w:r>
      <w:r>
        <w:rPr>
          <w:rFonts w:hint="eastAsia" w:asciiTheme="majorEastAsia" w:hAnsiTheme="majorEastAsia" w:eastAsiaTheme="majorEastAsia" w:cstheme="majorEastAsia"/>
          <w:sz w:val="24"/>
          <w:szCs w:val="22"/>
          <w:lang w:val="en-US" w:eastAsia="zh-CN"/>
        </w:rPr>
        <w:t>如项目涉及</w:t>
      </w:r>
      <w:r>
        <w:rPr>
          <w:rFonts w:hint="eastAsia" w:asciiTheme="majorEastAsia" w:hAnsiTheme="majorEastAsia" w:eastAsiaTheme="majorEastAsia" w:cstheme="majorEastAsia"/>
          <w:sz w:val="24"/>
          <w:szCs w:val="32"/>
          <w:lang w:val="en-US" w:eastAsia="zh-CN"/>
        </w:rPr>
        <w:t>）等资质证明文件</w:t>
      </w:r>
    </w:p>
    <w:p w14:paraId="07A712D0">
      <w:pPr>
        <w:rPr>
          <w:rFonts w:hint="default"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2.生产企业（制造商）营业执照、医疗器械生产许可证、第一类医疗器械生产备案凭证</w:t>
      </w:r>
      <w:r>
        <w:rPr>
          <w:rFonts w:hint="eastAsia" w:asciiTheme="majorEastAsia" w:hAnsiTheme="majorEastAsia" w:eastAsiaTheme="majorEastAsia" w:cstheme="majorEastAsia"/>
          <w:sz w:val="24"/>
          <w:szCs w:val="22"/>
          <w:lang w:val="en-US" w:eastAsia="zh-CN"/>
        </w:rPr>
        <w:t>（如项目涉及）、产品注册证（如项目涉及）、</w:t>
      </w:r>
      <w:r>
        <w:rPr>
          <w:rFonts w:hint="eastAsia" w:asciiTheme="majorEastAsia" w:hAnsiTheme="majorEastAsia" w:eastAsiaTheme="majorEastAsia" w:cstheme="majorEastAsia"/>
          <w:sz w:val="24"/>
          <w:szCs w:val="32"/>
          <w:lang w:val="en-US" w:eastAsia="zh-CN"/>
        </w:rPr>
        <w:t>授权书等资质证明文件</w:t>
      </w:r>
    </w:p>
    <w:p w14:paraId="540866B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（六）诚信及信用信息证明</w:t>
      </w:r>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32" w:name="_Toc2255"/>
      <w:bookmarkStart w:id="33" w:name="_Toc12322"/>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32"/>
      <w:bookmarkEnd w:id="33"/>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9"/>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45A0A5D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1B42BE4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93FE52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83A26E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5FD7B4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19B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2F47493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D911DD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C0051F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48729E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E035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D102E7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5A708A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50CDBC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39CE7BC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B62990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BC94FC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6B2E6F3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2A7418A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6AA7347A">
      <w:pPr>
        <w:bidi w:val="0"/>
        <w:rPr>
          <w:rFonts w:hint="eastAsia"/>
        </w:rPr>
      </w:pPr>
    </w:p>
    <w:p w14:paraId="66A8E52C">
      <w:pPr>
        <w:rPr>
          <w:rFonts w:hint="eastAsia" w:ascii="宋体" w:hAnsi="宋体" w:eastAsia="宋体" w:cs="宋体"/>
          <w:sz w:val="30"/>
          <w:szCs w:val="30"/>
        </w:rPr>
      </w:pPr>
      <w:r>
        <w:rPr>
          <w:rFonts w:hint="eastAsia" w:ascii="宋体" w:hAnsi="宋体" w:eastAsia="宋体" w:cs="宋体"/>
          <w:sz w:val="30"/>
          <w:szCs w:val="30"/>
        </w:rPr>
        <w:br w:type="page"/>
      </w: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34" w:name="_Toc2074"/>
      <w:bookmarkStart w:id="35" w:name="_Toc30875"/>
      <w:bookmarkStart w:id="36" w:name="_Toc4049"/>
      <w:r>
        <w:rPr>
          <w:rFonts w:hint="eastAsia" w:cs="宋体" w:asciiTheme="majorEastAsia" w:hAnsiTheme="majorEastAsia" w:eastAsiaTheme="majorEastAsia"/>
          <w:color w:val="auto"/>
          <w:kern w:val="2"/>
          <w:sz w:val="30"/>
          <w:szCs w:val="30"/>
          <w:lang w:val="en-US" w:eastAsia="zh-CN" w:bidi="ar-SA"/>
        </w:rPr>
        <w:t>（八）</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34"/>
      <w:bookmarkEnd w:id="35"/>
      <w:bookmarkEnd w:id="36"/>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3"/>
        <w:spacing w:before="120" w:after="120" w:line="276" w:lineRule="auto"/>
        <w:ind w:firstLine="482"/>
        <w:rPr>
          <w:rFonts w:hint="eastAsia" w:ascii="宋体" w:hAnsi="宋体" w:cs="宋体" w:eastAsiaTheme="minorEastAsia"/>
          <w:bCs/>
          <w:color w:val="auto"/>
          <w:kern w:val="0"/>
          <w:sz w:val="24"/>
          <w:szCs w:val="24"/>
          <w:highlight w:val="none"/>
          <w:lang w:eastAsia="zh-CN"/>
        </w:rPr>
      </w:pPr>
      <w:r>
        <w:rPr>
          <w:rFonts w:hint="eastAsia"/>
          <w:b/>
          <w:color w:val="auto"/>
          <w:sz w:val="24"/>
        </w:rPr>
        <w:t>填写指引：</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小微企业报价优惠：10 %</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采购标的对应的中小企业划分标准所属行业：</w:t>
      </w:r>
      <w:r>
        <w:rPr>
          <w:rFonts w:hint="eastAsia" w:ascii="Times New Roman" w:hAnsi="Times New Roman" w:cs="Times New Roman"/>
          <w:color w:val="FF0000"/>
          <w:highlight w:val="yellow"/>
          <w:lang w:val="en-US" w:eastAsia="zh-CN"/>
        </w:rPr>
        <w:t>工</w:t>
      </w:r>
      <w:r>
        <w:rPr>
          <w:rFonts w:hint="eastAsia" w:ascii="Times New Roman" w:hAnsi="Times New Roman" w:cs="Times New Roman"/>
          <w:color w:val="FF0000"/>
          <w:highlight w:val="yellow"/>
        </w:rPr>
        <w:t>业</w:t>
      </w:r>
      <w:r>
        <w:rPr>
          <w:rFonts w:hint="eastAsia" w:ascii="Times New Roman" w:hAnsi="Times New Roman" w:cs="Times New Roman"/>
          <w:color w:val="FF0000"/>
          <w:highlight w:val="yellow"/>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37" w:name="_Hlk72259001"/>
      <w:r>
        <w:rPr>
          <w:rFonts w:hint="eastAsia"/>
          <w:b/>
          <w:bCs/>
          <w:color w:val="auto"/>
          <w:lang w:eastAsia="zh-CN"/>
        </w:rPr>
        <w:t>征集</w:t>
      </w:r>
      <w:r>
        <w:rPr>
          <w:rFonts w:hint="eastAsia"/>
          <w:b/>
          <w:bCs/>
          <w:color w:val="auto"/>
        </w:rPr>
        <w:t>文件</w:t>
      </w:r>
      <w:bookmarkEnd w:id="37"/>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w:t>
      </w:r>
      <w:r>
        <w:rPr>
          <w:rFonts w:hint="eastAsia"/>
          <w:color w:val="auto"/>
          <w:lang w:eastAsia="zh-CN"/>
        </w:rPr>
        <w:t>评标委员会</w:t>
      </w:r>
      <w:r>
        <w:rPr>
          <w:rFonts w:hint="eastAsia"/>
          <w:color w:val="auto"/>
        </w:rPr>
        <w:t>判定，如</w:t>
      </w:r>
      <w:r>
        <w:rPr>
          <w:rFonts w:hint="eastAsia"/>
          <w:color w:val="auto"/>
          <w:lang w:eastAsia="zh-CN"/>
        </w:rPr>
        <w:t>评标委员会</w:t>
      </w:r>
      <w:r>
        <w:rPr>
          <w:rFonts w:hint="eastAsia"/>
          <w:color w:val="auto"/>
        </w:rPr>
        <w:t>判定声明函无效，相关供应商不享受价格扣除（但不作投标无效处理）。</w:t>
      </w:r>
    </w:p>
    <w:p w14:paraId="04C31D22">
      <w:pPr>
        <w:pStyle w:val="6"/>
        <w:rPr>
          <w:color w:val="auto"/>
        </w:rPr>
      </w:pPr>
    </w:p>
    <w:p w14:paraId="04F8DE87">
      <w:pPr>
        <w:spacing w:after="60"/>
        <w:jc w:val="center"/>
        <w:outlineLvl w:val="1"/>
        <w:rPr>
          <w:b/>
          <w:color w:val="auto"/>
        </w:rPr>
      </w:pPr>
      <w:r>
        <w:rPr>
          <w:rFonts w:hint="eastAsia"/>
          <w:b/>
          <w:color w:val="auto"/>
        </w:rPr>
        <w:t>1、中小企业声明函</w:t>
      </w:r>
    </w:p>
    <w:p w14:paraId="260C3881">
      <w:pPr>
        <w:pStyle w:val="6"/>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6"/>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6"/>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1"/>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1"/>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6"/>
        <w:outlineLvl w:val="9"/>
        <w:rPr>
          <w:color w:val="auto"/>
        </w:rPr>
      </w:pPr>
    </w:p>
    <w:p w14:paraId="0888B786">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3BD169D5">
      <w:pPr>
        <w:rPr>
          <w:rFonts w:hint="eastAsia" w:ascii="宋体" w:hAnsi="宋体" w:eastAsia="宋体"/>
          <w:b/>
          <w:bCs/>
          <w:szCs w:val="21"/>
        </w:rPr>
      </w:pP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8"/>
        <w:tblW w:w="5606" w:type="pct"/>
        <w:jc w:val="center"/>
        <w:tblLayout w:type="autofit"/>
        <w:tblCellMar>
          <w:top w:w="0" w:type="dxa"/>
          <w:left w:w="108" w:type="dxa"/>
          <w:bottom w:w="0" w:type="dxa"/>
          <w:right w:w="108" w:type="dxa"/>
        </w:tblCellMar>
      </w:tblPr>
      <w:tblGrid>
        <w:gridCol w:w="2363"/>
        <w:gridCol w:w="1529"/>
        <w:gridCol w:w="787"/>
        <w:gridCol w:w="1257"/>
        <w:gridCol w:w="1900"/>
        <w:gridCol w:w="1594"/>
        <w:gridCol w:w="1105"/>
      </w:tblGrid>
      <w:tr w14:paraId="2767ADD0">
        <w:tblPrEx>
          <w:tblCellMar>
            <w:top w:w="0" w:type="dxa"/>
            <w:left w:w="108" w:type="dxa"/>
            <w:bottom w:w="0" w:type="dxa"/>
            <w:right w:w="108" w:type="dxa"/>
          </w:tblCellMar>
        </w:tblPrEx>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02D963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Theme="minorHAnsi" w:hAnsiTheme="minorHAnsi" w:eastAsiaTheme="minorEastAsia" w:cstheme="minorBidi"/>
          <w:b/>
          <w:color w:val="auto"/>
          <w:kern w:val="2"/>
          <w:sz w:val="21"/>
          <w:szCs w:val="24"/>
          <w:lang w:val="en-US" w:eastAsia="zh-CN" w:bidi="ar-SA"/>
        </w:rPr>
      </w:pPr>
      <w:r>
        <w:rPr>
          <w:rFonts w:hint="eastAsia" w:asciiTheme="minorHAnsi" w:hAnsiTheme="minorHAnsi" w:eastAsiaTheme="minorEastAsia" w:cstheme="minorBidi"/>
          <w:b/>
          <w:color w:val="auto"/>
          <w:kern w:val="2"/>
          <w:sz w:val="21"/>
          <w:szCs w:val="24"/>
          <w:lang w:val="en-US" w:eastAsia="zh-CN" w:bidi="ar-SA"/>
        </w:rPr>
        <w:t>4、国务院办公厅关于在政府采购中实施本国产品标准及相关政策的通知</w:t>
      </w:r>
    </w:p>
    <w:p w14:paraId="55FC967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70BF84B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36700AB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一、本国产品标准</w:t>
      </w:r>
    </w:p>
    <w:p w14:paraId="53A7DA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07811D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1D0B8DE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218A7F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7583F37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9D155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5C7ABA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1C3EDEF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4E6615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A548C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5A44497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48F95A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2B92452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0773D6E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二、本国产品标准的适用范围</w:t>
      </w:r>
    </w:p>
    <w:p w14:paraId="79720E0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三、对本国产品的支持政策</w:t>
      </w:r>
    </w:p>
    <w:p w14:paraId="73E0980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四、政策执行要求</w:t>
      </w:r>
    </w:p>
    <w:p w14:paraId="36C4A40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4129D21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2BF9FB3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27676B5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五、争议处理</w:t>
      </w:r>
    </w:p>
    <w:p w14:paraId="381B739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4BD7AB2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5361AEB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6178648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7289F6B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3"/>
          <w:rFonts w:hint="eastAsia" w:ascii="宋体" w:hAnsi="宋体" w:eastAsia="宋体" w:cs="宋体"/>
          <w:i w:val="0"/>
          <w:iCs w:val="0"/>
          <w:caps w:val="0"/>
          <w:color w:val="333333"/>
          <w:spacing w:val="0"/>
          <w:sz w:val="21"/>
          <w:szCs w:val="21"/>
          <w:shd w:val="clear" w:color="auto" w:fill="FFFFFF"/>
        </w:rPr>
        <w:t>（产品名称1）</w:t>
      </w:r>
      <w:r>
        <w:rPr>
          <w:rStyle w:val="23"/>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Style w:val="23"/>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Style w:val="23"/>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Style w:val="23"/>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Style w:val="23"/>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6"/>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6"/>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6"/>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6A69460F">
      <w:pPr>
        <w:rPr>
          <w:color w:val="auto"/>
        </w:rPr>
      </w:pPr>
    </w:p>
    <w:p w14:paraId="64691BFF">
      <w:pPr>
        <w:rPr>
          <w:color w:val="auto"/>
        </w:rPr>
      </w:pPr>
    </w:p>
    <w:p w14:paraId="2A982AB6">
      <w:pPr>
        <w:rPr>
          <w:color w:val="auto"/>
        </w:rPr>
      </w:pPr>
    </w:p>
    <w:p w14:paraId="5A426C0A">
      <w:pPr>
        <w:rPr>
          <w:color w:val="auto"/>
        </w:rPr>
      </w:pPr>
    </w:p>
    <w:p w14:paraId="1D8E6724">
      <w:pPr>
        <w:rPr>
          <w:color w:val="auto"/>
        </w:rPr>
      </w:pPr>
    </w:p>
    <w:p w14:paraId="1A3E840D">
      <w:pPr>
        <w:rPr>
          <w:color w:val="auto"/>
        </w:rPr>
      </w:pPr>
    </w:p>
    <w:p w14:paraId="093493CD">
      <w:pPr>
        <w:rPr>
          <w:color w:val="auto"/>
        </w:rPr>
      </w:pPr>
    </w:p>
    <w:p w14:paraId="1D37C6CC">
      <w:pPr>
        <w:rPr>
          <w:color w:val="auto"/>
        </w:rPr>
      </w:pPr>
    </w:p>
    <w:p w14:paraId="42F5E4C0">
      <w:pPr>
        <w:rPr>
          <w:color w:val="auto"/>
        </w:rPr>
      </w:pPr>
    </w:p>
    <w:p w14:paraId="14AF4BAD">
      <w:pPr>
        <w:rPr>
          <w:color w:val="auto"/>
        </w:rPr>
      </w:pPr>
    </w:p>
    <w:p w14:paraId="2F1C726D">
      <w:pPr>
        <w:rPr>
          <w:color w:val="auto"/>
        </w:rPr>
      </w:pPr>
    </w:p>
    <w:p w14:paraId="0C3B96BD">
      <w:pPr>
        <w:rPr>
          <w:color w:val="auto"/>
        </w:rPr>
      </w:pPr>
    </w:p>
    <w:p w14:paraId="42B9973E">
      <w:pPr>
        <w:rPr>
          <w:color w:val="auto"/>
        </w:rPr>
      </w:pPr>
    </w:p>
    <w:p w14:paraId="3EF6F41F">
      <w:pPr>
        <w:rPr>
          <w:color w:val="auto"/>
        </w:rPr>
      </w:pPr>
    </w:p>
    <w:p w14:paraId="44A7480B">
      <w:pPr>
        <w:rPr>
          <w:color w:val="auto"/>
        </w:rPr>
      </w:pPr>
    </w:p>
    <w:p w14:paraId="2E9D95E9">
      <w:pPr>
        <w:rPr>
          <w:color w:val="auto"/>
        </w:rPr>
      </w:pPr>
    </w:p>
    <w:p w14:paraId="6206D5B6">
      <w:pPr>
        <w:rPr>
          <w:color w:val="auto"/>
        </w:rPr>
      </w:pPr>
    </w:p>
    <w:p w14:paraId="663A38CC">
      <w:pPr>
        <w:rPr>
          <w:color w:val="auto"/>
        </w:rPr>
      </w:pPr>
    </w:p>
    <w:p w14:paraId="680B9D94">
      <w:pPr>
        <w:rPr>
          <w:color w:val="auto"/>
        </w:rPr>
      </w:pPr>
    </w:p>
    <w:p w14:paraId="4D84F8E4">
      <w:pPr>
        <w:rPr>
          <w:color w:val="auto"/>
        </w:rPr>
      </w:pPr>
    </w:p>
    <w:p w14:paraId="406BD766">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38" w:name="_Toc8245"/>
      <w:bookmarkStart w:id="39" w:name="_Toc3326"/>
      <w:r>
        <w:rPr>
          <w:rFonts w:hint="eastAsia" w:cs="宋体" w:asciiTheme="majorEastAsia" w:hAnsiTheme="majorEastAsia" w:eastAsiaTheme="majorEastAsia"/>
          <w:kern w:val="2"/>
          <w:sz w:val="30"/>
          <w:szCs w:val="30"/>
          <w:lang w:val="en-US" w:eastAsia="zh-CN" w:bidi="ar-SA"/>
        </w:rPr>
        <w:t>（九）</w:t>
      </w:r>
      <w:r>
        <w:rPr>
          <w:rFonts w:hint="eastAsia" w:asciiTheme="majorEastAsia" w:hAnsiTheme="majorEastAsia" w:eastAsiaTheme="majorEastAsia"/>
          <w:sz w:val="30"/>
          <w:szCs w:val="30"/>
        </w:rPr>
        <w:t>开标一览表(报价表)</w:t>
      </w:r>
      <w:bookmarkEnd w:id="29"/>
      <w:bookmarkEnd w:id="38"/>
      <w:bookmarkEnd w:id="39"/>
    </w:p>
    <w:bookmarkEnd w:id="25"/>
    <w:bookmarkEnd w:id="26"/>
    <w:tbl>
      <w:tblPr>
        <w:tblStyle w:val="18"/>
        <w:tblW w:w="102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1665"/>
        <w:gridCol w:w="1870"/>
        <w:gridCol w:w="1435"/>
        <w:gridCol w:w="1078"/>
        <w:gridCol w:w="2612"/>
      </w:tblGrid>
      <w:tr w14:paraId="1F687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38" w:type="dxa"/>
            <w:tcBorders>
              <w:top w:val="single" w:color="auto" w:sz="12" w:space="0"/>
              <w:bottom w:val="single" w:color="auto" w:sz="12" w:space="0"/>
            </w:tcBorders>
            <w:shd w:val="clear" w:color="auto" w:fill="EEECE1"/>
            <w:vAlign w:val="center"/>
          </w:tcPr>
          <w:p w14:paraId="12F100D1">
            <w:pPr>
              <w:keepNext w:val="0"/>
              <w:keepLines w:val="0"/>
              <w:suppressLineNumbers w:val="0"/>
              <w:spacing w:before="0" w:beforeAutospacing="0" w:after="0" w:afterAutospacing="0"/>
              <w:ind w:left="0" w:right="0"/>
              <w:jc w:val="center"/>
              <w:rPr>
                <w:rFonts w:hint="default" w:ascii="宋体" w:eastAsia="宋体"/>
                <w:b/>
                <w:color w:val="auto"/>
                <w:szCs w:val="21"/>
                <w:lang w:val="en-US" w:eastAsia="zh-CN"/>
              </w:rPr>
            </w:pPr>
            <w:r>
              <w:rPr>
                <w:rFonts w:hint="eastAsia" w:ascii="宋体"/>
                <w:b/>
                <w:color w:val="auto"/>
                <w:szCs w:val="21"/>
                <w:lang w:val="en-US" w:eastAsia="zh-CN"/>
              </w:rPr>
              <w:t>采购编号</w:t>
            </w:r>
          </w:p>
        </w:tc>
        <w:tc>
          <w:tcPr>
            <w:tcW w:w="1665" w:type="dxa"/>
            <w:tcBorders>
              <w:top w:val="single" w:color="auto" w:sz="12" w:space="0"/>
              <w:bottom w:val="single" w:color="auto" w:sz="12" w:space="0"/>
            </w:tcBorders>
            <w:shd w:val="clear" w:color="auto" w:fill="EEECE1"/>
            <w:vAlign w:val="center"/>
          </w:tcPr>
          <w:p w14:paraId="7DF2F416">
            <w:pPr>
              <w:keepNext w:val="0"/>
              <w:keepLines w:val="0"/>
              <w:suppressLineNumbers w:val="0"/>
              <w:spacing w:before="0" w:beforeAutospacing="0" w:after="0" w:afterAutospacing="0"/>
              <w:ind w:left="0" w:right="0"/>
              <w:jc w:val="center"/>
              <w:rPr>
                <w:rFonts w:hint="default" w:ascii="宋体" w:eastAsia="宋体" w:hAnsiTheme="minorHAnsi" w:cstheme="minorBidi"/>
                <w:b/>
                <w:color w:val="auto"/>
                <w:kern w:val="2"/>
                <w:sz w:val="21"/>
                <w:szCs w:val="21"/>
                <w:lang w:val="en-US" w:eastAsia="zh-CN" w:bidi="ar-SA"/>
              </w:rPr>
            </w:pPr>
            <w:r>
              <w:rPr>
                <w:rFonts w:hint="eastAsia" w:ascii="宋体"/>
                <w:b/>
                <w:color w:val="auto"/>
                <w:szCs w:val="21"/>
                <w:lang w:val="en-US" w:eastAsia="zh-CN"/>
              </w:rPr>
              <w:t>采购名称</w:t>
            </w:r>
          </w:p>
        </w:tc>
        <w:tc>
          <w:tcPr>
            <w:tcW w:w="1870" w:type="dxa"/>
            <w:tcBorders>
              <w:top w:val="single" w:color="auto" w:sz="12" w:space="0"/>
              <w:bottom w:val="single" w:color="auto" w:sz="12" w:space="0"/>
            </w:tcBorders>
            <w:shd w:val="clear" w:color="auto" w:fill="EEECE1"/>
            <w:vAlign w:val="center"/>
          </w:tcPr>
          <w:p w14:paraId="0FC0ABDC">
            <w:pPr>
              <w:keepNext w:val="0"/>
              <w:keepLines w:val="0"/>
              <w:suppressLineNumbers w:val="0"/>
              <w:tabs>
                <w:tab w:val="left" w:pos="8364"/>
              </w:tabs>
              <w:snapToGrid w:val="0"/>
              <w:spacing w:before="0" w:beforeAutospacing="0" w:after="0" w:afterAutospacing="0"/>
              <w:ind w:left="0" w:right="-58"/>
              <w:jc w:val="center"/>
              <w:rPr>
                <w:rFonts w:hint="eastAsia" w:ascii="宋体"/>
                <w:b/>
                <w:color w:val="auto"/>
                <w:szCs w:val="21"/>
              </w:rPr>
            </w:pPr>
            <w:r>
              <w:rPr>
                <w:rFonts w:hint="eastAsia" w:ascii="宋体" w:hAnsi="宋体" w:eastAsia="宋体" w:cs="宋体"/>
                <w:b/>
                <w:szCs w:val="21"/>
                <w:highlight w:val="none"/>
              </w:rPr>
              <w:t>制造商、原产地</w:t>
            </w:r>
          </w:p>
        </w:tc>
        <w:tc>
          <w:tcPr>
            <w:tcW w:w="1435" w:type="dxa"/>
            <w:tcBorders>
              <w:top w:val="single" w:color="auto" w:sz="12" w:space="0"/>
              <w:bottom w:val="single" w:color="auto" w:sz="12" w:space="0"/>
            </w:tcBorders>
            <w:shd w:val="clear" w:color="auto" w:fill="EEECE1"/>
            <w:vAlign w:val="center"/>
          </w:tcPr>
          <w:p w14:paraId="65458354">
            <w:pPr>
              <w:keepNext w:val="0"/>
              <w:keepLines w:val="0"/>
              <w:suppressLineNumbers w:val="0"/>
              <w:spacing w:before="0" w:beforeAutospacing="0" w:after="0" w:afterAutospacing="0"/>
              <w:ind w:left="0" w:right="0"/>
              <w:jc w:val="center"/>
              <w:rPr>
                <w:rFonts w:hint="eastAsia" w:ascii="宋体" w:hAnsi="宋体" w:cs="宋体"/>
                <w:b/>
                <w:color w:val="FF0000"/>
                <w:szCs w:val="21"/>
                <w:highlight w:val="none"/>
                <w:lang w:eastAsia="zh-CN"/>
              </w:rPr>
            </w:pPr>
            <w:r>
              <w:rPr>
                <w:rFonts w:hint="eastAsia" w:ascii="宋体" w:hAnsi="宋体" w:eastAsia="宋体" w:cs="宋体"/>
                <w:b/>
                <w:szCs w:val="21"/>
                <w:highlight w:val="none"/>
              </w:rPr>
              <w:t>品牌、型号</w:t>
            </w:r>
          </w:p>
        </w:tc>
        <w:tc>
          <w:tcPr>
            <w:tcW w:w="1078" w:type="dxa"/>
            <w:tcBorders>
              <w:top w:val="single" w:color="auto" w:sz="12" w:space="0"/>
              <w:bottom w:val="single" w:color="auto" w:sz="12" w:space="0"/>
            </w:tcBorders>
            <w:shd w:val="clear" w:color="auto" w:fill="EEECE1"/>
            <w:vAlign w:val="center"/>
          </w:tcPr>
          <w:p w14:paraId="0DE0CD21">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ascii="宋体"/>
                <w:b/>
                <w:color w:val="auto"/>
                <w:szCs w:val="21"/>
              </w:rPr>
              <w:t>数量</w:t>
            </w:r>
          </w:p>
        </w:tc>
        <w:tc>
          <w:tcPr>
            <w:tcW w:w="2612" w:type="dxa"/>
            <w:tcBorders>
              <w:top w:val="single" w:color="auto" w:sz="12" w:space="0"/>
              <w:bottom w:val="single" w:color="auto" w:sz="12" w:space="0"/>
            </w:tcBorders>
            <w:shd w:val="clear" w:color="auto" w:fill="EEECE1"/>
            <w:vAlign w:val="center"/>
          </w:tcPr>
          <w:p w14:paraId="07C9EA11">
            <w:pPr>
              <w:keepNext w:val="0"/>
              <w:keepLines w:val="0"/>
              <w:suppressLineNumbers w:val="0"/>
              <w:spacing w:before="0" w:beforeAutospacing="0" w:after="0" w:afterAutospacing="0"/>
              <w:ind w:left="0" w:right="0"/>
              <w:jc w:val="center"/>
              <w:rPr>
                <w:rFonts w:hint="eastAsia" w:hAnsi="宋体"/>
                <w:b/>
                <w:color w:val="auto"/>
                <w:vertAlign w:val="baseline"/>
                <w:lang w:val="en-US" w:eastAsia="zh-CN"/>
              </w:rPr>
            </w:pPr>
            <w:r>
              <w:rPr>
                <w:rFonts w:hint="eastAsia" w:hAnsi="宋体"/>
                <w:b/>
                <w:color w:val="auto"/>
                <w:vertAlign w:val="baseline"/>
                <w:lang w:val="en-US" w:eastAsia="zh-CN"/>
              </w:rPr>
              <w:t>投标报价</w:t>
            </w:r>
          </w:p>
          <w:p w14:paraId="21427E9E">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hAnsi="宋体"/>
                <w:b/>
                <w:color w:val="auto"/>
                <w:vertAlign w:val="baseline"/>
                <w:lang w:val="en-US" w:eastAsia="zh-CN"/>
              </w:rPr>
              <w:t>（人民币 元）</w:t>
            </w:r>
          </w:p>
        </w:tc>
      </w:tr>
      <w:tr w14:paraId="090F9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638" w:type="dxa"/>
            <w:tcBorders>
              <w:top w:val="single" w:color="auto" w:sz="12" w:space="0"/>
              <w:bottom w:val="single" w:color="auto" w:sz="12" w:space="0"/>
            </w:tcBorders>
            <w:vAlign w:val="center"/>
          </w:tcPr>
          <w:p w14:paraId="27FCC3B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665" w:type="dxa"/>
            <w:tcBorders>
              <w:top w:val="single" w:color="auto" w:sz="12" w:space="0"/>
              <w:bottom w:val="single" w:color="auto" w:sz="12" w:space="0"/>
            </w:tcBorders>
            <w:vAlign w:val="center"/>
          </w:tcPr>
          <w:p w14:paraId="431C6EDD">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napToGrid/>
                <w:color w:val="auto"/>
                <w:spacing w:val="0"/>
                <w:kern w:val="2"/>
                <w:sz w:val="21"/>
                <w:szCs w:val="24"/>
                <w:lang w:val="en-US" w:eastAsia="zh-CN" w:bidi="ar-SA"/>
              </w:rPr>
            </w:pPr>
          </w:p>
        </w:tc>
        <w:tc>
          <w:tcPr>
            <w:tcW w:w="1870" w:type="dxa"/>
            <w:tcBorders>
              <w:top w:val="single" w:color="auto" w:sz="12" w:space="0"/>
              <w:bottom w:val="single" w:color="auto" w:sz="12" w:space="0"/>
            </w:tcBorders>
            <w:vAlign w:val="center"/>
          </w:tcPr>
          <w:p w14:paraId="53030D5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435" w:type="dxa"/>
            <w:tcBorders>
              <w:top w:val="single" w:color="auto" w:sz="12" w:space="0"/>
              <w:bottom w:val="single" w:color="auto" w:sz="12" w:space="0"/>
            </w:tcBorders>
            <w:vAlign w:val="center"/>
          </w:tcPr>
          <w:p w14:paraId="5CAF2A8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078" w:type="dxa"/>
            <w:tcBorders>
              <w:top w:val="single" w:color="auto" w:sz="12" w:space="0"/>
              <w:bottom w:val="single" w:color="auto" w:sz="12" w:space="0"/>
            </w:tcBorders>
            <w:vAlign w:val="center"/>
          </w:tcPr>
          <w:p w14:paraId="7E633B9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2612" w:type="dxa"/>
            <w:tcBorders>
              <w:top w:val="single" w:color="auto" w:sz="12" w:space="0"/>
              <w:bottom w:val="single" w:color="auto" w:sz="12" w:space="0"/>
            </w:tcBorders>
            <w:vAlign w:val="center"/>
          </w:tcPr>
          <w:p w14:paraId="6885F932">
            <w:pPr>
              <w:pStyle w:val="34"/>
              <w:keepLines w:val="0"/>
              <w:suppressLineNumbers w:val="0"/>
              <w:spacing w:beforeAutospacing="0" w:afterAutospacing="0" w:line="240" w:lineRule="auto"/>
              <w:ind w:left="0" w:right="0"/>
              <w:rPr>
                <w:rFonts w:hint="default" w:ascii="宋体"/>
                <w:bCs/>
                <w:color w:val="auto"/>
                <w:szCs w:val="21"/>
                <w:u w:val="single"/>
              </w:rPr>
            </w:pPr>
          </w:p>
        </w:tc>
      </w:tr>
      <w:tr w14:paraId="71680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0298" w:type="dxa"/>
            <w:gridSpan w:val="6"/>
            <w:tcBorders>
              <w:top w:val="single" w:color="auto" w:sz="12" w:space="0"/>
              <w:bottom w:val="single" w:color="auto" w:sz="12" w:space="0"/>
            </w:tcBorders>
            <w:vAlign w:val="center"/>
          </w:tcPr>
          <w:p w14:paraId="366CD76F">
            <w:pPr>
              <w:keepNext w:val="0"/>
              <w:keepLines w:val="0"/>
              <w:suppressLineNumbers w:val="0"/>
              <w:spacing w:before="0" w:beforeAutospacing="0" w:after="0" w:afterAutospacing="0"/>
              <w:ind w:left="0" w:right="0"/>
              <w:jc w:val="left"/>
              <w:rPr>
                <w:rFonts w:hint="default" w:ascii="宋体"/>
                <w:bCs/>
                <w:color w:val="auto"/>
                <w:szCs w:val="21"/>
                <w:u w:val="single"/>
                <w:lang w:val="en-US"/>
              </w:rPr>
            </w:pPr>
            <w:r>
              <w:rPr>
                <w:rFonts w:hint="eastAsia" w:hAnsi="宋体"/>
                <w:b/>
                <w:color w:val="auto"/>
                <w:vertAlign w:val="baseline"/>
                <w:lang w:val="en-US" w:eastAsia="zh-CN"/>
              </w:rPr>
              <w:t>投标报价（元）小写：                   大写：</w:t>
            </w:r>
          </w:p>
        </w:tc>
      </w:tr>
    </w:tbl>
    <w:p w14:paraId="2F8AE64B">
      <w:pPr>
        <w:pStyle w:val="35"/>
      </w:pPr>
    </w:p>
    <w:p w14:paraId="3E7E1871">
      <w:pPr>
        <w:pStyle w:val="35"/>
      </w:pPr>
    </w:p>
    <w:p w14:paraId="65FD6EFB">
      <w:pPr>
        <w:pStyle w:val="35"/>
      </w:pPr>
    </w:p>
    <w:p w14:paraId="599AE3DB">
      <w:pPr>
        <w:spacing w:line="360" w:lineRule="auto"/>
        <w:rPr>
          <w:rFonts w:hint="default"/>
          <w:b/>
          <w:bCs/>
          <w:highlight w:val="lightGray"/>
          <w:u w:val="single"/>
          <w:lang w:val="en-US"/>
        </w:rPr>
      </w:pPr>
      <w:r>
        <w:rPr>
          <w:rFonts w:hint="eastAsia"/>
          <w:b/>
          <w:bCs/>
          <w:sz w:val="24"/>
          <w:lang w:val="en-US" w:eastAsia="zh-CN"/>
        </w:rPr>
        <w:t>投标人签字：</w:t>
      </w:r>
      <w:r>
        <w:rPr>
          <w:rFonts w:hint="eastAsia"/>
          <w:b/>
          <w:bCs/>
          <w:sz w:val="24"/>
          <w:u w:val="single"/>
          <w:lang w:val="en-US" w:eastAsia="zh-CN"/>
        </w:rPr>
        <w:t xml:space="preserve">                     </w:t>
      </w:r>
    </w:p>
    <w:p w14:paraId="73B46FE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AE07D80">
      <w:pPr>
        <w:spacing w:line="360" w:lineRule="auto"/>
        <w:outlineLvl w:val="9"/>
        <w:rPr>
          <w:rFonts w:hint="eastAsia"/>
          <w:b/>
          <w:sz w:val="24"/>
        </w:rPr>
      </w:pPr>
      <w:r>
        <w:rPr>
          <w:rFonts w:hint="eastAsia"/>
          <w:b/>
          <w:sz w:val="24"/>
        </w:rPr>
        <w:t>（此处加盖投标人单位公章）</w:t>
      </w:r>
    </w:p>
    <w:p w14:paraId="7D974DDB">
      <w:pPr>
        <w:spacing w:line="360" w:lineRule="auto"/>
        <w:rPr>
          <w:rFonts w:hint="eastAsia"/>
          <w:b/>
          <w:bCs/>
          <w:sz w:val="24"/>
        </w:rPr>
      </w:pPr>
      <w:r>
        <w:rPr>
          <w:rFonts w:hint="eastAsia"/>
          <w:b/>
          <w:bCs/>
          <w:sz w:val="24"/>
        </w:rPr>
        <w:t>日期：       年     月    日</w:t>
      </w:r>
    </w:p>
    <w:p w14:paraId="3E729C9D">
      <w:pPr>
        <w:pStyle w:val="6"/>
        <w:rPr>
          <w:rFonts w:hint="default"/>
          <w:lang w:val="en-US" w:eastAsia="zh-CN"/>
        </w:rPr>
      </w:pPr>
    </w:p>
    <w:p w14:paraId="29AA90E5">
      <w:pPr>
        <w:spacing w:line="400" w:lineRule="exact"/>
        <w:rPr>
          <w:rFonts w:ascii="宋体" w:hAnsi="宋体"/>
          <w:szCs w:val="21"/>
        </w:rPr>
      </w:pPr>
      <w:r>
        <w:rPr>
          <w:rFonts w:hint="eastAsia" w:ascii="宋体" w:hAnsi="宋体"/>
          <w:szCs w:val="21"/>
        </w:rPr>
        <w:t>备注：</w:t>
      </w:r>
    </w:p>
    <w:p w14:paraId="461A862F">
      <w:pPr>
        <w:numPr>
          <w:ilvl w:val="1"/>
          <w:numId w:val="10"/>
        </w:numPr>
        <w:tabs>
          <w:tab w:val="left" w:pos="360"/>
          <w:tab w:val="clear" w:pos="1620"/>
        </w:tabs>
        <w:snapToGrid w:val="0"/>
        <w:spacing w:line="360" w:lineRule="auto"/>
        <w:ind w:left="360" w:leftChars="0" w:hanging="360" w:firstLineChars="0"/>
        <w:outlineLvl w:val="9"/>
        <w:rPr>
          <w:rFonts w:ascii="宋体" w:hAnsi="宋体"/>
          <w:szCs w:val="21"/>
        </w:rPr>
      </w:pPr>
      <w:r>
        <w:rPr>
          <w:rFonts w:hint="eastAsia" w:ascii="宋体" w:hAnsi="宋体"/>
        </w:rPr>
        <w:t>投标报价的小数点后保留两位有效数</w:t>
      </w:r>
      <w:r>
        <w:rPr>
          <w:rFonts w:hint="eastAsia" w:ascii="宋体" w:hAnsi="宋体"/>
          <w:szCs w:val="21"/>
        </w:rPr>
        <w:t>。</w:t>
      </w:r>
    </w:p>
    <w:p w14:paraId="0226C8E6">
      <w:pPr>
        <w:numPr>
          <w:ilvl w:val="1"/>
          <w:numId w:val="10"/>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0"/>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不得超过挂网公告的预算价格，否则为无效投标</w:t>
      </w:r>
      <w:r>
        <w:rPr>
          <w:rFonts w:hint="eastAsia"/>
        </w:rPr>
        <w:t>。</w:t>
      </w:r>
    </w:p>
    <w:p w14:paraId="2B15EBBF">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31AC87EF">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Theme="minorEastAsia" w:hAnsiTheme="minorEastAsia" w:eastAsiaTheme="minorEastAsia"/>
          <w:szCs w:val="21"/>
        </w:rPr>
        <w:t>若开标一览表中大写金额和小写金额不一致的，以大写金额为准。</w:t>
      </w:r>
    </w:p>
    <w:p w14:paraId="3DCB839C">
      <w:pPr>
        <w:pStyle w:val="6"/>
        <w:rPr>
          <w:rFonts w:hint="default" w:ascii="宋体" w:hAnsi="宋体" w:eastAsiaTheme="minorEastAsia" w:cstheme="minorBidi"/>
          <w:kern w:val="2"/>
          <w:sz w:val="21"/>
          <w:szCs w:val="24"/>
          <w:lang w:val="en-US" w:eastAsia="zh-CN" w:bidi="ar-SA"/>
        </w:rPr>
      </w:pPr>
    </w:p>
    <w:p w14:paraId="27349781">
      <w:pPr>
        <w:tabs>
          <w:tab w:val="left" w:pos="1200"/>
        </w:tabs>
        <w:snapToGrid w:val="0"/>
        <w:spacing w:line="360" w:lineRule="auto"/>
        <w:ind w:left="360"/>
        <w:rPr>
          <w:color w:val="FF0000"/>
        </w:rPr>
      </w:pPr>
    </w:p>
    <w:p w14:paraId="54F1A10B">
      <w:pPr>
        <w:spacing w:line="400" w:lineRule="exact"/>
        <w:rPr>
          <w:rFonts w:ascii="宋体" w:hAnsi="宋体"/>
          <w:b/>
          <w:bCs/>
          <w:szCs w:val="21"/>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57D675F">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lang w:eastAsia="zh-CN"/>
        </w:rPr>
      </w:pPr>
      <w:bookmarkStart w:id="40" w:name="_Toc22669"/>
      <w:bookmarkStart w:id="41" w:name="_Toc435514866"/>
      <w:bookmarkStart w:id="42" w:name="_Toc6350"/>
      <w:bookmarkStart w:id="43" w:name="_Toc22031"/>
      <w:bookmarkStart w:id="44" w:name="_Toc192662843"/>
      <w:bookmarkStart w:id="45" w:name="_Toc275865611"/>
      <w:bookmarkStart w:id="46" w:name="_Toc435515306"/>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投标报价</w:t>
      </w:r>
      <w:r>
        <w:rPr>
          <w:rFonts w:hint="eastAsia" w:asciiTheme="majorEastAsia" w:hAnsiTheme="majorEastAsia" w:eastAsiaTheme="majorEastAsia"/>
          <w:sz w:val="30"/>
          <w:szCs w:val="30"/>
          <w:lang w:val="en-US" w:eastAsia="zh-CN"/>
        </w:rPr>
        <w:t>明细</w:t>
      </w:r>
      <w:r>
        <w:rPr>
          <w:rFonts w:hint="eastAsia" w:asciiTheme="majorEastAsia" w:hAnsiTheme="majorEastAsia" w:eastAsiaTheme="majorEastAsia"/>
          <w:sz w:val="30"/>
          <w:szCs w:val="30"/>
        </w:rPr>
        <w:t>表</w:t>
      </w:r>
      <w:bookmarkEnd w:id="40"/>
      <w:bookmarkEnd w:id="41"/>
      <w:bookmarkEnd w:id="42"/>
      <w:bookmarkEnd w:id="43"/>
      <w:bookmarkEnd w:id="44"/>
      <w:bookmarkEnd w:id="45"/>
      <w:bookmarkEnd w:id="46"/>
    </w:p>
    <w:tbl>
      <w:tblPr>
        <w:tblStyle w:val="18"/>
        <w:tblW w:w="106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050"/>
        <w:gridCol w:w="990"/>
        <w:gridCol w:w="990"/>
        <w:gridCol w:w="990"/>
        <w:gridCol w:w="750"/>
        <w:gridCol w:w="750"/>
        <w:gridCol w:w="870"/>
        <w:gridCol w:w="1020"/>
        <w:gridCol w:w="968"/>
        <w:gridCol w:w="725"/>
      </w:tblGrid>
      <w:tr w14:paraId="30F3E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534" w:type="dxa"/>
            <w:tcBorders>
              <w:top w:val="single" w:color="auto" w:sz="12" w:space="0"/>
              <w:bottom w:val="double" w:color="auto" w:sz="4" w:space="0"/>
            </w:tcBorders>
            <w:shd w:val="clear" w:color="auto" w:fill="EEECE1"/>
            <w:vAlign w:val="center"/>
          </w:tcPr>
          <w:p w14:paraId="5F5EBF4D">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序号</w:t>
            </w:r>
          </w:p>
        </w:tc>
        <w:tc>
          <w:tcPr>
            <w:tcW w:w="1050" w:type="dxa"/>
            <w:tcBorders>
              <w:top w:val="single" w:color="auto" w:sz="12" w:space="0"/>
              <w:bottom w:val="double" w:color="auto" w:sz="4" w:space="0"/>
            </w:tcBorders>
            <w:shd w:val="clear" w:color="auto" w:fill="EEECE1"/>
            <w:vAlign w:val="center"/>
          </w:tcPr>
          <w:p w14:paraId="5915C804">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产品</w:t>
            </w:r>
          </w:p>
          <w:p w14:paraId="384D549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名称</w:t>
            </w:r>
          </w:p>
        </w:tc>
        <w:tc>
          <w:tcPr>
            <w:tcW w:w="990" w:type="dxa"/>
            <w:tcBorders>
              <w:top w:val="single" w:color="auto" w:sz="12" w:space="0"/>
              <w:bottom w:val="double" w:color="auto" w:sz="4" w:space="0"/>
            </w:tcBorders>
            <w:shd w:val="clear" w:color="auto" w:fill="EEECE1"/>
            <w:vAlign w:val="center"/>
          </w:tcPr>
          <w:p w14:paraId="4F87A1A6">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规格</w:t>
            </w:r>
            <w:r>
              <w:rPr>
                <w:rFonts w:hint="eastAsia" w:ascii="宋体" w:hAnsi="宋体"/>
                <w:lang w:val="en-US" w:eastAsia="zh-CN"/>
              </w:rPr>
              <w:t xml:space="preserve">  </w:t>
            </w:r>
            <w:r>
              <w:rPr>
                <w:rFonts w:hint="default" w:ascii="宋体" w:hAnsi="宋体"/>
              </w:rPr>
              <w:t>型号</w:t>
            </w:r>
          </w:p>
        </w:tc>
        <w:tc>
          <w:tcPr>
            <w:tcW w:w="990" w:type="dxa"/>
            <w:tcBorders>
              <w:top w:val="single" w:color="auto" w:sz="12" w:space="0"/>
              <w:bottom w:val="double" w:color="auto" w:sz="4" w:space="0"/>
            </w:tcBorders>
            <w:shd w:val="clear" w:color="auto" w:fill="EEECE1"/>
            <w:vAlign w:val="center"/>
          </w:tcPr>
          <w:p w14:paraId="1C2B3549">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Theme="minorEastAsia"/>
                <w:lang w:val="en-US" w:eastAsia="zh-CN"/>
              </w:rPr>
            </w:pPr>
            <w:r>
              <w:rPr>
                <w:rFonts w:hint="eastAsia" w:ascii="宋体" w:hAnsi="宋体"/>
                <w:lang w:val="en-US" w:eastAsia="zh-CN"/>
              </w:rPr>
              <w:t>制造商</w:t>
            </w:r>
          </w:p>
        </w:tc>
        <w:tc>
          <w:tcPr>
            <w:tcW w:w="990" w:type="dxa"/>
            <w:tcBorders>
              <w:top w:val="single" w:color="auto" w:sz="12" w:space="0"/>
              <w:bottom w:val="double" w:color="auto" w:sz="4" w:space="0"/>
            </w:tcBorders>
            <w:shd w:val="clear" w:color="auto" w:fill="EEECE1"/>
            <w:vAlign w:val="center"/>
          </w:tcPr>
          <w:p w14:paraId="69A5DBCF">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品牌</w:t>
            </w:r>
          </w:p>
        </w:tc>
        <w:tc>
          <w:tcPr>
            <w:tcW w:w="750" w:type="dxa"/>
            <w:tcBorders>
              <w:top w:val="single" w:color="auto" w:sz="12" w:space="0"/>
              <w:bottom w:val="double" w:color="auto" w:sz="4" w:space="0"/>
            </w:tcBorders>
            <w:shd w:val="clear" w:color="auto" w:fill="EEECE1"/>
            <w:vAlign w:val="center"/>
          </w:tcPr>
          <w:p w14:paraId="018BFB98">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Theme="minorEastAsia"/>
                <w:lang w:val="en-US" w:eastAsia="zh-CN"/>
              </w:rPr>
            </w:pPr>
            <w:r>
              <w:rPr>
                <w:rFonts w:hint="eastAsia" w:ascii="宋体" w:hAnsi="宋体"/>
                <w:lang w:val="en-US" w:eastAsia="zh-CN"/>
              </w:rPr>
              <w:t>代工厂商</w:t>
            </w:r>
          </w:p>
        </w:tc>
        <w:tc>
          <w:tcPr>
            <w:tcW w:w="750" w:type="dxa"/>
            <w:tcBorders>
              <w:top w:val="single" w:color="auto" w:sz="12" w:space="0"/>
              <w:bottom w:val="double" w:color="auto" w:sz="4" w:space="0"/>
            </w:tcBorders>
            <w:shd w:val="clear" w:color="auto" w:fill="EEECE1"/>
            <w:vAlign w:val="center"/>
          </w:tcPr>
          <w:p w14:paraId="22B38E5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单位</w:t>
            </w:r>
          </w:p>
        </w:tc>
        <w:tc>
          <w:tcPr>
            <w:tcW w:w="870" w:type="dxa"/>
            <w:tcBorders>
              <w:top w:val="single" w:color="auto" w:sz="12" w:space="0"/>
              <w:bottom w:val="double" w:color="auto" w:sz="4" w:space="0"/>
            </w:tcBorders>
            <w:shd w:val="clear" w:color="auto" w:fill="EEECE1"/>
            <w:vAlign w:val="center"/>
          </w:tcPr>
          <w:p w14:paraId="3C4AF9D9">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数量</w:t>
            </w:r>
          </w:p>
        </w:tc>
        <w:tc>
          <w:tcPr>
            <w:tcW w:w="1020" w:type="dxa"/>
            <w:tcBorders>
              <w:top w:val="single" w:color="auto" w:sz="12" w:space="0"/>
              <w:bottom w:val="double" w:color="auto" w:sz="4" w:space="0"/>
            </w:tcBorders>
            <w:shd w:val="clear" w:color="auto" w:fill="EEECE1"/>
            <w:vAlign w:val="center"/>
          </w:tcPr>
          <w:p w14:paraId="1D2B96D2">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单价</w:t>
            </w:r>
            <w:r>
              <w:rPr>
                <w:rFonts w:hint="eastAsia" w:ascii="宋体" w:hAnsi="宋体"/>
                <w:lang w:val="en-US" w:eastAsia="zh-CN"/>
              </w:rPr>
              <w:t xml:space="preserve">   </w:t>
            </w:r>
            <w:r>
              <w:rPr>
                <w:rFonts w:hint="default" w:ascii="宋体" w:hAnsi="宋体"/>
              </w:rPr>
              <w:t>（元）</w:t>
            </w:r>
          </w:p>
        </w:tc>
        <w:tc>
          <w:tcPr>
            <w:tcW w:w="968" w:type="dxa"/>
            <w:tcBorders>
              <w:top w:val="single" w:color="auto" w:sz="12" w:space="0"/>
              <w:bottom w:val="double" w:color="auto" w:sz="4" w:space="0"/>
            </w:tcBorders>
            <w:shd w:val="clear" w:color="auto" w:fill="EEECE1"/>
            <w:vAlign w:val="center"/>
          </w:tcPr>
          <w:p w14:paraId="122C5C98">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合计</w:t>
            </w:r>
            <w:r>
              <w:rPr>
                <w:rFonts w:hint="eastAsia" w:ascii="宋体" w:hAnsi="宋体"/>
                <w:lang w:val="en-US" w:eastAsia="zh-CN"/>
              </w:rPr>
              <w:t xml:space="preserve">   </w:t>
            </w:r>
            <w:r>
              <w:rPr>
                <w:rFonts w:hint="eastAsia" w:ascii="宋体" w:hAnsi="宋体"/>
              </w:rPr>
              <w:t>（元）</w:t>
            </w:r>
          </w:p>
        </w:tc>
        <w:tc>
          <w:tcPr>
            <w:tcW w:w="725" w:type="dxa"/>
            <w:tcBorders>
              <w:top w:val="single" w:color="auto" w:sz="12" w:space="0"/>
              <w:bottom w:val="double" w:color="auto" w:sz="4" w:space="0"/>
            </w:tcBorders>
            <w:shd w:val="clear" w:color="auto" w:fill="EEECE1"/>
            <w:vAlign w:val="center"/>
          </w:tcPr>
          <w:p w14:paraId="26BB7D70">
            <w:pPr>
              <w:keepNext w:val="0"/>
              <w:keepLines w:val="0"/>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备注</w:t>
            </w:r>
          </w:p>
        </w:tc>
      </w:tr>
      <w:tr w14:paraId="3D7BC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6ADCBEC4">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1</w:t>
            </w:r>
          </w:p>
        </w:tc>
        <w:tc>
          <w:tcPr>
            <w:tcW w:w="1050" w:type="dxa"/>
            <w:vAlign w:val="center"/>
          </w:tcPr>
          <w:p w14:paraId="587D43AF">
            <w:pPr>
              <w:keepNext w:val="0"/>
              <w:keepLines w:val="0"/>
              <w:suppressLineNumbers w:val="0"/>
              <w:spacing w:before="0" w:beforeAutospacing="0" w:after="0" w:afterAutospacing="0"/>
              <w:ind w:left="0" w:right="0"/>
              <w:jc w:val="center"/>
              <w:rPr>
                <w:rFonts w:hint="default"/>
              </w:rPr>
            </w:pPr>
          </w:p>
        </w:tc>
        <w:tc>
          <w:tcPr>
            <w:tcW w:w="990" w:type="dxa"/>
            <w:vAlign w:val="center"/>
          </w:tcPr>
          <w:p w14:paraId="1FBD9E86">
            <w:pPr>
              <w:keepNext w:val="0"/>
              <w:keepLines w:val="0"/>
              <w:suppressLineNumbers w:val="0"/>
              <w:spacing w:before="0" w:beforeAutospacing="0" w:after="0" w:afterAutospacing="0"/>
              <w:ind w:left="0" w:right="0"/>
              <w:jc w:val="center"/>
              <w:rPr>
                <w:rFonts w:hint="default"/>
              </w:rPr>
            </w:pPr>
          </w:p>
        </w:tc>
        <w:tc>
          <w:tcPr>
            <w:tcW w:w="990" w:type="dxa"/>
            <w:vAlign w:val="center"/>
          </w:tcPr>
          <w:p w14:paraId="4F5FDCC7">
            <w:pPr>
              <w:keepNext w:val="0"/>
              <w:keepLines w:val="0"/>
              <w:suppressLineNumbers w:val="0"/>
              <w:spacing w:before="0" w:beforeAutospacing="0" w:after="0" w:afterAutospacing="0"/>
              <w:ind w:left="0" w:right="0"/>
              <w:jc w:val="center"/>
              <w:rPr>
                <w:rFonts w:hint="default"/>
              </w:rPr>
            </w:pPr>
          </w:p>
        </w:tc>
        <w:tc>
          <w:tcPr>
            <w:tcW w:w="990" w:type="dxa"/>
            <w:vAlign w:val="center"/>
          </w:tcPr>
          <w:p w14:paraId="7F126458">
            <w:pPr>
              <w:keepNext w:val="0"/>
              <w:keepLines w:val="0"/>
              <w:suppressLineNumbers w:val="0"/>
              <w:spacing w:before="0" w:beforeAutospacing="0" w:after="0" w:afterAutospacing="0"/>
              <w:ind w:left="0" w:right="0"/>
              <w:jc w:val="center"/>
              <w:rPr>
                <w:rFonts w:hint="default"/>
              </w:rPr>
            </w:pPr>
          </w:p>
        </w:tc>
        <w:tc>
          <w:tcPr>
            <w:tcW w:w="750" w:type="dxa"/>
            <w:vAlign w:val="center"/>
          </w:tcPr>
          <w:p w14:paraId="5DEBA6A7">
            <w:pPr>
              <w:keepNext w:val="0"/>
              <w:keepLines w:val="0"/>
              <w:suppressLineNumbers w:val="0"/>
              <w:spacing w:before="0" w:beforeAutospacing="0" w:after="0" w:afterAutospacing="0"/>
              <w:ind w:left="0" w:right="0"/>
              <w:jc w:val="center"/>
              <w:rPr>
                <w:rFonts w:hint="default"/>
              </w:rPr>
            </w:pPr>
          </w:p>
        </w:tc>
        <w:tc>
          <w:tcPr>
            <w:tcW w:w="750" w:type="dxa"/>
            <w:vAlign w:val="center"/>
          </w:tcPr>
          <w:p w14:paraId="7E35AFC9">
            <w:pPr>
              <w:keepNext w:val="0"/>
              <w:keepLines w:val="0"/>
              <w:suppressLineNumbers w:val="0"/>
              <w:spacing w:before="0" w:beforeAutospacing="0" w:after="0" w:afterAutospacing="0"/>
              <w:ind w:left="0" w:right="0"/>
              <w:jc w:val="center"/>
              <w:rPr>
                <w:rFonts w:hint="default"/>
              </w:rPr>
            </w:pPr>
          </w:p>
        </w:tc>
        <w:tc>
          <w:tcPr>
            <w:tcW w:w="870" w:type="dxa"/>
            <w:vAlign w:val="center"/>
          </w:tcPr>
          <w:p w14:paraId="150DCEB5">
            <w:pPr>
              <w:keepNext w:val="0"/>
              <w:keepLines w:val="0"/>
              <w:suppressLineNumbers w:val="0"/>
              <w:spacing w:before="0" w:beforeAutospacing="0" w:after="0" w:afterAutospacing="0"/>
              <w:ind w:left="0" w:right="0"/>
              <w:jc w:val="center"/>
              <w:rPr>
                <w:rFonts w:hint="default"/>
              </w:rPr>
            </w:pPr>
          </w:p>
        </w:tc>
        <w:tc>
          <w:tcPr>
            <w:tcW w:w="1020" w:type="dxa"/>
            <w:vAlign w:val="center"/>
          </w:tcPr>
          <w:p w14:paraId="0B6ACCDB">
            <w:pPr>
              <w:keepNext w:val="0"/>
              <w:keepLines w:val="0"/>
              <w:suppressLineNumbers w:val="0"/>
              <w:spacing w:before="0" w:beforeAutospacing="0" w:after="0" w:afterAutospacing="0"/>
              <w:ind w:left="0" w:right="0"/>
              <w:jc w:val="center"/>
              <w:rPr>
                <w:rFonts w:hint="default"/>
              </w:rPr>
            </w:pPr>
          </w:p>
        </w:tc>
        <w:tc>
          <w:tcPr>
            <w:tcW w:w="968" w:type="dxa"/>
            <w:vAlign w:val="center"/>
          </w:tcPr>
          <w:p w14:paraId="7BBE7B51">
            <w:pPr>
              <w:keepNext w:val="0"/>
              <w:keepLines w:val="0"/>
              <w:suppressLineNumbers w:val="0"/>
              <w:spacing w:before="0" w:beforeAutospacing="0" w:after="0" w:afterAutospacing="0"/>
              <w:ind w:left="0" w:right="0"/>
              <w:jc w:val="center"/>
              <w:rPr>
                <w:rFonts w:hint="default"/>
              </w:rPr>
            </w:pPr>
          </w:p>
        </w:tc>
        <w:tc>
          <w:tcPr>
            <w:tcW w:w="725" w:type="dxa"/>
            <w:vAlign w:val="center"/>
          </w:tcPr>
          <w:p w14:paraId="3A11F0BB">
            <w:pPr>
              <w:keepNext w:val="0"/>
              <w:keepLines w:val="0"/>
              <w:suppressLineNumbers w:val="0"/>
              <w:spacing w:before="0" w:beforeAutospacing="0" w:after="0" w:afterAutospacing="0"/>
              <w:ind w:left="0" w:right="0"/>
              <w:jc w:val="center"/>
              <w:rPr>
                <w:rFonts w:hint="default"/>
              </w:rPr>
            </w:pPr>
          </w:p>
        </w:tc>
      </w:tr>
      <w:tr w14:paraId="5F9A3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D8B611E">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2</w:t>
            </w:r>
          </w:p>
        </w:tc>
        <w:tc>
          <w:tcPr>
            <w:tcW w:w="1050" w:type="dxa"/>
            <w:vAlign w:val="center"/>
          </w:tcPr>
          <w:p w14:paraId="70669F5F">
            <w:pPr>
              <w:keepNext w:val="0"/>
              <w:keepLines w:val="0"/>
              <w:suppressLineNumbers w:val="0"/>
              <w:spacing w:before="0" w:beforeAutospacing="0" w:after="0" w:afterAutospacing="0"/>
              <w:ind w:left="0" w:right="0"/>
              <w:jc w:val="center"/>
              <w:rPr>
                <w:rFonts w:hint="default"/>
              </w:rPr>
            </w:pPr>
          </w:p>
        </w:tc>
        <w:tc>
          <w:tcPr>
            <w:tcW w:w="990" w:type="dxa"/>
            <w:vAlign w:val="center"/>
          </w:tcPr>
          <w:p w14:paraId="41ED0F8E">
            <w:pPr>
              <w:keepNext w:val="0"/>
              <w:keepLines w:val="0"/>
              <w:suppressLineNumbers w:val="0"/>
              <w:spacing w:before="0" w:beforeAutospacing="0" w:after="0" w:afterAutospacing="0"/>
              <w:ind w:left="0" w:right="0"/>
              <w:jc w:val="center"/>
              <w:rPr>
                <w:rFonts w:hint="default"/>
              </w:rPr>
            </w:pPr>
          </w:p>
        </w:tc>
        <w:tc>
          <w:tcPr>
            <w:tcW w:w="990" w:type="dxa"/>
            <w:vAlign w:val="center"/>
          </w:tcPr>
          <w:p w14:paraId="222424AE">
            <w:pPr>
              <w:keepNext w:val="0"/>
              <w:keepLines w:val="0"/>
              <w:suppressLineNumbers w:val="0"/>
              <w:spacing w:before="0" w:beforeAutospacing="0" w:after="0" w:afterAutospacing="0"/>
              <w:ind w:left="0" w:right="0"/>
              <w:jc w:val="center"/>
              <w:rPr>
                <w:rFonts w:hint="default"/>
              </w:rPr>
            </w:pPr>
          </w:p>
        </w:tc>
        <w:tc>
          <w:tcPr>
            <w:tcW w:w="990" w:type="dxa"/>
            <w:vAlign w:val="center"/>
          </w:tcPr>
          <w:p w14:paraId="10F72517">
            <w:pPr>
              <w:keepNext w:val="0"/>
              <w:keepLines w:val="0"/>
              <w:suppressLineNumbers w:val="0"/>
              <w:spacing w:before="0" w:beforeAutospacing="0" w:after="0" w:afterAutospacing="0"/>
              <w:ind w:left="0" w:right="0"/>
              <w:jc w:val="center"/>
              <w:rPr>
                <w:rFonts w:hint="default"/>
              </w:rPr>
            </w:pPr>
          </w:p>
        </w:tc>
        <w:tc>
          <w:tcPr>
            <w:tcW w:w="750" w:type="dxa"/>
            <w:vAlign w:val="center"/>
          </w:tcPr>
          <w:p w14:paraId="72412A1D">
            <w:pPr>
              <w:keepNext w:val="0"/>
              <w:keepLines w:val="0"/>
              <w:suppressLineNumbers w:val="0"/>
              <w:spacing w:before="0" w:beforeAutospacing="0" w:after="0" w:afterAutospacing="0"/>
              <w:ind w:left="0" w:right="0"/>
              <w:jc w:val="center"/>
              <w:rPr>
                <w:rFonts w:hint="default"/>
              </w:rPr>
            </w:pPr>
          </w:p>
        </w:tc>
        <w:tc>
          <w:tcPr>
            <w:tcW w:w="750" w:type="dxa"/>
            <w:vAlign w:val="center"/>
          </w:tcPr>
          <w:p w14:paraId="6DFC59CD">
            <w:pPr>
              <w:keepNext w:val="0"/>
              <w:keepLines w:val="0"/>
              <w:suppressLineNumbers w:val="0"/>
              <w:spacing w:before="0" w:beforeAutospacing="0" w:after="0" w:afterAutospacing="0"/>
              <w:ind w:left="0" w:right="0"/>
              <w:jc w:val="center"/>
              <w:rPr>
                <w:rFonts w:hint="default"/>
              </w:rPr>
            </w:pPr>
          </w:p>
        </w:tc>
        <w:tc>
          <w:tcPr>
            <w:tcW w:w="870" w:type="dxa"/>
            <w:vAlign w:val="center"/>
          </w:tcPr>
          <w:p w14:paraId="257186F2">
            <w:pPr>
              <w:keepNext w:val="0"/>
              <w:keepLines w:val="0"/>
              <w:suppressLineNumbers w:val="0"/>
              <w:spacing w:before="0" w:beforeAutospacing="0" w:after="0" w:afterAutospacing="0"/>
              <w:ind w:left="0" w:right="0"/>
              <w:jc w:val="center"/>
              <w:rPr>
                <w:rFonts w:hint="default"/>
              </w:rPr>
            </w:pPr>
          </w:p>
        </w:tc>
        <w:tc>
          <w:tcPr>
            <w:tcW w:w="1020" w:type="dxa"/>
            <w:vAlign w:val="center"/>
          </w:tcPr>
          <w:p w14:paraId="42E249AF">
            <w:pPr>
              <w:keepNext w:val="0"/>
              <w:keepLines w:val="0"/>
              <w:suppressLineNumbers w:val="0"/>
              <w:spacing w:before="0" w:beforeAutospacing="0" w:after="0" w:afterAutospacing="0"/>
              <w:ind w:left="0" w:right="0"/>
              <w:jc w:val="center"/>
              <w:rPr>
                <w:rFonts w:hint="default"/>
              </w:rPr>
            </w:pPr>
          </w:p>
        </w:tc>
        <w:tc>
          <w:tcPr>
            <w:tcW w:w="968" w:type="dxa"/>
            <w:vAlign w:val="center"/>
          </w:tcPr>
          <w:p w14:paraId="5C60D203">
            <w:pPr>
              <w:keepNext w:val="0"/>
              <w:keepLines w:val="0"/>
              <w:suppressLineNumbers w:val="0"/>
              <w:spacing w:before="0" w:beforeAutospacing="0" w:after="0" w:afterAutospacing="0"/>
              <w:ind w:left="0" w:right="0"/>
              <w:jc w:val="center"/>
              <w:rPr>
                <w:rFonts w:hint="default"/>
              </w:rPr>
            </w:pPr>
          </w:p>
        </w:tc>
        <w:tc>
          <w:tcPr>
            <w:tcW w:w="725" w:type="dxa"/>
            <w:vAlign w:val="center"/>
          </w:tcPr>
          <w:p w14:paraId="5A6C1D5A">
            <w:pPr>
              <w:keepNext w:val="0"/>
              <w:keepLines w:val="0"/>
              <w:suppressLineNumbers w:val="0"/>
              <w:spacing w:before="0" w:beforeAutospacing="0" w:after="0" w:afterAutospacing="0"/>
              <w:ind w:left="0" w:right="0"/>
              <w:jc w:val="center"/>
              <w:rPr>
                <w:rFonts w:hint="default"/>
              </w:rPr>
            </w:pPr>
          </w:p>
        </w:tc>
      </w:tr>
      <w:tr w14:paraId="19275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6FB0D31">
            <w:pPr>
              <w:keepNext w:val="0"/>
              <w:keepLines w:val="0"/>
              <w:suppressLineNumbers w:val="0"/>
              <w:spacing w:before="0" w:beforeAutospacing="0" w:after="0" w:afterAutospacing="0"/>
              <w:ind w:left="0" w:right="0"/>
              <w:jc w:val="center"/>
              <w:rPr>
                <w:rFonts w:hint="eastAsia" w:eastAsiaTheme="minorEastAsia"/>
                <w:lang w:eastAsia="zh-CN"/>
              </w:rPr>
            </w:pPr>
            <w:r>
              <w:rPr>
                <w:rFonts w:hint="eastAsia"/>
                <w:lang w:val="en-US" w:eastAsia="zh-CN"/>
              </w:rPr>
              <w:t>3</w:t>
            </w:r>
          </w:p>
        </w:tc>
        <w:tc>
          <w:tcPr>
            <w:tcW w:w="1050" w:type="dxa"/>
            <w:vAlign w:val="center"/>
          </w:tcPr>
          <w:p w14:paraId="745F5712">
            <w:pPr>
              <w:keepNext w:val="0"/>
              <w:keepLines w:val="0"/>
              <w:suppressLineNumbers w:val="0"/>
              <w:spacing w:before="0" w:beforeAutospacing="0" w:after="0" w:afterAutospacing="0"/>
              <w:ind w:left="0" w:right="0"/>
              <w:jc w:val="center"/>
              <w:rPr>
                <w:rFonts w:hint="default"/>
              </w:rPr>
            </w:pPr>
          </w:p>
        </w:tc>
        <w:tc>
          <w:tcPr>
            <w:tcW w:w="990" w:type="dxa"/>
            <w:vAlign w:val="center"/>
          </w:tcPr>
          <w:p w14:paraId="77BF9D43">
            <w:pPr>
              <w:keepNext w:val="0"/>
              <w:keepLines w:val="0"/>
              <w:suppressLineNumbers w:val="0"/>
              <w:spacing w:before="0" w:beforeAutospacing="0" w:after="0" w:afterAutospacing="0"/>
              <w:ind w:left="0" w:right="0"/>
              <w:jc w:val="center"/>
              <w:rPr>
                <w:rFonts w:hint="default"/>
              </w:rPr>
            </w:pPr>
          </w:p>
        </w:tc>
        <w:tc>
          <w:tcPr>
            <w:tcW w:w="990" w:type="dxa"/>
            <w:vAlign w:val="center"/>
          </w:tcPr>
          <w:p w14:paraId="0A5DC4D5">
            <w:pPr>
              <w:keepNext w:val="0"/>
              <w:keepLines w:val="0"/>
              <w:suppressLineNumbers w:val="0"/>
              <w:spacing w:before="0" w:beforeAutospacing="0" w:after="0" w:afterAutospacing="0"/>
              <w:ind w:left="0" w:right="0"/>
              <w:jc w:val="center"/>
              <w:rPr>
                <w:rFonts w:hint="default"/>
              </w:rPr>
            </w:pPr>
          </w:p>
        </w:tc>
        <w:tc>
          <w:tcPr>
            <w:tcW w:w="990" w:type="dxa"/>
            <w:vAlign w:val="center"/>
          </w:tcPr>
          <w:p w14:paraId="02A4B03C">
            <w:pPr>
              <w:keepNext w:val="0"/>
              <w:keepLines w:val="0"/>
              <w:suppressLineNumbers w:val="0"/>
              <w:spacing w:before="0" w:beforeAutospacing="0" w:after="0" w:afterAutospacing="0"/>
              <w:ind w:left="0" w:right="0"/>
              <w:jc w:val="center"/>
              <w:rPr>
                <w:rFonts w:hint="default"/>
              </w:rPr>
            </w:pPr>
          </w:p>
        </w:tc>
        <w:tc>
          <w:tcPr>
            <w:tcW w:w="750" w:type="dxa"/>
            <w:vAlign w:val="center"/>
          </w:tcPr>
          <w:p w14:paraId="10A066A4">
            <w:pPr>
              <w:keepNext w:val="0"/>
              <w:keepLines w:val="0"/>
              <w:suppressLineNumbers w:val="0"/>
              <w:spacing w:before="0" w:beforeAutospacing="0" w:after="0" w:afterAutospacing="0"/>
              <w:ind w:left="0" w:right="0"/>
              <w:jc w:val="center"/>
              <w:rPr>
                <w:rFonts w:hint="default"/>
              </w:rPr>
            </w:pPr>
          </w:p>
        </w:tc>
        <w:tc>
          <w:tcPr>
            <w:tcW w:w="750" w:type="dxa"/>
            <w:vAlign w:val="center"/>
          </w:tcPr>
          <w:p w14:paraId="5D4CA23D">
            <w:pPr>
              <w:keepNext w:val="0"/>
              <w:keepLines w:val="0"/>
              <w:suppressLineNumbers w:val="0"/>
              <w:spacing w:before="0" w:beforeAutospacing="0" w:after="0" w:afterAutospacing="0"/>
              <w:ind w:left="0" w:right="0"/>
              <w:jc w:val="center"/>
              <w:rPr>
                <w:rFonts w:hint="default"/>
              </w:rPr>
            </w:pPr>
          </w:p>
        </w:tc>
        <w:tc>
          <w:tcPr>
            <w:tcW w:w="870" w:type="dxa"/>
            <w:vAlign w:val="center"/>
          </w:tcPr>
          <w:p w14:paraId="7B558961">
            <w:pPr>
              <w:keepNext w:val="0"/>
              <w:keepLines w:val="0"/>
              <w:suppressLineNumbers w:val="0"/>
              <w:spacing w:before="0" w:beforeAutospacing="0" w:after="0" w:afterAutospacing="0"/>
              <w:ind w:left="0" w:right="0"/>
              <w:jc w:val="center"/>
              <w:rPr>
                <w:rFonts w:hint="default"/>
              </w:rPr>
            </w:pPr>
          </w:p>
        </w:tc>
        <w:tc>
          <w:tcPr>
            <w:tcW w:w="1020" w:type="dxa"/>
            <w:vAlign w:val="center"/>
          </w:tcPr>
          <w:p w14:paraId="7E193032">
            <w:pPr>
              <w:keepNext w:val="0"/>
              <w:keepLines w:val="0"/>
              <w:suppressLineNumbers w:val="0"/>
              <w:spacing w:before="0" w:beforeAutospacing="0" w:after="0" w:afterAutospacing="0"/>
              <w:ind w:left="0" w:right="0"/>
              <w:jc w:val="center"/>
              <w:rPr>
                <w:rFonts w:hint="default"/>
              </w:rPr>
            </w:pPr>
          </w:p>
        </w:tc>
        <w:tc>
          <w:tcPr>
            <w:tcW w:w="968" w:type="dxa"/>
            <w:vAlign w:val="center"/>
          </w:tcPr>
          <w:p w14:paraId="50C0846A">
            <w:pPr>
              <w:keepNext w:val="0"/>
              <w:keepLines w:val="0"/>
              <w:suppressLineNumbers w:val="0"/>
              <w:spacing w:before="0" w:beforeAutospacing="0" w:after="0" w:afterAutospacing="0"/>
              <w:ind w:left="0" w:right="0"/>
              <w:jc w:val="center"/>
              <w:rPr>
                <w:rFonts w:hint="default"/>
              </w:rPr>
            </w:pPr>
          </w:p>
        </w:tc>
        <w:tc>
          <w:tcPr>
            <w:tcW w:w="725" w:type="dxa"/>
            <w:vAlign w:val="center"/>
          </w:tcPr>
          <w:p w14:paraId="1AB98162">
            <w:pPr>
              <w:keepNext w:val="0"/>
              <w:keepLines w:val="0"/>
              <w:suppressLineNumbers w:val="0"/>
              <w:spacing w:before="0" w:beforeAutospacing="0" w:after="0" w:afterAutospacing="0"/>
              <w:ind w:left="0" w:right="0"/>
              <w:jc w:val="center"/>
              <w:rPr>
                <w:rFonts w:hint="default"/>
              </w:rPr>
            </w:pPr>
          </w:p>
        </w:tc>
      </w:tr>
      <w:tr w14:paraId="47AF0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37BEBF6">
            <w:pPr>
              <w:keepNext w:val="0"/>
              <w:keepLines w:val="0"/>
              <w:suppressLineNumbers w:val="0"/>
              <w:spacing w:before="0" w:beforeAutospacing="0" w:after="0" w:afterAutospacing="0"/>
              <w:ind w:left="0" w:right="0"/>
              <w:jc w:val="center"/>
              <w:rPr>
                <w:rFonts w:hint="eastAsia" w:eastAsiaTheme="minorEastAsia"/>
                <w:lang w:val="en-US" w:eastAsia="zh-CN"/>
              </w:rPr>
            </w:pPr>
            <w:r>
              <w:rPr>
                <w:rFonts w:hint="eastAsia"/>
                <w:lang w:val="en-US" w:eastAsia="zh-CN"/>
              </w:rPr>
              <w:t>4</w:t>
            </w:r>
          </w:p>
        </w:tc>
        <w:tc>
          <w:tcPr>
            <w:tcW w:w="1050" w:type="dxa"/>
            <w:vAlign w:val="center"/>
          </w:tcPr>
          <w:p w14:paraId="7C2988EE">
            <w:pPr>
              <w:keepNext w:val="0"/>
              <w:keepLines w:val="0"/>
              <w:suppressLineNumbers w:val="0"/>
              <w:spacing w:before="0" w:beforeAutospacing="0" w:after="0" w:afterAutospacing="0"/>
              <w:ind w:left="0" w:right="0"/>
              <w:jc w:val="center"/>
              <w:rPr>
                <w:rFonts w:hint="default"/>
              </w:rPr>
            </w:pPr>
          </w:p>
        </w:tc>
        <w:tc>
          <w:tcPr>
            <w:tcW w:w="990" w:type="dxa"/>
            <w:vAlign w:val="center"/>
          </w:tcPr>
          <w:p w14:paraId="29A2E49B">
            <w:pPr>
              <w:keepNext w:val="0"/>
              <w:keepLines w:val="0"/>
              <w:suppressLineNumbers w:val="0"/>
              <w:spacing w:before="0" w:beforeAutospacing="0" w:after="0" w:afterAutospacing="0"/>
              <w:ind w:left="0" w:right="0"/>
              <w:jc w:val="center"/>
              <w:rPr>
                <w:rFonts w:hint="default"/>
              </w:rPr>
            </w:pPr>
          </w:p>
        </w:tc>
        <w:tc>
          <w:tcPr>
            <w:tcW w:w="990" w:type="dxa"/>
            <w:vAlign w:val="center"/>
          </w:tcPr>
          <w:p w14:paraId="63DDBB0D">
            <w:pPr>
              <w:keepNext w:val="0"/>
              <w:keepLines w:val="0"/>
              <w:suppressLineNumbers w:val="0"/>
              <w:spacing w:before="0" w:beforeAutospacing="0" w:after="0" w:afterAutospacing="0"/>
              <w:ind w:left="0" w:right="0"/>
              <w:jc w:val="center"/>
              <w:rPr>
                <w:rFonts w:hint="default"/>
              </w:rPr>
            </w:pPr>
          </w:p>
        </w:tc>
        <w:tc>
          <w:tcPr>
            <w:tcW w:w="990" w:type="dxa"/>
            <w:vAlign w:val="center"/>
          </w:tcPr>
          <w:p w14:paraId="595942C9">
            <w:pPr>
              <w:keepNext w:val="0"/>
              <w:keepLines w:val="0"/>
              <w:suppressLineNumbers w:val="0"/>
              <w:spacing w:before="0" w:beforeAutospacing="0" w:after="0" w:afterAutospacing="0"/>
              <w:ind w:left="0" w:right="0"/>
              <w:jc w:val="center"/>
              <w:rPr>
                <w:rFonts w:hint="default"/>
              </w:rPr>
            </w:pPr>
          </w:p>
        </w:tc>
        <w:tc>
          <w:tcPr>
            <w:tcW w:w="750" w:type="dxa"/>
            <w:vAlign w:val="center"/>
          </w:tcPr>
          <w:p w14:paraId="097E2DB7">
            <w:pPr>
              <w:keepNext w:val="0"/>
              <w:keepLines w:val="0"/>
              <w:suppressLineNumbers w:val="0"/>
              <w:spacing w:before="0" w:beforeAutospacing="0" w:after="0" w:afterAutospacing="0"/>
              <w:ind w:left="0" w:right="0"/>
              <w:jc w:val="center"/>
              <w:rPr>
                <w:rFonts w:hint="default"/>
              </w:rPr>
            </w:pPr>
          </w:p>
        </w:tc>
        <w:tc>
          <w:tcPr>
            <w:tcW w:w="750" w:type="dxa"/>
            <w:vAlign w:val="center"/>
          </w:tcPr>
          <w:p w14:paraId="4721C0F4">
            <w:pPr>
              <w:keepNext w:val="0"/>
              <w:keepLines w:val="0"/>
              <w:suppressLineNumbers w:val="0"/>
              <w:spacing w:before="0" w:beforeAutospacing="0" w:after="0" w:afterAutospacing="0"/>
              <w:ind w:left="0" w:right="0"/>
              <w:jc w:val="center"/>
              <w:rPr>
                <w:rFonts w:hint="default"/>
              </w:rPr>
            </w:pPr>
          </w:p>
        </w:tc>
        <w:tc>
          <w:tcPr>
            <w:tcW w:w="870" w:type="dxa"/>
            <w:vAlign w:val="center"/>
          </w:tcPr>
          <w:p w14:paraId="06F59F69">
            <w:pPr>
              <w:keepNext w:val="0"/>
              <w:keepLines w:val="0"/>
              <w:suppressLineNumbers w:val="0"/>
              <w:spacing w:before="0" w:beforeAutospacing="0" w:after="0" w:afterAutospacing="0"/>
              <w:ind w:left="0" w:right="0"/>
              <w:jc w:val="center"/>
              <w:rPr>
                <w:rFonts w:hint="default"/>
              </w:rPr>
            </w:pPr>
          </w:p>
        </w:tc>
        <w:tc>
          <w:tcPr>
            <w:tcW w:w="1020" w:type="dxa"/>
            <w:vAlign w:val="center"/>
          </w:tcPr>
          <w:p w14:paraId="7033E8FE">
            <w:pPr>
              <w:keepNext w:val="0"/>
              <w:keepLines w:val="0"/>
              <w:suppressLineNumbers w:val="0"/>
              <w:spacing w:before="0" w:beforeAutospacing="0" w:after="0" w:afterAutospacing="0"/>
              <w:ind w:left="0" w:right="0"/>
              <w:jc w:val="center"/>
              <w:rPr>
                <w:rFonts w:hint="default"/>
              </w:rPr>
            </w:pPr>
          </w:p>
        </w:tc>
        <w:tc>
          <w:tcPr>
            <w:tcW w:w="968" w:type="dxa"/>
            <w:vAlign w:val="center"/>
          </w:tcPr>
          <w:p w14:paraId="190F58CD">
            <w:pPr>
              <w:keepNext w:val="0"/>
              <w:keepLines w:val="0"/>
              <w:suppressLineNumbers w:val="0"/>
              <w:spacing w:before="0" w:beforeAutospacing="0" w:after="0" w:afterAutospacing="0"/>
              <w:ind w:left="0" w:right="0"/>
              <w:jc w:val="center"/>
              <w:rPr>
                <w:rFonts w:hint="default"/>
              </w:rPr>
            </w:pPr>
          </w:p>
        </w:tc>
        <w:tc>
          <w:tcPr>
            <w:tcW w:w="725" w:type="dxa"/>
            <w:vAlign w:val="center"/>
          </w:tcPr>
          <w:p w14:paraId="0069FDC3">
            <w:pPr>
              <w:keepNext w:val="0"/>
              <w:keepLines w:val="0"/>
              <w:suppressLineNumbers w:val="0"/>
              <w:spacing w:before="0" w:beforeAutospacing="0" w:after="0" w:afterAutospacing="0"/>
              <w:ind w:left="0" w:right="0"/>
              <w:jc w:val="center"/>
              <w:rPr>
                <w:rFonts w:hint="default"/>
              </w:rPr>
            </w:pPr>
          </w:p>
        </w:tc>
      </w:tr>
      <w:tr w14:paraId="304F6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3D46894B">
            <w:pPr>
              <w:keepNext w:val="0"/>
              <w:keepLines w:val="0"/>
              <w:suppressLineNumbers w:val="0"/>
              <w:spacing w:before="0" w:beforeAutospacing="0" w:after="0" w:afterAutospacing="0"/>
              <w:ind w:left="0" w:right="0"/>
              <w:jc w:val="center"/>
              <w:rPr>
                <w:rFonts w:hint="eastAsia"/>
              </w:rPr>
            </w:pPr>
            <w:r>
              <w:rPr>
                <w:rFonts w:hint="eastAsia"/>
              </w:rPr>
              <w:t>……</w:t>
            </w:r>
          </w:p>
        </w:tc>
        <w:tc>
          <w:tcPr>
            <w:tcW w:w="1050" w:type="dxa"/>
            <w:vAlign w:val="center"/>
          </w:tcPr>
          <w:p w14:paraId="6D7736AA">
            <w:pPr>
              <w:keepNext w:val="0"/>
              <w:keepLines w:val="0"/>
              <w:suppressLineNumbers w:val="0"/>
              <w:spacing w:before="0" w:beforeAutospacing="0" w:after="0" w:afterAutospacing="0"/>
              <w:ind w:left="0" w:right="0"/>
              <w:jc w:val="center"/>
              <w:rPr>
                <w:rFonts w:hint="default"/>
              </w:rPr>
            </w:pPr>
          </w:p>
        </w:tc>
        <w:tc>
          <w:tcPr>
            <w:tcW w:w="990" w:type="dxa"/>
            <w:vAlign w:val="center"/>
          </w:tcPr>
          <w:p w14:paraId="1CE8CDF5">
            <w:pPr>
              <w:keepNext w:val="0"/>
              <w:keepLines w:val="0"/>
              <w:suppressLineNumbers w:val="0"/>
              <w:spacing w:before="0" w:beforeAutospacing="0" w:after="0" w:afterAutospacing="0"/>
              <w:ind w:left="0" w:right="0"/>
              <w:jc w:val="center"/>
              <w:rPr>
                <w:rFonts w:hint="default"/>
              </w:rPr>
            </w:pPr>
          </w:p>
        </w:tc>
        <w:tc>
          <w:tcPr>
            <w:tcW w:w="990" w:type="dxa"/>
            <w:vAlign w:val="center"/>
          </w:tcPr>
          <w:p w14:paraId="0A436446">
            <w:pPr>
              <w:keepNext w:val="0"/>
              <w:keepLines w:val="0"/>
              <w:suppressLineNumbers w:val="0"/>
              <w:spacing w:before="0" w:beforeAutospacing="0" w:after="0" w:afterAutospacing="0"/>
              <w:ind w:left="0" w:right="0"/>
              <w:jc w:val="center"/>
              <w:rPr>
                <w:rFonts w:hint="default"/>
              </w:rPr>
            </w:pPr>
          </w:p>
        </w:tc>
        <w:tc>
          <w:tcPr>
            <w:tcW w:w="990" w:type="dxa"/>
            <w:vAlign w:val="center"/>
          </w:tcPr>
          <w:p w14:paraId="481910AB">
            <w:pPr>
              <w:keepNext w:val="0"/>
              <w:keepLines w:val="0"/>
              <w:suppressLineNumbers w:val="0"/>
              <w:spacing w:before="0" w:beforeAutospacing="0" w:after="0" w:afterAutospacing="0"/>
              <w:ind w:left="0" w:right="0"/>
              <w:jc w:val="center"/>
              <w:rPr>
                <w:rFonts w:hint="default"/>
              </w:rPr>
            </w:pPr>
          </w:p>
        </w:tc>
        <w:tc>
          <w:tcPr>
            <w:tcW w:w="750" w:type="dxa"/>
            <w:vAlign w:val="center"/>
          </w:tcPr>
          <w:p w14:paraId="793DB9AB">
            <w:pPr>
              <w:keepNext w:val="0"/>
              <w:keepLines w:val="0"/>
              <w:suppressLineNumbers w:val="0"/>
              <w:spacing w:before="0" w:beforeAutospacing="0" w:after="0" w:afterAutospacing="0"/>
              <w:ind w:left="0" w:right="0"/>
              <w:jc w:val="center"/>
              <w:rPr>
                <w:rFonts w:hint="default"/>
              </w:rPr>
            </w:pPr>
          </w:p>
        </w:tc>
        <w:tc>
          <w:tcPr>
            <w:tcW w:w="750" w:type="dxa"/>
            <w:vAlign w:val="center"/>
          </w:tcPr>
          <w:p w14:paraId="0443F67B">
            <w:pPr>
              <w:keepNext w:val="0"/>
              <w:keepLines w:val="0"/>
              <w:suppressLineNumbers w:val="0"/>
              <w:spacing w:before="0" w:beforeAutospacing="0" w:after="0" w:afterAutospacing="0"/>
              <w:ind w:left="0" w:right="0"/>
              <w:jc w:val="center"/>
              <w:rPr>
                <w:rFonts w:hint="default"/>
              </w:rPr>
            </w:pPr>
          </w:p>
        </w:tc>
        <w:tc>
          <w:tcPr>
            <w:tcW w:w="870" w:type="dxa"/>
            <w:vAlign w:val="center"/>
          </w:tcPr>
          <w:p w14:paraId="572BDF3D">
            <w:pPr>
              <w:keepNext w:val="0"/>
              <w:keepLines w:val="0"/>
              <w:suppressLineNumbers w:val="0"/>
              <w:spacing w:before="0" w:beforeAutospacing="0" w:after="0" w:afterAutospacing="0"/>
              <w:ind w:left="0" w:right="0"/>
              <w:jc w:val="center"/>
              <w:rPr>
                <w:rFonts w:hint="default"/>
              </w:rPr>
            </w:pPr>
          </w:p>
        </w:tc>
        <w:tc>
          <w:tcPr>
            <w:tcW w:w="1020" w:type="dxa"/>
            <w:vAlign w:val="center"/>
          </w:tcPr>
          <w:p w14:paraId="0D5FDA0D">
            <w:pPr>
              <w:keepNext w:val="0"/>
              <w:keepLines w:val="0"/>
              <w:suppressLineNumbers w:val="0"/>
              <w:spacing w:before="0" w:beforeAutospacing="0" w:after="0" w:afterAutospacing="0"/>
              <w:ind w:left="0" w:right="0"/>
              <w:jc w:val="center"/>
              <w:rPr>
                <w:rFonts w:hint="default"/>
              </w:rPr>
            </w:pPr>
          </w:p>
        </w:tc>
        <w:tc>
          <w:tcPr>
            <w:tcW w:w="968" w:type="dxa"/>
            <w:vAlign w:val="center"/>
          </w:tcPr>
          <w:p w14:paraId="4386A38B">
            <w:pPr>
              <w:keepNext w:val="0"/>
              <w:keepLines w:val="0"/>
              <w:suppressLineNumbers w:val="0"/>
              <w:spacing w:before="0" w:beforeAutospacing="0" w:after="0" w:afterAutospacing="0"/>
              <w:ind w:left="0" w:right="0"/>
              <w:jc w:val="center"/>
              <w:rPr>
                <w:rFonts w:hint="default"/>
              </w:rPr>
            </w:pPr>
          </w:p>
        </w:tc>
        <w:tc>
          <w:tcPr>
            <w:tcW w:w="725" w:type="dxa"/>
            <w:vAlign w:val="center"/>
          </w:tcPr>
          <w:p w14:paraId="3AE151F1">
            <w:pPr>
              <w:keepNext w:val="0"/>
              <w:keepLines w:val="0"/>
              <w:suppressLineNumbers w:val="0"/>
              <w:spacing w:before="0" w:beforeAutospacing="0" w:after="0" w:afterAutospacing="0"/>
              <w:ind w:left="0" w:right="0"/>
              <w:jc w:val="center"/>
              <w:rPr>
                <w:rFonts w:hint="default"/>
              </w:rPr>
            </w:pPr>
          </w:p>
        </w:tc>
      </w:tr>
      <w:tr w14:paraId="7C2BA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299453B2">
            <w:pPr>
              <w:keepNext w:val="0"/>
              <w:keepLines w:val="0"/>
              <w:suppressLineNumbers w:val="0"/>
              <w:spacing w:before="0" w:beforeAutospacing="0" w:after="0" w:afterAutospacing="0"/>
              <w:ind w:left="0" w:right="0"/>
              <w:jc w:val="center"/>
              <w:rPr>
                <w:rFonts w:hint="eastAsia" w:ascii="宋体" w:hAnsi="宋体" w:eastAsiaTheme="minorEastAsia"/>
                <w:lang w:eastAsia="zh-CN"/>
              </w:rPr>
            </w:pPr>
            <w:r>
              <w:rPr>
                <w:rFonts w:hint="eastAsia" w:ascii="宋体" w:hAnsi="宋体"/>
              </w:rPr>
              <w:t>总计</w:t>
            </w:r>
          </w:p>
        </w:tc>
        <w:tc>
          <w:tcPr>
            <w:tcW w:w="9103" w:type="dxa"/>
            <w:gridSpan w:val="10"/>
            <w:vAlign w:val="center"/>
          </w:tcPr>
          <w:p w14:paraId="44A20969">
            <w:pPr>
              <w:keepNext w:val="0"/>
              <w:keepLines w:val="0"/>
              <w:suppressLineNumbers w:val="0"/>
              <w:spacing w:before="0" w:beforeAutospacing="0" w:after="0" w:afterAutospacing="0"/>
              <w:ind w:left="0" w:right="0"/>
              <w:rPr>
                <w:rFonts w:hint="default"/>
              </w:rPr>
            </w:pPr>
            <w:r>
              <w:rPr>
                <w:rFonts w:hint="eastAsia"/>
                <w:lang w:val="en-US" w:eastAsia="zh-CN"/>
              </w:rPr>
              <w:t>小写：</w:t>
            </w:r>
            <w:r>
              <w:rPr>
                <w:rFonts w:hint="eastAsia"/>
              </w:rPr>
              <w:t xml:space="preserve">            </w:t>
            </w:r>
            <w:r>
              <w:rPr>
                <w:rFonts w:hint="eastAsia"/>
                <w:lang w:val="en-US" w:eastAsia="zh-CN"/>
              </w:rPr>
              <w:t xml:space="preserve">      </w:t>
            </w:r>
            <w:r>
              <w:rPr>
                <w:rFonts w:hint="eastAsia"/>
              </w:rPr>
              <w:t>大写：</w:t>
            </w:r>
          </w:p>
        </w:tc>
      </w:tr>
    </w:tbl>
    <w:p w14:paraId="74DB6181">
      <w:pPr>
        <w:widowControl/>
        <w:wordWrap w:val="0"/>
        <w:spacing w:line="360" w:lineRule="auto"/>
        <w:jc w:val="left"/>
        <w:rPr>
          <w:rFonts w:ascii="ˎ̥" w:hAnsi="ˎ̥" w:cs="宋体"/>
          <w:kern w:val="0"/>
          <w:sz w:val="18"/>
          <w:szCs w:val="18"/>
        </w:rPr>
      </w:pPr>
    </w:p>
    <w:p w14:paraId="6AA29BC1">
      <w:pPr>
        <w:pStyle w:val="6"/>
      </w:pPr>
    </w:p>
    <w:p w14:paraId="14D6F199">
      <w:pPr>
        <w:spacing w:line="360" w:lineRule="auto"/>
        <w:rPr>
          <w:b/>
          <w:bCs/>
          <w:sz w:val="24"/>
        </w:rPr>
      </w:pPr>
      <w:r>
        <w:rPr>
          <w:rFonts w:hint="eastAsia"/>
          <w:b/>
          <w:bCs/>
          <w:sz w:val="24"/>
          <w:lang w:val="en-US" w:eastAsia="zh-CN"/>
        </w:rPr>
        <w:t>投标人签字：</w:t>
      </w:r>
      <w:r>
        <w:rPr>
          <w:rFonts w:hint="eastAsia"/>
          <w:b/>
          <w:bCs/>
          <w:sz w:val="24"/>
          <w:u w:val="single"/>
          <w:lang w:val="en-US" w:eastAsia="zh-CN"/>
        </w:rPr>
        <w:t xml:space="preserve">                     </w:t>
      </w:r>
    </w:p>
    <w:p w14:paraId="32FD1D14">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58704B5">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4E0D3D7E">
      <w:pPr>
        <w:spacing w:line="360" w:lineRule="auto"/>
        <w:outlineLvl w:val="9"/>
        <w:rPr>
          <w:sz w:val="24"/>
        </w:rPr>
      </w:pPr>
      <w:r>
        <w:rPr>
          <w:rFonts w:hint="eastAsia"/>
          <w:b/>
          <w:sz w:val="24"/>
        </w:rPr>
        <w:t>（此处加盖投标人单位公章）</w:t>
      </w:r>
    </w:p>
    <w:p w14:paraId="2F80012B">
      <w:pPr>
        <w:tabs>
          <w:tab w:val="left" w:pos="567"/>
        </w:tabs>
        <w:snapToGrid w:val="0"/>
        <w:spacing w:line="360" w:lineRule="auto"/>
        <w:rPr>
          <w:rFonts w:ascii="宋体" w:hAnsi="宋体"/>
        </w:rPr>
      </w:pPr>
    </w:p>
    <w:p w14:paraId="7578DAC9">
      <w:pPr>
        <w:tabs>
          <w:tab w:val="left" w:pos="567"/>
        </w:tabs>
        <w:snapToGrid w:val="0"/>
        <w:spacing w:line="360" w:lineRule="auto"/>
        <w:rPr>
          <w:rFonts w:ascii="宋体" w:hAnsi="宋体"/>
        </w:rPr>
      </w:pPr>
      <w:r>
        <w:rPr>
          <w:rFonts w:hint="eastAsia" w:ascii="宋体" w:hAnsi="宋体"/>
        </w:rPr>
        <w:t>注：</w:t>
      </w:r>
    </w:p>
    <w:p w14:paraId="10109930">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此表为《开标一览表(报价表)》的报价明细表。</w:t>
      </w:r>
    </w:p>
    <w:p w14:paraId="60C88164">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所有价格均以人民币作为货币单位填写及计算。</w:t>
      </w:r>
    </w:p>
    <w:p w14:paraId="08644903">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该表格式仅作参考，投标人的详细报价表格式可自定。</w:t>
      </w:r>
    </w:p>
    <w:p w14:paraId="4B3DAAF6">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若投标报价</w:t>
      </w:r>
      <w:r>
        <w:rPr>
          <w:rFonts w:hint="eastAsia" w:ascii="宋体" w:hAnsi="宋体"/>
          <w:lang w:val="en-US" w:eastAsia="zh-CN"/>
        </w:rPr>
        <w:t>明细</w:t>
      </w:r>
      <w:r>
        <w:rPr>
          <w:rFonts w:hint="eastAsia" w:ascii="宋体" w:hAnsi="宋体"/>
        </w:rPr>
        <w:t>表中大写金额和小</w:t>
      </w:r>
      <w:r>
        <w:rPr>
          <w:rFonts w:hint="eastAsia" w:asciiTheme="minorEastAsia" w:hAnsiTheme="minorEastAsia" w:eastAsiaTheme="minorEastAsia"/>
          <w:szCs w:val="21"/>
        </w:rPr>
        <w:t>写金额不一致的，以大写金额为准。</w:t>
      </w:r>
    </w:p>
    <w:p w14:paraId="024BF639">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lang w:val="en-US" w:eastAsia="zh-CN"/>
        </w:rPr>
        <w:t>如果投标人的产品不涉及委托代工生产的情形，则在“代工厂商”列填“/”；当产品委托代工生产时，在“代工厂商”按实际情况填写。</w:t>
      </w:r>
    </w:p>
    <w:p w14:paraId="57712ECD">
      <w:pPr>
        <w:pStyle w:val="3"/>
        <w:numPr>
          <w:ilvl w:val="0"/>
          <w:numId w:val="0"/>
        </w:numPr>
        <w:spacing w:line="240" w:lineRule="auto"/>
        <w:ind w:left="420" w:leftChars="0" w:hanging="420" w:firstLineChars="0"/>
        <w:jc w:val="center"/>
        <w:outlineLvl w:val="9"/>
        <w:rPr>
          <w:rFonts w:ascii="宋体" w:hAnsi="宋体"/>
          <w:color w:val="000000"/>
        </w:rPr>
      </w:pPr>
    </w:p>
    <w:p w14:paraId="37B42F00">
      <w:pPr>
        <w:rPr>
          <w:rFonts w:ascii="宋体" w:hAnsi="宋体"/>
          <w:color w:val="000000"/>
        </w:rPr>
      </w:pPr>
    </w:p>
    <w:p w14:paraId="48A26FD0">
      <w:pPr>
        <w:pStyle w:val="6"/>
        <w:rPr>
          <w:rFonts w:ascii="宋体" w:hAnsi="宋体"/>
          <w:color w:val="000000"/>
        </w:rPr>
      </w:pPr>
    </w:p>
    <w:p w14:paraId="1EE00335">
      <w:pPr>
        <w:rPr>
          <w:rFonts w:ascii="宋体" w:hAnsi="宋体"/>
          <w:color w:val="000000"/>
        </w:rPr>
      </w:pPr>
    </w:p>
    <w:p w14:paraId="074A18CC">
      <w:pPr>
        <w:pStyle w:val="6"/>
        <w:rPr>
          <w:rFonts w:ascii="宋体" w:hAnsi="宋体"/>
          <w:color w:val="000000"/>
        </w:rPr>
      </w:pPr>
    </w:p>
    <w:p w14:paraId="1EAF0F35">
      <w:pPr>
        <w:rPr>
          <w:rFonts w:ascii="宋体" w:hAnsi="宋体"/>
          <w:color w:val="000000"/>
        </w:rPr>
      </w:pPr>
    </w:p>
    <w:p w14:paraId="561C5F22">
      <w:pPr>
        <w:pStyle w:val="6"/>
        <w:rPr>
          <w:rFonts w:ascii="宋体" w:hAnsi="宋体"/>
          <w:color w:val="000000"/>
        </w:rPr>
      </w:pPr>
    </w:p>
    <w:p w14:paraId="51E2905D">
      <w:pPr>
        <w:pStyle w:val="6"/>
      </w:pPr>
    </w:p>
    <w:p w14:paraId="48791E83">
      <w:pPr>
        <w:jc w:val="center"/>
        <w:outlineLvl w:val="0"/>
        <w:rPr>
          <w:rFonts w:hint="eastAsia" w:cs="宋体" w:asciiTheme="majorEastAsia" w:hAnsiTheme="majorEastAsia" w:eastAsiaTheme="majorEastAsia"/>
          <w:kern w:val="2"/>
          <w:sz w:val="30"/>
          <w:szCs w:val="30"/>
          <w:lang w:val="en-US" w:eastAsia="zh-CN" w:bidi="ar-SA"/>
        </w:rPr>
      </w:pPr>
      <w:bookmarkStart w:id="47" w:name="_Toc32648"/>
      <w:r>
        <w:rPr>
          <w:rFonts w:hint="eastAsia" w:cs="宋体" w:asciiTheme="majorEastAsia" w:hAnsiTheme="majorEastAsia" w:eastAsiaTheme="majorEastAsia"/>
          <w:kern w:val="2"/>
          <w:sz w:val="30"/>
          <w:szCs w:val="30"/>
          <w:lang w:val="en-US" w:eastAsia="zh-CN" w:bidi="ar-SA"/>
        </w:rPr>
        <w:t>（十一）产品配置清单</w:t>
      </w:r>
      <w:bookmarkEnd w:id="47"/>
    </w:p>
    <w:tbl>
      <w:tblPr>
        <w:tblStyle w:val="18"/>
        <w:tblW w:w="499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02"/>
        <w:gridCol w:w="1359"/>
        <w:gridCol w:w="1446"/>
        <w:gridCol w:w="1098"/>
        <w:gridCol w:w="1350"/>
        <w:gridCol w:w="2391"/>
        <w:gridCol w:w="957"/>
      </w:tblGrid>
      <w:tr w14:paraId="59B3688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15" w:hRule="atLeast"/>
        </w:trPr>
        <w:tc>
          <w:tcPr>
            <w:tcW w:w="327"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27C78ED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序号</w:t>
            </w:r>
          </w:p>
        </w:tc>
        <w:tc>
          <w:tcPr>
            <w:tcW w:w="73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81144DE">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品名</w:t>
            </w:r>
          </w:p>
        </w:tc>
        <w:tc>
          <w:tcPr>
            <w:tcW w:w="785"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7AE266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规格说明</w:t>
            </w:r>
          </w:p>
        </w:tc>
        <w:tc>
          <w:tcPr>
            <w:tcW w:w="596"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3EDABADF">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采购数量</w:t>
            </w:r>
          </w:p>
        </w:tc>
        <w:tc>
          <w:tcPr>
            <w:tcW w:w="733"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46D0FDD2">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lang w:val="en-US" w:eastAsia="zh-CN"/>
              </w:rPr>
              <w:t>投标</w:t>
            </w:r>
            <w:r>
              <w:rPr>
                <w:rFonts w:hint="eastAsia" w:ascii="宋体" w:hAnsi="宋体"/>
                <w:highlight w:val="none"/>
              </w:rPr>
              <w:t>数量</w:t>
            </w:r>
          </w:p>
        </w:tc>
        <w:tc>
          <w:tcPr>
            <w:tcW w:w="129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616CA0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偏离情况（填写“正偏离、</w:t>
            </w:r>
            <w:r>
              <w:rPr>
                <w:rFonts w:hint="eastAsia" w:ascii="宋体" w:hAnsi="宋体"/>
                <w:highlight w:val="none"/>
                <w:lang w:val="en-US" w:eastAsia="zh-CN"/>
              </w:rPr>
              <w:t>无偏离</w:t>
            </w:r>
            <w:r>
              <w:rPr>
                <w:rFonts w:hint="eastAsia" w:ascii="宋体" w:hAnsi="宋体"/>
                <w:highlight w:val="none"/>
              </w:rPr>
              <w:t>或负偏离”）</w:t>
            </w:r>
          </w:p>
        </w:tc>
        <w:tc>
          <w:tcPr>
            <w:tcW w:w="519"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281F3E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备注</w:t>
            </w:r>
          </w:p>
        </w:tc>
      </w:tr>
      <w:tr w14:paraId="0C11FD5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double" w:color="auto" w:sz="4" w:space="0"/>
              <w:left w:val="single" w:color="auto" w:sz="4" w:space="0"/>
              <w:bottom w:val="single" w:color="auto" w:sz="4" w:space="0"/>
              <w:right w:val="single" w:color="auto" w:sz="4" w:space="0"/>
            </w:tcBorders>
            <w:vAlign w:val="center"/>
          </w:tcPr>
          <w:p w14:paraId="226BB8C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w:t>
            </w:r>
          </w:p>
        </w:tc>
        <w:tc>
          <w:tcPr>
            <w:tcW w:w="738" w:type="pct"/>
            <w:tcBorders>
              <w:top w:val="double" w:color="auto" w:sz="4" w:space="0"/>
              <w:left w:val="single" w:color="auto" w:sz="4" w:space="0"/>
              <w:bottom w:val="single" w:color="auto" w:sz="4" w:space="0"/>
              <w:right w:val="single" w:color="auto" w:sz="4" w:space="0"/>
            </w:tcBorders>
            <w:vAlign w:val="center"/>
          </w:tcPr>
          <w:p w14:paraId="49504AD2">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double" w:color="auto" w:sz="4" w:space="0"/>
              <w:left w:val="single" w:color="auto" w:sz="4" w:space="0"/>
              <w:bottom w:val="single" w:color="auto" w:sz="4" w:space="0"/>
              <w:right w:val="single" w:color="auto" w:sz="4" w:space="0"/>
            </w:tcBorders>
            <w:vAlign w:val="center"/>
          </w:tcPr>
          <w:p w14:paraId="399BD18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double" w:color="auto" w:sz="4" w:space="0"/>
              <w:left w:val="single" w:color="auto" w:sz="4" w:space="0"/>
              <w:bottom w:val="single" w:color="auto" w:sz="4" w:space="0"/>
              <w:right w:val="single" w:color="auto" w:sz="4" w:space="0"/>
            </w:tcBorders>
            <w:vAlign w:val="center"/>
          </w:tcPr>
          <w:p w14:paraId="681D123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double" w:color="auto" w:sz="4" w:space="0"/>
              <w:left w:val="single" w:color="auto" w:sz="4" w:space="0"/>
              <w:bottom w:val="single" w:color="auto" w:sz="4" w:space="0"/>
              <w:right w:val="single" w:color="auto" w:sz="4" w:space="0"/>
            </w:tcBorders>
            <w:vAlign w:val="center"/>
          </w:tcPr>
          <w:p w14:paraId="11E35DC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double" w:color="auto" w:sz="4" w:space="0"/>
              <w:left w:val="single" w:color="auto" w:sz="4" w:space="0"/>
              <w:bottom w:val="single" w:color="auto" w:sz="4" w:space="0"/>
              <w:right w:val="single" w:color="auto" w:sz="4" w:space="0"/>
            </w:tcBorders>
            <w:vAlign w:val="center"/>
          </w:tcPr>
          <w:p w14:paraId="3B9FCC3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double" w:color="auto" w:sz="4" w:space="0"/>
              <w:left w:val="single" w:color="auto" w:sz="4" w:space="0"/>
              <w:bottom w:val="single" w:color="auto" w:sz="4" w:space="0"/>
              <w:right w:val="single" w:color="auto" w:sz="4" w:space="0"/>
            </w:tcBorders>
            <w:vAlign w:val="center"/>
          </w:tcPr>
          <w:p w14:paraId="6742F55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610D879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6EAC129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w:t>
            </w:r>
          </w:p>
        </w:tc>
        <w:tc>
          <w:tcPr>
            <w:tcW w:w="738" w:type="pct"/>
            <w:tcBorders>
              <w:top w:val="single" w:color="auto" w:sz="4" w:space="0"/>
              <w:left w:val="single" w:color="auto" w:sz="4" w:space="0"/>
              <w:bottom w:val="single" w:color="auto" w:sz="4" w:space="0"/>
              <w:right w:val="single" w:color="auto" w:sz="4" w:space="0"/>
            </w:tcBorders>
            <w:vAlign w:val="center"/>
          </w:tcPr>
          <w:p w14:paraId="5E3D5F7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FA75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220495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7270A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BAF619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6906FD8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1656BA9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17C54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3</w:t>
            </w:r>
          </w:p>
        </w:tc>
        <w:tc>
          <w:tcPr>
            <w:tcW w:w="738" w:type="pct"/>
            <w:tcBorders>
              <w:top w:val="single" w:color="auto" w:sz="4" w:space="0"/>
              <w:left w:val="single" w:color="auto" w:sz="4" w:space="0"/>
              <w:bottom w:val="single" w:color="auto" w:sz="4" w:space="0"/>
              <w:right w:val="single" w:color="auto" w:sz="4" w:space="0"/>
            </w:tcBorders>
            <w:vAlign w:val="center"/>
          </w:tcPr>
          <w:p w14:paraId="25216D35">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247AEBA6">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6192661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2241BF8">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0A80945A">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11E0420E">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0B6946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33DA7FE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w:t>
            </w:r>
          </w:p>
        </w:tc>
        <w:tc>
          <w:tcPr>
            <w:tcW w:w="738" w:type="pct"/>
            <w:tcBorders>
              <w:top w:val="single" w:color="auto" w:sz="4" w:space="0"/>
              <w:left w:val="single" w:color="auto" w:sz="4" w:space="0"/>
              <w:bottom w:val="single" w:color="auto" w:sz="4" w:space="0"/>
              <w:right w:val="single" w:color="auto" w:sz="4" w:space="0"/>
            </w:tcBorders>
            <w:vAlign w:val="center"/>
          </w:tcPr>
          <w:p w14:paraId="34C2F6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14A87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5108311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FE7BB6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FBC13D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343D8A2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B343F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050012D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5</w:t>
            </w:r>
          </w:p>
        </w:tc>
        <w:tc>
          <w:tcPr>
            <w:tcW w:w="738" w:type="pct"/>
            <w:tcBorders>
              <w:top w:val="single" w:color="auto" w:sz="4" w:space="0"/>
              <w:left w:val="single" w:color="auto" w:sz="4" w:space="0"/>
              <w:bottom w:val="single" w:color="auto" w:sz="4" w:space="0"/>
              <w:right w:val="single" w:color="auto" w:sz="4" w:space="0"/>
            </w:tcBorders>
            <w:vAlign w:val="center"/>
          </w:tcPr>
          <w:p w14:paraId="3DF3997D">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37F8DD0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134A4BC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26568D7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F72E6A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CE24A0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4ACF3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CE6BB25">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w:t>
            </w:r>
          </w:p>
        </w:tc>
        <w:tc>
          <w:tcPr>
            <w:tcW w:w="738" w:type="pct"/>
            <w:tcBorders>
              <w:top w:val="single" w:color="auto" w:sz="4" w:space="0"/>
              <w:left w:val="single" w:color="auto" w:sz="4" w:space="0"/>
              <w:bottom w:val="single" w:color="auto" w:sz="4" w:space="0"/>
              <w:right w:val="single" w:color="auto" w:sz="4" w:space="0"/>
            </w:tcBorders>
            <w:vAlign w:val="center"/>
          </w:tcPr>
          <w:p w14:paraId="5869EB8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0594AAA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67A414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42933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9713A4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5E5BAD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bl>
    <w:p w14:paraId="21CB7445">
      <w:pPr>
        <w:rPr>
          <w:rFonts w:asciiTheme="minorEastAsia" w:hAnsiTheme="minorEastAsia" w:cstheme="minorEastAsia"/>
          <w:szCs w:val="21"/>
        </w:rPr>
      </w:pPr>
    </w:p>
    <w:p w14:paraId="76382B3F">
      <w:pPr>
        <w:pStyle w:val="10"/>
        <w:numPr>
          <w:ilvl w:val="0"/>
          <w:numId w:val="0"/>
        </w:numPr>
        <w:tabs>
          <w:tab w:val="left" w:pos="540"/>
        </w:tabs>
        <w:adjustRightInd w:val="0"/>
        <w:snapToGrid w:val="0"/>
        <w:spacing w:line="360" w:lineRule="auto"/>
        <w:ind w:leftChars="0"/>
        <w:rPr>
          <w:rFonts w:hint="eastAsia" w:ascii="宋体" w:hAnsi="宋体"/>
        </w:rPr>
      </w:pPr>
      <w:r>
        <w:rPr>
          <w:rFonts w:hint="eastAsia" w:ascii="宋体" w:hAnsi="宋体"/>
        </w:rPr>
        <w:t>注：</w:t>
      </w:r>
    </w:p>
    <w:p w14:paraId="40CC3990">
      <w:pPr>
        <w:pStyle w:val="10"/>
        <w:numPr>
          <w:ilvl w:val="0"/>
          <w:numId w:val="12"/>
        </w:numPr>
        <w:tabs>
          <w:tab w:val="left" w:pos="540"/>
          <w:tab w:val="clear" w:pos="312"/>
        </w:tabs>
        <w:adjustRightInd w:val="0"/>
        <w:snapToGrid w:val="0"/>
        <w:spacing w:line="360" w:lineRule="auto"/>
        <w:ind w:leftChars="0"/>
        <w:rPr>
          <w:rFonts w:hint="eastAsia" w:ascii="宋体" w:hAnsi="宋体" w:eastAsia="宋体" w:cs="Times New Roman"/>
          <w:lang w:val="en-US" w:eastAsia="zh-CN"/>
        </w:rPr>
      </w:pPr>
      <w:r>
        <w:rPr>
          <w:rFonts w:hint="eastAsia" w:ascii="宋体" w:hAnsi="宋体" w:eastAsia="宋体" w:cs="Times New Roman"/>
        </w:rPr>
        <w:t>此表为项目采购标的清单的</w:t>
      </w:r>
      <w:r>
        <w:rPr>
          <w:rFonts w:hint="eastAsia" w:ascii="宋体" w:hAnsi="宋体" w:eastAsia="宋体" w:cs="Times New Roman"/>
          <w:lang w:val="en-US" w:eastAsia="zh-CN"/>
        </w:rPr>
        <w:t>响应情况表。</w:t>
      </w:r>
    </w:p>
    <w:p w14:paraId="5C82DA66">
      <w:pPr>
        <w:pStyle w:val="10"/>
        <w:numPr>
          <w:ilvl w:val="0"/>
          <w:numId w:val="12"/>
        </w:numPr>
        <w:tabs>
          <w:tab w:val="left" w:pos="540"/>
          <w:tab w:val="clear" w:pos="312"/>
        </w:tabs>
        <w:adjustRightInd w:val="0"/>
        <w:snapToGrid w:val="0"/>
        <w:spacing w:line="360" w:lineRule="auto"/>
        <w:ind w:leftChars="0"/>
        <w:rPr>
          <w:rFonts w:hint="default" w:ascii="宋体" w:hAnsi="宋体" w:eastAsia="宋体" w:cs="Times New Roman"/>
          <w:lang w:val="en-US" w:eastAsia="zh-CN"/>
        </w:rPr>
      </w:pPr>
      <w:r>
        <w:rPr>
          <w:rFonts w:hint="eastAsia" w:ascii="宋体" w:hAnsi="宋体" w:eastAsia="宋体" w:cs="Times New Roman"/>
          <w:lang w:val="en-US" w:eastAsia="zh-CN"/>
        </w:rPr>
        <w:t>投标人需根据</w:t>
      </w:r>
      <w:r>
        <w:rPr>
          <w:rFonts w:hint="eastAsia" w:hAnsi="宋体" w:cs="Times New Roman"/>
          <w:lang w:val="en-US" w:eastAsia="zh-CN"/>
        </w:rPr>
        <w:t>征集</w:t>
      </w:r>
      <w:r>
        <w:rPr>
          <w:rFonts w:hint="eastAsia" w:ascii="宋体" w:hAnsi="宋体" w:eastAsia="宋体" w:cs="Times New Roman"/>
          <w:lang w:val="en-US" w:eastAsia="zh-CN"/>
        </w:rPr>
        <w:t>文件采购数量如实填写投标数量。</w:t>
      </w:r>
    </w:p>
    <w:p w14:paraId="71BC2208">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768874C">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4C5FED8B">
      <w:pPr>
        <w:pStyle w:val="10"/>
        <w:numPr>
          <w:ilvl w:val="0"/>
          <w:numId w:val="0"/>
        </w:numPr>
        <w:tabs>
          <w:tab w:val="left" w:pos="540"/>
        </w:tabs>
        <w:adjustRightInd w:val="0"/>
        <w:snapToGrid w:val="0"/>
        <w:spacing w:line="360" w:lineRule="auto"/>
        <w:rPr>
          <w:rFonts w:hint="default" w:ascii="宋体" w:hAnsi="宋体" w:eastAsia="宋体" w:cs="Times New Roman"/>
          <w:lang w:val="en-US" w:eastAsia="zh-CN"/>
        </w:rPr>
      </w:pPr>
    </w:p>
    <w:p w14:paraId="51884ACB">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r>
        <w:rPr>
          <w:rFonts w:ascii="宋体" w:hAnsi="宋体"/>
          <w:color w:val="000000"/>
        </w:rPr>
        <w:br w:type="page"/>
      </w:r>
      <w:bookmarkStart w:id="48" w:name="_Toc275865605"/>
      <w:bookmarkStart w:id="49" w:name="_Toc13521"/>
      <w:bookmarkStart w:id="50" w:name="_Toc1762"/>
      <w:bookmarkStart w:id="51" w:name="_Toc20322_WPSOffice_Level1"/>
      <w:bookmarkStart w:id="52" w:name="_Toc435514854"/>
      <w:bookmarkStart w:id="53" w:name="_Toc24434"/>
      <w:bookmarkStart w:id="54" w:name="_Toc435515294"/>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十二</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投标函</w:t>
      </w:r>
      <w:bookmarkEnd w:id="48"/>
      <w:bookmarkEnd w:id="49"/>
      <w:bookmarkEnd w:id="50"/>
      <w:bookmarkEnd w:id="51"/>
      <w:bookmarkEnd w:id="52"/>
      <w:bookmarkEnd w:id="53"/>
      <w:bookmarkEnd w:id="54"/>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3"/>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3"/>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3"/>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3"/>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3"/>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3"/>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3"/>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3"/>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3"/>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3"/>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3"/>
        </w:numPr>
        <w:tabs>
          <w:tab w:val="clear" w:pos="780"/>
        </w:tabs>
        <w:snapToGrid w:val="0"/>
        <w:spacing w:line="360" w:lineRule="auto"/>
        <w:ind w:left="426" w:leftChars="0" w:hanging="360" w:firstLineChars="0"/>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5" w:name="_Toc4649"/>
      <w:bookmarkStart w:id="56" w:name="_Toc435514855"/>
      <w:bookmarkStart w:id="57" w:name="_Toc435515295"/>
      <w:bookmarkStart w:id="58" w:name="_Toc24650"/>
      <w:bookmarkStart w:id="59" w:name="_Toc275865606"/>
      <w:bookmarkStart w:id="60" w:name="_Toc189"/>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55"/>
      <w:bookmarkEnd w:id="56"/>
      <w:bookmarkEnd w:id="57"/>
      <w:bookmarkEnd w:id="58"/>
      <w:bookmarkEnd w:id="59"/>
      <w:bookmarkEnd w:id="60"/>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30"/>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4"/>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4"/>
        </w:numPr>
        <w:spacing w:line="360" w:lineRule="auto"/>
        <w:ind w:left="0" w:leftChars="0" w:right="-815" w:rightChars="0" w:firstLine="420"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4"/>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4"/>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4"/>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4"/>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4"/>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4"/>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4"/>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4"/>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4"/>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61" w:name="_承诺函"/>
      <w:bookmarkEnd w:id="61"/>
      <w:bookmarkStart w:id="62" w:name="_Toc23121"/>
      <w:bookmarkStart w:id="63" w:name="_Toc27672"/>
      <w:bookmarkStart w:id="64" w:name="_Toc50737329"/>
      <w:bookmarkStart w:id="65" w:name="_Toc435514859"/>
      <w:bookmarkStart w:id="66" w:name="_Toc50737297"/>
      <w:bookmarkStart w:id="67" w:name="_Toc435515299"/>
      <w:bookmarkStart w:id="68" w:name="_Toc52165081"/>
      <w:bookmarkStart w:id="69" w:name="_Toc50736477"/>
      <w:bookmarkStart w:id="70" w:name="_Toc275865607"/>
      <w:bookmarkStart w:id="71" w:name="_Toc24149"/>
      <w:bookmarkStart w:id="72" w:name="_Toc50691034"/>
      <w:bookmarkStart w:id="73" w:name="_Toc50736476"/>
      <w:bookmarkStart w:id="74" w:name="_Toc52165080"/>
      <w:bookmarkStart w:id="75" w:name="_Toc50737328"/>
      <w:bookmarkStart w:id="76" w:name="_Toc50737296"/>
      <w:r>
        <w:rPr>
          <w:rFonts w:hint="eastAsia" w:cs="宋体" w:asciiTheme="majorEastAsia" w:hAnsiTheme="majorEastAsia" w:eastAsiaTheme="majorEastAsia"/>
          <w:kern w:val="2"/>
          <w:sz w:val="30"/>
          <w:szCs w:val="30"/>
          <w:lang w:val="en-US" w:eastAsia="zh-CN" w:bidi="ar-SA"/>
        </w:rPr>
        <w:t>（十四）政府采购违法行为风险知悉确认书</w:t>
      </w:r>
      <w:bookmarkEnd w:id="62"/>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37"/>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77" w:name="_Toc21376"/>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63"/>
      <w:bookmarkEnd w:id="64"/>
      <w:bookmarkEnd w:id="65"/>
      <w:bookmarkEnd w:id="66"/>
      <w:bookmarkEnd w:id="67"/>
      <w:bookmarkEnd w:id="68"/>
      <w:bookmarkEnd w:id="69"/>
      <w:bookmarkEnd w:id="70"/>
      <w:bookmarkEnd w:id="71"/>
      <w:bookmarkEnd w:id="77"/>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6"/>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78" w:name="_Toc275865608"/>
      <w:bookmarkStart w:id="79" w:name="_Toc14289"/>
      <w:bookmarkStart w:id="80" w:name="_Toc435515300"/>
      <w:bookmarkStart w:id="81" w:name="_Toc435514860"/>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46D4BB7D">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Theme="majorEastAsia" w:hAnsiTheme="majorEastAsia" w:eastAsiaTheme="majorEastAsia"/>
          <w:sz w:val="30"/>
          <w:szCs w:val="30"/>
        </w:rPr>
        <w:br w:type="page"/>
      </w:r>
    </w:p>
    <w:bookmarkEnd w:id="72"/>
    <w:bookmarkEnd w:id="73"/>
    <w:bookmarkEnd w:id="74"/>
    <w:bookmarkEnd w:id="75"/>
    <w:bookmarkEnd w:id="76"/>
    <w:bookmarkEnd w:id="78"/>
    <w:bookmarkEnd w:id="79"/>
    <w:bookmarkEnd w:id="80"/>
    <w:bookmarkEnd w:id="81"/>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2" w:name="_Toc23646"/>
      <w:bookmarkStart w:id="83" w:name="_Toc6666"/>
      <w:bookmarkStart w:id="84"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82"/>
      <w:bookmarkEnd w:id="83"/>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3A73B24C">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color w:val="auto"/>
          <w:kern w:val="0"/>
          <w:sz w:val="21"/>
          <w:szCs w:val="21"/>
          <w:highlight w:val="none"/>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8A4F398">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E7BD5D">
      <w:pPr>
        <w:spacing w:line="360" w:lineRule="auto"/>
        <w:ind w:firstLine="422" w:firstLineChars="200"/>
      </w:pPr>
      <w:r>
        <w:rPr>
          <w:rFonts w:hint="eastAsia" w:ascii="宋体" w:hAnsi="宋体" w:eastAsia="宋体" w:cs="宋体"/>
          <w:b/>
          <w:bCs w:val="0"/>
          <w:color w:val="auto"/>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5" w:name="_Toc24233"/>
      <w:bookmarkStart w:id="86" w:name="_Toc4591"/>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84"/>
      <w:bookmarkEnd w:id="85"/>
      <w:bookmarkEnd w:id="86"/>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87" w:name="_Toc24644"/>
      <w:bookmarkStart w:id="88" w:name="_Toc14446"/>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87"/>
      <w:bookmarkEnd w:id="88"/>
    </w:p>
    <w:p w14:paraId="0263054A">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89" w:name="_Toc7126"/>
      <w:bookmarkStart w:id="90" w:name="_Toc2124"/>
      <w:bookmarkStart w:id="91" w:name="_Toc25910"/>
      <w:bookmarkStart w:id="92" w:name="_Toc777"/>
      <w:bookmarkStart w:id="93" w:name="_Toc11352"/>
      <w:bookmarkStart w:id="94" w:name="_Toc15871"/>
      <w:bookmarkStart w:id="95" w:name="_Toc2305"/>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89"/>
      <w:bookmarkEnd w:id="90"/>
      <w:bookmarkEnd w:id="91"/>
      <w:bookmarkEnd w:id="92"/>
      <w:bookmarkEnd w:id="93"/>
      <w:bookmarkEnd w:id="94"/>
      <w:bookmarkEnd w:id="95"/>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790DCE5D">
      <w:pPr>
        <w:pStyle w:val="6"/>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4006300D">
      <w:r>
        <w:rPr>
          <w:rFonts w:hint="eastAsi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9129845">
      <w:pPr>
        <w:spacing w:line="500" w:lineRule="exact"/>
        <w:rPr>
          <w:rFonts w:ascii="宋体" w:hAnsi="宋体"/>
        </w:rPr>
      </w:pPr>
    </w:p>
    <w:p w14:paraId="0B1E9164">
      <w:pPr>
        <w:rPr>
          <w:rFonts w:hint="eastAsia" w:asciiTheme="majorEastAsia" w:hAnsiTheme="majorEastAsia" w:eastAsiaTheme="majorEastAsia"/>
          <w:sz w:val="30"/>
          <w:szCs w:val="30"/>
        </w:rPr>
      </w:pPr>
      <w:bookmarkStart w:id="96" w:name="_Toc8619"/>
      <w:bookmarkStart w:id="97" w:name="_Toc435514868"/>
      <w:bookmarkStart w:id="98" w:name="_Toc435515308"/>
      <w:r>
        <w:rPr>
          <w:rFonts w:hint="eastAsia" w:asciiTheme="majorEastAsia" w:hAnsiTheme="majorEastAsia" w:eastAsiaTheme="majorEastAsia"/>
          <w:sz w:val="30"/>
          <w:szCs w:val="30"/>
        </w:rPr>
        <w:br w:type="page"/>
      </w: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99" w:name="_Toc17359"/>
      <w:bookmarkStart w:id="100" w:name="_Toc29264"/>
      <w:r>
        <w:rPr>
          <w:rFonts w:hint="eastAsia" w:cs="宋体" w:asciiTheme="majorEastAsia" w:hAnsiTheme="majorEastAsia" w:eastAsiaTheme="majorEastAsia"/>
          <w:kern w:val="2"/>
          <w:sz w:val="30"/>
          <w:szCs w:val="30"/>
          <w:lang w:val="en-US" w:eastAsia="zh-CN" w:bidi="ar-SA"/>
        </w:rPr>
        <w:t>（二十）</w:t>
      </w:r>
      <w:r>
        <w:rPr>
          <w:rFonts w:hint="eastAsia" w:asciiTheme="majorEastAsia" w:hAnsiTheme="majorEastAsia" w:eastAsiaTheme="majorEastAsia"/>
          <w:sz w:val="30"/>
          <w:szCs w:val="30"/>
        </w:rPr>
        <w:t>技术规格偏离表</w:t>
      </w:r>
      <w:bookmarkEnd w:id="99"/>
      <w:bookmarkEnd w:id="100"/>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00754F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E47F2F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1D64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6ED6CC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DF9696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E433214">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FB38C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7405FAE">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D4E48A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5C6801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015303A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BDA9829">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67486C06">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376D43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47EF3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562BABE">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1851"/>
      <w:bookmarkStart w:id="102" w:name="_Toc28766"/>
      <w:r>
        <w:rPr>
          <w:rFonts w:hint="eastAsia" w:cs="宋体" w:asciiTheme="majorEastAsia" w:hAnsiTheme="majorEastAsia" w:eastAsiaTheme="majorEastAsia"/>
          <w:kern w:val="2"/>
          <w:sz w:val="30"/>
          <w:szCs w:val="30"/>
          <w:lang w:val="en-US" w:eastAsia="zh-CN" w:bidi="ar-SA"/>
        </w:rPr>
        <w:t>（二十一）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96"/>
      <w:bookmarkEnd w:id="101"/>
      <w:bookmarkEnd w:id="102"/>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bookmarkEnd w:id="97"/>
    <w:bookmarkEnd w:id="98"/>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bookmarkStart w:id="103" w:name="_Toc435514878"/>
      <w:bookmarkStart w:id="104" w:name="_Toc275865626"/>
      <w:bookmarkStart w:id="105" w:name="_Toc173553195"/>
      <w:bookmarkStart w:id="106" w:name="_Toc435515318"/>
    </w:p>
    <w:p w14:paraId="57099E2D">
      <w:pPr>
        <w:pStyle w:val="3"/>
        <w:numPr>
          <w:ilvl w:val="0"/>
          <w:numId w:val="0"/>
        </w:numPr>
        <w:jc w:val="center"/>
        <w:outlineLvl w:val="9"/>
        <w:rPr>
          <w:rFonts w:hint="eastAsia" w:ascii="宋体" w:hAnsi="宋体" w:cs="宋体" w:eastAsiaTheme="minorEastAsia"/>
          <w:kern w:val="2"/>
          <w:sz w:val="30"/>
          <w:szCs w:val="30"/>
          <w:lang w:val="en-US" w:eastAsia="zh-CN" w:bidi="ar-SA"/>
        </w:rPr>
      </w:pPr>
      <w:bookmarkStart w:id="107" w:name="_Toc5084"/>
      <w:bookmarkStart w:id="108" w:name="_Toc23178"/>
      <w:bookmarkStart w:id="109" w:name="_Toc24015580"/>
    </w:p>
    <w:p w14:paraId="7A683F8F">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34D72260">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16B3BBAB">
      <w:pPr>
        <w:pStyle w:val="3"/>
        <w:numPr>
          <w:ilvl w:val="0"/>
          <w:numId w:val="0"/>
        </w:numPr>
        <w:ind w:left="0" w:leftChars="0" w:firstLine="0" w:firstLineChars="0"/>
        <w:jc w:val="center"/>
        <w:outlineLvl w:val="0"/>
        <w:rPr>
          <w:rFonts w:ascii="宋体" w:hAnsi="宋体"/>
          <w:sz w:val="30"/>
          <w:szCs w:val="30"/>
        </w:rPr>
      </w:pPr>
      <w:bookmarkStart w:id="110" w:name="_Toc27675"/>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二十二</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10"/>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2E0EBD0A">
      <w:pPr>
        <w:numPr>
          <w:ilvl w:val="0"/>
          <w:numId w:val="0"/>
        </w:numPr>
        <w:ind w:left="0" w:leftChars="0" w:firstLine="0" w:firstLineChars="0"/>
        <w:jc w:val="center"/>
        <w:outlineLvl w:val="0"/>
        <w:rPr>
          <w:rFonts w:hint="eastAsia" w:asciiTheme="minorEastAsia" w:hAnsiTheme="minorEastAsia" w:cstheme="minorEastAsia"/>
          <w:sz w:val="30"/>
          <w:szCs w:val="30"/>
        </w:rPr>
      </w:pPr>
      <w:bookmarkStart w:id="111" w:name="_Toc22683"/>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kern w:val="2"/>
          <w:sz w:val="30"/>
          <w:szCs w:val="30"/>
          <w:lang w:val="en-US" w:eastAsia="zh-CN" w:bidi="ar-SA"/>
        </w:rPr>
        <w:t>二十三</w:t>
      </w:r>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sz w:val="30"/>
          <w:szCs w:val="30"/>
        </w:rPr>
        <w:t>售后服务承诺</w:t>
      </w:r>
      <w:bookmarkEnd w:id="111"/>
    </w:p>
    <w:p w14:paraId="37889004">
      <w:pPr>
        <w:numPr>
          <w:ilvl w:val="0"/>
          <w:numId w:val="0"/>
        </w:numPr>
        <w:rPr>
          <w:rFonts w:hint="eastAsia" w:asciiTheme="minorEastAsia" w:hAnsiTheme="minorEastAsia" w:cstheme="minorEastAsia"/>
          <w:sz w:val="24"/>
        </w:rPr>
      </w:pPr>
    </w:p>
    <w:p w14:paraId="0C827B89">
      <w:pPr>
        <w:widowControl/>
        <w:spacing w:after="200" w:line="220" w:lineRule="atLeast"/>
        <w:jc w:val="center"/>
        <w:outlineLvl w:val="1"/>
        <w:rPr>
          <w:rFonts w:hint="eastAsia" w:asciiTheme="minorEastAsia" w:hAnsiTheme="minorEastAsia" w:eastAsiaTheme="minorEastAsia" w:cstheme="minorEastAsia"/>
          <w:sz w:val="24"/>
          <w:highlight w:val="yellow"/>
          <w:lang w:eastAsia="zh-CN"/>
        </w:rPr>
      </w:pPr>
      <w:r>
        <w:rPr>
          <w:rFonts w:asciiTheme="minorEastAsia" w:hAnsiTheme="minorEastAsia" w:cstheme="minorEastAsia"/>
          <w:sz w:val="24"/>
          <w:highlight w:val="yellow"/>
        </w:rPr>
        <w:t>每年</w:t>
      </w:r>
      <w:r>
        <w:rPr>
          <w:rFonts w:hint="eastAsia" w:asciiTheme="minorEastAsia" w:hAnsiTheme="minorEastAsia" w:cstheme="minorEastAsia"/>
          <w:sz w:val="24"/>
          <w:highlight w:val="red"/>
          <w:lang w:val="en-US" w:eastAsia="zh-CN"/>
        </w:rPr>
        <w:t xml:space="preserve">  </w:t>
      </w:r>
      <w:r>
        <w:rPr>
          <w:rFonts w:asciiTheme="minorEastAsia" w:hAnsiTheme="minorEastAsia" w:cstheme="minorEastAsia"/>
          <w:sz w:val="24"/>
          <w:highlight w:val="yellow"/>
        </w:rPr>
        <w:t>次</w:t>
      </w:r>
      <w:r>
        <w:rPr>
          <w:rFonts w:hint="eastAsia" w:asciiTheme="minorEastAsia" w:hAnsiTheme="minorEastAsia" w:cstheme="minorEastAsia"/>
          <w:sz w:val="24"/>
          <w:highlight w:val="yellow"/>
          <w:lang w:val="en-US" w:eastAsia="zh-CN"/>
        </w:rPr>
        <w:t>维保</w:t>
      </w:r>
      <w:r>
        <w:rPr>
          <w:rFonts w:hint="eastAsia" w:asciiTheme="minorEastAsia" w:hAnsiTheme="minorEastAsia" w:cstheme="minorEastAsia"/>
          <w:sz w:val="24"/>
          <w:highlight w:val="yellow"/>
          <w:lang w:eastAsia="zh-CN"/>
        </w:rPr>
        <w:t>承诺</w:t>
      </w:r>
    </w:p>
    <w:p w14:paraId="4F2BE074">
      <w:pPr>
        <w:widowControl/>
        <w:spacing w:after="200" w:line="220" w:lineRule="atLeast"/>
        <w:ind w:left="420" w:hanging="420" w:hangingChars="200"/>
        <w:jc w:val="left"/>
        <w:rPr>
          <w:rFonts w:ascii="宋体" w:hAnsi="宋体" w:cs="宋体"/>
          <w:szCs w:val="21"/>
        </w:rPr>
      </w:pPr>
      <w:r>
        <w:rPr>
          <w:rFonts w:ascii="宋体" w:hAnsi="宋体" w:cs="宋体"/>
          <w:szCs w:val="21"/>
        </w:rPr>
        <w:t>深圳市福田区第二人民医院：</w:t>
      </w:r>
    </w:p>
    <w:p w14:paraId="0E78352C">
      <w:pPr>
        <w:ind w:firstLine="420" w:firstLineChars="200"/>
        <w:rPr>
          <w:rFonts w:ascii="宋体" w:hAnsi="宋体" w:cs="宋体"/>
          <w:szCs w:val="21"/>
        </w:rPr>
      </w:pPr>
      <w:r>
        <w:rPr>
          <w:rFonts w:ascii="宋体" w:hAnsi="宋体" w:cs="宋体"/>
          <w:szCs w:val="21"/>
        </w:rPr>
        <w:t>在您的支持和信任之下，为保障您的利益，使您得到更好更优质的服务，我司在此做出如下承诺：</w:t>
      </w:r>
    </w:p>
    <w:p w14:paraId="20163C6E">
      <w:pPr>
        <w:numPr>
          <w:ilvl w:val="0"/>
          <w:numId w:val="15"/>
        </w:numPr>
        <w:ind w:left="210" w:hanging="210" w:hangingChars="100"/>
        <w:rPr>
          <w:rFonts w:ascii="宋体" w:hAnsi="宋体" w:cs="宋体"/>
          <w:szCs w:val="21"/>
        </w:rPr>
      </w:pPr>
      <w:r>
        <w:rPr>
          <w:rFonts w:ascii="宋体" w:hAnsi="宋体" w:cs="宋体"/>
          <w:szCs w:val="21"/>
        </w:rPr>
        <w:t>安装前准备工作：</w:t>
      </w:r>
      <w:r>
        <w:rPr>
          <w:rFonts w:ascii="宋体" w:hAnsi="宋体" w:cs="宋体"/>
          <w:szCs w:val="21"/>
        </w:rPr>
        <w:br w:type="textWrapping"/>
      </w:r>
      <w:r>
        <w:rPr>
          <w:rFonts w:ascii="宋体" w:hAnsi="宋体" w:cs="宋体"/>
          <w:szCs w:val="21"/>
        </w:rPr>
        <w:t>我方所提</w:t>
      </w:r>
      <w:r>
        <w:rPr>
          <w:rFonts w:ascii="Calibri" w:hAnsi="Calibri" w:eastAsia="宋体" w:cs="Times New Roman"/>
          <w:color w:val="000000"/>
        </w:rPr>
        <w:t>供的设备必须是全新（包括零部件）的设备</w:t>
      </w:r>
      <w:r>
        <w:rPr>
          <w:rFonts w:hint="eastAsia" w:ascii="Calibri" w:hAnsi="Calibri" w:eastAsia="宋体" w:cs="Times New Roman"/>
          <w:color w:val="000000"/>
        </w:rPr>
        <w:t>,</w:t>
      </w:r>
      <w:r>
        <w:rPr>
          <w:rFonts w:hint="eastAsia" w:ascii="Calibri" w:hAnsi="Calibri" w:eastAsia="宋体" w:cs="Times New Roman"/>
          <w:color w:val="FF0000"/>
        </w:rPr>
        <w:t xml:space="preserve"> </w:t>
      </w:r>
      <w:r>
        <w:rPr>
          <w:rFonts w:hint="eastAsia" w:ascii="Calibri" w:hAnsi="Calibri" w:eastAsia="宋体" w:cs="Times New Roman"/>
          <w:color w:val="000000"/>
        </w:rPr>
        <w:t>出厂日期在采购人收到日期前12个月内，最新生产批次且经检验合格的产品。</w:t>
      </w:r>
      <w:r>
        <w:rPr>
          <w:rFonts w:ascii="Calibri" w:hAnsi="Calibri" w:eastAsia="宋体" w:cs="Times New Roman"/>
          <w:color w:val="000000"/>
        </w:rPr>
        <w:t>设备到达甲方安装现场时外包装应完好无损。本合同项下设备必须符合国家检测标准。</w:t>
      </w:r>
    </w:p>
    <w:p w14:paraId="3F31591F">
      <w:pPr>
        <w:numPr>
          <w:ilvl w:val="0"/>
          <w:numId w:val="15"/>
        </w:numPr>
        <w:ind w:left="210" w:hanging="210" w:hangingChars="100"/>
        <w:rPr>
          <w:szCs w:val="21"/>
        </w:rPr>
      </w:pPr>
      <w:r>
        <w:rPr>
          <w:rFonts w:ascii="宋体" w:hAnsi="宋体" w:cs="宋体"/>
          <w:szCs w:val="21"/>
        </w:rPr>
        <w:t>安装与调试及培训</w:t>
      </w:r>
      <w:r>
        <w:rPr>
          <w:rFonts w:ascii="宋体" w:hAnsi="宋体" w:cs="宋体"/>
          <w:szCs w:val="21"/>
        </w:rPr>
        <w:br w:type="textWrapping"/>
      </w:r>
      <w:r>
        <w:rPr>
          <w:rFonts w:ascii="宋体" w:hAnsi="宋体" w:cs="宋体"/>
          <w:szCs w:val="21"/>
        </w:rPr>
        <w:t>1.我方对所提供的设备负责现场指导安装与调试直至系统正常运行。</w:t>
      </w:r>
      <w:r>
        <w:rPr>
          <w:rFonts w:ascii="宋体" w:hAnsi="宋体" w:cs="宋体"/>
          <w:szCs w:val="21"/>
        </w:rPr>
        <w:br w:type="textWrapping"/>
      </w:r>
      <w:r>
        <w:rPr>
          <w:rFonts w:ascii="宋体" w:hAnsi="宋体" w:cs="宋体"/>
          <w:szCs w:val="21"/>
        </w:rPr>
        <w:t>2.安装调试完成后我方将在安装现场由具有</w:t>
      </w:r>
      <w:r>
        <w:rPr>
          <w:rFonts w:hint="eastAsia" w:ascii="宋体" w:hAnsi="宋体" w:cs="宋体"/>
          <w:szCs w:val="21"/>
        </w:rPr>
        <w:t>三</w:t>
      </w:r>
      <w:r>
        <w:rPr>
          <w:rFonts w:ascii="宋体" w:hAnsi="宋体" w:cs="宋体"/>
          <w:szCs w:val="21"/>
        </w:rPr>
        <w:t>年以上的维修经验的技术员为需方进行培训，使其能独立完成与设备、系统有关的各项操作，以及使用时注意的事项和常见简单故障的处理，保证用户对仪器能进行熟练的操作和日常维护。</w:t>
      </w:r>
    </w:p>
    <w:p w14:paraId="3062E996">
      <w:pPr>
        <w:ind w:left="210" w:hanging="210" w:hangingChars="100"/>
      </w:pPr>
      <w:r>
        <w:rPr>
          <w:rFonts w:hint="eastAsia" w:ascii="宋体" w:hAnsi="宋体" w:cs="宋体"/>
          <w:szCs w:val="21"/>
          <w:lang w:val="en-US" w:eastAsia="zh-CN"/>
        </w:rPr>
        <w:t>三、</w:t>
      </w:r>
      <w:r>
        <w:rPr>
          <w:rFonts w:ascii="宋体" w:hAnsi="宋体" w:cs="宋体"/>
          <w:szCs w:val="21"/>
        </w:rPr>
        <w:t>维护保养服务</w:t>
      </w:r>
      <w:r>
        <w:rPr>
          <w:rFonts w:ascii="宋体" w:hAnsi="宋体" w:cs="宋体"/>
          <w:szCs w:val="21"/>
        </w:rPr>
        <w:br w:type="textWrapping"/>
      </w:r>
      <w:r>
        <w:rPr>
          <w:rFonts w:ascii="宋体" w:hAnsi="宋体" w:cs="宋体"/>
          <w:szCs w:val="21"/>
        </w:rPr>
        <w:t>我们保证为货物提供整机免</w:t>
      </w:r>
      <w:r>
        <w:rPr>
          <w:rFonts w:ascii="宋体" w:hAnsi="宋体" w:cs="宋体"/>
          <w:color w:val="000000" w:themeColor="text1"/>
          <w:szCs w:val="21"/>
          <w14:textFill>
            <w14:solidFill>
              <w14:schemeClr w14:val="tx1"/>
            </w14:solidFill>
          </w14:textFill>
        </w:rPr>
        <w:t>费</w:t>
      </w:r>
      <w:r>
        <w:rPr>
          <w:rFonts w:ascii="宋体" w:hAnsi="宋体" w:cs="宋体"/>
          <w:color w:val="000000" w:themeColor="text1"/>
          <w:szCs w:val="21"/>
          <w:highlight w:val="yellow"/>
          <w14:textFill>
            <w14:solidFill>
              <w14:schemeClr w14:val="tx1"/>
            </w14:solidFill>
          </w14:textFill>
        </w:rPr>
        <w:t>保修期</w:t>
      </w:r>
      <w:r>
        <w:rPr>
          <w:rFonts w:hint="eastAsia" w:ascii="宋体" w:hAnsi="宋体" w:cs="宋体"/>
          <w:color w:val="000000" w:themeColor="text1"/>
          <w:szCs w:val="21"/>
          <w:highlight w:val="red"/>
          <w:lang w:val="en-US" w:eastAsia="zh-CN"/>
          <w14:textFill>
            <w14:solidFill>
              <w14:schemeClr w14:val="tx1"/>
            </w14:solidFill>
          </w14:textFill>
        </w:rPr>
        <w:t xml:space="preserve">  </w:t>
      </w:r>
      <w:r>
        <w:rPr>
          <w:rFonts w:ascii="宋体" w:hAnsi="宋体" w:cs="宋体"/>
          <w:color w:val="000000" w:themeColor="text1"/>
          <w:szCs w:val="21"/>
          <w:highlight w:val="yellow"/>
          <w14:textFill>
            <w14:solidFill>
              <w14:schemeClr w14:val="tx1"/>
            </w14:solidFill>
          </w14:textFill>
        </w:rPr>
        <w:t>年</w:t>
      </w:r>
      <w:r>
        <w:rPr>
          <w:rFonts w:ascii="宋体" w:hAnsi="宋体" w:cs="宋体"/>
          <w:szCs w:val="21"/>
        </w:rPr>
        <w:t>，终身有偿维修。年度定期预防性维护保养次数应</w:t>
      </w:r>
      <w:r>
        <w:rPr>
          <w:rFonts w:ascii="宋体" w:hAnsi="宋体" w:cs="宋体"/>
          <w:szCs w:val="21"/>
          <w:highlight w:val="yellow"/>
        </w:rPr>
        <w:t>不少于</w:t>
      </w:r>
      <w:r>
        <w:rPr>
          <w:rFonts w:hint="eastAsia" w:ascii="宋体" w:hAnsi="宋体" w:cs="宋体"/>
          <w:szCs w:val="21"/>
          <w:highlight w:val="red"/>
          <w:lang w:val="en-US" w:eastAsia="zh-CN"/>
        </w:rPr>
        <w:t xml:space="preserve">  </w:t>
      </w:r>
      <w:r>
        <w:rPr>
          <w:rFonts w:ascii="宋体" w:hAnsi="宋体" w:cs="宋体"/>
          <w:szCs w:val="21"/>
          <w:highlight w:val="yellow"/>
        </w:rPr>
        <w:t>次</w:t>
      </w:r>
      <w:r>
        <w:rPr>
          <w:rFonts w:hint="eastAsia" w:ascii="宋体" w:hAnsi="宋体" w:cs="宋体"/>
          <w:szCs w:val="21"/>
          <w:highlight w:val="yellow"/>
          <w:lang w:eastAsia="zh-CN"/>
        </w:rPr>
        <w:t>。</w:t>
      </w:r>
      <w:r>
        <w:rPr>
          <w:rFonts w:ascii="宋体" w:hAnsi="宋体" w:cs="宋体"/>
          <w:szCs w:val="21"/>
        </w:rPr>
        <w:br w:type="textWrapping"/>
      </w:r>
      <w:r>
        <w:rPr>
          <w:rFonts w:ascii="宋体" w:hAnsi="宋体" w:cs="宋体"/>
          <w:szCs w:val="21"/>
        </w:rPr>
        <w:t>1．</w:t>
      </w:r>
      <w:r>
        <w:rPr>
          <w:rFonts w:hint="eastAsia" w:ascii="宋体" w:hAnsi="宋体" w:cs="宋体"/>
          <w:szCs w:val="21"/>
          <w:lang w:val="en-US" w:eastAsia="zh-CN"/>
        </w:rPr>
        <w:t>仪器</w:t>
      </w:r>
      <w:r>
        <w:rPr>
          <w:rFonts w:ascii="宋体" w:hAnsi="宋体" w:cs="宋体"/>
          <w:szCs w:val="21"/>
        </w:rPr>
        <w:t>的正常保养</w:t>
      </w:r>
      <w:r>
        <w:rPr>
          <w:rFonts w:hint="eastAsia" w:ascii="宋体" w:hAnsi="宋体" w:cs="宋体"/>
          <w:szCs w:val="21"/>
          <w:lang w:eastAsia="zh-CN"/>
        </w:rPr>
        <w:t>。</w:t>
      </w:r>
      <w:r>
        <w:rPr>
          <w:rFonts w:ascii="宋体" w:hAnsi="宋体" w:cs="宋体"/>
          <w:szCs w:val="21"/>
        </w:rPr>
        <w:br w:type="textWrapping"/>
      </w:r>
      <w:r>
        <w:rPr>
          <w:rFonts w:ascii="宋体" w:hAnsi="宋体" w:cs="宋体"/>
          <w:szCs w:val="21"/>
        </w:rPr>
        <w:t>2．</w:t>
      </w:r>
      <w:r>
        <w:rPr>
          <w:rFonts w:hint="eastAsia" w:ascii="宋体" w:hAnsi="宋体" w:cs="宋体"/>
          <w:szCs w:val="21"/>
          <w:lang w:val="en-US" w:eastAsia="zh-CN"/>
        </w:rPr>
        <w:t>仪器</w:t>
      </w:r>
      <w:r>
        <w:rPr>
          <w:rFonts w:ascii="宋体" w:hAnsi="宋体" w:cs="宋体"/>
          <w:szCs w:val="21"/>
        </w:rPr>
        <w:t>性能的检测。 </w:t>
      </w:r>
    </w:p>
    <w:p w14:paraId="0D53EFF2">
      <w:pPr>
        <w:ind w:left="210" w:hanging="210" w:hangingChars="100"/>
      </w:pPr>
      <w:r>
        <w:rPr>
          <w:rFonts w:hint="eastAsia"/>
          <w:lang w:val="en-US" w:eastAsia="zh-CN"/>
        </w:rPr>
        <w:t>四、</w:t>
      </w:r>
      <w:r>
        <w:t>免费保修期内外所提供服务</w:t>
      </w:r>
      <w:r>
        <w:br w:type="textWrapping"/>
      </w:r>
      <w:r>
        <w:t>1.保修期内免费更换零配件、免工时保修时间从验收签字起计算。在质保期内我方将严格遵守中华人民共和国的相关法律和法规对货物提供“三包”等售后服务</w:t>
      </w:r>
      <w:r>
        <w:rPr>
          <w:rFonts w:hint="eastAsia"/>
        </w:rPr>
        <w:t>。</w:t>
      </w:r>
    </w:p>
    <w:p w14:paraId="536B31BE">
      <w:pPr>
        <w:ind w:left="210" w:leftChars="100" w:firstLine="0" w:firstLineChars="0"/>
      </w:pPr>
      <w:r>
        <w:rPr>
          <w:highlight w:val="yellow"/>
        </w:rPr>
        <w:t>2.由我方提供售后服务，</w:t>
      </w:r>
      <w:r>
        <w:rPr>
          <w:rFonts w:hint="eastAsia"/>
          <w:highlight w:val="red"/>
          <w:lang w:val="en-US" w:eastAsia="zh-CN"/>
        </w:rPr>
        <w:t xml:space="preserve">  </w:t>
      </w:r>
      <w:r>
        <w:rPr>
          <w:highlight w:val="yellow"/>
        </w:rPr>
        <w:t>小时内响应，</w:t>
      </w:r>
      <w:r>
        <w:rPr>
          <w:rFonts w:hint="eastAsia"/>
          <w:highlight w:val="red"/>
          <w:lang w:val="en-US" w:eastAsia="zh-CN"/>
        </w:rPr>
        <w:t xml:space="preserve">  </w:t>
      </w:r>
      <w:r>
        <w:rPr>
          <w:highlight w:val="yellow"/>
        </w:rPr>
        <w:t>小时维修到位（不可抗力情况除外）。消耗品和零配件供应及时，特殊情况下可提供备用机</w:t>
      </w:r>
      <w:r>
        <w:t>。</w:t>
      </w:r>
      <w:r>
        <w:rPr>
          <w:rFonts w:hint="eastAsia"/>
        </w:rPr>
        <w:t xml:space="preserve">   </w:t>
      </w:r>
    </w:p>
    <w:p w14:paraId="44D01A4A">
      <w:pPr>
        <w:outlineLvl w:val="9"/>
      </w:pPr>
      <w:r>
        <w:rPr>
          <w:rFonts w:hint="eastAsia"/>
        </w:rPr>
        <w:t>五、信息化服务</w:t>
      </w:r>
    </w:p>
    <w:p w14:paraId="1263201E">
      <w:pPr>
        <w:ind w:left="210" w:leftChars="100" w:firstLine="210" w:firstLineChars="100"/>
      </w:pPr>
      <w:r>
        <w:rPr>
          <w:rFonts w:hint="eastAsia"/>
        </w:rPr>
        <w:t xml:space="preserve">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  </w:t>
      </w:r>
    </w:p>
    <w:p w14:paraId="783B0E99">
      <w:pPr>
        <w:numPr>
          <w:ilvl w:val="0"/>
          <w:numId w:val="0"/>
        </w:numPr>
        <w:rPr>
          <w:rFonts w:hint="eastAsia" w:ascii="宋体" w:hAnsi="宋体" w:cs="宋体"/>
          <w:color w:val="000000" w:themeColor="text1"/>
          <w:szCs w:val="21"/>
          <w:lang w:eastAsia="zh-CN"/>
          <w14:textFill>
            <w14:solidFill>
              <w14:schemeClr w14:val="tx1"/>
            </w14:solidFill>
          </w14:textFill>
        </w:rPr>
      </w:pPr>
    </w:p>
    <w:p w14:paraId="0CE62F1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8FC25D">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A806D6A">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2FE106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A407C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5E40BD2">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2" w:name="_Toc2085"/>
      <w:r>
        <w:rPr>
          <w:rFonts w:hint="eastAsia" w:cs="宋体" w:asciiTheme="majorEastAsia" w:hAnsiTheme="majorEastAsia" w:eastAsiaTheme="majorEastAsia"/>
          <w:kern w:val="2"/>
          <w:sz w:val="30"/>
          <w:szCs w:val="30"/>
          <w:lang w:val="en-US" w:eastAsia="zh-CN" w:bidi="ar-SA"/>
        </w:rPr>
        <w:t>（二十四）</w:t>
      </w:r>
      <w:bookmarkEnd w:id="107"/>
      <w:r>
        <w:rPr>
          <w:rFonts w:hint="eastAsia" w:cs="宋体" w:asciiTheme="majorEastAsia" w:hAnsiTheme="majorEastAsia" w:eastAsiaTheme="majorEastAsia"/>
          <w:kern w:val="2"/>
          <w:sz w:val="30"/>
          <w:szCs w:val="30"/>
          <w:lang w:val="en-US" w:eastAsia="zh-CN" w:bidi="ar-SA"/>
        </w:rPr>
        <w:t>技术保障措施</w:t>
      </w:r>
      <w:bookmarkEnd w:id="112"/>
    </w:p>
    <w:p w14:paraId="32448156">
      <w:pPr>
        <w:keepNext w:val="0"/>
        <w:keepLines w:val="0"/>
        <w:widowControl/>
        <w:suppressLineNumbers w:val="0"/>
        <w:jc w:val="center"/>
        <w:textAlignment w:val="center"/>
        <w:outlineLvl w:val="9"/>
        <w:rPr>
          <w:rFonts w:hint="default"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05FF5B71">
      <w:pPr>
        <w:pStyle w:val="3"/>
        <w:numPr>
          <w:ilvl w:val="0"/>
          <w:numId w:val="0"/>
        </w:numPr>
        <w:spacing w:line="240" w:lineRule="auto"/>
        <w:ind w:left="0" w:leftChars="0" w:firstLine="0" w:firstLineChars="0"/>
        <w:jc w:val="center"/>
        <w:outlineLvl w:val="9"/>
        <w:rPr>
          <w:rFonts w:hint="eastAsia" w:asciiTheme="majorEastAsia" w:hAnsiTheme="majorEastAsia" w:eastAsiaTheme="majorEastAsia"/>
          <w:sz w:val="30"/>
          <w:szCs w:val="30"/>
        </w:rPr>
      </w:pPr>
    </w:p>
    <w:p w14:paraId="142BDA7C">
      <w:pPr>
        <w:widowControl w:val="0"/>
        <w:numPr>
          <w:ilvl w:val="0"/>
          <w:numId w:val="0"/>
        </w:numPr>
        <w:jc w:val="both"/>
        <w:rPr>
          <w:rFonts w:hint="eastAsia"/>
          <w:sz w:val="32"/>
          <w:szCs w:val="32"/>
          <w:lang w:val="en-US" w:eastAsia="zh-CN"/>
        </w:rPr>
      </w:pPr>
    </w:p>
    <w:p w14:paraId="386EC165">
      <w:pPr>
        <w:widowControl w:val="0"/>
        <w:numPr>
          <w:ilvl w:val="0"/>
          <w:numId w:val="0"/>
        </w:numPr>
        <w:jc w:val="both"/>
        <w:rPr>
          <w:rFonts w:hint="eastAsia"/>
          <w:sz w:val="32"/>
          <w:szCs w:val="32"/>
          <w:lang w:val="en-US" w:eastAsia="zh-CN"/>
        </w:rPr>
      </w:pPr>
    </w:p>
    <w:p w14:paraId="50E0B4B0">
      <w:pPr>
        <w:widowControl w:val="0"/>
        <w:numPr>
          <w:ilvl w:val="0"/>
          <w:numId w:val="0"/>
        </w:numPr>
        <w:jc w:val="both"/>
        <w:rPr>
          <w:rFonts w:hint="eastAsia"/>
          <w:sz w:val="32"/>
          <w:szCs w:val="32"/>
          <w:lang w:val="en-US" w:eastAsia="zh-CN"/>
        </w:rPr>
      </w:pPr>
    </w:p>
    <w:p w14:paraId="07EB7E8B">
      <w:pPr>
        <w:widowControl w:val="0"/>
        <w:numPr>
          <w:ilvl w:val="0"/>
          <w:numId w:val="0"/>
        </w:numPr>
        <w:jc w:val="both"/>
        <w:rPr>
          <w:rFonts w:hint="eastAsia"/>
          <w:sz w:val="32"/>
          <w:szCs w:val="32"/>
          <w:lang w:val="en-US" w:eastAsia="zh-CN"/>
        </w:rPr>
      </w:pPr>
    </w:p>
    <w:p w14:paraId="379CB4BF">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bookmarkStart w:id="113" w:name="_Toc435515322"/>
      <w:bookmarkStart w:id="114" w:name="_Toc435514882"/>
    </w:p>
    <w:p w14:paraId="44FBB5B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9EE82B4">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7ED4A22">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40D7815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7E0C35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0B94A02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D17910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564217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CC54C3A">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FE501F5">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68A0206">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88D070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1CB9269">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4048E0C">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1F0C58A0">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95C51CB">
      <w:pPr>
        <w:pStyle w:val="17"/>
        <w:numPr>
          <w:ilvl w:val="0"/>
          <w:numId w:val="0"/>
        </w:numPr>
        <w:ind w:left="0" w:leftChars="0" w:firstLine="0" w:firstLineChars="0"/>
        <w:jc w:val="both"/>
        <w:rPr>
          <w:rFonts w:hint="eastAsia" w:asciiTheme="majorEastAsia" w:hAnsiTheme="majorEastAsia" w:eastAsiaTheme="minorEastAsia" w:cstheme="minorBidi"/>
          <w:kern w:val="2"/>
          <w:sz w:val="32"/>
          <w:szCs w:val="32"/>
          <w:lang w:val="en-US" w:eastAsia="zh-CN" w:bidi="ar-SA"/>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5" w:name="_Toc7641"/>
      <w:r>
        <w:rPr>
          <w:rFonts w:hint="eastAsia" w:cs="宋体" w:asciiTheme="majorEastAsia" w:hAnsiTheme="majorEastAsia" w:eastAsiaTheme="majorEastAsia"/>
          <w:kern w:val="2"/>
          <w:sz w:val="30"/>
          <w:szCs w:val="30"/>
          <w:lang w:val="en-US" w:eastAsia="zh-CN" w:bidi="ar-SA"/>
        </w:rPr>
        <w:t>（二十五）有效业绩</w:t>
      </w:r>
      <w:bookmarkEnd w:id="115"/>
    </w:p>
    <w:p w14:paraId="4A0B5855">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FE3A0F8">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40FEC72">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7FDCF3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F9ADBB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E12505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D9A2BD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34E2CF8">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6" w:name="_Toc9590"/>
      <w:r>
        <w:rPr>
          <w:rFonts w:hint="eastAsia" w:cs="宋体" w:asciiTheme="majorEastAsia" w:hAnsiTheme="majorEastAsia" w:eastAsiaTheme="majorEastAsia"/>
          <w:kern w:val="2"/>
          <w:sz w:val="30"/>
          <w:szCs w:val="30"/>
          <w:lang w:val="en-US" w:eastAsia="zh-CN" w:bidi="ar-SA"/>
        </w:rPr>
        <w:t>（二十六）履约评价</w:t>
      </w:r>
      <w:bookmarkEnd w:id="116"/>
    </w:p>
    <w:p w14:paraId="7FB48CE9">
      <w:pPr>
        <w:pStyle w:val="17"/>
        <w:widowControl w:val="0"/>
        <w:numPr>
          <w:ilvl w:val="0"/>
          <w:numId w:val="0"/>
        </w:numPr>
        <w:spacing w:line="560" w:lineRule="exact"/>
        <w:jc w:val="center"/>
        <w:rPr>
          <w:rFonts w:hint="eastAsia" w:asciiTheme="majorEastAsia" w:hAnsiTheme="majorEastAsia"/>
          <w:sz w:val="32"/>
          <w:szCs w:val="32"/>
        </w:rPr>
      </w:pPr>
    </w:p>
    <w:p w14:paraId="1E64563B">
      <w:pPr>
        <w:pStyle w:val="17"/>
        <w:widowControl w:val="0"/>
        <w:numPr>
          <w:ilvl w:val="0"/>
          <w:numId w:val="0"/>
        </w:numPr>
        <w:spacing w:line="560" w:lineRule="exact"/>
        <w:jc w:val="center"/>
        <w:rPr>
          <w:rFonts w:hint="eastAsia" w:asciiTheme="majorEastAsia" w:hAnsiTheme="majorEastAsia"/>
          <w:sz w:val="32"/>
          <w:szCs w:val="32"/>
        </w:rPr>
      </w:pPr>
    </w:p>
    <w:p w14:paraId="1E9153AC">
      <w:pPr>
        <w:pStyle w:val="17"/>
        <w:widowControl w:val="0"/>
        <w:numPr>
          <w:ilvl w:val="0"/>
          <w:numId w:val="0"/>
        </w:numPr>
        <w:spacing w:line="560" w:lineRule="exact"/>
        <w:jc w:val="center"/>
        <w:rPr>
          <w:rFonts w:hint="eastAsia" w:asciiTheme="majorEastAsia" w:hAnsiTheme="majorEastAsia"/>
          <w:sz w:val="32"/>
          <w:szCs w:val="32"/>
        </w:rPr>
      </w:pPr>
    </w:p>
    <w:p w14:paraId="5F101BCF">
      <w:pPr>
        <w:pStyle w:val="17"/>
        <w:widowControl w:val="0"/>
        <w:numPr>
          <w:ilvl w:val="0"/>
          <w:numId w:val="0"/>
        </w:numPr>
        <w:spacing w:line="560" w:lineRule="exact"/>
        <w:jc w:val="center"/>
        <w:rPr>
          <w:rFonts w:hint="eastAsia" w:asciiTheme="majorEastAsia" w:hAnsiTheme="majorEastAsia"/>
          <w:sz w:val="32"/>
          <w:szCs w:val="32"/>
        </w:rPr>
      </w:pPr>
    </w:p>
    <w:p w14:paraId="1F62F63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56082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4735608">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8ED6084">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2381D1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FEEA16C">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C4C8B4E">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14721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EA864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5E3BA20">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DE647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DE47B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64A1AEF9">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BEBDA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64AB9C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F802E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1974B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175A2CD7">
      <w:pPr>
        <w:snapToGrid w:val="0"/>
        <w:ind w:left="0" w:leftChars="0" w:firstLine="0" w:firstLineChars="0"/>
        <w:jc w:val="center"/>
        <w:rPr>
          <w:rFonts w:hint="eastAsia" w:asciiTheme="majorEastAsia" w:hAnsiTheme="majorEastAsia" w:eastAsiaTheme="majorEastAsia"/>
          <w:sz w:val="30"/>
          <w:szCs w:val="30"/>
          <w:lang w:eastAsia="zh-CN"/>
        </w:rPr>
      </w:pPr>
    </w:p>
    <w:p w14:paraId="3323938C">
      <w:pPr>
        <w:pStyle w:val="17"/>
        <w:numPr>
          <w:ilvl w:val="0"/>
          <w:numId w:val="0"/>
        </w:numPr>
        <w:ind w:left="0" w:leftChars="0" w:firstLine="0" w:firstLineChars="0"/>
        <w:jc w:val="center"/>
        <w:outlineLvl w:val="0"/>
        <w:rPr>
          <w:rFonts w:hint="eastAsia" w:asciiTheme="majorEastAsia" w:hAnsiTheme="majorEastAsia"/>
          <w:sz w:val="30"/>
          <w:szCs w:val="30"/>
        </w:rPr>
      </w:pPr>
      <w:bookmarkStart w:id="117" w:name="_Toc21342"/>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cstheme="minorBidi"/>
          <w:kern w:val="2"/>
          <w:sz w:val="30"/>
          <w:szCs w:val="30"/>
          <w:lang w:val="en-US" w:eastAsia="zh-CN" w:bidi="ar-SA"/>
        </w:rPr>
        <w:t>二十七</w:t>
      </w:r>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sz w:val="30"/>
          <w:szCs w:val="30"/>
        </w:rPr>
        <w:t>所投设备参数及产品注册时的检测报告</w:t>
      </w:r>
      <w:bookmarkEnd w:id="117"/>
    </w:p>
    <w:p w14:paraId="40472A44">
      <w:pPr>
        <w:rPr>
          <w:rFonts w:hint="eastAsia" w:asciiTheme="majorEastAsia" w:hAnsiTheme="majorEastAsia" w:eastAsiaTheme="majorEastAsia"/>
          <w:sz w:val="30"/>
          <w:szCs w:val="30"/>
          <w:lang w:eastAsia="zh-CN"/>
        </w:rPr>
      </w:pPr>
    </w:p>
    <w:p w14:paraId="7588BA56">
      <w:pPr>
        <w:pStyle w:val="6"/>
        <w:rPr>
          <w:rFonts w:hint="eastAsia" w:asciiTheme="majorEastAsia" w:hAnsiTheme="majorEastAsia" w:eastAsiaTheme="majorEastAsia"/>
          <w:sz w:val="30"/>
          <w:szCs w:val="30"/>
          <w:lang w:eastAsia="zh-CN"/>
        </w:rPr>
      </w:pPr>
    </w:p>
    <w:p w14:paraId="17CABD36">
      <w:pPr>
        <w:rPr>
          <w:rFonts w:hint="eastAsia" w:asciiTheme="majorEastAsia" w:hAnsiTheme="majorEastAsia" w:eastAsiaTheme="majorEastAsia"/>
          <w:sz w:val="30"/>
          <w:szCs w:val="30"/>
          <w:lang w:eastAsia="zh-CN"/>
        </w:rPr>
      </w:pPr>
    </w:p>
    <w:p w14:paraId="4EFA4CC0">
      <w:pPr>
        <w:pStyle w:val="6"/>
        <w:rPr>
          <w:rFonts w:hint="eastAsia" w:asciiTheme="majorEastAsia" w:hAnsiTheme="majorEastAsia" w:eastAsiaTheme="majorEastAsia"/>
          <w:sz w:val="30"/>
          <w:szCs w:val="30"/>
          <w:lang w:eastAsia="zh-CN"/>
        </w:rPr>
      </w:pPr>
    </w:p>
    <w:p w14:paraId="4BD30BB8">
      <w:pPr>
        <w:rPr>
          <w:rFonts w:hint="eastAsia" w:asciiTheme="majorEastAsia" w:hAnsiTheme="majorEastAsia" w:eastAsiaTheme="majorEastAsia"/>
          <w:sz w:val="30"/>
          <w:szCs w:val="30"/>
          <w:lang w:eastAsia="zh-CN"/>
        </w:rPr>
      </w:pPr>
    </w:p>
    <w:p w14:paraId="67DAEE38">
      <w:pPr>
        <w:pStyle w:val="6"/>
        <w:rPr>
          <w:rFonts w:hint="eastAsia" w:asciiTheme="majorEastAsia" w:hAnsiTheme="majorEastAsia" w:eastAsiaTheme="majorEastAsia"/>
          <w:sz w:val="30"/>
          <w:szCs w:val="30"/>
          <w:lang w:eastAsia="zh-CN"/>
        </w:rPr>
      </w:pPr>
    </w:p>
    <w:p w14:paraId="0C2C9215">
      <w:pPr>
        <w:rPr>
          <w:rFonts w:hint="eastAsia" w:asciiTheme="majorEastAsia" w:hAnsiTheme="majorEastAsia" w:eastAsiaTheme="majorEastAsia"/>
          <w:sz w:val="30"/>
          <w:szCs w:val="30"/>
          <w:lang w:eastAsia="zh-CN"/>
        </w:rPr>
      </w:pPr>
    </w:p>
    <w:p w14:paraId="23AEC420">
      <w:pPr>
        <w:pStyle w:val="6"/>
        <w:rPr>
          <w:rFonts w:hint="eastAsia" w:asciiTheme="majorEastAsia" w:hAnsiTheme="majorEastAsia" w:eastAsiaTheme="majorEastAsia"/>
          <w:sz w:val="30"/>
          <w:szCs w:val="30"/>
          <w:lang w:eastAsia="zh-CN"/>
        </w:rPr>
      </w:pPr>
    </w:p>
    <w:p w14:paraId="1DA4F157">
      <w:pPr>
        <w:rPr>
          <w:rFonts w:hint="eastAsia" w:asciiTheme="majorEastAsia" w:hAnsiTheme="majorEastAsia" w:eastAsiaTheme="majorEastAsia"/>
          <w:sz w:val="30"/>
          <w:szCs w:val="30"/>
          <w:lang w:eastAsia="zh-CN"/>
        </w:rPr>
      </w:pPr>
    </w:p>
    <w:p w14:paraId="2612965B">
      <w:pPr>
        <w:pStyle w:val="6"/>
        <w:rPr>
          <w:rFonts w:hint="eastAsia" w:asciiTheme="majorEastAsia" w:hAnsiTheme="majorEastAsia" w:eastAsiaTheme="majorEastAsia"/>
          <w:sz w:val="30"/>
          <w:szCs w:val="30"/>
          <w:lang w:eastAsia="zh-CN"/>
        </w:rPr>
      </w:pPr>
    </w:p>
    <w:p w14:paraId="42B2449E">
      <w:pPr>
        <w:rPr>
          <w:rFonts w:hint="eastAsia" w:asciiTheme="majorEastAsia" w:hAnsiTheme="majorEastAsia" w:eastAsiaTheme="majorEastAsia"/>
          <w:sz w:val="30"/>
          <w:szCs w:val="30"/>
          <w:lang w:eastAsia="zh-CN"/>
        </w:rPr>
      </w:pPr>
    </w:p>
    <w:p w14:paraId="2AE8F28C">
      <w:pPr>
        <w:pStyle w:val="6"/>
        <w:rPr>
          <w:rFonts w:hint="eastAsia" w:asciiTheme="majorEastAsia" w:hAnsiTheme="majorEastAsia" w:eastAsiaTheme="majorEastAsia"/>
          <w:sz w:val="30"/>
          <w:szCs w:val="30"/>
          <w:lang w:eastAsia="zh-CN"/>
        </w:rPr>
      </w:pPr>
    </w:p>
    <w:p w14:paraId="1C6F6F6C">
      <w:pPr>
        <w:rPr>
          <w:rFonts w:hint="eastAsia" w:asciiTheme="majorEastAsia" w:hAnsiTheme="majorEastAsia" w:eastAsiaTheme="majorEastAsia"/>
          <w:sz w:val="30"/>
          <w:szCs w:val="30"/>
          <w:lang w:eastAsia="zh-CN"/>
        </w:rPr>
      </w:pPr>
    </w:p>
    <w:p w14:paraId="461EB672">
      <w:pPr>
        <w:pStyle w:val="6"/>
        <w:rPr>
          <w:rFonts w:hint="eastAsia" w:asciiTheme="majorEastAsia" w:hAnsiTheme="majorEastAsia" w:eastAsiaTheme="majorEastAsia"/>
          <w:sz w:val="30"/>
          <w:szCs w:val="30"/>
          <w:lang w:eastAsia="zh-CN"/>
        </w:rPr>
      </w:pPr>
    </w:p>
    <w:p w14:paraId="303E52EE">
      <w:pPr>
        <w:rPr>
          <w:rFonts w:hint="eastAsia" w:asciiTheme="majorEastAsia" w:hAnsiTheme="majorEastAsia" w:eastAsiaTheme="majorEastAsia"/>
          <w:sz w:val="30"/>
          <w:szCs w:val="30"/>
          <w:lang w:eastAsia="zh-CN"/>
        </w:rPr>
      </w:pPr>
    </w:p>
    <w:p w14:paraId="46B53A22">
      <w:pPr>
        <w:pStyle w:val="6"/>
        <w:rPr>
          <w:rFonts w:hint="eastAsia" w:asciiTheme="majorEastAsia" w:hAnsiTheme="majorEastAsia" w:eastAsiaTheme="majorEastAsia"/>
          <w:sz w:val="30"/>
          <w:szCs w:val="30"/>
          <w:lang w:eastAsia="zh-CN"/>
        </w:rPr>
      </w:pPr>
    </w:p>
    <w:p w14:paraId="6412A59E">
      <w:pPr>
        <w:pStyle w:val="6"/>
        <w:rPr>
          <w:rFonts w:hint="eastAsia"/>
          <w:lang w:eastAsia="zh-CN"/>
        </w:rPr>
      </w:pPr>
    </w:p>
    <w:p w14:paraId="706D9213">
      <w:pPr>
        <w:rPr>
          <w:rFonts w:hint="eastAsia"/>
          <w:lang w:eastAsia="zh-CN"/>
        </w:rPr>
      </w:pPr>
    </w:p>
    <w:p w14:paraId="565BAA7E">
      <w:pPr>
        <w:rPr>
          <w:rFonts w:hint="eastAsia"/>
          <w:lang w:eastAsia="zh-CN"/>
        </w:rPr>
      </w:pPr>
    </w:p>
    <w:p w14:paraId="0D900A92">
      <w:pPr>
        <w:rPr>
          <w:rFonts w:hint="eastAsia"/>
          <w:lang w:eastAsia="zh-CN"/>
        </w:rPr>
      </w:pPr>
    </w:p>
    <w:p w14:paraId="22E4BFDB">
      <w:pPr>
        <w:rPr>
          <w:rFonts w:hint="eastAsia"/>
          <w:lang w:eastAsia="zh-CN"/>
        </w:rPr>
      </w:pPr>
    </w:p>
    <w:p w14:paraId="7D5BD77E">
      <w:pPr>
        <w:snapToGrid w:val="0"/>
        <w:ind w:left="0" w:leftChars="0" w:firstLine="0" w:firstLineChars="0"/>
        <w:jc w:val="center"/>
        <w:outlineLvl w:val="9"/>
        <w:rPr>
          <w:rFonts w:hint="eastAsia" w:asciiTheme="majorEastAsia" w:hAnsiTheme="majorEastAsia" w:eastAsiaTheme="majorEastAsia"/>
          <w:sz w:val="30"/>
          <w:szCs w:val="30"/>
          <w:lang w:eastAsia="zh-CN"/>
        </w:rPr>
      </w:pPr>
    </w:p>
    <w:p w14:paraId="5F0A14F1">
      <w:pPr>
        <w:snapToGrid w:val="0"/>
        <w:ind w:left="0" w:leftChars="0" w:firstLine="0" w:firstLineChars="0"/>
        <w:jc w:val="center"/>
        <w:outlineLvl w:val="0"/>
        <w:rPr>
          <w:rFonts w:hint="default" w:hAnsi="宋体" w:cs="Times New Roman" w:eastAsiaTheme="majorEastAsia"/>
          <w:sz w:val="30"/>
          <w:szCs w:val="30"/>
          <w:lang w:val="en-US" w:eastAsia="zh-CN"/>
        </w:rPr>
      </w:pPr>
      <w:bookmarkStart w:id="118" w:name="_Toc24218"/>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二十八</w:t>
      </w:r>
      <w:r>
        <w:rPr>
          <w:rFonts w:hint="eastAsia" w:asciiTheme="majorEastAsia" w:hAnsiTheme="majorEastAsia" w:eastAsiaTheme="majorEastAsia"/>
          <w:sz w:val="30"/>
          <w:szCs w:val="30"/>
          <w:lang w:eastAsia="zh-CN"/>
        </w:rPr>
        <w:t>）</w:t>
      </w:r>
      <w:r>
        <w:rPr>
          <w:rFonts w:hint="eastAsia" w:hAnsi="宋体" w:cs="Times New Roman" w:eastAsiaTheme="majorEastAsia"/>
          <w:sz w:val="30"/>
          <w:szCs w:val="30"/>
          <w:lang w:val="en-US" w:eastAsia="zh-CN"/>
        </w:rPr>
        <w:t>征集文件要求的其他内容及投标人认为需要加以说明其他内容</w:t>
      </w:r>
      <w:bookmarkEnd w:id="118"/>
    </w:p>
    <w:bookmarkEnd w:id="103"/>
    <w:bookmarkEnd w:id="104"/>
    <w:bookmarkEnd w:id="105"/>
    <w:bookmarkEnd w:id="106"/>
    <w:bookmarkEnd w:id="108"/>
    <w:bookmarkEnd w:id="109"/>
    <w:bookmarkEnd w:id="113"/>
    <w:bookmarkEnd w:id="114"/>
    <w:p w14:paraId="07274D8C">
      <w:pPr>
        <w:rPr>
          <w:rFonts w:hint="eastAsia"/>
          <w:lang w:val="en-US" w:eastAsia="zh-CN"/>
        </w:rPr>
      </w:pPr>
      <w:bookmarkStart w:id="119" w:name="_Toc435516650"/>
      <w:bookmarkStart w:id="120" w:name="_Toc435174933"/>
      <w:bookmarkStart w:id="121" w:name="_Toc1658"/>
      <w:bookmarkStart w:id="122" w:name="_Toc438223136"/>
      <w:bookmarkStart w:id="123" w:name="_Toc11652"/>
    </w:p>
    <w:p w14:paraId="01839AA0">
      <w:pPr>
        <w:rPr>
          <w:rFonts w:hint="eastAsia"/>
          <w:lang w:val="en-US" w:eastAsia="zh-CN"/>
        </w:rPr>
      </w:pPr>
    </w:p>
    <w:p w14:paraId="6160C6A8">
      <w:pPr>
        <w:rPr>
          <w:rFonts w:hint="eastAsia"/>
          <w:lang w:val="en-US" w:eastAsia="zh-CN"/>
        </w:rPr>
      </w:pPr>
    </w:p>
    <w:p w14:paraId="05FF164F">
      <w:pPr>
        <w:rPr>
          <w:rFonts w:hint="eastAsia"/>
          <w:lang w:val="en-US" w:eastAsia="zh-CN"/>
        </w:rPr>
      </w:pPr>
    </w:p>
    <w:p w14:paraId="3924BB1C">
      <w:pPr>
        <w:rPr>
          <w:rFonts w:hint="eastAsia"/>
          <w:lang w:val="en-US" w:eastAsia="zh-CN"/>
        </w:rPr>
      </w:pPr>
    </w:p>
    <w:p w14:paraId="765374E4">
      <w:pPr>
        <w:rPr>
          <w:rFonts w:hint="eastAsia"/>
          <w:lang w:val="en-US" w:eastAsia="zh-CN"/>
        </w:rPr>
      </w:pPr>
    </w:p>
    <w:p w14:paraId="2E12F95B">
      <w:pPr>
        <w:rPr>
          <w:rFonts w:hint="eastAsia"/>
          <w:lang w:val="en-US" w:eastAsia="zh-CN"/>
        </w:rPr>
      </w:pPr>
    </w:p>
    <w:p w14:paraId="3986F0E4">
      <w:pPr>
        <w:rPr>
          <w:rFonts w:hint="eastAsia"/>
          <w:lang w:val="en-US" w:eastAsia="zh-CN"/>
        </w:rPr>
      </w:pPr>
    </w:p>
    <w:p w14:paraId="7B2A69DA">
      <w:pPr>
        <w:rPr>
          <w:rFonts w:hint="eastAsia"/>
          <w:lang w:val="en-US" w:eastAsia="zh-CN"/>
        </w:rPr>
      </w:pPr>
    </w:p>
    <w:p w14:paraId="60E6783B">
      <w:pPr>
        <w:rPr>
          <w:rFonts w:hint="eastAsia"/>
          <w:lang w:val="en-US" w:eastAsia="zh-CN"/>
        </w:rPr>
      </w:pPr>
    </w:p>
    <w:p w14:paraId="66C19318">
      <w:pPr>
        <w:rPr>
          <w:rFonts w:hint="eastAsia"/>
          <w:lang w:val="en-US" w:eastAsia="zh-CN"/>
        </w:rPr>
      </w:pPr>
    </w:p>
    <w:p w14:paraId="77167894">
      <w:pPr>
        <w:rPr>
          <w:rFonts w:hint="eastAsia"/>
          <w:lang w:val="en-US" w:eastAsia="zh-CN"/>
        </w:rPr>
      </w:pPr>
    </w:p>
    <w:p w14:paraId="7C31674A">
      <w:pPr>
        <w:rPr>
          <w:rFonts w:hint="eastAsia"/>
          <w:lang w:val="en-US" w:eastAsia="zh-CN"/>
        </w:rPr>
      </w:pPr>
    </w:p>
    <w:p w14:paraId="4430B061">
      <w:pPr>
        <w:rPr>
          <w:rFonts w:hint="eastAsia"/>
          <w:lang w:val="en-US" w:eastAsia="zh-CN"/>
        </w:rPr>
      </w:pPr>
    </w:p>
    <w:p w14:paraId="74078B60">
      <w:pPr>
        <w:rPr>
          <w:rFonts w:hint="eastAsia"/>
          <w:lang w:val="en-US" w:eastAsia="zh-CN"/>
        </w:rPr>
      </w:pPr>
    </w:p>
    <w:p w14:paraId="46A15B1E">
      <w:pPr>
        <w:rPr>
          <w:rFonts w:hint="eastAsia"/>
          <w:lang w:val="en-US" w:eastAsia="zh-CN"/>
        </w:rPr>
      </w:pPr>
    </w:p>
    <w:p w14:paraId="50475D5C">
      <w:pPr>
        <w:rPr>
          <w:rFonts w:hint="eastAsia"/>
          <w:lang w:val="en-US" w:eastAsia="zh-CN"/>
        </w:rPr>
      </w:pPr>
    </w:p>
    <w:p w14:paraId="24550BB2">
      <w:pPr>
        <w:rPr>
          <w:rFonts w:hint="eastAsia"/>
          <w:lang w:val="en-US" w:eastAsia="zh-CN"/>
        </w:rPr>
      </w:pPr>
    </w:p>
    <w:p w14:paraId="7CADD6A8">
      <w:pPr>
        <w:rPr>
          <w:rFonts w:hint="eastAsia"/>
          <w:lang w:val="en-US" w:eastAsia="zh-CN"/>
        </w:rPr>
      </w:pPr>
    </w:p>
    <w:p w14:paraId="3AE379AE">
      <w:pPr>
        <w:rPr>
          <w:rFonts w:hint="eastAsia"/>
          <w:lang w:val="en-US" w:eastAsia="zh-CN"/>
        </w:rPr>
      </w:pPr>
    </w:p>
    <w:p w14:paraId="0DFBB981">
      <w:pPr>
        <w:rPr>
          <w:rFonts w:hint="eastAsia"/>
          <w:lang w:val="en-US" w:eastAsia="zh-CN"/>
        </w:rPr>
      </w:pPr>
    </w:p>
    <w:p w14:paraId="2874A78B">
      <w:pPr>
        <w:rPr>
          <w:rFonts w:hint="eastAsia"/>
          <w:lang w:val="en-US" w:eastAsia="zh-CN"/>
        </w:rPr>
      </w:pPr>
    </w:p>
    <w:p w14:paraId="02B6A54E">
      <w:pPr>
        <w:rPr>
          <w:rFonts w:hint="eastAsia"/>
          <w:lang w:val="en-US" w:eastAsia="zh-CN"/>
        </w:rPr>
      </w:pPr>
    </w:p>
    <w:p w14:paraId="417C402B">
      <w:pPr>
        <w:rPr>
          <w:rFonts w:hint="eastAsia"/>
          <w:lang w:val="en-US" w:eastAsia="zh-CN"/>
        </w:rPr>
      </w:pPr>
    </w:p>
    <w:p w14:paraId="22766AED">
      <w:pPr>
        <w:rPr>
          <w:rFonts w:hint="eastAsia"/>
          <w:lang w:val="en-US" w:eastAsia="zh-CN"/>
        </w:rPr>
      </w:pPr>
    </w:p>
    <w:p w14:paraId="34925213">
      <w:pPr>
        <w:rPr>
          <w:rFonts w:hint="eastAsia"/>
          <w:lang w:val="en-US" w:eastAsia="zh-CN"/>
        </w:rPr>
      </w:pPr>
    </w:p>
    <w:p w14:paraId="2373C163">
      <w:pPr>
        <w:rPr>
          <w:rFonts w:hint="eastAsia"/>
          <w:lang w:val="en-US" w:eastAsia="zh-CN"/>
        </w:rPr>
      </w:pPr>
    </w:p>
    <w:p w14:paraId="7430E413">
      <w:pPr>
        <w:rPr>
          <w:rFonts w:hint="eastAsia"/>
          <w:lang w:val="en-US" w:eastAsia="zh-CN"/>
        </w:rPr>
      </w:pPr>
    </w:p>
    <w:p w14:paraId="1AF218DC">
      <w:pPr>
        <w:rPr>
          <w:rFonts w:hint="eastAsia"/>
          <w:lang w:val="en-US" w:eastAsia="zh-CN"/>
        </w:rPr>
      </w:pPr>
    </w:p>
    <w:p w14:paraId="25B0008D">
      <w:pPr>
        <w:rPr>
          <w:rFonts w:hint="eastAsia"/>
          <w:lang w:val="en-US" w:eastAsia="zh-CN"/>
        </w:rPr>
      </w:pPr>
    </w:p>
    <w:p w14:paraId="6236D4D8">
      <w:pPr>
        <w:rPr>
          <w:rFonts w:hint="eastAsia"/>
          <w:lang w:val="en-US" w:eastAsia="zh-CN"/>
        </w:rPr>
      </w:pPr>
    </w:p>
    <w:p w14:paraId="457F6D09">
      <w:pPr>
        <w:rPr>
          <w:rFonts w:hint="eastAsia"/>
          <w:lang w:val="en-US" w:eastAsia="zh-CN"/>
        </w:rPr>
      </w:pPr>
    </w:p>
    <w:p w14:paraId="3A13A657">
      <w:pPr>
        <w:rPr>
          <w:rFonts w:hint="eastAsia"/>
          <w:lang w:val="en-US" w:eastAsia="zh-CN"/>
        </w:rPr>
      </w:pPr>
    </w:p>
    <w:p w14:paraId="440FB7F8">
      <w:pPr>
        <w:rPr>
          <w:rFonts w:hint="eastAsia"/>
          <w:lang w:val="en-US" w:eastAsia="zh-CN"/>
        </w:rPr>
      </w:pPr>
    </w:p>
    <w:p w14:paraId="563C929D">
      <w:pPr>
        <w:rPr>
          <w:rFonts w:hint="eastAsia"/>
          <w:lang w:val="en-US" w:eastAsia="zh-CN"/>
        </w:rPr>
      </w:pPr>
    </w:p>
    <w:p w14:paraId="1A933B1C">
      <w:pPr>
        <w:rPr>
          <w:rFonts w:hint="eastAsia"/>
          <w:lang w:val="en-US" w:eastAsia="zh-CN"/>
        </w:rPr>
      </w:pPr>
    </w:p>
    <w:p w14:paraId="29A89262">
      <w:pPr>
        <w:rPr>
          <w:rFonts w:hint="eastAsia"/>
          <w:lang w:val="en-US" w:eastAsia="zh-CN"/>
        </w:rPr>
      </w:pPr>
    </w:p>
    <w:p w14:paraId="17BD064E">
      <w:pPr>
        <w:rPr>
          <w:rFonts w:hint="eastAsia"/>
          <w:lang w:val="en-US" w:eastAsia="zh-CN"/>
        </w:rPr>
      </w:pPr>
    </w:p>
    <w:p w14:paraId="79979A95">
      <w:pPr>
        <w:rPr>
          <w:rFonts w:hint="eastAsia"/>
          <w:lang w:val="en-US" w:eastAsia="zh-CN"/>
        </w:rPr>
      </w:pPr>
    </w:p>
    <w:p w14:paraId="6BCEC9D5">
      <w:pPr>
        <w:rPr>
          <w:rFonts w:hint="eastAsia"/>
          <w:lang w:val="en-US" w:eastAsia="zh-CN"/>
        </w:rPr>
      </w:pPr>
    </w:p>
    <w:p w14:paraId="0D842D59">
      <w:pPr>
        <w:rPr>
          <w:rFonts w:hint="eastAsia"/>
          <w:lang w:val="en-US" w:eastAsia="zh-CN"/>
        </w:rPr>
      </w:pPr>
    </w:p>
    <w:p w14:paraId="660F3520">
      <w:pPr>
        <w:rPr>
          <w:rFonts w:hint="eastAsia"/>
          <w:lang w:val="en-US" w:eastAsia="zh-CN"/>
        </w:rPr>
      </w:pPr>
    </w:p>
    <w:p w14:paraId="4844EB47">
      <w:pPr>
        <w:pStyle w:val="3"/>
        <w:numPr>
          <w:ilvl w:val="0"/>
          <w:numId w:val="16"/>
        </w:numPr>
        <w:spacing w:line="240" w:lineRule="auto"/>
        <w:ind w:left="420" w:leftChars="0" w:hanging="420" w:firstLineChars="0"/>
        <w:jc w:val="center"/>
        <w:outlineLvl w:val="0"/>
        <w:rPr>
          <w:rFonts w:asciiTheme="majorEastAsia" w:hAnsiTheme="majorEastAsia" w:eastAsiaTheme="majorEastAsia"/>
          <w:sz w:val="32"/>
          <w:szCs w:val="32"/>
          <w:lang w:eastAsia="zh-TW"/>
        </w:rPr>
      </w:pPr>
      <w:bookmarkStart w:id="124" w:name="_Toc5245"/>
      <w:r>
        <w:rPr>
          <w:rFonts w:asciiTheme="majorEastAsia" w:hAnsiTheme="majorEastAsia" w:eastAsiaTheme="majorEastAsia"/>
          <w:sz w:val="32"/>
          <w:szCs w:val="32"/>
          <w:lang w:eastAsia="zh-TW"/>
        </w:rPr>
        <w:t>说 明</w:t>
      </w:r>
      <w:bookmarkEnd w:id="119"/>
      <w:bookmarkEnd w:id="120"/>
      <w:bookmarkEnd w:id="121"/>
      <w:bookmarkEnd w:id="122"/>
      <w:bookmarkEnd w:id="123"/>
      <w:bookmarkEnd w:id="124"/>
      <w:bookmarkStart w:id="125"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bookmarkEnd w:id="125"/>
    <w:p w14:paraId="6C6C625E">
      <w:pPr>
        <w:numPr>
          <w:ilvl w:val="0"/>
          <w:numId w:val="17"/>
        </w:numPr>
        <w:autoSpaceDE w:val="0"/>
        <w:autoSpaceDN w:val="0"/>
        <w:adjustRightInd w:val="0"/>
        <w:snapToGrid w:val="0"/>
        <w:spacing w:line="360" w:lineRule="auto"/>
        <w:outlineLvl w:val="1"/>
        <w:rPr>
          <w:rFonts w:ascii="宋体" w:hAnsi="宋体"/>
          <w:b/>
          <w:bCs/>
          <w:szCs w:val="21"/>
        </w:rPr>
      </w:pPr>
      <w:bookmarkStart w:id="126" w:name="_Toc23054"/>
      <w:r>
        <w:rPr>
          <w:rFonts w:hint="eastAsia" w:ascii="宋体" w:hAnsi="宋体"/>
          <w:b/>
          <w:bCs/>
          <w:szCs w:val="21"/>
        </w:rPr>
        <w:t>适用范围</w:t>
      </w:r>
      <w:bookmarkEnd w:id="126"/>
    </w:p>
    <w:p w14:paraId="5425D08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7B029138">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27" w:name="_Toc28379"/>
      <w:r>
        <w:rPr>
          <w:rFonts w:hint="eastAsia" w:ascii="宋体" w:hAnsi="宋体"/>
          <w:b/>
          <w:szCs w:val="21"/>
        </w:rPr>
        <w:t>定义</w:t>
      </w:r>
      <w:bookmarkEnd w:id="127"/>
    </w:p>
    <w:p w14:paraId="293D86D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3ECABCB9">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10EFBBB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03F60D92">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77DE7CA6">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767FC079">
      <w:pPr>
        <w:numPr>
          <w:ilvl w:val="0"/>
          <w:numId w:val="0"/>
        </w:numPr>
        <w:autoSpaceDE w:val="0"/>
        <w:autoSpaceDN w:val="0"/>
        <w:adjustRightInd w:val="0"/>
        <w:snapToGrid w:val="0"/>
        <w:spacing w:line="360" w:lineRule="auto"/>
        <w:ind w:leftChars="0"/>
        <w:rPr>
          <w:rFonts w:hint="default" w:ascii="宋体" w:hAnsi="宋体" w:eastAsiaTheme="minorEastAsia"/>
          <w:szCs w:val="21"/>
          <w:lang w:val="en-US" w:eastAsia="zh-CN"/>
        </w:rPr>
      </w:pPr>
      <w:r>
        <w:rPr>
          <w:rFonts w:hint="eastAsia" w:ascii="宋体" w:hAnsi="宋体"/>
          <w:szCs w:val="21"/>
          <w:lang w:val="en-US" w:eastAsia="zh-CN"/>
        </w:rPr>
        <w:t>2.11.征集</w:t>
      </w:r>
      <w:r>
        <w:rPr>
          <w:rFonts w:hint="eastAsia" w:ascii="宋体" w:hAnsi="宋体"/>
          <w:szCs w:val="21"/>
        </w:rPr>
        <w:t>文件中的标题或题名仅起引导作用，而不应视为对</w:t>
      </w:r>
      <w:r>
        <w:rPr>
          <w:rFonts w:hint="eastAsia" w:ascii="宋体" w:hAnsi="宋体"/>
          <w:szCs w:val="21"/>
          <w:lang w:val="en-US" w:eastAsia="zh-CN"/>
        </w:rPr>
        <w:t>征集</w:t>
      </w:r>
      <w:r>
        <w:rPr>
          <w:rFonts w:hint="eastAsia" w:ascii="宋体" w:hAnsi="宋体"/>
          <w:szCs w:val="21"/>
        </w:rPr>
        <w:t>文件内容的理解和解释。</w:t>
      </w:r>
    </w:p>
    <w:p w14:paraId="08E946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28" w:name="_Toc4681"/>
      <w:r>
        <w:rPr>
          <w:rFonts w:hint="eastAsia" w:ascii="宋体" w:hAnsi="宋体"/>
          <w:b/>
          <w:bCs/>
          <w:szCs w:val="21"/>
        </w:rPr>
        <w:t>合格的货物和服务</w:t>
      </w:r>
      <w:bookmarkEnd w:id="128"/>
    </w:p>
    <w:p w14:paraId="6CA79C08">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26B52F2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03AB9CC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7CB46EE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2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29"/>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45BD45A2">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0" w:name="_Toc27847"/>
      <w:r>
        <w:rPr>
          <w:rFonts w:hint="eastAsia" w:ascii="宋体" w:hAnsi="宋体"/>
          <w:b/>
          <w:bCs/>
          <w:szCs w:val="21"/>
        </w:rPr>
        <w:t>其他</w:t>
      </w:r>
      <w:bookmarkEnd w:id="130"/>
    </w:p>
    <w:p w14:paraId="20835FF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18D56482">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0953B09">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bookmarkStart w:id="131" w:name="_Hlk21592778"/>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132" w:name="_Hlk21591509"/>
      <w:r>
        <w:rPr>
          <w:rFonts w:hint="eastAsia" w:asciiTheme="minorEastAsia" w:hAnsiTheme="minorEastAsia" w:eastAsiaTheme="minorEastAsia"/>
          <w:color w:val="auto"/>
          <w:szCs w:val="21"/>
          <w:highlight w:val="none"/>
        </w:rPr>
        <w:t>供应商限制参与政府采购</w:t>
      </w:r>
      <w:bookmarkEnd w:id="132"/>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131"/>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深圳市政府采购监管网（zfcg.sz.gov.cn）查询相关主体信用记录，对不符合《中华人民共和国政府采购法》第二十二条规定条件的供应商限制参与政府采购。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征集文件注意事项</w:t>
      </w:r>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文件的修改性文件，如补充、澄清文件或</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文件修订说明同样具有法律效力。</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162D3CE0">
      <w:pPr>
        <w:numPr>
          <w:ilvl w:val="0"/>
          <w:numId w:val="0"/>
        </w:numPr>
        <w:adjustRightInd w:val="0"/>
        <w:snapToGrid w:val="0"/>
        <w:spacing w:line="360" w:lineRule="auto"/>
        <w:ind w:leftChars="0"/>
        <w:rPr>
          <w:rFonts w:hint="eastAsia"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5.10.征集文件由深圳市福田区第二人民医院负责解释。</w:t>
      </w:r>
    </w:p>
    <w:p w14:paraId="59DC293A">
      <w:pPr>
        <w:numPr>
          <w:ilvl w:val="0"/>
          <w:numId w:val="0"/>
        </w:numPr>
        <w:adjustRightInd w:val="0"/>
        <w:snapToGrid w:val="0"/>
        <w:spacing w:line="360" w:lineRule="auto"/>
        <w:ind w:leftChars="0"/>
        <w:rPr>
          <w:rFonts w:hint="eastAsia" w:ascii="宋体" w:hAnsi="宋体"/>
          <w:szCs w:val="21"/>
        </w:rPr>
      </w:pPr>
      <w:r>
        <w:rPr>
          <w:rFonts w:hint="eastAsia" w:cs="宋体" w:asciiTheme="minorEastAsia" w:hAnsiTheme="minorEastAsia"/>
          <w:bCs/>
          <w:color w:val="auto"/>
          <w:szCs w:val="21"/>
          <w:highlight w:val="none"/>
          <w:lang w:val="en-US" w:eastAsia="zh-CN"/>
        </w:rPr>
        <w:t>5.11.</w:t>
      </w:r>
      <w:r>
        <w:rPr>
          <w:rFonts w:hint="eastAsia" w:ascii="宋体" w:hAnsi="宋体"/>
          <w:szCs w:val="21"/>
        </w:rPr>
        <w:t>本次招投标的最终解释权归</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所有。本文件未作须知明示，而又有相关法律、法规规定的，</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将对此解释为依据有关法律、法规的规定。</w:t>
      </w:r>
    </w:p>
    <w:p w14:paraId="65742B83">
      <w:pPr>
        <w:numPr>
          <w:ilvl w:val="0"/>
          <w:numId w:val="0"/>
        </w:numPr>
        <w:adjustRightInd w:val="0"/>
        <w:snapToGrid w:val="0"/>
        <w:spacing w:line="360" w:lineRule="auto"/>
        <w:ind w:leftChars="0"/>
        <w:rPr>
          <w:rFonts w:hint="default" w:cs="宋体" w:asciiTheme="minorEastAsia" w:hAnsiTheme="minorEastAsia"/>
          <w:bCs/>
          <w:color w:val="auto"/>
          <w:szCs w:val="21"/>
          <w:highlight w:val="none"/>
          <w:lang w:val="en-US" w:eastAsia="zh-CN"/>
        </w:rPr>
      </w:pPr>
    </w:p>
    <w:p w14:paraId="71E88C04">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33" w:name="_Toc438223138"/>
      <w:bookmarkStart w:id="134" w:name="_Toc26815"/>
      <w:bookmarkStart w:id="135" w:name="_Toc22222"/>
      <w:bookmarkStart w:id="136" w:name="_Toc435174935"/>
      <w:bookmarkStart w:id="137" w:name="_Toc15510"/>
      <w:bookmarkStart w:id="138" w:name="_Toc435516652"/>
      <w:r>
        <w:rPr>
          <w:rFonts w:hint="eastAsia" w:asciiTheme="majorEastAsia" w:hAnsiTheme="majorEastAsia" w:eastAsiaTheme="majorEastAsia"/>
          <w:sz w:val="30"/>
          <w:szCs w:val="30"/>
          <w:lang w:eastAsia="zh-TW"/>
        </w:rPr>
        <w:t>投标文件的编制</w:t>
      </w:r>
      <w:bookmarkEnd w:id="133"/>
      <w:bookmarkEnd w:id="134"/>
      <w:bookmarkEnd w:id="135"/>
      <w:bookmarkEnd w:id="136"/>
      <w:bookmarkEnd w:id="137"/>
      <w:bookmarkEnd w:id="138"/>
    </w:p>
    <w:p w14:paraId="5EBD4F7D">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9" w:name="_Toc27317"/>
      <w:r>
        <w:rPr>
          <w:rFonts w:hint="eastAsia" w:ascii="宋体" w:hAnsi="宋体"/>
          <w:b/>
          <w:bCs/>
          <w:szCs w:val="21"/>
        </w:rPr>
        <w:t>投标的语言</w:t>
      </w:r>
      <w:bookmarkEnd w:id="139"/>
      <w:r>
        <w:rPr>
          <w:rFonts w:hint="eastAsia" w:ascii="宋体" w:hAnsi="宋体"/>
          <w:b/>
          <w:bCs/>
          <w:szCs w:val="21"/>
          <w:lang w:val="en-US" w:eastAsia="zh-CN"/>
        </w:rPr>
        <w:t>及度量单位</w:t>
      </w:r>
    </w:p>
    <w:p w14:paraId="60E51897">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EB2D7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0" w:name="_Toc2446"/>
      <w:r>
        <w:rPr>
          <w:rFonts w:hint="eastAsia" w:ascii="宋体" w:hAnsi="宋体"/>
          <w:b/>
          <w:bCs/>
          <w:szCs w:val="21"/>
        </w:rPr>
        <w:t>投标文件的构成</w:t>
      </w:r>
      <w:bookmarkEnd w:id="140"/>
    </w:p>
    <w:p w14:paraId="57D603E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19B7BC5">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0F86CEF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1" w:name="_Toc11091"/>
      <w:r>
        <w:rPr>
          <w:rFonts w:hint="eastAsia" w:ascii="宋体" w:hAnsi="宋体"/>
          <w:b/>
          <w:bCs/>
          <w:szCs w:val="21"/>
        </w:rPr>
        <w:t>投标文件的编写</w:t>
      </w:r>
      <w:bookmarkEnd w:id="141"/>
    </w:p>
    <w:p w14:paraId="3AA1BCA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2476390D">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EC5433C">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74B42DA">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7A80A8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2" w:name="_Toc7497"/>
      <w:r>
        <w:rPr>
          <w:rFonts w:hint="eastAsia" w:ascii="宋体" w:hAnsi="宋体"/>
          <w:b/>
          <w:bCs/>
          <w:szCs w:val="21"/>
        </w:rPr>
        <w:t>投标报价</w:t>
      </w:r>
      <w:bookmarkEnd w:id="142"/>
    </w:p>
    <w:p w14:paraId="34667E9C">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4C0B591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7BEEE35F">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46B2DB31">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3708B8C6">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36D75F9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32B5E02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2B358E2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3" w:name="_Toc2827"/>
      <w:r>
        <w:rPr>
          <w:rFonts w:hint="eastAsia" w:ascii="宋体" w:hAnsi="宋体"/>
          <w:b/>
          <w:bCs/>
          <w:szCs w:val="21"/>
        </w:rPr>
        <w:t>投标货币</w:t>
      </w:r>
      <w:bookmarkEnd w:id="143"/>
    </w:p>
    <w:p w14:paraId="75F25268">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4EED5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4" w:name="_Toc23174"/>
      <w:r>
        <w:rPr>
          <w:rFonts w:hint="eastAsia" w:ascii="宋体" w:hAnsi="宋体"/>
          <w:b/>
          <w:bCs/>
          <w:szCs w:val="21"/>
        </w:rPr>
        <w:t>联合体投标</w:t>
      </w:r>
      <w:bookmarkEnd w:id="144"/>
    </w:p>
    <w:p w14:paraId="1C1E2EC5">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5EFCE26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7D7ADB5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168C4E3F">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7120FC">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1D5AF8E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5" w:name="_Toc14020"/>
      <w:r>
        <w:rPr>
          <w:rFonts w:hint="eastAsia" w:ascii="宋体" w:hAnsi="宋体"/>
          <w:b/>
          <w:bCs/>
          <w:szCs w:val="21"/>
        </w:rPr>
        <w:t>证明投标人合格和资格的文件</w:t>
      </w:r>
      <w:bookmarkEnd w:id="145"/>
    </w:p>
    <w:p w14:paraId="5439B54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2E771B7C">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62D8239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6" w:name="_Toc17198"/>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46"/>
    </w:p>
    <w:p w14:paraId="6B9702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2283C2D1">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4664144">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D4BF8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20270"/>
      <w:r>
        <w:rPr>
          <w:rFonts w:hint="eastAsia" w:ascii="宋体" w:hAnsi="宋体"/>
          <w:b/>
          <w:bCs/>
          <w:szCs w:val="21"/>
        </w:rPr>
        <w:t>投标文件的式样和签署、密封</w:t>
      </w:r>
      <w:bookmarkEnd w:id="147"/>
    </w:p>
    <w:p w14:paraId="669ADE1D">
      <w:pPr>
        <w:numPr>
          <w:ilvl w:val="1"/>
          <w:numId w:val="17"/>
        </w:numPr>
        <w:autoSpaceDE w:val="0"/>
        <w:autoSpaceDN w:val="0"/>
        <w:adjustRightInd w:val="0"/>
        <w:snapToGrid w:val="0"/>
        <w:spacing w:line="360" w:lineRule="auto"/>
        <w:rPr>
          <w:rFonts w:ascii="宋体" w:hAnsi="宋体" w:cs="黑体"/>
          <w:b/>
          <w:bCs/>
          <w:szCs w:val="21"/>
        </w:rPr>
      </w:pPr>
      <w:bookmarkStart w:id="148" w:name="_Toc435174936"/>
      <w:bookmarkStart w:id="149" w:name="_Toc438223139"/>
      <w:bookmarkStart w:id="150" w:name="_Toc435516653"/>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33C4C948">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2956E498">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17D5B1D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087BEF45">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3179F55C">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10B9B55B">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2761954F">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151" w:name="_Toc5252"/>
      <w:bookmarkStart w:id="152" w:name="_Toc28883"/>
      <w:r>
        <w:rPr>
          <w:rFonts w:hint="eastAsia" w:asciiTheme="majorEastAsia" w:hAnsiTheme="majorEastAsia" w:eastAsiaTheme="majorEastAsia"/>
          <w:sz w:val="30"/>
          <w:szCs w:val="30"/>
          <w:lang w:eastAsia="zh-TW"/>
        </w:rPr>
        <w:t>投标文件的递交</w:t>
      </w:r>
      <w:bookmarkEnd w:id="148"/>
      <w:bookmarkEnd w:id="149"/>
      <w:bookmarkEnd w:id="150"/>
      <w:bookmarkEnd w:id="151"/>
      <w:bookmarkEnd w:id="152"/>
    </w:p>
    <w:p w14:paraId="340197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13202"/>
      <w:r>
        <w:rPr>
          <w:rFonts w:hint="eastAsia" w:ascii="宋体" w:hAnsi="宋体"/>
          <w:b/>
          <w:bCs/>
          <w:szCs w:val="21"/>
        </w:rPr>
        <w:t>投标文件递交</w:t>
      </w:r>
      <w:bookmarkEnd w:id="153"/>
    </w:p>
    <w:p w14:paraId="6CF7C75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C3AF87B">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5FB9A84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017"/>
      <w:r>
        <w:rPr>
          <w:rFonts w:hint="eastAsia" w:ascii="宋体" w:hAnsi="宋体"/>
          <w:b/>
          <w:bCs/>
          <w:szCs w:val="21"/>
        </w:rPr>
        <w:t>投标文件的修改和撤回、撤销</w:t>
      </w:r>
      <w:bookmarkEnd w:id="154"/>
    </w:p>
    <w:p w14:paraId="6E8E5B6D">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00F01FD5">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6D72A899">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55" w:name="_Toc18853"/>
      <w:r>
        <w:rPr>
          <w:rFonts w:hint="eastAsia" w:ascii="宋体" w:hAnsi="宋体"/>
          <w:b/>
          <w:bCs/>
          <w:szCs w:val="21"/>
        </w:rPr>
        <w:t>质疑</w:t>
      </w:r>
      <w:bookmarkEnd w:id="155"/>
    </w:p>
    <w:p w14:paraId="40FAED7F">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95E23B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285D781C">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09A5D385">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4AC2CB6D">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119713E8">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3876402">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720447C5">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44F2E68E">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3B078DA">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743620BC">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263985DD">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25732EA9">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违约责任</w:t>
      </w:r>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74E0700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19729"/>
      <w:r>
        <w:rPr>
          <w:rFonts w:hint="eastAsia" w:ascii="宋体" w:hAnsi="宋体"/>
          <w:b/>
          <w:bCs/>
          <w:szCs w:val="21"/>
        </w:rPr>
        <w:t>中标通知书</w:t>
      </w:r>
      <w:bookmarkEnd w:id="156"/>
    </w:p>
    <w:p w14:paraId="0275F8BA">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A6AFA1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FF9917A">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7" w:name="_Toc438223141"/>
      <w:bookmarkStart w:id="158" w:name="_Toc20050"/>
      <w:bookmarkStart w:id="159" w:name="_Toc435174938"/>
      <w:bookmarkStart w:id="160" w:name="_Toc21548"/>
      <w:bookmarkStart w:id="161" w:name="_Toc435516655"/>
      <w:bookmarkStart w:id="162" w:name="_Toc6704"/>
      <w:r>
        <w:rPr>
          <w:rFonts w:hint="eastAsia" w:asciiTheme="majorEastAsia" w:hAnsiTheme="majorEastAsia" w:eastAsiaTheme="majorEastAsia"/>
          <w:sz w:val="30"/>
          <w:szCs w:val="30"/>
          <w:lang w:eastAsia="zh-TW"/>
        </w:rPr>
        <w:t>授予合同</w:t>
      </w:r>
      <w:bookmarkEnd w:id="157"/>
      <w:bookmarkEnd w:id="158"/>
      <w:bookmarkEnd w:id="159"/>
      <w:bookmarkEnd w:id="160"/>
      <w:bookmarkEnd w:id="161"/>
      <w:bookmarkEnd w:id="162"/>
    </w:p>
    <w:p w14:paraId="58EF321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3" w:name="_Toc5467"/>
      <w:bookmarkStart w:id="164" w:name="_Toc23713"/>
      <w:r>
        <w:rPr>
          <w:rFonts w:hint="eastAsia" w:ascii="宋体" w:hAnsi="宋体"/>
          <w:b/>
          <w:bCs/>
          <w:szCs w:val="21"/>
        </w:rPr>
        <w:t>合同的订立</w:t>
      </w:r>
      <w:bookmarkEnd w:id="163"/>
      <w:bookmarkEnd w:id="164"/>
    </w:p>
    <w:p w14:paraId="4D85A81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6A8641E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5A4F68F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608A44D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38113B0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5053"/>
      <w:bookmarkStart w:id="166" w:name="_Toc560"/>
      <w:r>
        <w:rPr>
          <w:rFonts w:hint="eastAsia" w:ascii="宋体" w:hAnsi="宋体"/>
          <w:b/>
          <w:bCs/>
          <w:szCs w:val="21"/>
        </w:rPr>
        <w:t>合同的履行</w:t>
      </w:r>
      <w:bookmarkEnd w:id="165"/>
      <w:bookmarkEnd w:id="166"/>
    </w:p>
    <w:p w14:paraId="5265F92B">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0B352265">
      <w:pPr>
        <w:numPr>
          <w:ilvl w:val="1"/>
          <w:numId w:val="17"/>
        </w:numPr>
        <w:autoSpaceDE w:val="0"/>
        <w:autoSpaceDN w:val="0"/>
        <w:adjustRightInd w:val="0"/>
        <w:snapToGrid w:val="0"/>
        <w:spacing w:line="360" w:lineRule="auto"/>
        <w:rPr>
          <w:rFonts w:hint="eastAsia" w:ascii="黑体" w:hAnsi="宋体" w:eastAsia="黑体" w:cs="黑体"/>
          <w:b/>
          <w:bCs/>
          <w:kern w:val="44"/>
          <w:sz w:val="44"/>
          <w:szCs w:val="44"/>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Start w:id="167" w:name="_Toc6953"/>
    </w:p>
    <w:p w14:paraId="5B5517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62B018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3DF0F3B">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6BB092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803C8D8">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5C6F6BA8">
      <w:pPr>
        <w:pStyle w:val="2"/>
        <w:widowControl/>
        <w:numPr>
          <w:ilvl w:val="0"/>
          <w:numId w:val="0"/>
        </w:numPr>
        <w:spacing w:before="0" w:beforeAutospacing="0" w:after="0" w:afterAutospacing="0"/>
        <w:ind w:left="0" w:leftChars="0" w:firstLine="0" w:firstLineChars="0"/>
        <w:jc w:val="both"/>
        <w:outlineLvl w:val="9"/>
        <w:rPr>
          <w:rFonts w:hint="eastAsia" w:ascii="黑体" w:hAnsi="宋体" w:eastAsia="黑体" w:cs="黑体"/>
          <w:b/>
          <w:bCs/>
          <w:kern w:val="44"/>
          <w:sz w:val="44"/>
          <w:szCs w:val="44"/>
        </w:rPr>
      </w:pPr>
    </w:p>
    <w:p w14:paraId="14AE1EFA">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46234DE">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C2332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567B637">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77F369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DFD1B82">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FD4DA5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6827F9DC">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3F5D706">
      <w:pPr>
        <w:rPr>
          <w:rFonts w:hint="eastAsia" w:ascii="黑体" w:hAnsi="宋体" w:eastAsia="黑体" w:cs="黑体"/>
          <w:b/>
          <w:bCs/>
          <w:kern w:val="44"/>
          <w:sz w:val="44"/>
          <w:szCs w:val="44"/>
        </w:rPr>
      </w:pPr>
    </w:p>
    <w:p w14:paraId="3C195DDC">
      <w:pPr>
        <w:rPr>
          <w:rFonts w:hint="eastAsia" w:ascii="黑体" w:hAnsi="宋体" w:eastAsia="黑体" w:cs="黑体"/>
          <w:b/>
          <w:bCs/>
          <w:kern w:val="44"/>
          <w:sz w:val="44"/>
          <w:szCs w:val="44"/>
        </w:rPr>
      </w:pPr>
    </w:p>
    <w:p w14:paraId="669EE19B">
      <w:pPr>
        <w:rPr>
          <w:rFonts w:hint="eastAsia" w:ascii="黑体" w:hAnsi="宋体" w:eastAsia="黑体" w:cs="黑体"/>
          <w:b/>
          <w:bCs/>
          <w:kern w:val="44"/>
          <w:sz w:val="44"/>
          <w:szCs w:val="44"/>
        </w:rPr>
      </w:pPr>
    </w:p>
    <w:p w14:paraId="5BF0ADA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Times New Roman"/>
          <w:kern w:val="2"/>
          <w:sz w:val="21"/>
          <w:szCs w:val="21"/>
        </w:rPr>
      </w:pPr>
      <w:r>
        <w:rPr>
          <w:rFonts w:hint="eastAsia" w:ascii="黑体" w:hAnsi="宋体" w:eastAsia="黑体" w:cs="黑体"/>
          <w:b/>
          <w:bCs/>
          <w:kern w:val="44"/>
          <w:sz w:val="44"/>
          <w:szCs w:val="44"/>
        </w:rPr>
        <w:t>合同格式</w:t>
      </w:r>
      <w:bookmarkEnd w:id="167"/>
    </w:p>
    <w:p w14:paraId="144919E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b/>
          <w:bCs/>
          <w:color w:val="FF0000"/>
          <w:kern w:val="2"/>
          <w:sz w:val="21"/>
          <w:szCs w:val="21"/>
          <w:highlight w:val="none"/>
          <w:lang w:val="en-US" w:eastAsia="zh-CN" w:bidi="ar"/>
        </w:rPr>
        <w:t>（此部分仅供参考，具体以实际签订为准）</w:t>
      </w:r>
    </w:p>
    <w:p w14:paraId="09180E1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BDB2344">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合同编号：</w:t>
      </w:r>
      <w:r>
        <w:rPr>
          <w:rFonts w:hint="eastAsia" w:ascii="仿宋" w:hAnsi="仿宋" w:eastAsia="仿宋" w:cs="Times New Roman"/>
          <w:b/>
          <w:bCs w:val="0"/>
          <w:kern w:val="2"/>
          <w:sz w:val="32"/>
          <w:szCs w:val="32"/>
          <w:lang w:val="en-US" w:eastAsia="zh-CN" w:bidi="ar"/>
        </w:rPr>
        <w:t xml:space="preserve"> </w:t>
      </w:r>
    </w:p>
    <w:p w14:paraId="7B5A5D2C">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1954386D">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6023CF0F">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21"/>
          <w:szCs w:val="21"/>
        </w:rPr>
      </w:pPr>
      <w:r>
        <w:rPr>
          <w:rFonts w:hint="eastAsia" w:ascii="仿宋" w:hAnsi="仿宋" w:eastAsia="仿宋" w:cs="Times New Roman"/>
          <w:b/>
          <w:bCs w:val="0"/>
          <w:kern w:val="2"/>
          <w:sz w:val="21"/>
          <w:szCs w:val="21"/>
          <w:lang w:val="en-US" w:eastAsia="zh-CN" w:bidi="ar"/>
        </w:rPr>
        <w:t xml:space="preserve"> </w:t>
      </w:r>
    </w:p>
    <w:p w14:paraId="02EDA3B9">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72"/>
          <w:szCs w:val="72"/>
        </w:rPr>
      </w:pPr>
      <w:r>
        <w:rPr>
          <w:rFonts w:hint="eastAsia" w:ascii="宋体" w:hAnsi="宋体" w:eastAsia="宋体" w:cs="宋体"/>
          <w:b/>
          <w:bCs/>
          <w:kern w:val="2"/>
          <w:sz w:val="72"/>
          <w:szCs w:val="72"/>
          <w:lang w:val="en-US" w:eastAsia="zh-CN" w:bidi="ar"/>
        </w:rPr>
        <w:t>福田区卫生系统医用设备采购合同</w:t>
      </w:r>
    </w:p>
    <w:p w14:paraId="511DCED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814D1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FCEDB1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A9CD2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E3DE5F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042832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0FDD660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14:paraId="379846F8">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rPr>
      </w:pPr>
      <w:r>
        <w:rPr>
          <w:rFonts w:hint="eastAsia" w:ascii="仿宋_GB2312" w:hAnsi="Times New Roman" w:eastAsia="仿宋_GB2312" w:cs="仿宋_GB2312"/>
          <w:bCs/>
          <w:kern w:val="2"/>
          <w:sz w:val="32"/>
          <w:szCs w:val="32"/>
          <w:lang w:val="en-US" w:eastAsia="zh-CN" w:bidi="ar"/>
        </w:rPr>
        <w:t>项目名称：</w:t>
      </w:r>
      <w:r>
        <w:rPr>
          <w:rFonts w:hint="eastAsia" w:ascii="仿宋_GB2312" w:hAnsi="Times New Roman" w:eastAsia="仿宋_GB2312" w:cs="仿宋_GB2312"/>
          <w:bCs/>
          <w:kern w:val="2"/>
          <w:sz w:val="32"/>
          <w:szCs w:val="32"/>
          <w:u w:val="single"/>
          <w:lang w:val="en-US" w:eastAsia="zh-CN" w:bidi="ar"/>
        </w:rPr>
        <w:t xml:space="preserve">                               </w:t>
      </w:r>
    </w:p>
    <w:p w14:paraId="5FE8EE7C">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甲    方：</w:t>
      </w:r>
      <w:r>
        <w:rPr>
          <w:rFonts w:hint="eastAsia" w:ascii="仿宋_GB2312" w:hAnsi="Times New Roman" w:eastAsia="仿宋_GB2312" w:cs="仿宋_GB2312"/>
          <w:kern w:val="2"/>
          <w:sz w:val="32"/>
          <w:szCs w:val="32"/>
          <w:u w:val="single"/>
          <w:lang w:val="en-US" w:eastAsia="zh-CN" w:bidi="ar"/>
        </w:rPr>
        <w:t xml:space="preserve">    深圳市福田区第二人民医院   </w:t>
      </w:r>
    </w:p>
    <w:p w14:paraId="391FCCB2">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乙    方：</w:t>
      </w:r>
      <w:r>
        <w:rPr>
          <w:rFonts w:hint="eastAsia" w:ascii="仿宋_GB2312" w:hAnsi="Times New Roman" w:eastAsia="仿宋_GB2312" w:cs="仿宋_GB2312"/>
          <w:bCs/>
          <w:kern w:val="2"/>
          <w:sz w:val="32"/>
          <w:szCs w:val="32"/>
          <w:u w:val="single"/>
          <w:lang w:val="en-US" w:eastAsia="zh-CN" w:bidi="ar"/>
        </w:rPr>
        <w:t xml:space="preserve">                           </w:t>
      </w:r>
      <w:r>
        <w:rPr>
          <w:rFonts w:hint="eastAsia" w:ascii="仿宋_GB2312" w:hAnsi="Times New Roman" w:eastAsia="仿宋_GB2312" w:cs="仿宋_GB2312"/>
          <w:bCs/>
          <w:color w:val="FF0000"/>
          <w:kern w:val="2"/>
          <w:sz w:val="32"/>
          <w:szCs w:val="32"/>
          <w:u w:val="single"/>
          <w:lang w:val="en-US" w:eastAsia="zh-CN" w:bidi="ar"/>
        </w:rPr>
        <w:t xml:space="preserve"> </w:t>
      </w:r>
      <w:r>
        <w:rPr>
          <w:rFonts w:hint="eastAsia" w:ascii="仿宋_GB2312" w:hAnsi="Times New Roman" w:eastAsia="仿宋_GB2312" w:cs="仿宋_GB2312"/>
          <w:bCs/>
          <w:kern w:val="2"/>
          <w:sz w:val="32"/>
          <w:szCs w:val="32"/>
          <w:u w:val="single"/>
          <w:lang w:val="en-US" w:eastAsia="zh-CN" w:bidi="ar"/>
        </w:rPr>
        <w:t xml:space="preserve">   </w:t>
      </w:r>
    </w:p>
    <w:p w14:paraId="4F59B20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07517EA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3CCED6E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r>
        <w:rPr>
          <w:rFonts w:hint="default" w:ascii="Times New Roman" w:hAnsi="Times New Roman" w:eastAsia="宋体" w:cs="Times New Roman"/>
          <w:kern w:val="2"/>
          <w:sz w:val="48"/>
          <w:szCs w:val="48"/>
          <w:lang w:val="en-US" w:eastAsia="zh-CN" w:bidi="ar"/>
        </w:rPr>
        <w:t xml:space="preserve"> </w:t>
      </w:r>
    </w:p>
    <w:p w14:paraId="4AA5236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8D762C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57CBAB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7005833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DDCA062">
      <w:pPr>
        <w:keepNext w:val="0"/>
        <w:keepLines w:val="0"/>
        <w:widowControl/>
        <w:suppressLineNumbers w:val="0"/>
        <w:spacing w:before="0" w:beforeAutospacing="0" w:after="0" w:afterAutospacing="0"/>
        <w:ind w:left="0" w:right="0"/>
        <w:jc w:val="center"/>
        <w:rPr>
          <w:rFonts w:hint="eastAsia" w:ascii="宋体" w:hAnsi="宋体" w:eastAsia="宋体" w:cs="Times New Roman"/>
          <w:b/>
          <w:bCs w:val="0"/>
          <w:kern w:val="2"/>
          <w:sz w:val="24"/>
          <w:szCs w:val="24"/>
        </w:rPr>
      </w:pPr>
      <w:r>
        <w:rPr>
          <w:rFonts w:hint="eastAsia" w:ascii="方正小标宋简体" w:hAnsi="方正小标宋简体" w:eastAsia="方正小标宋简体" w:cs="方正小标宋简体"/>
          <w:kern w:val="2"/>
          <w:sz w:val="44"/>
          <w:szCs w:val="44"/>
          <w:lang w:val="en-US" w:eastAsia="zh-CN" w:bidi="ar"/>
        </w:rPr>
        <w:t>福田区卫生系统医用设备采购合同</w:t>
      </w:r>
    </w:p>
    <w:p w14:paraId="79729736">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甲方（采购人）：深圳市福田区第二人民医院</w:t>
      </w:r>
    </w:p>
    <w:p w14:paraId="3C39095F">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法定代表人/负责人或授权代表：</w:t>
      </w:r>
    </w:p>
    <w:p w14:paraId="02A429C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地址：</w:t>
      </w:r>
    </w:p>
    <w:p w14:paraId="314251D8">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305A9A1D">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E127DCF">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color w:val="000000" w:themeColor="text1"/>
          <w:kern w:val="2"/>
          <w:sz w:val="28"/>
          <w:szCs w:val="28"/>
          <w:u w:val="single"/>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乙方（供应商）：</w:t>
      </w:r>
    </w:p>
    <w:p w14:paraId="52868DAA">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法定代表人或授权代表：</w:t>
      </w:r>
    </w:p>
    <w:p w14:paraId="697044E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地址：</w:t>
      </w:r>
    </w:p>
    <w:p w14:paraId="76DC256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5D062FA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default" w:ascii="Times New Roman" w:hAnsi="Times New Roman" w:eastAsia="宋体" w:cs="Times New Roman"/>
          <w:kern w:val="2"/>
          <w:sz w:val="21"/>
          <w:szCs w:val="21"/>
        </w:rPr>
      </w:pPr>
      <w:r>
        <w:rPr>
          <w:rFonts w:hint="eastAsia" w:ascii="仿宋_GB2312" w:hAnsi="Times New Roman" w:eastAsia="仿宋_GB2312" w:cs="仿宋_GB2312"/>
          <w:color w:val="000000"/>
          <w:kern w:val="2"/>
          <w:sz w:val="28"/>
          <w:szCs w:val="28"/>
          <w:lang w:val="en-US" w:eastAsia="zh-CN" w:bidi="ar"/>
        </w:rPr>
        <w:t>甲、乙双方</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根据 2024年XX月XX日“XXXX”（征集编号：XXXX）采购项目的结果，按照《中华人民共和国民法典》《中华人民共和国</w:t>
      </w:r>
      <w:r>
        <w:rPr>
          <w:rFonts w:hint="eastAsia" w:ascii="仿宋_GB2312" w:hAnsi="Times New Roman" w:eastAsia="仿宋_GB2312" w:cs="仿宋_GB2312"/>
          <w:kern w:val="2"/>
          <w:sz w:val="28"/>
          <w:szCs w:val="28"/>
          <w:lang w:val="en-US" w:eastAsia="zh-CN" w:bidi="ar"/>
        </w:rPr>
        <w:t>政府采购法》《深圳经济特区政府采购条例》《深圳经济特区政府采购条例实施细则》等相关法律法规的规定，经双方协商一致，达成以下合同条款：</w:t>
      </w:r>
    </w:p>
    <w:p w14:paraId="5E99CF32">
      <w:pPr>
        <w:keepNext w:val="0"/>
        <w:keepLines w:val="0"/>
        <w:widowControl w:val="0"/>
        <w:suppressLineNumbers w:val="0"/>
        <w:adjustRightInd w:val="0"/>
        <w:snapToGrid w:val="0"/>
        <w:spacing w:before="0" w:beforeAutospacing="0" w:after="0" w:afterAutospacing="0" w:line="560" w:lineRule="exact"/>
        <w:ind w:left="0" w:leftChars="0" w:right="0" w:rightChars="0"/>
        <w:jc w:val="both"/>
        <w:outlineLvl w:val="0"/>
        <w:rPr>
          <w:rFonts w:hint="eastAsia" w:ascii="仿宋_GB2312" w:eastAsia="仿宋_GB2312" w:cs="仿宋_GB2312"/>
          <w:b/>
          <w:bCs w:val="0"/>
          <w:kern w:val="2"/>
          <w:sz w:val="28"/>
          <w:szCs w:val="28"/>
        </w:rPr>
      </w:pPr>
      <w:bookmarkStart w:id="168" w:name="_Toc15229"/>
      <w:r>
        <w:rPr>
          <w:rFonts w:hint="eastAsia" w:ascii="仿宋_GB2312" w:hAnsi="Times New Roman" w:eastAsia="仿宋_GB2312" w:cs="仿宋_GB2312"/>
          <w:b/>
          <w:bCs w:val="0"/>
          <w:kern w:val="2"/>
          <w:sz w:val="28"/>
          <w:szCs w:val="28"/>
          <w:lang w:val="en-US" w:eastAsia="zh-CN" w:bidi="ar"/>
        </w:rPr>
        <w:t>第一条  合同标的</w:t>
      </w:r>
      <w:bookmarkEnd w:id="168"/>
    </w:p>
    <w:tbl>
      <w:tblPr>
        <w:tblStyle w:val="18"/>
        <w:tblW w:w="63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2"/>
        <w:gridCol w:w="1001"/>
        <w:gridCol w:w="870"/>
        <w:gridCol w:w="1083"/>
        <w:gridCol w:w="1116"/>
        <w:gridCol w:w="658"/>
        <w:gridCol w:w="794"/>
        <w:gridCol w:w="554"/>
        <w:gridCol w:w="1275"/>
        <w:gridCol w:w="1162"/>
        <w:gridCol w:w="465"/>
        <w:gridCol w:w="474"/>
        <w:gridCol w:w="801"/>
      </w:tblGrid>
      <w:tr w14:paraId="3FD0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1F0EB10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1058" w:type="dxa"/>
            <w:tcBorders>
              <w:top w:val="single" w:color="auto" w:sz="4" w:space="0"/>
              <w:left w:val="nil"/>
              <w:bottom w:val="single" w:color="auto" w:sz="4" w:space="0"/>
              <w:right w:val="single" w:color="auto" w:sz="4" w:space="0"/>
            </w:tcBorders>
            <w:shd w:val="clear" w:color="auto" w:fill="auto"/>
            <w:vAlign w:val="center"/>
          </w:tcPr>
          <w:p w14:paraId="78A0430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w:t>
            </w:r>
          </w:p>
          <w:p w14:paraId="50AC90B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名称</w:t>
            </w:r>
          </w:p>
        </w:tc>
        <w:tc>
          <w:tcPr>
            <w:tcW w:w="919" w:type="dxa"/>
            <w:tcBorders>
              <w:top w:val="single" w:color="auto" w:sz="4" w:space="0"/>
              <w:left w:val="nil"/>
              <w:bottom w:val="single" w:color="auto" w:sz="4" w:space="0"/>
              <w:right w:val="single" w:color="auto" w:sz="4" w:space="0"/>
            </w:tcBorders>
            <w:shd w:val="clear" w:color="auto" w:fill="auto"/>
            <w:vAlign w:val="center"/>
          </w:tcPr>
          <w:p w14:paraId="07CCF94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产地</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品牌</w:t>
            </w:r>
          </w:p>
        </w:tc>
        <w:tc>
          <w:tcPr>
            <w:tcW w:w="1144" w:type="dxa"/>
            <w:tcBorders>
              <w:top w:val="single" w:color="auto" w:sz="4" w:space="0"/>
              <w:left w:val="nil"/>
              <w:bottom w:val="single" w:color="auto" w:sz="4" w:space="0"/>
              <w:right w:val="single" w:color="auto" w:sz="4" w:space="0"/>
            </w:tcBorders>
            <w:shd w:val="clear" w:color="auto" w:fill="auto"/>
            <w:vAlign w:val="center"/>
          </w:tcPr>
          <w:p w14:paraId="36E0222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规格型号</w:t>
            </w:r>
          </w:p>
        </w:tc>
        <w:tc>
          <w:tcPr>
            <w:tcW w:w="1179" w:type="dxa"/>
            <w:tcBorders>
              <w:top w:val="single" w:color="auto" w:sz="4" w:space="0"/>
              <w:left w:val="nil"/>
              <w:bottom w:val="single" w:color="auto" w:sz="4" w:space="0"/>
              <w:right w:val="single" w:color="auto" w:sz="4" w:space="0"/>
            </w:tcBorders>
            <w:shd w:val="clear" w:color="auto" w:fill="auto"/>
            <w:vAlign w:val="center"/>
          </w:tcPr>
          <w:p w14:paraId="06BCE06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注册证名</w:t>
            </w:r>
          </w:p>
        </w:tc>
        <w:tc>
          <w:tcPr>
            <w:tcW w:w="695" w:type="dxa"/>
            <w:tcBorders>
              <w:top w:val="single" w:color="auto" w:sz="4" w:space="0"/>
              <w:left w:val="nil"/>
              <w:bottom w:val="single" w:color="auto" w:sz="4" w:space="0"/>
              <w:right w:val="single" w:color="auto" w:sz="4" w:space="0"/>
            </w:tcBorders>
            <w:shd w:val="clear" w:color="auto" w:fill="auto"/>
            <w:vAlign w:val="center"/>
          </w:tcPr>
          <w:p w14:paraId="48A7958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注册证号</w:t>
            </w:r>
          </w:p>
        </w:tc>
        <w:tc>
          <w:tcPr>
            <w:tcW w:w="839" w:type="dxa"/>
            <w:tcBorders>
              <w:top w:val="single" w:color="auto" w:sz="4" w:space="0"/>
              <w:left w:val="nil"/>
              <w:bottom w:val="single" w:color="auto" w:sz="4" w:space="0"/>
              <w:right w:val="single" w:color="auto" w:sz="4" w:space="0"/>
            </w:tcBorders>
            <w:shd w:val="clear" w:color="auto" w:fill="auto"/>
            <w:vAlign w:val="center"/>
          </w:tcPr>
          <w:p w14:paraId="3193F8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单位</w:t>
            </w:r>
          </w:p>
        </w:tc>
        <w:tc>
          <w:tcPr>
            <w:tcW w:w="585" w:type="dxa"/>
            <w:tcBorders>
              <w:top w:val="single" w:color="auto" w:sz="4" w:space="0"/>
              <w:left w:val="nil"/>
              <w:bottom w:val="single" w:color="auto" w:sz="4" w:space="0"/>
              <w:right w:val="single" w:color="auto" w:sz="4" w:space="0"/>
            </w:tcBorders>
            <w:shd w:val="clear" w:color="auto" w:fill="auto"/>
            <w:vAlign w:val="center"/>
          </w:tcPr>
          <w:p w14:paraId="2F52B8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数量</w:t>
            </w:r>
          </w:p>
        </w:tc>
        <w:tc>
          <w:tcPr>
            <w:tcW w:w="1347" w:type="dxa"/>
            <w:tcBorders>
              <w:top w:val="single" w:color="auto" w:sz="4" w:space="0"/>
              <w:left w:val="nil"/>
              <w:bottom w:val="single" w:color="auto" w:sz="4" w:space="0"/>
              <w:right w:val="single" w:color="auto" w:sz="4" w:space="0"/>
            </w:tcBorders>
            <w:shd w:val="clear" w:color="auto" w:fill="auto"/>
            <w:vAlign w:val="center"/>
          </w:tcPr>
          <w:p w14:paraId="6DB72FA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单价（元）</w:t>
            </w:r>
          </w:p>
        </w:tc>
        <w:tc>
          <w:tcPr>
            <w:tcW w:w="1228" w:type="dxa"/>
            <w:tcBorders>
              <w:top w:val="single" w:color="auto" w:sz="4" w:space="0"/>
              <w:left w:val="nil"/>
              <w:bottom w:val="single" w:color="auto" w:sz="4" w:space="0"/>
              <w:right w:val="single" w:color="auto" w:sz="4" w:space="0"/>
            </w:tcBorders>
            <w:shd w:val="clear" w:color="auto" w:fill="auto"/>
            <w:vAlign w:val="center"/>
          </w:tcPr>
          <w:p w14:paraId="5793F15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总价（元）</w:t>
            </w:r>
          </w:p>
        </w:tc>
        <w:tc>
          <w:tcPr>
            <w:tcW w:w="491" w:type="dxa"/>
            <w:tcBorders>
              <w:top w:val="single" w:color="auto" w:sz="4" w:space="0"/>
              <w:left w:val="nil"/>
              <w:bottom w:val="single" w:color="auto" w:sz="4" w:space="0"/>
              <w:right w:val="single" w:color="auto" w:sz="4" w:space="0"/>
            </w:tcBorders>
            <w:shd w:val="clear" w:color="auto" w:fill="auto"/>
            <w:vAlign w:val="center"/>
          </w:tcPr>
          <w:p w14:paraId="54EF476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随机配件</w:t>
            </w:r>
          </w:p>
        </w:tc>
        <w:tc>
          <w:tcPr>
            <w:tcW w:w="501" w:type="dxa"/>
            <w:tcBorders>
              <w:top w:val="single" w:color="auto" w:sz="4" w:space="0"/>
              <w:left w:val="nil"/>
              <w:bottom w:val="single" w:color="auto" w:sz="4" w:space="0"/>
              <w:right w:val="single" w:color="auto" w:sz="4" w:space="0"/>
            </w:tcBorders>
            <w:shd w:val="clear" w:color="auto" w:fill="auto"/>
            <w:vAlign w:val="center"/>
          </w:tcPr>
          <w:p w14:paraId="3AF54D1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使用科室</w:t>
            </w:r>
          </w:p>
        </w:tc>
        <w:tc>
          <w:tcPr>
            <w:tcW w:w="846" w:type="dxa"/>
            <w:tcBorders>
              <w:top w:val="single" w:color="auto" w:sz="4" w:space="0"/>
              <w:left w:val="nil"/>
              <w:bottom w:val="single" w:color="auto" w:sz="4" w:space="0"/>
              <w:right w:val="single" w:color="auto" w:sz="4" w:space="0"/>
            </w:tcBorders>
            <w:shd w:val="clear" w:color="auto" w:fill="auto"/>
            <w:vAlign w:val="center"/>
          </w:tcPr>
          <w:p w14:paraId="058F805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设备用途</w:t>
            </w:r>
          </w:p>
        </w:tc>
      </w:tr>
      <w:tr w14:paraId="6BFB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2D8498A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p>
        </w:tc>
        <w:tc>
          <w:tcPr>
            <w:tcW w:w="1058" w:type="dxa"/>
            <w:tcBorders>
              <w:top w:val="single" w:color="auto" w:sz="4" w:space="0"/>
              <w:left w:val="nil"/>
              <w:bottom w:val="single" w:color="auto" w:sz="4" w:space="0"/>
              <w:right w:val="single" w:color="auto" w:sz="4" w:space="0"/>
            </w:tcBorders>
            <w:shd w:val="clear" w:color="auto" w:fill="auto"/>
            <w:vAlign w:val="center"/>
          </w:tcPr>
          <w:p w14:paraId="2DC199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919" w:type="dxa"/>
            <w:tcBorders>
              <w:top w:val="single" w:color="auto" w:sz="4" w:space="0"/>
              <w:left w:val="nil"/>
              <w:bottom w:val="single" w:color="auto" w:sz="4" w:space="0"/>
              <w:right w:val="single" w:color="auto" w:sz="4" w:space="0"/>
            </w:tcBorders>
            <w:shd w:val="clear" w:color="auto" w:fill="auto"/>
            <w:vAlign w:val="center"/>
          </w:tcPr>
          <w:p w14:paraId="28E6FA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10DCF5B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79" w:type="dxa"/>
            <w:tcBorders>
              <w:top w:val="single" w:color="auto" w:sz="4" w:space="0"/>
              <w:left w:val="nil"/>
              <w:bottom w:val="single" w:color="auto" w:sz="4" w:space="0"/>
              <w:right w:val="single" w:color="auto" w:sz="4" w:space="0"/>
            </w:tcBorders>
            <w:shd w:val="clear" w:color="auto" w:fill="auto"/>
            <w:vAlign w:val="center"/>
          </w:tcPr>
          <w:p w14:paraId="02ACD99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695" w:type="dxa"/>
            <w:tcBorders>
              <w:top w:val="single" w:color="auto" w:sz="4" w:space="0"/>
              <w:left w:val="nil"/>
              <w:bottom w:val="single" w:color="auto" w:sz="4" w:space="0"/>
              <w:right w:val="single" w:color="auto" w:sz="4" w:space="0"/>
            </w:tcBorders>
            <w:shd w:val="clear" w:color="auto" w:fill="auto"/>
            <w:vAlign w:val="center"/>
          </w:tcPr>
          <w:p w14:paraId="5C20AFF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839" w:type="dxa"/>
            <w:tcBorders>
              <w:top w:val="single" w:color="auto" w:sz="4" w:space="0"/>
              <w:left w:val="nil"/>
              <w:bottom w:val="single" w:color="auto" w:sz="4" w:space="0"/>
              <w:right w:val="single" w:color="auto" w:sz="4" w:space="0"/>
            </w:tcBorders>
            <w:shd w:val="clear" w:color="auto" w:fill="auto"/>
            <w:vAlign w:val="center"/>
          </w:tcPr>
          <w:p w14:paraId="3776F7E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585" w:type="dxa"/>
            <w:tcBorders>
              <w:top w:val="single" w:color="auto" w:sz="4" w:space="0"/>
              <w:left w:val="nil"/>
              <w:bottom w:val="single" w:color="auto" w:sz="4" w:space="0"/>
              <w:right w:val="single" w:color="auto" w:sz="4" w:space="0"/>
            </w:tcBorders>
            <w:shd w:val="clear" w:color="auto" w:fill="auto"/>
            <w:vAlign w:val="center"/>
          </w:tcPr>
          <w:p w14:paraId="6A1BBB9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347" w:type="dxa"/>
            <w:tcBorders>
              <w:top w:val="single" w:color="auto" w:sz="4" w:space="0"/>
              <w:left w:val="nil"/>
              <w:bottom w:val="single" w:color="auto" w:sz="4" w:space="0"/>
              <w:right w:val="single" w:color="auto" w:sz="4" w:space="0"/>
            </w:tcBorders>
            <w:shd w:val="clear" w:color="auto" w:fill="auto"/>
            <w:vAlign w:val="center"/>
          </w:tcPr>
          <w:p w14:paraId="2B32764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228" w:type="dxa"/>
            <w:tcBorders>
              <w:top w:val="single" w:color="auto" w:sz="4" w:space="0"/>
              <w:left w:val="nil"/>
              <w:bottom w:val="single" w:color="auto" w:sz="4" w:space="0"/>
              <w:right w:val="single" w:color="auto" w:sz="4" w:space="0"/>
            </w:tcBorders>
            <w:shd w:val="clear" w:color="auto" w:fill="auto"/>
            <w:vAlign w:val="center"/>
          </w:tcPr>
          <w:p w14:paraId="644A5CF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491" w:type="dxa"/>
            <w:tcBorders>
              <w:top w:val="single" w:color="auto" w:sz="4" w:space="0"/>
              <w:left w:val="nil"/>
              <w:bottom w:val="single" w:color="auto" w:sz="4" w:space="0"/>
              <w:right w:val="single" w:color="auto" w:sz="4" w:space="0"/>
            </w:tcBorders>
            <w:shd w:val="clear" w:color="auto" w:fill="auto"/>
            <w:vAlign w:val="center"/>
          </w:tcPr>
          <w:p w14:paraId="5CBC594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r>
              <w:rPr>
                <w:rFonts w:hint="eastAsia" w:ascii="宋体" w:hAnsi="宋体" w:eastAsia="宋体" w:cs="宋体"/>
                <w:kern w:val="2"/>
                <w:sz w:val="21"/>
                <w:szCs w:val="21"/>
                <w:lang w:val="en-US" w:eastAsia="zh-CN" w:bidi="ar"/>
              </w:rPr>
              <w:t>详见配置清单</w:t>
            </w:r>
          </w:p>
        </w:tc>
        <w:tc>
          <w:tcPr>
            <w:tcW w:w="501" w:type="dxa"/>
            <w:tcBorders>
              <w:top w:val="single" w:color="auto" w:sz="4" w:space="0"/>
              <w:left w:val="nil"/>
              <w:bottom w:val="single" w:color="auto" w:sz="4" w:space="0"/>
              <w:right w:val="single" w:color="auto" w:sz="4" w:space="0"/>
            </w:tcBorders>
            <w:shd w:val="clear" w:color="auto" w:fill="auto"/>
            <w:vAlign w:val="top"/>
          </w:tcPr>
          <w:p w14:paraId="69888EB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p>
        </w:tc>
        <w:tc>
          <w:tcPr>
            <w:tcW w:w="846" w:type="dxa"/>
            <w:tcBorders>
              <w:top w:val="single" w:color="auto" w:sz="4" w:space="0"/>
              <w:left w:val="nil"/>
              <w:bottom w:val="single" w:color="auto" w:sz="4" w:space="0"/>
              <w:right w:val="single" w:color="auto" w:sz="4" w:space="0"/>
            </w:tcBorders>
            <w:shd w:val="clear" w:color="auto" w:fill="auto"/>
            <w:vAlign w:val="top"/>
          </w:tcPr>
          <w:p w14:paraId="7AACBBB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2F048FA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55CF718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r>
      <w:tr w14:paraId="3378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373"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14:paraId="46583CD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合计人民币：</w:t>
            </w:r>
            <w:r>
              <w:rPr>
                <w:rFonts w:hint="default" w:ascii="Times New Roman" w:hAnsi="Times New Roman" w:eastAsia="宋体" w:cs="Times New Roman"/>
                <w:kern w:val="2"/>
                <w:sz w:val="21"/>
                <w:szCs w:val="21"/>
                <w:lang w:val="en-US" w:eastAsia="zh-CN" w:bidi="ar"/>
              </w:rPr>
              <w:t>XXXX</w:t>
            </w:r>
            <w:r>
              <w:rPr>
                <w:rFonts w:hint="eastAsia" w:ascii="宋体" w:hAnsi="宋体" w:eastAsia="宋体" w:cs="宋体"/>
                <w:kern w:val="2"/>
                <w:sz w:val="21"/>
                <w:szCs w:val="21"/>
                <w:lang w:val="en-US" w:eastAsia="zh-CN" w:bidi="ar"/>
              </w:rPr>
              <w:t xml:space="preserve">元整（￥ </w:t>
            </w:r>
            <w:r>
              <w:rPr>
                <w:rFonts w:hint="default" w:ascii="Times New Roman" w:hAnsi="Times New Roman" w:eastAsia="宋体" w:cs="Times New Roman"/>
                <w:kern w:val="2"/>
                <w:sz w:val="21"/>
                <w:szCs w:val="21"/>
                <w:lang w:val="en-US" w:eastAsia="zh-CN" w:bidi="ar"/>
              </w:rPr>
              <w:t>XXXX.00</w:t>
            </w:r>
            <w:r>
              <w:rPr>
                <w:rFonts w:hint="eastAsia" w:ascii="宋体" w:hAnsi="宋体" w:eastAsia="宋体" w:cs="宋体"/>
                <w:kern w:val="2"/>
                <w:sz w:val="21"/>
                <w:szCs w:val="21"/>
                <w:lang w:val="en-US" w:eastAsia="zh-CN" w:bidi="ar"/>
              </w:rPr>
              <w:t>元）</w:t>
            </w:r>
          </w:p>
        </w:tc>
      </w:tr>
    </w:tbl>
    <w:p w14:paraId="34CBD8B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b/>
          <w:bCs w:val="0"/>
          <w:kern w:val="2"/>
          <w:sz w:val="28"/>
          <w:szCs w:val="28"/>
        </w:rPr>
      </w:pPr>
      <w:r>
        <w:rPr>
          <w:rFonts w:hint="eastAsia" w:ascii="仿宋_GB2312" w:hAnsi="Times New Roman" w:eastAsia="仿宋_GB2312" w:cs="仿宋_GB2312"/>
          <w:b/>
          <w:bCs w:val="0"/>
          <w:kern w:val="2"/>
          <w:sz w:val="28"/>
          <w:szCs w:val="28"/>
          <w:lang w:val="en-US" w:eastAsia="zh-CN" w:bidi="ar"/>
        </w:rPr>
        <w:t xml:space="preserve"> </w:t>
      </w:r>
    </w:p>
    <w:p w14:paraId="55128311">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69" w:name="_Toc8755"/>
      <w:r>
        <w:rPr>
          <w:rFonts w:hint="eastAsia" w:ascii="仿宋_GB2312" w:hAnsi="Times New Roman" w:eastAsia="仿宋_GB2312" w:cs="仿宋_GB2312"/>
          <w:b/>
          <w:bCs w:val="0"/>
          <w:kern w:val="2"/>
          <w:sz w:val="28"/>
          <w:szCs w:val="28"/>
          <w:lang w:val="en-US" w:eastAsia="zh-CN" w:bidi="ar"/>
        </w:rPr>
        <w:t>第二条 合同价款</w:t>
      </w:r>
      <w:bookmarkEnd w:id="169"/>
    </w:p>
    <w:p w14:paraId="2C6C2F13">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1.本合同项下甲乙双方买卖</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设备含税总价款为：大写人民币</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XXXX</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元整（￥</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 xml:space="preserve"> XXXX.00元</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）。此价款为甲方履行本合同义务而产生的一切费用，除此以外甲方不再对乙方承担任何支付价款或以外费用的责任。此价款包括但不限于报装费、设计费、设备</w:t>
      </w:r>
      <w:r>
        <w:rPr>
          <w:rFonts w:hint="eastAsia" w:ascii="仿宋_GB2312" w:hAnsi="Times New Roman" w:eastAsia="仿宋_GB2312" w:cs="仿宋_GB2312"/>
          <w:kern w:val="2"/>
          <w:sz w:val="28"/>
          <w:szCs w:val="28"/>
          <w:lang w:val="en-US" w:eastAsia="zh-CN" w:bidi="ar"/>
        </w:rPr>
        <w:t>制造费、包装费、仓储费、运输费、安装调试费、验收和保修期届满前备品备件费用以及与本合同设备及服务相关的税和费。合同总价款不因通货膨胀、市场行情等市场价格的变动而变动，但本合同另有约定的除外。</w:t>
      </w:r>
    </w:p>
    <w:p w14:paraId="00F9F27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
          <w:bCs w:val="0"/>
          <w:kern w:val="2"/>
          <w:sz w:val="28"/>
          <w:szCs w:val="28"/>
        </w:rPr>
      </w:pPr>
      <w:r>
        <w:rPr>
          <w:rFonts w:hint="eastAsia" w:ascii="仿宋_GB2312" w:hAnsi="Times New Roman" w:eastAsia="仿宋_GB2312" w:cs="仿宋_GB2312"/>
          <w:kern w:val="2"/>
          <w:sz w:val="28"/>
          <w:szCs w:val="28"/>
          <w:lang w:val="en-US" w:eastAsia="zh-CN" w:bidi="ar"/>
        </w:rPr>
        <w:t>2.合同价款的支付方式（双方应共同选择一项，并在所选项□内打“√”）：</w:t>
      </w:r>
    </w:p>
    <w:p w14:paraId="64AF812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一次性支付</w:t>
      </w:r>
    </w:p>
    <w:p w14:paraId="249405F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货到安装、调试验收合格后，乙方应按本合同全额价款出具正规税务发票，甲方财务科收到乙方发票等相关资料后</w:t>
      </w:r>
      <w:r>
        <w:rPr>
          <w:rFonts w:hint="eastAsia" w:ascii="仿宋_GB2312" w:hAnsi="Times New Roman" w:eastAsia="仿宋_GB2312" w:cs="仿宋_GB2312"/>
          <w:color w:val="000000"/>
          <w:kern w:val="2"/>
          <w:sz w:val="28"/>
          <w:szCs w:val="28"/>
          <w:u w:val="single"/>
          <w:lang w:val="en-US" w:eastAsia="zh-CN" w:bidi="ar"/>
        </w:rPr>
        <w:t>10</w:t>
      </w:r>
      <w:r>
        <w:rPr>
          <w:rFonts w:hint="eastAsia" w:ascii="仿宋_GB2312" w:hAnsi="Times New Roman" w:eastAsia="仿宋_GB2312" w:cs="仿宋_GB2312"/>
          <w:color w:val="000000"/>
          <w:kern w:val="2"/>
          <w:sz w:val="28"/>
          <w:szCs w:val="28"/>
          <w:lang w:val="en-US" w:eastAsia="zh-CN" w:bidi="ar"/>
        </w:rPr>
        <w:t>个工作日内向乙方支付合同全款。</w:t>
      </w:r>
    </w:p>
    <w:p w14:paraId="66857BA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分笔支付</w:t>
      </w:r>
    </w:p>
    <w:p w14:paraId="65E4F97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且财政资金下达后，乙方应按本合同全额价款出具正规税务发票，甲方财务科收到乙方发票等相关资料后15日内向乙方支付合同价款的90%；若财政当次下达资金未达合同价款的90%，则以当次实际下达资金为准，直至付款至合同价款的90%。货款余额（合同价款的10%）在项目结算并下达尾款资金后支付。</w:t>
      </w:r>
    </w:p>
    <w:p w14:paraId="7F6EF68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3.乙方指定的收款账户：</w:t>
      </w:r>
    </w:p>
    <w:p w14:paraId="1EA9958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户名：</w:t>
      </w:r>
    </w:p>
    <w:p w14:paraId="0832B23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银行账号</w:t>
      </w:r>
      <w:r>
        <w:rPr>
          <w:rFonts w:hint="eastAsia" w:ascii="仿宋_GB2312" w:hAnsi="Times New Roman" w:eastAsia="仿宋_GB2312" w:cs="仿宋_GB2312"/>
          <w:kern w:val="2"/>
          <w:sz w:val="28"/>
          <w:szCs w:val="28"/>
          <w:lang w:val="en-US" w:eastAsia="zh-CN" w:bidi="ar"/>
        </w:rPr>
        <w:t>：</w:t>
      </w:r>
    </w:p>
    <w:p w14:paraId="4660AF9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开户行：</w:t>
      </w:r>
    </w:p>
    <w:p w14:paraId="1AAFC1EE">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0" w:name="_Toc3012"/>
      <w:r>
        <w:rPr>
          <w:rFonts w:hint="eastAsia" w:ascii="仿宋_GB2312" w:hAnsi="Times New Roman" w:eastAsia="仿宋_GB2312" w:cs="仿宋_GB2312"/>
          <w:b/>
          <w:bCs w:val="0"/>
          <w:kern w:val="2"/>
          <w:sz w:val="28"/>
          <w:szCs w:val="28"/>
          <w:lang w:val="en-US" w:eastAsia="zh-CN" w:bidi="ar"/>
        </w:rPr>
        <w:t>第三条  质量标准</w:t>
      </w:r>
      <w:bookmarkEnd w:id="170"/>
    </w:p>
    <w:p w14:paraId="50F884C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1.乙方在本合同项下向甲方提供的</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质量和技术规格应符合以下标准：</w:t>
      </w:r>
    </w:p>
    <w:p w14:paraId="527B30E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（1）项目的中标通知书、征集文件、答疑及补充通知；</w:t>
      </w:r>
    </w:p>
    <w:p w14:paraId="0F52D3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（2）乙方的投标文件；</w:t>
      </w:r>
    </w:p>
    <w:p w14:paraId="32546F1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kern w:val="2"/>
          <w:sz w:val="28"/>
          <w:szCs w:val="28"/>
          <w:lang w:val="en-US" w:eastAsia="zh-CN" w:bidi="ar"/>
        </w:rPr>
        <w:t>（3）本合同附件</w:t>
      </w:r>
      <w:r>
        <w:rPr>
          <w:rFonts w:hint="eastAsia" w:ascii="仿宋_GB2312" w:hAnsi="Times New Roman" w:eastAsia="仿宋_GB2312" w:cs="仿宋_GB2312"/>
          <w:bCs/>
          <w:kern w:val="2"/>
          <w:sz w:val="28"/>
          <w:szCs w:val="28"/>
          <w:lang w:val="en-US" w:eastAsia="zh-CN" w:bidi="ar"/>
        </w:rPr>
        <w:t>的约定；</w:t>
      </w:r>
    </w:p>
    <w:p w14:paraId="3011BCE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（4）国家关于该类设备的设计和制造生产标准；</w:t>
      </w:r>
    </w:p>
    <w:p w14:paraId="59F70D4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（5）国家关于该类设备质量的行业标准；</w:t>
      </w:r>
    </w:p>
    <w:p w14:paraId="6855ACB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（6）符合国家有关安全、环保等规范和要求（乙方须提供设备测验报告）；</w:t>
      </w:r>
    </w:p>
    <w:p w14:paraId="76C7E72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（7）进口设备具有进口注册证书、《入境设备检验检疫证明》等中国海关商检合格证明</w:t>
      </w:r>
    </w:p>
    <w:p w14:paraId="475DF8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设备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w:t>
      </w:r>
    </w:p>
    <w:p w14:paraId="127CB9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3.如合同设备属于国家规定的强检设备，由乙方负责完成首次计量强制检定，验收前乙方必须附上计量检定合格报告。</w:t>
      </w:r>
    </w:p>
    <w:p w14:paraId="632E43A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w:t>
      </w:r>
      <w:r>
        <w:rPr>
          <w:rFonts w:hint="eastAsia" w:ascii="仿宋_GB2312" w:hAnsi="Times New Roman" w:eastAsia="仿宋_GB2312" w:cs="仿宋_GB2312"/>
          <w:bCs/>
          <w:color w:val="000000"/>
          <w:kern w:val="2"/>
          <w:sz w:val="28"/>
          <w:szCs w:val="28"/>
          <w:lang w:val="en-US" w:eastAsia="zh-CN" w:bidi="ar"/>
        </w:rPr>
        <w:t>如合同设备需要甲方信息端口，则由乙方负责甲方信息系统端口连接的安装工作及费用（包含信息系统方的接口开发费）。甲方协助乙方完成信息系统安装，确保设备稳定运行。</w:t>
      </w:r>
    </w:p>
    <w:p w14:paraId="2E910D0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 </w:t>
      </w:r>
    </w:p>
    <w:p w14:paraId="28EAC693">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1" w:name="_Toc23268"/>
      <w:r>
        <w:rPr>
          <w:rFonts w:hint="eastAsia" w:ascii="仿宋_GB2312" w:hAnsi="Times New Roman" w:eastAsia="仿宋_GB2312" w:cs="仿宋_GB2312"/>
          <w:b/>
          <w:bCs w:val="0"/>
          <w:kern w:val="2"/>
          <w:sz w:val="28"/>
          <w:szCs w:val="28"/>
          <w:lang w:val="en-US" w:eastAsia="zh-CN" w:bidi="ar"/>
        </w:rPr>
        <w:t>第四条  质量保证及售后服务</w:t>
      </w:r>
      <w:bookmarkEnd w:id="171"/>
    </w:p>
    <w:p w14:paraId="4A74E58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FF0000"/>
          <w:kern w:val="2"/>
          <w:sz w:val="28"/>
          <w:szCs w:val="28"/>
        </w:rPr>
      </w:pPr>
      <w:r>
        <w:rPr>
          <w:rFonts w:hint="eastAsia" w:ascii="仿宋_GB2312" w:hAnsi="Times New Roman" w:eastAsia="仿宋_GB2312" w:cs="仿宋_GB2312"/>
          <w:bCs/>
          <w:kern w:val="2"/>
          <w:sz w:val="28"/>
          <w:szCs w:val="28"/>
          <w:lang w:val="en-US" w:eastAsia="zh-CN" w:bidi="ar"/>
        </w:rPr>
        <w:t>1.乙方应保证设备是全新、未使用过的原装合格正品（包括零部件），设备到达甲方安装现场时外包装应完好无损，最新生产批次且经检验合格的产品。</w:t>
      </w:r>
    </w:p>
    <w:p w14:paraId="48CE813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2.乙方对本合同设备提供质</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保期</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3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年（</w:t>
      </w:r>
      <w:r>
        <w:rPr>
          <w:rFonts w:hint="eastAsia" w:ascii="仿宋_GB2312" w:hAnsi="Times New Roman" w:eastAsia="仿宋_GB2312" w:cs="仿宋_GB2312"/>
          <w:bCs/>
          <w:kern w:val="2"/>
          <w:sz w:val="28"/>
          <w:szCs w:val="28"/>
          <w:lang w:val="en-US" w:eastAsia="zh-CN" w:bidi="ar"/>
        </w:rPr>
        <w:t>自验收合格之日起算），终身维护。质保期内免费提供每年2次定期保养。设备出现故障时乙方应在接到甲方通知时4小时响应，24小时内到位，若乙方未能在24小时内消除障碍，甲方有权聘请第三方消除障碍，</w:t>
      </w:r>
      <w:r>
        <w:rPr>
          <w:rFonts w:hint="eastAsia" w:ascii="仿宋_GB2312" w:hAnsi="Times New Roman" w:eastAsia="仿宋_GB2312" w:cs="仿宋_GB2312"/>
          <w:kern w:val="2"/>
          <w:sz w:val="28"/>
          <w:szCs w:val="28"/>
          <w:lang w:val="en-US" w:eastAsia="zh-CN" w:bidi="ar"/>
        </w:rPr>
        <w:t>所发生的费用由乙方全部承担，乙方应于故障发生后</w:t>
      </w:r>
      <w:r>
        <w:rPr>
          <w:rFonts w:hint="eastAsia" w:ascii="仿宋_GB2312" w:hAnsi="Times New Roman" w:eastAsia="仿宋_GB2312" w:cs="仿宋_GB2312"/>
          <w:bCs/>
          <w:kern w:val="2"/>
          <w:sz w:val="28"/>
          <w:szCs w:val="28"/>
          <w:u w:val="single"/>
          <w:lang w:val="en-US" w:eastAsia="zh-CN" w:bidi="ar"/>
        </w:rPr>
        <w:t xml:space="preserve"> 15 </w:t>
      </w:r>
      <w:r>
        <w:rPr>
          <w:rFonts w:hint="eastAsia" w:ascii="仿宋_GB2312" w:hAnsi="Times New Roman" w:eastAsia="仿宋_GB2312" w:cs="仿宋_GB2312"/>
          <w:kern w:val="2"/>
          <w:sz w:val="28"/>
          <w:szCs w:val="28"/>
          <w:lang w:val="en-US" w:eastAsia="zh-CN" w:bidi="ar"/>
        </w:rPr>
        <w:t>日内支付。</w:t>
      </w:r>
    </w:p>
    <w:p w14:paraId="3867D0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3.质保期内非因甲方人为原因而出现的质量问题，由乙方负责包修、包换或者包退，并承担修理、调换或退货的实际费用。乙方不能修理或不能调换，按不能交货处理。</w:t>
      </w:r>
    </w:p>
    <w:p w14:paraId="2CF296AD">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必须提供由设备生产原厂签署承诺的合法有效的保修、维修证明（售后服务承诺函，盖厂家公章），厂家签署承诺的保修期应与投标供应商承诺的保修期一致；必须由原厂工程师及技术人员直接提供保修、维修、免费技术培训服务。</w:t>
      </w:r>
    </w:p>
    <w:p w14:paraId="00ADCC3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5.保修期届满后，乙方应按其在深圳地区同类产品的优惠价格提供维保服务，具体设备维护事宜由双方另行协商。</w:t>
      </w:r>
    </w:p>
    <w:p w14:paraId="41941F25">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2" w:name="_Toc23356"/>
      <w:r>
        <w:rPr>
          <w:rFonts w:hint="eastAsia" w:ascii="仿宋_GB2312" w:hAnsi="Times New Roman" w:eastAsia="仿宋_GB2312" w:cs="仿宋_GB2312"/>
          <w:b/>
          <w:bCs w:val="0"/>
          <w:kern w:val="2"/>
          <w:sz w:val="28"/>
          <w:szCs w:val="28"/>
          <w:lang w:val="en-US" w:eastAsia="zh-CN" w:bidi="ar"/>
        </w:rPr>
        <w:t>第五条  进口设备手续（进口设备方使用该条款）</w:t>
      </w:r>
      <w:bookmarkEnd w:id="172"/>
    </w:p>
    <w:p w14:paraId="214316D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乙方提供的进口设备必须具有合法的进口手续，并负责办理设备进口报关等手续。</w:t>
      </w:r>
    </w:p>
    <w:p w14:paraId="23575CE2">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3" w:name="_Toc7546"/>
      <w:r>
        <w:rPr>
          <w:rFonts w:hint="eastAsia" w:ascii="仿宋_GB2312" w:hAnsi="Times New Roman" w:eastAsia="仿宋_GB2312" w:cs="仿宋_GB2312"/>
          <w:b/>
          <w:bCs w:val="0"/>
          <w:kern w:val="2"/>
          <w:sz w:val="28"/>
          <w:szCs w:val="28"/>
          <w:lang w:val="en-US" w:eastAsia="zh-CN" w:bidi="ar"/>
        </w:rPr>
        <w:t>第六条  包装</w:t>
      </w:r>
      <w:bookmarkEnd w:id="173"/>
    </w:p>
    <w:p w14:paraId="3598D3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设备运输至本合同指定的交货地点所需要的包装，包装费用由乙方承担，包装物不返还，归甲方所有。设备的包装均应有良好的防湿、防锈、防潮、防雨、防腐及防碰撞的措施，符合产品标准关于包装的要求。凡由于包装问题造成的损失和由此产生的费用均由乙方承担。</w:t>
      </w:r>
    </w:p>
    <w:p w14:paraId="02E7C3D4">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4" w:name="_Toc10140"/>
      <w:r>
        <w:rPr>
          <w:rFonts w:hint="eastAsia" w:ascii="仿宋_GB2312" w:hAnsi="Times New Roman" w:eastAsia="仿宋_GB2312" w:cs="仿宋_GB2312"/>
          <w:b/>
          <w:bCs w:val="0"/>
          <w:kern w:val="2"/>
          <w:sz w:val="28"/>
          <w:szCs w:val="28"/>
          <w:lang w:val="en-US" w:eastAsia="zh-CN" w:bidi="ar"/>
        </w:rPr>
        <w:t>第七条  交付</w:t>
      </w:r>
      <w:bookmarkEnd w:id="174"/>
    </w:p>
    <w:p w14:paraId="24E4037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1.交货时间：合同签订并接甲方</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通知后</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w:t>
      </w:r>
    </w:p>
    <w:p w14:paraId="503DD4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2.交货地点：运输及卸车搬至甲方指定地点。运输费用及风险由乙方承担。在乙方将设备送至该交货地点前，甲方有权单方变更该交货地点，但应提前</w:t>
      </w:r>
      <w:r>
        <w:rPr>
          <w:rFonts w:hint="eastAsia" w:ascii="仿宋_GB2312" w:hAnsi="Times New Roman" w:eastAsia="仿宋_GB2312" w:cs="仿宋_GB2312"/>
          <w:bCs/>
          <w:kern w:val="2"/>
          <w:sz w:val="28"/>
          <w:szCs w:val="28"/>
          <w:u w:val="single"/>
          <w:lang w:val="en-US" w:eastAsia="zh-CN" w:bidi="ar"/>
        </w:rPr>
        <w:t xml:space="preserve"> 1 </w:t>
      </w:r>
      <w:r>
        <w:rPr>
          <w:rFonts w:hint="eastAsia" w:ascii="仿宋_GB2312" w:hAnsi="Times New Roman" w:eastAsia="仿宋_GB2312" w:cs="仿宋_GB2312"/>
          <w:bCs/>
          <w:kern w:val="2"/>
          <w:sz w:val="28"/>
          <w:szCs w:val="28"/>
          <w:lang w:val="en-US" w:eastAsia="zh-CN" w:bidi="ar"/>
        </w:rPr>
        <w:t>日通知乙方，乙方应无条件服从，因此产生的费用由乙方承担。</w:t>
      </w:r>
    </w:p>
    <w:p w14:paraId="1D62D960">
      <w:pPr>
        <w:pStyle w:val="16"/>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Calibri" w:eastAsia="仿宋_GB2312" w:cs="仿宋_GB2312"/>
          <w:bCs/>
          <w:kern w:val="2"/>
          <w:sz w:val="28"/>
          <w:szCs w:val="28"/>
          <w:lang w:val="en-US" w:eastAsia="zh-CN" w:bidi="ar"/>
        </w:rPr>
        <w:t>3.乙方应随设备向甲方交付设备中文版《使用说明书》等与本合同设备使用有关的所有资料。如为进口设备，乙方还应提供进口设备原产地证、检测报告、检验检疫证明、进口报关手续等资料。</w:t>
      </w:r>
    </w:p>
    <w:p w14:paraId="2780DE8F">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5" w:name="_Toc1684"/>
      <w:r>
        <w:rPr>
          <w:rFonts w:hint="eastAsia" w:ascii="仿宋_GB2312" w:hAnsi="Times New Roman" w:eastAsia="仿宋_GB2312" w:cs="仿宋_GB2312"/>
          <w:b/>
          <w:bCs w:val="0"/>
          <w:kern w:val="2"/>
          <w:sz w:val="28"/>
          <w:szCs w:val="28"/>
          <w:lang w:val="en-US" w:eastAsia="zh-CN" w:bidi="ar"/>
        </w:rPr>
        <w:t>第八条  安装调试</w:t>
      </w:r>
      <w:bookmarkEnd w:id="175"/>
    </w:p>
    <w:p w14:paraId="341EA76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000000" w:themeColor="text1"/>
          <w:kern w:val="2"/>
          <w:sz w:val="28"/>
          <w:szCs w:val="28"/>
          <w14:textFill>
            <w14:solidFill>
              <w14:schemeClr w14:val="tx1"/>
            </w14:solidFill>
          </w14:textFill>
        </w:rPr>
      </w:pPr>
      <w:r>
        <w:rPr>
          <w:rFonts w:hint="eastAsia" w:ascii="仿宋_GB2312" w:hAnsi="Times New Roman" w:eastAsia="仿宋_GB2312" w:cs="仿宋_GB2312"/>
          <w:bCs/>
          <w:kern w:val="2"/>
          <w:sz w:val="28"/>
          <w:szCs w:val="28"/>
          <w:lang w:val="en-US" w:eastAsia="zh-CN" w:bidi="ar"/>
        </w:rPr>
        <w:t>1.安装调试时间</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：自交货</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日内完成。</w:t>
      </w:r>
    </w:p>
    <w:p w14:paraId="5F47CA3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2.乙方负责合同项下设备的安装、调</w:t>
      </w:r>
      <w:r>
        <w:rPr>
          <w:rFonts w:hint="eastAsia" w:ascii="仿宋_GB2312" w:hAnsi="Times New Roman" w:eastAsia="仿宋_GB2312" w:cs="仿宋_GB2312"/>
          <w:bCs/>
          <w:kern w:val="2"/>
          <w:sz w:val="28"/>
          <w:szCs w:val="28"/>
          <w:lang w:val="en-US" w:eastAsia="zh-CN" w:bidi="ar"/>
        </w:rPr>
        <w:t>试，一切费用及责任由乙方承担。</w:t>
      </w:r>
    </w:p>
    <w:p w14:paraId="0950F28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设备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设备相符且完整的资料，提供包括但不限于如下资料：①产品安装、操作和维修手册②中文版使用说明书③出厂合格证（进口产品提供进口报关单及检疫证明）④到货清单。</w:t>
      </w:r>
    </w:p>
    <w:p w14:paraId="4A93200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21A3797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Cs/>
          <w:kern w:val="2"/>
          <w:sz w:val="28"/>
          <w:szCs w:val="28"/>
          <w:lang w:val="en-US" w:eastAsia="zh-CN" w:bidi="ar"/>
        </w:rPr>
        <w:t>5.如乙方人员（包括受乙方委托提供送货、安装、调试等服务的人员）应提供安全、专业的服务，如在送货、安装、调试过程中造成乙方及乙方服务人员自身、甲方及甲方人员或者任何第三方的人身或财产损害，应由乙方自行承担责任；</w:t>
      </w:r>
    </w:p>
    <w:p w14:paraId="66E68496">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6" w:name="_Toc25027"/>
      <w:r>
        <w:rPr>
          <w:rFonts w:hint="eastAsia" w:ascii="仿宋_GB2312" w:hAnsi="Times New Roman" w:eastAsia="仿宋_GB2312" w:cs="仿宋_GB2312"/>
          <w:b/>
          <w:bCs w:val="0"/>
          <w:kern w:val="2"/>
          <w:sz w:val="28"/>
          <w:szCs w:val="28"/>
          <w:lang w:val="en-US" w:eastAsia="zh-CN" w:bidi="ar"/>
        </w:rPr>
        <w:t>第九条  验收</w:t>
      </w:r>
      <w:bookmarkEnd w:id="176"/>
    </w:p>
    <w:p w14:paraId="5A4AD28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1.验收时间：设备安装调试完毕，并正常运行后</w:t>
      </w:r>
      <w:r>
        <w:rPr>
          <w:rFonts w:hint="eastAsia" w:ascii="仿宋_GB2312" w:hAnsi="Times New Roman" w:eastAsia="仿宋_GB2312" w:cs="仿宋_GB2312"/>
          <w:bCs/>
          <w:color w:val="FF0000"/>
          <w:kern w:val="2"/>
          <w:sz w:val="28"/>
          <w:szCs w:val="28"/>
          <w:u w:val="single"/>
          <w:lang w:val="en-US" w:eastAsia="zh-CN" w:bidi="ar"/>
        </w:rPr>
        <w:t xml:space="preserve">  </w:t>
      </w:r>
      <w:r>
        <w:rPr>
          <w:rFonts w:hint="eastAsia" w:ascii="仿宋_GB2312" w:hAnsi="Times New Roman" w:eastAsia="仿宋_GB2312" w:cs="仿宋_GB2312"/>
          <w:bCs/>
          <w:kern w:val="2"/>
          <w:sz w:val="28"/>
          <w:szCs w:val="28"/>
          <w:lang w:val="en-US" w:eastAsia="zh-CN" w:bidi="ar"/>
        </w:rPr>
        <w:t>日内。</w:t>
      </w:r>
    </w:p>
    <w:p w14:paraId="666954D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验收日期前乙方必须完成合同约定的各项培训，包括对甲方相关人员进行设备使用培训及日常保养培训并提供培训记录。现场验收时乙方提供必要的技术支持并协助甲方完成各项指标和功能的测试，否则因验收延误产生的后果由乙方负责。</w:t>
      </w:r>
    </w:p>
    <w:p w14:paraId="5628763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3.合同设备安装调试完毕后，乙方应及时书面提请验收。甲乙双方共同对</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的包装、外观、数量、商标、型号、规格、质量以及设备随附单证、资料等进行验收。经双方验收后，由双方共同签署验收报告。乙方提供的设备及其随附物件的风险在经验收合格后转移至甲方。因乙方未及时书面提请验收造成付款延误的，由乙方自行承担责任。</w:t>
      </w:r>
    </w:p>
    <w:p w14:paraId="6085CCA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乙方提供的各种文件载明的内容必须真实，甲方对产品的技术数据置疑时，有权要求乙方按照双方认可的第三方检测机构出具的检验方法进行检测（检测费用由乙方承担），检测结果必须证明乙方提供的技术数据是真实的，否则视为不合格。</w:t>
      </w:r>
    </w:p>
    <w:p w14:paraId="738C1179">
      <w:pPr>
        <w:keepNext w:val="0"/>
        <w:keepLines w:val="0"/>
        <w:widowControl w:val="0"/>
        <w:suppressLineNumbers w:val="0"/>
        <w:tabs>
          <w:tab w:val="left" w:pos="780"/>
        </w:tabs>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验收发现设备短装、损坏或质量不符合本合同之规定，不论何种原因导致，在甲方提出换货要求的情况下，乙方应及时安排换货，以保证合同设备如期安装、通过验收。换货的相关费用和相应后果由乙方承担，验收时间不予顺延。</w:t>
      </w:r>
    </w:p>
    <w:p w14:paraId="581AEB88">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7" w:name="_Toc22375"/>
      <w:r>
        <w:rPr>
          <w:rFonts w:hint="eastAsia" w:ascii="仿宋_GB2312" w:hAnsi="Times New Roman" w:eastAsia="仿宋_GB2312" w:cs="仿宋_GB2312"/>
          <w:b/>
          <w:bCs w:val="0"/>
          <w:kern w:val="2"/>
          <w:sz w:val="28"/>
          <w:szCs w:val="28"/>
          <w:lang w:val="en-US" w:eastAsia="zh-CN" w:bidi="ar"/>
        </w:rPr>
        <w:t>第十条 权利保证</w:t>
      </w:r>
      <w:bookmarkEnd w:id="177"/>
    </w:p>
    <w:p w14:paraId="6DEBE08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1.</w:t>
      </w:r>
      <w:r>
        <w:rPr>
          <w:rFonts w:hint="eastAsia" w:ascii="仿宋_GB2312" w:hAnsi="Times New Roman" w:eastAsia="仿宋_GB2312" w:cs="仿宋_GB2312"/>
          <w:kern w:val="2"/>
          <w:sz w:val="28"/>
          <w:szCs w:val="28"/>
          <w:lang w:val="en-US" w:eastAsia="zh-CN" w:bidi="ar"/>
        </w:rPr>
        <w:t>乙方保证所提供的设备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设备造成的全部损失、律师费、诉讼费、取证费、差旅费、保全费、担保费、鉴证费、公证费、执行费以及间接损失等。</w:t>
      </w:r>
    </w:p>
    <w:p w14:paraId="0E5F35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2.乙方保证所提供的设备符合征集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设备的损失及因纠纷造成的其他损失（如被保全等）、甲方为解决纠纷支出的律师费、诉讼费、保全费、担保费、差旅费、鉴证费、公证费、执行费等全部费用以及全部间接损失。</w:t>
      </w:r>
    </w:p>
    <w:p w14:paraId="74A5506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3.如有关法院、仲裁机构或行政机关禁止甲方继续使用本合同项目下设备的部分或全部，乙方应酌情采取以下措施之一：</w:t>
      </w:r>
    </w:p>
    <w:p w14:paraId="68CEDF5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（1）使甲方重新免费获得使用上述设备的权利； </w:t>
      </w:r>
    </w:p>
    <w:p w14:paraId="1CBDBA2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（2）免费更换或改造上述设备，使甲方不受上述禁令限制继续使用该设备。</w:t>
      </w:r>
    </w:p>
    <w:p w14:paraId="748CF3D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乙方采取上述措施不能免除乙方就甲方因此遭受的损失进行赔偿的义务。</w:t>
      </w:r>
    </w:p>
    <w:p w14:paraId="034A79A9">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8" w:name="_Toc21144"/>
      <w:r>
        <w:rPr>
          <w:rFonts w:hint="eastAsia" w:ascii="仿宋_GB2312" w:hAnsi="Times New Roman" w:eastAsia="仿宋_GB2312" w:cs="仿宋_GB2312"/>
          <w:b/>
          <w:bCs w:val="0"/>
          <w:kern w:val="2"/>
          <w:sz w:val="28"/>
          <w:szCs w:val="28"/>
          <w:lang w:val="en-US" w:eastAsia="zh-CN" w:bidi="ar"/>
        </w:rPr>
        <w:t>第十一条  违约责任</w:t>
      </w:r>
      <w:bookmarkEnd w:id="178"/>
    </w:p>
    <w:p w14:paraId="2DAF2192">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1.甲方无正当理由拒收设备、拒付设备款的，甲方向乙方偿付其所拒收设备总值的</w:t>
      </w:r>
      <w:r>
        <w:rPr>
          <w:rFonts w:hint="eastAsia" w:ascii="仿宋_GB2312" w:hAnsi="Times New Roman" w:eastAsia="仿宋_GB2312" w:cs="仿宋_GB2312"/>
          <w:kern w:val="2"/>
          <w:sz w:val="28"/>
          <w:szCs w:val="28"/>
          <w:u w:val="single"/>
          <w:lang w:val="en-US" w:eastAsia="zh-CN" w:bidi="ar"/>
        </w:rPr>
        <w:t xml:space="preserve"> 10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73CAB818">
      <w:pPr>
        <w:pStyle w:val="47"/>
        <w:widowControl/>
        <w:adjustRightInd w:val="0"/>
        <w:snapToGrid w:val="0"/>
        <w:spacing w:line="560" w:lineRule="exact"/>
        <w:ind w:left="0" w:firstLine="602"/>
        <w:jc w:val="left"/>
        <w:rPr>
          <w:rFonts w:hint="default" w:ascii="Calibri" w:hAnsi="Calibri" w:eastAsia="宋体" w:cs="Times New Roman"/>
          <w:kern w:val="2"/>
          <w:sz w:val="24"/>
          <w:szCs w:val="24"/>
        </w:rPr>
      </w:pPr>
      <w:r>
        <w:rPr>
          <w:rFonts w:hint="eastAsia" w:ascii="仿宋_GB2312" w:eastAsia="仿宋_GB2312" w:cs="仿宋_GB2312"/>
          <w:bCs/>
          <w:kern w:val="2"/>
          <w:sz w:val="28"/>
          <w:szCs w:val="28"/>
        </w:rPr>
        <w:t>2.甲方逾期付设备款的，甲方向乙方每日偿付欠款总额</w:t>
      </w:r>
      <w:r>
        <w:rPr>
          <w:rFonts w:hint="eastAsia" w:ascii="仿宋_GB2312" w:eastAsia="仿宋_GB2312" w:cs="仿宋_GB2312"/>
          <w:kern w:val="2"/>
          <w:sz w:val="28"/>
          <w:szCs w:val="28"/>
          <w:u w:val="single"/>
        </w:rPr>
        <w:t xml:space="preserve">  1  </w:t>
      </w:r>
      <w:r>
        <w:rPr>
          <w:rFonts w:hint="eastAsia" w:ascii="仿宋_GB2312" w:eastAsia="仿宋_GB2312" w:cs="仿宋_GB2312"/>
          <w:kern w:val="2"/>
          <w:sz w:val="28"/>
          <w:szCs w:val="28"/>
        </w:rPr>
        <w:t>‰</w:t>
      </w:r>
      <w:r>
        <w:rPr>
          <w:rFonts w:hint="eastAsia" w:ascii="仿宋_GB2312" w:eastAsia="仿宋_GB2312" w:cs="仿宋_GB2312"/>
          <w:bCs/>
          <w:kern w:val="2"/>
          <w:sz w:val="28"/>
          <w:szCs w:val="28"/>
        </w:rPr>
        <w:t>的违约金，违约金总额最高不超过逾期支付设备款项的5%。但因甲方使用的是财政资金，甲方应在约定期限内办理财政支付申请手续（不含政府财政支付部门审核的时间）。因财政支付流程造成的延误，应视为甲方依约履行，甲方不承担任何逾期付款的违约责任。</w:t>
      </w:r>
    </w:p>
    <w:p w14:paraId="443668E0">
      <w:pPr>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3.乙方逾期交付设备的，每逾期1日，乙方向甲方偿付</w:t>
      </w:r>
      <w:r>
        <w:rPr>
          <w:rFonts w:hint="eastAsia" w:ascii="仿宋_GB2312" w:hAnsi="Times New Roman" w:eastAsia="仿宋_GB2312" w:cs="仿宋_GB2312"/>
          <w:bCs/>
          <w:kern w:val="2"/>
          <w:sz w:val="28"/>
          <w:szCs w:val="28"/>
          <w:lang w:val="en-US" w:eastAsia="zh-CN" w:bidi="ar"/>
        </w:rPr>
        <w:t>本合同总价款</w:t>
      </w:r>
      <w:r>
        <w:rPr>
          <w:rFonts w:hint="eastAsia" w:ascii="仿宋_GB2312" w:hAnsi="Times New Roman" w:eastAsia="仿宋_GB2312" w:cs="仿宋_GB2312"/>
          <w:kern w:val="2"/>
          <w:sz w:val="28"/>
          <w:szCs w:val="28"/>
          <w:u w:val="single"/>
          <w:lang w:val="en-US" w:eastAsia="zh-CN" w:bidi="ar"/>
        </w:rPr>
        <w:t xml:space="preserve">  5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r>
        <w:rPr>
          <w:rFonts w:hint="eastAsia" w:ascii="仿宋_GB2312" w:hAnsi="Times New Roman" w:eastAsia="仿宋_GB2312" w:cs="仿宋_GB2312"/>
          <w:kern w:val="2"/>
          <w:sz w:val="28"/>
          <w:szCs w:val="28"/>
          <w:lang w:val="en-US" w:eastAsia="zh-CN" w:bidi="ar"/>
        </w:rPr>
        <w:t>。如乙方逾期交货达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日，甲方有权单方解除合同，同时乙方应向甲方</w:t>
      </w:r>
      <w:r>
        <w:rPr>
          <w:rFonts w:hint="eastAsia" w:ascii="仿宋_GB2312" w:hAnsi="Times New Roman" w:eastAsia="仿宋_GB2312" w:cs="仿宋_GB2312"/>
          <w:bCs/>
          <w:kern w:val="2"/>
          <w:sz w:val="28"/>
          <w:szCs w:val="28"/>
          <w:lang w:val="en-US" w:eastAsia="zh-CN" w:bidi="ar"/>
        </w:rPr>
        <w:t>支付合同总价款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25819B11">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4.乙方所交付的设备品种、型号、规格、质量标准等不符合合同约定的，甲方有权要求乙方进行退换货处理;设备已安装的，乙方须按照甲方要求的时间、方式拆除处置乙方设备，由此产生一切费用（含恢复原状费用）由乙方承担。乙方在甲方要求时间内不予处置的，甲方有权自行处置，乙方应向甲方支付货款总额</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％的违约金。乙方因退换货造成逾期交货的，按本条第3点的约定执行。</w:t>
      </w:r>
    </w:p>
    <w:p w14:paraId="6F6DC6D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5.在乙方承诺的或国家规定的质量保证期内（取两者中最长的期限），如经乙方两次维修或更换，设备仍不能达到合同约定的质量标准，甲方有权单方解除合同，乙方应退回全部货款并赔偿甲方因此遭受的损失，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46B6D9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6.乙方未履行本合同项下的其他义务或违反征集文件的要求或其在投标文件中的相关承诺的，乙方须在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内改正，未能在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内改正且无正当理由的，甲方有权单方解除合同，乙方应退回全部货款，同时乙方应向甲方支付合同总价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B50EAB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7.乙方在承担上述一项或多项违约责任后，仍应继续履行合同规定的义务（甲方解除合同的除外）。甲方未能及时追究乙方的任何一项违约责任并不表明甲方放弃追究乙方该项或其他违约责任。</w:t>
      </w:r>
    </w:p>
    <w:p w14:paraId="7DCC9C7C">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8.合同双方认为应补充的内容（不违反招投标文件及相关法律法规）：</w:t>
      </w:r>
      <w:r>
        <w:rPr>
          <w:rFonts w:hint="eastAsia" w:ascii="仿宋_GB2312" w:hAnsi="Times New Roman" w:eastAsia="仿宋_GB2312" w:cs="仿宋_GB2312"/>
          <w:kern w:val="2"/>
          <w:sz w:val="28"/>
          <w:szCs w:val="28"/>
          <w:u w:val="single"/>
          <w:lang w:val="en-US" w:eastAsia="zh-CN" w:bidi="ar"/>
        </w:rPr>
        <w:t xml:space="preserve">   无   </w:t>
      </w:r>
    </w:p>
    <w:p w14:paraId="6FF5175D">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9" w:name="_Toc14233"/>
      <w:r>
        <w:rPr>
          <w:rFonts w:hint="eastAsia" w:ascii="仿宋_GB2312" w:hAnsi="Times New Roman" w:eastAsia="仿宋_GB2312" w:cs="仿宋_GB2312"/>
          <w:b/>
          <w:bCs w:val="0"/>
          <w:kern w:val="2"/>
          <w:sz w:val="28"/>
          <w:szCs w:val="28"/>
          <w:lang w:val="en-US" w:eastAsia="zh-CN" w:bidi="ar"/>
        </w:rPr>
        <w:t>第十二条  不可抗力</w:t>
      </w:r>
      <w:bookmarkEnd w:id="179"/>
    </w:p>
    <w:p w14:paraId="4E4FA3D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4）</w:t>
      </w:r>
      <w:r>
        <w:rPr>
          <w:rFonts w:hint="eastAsia" w:ascii="仿宋_GB2312" w:hAnsi="Times New Roman" w:eastAsia="仿宋_GB2312" w:cs="仿宋_GB2312"/>
          <w:kern w:val="2"/>
          <w:sz w:val="28"/>
          <w:szCs w:val="28"/>
          <w:lang w:val="en-US" w:eastAsia="zh-CN" w:bidi="ar"/>
        </w:rPr>
        <w:t>突发公共卫生事件</w:t>
      </w:r>
      <w:r>
        <w:rPr>
          <w:rFonts w:hint="eastAsia" w:ascii="仿宋_GB2312" w:hAnsi="Times New Roman" w:eastAsia="仿宋_GB2312" w:cs="仿宋_GB2312"/>
          <w:bCs/>
          <w:kern w:val="2"/>
          <w:sz w:val="28"/>
          <w:szCs w:val="28"/>
          <w:lang w:val="en-US" w:eastAsia="zh-CN" w:bidi="ar"/>
        </w:rPr>
        <w:t>等。</w:t>
      </w:r>
    </w:p>
    <w:p w14:paraId="033C406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4278B0B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3170BE3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6116D662">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u w:val="single"/>
        </w:rPr>
      </w:pPr>
      <w:bookmarkStart w:id="180" w:name="_Toc1028"/>
      <w:r>
        <w:rPr>
          <w:rFonts w:hint="eastAsia" w:ascii="仿宋_GB2312" w:hAnsi="Times New Roman" w:eastAsia="仿宋_GB2312" w:cs="仿宋_GB2312"/>
          <w:b/>
          <w:bCs w:val="0"/>
          <w:kern w:val="2"/>
          <w:sz w:val="28"/>
          <w:szCs w:val="28"/>
          <w:lang w:val="en-US" w:eastAsia="zh-CN" w:bidi="ar"/>
        </w:rPr>
        <w:t>第十三条 变更、终止条款</w:t>
      </w:r>
      <w:bookmarkEnd w:id="180"/>
    </w:p>
    <w:p w14:paraId="7473535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1.除继续履行将损害国家利益和社会公共利益的外，双方不得擅自变更或者终止合同，确有需要的，甲乙双方应根据相关规定完成合同变更程序。</w:t>
      </w:r>
    </w:p>
    <w:p w14:paraId="7A67EE9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2.如继续履行将损害国家利益和社会公共利益的，主张变更或终止权利一方应在终止事件或情形发生时通知另一方。双方另行签订变更或终止协议。</w:t>
      </w:r>
    </w:p>
    <w:p w14:paraId="6227716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kern w:val="2"/>
          <w:sz w:val="28"/>
          <w:szCs w:val="28"/>
          <w:lang w:val="en-US" w:eastAsia="zh-CN" w:bidi="ar"/>
        </w:rPr>
        <w:t>3.合同履行期间，相关法律、法规、规章、规范性文件和政策发生变化或者颁布新的规定，导致本合同的履行依据发生变化的，双方可以按照修改后或者新的规定执行，并另行签订变更协议。</w:t>
      </w:r>
    </w:p>
    <w:p w14:paraId="694F3FFF">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1" w:name="_Toc28393"/>
      <w:r>
        <w:rPr>
          <w:rFonts w:hint="eastAsia" w:ascii="仿宋_GB2312" w:hAnsi="Times New Roman" w:eastAsia="仿宋_GB2312" w:cs="仿宋_GB2312"/>
          <w:b/>
          <w:bCs w:val="0"/>
          <w:kern w:val="2"/>
          <w:sz w:val="28"/>
          <w:szCs w:val="28"/>
          <w:lang w:val="en-US" w:eastAsia="zh-CN" w:bidi="ar"/>
        </w:rPr>
        <w:t>第十四条  争议解决</w:t>
      </w:r>
      <w:bookmarkEnd w:id="181"/>
    </w:p>
    <w:p w14:paraId="54A4032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1.因设备的质量问题发生争议，由国家和市政府指定的技术单位进行质量鉴定，该鉴定结论是终局的，甲乙双方应当接受。</w:t>
      </w:r>
    </w:p>
    <w:p w14:paraId="4488280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2.因履行本合同引起的或与本合同有关的争议，甲、乙双方应首先通过友好协商解决，如果协商不能解决争议，则向甲方所在地有管辖权的人民法院提起诉讼。</w:t>
      </w:r>
    </w:p>
    <w:p w14:paraId="4DE7BD5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3.有关本协议的效力、解释及可执行性的所有问题均应当受中华人民共和国法律管辖并按照其法律进行解释。</w:t>
      </w:r>
    </w:p>
    <w:p w14:paraId="1308FC55">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2" w:name="_Toc13943"/>
      <w:r>
        <w:rPr>
          <w:rFonts w:hint="eastAsia" w:ascii="仿宋_GB2312" w:hAnsi="Times New Roman" w:eastAsia="仿宋_GB2312" w:cs="仿宋_GB2312"/>
          <w:b/>
          <w:bCs w:val="0"/>
          <w:kern w:val="2"/>
          <w:sz w:val="28"/>
          <w:szCs w:val="28"/>
          <w:lang w:val="en-US" w:eastAsia="zh-CN" w:bidi="ar"/>
        </w:rPr>
        <w:t>第十五条  保密责任</w:t>
      </w:r>
      <w:bookmarkEnd w:id="182"/>
    </w:p>
    <w:p w14:paraId="0122AC3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7847E6C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bCs/>
          <w:kern w:val="2"/>
          <w:sz w:val="28"/>
          <w:szCs w:val="28"/>
          <w:lang w:val="en-US" w:eastAsia="zh-CN" w:bidi="ar"/>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255E804D">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3" w:name="_Toc7432"/>
      <w:r>
        <w:rPr>
          <w:rFonts w:hint="eastAsia" w:ascii="仿宋_GB2312" w:hAnsi="Times New Roman" w:eastAsia="仿宋_GB2312" w:cs="仿宋_GB2312"/>
          <w:b/>
          <w:bCs w:val="0"/>
          <w:kern w:val="2"/>
          <w:sz w:val="28"/>
          <w:szCs w:val="28"/>
          <w:lang w:val="en-US" w:eastAsia="zh-CN" w:bidi="ar"/>
        </w:rPr>
        <w:t>第十六条  通信送达</w:t>
      </w:r>
      <w:bookmarkEnd w:id="183"/>
    </w:p>
    <w:p w14:paraId="624E538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1.乙方履行本合同的指定联系人及授</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权代表为</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；职务</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销售经理</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；联系电话</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；电子邮箱</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。在履行合同过程中，该指定联系人及授权代表的行为、意思表示及对甲方所作的任何</w:t>
      </w:r>
      <w:r>
        <w:rPr>
          <w:rFonts w:hint="eastAsia" w:ascii="仿宋_GB2312" w:hAnsi="Times New Roman" w:eastAsia="仿宋_GB2312" w:cs="仿宋_GB2312"/>
          <w:bCs/>
          <w:kern w:val="2"/>
          <w:sz w:val="28"/>
          <w:szCs w:val="28"/>
          <w:lang w:val="en-US" w:eastAsia="zh-CN" w:bidi="ar"/>
        </w:rPr>
        <w:t>承诺、通知等，都对乙方直接具有约束力；甲方通知送达该联系人及授权代表时，即视为通知送达乙方。</w:t>
      </w:r>
    </w:p>
    <w:p w14:paraId="339E78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2.乙方的指定联系人、授权代表的信息发生变化的，或乙方联系地址、电话等发生变化的，应提前5个工作日书面通知到甲方。否则相关送达的不利后果及责任，由乙方自行承担。</w:t>
      </w:r>
    </w:p>
    <w:p w14:paraId="5543FC9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3.如上述地址无法送达的，以双方当事人的注册地址作为送达地址。</w:t>
      </w:r>
    </w:p>
    <w:p w14:paraId="1C321F4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4" w:name="_Toc28631"/>
      <w:r>
        <w:rPr>
          <w:rFonts w:hint="eastAsia" w:ascii="仿宋_GB2312" w:hAnsi="Times New Roman" w:eastAsia="仿宋_GB2312" w:cs="仿宋_GB2312"/>
          <w:b/>
          <w:bCs w:val="0"/>
          <w:kern w:val="2"/>
          <w:sz w:val="28"/>
          <w:szCs w:val="28"/>
          <w:lang w:val="en-US" w:eastAsia="zh-CN" w:bidi="ar"/>
        </w:rPr>
        <w:t>第十七条  廉洁合作</w:t>
      </w:r>
      <w:bookmarkEnd w:id="184"/>
    </w:p>
    <w:p w14:paraId="4300A40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14E0434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8E4A2A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5" w:name="_Toc26962"/>
      <w:r>
        <w:rPr>
          <w:rFonts w:hint="eastAsia" w:ascii="仿宋_GB2312" w:hAnsi="Times New Roman" w:eastAsia="仿宋_GB2312" w:cs="仿宋_GB2312"/>
          <w:b/>
          <w:bCs w:val="0"/>
          <w:kern w:val="2"/>
          <w:sz w:val="28"/>
          <w:szCs w:val="28"/>
          <w:lang w:val="en-US" w:eastAsia="zh-CN" w:bidi="ar"/>
        </w:rPr>
        <w:t>第十八条  附则</w:t>
      </w:r>
      <w:bookmarkEnd w:id="185"/>
    </w:p>
    <w:p w14:paraId="21CD95D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1.本合同一式</w:t>
      </w:r>
      <w:r>
        <w:rPr>
          <w:rFonts w:hint="eastAsia" w:ascii="仿宋_GB2312" w:hAnsi="Times New Roman" w:eastAsia="仿宋_GB2312" w:cs="仿宋_GB2312"/>
          <w:kern w:val="2"/>
          <w:sz w:val="28"/>
          <w:szCs w:val="28"/>
          <w:u w:val="single"/>
          <w:lang w:val="en-US" w:eastAsia="zh-CN" w:bidi="ar"/>
        </w:rPr>
        <w:t xml:space="preserve"> 陆 </w:t>
      </w:r>
      <w:r>
        <w:rPr>
          <w:rFonts w:hint="eastAsia" w:ascii="仿宋_GB2312" w:hAnsi="Times New Roman" w:eastAsia="仿宋_GB2312" w:cs="仿宋_GB2312"/>
          <w:bCs/>
          <w:kern w:val="2"/>
          <w:sz w:val="28"/>
          <w:szCs w:val="28"/>
          <w:lang w:val="en-US" w:eastAsia="zh-CN" w:bidi="ar"/>
        </w:rPr>
        <w:t>份，甲方执</w:t>
      </w:r>
      <w:r>
        <w:rPr>
          <w:rFonts w:hint="eastAsia" w:ascii="仿宋_GB2312" w:hAnsi="Times New Roman" w:eastAsia="仿宋_GB2312" w:cs="仿宋_GB2312"/>
          <w:kern w:val="2"/>
          <w:sz w:val="28"/>
          <w:szCs w:val="28"/>
          <w:u w:val="single"/>
          <w:lang w:val="en-US" w:eastAsia="zh-CN" w:bidi="ar"/>
        </w:rPr>
        <w:t xml:space="preserve"> 伍 </w:t>
      </w:r>
      <w:r>
        <w:rPr>
          <w:rFonts w:hint="eastAsia" w:ascii="仿宋_GB2312" w:hAnsi="Times New Roman" w:eastAsia="仿宋_GB2312" w:cs="仿宋_GB2312"/>
          <w:bCs/>
          <w:kern w:val="2"/>
          <w:sz w:val="28"/>
          <w:szCs w:val="28"/>
          <w:lang w:val="en-US" w:eastAsia="zh-CN" w:bidi="ar"/>
        </w:rPr>
        <w:t>份、乙方执</w:t>
      </w:r>
      <w:r>
        <w:rPr>
          <w:rFonts w:hint="eastAsia" w:ascii="仿宋_GB2312" w:hAnsi="Times New Roman" w:eastAsia="仿宋_GB2312" w:cs="仿宋_GB2312"/>
          <w:kern w:val="2"/>
          <w:sz w:val="28"/>
          <w:szCs w:val="28"/>
          <w:u w:val="single"/>
          <w:lang w:val="en-US" w:eastAsia="zh-CN" w:bidi="ar"/>
        </w:rPr>
        <w:t xml:space="preserve"> 壹 </w:t>
      </w:r>
      <w:r>
        <w:rPr>
          <w:rFonts w:hint="eastAsia" w:ascii="仿宋_GB2312" w:hAnsi="Times New Roman" w:eastAsia="仿宋_GB2312" w:cs="仿宋_GB2312"/>
          <w:bCs/>
          <w:kern w:val="2"/>
          <w:sz w:val="28"/>
          <w:szCs w:val="28"/>
          <w:lang w:val="en-US" w:eastAsia="zh-CN" w:bidi="ar"/>
        </w:rPr>
        <w:t>份，具有同等法律效力。本合同自双方法定代表人或有权代理人签字并加盖双方公章或合同专用章之日起生效。</w:t>
      </w:r>
    </w:p>
    <w:p w14:paraId="30BA3AC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2.本合同未尽事宜，由双方协商处理，经协商一致可签订补充协议。</w:t>
      </w:r>
    </w:p>
    <w:p w14:paraId="30A3ABE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3.如有设备相关耗材、试剂或易损器械，设备及主要维修配件，乙方应提供并分别列出它们的优惠价格。</w:t>
      </w:r>
    </w:p>
    <w:p w14:paraId="7F4E540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6" w:name="_Toc22233"/>
      <w:r>
        <w:rPr>
          <w:rFonts w:hint="eastAsia" w:ascii="仿宋_GB2312" w:hAnsi="Times New Roman" w:eastAsia="仿宋_GB2312" w:cs="仿宋_GB2312"/>
          <w:b/>
          <w:bCs w:val="0"/>
          <w:kern w:val="2"/>
          <w:sz w:val="28"/>
          <w:szCs w:val="28"/>
          <w:lang w:val="en-US" w:eastAsia="zh-CN" w:bidi="ar"/>
        </w:rPr>
        <w:t>第十九条  合同组成文件</w:t>
      </w:r>
      <w:bookmarkEnd w:id="186"/>
    </w:p>
    <w:p w14:paraId="7EADE49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下列文件为本合同的组成部分，并构成一个整体，需综合解释、相互补充。如果下列文件内容出现不一致的情形，在保证按照采购文件确定的事项的前提下，组成本合同的多个文件的优先适用顺序如下：</w:t>
      </w:r>
    </w:p>
    <w:p w14:paraId="66D58A3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1.本合同及其附件、补充合同、变更协议；</w:t>
      </w:r>
    </w:p>
    <w:p w14:paraId="28FF17B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2.中标通知书；</w:t>
      </w:r>
    </w:p>
    <w:p w14:paraId="566848FE">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3.投标文件（含澄清或者说明文件）；</w:t>
      </w:r>
    </w:p>
    <w:p w14:paraId="5702877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4.征集文件（含澄清或者修改文件）；</w:t>
      </w:r>
    </w:p>
    <w:p w14:paraId="7FBE8B5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5.其他相关采购文件。</w:t>
      </w:r>
    </w:p>
    <w:p w14:paraId="1DBDB0B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附件一：中标通知书</w:t>
      </w:r>
    </w:p>
    <w:p w14:paraId="1CDC973A">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附件二：廉洁合作承诺书（企业承诺）</w:t>
      </w:r>
    </w:p>
    <w:p w14:paraId="79CA7C50">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附件三：廉洁从业承诺书（员工承诺）</w:t>
      </w:r>
    </w:p>
    <w:p w14:paraId="1EFC61B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附件四：配置清单</w:t>
      </w:r>
    </w:p>
    <w:p w14:paraId="138DABC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附件五：技术偏离表</w:t>
      </w:r>
    </w:p>
    <w:p w14:paraId="00F6C0A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附件六：售后服务承诺（含厂家）</w:t>
      </w:r>
    </w:p>
    <w:p w14:paraId="501FDF1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附件七：每年二次的维护计划</w:t>
      </w:r>
    </w:p>
    <w:p w14:paraId="61B1BB1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6F7AE8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7BF623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283FF78">
      <w:pPr>
        <w:keepNext w:val="0"/>
        <w:keepLines w:val="0"/>
        <w:widowControl/>
        <w:suppressLineNumbers w:val="0"/>
        <w:spacing w:before="0" w:beforeAutospacing="0" w:after="0" w:afterAutospacing="0"/>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br w:type="page"/>
      </w:r>
    </w:p>
    <w:p w14:paraId="7094F3A3">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（本页无正文</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，为《XXXX》签署页</w:t>
      </w:r>
      <w:r>
        <w:rPr>
          <w:rFonts w:hint="eastAsia" w:ascii="仿宋_GB2312" w:hAnsi="Times New Roman" w:eastAsia="仿宋_GB2312" w:cs="仿宋_GB2312"/>
          <w:kern w:val="2"/>
          <w:sz w:val="28"/>
          <w:szCs w:val="28"/>
          <w:lang w:val="en-US" w:eastAsia="zh-CN" w:bidi="ar"/>
        </w:rPr>
        <w:t>）</w:t>
      </w:r>
    </w:p>
    <w:p w14:paraId="4F8276B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2EEB678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5D9DE3D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tbl>
      <w:tblPr>
        <w:tblStyle w:val="19"/>
        <w:tblW w:w="5000" w:type="pct"/>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62"/>
        <w:gridCol w:w="4160"/>
      </w:tblGrid>
      <w:tr w14:paraId="13BE996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14D854B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甲方：深圳市福田区第二人民医院</w:t>
            </w:r>
          </w:p>
        </w:tc>
        <w:tc>
          <w:tcPr>
            <w:tcW w:w="2441" w:type="pct"/>
            <w:tcBorders>
              <w:top w:val="nil"/>
              <w:left w:val="nil"/>
              <w:bottom w:val="nil"/>
              <w:right w:val="nil"/>
            </w:tcBorders>
            <w:shd w:val="clear" w:color="auto" w:fill="auto"/>
            <w:vAlign w:val="top"/>
          </w:tcPr>
          <w:p w14:paraId="3C71B5C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乙方：</w:t>
            </w:r>
          </w:p>
        </w:tc>
      </w:tr>
      <w:tr w14:paraId="223952E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1358CA2">
            <w:pPr>
              <w:keepNext w:val="0"/>
              <w:keepLines w:val="0"/>
              <w:widowControl w:val="0"/>
              <w:suppressLineNumbers w:val="0"/>
              <w:spacing w:before="0" w:beforeAutospacing="0" w:after="0" w:afterAutospacing="0" w:line="360" w:lineRule="auto"/>
              <w:ind w:left="0" w:right="0" w:firstLine="840" w:firstLineChars="30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地址：</w:t>
            </w:r>
          </w:p>
        </w:tc>
        <w:tc>
          <w:tcPr>
            <w:tcW w:w="2441" w:type="pct"/>
            <w:tcBorders>
              <w:top w:val="nil"/>
              <w:left w:val="nil"/>
              <w:bottom w:val="nil"/>
              <w:right w:val="nil"/>
            </w:tcBorders>
            <w:shd w:val="clear" w:color="auto" w:fill="auto"/>
            <w:vAlign w:val="top"/>
          </w:tcPr>
          <w:p w14:paraId="344D2F8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址：</w:t>
            </w:r>
          </w:p>
        </w:tc>
      </w:tr>
      <w:tr w14:paraId="1DC6AC5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4BC953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p w14:paraId="2A2D2CB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4DAE673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tc>
      </w:tr>
      <w:tr w14:paraId="338836D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F1B7B5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p w14:paraId="2B13E92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69E7D06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tc>
      </w:tr>
      <w:tr w14:paraId="066AEE4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9AF21A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c>
          <w:tcPr>
            <w:tcW w:w="2441" w:type="pct"/>
            <w:tcBorders>
              <w:top w:val="nil"/>
              <w:left w:val="nil"/>
              <w:bottom w:val="nil"/>
              <w:right w:val="nil"/>
            </w:tcBorders>
            <w:shd w:val="clear" w:color="auto" w:fill="auto"/>
            <w:vAlign w:val="top"/>
          </w:tcPr>
          <w:p w14:paraId="245F03F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r>
      <w:tr w14:paraId="1B11505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CD57FB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c>
          <w:tcPr>
            <w:tcW w:w="2441" w:type="pct"/>
            <w:tcBorders>
              <w:top w:val="nil"/>
              <w:left w:val="nil"/>
              <w:bottom w:val="nil"/>
              <w:right w:val="nil"/>
            </w:tcBorders>
            <w:shd w:val="clear" w:color="auto" w:fill="auto"/>
            <w:vAlign w:val="top"/>
          </w:tcPr>
          <w:p w14:paraId="0C5397A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r>
      <w:tr w14:paraId="3641142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EA15F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c>
          <w:tcPr>
            <w:tcW w:w="2441" w:type="pct"/>
            <w:tcBorders>
              <w:top w:val="nil"/>
              <w:left w:val="nil"/>
              <w:bottom w:val="nil"/>
              <w:right w:val="nil"/>
            </w:tcBorders>
            <w:shd w:val="clear" w:color="auto" w:fill="auto"/>
            <w:vAlign w:val="top"/>
          </w:tcPr>
          <w:p w14:paraId="05A37C2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r>
      <w:tr w14:paraId="5467284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4C27A9F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c>
          <w:tcPr>
            <w:tcW w:w="2441" w:type="pct"/>
            <w:tcBorders>
              <w:top w:val="nil"/>
              <w:left w:val="nil"/>
              <w:bottom w:val="nil"/>
              <w:right w:val="nil"/>
            </w:tcBorders>
            <w:shd w:val="clear" w:color="auto" w:fill="auto"/>
            <w:vAlign w:val="top"/>
          </w:tcPr>
          <w:p w14:paraId="73E6F56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r>
    </w:tbl>
    <w:p w14:paraId="48D2DAA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FDF13A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6B3E0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1F751C3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3BA9FD39">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仿宋_GB2312" w:eastAsia="仿宋_GB2312" w:cs="仿宋_GB2312"/>
          <w:b/>
          <w:bCs/>
          <w:kern w:val="0"/>
          <w:sz w:val="28"/>
          <w:szCs w:val="28"/>
        </w:rPr>
      </w:pPr>
      <w:r>
        <w:rPr>
          <w:rFonts w:hint="eastAsia" w:ascii="仿宋_GB2312" w:hAnsi="Times New Roman" w:eastAsia="仿宋_GB2312" w:cs="仿宋_GB2312"/>
          <w:b/>
          <w:bCs/>
          <w:kern w:val="0"/>
          <w:sz w:val="28"/>
          <w:szCs w:val="28"/>
          <w:lang w:val="en-US" w:eastAsia="zh-CN" w:bidi="ar"/>
        </w:rPr>
        <w:t>附件一：中标通知书</w:t>
      </w:r>
    </w:p>
    <w:p w14:paraId="3C84B435">
      <w:pPr>
        <w:keepNext w:val="0"/>
        <w:keepLines w:val="0"/>
        <w:widowControl/>
        <w:suppressLineNumbers w:val="0"/>
        <w:spacing w:before="0" w:beforeAutospacing="0" w:after="0" w:afterAutospacing="0"/>
        <w:ind w:left="0" w:right="0"/>
        <w:jc w:val="left"/>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 xml:space="preserve"> </w:t>
      </w:r>
    </w:p>
    <w:p w14:paraId="37E6A5D3">
      <w:pPr>
        <w:keepNext w:val="0"/>
        <w:keepLines w:val="0"/>
        <w:widowControl/>
        <w:suppressLineNumbers w:val="0"/>
        <w:spacing w:before="0" w:beforeAutospacing="0" w:after="0" w:afterAutospacing="0"/>
        <w:ind w:left="0" w:right="0"/>
        <w:jc w:val="left"/>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2"/>
          <w:sz w:val="28"/>
          <w:szCs w:val="28"/>
          <w:lang w:val="en-US" w:eastAsia="zh-CN" w:bidi="ar"/>
        </w:rPr>
        <w:br w:type="page"/>
      </w:r>
    </w:p>
    <w:p w14:paraId="362DF27A">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方正小标宋_GBK" w:hAnsi="方正小标宋_GBK" w:eastAsia="方正小标宋_GBK" w:cs="方正小标宋_GBK"/>
          <w:b/>
          <w:bCs/>
          <w:kern w:val="0"/>
          <w:sz w:val="44"/>
          <w:szCs w:val="44"/>
        </w:rPr>
      </w:pPr>
      <w:r>
        <w:rPr>
          <w:rFonts w:hint="eastAsia" w:ascii="仿宋_GB2312" w:hAnsi="Times New Roman" w:eastAsia="仿宋_GB2312" w:cs="仿宋_GB2312"/>
          <w:b/>
          <w:bCs w:val="0"/>
          <w:kern w:val="0"/>
          <w:sz w:val="28"/>
          <w:szCs w:val="28"/>
          <w:lang w:val="en-US" w:eastAsia="zh-CN" w:bidi="ar"/>
        </w:rPr>
        <w:t>附件二：廉洁合作承诺书（企业承诺）</w:t>
      </w:r>
    </w:p>
    <w:p w14:paraId="3F649317">
      <w:pPr>
        <w:pStyle w:val="16"/>
        <w:keepNext w:val="0"/>
        <w:keepLines w:val="0"/>
        <w:widowControl/>
        <w:suppressLineNumbers w:val="0"/>
        <w:tabs>
          <w:tab w:val="left" w:pos="7497"/>
        </w:tabs>
        <w:spacing w:before="0" w:beforeAutospacing="1" w:after="120" w:afterLines="50" w:afterAutospacing="0" w:line="600" w:lineRule="exact"/>
        <w:ind w:left="0" w:right="0"/>
        <w:jc w:val="center"/>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廉洁合作承诺书</w:t>
      </w:r>
    </w:p>
    <w:p w14:paraId="70CCDE80">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（企业承诺）</w:t>
      </w:r>
    </w:p>
    <w:p w14:paraId="0C7FE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本公司决定参加项目投标。为维护公平竞争的市场秩序，促进企业廉洁从业、诚实守信，特承诺如下：</w:t>
      </w:r>
    </w:p>
    <w:p w14:paraId="5498C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7" w:name="_Toc12621"/>
      <w:r>
        <w:rPr>
          <w:rFonts w:hint="eastAsia" w:ascii="仿宋_GB2312" w:hAnsi="Times New Roman" w:eastAsia="仿宋_GB2312" w:cs="仿宋_GB2312"/>
          <w:kern w:val="0"/>
          <w:sz w:val="28"/>
          <w:szCs w:val="28"/>
          <w:lang w:val="en-US" w:eastAsia="zh-CN" w:bidi="ar"/>
        </w:rPr>
        <w:t>一、严格遵守《中华人民共和国征集投标法》、《中华人民共和国政府采购法》等法律法规，决不发生以下行为：</w:t>
      </w:r>
      <w:bookmarkEnd w:id="187"/>
    </w:p>
    <w:p w14:paraId="05B6A1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1.以他人名义投标，允许其他单位或个人使用本单位资质投标；</w:t>
      </w:r>
    </w:p>
    <w:p w14:paraId="30DBB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2.提供虚假材料，或以其他方式弄虚作假骗取中标；</w:t>
      </w:r>
    </w:p>
    <w:p w14:paraId="6CDDC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3.与征集人或者其他投标人相互串通投标；</w:t>
      </w:r>
    </w:p>
    <w:p w14:paraId="56CFF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4.中标后将项目转包，或违法分包；</w:t>
      </w:r>
    </w:p>
    <w:p w14:paraId="27320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5.中标后与征集人签订背离投标文件及合同实质性内容的私下协议；</w:t>
      </w:r>
    </w:p>
    <w:p w14:paraId="19B58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6.其他违反征集投标、政府采购等法律法规的行为。</w:t>
      </w:r>
    </w:p>
    <w:p w14:paraId="680C4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8" w:name="_Toc26117"/>
      <w:r>
        <w:rPr>
          <w:rFonts w:hint="eastAsia" w:ascii="仿宋_GB2312" w:hAnsi="Times New Roman" w:eastAsia="仿宋_GB2312" w:cs="仿宋_GB2312"/>
          <w:kern w:val="0"/>
          <w:sz w:val="28"/>
          <w:szCs w:val="28"/>
          <w:lang w:val="en-US" w:eastAsia="zh-CN" w:bidi="ar"/>
        </w:rPr>
        <w:t>二、不以任何理由给予采购单位、主管部门、相关单位及其工作人员以下好处：</w:t>
      </w:r>
      <w:bookmarkEnd w:id="188"/>
    </w:p>
    <w:p w14:paraId="6BCA9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0F4FE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3776D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7BD19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4.提供宴请、健身、旅游、娱乐等高消费活动； </w:t>
      </w:r>
    </w:p>
    <w:p w14:paraId="6CB9B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73BFB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三、不以任何理由为采购单位、主管部门、相关单位的工作人员及其配偶、子女等亲属的工作安排以及出国（境）等提供方便。</w:t>
      </w:r>
    </w:p>
    <w:p w14:paraId="68BC2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四、自觉接受有关部门和派驻廉政监察组等机构的监督，积极配合采购单位开展廉政文化进工程工作，加强廉洁从业环境宣传、项目管理制度建设，多种形式开展廉洁教育。</w:t>
      </w:r>
    </w:p>
    <w:p w14:paraId="19F8A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上述承诺如有违反，愿接受录入诚信档案的处理，构成违纪违法的，由相关部门依纪依法作出处理。</w:t>
      </w:r>
    </w:p>
    <w:p w14:paraId="4877F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（本承诺书由投标人法定代表人签名，并加盖公章；一式贰份，采购单位与履约供应商各持壹份。）</w:t>
      </w:r>
    </w:p>
    <w:p w14:paraId="150BE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 xml:space="preserve"> </w:t>
      </w:r>
    </w:p>
    <w:p w14:paraId="76269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  </w:t>
      </w:r>
    </w:p>
    <w:p w14:paraId="17047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法定代表人签名：</w:t>
      </w:r>
    </w:p>
    <w:p w14:paraId="67FFC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承诺单位（公章）：</w:t>
      </w:r>
    </w:p>
    <w:p w14:paraId="70C02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eastAsia="仿宋_GB2312" w:cs="仿宋_GB2312"/>
          <w:kern w:val="2"/>
          <w:sz w:val="28"/>
          <w:szCs w:val="28"/>
        </w:rPr>
      </w:pPr>
      <w:r>
        <w:rPr>
          <w:rFonts w:hint="eastAsia" w:ascii="仿宋_GB2312" w:hAnsi="Times New Roman" w:eastAsia="仿宋_GB2312" w:cs="仿宋_GB2312"/>
          <w:kern w:val="0"/>
          <w:sz w:val="28"/>
          <w:szCs w:val="28"/>
          <w:lang w:val="en-US" w:eastAsia="zh-CN" w:bidi="ar"/>
        </w:rPr>
        <w:t>承诺日期：</w:t>
      </w:r>
      <w:r>
        <w:rPr>
          <w:rFonts w:hint="eastAsia" w:ascii="仿宋_GB2312" w:hAnsi="Times New Roman" w:eastAsia="仿宋_GB2312" w:cs="仿宋_GB2312"/>
          <w:kern w:val="2"/>
          <w:sz w:val="28"/>
          <w:szCs w:val="28"/>
          <w:lang w:val="en-US" w:eastAsia="zh-CN" w:bidi="ar"/>
        </w:rPr>
        <w:br w:type="page"/>
      </w:r>
    </w:p>
    <w:p w14:paraId="26DE5847">
      <w:pPr>
        <w:keepNext w:val="0"/>
        <w:keepLines w:val="0"/>
        <w:widowControl/>
        <w:suppressLineNumbers w:val="0"/>
        <w:spacing w:before="0" w:beforeAutospacing="0" w:after="0" w:afterAutospacing="0"/>
        <w:ind w:left="0" w:leftChars="0" w:right="0" w:rightChars="0"/>
        <w:jc w:val="left"/>
        <w:outlineLvl w:val="0"/>
        <w:rPr>
          <w:rFonts w:hint="eastAsia" w:ascii="仿宋_GB2312" w:eastAsia="仿宋_GB2312" w:cs="仿宋_GB2312"/>
          <w:b/>
          <w:bCs w:val="0"/>
          <w:kern w:val="2"/>
          <w:sz w:val="28"/>
          <w:szCs w:val="28"/>
        </w:rPr>
      </w:pPr>
      <w:bookmarkStart w:id="189" w:name="_Toc13331"/>
      <w:r>
        <w:rPr>
          <w:rFonts w:hint="eastAsia" w:ascii="仿宋_GB2312" w:hAnsi="Times New Roman" w:eastAsia="仿宋_GB2312" w:cs="仿宋_GB2312"/>
          <w:b/>
          <w:bCs w:val="0"/>
          <w:kern w:val="2"/>
          <w:sz w:val="28"/>
          <w:szCs w:val="28"/>
          <w:lang w:val="en-US" w:eastAsia="zh-CN" w:bidi="ar"/>
        </w:rPr>
        <w:t>附件三：廉洁从业承诺书（员工承诺）</w:t>
      </w:r>
      <w:bookmarkEnd w:id="189"/>
    </w:p>
    <w:p w14:paraId="15EB66DC">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bCs/>
          <w:kern w:val="2"/>
          <w:sz w:val="44"/>
          <w:szCs w:val="44"/>
        </w:rPr>
      </w:pPr>
      <w:r>
        <w:rPr>
          <w:rFonts w:hint="eastAsia" w:ascii="方正小标宋_GBK" w:hAnsi="方正小标宋_GBK" w:eastAsia="方正小标宋_GBK" w:cs="方正小标宋_GBK"/>
          <w:bCs/>
          <w:kern w:val="2"/>
          <w:sz w:val="44"/>
          <w:szCs w:val="44"/>
          <w:lang w:val="en-US" w:eastAsia="zh-CN" w:bidi="ar"/>
        </w:rPr>
        <w:t>廉洁从业承诺书</w:t>
      </w:r>
    </w:p>
    <w:p w14:paraId="36F8610E">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（员工承诺）</w:t>
      </w:r>
    </w:p>
    <w:p w14:paraId="160FF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本人决定自愿参加本项目。为了更好的树立公司对外形象，更好地打造公司的品牌，促进个人廉洁从业、诚实守信，特承诺如下：</w:t>
      </w:r>
    </w:p>
    <w:p w14:paraId="14C70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一、不以任何理由给予采购单位、主管部门、相关单位及其工作人员以下好处：</w:t>
      </w:r>
    </w:p>
    <w:p w14:paraId="37FDC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73AF2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409FE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6CE6F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4.提供宴请、健身、旅游、娱乐等高消费活动；</w:t>
      </w:r>
    </w:p>
    <w:p w14:paraId="49386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291ED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二、不以任何理由为采购单位、主管部门、相关单位的工作人员及其配偶、子女等亲属的工作安排以及出国（境）等提供方便。</w:t>
      </w:r>
    </w:p>
    <w:p w14:paraId="164A1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三、自觉接受有关部门和派驻廉政监察组等机构的监督。</w:t>
      </w:r>
    </w:p>
    <w:p w14:paraId="419BE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以上承诺接受公司和广大员工的监督。本人如有违反承诺，自愿承担违诺责任和法律后果。</w:t>
      </w:r>
    </w:p>
    <w:p w14:paraId="1B3B6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（本承诺书由项目人员签名，一式贰份。公司与项目人员各持壹份。）</w:t>
      </w:r>
    </w:p>
    <w:p w14:paraId="0CBF6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承诺人：</w:t>
      </w:r>
    </w:p>
    <w:p w14:paraId="797BA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承诺日期：</w:t>
      </w:r>
    </w:p>
    <w:p w14:paraId="328685BE">
      <w:pPr>
        <w:pStyle w:val="16"/>
        <w:keepNext w:val="0"/>
        <w:keepLines w:val="0"/>
        <w:widowControl/>
        <w:suppressLineNumbers w:val="0"/>
        <w:adjustRightInd w:val="0"/>
        <w:snapToGrid w:val="0"/>
        <w:spacing w:before="0" w:beforeAutospacing="1" w:after="0" w:afterAutospacing="1" w:line="579" w:lineRule="exact"/>
        <w:ind w:left="0" w:right="0"/>
        <w:jc w:val="left"/>
        <w:rPr>
          <w:rFonts w:hint="default" w:ascii="Times New Roman" w:hAnsi="Times New Roman" w:cs="Times New Roman"/>
          <w:color w:val="FFFFFF"/>
          <w:kern w:val="2"/>
          <w:sz w:val="16"/>
          <w:szCs w:val="16"/>
          <w:shd w:val="clear" w:fill="000000"/>
        </w:rPr>
      </w:pPr>
      <w:r>
        <w:rPr>
          <w:rFonts w:hint="eastAsia" w:ascii="仿宋_GB2312" w:hAnsi="Times New Roman" w:eastAsia="仿宋_GB2312" w:cs="仿宋_GB2312"/>
          <w:b/>
          <w:bCs/>
          <w:kern w:val="0"/>
          <w:sz w:val="28"/>
          <w:szCs w:val="28"/>
          <w:lang w:val="en-US" w:eastAsia="zh-CN" w:bidi="ar"/>
        </w:rPr>
        <w:t>附件四：配置清单</w:t>
      </w:r>
    </w:p>
    <w:p w14:paraId="042C0A6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0F829A2F">
      <w:pPr>
        <w:keepNext w:val="0"/>
        <w:keepLines w:val="0"/>
        <w:widowControl w:val="0"/>
        <w:suppressLineNumbers w:val="0"/>
        <w:spacing w:before="0" w:beforeAutospacing="0" w:after="0" w:afterAutospacing="0"/>
        <w:ind w:left="0" w:right="0"/>
        <w:jc w:val="left"/>
        <w:rPr>
          <w:rFonts w:hint="eastAsia" w:ascii="仿宋" w:hAnsi="仿宋" w:eastAsia="仿宋" w:cs="Times New Roman"/>
          <w:b/>
          <w:bCs w:val="0"/>
          <w:color w:val="FF0000"/>
          <w:kern w:val="2"/>
          <w:sz w:val="28"/>
          <w:szCs w:val="28"/>
        </w:rPr>
      </w:pPr>
      <w:r>
        <w:rPr>
          <w:rFonts w:hint="eastAsia" w:ascii="仿宋" w:hAnsi="仿宋" w:eastAsia="仿宋" w:cs="仿宋"/>
          <w:b/>
          <w:bCs w:val="0"/>
          <w:kern w:val="2"/>
          <w:sz w:val="28"/>
          <w:szCs w:val="28"/>
          <w:lang w:val="en-US" w:eastAsia="zh-CN" w:bidi="ar"/>
        </w:rPr>
        <w:t>附件五：技术参数偏离表</w:t>
      </w:r>
    </w:p>
    <w:p w14:paraId="4881B7C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74263C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24BB280">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122DB13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
          <w:bCs/>
          <w:kern w:val="2"/>
          <w:sz w:val="28"/>
          <w:szCs w:val="28"/>
          <w:lang w:val="en-US" w:eastAsia="zh-CN" w:bidi="ar"/>
        </w:rPr>
        <w:t>附件六：售后服务承诺（含厂家）</w:t>
      </w:r>
    </w:p>
    <w:p w14:paraId="6EDEECB2">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43C1B10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0"/>
          <w:sz w:val="32"/>
          <w:szCs w:val="32"/>
        </w:rPr>
      </w:pPr>
      <w:r>
        <w:rPr>
          <w:rFonts w:hint="eastAsia" w:ascii="仿宋_GB2312" w:hAnsi="Times New Roman" w:eastAsia="仿宋_GB2312" w:cs="仿宋_GB2312"/>
          <w:b/>
          <w:bCs/>
          <w:kern w:val="2"/>
          <w:sz w:val="28"/>
          <w:szCs w:val="28"/>
          <w:lang w:val="en-US" w:eastAsia="zh-CN" w:bidi="ar"/>
        </w:rPr>
        <w:t>附件七：每年二次的维护计划</w:t>
      </w:r>
    </w:p>
    <w:p w14:paraId="6D05C46A">
      <w:pPr>
        <w:pStyle w:val="25"/>
        <w:ind w:left="0" w:leftChars="0" w:firstLine="0" w:firstLineChars="0"/>
        <w:rPr>
          <w:rFonts w:hint="eastAsia" w:ascii="宋体" w:hAnsi="宋体" w:cs="宋体"/>
          <w:color w:val="000000" w:themeColor="text1"/>
          <w:szCs w:val="21"/>
          <w:lang w:eastAsia="zh-CN"/>
          <w14:textFill>
            <w14:solidFill>
              <w14:schemeClr w14:val="tx1"/>
            </w14:solidFill>
          </w14:textFill>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A7A611D-72A3-46CF-89F4-E4A97F4D93BB}"/>
  </w:font>
  <w:font w:name="黑体">
    <w:panose1 w:val="02010609060101010101"/>
    <w:charset w:val="86"/>
    <w:family w:val="auto"/>
    <w:pitch w:val="default"/>
    <w:sig w:usb0="800002BF" w:usb1="38CF7CFA" w:usb2="00000016" w:usb3="00000000" w:csb0="00040001" w:csb1="00000000"/>
    <w:embedRegular r:id="rId2" w:fontKey="{C639226F-0585-4AFB-BE70-76BEC175F514}"/>
  </w:font>
  <w:font w:name="Courier New">
    <w:panose1 w:val="02070309020205020404"/>
    <w:charset w:val="01"/>
    <w:family w:val="modern"/>
    <w:pitch w:val="default"/>
    <w:sig w:usb0="E0002EFF" w:usb1="C0007843" w:usb2="00000009" w:usb3="00000000" w:csb0="400001FF" w:csb1="FFFF0000"/>
    <w:embedRegular r:id="rId3" w:fontKey="{7E06D9BD-CDE0-4A3B-97D3-FC4EE6A4D90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73F46778-31CC-4B4E-9FBC-01384EB05A55}"/>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5" w:fontKey="{B1D743E0-84C2-4B56-B296-9C47522C4286}"/>
  </w:font>
  <w:font w:name="微软雅黑">
    <w:panose1 w:val="020B0503020204020204"/>
    <w:charset w:val="86"/>
    <w:family w:val="swiss"/>
    <w:pitch w:val="default"/>
    <w:sig w:usb0="80000287" w:usb1="2ACF3C50" w:usb2="00000016" w:usb3="00000000" w:csb0="0004001F" w:csb1="00000000"/>
  </w:font>
  <w:font w:name="华文宋体">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6" w:fontKey="{7DEA6450-20C1-4A02-A8AB-0DDDD795B7B4}"/>
  </w:font>
  <w:font w:name="Wingdings 2">
    <w:panose1 w:val="05020102010507070707"/>
    <w:charset w:val="00"/>
    <w:family w:val="auto"/>
    <w:pitch w:val="default"/>
    <w:sig w:usb0="00000000" w:usb1="00000000" w:usb2="00000000" w:usb3="00000000" w:csb0="80000000" w:csb1="00000000"/>
    <w:embedRegular r:id="rId7" w:fontKey="{21567FAF-B2C9-4742-827E-80BF63672A48}"/>
  </w:font>
  <w:font w:name="方正仿宋_GBK">
    <w:altName w:val="微软雅黑"/>
    <w:panose1 w:val="00000000000000000000"/>
    <w:charset w:val="86"/>
    <w:family w:val="auto"/>
    <w:pitch w:val="default"/>
    <w:sig w:usb0="00000000" w:usb1="00000000" w:usb2="00000000" w:usb3="00000000" w:csb0="00040000" w:csb1="00000000"/>
    <w:embedRegular r:id="rId8" w:fontKey="{498C180B-ED70-42E1-991A-FB91D157423E}"/>
  </w:font>
  <w:font w:name="楷体_GB2312">
    <w:altName w:val="楷体"/>
    <w:panose1 w:val="00000000000000000000"/>
    <w:charset w:val="00"/>
    <w:family w:val="auto"/>
    <w:pitch w:val="default"/>
    <w:sig w:usb0="00000000" w:usb1="00000000" w:usb2="00000000" w:usb3="00000000" w:csb0="00000000" w:csb1="00000000"/>
    <w:embedRegular r:id="rId9" w:fontKey="{6EF38E80-5102-4C42-AED9-36CC66DAB577}"/>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embedRegular r:id="rId10" w:fontKey="{FC52EECA-5348-4D8F-ACF1-B7B9C901344A}"/>
  </w:font>
  <w:font w:name="方正小标宋简体">
    <w:panose1 w:val="02010600010101010101"/>
    <w:charset w:val="86"/>
    <w:family w:val="auto"/>
    <w:pitch w:val="default"/>
    <w:sig w:usb0="00000001" w:usb1="080E0000" w:usb2="00000000" w:usb3="00000000" w:csb0="00040000" w:csb1="00000000"/>
    <w:embedRegular r:id="rId11" w:fontKey="{B2BDC2AA-9E7B-441E-8D8A-FE88BAC3BC56}"/>
  </w:font>
  <w:font w:name="方正小标宋_GBK">
    <w:panose1 w:val="02000000000000000000"/>
    <w:charset w:val="86"/>
    <w:family w:val="auto"/>
    <w:pitch w:val="default"/>
    <w:sig w:usb0="A00002BF" w:usb1="38CF7CFA" w:usb2="00082016" w:usb3="00000000" w:csb0="00040001" w:csb1="00000000"/>
    <w:embedRegular r:id="rId12" w:fontKey="{40063B38-3429-4ACD-8D63-2F68AC5C3738}"/>
  </w:font>
  <w:font w:name="WPSEMBED1">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F3313"/>
    <w:multiLevelType w:val="singleLevel"/>
    <w:tmpl w:val="C2FF3313"/>
    <w:lvl w:ilvl="0" w:tentative="0">
      <w:start w:val="3"/>
      <w:numFmt w:val="chineseCounting"/>
      <w:suff w:val="space"/>
      <w:lvlText w:val="（%1）"/>
      <w:lvlJc w:val="left"/>
      <w:rPr>
        <w:rFonts w:hint="eastAsia"/>
      </w:rPr>
    </w:lvl>
  </w:abstractNum>
  <w:abstractNum w:abstractNumId="1">
    <w:nsid w:val="D9602B2F"/>
    <w:multiLevelType w:val="singleLevel"/>
    <w:tmpl w:val="D9602B2F"/>
    <w:lvl w:ilvl="0" w:tentative="0">
      <w:start w:val="1"/>
      <w:numFmt w:val="chineseCounting"/>
      <w:suff w:val="space"/>
      <w:lvlText w:val="%1、"/>
      <w:lvlJc w:val="left"/>
      <w:rPr>
        <w:rFonts w:hint="eastAsia"/>
      </w:rPr>
    </w:lvl>
  </w:abstractNum>
  <w:abstractNum w:abstractNumId="2">
    <w:nsid w:val="F4421C38"/>
    <w:multiLevelType w:val="singleLevel"/>
    <w:tmpl w:val="F4421C38"/>
    <w:lvl w:ilvl="0" w:tentative="0">
      <w:start w:val="1"/>
      <w:numFmt w:val="chineseCounting"/>
      <w:suff w:val="space"/>
      <w:lvlText w:val="第%1章"/>
      <w:lvlJc w:val="left"/>
      <w:rPr>
        <w:rFonts w:hint="eastAsia"/>
      </w:rPr>
    </w:lvl>
  </w:abstractNum>
  <w:abstractNum w:abstractNumId="3">
    <w:nsid w:val="07486699"/>
    <w:multiLevelType w:val="singleLevel"/>
    <w:tmpl w:val="07486699"/>
    <w:lvl w:ilvl="0" w:tentative="0">
      <w:start w:val="1"/>
      <w:numFmt w:val="decimal"/>
      <w:lvlText w:val="%1."/>
      <w:lvlJc w:val="left"/>
      <w:pPr>
        <w:tabs>
          <w:tab w:val="left" w:pos="312"/>
        </w:tabs>
      </w:p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6">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8">
    <w:nsid w:val="4C5BCD0C"/>
    <w:multiLevelType w:val="singleLevel"/>
    <w:tmpl w:val="4C5BCD0C"/>
    <w:lvl w:ilvl="0" w:tentative="0">
      <w:start w:val="6"/>
      <w:numFmt w:val="chineseCounting"/>
      <w:suff w:val="space"/>
      <w:lvlText w:val="第%1章"/>
      <w:lvlJc w:val="left"/>
      <w:rPr>
        <w:rFonts w:hint="eastAsia"/>
      </w:r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9"/>
  </w:num>
  <w:num w:numId="5">
    <w:abstractNumId w:val="6"/>
  </w:num>
  <w:num w:numId="6">
    <w:abstractNumId w:val="4"/>
  </w:num>
  <w:num w:numId="7">
    <w:abstractNumId w:val="14"/>
  </w:num>
  <w:num w:numId="8">
    <w:abstractNumId w:val="0"/>
  </w:num>
  <w:num w:numId="9">
    <w:abstractNumId w:val="10"/>
  </w:num>
  <w:num w:numId="10">
    <w:abstractNumId w:val="7"/>
  </w:num>
  <w:num w:numId="11">
    <w:abstractNumId w:val="5"/>
  </w:num>
  <w:num w:numId="12">
    <w:abstractNumId w:val="3"/>
  </w:num>
  <w:num w:numId="13">
    <w:abstractNumId w:val="16"/>
  </w:num>
  <w:num w:numId="14">
    <w:abstractNumId w:val="12"/>
  </w:num>
  <w:num w:numId="15">
    <w:abstractNumId w:val="1"/>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NDYyYmQ1ZDA0NDE2ZWMxMTVjMTBjNjZlNGMxZWMifQ=="/>
  </w:docVars>
  <w:rsids>
    <w:rsidRoot w:val="00172A27"/>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26253"/>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A14DD6"/>
    <w:rsid w:val="00A45DF8"/>
    <w:rsid w:val="00A818CE"/>
    <w:rsid w:val="00B05B1C"/>
    <w:rsid w:val="00B11F87"/>
    <w:rsid w:val="00B429BE"/>
    <w:rsid w:val="00B4641D"/>
    <w:rsid w:val="00B54575"/>
    <w:rsid w:val="00BD37E9"/>
    <w:rsid w:val="00C035E7"/>
    <w:rsid w:val="00C12F48"/>
    <w:rsid w:val="00C242B3"/>
    <w:rsid w:val="00CB48A0"/>
    <w:rsid w:val="00D076D9"/>
    <w:rsid w:val="00D27E74"/>
    <w:rsid w:val="00D36759"/>
    <w:rsid w:val="00D70391"/>
    <w:rsid w:val="00DD4B18"/>
    <w:rsid w:val="00DE0DB1"/>
    <w:rsid w:val="00DF281B"/>
    <w:rsid w:val="00E309D1"/>
    <w:rsid w:val="00E70B1C"/>
    <w:rsid w:val="00EE5E48"/>
    <w:rsid w:val="00FC1F7B"/>
    <w:rsid w:val="00FC5732"/>
    <w:rsid w:val="00FD6AFE"/>
    <w:rsid w:val="00FF2DFF"/>
    <w:rsid w:val="02A9777F"/>
    <w:rsid w:val="02AF66E0"/>
    <w:rsid w:val="02F67A76"/>
    <w:rsid w:val="0300787A"/>
    <w:rsid w:val="031E1CC9"/>
    <w:rsid w:val="0320670E"/>
    <w:rsid w:val="034B4BE6"/>
    <w:rsid w:val="03D86CBB"/>
    <w:rsid w:val="0407590C"/>
    <w:rsid w:val="046F3F65"/>
    <w:rsid w:val="047E7636"/>
    <w:rsid w:val="05830AC6"/>
    <w:rsid w:val="05B34ED2"/>
    <w:rsid w:val="05C7701E"/>
    <w:rsid w:val="05E163D0"/>
    <w:rsid w:val="05FA3B56"/>
    <w:rsid w:val="062260D2"/>
    <w:rsid w:val="06A974F2"/>
    <w:rsid w:val="0729050F"/>
    <w:rsid w:val="0744295F"/>
    <w:rsid w:val="075E2523"/>
    <w:rsid w:val="07711AD4"/>
    <w:rsid w:val="07AB1C61"/>
    <w:rsid w:val="07FB70D8"/>
    <w:rsid w:val="080655EC"/>
    <w:rsid w:val="0861098D"/>
    <w:rsid w:val="08D364DD"/>
    <w:rsid w:val="098008CA"/>
    <w:rsid w:val="09A06388"/>
    <w:rsid w:val="0AA16DFC"/>
    <w:rsid w:val="0B6F4033"/>
    <w:rsid w:val="0B89451B"/>
    <w:rsid w:val="0C415C2B"/>
    <w:rsid w:val="0C775C71"/>
    <w:rsid w:val="0CA95AF4"/>
    <w:rsid w:val="0D2F59DD"/>
    <w:rsid w:val="0DD34C1E"/>
    <w:rsid w:val="0F2B57C3"/>
    <w:rsid w:val="0F3833E7"/>
    <w:rsid w:val="0FEF647A"/>
    <w:rsid w:val="1099323E"/>
    <w:rsid w:val="11170236"/>
    <w:rsid w:val="113F716A"/>
    <w:rsid w:val="11547CE6"/>
    <w:rsid w:val="11A46535"/>
    <w:rsid w:val="12DD6F01"/>
    <w:rsid w:val="12EC5AC1"/>
    <w:rsid w:val="13251FF4"/>
    <w:rsid w:val="133438E9"/>
    <w:rsid w:val="14103048"/>
    <w:rsid w:val="14784417"/>
    <w:rsid w:val="14BB18F8"/>
    <w:rsid w:val="15E056F0"/>
    <w:rsid w:val="163A1FE6"/>
    <w:rsid w:val="165B02D3"/>
    <w:rsid w:val="16E878A8"/>
    <w:rsid w:val="16FD7F75"/>
    <w:rsid w:val="17422DCB"/>
    <w:rsid w:val="17BE6A0B"/>
    <w:rsid w:val="17C0574B"/>
    <w:rsid w:val="182D25C2"/>
    <w:rsid w:val="187C40C2"/>
    <w:rsid w:val="18CD0295"/>
    <w:rsid w:val="18D1626C"/>
    <w:rsid w:val="19C34D79"/>
    <w:rsid w:val="19E23181"/>
    <w:rsid w:val="1A2A0151"/>
    <w:rsid w:val="1AF57CC6"/>
    <w:rsid w:val="1BCD1BBD"/>
    <w:rsid w:val="1CB04F5A"/>
    <w:rsid w:val="1CBD6967"/>
    <w:rsid w:val="1CF04135"/>
    <w:rsid w:val="1D0B2FB0"/>
    <w:rsid w:val="1E1B7543"/>
    <w:rsid w:val="1E287231"/>
    <w:rsid w:val="1FB10D31"/>
    <w:rsid w:val="1FB63395"/>
    <w:rsid w:val="201B5E8D"/>
    <w:rsid w:val="20533A26"/>
    <w:rsid w:val="205729C5"/>
    <w:rsid w:val="20B61DE1"/>
    <w:rsid w:val="20FE7400"/>
    <w:rsid w:val="210B4A7C"/>
    <w:rsid w:val="210D20DA"/>
    <w:rsid w:val="21307DB2"/>
    <w:rsid w:val="216A22EC"/>
    <w:rsid w:val="220311B7"/>
    <w:rsid w:val="22E70F8C"/>
    <w:rsid w:val="22F35ED1"/>
    <w:rsid w:val="230949B3"/>
    <w:rsid w:val="231B2B24"/>
    <w:rsid w:val="239F6B5C"/>
    <w:rsid w:val="23C063DE"/>
    <w:rsid w:val="24106E72"/>
    <w:rsid w:val="24487A08"/>
    <w:rsid w:val="24BE1867"/>
    <w:rsid w:val="25DE2164"/>
    <w:rsid w:val="262C78E7"/>
    <w:rsid w:val="268564DD"/>
    <w:rsid w:val="26A900A8"/>
    <w:rsid w:val="271324B7"/>
    <w:rsid w:val="274550D1"/>
    <w:rsid w:val="275859A0"/>
    <w:rsid w:val="27BB7CDD"/>
    <w:rsid w:val="27C941A8"/>
    <w:rsid w:val="29833AC2"/>
    <w:rsid w:val="2A786D8D"/>
    <w:rsid w:val="2A802951"/>
    <w:rsid w:val="2B4C1378"/>
    <w:rsid w:val="2BE90BA6"/>
    <w:rsid w:val="2C150838"/>
    <w:rsid w:val="2C3E49FC"/>
    <w:rsid w:val="2CD71545"/>
    <w:rsid w:val="2D18339C"/>
    <w:rsid w:val="2D8D5C78"/>
    <w:rsid w:val="2E1F2D74"/>
    <w:rsid w:val="2EE67D35"/>
    <w:rsid w:val="2F623005"/>
    <w:rsid w:val="2F807931"/>
    <w:rsid w:val="3153125F"/>
    <w:rsid w:val="315F792B"/>
    <w:rsid w:val="32674CE9"/>
    <w:rsid w:val="32BB4225"/>
    <w:rsid w:val="33EC55F9"/>
    <w:rsid w:val="348651FA"/>
    <w:rsid w:val="34FE4919"/>
    <w:rsid w:val="35294DAE"/>
    <w:rsid w:val="355369E9"/>
    <w:rsid w:val="35F51174"/>
    <w:rsid w:val="35F76384"/>
    <w:rsid w:val="364E3EA8"/>
    <w:rsid w:val="366D7269"/>
    <w:rsid w:val="36865435"/>
    <w:rsid w:val="371231E8"/>
    <w:rsid w:val="37206CBB"/>
    <w:rsid w:val="37743C09"/>
    <w:rsid w:val="37753A04"/>
    <w:rsid w:val="38AA1DD4"/>
    <w:rsid w:val="38E30E42"/>
    <w:rsid w:val="38EF30F5"/>
    <w:rsid w:val="3B273268"/>
    <w:rsid w:val="3C844841"/>
    <w:rsid w:val="3D626DA6"/>
    <w:rsid w:val="3E896739"/>
    <w:rsid w:val="3ED82EA8"/>
    <w:rsid w:val="3F951D49"/>
    <w:rsid w:val="3FB3156E"/>
    <w:rsid w:val="3FF9372A"/>
    <w:rsid w:val="4000052B"/>
    <w:rsid w:val="40624EF6"/>
    <w:rsid w:val="41B77024"/>
    <w:rsid w:val="42521884"/>
    <w:rsid w:val="437A1489"/>
    <w:rsid w:val="45A63E9F"/>
    <w:rsid w:val="45BA79A1"/>
    <w:rsid w:val="45FD1696"/>
    <w:rsid w:val="46614FB8"/>
    <w:rsid w:val="480F755D"/>
    <w:rsid w:val="483303EA"/>
    <w:rsid w:val="486B29D8"/>
    <w:rsid w:val="48C4659A"/>
    <w:rsid w:val="48DB3851"/>
    <w:rsid w:val="49372757"/>
    <w:rsid w:val="494A4D03"/>
    <w:rsid w:val="49F56077"/>
    <w:rsid w:val="4A4B30A6"/>
    <w:rsid w:val="4A673681"/>
    <w:rsid w:val="4ADF76BB"/>
    <w:rsid w:val="4BA80704"/>
    <w:rsid w:val="4BB057D6"/>
    <w:rsid w:val="4C186067"/>
    <w:rsid w:val="4CFC253C"/>
    <w:rsid w:val="4D4B557E"/>
    <w:rsid w:val="4E287B8F"/>
    <w:rsid w:val="4E2B2C17"/>
    <w:rsid w:val="4F1D2EA8"/>
    <w:rsid w:val="4F276100"/>
    <w:rsid w:val="4F337933"/>
    <w:rsid w:val="4F7227C9"/>
    <w:rsid w:val="51CA5707"/>
    <w:rsid w:val="52662470"/>
    <w:rsid w:val="52796647"/>
    <w:rsid w:val="52835739"/>
    <w:rsid w:val="528965FF"/>
    <w:rsid w:val="54034D64"/>
    <w:rsid w:val="546465A8"/>
    <w:rsid w:val="54707634"/>
    <w:rsid w:val="548605A3"/>
    <w:rsid w:val="54CD1DCA"/>
    <w:rsid w:val="55223429"/>
    <w:rsid w:val="55301E37"/>
    <w:rsid w:val="564156CE"/>
    <w:rsid w:val="57004BF9"/>
    <w:rsid w:val="5703767D"/>
    <w:rsid w:val="570C231F"/>
    <w:rsid w:val="571C54EC"/>
    <w:rsid w:val="57641802"/>
    <w:rsid w:val="58B725C4"/>
    <w:rsid w:val="58DE2B70"/>
    <w:rsid w:val="58EB2CD9"/>
    <w:rsid w:val="592204BC"/>
    <w:rsid w:val="595C38E5"/>
    <w:rsid w:val="5B0F6FF4"/>
    <w:rsid w:val="5D045FFD"/>
    <w:rsid w:val="5DAE1F62"/>
    <w:rsid w:val="5DE35818"/>
    <w:rsid w:val="5DED21E0"/>
    <w:rsid w:val="5DFC0378"/>
    <w:rsid w:val="5DFC6F6D"/>
    <w:rsid w:val="5E533026"/>
    <w:rsid w:val="5F7F1015"/>
    <w:rsid w:val="5F8F74AA"/>
    <w:rsid w:val="603040BD"/>
    <w:rsid w:val="61131A15"/>
    <w:rsid w:val="61404F68"/>
    <w:rsid w:val="63DA5557"/>
    <w:rsid w:val="651F6AF8"/>
    <w:rsid w:val="6591642E"/>
    <w:rsid w:val="65AF2FC0"/>
    <w:rsid w:val="664D7777"/>
    <w:rsid w:val="66934D57"/>
    <w:rsid w:val="66FB3482"/>
    <w:rsid w:val="672B148E"/>
    <w:rsid w:val="6773695A"/>
    <w:rsid w:val="67775E34"/>
    <w:rsid w:val="67B840B0"/>
    <w:rsid w:val="68921DB9"/>
    <w:rsid w:val="69D81A4D"/>
    <w:rsid w:val="69EE0DB5"/>
    <w:rsid w:val="6A507835"/>
    <w:rsid w:val="6B1E5ABE"/>
    <w:rsid w:val="6B694230"/>
    <w:rsid w:val="6B7258C3"/>
    <w:rsid w:val="6B9D7D0A"/>
    <w:rsid w:val="6BE5773F"/>
    <w:rsid w:val="6CA908B2"/>
    <w:rsid w:val="6D6134B1"/>
    <w:rsid w:val="6EF015E7"/>
    <w:rsid w:val="6FA3559F"/>
    <w:rsid w:val="700B526E"/>
    <w:rsid w:val="70497201"/>
    <w:rsid w:val="7083201C"/>
    <w:rsid w:val="708A7E9A"/>
    <w:rsid w:val="70A95EF1"/>
    <w:rsid w:val="70C67989"/>
    <w:rsid w:val="71D904F0"/>
    <w:rsid w:val="72207836"/>
    <w:rsid w:val="723039E4"/>
    <w:rsid w:val="72367718"/>
    <w:rsid w:val="72ED6ADA"/>
    <w:rsid w:val="73260A79"/>
    <w:rsid w:val="734B61B4"/>
    <w:rsid w:val="73C80160"/>
    <w:rsid w:val="73F85F77"/>
    <w:rsid w:val="744F0493"/>
    <w:rsid w:val="74B661AA"/>
    <w:rsid w:val="755469EE"/>
    <w:rsid w:val="76074F9A"/>
    <w:rsid w:val="76525A3A"/>
    <w:rsid w:val="76764645"/>
    <w:rsid w:val="77187ACC"/>
    <w:rsid w:val="77785B42"/>
    <w:rsid w:val="77813724"/>
    <w:rsid w:val="77CB584B"/>
    <w:rsid w:val="780A23D9"/>
    <w:rsid w:val="786D4A31"/>
    <w:rsid w:val="788039DC"/>
    <w:rsid w:val="78B60C02"/>
    <w:rsid w:val="78FA0D3D"/>
    <w:rsid w:val="7A2747BD"/>
    <w:rsid w:val="7A7430CC"/>
    <w:rsid w:val="7B2C15E1"/>
    <w:rsid w:val="7BC4348B"/>
    <w:rsid w:val="7C22504E"/>
    <w:rsid w:val="7CA61410"/>
    <w:rsid w:val="7D0D1FD1"/>
    <w:rsid w:val="7D806106"/>
    <w:rsid w:val="7D863BB0"/>
    <w:rsid w:val="7D986F5E"/>
    <w:rsid w:val="7E060C3F"/>
    <w:rsid w:val="7E370052"/>
    <w:rsid w:val="7ED11769"/>
    <w:rsid w:val="7F0D1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widowControl/>
      <w:jc w:val="left"/>
      <w:outlineLvl w:val="0"/>
    </w:pPr>
    <w:rPr>
      <w:b/>
      <w:bCs/>
      <w:kern w:val="0"/>
      <w:sz w:val="24"/>
    </w:rPr>
  </w:style>
  <w:style w:type="paragraph" w:styleId="3">
    <w:name w:val="heading 2"/>
    <w:basedOn w:val="1"/>
    <w:next w:val="1"/>
    <w:qFormat/>
    <w:uiPriority w:val="0"/>
    <w:pPr>
      <w:outlineLvl w:val="1"/>
    </w:pPr>
    <w:rPr>
      <w:rFonts w:ascii="Cambria" w:hAnsi="Cambria" w:cs="宋体"/>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99"/>
    <w:pPr>
      <w:ind w:firstLine="420" w:firstLineChars="200"/>
    </w:pPr>
  </w:style>
  <w:style w:type="paragraph" w:styleId="6">
    <w:name w:val="Body Text"/>
    <w:basedOn w:val="1"/>
    <w:qFormat/>
    <w:uiPriority w:val="0"/>
    <w:pPr>
      <w:spacing w:after="120"/>
    </w:pPr>
  </w:style>
  <w:style w:type="paragraph" w:styleId="7">
    <w:name w:val="annotation text"/>
    <w:basedOn w:val="1"/>
    <w:qFormat/>
    <w:uiPriority w:val="0"/>
    <w:pPr>
      <w:jc w:val="left"/>
    </w:pPr>
    <w:rPr>
      <w:rFonts w:asciiTheme="minorHAnsi" w:hAnsiTheme="minorHAnsi" w:eastAsiaTheme="minorEastAsia" w:cstheme="minorBidi"/>
    </w:r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8"/>
    <w:semiHidden/>
    <w:unhideWhenUsed/>
    <w:qFormat/>
    <w:uiPriority w:val="99"/>
    <w:rPr>
      <w:rFonts w:ascii="宋体" w:hAnsi="Courier New" w:eastAsia="宋体" w:cs="Times New Roman"/>
      <w:szCs w:val="20"/>
    </w:rPr>
  </w:style>
  <w:style w:type="paragraph" w:styleId="11">
    <w:name w:val="footer"/>
    <w:basedOn w:val="1"/>
    <w:link w:val="27"/>
    <w:semiHidden/>
    <w:unhideWhenUsed/>
    <w:qFormat/>
    <w:uiPriority w:val="99"/>
    <w:pPr>
      <w:tabs>
        <w:tab w:val="center" w:pos="4153"/>
        <w:tab w:val="right" w:pos="8306"/>
      </w:tabs>
      <w:snapToGrid w:val="0"/>
      <w:jc w:val="left"/>
    </w:pPr>
    <w:rPr>
      <w:sz w:val="18"/>
      <w:szCs w:val="18"/>
    </w:rPr>
  </w:style>
  <w:style w:type="paragraph" w:styleId="12">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cs="Times New Roman"/>
      <w:b/>
      <w:bCs/>
      <w:kern w:val="28"/>
      <w:sz w:val="28"/>
      <w:szCs w:val="32"/>
    </w:rPr>
  </w:style>
  <w:style w:type="paragraph" w:styleId="15">
    <w:name w:val="toc 2"/>
    <w:basedOn w:val="1"/>
    <w:next w:val="1"/>
    <w:semiHidden/>
    <w:unhideWhenUsed/>
    <w:qFormat/>
    <w:uiPriority w:val="39"/>
    <w:pPr>
      <w:ind w:left="420" w:leftChars="200"/>
    </w:pPr>
  </w:style>
  <w:style w:type="paragraph" w:styleId="16">
    <w:name w:val="Normal (Web)"/>
    <w:basedOn w:val="1"/>
    <w:semiHidden/>
    <w:unhideWhenUsed/>
    <w:qFormat/>
    <w:uiPriority w:val="99"/>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17">
    <w:name w:val="Body Text First Indent 2"/>
    <w:basedOn w:val="8"/>
    <w:qFormat/>
    <w:uiPriority w:val="0"/>
    <w:pPr>
      <w:ind w:firstLine="420" w:firstLineChars="200"/>
    </w:pPr>
    <w:rPr>
      <w:sz w:val="21"/>
    </w:rPr>
  </w:style>
  <w:style w:type="table" w:styleId="19">
    <w:name w:val="Table Grid"/>
    <w:basedOn w:val="18"/>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bCs/>
    </w:rPr>
  </w:style>
  <w:style w:type="character" w:styleId="22">
    <w:name w:val="page number"/>
    <w:basedOn w:val="20"/>
    <w:qFormat/>
    <w:uiPriority w:val="0"/>
  </w:style>
  <w:style w:type="character" w:styleId="23">
    <w:name w:val="Emphasis"/>
    <w:basedOn w:val="20"/>
    <w:qFormat/>
    <w:uiPriority w:val="0"/>
    <w:rPr>
      <w:i/>
      <w:iCs/>
    </w:rPr>
  </w:style>
  <w:style w:type="character" w:styleId="24">
    <w:name w:val="Hyperlink"/>
    <w:qFormat/>
    <w:uiPriority w:val="99"/>
    <w:rPr>
      <w:color w:val="0000FF"/>
      <w:u w:val="single"/>
    </w:rPr>
  </w:style>
  <w:style w:type="paragraph" w:customStyle="1" w:styleId="25">
    <w:name w:val="文档正文"/>
    <w:basedOn w:val="1"/>
    <w:qFormat/>
    <w:uiPriority w:val="99"/>
    <w:pPr>
      <w:adjustRightInd w:val="0"/>
      <w:spacing w:line="480" w:lineRule="atLeast"/>
      <w:ind w:firstLine="567" w:firstLineChars="200"/>
      <w:textAlignment w:val="baseline"/>
    </w:pPr>
    <w:rPr>
      <w:rFonts w:ascii="长城仿宋"/>
      <w:szCs w:val="20"/>
    </w:rPr>
  </w:style>
  <w:style w:type="character" w:customStyle="1" w:styleId="26">
    <w:name w:val="页眉 Char"/>
    <w:basedOn w:val="20"/>
    <w:link w:val="12"/>
    <w:semiHidden/>
    <w:qFormat/>
    <w:uiPriority w:val="99"/>
    <w:rPr>
      <w:sz w:val="18"/>
      <w:szCs w:val="18"/>
    </w:rPr>
  </w:style>
  <w:style w:type="character" w:customStyle="1" w:styleId="27">
    <w:name w:val="页脚 Char"/>
    <w:basedOn w:val="20"/>
    <w:link w:val="11"/>
    <w:semiHidden/>
    <w:qFormat/>
    <w:uiPriority w:val="99"/>
    <w:rPr>
      <w:sz w:val="18"/>
      <w:szCs w:val="18"/>
    </w:rPr>
  </w:style>
  <w:style w:type="character" w:customStyle="1" w:styleId="28">
    <w:name w:val="纯文本 Char"/>
    <w:basedOn w:val="20"/>
    <w:link w:val="10"/>
    <w:semiHidden/>
    <w:qFormat/>
    <w:uiPriority w:val="99"/>
    <w:rPr>
      <w:rFonts w:ascii="宋体" w:hAnsi="Courier New" w:eastAsia="宋体" w:cs="Times New Roman"/>
      <w:szCs w:val="20"/>
    </w:rPr>
  </w:style>
  <w:style w:type="paragraph" w:customStyle="1" w:styleId="29">
    <w:name w:val="列出段落11"/>
    <w:basedOn w:val="1"/>
    <w:qFormat/>
    <w:uiPriority w:val="0"/>
    <w:pPr>
      <w:ind w:firstLine="420" w:firstLineChars="200"/>
    </w:pPr>
  </w:style>
  <w:style w:type="paragraph" w:styleId="30">
    <w:name w:val="List Paragraph"/>
    <w:basedOn w:val="1"/>
    <w:autoRedefine/>
    <w:qFormat/>
    <w:uiPriority w:val="34"/>
    <w:pPr>
      <w:ind w:firstLine="420" w:firstLineChars="200"/>
    </w:pPr>
    <w:rPr>
      <w:rFonts w:ascii="Calibri" w:hAnsi="Calibri"/>
      <w:szCs w:val="22"/>
    </w:rPr>
  </w:style>
  <w:style w:type="character" w:customStyle="1" w:styleId="31">
    <w:name w:val="font11"/>
    <w:basedOn w:val="20"/>
    <w:qFormat/>
    <w:uiPriority w:val="0"/>
    <w:rPr>
      <w:rFonts w:hint="eastAsia" w:ascii="宋体" w:hAnsi="宋体" w:eastAsia="宋体" w:cs="宋体"/>
      <w:color w:val="000000"/>
      <w:sz w:val="24"/>
      <w:szCs w:val="24"/>
      <w:u w:val="none"/>
    </w:rPr>
  </w:style>
  <w:style w:type="character" w:customStyle="1" w:styleId="32">
    <w:name w:val="font41"/>
    <w:basedOn w:val="20"/>
    <w:qFormat/>
    <w:uiPriority w:val="0"/>
    <w:rPr>
      <w:rFonts w:hint="default" w:ascii="Times New Roman" w:hAnsi="Times New Roman" w:cs="Times New Roman"/>
      <w:color w:val="000000"/>
      <w:sz w:val="24"/>
      <w:szCs w:val="24"/>
      <w:u w:val="none"/>
    </w:rPr>
  </w:style>
  <w:style w:type="paragraph" w:customStyle="1" w:styleId="33">
    <w:name w:val="*正文"/>
    <w:basedOn w:val="1"/>
    <w:qFormat/>
    <w:uiPriority w:val="0"/>
    <w:pPr>
      <w:spacing w:line="360" w:lineRule="auto"/>
      <w:ind w:firstLine="200" w:firstLineChars="200"/>
    </w:pPr>
    <w:rPr>
      <w:rFonts w:ascii="宋体" w:hAnsi="宋体"/>
      <w:kern w:val="0"/>
      <w:sz w:val="22"/>
      <w:szCs w:val="24"/>
    </w:rPr>
  </w:style>
  <w:style w:type="paragraph" w:customStyle="1" w:styleId="34">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5">
    <w:name w:val="_Style 3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列出段落1"/>
    <w:basedOn w:val="1"/>
    <w:autoRedefine/>
    <w:qFormat/>
    <w:uiPriority w:val="34"/>
    <w:pPr>
      <w:ind w:firstLine="420" w:firstLineChars="200"/>
    </w:pPr>
  </w:style>
  <w:style w:type="table" w:customStyle="1" w:styleId="37">
    <w:name w:val="网格型1"/>
    <w:basedOn w:val="1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21"/>
    <w:basedOn w:val="20"/>
    <w:qFormat/>
    <w:uiPriority w:val="0"/>
    <w:rPr>
      <w:rFonts w:hint="eastAsia" w:ascii="宋体" w:hAnsi="宋体" w:eastAsia="宋体" w:cs="宋体"/>
      <w:color w:val="000000"/>
      <w:sz w:val="22"/>
      <w:szCs w:val="22"/>
      <w:u w:val="none"/>
    </w:rPr>
  </w:style>
  <w:style w:type="character" w:customStyle="1" w:styleId="39">
    <w:name w:val="font71"/>
    <w:basedOn w:val="20"/>
    <w:qFormat/>
    <w:uiPriority w:val="0"/>
    <w:rPr>
      <w:rFonts w:hint="eastAsia" w:ascii="微软雅黑" w:hAnsi="微软雅黑" w:eastAsia="微软雅黑" w:cs="微软雅黑"/>
      <w:color w:val="FF0000"/>
      <w:sz w:val="22"/>
      <w:szCs w:val="22"/>
      <w:u w:val="none"/>
    </w:rPr>
  </w:style>
  <w:style w:type="character" w:customStyle="1" w:styleId="40">
    <w:name w:val="font81"/>
    <w:basedOn w:val="20"/>
    <w:qFormat/>
    <w:uiPriority w:val="0"/>
    <w:rPr>
      <w:rFonts w:hint="eastAsia" w:ascii="宋体" w:hAnsi="宋体" w:eastAsia="宋体" w:cs="宋体"/>
      <w:color w:val="000000"/>
      <w:sz w:val="22"/>
      <w:szCs w:val="22"/>
      <w:u w:val="none"/>
    </w:rPr>
  </w:style>
  <w:style w:type="character" w:customStyle="1" w:styleId="41">
    <w:name w:val="font91"/>
    <w:basedOn w:val="20"/>
    <w:qFormat/>
    <w:uiPriority w:val="0"/>
    <w:rPr>
      <w:rFonts w:hint="default" w:ascii="Times New Roman" w:hAnsi="Times New Roman" w:cs="Times New Roman"/>
      <w:color w:val="FF0000"/>
      <w:sz w:val="22"/>
      <w:szCs w:val="22"/>
      <w:u w:val="none"/>
    </w:rPr>
  </w:style>
  <w:style w:type="character" w:customStyle="1" w:styleId="42">
    <w:name w:val="font101"/>
    <w:basedOn w:val="20"/>
    <w:qFormat/>
    <w:uiPriority w:val="0"/>
    <w:rPr>
      <w:rFonts w:hint="eastAsia" w:ascii="宋体" w:hAnsi="宋体" w:eastAsia="宋体" w:cs="宋体"/>
      <w:color w:val="FF0000"/>
      <w:sz w:val="22"/>
      <w:szCs w:val="22"/>
      <w:u w:val="none"/>
    </w:rPr>
  </w:style>
  <w:style w:type="character" w:customStyle="1" w:styleId="43">
    <w:name w:val="font51"/>
    <w:basedOn w:val="20"/>
    <w:qFormat/>
    <w:uiPriority w:val="0"/>
    <w:rPr>
      <w:rFonts w:hint="default" w:ascii="华文宋体" w:hAnsi="华文宋体" w:eastAsia="华文宋体" w:cs="华文宋体"/>
      <w:color w:val="000000"/>
      <w:sz w:val="22"/>
      <w:szCs w:val="22"/>
      <w:u w:val="none"/>
    </w:rPr>
  </w:style>
  <w:style w:type="character" w:customStyle="1" w:styleId="44">
    <w:name w:val="font121"/>
    <w:basedOn w:val="20"/>
    <w:qFormat/>
    <w:uiPriority w:val="0"/>
    <w:rPr>
      <w:rFonts w:hint="default" w:ascii="华文宋体" w:hAnsi="华文宋体" w:eastAsia="华文宋体" w:cs="华文宋体"/>
      <w:color w:val="FF0000"/>
      <w:sz w:val="22"/>
      <w:szCs w:val="22"/>
      <w:u w:val="none"/>
    </w:rPr>
  </w:style>
  <w:style w:type="character" w:customStyle="1" w:styleId="45">
    <w:name w:val="font111"/>
    <w:basedOn w:val="20"/>
    <w:qFormat/>
    <w:uiPriority w:val="0"/>
    <w:rPr>
      <w:rFonts w:ascii="Arial" w:hAnsi="Arial" w:cs="Arial"/>
      <w:color w:val="000000"/>
      <w:sz w:val="22"/>
      <w:szCs w:val="22"/>
      <w:u w:val="none"/>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样式1 Char Char"/>
    <w:basedOn w:val="1"/>
    <w:qFormat/>
    <w:uiPriority w:val="0"/>
    <w:pPr>
      <w:keepNext w:val="0"/>
      <w:keepLines w:val="0"/>
      <w:widowControl w:val="0"/>
      <w:suppressLineNumbers w:val="0"/>
      <w:spacing w:before="0" w:beforeAutospacing="0" w:after="0" w:afterAutospacing="0" w:line="360" w:lineRule="auto"/>
      <w:ind w:left="0" w:right="0" w:firstLine="516" w:firstLineChars="215"/>
      <w:jc w:val="both"/>
    </w:pPr>
    <w:rPr>
      <w:rFonts w:hint="default" w:ascii="Calibri" w:hAnsi="Calibri" w:eastAsia="宋体" w:cs="Times New Roman"/>
      <w:kern w:val="2"/>
      <w:sz w:val="24"/>
      <w:szCs w:val="24"/>
      <w:lang w:val="en-US" w:eastAsia="zh-CN" w:bidi="ar"/>
    </w:rPr>
  </w:style>
  <w:style w:type="character" w:customStyle="1" w:styleId="48">
    <w:name w:val="font31"/>
    <w:basedOn w:val="20"/>
    <w:qFormat/>
    <w:uiPriority w:val="0"/>
    <w:rPr>
      <w:rFonts w:hint="eastAsia" w:ascii="宋体" w:hAnsi="宋体" w:eastAsia="宋体" w:cs="宋体"/>
      <w:color w:val="FF0000"/>
      <w:sz w:val="22"/>
      <w:szCs w:val="22"/>
      <w:u w:val="none"/>
    </w:rPr>
  </w:style>
  <w:style w:type="character" w:customStyle="1" w:styleId="49">
    <w:name w:val="font61"/>
    <w:basedOn w:val="20"/>
    <w:qFormat/>
    <w:uiPriority w:val="0"/>
    <w:rPr>
      <w:rFonts w:hint="eastAsia" w:ascii="宋体" w:hAnsi="宋体" w:eastAsia="宋体" w:cs="宋体"/>
      <w:color w:val="000000"/>
      <w:sz w:val="24"/>
      <w:szCs w:val="24"/>
      <w:u w:val="none"/>
      <w:vertAlign w:val="superscript"/>
    </w:rPr>
  </w:style>
  <w:style w:type="paragraph" w:customStyle="1" w:styleId="50">
    <w:name w:val="0五号正文"/>
    <w:basedOn w:val="1"/>
    <w:qFormat/>
    <w:uiPriority w:val="0"/>
    <w:pPr>
      <w:widowControl w:val="0"/>
      <w:shd w:val="clear" w:color="auto" w:fill="auto"/>
      <w:spacing w:line="300" w:lineRule="auto"/>
      <w:ind w:firstLine="420" w:firstLineChars="200"/>
    </w:pPr>
    <w:rPr>
      <w:rFonts w:cs="Times New Roman"/>
      <w:kern w:val="2"/>
      <w:szCs w:val="21"/>
    </w:rPr>
  </w:style>
  <w:style w:type="paragraph" w:customStyle="1" w:styleId="51">
    <w:name w:val="WPSOffice手动目录 2"/>
    <w:qFormat/>
    <w:uiPriority w:val="0"/>
    <w:pPr>
      <w:ind w:leftChars="200"/>
    </w:pPr>
    <w:rPr>
      <w:rFonts w:ascii="Times New Roman" w:hAnsi="Times New Roman" w:eastAsia="宋体" w:cs="Times New Roman"/>
      <w:sz w:val="20"/>
      <w:szCs w:val="20"/>
    </w:rPr>
  </w:style>
  <w:style w:type="paragraph" w:customStyle="1" w:styleId="52">
    <w:name w:val="WPSOffice手动目录 3"/>
    <w:qFormat/>
    <w:uiPriority w:val="0"/>
    <w:pPr>
      <w:ind w:leftChars="400"/>
    </w:pPr>
    <w:rPr>
      <w:rFonts w:ascii="Times New Roman" w:hAnsi="Times New Roman" w:eastAsia="宋体" w:cs="Times New Roman"/>
      <w:sz w:val="20"/>
      <w:szCs w:val="20"/>
    </w:rPr>
  </w:style>
  <w:style w:type="paragraph" w:customStyle="1" w:styleId="53">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97</Pages>
  <Words>5532</Words>
  <Characters>5663</Characters>
  <Lines>1</Lines>
  <Paragraphs>1</Paragraphs>
  <TotalTime>5</TotalTime>
  <ScaleCrop>false</ScaleCrop>
  <LinksUpToDate>false</LinksUpToDate>
  <CharactersWithSpaces>5973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2026-08-27T00:43:58Z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81C918D52D1F4B43B6177D2199C48FEE_13</vt:lpwstr>
  </property>
  <property fmtid="{D5CDD505-2E9C-101B-9397-08002B2CF9AE}" pid="4" name="KSOTemplateDocerSaveRecord">
    <vt:lpwstr>eyJoZGlkIjoiM2EyNDYyYmQ1ZDA0NDE2ZWMxMTVjMTBjNjZlNGMxZWMiLCJ1c2VySWQiOiIxOTQ5NzkyNTQifQ==</vt:lpwstr>
  </property>
</Properties>
</file>