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93C76E">
      <w:pPr>
        <w:jc w:val="center"/>
        <w:rPr>
          <w:rFonts w:asciiTheme="minorEastAsia" w:hAnsiTheme="minorEastAsia" w:cstheme="minorEastAsia"/>
          <w:b/>
          <w:bCs/>
          <w:sz w:val="24"/>
        </w:rPr>
      </w:pPr>
    </w:p>
    <w:p w14:paraId="032FC704">
      <w:pPr>
        <w:jc w:val="center"/>
        <w:rPr>
          <w:rFonts w:hint="eastAsia" w:asciiTheme="minorEastAsia" w:hAnsiTheme="minorEastAsia" w:cstheme="minorEastAsia"/>
          <w:b/>
          <w:bCs/>
          <w:sz w:val="40"/>
          <w:szCs w:val="40"/>
        </w:rPr>
      </w:pPr>
      <w:r>
        <w:rPr>
          <w:rFonts w:hint="eastAsia" w:asciiTheme="minorEastAsia" w:hAnsiTheme="minorEastAsia" w:cstheme="minorEastAsia"/>
          <w:b/>
          <w:bCs/>
          <w:sz w:val="40"/>
          <w:szCs w:val="40"/>
        </w:rPr>
        <w:t>福田区第二人民医院医疗器械</w:t>
      </w:r>
      <w:r>
        <w:rPr>
          <w:rFonts w:hint="eastAsia" w:asciiTheme="minorEastAsia" w:hAnsiTheme="minorEastAsia" w:cstheme="minorEastAsia"/>
          <w:b/>
          <w:bCs/>
          <w:sz w:val="40"/>
          <w:szCs w:val="40"/>
          <w:lang w:val="en-US" w:eastAsia="zh-CN"/>
        </w:rPr>
        <w:t>征集</w:t>
      </w:r>
      <w:r>
        <w:rPr>
          <w:rFonts w:hint="eastAsia" w:asciiTheme="minorEastAsia" w:hAnsiTheme="minorEastAsia" w:cstheme="minorEastAsia"/>
          <w:b/>
          <w:bCs/>
          <w:sz w:val="40"/>
          <w:szCs w:val="40"/>
        </w:rPr>
        <w:t>文件</w:t>
      </w:r>
    </w:p>
    <w:p w14:paraId="57CAD207">
      <w:pPr>
        <w:jc w:val="both"/>
        <w:rPr>
          <w:rFonts w:hint="eastAsia" w:ascii="宋体" w:hAnsi="宋体" w:eastAsia="宋体" w:cs="宋体"/>
          <w:b/>
          <w:bCs/>
          <w:color w:val="FF0000"/>
          <w:kern w:val="44"/>
          <w:sz w:val="44"/>
          <w:szCs w:val="44"/>
          <w:highlight w:val="none"/>
          <w:lang w:eastAsia="zh-CN"/>
        </w:rPr>
      </w:pPr>
    </w:p>
    <w:p w14:paraId="1802C3A9">
      <w:pPr>
        <w:keepNext w:val="0"/>
        <w:keepLines w:val="0"/>
        <w:pageBreakBefore w:val="0"/>
        <w:widowControl w:val="0"/>
        <w:kinsoku/>
        <w:wordWrap/>
        <w:overflowPunct/>
        <w:topLinePunct w:val="0"/>
        <w:autoSpaceDE/>
        <w:autoSpaceDN/>
        <w:bidi w:val="0"/>
        <w:adjustRightInd/>
        <w:snapToGrid/>
        <w:spacing w:line="480" w:lineRule="auto"/>
        <w:ind w:firstLine="280" w:firstLineChars="100"/>
        <w:jc w:val="left"/>
        <w:textAlignment w:val="auto"/>
        <w:rPr>
          <w:rFonts w:ascii="宋体" w:hAnsi="宋体" w:cs="宋体"/>
          <w:sz w:val="28"/>
          <w:szCs w:val="28"/>
        </w:rPr>
      </w:pPr>
      <w:r>
        <w:rPr>
          <w:rFonts w:hint="eastAsia" w:ascii="宋体" w:hAnsi="宋体" w:cs="宋体"/>
          <w:sz w:val="28"/>
          <w:szCs w:val="28"/>
        </w:rPr>
        <w:t>1、深圳市福田区第二人民医院对本单位部分</w:t>
      </w:r>
      <w:r>
        <w:rPr>
          <w:rFonts w:hint="eastAsia" w:ascii="宋体" w:hAnsi="宋体" w:cs="宋体"/>
          <w:sz w:val="28"/>
          <w:szCs w:val="28"/>
          <w:lang w:val="en-US" w:eastAsia="zh-CN"/>
        </w:rPr>
        <w:t>医疗器械</w:t>
      </w:r>
      <w:r>
        <w:rPr>
          <w:rFonts w:hint="eastAsia" w:ascii="宋体" w:hAnsi="宋体" w:cs="宋体"/>
          <w:sz w:val="28"/>
          <w:szCs w:val="28"/>
        </w:rPr>
        <w:t xml:space="preserve">进行公开征集。欢迎各经营企业或生产企业参加投标。 </w:t>
      </w:r>
    </w:p>
    <w:p w14:paraId="46D0B5CE">
      <w:pPr>
        <w:keepNext w:val="0"/>
        <w:keepLines w:val="0"/>
        <w:pageBreakBefore w:val="0"/>
        <w:widowControl w:val="0"/>
        <w:kinsoku/>
        <w:wordWrap/>
        <w:overflowPunct/>
        <w:topLinePunct w:val="0"/>
        <w:autoSpaceDE/>
        <w:autoSpaceDN/>
        <w:bidi w:val="0"/>
        <w:adjustRightInd/>
        <w:snapToGrid/>
        <w:spacing w:line="480" w:lineRule="auto"/>
        <w:ind w:firstLine="280" w:firstLineChars="100"/>
        <w:textAlignment w:val="auto"/>
        <w:rPr>
          <w:rFonts w:hint="eastAsia" w:ascii="宋体" w:hAnsi="宋体" w:cs="宋体"/>
          <w:sz w:val="28"/>
          <w:szCs w:val="28"/>
        </w:rPr>
      </w:pPr>
      <w:r>
        <w:rPr>
          <w:rFonts w:hint="eastAsia" w:ascii="宋体" w:hAnsi="宋体" w:cs="宋体"/>
          <w:sz w:val="28"/>
          <w:szCs w:val="28"/>
        </w:rPr>
        <w:t>2、供应商可根据自身的经营情况，选择投一个或多个采购条目，但不允许将一个采购条目流水号的内容拆散。</w:t>
      </w:r>
      <w:r>
        <w:rPr>
          <w:rFonts w:hint="eastAsia" w:ascii="宋体" w:hAnsi="宋体" w:cs="宋体"/>
          <w:b/>
          <w:bCs/>
          <w:sz w:val="28"/>
          <w:szCs w:val="28"/>
        </w:rPr>
        <w:t>请准备投标文件</w:t>
      </w:r>
      <w:r>
        <w:rPr>
          <w:rFonts w:hint="eastAsia" w:ascii="宋体" w:hAnsi="宋体" w:cs="宋体"/>
          <w:b/>
          <w:bCs/>
          <w:sz w:val="28"/>
          <w:szCs w:val="28"/>
          <w:lang w:val="en-US" w:eastAsia="zh-CN"/>
        </w:rPr>
        <w:t>四</w:t>
      </w:r>
      <w:r>
        <w:rPr>
          <w:rFonts w:hint="eastAsia" w:ascii="宋体" w:hAnsi="宋体" w:cs="宋体"/>
          <w:b/>
          <w:bCs/>
          <w:sz w:val="28"/>
          <w:szCs w:val="28"/>
        </w:rPr>
        <w:t>份</w:t>
      </w:r>
      <w:r>
        <w:rPr>
          <w:rFonts w:hint="eastAsia" w:ascii="宋体" w:hAnsi="宋体" w:cs="宋体"/>
          <w:sz w:val="28"/>
          <w:szCs w:val="28"/>
        </w:rPr>
        <w:t>（</w:t>
      </w:r>
      <w:r>
        <w:rPr>
          <w:rFonts w:hint="eastAsia" w:ascii="宋体" w:hAnsi="宋体" w:cs="宋体"/>
          <w:color w:val="FF0000"/>
          <w:sz w:val="28"/>
          <w:szCs w:val="28"/>
        </w:rPr>
        <w:t>一份正本</w:t>
      </w:r>
      <w:r>
        <w:rPr>
          <w:rFonts w:hint="eastAsia" w:ascii="宋体" w:hAnsi="宋体" w:cs="宋体"/>
          <w:color w:val="FF0000"/>
          <w:sz w:val="28"/>
          <w:szCs w:val="28"/>
          <w:lang w:val="en-US" w:eastAsia="zh-CN"/>
        </w:rPr>
        <w:t>三</w:t>
      </w:r>
      <w:r>
        <w:rPr>
          <w:rFonts w:hint="eastAsia" w:ascii="宋体" w:hAnsi="宋体" w:cs="宋体"/>
          <w:color w:val="FF0000"/>
          <w:sz w:val="28"/>
          <w:szCs w:val="28"/>
        </w:rPr>
        <w:t>份副本</w:t>
      </w:r>
      <w:r>
        <w:rPr>
          <w:rFonts w:hint="eastAsia" w:ascii="宋体" w:hAnsi="宋体" w:cs="宋体"/>
          <w:color w:val="FF0000"/>
          <w:sz w:val="28"/>
          <w:szCs w:val="28"/>
          <w:lang w:eastAsia="zh-CN"/>
        </w:rPr>
        <w:t>，</w:t>
      </w:r>
      <w:r>
        <w:rPr>
          <w:rFonts w:hint="eastAsia" w:ascii="宋体" w:hAnsi="宋体" w:cs="宋体"/>
          <w:color w:val="FF0000"/>
          <w:sz w:val="28"/>
          <w:szCs w:val="28"/>
          <w:lang w:val="en-US" w:eastAsia="zh-CN"/>
        </w:rPr>
        <w:t>开标一览表需单独密封，电子文件拷贝到U盘存放于开标一览表密封袋内。</w:t>
      </w:r>
      <w:r>
        <w:rPr>
          <w:rFonts w:hint="eastAsia" w:ascii="宋体" w:hAnsi="宋体" w:cs="宋体"/>
          <w:sz w:val="28"/>
          <w:szCs w:val="28"/>
        </w:rPr>
        <w:t>电子文件内容应与纸质投标文件正本内容一致，如有差异以纸质投标文件正本为准，正副本如有差异以正本为准；开标时唱标用的开标一览表内容应与投标文件中的开标一览表内容一致，如有差异以唱标用的开标一览表内容为准。表格应按</w:t>
      </w:r>
      <w:r>
        <w:rPr>
          <w:rFonts w:hint="eastAsia" w:ascii="宋体" w:hAnsi="宋体" w:cs="宋体"/>
          <w:sz w:val="28"/>
          <w:szCs w:val="28"/>
          <w:lang w:eastAsia="zh-CN"/>
        </w:rPr>
        <w:t>征集</w:t>
      </w:r>
      <w:r>
        <w:rPr>
          <w:rFonts w:hint="eastAsia" w:ascii="宋体" w:hAnsi="宋体" w:cs="宋体"/>
          <w:sz w:val="28"/>
          <w:szCs w:val="28"/>
        </w:rPr>
        <w:t>文件要求签署并加盖公章</w:t>
      </w:r>
      <w:r>
        <w:rPr>
          <w:rFonts w:hint="eastAsia" w:ascii="宋体" w:hAnsi="宋体" w:cs="宋体"/>
          <w:sz w:val="28"/>
          <w:szCs w:val="28"/>
          <w:lang w:eastAsia="zh-CN"/>
        </w:rPr>
        <w:t>。</w:t>
      </w:r>
      <w:r>
        <w:rPr>
          <w:rFonts w:hint="eastAsia" w:ascii="宋体" w:hAnsi="宋体" w:cs="宋体"/>
          <w:sz w:val="28"/>
          <w:szCs w:val="28"/>
        </w:rPr>
        <w:t>）</w:t>
      </w:r>
    </w:p>
    <w:p w14:paraId="2774F517">
      <w:pPr>
        <w:keepNext w:val="0"/>
        <w:keepLines w:val="0"/>
        <w:pageBreakBefore w:val="0"/>
        <w:widowControl w:val="0"/>
        <w:kinsoku/>
        <w:wordWrap/>
        <w:overflowPunct/>
        <w:topLinePunct w:val="0"/>
        <w:autoSpaceDE/>
        <w:autoSpaceDN/>
        <w:bidi w:val="0"/>
        <w:adjustRightInd/>
        <w:snapToGrid/>
        <w:spacing w:line="480" w:lineRule="auto"/>
        <w:ind w:firstLine="280" w:firstLineChars="100"/>
        <w:jc w:val="left"/>
        <w:textAlignment w:val="auto"/>
        <w:rPr>
          <w:rFonts w:ascii="宋体" w:hAnsi="宋体" w:cs="宋体"/>
          <w:sz w:val="28"/>
          <w:szCs w:val="28"/>
        </w:rPr>
      </w:pPr>
      <w:r>
        <w:rPr>
          <w:rFonts w:hint="eastAsia" w:ascii="宋体" w:hAnsi="宋体" w:cs="宋体"/>
          <w:sz w:val="28"/>
          <w:szCs w:val="28"/>
          <w:lang w:val="en-US" w:eastAsia="zh-CN"/>
        </w:rPr>
        <w:t>3、</w:t>
      </w:r>
      <w:r>
        <w:rPr>
          <w:rFonts w:hint="eastAsia" w:ascii="宋体" w:hAnsi="宋体" w:cs="宋体"/>
          <w:sz w:val="28"/>
          <w:szCs w:val="28"/>
        </w:rPr>
        <w:t>企业参加投标，即表示接受本次</w:t>
      </w:r>
      <w:r>
        <w:rPr>
          <w:rFonts w:hint="eastAsia" w:ascii="宋体" w:hAnsi="宋体" w:cs="宋体"/>
          <w:sz w:val="28"/>
          <w:szCs w:val="28"/>
          <w:lang w:eastAsia="zh-CN"/>
        </w:rPr>
        <w:t>征集</w:t>
      </w:r>
      <w:r>
        <w:rPr>
          <w:rFonts w:hint="eastAsia" w:ascii="宋体" w:hAnsi="宋体" w:cs="宋体"/>
          <w:sz w:val="28"/>
          <w:szCs w:val="28"/>
        </w:rPr>
        <w:t>的各项要求。</w:t>
      </w:r>
    </w:p>
    <w:p w14:paraId="1227C97E">
      <w:pPr>
        <w:keepNext w:val="0"/>
        <w:keepLines w:val="0"/>
        <w:pageBreakBefore w:val="0"/>
        <w:widowControl w:val="0"/>
        <w:kinsoku/>
        <w:wordWrap/>
        <w:overflowPunct/>
        <w:topLinePunct w:val="0"/>
        <w:autoSpaceDE/>
        <w:autoSpaceDN/>
        <w:bidi w:val="0"/>
        <w:adjustRightInd/>
        <w:snapToGrid/>
        <w:spacing w:line="480" w:lineRule="auto"/>
        <w:ind w:firstLine="280" w:firstLineChars="100"/>
        <w:jc w:val="left"/>
        <w:textAlignment w:val="auto"/>
        <w:rPr>
          <w:rFonts w:ascii="宋体" w:hAnsi="宋体" w:cs="宋体"/>
          <w:sz w:val="28"/>
          <w:szCs w:val="28"/>
        </w:rPr>
      </w:pPr>
      <w:r>
        <w:rPr>
          <w:rFonts w:hint="eastAsia" w:ascii="宋体" w:hAnsi="宋体" w:cs="宋体"/>
          <w:sz w:val="28"/>
          <w:szCs w:val="28"/>
          <w:lang w:val="en-US" w:eastAsia="zh-CN"/>
        </w:rPr>
        <w:t>4、</w:t>
      </w:r>
      <w:r>
        <w:rPr>
          <w:rFonts w:hint="eastAsia" w:ascii="宋体" w:hAnsi="宋体" w:cs="宋体"/>
          <w:sz w:val="28"/>
          <w:szCs w:val="28"/>
          <w:lang w:eastAsia="zh-CN"/>
        </w:rPr>
        <w:t>征集</w:t>
      </w:r>
      <w:r>
        <w:rPr>
          <w:rFonts w:hint="eastAsia" w:ascii="宋体" w:hAnsi="宋体" w:cs="宋体"/>
          <w:sz w:val="28"/>
          <w:szCs w:val="28"/>
        </w:rPr>
        <w:t>活动的最终解释权属于深圳市福田区第二人民医院。</w:t>
      </w:r>
    </w:p>
    <w:p w14:paraId="6627C96D">
      <w:pPr>
        <w:jc w:val="both"/>
        <w:rPr>
          <w:rFonts w:hint="eastAsia" w:ascii="宋体" w:hAnsi="宋体" w:eastAsia="宋体" w:cs="宋体"/>
          <w:b/>
          <w:bCs/>
          <w:color w:val="FF0000"/>
          <w:kern w:val="44"/>
          <w:sz w:val="44"/>
          <w:szCs w:val="44"/>
          <w:highlight w:val="none"/>
          <w:lang w:eastAsia="zh-CN"/>
        </w:rPr>
      </w:pPr>
    </w:p>
    <w:p w14:paraId="63C995F2">
      <w:pPr>
        <w:jc w:val="both"/>
        <w:rPr>
          <w:rFonts w:hint="eastAsia" w:ascii="宋体" w:hAnsi="宋体" w:eastAsia="宋体" w:cs="宋体"/>
          <w:b/>
          <w:bCs/>
          <w:color w:val="FF0000"/>
          <w:kern w:val="44"/>
          <w:sz w:val="44"/>
          <w:szCs w:val="44"/>
          <w:highlight w:val="none"/>
          <w:lang w:eastAsia="zh-CN"/>
        </w:rPr>
      </w:pPr>
    </w:p>
    <w:p w14:paraId="44269B29">
      <w:pPr>
        <w:jc w:val="both"/>
        <w:rPr>
          <w:rFonts w:hint="eastAsia" w:ascii="宋体" w:hAnsi="宋体" w:eastAsia="宋体" w:cs="宋体"/>
          <w:b/>
          <w:bCs/>
          <w:color w:val="FF0000"/>
          <w:kern w:val="44"/>
          <w:sz w:val="44"/>
          <w:szCs w:val="44"/>
          <w:highlight w:val="none"/>
          <w:lang w:eastAsia="zh-CN"/>
        </w:rPr>
      </w:pPr>
    </w:p>
    <w:p w14:paraId="4D69B061">
      <w:pPr>
        <w:jc w:val="both"/>
        <w:rPr>
          <w:rFonts w:hint="eastAsia" w:ascii="宋体" w:hAnsi="宋体" w:eastAsia="宋体" w:cs="宋体"/>
          <w:b/>
          <w:bCs/>
          <w:color w:val="FF0000"/>
          <w:kern w:val="44"/>
          <w:sz w:val="44"/>
          <w:szCs w:val="44"/>
          <w:highlight w:val="none"/>
          <w:lang w:eastAsia="zh-CN"/>
        </w:rPr>
      </w:pPr>
    </w:p>
    <w:p w14:paraId="78224E58">
      <w:pPr>
        <w:jc w:val="both"/>
        <w:rPr>
          <w:rFonts w:hint="eastAsia" w:ascii="宋体" w:hAnsi="宋体" w:eastAsia="宋体" w:cs="宋体"/>
          <w:b/>
          <w:bCs/>
          <w:color w:val="FF0000"/>
          <w:kern w:val="44"/>
          <w:sz w:val="44"/>
          <w:szCs w:val="44"/>
          <w:highlight w:val="none"/>
          <w:lang w:eastAsia="zh-CN"/>
        </w:rPr>
      </w:pPr>
    </w:p>
    <w:p w14:paraId="44CF2BDC">
      <w:pPr>
        <w:jc w:val="both"/>
        <w:rPr>
          <w:rFonts w:hint="eastAsia" w:ascii="宋体" w:hAnsi="宋体" w:eastAsia="宋体" w:cs="宋体"/>
          <w:b/>
          <w:bCs/>
          <w:color w:val="FF0000"/>
          <w:kern w:val="44"/>
          <w:sz w:val="44"/>
          <w:szCs w:val="44"/>
          <w:highlight w:val="none"/>
          <w:lang w:eastAsia="zh-CN"/>
        </w:rPr>
      </w:pPr>
    </w:p>
    <w:p w14:paraId="7213294F">
      <w:pPr>
        <w:jc w:val="both"/>
        <w:rPr>
          <w:rFonts w:hint="eastAsia" w:ascii="宋体" w:hAnsi="宋体" w:eastAsia="宋体" w:cs="宋体"/>
          <w:b/>
          <w:bCs/>
          <w:color w:val="FF0000"/>
          <w:kern w:val="44"/>
          <w:sz w:val="44"/>
          <w:szCs w:val="44"/>
          <w:highlight w:val="none"/>
          <w:lang w:eastAsia="zh-CN"/>
        </w:rPr>
      </w:pPr>
    </w:p>
    <w:p w14:paraId="7F12044C">
      <w:pPr>
        <w:jc w:val="both"/>
        <w:rPr>
          <w:rFonts w:hint="eastAsia" w:ascii="宋体" w:hAnsi="宋体" w:eastAsia="宋体" w:cs="宋体"/>
          <w:b/>
          <w:bCs/>
          <w:color w:val="FF0000"/>
          <w:kern w:val="44"/>
          <w:sz w:val="44"/>
          <w:szCs w:val="44"/>
          <w:highlight w:val="none"/>
          <w:lang w:eastAsia="zh-CN"/>
        </w:rPr>
      </w:pPr>
    </w:p>
    <w:p w14:paraId="273ED2AD">
      <w:pPr>
        <w:jc w:val="both"/>
        <w:rPr>
          <w:rFonts w:hint="eastAsia" w:ascii="宋体" w:hAnsi="宋体" w:eastAsia="宋体" w:cs="宋体"/>
          <w:b/>
          <w:bCs/>
          <w:color w:val="FF0000"/>
          <w:kern w:val="44"/>
          <w:sz w:val="44"/>
          <w:szCs w:val="44"/>
          <w:highlight w:val="none"/>
          <w:lang w:eastAsia="zh-CN"/>
        </w:rPr>
      </w:pPr>
    </w:p>
    <w:p w14:paraId="4E47FF13">
      <w:pPr>
        <w:jc w:val="center"/>
        <w:outlineLvl w:val="9"/>
        <w:rPr>
          <w:rFonts w:hint="eastAsia" w:ascii="宋体" w:hAnsi="宋体" w:eastAsia="宋体" w:cs="宋体"/>
          <w:b/>
          <w:bCs/>
          <w:color w:val="FF0000"/>
          <w:sz w:val="36"/>
          <w:szCs w:val="36"/>
          <w:highlight w:val="none"/>
          <w:lang w:val="en-US" w:eastAsia="zh-CN"/>
        </w:rPr>
      </w:pPr>
      <w:bookmarkStart w:id="0" w:name="_Toc29098"/>
      <w:bookmarkStart w:id="1" w:name="_Toc3689"/>
      <w:r>
        <w:rPr>
          <w:rFonts w:hint="eastAsia" w:ascii="宋体" w:hAnsi="宋体" w:eastAsia="宋体" w:cs="宋体"/>
          <w:b/>
          <w:bCs/>
          <w:color w:val="FF0000"/>
          <w:kern w:val="44"/>
          <w:sz w:val="36"/>
          <w:szCs w:val="36"/>
          <w:highlight w:val="none"/>
          <w:lang w:eastAsia="zh-CN"/>
        </w:rPr>
        <w:t>特别</w:t>
      </w:r>
      <w:r>
        <w:rPr>
          <w:rFonts w:hint="eastAsia" w:ascii="宋体" w:hAnsi="宋体" w:eastAsia="宋体" w:cs="宋体"/>
          <w:b/>
          <w:bCs/>
          <w:color w:val="FF0000"/>
          <w:kern w:val="44"/>
          <w:sz w:val="36"/>
          <w:szCs w:val="36"/>
          <w:highlight w:val="none"/>
        </w:rPr>
        <w:t>警示条款</w:t>
      </w:r>
      <w:bookmarkEnd w:id="0"/>
      <w:bookmarkEnd w:id="1"/>
    </w:p>
    <w:p w14:paraId="6BD7F2C5">
      <w:pPr>
        <w:keepNext w:val="0"/>
        <w:keepLines w:val="0"/>
        <w:pageBreakBefore w:val="0"/>
        <w:widowControl w:val="0"/>
        <w:kinsoku/>
        <w:wordWrap/>
        <w:overflowPunct/>
        <w:topLinePunct w:val="0"/>
        <w:autoSpaceDE/>
        <w:autoSpaceDN/>
        <w:bidi w:val="0"/>
        <w:adjustRightInd/>
        <w:snapToGrid/>
        <w:spacing w:after="313" w:afterLines="100" w:line="400" w:lineRule="exact"/>
        <w:ind w:firstLine="562" w:firstLineChars="200"/>
        <w:jc w:val="both"/>
        <w:textAlignment w:val="auto"/>
        <w:rPr>
          <w:rFonts w:hint="eastAsia" w:ascii="宋体" w:hAnsi="宋体" w:eastAsia="宋体" w:cs="宋体"/>
          <w:b/>
          <w:bCs/>
          <w:color w:val="FF0000"/>
          <w:sz w:val="28"/>
          <w:szCs w:val="28"/>
          <w:highlight w:val="none"/>
          <w:lang w:val="en-US" w:eastAsia="zh-CN"/>
        </w:rPr>
      </w:pPr>
      <w:r>
        <w:rPr>
          <w:rFonts w:hint="eastAsia" w:ascii="宋体" w:hAnsi="宋体" w:eastAsia="宋体" w:cs="宋体"/>
          <w:b/>
          <w:bCs/>
          <w:color w:val="FF0000"/>
          <w:sz w:val="28"/>
          <w:szCs w:val="28"/>
          <w:highlight w:val="none"/>
          <w:lang w:val="en-US" w:eastAsia="zh-CN"/>
        </w:rPr>
        <w:t>参与本项目采购活动的供应商应认真阅读以下特别警示条款，不得存在以下所列禁止情形，一旦发现，将被处以记入供应商诚信档案、取消参与项目采购资格等处罚；构成犯罪的，依法追究刑事责任。</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5"/>
        <w:gridCol w:w="7711"/>
      </w:tblGrid>
      <w:tr w14:paraId="11D06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55" w:type="dxa"/>
            <w:noWrap w:val="0"/>
            <w:vAlign w:val="center"/>
          </w:tcPr>
          <w:p w14:paraId="6D5726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b/>
                <w:bCs/>
                <w:color w:val="FF0000"/>
                <w:sz w:val="30"/>
                <w:szCs w:val="30"/>
                <w:highlight w:val="none"/>
                <w:lang w:val="en-US" w:eastAsia="zh-CN"/>
              </w:rPr>
              <w:t>序号</w:t>
            </w:r>
          </w:p>
        </w:tc>
        <w:tc>
          <w:tcPr>
            <w:tcW w:w="7711" w:type="dxa"/>
            <w:noWrap w:val="0"/>
            <w:vAlign w:val="center"/>
          </w:tcPr>
          <w:p w14:paraId="1E90D7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b/>
                <w:bCs/>
                <w:color w:val="FF0000"/>
                <w:sz w:val="30"/>
                <w:szCs w:val="30"/>
                <w:highlight w:val="none"/>
                <w:lang w:val="en-US" w:eastAsia="zh-CN"/>
              </w:rPr>
              <w:t>供应商参与投标禁止情形</w:t>
            </w:r>
          </w:p>
        </w:tc>
      </w:tr>
      <w:tr w14:paraId="4DAFB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5" w:type="dxa"/>
            <w:noWrap w:val="0"/>
            <w:vAlign w:val="center"/>
          </w:tcPr>
          <w:p w14:paraId="49C245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1</w:t>
            </w:r>
          </w:p>
        </w:tc>
        <w:tc>
          <w:tcPr>
            <w:tcW w:w="7711" w:type="dxa"/>
            <w:noWrap w:val="0"/>
            <w:vAlign w:val="center"/>
          </w:tcPr>
          <w:p w14:paraId="0025E2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FF0000"/>
                <w:sz w:val="28"/>
                <w:szCs w:val="28"/>
                <w:highlight w:val="none"/>
                <w:lang w:val="en-US" w:eastAsia="zh-CN"/>
              </w:rPr>
              <w:t>同一人、属同一单位或者在同一单位缴纳社会保险</w:t>
            </w:r>
            <w:r>
              <w:rPr>
                <w:rFonts w:hint="eastAsia" w:ascii="宋体" w:hAnsi="宋体" w:eastAsia="宋体" w:cs="宋体"/>
                <w:color w:val="FF0000"/>
                <w:sz w:val="28"/>
                <w:szCs w:val="28"/>
                <w:highlight w:val="none"/>
                <w:lang w:val="en-US" w:eastAsia="zh-CN"/>
              </w:rPr>
              <w:t>。</w:t>
            </w:r>
          </w:p>
        </w:tc>
      </w:tr>
      <w:tr w14:paraId="03DE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5" w:type="dxa"/>
            <w:noWrap w:val="0"/>
            <w:vAlign w:val="center"/>
          </w:tcPr>
          <w:p w14:paraId="621A64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2</w:t>
            </w:r>
          </w:p>
        </w:tc>
        <w:tc>
          <w:tcPr>
            <w:tcW w:w="7711" w:type="dxa"/>
            <w:noWrap w:val="0"/>
            <w:vAlign w:val="center"/>
          </w:tcPr>
          <w:p w14:paraId="1B184D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参与本项目采购活动时，与其他投标供应商存在单位负责人为</w:t>
            </w:r>
            <w:r>
              <w:rPr>
                <w:rFonts w:hint="eastAsia" w:ascii="宋体" w:hAnsi="宋体" w:eastAsia="宋体" w:cs="宋体"/>
                <w:b/>
                <w:bCs/>
                <w:color w:val="FF0000"/>
                <w:sz w:val="28"/>
                <w:szCs w:val="28"/>
                <w:highlight w:val="none"/>
                <w:lang w:val="en-US" w:eastAsia="zh-CN"/>
              </w:rPr>
              <w:t>同一人或直接控股、管理关系</w:t>
            </w:r>
            <w:r>
              <w:rPr>
                <w:rFonts w:hint="eastAsia" w:ascii="宋体" w:hAnsi="宋体" w:eastAsia="宋体" w:cs="宋体"/>
                <w:color w:val="FF0000"/>
                <w:sz w:val="28"/>
                <w:szCs w:val="28"/>
                <w:highlight w:val="none"/>
                <w:lang w:val="en-US" w:eastAsia="zh-CN"/>
              </w:rPr>
              <w:t>。</w:t>
            </w:r>
          </w:p>
        </w:tc>
      </w:tr>
      <w:tr w14:paraId="16F69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5" w:type="dxa"/>
            <w:noWrap w:val="0"/>
            <w:vAlign w:val="center"/>
          </w:tcPr>
          <w:p w14:paraId="53F4B0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3</w:t>
            </w:r>
          </w:p>
        </w:tc>
        <w:tc>
          <w:tcPr>
            <w:tcW w:w="7711" w:type="dxa"/>
            <w:noWrap w:val="0"/>
            <w:vAlign w:val="center"/>
          </w:tcPr>
          <w:p w14:paraId="75A13C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与其他投标供应商的投标文件或部分投标文件</w:t>
            </w:r>
            <w:r>
              <w:rPr>
                <w:rFonts w:hint="eastAsia" w:ascii="宋体" w:hAnsi="宋体" w:eastAsia="宋体" w:cs="宋体"/>
                <w:b/>
                <w:bCs/>
                <w:color w:val="FF0000"/>
                <w:sz w:val="28"/>
                <w:szCs w:val="28"/>
                <w:highlight w:val="none"/>
                <w:lang w:val="en-US" w:eastAsia="zh-CN"/>
              </w:rPr>
              <w:t>相互混装或存在非正常一致</w:t>
            </w:r>
            <w:r>
              <w:rPr>
                <w:rFonts w:hint="eastAsia" w:ascii="宋体" w:hAnsi="宋体" w:eastAsia="宋体" w:cs="宋体"/>
                <w:color w:val="FF0000"/>
                <w:sz w:val="28"/>
                <w:szCs w:val="28"/>
                <w:highlight w:val="none"/>
                <w:lang w:val="en-US" w:eastAsia="zh-CN"/>
              </w:rPr>
              <w:t>。</w:t>
            </w:r>
          </w:p>
        </w:tc>
      </w:tr>
      <w:tr w14:paraId="1E50F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1155" w:type="dxa"/>
            <w:noWrap w:val="0"/>
            <w:vAlign w:val="center"/>
          </w:tcPr>
          <w:p w14:paraId="2A394B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4</w:t>
            </w:r>
          </w:p>
        </w:tc>
        <w:tc>
          <w:tcPr>
            <w:tcW w:w="7711" w:type="dxa"/>
            <w:noWrap w:val="0"/>
            <w:vAlign w:val="center"/>
          </w:tcPr>
          <w:p w14:paraId="581C5C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kern w:val="2"/>
                <w:sz w:val="28"/>
                <w:szCs w:val="28"/>
                <w:highlight w:val="none"/>
                <w:lang w:val="en-US" w:eastAsia="zh-CN" w:bidi="ar-SA"/>
              </w:rPr>
            </w:pPr>
            <w:r>
              <w:rPr>
                <w:rFonts w:hint="eastAsia" w:ascii="宋体" w:hAnsi="宋体" w:eastAsia="宋体" w:cs="宋体"/>
                <w:color w:val="FF0000"/>
                <w:sz w:val="28"/>
                <w:szCs w:val="28"/>
                <w:highlight w:val="none"/>
                <w:lang w:val="en-US" w:eastAsia="zh-CN"/>
              </w:rPr>
              <w:t>与其他投标供应商的投标文件由</w:t>
            </w:r>
            <w:r>
              <w:rPr>
                <w:rFonts w:hint="eastAsia" w:ascii="宋体" w:hAnsi="宋体" w:eastAsia="宋体" w:cs="宋体"/>
                <w:b/>
                <w:bCs/>
                <w:color w:val="FF0000"/>
                <w:sz w:val="28"/>
                <w:szCs w:val="28"/>
                <w:highlight w:val="none"/>
                <w:lang w:val="en-US" w:eastAsia="zh-CN"/>
              </w:rPr>
              <w:t>同一单位或者同一人编制</w:t>
            </w:r>
            <w:r>
              <w:rPr>
                <w:rFonts w:hint="eastAsia" w:ascii="宋体" w:hAnsi="宋体" w:eastAsia="宋体" w:cs="宋体"/>
                <w:color w:val="FF0000"/>
                <w:sz w:val="28"/>
                <w:szCs w:val="28"/>
                <w:highlight w:val="none"/>
                <w:lang w:val="en-US" w:eastAsia="zh-CN"/>
              </w:rPr>
              <w:t>，或者使用</w:t>
            </w:r>
            <w:r>
              <w:rPr>
                <w:rFonts w:hint="eastAsia" w:ascii="宋体" w:hAnsi="宋体" w:eastAsia="宋体" w:cs="宋体"/>
                <w:b/>
                <w:bCs/>
                <w:color w:val="FF0000"/>
                <w:sz w:val="28"/>
                <w:szCs w:val="28"/>
                <w:highlight w:val="none"/>
                <w:lang w:val="en-US" w:eastAsia="zh-CN"/>
              </w:rPr>
              <w:t>同一设备编制</w:t>
            </w:r>
            <w:r>
              <w:rPr>
                <w:rFonts w:hint="eastAsia" w:ascii="宋体" w:hAnsi="宋体" w:eastAsia="宋体" w:cs="宋体"/>
                <w:color w:val="FF0000"/>
                <w:sz w:val="28"/>
                <w:szCs w:val="28"/>
                <w:highlight w:val="none"/>
                <w:lang w:val="en-US" w:eastAsia="zh-CN"/>
              </w:rPr>
              <w:t>（“文件制作机器码”“文件创建标识码”一致）。</w:t>
            </w:r>
          </w:p>
        </w:tc>
      </w:tr>
      <w:tr w14:paraId="13D8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1155" w:type="dxa"/>
            <w:noWrap w:val="0"/>
            <w:vAlign w:val="center"/>
          </w:tcPr>
          <w:p w14:paraId="26C153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5</w:t>
            </w:r>
          </w:p>
        </w:tc>
        <w:tc>
          <w:tcPr>
            <w:tcW w:w="7711" w:type="dxa"/>
            <w:noWrap w:val="0"/>
            <w:vAlign w:val="center"/>
          </w:tcPr>
          <w:p w14:paraId="403AF6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提供</w:t>
            </w:r>
            <w:r>
              <w:rPr>
                <w:rFonts w:hint="eastAsia" w:ascii="宋体" w:hAnsi="宋体" w:eastAsia="宋体" w:cs="宋体"/>
                <w:b/>
                <w:bCs/>
                <w:color w:val="FF0000"/>
                <w:sz w:val="28"/>
                <w:szCs w:val="28"/>
                <w:highlight w:val="none"/>
                <w:lang w:val="en-US" w:eastAsia="zh-CN"/>
              </w:rPr>
              <w:t>未经出具机构核实</w:t>
            </w:r>
            <w:r>
              <w:rPr>
                <w:rFonts w:hint="eastAsia" w:ascii="宋体" w:hAnsi="宋体" w:eastAsia="宋体" w:cs="宋体"/>
                <w:color w:val="FF0000"/>
                <w:sz w:val="28"/>
                <w:szCs w:val="28"/>
                <w:highlight w:val="none"/>
                <w:lang w:val="en-US" w:eastAsia="zh-CN"/>
              </w:rPr>
              <w:t>的虚假的检验检测报告、业绩材料、社保缴纳证明、学历学位证书、职称认证证书等材料。</w:t>
            </w:r>
          </w:p>
        </w:tc>
      </w:tr>
      <w:tr w14:paraId="585DF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155" w:type="dxa"/>
            <w:noWrap w:val="0"/>
            <w:vAlign w:val="center"/>
          </w:tcPr>
          <w:p w14:paraId="520788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6</w:t>
            </w:r>
          </w:p>
        </w:tc>
        <w:tc>
          <w:tcPr>
            <w:tcW w:w="7711" w:type="dxa"/>
            <w:noWrap w:val="0"/>
            <w:vAlign w:val="center"/>
          </w:tcPr>
          <w:p w14:paraId="4B0D6C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kern w:val="2"/>
                <w:sz w:val="28"/>
                <w:szCs w:val="28"/>
                <w:highlight w:val="none"/>
                <w:lang w:val="en-US" w:eastAsia="zh-CN" w:bidi="ar-SA"/>
              </w:rPr>
            </w:pPr>
            <w:r>
              <w:rPr>
                <w:rFonts w:hint="eastAsia" w:ascii="宋体" w:hAnsi="宋体" w:eastAsia="宋体" w:cs="宋体"/>
                <w:color w:val="FF0000"/>
                <w:sz w:val="28"/>
                <w:szCs w:val="28"/>
                <w:highlight w:val="none"/>
                <w:lang w:val="en-US" w:eastAsia="zh-CN"/>
              </w:rPr>
              <w:t>擅自将投标密钥</w:t>
            </w:r>
            <w:r>
              <w:rPr>
                <w:rFonts w:hint="eastAsia" w:ascii="宋体" w:hAnsi="宋体" w:eastAsia="宋体" w:cs="宋体"/>
                <w:color w:val="FF0000"/>
                <w:sz w:val="28"/>
                <w:szCs w:val="28"/>
                <w:highlight w:val="none"/>
                <w:lang w:eastAsia="zh-CN"/>
              </w:rPr>
              <w:t>或</w:t>
            </w:r>
            <w:r>
              <w:rPr>
                <w:rFonts w:hint="eastAsia" w:ascii="宋体" w:hAnsi="宋体" w:eastAsia="宋体" w:cs="宋体"/>
                <w:color w:val="FF0000"/>
                <w:sz w:val="28"/>
                <w:szCs w:val="28"/>
                <w:highlight w:val="none"/>
                <w:lang w:val="en-US" w:eastAsia="zh-CN"/>
              </w:rPr>
              <w:t>电子营业执照出借他人使用或未妥善保管。</w:t>
            </w:r>
          </w:p>
        </w:tc>
      </w:tr>
    </w:tbl>
    <w:p w14:paraId="179585CB">
      <w:pPr>
        <w:rPr>
          <w:rFonts w:asciiTheme="minorEastAsia" w:hAnsiTheme="minorEastAsia" w:cstheme="minorEastAsia"/>
          <w:szCs w:val="21"/>
        </w:rPr>
      </w:pPr>
    </w:p>
    <w:p w14:paraId="10E164FD">
      <w:pPr>
        <w:rPr>
          <w:rFonts w:hint="eastAsia" w:asciiTheme="minorEastAsia" w:hAnsiTheme="minorEastAsia" w:cstheme="minorEastAsia"/>
          <w:szCs w:val="21"/>
        </w:rPr>
      </w:pPr>
      <w:r>
        <w:rPr>
          <w:rFonts w:hint="eastAsia" w:asciiTheme="minorEastAsia" w:hAnsiTheme="minorEastAsia" w:cstheme="minorEastAsia"/>
          <w:szCs w:val="21"/>
        </w:rPr>
        <w:t xml:space="preserve"> </w:t>
      </w:r>
    </w:p>
    <w:p w14:paraId="538F311D">
      <w:pPr>
        <w:rPr>
          <w:rFonts w:hint="eastAsia" w:asciiTheme="minorEastAsia" w:hAnsiTheme="minorEastAsia" w:cstheme="minorEastAsia"/>
          <w:szCs w:val="21"/>
        </w:rPr>
      </w:pPr>
    </w:p>
    <w:p w14:paraId="1D12076D">
      <w:pPr>
        <w:rPr>
          <w:rFonts w:hint="eastAsia" w:asciiTheme="minorEastAsia" w:hAnsiTheme="minorEastAsia" w:cstheme="minorEastAsia"/>
          <w:szCs w:val="21"/>
        </w:rPr>
      </w:pPr>
    </w:p>
    <w:p w14:paraId="0592315D">
      <w:pPr>
        <w:rPr>
          <w:rFonts w:hint="eastAsia" w:asciiTheme="minorEastAsia" w:hAnsiTheme="minorEastAsia" w:cstheme="minorEastAsia"/>
          <w:szCs w:val="21"/>
        </w:rPr>
      </w:pPr>
    </w:p>
    <w:p w14:paraId="2277D1FB">
      <w:pPr>
        <w:rPr>
          <w:rFonts w:hint="eastAsia" w:asciiTheme="minorEastAsia" w:hAnsiTheme="minorEastAsia" w:cstheme="minorEastAsia"/>
          <w:szCs w:val="21"/>
        </w:rPr>
      </w:pPr>
    </w:p>
    <w:p w14:paraId="5A35ED88">
      <w:pPr>
        <w:rPr>
          <w:rFonts w:hint="eastAsia" w:asciiTheme="minorEastAsia" w:hAnsiTheme="minorEastAsia" w:cstheme="minorEastAsia"/>
          <w:szCs w:val="21"/>
        </w:rPr>
      </w:pPr>
    </w:p>
    <w:p w14:paraId="2FF3BF78">
      <w:pPr>
        <w:rPr>
          <w:rFonts w:hint="eastAsia" w:asciiTheme="minorEastAsia" w:hAnsiTheme="minorEastAsia" w:cstheme="minorEastAsia"/>
          <w:szCs w:val="21"/>
        </w:rPr>
      </w:pPr>
    </w:p>
    <w:p w14:paraId="135AA796">
      <w:pPr>
        <w:rPr>
          <w:rFonts w:hint="eastAsia" w:asciiTheme="minorEastAsia" w:hAnsiTheme="minorEastAsia" w:cstheme="minorEastAsia"/>
          <w:szCs w:val="21"/>
        </w:rPr>
      </w:pPr>
    </w:p>
    <w:p w14:paraId="189AF714">
      <w:pPr>
        <w:rPr>
          <w:rFonts w:hint="eastAsia" w:asciiTheme="minorEastAsia" w:hAnsiTheme="minorEastAsia" w:cstheme="minorEastAsia"/>
          <w:szCs w:val="21"/>
        </w:rPr>
      </w:pPr>
    </w:p>
    <w:p w14:paraId="458ADCBE">
      <w:pPr>
        <w:rPr>
          <w:rFonts w:hint="eastAsia" w:asciiTheme="minorEastAsia" w:hAnsiTheme="minorEastAsia" w:cstheme="minorEastAsia"/>
          <w:szCs w:val="21"/>
        </w:rPr>
      </w:pPr>
    </w:p>
    <w:p w14:paraId="42E54434">
      <w:pPr>
        <w:rPr>
          <w:rFonts w:hint="eastAsia" w:asciiTheme="minorEastAsia" w:hAnsiTheme="minorEastAsia" w:cstheme="minorEastAsia"/>
          <w:szCs w:val="21"/>
        </w:rPr>
      </w:pPr>
    </w:p>
    <w:p w14:paraId="01F3185B">
      <w:pPr>
        <w:rPr>
          <w:rFonts w:hint="eastAsia" w:asciiTheme="minorEastAsia" w:hAnsiTheme="minorEastAsia" w:cstheme="minorEastAsia"/>
          <w:szCs w:val="21"/>
        </w:rPr>
      </w:pPr>
    </w:p>
    <w:p w14:paraId="65721845">
      <w:pPr>
        <w:rPr>
          <w:rFonts w:hint="eastAsia" w:asciiTheme="minorEastAsia" w:hAnsiTheme="minorEastAsia" w:cstheme="minorEastAsia"/>
          <w:szCs w:val="21"/>
        </w:rPr>
      </w:pPr>
    </w:p>
    <w:p w14:paraId="7BC49D61">
      <w:pPr>
        <w:rPr>
          <w:rFonts w:hint="eastAsia" w:asciiTheme="minorEastAsia" w:hAnsiTheme="minorEastAsia" w:cstheme="minorEastAsia"/>
          <w:szCs w:val="21"/>
        </w:rPr>
      </w:pPr>
    </w:p>
    <w:p w14:paraId="577D42E0">
      <w:pPr>
        <w:rPr>
          <w:rFonts w:hint="eastAsia" w:asciiTheme="minorEastAsia" w:hAnsiTheme="minorEastAsia" w:cstheme="minorEastAsia"/>
          <w:szCs w:val="21"/>
        </w:rPr>
      </w:pPr>
    </w:p>
    <w:p w14:paraId="5A0E7C44">
      <w:pPr>
        <w:rPr>
          <w:rFonts w:hint="eastAsia" w:asciiTheme="minorEastAsia" w:hAnsiTheme="minorEastAsia" w:cstheme="minorEastAsia"/>
          <w:szCs w:val="21"/>
        </w:rPr>
      </w:pPr>
    </w:p>
    <w:p w14:paraId="761FAC16">
      <w:pPr>
        <w:rPr>
          <w:rFonts w:hint="eastAsia" w:asciiTheme="minorEastAsia" w:hAnsiTheme="minorEastAsia" w:cstheme="minorEastAsia"/>
          <w:szCs w:val="21"/>
        </w:rPr>
      </w:pPr>
    </w:p>
    <w:p w14:paraId="34E45245">
      <w:pPr>
        <w:jc w:val="both"/>
        <w:outlineLvl w:val="9"/>
        <w:rPr>
          <w:rFonts w:hint="eastAsia" w:ascii="宋体" w:hAnsi="宋体" w:eastAsia="宋体" w:cs="宋体"/>
          <w:b/>
          <w:bCs/>
          <w:color w:val="FF0000"/>
          <w:sz w:val="36"/>
          <w:szCs w:val="36"/>
          <w:highlight w:val="none"/>
          <w:lang w:val="en-US" w:eastAsia="zh-CN"/>
        </w:rPr>
      </w:pPr>
    </w:p>
    <w:p w14:paraId="3857BC07">
      <w:pPr>
        <w:jc w:val="both"/>
        <w:outlineLvl w:val="9"/>
        <w:rPr>
          <w:rFonts w:hint="eastAsia" w:ascii="宋体" w:hAnsi="宋体" w:eastAsia="宋体" w:cs="宋体"/>
          <w:b/>
          <w:bCs/>
          <w:color w:val="FF0000"/>
          <w:sz w:val="36"/>
          <w:szCs w:val="36"/>
          <w:highlight w:val="none"/>
          <w:lang w:val="en-US" w:eastAsia="zh-CN"/>
        </w:rPr>
      </w:pPr>
    </w:p>
    <w:p w14:paraId="5D6319E1">
      <w:pPr>
        <w:ind w:firstLine="723" w:firstLineChars="200"/>
        <w:jc w:val="center"/>
        <w:outlineLvl w:val="9"/>
        <w:rPr>
          <w:rFonts w:hint="eastAsia" w:ascii="宋体" w:hAnsi="宋体" w:eastAsia="宋体" w:cs="宋体"/>
          <w:b/>
          <w:bCs/>
          <w:color w:val="FF0000"/>
          <w:sz w:val="36"/>
          <w:szCs w:val="36"/>
          <w:highlight w:val="none"/>
          <w:lang w:val="en-US" w:eastAsia="zh-CN"/>
        </w:rPr>
      </w:pPr>
      <w:r>
        <w:rPr>
          <w:rFonts w:hint="eastAsia" w:ascii="宋体" w:hAnsi="宋体" w:eastAsia="宋体" w:cs="宋体"/>
          <w:b/>
          <w:bCs/>
          <w:color w:val="FF0000"/>
          <w:sz w:val="36"/>
          <w:szCs w:val="36"/>
          <w:highlight w:val="none"/>
          <w:lang w:val="en-US" w:eastAsia="zh-CN"/>
        </w:rPr>
        <w:t>警示条款</w:t>
      </w:r>
    </w:p>
    <w:p w14:paraId="474C1D07">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2316AF0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（一）在采购活动中应当回避而未回避的；</w:t>
      </w:r>
    </w:p>
    <w:p w14:paraId="37EEE270">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（二）未按本条例规定签订、履行采购合同，造成严重后果的；</w:t>
      </w:r>
    </w:p>
    <w:p w14:paraId="4808C232">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（三）隐瞒真实情况，提供虚假资料的；</w:t>
      </w:r>
    </w:p>
    <w:p w14:paraId="5345B83E">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（四）以非法手段排斥其他供应商参与竞争的；</w:t>
      </w:r>
    </w:p>
    <w:p w14:paraId="3340A433">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（五）与其他采购参加人串通投标的；</w:t>
      </w:r>
    </w:p>
    <w:p w14:paraId="0136FED1">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（六）恶意投诉的；</w:t>
      </w:r>
    </w:p>
    <w:p w14:paraId="59253FC5">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（七）向采购项目相关人行贿或者提供其他不当利益的；</w:t>
      </w:r>
    </w:p>
    <w:p w14:paraId="1F389C1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（八）阻碍、抗拒主管部门监督检查的；</w:t>
      </w:r>
    </w:p>
    <w:p w14:paraId="02FF8D10">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（九）其他违反本条例规定的行为。</w:t>
      </w:r>
    </w:p>
    <w:p w14:paraId="51EEDF7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二、《深圳经济特区政府采购条例实施细则》第七十五条 供应商有下列情形的，属于采购条例所称的串通投标行为，按照采购条例第五十七条有关规定处理：</w:t>
      </w:r>
    </w:p>
    <w:p w14:paraId="2ADCC08D">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（一）投标供应商之间相互约定给予未中标的供应商利益补偿；</w:t>
      </w:r>
    </w:p>
    <w:p w14:paraId="55ED522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（二）不同投标供应商的法定代表人、主要经营负责人、项目投标授权代表人、项目负责人、主要技术人员为同一人、属同一单位或者在同一单位缴纳社会保险；</w:t>
      </w:r>
    </w:p>
    <w:p w14:paraId="78F14F4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（三）不同投标供应商的投标文件由同一单位或者同一人编制，或者由同一人分阶段参与编制的；</w:t>
      </w:r>
    </w:p>
    <w:p w14:paraId="16658C61">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（四）不同投标供应商的投标文件或部分投标文件相互混装；</w:t>
      </w:r>
    </w:p>
    <w:p w14:paraId="51962992">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（五）不同投标供应商的投标文件内容存在非正常一致；</w:t>
      </w:r>
    </w:p>
    <w:p w14:paraId="434F021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（六）由同一单位工作人员为两家以上（含两家）供应商进行同一项投标活动的；</w:t>
      </w:r>
    </w:p>
    <w:p w14:paraId="4A398EC5">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（七）主管部门依照法律、法规认定的其他情形。</w:t>
      </w:r>
    </w:p>
    <w:p w14:paraId="79CD4B54">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三、《深圳经济特区政府采购条例实施细则》第七十七条 供应商有下列情形之一的，属于隐瞒真实情况，提供虚假资料，按照采购条例第五十</w:t>
      </w:r>
      <w:r>
        <w:rPr>
          <w:rFonts w:hint="eastAsia" w:ascii="宋体" w:hAnsi="宋体" w:eastAsia="宋体" w:cs="宋体"/>
          <w:color w:val="FF0000"/>
          <w:sz w:val="24"/>
          <w:szCs w:val="24"/>
          <w:highlight w:val="none"/>
          <w:lang w:eastAsia="zh-CN"/>
        </w:rPr>
        <w:t>七条</w:t>
      </w:r>
      <w:r>
        <w:rPr>
          <w:rFonts w:hint="eastAsia" w:ascii="宋体" w:hAnsi="宋体" w:eastAsia="宋体" w:cs="宋体"/>
          <w:color w:val="FF0000"/>
          <w:sz w:val="24"/>
          <w:szCs w:val="24"/>
          <w:highlight w:val="none"/>
        </w:rPr>
        <w:t>的有关规定处理：</w:t>
      </w:r>
    </w:p>
    <w:p w14:paraId="741CCB3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（一）通过转让或者租借等方式从其他单位获取资格或者资质证书投标的；</w:t>
      </w:r>
    </w:p>
    <w:p w14:paraId="596ABDAF">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（二）由其他单位或者其他单位负责人在投标供应商编制的投标文件上加盖印章或者签字的；</w:t>
      </w:r>
    </w:p>
    <w:p w14:paraId="34B94082">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（三）项目负责人或者主要技术人员不是本单位人员的；</w:t>
      </w:r>
    </w:p>
    <w:p w14:paraId="17A6347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（四）投标保证金不是从投标供应商基本账户转出的；</w:t>
      </w:r>
    </w:p>
    <w:p w14:paraId="52EF6864">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（五）其他隐瞒真实情况、提供虚假资料的行为。</w:t>
      </w:r>
    </w:p>
    <w:p w14:paraId="06D64191">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投标供应商不能提供项目负责人或者主要技术人员的劳动合同、社会保险等劳动关系证明材料的，视为存在前款第（三）项规定的情形。</w:t>
      </w:r>
    </w:p>
    <w:p w14:paraId="70767587">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投标供应商严格核实所提交检测报告的真实性，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p>
    <w:p w14:paraId="12CC135C">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五、请投标供应商阅读《政府采购违法行为风险知悉确认书》（内容详见“投标文件（编制参考模板）</w:t>
      </w:r>
      <w:r>
        <w:rPr>
          <w:rFonts w:hint="eastAsia" w:ascii="宋体" w:hAnsi="宋体" w:eastAsia="宋体" w:cs="宋体"/>
          <w:color w:val="FF0000"/>
          <w:sz w:val="24"/>
          <w:szCs w:val="24"/>
          <w:highlight w:val="none"/>
          <w:lang w:val="en-US" w:eastAsia="zh-CN"/>
        </w:rPr>
        <w:t>第十四项</w:t>
      </w:r>
      <w:r>
        <w:rPr>
          <w:rFonts w:hint="eastAsia" w:ascii="宋体" w:hAnsi="宋体" w:eastAsia="宋体" w:cs="宋体"/>
          <w:color w:val="FF0000"/>
          <w:sz w:val="24"/>
          <w:szCs w:val="24"/>
          <w:highlight w:val="none"/>
        </w:rPr>
        <w:t>”），并经各投标供应商负责人签字并加盖单位公章后，与投标文件一并提交。</w:t>
      </w:r>
    </w:p>
    <w:p w14:paraId="54303A14">
      <w:pPr>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六、《中华人民共和国政府采购法实施条例》第十八条 单位负责人为同一人或者存在直接控股、管理关系的不同供应商，不得参加同一合同项下的政府采购活动。</w:t>
      </w:r>
    </w:p>
    <w:p w14:paraId="1DC160D6">
      <w:pPr>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除单一来源采购项目外，为采购项目提供整体设计、规范编制或者项目管理、监 理、检测等服务的供应商，不得再参加该采购项目的其他采购活动。</w:t>
      </w:r>
    </w:p>
    <w:p w14:paraId="09EF303C">
      <w:pPr>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注：“特别警示条款”和《政府采购违法行为风险知悉确认书》用于对供应商违法行为的提醒，不作为供应商资格性审查及符合性审查条件。</w:t>
      </w:r>
    </w:p>
    <w:p w14:paraId="191943C1">
      <w:pPr>
        <w:jc w:val="center"/>
        <w:rPr>
          <w:rFonts w:hint="eastAsia" w:ascii="宋体" w:hAnsi="宋体" w:eastAsia="宋体" w:cs="宋体"/>
          <w:b/>
          <w:sz w:val="32"/>
          <w:szCs w:val="32"/>
          <w:highlight w:val="none"/>
        </w:rPr>
      </w:pPr>
    </w:p>
    <w:p w14:paraId="5AD8C285">
      <w:pPr>
        <w:jc w:val="center"/>
        <w:rPr>
          <w:rFonts w:hint="eastAsia" w:ascii="宋体" w:hAnsi="宋体" w:eastAsia="宋体" w:cs="宋体"/>
          <w:b/>
          <w:sz w:val="32"/>
          <w:szCs w:val="32"/>
          <w:highlight w:val="none"/>
        </w:rPr>
      </w:pPr>
    </w:p>
    <w:p w14:paraId="495C1FD1">
      <w:pPr>
        <w:jc w:val="center"/>
        <w:rPr>
          <w:rFonts w:hint="eastAsia" w:ascii="宋体" w:hAnsi="宋体" w:eastAsia="宋体" w:cs="宋体"/>
          <w:b/>
          <w:sz w:val="32"/>
          <w:szCs w:val="32"/>
          <w:highlight w:val="none"/>
        </w:rPr>
      </w:pPr>
    </w:p>
    <w:p w14:paraId="7563BCC5">
      <w:pPr>
        <w:jc w:val="center"/>
        <w:rPr>
          <w:rFonts w:hint="eastAsia" w:ascii="宋体" w:hAnsi="宋体" w:eastAsia="宋体" w:cs="宋体"/>
          <w:b/>
          <w:sz w:val="32"/>
          <w:szCs w:val="32"/>
          <w:highlight w:val="none"/>
        </w:rPr>
      </w:pPr>
    </w:p>
    <w:p w14:paraId="57E07ABD">
      <w:pPr>
        <w:jc w:val="center"/>
        <w:rPr>
          <w:rFonts w:hint="eastAsia" w:ascii="宋体" w:hAnsi="宋体" w:eastAsia="宋体" w:cs="宋体"/>
          <w:b/>
          <w:sz w:val="32"/>
          <w:szCs w:val="32"/>
          <w:highlight w:val="none"/>
        </w:rPr>
      </w:pPr>
    </w:p>
    <w:p w14:paraId="1CC4582F">
      <w:pPr>
        <w:jc w:val="center"/>
        <w:rPr>
          <w:rFonts w:hint="eastAsia" w:ascii="宋体" w:hAnsi="宋体" w:eastAsia="宋体" w:cs="宋体"/>
          <w:b/>
          <w:sz w:val="32"/>
          <w:szCs w:val="32"/>
          <w:highlight w:val="none"/>
        </w:rPr>
      </w:pPr>
    </w:p>
    <w:p w14:paraId="7F89AD23">
      <w:pPr>
        <w:jc w:val="center"/>
        <w:rPr>
          <w:rFonts w:hint="eastAsia" w:ascii="宋体" w:hAnsi="宋体" w:eastAsia="宋体" w:cs="宋体"/>
          <w:b/>
          <w:sz w:val="32"/>
          <w:szCs w:val="32"/>
          <w:highlight w:val="none"/>
        </w:rPr>
      </w:pPr>
    </w:p>
    <w:p w14:paraId="5DAEDA22">
      <w:pPr>
        <w:jc w:val="center"/>
        <w:rPr>
          <w:rFonts w:hint="eastAsia" w:ascii="宋体" w:hAnsi="宋体" w:eastAsia="宋体" w:cs="宋体"/>
          <w:b/>
          <w:sz w:val="32"/>
          <w:szCs w:val="32"/>
          <w:highlight w:val="none"/>
        </w:rPr>
      </w:pPr>
    </w:p>
    <w:p w14:paraId="1F255A35">
      <w:pPr>
        <w:jc w:val="center"/>
        <w:rPr>
          <w:rFonts w:hint="eastAsia" w:ascii="宋体" w:hAnsi="宋体" w:eastAsia="宋体" w:cs="宋体"/>
          <w:b/>
          <w:sz w:val="32"/>
          <w:szCs w:val="32"/>
          <w:highlight w:val="none"/>
        </w:rPr>
      </w:pPr>
    </w:p>
    <w:p w14:paraId="032CF264">
      <w:pPr>
        <w:jc w:val="center"/>
        <w:rPr>
          <w:rFonts w:hint="eastAsia" w:ascii="宋体" w:hAnsi="宋体" w:eastAsia="宋体" w:cs="宋体"/>
          <w:b/>
          <w:sz w:val="32"/>
          <w:szCs w:val="32"/>
          <w:highlight w:val="none"/>
        </w:rPr>
      </w:pPr>
    </w:p>
    <w:p w14:paraId="16EE13F7">
      <w:pPr>
        <w:jc w:val="center"/>
        <w:rPr>
          <w:rFonts w:hint="eastAsia" w:ascii="宋体" w:hAnsi="宋体" w:eastAsia="宋体" w:cs="宋体"/>
          <w:b/>
          <w:sz w:val="32"/>
          <w:szCs w:val="32"/>
          <w:highlight w:val="none"/>
        </w:rPr>
      </w:pPr>
    </w:p>
    <w:p w14:paraId="57E2BA82">
      <w:pPr>
        <w:jc w:val="center"/>
        <w:rPr>
          <w:rFonts w:hint="eastAsia" w:ascii="宋体" w:hAnsi="宋体" w:eastAsia="宋体" w:cs="宋体"/>
          <w:b/>
          <w:sz w:val="32"/>
          <w:szCs w:val="32"/>
          <w:highlight w:val="none"/>
        </w:rPr>
      </w:pPr>
    </w:p>
    <w:p w14:paraId="3E23D7FC">
      <w:pPr>
        <w:jc w:val="center"/>
        <w:rPr>
          <w:rFonts w:hint="eastAsia" w:ascii="宋体" w:hAnsi="宋体" w:eastAsia="宋体" w:cs="宋体"/>
          <w:b/>
          <w:sz w:val="32"/>
          <w:szCs w:val="32"/>
          <w:highlight w:val="none"/>
        </w:rPr>
      </w:pPr>
    </w:p>
    <w:p w14:paraId="08E9A76A">
      <w:pPr>
        <w:jc w:val="center"/>
        <w:rPr>
          <w:rFonts w:hint="eastAsia" w:ascii="宋体" w:hAnsi="宋体" w:eastAsia="宋体" w:cs="宋体"/>
          <w:b/>
          <w:sz w:val="32"/>
          <w:szCs w:val="32"/>
          <w:highlight w:val="none"/>
        </w:rPr>
      </w:pPr>
    </w:p>
    <w:p w14:paraId="6B9E7D71">
      <w:pPr>
        <w:jc w:val="center"/>
        <w:rPr>
          <w:rFonts w:hint="eastAsia" w:ascii="宋体" w:hAnsi="宋体" w:eastAsia="宋体" w:cs="宋体"/>
          <w:b/>
          <w:sz w:val="32"/>
          <w:szCs w:val="32"/>
          <w:highlight w:val="none"/>
        </w:rPr>
      </w:pPr>
    </w:p>
    <w:p w14:paraId="1B6F6483">
      <w:pPr>
        <w:jc w:val="center"/>
        <w:rPr>
          <w:rFonts w:hint="eastAsia" w:ascii="宋体" w:hAnsi="宋体" w:eastAsia="宋体" w:cs="宋体"/>
          <w:b/>
          <w:sz w:val="32"/>
          <w:szCs w:val="32"/>
          <w:highlight w:val="none"/>
        </w:rPr>
      </w:pPr>
    </w:p>
    <w:p w14:paraId="70E7584F">
      <w:pPr>
        <w:jc w:val="center"/>
        <w:rPr>
          <w:rFonts w:hint="eastAsia" w:ascii="宋体" w:hAnsi="宋体" w:eastAsia="宋体" w:cs="宋体"/>
          <w:b/>
          <w:sz w:val="32"/>
          <w:szCs w:val="32"/>
          <w:highlight w:val="none"/>
        </w:rPr>
      </w:pPr>
    </w:p>
    <w:p w14:paraId="4C3A21C0">
      <w:pPr>
        <w:jc w:val="center"/>
        <w:rPr>
          <w:rFonts w:hint="eastAsia" w:ascii="宋体" w:hAnsi="宋体" w:eastAsia="宋体" w:cs="宋体"/>
          <w:b/>
          <w:sz w:val="32"/>
          <w:szCs w:val="32"/>
          <w:highlight w:val="none"/>
        </w:rPr>
      </w:pPr>
    </w:p>
    <w:p w14:paraId="6DD6C5A3">
      <w:pPr>
        <w:jc w:val="center"/>
        <w:rPr>
          <w:rFonts w:hint="eastAsia" w:ascii="宋体" w:hAnsi="宋体" w:eastAsia="宋体" w:cs="宋体"/>
          <w:b/>
          <w:sz w:val="32"/>
          <w:szCs w:val="32"/>
          <w:highlight w:val="none"/>
        </w:rPr>
      </w:pPr>
    </w:p>
    <w:p w14:paraId="77FC1E81">
      <w:pPr>
        <w:jc w:val="center"/>
        <w:rPr>
          <w:rFonts w:hint="eastAsia" w:ascii="宋体" w:hAnsi="宋体" w:eastAsia="宋体" w:cs="宋体"/>
          <w:b/>
          <w:sz w:val="32"/>
          <w:szCs w:val="32"/>
          <w:highlight w:val="none"/>
        </w:rPr>
      </w:pPr>
    </w:p>
    <w:p w14:paraId="62CC7F3E">
      <w:pPr>
        <w:jc w:val="center"/>
        <w:rPr>
          <w:rFonts w:hint="eastAsia" w:ascii="宋体" w:hAnsi="宋体" w:eastAsia="宋体" w:cs="宋体"/>
          <w:b/>
          <w:sz w:val="32"/>
          <w:szCs w:val="32"/>
          <w:highlight w:val="none"/>
        </w:rPr>
      </w:pPr>
    </w:p>
    <w:p w14:paraId="7A95538A">
      <w:pPr>
        <w:jc w:val="center"/>
        <w:rPr>
          <w:rFonts w:hint="eastAsia" w:ascii="宋体" w:hAnsi="宋体" w:eastAsia="宋体" w:cs="宋体"/>
          <w:b/>
          <w:sz w:val="32"/>
          <w:szCs w:val="32"/>
          <w:highlight w:val="none"/>
        </w:rPr>
      </w:pPr>
    </w:p>
    <w:p w14:paraId="10A81449">
      <w:pPr>
        <w:jc w:val="center"/>
        <w:rPr>
          <w:rFonts w:hint="eastAsia" w:ascii="宋体" w:hAnsi="宋体" w:eastAsia="宋体" w:cs="宋体"/>
          <w:b/>
          <w:sz w:val="32"/>
          <w:szCs w:val="32"/>
          <w:highlight w:val="none"/>
        </w:rPr>
      </w:pPr>
    </w:p>
    <w:p w14:paraId="0C40F559">
      <w:pPr>
        <w:jc w:val="center"/>
        <w:rPr>
          <w:rFonts w:hint="eastAsia" w:ascii="宋体" w:hAnsi="宋体" w:eastAsia="宋体" w:cs="宋体"/>
          <w:b/>
          <w:sz w:val="32"/>
          <w:szCs w:val="32"/>
          <w:highlight w:val="none"/>
        </w:rPr>
      </w:pPr>
    </w:p>
    <w:p w14:paraId="7E4EA099">
      <w:pPr>
        <w:jc w:val="center"/>
        <w:rPr>
          <w:rFonts w:hint="eastAsia" w:ascii="宋体" w:hAnsi="宋体" w:eastAsia="宋体" w:cs="宋体"/>
          <w:b/>
          <w:sz w:val="32"/>
          <w:szCs w:val="32"/>
          <w:highlight w:val="none"/>
        </w:rPr>
      </w:pPr>
    </w:p>
    <w:p w14:paraId="08424518">
      <w:pPr>
        <w:jc w:val="center"/>
        <w:rPr>
          <w:rFonts w:hint="eastAsia" w:ascii="宋体" w:hAnsi="宋体" w:eastAsia="宋体" w:cs="宋体"/>
          <w:b/>
          <w:sz w:val="32"/>
          <w:szCs w:val="32"/>
          <w:highlight w:val="none"/>
        </w:rPr>
      </w:pPr>
    </w:p>
    <w:p w14:paraId="21CC3886">
      <w:pPr>
        <w:jc w:val="center"/>
        <w:rPr>
          <w:rFonts w:hint="eastAsia" w:ascii="宋体" w:hAnsi="宋体" w:eastAsia="宋体" w:cs="宋体"/>
          <w:b/>
          <w:sz w:val="32"/>
          <w:szCs w:val="32"/>
          <w:highlight w:val="none"/>
        </w:rPr>
      </w:pPr>
    </w:p>
    <w:p w14:paraId="075C18DA">
      <w:pPr>
        <w:jc w:val="center"/>
        <w:rPr>
          <w:rFonts w:hint="eastAsia" w:ascii="宋体" w:hAnsi="宋体" w:eastAsia="宋体" w:cs="宋体"/>
          <w:b/>
          <w:sz w:val="32"/>
          <w:szCs w:val="32"/>
          <w:highlight w:val="none"/>
        </w:rPr>
      </w:pPr>
    </w:p>
    <w:p w14:paraId="4835AF48">
      <w:pPr>
        <w:jc w:val="both"/>
        <w:rPr>
          <w:rFonts w:hint="eastAsia" w:ascii="宋体" w:hAnsi="宋体" w:eastAsia="宋体" w:cs="宋体"/>
          <w:b/>
          <w:sz w:val="32"/>
          <w:szCs w:val="32"/>
          <w:highlight w:val="none"/>
        </w:rPr>
      </w:pPr>
    </w:p>
    <w:p w14:paraId="631F895F">
      <w:pPr>
        <w:jc w:val="center"/>
        <w:rPr>
          <w:rFonts w:hint="eastAsia" w:ascii="宋体" w:hAnsi="宋体" w:eastAsia="宋体" w:cs="宋体"/>
          <w:b/>
          <w:sz w:val="32"/>
          <w:szCs w:val="32"/>
          <w:highlight w:val="none"/>
        </w:rPr>
      </w:pPr>
    </w:p>
    <w:p w14:paraId="05CF0733">
      <w:pPr>
        <w:jc w:val="center"/>
        <w:rPr>
          <w:rFonts w:hint="eastAsia" w:ascii="宋体" w:hAnsi="宋体" w:eastAsia="宋体" w:cs="宋体"/>
          <w:b/>
          <w:sz w:val="32"/>
          <w:szCs w:val="32"/>
          <w:highlight w:val="none"/>
        </w:rPr>
      </w:pPr>
    </w:p>
    <w:p w14:paraId="06CB2F47">
      <w:pPr>
        <w:jc w:val="center"/>
        <w:rPr>
          <w:rFonts w:hint="eastAsia" w:ascii="宋体" w:hAnsi="宋体" w:eastAsia="宋体" w:cs="宋体"/>
          <w:b/>
          <w:sz w:val="32"/>
          <w:szCs w:val="32"/>
          <w:highlight w:val="none"/>
        </w:rPr>
      </w:pPr>
    </w:p>
    <w:p w14:paraId="0D27806F">
      <w:pPr>
        <w:jc w:val="center"/>
        <w:rPr>
          <w:rFonts w:hint="eastAsia" w:ascii="宋体" w:hAnsi="宋体" w:eastAsia="宋体" w:cs="宋体"/>
          <w:b/>
          <w:sz w:val="36"/>
          <w:szCs w:val="36"/>
          <w:highlight w:val="none"/>
        </w:rPr>
      </w:pPr>
      <w:r>
        <w:rPr>
          <w:rFonts w:hint="eastAsia" w:ascii="宋体" w:hAnsi="宋体" w:eastAsia="宋体" w:cs="宋体"/>
          <w:b/>
          <w:sz w:val="36"/>
          <w:szCs w:val="36"/>
          <w:highlight w:val="none"/>
        </w:rPr>
        <w:t>温 馨 提 示</w:t>
      </w:r>
    </w:p>
    <w:p w14:paraId="1FAD975D">
      <w:pPr>
        <w:jc w:val="center"/>
        <w:rPr>
          <w:rFonts w:hint="eastAsia" w:ascii="宋体" w:hAnsi="宋体" w:eastAsia="宋体" w:cs="宋体"/>
          <w:b/>
          <w:sz w:val="36"/>
          <w:szCs w:val="36"/>
          <w:highlight w:val="none"/>
        </w:rPr>
      </w:pPr>
    </w:p>
    <w:p w14:paraId="3621BD62">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如无另行说明，投标文件递交时间为</w:t>
      </w:r>
      <w:r>
        <w:rPr>
          <w:rFonts w:hint="eastAsia" w:ascii="宋体" w:hAnsi="宋体" w:eastAsia="宋体" w:cs="宋体"/>
          <w:b/>
          <w:bCs/>
          <w:sz w:val="28"/>
          <w:szCs w:val="28"/>
          <w:highlight w:val="none"/>
          <w:u w:val="single"/>
          <w:lang w:val="en-US" w:eastAsia="zh-CN"/>
        </w:rPr>
        <w:t>开标</w:t>
      </w:r>
      <w:r>
        <w:rPr>
          <w:rFonts w:hint="eastAsia" w:ascii="宋体" w:hAnsi="宋体" w:eastAsia="宋体" w:cs="宋体"/>
          <w:b/>
          <w:bCs/>
          <w:sz w:val="28"/>
          <w:szCs w:val="28"/>
          <w:highlight w:val="none"/>
          <w:u w:val="single"/>
        </w:rPr>
        <w:t>截止</w:t>
      </w:r>
      <w:r>
        <w:rPr>
          <w:rFonts w:hint="eastAsia" w:ascii="宋体" w:hAnsi="宋体" w:eastAsia="宋体" w:cs="宋体"/>
          <w:b/>
          <w:sz w:val="28"/>
          <w:szCs w:val="28"/>
          <w:highlight w:val="none"/>
          <w:u w:val="single"/>
        </w:rPr>
        <w:t>时间之前30分</w:t>
      </w:r>
      <w:r>
        <w:rPr>
          <w:rFonts w:hint="eastAsia" w:ascii="宋体" w:hAnsi="宋体" w:eastAsia="宋体" w:cs="宋体"/>
          <w:b/>
          <w:bCs w:val="0"/>
          <w:sz w:val="28"/>
          <w:szCs w:val="28"/>
          <w:highlight w:val="none"/>
          <w:u w:val="single"/>
        </w:rPr>
        <w:t>钟内</w:t>
      </w:r>
      <w:r>
        <w:rPr>
          <w:rFonts w:hint="eastAsia" w:ascii="宋体" w:hAnsi="宋体" w:eastAsia="宋体" w:cs="宋体"/>
          <w:sz w:val="28"/>
          <w:szCs w:val="28"/>
          <w:highlight w:val="none"/>
        </w:rPr>
        <w:t>。</w:t>
      </w:r>
    </w:p>
    <w:p w14:paraId="3DBA86A7">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为避免因迟到而失去投标资格，请</w:t>
      </w:r>
      <w:r>
        <w:rPr>
          <w:rFonts w:hint="eastAsia" w:ascii="宋体" w:hAnsi="宋体" w:eastAsia="宋体" w:cs="宋体"/>
          <w:b/>
          <w:sz w:val="28"/>
          <w:szCs w:val="28"/>
          <w:highlight w:val="none"/>
          <w:u w:val="single"/>
        </w:rPr>
        <w:t>适当提前到达</w:t>
      </w:r>
      <w:r>
        <w:rPr>
          <w:rFonts w:hint="eastAsia" w:ascii="宋体" w:hAnsi="宋体" w:eastAsia="宋体" w:cs="宋体"/>
          <w:sz w:val="28"/>
          <w:szCs w:val="28"/>
          <w:highlight w:val="none"/>
        </w:rPr>
        <w:t>。</w:t>
      </w:r>
    </w:p>
    <w:p w14:paraId="462579F1">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投标文件</w:t>
      </w:r>
      <w:r>
        <w:rPr>
          <w:rFonts w:hint="eastAsia" w:ascii="宋体" w:hAnsi="宋体" w:eastAsia="宋体" w:cs="宋体"/>
          <w:b/>
          <w:bCs/>
          <w:sz w:val="28"/>
          <w:szCs w:val="28"/>
          <w:highlight w:val="none"/>
          <w:u w:val="single"/>
        </w:rPr>
        <w:t>应</w:t>
      </w:r>
      <w:r>
        <w:rPr>
          <w:rFonts w:hint="eastAsia" w:ascii="宋体" w:hAnsi="宋体" w:eastAsia="宋体" w:cs="宋体"/>
          <w:b/>
          <w:bCs/>
          <w:sz w:val="28"/>
          <w:szCs w:val="28"/>
          <w:highlight w:val="none"/>
          <w:u w:val="single"/>
          <w:lang w:val="en-US" w:eastAsia="zh-CN"/>
        </w:rPr>
        <w:t>有目录并</w:t>
      </w:r>
      <w:r>
        <w:rPr>
          <w:rFonts w:hint="eastAsia" w:ascii="宋体" w:hAnsi="宋体" w:eastAsia="宋体" w:cs="宋体"/>
          <w:b/>
          <w:bCs/>
          <w:sz w:val="28"/>
          <w:szCs w:val="28"/>
          <w:highlight w:val="none"/>
          <w:u w:val="single"/>
        </w:rPr>
        <w:t>按顺序编</w:t>
      </w:r>
      <w:r>
        <w:rPr>
          <w:rFonts w:hint="eastAsia" w:ascii="宋体" w:hAnsi="宋体" w:eastAsia="宋体" w:cs="宋体"/>
          <w:b/>
          <w:sz w:val="28"/>
          <w:szCs w:val="28"/>
          <w:highlight w:val="none"/>
          <w:u w:val="single"/>
        </w:rPr>
        <w:t>制页码</w:t>
      </w:r>
      <w:r>
        <w:rPr>
          <w:rFonts w:hint="eastAsia" w:ascii="宋体" w:hAnsi="宋体" w:eastAsia="宋体" w:cs="宋体"/>
          <w:sz w:val="28"/>
          <w:szCs w:val="28"/>
          <w:highlight w:val="none"/>
        </w:rPr>
        <w:t>。</w:t>
      </w:r>
    </w:p>
    <w:p w14:paraId="14FE4251">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请仔细检查投标文件是否已按</w:t>
      </w:r>
      <w:r>
        <w:rPr>
          <w:rFonts w:hint="eastAsia" w:ascii="宋体" w:hAnsi="宋体" w:eastAsia="宋体" w:cs="宋体"/>
          <w:sz w:val="28"/>
          <w:szCs w:val="28"/>
          <w:highlight w:val="none"/>
          <w:lang w:eastAsia="zh-CN"/>
        </w:rPr>
        <w:t>征集</w:t>
      </w:r>
      <w:r>
        <w:rPr>
          <w:rFonts w:hint="eastAsia" w:ascii="宋体" w:hAnsi="宋体" w:eastAsia="宋体" w:cs="宋体"/>
          <w:sz w:val="28"/>
          <w:szCs w:val="28"/>
          <w:highlight w:val="none"/>
        </w:rPr>
        <w:t>文件要求</w:t>
      </w:r>
      <w:r>
        <w:rPr>
          <w:rFonts w:hint="eastAsia" w:ascii="宋体" w:hAnsi="宋体" w:eastAsia="宋体" w:cs="宋体"/>
          <w:b/>
          <w:sz w:val="28"/>
          <w:szCs w:val="28"/>
          <w:highlight w:val="none"/>
          <w:u w:val="single"/>
        </w:rPr>
        <w:t>盖章、签名及密封</w:t>
      </w:r>
      <w:r>
        <w:rPr>
          <w:rFonts w:hint="eastAsia" w:ascii="宋体" w:hAnsi="宋体" w:eastAsia="宋体" w:cs="宋体"/>
          <w:sz w:val="28"/>
          <w:szCs w:val="28"/>
          <w:highlight w:val="none"/>
        </w:rPr>
        <w:t>。</w:t>
      </w:r>
    </w:p>
    <w:p w14:paraId="0F349339">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请正确填写《开标一览表》，封装在单独的唱标信封当中</w:t>
      </w:r>
      <w:r>
        <w:rPr>
          <w:rFonts w:hint="eastAsia" w:ascii="宋体" w:hAnsi="宋体" w:eastAsia="宋体" w:cs="宋体"/>
          <w:sz w:val="28"/>
          <w:szCs w:val="28"/>
          <w:highlight w:val="none"/>
          <w:lang w:eastAsia="zh-CN"/>
        </w:rPr>
        <w:t>，</w:t>
      </w:r>
      <w:r>
        <w:rPr>
          <w:rFonts w:hint="eastAsia" w:ascii="宋体" w:hAnsi="宋体" w:eastAsia="宋体" w:cs="宋体"/>
          <w:b/>
          <w:sz w:val="28"/>
          <w:szCs w:val="28"/>
          <w:highlight w:val="none"/>
          <w:u w:val="single"/>
        </w:rPr>
        <w:t>多包项目请每包单独封装</w:t>
      </w:r>
      <w:r>
        <w:rPr>
          <w:rFonts w:hint="eastAsia" w:ascii="宋体" w:hAnsi="宋体" w:eastAsia="宋体" w:cs="宋体"/>
          <w:sz w:val="28"/>
          <w:szCs w:val="28"/>
          <w:highlight w:val="none"/>
        </w:rPr>
        <w:t>，并请仔细检查包号，包号与包名称必须对应。</w:t>
      </w:r>
    </w:p>
    <w:p w14:paraId="58F21969">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lang w:eastAsia="zh-CN"/>
        </w:rPr>
        <w:t>征集</w:t>
      </w:r>
      <w:r>
        <w:rPr>
          <w:rFonts w:hint="eastAsia" w:ascii="宋体" w:hAnsi="宋体" w:eastAsia="宋体" w:cs="宋体"/>
          <w:sz w:val="28"/>
          <w:szCs w:val="28"/>
          <w:highlight w:val="none"/>
        </w:rPr>
        <w:t>项目内或所投包号内有多项设备或报价内容的，</w:t>
      </w:r>
      <w:r>
        <w:rPr>
          <w:rFonts w:hint="eastAsia" w:ascii="宋体" w:hAnsi="宋体" w:eastAsia="宋体" w:cs="宋体"/>
          <w:b/>
          <w:sz w:val="28"/>
          <w:szCs w:val="28"/>
          <w:highlight w:val="none"/>
          <w:u w:val="single"/>
        </w:rPr>
        <w:t>应加总后报总价</w:t>
      </w:r>
      <w:r>
        <w:rPr>
          <w:rFonts w:hint="eastAsia" w:ascii="宋体" w:hAnsi="宋体" w:eastAsia="宋体" w:cs="宋体"/>
          <w:sz w:val="28"/>
          <w:szCs w:val="28"/>
          <w:highlight w:val="none"/>
        </w:rPr>
        <w:t>。</w:t>
      </w:r>
    </w:p>
    <w:p w14:paraId="63565041">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如投标人以非独立法人注册的分公司名义代表总公司盖章和签署文件的，须提供总公司的营业执照副本复印件及总公司针对本项目投标的授权书原件。</w:t>
      </w:r>
    </w:p>
    <w:p w14:paraId="2FC136FF">
      <w:pPr>
        <w:tabs>
          <w:tab w:val="left" w:pos="851"/>
        </w:tabs>
        <w:spacing w:line="360" w:lineRule="auto"/>
        <w:ind w:left="850" w:hanging="1134" w:hangingChars="405"/>
        <w:rPr>
          <w:rFonts w:hint="eastAsia" w:ascii="宋体" w:hAnsi="宋体" w:eastAsia="宋体" w:cs="宋体"/>
          <w:sz w:val="28"/>
          <w:szCs w:val="28"/>
          <w:highlight w:val="none"/>
        </w:rPr>
      </w:pPr>
      <w:r>
        <w:rPr>
          <w:rFonts w:hint="eastAsia" w:ascii="宋体" w:hAnsi="宋体" w:eastAsia="宋体" w:cs="宋体"/>
          <w:sz w:val="28"/>
          <w:szCs w:val="28"/>
          <w:highlight w:val="none"/>
        </w:rPr>
        <w:tab/>
      </w:r>
      <w:r>
        <w:rPr>
          <w:rFonts w:hint="eastAsia" w:ascii="宋体" w:hAnsi="宋体" w:eastAsia="宋体" w:cs="宋体"/>
          <w:sz w:val="28"/>
          <w:szCs w:val="28"/>
          <w:highlight w:val="none"/>
        </w:rPr>
        <w:t>（以上提示内容</w:t>
      </w:r>
      <w:r>
        <w:rPr>
          <w:rFonts w:hint="eastAsia" w:ascii="宋体" w:hAnsi="宋体" w:eastAsia="宋体" w:cs="宋体"/>
          <w:sz w:val="28"/>
          <w:szCs w:val="28"/>
          <w:highlight w:val="none"/>
          <w:lang w:eastAsia="zh-CN"/>
        </w:rPr>
        <w:t>仅是</w:t>
      </w:r>
      <w:r>
        <w:rPr>
          <w:rFonts w:hint="eastAsia" w:ascii="宋体" w:hAnsi="宋体" w:eastAsia="宋体" w:cs="宋体"/>
          <w:sz w:val="28"/>
          <w:szCs w:val="28"/>
          <w:highlight w:val="none"/>
        </w:rPr>
        <w:t>一般项提醒，如与实际</w:t>
      </w:r>
      <w:r>
        <w:rPr>
          <w:rFonts w:hint="eastAsia" w:ascii="宋体" w:hAnsi="宋体" w:eastAsia="宋体" w:cs="宋体"/>
          <w:sz w:val="28"/>
          <w:szCs w:val="28"/>
          <w:highlight w:val="none"/>
          <w:lang w:eastAsia="zh-CN"/>
        </w:rPr>
        <w:t>征集</w:t>
      </w:r>
      <w:r>
        <w:rPr>
          <w:rFonts w:hint="eastAsia" w:ascii="宋体" w:hAnsi="宋体" w:eastAsia="宋体" w:cs="宋体"/>
          <w:sz w:val="28"/>
          <w:szCs w:val="28"/>
          <w:highlight w:val="none"/>
        </w:rPr>
        <w:t>项目要求有不一致，以</w:t>
      </w:r>
      <w:r>
        <w:rPr>
          <w:rFonts w:hint="eastAsia" w:ascii="宋体" w:hAnsi="宋体" w:eastAsia="宋体" w:cs="宋体"/>
          <w:sz w:val="28"/>
          <w:szCs w:val="28"/>
          <w:highlight w:val="none"/>
          <w:lang w:eastAsia="zh-CN"/>
        </w:rPr>
        <w:t>征集</w:t>
      </w:r>
      <w:r>
        <w:rPr>
          <w:rFonts w:hint="eastAsia" w:ascii="宋体" w:hAnsi="宋体" w:eastAsia="宋体" w:cs="宋体"/>
          <w:sz w:val="28"/>
          <w:szCs w:val="28"/>
          <w:highlight w:val="none"/>
        </w:rPr>
        <w:t>文件为准）</w:t>
      </w:r>
    </w:p>
    <w:p w14:paraId="16CAAC3F">
      <w:pPr>
        <w:rPr>
          <w:rFonts w:hint="eastAsia" w:asciiTheme="minorEastAsia" w:hAnsiTheme="minorEastAsia" w:cstheme="minorEastAsia"/>
          <w:szCs w:val="21"/>
        </w:rPr>
      </w:pPr>
    </w:p>
    <w:p w14:paraId="47039B92">
      <w:pPr>
        <w:rPr>
          <w:rFonts w:hint="eastAsia" w:asciiTheme="minorEastAsia" w:hAnsiTheme="minorEastAsia" w:cstheme="minorEastAsia"/>
          <w:szCs w:val="21"/>
        </w:rPr>
      </w:pPr>
    </w:p>
    <w:p w14:paraId="7B13E3C0">
      <w:pPr>
        <w:rPr>
          <w:rFonts w:hint="eastAsia" w:asciiTheme="minorEastAsia" w:hAnsiTheme="minorEastAsia" w:cstheme="minorEastAsia"/>
          <w:szCs w:val="21"/>
        </w:rPr>
      </w:pPr>
    </w:p>
    <w:p w14:paraId="5A64B025">
      <w:pPr>
        <w:rPr>
          <w:rFonts w:hint="eastAsia" w:asciiTheme="minorEastAsia" w:hAnsiTheme="minorEastAsia" w:cstheme="minorEastAsia"/>
          <w:szCs w:val="21"/>
        </w:rPr>
      </w:pPr>
    </w:p>
    <w:p w14:paraId="34556B53">
      <w:pPr>
        <w:rPr>
          <w:rFonts w:hint="eastAsia" w:asciiTheme="minorEastAsia" w:hAnsiTheme="minorEastAsia" w:cstheme="minorEastAsia"/>
          <w:szCs w:val="21"/>
        </w:rPr>
      </w:pPr>
    </w:p>
    <w:p w14:paraId="63B3F4CA">
      <w:pPr>
        <w:rPr>
          <w:rFonts w:hint="eastAsia" w:asciiTheme="minorEastAsia" w:hAnsiTheme="minorEastAsia" w:cstheme="minorEastAsia"/>
          <w:szCs w:val="21"/>
        </w:rPr>
      </w:pPr>
    </w:p>
    <w:p w14:paraId="238999D2">
      <w:pPr>
        <w:rPr>
          <w:rFonts w:hint="eastAsia" w:asciiTheme="minorEastAsia" w:hAnsiTheme="minorEastAsia" w:cstheme="minorEastAsia"/>
          <w:szCs w:val="21"/>
        </w:rPr>
      </w:pPr>
    </w:p>
    <w:p w14:paraId="5EE83BD7">
      <w:pPr>
        <w:rPr>
          <w:rFonts w:hint="eastAsia" w:asciiTheme="minorEastAsia" w:hAnsiTheme="minorEastAsia" w:cstheme="minorEastAsia"/>
          <w:szCs w:val="21"/>
        </w:rPr>
      </w:pPr>
    </w:p>
    <w:p w14:paraId="1A7B06A3">
      <w:pPr>
        <w:rPr>
          <w:rFonts w:hint="eastAsia" w:asciiTheme="minorEastAsia" w:hAnsiTheme="minorEastAsia" w:cstheme="minorEastAsia"/>
          <w:szCs w:val="21"/>
        </w:rPr>
      </w:pPr>
    </w:p>
    <w:p w14:paraId="0BE9234F">
      <w:pPr>
        <w:rPr>
          <w:rFonts w:hint="eastAsia" w:asciiTheme="minorEastAsia" w:hAnsiTheme="minorEastAsia" w:cstheme="minorEastAsia"/>
          <w:szCs w:val="21"/>
        </w:rPr>
      </w:pPr>
    </w:p>
    <w:p w14:paraId="6AFB3A9E">
      <w:pPr>
        <w:rPr>
          <w:rFonts w:hint="eastAsia" w:asciiTheme="minorEastAsia" w:hAnsiTheme="minorEastAsia" w:cstheme="minorEastAsia"/>
          <w:szCs w:val="21"/>
        </w:rPr>
      </w:pPr>
    </w:p>
    <w:p w14:paraId="3251FB3B">
      <w:pPr>
        <w:rPr>
          <w:rFonts w:hint="eastAsia" w:asciiTheme="minorEastAsia" w:hAnsiTheme="minorEastAsia" w:cstheme="minorEastAsia"/>
          <w:szCs w:val="21"/>
        </w:rPr>
      </w:pPr>
    </w:p>
    <w:p w14:paraId="0EF5ADC6">
      <w:pPr>
        <w:rPr>
          <w:rFonts w:hint="eastAsia" w:asciiTheme="minorEastAsia" w:hAnsiTheme="minorEastAsia" w:cstheme="minorEastAsia"/>
          <w:szCs w:val="21"/>
        </w:rPr>
      </w:pPr>
    </w:p>
    <w:p w14:paraId="2CE665B9">
      <w:pPr>
        <w:rPr>
          <w:rFonts w:hint="eastAsia" w:asciiTheme="minorEastAsia" w:hAnsiTheme="minorEastAsia" w:cstheme="minorEastAsia"/>
          <w:szCs w:val="21"/>
        </w:rPr>
      </w:pPr>
    </w:p>
    <w:p w14:paraId="53D7BD1D">
      <w:pPr>
        <w:rPr>
          <w:rFonts w:hint="eastAsia" w:asciiTheme="minorEastAsia" w:hAnsiTheme="minorEastAsia" w:cstheme="minorEastAsia"/>
          <w:szCs w:val="21"/>
        </w:rPr>
      </w:pPr>
    </w:p>
    <w:p w14:paraId="6607EFBE">
      <w:pPr>
        <w:rPr>
          <w:rFonts w:hint="eastAsia" w:asciiTheme="minorEastAsia" w:hAnsiTheme="minorEastAsia" w:cstheme="minorEastAsia"/>
          <w:szCs w:val="21"/>
        </w:rPr>
      </w:pPr>
    </w:p>
    <w:p w14:paraId="3B8FF10C">
      <w:pPr>
        <w:rPr>
          <w:rFonts w:hint="eastAsia" w:asciiTheme="minorEastAsia" w:hAnsiTheme="minorEastAsia" w:cstheme="minorEastAsia"/>
          <w:szCs w:val="21"/>
        </w:rPr>
      </w:pPr>
      <w:r>
        <w:rPr>
          <w:rFonts w:hint="eastAsia" w:asciiTheme="minorEastAsia" w:hAnsiTheme="minorEastAsia" w:cstheme="minorEastAsia"/>
          <w:szCs w:val="21"/>
        </w:rPr>
        <w:t xml:space="preserve">                                             </w:t>
      </w:r>
    </w:p>
    <w:p w14:paraId="38395D03">
      <w:pPr>
        <w:jc w:val="center"/>
        <w:rPr>
          <w:rFonts w:hint="eastAsia" w:asciiTheme="minorEastAsia" w:hAnsiTheme="minorEastAsia" w:cstheme="minorEastAsia"/>
          <w:sz w:val="36"/>
          <w:szCs w:val="36"/>
          <w:lang w:val="en-US" w:eastAsia="zh-CN"/>
        </w:rPr>
      </w:pPr>
    </w:p>
    <w:p w14:paraId="4D764082">
      <w:pPr>
        <w:jc w:val="center"/>
        <w:rPr>
          <w:rFonts w:hint="eastAsia" w:asciiTheme="minorEastAsia" w:hAnsiTheme="minorEastAsia" w:cstheme="minorEastAsia"/>
          <w:sz w:val="36"/>
          <w:szCs w:val="36"/>
          <w:lang w:val="en-US" w:eastAsia="zh-CN"/>
        </w:rPr>
      </w:pPr>
    </w:p>
    <w:p w14:paraId="51B6ABE7">
      <w:pPr>
        <w:jc w:val="center"/>
        <w:rPr>
          <w:rFonts w:hint="eastAsia" w:asciiTheme="minorEastAsia" w:hAnsiTheme="minorEastAsia" w:cstheme="minorEastAsia"/>
          <w:sz w:val="36"/>
          <w:szCs w:val="36"/>
          <w:lang w:val="en-US" w:eastAsia="zh-CN"/>
        </w:rPr>
      </w:pPr>
    </w:p>
    <w:p w14:paraId="015693CC">
      <w:pPr>
        <w:jc w:val="center"/>
        <w:rPr>
          <w:rFonts w:hint="eastAsia" w:asciiTheme="minorEastAsia" w:hAnsiTheme="minorEastAsia" w:cstheme="minorEastAsia"/>
          <w:sz w:val="36"/>
          <w:szCs w:val="36"/>
          <w:lang w:val="en-US" w:eastAsia="zh-CN"/>
        </w:rPr>
      </w:pPr>
    </w:p>
    <w:p w14:paraId="7BEFF80F">
      <w:pPr>
        <w:jc w:val="both"/>
        <w:rPr>
          <w:rFonts w:hint="eastAsia" w:asciiTheme="minorEastAsia" w:hAnsiTheme="minorEastAsia" w:cstheme="minorEastAsia"/>
          <w:sz w:val="36"/>
          <w:szCs w:val="36"/>
          <w:lang w:val="en-US" w:eastAsia="zh-CN"/>
        </w:rPr>
      </w:pPr>
    </w:p>
    <w:sdt>
      <w:sdtPr>
        <w:rPr>
          <w:rFonts w:ascii="宋体" w:hAnsi="宋体" w:eastAsia="宋体" w:cstheme="minorBidi"/>
          <w:kern w:val="2"/>
          <w:sz w:val="56"/>
          <w:szCs w:val="72"/>
          <w:lang w:val="en-US" w:eastAsia="zh-CN" w:bidi="ar-SA"/>
        </w:rPr>
        <w:id w:val="147465074"/>
        <w15:color w:val="DBDBDB"/>
        <w:docPartObj>
          <w:docPartGallery w:val="Table of Contents"/>
          <w:docPartUnique/>
        </w:docPartObj>
      </w:sdtPr>
      <w:sdtEndPr>
        <w:rPr>
          <w:rFonts w:asciiTheme="minorHAnsi" w:hAnsiTheme="minorHAnsi" w:eastAsiaTheme="minorEastAsia" w:cstheme="minorBidi"/>
          <w:kern w:val="2"/>
          <w:sz w:val="21"/>
          <w:szCs w:val="24"/>
          <w:lang w:val="en-US" w:eastAsia="zh-CN" w:bidi="ar-SA"/>
        </w:rPr>
      </w:sdtEndPr>
      <w:sdtContent>
        <w:p w14:paraId="53C0C78A">
          <w:pPr>
            <w:spacing w:before="0" w:beforeLines="0" w:after="0" w:afterLines="0" w:line="240" w:lineRule="auto"/>
            <w:ind w:left="0" w:leftChars="0" w:right="0" w:rightChars="0" w:firstLine="0" w:firstLineChars="0"/>
            <w:jc w:val="center"/>
            <w:rPr>
              <w:rFonts w:ascii="宋体" w:hAnsi="宋体" w:eastAsia="宋体"/>
              <w:sz w:val="56"/>
              <w:szCs w:val="72"/>
            </w:rPr>
          </w:pPr>
          <w:bookmarkStart w:id="190" w:name="_GoBack"/>
          <w:bookmarkEnd w:id="190"/>
          <w:r>
            <w:rPr>
              <w:rFonts w:ascii="宋体" w:hAnsi="宋体" w:eastAsia="宋体"/>
              <w:sz w:val="56"/>
              <w:szCs w:val="72"/>
            </w:rPr>
            <w:t>目录</w:t>
          </w:r>
        </w:p>
        <w:p w14:paraId="7D744D07">
          <w:pPr>
            <w:spacing w:before="0" w:beforeLines="0" w:after="0" w:afterLines="0" w:line="240" w:lineRule="auto"/>
            <w:ind w:left="0" w:leftChars="0" w:right="0" w:rightChars="0" w:firstLine="0" w:firstLineChars="0"/>
            <w:jc w:val="center"/>
            <w:rPr>
              <w:rFonts w:ascii="宋体" w:hAnsi="宋体" w:eastAsia="宋体"/>
              <w:sz w:val="56"/>
              <w:szCs w:val="72"/>
            </w:rPr>
          </w:pPr>
        </w:p>
        <w:p w14:paraId="4544B408">
          <w:pPr>
            <w:pStyle w:val="13"/>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21"/>
              <w:szCs w:val="24"/>
              <w:lang w:val="en-US" w:eastAsia="zh-CN" w:bidi="ar-SA"/>
            </w:rPr>
            <w:fldChar w:fldCharType="begin"/>
          </w:r>
          <w:r>
            <w:rPr>
              <w:rFonts w:asciiTheme="minorHAnsi" w:hAnsiTheme="minorHAnsi" w:eastAsiaTheme="minorEastAsia" w:cstheme="minorBidi"/>
              <w:kern w:val="2"/>
              <w:sz w:val="21"/>
              <w:szCs w:val="24"/>
              <w:lang w:val="en-US" w:eastAsia="zh-CN" w:bidi="ar-SA"/>
            </w:rPr>
            <w:instrText xml:space="preserve">TOC \o "1-1" \h \u </w:instrText>
          </w:r>
          <w:r>
            <w:rPr>
              <w:rFonts w:asciiTheme="minorHAnsi" w:hAnsiTheme="minorHAnsi" w:eastAsiaTheme="minorEastAsia" w:cstheme="minorBidi"/>
              <w:kern w:val="2"/>
              <w:sz w:val="21"/>
              <w:szCs w:val="24"/>
              <w:lang w:val="en-US" w:eastAsia="zh-CN" w:bidi="ar-SA"/>
            </w:rPr>
            <w:fldChar w:fldCharType="separate"/>
          </w: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_Toc16484 </w:instrText>
          </w:r>
          <w:r>
            <w:rPr>
              <w:rFonts w:asciiTheme="minorHAnsi" w:hAnsiTheme="minorHAnsi" w:eastAsiaTheme="minorEastAsia" w:cstheme="minorBidi"/>
              <w:kern w:val="2"/>
              <w:sz w:val="44"/>
              <w:szCs w:val="52"/>
              <w:lang w:val="en-US" w:eastAsia="zh-CN" w:bidi="ar-SA"/>
            </w:rPr>
            <w:fldChar w:fldCharType="separate"/>
          </w:r>
          <w:r>
            <w:rPr>
              <w:rFonts w:hint="eastAsia" w:cs="宋体" w:asciiTheme="majorEastAsia" w:hAnsiTheme="majorEastAsia" w:eastAsiaTheme="majorEastAsia"/>
              <w:kern w:val="2"/>
              <w:sz w:val="44"/>
              <w:szCs w:val="60"/>
              <w:lang w:val="en-US" w:eastAsia="zh-CN" w:bidi="ar-SA"/>
            </w:rPr>
            <w:t xml:space="preserve">第一章 </w:t>
          </w:r>
          <w:r>
            <w:rPr>
              <w:rFonts w:hint="eastAsia" w:cs="宋体" w:asciiTheme="majorEastAsia" w:hAnsiTheme="majorEastAsia" w:eastAsiaTheme="majorEastAsia"/>
              <w:kern w:val="2"/>
              <w:sz w:val="44"/>
              <w:szCs w:val="60"/>
              <w:highlight w:val="none"/>
              <w:lang w:val="en-US" w:eastAsia="zh-CN" w:bidi="ar-SA"/>
            </w:rPr>
            <w:t>评标信息（综合评分法）</w:t>
          </w:r>
          <w:r>
            <w:rPr>
              <w:sz w:val="44"/>
              <w:szCs w:val="52"/>
            </w:rPr>
            <w:tab/>
          </w:r>
          <w:r>
            <w:rPr>
              <w:sz w:val="44"/>
              <w:szCs w:val="52"/>
            </w:rPr>
            <w:fldChar w:fldCharType="begin"/>
          </w:r>
          <w:r>
            <w:rPr>
              <w:sz w:val="44"/>
              <w:szCs w:val="52"/>
            </w:rPr>
            <w:instrText xml:space="preserve"> PAGEREF _Toc16484 \h </w:instrText>
          </w:r>
          <w:r>
            <w:rPr>
              <w:sz w:val="44"/>
              <w:szCs w:val="52"/>
            </w:rPr>
            <w:fldChar w:fldCharType="separate"/>
          </w:r>
          <w:r>
            <w:rPr>
              <w:sz w:val="44"/>
              <w:szCs w:val="52"/>
            </w:rPr>
            <w:t>7</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5B0EB9C5">
          <w:pPr>
            <w:pStyle w:val="13"/>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_Toc12920 </w:instrText>
          </w:r>
          <w:r>
            <w:rPr>
              <w:rFonts w:asciiTheme="minorHAnsi" w:hAnsiTheme="minorHAnsi" w:eastAsiaTheme="minorEastAsia" w:cstheme="minorBidi"/>
              <w:kern w:val="2"/>
              <w:sz w:val="44"/>
              <w:szCs w:val="52"/>
              <w:lang w:val="en-US" w:eastAsia="zh-CN" w:bidi="ar-SA"/>
            </w:rPr>
            <w:fldChar w:fldCharType="separate"/>
          </w:r>
          <w:r>
            <w:rPr>
              <w:rFonts w:hint="eastAsia" w:asciiTheme="majorEastAsia" w:hAnsiTheme="majorEastAsia" w:eastAsiaTheme="majorEastAsia"/>
              <w:sz w:val="44"/>
              <w:szCs w:val="60"/>
              <w:lang w:val="en-US" w:eastAsia="zh-CN"/>
            </w:rPr>
            <w:t>第二章 征集公告</w:t>
          </w:r>
          <w:r>
            <w:rPr>
              <w:sz w:val="44"/>
              <w:szCs w:val="52"/>
            </w:rPr>
            <w:tab/>
          </w:r>
          <w:r>
            <w:rPr>
              <w:sz w:val="44"/>
              <w:szCs w:val="52"/>
            </w:rPr>
            <w:fldChar w:fldCharType="begin"/>
          </w:r>
          <w:r>
            <w:rPr>
              <w:sz w:val="44"/>
              <w:szCs w:val="52"/>
            </w:rPr>
            <w:instrText xml:space="preserve"> PAGEREF _Toc12920 \h </w:instrText>
          </w:r>
          <w:r>
            <w:rPr>
              <w:sz w:val="44"/>
              <w:szCs w:val="52"/>
            </w:rPr>
            <w:fldChar w:fldCharType="separate"/>
          </w:r>
          <w:r>
            <w:rPr>
              <w:sz w:val="44"/>
              <w:szCs w:val="52"/>
            </w:rPr>
            <w:t>9</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2B3D7DF0">
          <w:pPr>
            <w:pStyle w:val="13"/>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_Toc2752 </w:instrText>
          </w:r>
          <w:r>
            <w:rPr>
              <w:rFonts w:asciiTheme="minorHAnsi" w:hAnsiTheme="minorHAnsi" w:eastAsiaTheme="minorEastAsia" w:cstheme="minorBidi"/>
              <w:kern w:val="2"/>
              <w:sz w:val="44"/>
              <w:szCs w:val="52"/>
              <w:lang w:val="en-US" w:eastAsia="zh-CN" w:bidi="ar-SA"/>
            </w:rPr>
            <w:fldChar w:fldCharType="separate"/>
          </w:r>
          <w:r>
            <w:rPr>
              <w:rFonts w:hint="eastAsia" w:asciiTheme="majorEastAsia" w:hAnsiTheme="majorEastAsia" w:eastAsiaTheme="majorEastAsia"/>
              <w:sz w:val="44"/>
              <w:szCs w:val="60"/>
              <w:lang w:val="en-US" w:eastAsia="zh-CN"/>
            </w:rPr>
            <w:t>第三章 用户需求书</w:t>
          </w:r>
          <w:r>
            <w:rPr>
              <w:sz w:val="44"/>
              <w:szCs w:val="52"/>
            </w:rPr>
            <w:tab/>
          </w:r>
          <w:r>
            <w:rPr>
              <w:sz w:val="44"/>
              <w:szCs w:val="52"/>
            </w:rPr>
            <w:fldChar w:fldCharType="begin"/>
          </w:r>
          <w:r>
            <w:rPr>
              <w:sz w:val="44"/>
              <w:szCs w:val="52"/>
            </w:rPr>
            <w:instrText xml:space="preserve"> PAGEREF _Toc2752 \h </w:instrText>
          </w:r>
          <w:r>
            <w:rPr>
              <w:sz w:val="44"/>
              <w:szCs w:val="52"/>
            </w:rPr>
            <w:fldChar w:fldCharType="separate"/>
          </w:r>
          <w:r>
            <w:rPr>
              <w:sz w:val="44"/>
              <w:szCs w:val="52"/>
            </w:rPr>
            <w:t>13</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563ECD74">
          <w:pPr>
            <w:pStyle w:val="13"/>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_Toc10317 </w:instrText>
          </w:r>
          <w:r>
            <w:rPr>
              <w:rFonts w:asciiTheme="minorHAnsi" w:hAnsiTheme="minorHAnsi" w:eastAsiaTheme="minorEastAsia" w:cstheme="minorBidi"/>
              <w:kern w:val="2"/>
              <w:sz w:val="44"/>
              <w:szCs w:val="52"/>
              <w:lang w:val="en-US" w:eastAsia="zh-CN" w:bidi="ar-SA"/>
            </w:rPr>
            <w:fldChar w:fldCharType="separate"/>
          </w:r>
          <w:r>
            <w:rPr>
              <w:rFonts w:hint="eastAsia" w:asciiTheme="majorEastAsia" w:hAnsiTheme="majorEastAsia" w:eastAsiaTheme="majorEastAsia" w:cstheme="majorEastAsia"/>
              <w:kern w:val="2"/>
              <w:sz w:val="44"/>
              <w:szCs w:val="60"/>
              <w:lang w:val="en-US" w:eastAsia="zh-CN" w:bidi="ar-SA"/>
            </w:rPr>
            <w:t xml:space="preserve">第四章 </w:t>
          </w:r>
          <w:r>
            <w:rPr>
              <w:rFonts w:hint="eastAsia" w:asciiTheme="majorEastAsia" w:hAnsiTheme="majorEastAsia" w:eastAsiaTheme="majorEastAsia" w:cstheme="majorEastAsia"/>
              <w:sz w:val="44"/>
              <w:szCs w:val="60"/>
            </w:rPr>
            <w:t>开标、评标、定标</w:t>
          </w:r>
          <w:r>
            <w:rPr>
              <w:sz w:val="44"/>
              <w:szCs w:val="52"/>
            </w:rPr>
            <w:tab/>
          </w:r>
          <w:r>
            <w:rPr>
              <w:sz w:val="44"/>
              <w:szCs w:val="52"/>
            </w:rPr>
            <w:fldChar w:fldCharType="begin"/>
          </w:r>
          <w:r>
            <w:rPr>
              <w:sz w:val="44"/>
              <w:szCs w:val="52"/>
            </w:rPr>
            <w:instrText xml:space="preserve"> PAGEREF _Toc10317 \h </w:instrText>
          </w:r>
          <w:r>
            <w:rPr>
              <w:sz w:val="44"/>
              <w:szCs w:val="52"/>
            </w:rPr>
            <w:fldChar w:fldCharType="separate"/>
          </w:r>
          <w:r>
            <w:rPr>
              <w:sz w:val="44"/>
              <w:szCs w:val="52"/>
            </w:rPr>
            <w:t>16</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0341CF50">
          <w:pPr>
            <w:pStyle w:val="13"/>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_Toc7421 </w:instrText>
          </w:r>
          <w:r>
            <w:rPr>
              <w:rFonts w:asciiTheme="minorHAnsi" w:hAnsiTheme="minorHAnsi" w:eastAsiaTheme="minorEastAsia" w:cstheme="minorBidi"/>
              <w:kern w:val="2"/>
              <w:sz w:val="44"/>
              <w:szCs w:val="52"/>
              <w:lang w:val="en-US" w:eastAsia="zh-CN" w:bidi="ar-SA"/>
            </w:rPr>
            <w:fldChar w:fldCharType="separate"/>
          </w:r>
          <w:r>
            <w:rPr>
              <w:rFonts w:hint="eastAsia" w:asciiTheme="majorEastAsia" w:hAnsiTheme="majorEastAsia" w:eastAsiaTheme="majorEastAsia"/>
              <w:sz w:val="44"/>
              <w:szCs w:val="60"/>
              <w:lang w:val="en-US" w:eastAsia="zh-CN"/>
            </w:rPr>
            <w:t xml:space="preserve">第五章 </w:t>
          </w:r>
          <w:r>
            <w:rPr>
              <w:rFonts w:hint="eastAsia" w:asciiTheme="majorEastAsia" w:hAnsiTheme="majorEastAsia" w:eastAsiaTheme="majorEastAsia"/>
              <w:sz w:val="44"/>
              <w:szCs w:val="60"/>
            </w:rPr>
            <w:t>投标文件</w:t>
          </w:r>
          <w:r>
            <w:rPr>
              <w:rFonts w:hint="eastAsia" w:asciiTheme="majorEastAsia" w:hAnsiTheme="majorEastAsia" w:eastAsiaTheme="majorEastAsia"/>
              <w:sz w:val="44"/>
              <w:szCs w:val="60"/>
              <w:lang w:eastAsia="zh-CN"/>
            </w:rPr>
            <w:t>（</w:t>
          </w:r>
          <w:r>
            <w:rPr>
              <w:rFonts w:hint="eastAsia" w:asciiTheme="majorEastAsia" w:hAnsiTheme="majorEastAsia" w:eastAsiaTheme="majorEastAsia"/>
              <w:sz w:val="44"/>
              <w:szCs w:val="60"/>
              <w:lang w:val="en-US" w:eastAsia="zh-CN"/>
            </w:rPr>
            <w:t>编制</w:t>
          </w:r>
          <w:r>
            <w:rPr>
              <w:rFonts w:hint="eastAsia" w:asciiTheme="majorEastAsia" w:hAnsiTheme="majorEastAsia" w:eastAsiaTheme="majorEastAsia"/>
              <w:sz w:val="44"/>
              <w:szCs w:val="60"/>
            </w:rPr>
            <w:t>参考</w:t>
          </w:r>
          <w:r>
            <w:rPr>
              <w:rFonts w:hint="eastAsia" w:asciiTheme="majorEastAsia" w:hAnsiTheme="majorEastAsia" w:eastAsiaTheme="majorEastAsia"/>
              <w:sz w:val="44"/>
              <w:szCs w:val="60"/>
              <w:lang w:val="en-US" w:eastAsia="zh-CN"/>
            </w:rPr>
            <w:t>模板</w:t>
          </w:r>
          <w:r>
            <w:rPr>
              <w:rFonts w:hint="eastAsia" w:asciiTheme="majorEastAsia" w:hAnsiTheme="majorEastAsia" w:eastAsiaTheme="majorEastAsia"/>
              <w:sz w:val="44"/>
              <w:szCs w:val="60"/>
              <w:lang w:eastAsia="zh-CN"/>
            </w:rPr>
            <w:t>）</w:t>
          </w:r>
          <w:r>
            <w:rPr>
              <w:sz w:val="44"/>
              <w:szCs w:val="52"/>
            </w:rPr>
            <w:tab/>
          </w:r>
          <w:r>
            <w:rPr>
              <w:sz w:val="44"/>
              <w:szCs w:val="52"/>
            </w:rPr>
            <w:fldChar w:fldCharType="begin"/>
          </w:r>
          <w:r>
            <w:rPr>
              <w:sz w:val="44"/>
              <w:szCs w:val="52"/>
            </w:rPr>
            <w:instrText xml:space="preserve"> PAGEREF _Toc7421 \h </w:instrText>
          </w:r>
          <w:r>
            <w:rPr>
              <w:sz w:val="44"/>
              <w:szCs w:val="52"/>
            </w:rPr>
            <w:fldChar w:fldCharType="separate"/>
          </w:r>
          <w:r>
            <w:rPr>
              <w:sz w:val="44"/>
              <w:szCs w:val="52"/>
            </w:rPr>
            <w:t>24</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0D95A8BF">
          <w:pPr>
            <w:pStyle w:val="13"/>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_Toc5245 </w:instrText>
          </w:r>
          <w:r>
            <w:rPr>
              <w:rFonts w:asciiTheme="minorHAnsi" w:hAnsiTheme="minorHAnsi" w:eastAsiaTheme="minorEastAsia" w:cstheme="minorBidi"/>
              <w:kern w:val="2"/>
              <w:sz w:val="44"/>
              <w:szCs w:val="52"/>
              <w:lang w:val="en-US" w:eastAsia="zh-CN" w:bidi="ar-SA"/>
            </w:rPr>
            <w:fldChar w:fldCharType="separate"/>
          </w:r>
          <w:r>
            <w:rPr>
              <w:rFonts w:hint="eastAsia" w:asciiTheme="majorEastAsia" w:hAnsiTheme="majorEastAsia" w:eastAsiaTheme="majorEastAsia"/>
              <w:sz w:val="44"/>
              <w:szCs w:val="60"/>
              <w:lang w:eastAsia="zh-TW"/>
            </w:rPr>
            <w:t xml:space="preserve">第六章 </w:t>
          </w:r>
          <w:r>
            <w:rPr>
              <w:rFonts w:asciiTheme="majorEastAsia" w:hAnsiTheme="majorEastAsia" w:eastAsiaTheme="majorEastAsia"/>
              <w:sz w:val="44"/>
              <w:szCs w:val="60"/>
              <w:lang w:eastAsia="zh-TW"/>
            </w:rPr>
            <w:t>说 明</w:t>
          </w:r>
          <w:r>
            <w:rPr>
              <w:sz w:val="44"/>
              <w:szCs w:val="52"/>
            </w:rPr>
            <w:tab/>
          </w:r>
          <w:r>
            <w:rPr>
              <w:sz w:val="44"/>
              <w:szCs w:val="52"/>
            </w:rPr>
            <w:fldChar w:fldCharType="begin"/>
          </w:r>
          <w:r>
            <w:rPr>
              <w:sz w:val="44"/>
              <w:szCs w:val="52"/>
            </w:rPr>
            <w:instrText xml:space="preserve"> PAGEREF _Toc5245 \h </w:instrText>
          </w:r>
          <w:r>
            <w:rPr>
              <w:sz w:val="44"/>
              <w:szCs w:val="52"/>
            </w:rPr>
            <w:fldChar w:fldCharType="separate"/>
          </w:r>
          <w:r>
            <w:rPr>
              <w:sz w:val="44"/>
              <w:szCs w:val="52"/>
            </w:rPr>
            <w:t>65</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6A5C77F7">
          <w:pPr>
            <w:pStyle w:val="13"/>
            <w:tabs>
              <w:tab w:val="right" w:leader="dot" w:pos="9354"/>
            </w:tabs>
          </w:pPr>
        </w:p>
        <w:p w14:paraId="3B657D6A">
          <w:pPr>
            <w:rPr>
              <w:rFonts w:asciiTheme="minorHAnsi" w:hAnsiTheme="minorHAnsi" w:eastAsiaTheme="minorEastAsia" w:cstheme="minorBidi"/>
              <w:kern w:val="2"/>
              <w:sz w:val="21"/>
              <w:szCs w:val="24"/>
              <w:lang w:val="en-US" w:eastAsia="zh-CN" w:bidi="ar-SA"/>
            </w:rPr>
          </w:pPr>
          <w:r>
            <w:rPr>
              <w:rFonts w:asciiTheme="minorHAnsi" w:hAnsiTheme="minorHAnsi" w:eastAsiaTheme="minorEastAsia" w:cstheme="minorBidi"/>
              <w:kern w:val="2"/>
              <w:szCs w:val="24"/>
              <w:lang w:val="en-US" w:eastAsia="zh-CN" w:bidi="ar-SA"/>
            </w:rPr>
            <w:fldChar w:fldCharType="end"/>
          </w:r>
        </w:p>
      </w:sdtContent>
    </w:sdt>
    <w:p w14:paraId="4B020EC8">
      <w:pPr>
        <w:rPr>
          <w:rFonts w:asciiTheme="minorHAnsi" w:hAnsiTheme="minorHAnsi" w:eastAsiaTheme="minorEastAsia" w:cstheme="minorBidi"/>
          <w:kern w:val="2"/>
          <w:sz w:val="21"/>
          <w:szCs w:val="24"/>
          <w:lang w:val="en-US" w:eastAsia="zh-CN" w:bidi="ar-SA"/>
        </w:rPr>
      </w:pPr>
    </w:p>
    <w:p w14:paraId="0CF51C02"/>
    <w:p w14:paraId="2EC45284">
      <w:pPr>
        <w:pStyle w:val="3"/>
        <w:numPr>
          <w:ilvl w:val="0"/>
          <w:numId w:val="0"/>
        </w:numPr>
        <w:spacing w:line="240" w:lineRule="auto"/>
        <w:ind w:left="0" w:leftChars="0" w:firstLine="0" w:firstLineChars="0"/>
        <w:jc w:val="both"/>
        <w:outlineLvl w:val="9"/>
        <w:rPr>
          <w:rFonts w:hint="eastAsia" w:cs="宋体" w:asciiTheme="majorEastAsia" w:hAnsiTheme="majorEastAsia" w:eastAsiaTheme="majorEastAsia"/>
          <w:kern w:val="2"/>
          <w:sz w:val="32"/>
          <w:szCs w:val="32"/>
          <w:highlight w:val="none"/>
          <w:lang w:val="en-US" w:eastAsia="zh-CN" w:bidi="ar-SA"/>
        </w:rPr>
      </w:pPr>
      <w:r>
        <w:rPr>
          <w:highlight w:val="none"/>
        </w:rPr>
        <w:br w:type="page"/>
      </w:r>
      <w:bookmarkStart w:id="2" w:name="_Toc24015566"/>
      <w:bookmarkStart w:id="3" w:name="_Toc28823"/>
    </w:p>
    <w:bookmarkEnd w:id="2"/>
    <w:bookmarkEnd w:id="3"/>
    <w:p w14:paraId="549DA7AA">
      <w:pPr>
        <w:widowControl/>
        <w:numPr>
          <w:ilvl w:val="0"/>
          <w:numId w:val="2"/>
        </w:numPr>
        <w:ind w:firstLine="640" w:firstLineChars="200"/>
        <w:jc w:val="center"/>
        <w:outlineLvl w:val="0"/>
        <w:rPr>
          <w:rFonts w:hint="eastAsia" w:cs="宋体" w:asciiTheme="majorEastAsia" w:hAnsiTheme="majorEastAsia" w:eastAsiaTheme="majorEastAsia"/>
          <w:kern w:val="2"/>
          <w:sz w:val="32"/>
          <w:szCs w:val="32"/>
          <w:highlight w:val="none"/>
          <w:lang w:val="en-US" w:eastAsia="zh-CN" w:bidi="ar-SA"/>
        </w:rPr>
      </w:pPr>
      <w:bookmarkStart w:id="4" w:name="_Toc16484"/>
      <w:r>
        <w:rPr>
          <w:rFonts w:hint="eastAsia" w:cs="宋体" w:asciiTheme="majorEastAsia" w:hAnsiTheme="majorEastAsia" w:eastAsiaTheme="majorEastAsia"/>
          <w:kern w:val="2"/>
          <w:sz w:val="32"/>
          <w:szCs w:val="32"/>
          <w:highlight w:val="none"/>
          <w:lang w:val="en-US" w:eastAsia="zh-CN" w:bidi="ar-SA"/>
        </w:rPr>
        <w:t>评标信息 （综合评分法）</w:t>
      </w:r>
      <w:bookmarkEnd w:id="4"/>
    </w:p>
    <w:p w14:paraId="16E70C5E">
      <w:pPr>
        <w:tabs>
          <w:tab w:val="left" w:pos="426"/>
        </w:tabs>
        <w:spacing w:line="300" w:lineRule="auto"/>
        <w:ind w:firstLine="420" w:firstLineChars="200"/>
        <w:rPr>
          <w:rFonts w:ascii="Times New Roman" w:hAnsi="Times New Roman" w:cs="Times New Roman"/>
          <w:bCs/>
          <w:szCs w:val="21"/>
        </w:rPr>
      </w:pPr>
      <w:r>
        <w:rPr>
          <w:rFonts w:ascii="Times New Roman" w:hAnsi="Times New Roman" w:cs="Times New Roman"/>
          <w:bCs/>
          <w:szCs w:val="21"/>
        </w:rPr>
        <w:t>一、评标定标信息</w:t>
      </w:r>
    </w:p>
    <w:p w14:paraId="1B86F78A">
      <w:pPr>
        <w:tabs>
          <w:tab w:val="left" w:pos="426"/>
        </w:tabs>
        <w:spacing w:line="300" w:lineRule="auto"/>
        <w:ind w:firstLine="420" w:firstLineChars="200"/>
        <w:rPr>
          <w:rFonts w:ascii="Times New Roman" w:hAnsi="Times New Roman" w:cs="Times New Roman"/>
          <w:bCs/>
          <w:szCs w:val="21"/>
        </w:rPr>
      </w:pPr>
      <w:r>
        <w:rPr>
          <w:rFonts w:ascii="Times New Roman" w:hAnsi="Times New Roman" w:cs="Times New Roman"/>
          <w:bCs/>
          <w:szCs w:val="21"/>
        </w:rPr>
        <w:t>本项目为非评定分离项目。</w:t>
      </w:r>
    </w:p>
    <w:p w14:paraId="0849DD8C">
      <w:pPr>
        <w:tabs>
          <w:tab w:val="left" w:pos="426"/>
        </w:tabs>
        <w:spacing w:line="300" w:lineRule="auto"/>
        <w:ind w:firstLine="420" w:firstLineChars="200"/>
        <w:rPr>
          <w:rFonts w:ascii="Times New Roman" w:hAnsi="Times New Roman" w:cs="Times New Roman"/>
          <w:bCs/>
          <w:szCs w:val="21"/>
        </w:rPr>
      </w:pPr>
      <w:r>
        <w:rPr>
          <w:rFonts w:ascii="Times New Roman" w:hAnsi="Times New Roman" w:cs="Times New Roman"/>
          <w:bCs/>
          <w:szCs w:val="21"/>
        </w:rPr>
        <w:t>评标方法：综合评分法</w:t>
      </w:r>
    </w:p>
    <w:p w14:paraId="61B1E597">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bCs/>
          <w:szCs w:val="21"/>
        </w:rPr>
        <w:t>候选中标供应商家数：</w:t>
      </w:r>
      <w:r>
        <w:rPr>
          <w:rFonts w:hint="eastAsia" w:ascii="Times New Roman" w:hAnsi="Times New Roman" w:cs="Times New Roman"/>
          <w:bCs/>
          <w:szCs w:val="21"/>
          <w:lang w:val="en-US" w:eastAsia="zh-CN"/>
        </w:rPr>
        <w:t>2</w:t>
      </w:r>
      <w:r>
        <w:rPr>
          <w:rFonts w:hint="eastAsia"/>
          <w:szCs w:val="21"/>
        </w:rPr>
        <w:t>（中标供应商拒绝与采购人签订合同的，采购人可以按照评审报告推荐的中标候选人名单排序，确定下一候选人为中标供应商，也可以重新开展政府采购活动）</w:t>
      </w:r>
    </w:p>
    <w:p w14:paraId="7390779B">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bCs/>
          <w:szCs w:val="21"/>
        </w:rPr>
        <w:t>中标供应商家数：</w:t>
      </w:r>
      <w:r>
        <w:rPr>
          <w:rFonts w:ascii="Times New Roman" w:hAnsi="Times New Roman" w:cs="Times New Roman"/>
          <w:bCs/>
          <w:szCs w:val="21"/>
        </w:rPr>
        <w:t>1</w:t>
      </w:r>
    </w:p>
    <w:p w14:paraId="34B1338E">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bCs/>
          <w:szCs w:val="21"/>
        </w:rPr>
        <w:t>二、评审方法</w:t>
      </w:r>
    </w:p>
    <w:p w14:paraId="03A15A15">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szCs w:val="21"/>
        </w:rPr>
        <w:t>本项目采用综合评分法评审，投标文件应满足</w:t>
      </w:r>
      <w:r>
        <w:rPr>
          <w:rFonts w:hint="eastAsia" w:ascii="Times New Roman" w:hAnsi="Times New Roman" w:cs="Times New Roman"/>
          <w:szCs w:val="21"/>
          <w:lang w:val="en-US" w:eastAsia="zh-CN"/>
        </w:rPr>
        <w:t>征集</w:t>
      </w:r>
      <w:r>
        <w:rPr>
          <w:rFonts w:hint="eastAsia" w:ascii="Times New Roman" w:hAnsi="Times New Roman" w:cs="Times New Roman"/>
          <w:szCs w:val="21"/>
        </w:rPr>
        <w:t>文件全部实质性要求，且按照评审因素的量化指标进行评审。评审委员会各成员应当独立对每个通过资格性审查和符合性审查且报价不超过预算控制金额的投标人的投标文件进行评审，并汇总每个投标人每项评分因素的评分、评标委员会各成员对每个投标人评分的和，取算术平均值确定每个投标人的评审总得分，并出具评审结论</w:t>
      </w:r>
      <w:r>
        <w:rPr>
          <w:rFonts w:hint="eastAsia" w:ascii="Times New Roman" w:hAnsi="Times New Roman" w:cs="Times New Roman"/>
          <w:bCs/>
          <w:szCs w:val="21"/>
        </w:rPr>
        <w:t>。</w:t>
      </w:r>
    </w:p>
    <w:p w14:paraId="1D1CFB13">
      <w:pPr>
        <w:tabs>
          <w:tab w:val="left" w:pos="426"/>
        </w:tabs>
        <w:spacing w:line="300" w:lineRule="auto"/>
        <w:ind w:firstLine="420" w:firstLineChars="200"/>
        <w:rPr>
          <w:rFonts w:ascii="Times New Roman" w:hAnsi="Times New Roman" w:cs="Times New Roman"/>
        </w:rPr>
      </w:pPr>
      <w:r>
        <w:rPr>
          <w:rFonts w:hint="eastAsia" w:ascii="Times New Roman" w:hAnsi="Times New Roman" w:cs="Times New Roman"/>
          <w:szCs w:val="21"/>
        </w:rPr>
        <w:t>候选中标供应商按评审总得分由高到低顺序排列，排名第一的投标人为第一候选中标供应商，排名第二的投标人为第二候选中标供应商，排名第三的投标人为第三候选中标供应商。</w:t>
      </w:r>
    </w:p>
    <w:p w14:paraId="6B78B187">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szCs w:val="21"/>
        </w:rPr>
        <w:t>候选中标供应商评审总得分相同的，按投标报价由低到高顺序排列；得分且投标报价相同的，按技术指标或服务方案优劣顺序排列；得分且投标报价相同的且技术指标或服务方案优劣相同的，</w:t>
      </w:r>
      <w:r>
        <w:rPr>
          <w:rFonts w:hint="eastAsia" w:ascii="Times New Roman" w:hAnsi="Times New Roman" w:cs="Times New Roman"/>
          <w:bCs/>
          <w:szCs w:val="21"/>
        </w:rPr>
        <w:t>采取随机抽取方式确定候选中标供应商的推荐资格。</w:t>
      </w:r>
    </w:p>
    <w:p w14:paraId="15614A72">
      <w:pPr>
        <w:tabs>
          <w:tab w:val="left" w:pos="426"/>
        </w:tabs>
        <w:spacing w:line="300" w:lineRule="auto"/>
        <w:ind w:firstLine="420" w:firstLineChars="200"/>
        <w:rPr>
          <w:rFonts w:ascii="Times New Roman" w:hAnsi="Times New Roman" w:cs="Times New Roman"/>
        </w:rPr>
      </w:pPr>
      <w:r>
        <w:rPr>
          <w:rFonts w:hint="eastAsia" w:ascii="Times New Roman" w:hAnsi="Times New Roman" w:cs="Times New Roma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投标无效处理。</w:t>
      </w:r>
    </w:p>
    <w:p w14:paraId="5CCE94AE">
      <w:pPr>
        <w:tabs>
          <w:tab w:val="left" w:pos="426"/>
        </w:tabs>
        <w:spacing w:line="300" w:lineRule="auto"/>
        <w:ind w:firstLine="420" w:firstLineChars="200"/>
        <w:rPr>
          <w:rFonts w:ascii="Times New Roman" w:hAnsi="Times New Roman" w:cs="Times New Roman"/>
        </w:rPr>
      </w:pPr>
      <w:r>
        <w:rPr>
          <w:rFonts w:hint="eastAsia" w:ascii="Times New Roman" w:hAnsi="Times New Roman" w:cs="Times New Roman"/>
        </w:rPr>
        <w:t>供应商提供报价合理性说明的方式，包括但不限于现场提交、电子邮件提交等其他便捷方式。若评审委员会成员对是否须由投标人作出报价合理性说明，以及书面说明是否采纳等判断不一致的，按照</w:t>
      </w:r>
      <w:r>
        <w:rPr>
          <w:rFonts w:ascii="Times New Roman" w:hAnsi="Times New Roman" w:cs="Times New Roman"/>
        </w:rPr>
        <w:t>“</w:t>
      </w:r>
      <w:r>
        <w:rPr>
          <w:rFonts w:hint="eastAsia" w:ascii="Times New Roman" w:hAnsi="Times New Roman" w:cs="Times New Roman"/>
        </w:rPr>
        <w:t>少数服从多数</w:t>
      </w:r>
      <w:r>
        <w:rPr>
          <w:rFonts w:ascii="Times New Roman" w:hAnsi="Times New Roman" w:cs="Times New Roman"/>
        </w:rPr>
        <w:t>”</w:t>
      </w:r>
      <w:r>
        <w:rPr>
          <w:rFonts w:hint="eastAsia" w:ascii="Times New Roman" w:hAnsi="Times New Roman" w:cs="Times New Roman"/>
        </w:rPr>
        <w:t>的原则确定评审委员会的意见。</w:t>
      </w:r>
    </w:p>
    <w:p w14:paraId="2E79F59D">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三、价格分计算方法</w:t>
      </w:r>
    </w:p>
    <w:p w14:paraId="382E0367">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依据《深圳市财政局关于严格执行财政部</w:t>
      </w:r>
      <w:r>
        <w:rPr>
          <w:rFonts w:ascii="Times New Roman" w:hAnsi="Times New Roman" w:cs="Times New Roman"/>
          <w:szCs w:val="21"/>
        </w:rPr>
        <w:t>87</w:t>
      </w:r>
      <w:r>
        <w:rPr>
          <w:rFonts w:hint="eastAsia" w:ascii="Times New Roman" w:hAnsi="Times New Roman" w:cs="Times New Roman"/>
          <w:szCs w:val="21"/>
        </w:rPr>
        <w:t>号令价格分计算规定的通知》（深财购〔</w:t>
      </w:r>
      <w:r>
        <w:rPr>
          <w:rFonts w:ascii="Times New Roman" w:hAnsi="Times New Roman" w:cs="Times New Roman"/>
          <w:szCs w:val="21"/>
        </w:rPr>
        <w:t>2018</w:t>
      </w:r>
      <w:r>
        <w:rPr>
          <w:rFonts w:hint="eastAsia" w:ascii="Times New Roman" w:hAnsi="Times New Roman" w:cs="Times New Roman"/>
          <w:szCs w:val="21"/>
        </w:rPr>
        <w:t>〕</w:t>
      </w:r>
      <w:r>
        <w:rPr>
          <w:rFonts w:ascii="Times New Roman" w:hAnsi="Times New Roman" w:cs="Times New Roman"/>
          <w:szCs w:val="21"/>
        </w:rPr>
        <w:t>33</w:t>
      </w:r>
      <w:r>
        <w:rPr>
          <w:rFonts w:hint="eastAsia" w:ascii="Times New Roman" w:hAnsi="Times New Roman" w:cs="Times New Roman"/>
          <w:szCs w:val="21"/>
        </w:rPr>
        <w:t>号）、《政府采购货物和服务招标投标管理办法》（财政部令第</w:t>
      </w:r>
      <w:r>
        <w:rPr>
          <w:rFonts w:ascii="Times New Roman" w:hAnsi="Times New Roman" w:cs="Times New Roman"/>
          <w:szCs w:val="21"/>
        </w:rPr>
        <w:t>87</w:t>
      </w:r>
      <w:r>
        <w:rPr>
          <w:rFonts w:hint="eastAsia" w:ascii="Times New Roman" w:hAnsi="Times New Roman" w:cs="Times New Roman"/>
          <w:szCs w:val="21"/>
        </w:rPr>
        <w:t>号）第五十五条第六款之规定：价格分应当采用低价优先法计算，即满足招标文件要求且投标价格最低的投标报价为评标基准价，其价格分为满分。其他投标人的价格分统一按照下列公式计算：</w:t>
      </w:r>
    </w:p>
    <w:p w14:paraId="151C4D37">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投标报价得分</w:t>
      </w:r>
      <w:r>
        <w:rPr>
          <w:rFonts w:ascii="Times New Roman" w:hAnsi="Times New Roman" w:cs="Times New Roman"/>
          <w:szCs w:val="21"/>
        </w:rPr>
        <w:t>=(</w:t>
      </w:r>
      <w:r>
        <w:rPr>
          <w:rFonts w:hint="eastAsia" w:ascii="Times New Roman" w:hAnsi="Times New Roman" w:cs="Times New Roman"/>
          <w:szCs w:val="21"/>
        </w:rPr>
        <w:t>评标基准价／投标报价</w:t>
      </w:r>
      <w:r>
        <w:rPr>
          <w:rFonts w:ascii="Times New Roman" w:hAnsi="Times New Roman" w:cs="Times New Roman"/>
          <w:szCs w:val="21"/>
        </w:rPr>
        <w:t>)×100</w:t>
      </w:r>
    </w:p>
    <w:p w14:paraId="770F6869">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评标总得分＝</w:t>
      </w:r>
      <w:r>
        <w:rPr>
          <w:rFonts w:ascii="Times New Roman" w:hAnsi="Times New Roman" w:cs="Times New Roman"/>
          <w:szCs w:val="21"/>
        </w:rPr>
        <w:t>F1×A1</w:t>
      </w:r>
      <w:r>
        <w:rPr>
          <w:rFonts w:hint="eastAsia" w:ascii="Times New Roman" w:hAnsi="Times New Roman" w:cs="Times New Roman"/>
          <w:szCs w:val="21"/>
        </w:rPr>
        <w:t>＋</w:t>
      </w:r>
      <w:r>
        <w:rPr>
          <w:rFonts w:ascii="Times New Roman" w:hAnsi="Times New Roman" w:cs="Times New Roman"/>
          <w:szCs w:val="21"/>
        </w:rPr>
        <w:t>F2×A2</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rPr>
        <w:t>＋</w:t>
      </w:r>
      <w:r>
        <w:rPr>
          <w:rFonts w:ascii="Times New Roman" w:hAnsi="Times New Roman" w:cs="Times New Roman"/>
          <w:szCs w:val="21"/>
        </w:rPr>
        <w:t>Fn×An</w:t>
      </w:r>
    </w:p>
    <w:p w14:paraId="28250539">
      <w:pPr>
        <w:tabs>
          <w:tab w:val="left" w:pos="426"/>
        </w:tabs>
        <w:spacing w:after="120" w:line="300" w:lineRule="auto"/>
        <w:ind w:firstLine="420" w:firstLineChars="200"/>
        <w:rPr>
          <w:rFonts w:ascii="Times New Roman" w:hAnsi="Times New Roman" w:cs="Times New Roman"/>
          <w:szCs w:val="21"/>
        </w:rPr>
      </w:pPr>
      <w:r>
        <w:rPr>
          <w:rFonts w:ascii="Times New Roman" w:hAnsi="Times New Roman" w:cs="Times New Roman"/>
          <w:szCs w:val="21"/>
        </w:rPr>
        <w:t>F1</w:t>
      </w:r>
      <w:r>
        <w:rPr>
          <w:rFonts w:hint="eastAsia" w:ascii="Times New Roman" w:hAnsi="Times New Roman" w:cs="Times New Roman"/>
          <w:szCs w:val="21"/>
        </w:rPr>
        <w:t>、</w:t>
      </w:r>
      <w:r>
        <w:rPr>
          <w:rFonts w:ascii="Times New Roman" w:hAnsi="Times New Roman" w:cs="Times New Roman"/>
          <w:szCs w:val="21"/>
        </w:rPr>
        <w:t>F2……Fn</w:t>
      </w:r>
      <w:r>
        <w:rPr>
          <w:rFonts w:hint="eastAsia" w:ascii="Times New Roman" w:hAnsi="Times New Roman" w:cs="Times New Roman"/>
          <w:szCs w:val="21"/>
        </w:rPr>
        <w:t>分别为各项评审因素的得分；</w:t>
      </w:r>
    </w:p>
    <w:p w14:paraId="208C9334">
      <w:pPr>
        <w:tabs>
          <w:tab w:val="left" w:pos="426"/>
        </w:tabs>
        <w:spacing w:after="120" w:line="300" w:lineRule="auto"/>
        <w:ind w:firstLine="420" w:firstLineChars="200"/>
        <w:rPr>
          <w:rFonts w:ascii="Times New Roman" w:hAnsi="Times New Roman" w:cs="Times New Roman"/>
          <w:szCs w:val="21"/>
        </w:rPr>
      </w:pPr>
      <w:r>
        <w:rPr>
          <w:rFonts w:ascii="Times New Roman" w:hAnsi="Times New Roman" w:cs="Times New Roman"/>
          <w:szCs w:val="21"/>
        </w:rPr>
        <w:t>A1</w:t>
      </w:r>
      <w:r>
        <w:rPr>
          <w:rFonts w:hint="eastAsia" w:ascii="Times New Roman" w:hAnsi="Times New Roman" w:cs="Times New Roman"/>
          <w:szCs w:val="21"/>
        </w:rPr>
        <w:t>、</w:t>
      </w:r>
      <w:r>
        <w:rPr>
          <w:rFonts w:ascii="Times New Roman" w:hAnsi="Times New Roman" w:cs="Times New Roman"/>
          <w:szCs w:val="21"/>
        </w:rPr>
        <w:t>A2</w:t>
      </w:r>
      <w:r>
        <w:rPr>
          <w:rFonts w:hint="eastAsia" w:ascii="Times New Roman" w:hAnsi="Times New Roman" w:cs="Times New Roman"/>
          <w:szCs w:val="21"/>
        </w:rPr>
        <w:t>、</w:t>
      </w:r>
      <w:r>
        <w:rPr>
          <w:rFonts w:ascii="Times New Roman" w:hAnsi="Times New Roman" w:cs="Times New Roman"/>
          <w:szCs w:val="21"/>
        </w:rPr>
        <w:t xml:space="preserve">……An </w:t>
      </w:r>
      <w:r>
        <w:rPr>
          <w:rFonts w:hint="eastAsia" w:ascii="Times New Roman" w:hAnsi="Times New Roman" w:cs="Times New Roman"/>
          <w:szCs w:val="21"/>
        </w:rPr>
        <w:t>分别为各项评审因素所占的权重</w:t>
      </w:r>
      <w:r>
        <w:rPr>
          <w:rFonts w:ascii="Times New Roman" w:hAnsi="Times New Roman" w:cs="Times New Roman"/>
          <w:szCs w:val="21"/>
        </w:rPr>
        <w:t>(A1</w:t>
      </w:r>
      <w:r>
        <w:rPr>
          <w:rFonts w:hint="eastAsia" w:ascii="Times New Roman" w:hAnsi="Times New Roman" w:cs="Times New Roman"/>
          <w:szCs w:val="21"/>
        </w:rPr>
        <w:t>＋</w:t>
      </w:r>
      <w:r>
        <w:rPr>
          <w:rFonts w:ascii="Times New Roman" w:hAnsi="Times New Roman" w:cs="Times New Roman"/>
          <w:szCs w:val="21"/>
        </w:rPr>
        <w:t>A2</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rPr>
        <w:t>＋</w:t>
      </w:r>
      <w:r>
        <w:rPr>
          <w:rFonts w:ascii="Times New Roman" w:hAnsi="Times New Roman" w:cs="Times New Roman"/>
          <w:szCs w:val="21"/>
        </w:rPr>
        <w:t>An</w:t>
      </w:r>
      <w:r>
        <w:rPr>
          <w:rFonts w:hint="eastAsia" w:ascii="Times New Roman" w:hAnsi="Times New Roman" w:cs="Times New Roman"/>
          <w:szCs w:val="21"/>
        </w:rPr>
        <w:t>＝</w:t>
      </w:r>
      <w:r>
        <w:rPr>
          <w:rFonts w:ascii="Times New Roman" w:hAnsi="Times New Roman" w:cs="Times New Roman"/>
          <w:szCs w:val="21"/>
        </w:rPr>
        <w:t>1)</w:t>
      </w:r>
      <w:r>
        <w:rPr>
          <w:rFonts w:hint="eastAsia" w:ascii="Times New Roman" w:hAnsi="Times New Roman" w:cs="Times New Roman"/>
          <w:szCs w:val="21"/>
        </w:rPr>
        <w:t>。</w:t>
      </w:r>
    </w:p>
    <w:p w14:paraId="5BF68436">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评标过程中，不得去掉报价中的最高报价和最低报价。</w:t>
      </w:r>
    </w:p>
    <w:p w14:paraId="05CAB605">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因落实政府采购政策进行价格调整的，以调整后的价格计算评标基准价和投标报价。</w:t>
      </w:r>
    </w:p>
    <w:p w14:paraId="04060EB5">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在实际评标过程中，《评分细则表》中的</w:t>
      </w:r>
      <w:r>
        <w:rPr>
          <w:rFonts w:ascii="Times New Roman" w:hAnsi="Times New Roman" w:cs="Times New Roman"/>
          <w:szCs w:val="21"/>
        </w:rPr>
        <w:t>“</w:t>
      </w:r>
      <w:r>
        <w:rPr>
          <w:rFonts w:hint="eastAsia" w:ascii="Times New Roman" w:hAnsi="Times New Roman" w:cs="Times New Roman"/>
          <w:szCs w:val="21"/>
        </w:rPr>
        <w:t>分值</w:t>
      </w:r>
      <w:r>
        <w:rPr>
          <w:rFonts w:ascii="Times New Roman" w:hAnsi="Times New Roman" w:cs="Times New Roman"/>
          <w:szCs w:val="21"/>
        </w:rPr>
        <w:t>”</w:t>
      </w:r>
      <w:r>
        <w:rPr>
          <w:rFonts w:hint="eastAsia" w:ascii="Times New Roman" w:hAnsi="Times New Roman" w:cs="Times New Roman"/>
          <w:szCs w:val="21"/>
        </w:rPr>
        <w:t>项为各项评审因素的实际分</w:t>
      </w:r>
      <w:r>
        <w:rPr>
          <w:rFonts w:ascii="Times New Roman" w:hAnsi="Times New Roman" w:cs="Times New Roman"/>
          <w:szCs w:val="21"/>
        </w:rPr>
        <w:t>Sn</w:t>
      </w:r>
      <w:r>
        <w:rPr>
          <w:rFonts w:hint="eastAsia" w:ascii="Times New Roman" w:hAnsi="Times New Roman" w:cs="Times New Roman"/>
          <w:szCs w:val="21"/>
        </w:rPr>
        <w:t>，</w:t>
      </w:r>
      <w:r>
        <w:rPr>
          <w:rFonts w:ascii="Times New Roman" w:hAnsi="Times New Roman" w:cs="Times New Roman"/>
          <w:szCs w:val="21"/>
        </w:rPr>
        <w:t>Sn=Fn×An</w:t>
      </w:r>
      <w:r>
        <w:rPr>
          <w:rFonts w:hint="eastAsia" w:ascii="Times New Roman" w:hAnsi="Times New Roman" w:cs="Times New Roman"/>
          <w:szCs w:val="21"/>
        </w:rPr>
        <w:t>，评标总得分</w:t>
      </w:r>
      <w:r>
        <w:rPr>
          <w:rFonts w:ascii="Times New Roman" w:hAnsi="Times New Roman" w:cs="Times New Roman"/>
          <w:szCs w:val="21"/>
        </w:rPr>
        <w:t>=S1</w:t>
      </w:r>
      <w:r>
        <w:rPr>
          <w:rFonts w:hint="eastAsia" w:ascii="Times New Roman" w:hAnsi="Times New Roman" w:cs="Times New Roman"/>
          <w:szCs w:val="21"/>
        </w:rPr>
        <w:t>＋</w:t>
      </w:r>
      <w:r>
        <w:rPr>
          <w:rFonts w:ascii="Times New Roman" w:hAnsi="Times New Roman" w:cs="Times New Roman"/>
          <w:szCs w:val="21"/>
        </w:rPr>
        <w:t>S2</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rPr>
        <w:t>＋</w:t>
      </w:r>
      <w:r>
        <w:rPr>
          <w:rFonts w:ascii="Times New Roman" w:hAnsi="Times New Roman" w:cs="Times New Roman"/>
          <w:szCs w:val="21"/>
        </w:rPr>
        <w:t>Sn</w:t>
      </w:r>
      <w:r>
        <w:rPr>
          <w:rFonts w:hint="eastAsia" w:ascii="Times New Roman" w:hAnsi="Times New Roman" w:cs="Times New Roman"/>
          <w:szCs w:val="21"/>
        </w:rPr>
        <w:t>，投标报价的实际分</w:t>
      </w:r>
      <w:r>
        <w:rPr>
          <w:rFonts w:ascii="Times New Roman" w:hAnsi="Times New Roman" w:cs="Times New Roman"/>
          <w:szCs w:val="21"/>
        </w:rPr>
        <w:t>=(</w:t>
      </w:r>
      <w:r>
        <w:rPr>
          <w:rFonts w:hint="eastAsia" w:ascii="Times New Roman" w:hAnsi="Times New Roman" w:cs="Times New Roman"/>
          <w:szCs w:val="21"/>
        </w:rPr>
        <w:t>评标基准价／投标报价</w:t>
      </w:r>
      <w:r>
        <w:rPr>
          <w:rFonts w:ascii="Times New Roman" w:hAnsi="Times New Roman" w:cs="Times New Roman"/>
          <w:szCs w:val="21"/>
        </w:rPr>
        <w:t>)×100×</w:t>
      </w:r>
      <w:r>
        <w:rPr>
          <w:rFonts w:hint="eastAsia" w:ascii="Times New Roman" w:hAnsi="Times New Roman" w:cs="Times New Roman"/>
          <w:szCs w:val="21"/>
        </w:rPr>
        <w:t>价格权重。</w:t>
      </w:r>
    </w:p>
    <w:p w14:paraId="151E9DAC">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四、详细评审</w:t>
      </w:r>
    </w:p>
    <w:p w14:paraId="62A48003">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（一）评标专家应对通过投标文件初审进入评标程序的投标文件先评技术标、再评商务标；</w:t>
      </w:r>
    </w:p>
    <w:p w14:paraId="106706EF">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（二）评标专家需按</w:t>
      </w:r>
      <w:r>
        <w:rPr>
          <w:rFonts w:hint="eastAsia" w:ascii="Times New Roman" w:hAnsi="Times New Roman" w:cs="Times New Roman"/>
          <w:szCs w:val="21"/>
          <w:lang w:val="en-US" w:eastAsia="zh-CN"/>
        </w:rPr>
        <w:t>征集</w:t>
      </w:r>
      <w:r>
        <w:rPr>
          <w:rFonts w:hint="eastAsia" w:ascii="Times New Roman" w:hAnsi="Times New Roman" w:cs="Times New Roman"/>
          <w:szCs w:val="21"/>
        </w:rPr>
        <w:t>文件规定的评审标准对投标人提交的投标文件进行评审，投标文件中与评审标准无关的内容不作为评审内容。</w:t>
      </w:r>
    </w:p>
    <w:p w14:paraId="68578C00">
      <w:pPr>
        <w:tabs>
          <w:tab w:val="left" w:pos="426"/>
        </w:tabs>
        <w:spacing w:line="300" w:lineRule="auto"/>
        <w:ind w:firstLine="420" w:firstLineChars="200"/>
        <w:rPr>
          <w:rFonts w:hint="eastAsia" w:ascii="Times New Roman" w:hAnsi="Times New Roman" w:cs="Times New Roman"/>
          <w:szCs w:val="21"/>
        </w:rPr>
      </w:pPr>
      <w:r>
        <w:rPr>
          <w:rFonts w:hint="eastAsia" w:ascii="Times New Roman" w:hAnsi="Times New Roman" w:cs="Times New Roman"/>
          <w:szCs w:val="21"/>
        </w:rPr>
        <w:t>（三）评标委员会在评标时，应按照以下量化的评审因素，对各投标文件进行分析和比较：</w:t>
      </w:r>
    </w:p>
    <w:p w14:paraId="67991690">
      <w:pPr>
        <w:tabs>
          <w:tab w:val="left" w:pos="426"/>
        </w:tabs>
        <w:spacing w:line="300" w:lineRule="auto"/>
        <w:ind w:firstLine="420" w:firstLineChars="200"/>
        <w:rPr>
          <w:rFonts w:hint="eastAsia" w:ascii="Times New Roman" w:hAnsi="Times New Roman" w:cs="Times New Roman"/>
          <w:szCs w:val="21"/>
        </w:rPr>
      </w:pPr>
    </w:p>
    <w:tbl>
      <w:tblPr>
        <w:tblStyle w:val="18"/>
        <w:tblW w:w="98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37"/>
        <w:gridCol w:w="647"/>
        <w:gridCol w:w="7443"/>
        <w:gridCol w:w="702"/>
      </w:tblGrid>
      <w:tr w14:paraId="18A36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829" w:type="dxa"/>
            <w:gridSpan w:val="4"/>
            <w:tcBorders>
              <w:top w:val="nil"/>
              <w:left w:val="nil"/>
              <w:bottom w:val="nil"/>
              <w:right w:val="nil"/>
            </w:tcBorders>
            <w:shd w:val="clear" w:color="auto" w:fill="auto"/>
            <w:noWrap/>
            <w:vAlign w:val="center"/>
          </w:tcPr>
          <w:p w14:paraId="38A70D40">
            <w:pPr>
              <w:keepNext w:val="0"/>
              <w:keepLines w:val="0"/>
              <w:suppressLineNumbers w:val="0"/>
              <w:tabs>
                <w:tab w:val="left" w:pos="426"/>
              </w:tabs>
              <w:spacing w:before="0" w:beforeAutospacing="0" w:after="0" w:afterAutospacing="0" w:line="300" w:lineRule="auto"/>
              <w:ind w:left="0" w:right="0" w:firstLine="482" w:firstLineChars="200"/>
              <w:jc w:val="center"/>
              <w:rPr>
                <w:rFonts w:hint="default" w:ascii="宋体" w:hAnsi="宋体"/>
                <w:b/>
                <w:bCs w:val="0"/>
                <w:sz w:val="24"/>
                <w:szCs w:val="24"/>
                <w:highlight w:val="none"/>
              </w:rPr>
            </w:pPr>
            <w:r>
              <w:rPr>
                <w:rFonts w:hint="eastAsia" w:ascii="宋体" w:hAnsi="宋体"/>
                <w:b/>
                <w:bCs w:val="0"/>
                <w:sz w:val="24"/>
                <w:szCs w:val="24"/>
                <w:highlight w:val="none"/>
              </w:rPr>
              <w:t>评分细则表</w:t>
            </w:r>
          </w:p>
          <w:p w14:paraId="67E240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Style w:val="31"/>
                <w:sz w:val="21"/>
                <w:szCs w:val="21"/>
                <w:lang w:val="en-US" w:eastAsia="zh-CN" w:bidi="ar"/>
              </w:rPr>
              <w:t>项目名称：                         征集编号：</w:t>
            </w:r>
          </w:p>
        </w:tc>
      </w:tr>
      <w:tr w14:paraId="0EA4D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59A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评分项目</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426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27C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评分因素</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123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r>
      <w:tr w14:paraId="27E6F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37" w:type="dxa"/>
            <w:vMerge w:val="restart"/>
            <w:tcBorders>
              <w:top w:val="single" w:color="000000" w:sz="4" w:space="0"/>
              <w:left w:val="single" w:color="000000" w:sz="4" w:space="0"/>
              <w:bottom w:val="nil"/>
              <w:right w:val="single" w:color="000000" w:sz="4" w:space="0"/>
            </w:tcBorders>
            <w:shd w:val="clear" w:color="auto" w:fill="auto"/>
            <w:vAlign w:val="center"/>
          </w:tcPr>
          <w:p w14:paraId="06E823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技术部分</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832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D77C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技术参数响应情况                                                               投标供应商应如实填写《技术规格偏离表》，评审委员会根据技术需求参数响应情况进行打分，每1项负偏离的，扣3分；扣完为止。</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9C94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45</w:t>
            </w:r>
          </w:p>
        </w:tc>
      </w:tr>
      <w:tr w14:paraId="0E3F4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37" w:type="dxa"/>
            <w:vMerge w:val="continue"/>
            <w:tcBorders>
              <w:top w:val="single" w:color="000000" w:sz="4" w:space="0"/>
              <w:left w:val="single" w:color="000000" w:sz="4" w:space="0"/>
              <w:bottom w:val="nil"/>
              <w:right w:val="single" w:color="000000" w:sz="4" w:space="0"/>
            </w:tcBorders>
            <w:shd w:val="clear" w:color="auto" w:fill="auto"/>
            <w:vAlign w:val="center"/>
          </w:tcPr>
          <w:p w14:paraId="17FCE8D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5D3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4861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重要技术参数响应评分                                                                投标供应商应如实填写《技术规格偏离表》，评审委员会根据技术需求参数响应情况进行打分，每1项负偏离的，扣5分；扣完为止。</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569B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r>
      <w:tr w14:paraId="298D2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7" w:hRule="atLeast"/>
          <w:jc w:val="center"/>
        </w:trPr>
        <w:tc>
          <w:tcPr>
            <w:tcW w:w="1037" w:type="dxa"/>
            <w:vMerge w:val="continue"/>
            <w:tcBorders>
              <w:top w:val="single" w:color="000000" w:sz="4" w:space="0"/>
              <w:left w:val="single" w:color="000000" w:sz="4" w:space="0"/>
              <w:bottom w:val="nil"/>
              <w:right w:val="single" w:color="000000" w:sz="4" w:space="0"/>
            </w:tcBorders>
            <w:shd w:val="clear" w:color="auto" w:fill="auto"/>
            <w:vAlign w:val="center"/>
          </w:tcPr>
          <w:p w14:paraId="7BF0D3F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F85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6F0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技术保障措施</w:t>
            </w:r>
          </w:p>
          <w:p w14:paraId="46D8BE4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投标人在投标文件中提供技术保障措施，评分标准：</w:t>
            </w:r>
          </w:p>
          <w:p w14:paraId="59F0740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1.安装售后服务保障</w:t>
            </w:r>
          </w:p>
          <w:p w14:paraId="73706EF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2.紧急情况响应程度</w:t>
            </w:r>
          </w:p>
          <w:p w14:paraId="6870C1E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3.人员培训措施综合评价</w:t>
            </w:r>
          </w:p>
          <w:p w14:paraId="46EFB3D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每提供一项得1分，最高不超过3分。</w:t>
            </w:r>
          </w:p>
          <w:p w14:paraId="219DFBB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在此基础上，专家根据各供应商的具体响应内容进一步评审，评审标准如下：</w:t>
            </w:r>
          </w:p>
          <w:p w14:paraId="0FE4380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(1)所投产品的安装售后服务保障、紧急情况响应程度、人员培训措施内容全面，得3分，</w:t>
            </w:r>
          </w:p>
          <w:p w14:paraId="49757A7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(2)所投产品的安装售后服务保障、紧急情况响应程度、人员培训措施评价较为内容全面，得2分，</w:t>
            </w:r>
          </w:p>
          <w:p w14:paraId="5FF5254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(3)所投产品的安装售后服务保障、紧急情况响应程度、人员培训措施评价一般，得1分，</w:t>
            </w:r>
          </w:p>
          <w:p w14:paraId="2DBF4BF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(4)所投产品的安装售后服务保障、紧急情况响应程度、人员培训措施评价差，不得分。</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C914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6</w:t>
            </w:r>
          </w:p>
        </w:tc>
      </w:tr>
      <w:tr w14:paraId="6BACA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37" w:type="dxa"/>
            <w:vMerge w:val="restart"/>
            <w:tcBorders>
              <w:top w:val="single" w:color="000000" w:sz="4" w:space="0"/>
              <w:left w:val="single" w:color="000000" w:sz="4" w:space="0"/>
              <w:right w:val="single" w:color="000000" w:sz="4" w:space="0"/>
            </w:tcBorders>
            <w:shd w:val="clear" w:color="auto" w:fill="auto"/>
            <w:vAlign w:val="center"/>
          </w:tcPr>
          <w:p w14:paraId="79D6F5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商务部分</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5FD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0BBB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有效业绩                                                                        提供1项有效业绩的，得1分；以此类推，最高不超过2分。不提供或者不能有效证明的，得0分。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有效业绩定义：（同时满足以下全部要求同类业绩才属于有效业绩）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1.为投标供应商所投产品的同类业绩（所投核心产品同品牌同型号的产品）。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2.合同签订时间为2024年1月1日至投标截止时间前。</w:t>
            </w:r>
          </w:p>
          <w:p w14:paraId="520CBE2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3.合同中的乙方（或供货方）必须是该投标供应商。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证明文件：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供应商必须提供项目合同关键页（首页、体现采购内容页、签字盖章页、签订时间页），未提供证明资料或者专家无法凭所提供资料判断是否得分的情况，一律作不得分处理。</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CFB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w:t>
            </w:r>
          </w:p>
        </w:tc>
      </w:tr>
      <w:tr w14:paraId="4B29D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37" w:type="dxa"/>
            <w:vMerge w:val="continue"/>
            <w:tcBorders>
              <w:left w:val="single" w:color="000000" w:sz="4" w:space="0"/>
              <w:right w:val="single" w:color="000000" w:sz="4" w:space="0"/>
            </w:tcBorders>
            <w:shd w:val="clear" w:color="auto" w:fill="auto"/>
            <w:vAlign w:val="center"/>
          </w:tcPr>
          <w:p w14:paraId="194ACA8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1FC7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9260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履约评价</w:t>
            </w:r>
          </w:p>
          <w:p w14:paraId="6DCCC97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投标人提供上述同类项目业绩中，能够提供用户出具的履约评价书，且评价为优或满意以上的，每提供1份得1分，本项最高得2分。</w:t>
            </w:r>
          </w:p>
          <w:p w14:paraId="663F275A">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证明文件：</w:t>
            </w:r>
          </w:p>
          <w:p w14:paraId="603CC24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须提供用户出具的履约评价书扫描件或复印件，并加盖用户公章，原件备查。</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AECD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r>
      <w:tr w14:paraId="368D5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37" w:type="dxa"/>
            <w:vMerge w:val="continue"/>
            <w:tcBorders>
              <w:left w:val="single" w:color="000000" w:sz="4" w:space="0"/>
              <w:bottom w:val="nil"/>
              <w:right w:val="single" w:color="000000" w:sz="4" w:space="0"/>
            </w:tcBorders>
            <w:shd w:val="clear" w:color="auto" w:fill="auto"/>
            <w:vAlign w:val="center"/>
          </w:tcPr>
          <w:p w14:paraId="3F305F5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AEFB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3</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EBAA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诚信</w:t>
            </w:r>
          </w:p>
          <w:p w14:paraId="52E5F74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投标人在参与政府采购活动中存在诚信相关问题且在主管部门相关处理措施实施期限内的；投标人存在《深圳市财政局 政府采购供应商信用信息管理办法》（深财规〔2023〕3号）列明的一般行政处罚信息、一般违法失信记录信息的，本项不得分，否则得满分。</w:t>
            </w:r>
          </w:p>
          <w:p w14:paraId="6643565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证明文件：</w:t>
            </w:r>
          </w:p>
          <w:p w14:paraId="01CE7CB9">
            <w:pPr>
              <w:keepNext w:val="0"/>
              <w:keepLines w:val="0"/>
              <w:widowControl/>
              <w:suppressLineNumbers w:val="0"/>
              <w:spacing w:before="0" w:beforeAutospacing="0" w:after="0" w:afterAutospacing="0"/>
              <w:ind w:left="0" w:right="0"/>
              <w:jc w:val="left"/>
              <w:textAlignment w:val="center"/>
              <w:rPr>
                <w:rFonts w:hint="eastAsia" w:ascii="宋体" w:hAnsi="宋体" w:cs="宋体" w:eastAsiaTheme="minorEastAsia"/>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投标人无需提供任何证明材料，由工作人员向评审委员会提供相关信息。</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3F60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r>
      <w:tr w14:paraId="0AEF3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 w:hRule="atLeast"/>
          <w:jc w:val="center"/>
        </w:trPr>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957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价格部分</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7CF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7A56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采用低价优先法计算，即满足征集文件要求且投标价格最低的投标报价为评标基准价，其价格分为满分。其他投标人的价格分统一按照下列公式计算： </w:t>
            </w:r>
          </w:p>
          <w:p w14:paraId="4FE03FD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投标报价得分=(基准价／扣除后的报价)×30</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764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r>
      <w:tr w14:paraId="51920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1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9E73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822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r>
    </w:tbl>
    <w:p w14:paraId="3E733A93">
      <w:pPr>
        <w:widowControl/>
        <w:jc w:val="left"/>
        <w:rPr>
          <w:rFonts w:hint="eastAsia" w:ascii="宋体" w:cs="宋体"/>
          <w:snapToGrid w:val="0"/>
          <w:kern w:val="0"/>
        </w:rPr>
      </w:pPr>
      <w:r>
        <w:rPr>
          <w:rFonts w:hint="eastAsia" w:ascii="宋体" w:cs="宋体"/>
          <w:snapToGrid w:val="0"/>
          <w:kern w:val="0"/>
        </w:rPr>
        <w:t>备注：</w:t>
      </w:r>
    </w:p>
    <w:p w14:paraId="473E4B7C">
      <w:pPr>
        <w:spacing w:line="240" w:lineRule="auto"/>
      </w:pPr>
      <w:r>
        <w:rPr>
          <w:rFonts w:hint="eastAsia"/>
        </w:rPr>
        <w:t>1.每一项的得分均不能超过该项最高分值。</w:t>
      </w:r>
    </w:p>
    <w:p w14:paraId="760A847C">
      <w:pPr>
        <w:spacing w:line="240" w:lineRule="auto"/>
      </w:pPr>
      <w:r>
        <w:rPr>
          <w:rFonts w:hint="eastAsia"/>
        </w:rPr>
        <w:t>2.缺项则该项为0分或不合格为0分。</w:t>
      </w:r>
    </w:p>
    <w:p w14:paraId="2C1A9024">
      <w:pPr>
        <w:spacing w:line="240" w:lineRule="auto"/>
      </w:pPr>
      <w:r>
        <w:rPr>
          <w:rFonts w:hint="eastAsia"/>
        </w:rPr>
        <w:t>3.价格、技术、商务部分为针对项目具体情况设置项目，累加满分为100分。</w:t>
      </w:r>
    </w:p>
    <w:p w14:paraId="6BA35CC1">
      <w:pPr>
        <w:spacing w:line="240" w:lineRule="auto"/>
        <w:rPr>
          <w:rFonts w:ascii="Arial" w:hAnsi="Arial" w:cs="Arial"/>
          <w:snapToGrid w:val="0"/>
          <w:szCs w:val="18"/>
        </w:rPr>
      </w:pPr>
      <w:r>
        <w:rPr>
          <w:rFonts w:hint="eastAsia"/>
        </w:rPr>
        <w:t>4.综合以上</w:t>
      </w:r>
      <w:r>
        <w:rPr>
          <w:rFonts w:hint="eastAsia"/>
          <w:snapToGrid w:val="0"/>
        </w:rPr>
        <w:t>分析比较，</w:t>
      </w:r>
      <w:r>
        <w:rPr>
          <w:rFonts w:hint="eastAsia" w:ascii="宋体" w:hAnsi="宋体" w:cstheme="minorBidi"/>
          <w:color w:val="auto"/>
          <w:kern w:val="2"/>
          <w:sz w:val="21"/>
          <w:szCs w:val="21"/>
          <w:lang w:val="en-US" w:eastAsia="zh-CN" w:bidi="ar-SA"/>
        </w:rPr>
        <w:t>评标委员会</w:t>
      </w:r>
      <w:r>
        <w:rPr>
          <w:rFonts w:hint="eastAsia"/>
          <w:snapToGrid w:val="0"/>
        </w:rPr>
        <w:t>将对各投标文件进行书面的量化评定</w:t>
      </w:r>
      <w:r>
        <w:rPr>
          <w:rFonts w:hint="eastAsia" w:ascii="Arial" w:hAnsi="Arial" w:cs="Arial"/>
          <w:snapToGrid w:val="0"/>
          <w:szCs w:val="18"/>
        </w:rPr>
        <w:t>。</w:t>
      </w:r>
    </w:p>
    <w:p w14:paraId="6A1A1A41">
      <w:pPr>
        <w:spacing w:line="240" w:lineRule="auto"/>
        <w:rPr>
          <w:rFonts w:hint="eastAsia" w:eastAsiaTheme="minorEastAsia"/>
          <w:lang w:eastAsia="zh-CN"/>
        </w:rPr>
        <w:sectPr>
          <w:pgSz w:w="11906" w:h="16838"/>
          <w:pgMar w:top="1134" w:right="1134" w:bottom="1134" w:left="1418" w:header="851" w:footer="992" w:gutter="0"/>
          <w:cols w:space="720" w:num="1"/>
          <w:docGrid w:linePitch="462" w:charSpace="0"/>
        </w:sectPr>
      </w:pPr>
      <w:r>
        <w:rPr>
          <w:rFonts w:hint="eastAsia"/>
        </w:rPr>
        <w:t>5.客观评分项，所有评审专家应当统一打分分值；主观评分项，评审专家应当按照打分标准独立打分</w:t>
      </w:r>
      <w:r>
        <w:rPr>
          <w:rFonts w:hint="eastAsia"/>
          <w:lang w:eastAsia="zh-CN"/>
        </w:rPr>
        <w:t>。</w:t>
      </w:r>
    </w:p>
    <w:p w14:paraId="7C88F462">
      <w:pPr>
        <w:widowControl/>
        <w:numPr>
          <w:ilvl w:val="0"/>
          <w:numId w:val="2"/>
        </w:numPr>
        <w:ind w:left="0" w:leftChars="0" w:firstLine="640" w:firstLineChars="200"/>
        <w:jc w:val="center"/>
        <w:outlineLvl w:val="0"/>
        <w:rPr>
          <w:rFonts w:hint="eastAsia" w:asciiTheme="majorEastAsia" w:hAnsiTheme="majorEastAsia" w:eastAsiaTheme="majorEastAsia"/>
          <w:sz w:val="32"/>
          <w:szCs w:val="32"/>
          <w:lang w:val="en-US" w:eastAsia="zh-CN"/>
        </w:rPr>
      </w:pPr>
      <w:bookmarkStart w:id="5" w:name="_Toc12920"/>
      <w:r>
        <w:rPr>
          <w:rFonts w:hint="eastAsia" w:asciiTheme="majorEastAsia" w:hAnsiTheme="majorEastAsia" w:eastAsiaTheme="majorEastAsia"/>
          <w:sz w:val="32"/>
          <w:szCs w:val="32"/>
          <w:lang w:val="en-US" w:eastAsia="zh-CN"/>
        </w:rPr>
        <w:t>征集公告</w:t>
      </w:r>
      <w:bookmarkEnd w:id="5"/>
    </w:p>
    <w:p w14:paraId="37A5CB8D">
      <w:pPr>
        <w:pStyle w:val="3"/>
        <w:spacing w:before="0" w:after="0" w:line="240" w:lineRule="auto"/>
        <w:jc w:val="both"/>
        <w:outlineLvl w:val="9"/>
      </w:pPr>
    </w:p>
    <w:p w14:paraId="6E7EA3BB">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8"/>
        </w:rPr>
      </w:pPr>
      <w:bookmarkStart w:id="6" w:name="OLE_LINK1"/>
      <w:bookmarkStart w:id="7" w:name="OLE_LINK3"/>
      <w:r>
        <w:rPr>
          <w:rFonts w:hint="eastAsia" w:ascii="宋体" w:hAnsi="宋体"/>
          <w:szCs w:val="28"/>
        </w:rPr>
        <w:t>项目概况</w:t>
      </w:r>
    </w:p>
    <w:p w14:paraId="6AAB3004">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8"/>
        </w:rPr>
      </w:pPr>
      <w:r>
        <w:rPr>
          <w:rFonts w:hint="eastAsia" w:ascii="宋体" w:hAnsi="宋体"/>
          <w:szCs w:val="28"/>
          <w:u w:val="single"/>
          <w:lang w:val="en-US" w:eastAsia="zh-CN"/>
        </w:rPr>
        <w:t>医用全自动电子血压计</w:t>
      </w:r>
      <w:r>
        <w:rPr>
          <w:rFonts w:hint="eastAsia" w:ascii="宋体" w:hAnsi="宋体"/>
          <w:szCs w:val="28"/>
          <w:highlight w:val="none"/>
          <w:lang w:eastAsia="zh-CN"/>
        </w:rPr>
        <w:t>征集</w:t>
      </w:r>
      <w:r>
        <w:rPr>
          <w:rFonts w:hint="eastAsia" w:ascii="宋体" w:hAnsi="宋体"/>
          <w:szCs w:val="28"/>
          <w:highlight w:val="none"/>
        </w:rPr>
        <w:t>项目的潜在投标人应在</w:t>
      </w:r>
      <w:r>
        <w:rPr>
          <w:rFonts w:hint="eastAsia" w:ascii="宋体" w:hAnsi="宋体"/>
          <w:szCs w:val="28"/>
          <w:highlight w:val="none"/>
          <w:lang w:val="en-US" w:eastAsia="zh-CN"/>
        </w:rPr>
        <w:t>深圳市福田区第二人民医院</w:t>
      </w:r>
      <w:r>
        <w:rPr>
          <w:rFonts w:hint="eastAsia" w:ascii="宋体" w:hAnsi="宋体"/>
          <w:szCs w:val="28"/>
          <w:highlight w:val="none"/>
        </w:rPr>
        <w:t>获取</w:t>
      </w:r>
      <w:r>
        <w:rPr>
          <w:rFonts w:hint="eastAsia" w:ascii="宋体" w:hAnsi="宋体"/>
          <w:szCs w:val="28"/>
          <w:highlight w:val="none"/>
          <w:lang w:eastAsia="zh-CN"/>
        </w:rPr>
        <w:t>征集</w:t>
      </w:r>
      <w:r>
        <w:rPr>
          <w:rFonts w:hint="eastAsia" w:ascii="宋体" w:hAnsi="宋体"/>
          <w:szCs w:val="28"/>
          <w:highlight w:val="none"/>
        </w:rPr>
        <w:t>文件，并于</w:t>
      </w:r>
      <w:r>
        <w:rPr>
          <w:rFonts w:hint="eastAsia" w:ascii="宋体" w:hAnsi="宋体"/>
          <w:szCs w:val="28"/>
          <w:highlight w:val="none"/>
          <w:u w:val="single"/>
        </w:rPr>
        <w:t>202</w:t>
      </w:r>
      <w:r>
        <w:rPr>
          <w:rFonts w:hint="eastAsia" w:ascii="宋体" w:hAnsi="宋体"/>
          <w:szCs w:val="28"/>
          <w:highlight w:val="none"/>
          <w:u w:val="single"/>
          <w:lang w:val="en-US" w:eastAsia="zh-CN"/>
        </w:rPr>
        <w:t>6</w:t>
      </w:r>
      <w:r>
        <w:rPr>
          <w:rFonts w:hint="eastAsia" w:ascii="宋体" w:hAnsi="宋体"/>
          <w:bCs/>
          <w:szCs w:val="28"/>
          <w:highlight w:val="none"/>
          <w:u w:val="single"/>
        </w:rPr>
        <w:t>年</w:t>
      </w:r>
      <w:r>
        <w:rPr>
          <w:rFonts w:hint="eastAsia" w:ascii="宋体" w:hAnsi="宋体"/>
          <w:bCs/>
          <w:szCs w:val="28"/>
          <w:highlight w:val="none"/>
          <w:u w:val="single"/>
          <w:lang w:val="en-US" w:eastAsia="zh-CN"/>
        </w:rPr>
        <w:t>9</w:t>
      </w:r>
      <w:r>
        <w:rPr>
          <w:rFonts w:hint="eastAsia" w:ascii="宋体" w:hAnsi="宋体"/>
          <w:bCs/>
          <w:szCs w:val="28"/>
          <w:highlight w:val="none"/>
          <w:u w:val="single"/>
        </w:rPr>
        <w:t>月</w:t>
      </w:r>
      <w:r>
        <w:rPr>
          <w:rFonts w:hint="eastAsia" w:ascii="宋体" w:hAnsi="宋体"/>
          <w:bCs/>
          <w:szCs w:val="28"/>
          <w:highlight w:val="none"/>
          <w:u w:val="single"/>
          <w:lang w:val="en-US" w:eastAsia="zh-CN"/>
        </w:rPr>
        <w:t>16</w:t>
      </w:r>
      <w:r>
        <w:rPr>
          <w:rFonts w:hint="eastAsia" w:ascii="宋体" w:hAnsi="宋体"/>
          <w:bCs/>
          <w:szCs w:val="28"/>
          <w:highlight w:val="none"/>
          <w:u w:val="single"/>
        </w:rPr>
        <w:t>日</w:t>
      </w:r>
      <w:r>
        <w:rPr>
          <w:rFonts w:hint="eastAsia" w:ascii="宋体" w:hAnsi="宋体"/>
          <w:bCs/>
          <w:szCs w:val="28"/>
          <w:highlight w:val="none"/>
          <w:u w:val="single"/>
          <w:lang w:val="en-US" w:eastAsia="zh-CN"/>
        </w:rPr>
        <w:t>14</w:t>
      </w:r>
      <w:r>
        <w:rPr>
          <w:rFonts w:hint="eastAsia" w:ascii="宋体" w:hAnsi="宋体"/>
          <w:bCs/>
          <w:szCs w:val="28"/>
          <w:highlight w:val="none"/>
          <w:u w:val="single"/>
        </w:rPr>
        <w:t>点30分</w:t>
      </w:r>
      <w:r>
        <w:rPr>
          <w:rFonts w:hint="eastAsia" w:ascii="宋体" w:hAnsi="宋体"/>
          <w:bCs/>
          <w:szCs w:val="28"/>
          <w:highlight w:val="none"/>
          <w:u w:val="none"/>
        </w:rPr>
        <w:t>（</w:t>
      </w:r>
      <w:r>
        <w:rPr>
          <w:rFonts w:hint="eastAsia" w:ascii="宋体" w:hAnsi="宋体"/>
          <w:bCs/>
          <w:szCs w:val="28"/>
          <w:highlight w:val="none"/>
        </w:rPr>
        <w:t>北京时间）前递交投标</w:t>
      </w:r>
      <w:r>
        <w:rPr>
          <w:rFonts w:ascii="宋体" w:hAnsi="宋体"/>
          <w:bCs/>
          <w:szCs w:val="28"/>
          <w:highlight w:val="none"/>
        </w:rPr>
        <w:t>文件</w:t>
      </w:r>
      <w:r>
        <w:rPr>
          <w:rFonts w:hint="eastAsia" w:ascii="宋体" w:hAnsi="宋体"/>
          <w:szCs w:val="28"/>
          <w:highlight w:val="none"/>
        </w:rPr>
        <w:t>。</w:t>
      </w:r>
    </w:p>
    <w:p w14:paraId="75F49FC0">
      <w:pPr>
        <w:spacing w:line="360" w:lineRule="auto"/>
        <w:ind w:firstLine="420" w:firstLineChars="200"/>
        <w:rPr>
          <w:rFonts w:hint="eastAsia" w:ascii="宋体" w:hAnsi="宋体"/>
        </w:rPr>
      </w:pPr>
      <w:bookmarkStart w:id="8" w:name="OLE_LINK2"/>
    </w:p>
    <w:p w14:paraId="445E017D">
      <w:pPr>
        <w:spacing w:line="360" w:lineRule="auto"/>
        <w:ind w:firstLine="420" w:firstLineChars="200"/>
        <w:outlineLvl w:val="9"/>
        <w:rPr>
          <w:rFonts w:ascii="宋体" w:hAnsi="宋体"/>
          <w:b/>
        </w:rPr>
      </w:pPr>
      <w:r>
        <w:rPr>
          <w:rFonts w:hint="eastAsia" w:ascii="宋体" w:hAnsi="宋体"/>
        </w:rPr>
        <w:t>一、项目基本情况</w:t>
      </w:r>
    </w:p>
    <w:p w14:paraId="656BF1CC">
      <w:pPr>
        <w:spacing w:line="360" w:lineRule="auto"/>
        <w:ind w:firstLine="420" w:firstLineChars="200"/>
        <w:rPr>
          <w:rFonts w:hint="default" w:ascii="宋体" w:hAnsi="宋体" w:eastAsiaTheme="minorEastAsia"/>
          <w:lang w:val="en-US" w:eastAsia="zh-CN"/>
        </w:rPr>
      </w:pPr>
      <w:r>
        <w:rPr>
          <w:rFonts w:hint="eastAsia" w:ascii="宋体" w:hAnsi="宋体"/>
        </w:rPr>
        <w:t>项目编号：</w:t>
      </w:r>
      <w:r>
        <w:rPr>
          <w:rFonts w:hint="eastAsia" w:ascii="宋体" w:hAnsi="宋体"/>
          <w:lang w:val="en-US" w:eastAsia="zh-CN"/>
        </w:rPr>
        <w:t>FTEY-202601-QX001</w:t>
      </w:r>
    </w:p>
    <w:p w14:paraId="792813B2">
      <w:pPr>
        <w:spacing w:line="360" w:lineRule="auto"/>
        <w:ind w:firstLine="420" w:firstLineChars="200"/>
        <w:rPr>
          <w:rFonts w:hint="default" w:ascii="宋体" w:hAnsi="宋体" w:eastAsiaTheme="minorEastAsia"/>
          <w:lang w:val="en-US" w:eastAsia="zh-CN"/>
        </w:rPr>
      </w:pPr>
      <w:r>
        <w:rPr>
          <w:rFonts w:hint="eastAsia" w:ascii="宋体" w:hAnsi="宋体"/>
        </w:rPr>
        <w:t>项目名称：</w:t>
      </w:r>
      <w:r>
        <w:rPr>
          <w:rFonts w:hint="eastAsia" w:ascii="宋体" w:hAnsi="宋体"/>
          <w:lang w:val="en-US" w:eastAsia="zh-CN"/>
        </w:rPr>
        <w:t>医用全自动电子血压计</w:t>
      </w:r>
    </w:p>
    <w:p w14:paraId="118885C8">
      <w:pPr>
        <w:spacing w:line="360" w:lineRule="auto"/>
        <w:ind w:firstLine="420" w:firstLineChars="200"/>
        <w:rPr>
          <w:rFonts w:hint="eastAsia" w:ascii="宋体" w:hAnsi="宋体"/>
          <w:szCs w:val="21"/>
        </w:rPr>
      </w:pPr>
      <w:r>
        <w:rPr>
          <w:rFonts w:hint="eastAsia" w:ascii="宋体" w:hAnsi="宋体"/>
        </w:rPr>
        <w:t>预算金额：人民币肆万捌仟元整（¥</w:t>
      </w:r>
      <w:r>
        <w:rPr>
          <w:rFonts w:hint="eastAsia" w:ascii="宋体" w:hAnsi="宋体"/>
          <w:lang w:val="en-US" w:eastAsia="zh-CN"/>
        </w:rPr>
        <w:t>48000</w:t>
      </w:r>
      <w:r>
        <w:rPr>
          <w:rFonts w:hint="eastAsia" w:ascii="宋体" w:hAnsi="宋体"/>
        </w:rPr>
        <w:t>.00元）</w:t>
      </w:r>
    </w:p>
    <w:p w14:paraId="11B5D75C">
      <w:pPr>
        <w:spacing w:line="360" w:lineRule="auto"/>
        <w:ind w:firstLine="420" w:firstLineChars="200"/>
        <w:rPr>
          <w:rFonts w:hint="default" w:ascii="宋体" w:hAnsi="宋体" w:eastAsiaTheme="minorEastAsia"/>
          <w:szCs w:val="21"/>
          <w:lang w:val="en-US" w:eastAsia="zh-CN"/>
        </w:rPr>
      </w:pPr>
      <w:r>
        <w:rPr>
          <w:rFonts w:hint="eastAsia" w:ascii="宋体" w:hAnsi="宋体"/>
          <w:szCs w:val="21"/>
          <w:lang w:val="en-US" w:eastAsia="zh-CN"/>
        </w:rPr>
        <w:t>采购方式：公开征集</w:t>
      </w:r>
    </w:p>
    <w:p w14:paraId="3D8115B5">
      <w:pPr>
        <w:spacing w:line="360" w:lineRule="auto"/>
        <w:ind w:firstLine="420" w:firstLineChars="200"/>
        <w:rPr>
          <w:rFonts w:ascii="宋体" w:hAnsi="宋体"/>
          <w:u w:val="single"/>
        </w:rPr>
      </w:pPr>
      <w:r>
        <w:rPr>
          <w:rFonts w:hint="eastAsia" w:ascii="宋体" w:hAnsi="宋体"/>
        </w:rPr>
        <w:t>采购需求：详见</w:t>
      </w:r>
      <w:r>
        <w:rPr>
          <w:rFonts w:hint="eastAsia" w:ascii="宋体" w:hAnsi="宋体"/>
          <w:lang w:eastAsia="zh-CN"/>
        </w:rPr>
        <w:t>征集</w:t>
      </w:r>
      <w:r>
        <w:rPr>
          <w:rFonts w:hint="eastAsia" w:ascii="宋体" w:hAnsi="宋体"/>
        </w:rPr>
        <w:t>文件</w:t>
      </w:r>
    </w:p>
    <w:p w14:paraId="1C2AA89B">
      <w:pPr>
        <w:spacing w:line="360" w:lineRule="auto"/>
        <w:ind w:firstLine="420" w:firstLineChars="200"/>
        <w:rPr>
          <w:rFonts w:ascii="宋体" w:hAnsi="宋体"/>
          <w:u w:val="single"/>
        </w:rPr>
      </w:pPr>
      <w:r>
        <w:rPr>
          <w:rFonts w:hint="eastAsia" w:ascii="宋体" w:hAnsi="宋体"/>
        </w:rPr>
        <w:t>合同履行期限：详见</w:t>
      </w:r>
      <w:r>
        <w:rPr>
          <w:rFonts w:hint="eastAsia" w:ascii="宋体" w:hAnsi="宋体"/>
          <w:lang w:eastAsia="zh-CN"/>
        </w:rPr>
        <w:t>征集</w:t>
      </w:r>
      <w:r>
        <w:rPr>
          <w:rFonts w:hint="eastAsia" w:ascii="宋体" w:hAnsi="宋体"/>
        </w:rPr>
        <w:t>文件</w:t>
      </w:r>
    </w:p>
    <w:p w14:paraId="22B32CBD">
      <w:pPr>
        <w:spacing w:line="360" w:lineRule="auto"/>
        <w:ind w:firstLine="420" w:firstLineChars="200"/>
        <w:rPr>
          <w:rFonts w:hint="eastAsia" w:ascii="宋体" w:hAnsi="宋体"/>
        </w:rPr>
      </w:pPr>
      <w:r>
        <w:rPr>
          <w:rFonts w:hint="eastAsia" w:ascii="宋体" w:hAnsi="宋体"/>
        </w:rPr>
        <w:t>本项目不接受联合体投标。</w:t>
      </w:r>
    </w:p>
    <w:p w14:paraId="25206CE6">
      <w:pPr>
        <w:spacing w:line="360" w:lineRule="auto"/>
        <w:ind w:firstLine="420" w:firstLineChars="200"/>
        <w:rPr>
          <w:rFonts w:hint="eastAsia" w:ascii="宋体" w:hAnsi="宋体"/>
        </w:rPr>
      </w:pPr>
    </w:p>
    <w:p w14:paraId="1FCF967D">
      <w:pPr>
        <w:spacing w:line="360" w:lineRule="auto"/>
        <w:ind w:firstLine="420" w:firstLineChars="200"/>
        <w:outlineLvl w:val="9"/>
        <w:rPr>
          <w:rFonts w:ascii="宋体" w:hAnsi="宋体"/>
          <w:b/>
        </w:rPr>
      </w:pPr>
      <w:r>
        <w:rPr>
          <w:rFonts w:hint="eastAsia" w:ascii="宋体" w:hAnsi="宋体"/>
        </w:rPr>
        <w:t>二、申请人的资格要求：</w:t>
      </w:r>
    </w:p>
    <w:p w14:paraId="79CCFECA">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outlineLvl w:val="9"/>
        <w:rPr>
          <w:rFonts w:hint="eastAsia" w:ascii="宋体" w:hAnsi="宋体" w:eastAsiaTheme="minorEastAsia" w:cstheme="minorBidi"/>
          <w:kern w:val="2"/>
          <w:sz w:val="21"/>
          <w:szCs w:val="24"/>
          <w:lang w:val="en-US" w:eastAsia="zh-CN" w:bidi="ar-SA"/>
        </w:rPr>
      </w:pPr>
      <w:bookmarkStart w:id="9" w:name="_Toc27076"/>
      <w:r>
        <w:rPr>
          <w:rFonts w:hint="eastAsia" w:ascii="宋体" w:hAnsi="宋体" w:eastAsiaTheme="minorEastAsia" w:cstheme="minorBidi"/>
          <w:kern w:val="2"/>
          <w:sz w:val="21"/>
          <w:szCs w:val="24"/>
          <w:lang w:val="en-US" w:eastAsia="zh-CN" w:bidi="ar-SA"/>
        </w:rPr>
        <w:t>1、满足《中华人民共和国政府采购法》第二十二条规定（由供应商在《投标人资格声明函及履约承诺函》中作出声明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投标文件（编制参考模板）的第十三和第二十二）；</w:t>
      </w:r>
      <w:bookmarkEnd w:id="9"/>
    </w:p>
    <w:p w14:paraId="4857933A">
      <w:pPr>
        <w:spacing w:line="360" w:lineRule="auto"/>
        <w:ind w:firstLine="420" w:firstLineChars="200"/>
        <w:rPr>
          <w:rFonts w:hint="eastAsia" w:ascii="宋体" w:hAnsi="宋体"/>
          <w:lang w:eastAsia="zh-CN"/>
        </w:rPr>
      </w:pPr>
      <w:r>
        <w:rPr>
          <w:rFonts w:hint="eastAsia" w:ascii="宋体" w:hAnsi="宋体"/>
        </w:rPr>
        <w:t>2、具有独立法人资格或是具有独立承担民事责任能力的其它组织（提供营业执照或事业单位法人证书等证明资料扫描件，原件备查）。如参与投标的供应商为分公司，则须提供分公司营业执照、其所属总公司营业执照及其出具的授权函或承诺书，但只接受直接授权，不接受逐级授权。不接受同一总公司授权两家或以上分公司同时参与本项目投标，也不接受总公司与分公司同时参与本项目投标，如出现上述情形，以上供应商的投标文件均按无效投标处理；</w:t>
      </w:r>
    </w:p>
    <w:p w14:paraId="4D702BE4">
      <w:pPr>
        <w:spacing w:line="360" w:lineRule="auto"/>
        <w:ind w:firstLine="420" w:firstLineChars="200"/>
        <w:rPr>
          <w:rFonts w:hint="eastAsia" w:ascii="宋体" w:hAnsi="宋体"/>
        </w:rPr>
      </w:pPr>
      <w:r>
        <w:rPr>
          <w:rFonts w:hint="eastAsia" w:ascii="宋体" w:hAnsi="宋体"/>
          <w:lang w:val="en-US" w:eastAsia="zh-CN"/>
        </w:rPr>
        <w:t>3、</w:t>
      </w:r>
      <w:r>
        <w:rPr>
          <w:rFonts w:hint="eastAsia" w:ascii="宋体" w:hAnsi="宋体"/>
        </w:rPr>
        <w:t>投标人的医疗器械生产/经营资格：</w:t>
      </w:r>
    </w:p>
    <w:p w14:paraId="6C85CA31">
      <w:pPr>
        <w:pStyle w:val="53"/>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①如投标人为所投产品的</w:t>
      </w:r>
      <w:r>
        <w:rPr>
          <w:rFonts w:hint="eastAsia" w:ascii="宋体" w:hAnsi="宋体" w:eastAsiaTheme="minorEastAsia" w:cstheme="minorBidi"/>
          <w:b/>
          <w:bCs/>
          <w:kern w:val="2"/>
          <w:sz w:val="21"/>
          <w:szCs w:val="24"/>
          <w:lang w:val="en-US" w:eastAsia="zh-CN" w:bidi="ar-SA"/>
        </w:rPr>
        <w:t>生产企业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第一类医疗器械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的，投标人须提供监督管理部门签发的涵盖所投医疗器械的有效《医疗器械生产备案凭证》（提供复印件加盖公章，原件备查）；</w:t>
      </w:r>
    </w:p>
    <w:p w14:paraId="67FBFCF6">
      <w:pPr>
        <w:pStyle w:val="53"/>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②如投标人为所投产品的</w:t>
      </w:r>
      <w:r>
        <w:rPr>
          <w:rFonts w:hint="eastAsia" w:ascii="宋体" w:hAnsi="宋体" w:eastAsiaTheme="minorEastAsia" w:cstheme="minorBidi"/>
          <w:b/>
          <w:bCs/>
          <w:kern w:val="2"/>
          <w:sz w:val="21"/>
          <w:szCs w:val="24"/>
          <w:lang w:val="en-US" w:eastAsia="zh-CN" w:bidi="ar-SA"/>
        </w:rPr>
        <w:t>生产企业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第二、三类医疗器械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的，投标人须提供监督管理部门签发的涵盖所投医疗器械的有效《医疗器械生产许可证》（提供复印件加盖公章，原件备查）；</w:t>
      </w:r>
    </w:p>
    <w:p w14:paraId="0F7ADFDD">
      <w:pPr>
        <w:pStyle w:val="53"/>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③如投标人为所投产品的</w:t>
      </w:r>
      <w:r>
        <w:rPr>
          <w:rFonts w:hint="eastAsia" w:ascii="宋体" w:hAnsi="宋体" w:eastAsiaTheme="minorEastAsia" w:cstheme="minorBidi"/>
          <w:b/>
          <w:bCs/>
          <w:kern w:val="2"/>
          <w:sz w:val="21"/>
          <w:szCs w:val="24"/>
          <w:lang w:val="en-US" w:eastAsia="zh-CN" w:bidi="ar-SA"/>
        </w:rPr>
        <w:t>经营企业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第二类医疗器械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的，投标人须提供监督管理部门签发的涵盖所投医疗器械的有效《医疗器械经营备案凭证》（提供复印件加盖公章，原件备查）；</w:t>
      </w:r>
    </w:p>
    <w:p w14:paraId="1A37BA1C">
      <w:pPr>
        <w:pStyle w:val="53"/>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④如投标人为所投产品的</w:t>
      </w:r>
      <w:r>
        <w:rPr>
          <w:rFonts w:hint="eastAsia" w:ascii="宋体" w:hAnsi="宋体" w:eastAsiaTheme="minorEastAsia" w:cstheme="minorBidi"/>
          <w:b/>
          <w:bCs/>
          <w:kern w:val="2"/>
          <w:sz w:val="21"/>
          <w:szCs w:val="24"/>
          <w:lang w:val="en-US" w:eastAsia="zh-CN" w:bidi="ar-SA"/>
        </w:rPr>
        <w:t>经营企业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第三类医疗器械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的，投标人须提供监督管理部门签发的涵盖所投医疗器械的有效《医疗器械经营许可证》（提供复印件加盖公章，原件备查）；</w:t>
      </w:r>
    </w:p>
    <w:p w14:paraId="672C9B98">
      <w:pPr>
        <w:pStyle w:val="53"/>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⑤如投标人所投产品不属于第一、二、三类医疗器械的，投标人无需提供医疗器械生产/经营资格相关证明材料，但需提供投标人关于所投产品不属于医疗器械的相关说明（加盖投标人公章）。</w:t>
      </w:r>
    </w:p>
    <w:p w14:paraId="62B7FE0C">
      <w:pPr>
        <w:spacing w:line="360" w:lineRule="auto"/>
        <w:ind w:firstLine="420" w:firstLineChars="200"/>
        <w:rPr>
          <w:rFonts w:ascii="宋体" w:hAnsi="宋体"/>
        </w:rPr>
      </w:pPr>
      <w:r>
        <w:rPr>
          <w:rFonts w:hint="eastAsia" w:ascii="宋体" w:hAnsi="宋体"/>
          <w:lang w:val="en-US" w:eastAsia="zh-CN"/>
        </w:rPr>
        <w:t>4</w:t>
      </w:r>
      <w:r>
        <w:rPr>
          <w:rFonts w:hint="eastAsia" w:ascii="宋体" w:hAnsi="宋体"/>
        </w:rPr>
        <w:t>、本项目</w:t>
      </w:r>
      <w:r>
        <w:rPr>
          <w:rFonts w:hint="eastAsia" w:ascii="宋体" w:hAnsi="宋体"/>
          <w:b/>
          <w:lang w:val="en-US" w:eastAsia="zh-CN"/>
        </w:rPr>
        <w:t>不</w:t>
      </w:r>
      <w:r>
        <w:rPr>
          <w:rFonts w:hint="eastAsia" w:ascii="宋体" w:hAnsi="宋体"/>
          <w:b/>
        </w:rPr>
        <w:t>接受</w:t>
      </w:r>
      <w:r>
        <w:rPr>
          <w:rFonts w:hint="eastAsia" w:ascii="宋体" w:hAnsi="宋体"/>
        </w:rPr>
        <w:t>供应商选用进口产品参与投标（进口产品是指通过中国海关报关验收进入中国境内且产自境外的产品）；</w:t>
      </w:r>
    </w:p>
    <w:p w14:paraId="4799F45E">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outlineLvl w:val="9"/>
        <w:rPr>
          <w:rFonts w:ascii="宋体" w:hAnsi="宋体"/>
        </w:rPr>
      </w:pPr>
      <w:bookmarkStart w:id="10" w:name="_Toc27695"/>
      <w:r>
        <w:rPr>
          <w:rFonts w:hint="eastAsia" w:ascii="宋体" w:hAnsi="宋体"/>
          <w:lang w:val="en-US" w:eastAsia="zh-CN"/>
        </w:rPr>
        <w:t>5</w:t>
      </w:r>
      <w:r>
        <w:rPr>
          <w:rFonts w:hint="eastAsia" w:ascii="宋体" w:hAnsi="宋体"/>
        </w:rPr>
        <w:t>、参与本项目投标前三年内，在经营活动中没有重大违法记录</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投标文件（编制参考模板）的第十三和第二十二）；</w:t>
      </w:r>
      <w:bookmarkEnd w:id="10"/>
    </w:p>
    <w:p w14:paraId="7875783B">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6</w:t>
      </w:r>
      <w:r>
        <w:rPr>
          <w:rFonts w:hint="eastAsia" w:ascii="宋体" w:hAnsi="宋体"/>
        </w:rPr>
        <w:t>、参与本项目政府采购活动时不存在被有关部门禁止参与政府采购活动且在有效期内的情况</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投标文件（编制参考模板）的第十三和第二十二）；</w:t>
      </w:r>
    </w:p>
    <w:p w14:paraId="5396B01A">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7</w:t>
      </w:r>
      <w:r>
        <w:rPr>
          <w:rFonts w:hint="eastAsia" w:ascii="宋体" w:hAnsi="宋体"/>
        </w:rPr>
        <w:t>、供应商未被列入失信被执行人、重大税收违法案件当事人名单、政府采购严重违法失信行为记录名单，不存在《深圳市财政局政府采购供应商信用信息管理办法》（深财规〔2023〕3 号）列明的严重违法失信行为</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投标文件（编制参考模板）的第十三和第二十二）；</w:t>
      </w:r>
    </w:p>
    <w:p w14:paraId="763DD6D8">
      <w:pPr>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、本项目不接受联合体投标，不允许分包、转包。</w:t>
      </w:r>
    </w:p>
    <w:p w14:paraId="47C6FE71">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9</w:t>
      </w:r>
      <w:r>
        <w:rPr>
          <w:rFonts w:hint="eastAsia" w:ascii="宋体" w:hAnsi="宋体"/>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投标文件（编制参考模板）的第十三和第二十二）；</w:t>
      </w:r>
    </w:p>
    <w:p w14:paraId="5E1264F4">
      <w:pPr>
        <w:spacing w:line="360" w:lineRule="auto"/>
        <w:ind w:firstLine="420" w:firstLineChars="200"/>
        <w:rPr>
          <w:rFonts w:ascii="宋体" w:hAnsi="宋体"/>
        </w:rPr>
      </w:pPr>
      <w:r>
        <w:rPr>
          <w:rFonts w:hint="eastAsia" w:ascii="宋体" w:hAnsi="宋体"/>
          <w:lang w:val="en-US" w:eastAsia="zh-CN"/>
        </w:rPr>
        <w:t>10</w:t>
      </w:r>
      <w:r>
        <w:rPr>
          <w:rFonts w:hint="eastAsia" w:ascii="宋体" w:hAnsi="宋体"/>
        </w:rPr>
        <w:t>、本项目是（否）专门面向中小企业采购：否。</w:t>
      </w:r>
    </w:p>
    <w:p w14:paraId="066F3206">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rPr>
        <w:t>1</w:t>
      </w:r>
      <w:r>
        <w:rPr>
          <w:rFonts w:hint="eastAsia" w:ascii="宋体" w:hAnsi="宋体"/>
          <w:lang w:val="en-US" w:eastAsia="zh-CN"/>
        </w:rPr>
        <w:t>1</w:t>
      </w:r>
      <w:r>
        <w:rPr>
          <w:rFonts w:hint="eastAsia" w:ascii="宋体" w:hAnsi="宋体"/>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投标文件（编制参考模板）的第十三和第二十二）；</w:t>
      </w:r>
    </w:p>
    <w:p w14:paraId="02B7BA36">
      <w:pPr>
        <w:spacing w:line="360" w:lineRule="auto"/>
        <w:ind w:firstLine="420" w:firstLineChars="200"/>
        <w:rPr>
          <w:rFonts w:ascii="宋体" w:hAnsi="宋体"/>
        </w:rPr>
      </w:pPr>
      <w:r>
        <w:rPr>
          <w:rFonts w:hint="eastAsia" w:ascii="宋体" w:hAnsi="宋体"/>
        </w:rPr>
        <w:t>注：（1）“信用中国”（www.creditchina.gov.cn）、“中国政府采购网”（www.ccgp.gov.cn）、“深圳市政府采购监管网”（http://zfcg.sz.gov.cn）以及市、区财政部门认定的其他渠道为供应商信用信息的查询渠道，相关信息以</w:t>
      </w:r>
      <w:r>
        <w:rPr>
          <w:rFonts w:hint="eastAsia" w:ascii="宋体" w:hAnsi="宋体"/>
          <w:lang w:val="en-US" w:eastAsia="zh-CN"/>
        </w:rPr>
        <w:t>采购人</w:t>
      </w:r>
      <w:r>
        <w:rPr>
          <w:rFonts w:hint="eastAsia" w:ascii="宋体" w:hAnsi="宋体"/>
        </w:rPr>
        <w:t>开标当日的查询结果为准。</w:t>
      </w:r>
    </w:p>
    <w:p w14:paraId="54EF219F">
      <w:pPr>
        <w:numPr>
          <w:ilvl w:val="0"/>
          <w:numId w:val="3"/>
        </w:numPr>
        <w:spacing w:line="360" w:lineRule="auto"/>
        <w:ind w:firstLine="420" w:firstLineChars="200"/>
        <w:rPr>
          <w:rFonts w:hint="eastAsia" w:ascii="宋体" w:hAnsi="宋体"/>
        </w:rPr>
      </w:pPr>
      <w:r>
        <w:rPr>
          <w:rFonts w:hint="eastAsia" w:ascii="宋体" w:hAnsi="宋体"/>
        </w:rPr>
        <w:t>供应商之间单位负责人是否为同一人或者是否存在直接控股、管理关系，以国家企业信用信息公示系统（https://www.gsxt.gov.cn/index.html）、机关赋码和事业单位登记管理网（http://www.gjsy.gov.cn/sydwfrxxcx/）、全国社会组织信用信息公示平台（https://xxgs.chinanpo.mca.gov.cn/gsxt/newList）等网站的查询结果为准。</w:t>
      </w:r>
    </w:p>
    <w:p w14:paraId="0D24330A">
      <w:pPr>
        <w:spacing w:line="360" w:lineRule="auto"/>
        <w:ind w:firstLine="420" w:firstLineChars="200"/>
        <w:rPr>
          <w:rFonts w:hint="eastAsia" w:ascii="宋体" w:hAnsi="宋体"/>
          <w:lang w:val="en-US" w:eastAsia="zh-CN"/>
        </w:rPr>
      </w:pPr>
    </w:p>
    <w:p w14:paraId="2E0B1E6D">
      <w:pPr>
        <w:spacing w:line="360" w:lineRule="auto"/>
        <w:ind w:firstLine="420" w:firstLineChars="200"/>
        <w:outlineLvl w:val="9"/>
        <w:rPr>
          <w:rFonts w:hint="default" w:ascii="宋体" w:hAnsi="宋体" w:eastAsiaTheme="minorEastAsia"/>
          <w:b/>
          <w:highlight w:val="none"/>
          <w:lang w:val="en-US" w:eastAsia="zh-CN"/>
        </w:rPr>
      </w:pPr>
      <w:r>
        <w:rPr>
          <w:rFonts w:hint="eastAsia" w:ascii="宋体" w:hAnsi="宋体"/>
          <w:highlight w:val="none"/>
          <w:lang w:val="en-US" w:eastAsia="zh-CN"/>
        </w:rPr>
        <w:t>三</w:t>
      </w:r>
      <w:r>
        <w:rPr>
          <w:rFonts w:hint="eastAsia" w:ascii="宋体" w:hAnsi="宋体"/>
          <w:highlight w:val="none"/>
        </w:rPr>
        <w:t>、</w:t>
      </w:r>
      <w:r>
        <w:rPr>
          <w:rFonts w:hint="eastAsia" w:ascii="宋体" w:hAnsi="宋体"/>
          <w:highlight w:val="none"/>
          <w:lang w:val="en-US" w:eastAsia="zh-CN"/>
        </w:rPr>
        <w:t>相关招投标时间及地点信息</w:t>
      </w:r>
    </w:p>
    <w:p w14:paraId="6F0FAEE1">
      <w:pPr>
        <w:numPr>
          <w:ilvl w:val="0"/>
          <w:numId w:val="0"/>
        </w:numPr>
        <w:spacing w:line="360" w:lineRule="auto"/>
        <w:ind w:firstLine="420" w:firstLineChars="200"/>
        <w:outlineLvl w:val="9"/>
        <w:rPr>
          <w:rFonts w:hint="eastAsia" w:ascii="宋体" w:hAnsi="宋体" w:eastAsiaTheme="minorEastAsia" w:cstheme="minorBidi"/>
          <w:bCs/>
          <w:kern w:val="2"/>
          <w:sz w:val="21"/>
          <w:szCs w:val="24"/>
          <w:highlight w:val="none"/>
          <w:lang w:val="en-US" w:eastAsia="zh-CN" w:bidi="ar-SA"/>
        </w:rPr>
      </w:pPr>
      <w:r>
        <w:rPr>
          <w:rFonts w:hint="eastAsia" w:ascii="宋体" w:hAnsi="宋体" w:eastAsiaTheme="minorEastAsia" w:cstheme="minorBidi"/>
          <w:bCs/>
          <w:kern w:val="2"/>
          <w:sz w:val="21"/>
          <w:szCs w:val="24"/>
          <w:highlight w:val="none"/>
          <w:lang w:val="en-US" w:eastAsia="zh-CN" w:bidi="ar-SA"/>
        </w:rPr>
        <w:t>1、</w:t>
      </w:r>
      <w:r>
        <w:rPr>
          <w:rFonts w:hint="eastAsia" w:ascii="宋体" w:hAnsi="宋体" w:eastAsia="宋体" w:cs="宋体"/>
          <w:i w:val="0"/>
          <w:iCs w:val="0"/>
          <w:caps w:val="0"/>
          <w:strike w:val="0"/>
          <w:dstrike w:val="0"/>
          <w:color w:val="000000" w:themeColor="text1"/>
          <w:spacing w:val="0"/>
          <w:kern w:val="0"/>
          <w:sz w:val="21"/>
          <w:szCs w:val="21"/>
          <w:highlight w:val="none"/>
          <w:shd w:val="clear" w:fill="FFFFFF"/>
          <w:lang w:val="en-US" w:eastAsia="zh-CN" w:bidi="ar"/>
          <w14:textFill>
            <w14:solidFill>
              <w14:schemeClr w14:val="tx1"/>
            </w14:solidFill>
          </w14:textFill>
        </w:rPr>
        <w:t>报名时间：2026年9月3日8时00分至2026年9月9日17时00分止</w:t>
      </w:r>
    </w:p>
    <w:p w14:paraId="1A0158DA">
      <w:pPr>
        <w:spacing w:line="360" w:lineRule="auto"/>
        <w:ind w:firstLine="420" w:firstLineChars="200"/>
        <w:rPr>
          <w:rFonts w:ascii="宋体" w:hAnsi="宋体"/>
          <w:bCs/>
          <w:highlight w:val="none"/>
        </w:rPr>
      </w:pPr>
      <w:r>
        <w:rPr>
          <w:rFonts w:hint="eastAsia" w:ascii="宋体" w:hAnsi="宋体"/>
          <w:bCs/>
          <w:highlight w:val="none"/>
          <w:lang w:val="en-US" w:eastAsia="zh-CN"/>
        </w:rPr>
        <w:t>2</w:t>
      </w:r>
      <w:r>
        <w:rPr>
          <w:rFonts w:hint="eastAsia" w:ascii="宋体" w:hAnsi="宋体"/>
          <w:bCs/>
          <w:highlight w:val="none"/>
        </w:rPr>
        <w:t>、投标文件递交时间：</w:t>
      </w:r>
      <w:r>
        <w:rPr>
          <w:rFonts w:hint="eastAsia" w:ascii="宋体" w:hAnsi="宋体"/>
          <w:highlight w:val="none"/>
        </w:rPr>
        <w:t>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9</w:t>
      </w:r>
      <w:r>
        <w:rPr>
          <w:rFonts w:hint="eastAsia" w:ascii="宋体" w:hAnsi="宋体"/>
          <w:highlight w:val="none"/>
        </w:rPr>
        <w:t>月</w:t>
      </w:r>
      <w:r>
        <w:rPr>
          <w:rFonts w:hint="eastAsia" w:ascii="宋体" w:hAnsi="宋体"/>
          <w:highlight w:val="none"/>
          <w:lang w:val="en-US" w:eastAsia="zh-CN"/>
        </w:rPr>
        <w:t>16</w:t>
      </w:r>
      <w:r>
        <w:rPr>
          <w:rFonts w:hint="eastAsia" w:ascii="宋体" w:hAnsi="宋体"/>
          <w:highlight w:val="none"/>
        </w:rPr>
        <w:t>日</w:t>
      </w:r>
      <w:r>
        <w:rPr>
          <w:rFonts w:hint="eastAsia" w:ascii="宋体" w:hAnsi="宋体"/>
          <w:highlight w:val="none"/>
          <w:lang w:val="en-US" w:eastAsia="zh-CN"/>
        </w:rPr>
        <w:t>14</w:t>
      </w:r>
      <w:r>
        <w:rPr>
          <w:rFonts w:hint="eastAsia" w:ascii="宋体" w:hAnsi="宋体"/>
          <w:bCs/>
          <w:highlight w:val="none"/>
        </w:rPr>
        <w:t>:00至</w:t>
      </w:r>
      <w:r>
        <w:rPr>
          <w:rFonts w:hint="eastAsia" w:ascii="宋体" w:hAnsi="宋体"/>
          <w:bCs/>
          <w:highlight w:val="none"/>
          <w:lang w:val="en-US" w:eastAsia="zh-CN"/>
        </w:rPr>
        <w:t>14</w:t>
      </w:r>
      <w:r>
        <w:rPr>
          <w:rFonts w:hint="eastAsia" w:ascii="宋体" w:hAnsi="宋体"/>
          <w:bCs/>
          <w:highlight w:val="none"/>
        </w:rPr>
        <w:t>:30（北京时间）</w:t>
      </w:r>
    </w:p>
    <w:p w14:paraId="1157F1DE">
      <w:pPr>
        <w:spacing w:line="360" w:lineRule="auto"/>
        <w:ind w:firstLine="420" w:firstLineChars="200"/>
        <w:rPr>
          <w:rFonts w:hint="default" w:ascii="宋体" w:hAnsi="宋体"/>
          <w:bCs/>
          <w:highlight w:val="none"/>
          <w:lang w:val="en-US"/>
        </w:rPr>
      </w:pPr>
      <w:r>
        <w:rPr>
          <w:rFonts w:hint="eastAsia" w:ascii="宋体" w:hAnsi="宋体"/>
          <w:bCs/>
          <w:highlight w:val="none"/>
          <w:lang w:val="en-US" w:eastAsia="zh-CN"/>
        </w:rPr>
        <w:t>3</w:t>
      </w:r>
      <w:r>
        <w:rPr>
          <w:rFonts w:hint="eastAsia" w:ascii="宋体" w:hAnsi="宋体"/>
          <w:bCs/>
          <w:highlight w:val="none"/>
        </w:rPr>
        <w:t>、投标文件递交地点：</w:t>
      </w:r>
      <w:r>
        <w:rPr>
          <w:rFonts w:hint="eastAsia" w:ascii="宋体"/>
          <w:bCs/>
          <w:color w:val="auto"/>
          <w:szCs w:val="20"/>
          <w:highlight w:val="none"/>
          <w:lang w:val="en-US" w:eastAsia="zh-CN"/>
        </w:rPr>
        <w:t>深圳市福田区梅林路上梅林社区健康服务中心116室（9号线梅村地铁站C2口）</w:t>
      </w:r>
    </w:p>
    <w:p w14:paraId="74CAA61F">
      <w:pPr>
        <w:spacing w:line="360" w:lineRule="auto"/>
        <w:ind w:firstLine="420" w:firstLineChars="200"/>
        <w:rPr>
          <w:rFonts w:ascii="宋体" w:hAnsi="宋体"/>
          <w:bCs/>
          <w:highlight w:val="none"/>
        </w:rPr>
      </w:pPr>
      <w:r>
        <w:rPr>
          <w:rFonts w:hint="eastAsia" w:ascii="宋体" w:hAnsi="宋体"/>
          <w:bCs/>
          <w:highlight w:val="none"/>
          <w:lang w:val="en-US" w:eastAsia="zh-CN"/>
        </w:rPr>
        <w:t>4</w:t>
      </w:r>
      <w:r>
        <w:rPr>
          <w:rFonts w:hint="eastAsia" w:ascii="宋体" w:hAnsi="宋体"/>
          <w:bCs/>
          <w:highlight w:val="none"/>
        </w:rPr>
        <w:t>、递交投标文件截止时间：</w:t>
      </w:r>
      <w:r>
        <w:rPr>
          <w:rFonts w:hint="eastAsia" w:ascii="宋体" w:hAnsi="宋体"/>
          <w:highlight w:val="none"/>
        </w:rPr>
        <w:t>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9</w:t>
      </w:r>
      <w:r>
        <w:rPr>
          <w:rFonts w:hint="eastAsia" w:ascii="宋体" w:hAnsi="宋体"/>
          <w:highlight w:val="none"/>
        </w:rPr>
        <w:t>月</w:t>
      </w:r>
      <w:r>
        <w:rPr>
          <w:rFonts w:hint="eastAsia" w:ascii="宋体" w:hAnsi="宋体"/>
          <w:highlight w:val="none"/>
          <w:lang w:val="en-US" w:eastAsia="zh-CN"/>
        </w:rPr>
        <w:t>16</w:t>
      </w:r>
      <w:r>
        <w:rPr>
          <w:rFonts w:hint="eastAsia" w:ascii="宋体" w:hAnsi="宋体"/>
          <w:highlight w:val="none"/>
        </w:rPr>
        <w:t>日</w:t>
      </w:r>
      <w:r>
        <w:rPr>
          <w:rFonts w:hint="eastAsia" w:ascii="宋体" w:hAnsi="宋体"/>
          <w:highlight w:val="none"/>
          <w:lang w:val="en-US" w:eastAsia="zh-CN"/>
        </w:rPr>
        <w:t>14</w:t>
      </w:r>
      <w:r>
        <w:rPr>
          <w:rFonts w:hint="eastAsia" w:ascii="宋体" w:hAnsi="宋体"/>
          <w:bCs/>
          <w:highlight w:val="none"/>
        </w:rPr>
        <w:t>:30（北京时间）</w:t>
      </w:r>
      <w:r>
        <w:rPr>
          <w:rFonts w:hint="eastAsia" w:ascii="宋体" w:hAnsi="宋体"/>
          <w:bCs/>
          <w:highlight w:val="none"/>
          <w:lang w:eastAsia="zh-CN"/>
        </w:rPr>
        <w:t>，</w:t>
      </w:r>
      <w:r>
        <w:rPr>
          <w:rFonts w:hint="eastAsia" w:ascii="宋体" w:hAnsi="宋体"/>
          <w:bCs/>
          <w:highlight w:val="none"/>
        </w:rPr>
        <w:t>所有投标文件应于投标截止时间之前递交，迟交的投标文件将拒绝接收</w:t>
      </w:r>
    </w:p>
    <w:p w14:paraId="416C132A">
      <w:pPr>
        <w:spacing w:line="360" w:lineRule="auto"/>
        <w:ind w:firstLine="420" w:firstLineChars="200"/>
        <w:rPr>
          <w:rFonts w:ascii="宋体" w:hAnsi="宋体"/>
          <w:bCs/>
          <w:highlight w:val="none"/>
        </w:rPr>
      </w:pPr>
      <w:r>
        <w:rPr>
          <w:rFonts w:hint="eastAsia" w:ascii="宋体" w:hAnsi="宋体"/>
          <w:bCs/>
          <w:highlight w:val="none"/>
          <w:lang w:val="en-US" w:eastAsia="zh-CN"/>
        </w:rPr>
        <w:t>5</w:t>
      </w:r>
      <w:r>
        <w:rPr>
          <w:rFonts w:hint="eastAsia" w:ascii="宋体" w:hAnsi="宋体"/>
          <w:bCs/>
          <w:highlight w:val="none"/>
        </w:rPr>
        <w:t>、开标时间：</w:t>
      </w:r>
      <w:r>
        <w:rPr>
          <w:rFonts w:hint="eastAsia" w:ascii="宋体" w:hAnsi="宋体"/>
          <w:highlight w:val="none"/>
        </w:rPr>
        <w:t>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9</w:t>
      </w:r>
      <w:r>
        <w:rPr>
          <w:rFonts w:hint="eastAsia" w:ascii="宋体" w:hAnsi="宋体"/>
          <w:highlight w:val="none"/>
        </w:rPr>
        <w:t>月</w:t>
      </w:r>
      <w:r>
        <w:rPr>
          <w:rFonts w:hint="eastAsia" w:ascii="宋体" w:hAnsi="宋体"/>
          <w:highlight w:val="none"/>
          <w:lang w:val="en-US" w:eastAsia="zh-CN"/>
        </w:rPr>
        <w:t>16</w:t>
      </w:r>
      <w:r>
        <w:rPr>
          <w:rFonts w:hint="eastAsia" w:ascii="宋体" w:hAnsi="宋体"/>
          <w:highlight w:val="none"/>
        </w:rPr>
        <w:t>日</w:t>
      </w:r>
      <w:r>
        <w:rPr>
          <w:rFonts w:hint="eastAsia" w:ascii="宋体" w:hAnsi="宋体"/>
          <w:highlight w:val="none"/>
          <w:lang w:val="en-US" w:eastAsia="zh-CN"/>
        </w:rPr>
        <w:t>14</w:t>
      </w:r>
      <w:r>
        <w:rPr>
          <w:rFonts w:hint="eastAsia" w:ascii="宋体" w:hAnsi="宋体"/>
          <w:bCs/>
          <w:highlight w:val="none"/>
        </w:rPr>
        <w:t>:30（北京时间）</w:t>
      </w:r>
    </w:p>
    <w:p w14:paraId="17D0AE19">
      <w:pPr>
        <w:spacing w:line="360" w:lineRule="auto"/>
        <w:ind w:firstLine="420" w:firstLineChars="200"/>
        <w:rPr>
          <w:rFonts w:hint="eastAsia" w:ascii="宋体"/>
          <w:bCs/>
          <w:color w:val="auto"/>
          <w:szCs w:val="20"/>
          <w:highlight w:val="none"/>
          <w:lang w:val="en-US" w:eastAsia="zh-CN"/>
        </w:rPr>
      </w:pPr>
      <w:r>
        <w:rPr>
          <w:rFonts w:hint="eastAsia" w:ascii="宋体" w:hAnsi="宋体"/>
          <w:bCs/>
          <w:highlight w:val="none"/>
          <w:lang w:val="en-US" w:eastAsia="zh-CN"/>
        </w:rPr>
        <w:t>6</w:t>
      </w:r>
      <w:r>
        <w:rPr>
          <w:rFonts w:hint="eastAsia" w:ascii="宋体" w:hAnsi="宋体"/>
          <w:bCs/>
          <w:highlight w:val="none"/>
        </w:rPr>
        <w:t>、开标地点：</w:t>
      </w:r>
      <w:r>
        <w:rPr>
          <w:rFonts w:hint="eastAsia" w:ascii="宋体"/>
          <w:bCs/>
          <w:color w:val="auto"/>
          <w:szCs w:val="20"/>
          <w:highlight w:val="none"/>
          <w:lang w:val="en-US" w:eastAsia="zh-CN"/>
        </w:rPr>
        <w:t>深圳市福田区梅林路上梅林社区健康服务中心116室（9号线梅村地铁站C2口）</w:t>
      </w:r>
    </w:p>
    <w:p w14:paraId="70E013AF">
      <w:pPr>
        <w:spacing w:line="360" w:lineRule="auto"/>
        <w:ind w:firstLine="420" w:firstLineChars="200"/>
        <w:rPr>
          <w:rFonts w:hint="default" w:ascii="宋体"/>
          <w:bCs/>
          <w:color w:val="auto"/>
          <w:szCs w:val="20"/>
          <w:highlight w:val="none"/>
          <w:lang w:val="en-US" w:eastAsia="zh-CN"/>
        </w:rPr>
      </w:pPr>
      <w:r>
        <w:rPr>
          <w:rFonts w:hint="eastAsia" w:ascii="宋体"/>
          <w:bCs/>
          <w:color w:val="auto"/>
          <w:szCs w:val="20"/>
          <w:highlight w:val="none"/>
          <w:lang w:val="en-US" w:eastAsia="zh-CN"/>
        </w:rPr>
        <w:t>7、开标地点停车不便，建议绿色出行</w:t>
      </w:r>
    </w:p>
    <w:p w14:paraId="003CCE7E">
      <w:pPr>
        <w:spacing w:line="360" w:lineRule="auto"/>
        <w:ind w:firstLine="420" w:firstLineChars="200"/>
        <w:rPr>
          <w:rFonts w:hint="eastAsia" w:ascii="宋体" w:hAnsi="宋体"/>
          <w:lang w:val="en-US" w:eastAsia="zh-CN"/>
        </w:rPr>
      </w:pPr>
    </w:p>
    <w:p w14:paraId="3A925972">
      <w:pPr>
        <w:spacing w:line="360" w:lineRule="auto"/>
        <w:ind w:firstLine="420" w:firstLineChars="200"/>
        <w:outlineLvl w:val="9"/>
        <w:rPr>
          <w:rFonts w:ascii="宋体" w:hAnsi="宋体"/>
          <w:b/>
        </w:rPr>
      </w:pPr>
      <w:r>
        <w:rPr>
          <w:rFonts w:hint="eastAsia" w:ascii="宋体" w:hAnsi="宋体"/>
          <w:lang w:val="en-US" w:eastAsia="zh-CN"/>
        </w:rPr>
        <w:t>四</w:t>
      </w:r>
      <w:r>
        <w:rPr>
          <w:rFonts w:hint="eastAsia" w:ascii="宋体" w:hAnsi="宋体"/>
        </w:rPr>
        <w:t>、公告期限</w:t>
      </w:r>
    </w:p>
    <w:p w14:paraId="53BA3E0E">
      <w:pPr>
        <w:spacing w:line="360" w:lineRule="auto"/>
        <w:ind w:firstLine="420" w:firstLineChars="200"/>
        <w:rPr>
          <w:rFonts w:ascii="宋体" w:hAnsi="宋体"/>
          <w:kern w:val="0"/>
        </w:rPr>
      </w:pPr>
      <w:r>
        <w:rPr>
          <w:rFonts w:hint="eastAsia" w:ascii="宋体" w:hAnsi="宋体"/>
          <w:kern w:val="0"/>
        </w:rPr>
        <w:t>自本公告发布之日起5个工作日。</w:t>
      </w:r>
    </w:p>
    <w:p w14:paraId="790F53A0">
      <w:pPr>
        <w:spacing w:line="360" w:lineRule="auto"/>
        <w:ind w:firstLine="420" w:firstLineChars="200"/>
        <w:rPr>
          <w:rFonts w:hint="eastAsia" w:ascii="宋体" w:hAnsi="宋体"/>
          <w:lang w:val="en-US" w:eastAsia="zh-CN"/>
        </w:rPr>
      </w:pPr>
    </w:p>
    <w:p w14:paraId="0972B18F">
      <w:pPr>
        <w:numPr>
          <w:ilvl w:val="0"/>
          <w:numId w:val="4"/>
        </w:numPr>
        <w:spacing w:line="360" w:lineRule="auto"/>
        <w:ind w:firstLine="420" w:firstLineChars="200"/>
        <w:outlineLvl w:val="9"/>
        <w:rPr>
          <w:rFonts w:hint="default" w:ascii="宋体" w:hAnsi="宋体"/>
          <w:lang w:val="en-US" w:eastAsia="zh-CN"/>
        </w:rPr>
      </w:pPr>
      <w:r>
        <w:rPr>
          <w:rFonts w:hint="eastAsia" w:ascii="宋体" w:hAnsi="宋体"/>
          <w:lang w:val="en-US" w:eastAsia="zh-CN"/>
        </w:rPr>
        <w:t>报名事宜</w:t>
      </w:r>
    </w:p>
    <w:p w14:paraId="5920D85F">
      <w:pPr>
        <w:numPr>
          <w:ilvl w:val="0"/>
          <w:numId w:val="0"/>
        </w:numPr>
        <w:spacing w:line="360" w:lineRule="auto"/>
        <w:ind w:firstLine="420" w:firstLineChars="200"/>
        <w:rPr>
          <w:rFonts w:hint="eastAsia" w:ascii="宋体" w:hAnsi="宋体"/>
          <w:lang w:val="en-US" w:eastAsia="zh-CN"/>
        </w:rPr>
      </w:pPr>
      <w:r>
        <w:rPr>
          <w:rFonts w:hint="eastAsia" w:ascii="宋体" w:hAnsi="宋体"/>
          <w:lang w:val="en-US" w:eastAsia="zh-CN"/>
        </w:rPr>
        <w:t>有意参与投标的供应商需将附件一.报名文件填写完毕并加盖公章后，发送至邮箱zbcgb@ft2yy.cn进行报名。</w:t>
      </w:r>
    </w:p>
    <w:p w14:paraId="5AAE8624">
      <w:pPr>
        <w:numPr>
          <w:ilvl w:val="0"/>
          <w:numId w:val="0"/>
        </w:numPr>
        <w:spacing w:line="360" w:lineRule="auto"/>
        <w:ind w:firstLine="420" w:firstLineChars="200"/>
        <w:rPr>
          <w:rFonts w:hint="default" w:ascii="宋体" w:hAnsi="宋体"/>
          <w:lang w:val="en-US" w:eastAsia="zh-CN"/>
        </w:rPr>
      </w:pPr>
    </w:p>
    <w:p w14:paraId="4F2DF4E0">
      <w:pPr>
        <w:numPr>
          <w:ilvl w:val="0"/>
          <w:numId w:val="4"/>
        </w:numPr>
        <w:spacing w:line="360" w:lineRule="auto"/>
        <w:ind w:firstLine="420" w:firstLineChars="200"/>
        <w:outlineLvl w:val="9"/>
        <w:rPr>
          <w:rFonts w:hint="eastAsia" w:ascii="宋体" w:hAnsi="宋体"/>
        </w:rPr>
      </w:pPr>
      <w:r>
        <w:rPr>
          <w:rFonts w:hint="eastAsia" w:ascii="宋体" w:hAnsi="宋体"/>
        </w:rPr>
        <w:t>其他补充事宜</w:t>
      </w:r>
    </w:p>
    <w:p w14:paraId="49A5F52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lang w:val="en-US" w:eastAsia="zh-CN"/>
        </w:rPr>
      </w:pPr>
      <w:r>
        <w:rPr>
          <w:rFonts w:hint="eastAsia" w:ascii="宋体" w:hAnsi="宋体"/>
          <w:lang w:val="en-US" w:eastAsia="zh-CN"/>
        </w:rPr>
        <w:t>1.报名的供应商若因任何原因无法应标，请在开标时间前1个日历日书面告知。</w:t>
      </w:r>
    </w:p>
    <w:p w14:paraId="30405C1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bCs/>
          <w:color w:val="auto"/>
          <w:szCs w:val="20"/>
          <w:highlight w:val="none"/>
          <w:lang w:val="en-US" w:eastAsia="zh-CN"/>
        </w:rPr>
      </w:pPr>
      <w:r>
        <w:rPr>
          <w:rFonts w:hint="eastAsia" w:ascii="宋体" w:hAnsi="宋体"/>
          <w:lang w:val="en-US" w:eastAsia="zh-CN"/>
        </w:rPr>
        <w:t>2.</w:t>
      </w:r>
      <w:r>
        <w:rPr>
          <w:rFonts w:hint="eastAsia" w:ascii="宋体" w:hAnsi="宋体"/>
        </w:rPr>
        <w:t>投标人有义务在</w:t>
      </w:r>
      <w:r>
        <w:rPr>
          <w:rFonts w:hint="eastAsia" w:ascii="宋体" w:hAnsi="宋体"/>
          <w:lang w:eastAsia="zh-CN"/>
        </w:rPr>
        <w:t>征集</w:t>
      </w:r>
      <w:r>
        <w:rPr>
          <w:rFonts w:hint="eastAsia" w:ascii="宋体" w:hAnsi="宋体"/>
        </w:rPr>
        <w:t>活动期间浏览</w:t>
      </w:r>
      <w:r>
        <w:rPr>
          <w:rFonts w:hint="eastAsia" w:ascii="宋体" w:hAnsi="宋体"/>
          <w:lang w:val="en-US" w:eastAsia="zh-CN"/>
        </w:rPr>
        <w:t>深圳市福田区第二人民医院</w:t>
      </w:r>
      <w:r>
        <w:rPr>
          <w:rFonts w:hint="eastAsia" w:ascii="宋体"/>
          <w:bCs/>
          <w:color w:val="auto"/>
          <w:szCs w:val="20"/>
          <w:highlight w:val="none"/>
          <w:lang w:val="en-US" w:eastAsia="zh-CN"/>
        </w:rPr>
        <w:t>网站（https://www.ft2yy.cn/）。相关公告在上述媒体上公布之日即视为有效送达，不再另行通知。</w:t>
      </w:r>
    </w:p>
    <w:p w14:paraId="28D320D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bCs/>
          <w:color w:val="auto"/>
          <w:szCs w:val="20"/>
          <w:highlight w:val="none"/>
          <w:lang w:val="en-US" w:eastAsia="zh-CN"/>
        </w:rPr>
      </w:pPr>
    </w:p>
    <w:p w14:paraId="3019BE1D">
      <w:pPr>
        <w:spacing w:line="360" w:lineRule="auto"/>
        <w:ind w:firstLine="420" w:firstLineChars="200"/>
        <w:outlineLvl w:val="9"/>
        <w:rPr>
          <w:rFonts w:ascii="宋体" w:hAnsi="宋体"/>
          <w:b/>
        </w:rPr>
      </w:pPr>
      <w:r>
        <w:rPr>
          <w:rFonts w:hint="eastAsia" w:ascii="宋体" w:hAnsi="宋体"/>
          <w:lang w:val="en-US" w:eastAsia="zh-CN"/>
        </w:rPr>
        <w:t>七</w:t>
      </w:r>
      <w:r>
        <w:rPr>
          <w:rFonts w:hint="eastAsia" w:ascii="宋体" w:hAnsi="宋体"/>
        </w:rPr>
        <w:t>、对本次</w:t>
      </w:r>
      <w:r>
        <w:rPr>
          <w:rFonts w:hint="eastAsia" w:ascii="宋体" w:hAnsi="宋体"/>
          <w:lang w:eastAsia="zh-CN"/>
        </w:rPr>
        <w:t>征集</w:t>
      </w:r>
      <w:r>
        <w:rPr>
          <w:rFonts w:hint="eastAsia" w:ascii="宋体" w:hAnsi="宋体"/>
        </w:rPr>
        <w:t>提出询问，请按</w:t>
      </w:r>
      <w:r>
        <w:rPr>
          <w:rFonts w:ascii="宋体" w:hAnsi="宋体"/>
        </w:rPr>
        <w:t>以下方式</w:t>
      </w:r>
      <w:r>
        <w:rPr>
          <w:rFonts w:hint="eastAsia" w:ascii="宋体" w:hAnsi="宋体"/>
        </w:rPr>
        <w:t>联系。</w:t>
      </w:r>
    </w:p>
    <w:p w14:paraId="4F679AC3">
      <w:pPr>
        <w:adjustRightInd w:val="0"/>
        <w:snapToGrid w:val="0"/>
        <w:spacing w:line="360" w:lineRule="auto"/>
        <w:ind w:firstLine="424" w:firstLineChars="202"/>
        <w:rPr>
          <w:rFonts w:hint="default" w:ascii="宋体"/>
          <w:bCs/>
          <w:color w:val="auto"/>
          <w:szCs w:val="20"/>
          <w:highlight w:val="none"/>
          <w:lang w:val="en-US" w:eastAsia="zh-CN"/>
        </w:rPr>
      </w:pPr>
      <w:r>
        <w:rPr>
          <w:rFonts w:hint="eastAsia" w:ascii="宋体"/>
          <w:bCs/>
          <w:color w:val="auto"/>
          <w:szCs w:val="20"/>
          <w:highlight w:val="none"/>
          <w:lang w:val="en-US" w:eastAsia="zh-CN"/>
        </w:rPr>
        <w:t>医学装备部联系人</w:t>
      </w:r>
      <w:r>
        <w:rPr>
          <w:rFonts w:hint="eastAsia" w:ascii="宋体"/>
          <w:bCs/>
          <w:color w:val="auto"/>
          <w:szCs w:val="20"/>
          <w:highlight w:val="none"/>
        </w:rPr>
        <w:t>：</w:t>
      </w:r>
      <w:r>
        <w:rPr>
          <w:rFonts w:hint="eastAsia" w:ascii="宋体"/>
          <w:bCs/>
          <w:color w:val="auto"/>
          <w:szCs w:val="20"/>
          <w:highlight w:val="none"/>
          <w:lang w:val="en-US" w:eastAsia="zh-CN"/>
        </w:rPr>
        <w:t>石老师 0755-83116181</w:t>
      </w:r>
    </w:p>
    <w:p w14:paraId="1D33796B">
      <w:pPr>
        <w:adjustRightInd w:val="0"/>
        <w:snapToGrid w:val="0"/>
        <w:spacing w:line="360" w:lineRule="auto"/>
        <w:ind w:firstLine="424" w:firstLineChars="202"/>
        <w:rPr>
          <w:rFonts w:hint="eastAsia" w:ascii="宋体"/>
          <w:bCs/>
          <w:color w:val="auto"/>
          <w:szCs w:val="20"/>
          <w:highlight w:val="none"/>
        </w:rPr>
      </w:pPr>
      <w:r>
        <w:rPr>
          <w:rFonts w:hint="eastAsia" w:ascii="宋体"/>
          <w:bCs/>
          <w:color w:val="auto"/>
          <w:szCs w:val="20"/>
          <w:highlight w:val="none"/>
          <w:lang w:val="en-US" w:eastAsia="zh-CN"/>
        </w:rPr>
        <w:t>招标采购办联系人：吴老师 0755-83279817</w:t>
      </w:r>
    </w:p>
    <w:p w14:paraId="4B886C7A">
      <w:pPr>
        <w:spacing w:line="400" w:lineRule="exact"/>
        <w:rPr>
          <w:rFonts w:ascii="宋体" w:hAnsi="宋体"/>
          <w:szCs w:val="21"/>
          <w:u w:val="single"/>
        </w:rPr>
      </w:pPr>
    </w:p>
    <w:p w14:paraId="12B3098F">
      <w:pPr>
        <w:spacing w:line="400" w:lineRule="exact"/>
        <w:ind w:firstLine="420" w:firstLineChars="200"/>
        <w:jc w:val="right"/>
        <w:rPr>
          <w:rFonts w:hint="eastAsia" w:ascii="宋体" w:hAnsi="宋体"/>
          <w:szCs w:val="21"/>
          <w:highlight w:val="none"/>
          <w:lang w:val="en-US" w:eastAsia="zh-CN"/>
        </w:rPr>
      </w:pPr>
      <w:r>
        <w:rPr>
          <w:rFonts w:hint="eastAsia" w:ascii="宋体" w:hAnsi="宋体"/>
          <w:szCs w:val="21"/>
          <w:lang w:val="en-US" w:eastAsia="zh-CN"/>
        </w:rPr>
        <w:t>深圳市</w:t>
      </w:r>
      <w:r>
        <w:rPr>
          <w:rFonts w:hint="eastAsia" w:ascii="宋体" w:hAnsi="宋体"/>
          <w:szCs w:val="21"/>
          <w:highlight w:val="none"/>
          <w:lang w:val="en-US" w:eastAsia="zh-CN"/>
        </w:rPr>
        <w:t>福田区第二人民医院</w:t>
      </w:r>
    </w:p>
    <w:p w14:paraId="7EBFFE83">
      <w:pPr>
        <w:spacing w:line="400" w:lineRule="exact"/>
        <w:ind w:firstLine="7140" w:firstLineChars="3400"/>
        <w:jc w:val="both"/>
        <w:rPr>
          <w:rFonts w:hint="eastAsia" w:ascii="宋体" w:hAnsi="宋体"/>
          <w:highlight w:val="none"/>
        </w:rPr>
      </w:pPr>
      <w:r>
        <w:rPr>
          <w:rFonts w:hint="eastAsia" w:ascii="宋体" w:hAnsi="宋体"/>
          <w:highlight w:val="none"/>
        </w:rPr>
        <w:t>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9</w:t>
      </w:r>
      <w:r>
        <w:rPr>
          <w:rFonts w:hint="eastAsia" w:ascii="宋体" w:hAnsi="宋体"/>
          <w:highlight w:val="none"/>
        </w:rPr>
        <w:t>月</w:t>
      </w:r>
      <w:r>
        <w:rPr>
          <w:rFonts w:hint="eastAsia" w:ascii="宋体" w:hAnsi="宋体"/>
          <w:highlight w:val="none"/>
          <w:lang w:val="en-US" w:eastAsia="zh-CN"/>
        </w:rPr>
        <w:t>2</w:t>
      </w:r>
      <w:r>
        <w:rPr>
          <w:rFonts w:hint="eastAsia" w:ascii="宋体" w:hAnsi="宋体"/>
          <w:highlight w:val="none"/>
        </w:rPr>
        <w:t>日</w:t>
      </w:r>
      <w:bookmarkEnd w:id="6"/>
      <w:bookmarkEnd w:id="7"/>
      <w:bookmarkEnd w:id="8"/>
    </w:p>
    <w:p w14:paraId="0BCE06C3">
      <w:pPr>
        <w:spacing w:line="400" w:lineRule="exact"/>
        <w:ind w:firstLine="7140" w:firstLineChars="3400"/>
        <w:jc w:val="both"/>
        <w:rPr>
          <w:rFonts w:hint="eastAsia" w:ascii="宋体" w:hAnsi="宋体"/>
          <w:highlight w:val="none"/>
        </w:rPr>
      </w:pPr>
    </w:p>
    <w:p w14:paraId="6BEBC402">
      <w:pPr>
        <w:spacing w:line="400" w:lineRule="exact"/>
        <w:ind w:firstLine="7140" w:firstLineChars="3400"/>
        <w:jc w:val="both"/>
        <w:rPr>
          <w:rFonts w:hint="eastAsia" w:ascii="宋体" w:hAnsi="宋体"/>
          <w:highlight w:val="none"/>
        </w:rPr>
      </w:pPr>
    </w:p>
    <w:p w14:paraId="5A962F05">
      <w:pPr>
        <w:spacing w:line="400" w:lineRule="exact"/>
        <w:ind w:firstLine="7140" w:firstLineChars="3400"/>
        <w:jc w:val="both"/>
        <w:rPr>
          <w:rFonts w:hint="eastAsia" w:ascii="宋体" w:hAnsi="宋体"/>
          <w:highlight w:val="none"/>
        </w:rPr>
      </w:pPr>
    </w:p>
    <w:p w14:paraId="393CF482">
      <w:pPr>
        <w:spacing w:line="400" w:lineRule="exact"/>
        <w:ind w:firstLine="7140" w:firstLineChars="3400"/>
        <w:jc w:val="both"/>
        <w:rPr>
          <w:rFonts w:hint="eastAsia" w:ascii="宋体" w:hAnsi="宋体"/>
          <w:highlight w:val="none"/>
        </w:rPr>
      </w:pPr>
    </w:p>
    <w:p w14:paraId="328A02CB">
      <w:pPr>
        <w:spacing w:line="400" w:lineRule="exact"/>
        <w:ind w:firstLine="7140" w:firstLineChars="3400"/>
        <w:jc w:val="both"/>
        <w:rPr>
          <w:rFonts w:hint="eastAsia" w:ascii="宋体" w:hAnsi="宋体"/>
          <w:highlight w:val="none"/>
        </w:rPr>
      </w:pPr>
    </w:p>
    <w:p w14:paraId="043DBC0C">
      <w:pPr>
        <w:spacing w:line="400" w:lineRule="exact"/>
        <w:ind w:firstLine="7140" w:firstLineChars="3400"/>
        <w:jc w:val="both"/>
        <w:rPr>
          <w:rFonts w:hint="eastAsia" w:ascii="宋体" w:hAnsi="宋体"/>
          <w:highlight w:val="none"/>
        </w:rPr>
      </w:pPr>
    </w:p>
    <w:p w14:paraId="345C6933">
      <w:pPr>
        <w:spacing w:line="400" w:lineRule="exact"/>
        <w:ind w:firstLine="7140" w:firstLineChars="3400"/>
        <w:jc w:val="both"/>
        <w:rPr>
          <w:rFonts w:hint="eastAsia" w:ascii="宋体" w:hAnsi="宋体"/>
          <w:highlight w:val="none"/>
        </w:rPr>
      </w:pPr>
    </w:p>
    <w:p w14:paraId="63505853">
      <w:pPr>
        <w:spacing w:line="400" w:lineRule="exact"/>
        <w:ind w:firstLine="7140" w:firstLineChars="3400"/>
        <w:jc w:val="both"/>
        <w:rPr>
          <w:rFonts w:hint="eastAsia" w:ascii="宋体" w:hAnsi="宋体"/>
          <w:highlight w:val="none"/>
        </w:rPr>
      </w:pPr>
    </w:p>
    <w:p w14:paraId="2A568F66">
      <w:pPr>
        <w:spacing w:line="400" w:lineRule="exact"/>
        <w:ind w:firstLine="7140" w:firstLineChars="3400"/>
        <w:jc w:val="both"/>
        <w:rPr>
          <w:rFonts w:hint="eastAsia" w:ascii="宋体" w:hAnsi="宋体"/>
          <w:highlight w:val="none"/>
        </w:rPr>
      </w:pPr>
    </w:p>
    <w:p w14:paraId="1DBB3C7D">
      <w:pPr>
        <w:spacing w:line="400" w:lineRule="exact"/>
        <w:ind w:firstLine="7140" w:firstLineChars="3400"/>
        <w:jc w:val="both"/>
        <w:rPr>
          <w:rFonts w:hint="eastAsia" w:ascii="宋体" w:hAnsi="宋体"/>
          <w:highlight w:val="none"/>
        </w:rPr>
      </w:pPr>
    </w:p>
    <w:p w14:paraId="2BBB1515">
      <w:pPr>
        <w:spacing w:line="400" w:lineRule="exact"/>
        <w:ind w:firstLine="7140" w:firstLineChars="3400"/>
        <w:jc w:val="both"/>
        <w:rPr>
          <w:rFonts w:hint="eastAsia" w:ascii="宋体" w:hAnsi="宋体"/>
          <w:highlight w:val="none"/>
        </w:rPr>
      </w:pPr>
    </w:p>
    <w:p w14:paraId="2775609A">
      <w:pPr>
        <w:spacing w:line="400" w:lineRule="exact"/>
        <w:ind w:firstLine="7140" w:firstLineChars="3400"/>
        <w:jc w:val="both"/>
        <w:rPr>
          <w:rFonts w:hint="eastAsia" w:ascii="宋体" w:hAnsi="宋体"/>
          <w:highlight w:val="none"/>
        </w:rPr>
      </w:pPr>
    </w:p>
    <w:p w14:paraId="48C28FD6">
      <w:pPr>
        <w:spacing w:line="400" w:lineRule="exact"/>
        <w:ind w:firstLine="7140" w:firstLineChars="3400"/>
        <w:jc w:val="both"/>
        <w:rPr>
          <w:rFonts w:hint="eastAsia" w:ascii="宋体" w:hAnsi="宋体"/>
          <w:highlight w:val="none"/>
        </w:rPr>
      </w:pPr>
    </w:p>
    <w:p w14:paraId="65126FD0">
      <w:pPr>
        <w:spacing w:line="400" w:lineRule="exact"/>
        <w:ind w:firstLine="7140" w:firstLineChars="3400"/>
        <w:jc w:val="both"/>
        <w:rPr>
          <w:rFonts w:hint="eastAsia" w:ascii="宋体" w:hAnsi="宋体"/>
          <w:highlight w:val="none"/>
        </w:rPr>
      </w:pPr>
    </w:p>
    <w:p w14:paraId="6A6F305C">
      <w:pPr>
        <w:spacing w:line="400" w:lineRule="exact"/>
        <w:ind w:firstLine="7140" w:firstLineChars="3400"/>
        <w:jc w:val="both"/>
        <w:rPr>
          <w:rFonts w:hint="eastAsia" w:ascii="宋体" w:hAnsi="宋体"/>
          <w:highlight w:val="none"/>
        </w:rPr>
      </w:pPr>
    </w:p>
    <w:p w14:paraId="3749D942">
      <w:pPr>
        <w:spacing w:line="400" w:lineRule="exact"/>
        <w:ind w:firstLine="7140" w:firstLineChars="3400"/>
        <w:jc w:val="both"/>
        <w:rPr>
          <w:rFonts w:hint="eastAsia" w:ascii="宋体" w:hAnsi="宋体"/>
          <w:highlight w:val="none"/>
        </w:rPr>
      </w:pPr>
    </w:p>
    <w:p w14:paraId="59F1DA37">
      <w:pPr>
        <w:spacing w:line="400" w:lineRule="exact"/>
        <w:ind w:firstLine="7140" w:firstLineChars="3400"/>
        <w:jc w:val="both"/>
        <w:rPr>
          <w:rFonts w:hint="eastAsia" w:ascii="宋体" w:hAnsi="宋体"/>
          <w:highlight w:val="none"/>
        </w:rPr>
      </w:pPr>
    </w:p>
    <w:p w14:paraId="77AE4D25">
      <w:pPr>
        <w:spacing w:line="400" w:lineRule="exact"/>
        <w:ind w:firstLine="7140" w:firstLineChars="3400"/>
        <w:jc w:val="both"/>
        <w:rPr>
          <w:rFonts w:hint="eastAsia" w:ascii="宋体" w:hAnsi="宋体"/>
          <w:highlight w:val="none"/>
        </w:rPr>
      </w:pPr>
    </w:p>
    <w:p w14:paraId="26C9ABCC">
      <w:pPr>
        <w:spacing w:line="400" w:lineRule="exact"/>
        <w:ind w:firstLine="7140" w:firstLineChars="3400"/>
        <w:jc w:val="both"/>
        <w:rPr>
          <w:rFonts w:hint="eastAsia" w:ascii="宋体" w:hAnsi="宋体"/>
          <w:highlight w:val="none"/>
        </w:rPr>
      </w:pPr>
    </w:p>
    <w:p w14:paraId="794FD65F">
      <w:pPr>
        <w:spacing w:line="400" w:lineRule="exact"/>
        <w:ind w:firstLine="7140" w:firstLineChars="3400"/>
        <w:jc w:val="both"/>
        <w:rPr>
          <w:rFonts w:hint="eastAsia" w:ascii="宋体" w:hAnsi="宋体"/>
          <w:highlight w:val="none"/>
        </w:rPr>
      </w:pPr>
    </w:p>
    <w:p w14:paraId="75131DED">
      <w:pPr>
        <w:spacing w:line="400" w:lineRule="exact"/>
        <w:ind w:firstLine="7140" w:firstLineChars="3400"/>
        <w:jc w:val="both"/>
        <w:rPr>
          <w:rFonts w:hint="eastAsia" w:ascii="宋体" w:hAnsi="宋体"/>
          <w:highlight w:val="none"/>
        </w:rPr>
      </w:pPr>
    </w:p>
    <w:p w14:paraId="4BC94EC2">
      <w:pPr>
        <w:spacing w:line="400" w:lineRule="exact"/>
        <w:ind w:firstLine="7140" w:firstLineChars="3400"/>
        <w:jc w:val="both"/>
        <w:rPr>
          <w:rFonts w:hint="eastAsia" w:ascii="宋体" w:hAnsi="宋体"/>
          <w:highlight w:val="none"/>
        </w:rPr>
      </w:pPr>
    </w:p>
    <w:p w14:paraId="009C1296">
      <w:pPr>
        <w:spacing w:line="400" w:lineRule="exact"/>
        <w:ind w:firstLine="7140" w:firstLineChars="3400"/>
        <w:jc w:val="both"/>
        <w:rPr>
          <w:rFonts w:hint="eastAsia" w:ascii="宋体" w:hAnsi="宋体"/>
          <w:highlight w:val="none"/>
        </w:rPr>
      </w:pPr>
    </w:p>
    <w:p w14:paraId="298037CE">
      <w:pPr>
        <w:spacing w:line="400" w:lineRule="exact"/>
        <w:ind w:firstLine="7140" w:firstLineChars="3400"/>
        <w:jc w:val="both"/>
        <w:rPr>
          <w:rFonts w:hint="eastAsia" w:ascii="宋体" w:hAnsi="宋体"/>
          <w:highlight w:val="none"/>
        </w:rPr>
      </w:pPr>
    </w:p>
    <w:p w14:paraId="7DE3C846">
      <w:pPr>
        <w:spacing w:line="400" w:lineRule="exact"/>
        <w:ind w:firstLine="7140" w:firstLineChars="3400"/>
        <w:jc w:val="both"/>
        <w:rPr>
          <w:rFonts w:hint="eastAsia" w:ascii="宋体" w:hAnsi="宋体"/>
          <w:highlight w:val="none"/>
        </w:rPr>
      </w:pPr>
    </w:p>
    <w:p w14:paraId="3F00CDB8">
      <w:pPr>
        <w:spacing w:line="400" w:lineRule="exact"/>
        <w:ind w:firstLine="7140" w:firstLineChars="3400"/>
        <w:jc w:val="both"/>
        <w:rPr>
          <w:rFonts w:hint="eastAsia" w:ascii="宋体" w:hAnsi="宋体"/>
          <w:highlight w:val="none"/>
        </w:rPr>
      </w:pPr>
    </w:p>
    <w:p w14:paraId="256FFE8B">
      <w:pPr>
        <w:spacing w:line="400" w:lineRule="exact"/>
        <w:ind w:firstLine="7140" w:firstLineChars="3400"/>
        <w:jc w:val="both"/>
        <w:rPr>
          <w:rFonts w:hint="eastAsia" w:ascii="宋体" w:hAnsi="宋体"/>
          <w:highlight w:val="none"/>
        </w:rPr>
      </w:pPr>
    </w:p>
    <w:p w14:paraId="36D786F1">
      <w:pPr>
        <w:spacing w:line="400" w:lineRule="exact"/>
        <w:ind w:firstLine="7140" w:firstLineChars="3400"/>
        <w:jc w:val="both"/>
        <w:rPr>
          <w:rFonts w:hint="eastAsia" w:ascii="宋体" w:hAnsi="宋体"/>
          <w:highlight w:val="none"/>
        </w:rPr>
      </w:pPr>
    </w:p>
    <w:p w14:paraId="3C28CB28">
      <w:pPr>
        <w:spacing w:line="400" w:lineRule="exact"/>
        <w:ind w:firstLine="7140" w:firstLineChars="3400"/>
        <w:jc w:val="both"/>
        <w:rPr>
          <w:rFonts w:hint="eastAsia" w:ascii="宋体" w:hAnsi="宋体"/>
          <w:highlight w:val="none"/>
        </w:rPr>
      </w:pPr>
    </w:p>
    <w:p w14:paraId="74DD9458">
      <w:pPr>
        <w:spacing w:line="400" w:lineRule="exact"/>
        <w:ind w:firstLine="7140" w:firstLineChars="3400"/>
        <w:jc w:val="both"/>
        <w:rPr>
          <w:rFonts w:hint="eastAsia" w:ascii="宋体" w:hAnsi="宋体"/>
          <w:highlight w:val="none"/>
        </w:rPr>
      </w:pPr>
    </w:p>
    <w:p w14:paraId="41BF59C5">
      <w:pPr>
        <w:spacing w:line="400" w:lineRule="exact"/>
        <w:jc w:val="both"/>
        <w:rPr>
          <w:rFonts w:hint="eastAsia" w:ascii="宋体" w:hAnsi="宋体"/>
          <w:highlight w:val="none"/>
          <w:lang w:val="en-US" w:eastAsia="zh-CN"/>
        </w:rPr>
      </w:pPr>
    </w:p>
    <w:p w14:paraId="3F56D25A">
      <w:pPr>
        <w:widowControl/>
        <w:numPr>
          <w:ilvl w:val="0"/>
          <w:numId w:val="2"/>
        </w:numPr>
        <w:ind w:left="0" w:leftChars="0" w:firstLine="640" w:firstLineChars="200"/>
        <w:jc w:val="center"/>
        <w:outlineLvl w:val="0"/>
        <w:rPr>
          <w:rFonts w:hint="eastAsia" w:asciiTheme="majorEastAsia" w:hAnsiTheme="majorEastAsia" w:eastAsiaTheme="majorEastAsia"/>
          <w:sz w:val="32"/>
          <w:szCs w:val="32"/>
          <w:lang w:val="en-US" w:eastAsia="zh-CN"/>
        </w:rPr>
      </w:pPr>
      <w:bookmarkStart w:id="11" w:name="_Toc2752"/>
      <w:r>
        <w:rPr>
          <w:rFonts w:hint="eastAsia" w:asciiTheme="majorEastAsia" w:hAnsiTheme="majorEastAsia" w:eastAsiaTheme="majorEastAsia"/>
          <w:sz w:val="32"/>
          <w:szCs w:val="32"/>
          <w:lang w:val="en-US" w:eastAsia="zh-CN"/>
        </w:rPr>
        <w:t>用户需求书</w:t>
      </w:r>
      <w:bookmarkEnd w:id="11"/>
    </w:p>
    <w:p w14:paraId="1A0964E7">
      <w:pPr>
        <w:snapToGrid w:val="0"/>
        <w:spacing w:line="360" w:lineRule="auto"/>
        <w:rPr>
          <w:rFonts w:ascii="宋体"/>
          <w:b/>
          <w:bCs/>
          <w:szCs w:val="20"/>
        </w:rPr>
      </w:pPr>
      <w:r>
        <w:rPr>
          <w:rFonts w:hint="eastAsia" w:ascii="宋体"/>
          <w:b/>
          <w:bCs/>
          <w:szCs w:val="20"/>
        </w:rPr>
        <w:t>说明：</w:t>
      </w:r>
    </w:p>
    <w:p w14:paraId="41B0864D">
      <w:pPr>
        <w:numPr>
          <w:ilvl w:val="0"/>
          <w:numId w:val="5"/>
        </w:numPr>
        <w:snapToGrid w:val="0"/>
        <w:spacing w:line="360" w:lineRule="auto"/>
        <w:ind w:left="422" w:hanging="422" w:hangingChars="200"/>
        <w:rPr>
          <w:rFonts w:ascii="宋体"/>
          <w:b/>
          <w:bCs/>
          <w:color w:val="auto"/>
          <w:szCs w:val="20"/>
        </w:rPr>
      </w:pPr>
      <w:r>
        <w:rPr>
          <w:rFonts w:hint="eastAsia" w:ascii="宋体"/>
          <w:b/>
          <w:bCs/>
          <w:szCs w:val="20"/>
        </w:rPr>
        <w:t>投标人</w:t>
      </w:r>
      <w:r>
        <w:rPr>
          <w:rFonts w:hint="eastAsia" w:ascii="宋体"/>
          <w:b/>
          <w:bCs/>
          <w:color w:val="auto"/>
          <w:szCs w:val="20"/>
        </w:rPr>
        <w:t>须对本项目的</w:t>
      </w:r>
      <w:r>
        <w:rPr>
          <w:rFonts w:hint="eastAsia" w:asciiTheme="minorEastAsia" w:hAnsiTheme="minorEastAsia" w:eastAsiaTheme="minorEastAsia"/>
          <w:b/>
          <w:bCs/>
          <w:color w:val="auto"/>
          <w:szCs w:val="21"/>
        </w:rPr>
        <w:t>采购标的或服务内容</w:t>
      </w:r>
      <w:r>
        <w:rPr>
          <w:rFonts w:hint="eastAsia" w:ascii="宋体"/>
          <w:b/>
          <w:bCs/>
          <w:color w:val="auto"/>
          <w:szCs w:val="20"/>
        </w:rPr>
        <w:t>进行整体响应，任何只对</w:t>
      </w:r>
      <w:r>
        <w:rPr>
          <w:rFonts w:hint="eastAsia" w:asciiTheme="minorEastAsia" w:hAnsiTheme="minorEastAsia" w:eastAsiaTheme="minorEastAsia"/>
          <w:b/>
          <w:bCs/>
          <w:color w:val="auto"/>
          <w:szCs w:val="21"/>
        </w:rPr>
        <w:t>采购标的或服务内容</w:t>
      </w:r>
      <w:r>
        <w:rPr>
          <w:rFonts w:hint="eastAsia" w:ascii="宋体"/>
          <w:b/>
          <w:bCs/>
          <w:color w:val="auto"/>
          <w:szCs w:val="20"/>
        </w:rPr>
        <w:t>其中一部分内容进行的响应都被视为无效投标。</w:t>
      </w:r>
    </w:p>
    <w:p w14:paraId="43676C16">
      <w:pPr>
        <w:numPr>
          <w:ilvl w:val="0"/>
          <w:numId w:val="5"/>
        </w:numPr>
        <w:snapToGrid w:val="0"/>
        <w:spacing w:line="360" w:lineRule="auto"/>
        <w:ind w:left="422" w:hanging="422" w:hanging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用户需求书中打“★”号条款为实质性条款，有任何一条负偏离则导致无效投标。</w:t>
      </w:r>
    </w:p>
    <w:p w14:paraId="4D99824F">
      <w:pPr>
        <w:numPr>
          <w:ilvl w:val="0"/>
          <w:numId w:val="5"/>
        </w:numPr>
        <w:snapToGrid w:val="0"/>
        <w:spacing w:line="360" w:lineRule="auto"/>
        <w:ind w:left="422" w:hanging="422" w:hanging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用户需求书中打“▲”号条款为重要技术参数，但不作为无效投标条款。</w:t>
      </w:r>
    </w:p>
    <w:p w14:paraId="36AC43F5">
      <w:pPr>
        <w:numPr>
          <w:ilvl w:val="0"/>
          <w:numId w:val="5"/>
        </w:numPr>
        <w:snapToGrid w:val="0"/>
        <w:spacing w:line="360" w:lineRule="auto"/>
        <w:ind w:left="422" w:hanging="422" w:hanging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用户需求书中打“●”号的为采购的核心产品，投标人应在《投标报价</w:t>
      </w:r>
      <w:r>
        <w:rPr>
          <w:rFonts w:hint="eastAsia" w:asciiTheme="minorEastAsia" w:hAnsiTheme="minorEastAsia" w:eastAsiaTheme="minorEastAsia"/>
          <w:b/>
          <w:bCs/>
          <w:color w:val="auto"/>
          <w:szCs w:val="21"/>
          <w:lang w:val="en-US" w:eastAsia="zh-CN"/>
        </w:rPr>
        <w:t>明细</w:t>
      </w:r>
      <w:r>
        <w:rPr>
          <w:rFonts w:hint="eastAsia" w:asciiTheme="minorEastAsia" w:hAnsiTheme="minorEastAsia" w:eastAsiaTheme="minorEastAsia"/>
          <w:b/>
          <w:bCs/>
          <w:color w:val="auto"/>
          <w:szCs w:val="21"/>
        </w:rPr>
        <w:t>表》中清晰列明“产品名称、品牌”。</w:t>
      </w:r>
    </w:p>
    <w:p w14:paraId="5AAF2DBC">
      <w:pPr>
        <w:pStyle w:val="10"/>
        <w:numPr>
          <w:ilvl w:val="0"/>
          <w:numId w:val="6"/>
        </w:numPr>
        <w:tabs>
          <w:tab w:val="left" w:pos="540"/>
        </w:tabs>
        <w:adjustRightInd w:val="0"/>
        <w:snapToGrid w:val="0"/>
        <w:spacing w:line="360" w:lineRule="auto"/>
        <w:ind w:left="420" w:leftChars="0" w:hanging="420" w:firstLineChars="0"/>
        <w:outlineLvl w:val="9"/>
        <w:rPr>
          <w:color w:val="auto"/>
        </w:rPr>
      </w:pPr>
      <w:r>
        <w:rPr>
          <w:rFonts w:hint="eastAsia"/>
          <w:b/>
          <w:color w:val="auto"/>
          <w:szCs w:val="20"/>
        </w:rPr>
        <w:t>项目</w:t>
      </w:r>
      <w:r>
        <w:rPr>
          <w:rFonts w:hint="eastAsia"/>
          <w:b/>
          <w:color w:val="auto"/>
          <w:szCs w:val="20"/>
          <w:lang w:val="en-US" w:eastAsia="zh-CN"/>
        </w:rPr>
        <w:t>一览表</w:t>
      </w:r>
      <w:r>
        <w:rPr>
          <w:rFonts w:hint="eastAsia"/>
          <w:b/>
          <w:color w:val="auto"/>
          <w:szCs w:val="20"/>
        </w:rPr>
        <w:t>：</w:t>
      </w:r>
    </w:p>
    <w:tbl>
      <w:tblPr>
        <w:tblStyle w:val="18"/>
        <w:tblW w:w="104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9"/>
        <w:gridCol w:w="874"/>
        <w:gridCol w:w="2166"/>
        <w:gridCol w:w="2110"/>
        <w:gridCol w:w="2111"/>
        <w:gridCol w:w="1122"/>
      </w:tblGrid>
      <w:tr w14:paraId="3CF26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2039" w:type="dxa"/>
            <w:shd w:val="clear" w:color="auto" w:fill="EEECE1"/>
            <w:vAlign w:val="center"/>
          </w:tcPr>
          <w:p w14:paraId="515F1896">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rPr>
            </w:pPr>
            <w:r>
              <w:rPr>
                <w:rFonts w:hint="eastAsia" w:ascii="宋体" w:hAnsi="宋体" w:eastAsia="宋体" w:cs="宋体"/>
                <w:b/>
                <w:color w:val="auto"/>
                <w:szCs w:val="21"/>
                <w:highlight w:val="none"/>
              </w:rPr>
              <w:t>采购内容</w:t>
            </w:r>
          </w:p>
        </w:tc>
        <w:tc>
          <w:tcPr>
            <w:tcW w:w="874" w:type="dxa"/>
            <w:shd w:val="clear" w:color="auto" w:fill="EEECE1"/>
            <w:vAlign w:val="center"/>
          </w:tcPr>
          <w:p w14:paraId="6E527C4A">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rPr>
            </w:pPr>
            <w:r>
              <w:rPr>
                <w:rFonts w:hint="eastAsia" w:ascii="宋体" w:hAnsi="宋体" w:eastAsia="宋体" w:cs="宋体"/>
                <w:b/>
                <w:color w:val="auto"/>
                <w:szCs w:val="21"/>
                <w:highlight w:val="none"/>
              </w:rPr>
              <w:t>数量</w:t>
            </w:r>
          </w:p>
        </w:tc>
        <w:tc>
          <w:tcPr>
            <w:tcW w:w="2166" w:type="dxa"/>
            <w:shd w:val="clear" w:color="auto" w:fill="EEECE1"/>
            <w:vAlign w:val="center"/>
          </w:tcPr>
          <w:p w14:paraId="1F7013D0">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rPr>
            </w:pPr>
            <w:r>
              <w:rPr>
                <w:rFonts w:hint="eastAsia" w:ascii="宋体" w:hAnsi="宋体" w:eastAsia="宋体" w:cs="宋体"/>
                <w:b/>
                <w:color w:val="auto"/>
                <w:szCs w:val="21"/>
                <w:highlight w:val="none"/>
              </w:rPr>
              <w:t>交货期</w:t>
            </w:r>
          </w:p>
        </w:tc>
        <w:tc>
          <w:tcPr>
            <w:tcW w:w="2110" w:type="dxa"/>
            <w:shd w:val="clear" w:color="auto" w:fill="EEECE1"/>
            <w:vAlign w:val="center"/>
          </w:tcPr>
          <w:p w14:paraId="16D9626C">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预算金额</w:t>
            </w:r>
          </w:p>
        </w:tc>
        <w:tc>
          <w:tcPr>
            <w:tcW w:w="2111" w:type="dxa"/>
            <w:shd w:val="clear" w:color="auto" w:fill="EEECE1"/>
            <w:vAlign w:val="center"/>
          </w:tcPr>
          <w:p w14:paraId="77A1679F">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rPr>
            </w:pPr>
            <w:r>
              <w:rPr>
                <w:rFonts w:hint="eastAsia" w:ascii="宋体" w:hAnsi="宋体" w:eastAsia="宋体" w:cs="宋体"/>
                <w:b/>
                <w:color w:val="auto"/>
                <w:szCs w:val="21"/>
                <w:highlight w:val="none"/>
              </w:rPr>
              <w:t>最高限价</w:t>
            </w:r>
          </w:p>
        </w:tc>
        <w:tc>
          <w:tcPr>
            <w:tcW w:w="1122" w:type="dxa"/>
            <w:shd w:val="clear" w:color="auto" w:fill="EEECE1"/>
            <w:vAlign w:val="center"/>
          </w:tcPr>
          <w:p w14:paraId="20EB26C1">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rPr>
            </w:pPr>
            <w:r>
              <w:rPr>
                <w:rFonts w:hint="eastAsia" w:ascii="宋体" w:hAnsi="宋体" w:eastAsia="宋体" w:cs="宋体"/>
                <w:b/>
                <w:color w:val="auto"/>
                <w:szCs w:val="21"/>
              </w:rPr>
              <w:t>所属行业</w:t>
            </w:r>
          </w:p>
        </w:tc>
      </w:tr>
      <w:tr w14:paraId="0A129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8" w:hRule="atLeast"/>
          <w:jc w:val="center"/>
        </w:trPr>
        <w:tc>
          <w:tcPr>
            <w:tcW w:w="2039" w:type="dxa"/>
            <w:vAlign w:val="center"/>
          </w:tcPr>
          <w:p w14:paraId="262358C2">
            <w:pPr>
              <w:keepNext w:val="0"/>
              <w:keepLines w:val="0"/>
              <w:suppressLineNumbers w:val="0"/>
              <w:spacing w:before="0" w:beforeAutospacing="0" w:after="0" w:afterAutospacing="0"/>
              <w:ind w:left="0" w:leftChars="0" w:right="0" w:rightChars="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医用全自动电子血压计</w:t>
            </w:r>
          </w:p>
        </w:tc>
        <w:tc>
          <w:tcPr>
            <w:tcW w:w="874" w:type="dxa"/>
            <w:vAlign w:val="center"/>
          </w:tcPr>
          <w:p w14:paraId="390AF9D4">
            <w:pPr>
              <w:keepNext w:val="0"/>
              <w:keepLines w:val="0"/>
              <w:suppressLineNumbers w:val="0"/>
              <w:spacing w:before="0" w:beforeAutospacing="0" w:after="0" w:afterAutospacing="0"/>
              <w:ind w:left="0" w:leftChars="0" w:right="0" w:rightChars="0"/>
              <w:jc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4台</w:t>
            </w:r>
          </w:p>
        </w:tc>
        <w:tc>
          <w:tcPr>
            <w:tcW w:w="2166" w:type="dxa"/>
            <w:vAlign w:val="center"/>
          </w:tcPr>
          <w:p w14:paraId="36A3EC96">
            <w:pPr>
              <w:pStyle w:val="34"/>
              <w:keepLines w:val="0"/>
              <w:suppressLineNumbers w:val="0"/>
              <w:spacing w:beforeAutospacing="0" w:afterAutospacing="0" w:line="240" w:lineRule="auto"/>
              <w:ind w:left="0" w:leftChars="0" w:right="0" w:rightChars="0"/>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合同签订并接院方通知后15日内交货</w:t>
            </w:r>
          </w:p>
        </w:tc>
        <w:tc>
          <w:tcPr>
            <w:tcW w:w="2110" w:type="dxa"/>
            <w:vAlign w:val="center"/>
          </w:tcPr>
          <w:p w14:paraId="5EB8399A">
            <w:pPr>
              <w:pStyle w:val="34"/>
              <w:keepLines w:val="0"/>
              <w:suppressLineNumbers w:val="0"/>
              <w:spacing w:beforeAutospacing="0" w:afterAutospacing="0" w:line="240" w:lineRule="auto"/>
              <w:ind w:left="0" w:leftChars="0" w:right="0" w:rightChars="0"/>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人民币48000.00元</w:t>
            </w:r>
          </w:p>
        </w:tc>
        <w:tc>
          <w:tcPr>
            <w:tcW w:w="2111" w:type="dxa"/>
            <w:vAlign w:val="center"/>
          </w:tcPr>
          <w:p w14:paraId="113A87B9">
            <w:pPr>
              <w:pStyle w:val="34"/>
              <w:keepLines w:val="0"/>
              <w:suppressLineNumbers w:val="0"/>
              <w:spacing w:beforeAutospacing="0" w:afterAutospacing="0" w:line="240" w:lineRule="auto"/>
              <w:ind w:left="0" w:leftChars="0" w:right="0" w:rightChars="0"/>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人民币48000.00元</w:t>
            </w:r>
          </w:p>
        </w:tc>
        <w:tc>
          <w:tcPr>
            <w:tcW w:w="1122" w:type="dxa"/>
            <w:vAlign w:val="center"/>
          </w:tcPr>
          <w:p w14:paraId="6694BA19">
            <w:pPr>
              <w:pStyle w:val="34"/>
              <w:keepLines w:val="0"/>
              <w:suppressLineNumbers w:val="0"/>
              <w:spacing w:beforeAutospacing="0" w:afterAutospacing="0" w:line="240" w:lineRule="auto"/>
              <w:ind w:left="0" w:leftChars="0" w:right="0" w:rightChars="0"/>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工业</w:t>
            </w:r>
          </w:p>
        </w:tc>
      </w:tr>
    </w:tbl>
    <w:p w14:paraId="70B3C683">
      <w:pPr>
        <w:pStyle w:val="10"/>
        <w:tabs>
          <w:tab w:val="left" w:pos="540"/>
        </w:tabs>
        <w:adjustRightInd w:val="0"/>
        <w:snapToGrid w:val="0"/>
        <w:spacing w:line="360" w:lineRule="auto"/>
        <w:rPr>
          <w:rFonts w:hAnsi="宋体"/>
          <w:b/>
          <w:color w:val="auto"/>
        </w:rPr>
      </w:pPr>
    </w:p>
    <w:p w14:paraId="3142D659">
      <w:pPr>
        <w:pStyle w:val="10"/>
        <w:numPr>
          <w:ilvl w:val="0"/>
          <w:numId w:val="6"/>
        </w:numPr>
        <w:tabs>
          <w:tab w:val="left" w:pos="540"/>
        </w:tabs>
        <w:adjustRightInd w:val="0"/>
        <w:snapToGrid w:val="0"/>
        <w:spacing w:line="360" w:lineRule="auto"/>
        <w:ind w:left="420" w:leftChars="0" w:hanging="420" w:firstLineChars="0"/>
        <w:outlineLvl w:val="9"/>
        <w:rPr>
          <w:rFonts w:hAnsi="宋体"/>
          <w:b/>
          <w:color w:val="auto"/>
        </w:rPr>
      </w:pPr>
      <w:r>
        <w:rPr>
          <w:rFonts w:hint="eastAsia" w:hAnsi="宋体"/>
          <w:b/>
          <w:color w:val="auto"/>
        </w:rPr>
        <w:t>项目采购标的清单</w:t>
      </w:r>
      <w:r>
        <w:rPr>
          <w:rFonts w:hint="eastAsia" w:hAnsi="宋体"/>
          <w:b/>
          <w:color w:val="auto"/>
          <w:lang w:eastAsia="zh-CN"/>
        </w:rPr>
        <w:t>（</w:t>
      </w:r>
      <w:r>
        <w:rPr>
          <w:rFonts w:hint="eastAsia" w:hAnsi="宋体"/>
          <w:b/>
          <w:color w:val="auto"/>
          <w:lang w:val="en-US" w:eastAsia="zh-CN"/>
        </w:rPr>
        <w:t>配</w:t>
      </w:r>
      <w:r>
        <w:rPr>
          <w:rFonts w:hint="eastAsia" w:ascii="宋体" w:hAnsi="宋体" w:eastAsia="宋体"/>
          <w:b/>
          <w:color w:val="auto"/>
          <w:lang w:val="en-US" w:eastAsia="zh-CN"/>
        </w:rPr>
        <w:t>置清单</w:t>
      </w:r>
      <w:r>
        <w:rPr>
          <w:rFonts w:hint="eastAsia" w:ascii="宋体" w:hAnsi="宋体" w:eastAsia="宋体"/>
          <w:b/>
          <w:color w:val="auto"/>
          <w:lang w:eastAsia="zh-CN"/>
        </w:rPr>
        <w:t>）：（</w:t>
      </w:r>
      <w:r>
        <w:rPr>
          <w:rFonts w:hint="eastAsia" w:hAnsi="宋体"/>
          <w:b/>
          <w:color w:val="auto"/>
          <w:lang w:val="en-US" w:eastAsia="zh-CN"/>
        </w:rPr>
        <w:t>配置清单应</w:t>
      </w:r>
      <w:r>
        <w:rPr>
          <w:rFonts w:hint="eastAsia" w:ascii="宋体" w:hAnsi="宋体" w:eastAsia="宋体"/>
          <w:b/>
          <w:color w:val="auto"/>
          <w:lang w:eastAsia="zh-CN"/>
        </w:rPr>
        <w:t>不低于下表配置）</w:t>
      </w:r>
    </w:p>
    <w:tbl>
      <w:tblPr>
        <w:tblStyle w:val="19"/>
        <w:tblW w:w="98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7"/>
        <w:gridCol w:w="2320"/>
        <w:gridCol w:w="2175"/>
        <w:gridCol w:w="922"/>
        <w:gridCol w:w="1022"/>
        <w:gridCol w:w="1286"/>
        <w:gridCol w:w="1286"/>
      </w:tblGrid>
      <w:tr w14:paraId="17BD8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EEECE1" w:themeFill="background2"/>
            <w:vAlign w:val="center"/>
          </w:tcPr>
          <w:p w14:paraId="31685FAE">
            <w:pPr>
              <w:pStyle w:val="30"/>
              <w:keepNext w:val="0"/>
              <w:keepLines w:val="0"/>
              <w:suppressLineNumbers w:val="0"/>
              <w:spacing w:before="0" w:beforeAutospacing="0" w:after="0" w:afterAutospacing="0"/>
              <w:ind w:left="0" w:leftChars="0" w:right="0" w:rightChars="0" w:firstLine="0" w:firstLineChars="0"/>
              <w:jc w:val="center"/>
              <w:rPr>
                <w:rFonts w:hint="eastAsia" w:ascii="宋体" w:hAnsi="宋体" w:eastAsia="宋体" w:cs="宋体"/>
                <w:b/>
                <w:bCs w:val="0"/>
                <w:color w:val="auto"/>
                <w:vertAlign w:val="baseline"/>
                <w:lang w:val="en-US" w:eastAsia="zh-CN"/>
              </w:rPr>
            </w:pPr>
            <w:r>
              <w:rPr>
                <w:rFonts w:hint="eastAsia" w:ascii="宋体" w:hAnsi="宋体" w:eastAsia="宋体" w:cs="宋体"/>
                <w:b/>
                <w:bCs w:val="0"/>
                <w:color w:val="auto"/>
                <w:vertAlign w:val="baseline"/>
                <w:lang w:val="en-US" w:eastAsia="zh-CN"/>
              </w:rPr>
              <w:t>序号</w:t>
            </w:r>
          </w:p>
        </w:tc>
        <w:tc>
          <w:tcPr>
            <w:tcW w:w="2320" w:type="dxa"/>
            <w:shd w:val="clear" w:color="auto" w:fill="EEECE1" w:themeFill="background2"/>
            <w:vAlign w:val="center"/>
          </w:tcPr>
          <w:p w14:paraId="69748C28">
            <w:pPr>
              <w:pStyle w:val="30"/>
              <w:keepNext w:val="0"/>
              <w:keepLines w:val="0"/>
              <w:suppressLineNumbers w:val="0"/>
              <w:spacing w:before="0" w:beforeAutospacing="0" w:after="0" w:afterAutospacing="0"/>
              <w:ind w:left="0" w:leftChars="0" w:right="0" w:rightChars="0" w:firstLine="0" w:firstLineChars="0"/>
              <w:jc w:val="center"/>
              <w:rPr>
                <w:rFonts w:hint="eastAsia" w:ascii="宋体" w:hAnsi="宋体" w:eastAsia="宋体" w:cs="宋体"/>
                <w:b/>
                <w:bCs w:val="0"/>
                <w:color w:val="auto"/>
                <w:vertAlign w:val="baseline"/>
                <w:lang w:val="en-US" w:eastAsia="zh-CN"/>
              </w:rPr>
            </w:pPr>
            <w:r>
              <w:rPr>
                <w:rFonts w:hint="eastAsia" w:ascii="宋体" w:hAnsi="宋体" w:eastAsia="宋体" w:cs="宋体"/>
                <w:b/>
                <w:bCs w:val="0"/>
                <w:color w:val="auto"/>
                <w:vertAlign w:val="baseline"/>
                <w:lang w:val="en-US" w:eastAsia="zh-CN"/>
              </w:rPr>
              <w:t>货物名称</w:t>
            </w:r>
          </w:p>
        </w:tc>
        <w:tc>
          <w:tcPr>
            <w:tcW w:w="2175" w:type="dxa"/>
            <w:shd w:val="clear" w:color="auto" w:fill="EEECE1" w:themeFill="background2"/>
            <w:vAlign w:val="center"/>
          </w:tcPr>
          <w:p w14:paraId="18375BE3">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b/>
                <w:bCs w:val="0"/>
                <w:color w:val="auto"/>
                <w:vertAlign w:val="baseline"/>
                <w:lang w:val="en-US" w:eastAsia="zh-CN"/>
              </w:rPr>
            </w:pPr>
            <w:r>
              <w:rPr>
                <w:rFonts w:hint="eastAsia" w:ascii="宋体" w:hAnsi="宋体" w:eastAsia="宋体" w:cs="宋体"/>
                <w:b/>
                <w:bCs w:val="0"/>
                <w:color w:val="auto"/>
                <w:vertAlign w:val="baseline"/>
                <w:lang w:val="en-US" w:eastAsia="zh-CN"/>
              </w:rPr>
              <w:t>预算价格</w:t>
            </w:r>
          </w:p>
        </w:tc>
        <w:tc>
          <w:tcPr>
            <w:tcW w:w="922" w:type="dxa"/>
            <w:shd w:val="clear" w:color="auto" w:fill="EEECE1" w:themeFill="background2"/>
            <w:vAlign w:val="center"/>
          </w:tcPr>
          <w:p w14:paraId="4F3D85F1">
            <w:pPr>
              <w:pStyle w:val="30"/>
              <w:keepNext w:val="0"/>
              <w:keepLines w:val="0"/>
              <w:suppressLineNumbers w:val="0"/>
              <w:spacing w:before="0" w:beforeAutospacing="0" w:after="0" w:afterAutospacing="0"/>
              <w:ind w:left="0" w:leftChars="0" w:right="0" w:rightChars="0" w:firstLine="0" w:firstLineChars="0"/>
              <w:jc w:val="center"/>
              <w:rPr>
                <w:rFonts w:hint="eastAsia" w:ascii="宋体" w:hAnsi="宋体" w:eastAsia="宋体" w:cs="宋体"/>
                <w:b/>
                <w:bCs w:val="0"/>
                <w:color w:val="auto"/>
                <w:vertAlign w:val="baseline"/>
                <w:lang w:val="en-US" w:eastAsia="zh-CN"/>
              </w:rPr>
            </w:pPr>
            <w:r>
              <w:rPr>
                <w:rFonts w:hint="eastAsia" w:ascii="宋体" w:hAnsi="宋体" w:eastAsia="宋体" w:cs="宋体"/>
                <w:b/>
                <w:bCs w:val="0"/>
                <w:color w:val="auto"/>
                <w:vertAlign w:val="baseline"/>
                <w:lang w:val="en-US" w:eastAsia="zh-CN"/>
              </w:rPr>
              <w:t>数量</w:t>
            </w:r>
          </w:p>
        </w:tc>
        <w:tc>
          <w:tcPr>
            <w:tcW w:w="1022" w:type="dxa"/>
            <w:shd w:val="clear" w:color="auto" w:fill="EEECE1" w:themeFill="background2"/>
            <w:vAlign w:val="center"/>
          </w:tcPr>
          <w:p w14:paraId="211C175B">
            <w:pPr>
              <w:pStyle w:val="30"/>
              <w:keepNext w:val="0"/>
              <w:keepLines w:val="0"/>
              <w:suppressLineNumbers w:val="0"/>
              <w:spacing w:before="0" w:beforeAutospacing="0" w:after="0" w:afterAutospacing="0"/>
              <w:ind w:left="0" w:leftChars="0" w:right="0" w:rightChars="0" w:firstLine="0" w:firstLineChars="0"/>
              <w:jc w:val="center"/>
              <w:rPr>
                <w:rFonts w:hint="eastAsia" w:ascii="宋体" w:hAnsi="宋体" w:eastAsia="宋体" w:cs="宋体"/>
                <w:b/>
                <w:bCs w:val="0"/>
                <w:color w:val="auto"/>
                <w:vertAlign w:val="baseline"/>
                <w:lang w:val="en-US" w:eastAsia="zh-CN"/>
              </w:rPr>
            </w:pPr>
            <w:r>
              <w:rPr>
                <w:rFonts w:hint="eastAsia" w:ascii="宋体" w:hAnsi="宋体" w:eastAsia="宋体" w:cs="宋体"/>
                <w:b/>
                <w:bCs w:val="0"/>
                <w:color w:val="auto"/>
                <w:vertAlign w:val="baseline"/>
                <w:lang w:val="en-US" w:eastAsia="zh-CN"/>
              </w:rPr>
              <w:t>单位</w:t>
            </w:r>
          </w:p>
        </w:tc>
        <w:tc>
          <w:tcPr>
            <w:tcW w:w="1286" w:type="dxa"/>
            <w:shd w:val="clear" w:color="auto" w:fill="EEECE1" w:themeFill="background2"/>
            <w:vAlign w:val="center"/>
          </w:tcPr>
          <w:p w14:paraId="24AFDF3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bCs w:val="0"/>
                <w:color w:val="auto"/>
                <w:vertAlign w:val="baseline"/>
                <w:lang w:val="en-US" w:eastAsia="zh-CN"/>
              </w:rPr>
            </w:pPr>
            <w:r>
              <w:rPr>
                <w:rFonts w:hint="eastAsia" w:ascii="宋体" w:hAnsi="宋体" w:eastAsia="宋体" w:cs="宋体"/>
                <w:b/>
                <w:bCs/>
                <w:i w:val="0"/>
                <w:iCs w:val="0"/>
                <w:color w:val="000000"/>
                <w:kern w:val="0"/>
                <w:sz w:val="20"/>
                <w:szCs w:val="20"/>
                <w:u w:val="none"/>
                <w:lang w:val="en-US" w:eastAsia="zh-CN" w:bidi="ar"/>
              </w:rPr>
              <w:t>备注</w:t>
            </w:r>
          </w:p>
        </w:tc>
        <w:tc>
          <w:tcPr>
            <w:tcW w:w="1286" w:type="dxa"/>
            <w:shd w:val="clear" w:color="auto" w:fill="EEECE1" w:themeFill="background2"/>
            <w:vAlign w:val="center"/>
          </w:tcPr>
          <w:p w14:paraId="4E504C0B">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备注</w:t>
            </w:r>
          </w:p>
        </w:tc>
      </w:tr>
      <w:tr w14:paraId="0F8A6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vAlign w:val="center"/>
          </w:tcPr>
          <w:p w14:paraId="111891C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2320" w:type="dxa"/>
            <w:shd w:val="clear" w:color="auto" w:fill="auto"/>
            <w:vAlign w:val="center"/>
          </w:tcPr>
          <w:p w14:paraId="02F7A62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 主机</w:t>
            </w:r>
          </w:p>
        </w:tc>
        <w:tc>
          <w:tcPr>
            <w:tcW w:w="2175" w:type="dxa"/>
            <w:vMerge w:val="restart"/>
            <w:shd w:val="clear" w:color="auto" w:fill="auto"/>
            <w:vAlign w:val="center"/>
          </w:tcPr>
          <w:p w14:paraId="413407C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人民币48000.00元</w:t>
            </w:r>
          </w:p>
        </w:tc>
        <w:tc>
          <w:tcPr>
            <w:tcW w:w="922" w:type="dxa"/>
            <w:shd w:val="clear" w:color="auto" w:fill="auto"/>
            <w:vAlign w:val="center"/>
          </w:tcPr>
          <w:p w14:paraId="498A6DB5">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1022" w:type="dxa"/>
            <w:shd w:val="clear" w:color="auto" w:fill="auto"/>
            <w:vAlign w:val="center"/>
          </w:tcPr>
          <w:p w14:paraId="72BDBA08">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台</w:t>
            </w:r>
          </w:p>
        </w:tc>
        <w:tc>
          <w:tcPr>
            <w:tcW w:w="1286" w:type="dxa"/>
            <w:vAlign w:val="center"/>
          </w:tcPr>
          <w:p w14:paraId="2BFC1F9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47FE27C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66966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vAlign w:val="center"/>
          </w:tcPr>
          <w:p w14:paraId="6FE4E66D">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2320" w:type="dxa"/>
            <w:shd w:val="clear" w:color="auto" w:fill="auto"/>
            <w:vAlign w:val="center"/>
          </w:tcPr>
          <w:p w14:paraId="75D81FD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搁手板</w:t>
            </w:r>
          </w:p>
        </w:tc>
        <w:tc>
          <w:tcPr>
            <w:tcW w:w="2175" w:type="dxa"/>
            <w:vMerge w:val="continue"/>
            <w:shd w:val="clear" w:color="auto" w:fill="auto"/>
            <w:vAlign w:val="center"/>
          </w:tcPr>
          <w:p w14:paraId="47A5A65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64AC6AA1">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1022" w:type="dxa"/>
            <w:shd w:val="clear" w:color="auto" w:fill="auto"/>
            <w:vAlign w:val="center"/>
          </w:tcPr>
          <w:p w14:paraId="7191D7F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块</w:t>
            </w:r>
          </w:p>
        </w:tc>
        <w:tc>
          <w:tcPr>
            <w:tcW w:w="1286" w:type="dxa"/>
            <w:vAlign w:val="center"/>
          </w:tcPr>
          <w:p w14:paraId="30431FF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0494221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02558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vAlign w:val="center"/>
          </w:tcPr>
          <w:p w14:paraId="7C0428A0">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w:t>
            </w:r>
          </w:p>
        </w:tc>
        <w:tc>
          <w:tcPr>
            <w:tcW w:w="2320" w:type="dxa"/>
            <w:shd w:val="clear" w:color="auto" w:fill="auto"/>
            <w:vAlign w:val="center"/>
          </w:tcPr>
          <w:p w14:paraId="6865518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指示牌</w:t>
            </w:r>
          </w:p>
        </w:tc>
        <w:tc>
          <w:tcPr>
            <w:tcW w:w="2175" w:type="dxa"/>
            <w:vMerge w:val="continue"/>
            <w:shd w:val="clear" w:color="auto" w:fill="auto"/>
            <w:vAlign w:val="center"/>
          </w:tcPr>
          <w:p w14:paraId="5A7068D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42E0F341">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1022" w:type="dxa"/>
            <w:shd w:val="clear" w:color="auto" w:fill="auto"/>
            <w:vAlign w:val="center"/>
          </w:tcPr>
          <w:p w14:paraId="70351B4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块</w:t>
            </w:r>
          </w:p>
        </w:tc>
        <w:tc>
          <w:tcPr>
            <w:tcW w:w="1286" w:type="dxa"/>
            <w:vAlign w:val="center"/>
          </w:tcPr>
          <w:p w14:paraId="78B2F50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62616C0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4E1A3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vAlign w:val="center"/>
          </w:tcPr>
          <w:p w14:paraId="279452E9">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2320" w:type="dxa"/>
            <w:shd w:val="clear" w:color="auto" w:fill="auto"/>
            <w:vAlign w:val="center"/>
          </w:tcPr>
          <w:p w14:paraId="7ACA706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袖套</w:t>
            </w:r>
          </w:p>
        </w:tc>
        <w:tc>
          <w:tcPr>
            <w:tcW w:w="2175" w:type="dxa"/>
            <w:vMerge w:val="continue"/>
            <w:shd w:val="clear" w:color="auto" w:fill="auto"/>
            <w:vAlign w:val="center"/>
          </w:tcPr>
          <w:p w14:paraId="6F4EB36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7A9DA268">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8</w:t>
            </w:r>
          </w:p>
        </w:tc>
        <w:tc>
          <w:tcPr>
            <w:tcW w:w="1022" w:type="dxa"/>
            <w:shd w:val="clear" w:color="auto" w:fill="auto"/>
            <w:vAlign w:val="center"/>
          </w:tcPr>
          <w:p w14:paraId="0D1F7CE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vAlign w:val="center"/>
          </w:tcPr>
          <w:p w14:paraId="6FB5854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18B80E33">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p>
        </w:tc>
      </w:tr>
      <w:tr w14:paraId="721D4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vAlign w:val="center"/>
          </w:tcPr>
          <w:p w14:paraId="41BAD9A0">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w:t>
            </w:r>
          </w:p>
        </w:tc>
        <w:tc>
          <w:tcPr>
            <w:tcW w:w="2320" w:type="dxa"/>
            <w:shd w:val="clear" w:color="auto" w:fill="auto"/>
            <w:vAlign w:val="center"/>
          </w:tcPr>
          <w:p w14:paraId="5FE888D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桌椅</w:t>
            </w:r>
          </w:p>
        </w:tc>
        <w:tc>
          <w:tcPr>
            <w:tcW w:w="2175" w:type="dxa"/>
            <w:vMerge w:val="continue"/>
            <w:shd w:val="clear" w:color="auto" w:fill="auto"/>
            <w:vAlign w:val="center"/>
          </w:tcPr>
          <w:p w14:paraId="41DEA98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5FD1AE37">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1022" w:type="dxa"/>
            <w:shd w:val="clear" w:color="auto" w:fill="auto"/>
            <w:vAlign w:val="center"/>
          </w:tcPr>
          <w:p w14:paraId="07C6CCC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套</w:t>
            </w:r>
          </w:p>
        </w:tc>
        <w:tc>
          <w:tcPr>
            <w:tcW w:w="1286" w:type="dxa"/>
            <w:vAlign w:val="center"/>
          </w:tcPr>
          <w:p w14:paraId="6AA974B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0D3E14D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bl>
    <w:p w14:paraId="68C6DDA6">
      <w:pPr>
        <w:pStyle w:val="50"/>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4F7D7FF1">
      <w:pPr>
        <w:pStyle w:val="50"/>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1.注明“接受进口”的产品（产品名称）允许供应商选用进口产品参与投标，但不排斥国内产品。</w:t>
      </w:r>
    </w:p>
    <w:p w14:paraId="7A1CA4C9">
      <w:pPr>
        <w:pStyle w:val="50"/>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2.注明“不接受进口”的产品（产品名称）均不接受供应商选用进口产品参与投标。</w:t>
      </w:r>
    </w:p>
    <w:p w14:paraId="08CBC14D">
      <w:pPr>
        <w:pStyle w:val="50"/>
        <w:ind w:firstLine="422"/>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3.进口产品系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w:t>
      </w:r>
      <w:r>
        <w:rPr>
          <w:rFonts w:hint="eastAsia" w:ascii="宋体" w:hAnsi="宋体" w:eastAsia="宋体" w:cs="宋体"/>
          <w:i w:val="0"/>
          <w:iCs w:val="0"/>
          <w:color w:val="000000"/>
          <w:kern w:val="0"/>
          <w:sz w:val="21"/>
          <w:szCs w:val="21"/>
          <w:highlight w:val="none"/>
          <w:u w:val="none"/>
          <w:lang w:val="en-US" w:eastAsia="zh-CN" w:bidi="ar"/>
        </w:rPr>
        <w:t>的供应商的进口产品，相关内容以财库〔2007〕119 号文和财办库〔2008〕248 号文的相关规定为准。</w:t>
      </w:r>
    </w:p>
    <w:p w14:paraId="209231EE">
      <w:pPr>
        <w:pStyle w:val="50"/>
        <w:shd w:val="clear" w:color="auto" w:fill="auto"/>
        <w:ind w:firstLine="422"/>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4.本项目为单一产品采购。</w:t>
      </w:r>
    </w:p>
    <w:p w14:paraId="0B46E42C">
      <w:pPr>
        <w:pStyle w:val="50"/>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5.当多家投标人提供的核心产品品</w:t>
      </w:r>
      <w:r>
        <w:rPr>
          <w:rFonts w:hint="eastAsia" w:ascii="宋体" w:hAnsi="宋体" w:eastAsia="宋体" w:cs="宋体"/>
          <w:i w:val="0"/>
          <w:iCs w:val="0"/>
          <w:color w:val="000000"/>
          <w:kern w:val="0"/>
          <w:sz w:val="21"/>
          <w:szCs w:val="21"/>
          <w:u w:val="none"/>
          <w:lang w:val="en-US" w:eastAsia="zh-CN" w:bidi="ar"/>
        </w:rPr>
        <w:t>牌相同的，按一家投标人计算。根据《政府采购货物和服务招标投标管理办法》（中华人民共和国财政部令第87号）第三十一条相关规定：非单一产品采购项目，采购人应当根据采购项目技术构成、产品价格比重等合理确定核心产品，提供核心产品为相同品牌且通过资格审查、符合性审查的不同投标人，按一家投标人计算，评审后得分最高的同品牌投标人获得中标人推荐资格；评审得分相同的，采取随机抽取方式确定中标人推荐资格。其他综合评分总分次之的不同品牌投标人顺推获得中标人推荐资格。</w:t>
      </w:r>
    </w:p>
    <w:p w14:paraId="5453A9EA">
      <w:pPr>
        <w:pStyle w:val="10"/>
        <w:numPr>
          <w:ilvl w:val="0"/>
          <w:numId w:val="0"/>
        </w:numPr>
        <w:tabs>
          <w:tab w:val="left" w:pos="540"/>
        </w:tabs>
        <w:adjustRightInd w:val="0"/>
        <w:snapToGrid w:val="0"/>
        <w:spacing w:line="360" w:lineRule="auto"/>
        <w:ind w:leftChars="0"/>
        <w:outlineLvl w:val="9"/>
        <w:rPr>
          <w:rFonts w:hAnsi="宋体"/>
          <w:b/>
          <w:color w:val="auto"/>
        </w:rPr>
      </w:pPr>
    </w:p>
    <w:p w14:paraId="705CA8FA">
      <w:pPr>
        <w:pStyle w:val="10"/>
        <w:numPr>
          <w:ilvl w:val="0"/>
          <w:numId w:val="6"/>
        </w:numPr>
        <w:tabs>
          <w:tab w:val="left" w:pos="540"/>
        </w:tabs>
        <w:adjustRightInd w:val="0"/>
        <w:snapToGrid w:val="0"/>
        <w:spacing w:line="360" w:lineRule="auto"/>
        <w:ind w:left="420" w:leftChars="0" w:hanging="420" w:firstLineChars="0"/>
        <w:outlineLvl w:val="9"/>
        <w:rPr>
          <w:rFonts w:hAnsi="宋体"/>
          <w:b/>
          <w:color w:val="auto"/>
        </w:rPr>
      </w:pPr>
      <w:r>
        <w:rPr>
          <w:rFonts w:hint="eastAsia" w:hAnsi="宋体"/>
          <w:b/>
          <w:color w:val="auto"/>
        </w:rPr>
        <w:t>技术要求：</w:t>
      </w:r>
    </w:p>
    <w:tbl>
      <w:tblPr>
        <w:tblStyle w:val="18"/>
        <w:tblW w:w="9649"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754"/>
        <w:gridCol w:w="6743"/>
        <w:gridCol w:w="1152"/>
      </w:tblGrid>
      <w:tr w14:paraId="7FB416D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tcBorders>
              <w:tl2br w:val="nil"/>
              <w:tr2bl w:val="nil"/>
            </w:tcBorders>
            <w:shd w:val="clear" w:color="auto" w:fill="EEECE1" w:themeFill="background2"/>
            <w:vAlign w:val="center"/>
          </w:tcPr>
          <w:p w14:paraId="447475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货物名称</w:t>
            </w:r>
          </w:p>
        </w:tc>
        <w:tc>
          <w:tcPr>
            <w:tcW w:w="6743" w:type="dxa"/>
            <w:tcBorders>
              <w:tl2br w:val="nil"/>
              <w:tr2bl w:val="nil"/>
            </w:tcBorders>
            <w:shd w:val="clear" w:color="auto" w:fill="EEECE1" w:themeFill="background2"/>
            <w:vAlign w:val="center"/>
          </w:tcPr>
          <w:p w14:paraId="45189D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技术要求</w:t>
            </w:r>
          </w:p>
        </w:tc>
        <w:tc>
          <w:tcPr>
            <w:tcW w:w="1152" w:type="dxa"/>
            <w:tcBorders>
              <w:tl2br w:val="nil"/>
              <w:tr2bl w:val="nil"/>
            </w:tcBorders>
            <w:shd w:val="clear" w:color="auto" w:fill="EEECE1" w:themeFill="background2"/>
            <w:vAlign w:val="center"/>
          </w:tcPr>
          <w:p w14:paraId="653EA36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标注</w:t>
            </w:r>
          </w:p>
        </w:tc>
      </w:tr>
      <w:tr w14:paraId="3A1E624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restart"/>
            <w:tcBorders>
              <w:tl2br w:val="nil"/>
              <w:tr2bl w:val="nil"/>
            </w:tcBorders>
            <w:shd w:val="clear" w:color="auto" w:fill="auto"/>
            <w:vAlign w:val="center"/>
          </w:tcPr>
          <w:p w14:paraId="1ED5D7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snapToGrid/>
                <w:color w:val="auto"/>
                <w:spacing w:val="0"/>
                <w:kern w:val="2"/>
                <w:sz w:val="21"/>
                <w:szCs w:val="24"/>
                <w:highlight w:val="none"/>
                <w:lang w:val="en-US" w:eastAsia="zh-CN" w:bidi="ar-SA"/>
              </w:rPr>
              <w:t>医用全自动电子血压计</w:t>
            </w:r>
          </w:p>
        </w:tc>
        <w:tc>
          <w:tcPr>
            <w:tcW w:w="6743" w:type="dxa"/>
            <w:tcBorders>
              <w:tl2br w:val="nil"/>
              <w:tr2bl w:val="nil"/>
            </w:tcBorders>
            <w:shd w:val="clear" w:color="auto" w:fill="auto"/>
            <w:vAlign w:val="center"/>
          </w:tcPr>
          <w:p w14:paraId="2F55B7BA">
            <w:pPr>
              <w:keepNext w:val="0"/>
              <w:keepLines w:val="0"/>
              <w:widowControl/>
              <w:suppressLineNumbers w:val="0"/>
              <w:spacing w:before="0" w:beforeAutospacing="0" w:after="0" w:afterAutospacing="0"/>
              <w:ind w:left="0" w:right="0"/>
              <w:jc w:val="left"/>
              <w:textAlignment w:val="center"/>
              <w:rPr>
                <w:rFonts w:hint="eastAsia" w:asciiTheme="majorEastAsia" w:hAnsiTheme="majorEastAsia" w:eastAsiaTheme="majorEastAsia" w:cstheme="majorEastAsia"/>
                <w:snapToGrid/>
                <w:color w:val="auto"/>
                <w:spacing w:val="0"/>
                <w:kern w:val="2"/>
                <w:sz w:val="21"/>
                <w:szCs w:val="24"/>
                <w:highlight w:val="none"/>
                <w:lang w:val="en-US" w:eastAsia="zh-CN" w:bidi="ar-SA"/>
              </w:rPr>
            </w:pPr>
            <w:r>
              <w:rPr>
                <w:rFonts w:hint="eastAsia" w:asciiTheme="majorEastAsia" w:hAnsiTheme="majorEastAsia" w:eastAsiaTheme="majorEastAsia" w:cstheme="majorEastAsia"/>
                <w:snapToGrid/>
                <w:color w:val="auto"/>
                <w:spacing w:val="0"/>
                <w:kern w:val="2"/>
                <w:sz w:val="21"/>
                <w:szCs w:val="24"/>
                <w:highlight w:val="none"/>
                <w:lang w:val="en-US" w:eastAsia="zh-CN" w:bidi="ar-SA"/>
              </w:rPr>
              <w:t>1、测量方法：采用脉搏波法或示波法，具备双管双气囊或同等稳定加压技术；（需提供产品彩页或产品说明书佐证）</w:t>
            </w:r>
          </w:p>
        </w:tc>
        <w:tc>
          <w:tcPr>
            <w:tcW w:w="1152" w:type="dxa"/>
            <w:tcBorders>
              <w:tl2br w:val="nil"/>
              <w:tr2bl w:val="nil"/>
            </w:tcBorders>
            <w:shd w:val="clear" w:color="auto" w:fill="auto"/>
            <w:vAlign w:val="center"/>
          </w:tcPr>
          <w:p w14:paraId="2DFC33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w:t>
            </w:r>
          </w:p>
        </w:tc>
      </w:tr>
      <w:tr w14:paraId="2DF83DA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FFD23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B9FED03">
            <w:pPr>
              <w:keepNext w:val="0"/>
              <w:keepLines w:val="0"/>
              <w:widowControl/>
              <w:suppressLineNumbers w:val="0"/>
              <w:spacing w:before="0" w:beforeAutospacing="0" w:after="0" w:afterAutospacing="0"/>
              <w:ind w:left="0" w:right="0"/>
              <w:jc w:val="left"/>
              <w:textAlignment w:val="center"/>
              <w:rPr>
                <w:rFonts w:hint="eastAsia" w:asciiTheme="majorEastAsia" w:hAnsiTheme="majorEastAsia" w:eastAsiaTheme="majorEastAsia" w:cstheme="majorEastAsia"/>
                <w:snapToGrid/>
                <w:color w:val="auto"/>
                <w:spacing w:val="0"/>
                <w:kern w:val="2"/>
                <w:sz w:val="21"/>
                <w:szCs w:val="24"/>
                <w:highlight w:val="none"/>
                <w:lang w:val="en-US" w:eastAsia="zh-CN" w:bidi="ar-SA"/>
              </w:rPr>
            </w:pPr>
            <w:r>
              <w:rPr>
                <w:rFonts w:hint="eastAsia" w:asciiTheme="majorEastAsia" w:hAnsiTheme="majorEastAsia" w:eastAsiaTheme="majorEastAsia" w:cstheme="majorEastAsia"/>
                <w:snapToGrid/>
                <w:color w:val="auto"/>
                <w:spacing w:val="0"/>
                <w:kern w:val="2"/>
                <w:sz w:val="21"/>
                <w:szCs w:val="24"/>
                <w:highlight w:val="none"/>
                <w:lang w:val="en-US" w:eastAsia="zh-CN" w:bidi="ar-SA"/>
              </w:rPr>
              <w:t>2、测量范围:压力至少包含:0-300mmHg或0-40kPa，脉搏至少包含:40次/分-180次/分；</w:t>
            </w:r>
          </w:p>
        </w:tc>
        <w:tc>
          <w:tcPr>
            <w:tcW w:w="1152" w:type="dxa"/>
            <w:tcBorders>
              <w:tl2br w:val="nil"/>
              <w:tr2bl w:val="nil"/>
            </w:tcBorders>
            <w:shd w:val="clear" w:color="auto" w:fill="auto"/>
            <w:vAlign w:val="center"/>
          </w:tcPr>
          <w:p w14:paraId="0CF639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40DCD2F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69457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18FB591">
            <w:pPr>
              <w:keepNext w:val="0"/>
              <w:keepLines w:val="0"/>
              <w:widowControl/>
              <w:suppressLineNumbers w:val="0"/>
              <w:spacing w:before="0" w:beforeAutospacing="0" w:after="0" w:afterAutospacing="0"/>
              <w:ind w:left="0" w:right="0"/>
              <w:jc w:val="left"/>
              <w:textAlignment w:val="center"/>
              <w:rPr>
                <w:rFonts w:hint="eastAsia" w:asciiTheme="majorEastAsia" w:hAnsiTheme="majorEastAsia" w:eastAsiaTheme="majorEastAsia" w:cstheme="majorEastAsia"/>
                <w:snapToGrid/>
                <w:color w:val="auto"/>
                <w:spacing w:val="0"/>
                <w:kern w:val="2"/>
                <w:sz w:val="21"/>
                <w:szCs w:val="24"/>
                <w:highlight w:val="none"/>
                <w:lang w:val="en-US" w:eastAsia="zh-CN" w:bidi="ar-SA"/>
              </w:rPr>
            </w:pPr>
            <w:r>
              <w:rPr>
                <w:rFonts w:hint="eastAsia" w:asciiTheme="majorEastAsia" w:hAnsiTheme="majorEastAsia" w:eastAsiaTheme="majorEastAsia" w:cstheme="majorEastAsia"/>
                <w:snapToGrid/>
                <w:color w:val="auto"/>
                <w:spacing w:val="0"/>
                <w:kern w:val="2"/>
                <w:sz w:val="21"/>
                <w:szCs w:val="24"/>
                <w:highlight w:val="none"/>
                <w:lang w:val="en-US" w:eastAsia="zh-CN" w:bidi="ar-SA"/>
              </w:rPr>
              <w:t>3、测量准确度:压力误差±2mmHg以内；脉率误差±2%以内（适用范围 40～180 次/分）</w:t>
            </w:r>
          </w:p>
        </w:tc>
        <w:tc>
          <w:tcPr>
            <w:tcW w:w="1152" w:type="dxa"/>
            <w:tcBorders>
              <w:tl2br w:val="nil"/>
              <w:tr2bl w:val="nil"/>
            </w:tcBorders>
            <w:shd w:val="clear" w:color="auto" w:fill="auto"/>
            <w:vAlign w:val="center"/>
          </w:tcPr>
          <w:p w14:paraId="12E2BA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7182CBF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03FD9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A8F0340">
            <w:pPr>
              <w:keepNext w:val="0"/>
              <w:keepLines w:val="0"/>
              <w:widowControl/>
              <w:suppressLineNumbers w:val="0"/>
              <w:spacing w:before="0" w:beforeAutospacing="0" w:after="0" w:afterAutospacing="0"/>
              <w:ind w:left="0" w:right="0"/>
              <w:jc w:val="left"/>
              <w:textAlignment w:val="center"/>
              <w:rPr>
                <w:rFonts w:hint="eastAsia" w:asciiTheme="majorEastAsia" w:hAnsiTheme="majorEastAsia" w:eastAsiaTheme="majorEastAsia" w:cstheme="majorEastAsia"/>
                <w:snapToGrid/>
                <w:color w:val="auto"/>
                <w:spacing w:val="0"/>
                <w:kern w:val="2"/>
                <w:sz w:val="21"/>
                <w:szCs w:val="24"/>
                <w:highlight w:val="none"/>
                <w:lang w:val="en-US" w:eastAsia="zh-CN" w:bidi="ar-SA"/>
              </w:rPr>
            </w:pPr>
            <w:r>
              <w:rPr>
                <w:rFonts w:hint="eastAsia" w:asciiTheme="majorEastAsia" w:hAnsiTheme="majorEastAsia" w:eastAsiaTheme="majorEastAsia" w:cstheme="majorEastAsia"/>
                <w:snapToGrid/>
                <w:color w:val="auto"/>
                <w:spacing w:val="0"/>
                <w:kern w:val="2"/>
                <w:sz w:val="21"/>
                <w:szCs w:val="24"/>
                <w:highlight w:val="none"/>
                <w:lang w:val="en-US" w:eastAsia="zh-CN" w:bidi="ar-SA"/>
              </w:rPr>
              <w:t>4、存储容量：≥100组测量数据；</w:t>
            </w:r>
          </w:p>
        </w:tc>
        <w:tc>
          <w:tcPr>
            <w:tcW w:w="1152" w:type="dxa"/>
            <w:tcBorders>
              <w:tl2br w:val="nil"/>
              <w:tr2bl w:val="nil"/>
            </w:tcBorders>
            <w:shd w:val="clear" w:color="auto" w:fill="auto"/>
            <w:vAlign w:val="center"/>
          </w:tcPr>
          <w:p w14:paraId="3F7166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312A031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0D006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A20FF25">
            <w:pPr>
              <w:keepNext w:val="0"/>
              <w:keepLines w:val="0"/>
              <w:widowControl/>
              <w:suppressLineNumbers w:val="0"/>
              <w:spacing w:before="0" w:beforeAutospacing="0" w:after="0" w:afterAutospacing="0"/>
              <w:ind w:left="0" w:right="0"/>
              <w:jc w:val="left"/>
              <w:textAlignment w:val="center"/>
              <w:rPr>
                <w:rFonts w:hint="eastAsia" w:asciiTheme="majorEastAsia" w:hAnsiTheme="majorEastAsia" w:eastAsiaTheme="majorEastAsia" w:cstheme="majorEastAsia"/>
                <w:snapToGrid/>
                <w:color w:val="auto"/>
                <w:spacing w:val="0"/>
                <w:kern w:val="2"/>
                <w:sz w:val="21"/>
                <w:szCs w:val="24"/>
                <w:highlight w:val="none"/>
                <w:lang w:val="en-US" w:eastAsia="zh-CN" w:bidi="ar-SA"/>
              </w:rPr>
            </w:pPr>
            <w:r>
              <w:rPr>
                <w:rFonts w:hint="eastAsia" w:asciiTheme="majorEastAsia" w:hAnsiTheme="majorEastAsia" w:eastAsiaTheme="majorEastAsia" w:cstheme="majorEastAsia"/>
                <w:snapToGrid/>
                <w:color w:val="auto"/>
                <w:spacing w:val="0"/>
                <w:kern w:val="2"/>
                <w:sz w:val="21"/>
                <w:szCs w:val="24"/>
                <w:highlight w:val="none"/>
                <w:lang w:val="en-US" w:eastAsia="zh-CN" w:bidi="ar-SA"/>
              </w:rPr>
              <w:t>5、测量位置：左右臂均可测量；</w:t>
            </w:r>
          </w:p>
        </w:tc>
        <w:tc>
          <w:tcPr>
            <w:tcW w:w="1152" w:type="dxa"/>
            <w:tcBorders>
              <w:tl2br w:val="nil"/>
              <w:tr2bl w:val="nil"/>
            </w:tcBorders>
            <w:shd w:val="clear" w:color="auto" w:fill="auto"/>
            <w:vAlign w:val="center"/>
          </w:tcPr>
          <w:p w14:paraId="5ACDDB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05E510E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A2681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9B8D983">
            <w:pPr>
              <w:keepNext w:val="0"/>
              <w:keepLines w:val="0"/>
              <w:widowControl/>
              <w:suppressLineNumbers w:val="0"/>
              <w:spacing w:before="0" w:beforeAutospacing="0" w:after="0" w:afterAutospacing="0"/>
              <w:ind w:left="0" w:right="0"/>
              <w:jc w:val="left"/>
              <w:textAlignment w:val="center"/>
              <w:rPr>
                <w:rFonts w:hint="eastAsia" w:asciiTheme="majorEastAsia" w:hAnsiTheme="majorEastAsia" w:eastAsiaTheme="majorEastAsia" w:cstheme="majorEastAsia"/>
                <w:snapToGrid/>
                <w:color w:val="auto"/>
                <w:spacing w:val="0"/>
                <w:kern w:val="2"/>
                <w:sz w:val="21"/>
                <w:szCs w:val="24"/>
                <w:highlight w:val="none"/>
                <w:lang w:val="en-US" w:eastAsia="zh-CN" w:bidi="ar-SA"/>
              </w:rPr>
            </w:pPr>
            <w:r>
              <w:rPr>
                <w:rFonts w:hint="eastAsia" w:asciiTheme="majorEastAsia" w:hAnsiTheme="majorEastAsia" w:eastAsiaTheme="majorEastAsia" w:cstheme="majorEastAsia"/>
                <w:snapToGrid/>
                <w:color w:val="auto"/>
                <w:spacing w:val="0"/>
                <w:kern w:val="2"/>
                <w:sz w:val="21"/>
                <w:szCs w:val="24"/>
                <w:highlight w:val="none"/>
                <w:lang w:val="en-US" w:eastAsia="zh-CN" w:bidi="ar-SA"/>
              </w:rPr>
              <w:t>6、袖带寿命血压计在快充快放模式下连续老化10万次后，血压计性能仍能满足使用要求；</w:t>
            </w:r>
          </w:p>
        </w:tc>
        <w:tc>
          <w:tcPr>
            <w:tcW w:w="1152" w:type="dxa"/>
            <w:tcBorders>
              <w:tl2br w:val="nil"/>
              <w:tr2bl w:val="nil"/>
            </w:tcBorders>
            <w:shd w:val="clear" w:color="auto" w:fill="auto"/>
            <w:vAlign w:val="center"/>
          </w:tcPr>
          <w:p w14:paraId="407794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1F122D1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F7A42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762FD10">
            <w:pPr>
              <w:keepNext w:val="0"/>
              <w:keepLines w:val="0"/>
              <w:widowControl/>
              <w:suppressLineNumbers w:val="0"/>
              <w:spacing w:before="0" w:beforeAutospacing="0" w:after="0" w:afterAutospacing="0"/>
              <w:ind w:left="0" w:right="0"/>
              <w:jc w:val="left"/>
              <w:textAlignment w:val="center"/>
              <w:rPr>
                <w:rFonts w:hint="eastAsia" w:asciiTheme="majorEastAsia" w:hAnsiTheme="majorEastAsia" w:eastAsiaTheme="majorEastAsia" w:cstheme="majorEastAsia"/>
                <w:snapToGrid/>
                <w:color w:val="auto"/>
                <w:spacing w:val="0"/>
                <w:kern w:val="2"/>
                <w:sz w:val="21"/>
                <w:szCs w:val="24"/>
                <w:highlight w:val="none"/>
                <w:lang w:val="en-US" w:eastAsia="zh-CN" w:bidi="ar-SA"/>
              </w:rPr>
            </w:pPr>
            <w:r>
              <w:rPr>
                <w:rFonts w:hint="eastAsia" w:asciiTheme="majorEastAsia" w:hAnsiTheme="majorEastAsia" w:eastAsiaTheme="majorEastAsia" w:cstheme="majorEastAsia"/>
                <w:snapToGrid/>
                <w:color w:val="auto"/>
                <w:spacing w:val="0"/>
                <w:kern w:val="2"/>
                <w:sz w:val="21"/>
                <w:szCs w:val="24"/>
                <w:highlight w:val="none"/>
                <w:lang w:val="en-US" w:eastAsia="zh-CN" w:bidi="ar-SA"/>
              </w:rPr>
              <w:t>7、压力泵自动加压方式；</w:t>
            </w:r>
          </w:p>
        </w:tc>
        <w:tc>
          <w:tcPr>
            <w:tcW w:w="1152" w:type="dxa"/>
            <w:tcBorders>
              <w:tl2br w:val="nil"/>
              <w:tr2bl w:val="nil"/>
            </w:tcBorders>
            <w:shd w:val="clear" w:color="auto" w:fill="auto"/>
            <w:vAlign w:val="center"/>
          </w:tcPr>
          <w:p w14:paraId="40C455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771241C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1C26C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0F6EED27">
            <w:pPr>
              <w:keepNext w:val="0"/>
              <w:keepLines w:val="0"/>
              <w:widowControl/>
              <w:suppressLineNumbers w:val="0"/>
              <w:spacing w:before="0" w:beforeAutospacing="0" w:after="0" w:afterAutospacing="0"/>
              <w:ind w:left="0" w:right="0"/>
              <w:jc w:val="left"/>
              <w:textAlignment w:val="center"/>
              <w:rPr>
                <w:rFonts w:hint="eastAsia" w:asciiTheme="majorEastAsia" w:hAnsiTheme="majorEastAsia" w:eastAsiaTheme="majorEastAsia" w:cstheme="majorEastAsia"/>
                <w:snapToGrid/>
                <w:color w:val="auto"/>
                <w:spacing w:val="0"/>
                <w:kern w:val="2"/>
                <w:sz w:val="21"/>
                <w:szCs w:val="24"/>
                <w:highlight w:val="none"/>
                <w:lang w:val="en-US" w:eastAsia="zh-CN" w:bidi="ar-SA"/>
              </w:rPr>
            </w:pPr>
            <w:r>
              <w:rPr>
                <w:rFonts w:hint="eastAsia" w:asciiTheme="majorEastAsia" w:hAnsiTheme="majorEastAsia" w:eastAsiaTheme="majorEastAsia" w:cstheme="majorEastAsia"/>
                <w:snapToGrid/>
                <w:color w:val="auto"/>
                <w:spacing w:val="0"/>
                <w:kern w:val="2"/>
                <w:sz w:val="21"/>
                <w:szCs w:val="24"/>
                <w:highlight w:val="none"/>
                <w:lang w:val="en-US" w:eastAsia="zh-CN" w:bidi="ar-SA"/>
              </w:rPr>
              <w:t>8、减压:线性电磁控制阀自动减压系统；</w:t>
            </w:r>
          </w:p>
        </w:tc>
        <w:tc>
          <w:tcPr>
            <w:tcW w:w="1152" w:type="dxa"/>
            <w:tcBorders>
              <w:tl2br w:val="nil"/>
              <w:tr2bl w:val="nil"/>
            </w:tcBorders>
            <w:shd w:val="clear" w:color="auto" w:fill="auto"/>
            <w:vAlign w:val="center"/>
          </w:tcPr>
          <w:p w14:paraId="6DB346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7EEC1B7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CD855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F8EDEF2">
            <w:pPr>
              <w:keepNext w:val="0"/>
              <w:keepLines w:val="0"/>
              <w:widowControl/>
              <w:suppressLineNumbers w:val="0"/>
              <w:spacing w:before="0" w:beforeAutospacing="0" w:after="0" w:afterAutospacing="0"/>
              <w:ind w:left="0" w:right="0"/>
              <w:jc w:val="left"/>
              <w:textAlignment w:val="center"/>
              <w:rPr>
                <w:rFonts w:hint="eastAsia" w:asciiTheme="majorEastAsia" w:hAnsiTheme="majorEastAsia" w:eastAsiaTheme="majorEastAsia" w:cstheme="majorEastAsia"/>
                <w:snapToGrid/>
                <w:color w:val="auto"/>
                <w:spacing w:val="0"/>
                <w:kern w:val="2"/>
                <w:sz w:val="21"/>
                <w:szCs w:val="24"/>
                <w:highlight w:val="none"/>
                <w:lang w:val="en-US" w:eastAsia="zh-CN" w:bidi="ar-SA"/>
              </w:rPr>
            </w:pPr>
            <w:r>
              <w:rPr>
                <w:rFonts w:hint="eastAsia" w:asciiTheme="majorEastAsia" w:hAnsiTheme="majorEastAsia" w:eastAsiaTheme="majorEastAsia" w:cstheme="majorEastAsia"/>
                <w:snapToGrid/>
                <w:color w:val="auto"/>
                <w:spacing w:val="0"/>
                <w:kern w:val="2"/>
                <w:sz w:val="21"/>
                <w:szCs w:val="24"/>
                <w:highlight w:val="none"/>
                <w:lang w:val="en-US" w:eastAsia="zh-CN" w:bidi="ar-SA"/>
              </w:rPr>
              <w:t>9、超压保护:压力超过300mmHg时，急速排气保护，时间不大于10秒；</w:t>
            </w:r>
          </w:p>
        </w:tc>
        <w:tc>
          <w:tcPr>
            <w:tcW w:w="1152" w:type="dxa"/>
            <w:tcBorders>
              <w:tl2br w:val="nil"/>
              <w:tr2bl w:val="nil"/>
            </w:tcBorders>
            <w:shd w:val="clear" w:color="auto" w:fill="auto"/>
            <w:vAlign w:val="center"/>
          </w:tcPr>
          <w:p w14:paraId="6BBDFD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2814F4E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BCDFE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3DAC1A0D">
            <w:pPr>
              <w:keepNext w:val="0"/>
              <w:keepLines w:val="0"/>
              <w:widowControl/>
              <w:suppressLineNumbers w:val="0"/>
              <w:spacing w:before="0" w:beforeAutospacing="0" w:after="0" w:afterAutospacing="0"/>
              <w:ind w:left="0" w:right="0"/>
              <w:jc w:val="left"/>
              <w:textAlignment w:val="center"/>
              <w:rPr>
                <w:rFonts w:hint="eastAsia" w:asciiTheme="majorEastAsia" w:hAnsiTheme="majorEastAsia" w:eastAsiaTheme="majorEastAsia" w:cstheme="majorEastAsia"/>
                <w:snapToGrid/>
                <w:color w:val="auto"/>
                <w:spacing w:val="0"/>
                <w:kern w:val="2"/>
                <w:sz w:val="21"/>
                <w:szCs w:val="24"/>
                <w:highlight w:val="none"/>
                <w:lang w:val="en-US" w:eastAsia="zh-CN" w:bidi="ar-SA"/>
              </w:rPr>
            </w:pPr>
            <w:r>
              <w:rPr>
                <w:rFonts w:hint="eastAsia" w:asciiTheme="majorEastAsia" w:hAnsiTheme="majorEastAsia" w:eastAsiaTheme="majorEastAsia" w:cstheme="majorEastAsia"/>
                <w:snapToGrid/>
                <w:color w:val="auto"/>
                <w:spacing w:val="0"/>
                <w:kern w:val="2"/>
                <w:sz w:val="21"/>
                <w:szCs w:val="24"/>
                <w:highlight w:val="none"/>
                <w:lang w:val="en-US" w:eastAsia="zh-CN" w:bidi="ar-SA"/>
              </w:rPr>
              <w:t>10、肘部位置传感器:有(准确定位肱动脉，提高测量精度)；</w:t>
            </w:r>
          </w:p>
        </w:tc>
        <w:tc>
          <w:tcPr>
            <w:tcW w:w="1152" w:type="dxa"/>
            <w:tcBorders>
              <w:tl2br w:val="nil"/>
              <w:tr2bl w:val="nil"/>
            </w:tcBorders>
            <w:shd w:val="clear" w:color="auto" w:fill="auto"/>
            <w:vAlign w:val="center"/>
          </w:tcPr>
          <w:p w14:paraId="535869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39FA9BB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9674A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E55D93A">
            <w:pPr>
              <w:keepNext w:val="0"/>
              <w:keepLines w:val="0"/>
              <w:widowControl/>
              <w:suppressLineNumbers w:val="0"/>
              <w:spacing w:before="0" w:beforeAutospacing="0" w:after="0" w:afterAutospacing="0"/>
              <w:ind w:left="0" w:right="0"/>
              <w:jc w:val="left"/>
              <w:textAlignment w:val="center"/>
              <w:rPr>
                <w:rFonts w:hint="eastAsia" w:asciiTheme="majorEastAsia" w:hAnsiTheme="majorEastAsia" w:eastAsiaTheme="majorEastAsia" w:cstheme="majorEastAsia"/>
                <w:snapToGrid/>
                <w:color w:val="auto"/>
                <w:spacing w:val="0"/>
                <w:kern w:val="2"/>
                <w:sz w:val="21"/>
                <w:szCs w:val="24"/>
                <w:highlight w:val="none"/>
                <w:lang w:val="en-US" w:eastAsia="zh-CN" w:bidi="ar-SA"/>
              </w:rPr>
            </w:pPr>
            <w:r>
              <w:rPr>
                <w:rFonts w:hint="eastAsia" w:asciiTheme="majorEastAsia" w:hAnsiTheme="majorEastAsia" w:eastAsiaTheme="majorEastAsia" w:cstheme="majorEastAsia"/>
                <w:snapToGrid/>
                <w:color w:val="auto"/>
                <w:spacing w:val="0"/>
                <w:kern w:val="2"/>
                <w:sz w:val="21"/>
                <w:szCs w:val="24"/>
                <w:highlight w:val="none"/>
                <w:lang w:val="en-US" w:eastAsia="zh-CN" w:bidi="ar-SA"/>
              </w:rPr>
              <w:t>11、袖筒角度调节：臂筒可左右转动≥10度；（需提供产品彩页或产品说明书佐证）</w:t>
            </w:r>
          </w:p>
        </w:tc>
        <w:tc>
          <w:tcPr>
            <w:tcW w:w="1152" w:type="dxa"/>
            <w:tcBorders>
              <w:tl2br w:val="nil"/>
              <w:tr2bl w:val="nil"/>
            </w:tcBorders>
            <w:shd w:val="clear" w:color="auto" w:fill="auto"/>
            <w:vAlign w:val="center"/>
          </w:tcPr>
          <w:p w14:paraId="535887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w:t>
            </w:r>
          </w:p>
        </w:tc>
      </w:tr>
      <w:tr w14:paraId="09818C8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2EF72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33A52E5">
            <w:pPr>
              <w:keepNext w:val="0"/>
              <w:keepLines w:val="0"/>
              <w:widowControl/>
              <w:suppressLineNumbers w:val="0"/>
              <w:spacing w:before="0" w:beforeAutospacing="0" w:after="0" w:afterAutospacing="0"/>
              <w:ind w:left="0" w:right="0"/>
              <w:jc w:val="left"/>
              <w:textAlignment w:val="center"/>
              <w:rPr>
                <w:rFonts w:hint="eastAsia" w:asciiTheme="majorEastAsia" w:hAnsiTheme="majorEastAsia" w:eastAsiaTheme="majorEastAsia" w:cstheme="majorEastAsia"/>
                <w:snapToGrid/>
                <w:color w:val="auto"/>
                <w:spacing w:val="0"/>
                <w:kern w:val="2"/>
                <w:sz w:val="21"/>
                <w:szCs w:val="24"/>
                <w:highlight w:val="none"/>
                <w:lang w:val="en-US" w:eastAsia="zh-CN" w:bidi="ar-SA"/>
              </w:rPr>
            </w:pPr>
            <w:r>
              <w:rPr>
                <w:rFonts w:hint="eastAsia" w:asciiTheme="majorEastAsia" w:hAnsiTheme="majorEastAsia" w:eastAsiaTheme="majorEastAsia" w:cstheme="majorEastAsia"/>
                <w:snapToGrid/>
                <w:color w:val="auto"/>
                <w:spacing w:val="0"/>
                <w:kern w:val="2"/>
                <w:sz w:val="21"/>
                <w:szCs w:val="24"/>
                <w:highlight w:val="none"/>
                <w:lang w:val="en-US" w:eastAsia="zh-CN" w:bidi="ar-SA"/>
              </w:rPr>
              <w:t>12、设备符合:YY9706.230-2023,医用电气设备第2-30部分:自动无创血压计的基本安全和基本性能专用要求；</w:t>
            </w:r>
          </w:p>
        </w:tc>
        <w:tc>
          <w:tcPr>
            <w:tcW w:w="1152" w:type="dxa"/>
            <w:tcBorders>
              <w:tl2br w:val="nil"/>
              <w:tr2bl w:val="nil"/>
            </w:tcBorders>
            <w:shd w:val="clear" w:color="auto" w:fill="auto"/>
            <w:vAlign w:val="center"/>
          </w:tcPr>
          <w:p w14:paraId="738282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1873B04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4F23F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CB5B82C">
            <w:pPr>
              <w:keepNext w:val="0"/>
              <w:keepLines w:val="0"/>
              <w:widowControl/>
              <w:suppressLineNumbers w:val="0"/>
              <w:spacing w:before="0" w:beforeAutospacing="0" w:after="0" w:afterAutospacing="0"/>
              <w:ind w:left="0" w:right="0"/>
              <w:jc w:val="left"/>
              <w:textAlignment w:val="center"/>
              <w:rPr>
                <w:rFonts w:hint="eastAsia" w:asciiTheme="majorEastAsia" w:hAnsiTheme="majorEastAsia" w:eastAsiaTheme="majorEastAsia" w:cstheme="majorEastAsia"/>
                <w:snapToGrid/>
                <w:color w:val="auto"/>
                <w:spacing w:val="0"/>
                <w:kern w:val="2"/>
                <w:sz w:val="21"/>
                <w:szCs w:val="24"/>
                <w:highlight w:val="none"/>
                <w:lang w:val="en-US" w:eastAsia="zh-CN" w:bidi="ar-SA"/>
              </w:rPr>
            </w:pPr>
            <w:r>
              <w:rPr>
                <w:rFonts w:hint="eastAsia" w:asciiTheme="majorEastAsia" w:hAnsiTheme="majorEastAsia" w:eastAsiaTheme="majorEastAsia" w:cstheme="majorEastAsia"/>
                <w:snapToGrid/>
                <w:color w:val="auto"/>
                <w:spacing w:val="0"/>
                <w:kern w:val="2"/>
                <w:sz w:val="21"/>
                <w:szCs w:val="24"/>
                <w:highlight w:val="none"/>
                <w:lang w:val="en-US" w:eastAsia="zh-CN" w:bidi="ar-SA"/>
              </w:rPr>
              <w:t>13、外观尺寸:≥460mm(长)x400mm(宽)x300mm(高)；</w:t>
            </w:r>
          </w:p>
        </w:tc>
        <w:tc>
          <w:tcPr>
            <w:tcW w:w="1152" w:type="dxa"/>
            <w:tcBorders>
              <w:tl2br w:val="nil"/>
              <w:tr2bl w:val="nil"/>
            </w:tcBorders>
            <w:shd w:val="clear" w:color="auto" w:fill="auto"/>
            <w:vAlign w:val="center"/>
          </w:tcPr>
          <w:p w14:paraId="0BC08A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46C9D80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96BC4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73D5104">
            <w:pPr>
              <w:keepNext w:val="0"/>
              <w:keepLines w:val="0"/>
              <w:widowControl/>
              <w:suppressLineNumbers w:val="0"/>
              <w:spacing w:before="0" w:beforeAutospacing="0" w:after="0" w:afterAutospacing="0"/>
              <w:ind w:left="0" w:right="0"/>
              <w:jc w:val="left"/>
              <w:textAlignment w:val="center"/>
              <w:rPr>
                <w:rFonts w:hint="eastAsia" w:asciiTheme="majorEastAsia" w:hAnsiTheme="majorEastAsia" w:eastAsiaTheme="majorEastAsia" w:cstheme="majorEastAsia"/>
                <w:snapToGrid/>
                <w:color w:val="auto"/>
                <w:spacing w:val="0"/>
                <w:kern w:val="2"/>
                <w:sz w:val="21"/>
                <w:szCs w:val="24"/>
                <w:highlight w:val="none"/>
                <w:lang w:val="en-US" w:eastAsia="zh-CN" w:bidi="ar-SA"/>
              </w:rPr>
            </w:pPr>
            <w:r>
              <w:rPr>
                <w:rFonts w:hint="eastAsia" w:asciiTheme="majorEastAsia" w:hAnsiTheme="majorEastAsia" w:eastAsiaTheme="majorEastAsia" w:cstheme="majorEastAsia"/>
                <w:snapToGrid/>
                <w:color w:val="auto"/>
                <w:spacing w:val="0"/>
                <w:kern w:val="2"/>
                <w:sz w:val="21"/>
                <w:szCs w:val="24"/>
                <w:highlight w:val="none"/>
                <w:lang w:val="en-US" w:eastAsia="zh-CN" w:bidi="ar-SA"/>
              </w:rPr>
              <w:t>14、主机重量：≥7.0Kg ；</w:t>
            </w:r>
          </w:p>
        </w:tc>
        <w:tc>
          <w:tcPr>
            <w:tcW w:w="1152" w:type="dxa"/>
            <w:tcBorders>
              <w:tl2br w:val="nil"/>
              <w:tr2bl w:val="nil"/>
            </w:tcBorders>
            <w:shd w:val="clear" w:color="auto" w:fill="auto"/>
            <w:vAlign w:val="center"/>
          </w:tcPr>
          <w:p w14:paraId="1D20A2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6D24B47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B5773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B746C31">
            <w:pPr>
              <w:keepNext w:val="0"/>
              <w:keepLines w:val="0"/>
              <w:widowControl/>
              <w:suppressLineNumbers w:val="0"/>
              <w:spacing w:before="0" w:beforeAutospacing="0" w:after="0" w:afterAutospacing="0"/>
              <w:ind w:left="0" w:right="0"/>
              <w:jc w:val="left"/>
              <w:textAlignment w:val="center"/>
              <w:rPr>
                <w:rFonts w:hint="eastAsia" w:asciiTheme="majorEastAsia" w:hAnsiTheme="majorEastAsia" w:eastAsiaTheme="majorEastAsia" w:cstheme="majorEastAsia"/>
                <w:snapToGrid/>
                <w:color w:val="auto"/>
                <w:spacing w:val="0"/>
                <w:kern w:val="2"/>
                <w:sz w:val="21"/>
                <w:szCs w:val="24"/>
                <w:highlight w:val="none"/>
                <w:lang w:val="en-US" w:eastAsia="zh-CN" w:bidi="ar-SA"/>
              </w:rPr>
            </w:pPr>
            <w:r>
              <w:rPr>
                <w:rFonts w:hint="eastAsia" w:asciiTheme="majorEastAsia" w:hAnsiTheme="majorEastAsia" w:eastAsiaTheme="majorEastAsia" w:cstheme="majorEastAsia"/>
                <w:snapToGrid/>
                <w:color w:val="auto"/>
                <w:spacing w:val="0"/>
                <w:kern w:val="2"/>
                <w:sz w:val="21"/>
                <w:szCs w:val="24"/>
                <w:highlight w:val="none"/>
                <w:lang w:val="en-US" w:eastAsia="zh-CN" w:bidi="ar-SA"/>
              </w:rPr>
              <w:t>15、电击保护:符合GB 9706.1标准，I类设备，B型应用部分；</w:t>
            </w:r>
          </w:p>
        </w:tc>
        <w:tc>
          <w:tcPr>
            <w:tcW w:w="1152" w:type="dxa"/>
            <w:tcBorders>
              <w:tl2br w:val="nil"/>
              <w:tr2bl w:val="nil"/>
            </w:tcBorders>
            <w:shd w:val="clear" w:color="auto" w:fill="auto"/>
            <w:vAlign w:val="center"/>
          </w:tcPr>
          <w:p w14:paraId="52EB8CD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754F758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E43A1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BF24F61">
            <w:pPr>
              <w:keepNext w:val="0"/>
              <w:keepLines w:val="0"/>
              <w:widowControl/>
              <w:suppressLineNumbers w:val="0"/>
              <w:spacing w:before="0" w:beforeAutospacing="0" w:after="0" w:afterAutospacing="0"/>
              <w:ind w:left="0" w:right="0"/>
              <w:jc w:val="left"/>
              <w:textAlignment w:val="center"/>
              <w:rPr>
                <w:rFonts w:hint="eastAsia" w:asciiTheme="majorEastAsia" w:hAnsiTheme="majorEastAsia" w:eastAsiaTheme="majorEastAsia" w:cstheme="majorEastAsia"/>
                <w:snapToGrid/>
                <w:color w:val="auto"/>
                <w:spacing w:val="0"/>
                <w:kern w:val="2"/>
                <w:sz w:val="21"/>
                <w:szCs w:val="24"/>
                <w:highlight w:val="none"/>
                <w:lang w:val="en-US" w:eastAsia="zh-CN" w:bidi="ar-SA"/>
              </w:rPr>
            </w:pPr>
            <w:r>
              <w:rPr>
                <w:rFonts w:hint="eastAsia" w:asciiTheme="majorEastAsia" w:hAnsiTheme="majorEastAsia" w:eastAsiaTheme="majorEastAsia" w:cstheme="majorEastAsia"/>
                <w:snapToGrid/>
                <w:color w:val="auto"/>
                <w:spacing w:val="0"/>
                <w:kern w:val="2"/>
                <w:sz w:val="21"/>
                <w:szCs w:val="24"/>
                <w:highlight w:val="none"/>
                <w:lang w:val="en-US" w:eastAsia="zh-CN" w:bidi="ar-SA"/>
              </w:rPr>
              <w:t>16、袖带适用周长范围:至少包含17cm~42cm；</w:t>
            </w:r>
          </w:p>
        </w:tc>
        <w:tc>
          <w:tcPr>
            <w:tcW w:w="1152" w:type="dxa"/>
            <w:tcBorders>
              <w:tl2br w:val="nil"/>
              <w:tr2bl w:val="nil"/>
            </w:tcBorders>
            <w:shd w:val="clear" w:color="auto" w:fill="auto"/>
            <w:vAlign w:val="center"/>
          </w:tcPr>
          <w:p w14:paraId="11F5D7E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84EB61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18079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0F3EDA09">
            <w:pPr>
              <w:keepNext w:val="0"/>
              <w:keepLines w:val="0"/>
              <w:widowControl/>
              <w:suppressLineNumbers w:val="0"/>
              <w:spacing w:before="0" w:beforeAutospacing="0" w:after="0" w:afterAutospacing="0"/>
              <w:ind w:left="0" w:right="0"/>
              <w:jc w:val="left"/>
              <w:textAlignment w:val="center"/>
              <w:rPr>
                <w:rFonts w:hint="eastAsia" w:asciiTheme="majorEastAsia" w:hAnsiTheme="majorEastAsia" w:eastAsiaTheme="majorEastAsia" w:cstheme="majorEastAsia"/>
                <w:snapToGrid/>
                <w:color w:val="auto"/>
                <w:spacing w:val="0"/>
                <w:kern w:val="2"/>
                <w:sz w:val="21"/>
                <w:szCs w:val="24"/>
                <w:highlight w:val="none"/>
                <w:lang w:val="en-US" w:eastAsia="zh-CN" w:bidi="ar-SA"/>
              </w:rPr>
            </w:pPr>
            <w:r>
              <w:rPr>
                <w:rFonts w:hint="eastAsia" w:asciiTheme="majorEastAsia" w:hAnsiTheme="majorEastAsia" w:eastAsiaTheme="majorEastAsia" w:cstheme="majorEastAsia"/>
                <w:snapToGrid/>
                <w:color w:val="auto"/>
                <w:spacing w:val="0"/>
                <w:kern w:val="2"/>
                <w:sz w:val="21"/>
                <w:szCs w:val="24"/>
                <w:highlight w:val="none"/>
                <w:lang w:val="en-US" w:eastAsia="zh-CN" w:bidi="ar-SA"/>
              </w:rPr>
              <w:t>17、桌子尺寸:长750mm(长)x450mm(宽)x650mm(高)，允差±5%，桌子脚可折叠,可安装轮子。</w:t>
            </w:r>
          </w:p>
        </w:tc>
        <w:tc>
          <w:tcPr>
            <w:tcW w:w="1152" w:type="dxa"/>
            <w:tcBorders>
              <w:tl2br w:val="nil"/>
              <w:tr2bl w:val="nil"/>
            </w:tcBorders>
            <w:shd w:val="clear" w:color="auto" w:fill="auto"/>
            <w:vAlign w:val="center"/>
          </w:tcPr>
          <w:p w14:paraId="2565230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bl>
    <w:p w14:paraId="487B6839">
      <w:pPr>
        <w:pStyle w:val="10"/>
        <w:tabs>
          <w:tab w:val="left" w:pos="420"/>
          <w:tab w:val="left" w:pos="540"/>
        </w:tabs>
        <w:adjustRightInd w:val="0"/>
        <w:snapToGrid w:val="0"/>
        <w:spacing w:line="360" w:lineRule="auto"/>
        <w:rPr>
          <w:rFonts w:hAnsi="宋体"/>
          <w:b/>
          <w:color w:val="auto"/>
        </w:rPr>
      </w:pPr>
    </w:p>
    <w:p w14:paraId="7C2FC4C4">
      <w:pPr>
        <w:pStyle w:val="10"/>
        <w:numPr>
          <w:ilvl w:val="0"/>
          <w:numId w:val="6"/>
        </w:numPr>
        <w:tabs>
          <w:tab w:val="left" w:pos="540"/>
        </w:tabs>
        <w:adjustRightInd w:val="0"/>
        <w:snapToGrid w:val="0"/>
        <w:spacing w:line="360" w:lineRule="auto"/>
        <w:ind w:left="420" w:leftChars="0" w:hanging="420" w:firstLineChars="0"/>
        <w:outlineLvl w:val="9"/>
        <w:rPr>
          <w:rFonts w:hAnsi="宋体"/>
          <w:b/>
          <w:color w:val="auto"/>
        </w:rPr>
      </w:pPr>
      <w:r>
        <w:rPr>
          <w:rFonts w:hint="eastAsia" w:ascii="宋体" w:hAnsi="宋体" w:cs="宋体"/>
          <w:b/>
          <w:sz w:val="24"/>
        </w:rPr>
        <w:t>★</w:t>
      </w:r>
      <w:r>
        <w:rPr>
          <w:rFonts w:hint="eastAsia" w:hAnsi="宋体"/>
          <w:b/>
          <w:color w:val="auto"/>
        </w:rPr>
        <w:t>商务要求：</w:t>
      </w:r>
    </w:p>
    <w:tbl>
      <w:tblPr>
        <w:tblStyle w:val="18"/>
        <w:tblW w:w="95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9"/>
        <w:gridCol w:w="8683"/>
      </w:tblGrid>
      <w:tr w14:paraId="36F6E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1A9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序号</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B42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商务条款</w:t>
            </w:r>
          </w:p>
        </w:tc>
      </w:tr>
      <w:tr w14:paraId="3F86D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015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2AC1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交货时间：合同签订并接院方通知后15日内。</w:t>
            </w:r>
          </w:p>
        </w:tc>
      </w:tr>
      <w:tr w14:paraId="35A08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9C5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08A7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免费保修期：系指中标供应商提供的产品在非使用者人为破坏情况下，出现任何质量问题造成产品不能使用时，由中标供应商免费维修、更换以确保产品正常使用的时间期限。此时间期限从设备验收合格之日起计算。具体是指设备验收合格后3年内 。</w:t>
            </w:r>
          </w:p>
        </w:tc>
      </w:tr>
      <w:tr w14:paraId="262F7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7AC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E537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中标方应保证设备是全新、未使用过的原装合格正品（包括零部件），设备到达院方安装现场时外包装应完好无损。进口产品生产日期在采购人收到货物日期前12个月内，本国产品生产日期在采购人收到货物日期前3个月内，最新生产批次且经检验合格的产品。</w:t>
            </w:r>
          </w:p>
        </w:tc>
      </w:tr>
      <w:tr w14:paraId="782EB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B6A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EDBD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中标方应随设备向院方交付设备中文版《使用说明书》《医疗器械生产企业许可证》《医疗器械经营企业许可证》《医疗器械注册证》等与本合同设备使用有关的所有资料。如为进口设备，中标方还应提供进口设备原产地证、检测报告、《进口医疗器械注册证》、检验检疫证明、进口报关手续等资料。</w:t>
            </w:r>
          </w:p>
        </w:tc>
      </w:tr>
      <w:tr w14:paraId="30037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D8B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5E23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验收日期前中标方必须完成合同约定的各项培训，包括对院方相关人员进行设备使用培训及日常保养培训并提供培训记录。现场验收时中标方需提供必要的技术支持并协助院方完成各项指标和功能的测试，否则因验收延误产生的后果由中标方负责。</w:t>
            </w:r>
          </w:p>
        </w:tc>
      </w:tr>
      <w:tr w14:paraId="68DBF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D9E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E418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货到安装、调试验收合格后，中标方应按本合同全额价款出具正规税务发票，院方财务科收到中标方发票等相关资料后10个工作日内向中标方支付合同全款。</w:t>
            </w:r>
          </w:p>
        </w:tc>
      </w:tr>
      <w:tr w14:paraId="09FD4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426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3B75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设备出现故障时中标方应在接到院方通知时4小时响应，24小时内到位，若中标方未能在24小时内消除障碍，院方有权聘请第三方消除障碍，所发生的费用由中标方全部承担。维保期内每年提供不少于2次的维护保养，并按照产品说明书或其它厂家资料提供具体维护保养内容。</w:t>
            </w:r>
          </w:p>
        </w:tc>
      </w:tr>
      <w:tr w14:paraId="7F376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20E2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8</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8320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如中标设备需要医院信息端口，则由中标方负责医院信息系统端口连接的安装工作及费用（包含信息系统方的接口开发费），医院协助中标方完成信息系统安装，确保设备稳定运行。</w:t>
            </w:r>
          </w:p>
        </w:tc>
      </w:tr>
      <w:tr w14:paraId="76298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A17C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9</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3CAE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需提供设备使用年限（提供设备铭牌标签或产品说明书佐证，非单一产品提供核心产品使用年限）。</w:t>
            </w:r>
          </w:p>
        </w:tc>
      </w:tr>
    </w:tbl>
    <w:p w14:paraId="16B8DB34">
      <w:pPr>
        <w:rPr>
          <w:rFonts w:hint="eastAsia" w:asciiTheme="majorEastAsia" w:hAnsiTheme="majorEastAsia" w:eastAsiaTheme="majorEastAsia" w:cstheme="majorEastAsia"/>
          <w:kern w:val="2"/>
          <w:sz w:val="32"/>
          <w:szCs w:val="32"/>
          <w:lang w:val="en-US" w:eastAsia="zh-CN" w:bidi="ar-SA"/>
        </w:rPr>
      </w:pPr>
    </w:p>
    <w:p w14:paraId="0E8FC5E4">
      <w:pPr>
        <w:rPr>
          <w:rFonts w:hint="eastAsia" w:asciiTheme="majorEastAsia" w:hAnsiTheme="majorEastAsia" w:eastAsiaTheme="majorEastAsia" w:cstheme="majorEastAsia"/>
          <w:kern w:val="2"/>
          <w:sz w:val="32"/>
          <w:szCs w:val="32"/>
          <w:lang w:val="en-US" w:eastAsia="zh-CN" w:bidi="ar-SA"/>
        </w:rPr>
      </w:pPr>
    </w:p>
    <w:p w14:paraId="6A75F3C1">
      <w:pPr>
        <w:rPr>
          <w:rFonts w:hint="eastAsia" w:asciiTheme="majorEastAsia" w:hAnsiTheme="majorEastAsia" w:eastAsiaTheme="majorEastAsia" w:cstheme="majorEastAsia"/>
          <w:kern w:val="2"/>
          <w:sz w:val="32"/>
          <w:szCs w:val="32"/>
          <w:lang w:val="en-US" w:eastAsia="zh-CN" w:bidi="ar-SA"/>
        </w:rPr>
      </w:pPr>
    </w:p>
    <w:p w14:paraId="07FDDC1F">
      <w:pPr>
        <w:rPr>
          <w:rFonts w:hint="eastAsia" w:asciiTheme="majorEastAsia" w:hAnsiTheme="majorEastAsia" w:eastAsiaTheme="majorEastAsia" w:cstheme="majorEastAsia"/>
          <w:kern w:val="2"/>
          <w:sz w:val="32"/>
          <w:szCs w:val="32"/>
          <w:lang w:val="en-US" w:eastAsia="zh-CN" w:bidi="ar-SA"/>
        </w:rPr>
      </w:pPr>
    </w:p>
    <w:p w14:paraId="750FBE2E">
      <w:pPr>
        <w:rPr>
          <w:rFonts w:hint="eastAsia" w:asciiTheme="majorEastAsia" w:hAnsiTheme="majorEastAsia" w:eastAsiaTheme="majorEastAsia" w:cstheme="majorEastAsia"/>
          <w:kern w:val="2"/>
          <w:sz w:val="32"/>
          <w:szCs w:val="32"/>
          <w:lang w:val="en-US" w:eastAsia="zh-CN" w:bidi="ar-SA"/>
        </w:rPr>
      </w:pPr>
    </w:p>
    <w:p w14:paraId="5F063D58">
      <w:pPr>
        <w:rPr>
          <w:rFonts w:hint="eastAsia" w:asciiTheme="majorEastAsia" w:hAnsiTheme="majorEastAsia" w:eastAsiaTheme="majorEastAsia" w:cstheme="majorEastAsia"/>
          <w:kern w:val="2"/>
          <w:sz w:val="32"/>
          <w:szCs w:val="32"/>
          <w:lang w:val="en-US" w:eastAsia="zh-CN" w:bidi="ar-SA"/>
        </w:rPr>
      </w:pPr>
    </w:p>
    <w:p w14:paraId="63FDDE6C">
      <w:pPr>
        <w:rPr>
          <w:rFonts w:hint="eastAsia" w:asciiTheme="majorEastAsia" w:hAnsiTheme="majorEastAsia" w:eastAsiaTheme="majorEastAsia" w:cstheme="majorEastAsia"/>
          <w:kern w:val="2"/>
          <w:sz w:val="32"/>
          <w:szCs w:val="32"/>
          <w:lang w:val="en-US" w:eastAsia="zh-CN" w:bidi="ar-SA"/>
        </w:rPr>
      </w:pPr>
    </w:p>
    <w:p w14:paraId="1889DA67">
      <w:pPr>
        <w:rPr>
          <w:rFonts w:hint="eastAsia" w:asciiTheme="majorEastAsia" w:hAnsiTheme="majorEastAsia" w:eastAsiaTheme="majorEastAsia" w:cstheme="majorEastAsia"/>
          <w:kern w:val="2"/>
          <w:sz w:val="32"/>
          <w:szCs w:val="32"/>
          <w:lang w:val="en-US" w:eastAsia="zh-CN" w:bidi="ar-SA"/>
        </w:rPr>
      </w:pPr>
    </w:p>
    <w:p w14:paraId="20759626">
      <w:pPr>
        <w:rPr>
          <w:rFonts w:hint="eastAsia" w:asciiTheme="majorEastAsia" w:hAnsiTheme="majorEastAsia" w:eastAsiaTheme="majorEastAsia" w:cstheme="majorEastAsia"/>
          <w:kern w:val="2"/>
          <w:sz w:val="32"/>
          <w:szCs w:val="32"/>
          <w:lang w:val="en-US" w:eastAsia="zh-CN" w:bidi="ar-SA"/>
        </w:rPr>
      </w:pPr>
    </w:p>
    <w:p w14:paraId="36EB70C4">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cstheme="majorEastAsia"/>
          <w:sz w:val="32"/>
          <w:szCs w:val="32"/>
        </w:rPr>
      </w:pPr>
      <w:bookmarkStart w:id="12" w:name="_Toc10317"/>
      <w:r>
        <w:rPr>
          <w:rFonts w:hint="eastAsia" w:asciiTheme="majorEastAsia" w:hAnsiTheme="majorEastAsia" w:eastAsiaTheme="majorEastAsia" w:cstheme="majorEastAsia"/>
          <w:kern w:val="2"/>
          <w:sz w:val="32"/>
          <w:szCs w:val="32"/>
          <w:lang w:val="en-US" w:eastAsia="zh-CN" w:bidi="ar-SA"/>
        </w:rPr>
        <w:t xml:space="preserve">第四章 </w:t>
      </w:r>
      <w:r>
        <w:rPr>
          <w:rFonts w:hint="eastAsia" w:asciiTheme="majorEastAsia" w:hAnsiTheme="majorEastAsia" w:eastAsiaTheme="majorEastAsia" w:cstheme="majorEastAsia"/>
          <w:sz w:val="32"/>
          <w:szCs w:val="32"/>
        </w:rPr>
        <w:t>开标、评标、定标</w:t>
      </w:r>
      <w:bookmarkEnd w:id="12"/>
    </w:p>
    <w:p w14:paraId="3B4C8BEE">
      <w:pPr>
        <w:pStyle w:val="3"/>
        <w:numPr>
          <w:ilvl w:val="0"/>
          <w:numId w:val="7"/>
        </w:numPr>
        <w:spacing w:line="240" w:lineRule="auto"/>
        <w:ind w:left="-420" w:leftChars="-200" w:firstLine="4" w:firstLineChars="0"/>
        <w:jc w:val="left"/>
        <w:outlineLvl w:val="0"/>
        <w:rPr>
          <w:rFonts w:hint="eastAsia" w:ascii="宋体" w:hAnsi="宋体" w:cs="宋体" w:eastAsiaTheme="minorEastAsia"/>
          <w:kern w:val="2"/>
          <w:sz w:val="21"/>
          <w:szCs w:val="21"/>
          <w:lang w:val="en-US" w:eastAsia="zh-CN" w:bidi="ar-SA"/>
        </w:rPr>
      </w:pPr>
      <w:bookmarkStart w:id="13" w:name="_Toc1703"/>
      <w:bookmarkStart w:id="14" w:name="_Toc15209"/>
      <w:bookmarkStart w:id="15" w:name="_Toc24015563"/>
      <w:bookmarkStart w:id="16" w:name="_Toc1988"/>
      <w:r>
        <w:rPr>
          <w:rFonts w:hint="eastAsia" w:ascii="宋体" w:hAnsi="宋体" w:cs="宋体" w:eastAsiaTheme="minorEastAsia"/>
          <w:kern w:val="2"/>
          <w:sz w:val="21"/>
          <w:szCs w:val="21"/>
          <w:lang w:val="en-US" w:eastAsia="zh-CN" w:bidi="ar-SA"/>
        </w:rPr>
        <w:t>资格性审查表</w:t>
      </w:r>
      <w:bookmarkEnd w:id="13"/>
      <w:bookmarkEnd w:id="14"/>
      <w:bookmarkEnd w:id="15"/>
      <w:bookmarkEnd w:id="16"/>
    </w:p>
    <w:tbl>
      <w:tblPr>
        <w:tblStyle w:val="18"/>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9286"/>
      </w:tblGrid>
      <w:tr w14:paraId="2C7A9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59A3AE57">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bookmarkStart w:id="17" w:name="_Toc15975"/>
            <w:r>
              <w:rPr>
                <w:rFonts w:hint="eastAsia" w:ascii="宋体" w:hAnsi="宋体" w:eastAsia="宋体" w:cs="宋体"/>
                <w:b/>
                <w:bCs/>
                <w:color w:val="000000"/>
                <w:sz w:val="21"/>
                <w:szCs w:val="21"/>
              </w:rPr>
              <w:t>序号</w:t>
            </w:r>
          </w:p>
        </w:tc>
        <w:tc>
          <w:tcPr>
            <w:tcW w:w="9286" w:type="dxa"/>
            <w:noWrap w:val="0"/>
            <w:vAlign w:val="center"/>
          </w:tcPr>
          <w:p w14:paraId="492F829C">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lang w:val="en-US" w:eastAsia="zh-CN"/>
              </w:rPr>
              <w:t>资格性审查内容</w:t>
            </w:r>
          </w:p>
        </w:tc>
      </w:tr>
      <w:tr w14:paraId="62EB0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6424D38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9286" w:type="dxa"/>
            <w:noWrap w:val="0"/>
            <w:vAlign w:val="center"/>
          </w:tcPr>
          <w:p w14:paraId="37E0A346">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不具备资质要求，或未提交相应资格证明材料（详见采购公告或采购邀请函中的资质要求，其中未列示的资质要求不得导致投标无效）</w:t>
            </w:r>
          </w:p>
        </w:tc>
      </w:tr>
      <w:tr w14:paraId="1FD20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503FDA2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9286" w:type="dxa"/>
            <w:noWrap w:val="0"/>
            <w:vAlign w:val="center"/>
          </w:tcPr>
          <w:p w14:paraId="3A1E4E1D">
            <w:pPr>
              <w:keepNext w:val="0"/>
              <w:keepLines w:val="0"/>
              <w:suppressLineNumbers w:val="0"/>
              <w:spacing w:before="0" w:beforeAutospacing="0" w:after="0" w:afterAutospacing="0"/>
              <w:ind w:left="0" w:right="0"/>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未按采购公告（或采购邀请函）要求完成投标报名的</w:t>
            </w:r>
          </w:p>
        </w:tc>
      </w:tr>
      <w:tr w14:paraId="66E4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0A85859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9286" w:type="dxa"/>
            <w:noWrap w:val="0"/>
            <w:vAlign w:val="center"/>
          </w:tcPr>
          <w:p w14:paraId="462A7070">
            <w:pPr>
              <w:keepNext w:val="0"/>
              <w:keepLines w:val="0"/>
              <w:suppressLineNumbers w:val="0"/>
              <w:spacing w:before="0" w:beforeAutospacing="0" w:after="0" w:afterAutospacing="0"/>
              <w:ind w:left="0" w:right="0"/>
              <w:rPr>
                <w:rFonts w:hint="eastAsia" w:ascii="宋体" w:hAnsi="宋体" w:eastAsia="宋体" w:cs="宋体"/>
                <w:color w:val="000000"/>
                <w:sz w:val="21"/>
                <w:szCs w:val="21"/>
                <w:lang w:eastAsia="zh-CN"/>
              </w:rPr>
            </w:pPr>
            <w:r>
              <w:rPr>
                <w:rFonts w:hint="default" w:cs="Times New Roman"/>
              </w:rPr>
              <w:t>法律、法规规定的属于投标无效的其他情形</w:t>
            </w:r>
          </w:p>
        </w:tc>
      </w:tr>
    </w:tbl>
    <w:p w14:paraId="218A01EB">
      <w:pPr>
        <w:adjustRightInd w:val="0"/>
        <w:snapToGrid w:val="0"/>
        <w:spacing w:line="360" w:lineRule="auto"/>
        <w:jc w:val="left"/>
        <w:outlineLvl w:val="9"/>
        <w:rPr>
          <w:rFonts w:ascii="宋体" w:hAnsi="宋体"/>
          <w:color w:val="auto"/>
          <w:highlight w:val="none"/>
        </w:rPr>
      </w:pPr>
      <w:r>
        <w:rPr>
          <w:rFonts w:hint="eastAsia" w:ascii="宋体" w:hAnsi="宋体" w:cs="宋体"/>
        </w:rPr>
        <w:t>说明：</w:t>
      </w:r>
      <w:r>
        <w:rPr>
          <w:rFonts w:hint="eastAsia" w:ascii="宋体" w:hAnsi="宋体"/>
        </w:rPr>
        <w:t>投标人必须严格按照《资格性审查表》的评审内容的要求如实提供证明材料</w:t>
      </w:r>
      <w:r>
        <w:rPr>
          <w:rFonts w:hint="eastAsia" w:ascii="宋体" w:hAnsi="宋体"/>
          <w:bCs/>
        </w:rPr>
        <w:t>并应加盖投标人公章,</w:t>
      </w:r>
      <w:r>
        <w:rPr>
          <w:rFonts w:hint="eastAsia" w:ascii="宋体" w:hAnsi="宋体"/>
        </w:rPr>
        <w:t>对缺漏或不符合项将直接导致无</w:t>
      </w:r>
      <w:r>
        <w:rPr>
          <w:rFonts w:hint="eastAsia" w:ascii="宋体" w:hAnsi="宋体"/>
          <w:color w:val="auto"/>
          <w:highlight w:val="none"/>
        </w:rPr>
        <w:t>效投标</w:t>
      </w:r>
      <w:r>
        <w:rPr>
          <w:rFonts w:hint="eastAsia" w:ascii="宋体" w:cs="宋体"/>
          <w:color w:val="auto"/>
          <w:szCs w:val="21"/>
          <w:highlight w:val="none"/>
        </w:rPr>
        <w:t>。</w:t>
      </w:r>
      <w:bookmarkEnd w:id="17"/>
    </w:p>
    <w:p w14:paraId="41BA4C69">
      <w:pPr>
        <w:pStyle w:val="3"/>
        <w:numPr>
          <w:ilvl w:val="0"/>
          <w:numId w:val="7"/>
        </w:numPr>
        <w:spacing w:line="240" w:lineRule="auto"/>
        <w:ind w:left="-420" w:leftChars="-200" w:firstLine="4" w:firstLineChars="0"/>
        <w:jc w:val="left"/>
        <w:outlineLvl w:val="0"/>
        <w:rPr>
          <w:rFonts w:hint="eastAsia" w:ascii="宋体" w:hAnsi="宋体" w:cs="宋体" w:eastAsiaTheme="minorEastAsia"/>
          <w:kern w:val="2"/>
          <w:sz w:val="21"/>
          <w:szCs w:val="21"/>
          <w:lang w:val="en-US" w:eastAsia="zh-CN" w:bidi="ar-SA"/>
        </w:rPr>
      </w:pPr>
      <w:bookmarkStart w:id="18" w:name="_Toc2053"/>
      <w:r>
        <w:rPr>
          <w:rFonts w:hint="eastAsia" w:ascii="宋体" w:hAnsi="宋体" w:cs="宋体"/>
          <w:kern w:val="2"/>
          <w:sz w:val="21"/>
          <w:szCs w:val="21"/>
          <w:lang w:val="en-US" w:eastAsia="zh-CN" w:bidi="ar-SA"/>
        </w:rPr>
        <w:t>符合</w:t>
      </w:r>
      <w:r>
        <w:rPr>
          <w:rFonts w:hint="eastAsia" w:ascii="宋体" w:hAnsi="宋体" w:cs="宋体" w:eastAsiaTheme="minorEastAsia"/>
          <w:kern w:val="2"/>
          <w:sz w:val="21"/>
          <w:szCs w:val="21"/>
          <w:lang w:val="en-US" w:eastAsia="zh-CN" w:bidi="ar-SA"/>
        </w:rPr>
        <w:t>性审查表</w:t>
      </w:r>
      <w:bookmarkEnd w:id="18"/>
    </w:p>
    <w:tbl>
      <w:tblPr>
        <w:tblStyle w:val="18"/>
        <w:tblW w:w="100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9319"/>
      </w:tblGrid>
      <w:tr w14:paraId="36AC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noWrap w:val="0"/>
            <w:vAlign w:val="center"/>
          </w:tcPr>
          <w:p w14:paraId="0EED1B4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b/>
                <w:color w:val="000000"/>
                <w:sz w:val="21"/>
                <w:szCs w:val="21"/>
              </w:rPr>
              <w:t>序号</w:t>
            </w:r>
          </w:p>
        </w:tc>
        <w:tc>
          <w:tcPr>
            <w:tcW w:w="9319" w:type="dxa"/>
            <w:noWrap w:val="0"/>
            <w:vAlign w:val="center"/>
          </w:tcPr>
          <w:p w14:paraId="0D35C544">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sz w:val="21"/>
                <w:szCs w:val="21"/>
              </w:rPr>
            </w:pPr>
            <w:r>
              <w:rPr>
                <w:rFonts w:hint="eastAsia" w:ascii="宋体" w:hAnsi="宋体" w:eastAsia="宋体" w:cs="宋体"/>
                <w:b/>
                <w:color w:val="000000"/>
                <w:sz w:val="21"/>
                <w:szCs w:val="21"/>
              </w:rPr>
              <w:t>符合性</w:t>
            </w:r>
            <w:r>
              <w:rPr>
                <w:rFonts w:hint="eastAsia" w:ascii="宋体" w:hAnsi="宋体" w:eastAsia="宋体" w:cs="宋体"/>
                <w:b/>
                <w:color w:val="000000"/>
                <w:sz w:val="21"/>
                <w:szCs w:val="21"/>
                <w:lang w:val="en-US" w:eastAsia="zh-CN"/>
              </w:rPr>
              <w:t>审查内容</w:t>
            </w:r>
          </w:p>
        </w:tc>
      </w:tr>
      <w:tr w14:paraId="6851F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02E74DBF">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1</w:t>
            </w:r>
          </w:p>
        </w:tc>
        <w:tc>
          <w:tcPr>
            <w:tcW w:w="9319" w:type="dxa"/>
            <w:shd w:val="clear" w:color="auto" w:fill="auto"/>
            <w:noWrap w:val="0"/>
            <w:vAlign w:val="center"/>
          </w:tcPr>
          <w:p w14:paraId="66D5BC09">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将一个包或一个标段的内容拆开投标</w:t>
            </w:r>
          </w:p>
        </w:tc>
      </w:tr>
      <w:tr w14:paraId="6CE7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3684B3EC">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2</w:t>
            </w:r>
          </w:p>
        </w:tc>
        <w:tc>
          <w:tcPr>
            <w:tcW w:w="9319" w:type="dxa"/>
            <w:shd w:val="clear" w:color="auto" w:fill="auto"/>
            <w:noWrap w:val="0"/>
            <w:vAlign w:val="center"/>
          </w:tcPr>
          <w:p w14:paraId="5094F6E0">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投标文件及开标一览表未按</w:t>
            </w:r>
            <w:r>
              <w:rPr>
                <w:rFonts w:hint="eastAsia"/>
                <w:lang w:val="en-US" w:eastAsia="zh-CN"/>
              </w:rPr>
              <w:t>征集</w:t>
            </w:r>
            <w:r>
              <w:rPr>
                <w:rFonts w:hint="eastAsia"/>
              </w:rPr>
              <w:t>文件规定密封、签字、盖章</w:t>
            </w:r>
          </w:p>
        </w:tc>
      </w:tr>
      <w:tr w14:paraId="4C9A4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29F5E7CB">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3</w:t>
            </w:r>
          </w:p>
        </w:tc>
        <w:tc>
          <w:tcPr>
            <w:tcW w:w="9319" w:type="dxa"/>
            <w:shd w:val="clear" w:color="auto" w:fill="auto"/>
            <w:noWrap w:val="0"/>
            <w:vAlign w:val="center"/>
          </w:tcPr>
          <w:p w14:paraId="2FA4074E">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征集</w:t>
            </w:r>
            <w:r>
              <w:rPr>
                <w:rFonts w:hint="eastAsia" w:ascii="宋体" w:hAnsi="宋体" w:eastAsia="宋体" w:cs="宋体"/>
                <w:sz w:val="21"/>
                <w:szCs w:val="21"/>
              </w:rPr>
              <w:t>文件未规定允许有替代方案时，对同一项目投标时，同时提供两套或两套以上的投标方案</w:t>
            </w:r>
          </w:p>
        </w:tc>
      </w:tr>
      <w:tr w14:paraId="0CFD4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65F1BD05">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w:t>
            </w:r>
          </w:p>
        </w:tc>
        <w:tc>
          <w:tcPr>
            <w:tcW w:w="9319" w:type="dxa"/>
            <w:shd w:val="clear" w:color="auto" w:fill="auto"/>
            <w:noWrap w:val="0"/>
            <w:vAlign w:val="center"/>
          </w:tcPr>
          <w:p w14:paraId="2F67352B">
            <w:pPr>
              <w:keepNext w:val="0"/>
              <w:keepLines w:val="0"/>
              <w:suppressLineNumbers w:val="0"/>
              <w:spacing w:before="0" w:beforeAutospacing="0" w:after="0" w:afterAutospacing="0"/>
              <w:ind w:left="0" w:leftChars="0" w:right="0" w:rightChars="0"/>
              <w:rPr>
                <w:rFonts w:hint="eastAsia" w:ascii="宋体" w:hAnsi="宋体" w:eastAsia="宋体" w:cs="宋体"/>
                <w:sz w:val="21"/>
                <w:szCs w:val="21"/>
                <w:lang w:val="en-US" w:eastAsia="zh-CN"/>
              </w:rPr>
            </w:pPr>
            <w:r>
              <w:rPr>
                <w:rFonts w:hint="eastAsia"/>
              </w:rPr>
              <w:t>未按照</w:t>
            </w:r>
            <w:r>
              <w:rPr>
                <w:rFonts w:hint="eastAsia"/>
                <w:lang w:val="en-US" w:eastAsia="zh-CN"/>
              </w:rPr>
              <w:t>征集</w:t>
            </w:r>
            <w:r>
              <w:rPr>
                <w:rFonts w:hint="eastAsia"/>
              </w:rPr>
              <w:t>文件规定要求签署、盖章或投标文件没有法定代表人签字，或签字人没有法定代表人有效授权书的</w:t>
            </w:r>
          </w:p>
        </w:tc>
      </w:tr>
      <w:tr w14:paraId="07C15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15D79638">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w:t>
            </w:r>
          </w:p>
        </w:tc>
        <w:tc>
          <w:tcPr>
            <w:tcW w:w="9319" w:type="dxa"/>
            <w:shd w:val="clear" w:color="auto" w:fill="auto"/>
            <w:noWrap w:val="0"/>
            <w:vAlign w:val="center"/>
          </w:tcPr>
          <w:p w14:paraId="50C53FF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分项报价或投标总价高于预算金额（最高投标限价）的，或未按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文件要求报价的</w:t>
            </w:r>
          </w:p>
        </w:tc>
      </w:tr>
      <w:tr w14:paraId="2903A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54B0DFA4">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6</w:t>
            </w:r>
          </w:p>
        </w:tc>
        <w:tc>
          <w:tcPr>
            <w:tcW w:w="9319" w:type="dxa"/>
            <w:shd w:val="clear" w:color="auto" w:fill="auto"/>
            <w:noWrap w:val="0"/>
            <w:vAlign w:val="center"/>
          </w:tcPr>
          <w:p w14:paraId="6012D7A7">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同一项目出现两个及以上报价，按规定又无法确定哪个是有效报价</w:t>
            </w:r>
          </w:p>
        </w:tc>
      </w:tr>
      <w:tr w14:paraId="0944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jc w:val="center"/>
        </w:trPr>
        <w:tc>
          <w:tcPr>
            <w:tcW w:w="685" w:type="dxa"/>
            <w:shd w:val="clear" w:color="auto" w:fill="auto"/>
            <w:noWrap w:val="0"/>
            <w:vAlign w:val="center"/>
          </w:tcPr>
          <w:p w14:paraId="3B2F8E97">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7</w:t>
            </w:r>
          </w:p>
        </w:tc>
        <w:tc>
          <w:tcPr>
            <w:tcW w:w="9319" w:type="dxa"/>
            <w:shd w:val="clear" w:color="auto" w:fill="auto"/>
            <w:noWrap w:val="0"/>
            <w:vAlign w:val="center"/>
          </w:tcPr>
          <w:p w14:paraId="615E946B">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bCs/>
                <w:color w:val="000000"/>
                <w:sz w:val="21"/>
                <w:szCs w:val="21"/>
                <w:highlight w:val="none"/>
              </w:rPr>
              <w:t>根据《关于推动解决政府采购异常低价问题的通知》（财库〔2026〕2号）要求，结合本项目实际情况，本项目评审中出现异常低价情形之一的，评审委员会应当启动异常低价投标（响应）审查程序。</w:t>
            </w:r>
          </w:p>
        </w:tc>
      </w:tr>
      <w:tr w14:paraId="5F89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2CBFECB3">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8</w:t>
            </w:r>
          </w:p>
        </w:tc>
        <w:tc>
          <w:tcPr>
            <w:tcW w:w="9319" w:type="dxa"/>
            <w:shd w:val="clear" w:color="auto" w:fill="auto"/>
            <w:noWrap w:val="0"/>
            <w:vAlign w:val="center"/>
          </w:tcPr>
          <w:p w14:paraId="07E171B0">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所投货物、服务在技术、商务等方面没有实质性满足</w:t>
            </w:r>
            <w:r>
              <w:rPr>
                <w:rFonts w:hint="eastAsia" w:ascii="宋体" w:hAnsi="宋体" w:eastAsia="宋体" w:cs="宋体"/>
                <w:sz w:val="21"/>
                <w:szCs w:val="21"/>
                <w:lang w:eastAsia="zh-CN"/>
              </w:rPr>
              <w:t>征集</w:t>
            </w:r>
            <w:r>
              <w:rPr>
                <w:rFonts w:hint="eastAsia" w:ascii="宋体" w:hAnsi="宋体" w:eastAsia="宋体" w:cs="宋体"/>
                <w:sz w:val="21"/>
                <w:szCs w:val="21"/>
              </w:rPr>
              <w:t>文件要求的</w:t>
            </w:r>
          </w:p>
        </w:tc>
      </w:tr>
      <w:tr w14:paraId="78D26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584C9650">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9</w:t>
            </w:r>
          </w:p>
        </w:tc>
        <w:tc>
          <w:tcPr>
            <w:tcW w:w="9319" w:type="dxa"/>
            <w:shd w:val="clear" w:color="auto" w:fill="auto"/>
            <w:noWrap w:val="0"/>
            <w:vAlign w:val="center"/>
          </w:tcPr>
          <w:p w14:paraId="0ECC4208">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文件中标注“★”的条款响应为负偏离的</w:t>
            </w:r>
          </w:p>
        </w:tc>
      </w:tr>
      <w:tr w14:paraId="5B35D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41899103">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w:t>
            </w:r>
          </w:p>
        </w:tc>
        <w:tc>
          <w:tcPr>
            <w:tcW w:w="9319" w:type="dxa"/>
            <w:shd w:val="clear" w:color="auto" w:fill="auto"/>
            <w:noWrap w:val="0"/>
            <w:vAlign w:val="center"/>
          </w:tcPr>
          <w:p w14:paraId="4504AFE9">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文件对采购标的响应不全（响应不全情形包括：投标报价有缺漏项，对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文件规定的项目需求内容或者需求数量进行修改，未填写所投货物的品牌、规格、型号、制造商、原产地）</w:t>
            </w:r>
          </w:p>
        </w:tc>
      </w:tr>
      <w:tr w14:paraId="7E2BD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0EF1F89F">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11</w:t>
            </w:r>
          </w:p>
        </w:tc>
        <w:tc>
          <w:tcPr>
            <w:tcW w:w="9319" w:type="dxa"/>
            <w:shd w:val="clear" w:color="auto" w:fill="auto"/>
            <w:noWrap w:val="0"/>
            <w:vAlign w:val="center"/>
          </w:tcPr>
          <w:p w14:paraId="55DC8266">
            <w:pPr>
              <w:keepNext w:val="0"/>
              <w:keepLines w:val="0"/>
              <w:suppressLineNumbers w:val="0"/>
              <w:spacing w:before="0" w:beforeAutospacing="0" w:after="0" w:afterAutospacing="0"/>
              <w:ind w:left="0" w:leftChars="0" w:right="0" w:rightChars="0"/>
              <w:rPr>
                <w:rFonts w:hint="default" w:ascii="宋体" w:hAnsi="宋体" w:eastAsia="宋体" w:cs="宋体"/>
                <w:kern w:val="2"/>
                <w:sz w:val="21"/>
                <w:szCs w:val="21"/>
                <w:lang w:val="en-US" w:eastAsia="zh-CN" w:bidi="ar-SA"/>
              </w:rPr>
            </w:pPr>
            <w:r>
              <w:rPr>
                <w:rFonts w:hint="eastAsia" w:ascii="宋体" w:hAnsi="宋体" w:eastAsia="宋体" w:cs="宋体"/>
                <w:sz w:val="21"/>
                <w:szCs w:val="21"/>
              </w:rPr>
              <w:t>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文件附件所提供的样式和要求完整填写“投标函及履约承诺函”，或投标文件组成部分不符合</w:t>
            </w:r>
            <w:r>
              <w:rPr>
                <w:rFonts w:hint="eastAsia" w:ascii="宋体" w:hAnsi="宋体" w:eastAsia="宋体" w:cs="宋体"/>
                <w:sz w:val="21"/>
                <w:szCs w:val="21"/>
                <w:lang w:val="en-US" w:eastAsia="zh-CN"/>
              </w:rPr>
              <w:t>征集文件</w:t>
            </w:r>
            <w:r>
              <w:rPr>
                <w:rFonts w:hint="eastAsia" w:ascii="宋体" w:hAnsi="宋体" w:eastAsia="宋体" w:cs="宋体"/>
                <w:sz w:val="21"/>
                <w:szCs w:val="21"/>
              </w:rPr>
              <w:t>规定的</w:t>
            </w:r>
          </w:p>
        </w:tc>
      </w:tr>
      <w:tr w14:paraId="10E3F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77071F0B">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12</w:t>
            </w:r>
          </w:p>
        </w:tc>
        <w:tc>
          <w:tcPr>
            <w:tcW w:w="9319" w:type="dxa"/>
            <w:shd w:val="clear" w:color="auto" w:fill="auto"/>
            <w:noWrap w:val="0"/>
            <w:vAlign w:val="center"/>
          </w:tcPr>
          <w:p w14:paraId="659C8E57">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投标文件附有采购人或</w:t>
            </w:r>
            <w:r>
              <w:rPr>
                <w:rFonts w:hint="eastAsia" w:ascii="宋体" w:hAnsi="宋体" w:eastAsia="宋体" w:cs="宋体"/>
                <w:sz w:val="21"/>
                <w:szCs w:val="21"/>
                <w:lang w:eastAsia="zh-CN"/>
              </w:rPr>
              <w:t>征集</w:t>
            </w:r>
            <w:r>
              <w:rPr>
                <w:rFonts w:hint="eastAsia" w:ascii="宋体" w:hAnsi="宋体" w:eastAsia="宋体" w:cs="宋体"/>
                <w:sz w:val="21"/>
                <w:szCs w:val="21"/>
              </w:rPr>
              <w:t>需求不能接受的条件</w:t>
            </w:r>
          </w:p>
        </w:tc>
      </w:tr>
      <w:tr w14:paraId="4FDF8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28D15117">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1</w:t>
            </w:r>
            <w:r>
              <w:rPr>
                <w:rFonts w:hint="eastAsia" w:ascii="宋体" w:hAnsi="宋体" w:eastAsia="宋体" w:cs="宋体"/>
                <w:sz w:val="21"/>
                <w:szCs w:val="21"/>
                <w:lang w:val="en-US" w:eastAsia="zh-CN"/>
              </w:rPr>
              <w:t>3</w:t>
            </w:r>
          </w:p>
        </w:tc>
        <w:tc>
          <w:tcPr>
            <w:tcW w:w="9319" w:type="dxa"/>
            <w:shd w:val="clear" w:color="auto" w:fill="auto"/>
            <w:noWrap w:val="0"/>
            <w:vAlign w:val="center"/>
          </w:tcPr>
          <w:p w14:paraId="6B1EEF3D">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default" w:cs="Times New Roman"/>
              </w:rPr>
              <w:t>法律、法规规定的属于投标无效的其他情形</w:t>
            </w:r>
          </w:p>
        </w:tc>
      </w:tr>
    </w:tbl>
    <w:p w14:paraId="544B3F43">
      <w:pPr>
        <w:tabs>
          <w:tab w:val="left" w:pos="420"/>
          <w:tab w:val="left" w:pos="630"/>
        </w:tabs>
        <w:autoSpaceDE w:val="0"/>
        <w:autoSpaceDN w:val="0"/>
        <w:adjustRightInd w:val="0"/>
        <w:spacing w:line="360" w:lineRule="auto"/>
        <w:rPr>
          <w:rFonts w:hint="eastAsia" w:ascii="宋体" w:cs="宋体"/>
          <w:szCs w:val="21"/>
        </w:rPr>
      </w:pPr>
      <w:r>
        <w:rPr>
          <w:rFonts w:hint="eastAsia" w:ascii="宋体" w:hAnsi="宋体"/>
          <w:szCs w:val="21"/>
        </w:rPr>
        <w:t>说明：</w:t>
      </w:r>
      <w:r>
        <w:rPr>
          <w:rFonts w:hint="eastAsia" w:ascii="宋体" w:hAnsi="宋体"/>
        </w:rPr>
        <w:t>投标人必须严格按照《符合性审查表》的评审内容的要求如实提供证明材料</w:t>
      </w:r>
      <w:r>
        <w:rPr>
          <w:rFonts w:hint="eastAsia" w:ascii="宋体" w:hAnsi="宋体"/>
          <w:bCs/>
        </w:rPr>
        <w:t>并应加盖投标人公章,</w:t>
      </w:r>
      <w:r>
        <w:rPr>
          <w:rFonts w:hint="eastAsia" w:ascii="宋体" w:hAnsi="宋体"/>
        </w:rPr>
        <w:t>对缺漏或不符合项将直接导致无效投标</w:t>
      </w:r>
      <w:r>
        <w:rPr>
          <w:rFonts w:hint="eastAsia" w:ascii="宋体" w:cs="宋体"/>
          <w:szCs w:val="21"/>
        </w:rPr>
        <w:t>。</w:t>
      </w:r>
    </w:p>
    <w:p w14:paraId="619B9638">
      <w:pPr>
        <w:tabs>
          <w:tab w:val="left" w:pos="420"/>
          <w:tab w:val="left" w:pos="630"/>
        </w:tabs>
        <w:autoSpaceDE w:val="0"/>
        <w:autoSpaceDN w:val="0"/>
        <w:adjustRightInd w:val="0"/>
        <w:spacing w:line="360" w:lineRule="auto"/>
        <w:rPr>
          <w:rFonts w:hint="eastAsia" w:ascii="宋体" w:cs="宋体"/>
          <w:szCs w:val="21"/>
        </w:rPr>
      </w:pPr>
    </w:p>
    <w:p w14:paraId="58D1A2AD">
      <w:pPr>
        <w:pStyle w:val="5"/>
        <w:numPr>
          <w:ilvl w:val="0"/>
          <w:numId w:val="8"/>
        </w:numPr>
        <w:ind w:left="0" w:leftChars="0" w:firstLine="0" w:firstLineChars="0"/>
        <w:jc w:val="left"/>
        <w:outlineLvl w:val="0"/>
        <w:rPr>
          <w:color w:val="auto"/>
        </w:rPr>
      </w:pPr>
      <w:bookmarkStart w:id="19" w:name="_Toc10843"/>
      <w:r>
        <w:rPr>
          <w:rFonts w:hint="eastAsia" w:ascii="宋体" w:hAnsi="宋体" w:cs="宋体" w:eastAsiaTheme="minorEastAsia"/>
          <w:kern w:val="2"/>
          <w:sz w:val="21"/>
          <w:szCs w:val="21"/>
          <w:lang w:val="en-US" w:eastAsia="zh-CN" w:bidi="ar-SA"/>
        </w:rPr>
        <w:t>福田区自行采购供应商资格审查表</w:t>
      </w:r>
      <w:bookmarkEnd w:id="19"/>
    </w:p>
    <w:tbl>
      <w:tblPr>
        <w:tblStyle w:val="19"/>
        <w:tblW w:w="112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2146"/>
        <w:gridCol w:w="3257"/>
        <w:gridCol w:w="1150"/>
        <w:gridCol w:w="1150"/>
        <w:gridCol w:w="1150"/>
        <w:gridCol w:w="1644"/>
      </w:tblGrid>
      <w:tr w14:paraId="6FD99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768" w:type="dxa"/>
            <w:noWrap w:val="0"/>
            <w:vAlign w:val="center"/>
          </w:tcPr>
          <w:p w14:paraId="32D01AB9">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序号</w:t>
            </w:r>
          </w:p>
        </w:tc>
        <w:tc>
          <w:tcPr>
            <w:tcW w:w="2146" w:type="dxa"/>
            <w:noWrap w:val="0"/>
            <w:vAlign w:val="center"/>
          </w:tcPr>
          <w:p w14:paraId="059D0031">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审查内容</w:t>
            </w:r>
          </w:p>
        </w:tc>
        <w:tc>
          <w:tcPr>
            <w:tcW w:w="3257" w:type="dxa"/>
            <w:noWrap w:val="0"/>
            <w:vAlign w:val="center"/>
          </w:tcPr>
          <w:p w14:paraId="2F9C71D5">
            <w:pPr>
              <w:keepNext w:val="0"/>
              <w:keepLines w:val="0"/>
              <w:widowControl/>
              <w:suppressLineNumbers w:val="0"/>
              <w:spacing w:before="0" w:beforeLines="0" w:beforeAutospacing="0" w:after="0" w:afterLines="0" w:afterAutospacing="0" w:line="380" w:lineRule="exact"/>
              <w:ind w:left="0" w:right="0"/>
              <w:jc w:val="center"/>
              <w:rPr>
                <w:rFonts w:hint="default" w:ascii="黑体" w:hAnsi="黑体" w:eastAsia="黑体" w:cs="仿宋_GB2312"/>
                <w:color w:val="auto"/>
                <w:sz w:val="21"/>
                <w:szCs w:val="21"/>
                <w:highlight w:val="none"/>
                <w:u w:val="none"/>
                <w:vertAlign w:val="baseline"/>
                <w:lang w:val="en-US" w:eastAsia="zh-CN"/>
              </w:rPr>
            </w:pPr>
            <w:r>
              <w:rPr>
                <w:rFonts w:hint="eastAsia" w:ascii="黑体" w:hAnsi="黑体" w:eastAsia="黑体" w:cs="仿宋_GB2312"/>
                <w:color w:val="auto"/>
                <w:sz w:val="21"/>
                <w:szCs w:val="21"/>
                <w:highlight w:val="none"/>
                <w:u w:val="none"/>
                <w:vertAlign w:val="baseline"/>
                <w:lang w:eastAsia="zh-CN"/>
              </w:rPr>
              <w:t>审查方式</w:t>
            </w:r>
            <w:r>
              <w:rPr>
                <w:rFonts w:hint="eastAsia" w:ascii="黑体" w:hAnsi="黑体" w:eastAsia="黑体" w:cs="仿宋_GB2312"/>
                <w:color w:val="auto"/>
                <w:sz w:val="21"/>
                <w:szCs w:val="21"/>
                <w:highlight w:val="none"/>
                <w:u w:val="none"/>
                <w:vertAlign w:val="baseline"/>
                <w:lang w:val="en-US" w:eastAsia="zh-CN"/>
              </w:rPr>
              <w:t>/查询途径</w:t>
            </w:r>
          </w:p>
        </w:tc>
        <w:tc>
          <w:tcPr>
            <w:tcW w:w="1150" w:type="dxa"/>
            <w:noWrap w:val="0"/>
            <w:vAlign w:val="center"/>
          </w:tcPr>
          <w:p w14:paraId="47502B16">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val="en-US" w:eastAsia="zh-CN"/>
              </w:rPr>
            </w:pPr>
            <w:r>
              <w:rPr>
                <w:rFonts w:hint="eastAsia" w:ascii="黑体" w:hAnsi="黑体" w:eastAsia="黑体" w:cs="仿宋_GB2312"/>
                <w:color w:val="auto"/>
                <w:sz w:val="21"/>
                <w:szCs w:val="21"/>
                <w:highlight w:val="none"/>
                <w:u w:val="none"/>
                <w:vertAlign w:val="baseline"/>
                <w:lang w:val="en-US" w:eastAsia="zh-CN"/>
              </w:rPr>
              <w:t>XX公司</w:t>
            </w:r>
          </w:p>
          <w:p w14:paraId="1B574F36">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审查结果</w:t>
            </w:r>
          </w:p>
        </w:tc>
        <w:tc>
          <w:tcPr>
            <w:tcW w:w="1150" w:type="dxa"/>
            <w:noWrap w:val="0"/>
            <w:vAlign w:val="center"/>
          </w:tcPr>
          <w:p w14:paraId="5CD13CEC">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val="en-US" w:eastAsia="zh-CN"/>
              </w:rPr>
            </w:pPr>
            <w:r>
              <w:rPr>
                <w:rFonts w:hint="eastAsia" w:ascii="黑体" w:hAnsi="黑体" w:eastAsia="黑体" w:cs="仿宋_GB2312"/>
                <w:color w:val="auto"/>
                <w:sz w:val="21"/>
                <w:szCs w:val="21"/>
                <w:highlight w:val="none"/>
                <w:u w:val="none"/>
                <w:vertAlign w:val="baseline"/>
                <w:lang w:val="en-US" w:eastAsia="zh-CN"/>
              </w:rPr>
              <w:t>XX公司</w:t>
            </w:r>
          </w:p>
          <w:p w14:paraId="4D1C1DC1">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审查结果</w:t>
            </w:r>
          </w:p>
        </w:tc>
        <w:tc>
          <w:tcPr>
            <w:tcW w:w="1150" w:type="dxa"/>
            <w:noWrap w:val="0"/>
            <w:vAlign w:val="center"/>
          </w:tcPr>
          <w:p w14:paraId="377759A0">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val="en-US" w:eastAsia="zh-CN"/>
              </w:rPr>
              <w:t>……</w:t>
            </w:r>
          </w:p>
        </w:tc>
        <w:tc>
          <w:tcPr>
            <w:tcW w:w="1644" w:type="dxa"/>
            <w:noWrap w:val="0"/>
            <w:vAlign w:val="center"/>
          </w:tcPr>
          <w:p w14:paraId="466F1B24">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备注</w:t>
            </w:r>
          </w:p>
        </w:tc>
      </w:tr>
      <w:tr w14:paraId="01F9A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66E81D1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1</w:t>
            </w:r>
          </w:p>
        </w:tc>
        <w:tc>
          <w:tcPr>
            <w:tcW w:w="2146" w:type="dxa"/>
            <w:noWrap w:val="0"/>
            <w:vAlign w:val="center"/>
          </w:tcPr>
          <w:p w14:paraId="5DBA137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rPr>
            </w:pPr>
            <w:r>
              <w:rPr>
                <w:rFonts w:hint="eastAsia" w:ascii="仿宋_GB2312" w:hAnsi="仿宋_GB2312" w:eastAsia="仿宋_GB2312" w:cs="仿宋_GB2312"/>
                <w:color w:val="auto"/>
                <w:spacing w:val="-11"/>
                <w:sz w:val="21"/>
                <w:szCs w:val="21"/>
                <w:highlight w:val="none"/>
                <w:u w:val="none"/>
                <w:lang w:eastAsia="zh-CN"/>
              </w:rPr>
              <w:t>资质</w:t>
            </w:r>
            <w:r>
              <w:rPr>
                <w:rFonts w:hint="eastAsia" w:ascii="仿宋_GB2312" w:hAnsi="仿宋_GB2312" w:eastAsia="仿宋_GB2312" w:cs="仿宋_GB2312"/>
                <w:color w:val="auto"/>
                <w:spacing w:val="-11"/>
                <w:sz w:val="21"/>
                <w:szCs w:val="21"/>
                <w:highlight w:val="none"/>
                <w:u w:val="none"/>
              </w:rPr>
              <w:t>条件</w:t>
            </w:r>
          </w:p>
        </w:tc>
        <w:tc>
          <w:tcPr>
            <w:tcW w:w="3257" w:type="dxa"/>
            <w:noWrap w:val="0"/>
            <w:vAlign w:val="center"/>
          </w:tcPr>
          <w:p w14:paraId="55589E4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rPr>
            </w:pPr>
            <w:r>
              <w:rPr>
                <w:rFonts w:hint="eastAsia" w:ascii="仿宋_GB2312" w:hAnsi="仿宋_GB2312" w:eastAsia="仿宋_GB2312" w:cs="仿宋_GB2312"/>
                <w:color w:val="auto"/>
                <w:spacing w:val="-11"/>
                <w:sz w:val="21"/>
                <w:szCs w:val="21"/>
                <w:highlight w:val="none"/>
                <w:u w:val="none"/>
                <w:vertAlign w:val="baseline"/>
                <w:lang w:eastAsia="zh-CN"/>
              </w:rPr>
              <w:t>根据采购文件的规定，要求供应商提供资质证明材料或采购人自行通过公开渠道查询</w:t>
            </w:r>
          </w:p>
        </w:tc>
        <w:tc>
          <w:tcPr>
            <w:tcW w:w="1150" w:type="dxa"/>
            <w:noWrap w:val="0"/>
            <w:vAlign w:val="center"/>
          </w:tcPr>
          <w:p w14:paraId="19582C5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6DD0C31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6A6A97F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0B50EF1E">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684C8CE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sym w:font="Wingdings 2" w:char="00A3"/>
            </w:r>
            <w:r>
              <w:rPr>
                <w:rFonts w:hint="eastAsia" w:ascii="仿宋_GB2312" w:hAnsi="仿宋_GB2312" w:eastAsia="仿宋_GB2312" w:cs="仿宋_GB2312"/>
                <w:color w:val="auto"/>
                <w:spacing w:val="-11"/>
                <w:sz w:val="21"/>
                <w:szCs w:val="21"/>
                <w:highlight w:val="none"/>
                <w:u w:val="none"/>
                <w:lang w:eastAsia="zh-CN"/>
              </w:rPr>
              <w:t>通过</w:t>
            </w:r>
          </w:p>
          <w:p w14:paraId="739018D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644" w:type="dxa"/>
            <w:noWrap w:val="0"/>
            <w:vAlign w:val="center"/>
          </w:tcPr>
          <w:p w14:paraId="65F56D5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采购人应当在采购文件事先明确具体的审查方式</w:t>
            </w:r>
          </w:p>
        </w:tc>
      </w:tr>
      <w:tr w14:paraId="22667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294A446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2</w:t>
            </w:r>
          </w:p>
        </w:tc>
        <w:tc>
          <w:tcPr>
            <w:tcW w:w="2146" w:type="dxa"/>
            <w:noWrap w:val="0"/>
            <w:vAlign w:val="center"/>
          </w:tcPr>
          <w:p w14:paraId="29BAD37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rPr>
              <w:t>是否存在</w:t>
            </w:r>
            <w:r>
              <w:rPr>
                <w:rFonts w:hint="eastAsia" w:ascii="仿宋_GB2312" w:hAnsi="仿宋_GB2312" w:eastAsia="仿宋_GB2312" w:cs="仿宋_GB2312"/>
                <w:color w:val="auto"/>
                <w:spacing w:val="-11"/>
                <w:sz w:val="21"/>
                <w:szCs w:val="21"/>
                <w:highlight w:val="none"/>
                <w:u w:val="none"/>
                <w:lang w:eastAsia="zh-CN"/>
              </w:rPr>
              <w:t>因</w:t>
            </w:r>
            <w:r>
              <w:rPr>
                <w:rFonts w:hint="eastAsia" w:ascii="仿宋_GB2312" w:hAnsi="仿宋_GB2312" w:eastAsia="仿宋_GB2312" w:cs="仿宋_GB2312"/>
                <w:color w:val="auto"/>
                <w:spacing w:val="-11"/>
                <w:sz w:val="21"/>
                <w:szCs w:val="21"/>
                <w:highlight w:val="none"/>
                <w:u w:val="none"/>
              </w:rPr>
              <w:t>违法行为</w:t>
            </w:r>
            <w:r>
              <w:rPr>
                <w:rFonts w:hint="eastAsia" w:ascii="仿宋_GB2312" w:hAnsi="仿宋_GB2312" w:eastAsia="仿宋_GB2312" w:cs="仿宋_GB2312"/>
                <w:color w:val="auto"/>
                <w:spacing w:val="-11"/>
                <w:sz w:val="21"/>
                <w:szCs w:val="21"/>
                <w:highlight w:val="none"/>
                <w:u w:val="none"/>
                <w:lang w:eastAsia="zh-CN"/>
              </w:rPr>
              <w:t>而</w:t>
            </w:r>
            <w:r>
              <w:rPr>
                <w:rFonts w:hint="eastAsia" w:ascii="仿宋_GB2312" w:hAnsi="仿宋_GB2312" w:eastAsia="仿宋_GB2312" w:cs="仿宋_GB2312"/>
                <w:color w:val="auto"/>
                <w:spacing w:val="-11"/>
                <w:sz w:val="21"/>
                <w:szCs w:val="21"/>
                <w:highlight w:val="none"/>
                <w:u w:val="none"/>
              </w:rPr>
              <w:t>被禁止参加</w:t>
            </w:r>
            <w:r>
              <w:rPr>
                <w:rFonts w:hint="eastAsia" w:ascii="仿宋_GB2312" w:hAnsi="仿宋_GB2312" w:eastAsia="仿宋_GB2312" w:cs="仿宋_GB2312"/>
                <w:color w:val="auto"/>
                <w:spacing w:val="-11"/>
                <w:sz w:val="21"/>
                <w:szCs w:val="21"/>
                <w:highlight w:val="none"/>
                <w:u w:val="none"/>
                <w:lang w:eastAsia="zh-CN"/>
              </w:rPr>
              <w:t>本市</w:t>
            </w:r>
            <w:r>
              <w:rPr>
                <w:rFonts w:hint="eastAsia" w:ascii="仿宋_GB2312" w:hAnsi="仿宋_GB2312" w:eastAsia="仿宋_GB2312" w:cs="仿宋_GB2312"/>
                <w:color w:val="auto"/>
                <w:spacing w:val="-11"/>
                <w:sz w:val="21"/>
                <w:szCs w:val="21"/>
                <w:highlight w:val="none"/>
                <w:u w:val="none"/>
              </w:rPr>
              <w:t>政府采购活动</w:t>
            </w:r>
            <w:r>
              <w:rPr>
                <w:rFonts w:hint="eastAsia" w:ascii="仿宋_GB2312" w:hAnsi="仿宋_GB2312" w:eastAsia="仿宋_GB2312" w:cs="仿宋_GB2312"/>
                <w:color w:val="auto"/>
                <w:spacing w:val="-11"/>
                <w:sz w:val="21"/>
                <w:szCs w:val="21"/>
                <w:highlight w:val="none"/>
                <w:u w:val="none"/>
                <w:lang w:eastAsia="zh-CN"/>
              </w:rPr>
              <w:t>的情形</w:t>
            </w:r>
          </w:p>
        </w:tc>
        <w:tc>
          <w:tcPr>
            <w:tcW w:w="3257" w:type="dxa"/>
            <w:noWrap w:val="0"/>
            <w:vAlign w:val="center"/>
          </w:tcPr>
          <w:p w14:paraId="4B1C3D5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pP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中国政府采购网（</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"http://www.ccgp.gov.cn/search/cr/"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http://www.ccgp.gov.cn/search/cr/</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w:t>
            </w:r>
          </w:p>
          <w:p w14:paraId="70163EAC">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bidi="ar"/>
              </w:rPr>
            </w:pP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深圳市政府采购监管网（</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"http://zfcg.sz.gov.cn/cgjg/cxda/index.html"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http://zfcg.sz.gov.cn/cgjg/cxda/index.html</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w:t>
            </w:r>
          </w:p>
        </w:tc>
        <w:tc>
          <w:tcPr>
            <w:tcW w:w="1150" w:type="dxa"/>
            <w:noWrap w:val="0"/>
            <w:vAlign w:val="center"/>
          </w:tcPr>
          <w:p w14:paraId="740F657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eastAsia="zh-CN" w:bidi="ar"/>
              </w:rPr>
              <w:t>□是</w:t>
            </w:r>
          </w:p>
          <w:p w14:paraId="0F7AA86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bidi="ar"/>
              </w:rPr>
              <w:t>□</w:t>
            </w:r>
            <w:r>
              <w:rPr>
                <w:rFonts w:hint="eastAsia" w:ascii="仿宋_GB2312" w:hAnsi="仿宋_GB2312" w:eastAsia="仿宋_GB2312" w:cs="仿宋_GB2312"/>
                <w:color w:val="auto"/>
                <w:spacing w:val="-11"/>
                <w:sz w:val="21"/>
                <w:szCs w:val="21"/>
                <w:highlight w:val="none"/>
                <w:u w:val="none"/>
                <w:lang w:eastAsia="zh-CN" w:bidi="ar"/>
              </w:rPr>
              <w:t>否</w:t>
            </w:r>
          </w:p>
        </w:tc>
        <w:tc>
          <w:tcPr>
            <w:tcW w:w="1150" w:type="dxa"/>
            <w:noWrap w:val="0"/>
            <w:vAlign w:val="center"/>
          </w:tcPr>
          <w:p w14:paraId="551C558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eastAsia="zh-CN" w:bidi="ar"/>
              </w:rPr>
              <w:t>□是</w:t>
            </w:r>
          </w:p>
          <w:p w14:paraId="20A79B0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lang w:bidi="ar"/>
              </w:rPr>
              <w:t>□</w:t>
            </w:r>
            <w:r>
              <w:rPr>
                <w:rFonts w:hint="eastAsia" w:ascii="仿宋_GB2312" w:hAnsi="仿宋_GB2312" w:eastAsia="仿宋_GB2312" w:cs="仿宋_GB2312"/>
                <w:color w:val="auto"/>
                <w:spacing w:val="-11"/>
                <w:sz w:val="21"/>
                <w:szCs w:val="21"/>
                <w:highlight w:val="none"/>
                <w:u w:val="none"/>
                <w:lang w:eastAsia="zh-CN" w:bidi="ar"/>
              </w:rPr>
              <w:t>否</w:t>
            </w:r>
          </w:p>
        </w:tc>
        <w:tc>
          <w:tcPr>
            <w:tcW w:w="1150" w:type="dxa"/>
            <w:noWrap w:val="0"/>
            <w:vAlign w:val="center"/>
          </w:tcPr>
          <w:p w14:paraId="1F3DF35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eastAsia="zh-CN" w:bidi="ar"/>
              </w:rPr>
              <w:t>□是</w:t>
            </w:r>
          </w:p>
          <w:p w14:paraId="2A1D88E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lang w:bidi="ar"/>
              </w:rPr>
              <w:t>□</w:t>
            </w:r>
            <w:r>
              <w:rPr>
                <w:rFonts w:hint="eastAsia" w:ascii="仿宋_GB2312" w:hAnsi="仿宋_GB2312" w:eastAsia="仿宋_GB2312" w:cs="仿宋_GB2312"/>
                <w:color w:val="auto"/>
                <w:spacing w:val="-11"/>
                <w:sz w:val="21"/>
                <w:szCs w:val="21"/>
                <w:highlight w:val="none"/>
                <w:u w:val="none"/>
                <w:lang w:eastAsia="zh-CN" w:bidi="ar"/>
              </w:rPr>
              <w:t>否</w:t>
            </w:r>
          </w:p>
        </w:tc>
        <w:tc>
          <w:tcPr>
            <w:tcW w:w="1644" w:type="dxa"/>
            <w:noWrap w:val="0"/>
            <w:vAlign w:val="center"/>
          </w:tcPr>
          <w:p w14:paraId="57C93CD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kern w:val="2"/>
                <w:sz w:val="21"/>
                <w:szCs w:val="21"/>
                <w:highlight w:val="none"/>
                <w:u w:val="none"/>
                <w:lang w:val="en-US" w:eastAsia="zh-CN" w:bidi="ar-SA"/>
              </w:rPr>
              <w:t>若选择“是”，则属于审查不通过。</w:t>
            </w:r>
          </w:p>
        </w:tc>
      </w:tr>
      <w:tr w14:paraId="0305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11FFD6D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3</w:t>
            </w:r>
          </w:p>
        </w:tc>
        <w:tc>
          <w:tcPr>
            <w:tcW w:w="2146" w:type="dxa"/>
            <w:noWrap w:val="0"/>
            <w:vAlign w:val="center"/>
          </w:tcPr>
          <w:p w14:paraId="0CECC22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不同投标供应商的法定代表人、主要经营负责人、投标授权代表人、项目负责人、主要技术人员是否为同一人、属同一单位或者在同一单位缴纳社会保险</w:t>
            </w:r>
          </w:p>
        </w:tc>
        <w:tc>
          <w:tcPr>
            <w:tcW w:w="3257" w:type="dxa"/>
            <w:noWrap w:val="0"/>
            <w:vAlign w:val="center"/>
          </w:tcPr>
          <w:p w14:paraId="432EA16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pPr>
            <w:r>
              <w:rPr>
                <w:rFonts w:hint="eastAsia" w:ascii="仿宋_GB2312" w:hAnsi="仿宋_GB2312" w:eastAsia="仿宋_GB2312" w:cs="仿宋_GB2312"/>
                <w:color w:val="auto"/>
                <w:spacing w:val="-11"/>
                <w:sz w:val="21"/>
                <w:szCs w:val="21"/>
                <w:highlight w:val="none"/>
                <w:u w:val="none"/>
                <w:shd w:val="clear" w:color="auto" w:fill="auto"/>
                <w:lang w:eastAsia="zh-CN" w:bidi="ar"/>
              </w:rPr>
              <w:t>供应商提供的</w:t>
            </w:r>
            <w:r>
              <w:rPr>
                <w:rFonts w:hint="eastAsia" w:ascii="仿宋_GB2312" w:hAnsi="仿宋_GB2312" w:eastAsia="仿宋_GB2312" w:cs="仿宋_GB2312"/>
                <w:color w:val="auto"/>
                <w:spacing w:val="-11"/>
                <w:sz w:val="21"/>
                <w:szCs w:val="21"/>
                <w:highlight w:val="none"/>
                <w:u w:val="none"/>
                <w:shd w:val="clear" w:color="auto" w:fill="auto"/>
                <w:lang w:bidi="ar"/>
              </w:rPr>
              <w:t>《供应商基本情况表》</w:t>
            </w:r>
            <w:r>
              <w:rPr>
                <w:rFonts w:hint="eastAsia" w:ascii="仿宋_GB2312" w:hAnsi="仿宋_GB2312" w:eastAsia="仿宋_GB2312" w:cs="仿宋_GB2312"/>
                <w:color w:val="auto"/>
                <w:spacing w:val="-11"/>
                <w:sz w:val="21"/>
                <w:szCs w:val="21"/>
                <w:highlight w:val="none"/>
                <w:u w:val="none"/>
                <w:shd w:val="clear" w:color="auto" w:fill="auto"/>
                <w:lang w:eastAsia="zh-CN" w:bidi="ar"/>
              </w:rPr>
              <w:t>；</w:t>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供应商提供的社保缴纳证明材料（如有）</w:t>
            </w:r>
          </w:p>
        </w:tc>
        <w:tc>
          <w:tcPr>
            <w:tcW w:w="1150" w:type="dxa"/>
            <w:noWrap w:val="0"/>
            <w:vAlign w:val="center"/>
          </w:tcPr>
          <w:p w14:paraId="0FF9F6C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0CECA60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254A2EC3">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46E4875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48B6B91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0432BE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644" w:type="dxa"/>
            <w:noWrap w:val="0"/>
            <w:vAlign w:val="center"/>
          </w:tcPr>
          <w:p w14:paraId="78577DB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eastAsia="zh-CN" w:bidi="ar"/>
              </w:rPr>
              <w:t>若为</w:t>
            </w:r>
            <w:r>
              <w:rPr>
                <w:rFonts w:hint="eastAsia" w:ascii="仿宋_GB2312" w:hAnsi="仿宋_GB2312" w:eastAsia="仿宋_GB2312" w:cs="仿宋_GB2312"/>
                <w:color w:val="auto"/>
                <w:spacing w:val="-11"/>
                <w:sz w:val="21"/>
                <w:szCs w:val="21"/>
                <w:highlight w:val="none"/>
                <w:u w:val="none"/>
                <w:lang w:bidi="ar"/>
              </w:rPr>
              <w:t>同一人、属同一单位或者在同一单位缴纳社会保险</w:t>
            </w:r>
            <w:r>
              <w:rPr>
                <w:rFonts w:hint="eastAsia" w:ascii="仿宋_GB2312" w:hAnsi="仿宋_GB2312" w:eastAsia="仿宋_GB2312" w:cs="仿宋_GB2312"/>
                <w:color w:val="auto"/>
                <w:spacing w:val="-11"/>
                <w:kern w:val="2"/>
                <w:sz w:val="21"/>
                <w:szCs w:val="21"/>
                <w:highlight w:val="none"/>
                <w:u w:val="none"/>
                <w:lang w:eastAsia="zh-CN" w:bidi="ar"/>
              </w:rPr>
              <w:t>，则该几家供应商不得</w:t>
            </w:r>
            <w:r>
              <w:rPr>
                <w:rFonts w:hint="eastAsia" w:ascii="仿宋_GB2312" w:hAnsi="仿宋_GB2312" w:eastAsia="仿宋_GB2312" w:cs="仿宋_GB2312"/>
                <w:color w:val="auto"/>
                <w:spacing w:val="-11"/>
                <w:kern w:val="2"/>
                <w:sz w:val="21"/>
                <w:szCs w:val="21"/>
                <w:highlight w:val="none"/>
                <w:u w:val="none"/>
                <w:lang w:bidi="ar"/>
              </w:rPr>
              <w:t>参加同一合同项下的政府采购活动</w:t>
            </w:r>
          </w:p>
        </w:tc>
      </w:tr>
      <w:tr w14:paraId="40B02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4056122C">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4</w:t>
            </w:r>
          </w:p>
        </w:tc>
        <w:tc>
          <w:tcPr>
            <w:tcW w:w="2146" w:type="dxa"/>
            <w:noWrap w:val="0"/>
            <w:vAlign w:val="center"/>
          </w:tcPr>
          <w:p w14:paraId="36A6586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不同供应商的单位负责人是否为同一人</w:t>
            </w:r>
          </w:p>
        </w:tc>
        <w:tc>
          <w:tcPr>
            <w:tcW w:w="3257" w:type="dxa"/>
            <w:noWrap w:val="0"/>
            <w:vAlign w:val="center"/>
          </w:tcPr>
          <w:p w14:paraId="33A5D27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2834" w:right="0" w:hanging="2444" w:hangingChars="130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bidi="ar"/>
              </w:rPr>
            </w:pPr>
            <w:r>
              <w:rPr>
                <w:rFonts w:hint="eastAsia" w:ascii="仿宋_GB2312" w:hAnsi="仿宋_GB2312" w:eastAsia="仿宋_GB2312" w:cs="仿宋_GB2312"/>
                <w:color w:val="auto"/>
                <w:spacing w:val="-11"/>
                <w:sz w:val="21"/>
                <w:szCs w:val="21"/>
                <w:highlight w:val="none"/>
                <w:u w:val="none"/>
                <w:vertAlign w:val="baseline"/>
                <w:lang w:eastAsia="zh-CN" w:bidi="ar"/>
              </w:rPr>
              <w:t>国家企业信用信息公示系统</w:t>
            </w:r>
          </w:p>
          <w:p w14:paraId="280D599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vertAlign w:val="baseline"/>
                <w:lang w:eastAsia="zh-CN" w:bidi="ar"/>
              </w:rPr>
              <w:t>（https://www.gsxt.gov.cn/index.html）、机关赋码和事业单位登记管理网（http://www.gjsy.gov.</w:t>
            </w:r>
            <w:r>
              <w:rPr>
                <w:rFonts w:hint="eastAsia" w:ascii="仿宋_GB2312" w:hAnsi="仿宋_GB2312" w:eastAsia="仿宋_GB2312" w:cs="仿宋_GB2312"/>
                <w:color w:val="auto"/>
                <w:spacing w:val="-11"/>
                <w:sz w:val="21"/>
                <w:szCs w:val="21"/>
                <w:highlight w:val="none"/>
                <w:u w:val="none"/>
                <w:vertAlign w:val="baseline"/>
                <w:lang w:val="en-US" w:eastAsia="zh-CN" w:bidi="ar"/>
              </w:rPr>
              <w:t>c</w:t>
            </w:r>
            <w:r>
              <w:rPr>
                <w:rFonts w:hint="eastAsia" w:ascii="仿宋_GB2312" w:hAnsi="仿宋_GB2312" w:eastAsia="仿宋_GB2312" w:cs="仿宋_GB2312"/>
                <w:color w:val="auto"/>
                <w:spacing w:val="-11"/>
                <w:sz w:val="21"/>
                <w:szCs w:val="21"/>
                <w:highlight w:val="none"/>
                <w:u w:val="none"/>
                <w:vertAlign w:val="baseline"/>
                <w:lang w:eastAsia="zh-CN" w:bidi="ar"/>
              </w:rPr>
              <w:t>n/sydwfrxxcx/）、</w:t>
            </w:r>
            <w:r>
              <w:rPr>
                <w:rFonts w:hint="eastAsia" w:ascii="仿宋_GB2312" w:hAnsi="仿宋_GB2312" w:eastAsia="仿宋_GB2312" w:cs="仿宋_GB2312"/>
                <w:color w:val="auto"/>
                <w:spacing w:val="-11"/>
                <w:sz w:val="21"/>
                <w:szCs w:val="21"/>
                <w:highlight w:val="none"/>
                <w:u w:val="none"/>
                <w:vertAlign w:val="baseline"/>
                <w:lang w:val="en-US" w:eastAsia="zh-CN" w:bidi="ar"/>
              </w:rPr>
              <w:t>全国社会组织信用信息公示平台（</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"https://xxgs.chinanpo.mca.gov.cn/gsxt/newList"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https://xxgs.chinanpo.mca.gov.cn/gsxt/newList</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color w:val="auto"/>
                <w:spacing w:val="-11"/>
                <w:sz w:val="21"/>
                <w:szCs w:val="21"/>
                <w:highlight w:val="none"/>
                <w:u w:val="none"/>
                <w:vertAlign w:val="baseline"/>
                <w:lang w:val="en-US" w:eastAsia="zh-CN" w:bidi="ar"/>
              </w:rPr>
              <w:t>）</w:t>
            </w:r>
            <w:r>
              <w:rPr>
                <w:rFonts w:hint="eastAsia" w:ascii="仿宋_GB2312" w:hAnsi="仿宋_GB2312" w:eastAsia="仿宋_GB2312" w:cs="仿宋_GB2312"/>
                <w:color w:val="auto"/>
                <w:spacing w:val="-11"/>
                <w:sz w:val="21"/>
                <w:szCs w:val="21"/>
                <w:highlight w:val="none"/>
                <w:u w:val="none"/>
                <w:vertAlign w:val="baseline"/>
                <w:lang w:eastAsia="zh-CN" w:bidi="ar"/>
              </w:rPr>
              <w:t>等网站；</w:t>
            </w:r>
            <w:r>
              <w:rPr>
                <w:rFonts w:hint="eastAsia" w:ascii="仿宋_GB2312" w:hAnsi="仿宋_GB2312" w:eastAsia="仿宋_GB2312" w:cs="仿宋_GB2312"/>
                <w:color w:val="auto"/>
                <w:spacing w:val="-11"/>
                <w:sz w:val="21"/>
                <w:szCs w:val="21"/>
                <w:highlight w:val="none"/>
                <w:u w:val="none"/>
                <w:shd w:val="clear" w:color="auto" w:fill="auto"/>
                <w:lang w:eastAsia="zh-CN" w:bidi="ar"/>
              </w:rPr>
              <w:t>供应商提供的</w:t>
            </w:r>
            <w:r>
              <w:rPr>
                <w:rFonts w:hint="eastAsia" w:ascii="仿宋_GB2312" w:hAnsi="仿宋_GB2312" w:eastAsia="仿宋_GB2312" w:cs="仿宋_GB2312"/>
                <w:color w:val="auto"/>
                <w:spacing w:val="-11"/>
                <w:sz w:val="21"/>
                <w:szCs w:val="21"/>
                <w:highlight w:val="none"/>
                <w:u w:val="none"/>
                <w:shd w:val="clear" w:color="auto" w:fill="auto"/>
                <w:lang w:bidi="ar"/>
              </w:rPr>
              <w:t>《供应商基本情况表》</w:t>
            </w:r>
            <w:r>
              <w:rPr>
                <w:rFonts w:hint="eastAsia" w:ascii="仿宋_GB2312" w:hAnsi="仿宋_GB2312" w:eastAsia="仿宋_GB2312" w:cs="仿宋_GB2312"/>
                <w:color w:val="auto"/>
                <w:spacing w:val="-11"/>
                <w:sz w:val="21"/>
                <w:szCs w:val="21"/>
                <w:highlight w:val="none"/>
                <w:u w:val="none"/>
                <w:shd w:val="clear" w:color="auto" w:fill="auto"/>
                <w:lang w:eastAsia="zh-CN" w:bidi="ar"/>
              </w:rPr>
              <w:t>；</w:t>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供应商提供的</w:t>
            </w:r>
            <w:r>
              <w:rPr>
                <w:rFonts w:hint="eastAsia" w:ascii="仿宋_GB2312" w:hAnsi="仿宋_GB2312" w:eastAsia="仿宋_GB2312" w:cs="仿宋_GB2312"/>
                <w:color w:val="auto"/>
                <w:spacing w:val="-11"/>
                <w:sz w:val="21"/>
                <w:szCs w:val="21"/>
                <w:highlight w:val="none"/>
                <w:u w:val="none"/>
                <w:vertAlign w:val="baseline"/>
                <w:lang w:eastAsia="zh-CN" w:bidi="ar"/>
              </w:rPr>
              <w:t>企业股权关系证明（如有）</w:t>
            </w:r>
          </w:p>
        </w:tc>
        <w:tc>
          <w:tcPr>
            <w:tcW w:w="1150" w:type="dxa"/>
            <w:noWrap w:val="0"/>
            <w:vAlign w:val="center"/>
          </w:tcPr>
          <w:p w14:paraId="6EF748F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232D4B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4201583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152B4E0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4817FE1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9E16C6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644" w:type="dxa"/>
            <w:noWrap w:val="0"/>
            <w:vAlign w:val="center"/>
          </w:tcPr>
          <w:p w14:paraId="1692427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eastAsia="zh-CN" w:bidi="ar"/>
              </w:rPr>
              <w:t>若为同一人，则该几家供应商不得</w:t>
            </w:r>
            <w:r>
              <w:rPr>
                <w:rFonts w:hint="eastAsia" w:ascii="仿宋_GB2312" w:hAnsi="仿宋_GB2312" w:eastAsia="仿宋_GB2312" w:cs="仿宋_GB2312"/>
                <w:color w:val="auto"/>
                <w:spacing w:val="-11"/>
                <w:kern w:val="2"/>
                <w:sz w:val="21"/>
                <w:szCs w:val="21"/>
                <w:highlight w:val="none"/>
                <w:u w:val="none"/>
                <w:lang w:bidi="ar"/>
              </w:rPr>
              <w:t>参加同一合同项下的政府采购活动</w:t>
            </w:r>
          </w:p>
        </w:tc>
      </w:tr>
      <w:tr w14:paraId="3FB97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4" w:hRule="atLeast"/>
          <w:jc w:val="center"/>
        </w:trPr>
        <w:tc>
          <w:tcPr>
            <w:tcW w:w="768" w:type="dxa"/>
            <w:noWrap w:val="0"/>
            <w:vAlign w:val="center"/>
          </w:tcPr>
          <w:p w14:paraId="52018E1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5</w:t>
            </w:r>
          </w:p>
        </w:tc>
        <w:tc>
          <w:tcPr>
            <w:tcW w:w="2146" w:type="dxa"/>
            <w:noWrap w:val="0"/>
            <w:vAlign w:val="center"/>
          </w:tcPr>
          <w:p w14:paraId="7A6BF929">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kern w:val="2"/>
                <w:sz w:val="21"/>
                <w:szCs w:val="21"/>
                <w:highlight w:val="none"/>
                <w:u w:val="none"/>
                <w:lang w:eastAsia="zh-CN" w:bidi="ar"/>
              </w:rPr>
              <w:t>不同供应商之间是否</w:t>
            </w:r>
            <w:r>
              <w:rPr>
                <w:rFonts w:hint="eastAsia" w:ascii="仿宋_GB2312" w:hAnsi="仿宋_GB2312" w:eastAsia="仿宋_GB2312" w:cs="仿宋_GB2312"/>
                <w:color w:val="auto"/>
                <w:spacing w:val="-11"/>
                <w:kern w:val="2"/>
                <w:sz w:val="21"/>
                <w:szCs w:val="21"/>
                <w:highlight w:val="none"/>
                <w:u w:val="none"/>
                <w:lang w:bidi="ar"/>
              </w:rPr>
              <w:t>存在直接控股、管理关系</w:t>
            </w:r>
          </w:p>
        </w:tc>
        <w:tc>
          <w:tcPr>
            <w:tcW w:w="3257" w:type="dxa"/>
            <w:noWrap w:val="0"/>
            <w:vAlign w:val="center"/>
          </w:tcPr>
          <w:p w14:paraId="5FA73D8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bidi="ar"/>
              </w:rPr>
            </w:pPr>
            <w:r>
              <w:rPr>
                <w:rFonts w:hint="eastAsia" w:ascii="仿宋_GB2312" w:hAnsi="仿宋_GB2312" w:eastAsia="仿宋_GB2312" w:cs="仿宋_GB2312"/>
                <w:color w:val="auto"/>
                <w:spacing w:val="-11"/>
                <w:sz w:val="21"/>
                <w:szCs w:val="21"/>
                <w:highlight w:val="none"/>
                <w:u w:val="none"/>
                <w:vertAlign w:val="baseline"/>
                <w:lang w:eastAsia="zh-CN" w:bidi="ar"/>
              </w:rPr>
              <w:t>国家企业信用信息公示系统</w:t>
            </w:r>
          </w:p>
          <w:p w14:paraId="7A3E488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rPr>
            </w:pPr>
            <w:r>
              <w:rPr>
                <w:rFonts w:hint="eastAsia" w:ascii="仿宋_GB2312" w:hAnsi="仿宋_GB2312" w:eastAsia="仿宋_GB2312" w:cs="仿宋_GB2312"/>
                <w:color w:val="auto"/>
                <w:spacing w:val="-11"/>
                <w:sz w:val="21"/>
                <w:szCs w:val="21"/>
                <w:highlight w:val="none"/>
                <w:u w:val="none"/>
                <w:vertAlign w:val="baseline"/>
                <w:lang w:eastAsia="zh-CN" w:bidi="ar"/>
              </w:rPr>
              <w:t>（https://www.gsxt.gov.cn/index.html）、机关赋码和事业单位登记管理网（http://www.gjsy.gov.cn/sydwfrxxcx/）、</w:t>
            </w:r>
            <w:r>
              <w:rPr>
                <w:rFonts w:hint="eastAsia" w:ascii="仿宋_GB2312" w:hAnsi="仿宋_GB2312" w:eastAsia="仿宋_GB2312" w:cs="仿宋_GB2312"/>
                <w:color w:val="auto"/>
                <w:spacing w:val="-11"/>
                <w:sz w:val="21"/>
                <w:szCs w:val="21"/>
                <w:highlight w:val="none"/>
                <w:u w:val="none"/>
                <w:vertAlign w:val="baseline"/>
                <w:lang w:val="en-US" w:eastAsia="zh-CN" w:bidi="ar"/>
              </w:rPr>
              <w:t>全国社会组织信用信息公示平台（</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"https://xxgs.chinanpo.mca.gov.cn/gsxt/newList"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https://xxgs.chinanpo.mca.gov.cn/gsxt/newList</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color w:val="auto"/>
                <w:spacing w:val="-11"/>
                <w:sz w:val="21"/>
                <w:szCs w:val="21"/>
                <w:highlight w:val="none"/>
                <w:u w:val="none"/>
                <w:vertAlign w:val="baseline"/>
                <w:lang w:val="en-US" w:eastAsia="zh-CN" w:bidi="ar"/>
              </w:rPr>
              <w:t>）</w:t>
            </w:r>
            <w:r>
              <w:rPr>
                <w:rFonts w:hint="eastAsia" w:ascii="仿宋_GB2312" w:hAnsi="仿宋_GB2312" w:eastAsia="仿宋_GB2312" w:cs="仿宋_GB2312"/>
                <w:color w:val="auto"/>
                <w:spacing w:val="-11"/>
                <w:sz w:val="21"/>
                <w:szCs w:val="21"/>
                <w:highlight w:val="none"/>
                <w:u w:val="none"/>
                <w:vertAlign w:val="baseline"/>
                <w:lang w:eastAsia="zh-CN" w:bidi="ar"/>
              </w:rPr>
              <w:t>等网站；</w:t>
            </w:r>
            <w:r>
              <w:rPr>
                <w:rFonts w:hint="eastAsia" w:ascii="仿宋_GB2312" w:hAnsi="仿宋_GB2312" w:eastAsia="仿宋_GB2312" w:cs="仿宋_GB2312"/>
                <w:color w:val="auto"/>
                <w:spacing w:val="-11"/>
                <w:sz w:val="21"/>
                <w:szCs w:val="21"/>
                <w:highlight w:val="none"/>
                <w:u w:val="none"/>
                <w:shd w:val="clear" w:color="auto" w:fill="auto"/>
                <w:lang w:eastAsia="zh-CN" w:bidi="ar"/>
              </w:rPr>
              <w:t>供应商提供的</w:t>
            </w:r>
            <w:r>
              <w:rPr>
                <w:rFonts w:hint="eastAsia" w:ascii="仿宋_GB2312" w:hAnsi="仿宋_GB2312" w:eastAsia="仿宋_GB2312" w:cs="仿宋_GB2312"/>
                <w:color w:val="auto"/>
                <w:spacing w:val="-11"/>
                <w:sz w:val="21"/>
                <w:szCs w:val="21"/>
                <w:highlight w:val="none"/>
                <w:u w:val="none"/>
                <w:shd w:val="clear" w:color="auto" w:fill="auto"/>
                <w:lang w:bidi="ar"/>
              </w:rPr>
              <w:t>《供应商基本情况表》</w:t>
            </w:r>
            <w:r>
              <w:rPr>
                <w:rFonts w:hint="eastAsia" w:ascii="仿宋_GB2312" w:hAnsi="仿宋_GB2312" w:eastAsia="仿宋_GB2312" w:cs="仿宋_GB2312"/>
                <w:color w:val="auto"/>
                <w:spacing w:val="-11"/>
                <w:sz w:val="21"/>
                <w:szCs w:val="21"/>
                <w:highlight w:val="none"/>
                <w:u w:val="none"/>
                <w:shd w:val="clear" w:color="auto" w:fill="auto"/>
                <w:lang w:eastAsia="zh-CN" w:bidi="ar"/>
              </w:rPr>
              <w:t>；</w:t>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供应商提供的</w:t>
            </w:r>
            <w:r>
              <w:rPr>
                <w:rFonts w:hint="eastAsia" w:ascii="仿宋_GB2312" w:hAnsi="仿宋_GB2312" w:eastAsia="仿宋_GB2312" w:cs="仿宋_GB2312"/>
                <w:color w:val="auto"/>
                <w:spacing w:val="-11"/>
                <w:sz w:val="21"/>
                <w:szCs w:val="21"/>
                <w:highlight w:val="none"/>
                <w:u w:val="none"/>
                <w:vertAlign w:val="baseline"/>
                <w:lang w:eastAsia="zh-CN" w:bidi="ar"/>
              </w:rPr>
              <w:t>企业股权关系证明（如有）</w:t>
            </w:r>
          </w:p>
        </w:tc>
        <w:tc>
          <w:tcPr>
            <w:tcW w:w="1150" w:type="dxa"/>
            <w:noWrap w:val="0"/>
            <w:vAlign w:val="center"/>
          </w:tcPr>
          <w:p w14:paraId="7170A9B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4057252E">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5AA5CBE3">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0E4C5E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032A482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6D5E3DA9">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644" w:type="dxa"/>
            <w:noWrap w:val="0"/>
            <w:vAlign w:val="center"/>
          </w:tcPr>
          <w:p w14:paraId="5819F7E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kern w:val="2"/>
                <w:sz w:val="21"/>
                <w:szCs w:val="21"/>
                <w:highlight w:val="none"/>
                <w:u w:val="none"/>
                <w:lang w:eastAsia="zh-CN" w:bidi="ar"/>
              </w:rPr>
              <w:t>若存在直接控股、管理关系，则该几家供应商不得</w:t>
            </w:r>
            <w:r>
              <w:rPr>
                <w:rFonts w:hint="eastAsia" w:ascii="仿宋_GB2312" w:hAnsi="仿宋_GB2312" w:eastAsia="仿宋_GB2312" w:cs="仿宋_GB2312"/>
                <w:color w:val="auto"/>
                <w:spacing w:val="-11"/>
                <w:kern w:val="2"/>
                <w:sz w:val="21"/>
                <w:szCs w:val="21"/>
                <w:highlight w:val="none"/>
                <w:u w:val="none"/>
                <w:lang w:bidi="ar"/>
              </w:rPr>
              <w:t>参加同一合同项下的政府采购活动</w:t>
            </w:r>
          </w:p>
        </w:tc>
      </w:tr>
      <w:tr w14:paraId="3636B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27A7D7C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6</w:t>
            </w:r>
          </w:p>
        </w:tc>
        <w:tc>
          <w:tcPr>
            <w:tcW w:w="2146" w:type="dxa"/>
            <w:noWrap w:val="0"/>
            <w:vAlign w:val="center"/>
          </w:tcPr>
          <w:p w14:paraId="5FC973B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kern w:val="2"/>
                <w:sz w:val="21"/>
                <w:szCs w:val="21"/>
                <w:highlight w:val="none"/>
                <w:u w:val="none"/>
                <w:lang w:bidi="ar"/>
              </w:rPr>
              <w:t>为采购项目提供整体设计、规范编制或者项目管理、监理、检测等服务的供应商，</w:t>
            </w:r>
            <w:r>
              <w:rPr>
                <w:rFonts w:hint="eastAsia" w:ascii="仿宋_GB2312" w:hAnsi="仿宋_GB2312" w:eastAsia="仿宋_GB2312" w:cs="仿宋_GB2312"/>
                <w:color w:val="auto"/>
                <w:spacing w:val="-11"/>
                <w:kern w:val="2"/>
                <w:sz w:val="21"/>
                <w:szCs w:val="21"/>
                <w:highlight w:val="none"/>
                <w:u w:val="none"/>
                <w:lang w:eastAsia="zh-CN" w:bidi="ar"/>
              </w:rPr>
              <w:t>是否</w:t>
            </w:r>
            <w:r>
              <w:rPr>
                <w:rFonts w:hint="eastAsia" w:ascii="仿宋_GB2312" w:hAnsi="仿宋_GB2312" w:eastAsia="仿宋_GB2312" w:cs="仿宋_GB2312"/>
                <w:color w:val="auto"/>
                <w:spacing w:val="-11"/>
                <w:kern w:val="2"/>
                <w:sz w:val="21"/>
                <w:szCs w:val="21"/>
                <w:highlight w:val="none"/>
                <w:u w:val="none"/>
                <w:lang w:bidi="ar"/>
              </w:rPr>
              <w:t>参加</w:t>
            </w:r>
            <w:r>
              <w:rPr>
                <w:rFonts w:hint="eastAsia" w:ascii="仿宋_GB2312" w:hAnsi="仿宋_GB2312" w:eastAsia="仿宋_GB2312" w:cs="仿宋_GB2312"/>
                <w:color w:val="auto"/>
                <w:spacing w:val="-11"/>
                <w:kern w:val="2"/>
                <w:sz w:val="21"/>
                <w:szCs w:val="21"/>
                <w:highlight w:val="none"/>
                <w:u w:val="none"/>
                <w:lang w:eastAsia="zh-CN" w:bidi="ar"/>
              </w:rPr>
              <w:t>了</w:t>
            </w:r>
            <w:r>
              <w:rPr>
                <w:rFonts w:hint="eastAsia" w:ascii="仿宋_GB2312" w:hAnsi="仿宋_GB2312" w:eastAsia="仿宋_GB2312" w:cs="仿宋_GB2312"/>
                <w:color w:val="auto"/>
                <w:spacing w:val="-11"/>
                <w:kern w:val="2"/>
                <w:sz w:val="21"/>
                <w:szCs w:val="21"/>
                <w:highlight w:val="none"/>
                <w:u w:val="none"/>
                <w:lang w:bidi="ar"/>
              </w:rPr>
              <w:t>该采购项目的其他采购活动</w:t>
            </w:r>
          </w:p>
        </w:tc>
        <w:tc>
          <w:tcPr>
            <w:tcW w:w="3257" w:type="dxa"/>
            <w:noWrap w:val="0"/>
            <w:vAlign w:val="center"/>
          </w:tcPr>
          <w:p w14:paraId="676FF01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vertAlign w:val="baseline"/>
                <w:lang w:eastAsia="zh-CN" w:bidi="ar"/>
              </w:rPr>
              <w:t>采购人内部排查</w:t>
            </w:r>
          </w:p>
        </w:tc>
        <w:tc>
          <w:tcPr>
            <w:tcW w:w="1150" w:type="dxa"/>
            <w:noWrap w:val="0"/>
            <w:vAlign w:val="center"/>
          </w:tcPr>
          <w:p w14:paraId="6F23824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lang w:eastAsia="zh-CN"/>
              </w:rPr>
              <w:t>□是</w:t>
            </w:r>
          </w:p>
          <w:p w14:paraId="4D74A80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否</w:t>
            </w:r>
          </w:p>
        </w:tc>
        <w:tc>
          <w:tcPr>
            <w:tcW w:w="1150" w:type="dxa"/>
            <w:noWrap w:val="0"/>
            <w:vAlign w:val="center"/>
          </w:tcPr>
          <w:p w14:paraId="043129E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lang w:eastAsia="zh-CN"/>
              </w:rPr>
              <w:t>□是</w:t>
            </w:r>
          </w:p>
          <w:p w14:paraId="031FD49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否</w:t>
            </w:r>
          </w:p>
        </w:tc>
        <w:tc>
          <w:tcPr>
            <w:tcW w:w="1150" w:type="dxa"/>
            <w:noWrap w:val="0"/>
            <w:vAlign w:val="center"/>
          </w:tcPr>
          <w:p w14:paraId="422557F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lang w:eastAsia="zh-CN"/>
              </w:rPr>
              <w:t>□是</w:t>
            </w:r>
          </w:p>
          <w:p w14:paraId="6A4BBA2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否</w:t>
            </w:r>
          </w:p>
        </w:tc>
        <w:tc>
          <w:tcPr>
            <w:tcW w:w="1644" w:type="dxa"/>
            <w:noWrap w:val="0"/>
            <w:vAlign w:val="center"/>
          </w:tcPr>
          <w:p w14:paraId="17249EC9">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采用单一来源方式的除外。若选择“是”，则属于审查不通过。</w:t>
            </w:r>
          </w:p>
        </w:tc>
      </w:tr>
      <w:tr w14:paraId="578B5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71" w:type="dxa"/>
            <w:gridSpan w:val="3"/>
            <w:noWrap w:val="0"/>
            <w:vAlign w:val="center"/>
          </w:tcPr>
          <w:p w14:paraId="3625CB7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bidi="ar"/>
              </w:rPr>
            </w:pPr>
            <w:r>
              <w:rPr>
                <w:rFonts w:hint="eastAsia" w:ascii="仿宋_GB2312" w:hAnsi="仿宋_GB2312" w:eastAsia="仿宋_GB2312" w:cs="仿宋_GB2312"/>
                <w:color w:val="auto"/>
                <w:spacing w:val="-11"/>
                <w:sz w:val="21"/>
                <w:szCs w:val="21"/>
                <w:highlight w:val="none"/>
                <w:u w:val="none"/>
                <w:vertAlign w:val="baseline"/>
                <w:lang w:eastAsia="zh-CN" w:bidi="ar"/>
              </w:rPr>
              <w:t>审查结论</w:t>
            </w:r>
          </w:p>
        </w:tc>
        <w:tc>
          <w:tcPr>
            <w:tcW w:w="1150" w:type="dxa"/>
            <w:noWrap w:val="0"/>
            <w:vAlign w:val="center"/>
          </w:tcPr>
          <w:p w14:paraId="3CFEB5A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3737A61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6D013D0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500EBCF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0AA0131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3FC3B50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644" w:type="dxa"/>
            <w:noWrap w:val="0"/>
            <w:vAlign w:val="center"/>
          </w:tcPr>
          <w:p w14:paraId="3EAFADB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w:t>
            </w:r>
          </w:p>
        </w:tc>
      </w:tr>
      <w:tr w14:paraId="1C745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1265" w:type="dxa"/>
            <w:gridSpan w:val="7"/>
            <w:noWrap w:val="0"/>
            <w:vAlign w:val="center"/>
          </w:tcPr>
          <w:p w14:paraId="6CAA1B8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564" w:firstLineChars="30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审查人员签名：                                          审查日期：</w:t>
            </w:r>
          </w:p>
        </w:tc>
      </w:tr>
    </w:tbl>
    <w:p w14:paraId="4D79F9F6">
      <w:pPr>
        <w:pStyle w:val="36"/>
        <w:widowControl/>
        <w:numPr>
          <w:ilvl w:val="0"/>
          <w:numId w:val="9"/>
        </w:numPr>
        <w:spacing w:line="360" w:lineRule="auto"/>
        <w:ind w:left="0" w:leftChars="0" w:firstLine="0" w:firstLineChars="0"/>
        <w:jc w:val="left"/>
        <w:outlineLvl w:val="1"/>
        <w:rPr>
          <w:rFonts w:hAnsi="宋体"/>
          <w:b/>
          <w:bCs/>
        </w:rPr>
      </w:pPr>
      <w:r>
        <w:rPr>
          <w:rFonts w:hint="eastAsia" w:hAnsi="宋体"/>
          <w:b/>
          <w:bCs/>
          <w:lang w:val="en-US" w:eastAsia="zh-CN"/>
        </w:rPr>
        <w:t xml:space="preserve"> </w:t>
      </w:r>
      <w:r>
        <w:rPr>
          <w:rFonts w:hint="eastAsia" w:hAnsi="宋体"/>
          <w:b/>
          <w:bCs/>
        </w:rPr>
        <w:t>开标</w:t>
      </w:r>
    </w:p>
    <w:p w14:paraId="069C9231">
      <w:pPr>
        <w:pStyle w:val="36"/>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1.1. 应在规定的日期、时间和地点组织公开开标。开标时邀请所有投标人代表参加。参加开标的代表应签名报到以证明其出席。</w:t>
      </w:r>
    </w:p>
    <w:p w14:paraId="45B9A2AB">
      <w:pPr>
        <w:pStyle w:val="36"/>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1.2. 开标时，由采购人党委办公室工作人员检查投标文件的密封情况；经确认无误后，由采购人工作人员当众拆封，宣布投标人名称、投标价格和征集文件规定的需要宣布的其他内容。</w:t>
      </w:r>
    </w:p>
    <w:p w14:paraId="3E406D95">
      <w:pPr>
        <w:pStyle w:val="36"/>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1.3. 投标人代表对开标过程和开标记录有疑义，以及认为采购人相关工作人员有需要回避的情形的，应当场提出询问或者回避申请。采购人对投标人代表提出的询问或者回避申请应当及时处理。</w:t>
      </w:r>
    </w:p>
    <w:p w14:paraId="0C42C018">
      <w:pPr>
        <w:pStyle w:val="36"/>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1.4. 投标人未参加开标的，视同认可开标结果。</w:t>
      </w:r>
    </w:p>
    <w:p w14:paraId="15660E1E">
      <w:pPr>
        <w:pStyle w:val="36"/>
        <w:widowControl/>
        <w:numPr>
          <w:ilvl w:val="0"/>
          <w:numId w:val="0"/>
        </w:numPr>
        <w:spacing w:line="360" w:lineRule="auto"/>
        <w:ind w:leftChars="0"/>
        <w:jc w:val="left"/>
        <w:outlineLvl w:val="1"/>
        <w:rPr>
          <w:rFonts w:hint="eastAsia" w:ascii="宋体" w:hAnsi="宋体" w:cs="宋体"/>
          <w:szCs w:val="21"/>
        </w:rPr>
      </w:pPr>
      <w:r>
        <w:rPr>
          <w:rFonts w:hint="eastAsia" w:hAnsi="宋体"/>
          <w:b/>
          <w:lang w:val="en-US" w:eastAsia="zh-CN"/>
        </w:rPr>
        <w:t>2.  评标委员会的组成</w:t>
      </w:r>
    </w:p>
    <w:p w14:paraId="625E4982">
      <w:pPr>
        <w:pStyle w:val="36"/>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2.1. 评标委员会依法组建，由3人或以上单数组成。</w:t>
      </w:r>
    </w:p>
    <w:p w14:paraId="0EA1849B">
      <w:pPr>
        <w:pStyle w:val="36"/>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2.2. 评标委员会成员名单在评标结果公告前应当保密。评审专家有下列情形之一的，受到邀请应主动提出回避，采购当事人也可以要求该评审专家回避：</w:t>
      </w:r>
    </w:p>
    <w:p w14:paraId="1A8F301E">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（1） 参加采购活动前3年内与供应商存在劳动关系；</w:t>
      </w:r>
    </w:p>
    <w:p w14:paraId="12286088">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 参加采购活动前3年内担任供应商的董事、监事；</w:t>
      </w:r>
    </w:p>
    <w:p w14:paraId="61CB271C">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 参加采购活动前3年内是供应商的控股股东或者实际控制人；</w:t>
      </w:r>
    </w:p>
    <w:p w14:paraId="32FEE72C">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（4） 与供应商的法定代表人或者负责人有夫妻、直系血亲、三代以内旁系血亲或者近姻亲关系；</w:t>
      </w:r>
    </w:p>
    <w:p w14:paraId="3893B291">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（5） 与供应商有其他可能影响采购活动公平、公正进行的关系。</w:t>
      </w:r>
    </w:p>
    <w:p w14:paraId="400F944B">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2.3. 评标委员会和有关工作人员不得透露对投标文件的评审和比较以及与评标有关的其他情况。</w:t>
      </w:r>
    </w:p>
    <w:p w14:paraId="5B3AE09A">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2.4. 评标委员会负责具体评标事务，并独立履行下列职责：</w:t>
      </w:r>
    </w:p>
    <w:p w14:paraId="2E202119">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（1） 审查、评价投标文件是否符合征集文件的商务、技术等实质性要求；</w:t>
      </w:r>
    </w:p>
    <w:p w14:paraId="5E695515">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 要求投标人对投标文件有关事项作出澄清或者说明；</w:t>
      </w:r>
    </w:p>
    <w:p w14:paraId="21D18999">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 对投标文件进行比较和评价；</w:t>
      </w:r>
    </w:p>
    <w:p w14:paraId="1141E4F7">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（4） 确定中标候选人名单；</w:t>
      </w:r>
    </w:p>
    <w:p w14:paraId="40C1AD7F">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2.5. 对于投标文件中含义不明确、同类问题表述不一致或者有明显文字和计算错误的内容，评标委员会应当以书面形式要求投标人作出必要的澄清、说明或者补正。</w:t>
      </w:r>
    </w:p>
    <w:p w14:paraId="5D1FCB27">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2.6. 投标人的澄清、说明或者补正应当采用书面形式，并加盖公章，或者由法定代表人或其授权的代表签字。投标人的澄清、说明或者补正不得超出投标文件的范围或者改变投标文件的实质性内容。投标人的澄清文件是其投标文件的组成部分。</w:t>
      </w:r>
    </w:p>
    <w:p w14:paraId="4EBDD541">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2.7. 评标委员会决定投标的响应性只根据投标文件中提供的材料内容，而不依据外部的材料证据。</w:t>
      </w:r>
    </w:p>
    <w:p w14:paraId="072F2F10">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2.8.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若评标委员会成员对是否须由投标人作出报价合理性说明，以及书面说明是否采纳等判断不一致的，按照“少数服从多数”的原则确定评标委员会的意见。</w:t>
      </w:r>
    </w:p>
    <w:p w14:paraId="42800829">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2.9. 评标委员会成员对需要共同认定的事项存在争议的，应当按照少数服从多数的原则作出结论。持不同意见的评标委员会成员应当在评标报告上签署不同意见及理由，否则视为同意评标报告。</w:t>
      </w:r>
    </w:p>
    <w:p w14:paraId="2D7705E9">
      <w:pPr>
        <w:pStyle w:val="36"/>
        <w:widowControl/>
        <w:numPr>
          <w:ilvl w:val="0"/>
          <w:numId w:val="0"/>
        </w:numPr>
        <w:spacing w:line="360" w:lineRule="auto"/>
        <w:ind w:leftChars="0"/>
        <w:jc w:val="left"/>
        <w:outlineLvl w:val="9"/>
        <w:rPr>
          <w:rFonts w:hAnsi="宋体"/>
          <w:b/>
        </w:rPr>
      </w:pPr>
      <w:r>
        <w:rPr>
          <w:rFonts w:hint="eastAsia" w:hAnsi="宋体"/>
          <w:b/>
          <w:lang w:val="en-US" w:eastAsia="zh-CN"/>
        </w:rPr>
        <w:t>3.  投标文件初审</w:t>
      </w:r>
    </w:p>
    <w:p w14:paraId="04739DE4">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3.1. 投标文件初审包括资格性检查和符合性检查。资格性检查：依据法律法规和征集文件的规定，对投标文件中的资格证明等进行审查，以确定投标供应商是否具备投标资格。符合性检查：依据征集文件的规定，从投标文件的有效性、完整性和对征集文件的响应程度进行审查，以确定是否对征集文件的实质性要求作出响应。</w:t>
      </w:r>
    </w:p>
    <w:p w14:paraId="57C10333">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3.2. 投标文件初审中关于供应商家数的计算:</w:t>
      </w:r>
    </w:p>
    <w:p w14:paraId="449F47A5">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（1） 采用最低价法的采购项目，提供相同品牌产品的不同投标人参加同一合同项下投标的，以其中通过资格审查、符合性审查且报价最低的参加评标；报价相同的，由采购人或者采购人委托评标委员会按照征集文件规定的方式确定一个参加评审的投标人，征集文件未规定的采取随机抽取方式确定，其他投标无效。</w:t>
      </w:r>
    </w:p>
    <w:p w14:paraId="280FE5A6">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 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征集文件规定的方式确定一个投标人获得中标人推荐资格，征集文件未规定的采取随机抽取方式确定，其他同品牌投标人不作为中标候选人。</w:t>
      </w:r>
    </w:p>
    <w:p w14:paraId="26AA3AE3">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 非单一产品采购项目，采购人应当根据采购项目技术构成、产品价格比重等合理确定核心产品，并在征集文件中载明。多家投标人提供的核心产品品牌相同的，按前两款规定处理。</w:t>
      </w:r>
    </w:p>
    <w:p w14:paraId="43B1EC83">
      <w:pPr>
        <w:pStyle w:val="36"/>
        <w:widowControl/>
        <w:numPr>
          <w:ilvl w:val="0"/>
          <w:numId w:val="0"/>
        </w:numPr>
        <w:spacing w:line="360" w:lineRule="auto"/>
        <w:ind w:leftChars="0"/>
        <w:jc w:val="left"/>
        <w:outlineLvl w:val="9"/>
        <w:rPr>
          <w:rFonts w:hint="eastAsia" w:hAnsi="宋体"/>
          <w:b/>
          <w:lang w:val="en-US" w:eastAsia="zh-CN"/>
        </w:rPr>
      </w:pPr>
      <w:r>
        <w:rPr>
          <w:rFonts w:hint="eastAsia" w:hAnsi="宋体"/>
          <w:b/>
          <w:lang w:val="en-US" w:eastAsia="zh-CN"/>
        </w:rPr>
        <w:t xml:space="preserve">4.  </w:t>
      </w:r>
      <w:r>
        <w:rPr>
          <w:rFonts w:hint="eastAsia" w:hAnsi="宋体"/>
          <w:b/>
        </w:rPr>
        <w:t>评标</w:t>
      </w:r>
      <w:r>
        <w:rPr>
          <w:rFonts w:hint="eastAsia" w:hAnsi="宋体"/>
          <w:b/>
          <w:lang w:val="en-US" w:eastAsia="zh-CN"/>
        </w:rPr>
        <w:t>方法</w:t>
      </w:r>
    </w:p>
    <w:p w14:paraId="24BFCB5C">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4.1. 评标方法分为最低价法、综合评分法及法律、法规允许的其它评标办法。</w:t>
      </w:r>
    </w:p>
    <w:p w14:paraId="2BAE06B5">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4.1.1 最低价法，是指完全满足征集文件实质性要求，按照报价由低到高的顺序，依据征集文件中规定的数量或者比例推荐候选中标供应商。</w:t>
      </w:r>
    </w:p>
    <w:p w14:paraId="6A87ECB0">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4.1.2. 综合评分法，是指在满足征集文件全部实质性要求的前提下，按照征集文件中规定的各项因素进行综合评审，评审总得分排名前列的投标人，作为推荐的候选中标供应商。</w:t>
      </w:r>
    </w:p>
    <w:p w14:paraId="498A3F2E">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4.2. 重新评审的情形：</w:t>
      </w:r>
    </w:p>
    <w:p w14:paraId="53D60DF6">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（1） 分值汇总计算错误的；</w:t>
      </w:r>
    </w:p>
    <w:p w14:paraId="73732F88">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（2） 分项评分超出评分标准范围的；</w:t>
      </w:r>
    </w:p>
    <w:p w14:paraId="7FC7B6E4">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（3） 评标委员会成员对客观评审因素评分不一致的；</w:t>
      </w:r>
    </w:p>
    <w:p w14:paraId="35EAE67F">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 经评标委员会认定评分畸高、畸低的。</w:t>
      </w:r>
    </w:p>
    <w:p w14:paraId="3E53A539">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4.3. 评标报告签署前，经复核发现存在以上情形之一的，评标委员会应当当场修改评审结果，并进行书面记载；评标报告签署后，采购人发现存在以上情形之一的，应当组织原评标委员会进行重新评审，重新评审改变评审结果的，书面报告采购人的采购主管部门。</w:t>
      </w:r>
    </w:p>
    <w:p w14:paraId="43BAA2D4">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4.4. 投标人对本条第一款情形提出质疑的，采购人可以组织原评标委员会进行重新评审，重新评审改变评审结果的，应当书面报告采购人的采购主管部门。</w:t>
      </w:r>
    </w:p>
    <w:p w14:paraId="70185EF8">
      <w:pPr>
        <w:pStyle w:val="30"/>
        <w:widowControl/>
        <w:numPr>
          <w:ilvl w:val="0"/>
          <w:numId w:val="0"/>
        </w:numPr>
        <w:spacing w:line="360" w:lineRule="auto"/>
        <w:ind w:leftChars="0"/>
        <w:jc w:val="left"/>
        <w:outlineLvl w:val="9"/>
        <w:rPr>
          <w:rFonts w:ascii="宋体" w:hAnsi="宋体"/>
          <w:b/>
          <w:szCs w:val="21"/>
        </w:rPr>
      </w:pPr>
      <w:r>
        <w:rPr>
          <w:rFonts w:hint="eastAsia" w:ascii="宋体" w:hAnsi="宋体"/>
          <w:b/>
          <w:szCs w:val="21"/>
          <w:lang w:val="en-US" w:eastAsia="zh-CN"/>
        </w:rPr>
        <w:t xml:space="preserve">5.  </w:t>
      </w:r>
      <w:r>
        <w:rPr>
          <w:rFonts w:hint="eastAsia" w:ascii="宋体" w:hAnsi="宋体"/>
          <w:b/>
          <w:szCs w:val="21"/>
        </w:rPr>
        <w:t>定标</w:t>
      </w:r>
    </w:p>
    <w:p w14:paraId="34B0A016">
      <w:pPr>
        <w:pStyle w:val="36"/>
        <w:widowControl/>
        <w:numPr>
          <w:ilvl w:val="0"/>
          <w:numId w:val="0"/>
        </w:numPr>
        <w:spacing w:line="360" w:lineRule="auto"/>
        <w:ind w:leftChars="0"/>
        <w:jc w:val="left"/>
        <w:outlineLvl w:val="1"/>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5.1. 评标委员会按征集文件中规定的评标方法和标准，对资格性检查和符合性检查合格且报价不超过预算控制金额的投标文件进行商务和技术评审，综合比较与评价。</w:t>
      </w:r>
    </w:p>
    <w:p w14:paraId="33596E13">
      <w:pPr>
        <w:pStyle w:val="36"/>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5.2. 评标委员会成员对需要共同认定的事项存在争议的，应当按照少数服从多数的原则作出结论。持不同意见的评标委员会成员应当书面作出说明，否则视为无异议。</w:t>
      </w:r>
    </w:p>
    <w:p w14:paraId="32247012">
      <w:pPr>
        <w:pStyle w:val="36"/>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5.3. 在评标过程中，评标委员会有权决定是否对本项目投标人进行实地考察或资料查验（原件）。投标人应随时做好接受实地考察或资料查验的准备。</w:t>
      </w:r>
    </w:p>
    <w:p w14:paraId="09B21436">
      <w:pPr>
        <w:pStyle w:val="36"/>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5.4. 按照评标报告中推荐的中标候选人确定中标人，确认后将在刊登本项目征集公告的法定媒体上发布中标公告。</w:t>
      </w:r>
    </w:p>
    <w:p w14:paraId="20858C48">
      <w:pPr>
        <w:pStyle w:val="36"/>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5.5. 中标人拒绝与采购人签订合同的，可以重新开展政府采购活动。</w:t>
      </w:r>
    </w:p>
    <w:p w14:paraId="3949C5CA">
      <w:pPr>
        <w:pStyle w:val="36"/>
        <w:widowControl/>
        <w:numPr>
          <w:ilvl w:val="0"/>
          <w:numId w:val="0"/>
        </w:numPr>
        <w:spacing w:line="360" w:lineRule="auto"/>
        <w:ind w:leftChars="0"/>
        <w:jc w:val="left"/>
        <w:outlineLvl w:val="9"/>
        <w:rPr>
          <w:rFonts w:ascii="宋体" w:hAnsi="宋体"/>
          <w:b/>
          <w:szCs w:val="21"/>
        </w:rPr>
      </w:pPr>
      <w:r>
        <w:rPr>
          <w:rFonts w:hint="eastAsia" w:ascii="宋体" w:hAnsi="宋体"/>
          <w:b/>
          <w:szCs w:val="21"/>
          <w:lang w:val="en-US" w:eastAsia="zh-CN"/>
        </w:rPr>
        <w:t xml:space="preserve">6.  </w:t>
      </w:r>
      <w:r>
        <w:rPr>
          <w:rFonts w:ascii="宋体" w:hAnsi="宋体"/>
          <w:b/>
          <w:szCs w:val="21"/>
        </w:rPr>
        <w:t>特别说明</w:t>
      </w:r>
    </w:p>
    <w:p w14:paraId="70EEA8B4">
      <w:pPr>
        <w:pStyle w:val="36"/>
        <w:widowControl/>
        <w:numPr>
          <w:ilvl w:val="0"/>
          <w:numId w:val="0"/>
        </w:numPr>
        <w:spacing w:line="360" w:lineRule="auto"/>
        <w:ind w:leftChars="0"/>
        <w:jc w:val="left"/>
        <w:outlineLvl w:val="9"/>
        <w:rPr>
          <w:rFonts w:ascii="宋体" w:hAnsi="宋体"/>
          <w:szCs w:val="21"/>
        </w:rPr>
      </w:pPr>
      <w:r>
        <w:rPr>
          <w:rFonts w:hint="eastAsia" w:ascii="宋体" w:hAnsi="宋体"/>
          <w:szCs w:val="21"/>
          <w:lang w:val="en-US" w:eastAsia="zh-CN"/>
        </w:rPr>
        <w:t xml:space="preserve">6.1. </w:t>
      </w:r>
      <w:r>
        <w:rPr>
          <w:rFonts w:hint="eastAsia" w:ascii="宋体" w:hAnsi="宋体"/>
          <w:szCs w:val="21"/>
        </w:rPr>
        <w:t>有下列情形之一的，视为投标人串通投标，其投标无效：</w:t>
      </w:r>
    </w:p>
    <w:p w14:paraId="776BF247">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不同投标人的投标文件由同一单位或者个人编制；</w:t>
      </w:r>
    </w:p>
    <w:p w14:paraId="45D516EA">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不同投标人委托同一单位或者个人办理投标事宜；</w:t>
      </w:r>
    </w:p>
    <w:p w14:paraId="09F72BB8">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不同投标人的投标文件载明的项目管理成员或者联系人员为同一人；</w:t>
      </w:r>
    </w:p>
    <w:p w14:paraId="16ACA07F">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不同投标人的投标文件异常一致或者投标报价呈规律性差异；</w:t>
      </w:r>
    </w:p>
    <w:p w14:paraId="421D9A7B">
      <w:pPr>
        <w:pStyle w:val="36"/>
        <w:widowControl/>
        <w:numPr>
          <w:ilvl w:val="0"/>
          <w:numId w:val="0"/>
        </w:numPr>
        <w:spacing w:line="360" w:lineRule="auto"/>
        <w:ind w:leftChars="0"/>
        <w:jc w:val="left"/>
        <w:outlineLvl w:val="9"/>
        <w:rPr>
          <w:rFonts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不同投标人的投标文件相互混装；</w:t>
      </w:r>
    </w:p>
    <w:p w14:paraId="2FAB76F9">
      <w:pPr>
        <w:pStyle w:val="36"/>
        <w:widowControl/>
        <w:numPr>
          <w:ilvl w:val="0"/>
          <w:numId w:val="0"/>
        </w:numPr>
        <w:spacing w:line="360" w:lineRule="auto"/>
        <w:ind w:leftChars="0"/>
        <w:jc w:val="left"/>
        <w:outlineLvl w:val="9"/>
        <w:rPr>
          <w:rFonts w:ascii="宋体" w:hAnsi="宋体"/>
          <w:szCs w:val="21"/>
        </w:rPr>
      </w:pPr>
      <w:r>
        <w:rPr>
          <w:rFonts w:hint="eastAsia" w:ascii="宋体" w:hAnsi="宋体"/>
          <w:szCs w:val="21"/>
          <w:lang w:val="en-US" w:eastAsia="zh-CN"/>
        </w:rPr>
        <w:t xml:space="preserve">6.2. </w:t>
      </w:r>
      <w:r>
        <w:rPr>
          <w:rFonts w:hint="eastAsia" w:ascii="宋体" w:hAnsi="宋体"/>
          <w:szCs w:val="21"/>
        </w:rPr>
        <w:t>投标人存在下列情况之一的，投标无效：</w:t>
      </w:r>
    </w:p>
    <w:p w14:paraId="2B978D18">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投标文件未按</w:t>
      </w:r>
      <w:r>
        <w:rPr>
          <w:rFonts w:hint="eastAsia" w:ascii="宋体" w:hAnsi="宋体"/>
          <w:szCs w:val="21"/>
          <w:lang w:eastAsia="zh-CN"/>
        </w:rPr>
        <w:t>征集</w:t>
      </w:r>
      <w:r>
        <w:rPr>
          <w:rFonts w:hint="eastAsia" w:ascii="宋体" w:hAnsi="宋体"/>
          <w:szCs w:val="21"/>
        </w:rPr>
        <w:t>文件要求签署、盖章的；</w:t>
      </w:r>
    </w:p>
    <w:p w14:paraId="4BAD3AB5">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不具备</w:t>
      </w:r>
      <w:r>
        <w:rPr>
          <w:rFonts w:hint="eastAsia" w:ascii="宋体" w:hAnsi="宋体"/>
          <w:szCs w:val="21"/>
          <w:lang w:eastAsia="zh-CN"/>
        </w:rPr>
        <w:t>征集</w:t>
      </w:r>
      <w:r>
        <w:rPr>
          <w:rFonts w:hint="eastAsia" w:ascii="宋体" w:hAnsi="宋体"/>
          <w:szCs w:val="21"/>
        </w:rPr>
        <w:t>文件中规定的资格要求的；</w:t>
      </w:r>
    </w:p>
    <w:p w14:paraId="72EC76C4">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报价超过</w:t>
      </w:r>
      <w:r>
        <w:rPr>
          <w:rFonts w:hint="eastAsia" w:ascii="宋体" w:hAnsi="宋体"/>
          <w:szCs w:val="21"/>
          <w:lang w:eastAsia="zh-CN"/>
        </w:rPr>
        <w:t>征集</w:t>
      </w:r>
      <w:r>
        <w:rPr>
          <w:rFonts w:hint="eastAsia" w:ascii="宋体" w:hAnsi="宋体"/>
          <w:szCs w:val="21"/>
        </w:rPr>
        <w:t>文件中规定的预算金额或者最高限价的；</w:t>
      </w:r>
    </w:p>
    <w:p w14:paraId="62626DC9">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投标文件含有采购人不能接受的附加条件的;</w:t>
      </w:r>
    </w:p>
    <w:p w14:paraId="55F4A46C">
      <w:pPr>
        <w:pStyle w:val="36"/>
        <w:widowControl/>
        <w:numPr>
          <w:ilvl w:val="0"/>
          <w:numId w:val="0"/>
        </w:numPr>
        <w:spacing w:line="360" w:lineRule="auto"/>
        <w:ind w:leftChars="0"/>
        <w:jc w:val="left"/>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法律、法规和</w:t>
      </w:r>
      <w:r>
        <w:rPr>
          <w:rFonts w:hint="eastAsia" w:ascii="宋体" w:hAnsi="宋体"/>
          <w:szCs w:val="21"/>
          <w:lang w:eastAsia="zh-CN"/>
        </w:rPr>
        <w:t>征集</w:t>
      </w:r>
      <w:r>
        <w:rPr>
          <w:rFonts w:hint="eastAsia" w:ascii="宋体" w:hAnsi="宋体"/>
          <w:szCs w:val="21"/>
        </w:rPr>
        <w:t>文件规定的其他无效情形。</w:t>
      </w:r>
    </w:p>
    <w:p w14:paraId="10C28F40">
      <w:pPr>
        <w:pStyle w:val="36"/>
        <w:widowControl/>
        <w:numPr>
          <w:ilvl w:val="0"/>
          <w:numId w:val="0"/>
        </w:numPr>
        <w:spacing w:line="360" w:lineRule="auto"/>
        <w:ind w:leftChars="0"/>
        <w:jc w:val="left"/>
        <w:rPr>
          <w:rFonts w:hint="eastAsia" w:ascii="宋体" w:hAnsi="宋体" w:eastAsiaTheme="minorEastAsia"/>
          <w:szCs w:val="21"/>
          <w:lang w:eastAsia="zh-CN"/>
        </w:rPr>
      </w:pPr>
      <w:r>
        <w:rPr>
          <w:rFonts w:hint="eastAsia" w:ascii="宋体" w:hAnsi="宋体"/>
          <w:szCs w:val="21"/>
          <w:lang w:val="en-US" w:eastAsia="zh-CN"/>
        </w:rPr>
        <w:t xml:space="preserve">6.3. </w:t>
      </w:r>
      <w:r>
        <w:rPr>
          <w:rFonts w:ascii="宋体" w:hAnsi="宋体"/>
          <w:szCs w:val="21"/>
        </w:rPr>
        <w:t>在</w:t>
      </w:r>
      <w:r>
        <w:rPr>
          <w:rFonts w:hint="eastAsia" w:ascii="宋体" w:hAnsi="宋体"/>
          <w:szCs w:val="21"/>
          <w:lang w:eastAsia="zh-CN"/>
        </w:rPr>
        <w:t>征集</w:t>
      </w:r>
      <w:r>
        <w:rPr>
          <w:rFonts w:ascii="宋体" w:hAnsi="宋体"/>
          <w:szCs w:val="21"/>
        </w:rPr>
        <w:t>采购中，出现下列情形之一的，应予废标</w:t>
      </w:r>
      <w:r>
        <w:rPr>
          <w:rFonts w:hint="eastAsia" w:ascii="宋体" w:hAnsi="宋体"/>
          <w:szCs w:val="21"/>
          <w:lang w:eastAsia="zh-CN"/>
        </w:rPr>
        <w:t>：</w:t>
      </w:r>
    </w:p>
    <w:p w14:paraId="7667ED95">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符合专业条件的供应商或者对</w:t>
      </w:r>
      <w:r>
        <w:rPr>
          <w:rFonts w:hint="eastAsia" w:ascii="宋体" w:hAnsi="宋体"/>
          <w:szCs w:val="21"/>
          <w:lang w:eastAsia="zh-CN"/>
        </w:rPr>
        <w:t>征集</w:t>
      </w:r>
      <w:r>
        <w:rPr>
          <w:rFonts w:ascii="宋体" w:hAnsi="宋体"/>
          <w:szCs w:val="21"/>
        </w:rPr>
        <w:t>文件作实质响应的供应商不足</w:t>
      </w:r>
      <w:r>
        <w:rPr>
          <w:rFonts w:hint="eastAsia" w:ascii="宋体" w:hAnsi="宋体"/>
          <w:szCs w:val="21"/>
          <w:lang w:val="en-US" w:eastAsia="zh-CN"/>
        </w:rPr>
        <w:t>两</w:t>
      </w:r>
      <w:r>
        <w:rPr>
          <w:rFonts w:ascii="宋体" w:hAnsi="宋体"/>
          <w:szCs w:val="21"/>
        </w:rPr>
        <w:t>家的；</w:t>
      </w:r>
    </w:p>
    <w:p w14:paraId="7C0BA65F">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出现影响采购公正的违法、违规行为的；</w:t>
      </w:r>
    </w:p>
    <w:p w14:paraId="55C2363F">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投标人的报价均超过了采购预算，采购人不能支付的；</w:t>
      </w:r>
    </w:p>
    <w:p w14:paraId="4B57E99D">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因重大变故，采购任务取消的</w:t>
      </w:r>
      <w:r>
        <w:rPr>
          <w:rFonts w:hint="eastAsia" w:ascii="宋体" w:hAnsi="宋体"/>
          <w:szCs w:val="21"/>
        </w:rPr>
        <w:t>。</w:t>
      </w:r>
    </w:p>
    <w:p w14:paraId="462F3870">
      <w:pPr>
        <w:pStyle w:val="36"/>
        <w:widowControl/>
        <w:numPr>
          <w:ilvl w:val="0"/>
          <w:numId w:val="0"/>
        </w:numPr>
        <w:spacing w:line="360" w:lineRule="auto"/>
        <w:ind w:leftChars="0"/>
        <w:jc w:val="left"/>
        <w:outlineLvl w:val="9"/>
        <w:rPr>
          <w:rFonts w:hint="default" w:ascii="宋体" w:hAnsi="宋体" w:eastAsiaTheme="minorEastAsia"/>
          <w:b/>
          <w:bCs/>
          <w:szCs w:val="21"/>
          <w:lang w:val="en-US" w:eastAsia="zh-CN"/>
        </w:rPr>
      </w:pPr>
      <w:r>
        <w:rPr>
          <w:rFonts w:hint="eastAsia" w:ascii="宋体" w:hAnsi="宋体"/>
          <w:b/>
          <w:bCs/>
          <w:szCs w:val="21"/>
          <w:lang w:val="en-US" w:eastAsia="zh-CN"/>
        </w:rPr>
        <w:t>7.  其他事宜说明</w:t>
      </w:r>
    </w:p>
    <w:p w14:paraId="7C7305CE">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bookmarkStart w:id="20" w:name="_Toc435514852"/>
      <w:bookmarkStart w:id="21" w:name="_Toc8080"/>
      <w:bookmarkStart w:id="22" w:name="_Toc435515292"/>
      <w:bookmarkStart w:id="23" w:name="_Toc1246"/>
      <w:r>
        <w:rPr>
          <w:rFonts w:hint="eastAsia" w:ascii="宋体" w:hAnsi="宋体" w:eastAsiaTheme="minorEastAsia" w:cstheme="minorBidi"/>
          <w:color w:val="auto"/>
          <w:kern w:val="2"/>
          <w:sz w:val="21"/>
          <w:szCs w:val="21"/>
          <w:lang w:val="en-US" w:eastAsia="zh-CN" w:bidi="ar-SA"/>
        </w:rPr>
        <w:t>7.1. 本项目公开征集过程中若出现投标截止后实际递交投标文件的供应商数量不足、经评审委员会评审对征集文件作实质响应的供应商不足等情况，公开征集有效供应商不足两家的（有效供应商不少于两家的，可按照征集文件评审规则继续评审），项目根据以下情况开展：</w:t>
      </w:r>
    </w:p>
    <w:p w14:paraId="4A8A077F">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7.1.1. 公开征集失败的处理：</w:t>
      </w:r>
    </w:p>
    <w:p w14:paraId="658402E7">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7.1.1.1. 采购人可结合实际需要，重新实施公开征集，或依据有效投标供应商数量转为单一来源采购（仅1家有效供应商）。</w:t>
      </w:r>
    </w:p>
    <w:p w14:paraId="3DA210AB">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7.1.1.2. 对公开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失败的项目，评标委员会在出具该项目</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失败结论的同时，可以提出重新采购组织形式的建议，以及进一步完善</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文件的资格、技术、商务要求的修改建议。</w:t>
      </w:r>
    </w:p>
    <w:p w14:paraId="59FCE80B">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7.1.2 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失败的采购项目重新组织公开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的，需要重新按公开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流程发布</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公告和</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文件、组成评标委员会等组织采购活动。</w:t>
      </w:r>
    </w:p>
    <w:p w14:paraId="2E0C4D38">
      <w:pPr>
        <w:pStyle w:val="30"/>
        <w:widowControl/>
        <w:numPr>
          <w:ilvl w:val="0"/>
          <w:numId w:val="0"/>
        </w:numPr>
        <w:spacing w:line="360" w:lineRule="auto"/>
        <w:ind w:leftChars="0"/>
        <w:jc w:val="left"/>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 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失败项目转为单一来源谈判方式采购</w:t>
      </w:r>
    </w:p>
    <w:p w14:paraId="607F0182">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 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失败项目转为单一来源谈判方式采购后，评标委员会转为谈判小组，谈判小组成员由有关专家共3人以上（含3人）的单数组成；专家可重新抽取也可继续采用评标委员会内专家。</w:t>
      </w:r>
    </w:p>
    <w:p w14:paraId="4FC4C941">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.2. 谈判前，谈判小组将对单一来源供应商的谈判应答文件进行审查，当谈判应答文件出现下列情况之一的将视为无效，按废标处理，不得进入谈判，具体内容见原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文件中投标文件初审表的《资格性检查表》部分以及谈判邀请中相应的变动部分。</w:t>
      </w:r>
    </w:p>
    <w:p w14:paraId="79E26EEE">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.3. 参加谈判的供应商和谈判小组成员填写谈判登记表，并交验证明文件（法定代表人证明书、法人授权委托书、被授权的谈判代表身份证原件）。</w:t>
      </w:r>
    </w:p>
    <w:p w14:paraId="268E9456">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.4. 在谈判中，谈判小组将就以下谈判内容跟供应商进行谈判：</w:t>
      </w:r>
    </w:p>
    <w:p w14:paraId="184744A2">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（1）项目方案；（2）报价；（3）其它相关事项。</w:t>
      </w:r>
    </w:p>
    <w:p w14:paraId="3C18AE3D">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文件或谈判邀请文件有实质性变动的，谈判小组应当通知供应商。</w:t>
      </w:r>
    </w:p>
    <w:p w14:paraId="1F14676C">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.5. 谈判小组可以用书面形式要求供应商对其谈判应答文件含义不明确的内容作必要的澄清或者说明，重要问题供应商应以书面形式进行澄清、说明。</w:t>
      </w:r>
    </w:p>
    <w:p w14:paraId="3D25FB60">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.6. 允许供应商在谈判结束之前根据谈判小组提出的内容进行澄清、修改或完善，或对项目方案进行相应的调整。</w:t>
      </w:r>
    </w:p>
    <w:p w14:paraId="09064B8D">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.7. 供应商对谈判应答文件进行修改，都应形成文字材料，并经供应商谈判授权人签字认可。</w:t>
      </w:r>
    </w:p>
    <w:p w14:paraId="587108DD">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.8. 谈判小组与单一来源供应商进行谈判。供应商有两次更改机会；供应商应在规定的时间内提出最后更改及书面承诺。</w:t>
      </w:r>
    </w:p>
    <w:p w14:paraId="68A2DE8E">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.9. 有下列情形之一的，供应商的谈判结果作废标处理，具体内容见原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文件中投标文件初审表的《符合性检查表》部分以及谈判邀请中相应的变动部分。</w:t>
      </w:r>
    </w:p>
    <w:p w14:paraId="5FCC98A6">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.10. 谈判结束后，谈判小组根据供应商提供的谈判应答文件、谈判过程中产生的相关资料，对供应商谈判应答文件进行评估与比较，提出书面评审意见。</w:t>
      </w:r>
    </w:p>
    <w:p w14:paraId="000A1687">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.11. 谈判小组将对谈判过程进行记录，以存档备查。</w:t>
      </w:r>
    </w:p>
    <w:p w14:paraId="32D66409">
      <w:pPr>
        <w:pStyle w:val="30"/>
        <w:widowControl/>
        <w:numPr>
          <w:ilvl w:val="0"/>
          <w:numId w:val="0"/>
        </w:numPr>
        <w:spacing w:line="360" w:lineRule="auto"/>
        <w:ind w:leftChars="0"/>
        <w:jc w:val="left"/>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.12. 单一来源谈判采用最低价法。原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文件若采用最低价法以外的评标方法，转为单一来源后，评标方法改为最低价法。谈判小组对谈判应答文件进行评审和比较，对供应商最终的方案、服务和投资等谈判结果按最低价法进行评审。</w:t>
      </w:r>
    </w:p>
    <w:p w14:paraId="09AD85D9">
      <w:pPr>
        <w:tabs>
          <w:tab w:val="left" w:pos="426"/>
        </w:tabs>
        <w:spacing w:line="300" w:lineRule="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3</w:t>
      </w:r>
      <w:r>
        <w:rPr>
          <w:rFonts w:hint="eastAsia" w:ascii="宋体" w:hAnsi="宋体" w:eastAsiaTheme="minorEastAsia" w:cstheme="minorBidi"/>
          <w:color w:val="auto"/>
          <w:kern w:val="2"/>
          <w:sz w:val="21"/>
          <w:szCs w:val="21"/>
          <w:lang w:val="en-US" w:eastAsia="zh-CN" w:bidi="ar-SA"/>
        </w:rPr>
        <w:t>. 该项目候选中标供应商数量为两家，中标供应商</w:t>
      </w:r>
      <w:r>
        <w:rPr>
          <w:rFonts w:hint="eastAsia" w:ascii="宋体" w:hAnsi="宋体" w:cstheme="minorBidi"/>
          <w:color w:val="auto"/>
          <w:kern w:val="2"/>
          <w:sz w:val="21"/>
          <w:szCs w:val="21"/>
          <w:lang w:val="en-US" w:eastAsia="zh-CN" w:bidi="ar-SA"/>
        </w:rPr>
        <w:t>数量为一家</w:t>
      </w:r>
      <w:r>
        <w:rPr>
          <w:rFonts w:hint="eastAsia" w:ascii="宋体" w:hAnsi="宋体" w:eastAsiaTheme="minorEastAsia" w:cstheme="minorBidi"/>
          <w:color w:val="auto"/>
          <w:kern w:val="2"/>
          <w:sz w:val="21"/>
          <w:szCs w:val="21"/>
          <w:lang w:val="en-US" w:eastAsia="zh-CN" w:bidi="ar-SA"/>
        </w:rPr>
        <w:t>。</w:t>
      </w:r>
    </w:p>
    <w:p w14:paraId="08F66036">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4</w:t>
      </w:r>
      <w:r>
        <w:rPr>
          <w:rFonts w:hint="eastAsia" w:ascii="宋体" w:hAnsi="宋体" w:eastAsiaTheme="minorEastAsia" w:cstheme="minorBidi"/>
          <w:color w:val="auto"/>
          <w:kern w:val="2"/>
          <w:sz w:val="21"/>
          <w:szCs w:val="21"/>
          <w:lang w:val="en-US" w:eastAsia="zh-CN" w:bidi="ar-SA"/>
        </w:rPr>
        <w:t>. 评标委员会推荐排名第一的投标人为中标供应商，排名第二的投标人为候选中标供应商。中标供应商放弃中标资格的或中标资格被依法确认无效的，因情况紧急，重新组织采购不能满足采购人要求时，可依法从其他候选中标供应商中确定替补中标供应商。</w:t>
      </w:r>
    </w:p>
    <w:p w14:paraId="54B4AF37">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5</w:t>
      </w:r>
      <w:r>
        <w:rPr>
          <w:rFonts w:hint="eastAsia" w:ascii="宋体" w:hAnsi="宋体" w:eastAsiaTheme="minorEastAsia" w:cstheme="minorBidi"/>
          <w:color w:val="auto"/>
          <w:kern w:val="2"/>
          <w:sz w:val="21"/>
          <w:szCs w:val="21"/>
          <w:lang w:val="en-US" w:eastAsia="zh-CN" w:bidi="ar-SA"/>
        </w:rPr>
        <w:t>. 本项目不</w:t>
      </w:r>
      <w:r>
        <w:rPr>
          <w:rFonts w:hint="eastAsia" w:ascii="宋体" w:hAnsi="宋体" w:cstheme="minorBidi"/>
          <w:color w:val="auto"/>
          <w:kern w:val="2"/>
          <w:sz w:val="21"/>
          <w:szCs w:val="21"/>
          <w:lang w:val="en-US" w:eastAsia="zh-CN" w:bidi="ar-SA"/>
        </w:rPr>
        <w:t>组织</w:t>
      </w:r>
      <w:r>
        <w:rPr>
          <w:rFonts w:hint="eastAsia" w:ascii="宋体" w:hAnsi="宋体" w:eastAsiaTheme="minorEastAsia" w:cstheme="minorBidi"/>
          <w:color w:val="auto"/>
          <w:kern w:val="2"/>
          <w:sz w:val="21"/>
          <w:szCs w:val="21"/>
          <w:lang w:val="en-US" w:eastAsia="zh-CN" w:bidi="ar-SA"/>
        </w:rPr>
        <w:t>现场踏勘</w:t>
      </w:r>
      <w:r>
        <w:rPr>
          <w:rFonts w:hint="eastAsia" w:ascii="宋体" w:hAnsi="宋体" w:cstheme="minorBidi"/>
          <w:color w:val="auto"/>
          <w:kern w:val="2"/>
          <w:sz w:val="21"/>
          <w:szCs w:val="21"/>
          <w:lang w:val="en-US" w:eastAsia="zh-CN" w:bidi="ar-SA"/>
        </w:rPr>
        <w:t>、</w:t>
      </w:r>
      <w:r>
        <w:rPr>
          <w:rFonts w:hint="eastAsia" w:ascii="宋体" w:hAnsi="宋体" w:eastAsiaTheme="minorEastAsia" w:cstheme="minorBidi"/>
          <w:color w:val="auto"/>
          <w:kern w:val="2"/>
          <w:sz w:val="21"/>
          <w:szCs w:val="21"/>
          <w:lang w:val="en-US" w:eastAsia="zh-CN" w:bidi="ar-SA"/>
        </w:rPr>
        <w:t>不安排现场演示。</w:t>
      </w:r>
    </w:p>
    <w:p w14:paraId="26CC7918">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6</w:t>
      </w:r>
      <w:r>
        <w:rPr>
          <w:rFonts w:hint="eastAsia" w:ascii="宋体" w:hAnsi="宋体" w:eastAsiaTheme="minorEastAsia" w:cstheme="minorBidi"/>
          <w:color w:val="auto"/>
          <w:kern w:val="2"/>
          <w:sz w:val="21"/>
          <w:szCs w:val="21"/>
          <w:lang w:val="en-US" w:eastAsia="zh-CN" w:bidi="ar-SA"/>
        </w:rPr>
        <w:t>. 本项目资金来源为自筹资金。</w:t>
      </w:r>
    </w:p>
    <w:p w14:paraId="1146D06E">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7</w:t>
      </w:r>
      <w:r>
        <w:rPr>
          <w:rFonts w:hint="eastAsia" w:ascii="宋体" w:hAnsi="宋体" w:eastAsiaTheme="minorEastAsia" w:cstheme="minorBidi"/>
          <w:color w:val="auto"/>
          <w:kern w:val="2"/>
          <w:sz w:val="21"/>
          <w:szCs w:val="21"/>
          <w:lang w:val="en-US" w:eastAsia="zh-CN" w:bidi="ar-SA"/>
        </w:rPr>
        <w:t>. 本项目投标有效期从提交投标文件的截止之日起120日历日内有效。</w:t>
      </w:r>
    </w:p>
    <w:p w14:paraId="3CAB0B6D">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8</w:t>
      </w:r>
      <w:r>
        <w:rPr>
          <w:rFonts w:hint="eastAsia" w:ascii="宋体" w:hAnsi="宋体" w:eastAsiaTheme="minorEastAsia" w:cstheme="minorBidi"/>
          <w:color w:val="auto"/>
          <w:kern w:val="2"/>
          <w:sz w:val="21"/>
          <w:szCs w:val="21"/>
          <w:lang w:val="en-US" w:eastAsia="zh-CN" w:bidi="ar-SA"/>
        </w:rPr>
        <w:t>. 本项目不允许提交备选方案或替代方案。</w:t>
      </w:r>
    </w:p>
    <w:p w14:paraId="4C5400BE">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9</w:t>
      </w:r>
      <w:r>
        <w:rPr>
          <w:rFonts w:hint="eastAsia" w:ascii="宋体" w:hAnsi="宋体" w:eastAsiaTheme="minorEastAsia" w:cstheme="minorBidi"/>
          <w:color w:val="auto"/>
          <w:kern w:val="2"/>
          <w:sz w:val="21"/>
          <w:szCs w:val="21"/>
          <w:lang w:val="en-US" w:eastAsia="zh-CN" w:bidi="ar-SA"/>
        </w:rPr>
        <w:t>.</w:t>
      </w:r>
      <w:r>
        <w:rPr>
          <w:rFonts w:hint="eastAsia" w:ascii="宋体" w:hAnsi="宋体" w:cstheme="minorBidi"/>
          <w:color w:val="auto"/>
          <w:kern w:val="2"/>
          <w:sz w:val="21"/>
          <w:szCs w:val="21"/>
          <w:lang w:val="en-US" w:eastAsia="zh-CN" w:bidi="ar-SA"/>
        </w:rPr>
        <w:t xml:space="preserve"> 本</w:t>
      </w:r>
      <w:r>
        <w:rPr>
          <w:rFonts w:hint="eastAsia" w:ascii="宋体" w:hAnsi="宋体" w:eastAsiaTheme="minorEastAsia" w:cstheme="minorBidi"/>
          <w:color w:val="auto"/>
          <w:kern w:val="2"/>
          <w:sz w:val="21"/>
          <w:szCs w:val="21"/>
          <w:lang w:val="en-US" w:eastAsia="zh-CN" w:bidi="ar-SA"/>
        </w:rPr>
        <w:t>项目评标方法</w:t>
      </w:r>
      <w:r>
        <w:rPr>
          <w:rFonts w:hint="eastAsia" w:ascii="宋体" w:hAnsi="宋体" w:cstheme="minorBidi"/>
          <w:color w:val="auto"/>
          <w:kern w:val="2"/>
          <w:sz w:val="21"/>
          <w:szCs w:val="21"/>
          <w:lang w:val="en-US" w:eastAsia="zh-CN" w:bidi="ar-SA"/>
        </w:rPr>
        <w:t>为综合评分法。</w:t>
      </w:r>
    </w:p>
    <w:p w14:paraId="4C0C2E69">
      <w:pPr>
        <w:pStyle w:val="30"/>
        <w:widowControl/>
        <w:numPr>
          <w:ilvl w:val="0"/>
          <w:numId w:val="0"/>
        </w:numPr>
        <w:spacing w:line="360" w:lineRule="auto"/>
        <w:ind w:leftChars="0"/>
        <w:jc w:val="left"/>
        <w:rPr>
          <w:rFonts w:hint="default"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7.10.本项目不提交（收取）投标保证金和履约保证金。</w:t>
      </w:r>
    </w:p>
    <w:p w14:paraId="0C9F6675">
      <w:pPr>
        <w:pStyle w:val="36"/>
        <w:widowControl/>
        <w:numPr>
          <w:ilvl w:val="0"/>
          <w:numId w:val="0"/>
        </w:numPr>
        <w:spacing w:line="360" w:lineRule="auto"/>
        <w:ind w:leftChars="0"/>
        <w:jc w:val="left"/>
        <w:outlineLvl w:val="9"/>
        <w:rPr>
          <w:rFonts w:hint="eastAsia" w:ascii="宋体" w:hAnsi="宋体"/>
          <w:b/>
          <w:bCs/>
          <w:szCs w:val="21"/>
          <w:lang w:val="en-US" w:eastAsia="zh-CN"/>
        </w:rPr>
      </w:pPr>
      <w:r>
        <w:rPr>
          <w:rFonts w:hint="eastAsia" w:ascii="宋体" w:hAnsi="宋体"/>
          <w:b/>
          <w:bCs/>
          <w:szCs w:val="21"/>
          <w:lang w:val="en-US" w:eastAsia="zh-CN"/>
        </w:rPr>
        <w:t>8.  关于异常低价投标(响应)程序</w:t>
      </w:r>
    </w:p>
    <w:p w14:paraId="2C6264FF">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8.1根据《关于推动解决政府采购异常低价问题的通知》（财库〔2026〕2号）的相关规定：</w:t>
      </w:r>
    </w:p>
    <w:p w14:paraId="7731A654">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8.2本项目评审中出现下列情形之一的，评审委员会应当启动异常低价投标(响应)审查程序：</w:t>
      </w:r>
    </w:p>
    <w:p w14:paraId="26A36E86">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①投标(响应)报价低于全部通过符合性审查供应商投标(响应)报价平均值50%的，即投标(响应)报价&lt;全部通过符合性审查供应商投标(响应)报价平均值×50%;</w:t>
      </w:r>
    </w:p>
    <w:p w14:paraId="5C4B5AF2">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②投标(响应)报价低于通过符合性审查的次低报价供应商投标(响应)报价50%的，即投标(响应)报价&lt;通过符合性审查的次低报价供应商投标(响应)报价×50%;</w:t>
      </w:r>
    </w:p>
    <w:p w14:paraId="7B03FBAD">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③投标(响应)报价低于采购项目最高限价45%的，即投标(响应)报价&lt;采购项目最高限价×45%;</w:t>
      </w:r>
    </w:p>
    <w:p w14:paraId="0A2DE8F6">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④评审委员会基于专业判断，认为供应商报价过低，有可能影响产品质量或者不能诚信履约的其他情形。</w:t>
      </w:r>
    </w:p>
    <w:p w14:paraId="6ECF0761">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相关法律法规对供应商报价有规定的，从其规定。</w:t>
      </w:r>
    </w:p>
    <w:p w14:paraId="24487F7F">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8.3评审委员会启动异常低价投标(响应)审查后，属于前述第1项至第4项情形的，要求相关供应商在评审现场合理的时间内对投标(响应)价格作出解释，要求相关供应商在接到通知后30分钟内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w:t>
      </w:r>
    </w:p>
    <w:p w14:paraId="587BE903">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B56CBFB">
      <w:pPr>
        <w:pStyle w:val="3"/>
        <w:numPr>
          <w:ilvl w:val="0"/>
          <w:numId w:val="0"/>
        </w:numPr>
        <w:spacing w:line="240" w:lineRule="auto"/>
        <w:ind w:leftChars="0"/>
        <w:jc w:val="center"/>
        <w:outlineLvl w:val="0"/>
        <w:rPr>
          <w:rFonts w:asciiTheme="majorEastAsia" w:hAnsiTheme="majorEastAsia" w:eastAsiaTheme="majorEastAsia"/>
          <w:sz w:val="32"/>
          <w:szCs w:val="32"/>
        </w:rPr>
      </w:pPr>
      <w:bookmarkStart w:id="24" w:name="_Toc7421"/>
      <w:r>
        <w:rPr>
          <w:rFonts w:hint="eastAsia" w:asciiTheme="majorEastAsia" w:hAnsiTheme="majorEastAsia" w:eastAsiaTheme="majorEastAsia"/>
          <w:sz w:val="32"/>
          <w:szCs w:val="32"/>
          <w:lang w:val="en-US" w:eastAsia="zh-CN"/>
        </w:rPr>
        <w:t xml:space="preserve">第五章 </w:t>
      </w:r>
      <w:r>
        <w:rPr>
          <w:rFonts w:hint="eastAsia" w:asciiTheme="majorEastAsia" w:hAnsiTheme="majorEastAsia" w:eastAsiaTheme="majorEastAsia"/>
          <w:sz w:val="32"/>
          <w:szCs w:val="32"/>
        </w:rPr>
        <w:t>投标文件</w:t>
      </w:r>
      <w:r>
        <w:rPr>
          <w:rFonts w:hint="eastAsia" w:asciiTheme="majorEastAsia" w:hAnsiTheme="majorEastAsia" w:eastAsiaTheme="majorEastAsia"/>
          <w:sz w:val="32"/>
          <w:szCs w:val="32"/>
          <w:lang w:eastAsia="zh-CN"/>
        </w:rPr>
        <w:t>（</w:t>
      </w:r>
      <w:r>
        <w:rPr>
          <w:rFonts w:hint="eastAsia" w:asciiTheme="majorEastAsia" w:hAnsiTheme="majorEastAsia" w:eastAsiaTheme="majorEastAsia"/>
          <w:sz w:val="32"/>
          <w:szCs w:val="32"/>
          <w:lang w:val="en-US" w:eastAsia="zh-CN"/>
        </w:rPr>
        <w:t>编制</w:t>
      </w:r>
      <w:r>
        <w:rPr>
          <w:rFonts w:hint="eastAsia" w:asciiTheme="majorEastAsia" w:hAnsiTheme="majorEastAsia" w:eastAsiaTheme="majorEastAsia"/>
          <w:sz w:val="32"/>
          <w:szCs w:val="32"/>
        </w:rPr>
        <w:t>参考</w:t>
      </w:r>
      <w:r>
        <w:rPr>
          <w:rFonts w:hint="eastAsia" w:asciiTheme="majorEastAsia" w:hAnsiTheme="majorEastAsia" w:eastAsiaTheme="majorEastAsia"/>
          <w:sz w:val="32"/>
          <w:szCs w:val="32"/>
          <w:lang w:val="en-US" w:eastAsia="zh-CN"/>
        </w:rPr>
        <w:t>模板</w:t>
      </w:r>
      <w:r>
        <w:rPr>
          <w:rFonts w:hint="eastAsia" w:asciiTheme="majorEastAsia" w:hAnsiTheme="majorEastAsia" w:eastAsiaTheme="majorEastAsia"/>
          <w:sz w:val="32"/>
          <w:szCs w:val="32"/>
          <w:lang w:eastAsia="zh-CN"/>
        </w:rPr>
        <w:t>）</w:t>
      </w:r>
      <w:bookmarkEnd w:id="20"/>
      <w:bookmarkEnd w:id="21"/>
      <w:bookmarkEnd w:id="22"/>
      <w:bookmarkEnd w:id="23"/>
      <w:bookmarkEnd w:id="24"/>
    </w:p>
    <w:tbl>
      <w:tblPr>
        <w:tblStyle w:val="18"/>
        <w:tblW w:w="90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8"/>
      </w:tblGrid>
      <w:tr w14:paraId="062E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7" w:hRule="atLeast"/>
        </w:trPr>
        <w:tc>
          <w:tcPr>
            <w:tcW w:w="9018" w:type="dxa"/>
          </w:tcPr>
          <w:p w14:paraId="0168BCD2">
            <w:pPr>
              <w:pStyle w:val="6"/>
              <w:keepNext w:val="0"/>
              <w:keepLines w:val="0"/>
              <w:suppressLineNumbers w:val="0"/>
              <w:spacing w:before="0" w:beforeAutospacing="0" w:afterAutospacing="0" w:line="360" w:lineRule="auto"/>
              <w:ind w:left="0" w:right="0" w:firstLine="482" w:firstLineChars="150"/>
              <w:rPr>
                <w:rFonts w:hint="default" w:ascii="仿宋_GB2312" w:eastAsia="仿宋_GB2312"/>
                <w:b/>
                <w:sz w:val="32"/>
              </w:rPr>
            </w:pPr>
          </w:p>
          <w:p w14:paraId="5DD66652">
            <w:pPr>
              <w:pStyle w:val="6"/>
              <w:keepNext w:val="0"/>
              <w:keepLines w:val="0"/>
              <w:suppressLineNumbers w:val="0"/>
              <w:spacing w:before="0" w:beforeAutospacing="0" w:afterAutospacing="0" w:line="360" w:lineRule="auto"/>
              <w:ind w:left="0" w:right="0" w:firstLine="482" w:firstLineChars="150"/>
              <w:rPr>
                <w:rFonts w:hint="default" w:ascii="仿宋_GB2312" w:eastAsia="仿宋_GB2312"/>
                <w:b/>
                <w:sz w:val="32"/>
              </w:rPr>
            </w:pPr>
          </w:p>
          <w:p w14:paraId="4F96A7D5">
            <w:pPr>
              <w:pStyle w:val="6"/>
              <w:keepNext w:val="0"/>
              <w:keepLines w:val="0"/>
              <w:suppressLineNumbers w:val="0"/>
              <w:spacing w:before="0" w:beforeAutospacing="0" w:afterAutospacing="0" w:line="360" w:lineRule="auto"/>
              <w:ind w:left="0" w:right="0" w:firstLine="482" w:firstLineChars="150"/>
              <w:rPr>
                <w:rFonts w:hint="default" w:ascii="仿宋_GB2312" w:eastAsia="仿宋_GB2312"/>
                <w:b/>
                <w:sz w:val="32"/>
              </w:rPr>
            </w:pPr>
          </w:p>
          <w:p w14:paraId="24E0C28B">
            <w:pPr>
              <w:pStyle w:val="6"/>
              <w:keepNext w:val="0"/>
              <w:keepLines w:val="0"/>
              <w:suppressLineNumbers w:val="0"/>
              <w:spacing w:before="0" w:beforeAutospacing="0" w:afterAutospacing="0" w:line="360" w:lineRule="auto"/>
              <w:ind w:left="0" w:right="0"/>
              <w:jc w:val="center"/>
              <w:rPr>
                <w:rFonts w:hint="default" w:ascii="黑体" w:eastAsia="黑体"/>
                <w:b/>
                <w:sz w:val="72"/>
                <w:szCs w:val="72"/>
              </w:rPr>
            </w:pPr>
            <w:r>
              <w:rPr>
                <w:rFonts w:hint="eastAsia" w:ascii="黑体" w:eastAsia="黑体"/>
                <w:b/>
                <w:sz w:val="72"/>
                <w:szCs w:val="72"/>
              </w:rPr>
              <w:t>投 标 文 件</w:t>
            </w:r>
          </w:p>
          <w:p w14:paraId="056E2451">
            <w:pPr>
              <w:pStyle w:val="6"/>
              <w:keepNext w:val="0"/>
              <w:keepLines w:val="0"/>
              <w:suppressLineNumbers w:val="0"/>
              <w:spacing w:before="0" w:beforeAutospacing="0" w:afterAutospacing="0" w:line="360" w:lineRule="auto"/>
              <w:ind w:left="0" w:right="0" w:firstLine="3398" w:firstLineChars="651"/>
              <w:rPr>
                <w:rFonts w:hint="default" w:ascii="黑体" w:eastAsia="黑体"/>
                <w:b/>
                <w:sz w:val="32"/>
              </w:rPr>
            </w:pPr>
            <w:r>
              <w:rPr>
                <w:rFonts w:hint="eastAsia" w:ascii="黑体" w:eastAsia="黑体"/>
                <w:b/>
                <w:sz w:val="52"/>
                <w:szCs w:val="52"/>
              </w:rPr>
              <w:t xml:space="preserve">口 </w:t>
            </w:r>
            <w:r>
              <w:rPr>
                <w:rFonts w:hint="eastAsia" w:ascii="黑体" w:eastAsia="黑体"/>
                <w:b/>
                <w:sz w:val="32"/>
              </w:rPr>
              <w:t>正本</w:t>
            </w:r>
          </w:p>
          <w:p w14:paraId="68FD3430">
            <w:pPr>
              <w:pStyle w:val="6"/>
              <w:keepNext w:val="0"/>
              <w:keepLines w:val="0"/>
              <w:suppressLineNumbers w:val="0"/>
              <w:spacing w:before="0" w:beforeAutospacing="0" w:afterAutospacing="0" w:line="360" w:lineRule="auto"/>
              <w:ind w:left="0" w:right="0" w:firstLine="3398" w:firstLineChars="651"/>
              <w:rPr>
                <w:rFonts w:hint="default" w:ascii="黑体" w:eastAsia="黑体"/>
                <w:b/>
                <w:sz w:val="32"/>
              </w:rPr>
            </w:pPr>
            <w:r>
              <w:rPr>
                <w:rFonts w:hint="eastAsia" w:ascii="黑体" w:eastAsia="黑体"/>
                <w:b/>
                <w:sz w:val="52"/>
                <w:szCs w:val="52"/>
              </w:rPr>
              <w:t xml:space="preserve">口 </w:t>
            </w:r>
            <w:r>
              <w:rPr>
                <w:rFonts w:hint="eastAsia" w:ascii="黑体" w:eastAsia="黑体"/>
                <w:b/>
                <w:sz w:val="32"/>
              </w:rPr>
              <w:t>副本</w:t>
            </w:r>
          </w:p>
          <w:p w14:paraId="327486C6">
            <w:pPr>
              <w:pStyle w:val="6"/>
              <w:keepNext w:val="0"/>
              <w:keepLines w:val="0"/>
              <w:suppressLineNumbers w:val="0"/>
              <w:spacing w:before="0" w:beforeAutospacing="0" w:afterAutospacing="0" w:line="360" w:lineRule="auto"/>
              <w:ind w:left="0" w:right="0"/>
              <w:rPr>
                <w:rFonts w:hint="default" w:ascii="仿宋_GB2312" w:eastAsia="仿宋_GB2312"/>
                <w:b/>
                <w:sz w:val="32"/>
              </w:rPr>
            </w:pPr>
          </w:p>
          <w:p w14:paraId="408DEE70">
            <w:pPr>
              <w:pStyle w:val="6"/>
              <w:keepNext w:val="0"/>
              <w:keepLines w:val="0"/>
              <w:suppressLineNumbers w:val="0"/>
              <w:spacing w:before="0" w:beforeAutospacing="0" w:afterAutospacing="0" w:line="360" w:lineRule="auto"/>
              <w:ind w:left="0" w:right="0"/>
              <w:rPr>
                <w:rFonts w:hint="default" w:ascii="仿宋_GB2312" w:eastAsia="仿宋_GB2312"/>
                <w:b/>
                <w:sz w:val="32"/>
              </w:rPr>
            </w:pPr>
          </w:p>
          <w:p w14:paraId="1F535991">
            <w:pPr>
              <w:pStyle w:val="6"/>
              <w:keepNext w:val="0"/>
              <w:keepLines w:val="0"/>
              <w:suppressLineNumbers w:val="0"/>
              <w:spacing w:before="0" w:beforeAutospacing="0" w:afterAutospacing="0" w:line="360" w:lineRule="auto"/>
              <w:ind w:left="0" w:right="0"/>
              <w:rPr>
                <w:rFonts w:hint="default" w:ascii="仿宋_GB2312" w:eastAsia="仿宋_GB2312"/>
                <w:b/>
                <w:sz w:val="32"/>
              </w:rPr>
            </w:pPr>
          </w:p>
          <w:p w14:paraId="18F76FDC">
            <w:pPr>
              <w:pStyle w:val="6"/>
              <w:keepNext w:val="0"/>
              <w:keepLines w:val="0"/>
              <w:suppressLineNumbers w:val="0"/>
              <w:spacing w:before="0" w:beforeAutospacing="0" w:afterAutospacing="0" w:line="400" w:lineRule="exact"/>
              <w:ind w:left="0" w:right="0" w:firstLine="843" w:firstLineChars="300"/>
              <w:rPr>
                <w:rFonts w:hint="eastAsia" w:ascii="仿宋_GB2312" w:eastAsia="仿宋_GB2312"/>
                <w:b/>
                <w:sz w:val="28"/>
                <w:szCs w:val="28"/>
                <w:lang w:eastAsia="zh-CN"/>
              </w:rPr>
            </w:pPr>
            <w:r>
              <w:rPr>
                <w:rFonts w:hint="eastAsia" w:ascii="仿宋_GB2312" w:eastAsia="仿宋_GB2312"/>
                <w:b/>
                <w:sz w:val="28"/>
                <w:szCs w:val="28"/>
              </w:rPr>
              <w:t>项</w:t>
            </w:r>
            <w:r>
              <w:rPr>
                <w:rFonts w:hint="eastAsia" w:ascii="仿宋_GB2312" w:eastAsia="仿宋_GB2312"/>
                <w:b/>
                <w:color w:val="auto"/>
                <w:sz w:val="28"/>
                <w:szCs w:val="28"/>
              </w:rPr>
              <w:t>目编号：</w:t>
            </w:r>
          </w:p>
          <w:p w14:paraId="5FE98AF9">
            <w:pPr>
              <w:pStyle w:val="6"/>
              <w:keepNext w:val="0"/>
              <w:keepLines w:val="0"/>
              <w:suppressLineNumbers w:val="0"/>
              <w:spacing w:before="0" w:beforeAutospacing="0" w:afterAutospacing="0" w:line="400" w:lineRule="exact"/>
              <w:ind w:left="0" w:right="0" w:firstLine="843" w:firstLineChars="300"/>
              <w:rPr>
                <w:rFonts w:hint="eastAsia" w:ascii="仿宋_GB2312" w:eastAsia="仿宋_GB2312"/>
                <w:b/>
                <w:sz w:val="28"/>
                <w:szCs w:val="28"/>
                <w:lang w:eastAsia="zh-CN"/>
              </w:rPr>
            </w:pPr>
            <w:r>
              <w:rPr>
                <w:rFonts w:hint="eastAsia" w:ascii="仿宋_GB2312" w:eastAsia="仿宋_GB2312"/>
                <w:b/>
                <w:sz w:val="28"/>
                <w:szCs w:val="28"/>
              </w:rPr>
              <w:t>项目名称：</w:t>
            </w:r>
          </w:p>
          <w:p w14:paraId="4900056A">
            <w:pPr>
              <w:pStyle w:val="6"/>
              <w:keepNext w:val="0"/>
              <w:keepLines w:val="0"/>
              <w:suppressLineNumbers w:val="0"/>
              <w:spacing w:before="0" w:beforeAutospacing="0" w:afterAutospacing="0" w:line="400" w:lineRule="exact"/>
              <w:ind w:left="0" w:right="0" w:firstLine="843" w:firstLineChars="300"/>
              <w:rPr>
                <w:rFonts w:hint="default" w:ascii="仿宋_GB2312" w:eastAsia="仿宋_GB2312"/>
                <w:b/>
                <w:sz w:val="28"/>
                <w:szCs w:val="28"/>
              </w:rPr>
            </w:pPr>
            <w:r>
              <w:rPr>
                <w:rFonts w:hint="eastAsia" w:ascii="仿宋_GB2312" w:eastAsia="仿宋_GB2312"/>
                <w:b/>
                <w:sz w:val="28"/>
                <w:szCs w:val="28"/>
              </w:rPr>
              <w:t>投标人名称：</w:t>
            </w:r>
          </w:p>
          <w:p w14:paraId="3E773E6D">
            <w:pPr>
              <w:pStyle w:val="6"/>
              <w:keepNext w:val="0"/>
              <w:keepLines w:val="0"/>
              <w:suppressLineNumbers w:val="0"/>
              <w:spacing w:before="0" w:beforeAutospacing="0" w:afterAutospacing="0" w:line="400" w:lineRule="exact"/>
              <w:ind w:left="0" w:right="0" w:firstLine="843" w:firstLineChars="300"/>
              <w:rPr>
                <w:rFonts w:hint="default" w:ascii="仿宋_GB2312" w:eastAsia="仿宋_GB2312"/>
                <w:b/>
                <w:sz w:val="28"/>
                <w:szCs w:val="28"/>
              </w:rPr>
            </w:pPr>
            <w:r>
              <w:rPr>
                <w:rFonts w:hint="eastAsia" w:ascii="仿宋_GB2312" w:eastAsia="仿宋_GB2312"/>
                <w:b/>
                <w:sz w:val="28"/>
                <w:szCs w:val="28"/>
              </w:rPr>
              <w:t>投标人地址：</w:t>
            </w:r>
          </w:p>
          <w:p w14:paraId="578B5057">
            <w:pPr>
              <w:keepNext w:val="0"/>
              <w:keepLines w:val="0"/>
              <w:suppressLineNumbers w:val="0"/>
              <w:tabs>
                <w:tab w:val="left" w:pos="851"/>
              </w:tabs>
              <w:autoSpaceDE w:val="0"/>
              <w:autoSpaceDN w:val="0"/>
              <w:adjustRightInd w:val="0"/>
              <w:snapToGrid w:val="0"/>
              <w:spacing w:before="0" w:beforeAutospacing="0" w:after="0" w:afterAutospacing="0" w:line="420" w:lineRule="auto"/>
              <w:ind w:left="0" w:right="0" w:firstLine="843" w:firstLineChars="300"/>
              <w:jc w:val="both"/>
              <w:rPr>
                <w:rFonts w:hint="default" w:ascii="仿宋_GB2312" w:eastAsia="仿宋_GB2312" w:hAnsiTheme="minorHAnsi" w:cstheme="minorBidi"/>
                <w:b/>
                <w:color w:val="auto"/>
                <w:kern w:val="2"/>
                <w:sz w:val="28"/>
                <w:szCs w:val="28"/>
                <w:lang w:val="en-US" w:eastAsia="zh-CN" w:bidi="ar-SA"/>
              </w:rPr>
            </w:pPr>
            <w:r>
              <w:rPr>
                <w:rFonts w:hint="eastAsia" w:ascii="仿宋_GB2312" w:eastAsia="仿宋_GB2312" w:cstheme="minorBidi"/>
                <w:b/>
                <w:color w:val="auto"/>
                <w:kern w:val="2"/>
                <w:sz w:val="28"/>
                <w:szCs w:val="28"/>
                <w:lang w:val="en-US" w:eastAsia="zh-CN" w:bidi="ar-SA"/>
              </w:rPr>
              <w:t>联系人及联系电话：</w:t>
            </w:r>
          </w:p>
          <w:p w14:paraId="41FDBA62">
            <w:pPr>
              <w:keepNext w:val="0"/>
              <w:keepLines w:val="0"/>
              <w:suppressLineNumbers w:val="0"/>
              <w:tabs>
                <w:tab w:val="left" w:pos="851"/>
              </w:tabs>
              <w:autoSpaceDE w:val="0"/>
              <w:autoSpaceDN w:val="0"/>
              <w:adjustRightInd w:val="0"/>
              <w:snapToGrid w:val="0"/>
              <w:spacing w:before="0" w:beforeAutospacing="0" w:after="0" w:afterAutospacing="0" w:line="420" w:lineRule="auto"/>
              <w:ind w:left="0" w:right="0" w:firstLine="829" w:firstLineChars="295"/>
              <w:rPr>
                <w:rFonts w:hint="eastAsia" w:ascii="仿宋_GB2312" w:eastAsia="仿宋_GB2312"/>
                <w:b/>
                <w:sz w:val="28"/>
                <w:szCs w:val="28"/>
              </w:rPr>
            </w:pPr>
          </w:p>
          <w:p w14:paraId="29748A16">
            <w:pPr>
              <w:keepNext w:val="0"/>
              <w:keepLines w:val="0"/>
              <w:suppressLineNumbers w:val="0"/>
              <w:tabs>
                <w:tab w:val="left" w:pos="851"/>
              </w:tabs>
              <w:autoSpaceDE w:val="0"/>
              <w:autoSpaceDN w:val="0"/>
              <w:adjustRightInd w:val="0"/>
              <w:snapToGrid w:val="0"/>
              <w:spacing w:before="0" w:beforeAutospacing="0" w:after="0" w:afterAutospacing="0" w:line="420" w:lineRule="auto"/>
              <w:ind w:left="0" w:right="0" w:firstLine="829" w:firstLineChars="295"/>
              <w:rPr>
                <w:rFonts w:hint="default" w:ascii="仿宋_GB2312" w:eastAsia="仿宋_GB2312"/>
                <w:b/>
                <w:sz w:val="32"/>
              </w:rPr>
            </w:pPr>
            <w:r>
              <w:rPr>
                <w:rFonts w:hint="eastAsia" w:ascii="仿宋_GB2312" w:eastAsia="仿宋_GB2312"/>
                <w:b/>
                <w:sz w:val="28"/>
                <w:szCs w:val="28"/>
              </w:rPr>
              <w:t>开标之前不得启封</w:t>
            </w:r>
          </w:p>
        </w:tc>
      </w:tr>
    </w:tbl>
    <w:p w14:paraId="737696D6">
      <w:pPr>
        <w:rPr>
          <w:rFonts w:hint="eastAsia"/>
        </w:rPr>
      </w:pPr>
      <w:bookmarkStart w:id="25" w:name="_Toc435514865"/>
      <w:bookmarkStart w:id="26" w:name="_Toc435515305"/>
      <w:r>
        <w:rPr>
          <w:rFonts w:hint="eastAsia"/>
        </w:rPr>
        <w:br w:type="page"/>
      </w:r>
    </w:p>
    <w:p w14:paraId="6AE90F56">
      <w:pPr>
        <w:tabs>
          <w:tab w:val="left" w:pos="426"/>
        </w:tabs>
        <w:adjustRightInd/>
        <w:snapToGrid/>
        <w:spacing w:before="280" w:after="290" w:line="377" w:lineRule="auto"/>
        <w:jc w:val="center"/>
        <w:outlineLvl w:val="2"/>
        <w:rPr>
          <w:b w:val="0"/>
          <w:bCs/>
          <w:sz w:val="32"/>
          <w:szCs w:val="32"/>
        </w:rPr>
      </w:pPr>
      <w:r>
        <w:rPr>
          <w:rFonts w:hint="eastAsia"/>
          <w:b w:val="0"/>
          <w:bCs/>
          <w:sz w:val="32"/>
          <w:szCs w:val="32"/>
        </w:rPr>
        <w:t>投标文件目录（目录格式自定）</w:t>
      </w:r>
    </w:p>
    <w:p w14:paraId="76711A46">
      <w:pPr>
        <w:jc w:val="center"/>
        <w:rPr>
          <w:rFonts w:hint="eastAsia"/>
          <w:sz w:val="24"/>
          <w:szCs w:val="32"/>
          <w:highlight w:val="none"/>
        </w:rPr>
      </w:pPr>
      <w:r>
        <w:rPr>
          <w:rFonts w:hint="eastAsia"/>
          <w:sz w:val="24"/>
          <w:szCs w:val="32"/>
          <w:highlight w:val="none"/>
        </w:rPr>
        <w:t>按照</w:t>
      </w:r>
      <w:r>
        <w:rPr>
          <w:rFonts w:hint="eastAsia"/>
          <w:sz w:val="24"/>
          <w:szCs w:val="32"/>
          <w:highlight w:val="none"/>
          <w:lang w:val="en-US" w:eastAsia="zh-CN"/>
        </w:rPr>
        <w:t>征集</w:t>
      </w:r>
      <w:r>
        <w:rPr>
          <w:rFonts w:hint="eastAsia"/>
          <w:sz w:val="24"/>
          <w:szCs w:val="32"/>
          <w:highlight w:val="none"/>
        </w:rPr>
        <w:t>文件的要求编制投标文件相应内容，请标明各部分内容的页码。</w:t>
      </w:r>
    </w:p>
    <w:p w14:paraId="1D961AC8">
      <w:pPr>
        <w:rPr>
          <w:rFonts w:hint="eastAsia"/>
        </w:rPr>
      </w:pPr>
    </w:p>
    <w:p w14:paraId="02053261">
      <w:pPr>
        <w:rPr>
          <w:rFonts w:hint="eastAsia"/>
        </w:rPr>
      </w:pPr>
    </w:p>
    <w:p w14:paraId="1D6C04F4">
      <w:pPr>
        <w:rPr>
          <w:rFonts w:hint="eastAsia"/>
        </w:rPr>
      </w:pPr>
    </w:p>
    <w:p w14:paraId="1E3BB2F1">
      <w:pPr>
        <w:rPr>
          <w:rFonts w:hint="eastAsia"/>
        </w:rPr>
      </w:pPr>
    </w:p>
    <w:p w14:paraId="21359D58">
      <w:pPr>
        <w:rPr>
          <w:rFonts w:hint="eastAsia"/>
        </w:rPr>
      </w:pPr>
    </w:p>
    <w:p w14:paraId="71D2D919">
      <w:pPr>
        <w:rPr>
          <w:rFonts w:hint="eastAsia"/>
        </w:rPr>
      </w:pPr>
    </w:p>
    <w:p w14:paraId="5065B947">
      <w:pPr>
        <w:rPr>
          <w:rFonts w:hint="eastAsia"/>
        </w:rPr>
      </w:pPr>
    </w:p>
    <w:p w14:paraId="2E7BC407">
      <w:pPr>
        <w:rPr>
          <w:rFonts w:hint="eastAsia"/>
        </w:rPr>
      </w:pPr>
    </w:p>
    <w:p w14:paraId="50C5CBD9">
      <w:pPr>
        <w:rPr>
          <w:rFonts w:hint="eastAsia"/>
        </w:rPr>
      </w:pPr>
    </w:p>
    <w:p w14:paraId="00084625">
      <w:pPr>
        <w:rPr>
          <w:rFonts w:hint="eastAsia"/>
        </w:rPr>
      </w:pPr>
    </w:p>
    <w:p w14:paraId="35CF33C7">
      <w:pPr>
        <w:rPr>
          <w:rFonts w:hint="eastAsia"/>
        </w:rPr>
      </w:pPr>
    </w:p>
    <w:p w14:paraId="51DEE31A">
      <w:pPr>
        <w:rPr>
          <w:rFonts w:hint="eastAsia"/>
        </w:rPr>
      </w:pPr>
    </w:p>
    <w:p w14:paraId="086B5680">
      <w:pPr>
        <w:rPr>
          <w:rFonts w:hint="eastAsia"/>
        </w:rPr>
      </w:pPr>
    </w:p>
    <w:p w14:paraId="11FC2BF7">
      <w:pPr>
        <w:rPr>
          <w:rFonts w:hint="eastAsia"/>
        </w:rPr>
      </w:pPr>
    </w:p>
    <w:p w14:paraId="4042EA33">
      <w:pPr>
        <w:rPr>
          <w:rFonts w:hint="eastAsia"/>
        </w:rPr>
      </w:pPr>
    </w:p>
    <w:p w14:paraId="16D9AE58">
      <w:pPr>
        <w:rPr>
          <w:rFonts w:hint="eastAsia"/>
        </w:rPr>
      </w:pPr>
    </w:p>
    <w:p w14:paraId="4FFEED58">
      <w:pPr>
        <w:rPr>
          <w:rFonts w:hint="eastAsia"/>
        </w:rPr>
      </w:pPr>
    </w:p>
    <w:p w14:paraId="7AC2A352">
      <w:pPr>
        <w:rPr>
          <w:rFonts w:hint="eastAsia"/>
        </w:rPr>
      </w:pPr>
    </w:p>
    <w:p w14:paraId="1AC7D2B2">
      <w:pPr>
        <w:rPr>
          <w:rFonts w:hint="eastAsia"/>
        </w:rPr>
      </w:pPr>
    </w:p>
    <w:p w14:paraId="4F6ACFC2">
      <w:pPr>
        <w:rPr>
          <w:rFonts w:hint="eastAsia"/>
        </w:rPr>
      </w:pPr>
    </w:p>
    <w:p w14:paraId="7CE2D948">
      <w:pPr>
        <w:rPr>
          <w:rFonts w:hint="eastAsia"/>
        </w:rPr>
      </w:pPr>
    </w:p>
    <w:p w14:paraId="6D033397">
      <w:pPr>
        <w:rPr>
          <w:rFonts w:hint="eastAsia"/>
        </w:rPr>
      </w:pPr>
    </w:p>
    <w:p w14:paraId="27B3345A">
      <w:pPr>
        <w:rPr>
          <w:rFonts w:hint="eastAsia"/>
        </w:rPr>
      </w:pPr>
    </w:p>
    <w:p w14:paraId="377507E9">
      <w:pPr>
        <w:rPr>
          <w:rFonts w:hint="eastAsia"/>
        </w:rPr>
      </w:pPr>
    </w:p>
    <w:p w14:paraId="5A177FE4">
      <w:pPr>
        <w:rPr>
          <w:rFonts w:hint="eastAsia"/>
        </w:rPr>
      </w:pPr>
    </w:p>
    <w:p w14:paraId="04C15F81">
      <w:pPr>
        <w:rPr>
          <w:rFonts w:hint="eastAsia"/>
        </w:rPr>
      </w:pPr>
    </w:p>
    <w:p w14:paraId="39925326">
      <w:pPr>
        <w:rPr>
          <w:rFonts w:hint="eastAsia"/>
        </w:rPr>
      </w:pPr>
    </w:p>
    <w:p w14:paraId="3772C4EC">
      <w:pPr>
        <w:rPr>
          <w:rFonts w:hint="eastAsia"/>
        </w:rPr>
      </w:pPr>
    </w:p>
    <w:p w14:paraId="6297EA93">
      <w:pPr>
        <w:rPr>
          <w:rFonts w:hint="eastAsia"/>
        </w:rPr>
      </w:pPr>
    </w:p>
    <w:p w14:paraId="7EBC4E58">
      <w:pPr>
        <w:rPr>
          <w:rFonts w:hint="eastAsia"/>
        </w:rPr>
      </w:pPr>
    </w:p>
    <w:p w14:paraId="58B6B216">
      <w:pPr>
        <w:rPr>
          <w:rFonts w:hint="eastAsia"/>
        </w:rPr>
      </w:pPr>
    </w:p>
    <w:p w14:paraId="0456DEC2">
      <w:pPr>
        <w:rPr>
          <w:rFonts w:hint="eastAsia"/>
        </w:rPr>
      </w:pPr>
    </w:p>
    <w:p w14:paraId="56070B07">
      <w:pPr>
        <w:rPr>
          <w:rFonts w:hint="eastAsia"/>
        </w:rPr>
      </w:pPr>
    </w:p>
    <w:p w14:paraId="0E716F07">
      <w:pPr>
        <w:rPr>
          <w:rFonts w:hint="eastAsia"/>
        </w:rPr>
      </w:pPr>
    </w:p>
    <w:p w14:paraId="0B24C85E">
      <w:pPr>
        <w:rPr>
          <w:rFonts w:hint="eastAsia"/>
        </w:rPr>
      </w:pPr>
    </w:p>
    <w:p w14:paraId="057A93AC">
      <w:pPr>
        <w:rPr>
          <w:rFonts w:hint="eastAsia"/>
        </w:rPr>
      </w:pPr>
    </w:p>
    <w:p w14:paraId="54B51591">
      <w:pPr>
        <w:rPr>
          <w:rFonts w:hint="eastAsia"/>
        </w:rPr>
      </w:pPr>
    </w:p>
    <w:p w14:paraId="47F614A4">
      <w:pPr>
        <w:rPr>
          <w:rFonts w:hint="eastAsia"/>
        </w:rPr>
      </w:pPr>
    </w:p>
    <w:p w14:paraId="3ED4EA77">
      <w:pPr>
        <w:rPr>
          <w:rFonts w:hint="eastAsia"/>
        </w:rPr>
      </w:pPr>
    </w:p>
    <w:p w14:paraId="0A0C8592">
      <w:pPr>
        <w:rPr>
          <w:rFonts w:hint="eastAsia"/>
        </w:rPr>
      </w:pPr>
    </w:p>
    <w:p w14:paraId="5B3C692F">
      <w:pPr>
        <w:pStyle w:val="3"/>
        <w:numPr>
          <w:ilvl w:val="0"/>
          <w:numId w:val="0"/>
        </w:numPr>
        <w:spacing w:line="240" w:lineRule="auto"/>
        <w:ind w:left="420" w:leftChars="0" w:hanging="420" w:firstLineChars="0"/>
        <w:jc w:val="center"/>
        <w:outlineLvl w:val="0"/>
        <w:rPr>
          <w:rFonts w:hint="eastAsia" w:cs="宋体" w:asciiTheme="majorEastAsia" w:hAnsiTheme="majorEastAsia" w:eastAsiaTheme="majorEastAsia"/>
          <w:kern w:val="2"/>
          <w:sz w:val="30"/>
          <w:szCs w:val="30"/>
          <w:lang w:val="en-US" w:eastAsia="zh-CN" w:bidi="ar-SA"/>
        </w:rPr>
      </w:pPr>
      <w:bookmarkStart w:id="27" w:name="_Toc4441"/>
      <w:bookmarkStart w:id="28" w:name="_Toc28307"/>
      <w:bookmarkStart w:id="29" w:name="_Toc29334"/>
      <w:r>
        <w:rPr>
          <w:rFonts w:hint="eastAsia" w:cs="宋体" w:asciiTheme="majorEastAsia" w:hAnsiTheme="majorEastAsia" w:eastAsiaTheme="majorEastAsia"/>
          <w:kern w:val="2"/>
          <w:sz w:val="30"/>
          <w:szCs w:val="30"/>
          <w:lang w:val="en-US" w:eastAsia="zh-CN" w:bidi="ar-SA"/>
        </w:rPr>
        <w:t>（一）资格性自查表</w:t>
      </w:r>
      <w:bookmarkEnd w:id="27"/>
    </w:p>
    <w:tbl>
      <w:tblPr>
        <w:tblStyle w:val="18"/>
        <w:tblW w:w="104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6518"/>
        <w:gridCol w:w="1244"/>
        <w:gridCol w:w="1982"/>
      </w:tblGrid>
      <w:tr w14:paraId="0CA57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vAlign w:val="center"/>
          </w:tcPr>
          <w:p w14:paraId="17AFD81E">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lang w:eastAsia="zh-CN"/>
              </w:rPr>
            </w:pPr>
            <w:r>
              <w:rPr>
                <w:rFonts w:hint="eastAsia" w:ascii="宋体" w:hAnsi="宋体" w:eastAsia="宋体" w:cs="宋体"/>
                <w:b/>
                <w:bCs/>
                <w:szCs w:val="21"/>
                <w:highlight w:val="none"/>
                <w:lang w:val="en-US" w:eastAsia="zh-CN"/>
              </w:rPr>
              <w:t>序号</w:t>
            </w:r>
          </w:p>
        </w:tc>
        <w:tc>
          <w:tcPr>
            <w:tcW w:w="6518" w:type="dxa"/>
            <w:vAlign w:val="center"/>
          </w:tcPr>
          <w:p w14:paraId="291C9C2C">
            <w:pPr>
              <w:keepNext w:val="0"/>
              <w:keepLines w:val="0"/>
              <w:suppressLineNumbers w:val="0"/>
              <w:spacing w:before="0" w:beforeAutospacing="0" w:after="0" w:afterAutospacing="0"/>
              <w:ind w:left="0" w:right="0" w:firstLine="19" w:firstLineChars="9"/>
              <w:jc w:val="center"/>
              <w:rPr>
                <w:rFonts w:hint="eastAsia" w:ascii="宋体" w:hAnsi="宋体" w:eastAsia="宋体" w:cs="宋体"/>
                <w:b/>
                <w:bCs/>
                <w:szCs w:val="21"/>
                <w:highlight w:val="none"/>
              </w:rPr>
            </w:pPr>
            <w:r>
              <w:rPr>
                <w:rFonts w:hint="eastAsia" w:ascii="宋体" w:hAnsi="宋体" w:eastAsia="宋体" w:cs="宋体"/>
                <w:b/>
                <w:bCs/>
                <w:szCs w:val="21"/>
                <w:highlight w:val="none"/>
                <w:lang w:eastAsia="zh-CN"/>
              </w:rPr>
              <w:t>征集</w:t>
            </w:r>
            <w:r>
              <w:rPr>
                <w:rFonts w:hint="eastAsia" w:ascii="宋体" w:hAnsi="宋体" w:eastAsia="宋体" w:cs="宋体"/>
                <w:b/>
                <w:bCs/>
                <w:szCs w:val="21"/>
                <w:highlight w:val="none"/>
              </w:rPr>
              <w:t>文件要求</w:t>
            </w:r>
          </w:p>
        </w:tc>
        <w:tc>
          <w:tcPr>
            <w:tcW w:w="1244" w:type="dxa"/>
            <w:vAlign w:val="center"/>
          </w:tcPr>
          <w:p w14:paraId="105F2E11">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rPr>
            </w:pPr>
            <w:r>
              <w:rPr>
                <w:rFonts w:hint="eastAsia" w:ascii="宋体" w:hAnsi="宋体" w:eastAsia="宋体" w:cs="宋体"/>
                <w:b/>
                <w:bCs/>
                <w:szCs w:val="21"/>
                <w:highlight w:val="none"/>
              </w:rPr>
              <w:t>自查结论</w:t>
            </w:r>
          </w:p>
        </w:tc>
        <w:tc>
          <w:tcPr>
            <w:tcW w:w="1982" w:type="dxa"/>
            <w:vAlign w:val="center"/>
          </w:tcPr>
          <w:p w14:paraId="58327D04">
            <w:pPr>
              <w:keepNext w:val="0"/>
              <w:keepLines w:val="0"/>
              <w:suppressLineNumbers w:val="0"/>
              <w:spacing w:before="0" w:beforeAutospacing="0" w:after="0" w:afterAutospacing="0"/>
              <w:ind w:left="0" w:right="-178" w:rightChars="-85"/>
              <w:jc w:val="center"/>
              <w:rPr>
                <w:rFonts w:hint="eastAsia" w:ascii="宋体" w:hAnsi="宋体" w:eastAsia="宋体" w:cs="宋体"/>
                <w:b/>
                <w:bCs/>
                <w:szCs w:val="21"/>
                <w:highlight w:val="none"/>
              </w:rPr>
            </w:pPr>
            <w:r>
              <w:rPr>
                <w:rFonts w:hint="eastAsia" w:ascii="宋体" w:hAnsi="宋体" w:eastAsia="宋体" w:cs="宋体"/>
                <w:b/>
                <w:bCs/>
                <w:szCs w:val="21"/>
                <w:highlight w:val="none"/>
              </w:rPr>
              <w:t>证明资料</w:t>
            </w:r>
          </w:p>
        </w:tc>
      </w:tr>
      <w:tr w14:paraId="5DE95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vAlign w:val="center"/>
          </w:tcPr>
          <w:p w14:paraId="08A38E4A">
            <w:pPr>
              <w:keepNext w:val="0"/>
              <w:keepLines w:val="0"/>
              <w:suppressLineNumbers w:val="0"/>
              <w:spacing w:before="0" w:beforeAutospacing="0" w:after="0" w:afterAutospacing="0"/>
              <w:ind w:left="0" w:leftChars="0" w:right="0" w:rightChars="0"/>
              <w:jc w:val="center"/>
              <w:rPr>
                <w:rFonts w:hint="eastAsia" w:ascii="宋体" w:hAnsi="宋体" w:eastAsia="宋体" w:cs="宋体"/>
                <w:b/>
                <w:bCs/>
                <w:szCs w:val="21"/>
                <w:highlight w:val="none"/>
              </w:rPr>
            </w:pPr>
            <w:r>
              <w:rPr>
                <w:rFonts w:hint="eastAsia" w:ascii="宋体" w:hAnsi="宋体" w:eastAsia="宋体" w:cs="宋体"/>
                <w:color w:val="000000"/>
                <w:sz w:val="21"/>
                <w:szCs w:val="21"/>
              </w:rPr>
              <w:t>1</w:t>
            </w:r>
          </w:p>
        </w:tc>
        <w:tc>
          <w:tcPr>
            <w:tcW w:w="6518" w:type="dxa"/>
            <w:vAlign w:val="center"/>
          </w:tcPr>
          <w:p w14:paraId="2D4DF4ED">
            <w:pPr>
              <w:keepNext w:val="0"/>
              <w:keepLines w:val="0"/>
              <w:suppressLineNumbers w:val="0"/>
              <w:spacing w:before="0" w:beforeAutospacing="0" w:after="0" w:afterAutospacing="0"/>
              <w:ind w:left="0" w:leftChars="0" w:right="0" w:rightChars="0"/>
              <w:rPr>
                <w:rFonts w:hint="eastAsia" w:ascii="宋体" w:hAnsi="宋体" w:eastAsia="宋体" w:cs="宋体"/>
                <w:szCs w:val="21"/>
                <w:highlight w:val="none"/>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不具备资质要求，或未提交相应资格证明材料（详见采购公告或采购邀请函中的资质要求，其中未列示的资质要求不得导致投标无效）</w:t>
            </w:r>
          </w:p>
        </w:tc>
        <w:tc>
          <w:tcPr>
            <w:tcW w:w="1244" w:type="dxa"/>
            <w:vAlign w:val="center"/>
          </w:tcPr>
          <w:p w14:paraId="45BD21F4">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5A22CED">
            <w:pPr>
              <w:keepNext w:val="0"/>
              <w:keepLines w:val="0"/>
              <w:suppressLineNumbers w:val="0"/>
              <w:spacing w:before="0" w:beforeAutospacing="0" w:after="0" w:afterAutospacing="0"/>
              <w:ind w:left="36" w:leftChars="17" w:right="0"/>
              <w:jc w:val="center"/>
              <w:rPr>
                <w:rFonts w:hint="eastAsia" w:ascii="宋体" w:hAnsi="宋体" w:eastAsia="宋体" w:cs="宋体"/>
                <w:b/>
                <w:bCs/>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1982" w:type="dxa"/>
            <w:vAlign w:val="center"/>
          </w:tcPr>
          <w:p w14:paraId="12EF8529">
            <w:pPr>
              <w:keepNext w:val="0"/>
              <w:keepLines w:val="0"/>
              <w:suppressLineNumbers w:val="0"/>
              <w:spacing w:before="0" w:beforeAutospacing="0" w:after="0" w:afterAutospacing="0"/>
              <w:ind w:left="0" w:right="-178" w:rightChars="-85"/>
              <w:jc w:val="left"/>
              <w:rPr>
                <w:rFonts w:hint="eastAsia" w:ascii="宋体" w:hAnsi="宋体" w:eastAsia="宋体" w:cs="宋体"/>
                <w:b/>
                <w:bCs/>
                <w:szCs w:val="21"/>
                <w:highlight w:val="none"/>
              </w:rPr>
            </w:pPr>
            <w:r>
              <w:rPr>
                <w:rFonts w:hint="eastAsia" w:ascii="宋体" w:hAnsi="宋体" w:eastAsia="宋体" w:cs="宋体"/>
                <w:szCs w:val="21"/>
                <w:highlight w:val="none"/>
              </w:rPr>
              <w:t>见投标文件第( )页</w:t>
            </w:r>
          </w:p>
        </w:tc>
      </w:tr>
      <w:tr w14:paraId="331E0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vAlign w:val="center"/>
          </w:tcPr>
          <w:p w14:paraId="02091EDD">
            <w:pPr>
              <w:keepNext w:val="0"/>
              <w:keepLines w:val="0"/>
              <w:suppressLineNumbers w:val="0"/>
              <w:spacing w:before="0" w:beforeAutospacing="0" w:after="0" w:afterAutospacing="0"/>
              <w:ind w:left="0" w:leftChars="0" w:right="0" w:rightChars="0"/>
              <w:jc w:val="center"/>
              <w:rPr>
                <w:rFonts w:hint="eastAsia" w:ascii="宋体" w:hAnsi="宋体" w:eastAsia="宋体" w:cs="宋体"/>
                <w:szCs w:val="21"/>
                <w:highlight w:val="none"/>
              </w:rPr>
            </w:pPr>
            <w:r>
              <w:rPr>
                <w:rFonts w:hint="eastAsia" w:ascii="宋体" w:hAnsi="宋体" w:eastAsia="宋体" w:cs="宋体"/>
                <w:color w:val="000000"/>
                <w:sz w:val="21"/>
                <w:szCs w:val="21"/>
              </w:rPr>
              <w:t>2</w:t>
            </w:r>
          </w:p>
        </w:tc>
        <w:tc>
          <w:tcPr>
            <w:tcW w:w="6518" w:type="dxa"/>
            <w:vAlign w:val="center"/>
          </w:tcPr>
          <w:p w14:paraId="3688507B">
            <w:pPr>
              <w:keepNext w:val="0"/>
              <w:keepLines w:val="0"/>
              <w:suppressLineNumbers w:val="0"/>
              <w:spacing w:before="0" w:beforeAutospacing="0" w:after="0" w:afterAutospacing="0"/>
              <w:ind w:left="0" w:leftChars="0" w:right="0" w:rightChars="0"/>
              <w:rPr>
                <w:rFonts w:hint="eastAsia" w:ascii="宋体" w:hAnsi="宋体" w:eastAsia="宋体" w:cs="宋体"/>
                <w:szCs w:val="21"/>
                <w:highlight w:val="none"/>
                <w:lang w:val="zh-CN"/>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未按采购公告（或采购邀请函）要求完成投标报名的</w:t>
            </w:r>
          </w:p>
        </w:tc>
        <w:tc>
          <w:tcPr>
            <w:tcW w:w="1244" w:type="dxa"/>
            <w:vAlign w:val="center"/>
          </w:tcPr>
          <w:p w14:paraId="1FE84654">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360377F3">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1982" w:type="dxa"/>
            <w:vAlign w:val="center"/>
          </w:tcPr>
          <w:p w14:paraId="701AE310">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20A78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vAlign w:val="center"/>
          </w:tcPr>
          <w:p w14:paraId="3A7BCF2C">
            <w:pPr>
              <w:keepNext w:val="0"/>
              <w:keepLines w:val="0"/>
              <w:suppressLineNumbers w:val="0"/>
              <w:spacing w:before="0" w:beforeAutospacing="0" w:after="0" w:afterAutospacing="0"/>
              <w:ind w:left="0" w:leftChars="0" w:right="0" w:rightChars="0"/>
              <w:jc w:val="center"/>
              <w:rPr>
                <w:rFonts w:hint="eastAsia" w:ascii="宋体" w:hAnsi="宋体" w:eastAsia="宋体" w:cs="宋体"/>
                <w:szCs w:val="21"/>
                <w:highlight w:val="none"/>
                <w:lang w:val="en-US" w:eastAsia="zh-CN"/>
              </w:rPr>
            </w:pPr>
            <w:r>
              <w:rPr>
                <w:rFonts w:hint="eastAsia" w:ascii="宋体" w:hAnsi="宋体" w:eastAsia="宋体" w:cs="宋体"/>
                <w:color w:val="000000"/>
                <w:sz w:val="21"/>
                <w:szCs w:val="21"/>
                <w:lang w:val="en-US" w:eastAsia="zh-CN"/>
              </w:rPr>
              <w:t>3</w:t>
            </w:r>
          </w:p>
        </w:tc>
        <w:tc>
          <w:tcPr>
            <w:tcW w:w="6518" w:type="dxa"/>
            <w:vAlign w:val="center"/>
          </w:tcPr>
          <w:p w14:paraId="30E8502E">
            <w:pPr>
              <w:keepNext w:val="0"/>
              <w:keepLines w:val="0"/>
              <w:suppressLineNumbers w:val="0"/>
              <w:spacing w:before="0" w:beforeAutospacing="0" w:after="0" w:afterAutospacing="0"/>
              <w:ind w:left="0" w:leftChars="0" w:right="0" w:rightChars="0"/>
              <w:rPr>
                <w:rFonts w:hint="eastAsia" w:ascii="宋体" w:hAnsi="宋体" w:eastAsia="宋体" w:cs="宋体"/>
                <w:color w:val="000000"/>
                <w:sz w:val="21"/>
                <w:szCs w:val="21"/>
                <w:lang w:eastAsia="zh-CN"/>
              </w:rPr>
            </w:pPr>
            <w:r>
              <w:rPr>
                <w:rFonts w:hint="default" w:cs="Times New Roman"/>
              </w:rPr>
              <w:t>法律、法规规定的属于投标无效的其他情形</w:t>
            </w:r>
          </w:p>
        </w:tc>
        <w:tc>
          <w:tcPr>
            <w:tcW w:w="1244" w:type="dxa"/>
            <w:vAlign w:val="center"/>
          </w:tcPr>
          <w:p w14:paraId="56D4458E">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F05E07D">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1982" w:type="dxa"/>
            <w:vAlign w:val="center"/>
          </w:tcPr>
          <w:p w14:paraId="5313B8D7">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bl>
    <w:p w14:paraId="66A005CD">
      <w:pPr>
        <w:adjustRightInd w:val="0"/>
        <w:snapToGrid w:val="0"/>
        <w:spacing w:line="360" w:lineRule="auto"/>
        <w:jc w:val="left"/>
        <w:outlineLvl w:val="9"/>
        <w:rPr>
          <w:rFonts w:ascii="宋体" w:hAnsi="宋体"/>
          <w:color w:val="auto"/>
          <w:highlight w:val="none"/>
        </w:rPr>
      </w:pPr>
      <w:r>
        <w:rPr>
          <w:rFonts w:hint="eastAsia" w:ascii="宋体" w:hAnsi="宋体" w:cs="宋体"/>
        </w:rPr>
        <w:t>说明：</w:t>
      </w:r>
      <w:r>
        <w:rPr>
          <w:rFonts w:hint="eastAsia" w:ascii="宋体" w:hAnsi="宋体"/>
        </w:rPr>
        <w:t>投标人必须严格按照《资格性</w:t>
      </w:r>
      <w:r>
        <w:rPr>
          <w:rFonts w:hint="eastAsia" w:ascii="宋体" w:hAnsi="宋体"/>
          <w:lang w:val="en-US" w:eastAsia="zh-CN"/>
        </w:rPr>
        <w:t>自查</w:t>
      </w:r>
      <w:r>
        <w:rPr>
          <w:rFonts w:hint="eastAsia" w:ascii="宋体" w:hAnsi="宋体"/>
        </w:rPr>
        <w:t>表》的评审内容的要求如实提供证明材料</w:t>
      </w:r>
      <w:r>
        <w:rPr>
          <w:rFonts w:hint="eastAsia" w:ascii="宋体" w:hAnsi="宋体"/>
          <w:bCs/>
        </w:rPr>
        <w:t>并应加盖投标人公章,</w:t>
      </w:r>
      <w:r>
        <w:rPr>
          <w:rFonts w:hint="eastAsia" w:ascii="宋体" w:hAnsi="宋体"/>
        </w:rPr>
        <w:t>对缺漏或不符合项将直接导致无</w:t>
      </w:r>
      <w:r>
        <w:rPr>
          <w:rFonts w:hint="eastAsia" w:ascii="宋体" w:hAnsi="宋体"/>
          <w:color w:val="auto"/>
          <w:highlight w:val="none"/>
        </w:rPr>
        <w:t>效投标</w:t>
      </w:r>
      <w:r>
        <w:rPr>
          <w:rFonts w:hint="eastAsia" w:ascii="宋体" w:cs="宋体"/>
          <w:color w:val="auto"/>
          <w:szCs w:val="21"/>
          <w:highlight w:val="none"/>
        </w:rPr>
        <w:t>。</w:t>
      </w:r>
    </w:p>
    <w:p w14:paraId="1599D583">
      <w:pPr>
        <w:widowControl w:val="0"/>
        <w:numPr>
          <w:ilvl w:val="0"/>
          <w:numId w:val="0"/>
        </w:numPr>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（二）符合性自查表</w:t>
      </w:r>
    </w:p>
    <w:tbl>
      <w:tblPr>
        <w:tblStyle w:val="18"/>
        <w:tblW w:w="104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6519"/>
        <w:gridCol w:w="1240"/>
        <w:gridCol w:w="2004"/>
      </w:tblGrid>
      <w:tr w14:paraId="2E1B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vAlign w:val="center"/>
          </w:tcPr>
          <w:p w14:paraId="6BDD0664">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lang w:eastAsia="zh-CN"/>
              </w:rPr>
            </w:pPr>
            <w:r>
              <w:rPr>
                <w:rFonts w:hint="eastAsia" w:ascii="宋体" w:hAnsi="宋体" w:eastAsia="宋体" w:cs="宋体"/>
                <w:b/>
                <w:bCs/>
                <w:szCs w:val="21"/>
                <w:highlight w:val="none"/>
                <w:lang w:val="en-US" w:eastAsia="zh-CN"/>
              </w:rPr>
              <w:t>序号</w:t>
            </w:r>
          </w:p>
        </w:tc>
        <w:tc>
          <w:tcPr>
            <w:tcW w:w="6519" w:type="dxa"/>
            <w:vAlign w:val="center"/>
          </w:tcPr>
          <w:p w14:paraId="47A7A07B">
            <w:pPr>
              <w:keepNext w:val="0"/>
              <w:keepLines w:val="0"/>
              <w:suppressLineNumbers w:val="0"/>
              <w:spacing w:before="0" w:beforeAutospacing="0" w:after="0" w:afterAutospacing="0"/>
              <w:ind w:left="0" w:right="0" w:firstLine="19" w:firstLineChars="9"/>
              <w:jc w:val="center"/>
              <w:rPr>
                <w:rFonts w:hint="eastAsia" w:ascii="宋体" w:hAnsi="宋体" w:eastAsia="宋体" w:cs="宋体"/>
                <w:b/>
                <w:bCs/>
                <w:szCs w:val="21"/>
                <w:highlight w:val="none"/>
              </w:rPr>
            </w:pPr>
            <w:r>
              <w:rPr>
                <w:rFonts w:hint="eastAsia" w:ascii="宋体" w:hAnsi="宋体" w:eastAsia="宋体" w:cs="宋体"/>
                <w:b/>
                <w:bCs/>
                <w:szCs w:val="21"/>
                <w:highlight w:val="none"/>
                <w:lang w:eastAsia="zh-CN"/>
              </w:rPr>
              <w:t>征集</w:t>
            </w:r>
            <w:r>
              <w:rPr>
                <w:rFonts w:hint="eastAsia" w:ascii="宋体" w:hAnsi="宋体" w:eastAsia="宋体" w:cs="宋体"/>
                <w:b/>
                <w:bCs/>
                <w:szCs w:val="21"/>
                <w:highlight w:val="none"/>
              </w:rPr>
              <w:t>文件要求</w:t>
            </w:r>
          </w:p>
        </w:tc>
        <w:tc>
          <w:tcPr>
            <w:tcW w:w="1240" w:type="dxa"/>
            <w:vAlign w:val="center"/>
          </w:tcPr>
          <w:p w14:paraId="77891499">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rPr>
            </w:pPr>
            <w:r>
              <w:rPr>
                <w:rFonts w:hint="eastAsia" w:ascii="宋体" w:hAnsi="宋体" w:eastAsia="宋体" w:cs="宋体"/>
                <w:b/>
                <w:bCs/>
                <w:szCs w:val="21"/>
                <w:highlight w:val="none"/>
              </w:rPr>
              <w:t>自查结论</w:t>
            </w:r>
          </w:p>
        </w:tc>
        <w:tc>
          <w:tcPr>
            <w:tcW w:w="2004" w:type="dxa"/>
            <w:vAlign w:val="center"/>
          </w:tcPr>
          <w:p w14:paraId="799F1D15">
            <w:pPr>
              <w:keepNext w:val="0"/>
              <w:keepLines w:val="0"/>
              <w:suppressLineNumbers w:val="0"/>
              <w:spacing w:before="0" w:beforeAutospacing="0" w:after="0" w:afterAutospacing="0"/>
              <w:ind w:left="0" w:right="-178" w:rightChars="-85"/>
              <w:jc w:val="center"/>
              <w:rPr>
                <w:rFonts w:hint="eastAsia" w:ascii="宋体" w:hAnsi="宋体" w:eastAsia="宋体" w:cs="宋体"/>
                <w:b/>
                <w:bCs/>
                <w:szCs w:val="21"/>
                <w:highlight w:val="none"/>
              </w:rPr>
            </w:pPr>
            <w:r>
              <w:rPr>
                <w:rFonts w:hint="eastAsia" w:ascii="宋体" w:hAnsi="宋体" w:eastAsia="宋体" w:cs="宋体"/>
                <w:b/>
                <w:bCs/>
                <w:szCs w:val="21"/>
                <w:highlight w:val="none"/>
              </w:rPr>
              <w:t>证明资料</w:t>
            </w:r>
          </w:p>
        </w:tc>
      </w:tr>
      <w:tr w14:paraId="72313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75862572">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1</w:t>
            </w:r>
          </w:p>
        </w:tc>
        <w:tc>
          <w:tcPr>
            <w:tcW w:w="6519" w:type="dxa"/>
            <w:shd w:val="clear" w:color="auto" w:fill="auto"/>
            <w:vAlign w:val="center"/>
          </w:tcPr>
          <w:p w14:paraId="505738C8">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将一个包或一个标段的内容拆开投标</w:t>
            </w:r>
          </w:p>
        </w:tc>
        <w:tc>
          <w:tcPr>
            <w:tcW w:w="1240" w:type="dxa"/>
            <w:vAlign w:val="center"/>
          </w:tcPr>
          <w:p w14:paraId="390EEA39">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6C68E1E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029CF0A">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604C1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shd w:val="clear" w:color="auto" w:fill="auto"/>
            <w:vAlign w:val="center"/>
          </w:tcPr>
          <w:p w14:paraId="0219854E">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2</w:t>
            </w:r>
          </w:p>
        </w:tc>
        <w:tc>
          <w:tcPr>
            <w:tcW w:w="6519" w:type="dxa"/>
            <w:shd w:val="clear" w:color="auto" w:fill="auto"/>
            <w:vAlign w:val="center"/>
          </w:tcPr>
          <w:p w14:paraId="39608BB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投标文件及开标一览表未按</w:t>
            </w:r>
            <w:r>
              <w:rPr>
                <w:rFonts w:hint="eastAsia"/>
                <w:lang w:val="en-US" w:eastAsia="zh-CN"/>
              </w:rPr>
              <w:t>征集</w:t>
            </w:r>
            <w:r>
              <w:rPr>
                <w:rFonts w:hint="eastAsia"/>
              </w:rPr>
              <w:t>文件规定密封、签字、盖章</w:t>
            </w:r>
          </w:p>
        </w:tc>
        <w:tc>
          <w:tcPr>
            <w:tcW w:w="1240" w:type="dxa"/>
            <w:vAlign w:val="center"/>
          </w:tcPr>
          <w:p w14:paraId="4400EC76">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7E114970">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7EFBCF20">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0FCCF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381DCB45">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3</w:t>
            </w:r>
          </w:p>
        </w:tc>
        <w:tc>
          <w:tcPr>
            <w:tcW w:w="6519" w:type="dxa"/>
            <w:shd w:val="clear" w:color="auto" w:fill="auto"/>
            <w:vAlign w:val="center"/>
          </w:tcPr>
          <w:p w14:paraId="76657869">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征集</w:t>
            </w:r>
            <w:r>
              <w:rPr>
                <w:rFonts w:hint="eastAsia" w:ascii="宋体" w:hAnsi="宋体" w:eastAsia="宋体" w:cs="宋体"/>
                <w:sz w:val="21"/>
                <w:szCs w:val="21"/>
              </w:rPr>
              <w:t>文件未规定允许有替代方案时，对同一项目投标时，同时提供两套或两套以上的投标方案</w:t>
            </w:r>
          </w:p>
        </w:tc>
        <w:tc>
          <w:tcPr>
            <w:tcW w:w="1240" w:type="dxa"/>
            <w:vAlign w:val="center"/>
          </w:tcPr>
          <w:p w14:paraId="50A9D488">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4F0744C3">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2A451F83">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3E96F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129DC0A8">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4</w:t>
            </w:r>
          </w:p>
        </w:tc>
        <w:tc>
          <w:tcPr>
            <w:tcW w:w="6519" w:type="dxa"/>
            <w:shd w:val="clear" w:color="auto" w:fill="auto"/>
            <w:vAlign w:val="center"/>
          </w:tcPr>
          <w:p w14:paraId="71A26AAE">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未按照</w:t>
            </w:r>
            <w:r>
              <w:rPr>
                <w:rFonts w:hint="eastAsia"/>
                <w:lang w:val="en-US" w:eastAsia="zh-CN"/>
              </w:rPr>
              <w:t>征集</w:t>
            </w:r>
            <w:r>
              <w:rPr>
                <w:rFonts w:hint="eastAsia"/>
              </w:rPr>
              <w:t>文件规定要求签署、盖章或投标文件没有法定代表人签字，或签字人没有法定代表人有效授权书的</w:t>
            </w:r>
          </w:p>
        </w:tc>
        <w:tc>
          <w:tcPr>
            <w:tcW w:w="1240" w:type="dxa"/>
            <w:vAlign w:val="center"/>
          </w:tcPr>
          <w:p w14:paraId="0553C5CA">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C52F576">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2BF002AF">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7059F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shd w:val="clear" w:color="auto" w:fill="auto"/>
            <w:vAlign w:val="center"/>
          </w:tcPr>
          <w:p w14:paraId="62B4EEDC">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w:t>
            </w:r>
          </w:p>
        </w:tc>
        <w:tc>
          <w:tcPr>
            <w:tcW w:w="6519" w:type="dxa"/>
            <w:shd w:val="clear" w:color="auto" w:fill="auto"/>
            <w:vAlign w:val="center"/>
          </w:tcPr>
          <w:p w14:paraId="323DD3FE">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分项报价或投标总价高于预算金额（最高投标限价）的，或未按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文件要求报价的</w:t>
            </w:r>
          </w:p>
        </w:tc>
        <w:tc>
          <w:tcPr>
            <w:tcW w:w="1240" w:type="dxa"/>
            <w:vAlign w:val="center"/>
          </w:tcPr>
          <w:p w14:paraId="2498A841">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4758BE96">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60403B95">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16464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678" w:type="dxa"/>
            <w:shd w:val="clear" w:color="auto" w:fill="auto"/>
            <w:vAlign w:val="center"/>
          </w:tcPr>
          <w:p w14:paraId="097844EB">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6</w:t>
            </w:r>
          </w:p>
        </w:tc>
        <w:tc>
          <w:tcPr>
            <w:tcW w:w="6519" w:type="dxa"/>
            <w:shd w:val="clear" w:color="auto" w:fill="auto"/>
            <w:vAlign w:val="center"/>
          </w:tcPr>
          <w:p w14:paraId="455E1F0C">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同一项目出现两个及以上报价，按规定又无法确定哪个是有效报价</w:t>
            </w:r>
          </w:p>
        </w:tc>
        <w:tc>
          <w:tcPr>
            <w:tcW w:w="1240" w:type="dxa"/>
            <w:vAlign w:val="center"/>
          </w:tcPr>
          <w:p w14:paraId="3D88256A">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5FD6D3FF">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FCEFD01">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672B4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2E8BCCFB">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7</w:t>
            </w:r>
          </w:p>
        </w:tc>
        <w:tc>
          <w:tcPr>
            <w:tcW w:w="6519" w:type="dxa"/>
            <w:shd w:val="clear" w:color="auto" w:fill="auto"/>
            <w:vAlign w:val="center"/>
          </w:tcPr>
          <w:p w14:paraId="12DE7337">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bCs/>
                <w:color w:val="000000"/>
                <w:sz w:val="21"/>
                <w:szCs w:val="21"/>
                <w:highlight w:val="none"/>
              </w:rPr>
              <w:t>根据《关于推动解决政府采购异常低价问题的通知》（财库〔2026〕2号）要求，结合本项目实际情况，本项目评审中出现异常低价情形之一的，评审委员会应当启动异常低价投标（响应）审查程序。</w:t>
            </w:r>
          </w:p>
        </w:tc>
        <w:tc>
          <w:tcPr>
            <w:tcW w:w="1240" w:type="dxa"/>
            <w:vAlign w:val="center"/>
          </w:tcPr>
          <w:p w14:paraId="7D85E5D9">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F3C914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7BA5D885">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55E74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67D4A6A3">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8</w:t>
            </w:r>
          </w:p>
        </w:tc>
        <w:tc>
          <w:tcPr>
            <w:tcW w:w="6519" w:type="dxa"/>
            <w:shd w:val="clear" w:color="auto" w:fill="auto"/>
            <w:vAlign w:val="center"/>
          </w:tcPr>
          <w:p w14:paraId="47FBAF7D">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所投货物、服务在技术、商务等方面没有实质性满足</w:t>
            </w:r>
            <w:r>
              <w:rPr>
                <w:rFonts w:hint="eastAsia" w:ascii="宋体" w:hAnsi="宋体" w:eastAsia="宋体" w:cs="宋体"/>
                <w:sz w:val="21"/>
                <w:szCs w:val="21"/>
                <w:lang w:eastAsia="zh-CN"/>
              </w:rPr>
              <w:t>征集</w:t>
            </w:r>
            <w:r>
              <w:rPr>
                <w:rFonts w:hint="eastAsia" w:ascii="宋体" w:hAnsi="宋体" w:eastAsia="宋体" w:cs="宋体"/>
                <w:sz w:val="21"/>
                <w:szCs w:val="21"/>
              </w:rPr>
              <w:t>文件要求的</w:t>
            </w:r>
          </w:p>
        </w:tc>
        <w:tc>
          <w:tcPr>
            <w:tcW w:w="1240" w:type="dxa"/>
            <w:vAlign w:val="center"/>
          </w:tcPr>
          <w:p w14:paraId="3F7BD46A">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7869250">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3BE4E5A5">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02061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0E869902">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9</w:t>
            </w:r>
          </w:p>
        </w:tc>
        <w:tc>
          <w:tcPr>
            <w:tcW w:w="6519" w:type="dxa"/>
            <w:shd w:val="clear" w:color="auto" w:fill="auto"/>
            <w:vAlign w:val="center"/>
          </w:tcPr>
          <w:p w14:paraId="07262038">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文件中标注“★”的条款响应为负偏离的</w:t>
            </w:r>
          </w:p>
        </w:tc>
        <w:tc>
          <w:tcPr>
            <w:tcW w:w="1240" w:type="dxa"/>
            <w:vAlign w:val="center"/>
          </w:tcPr>
          <w:p w14:paraId="752AFE5F">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D1543C1">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B2F3620">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0F194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4BF9E474">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w:t>
            </w:r>
          </w:p>
        </w:tc>
        <w:tc>
          <w:tcPr>
            <w:tcW w:w="6519" w:type="dxa"/>
            <w:shd w:val="clear" w:color="auto" w:fill="auto"/>
            <w:vAlign w:val="center"/>
          </w:tcPr>
          <w:p w14:paraId="2BC975CF">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文件对采购标的响应不全（响应不全情形包括：投标报价有缺漏项，对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文件规定的项目需求内容或者需求数量进行修改，未填写所投货物的品牌、规格、型号、制造商、原产地）</w:t>
            </w:r>
          </w:p>
        </w:tc>
        <w:tc>
          <w:tcPr>
            <w:tcW w:w="1240" w:type="dxa"/>
            <w:vAlign w:val="center"/>
          </w:tcPr>
          <w:p w14:paraId="4CF02F86">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3D9622F8">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43061E27">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59BB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1451AC4C">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11</w:t>
            </w:r>
          </w:p>
        </w:tc>
        <w:tc>
          <w:tcPr>
            <w:tcW w:w="6519" w:type="dxa"/>
            <w:shd w:val="clear" w:color="auto" w:fill="auto"/>
            <w:vAlign w:val="center"/>
          </w:tcPr>
          <w:p w14:paraId="37030BEA">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文件附件所提供的样式和要求完整填写“投标函及履约承诺函”，或投标文件组成部分不符合</w:t>
            </w:r>
            <w:r>
              <w:rPr>
                <w:rFonts w:hint="eastAsia" w:ascii="宋体" w:hAnsi="宋体" w:eastAsia="宋体" w:cs="宋体"/>
                <w:sz w:val="21"/>
                <w:szCs w:val="21"/>
                <w:lang w:val="en-US" w:eastAsia="zh-CN"/>
              </w:rPr>
              <w:t>征集文件</w:t>
            </w:r>
            <w:r>
              <w:rPr>
                <w:rFonts w:hint="eastAsia" w:ascii="宋体" w:hAnsi="宋体" w:eastAsia="宋体" w:cs="宋体"/>
                <w:sz w:val="21"/>
                <w:szCs w:val="21"/>
              </w:rPr>
              <w:t>规定的</w:t>
            </w:r>
          </w:p>
        </w:tc>
        <w:tc>
          <w:tcPr>
            <w:tcW w:w="1240" w:type="dxa"/>
            <w:vAlign w:val="center"/>
          </w:tcPr>
          <w:p w14:paraId="1948CEFB">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5A5A6CA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358E75A7">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6744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23A3DF55">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12</w:t>
            </w:r>
          </w:p>
        </w:tc>
        <w:tc>
          <w:tcPr>
            <w:tcW w:w="6519" w:type="dxa"/>
            <w:shd w:val="clear" w:color="auto" w:fill="auto"/>
            <w:vAlign w:val="center"/>
          </w:tcPr>
          <w:p w14:paraId="32F4929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投标文件附有采购人或</w:t>
            </w:r>
            <w:r>
              <w:rPr>
                <w:rFonts w:hint="eastAsia" w:ascii="宋体" w:hAnsi="宋体" w:eastAsia="宋体" w:cs="宋体"/>
                <w:sz w:val="21"/>
                <w:szCs w:val="21"/>
                <w:lang w:eastAsia="zh-CN"/>
              </w:rPr>
              <w:t>征集</w:t>
            </w:r>
            <w:r>
              <w:rPr>
                <w:rFonts w:hint="eastAsia" w:ascii="宋体" w:hAnsi="宋体" w:eastAsia="宋体" w:cs="宋体"/>
                <w:sz w:val="21"/>
                <w:szCs w:val="21"/>
              </w:rPr>
              <w:t>需求不能接受的条件</w:t>
            </w:r>
          </w:p>
        </w:tc>
        <w:tc>
          <w:tcPr>
            <w:tcW w:w="1240" w:type="dxa"/>
            <w:vAlign w:val="center"/>
          </w:tcPr>
          <w:p w14:paraId="5A60639F">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74DC7A5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0D85D9A">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7F44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002A0488">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rPr>
              <w:t>1</w:t>
            </w:r>
            <w:r>
              <w:rPr>
                <w:rFonts w:hint="eastAsia" w:ascii="宋体" w:hAnsi="宋体" w:eastAsia="宋体" w:cs="宋体"/>
                <w:sz w:val="21"/>
                <w:szCs w:val="21"/>
                <w:lang w:val="en-US" w:eastAsia="zh-CN"/>
              </w:rPr>
              <w:t>3</w:t>
            </w:r>
          </w:p>
        </w:tc>
        <w:tc>
          <w:tcPr>
            <w:tcW w:w="6519" w:type="dxa"/>
            <w:shd w:val="clear" w:color="auto" w:fill="auto"/>
            <w:vAlign w:val="center"/>
          </w:tcPr>
          <w:p w14:paraId="1D71DA61">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default" w:cs="Times New Roman"/>
              </w:rPr>
              <w:t>法律、法规规定的属于投标无效的其他情形</w:t>
            </w:r>
          </w:p>
        </w:tc>
        <w:tc>
          <w:tcPr>
            <w:tcW w:w="1240" w:type="dxa"/>
            <w:vAlign w:val="center"/>
          </w:tcPr>
          <w:p w14:paraId="5CF258E7">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4B0546D">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AB0D6CB">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bl>
    <w:p w14:paraId="681EFBA4">
      <w:pPr>
        <w:adjustRightInd w:val="0"/>
        <w:snapToGrid w:val="0"/>
        <w:spacing w:line="360" w:lineRule="auto"/>
        <w:jc w:val="left"/>
        <w:outlineLvl w:val="9"/>
        <w:rPr>
          <w:rFonts w:ascii="宋体" w:hAnsi="宋体"/>
          <w:color w:val="auto"/>
          <w:highlight w:val="none"/>
        </w:rPr>
      </w:pPr>
      <w:r>
        <w:rPr>
          <w:rFonts w:hint="eastAsia" w:ascii="宋体" w:hAnsi="宋体" w:cs="宋体"/>
        </w:rPr>
        <w:t>说明：</w:t>
      </w:r>
      <w:r>
        <w:rPr>
          <w:rFonts w:hint="eastAsia" w:ascii="宋体" w:hAnsi="宋体"/>
        </w:rPr>
        <w:t>投标人必须严格按照《</w:t>
      </w:r>
      <w:r>
        <w:rPr>
          <w:rFonts w:hint="eastAsia" w:ascii="宋体" w:hAnsi="宋体"/>
          <w:lang w:val="en-US" w:eastAsia="zh-CN"/>
        </w:rPr>
        <w:t>符合</w:t>
      </w:r>
      <w:r>
        <w:rPr>
          <w:rFonts w:hint="eastAsia" w:ascii="宋体" w:hAnsi="宋体"/>
        </w:rPr>
        <w:t>性</w:t>
      </w:r>
      <w:r>
        <w:rPr>
          <w:rFonts w:hint="eastAsia" w:ascii="宋体" w:hAnsi="宋体"/>
          <w:lang w:val="en-US" w:eastAsia="zh-CN"/>
        </w:rPr>
        <w:t>自查</w:t>
      </w:r>
      <w:r>
        <w:rPr>
          <w:rFonts w:hint="eastAsia" w:ascii="宋体" w:hAnsi="宋体"/>
        </w:rPr>
        <w:t>表》的评审内容的要求如实提供证明材料</w:t>
      </w:r>
      <w:r>
        <w:rPr>
          <w:rFonts w:hint="eastAsia" w:ascii="宋体" w:hAnsi="宋体"/>
          <w:bCs/>
        </w:rPr>
        <w:t>并应加盖投标人公章,</w:t>
      </w:r>
      <w:r>
        <w:rPr>
          <w:rFonts w:hint="eastAsia" w:ascii="宋体" w:hAnsi="宋体"/>
        </w:rPr>
        <w:t>对缺漏或不符合项将直接导致无</w:t>
      </w:r>
      <w:r>
        <w:rPr>
          <w:rFonts w:hint="eastAsia" w:ascii="宋体" w:hAnsi="宋体"/>
          <w:color w:val="auto"/>
          <w:highlight w:val="none"/>
        </w:rPr>
        <w:t>效投标</w:t>
      </w:r>
      <w:r>
        <w:rPr>
          <w:rFonts w:hint="eastAsia" w:ascii="宋体" w:cs="宋体"/>
          <w:color w:val="auto"/>
          <w:szCs w:val="21"/>
          <w:highlight w:val="none"/>
        </w:rPr>
        <w:t>。</w:t>
      </w:r>
    </w:p>
    <w:p w14:paraId="7837DDEC">
      <w:pPr>
        <w:widowControl w:val="0"/>
        <w:numPr>
          <w:ilvl w:val="0"/>
          <w:numId w:val="0"/>
        </w:numPr>
        <w:ind w:leftChars="0"/>
        <w:jc w:val="both"/>
        <w:rPr>
          <w:rFonts w:hint="eastAsia" w:cs="宋体" w:asciiTheme="majorEastAsia" w:hAnsiTheme="majorEastAsia" w:eastAsiaTheme="majorEastAsia"/>
          <w:kern w:val="2"/>
          <w:sz w:val="30"/>
          <w:szCs w:val="30"/>
          <w:lang w:val="en-US" w:eastAsia="zh-CN" w:bidi="ar-SA"/>
        </w:rPr>
        <w:sectPr>
          <w:headerReference r:id="rId3" w:type="default"/>
          <w:footerReference r:id="rId4" w:type="default"/>
          <w:pgSz w:w="11906" w:h="16838"/>
          <w:pgMar w:top="1440" w:right="1286" w:bottom="1440"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399D0F2C">
      <w:pPr>
        <w:widowControl w:val="0"/>
        <w:numPr>
          <w:ilvl w:val="0"/>
          <w:numId w:val="0"/>
        </w:numPr>
        <w:ind w:left="0" w:leftChars="0" w:firstLine="0" w:firstLineChars="0"/>
        <w:jc w:val="center"/>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（三）警示情形自查确认表</w:t>
      </w:r>
    </w:p>
    <w:tbl>
      <w:tblPr>
        <w:tblStyle w:val="18"/>
        <w:tblW w:w="137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0"/>
        <w:gridCol w:w="744"/>
        <w:gridCol w:w="11002"/>
        <w:gridCol w:w="692"/>
        <w:gridCol w:w="693"/>
      </w:tblGrid>
      <w:tr w14:paraId="2ECE2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60" w:type="dxa"/>
            <w:tcBorders>
              <w:tl2br w:val="nil"/>
              <w:tr2bl w:val="nil"/>
            </w:tcBorders>
            <w:noWrap/>
            <w:vAlign w:val="center"/>
          </w:tcPr>
          <w:p w14:paraId="64DA0D58">
            <w:pPr>
              <w:keepNext w:val="0"/>
              <w:keepLines w:val="0"/>
              <w:suppressLineNumbers w:val="0"/>
              <w:spacing w:before="0" w:beforeAutospacing="0" w:after="0" w:afterAutospacing="0" w:line="240" w:lineRule="auto"/>
              <w:ind w:left="0" w:right="0"/>
              <w:jc w:val="both"/>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序号</w:t>
            </w:r>
          </w:p>
        </w:tc>
        <w:tc>
          <w:tcPr>
            <w:tcW w:w="744" w:type="dxa"/>
            <w:tcBorders>
              <w:tl2br w:val="nil"/>
              <w:tr2bl w:val="nil"/>
            </w:tcBorders>
            <w:noWrap/>
            <w:vAlign w:val="center"/>
          </w:tcPr>
          <w:p w14:paraId="73B5F9F9">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类别</w:t>
            </w:r>
          </w:p>
        </w:tc>
        <w:tc>
          <w:tcPr>
            <w:tcW w:w="11002" w:type="dxa"/>
            <w:tcBorders>
              <w:tl2br w:val="nil"/>
              <w:tr2bl w:val="nil"/>
            </w:tcBorders>
            <w:noWrap w:val="0"/>
            <w:vAlign w:val="center"/>
          </w:tcPr>
          <w:p w14:paraId="4C356927">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内容</w:t>
            </w:r>
          </w:p>
        </w:tc>
        <w:tc>
          <w:tcPr>
            <w:tcW w:w="1385" w:type="dxa"/>
            <w:gridSpan w:val="2"/>
            <w:tcBorders>
              <w:tl2br w:val="nil"/>
              <w:tr2bl w:val="nil"/>
            </w:tcBorders>
            <w:noWrap/>
            <w:vAlign w:val="center"/>
          </w:tcPr>
          <w:p w14:paraId="2B6DE1F5">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选项</w:t>
            </w:r>
          </w:p>
        </w:tc>
      </w:tr>
      <w:tr w14:paraId="710B0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700F22F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1</w:t>
            </w:r>
          </w:p>
        </w:tc>
        <w:tc>
          <w:tcPr>
            <w:tcW w:w="744" w:type="dxa"/>
            <w:vMerge w:val="restart"/>
            <w:tcBorders>
              <w:tl2br w:val="nil"/>
              <w:tr2bl w:val="nil"/>
            </w:tcBorders>
            <w:noWrap w:val="0"/>
            <w:vAlign w:val="center"/>
          </w:tcPr>
          <w:p w14:paraId="6C4C3F4E">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串通投标</w:t>
            </w:r>
          </w:p>
        </w:tc>
        <w:tc>
          <w:tcPr>
            <w:tcW w:w="11002" w:type="dxa"/>
            <w:tcBorders>
              <w:tl2br w:val="nil"/>
              <w:tr2bl w:val="nil"/>
            </w:tcBorders>
            <w:noWrap w:val="0"/>
            <w:vAlign w:val="center"/>
          </w:tcPr>
          <w:p w14:paraId="2C3AA7B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我单位不存在与其他投标供应商的法定代表人、主要经营负责人、项目投标授权代表人、项目负责人、主要技术人员为同一人、属同一单位或者在同一单位缴纳社会保险的“串通投标”违法行为。</w:t>
            </w:r>
          </w:p>
        </w:tc>
        <w:tc>
          <w:tcPr>
            <w:tcW w:w="692" w:type="dxa"/>
            <w:tcBorders>
              <w:tl2br w:val="nil"/>
              <w:tr2bl w:val="nil"/>
            </w:tcBorders>
            <w:noWrap/>
            <w:vAlign w:val="center"/>
          </w:tcPr>
          <w:p w14:paraId="51C7AFE0">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2901164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lang w:eastAsia="zh-CN"/>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1703B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38D4AE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2</w:t>
            </w:r>
          </w:p>
        </w:tc>
        <w:tc>
          <w:tcPr>
            <w:tcW w:w="744" w:type="dxa"/>
            <w:vMerge w:val="continue"/>
            <w:tcBorders>
              <w:tl2br w:val="nil"/>
              <w:tr2bl w:val="nil"/>
            </w:tcBorders>
            <w:noWrap w:val="0"/>
            <w:vAlign w:val="center"/>
          </w:tcPr>
          <w:p w14:paraId="513C1BB2">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6BB8385C">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我单位不存在与其他投标供应商的投标文件由同一单位或者同一人编制的“串通投标”违法行为。</w:t>
            </w:r>
          </w:p>
        </w:tc>
        <w:tc>
          <w:tcPr>
            <w:tcW w:w="692" w:type="dxa"/>
            <w:tcBorders>
              <w:tl2br w:val="nil"/>
              <w:tr2bl w:val="nil"/>
            </w:tcBorders>
            <w:noWrap/>
            <w:vAlign w:val="center"/>
          </w:tcPr>
          <w:p w14:paraId="4E345C2A">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2A4F31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4F87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72554FF">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3</w:t>
            </w:r>
          </w:p>
        </w:tc>
        <w:tc>
          <w:tcPr>
            <w:tcW w:w="744" w:type="dxa"/>
            <w:vMerge w:val="continue"/>
            <w:tcBorders>
              <w:tl2br w:val="nil"/>
              <w:tr2bl w:val="nil"/>
            </w:tcBorders>
            <w:noWrap w:val="0"/>
            <w:vAlign w:val="center"/>
          </w:tcPr>
          <w:p w14:paraId="067B523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209EF03C">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我单位不存在与其他投标供应商的投标文件或部分投标文件相互混装的“串通投标”违法行为。</w:t>
            </w:r>
          </w:p>
        </w:tc>
        <w:tc>
          <w:tcPr>
            <w:tcW w:w="692" w:type="dxa"/>
            <w:tcBorders>
              <w:tl2br w:val="nil"/>
              <w:tr2bl w:val="nil"/>
            </w:tcBorders>
            <w:noWrap/>
            <w:vAlign w:val="center"/>
          </w:tcPr>
          <w:p w14:paraId="47999F2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690B30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2C0CB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7C19A343">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4</w:t>
            </w:r>
          </w:p>
        </w:tc>
        <w:tc>
          <w:tcPr>
            <w:tcW w:w="744" w:type="dxa"/>
            <w:vMerge w:val="continue"/>
            <w:tcBorders>
              <w:tl2br w:val="nil"/>
              <w:tr2bl w:val="nil"/>
            </w:tcBorders>
            <w:noWrap w:val="0"/>
            <w:vAlign w:val="center"/>
          </w:tcPr>
          <w:p w14:paraId="0516BB8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00E487E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我单位不存在与其他投标供应商的投标文件内容非正常一致的“串通投标”违法行为。</w:t>
            </w:r>
          </w:p>
        </w:tc>
        <w:tc>
          <w:tcPr>
            <w:tcW w:w="692" w:type="dxa"/>
            <w:tcBorders>
              <w:tl2br w:val="nil"/>
              <w:tr2bl w:val="nil"/>
            </w:tcBorders>
            <w:noWrap/>
            <w:vAlign w:val="center"/>
          </w:tcPr>
          <w:p w14:paraId="11E9C8D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00B8E5F0">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4BF5F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32BAE7DD">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5</w:t>
            </w:r>
          </w:p>
        </w:tc>
        <w:tc>
          <w:tcPr>
            <w:tcW w:w="744" w:type="dxa"/>
            <w:vMerge w:val="continue"/>
            <w:tcBorders>
              <w:tl2br w:val="nil"/>
              <w:tr2bl w:val="nil"/>
            </w:tcBorders>
            <w:noWrap w:val="0"/>
            <w:vAlign w:val="center"/>
          </w:tcPr>
          <w:p w14:paraId="5F7825F6">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5E0A89C2">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我单位不存在由同一单位工作人员为两家（含）以上供应商进行同一项投标活动的“串通投标”违法行为。</w:t>
            </w:r>
          </w:p>
        </w:tc>
        <w:tc>
          <w:tcPr>
            <w:tcW w:w="692" w:type="dxa"/>
            <w:tcBorders>
              <w:tl2br w:val="nil"/>
              <w:tr2bl w:val="nil"/>
            </w:tcBorders>
            <w:noWrap/>
            <w:vAlign w:val="center"/>
          </w:tcPr>
          <w:p w14:paraId="0AFDB94A">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020EF22C">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437A0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4A2D8FAF">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6</w:t>
            </w:r>
          </w:p>
        </w:tc>
        <w:tc>
          <w:tcPr>
            <w:tcW w:w="744" w:type="dxa"/>
            <w:vMerge w:val="continue"/>
            <w:tcBorders>
              <w:tl2br w:val="nil"/>
              <w:tr2bl w:val="nil"/>
            </w:tcBorders>
            <w:noWrap w:val="0"/>
            <w:vAlign w:val="center"/>
          </w:tcPr>
          <w:p w14:paraId="4104D380">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29F6C46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我单位不存在与其他投标供应商相互约定给予未中标供应商利益补偿的“串通投标”违法行为。</w:t>
            </w:r>
          </w:p>
        </w:tc>
        <w:tc>
          <w:tcPr>
            <w:tcW w:w="692" w:type="dxa"/>
            <w:tcBorders>
              <w:tl2br w:val="nil"/>
              <w:tr2bl w:val="nil"/>
            </w:tcBorders>
            <w:noWrap/>
            <w:vAlign w:val="center"/>
          </w:tcPr>
          <w:p w14:paraId="420A642D">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DCFB6C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06DD0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6BCFE4B">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7</w:t>
            </w:r>
          </w:p>
        </w:tc>
        <w:tc>
          <w:tcPr>
            <w:tcW w:w="744" w:type="dxa"/>
            <w:vMerge w:val="restart"/>
            <w:tcBorders>
              <w:tl2br w:val="nil"/>
              <w:tr2bl w:val="nil"/>
            </w:tcBorders>
            <w:noWrap w:val="0"/>
            <w:vAlign w:val="center"/>
          </w:tcPr>
          <w:p w14:paraId="220FF6C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虚假材料</w:t>
            </w:r>
          </w:p>
        </w:tc>
        <w:tc>
          <w:tcPr>
            <w:tcW w:w="11002" w:type="dxa"/>
            <w:tcBorders>
              <w:tl2br w:val="nil"/>
              <w:tr2bl w:val="nil"/>
            </w:tcBorders>
            <w:noWrap w:val="0"/>
            <w:vAlign w:val="center"/>
          </w:tcPr>
          <w:p w14:paraId="3F3353E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我单位已认真核查了投标文件的全部内容，</w:t>
            </w:r>
            <w:r>
              <w:rPr>
                <w:rFonts w:hint="eastAsia" w:ascii="宋体" w:hAnsi="宋体" w:eastAsia="宋体" w:cs="宋体"/>
                <w:b/>
                <w:bCs/>
                <w:color w:val="auto"/>
                <w:sz w:val="22"/>
                <w:szCs w:val="28"/>
                <w:highlight w:val="none"/>
                <w:lang w:val="en-US" w:eastAsia="zh-CN"/>
              </w:rPr>
              <w:t>所有资料（包括但不限于人员学历证书、职称证书、合同、履约验收材料或从其他单位取得的检验检测报告、证书、证明等材料）</w:t>
            </w:r>
            <w:r>
              <w:rPr>
                <w:rFonts w:hint="eastAsia" w:ascii="宋体" w:hAnsi="宋体" w:eastAsia="宋体" w:cs="宋体"/>
                <w:color w:val="auto"/>
                <w:sz w:val="22"/>
                <w:szCs w:val="28"/>
                <w:highlight w:val="none"/>
                <w:lang w:val="en-US" w:eastAsia="zh-CN"/>
              </w:rPr>
              <w:t>均为真实资料，</w:t>
            </w:r>
            <w:r>
              <w:rPr>
                <w:rFonts w:hint="eastAsia" w:ascii="宋体" w:hAnsi="宋体" w:eastAsia="宋体" w:cs="宋体"/>
                <w:color w:val="auto"/>
                <w:sz w:val="22"/>
                <w:szCs w:val="28"/>
                <w:highlight w:val="none"/>
                <w:shd w:val="clear" w:color="auto" w:fill="auto"/>
                <w:lang w:val="en-US" w:eastAsia="zh-CN"/>
              </w:rPr>
              <w:t>已</w:t>
            </w:r>
            <w:r>
              <w:rPr>
                <w:rFonts w:hint="eastAsia" w:ascii="宋体" w:hAnsi="宋体" w:eastAsia="宋体" w:cs="宋体"/>
                <w:b/>
                <w:bCs/>
                <w:color w:val="auto"/>
                <w:sz w:val="22"/>
                <w:szCs w:val="28"/>
                <w:highlight w:val="none"/>
                <w:shd w:val="clear" w:color="auto" w:fill="auto"/>
                <w:lang w:val="en-US" w:eastAsia="zh-CN"/>
              </w:rPr>
              <w:t>通过出具机构或全国认证认可信息公共服务平台（认e云平台）等官方渠道核实材料内容的真实性</w:t>
            </w:r>
            <w:r>
              <w:rPr>
                <w:rFonts w:hint="eastAsia" w:ascii="宋体" w:hAnsi="宋体" w:eastAsia="宋体" w:cs="宋体"/>
                <w:color w:val="auto"/>
                <w:sz w:val="22"/>
                <w:szCs w:val="28"/>
                <w:highlight w:val="none"/>
                <w:shd w:val="clear" w:color="auto" w:fill="auto"/>
                <w:lang w:val="en-US" w:eastAsia="zh-CN"/>
              </w:rPr>
              <w:t>。</w:t>
            </w:r>
            <w:r>
              <w:rPr>
                <w:rFonts w:hint="eastAsia" w:ascii="宋体" w:hAnsi="宋体" w:eastAsia="宋体" w:cs="宋体"/>
                <w:color w:val="auto"/>
                <w:sz w:val="22"/>
                <w:szCs w:val="28"/>
                <w:highlight w:val="none"/>
                <w:lang w:val="en-US" w:eastAsia="zh-CN"/>
              </w:rPr>
              <w:t>我单位对投标文件中全部投标资料的真实性负责。</w:t>
            </w:r>
          </w:p>
        </w:tc>
        <w:tc>
          <w:tcPr>
            <w:tcW w:w="692" w:type="dxa"/>
            <w:tcBorders>
              <w:tl2br w:val="nil"/>
              <w:tr2bl w:val="nil"/>
            </w:tcBorders>
            <w:noWrap/>
            <w:vAlign w:val="center"/>
          </w:tcPr>
          <w:p w14:paraId="7363C632">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48C040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1EB5B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33E4D5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8</w:t>
            </w:r>
          </w:p>
        </w:tc>
        <w:tc>
          <w:tcPr>
            <w:tcW w:w="744" w:type="dxa"/>
            <w:vMerge w:val="continue"/>
            <w:tcBorders>
              <w:tl2br w:val="nil"/>
              <w:tr2bl w:val="nil"/>
            </w:tcBorders>
            <w:noWrap w:val="0"/>
            <w:vAlign w:val="center"/>
          </w:tcPr>
          <w:p w14:paraId="5FA2B27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771B746D">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我单位不存在通过转让或者租借等方式从其他单位获取资格或者资质证书投标的“提供虚假资料”违法行为。</w:t>
            </w:r>
          </w:p>
        </w:tc>
        <w:tc>
          <w:tcPr>
            <w:tcW w:w="692" w:type="dxa"/>
            <w:tcBorders>
              <w:tl2br w:val="nil"/>
              <w:tr2bl w:val="nil"/>
            </w:tcBorders>
            <w:noWrap/>
            <w:vAlign w:val="center"/>
          </w:tcPr>
          <w:p w14:paraId="1D7CB14A">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6AD2F004">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546FC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7891439">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9</w:t>
            </w:r>
          </w:p>
        </w:tc>
        <w:tc>
          <w:tcPr>
            <w:tcW w:w="744" w:type="dxa"/>
            <w:vMerge w:val="continue"/>
            <w:tcBorders>
              <w:tl2br w:val="nil"/>
              <w:tr2bl w:val="nil"/>
            </w:tcBorders>
            <w:noWrap w:val="0"/>
            <w:vAlign w:val="center"/>
          </w:tcPr>
          <w:p w14:paraId="36720B8A">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019CC44F">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我单位不存在由其他单位或者其他单位负责人在我单位投标文件上加盖印章或者签字的“提供虚假资料”违法行为。</w:t>
            </w:r>
          </w:p>
        </w:tc>
        <w:tc>
          <w:tcPr>
            <w:tcW w:w="692" w:type="dxa"/>
            <w:tcBorders>
              <w:tl2br w:val="nil"/>
              <w:tr2bl w:val="nil"/>
            </w:tcBorders>
            <w:noWrap/>
            <w:vAlign w:val="center"/>
          </w:tcPr>
          <w:p w14:paraId="2AD88F2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2550BC4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9530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4DE3514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10</w:t>
            </w:r>
          </w:p>
        </w:tc>
        <w:tc>
          <w:tcPr>
            <w:tcW w:w="744" w:type="dxa"/>
            <w:vMerge w:val="continue"/>
            <w:tcBorders>
              <w:tl2br w:val="nil"/>
              <w:tr2bl w:val="nil"/>
            </w:tcBorders>
            <w:noWrap w:val="0"/>
            <w:vAlign w:val="center"/>
          </w:tcPr>
          <w:p w14:paraId="2A968384">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6D6A9775">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我单位不存在项目负责人或者主要技术人员不是本单位人员的“提供虚假资料”违法行为。</w:t>
            </w:r>
          </w:p>
        </w:tc>
        <w:tc>
          <w:tcPr>
            <w:tcW w:w="692" w:type="dxa"/>
            <w:tcBorders>
              <w:tl2br w:val="nil"/>
              <w:tr2bl w:val="nil"/>
            </w:tcBorders>
            <w:noWrap/>
            <w:vAlign w:val="center"/>
          </w:tcPr>
          <w:p w14:paraId="65F60E1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4B168349">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0B9FE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1135B6DB">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11</w:t>
            </w:r>
          </w:p>
        </w:tc>
        <w:tc>
          <w:tcPr>
            <w:tcW w:w="744" w:type="dxa"/>
            <w:vMerge w:val="continue"/>
            <w:tcBorders>
              <w:tl2br w:val="nil"/>
              <w:tr2bl w:val="nil"/>
            </w:tcBorders>
            <w:noWrap w:val="0"/>
            <w:vAlign w:val="center"/>
          </w:tcPr>
          <w:p w14:paraId="1B33D2FE">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1FD2330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我单位不存在投标保证金（根据采购文件要求提交）不是从我单位基本账户转出的“提供虚假资料”违法行为。</w:t>
            </w:r>
          </w:p>
        </w:tc>
        <w:tc>
          <w:tcPr>
            <w:tcW w:w="692" w:type="dxa"/>
            <w:tcBorders>
              <w:tl2br w:val="nil"/>
              <w:tr2bl w:val="nil"/>
            </w:tcBorders>
            <w:noWrap/>
            <w:vAlign w:val="center"/>
          </w:tcPr>
          <w:p w14:paraId="672F8122">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691C8B3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A31C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866316E">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12</w:t>
            </w:r>
          </w:p>
        </w:tc>
        <w:tc>
          <w:tcPr>
            <w:tcW w:w="744" w:type="dxa"/>
            <w:vMerge w:val="restart"/>
            <w:tcBorders>
              <w:tl2br w:val="nil"/>
              <w:tr2bl w:val="nil"/>
            </w:tcBorders>
            <w:noWrap w:val="0"/>
            <w:vAlign w:val="center"/>
          </w:tcPr>
          <w:p w14:paraId="615C333E">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关联关系及其他情形</w:t>
            </w:r>
          </w:p>
        </w:tc>
        <w:tc>
          <w:tcPr>
            <w:tcW w:w="11002" w:type="dxa"/>
            <w:tcBorders>
              <w:tl2br w:val="nil"/>
              <w:tr2bl w:val="nil"/>
            </w:tcBorders>
            <w:noWrap w:val="0"/>
            <w:vAlign w:val="center"/>
          </w:tcPr>
          <w:p w14:paraId="714141C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我单位严格管理本单位的电子秘钥及电子营业执照，不委托或出借给第三方（人）使用和管理。</w:t>
            </w:r>
          </w:p>
        </w:tc>
        <w:tc>
          <w:tcPr>
            <w:tcW w:w="692" w:type="dxa"/>
            <w:tcBorders>
              <w:tl2br w:val="nil"/>
              <w:tr2bl w:val="nil"/>
            </w:tcBorders>
            <w:noWrap/>
            <w:vAlign w:val="center"/>
          </w:tcPr>
          <w:p w14:paraId="57BE226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745A77C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600CF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6564F28">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13</w:t>
            </w:r>
          </w:p>
        </w:tc>
        <w:tc>
          <w:tcPr>
            <w:tcW w:w="744" w:type="dxa"/>
            <w:vMerge w:val="continue"/>
            <w:tcBorders>
              <w:tl2br w:val="nil"/>
              <w:tr2bl w:val="nil"/>
            </w:tcBorders>
            <w:noWrap w:val="0"/>
            <w:vAlign w:val="center"/>
          </w:tcPr>
          <w:p w14:paraId="7D49EC6D">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eastAsia="zh-CN"/>
              </w:rPr>
            </w:pPr>
          </w:p>
        </w:tc>
        <w:tc>
          <w:tcPr>
            <w:tcW w:w="11002" w:type="dxa"/>
            <w:tcBorders>
              <w:tl2br w:val="nil"/>
              <w:tr2bl w:val="nil"/>
            </w:tcBorders>
            <w:noWrap w:val="0"/>
            <w:vAlign w:val="center"/>
          </w:tcPr>
          <w:p w14:paraId="5F2C3E4A">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我单位不使用公共电脑设备或公共网络编制、上传投标文件。</w:t>
            </w:r>
          </w:p>
        </w:tc>
        <w:tc>
          <w:tcPr>
            <w:tcW w:w="692" w:type="dxa"/>
            <w:tcBorders>
              <w:tl2br w:val="nil"/>
              <w:tr2bl w:val="nil"/>
            </w:tcBorders>
            <w:noWrap/>
            <w:vAlign w:val="center"/>
          </w:tcPr>
          <w:p w14:paraId="36B45C5E">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41901711">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1F406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6466974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14</w:t>
            </w:r>
          </w:p>
        </w:tc>
        <w:tc>
          <w:tcPr>
            <w:tcW w:w="744" w:type="dxa"/>
            <w:vMerge w:val="continue"/>
            <w:tcBorders>
              <w:tl2br w:val="nil"/>
              <w:tr2bl w:val="nil"/>
            </w:tcBorders>
            <w:noWrap w:val="0"/>
            <w:vAlign w:val="center"/>
          </w:tcPr>
          <w:p w14:paraId="31F008BF">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68DB313F">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我单位与其他投标供应商在参与本项目时，不存在单位负责人为同一人或直接控股、管理关系的行为。</w:t>
            </w:r>
          </w:p>
        </w:tc>
        <w:tc>
          <w:tcPr>
            <w:tcW w:w="692" w:type="dxa"/>
            <w:tcBorders>
              <w:tl2br w:val="nil"/>
              <w:tr2bl w:val="nil"/>
            </w:tcBorders>
            <w:noWrap/>
            <w:vAlign w:val="center"/>
          </w:tcPr>
          <w:p w14:paraId="406A98C6">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7E025D6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bl>
    <w:p w14:paraId="005DAF95">
      <w:pPr>
        <w:widowControl w:val="0"/>
        <w:numPr>
          <w:ilvl w:val="0"/>
          <w:numId w:val="0"/>
        </w:numPr>
        <w:ind w:leftChars="0"/>
        <w:jc w:val="both"/>
        <w:rPr>
          <w:rFonts w:hint="eastAsia" w:cs="宋体" w:asciiTheme="majorEastAsia" w:hAnsiTheme="majorEastAsia" w:eastAsiaTheme="majorEastAsia"/>
          <w:kern w:val="2"/>
          <w:sz w:val="30"/>
          <w:szCs w:val="30"/>
          <w:lang w:val="en-US" w:eastAsia="zh-CN" w:bidi="ar-SA"/>
        </w:rPr>
        <w:sectPr>
          <w:pgSz w:w="16838" w:h="11906" w:orient="landscape"/>
          <w:pgMar w:top="1440" w:right="1440" w:bottom="1286"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tbl>
      <w:tblPr>
        <w:tblStyle w:val="18"/>
        <w:tblW w:w="137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0"/>
        <w:gridCol w:w="744"/>
        <w:gridCol w:w="11002"/>
        <w:gridCol w:w="692"/>
        <w:gridCol w:w="693"/>
      </w:tblGrid>
      <w:tr w14:paraId="51B4F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8" w:hRule="atLeast"/>
        </w:trPr>
        <w:tc>
          <w:tcPr>
            <w:tcW w:w="660" w:type="dxa"/>
            <w:tcBorders>
              <w:tl2br w:val="nil"/>
              <w:tr2bl w:val="nil"/>
            </w:tcBorders>
            <w:noWrap/>
            <w:vAlign w:val="center"/>
          </w:tcPr>
          <w:p w14:paraId="55206D20">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15</w:t>
            </w:r>
          </w:p>
        </w:tc>
        <w:tc>
          <w:tcPr>
            <w:tcW w:w="744" w:type="dxa"/>
            <w:vMerge w:val="restart"/>
            <w:tcBorders>
              <w:tl2br w:val="nil"/>
              <w:tr2bl w:val="nil"/>
            </w:tcBorders>
            <w:noWrap w:val="0"/>
            <w:vAlign w:val="center"/>
          </w:tcPr>
          <w:p w14:paraId="58124DE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22868A9F">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b w:val="0"/>
                <w:bCs w:val="0"/>
                <w:color w:val="auto"/>
                <w:sz w:val="22"/>
                <w:szCs w:val="28"/>
                <w:highlight w:val="none"/>
                <w:lang w:val="en-US" w:eastAsia="zh-CN"/>
              </w:rPr>
              <w:t>我单位在参与本项目（单一来源采购项目除外）时，不存在同时为本项目提供整体设计、规范编制或者项目管理、监理、检测等服务的行为。</w:t>
            </w:r>
          </w:p>
        </w:tc>
        <w:tc>
          <w:tcPr>
            <w:tcW w:w="692" w:type="dxa"/>
            <w:tcBorders>
              <w:tl2br w:val="nil"/>
              <w:tr2bl w:val="nil"/>
            </w:tcBorders>
            <w:noWrap/>
            <w:vAlign w:val="center"/>
          </w:tcPr>
          <w:p w14:paraId="7E281193">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7CE3FDA6">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2300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 w:hRule="atLeast"/>
        </w:trPr>
        <w:tc>
          <w:tcPr>
            <w:tcW w:w="66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7E5FB06">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16</w:t>
            </w:r>
          </w:p>
        </w:tc>
        <w:tc>
          <w:tcPr>
            <w:tcW w:w="744" w:type="dxa"/>
            <w:vMerge w:val="continue"/>
            <w:tcBorders>
              <w:left w:val="single" w:color="000000" w:sz="4" w:space="0"/>
              <w:bottom w:val="nil"/>
              <w:right w:val="single" w:color="000000" w:sz="4" w:space="0"/>
              <w:tl2br w:val="nil"/>
              <w:tr2bl w:val="nil"/>
            </w:tcBorders>
            <w:noWrap w:val="0"/>
            <w:vAlign w:val="center"/>
          </w:tcPr>
          <w:p w14:paraId="5FA702B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FD6054A">
            <w:pPr>
              <w:keepNext w:val="0"/>
              <w:keepLines w:val="0"/>
              <w:suppressLineNumbers w:val="0"/>
              <w:spacing w:before="0" w:beforeAutospacing="0" w:after="0" w:afterAutospacing="0" w:line="240" w:lineRule="auto"/>
              <w:ind w:left="0" w:right="0"/>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b w:val="0"/>
                <w:bCs w:val="0"/>
                <w:color w:val="auto"/>
                <w:sz w:val="22"/>
                <w:szCs w:val="28"/>
                <w:highlight w:val="none"/>
                <w:lang w:val="en-US" w:eastAsia="zh-CN"/>
              </w:rPr>
              <w:t>我单位在本项目中，□是□否 委托第三方（人）代为办理或从生产厂家、代理商等第三方（人）间接取得投标文件涉及的检验检测报告、证书、证明等材料。</w:t>
            </w:r>
          </w:p>
        </w:tc>
        <w:tc>
          <w:tcPr>
            <w:tcW w:w="692"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B3087A1">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A6203BB">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3DE09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3791" w:type="dxa"/>
            <w:gridSpan w:val="5"/>
            <w:tcBorders>
              <w:tl2br w:val="nil"/>
              <w:tr2bl w:val="nil"/>
            </w:tcBorders>
            <w:noWrap/>
            <w:vAlign w:val="center"/>
          </w:tcPr>
          <w:p w14:paraId="4B8359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若第16项选择“是”，则投标供应商需要填写：</w:t>
            </w:r>
          </w:p>
          <w:p w14:paraId="1BA4A9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①</w:t>
            </w:r>
            <w:r>
              <w:rPr>
                <w:rFonts w:hint="eastAsia" w:ascii="宋体" w:hAnsi="宋体" w:eastAsia="宋体" w:cs="宋体"/>
                <w:b w:val="0"/>
                <w:bCs w:val="0"/>
                <w:color w:val="auto"/>
                <w:sz w:val="22"/>
                <w:szCs w:val="28"/>
                <w:highlight w:val="none"/>
                <w:lang w:val="en-US" w:eastAsia="zh-CN"/>
              </w:rPr>
              <w:t>相关</w:t>
            </w:r>
            <w:r>
              <w:rPr>
                <w:rFonts w:hint="eastAsia" w:ascii="宋体" w:hAnsi="宋体" w:eastAsia="宋体" w:cs="宋体"/>
                <w:color w:val="auto"/>
                <w:sz w:val="22"/>
                <w:szCs w:val="28"/>
                <w:highlight w:val="none"/>
                <w:lang w:val="en-US" w:eastAsia="zh-CN"/>
              </w:rPr>
              <w:t>材料类型（必填）（包括检验检测报告、学历证书、职称证书、社保证明、合同业绩、其他等，以下拉列表显示）；</w:t>
            </w:r>
          </w:p>
          <w:p w14:paraId="176344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b w:val="0"/>
                <w:bCs w:val="0"/>
                <w:color w:val="auto"/>
                <w:sz w:val="22"/>
                <w:szCs w:val="28"/>
                <w:highlight w:val="none"/>
                <w:lang w:val="en-US" w:eastAsia="zh-CN"/>
              </w:rPr>
              <w:t>②相关材料的名称（必填）（按材料类型填写，不同类型的需分别填写）；</w:t>
            </w:r>
          </w:p>
          <w:p w14:paraId="04339F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③相关材料出具单位（必填）（</w:t>
            </w:r>
            <w:r>
              <w:rPr>
                <w:rFonts w:hint="eastAsia" w:ascii="宋体" w:hAnsi="宋体" w:eastAsia="宋体" w:cs="宋体"/>
                <w:b w:val="0"/>
                <w:bCs w:val="0"/>
                <w:color w:val="auto"/>
                <w:sz w:val="22"/>
                <w:szCs w:val="28"/>
                <w:highlight w:val="none"/>
                <w:lang w:val="en-US" w:eastAsia="zh-CN"/>
              </w:rPr>
              <w:t>按材料类型填写，出具单位即为相关</w:t>
            </w:r>
            <w:r>
              <w:rPr>
                <w:rFonts w:hint="eastAsia" w:ascii="宋体" w:hAnsi="宋体" w:eastAsia="宋体" w:cs="宋体"/>
                <w:color w:val="auto"/>
                <w:sz w:val="22"/>
                <w:szCs w:val="28"/>
                <w:highlight w:val="none"/>
                <w:lang w:val="en-US" w:eastAsia="zh-CN"/>
              </w:rPr>
              <w:t>材料的落款单位）；</w:t>
            </w:r>
          </w:p>
          <w:p w14:paraId="49536C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④是否向材料出具单位核实材料真实性（必填）（</w:t>
            </w:r>
            <w:r>
              <w:rPr>
                <w:rFonts w:hint="eastAsia" w:ascii="宋体" w:hAnsi="宋体" w:eastAsia="宋体" w:cs="宋体"/>
                <w:b w:val="0"/>
                <w:bCs w:val="0"/>
                <w:color w:val="auto"/>
                <w:sz w:val="22"/>
                <w:szCs w:val="28"/>
                <w:highlight w:val="none"/>
                <w:lang w:val="en-US" w:eastAsia="zh-CN"/>
              </w:rPr>
              <w:t>按材料类型填写，</w:t>
            </w:r>
            <w:r>
              <w:rPr>
                <w:rFonts w:hint="eastAsia" w:ascii="宋体" w:hAnsi="宋体" w:eastAsia="宋体" w:cs="宋体"/>
                <w:color w:val="auto"/>
                <w:sz w:val="22"/>
                <w:szCs w:val="28"/>
                <w:highlight w:val="none"/>
                <w:lang w:val="en-US" w:eastAsia="zh-CN"/>
              </w:rPr>
              <w:t>以下拉列表显示“是”和“否”）；</w:t>
            </w:r>
          </w:p>
          <w:p w14:paraId="0D4B90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⑤第三方（人）的基本信息（必填），（</w:t>
            </w:r>
            <w:r>
              <w:rPr>
                <w:rFonts w:hint="eastAsia" w:ascii="宋体" w:hAnsi="宋体" w:eastAsia="宋体" w:cs="宋体"/>
                <w:b w:val="0"/>
                <w:bCs w:val="0"/>
                <w:color w:val="auto"/>
                <w:sz w:val="22"/>
                <w:szCs w:val="28"/>
                <w:highlight w:val="none"/>
                <w:lang w:val="en-US" w:eastAsia="zh-CN"/>
              </w:rPr>
              <w:t>按材料类型填写，</w:t>
            </w:r>
            <w:r>
              <w:rPr>
                <w:rFonts w:hint="eastAsia" w:ascii="宋体" w:hAnsi="宋体" w:eastAsia="宋体" w:cs="宋体"/>
                <w:color w:val="auto"/>
                <w:sz w:val="22"/>
                <w:szCs w:val="28"/>
                <w:highlight w:val="none"/>
                <w:lang w:val="en-US" w:eastAsia="zh-CN"/>
              </w:rPr>
              <w:t>以下拉列表显示“单位”和“个人”，其中，“单位”需填写单位全称、统一社会信用代码、联系人及电话，“</w:t>
            </w:r>
            <w:r>
              <w:rPr>
                <w:rFonts w:hint="eastAsia" w:ascii="宋体" w:hAnsi="宋体" w:eastAsia="宋体" w:cs="宋体"/>
                <w:b w:val="0"/>
                <w:bCs w:val="0"/>
                <w:color w:val="auto"/>
                <w:sz w:val="22"/>
                <w:szCs w:val="28"/>
                <w:highlight w:val="none"/>
                <w:lang w:val="en-US" w:eastAsia="zh-CN"/>
              </w:rPr>
              <w:t>个人”需填写个人姓名、联系方式）；</w:t>
            </w:r>
          </w:p>
          <w:p w14:paraId="5C8811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⑥相关材料的编号（选填）（</w:t>
            </w:r>
            <w:r>
              <w:rPr>
                <w:rFonts w:hint="eastAsia" w:ascii="宋体" w:hAnsi="宋体" w:eastAsia="宋体" w:cs="宋体"/>
                <w:b w:val="0"/>
                <w:bCs w:val="0"/>
                <w:color w:val="auto"/>
                <w:sz w:val="22"/>
                <w:szCs w:val="28"/>
                <w:highlight w:val="none"/>
                <w:lang w:val="en-US" w:eastAsia="zh-CN"/>
              </w:rPr>
              <w:t>按材料类型填写）；</w:t>
            </w:r>
          </w:p>
          <w:p w14:paraId="606ECE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color w:val="auto"/>
                <w:sz w:val="22"/>
                <w:szCs w:val="28"/>
                <w:highlight w:val="none"/>
                <w:lang w:eastAsia="zh-CN"/>
              </w:rPr>
            </w:pPr>
            <w:r>
              <w:rPr>
                <w:rFonts w:hint="eastAsia" w:ascii="宋体" w:hAnsi="宋体" w:eastAsia="宋体" w:cs="宋体"/>
                <w:color w:val="auto"/>
                <w:sz w:val="22"/>
                <w:szCs w:val="28"/>
                <w:highlight w:val="none"/>
                <w:lang w:val="en-US" w:eastAsia="zh-CN"/>
              </w:rPr>
              <w:t>⑦相关材料出具时间（选填）（</w:t>
            </w:r>
            <w:r>
              <w:rPr>
                <w:rFonts w:hint="eastAsia" w:ascii="宋体" w:hAnsi="宋体" w:eastAsia="宋体" w:cs="宋体"/>
                <w:b w:val="0"/>
                <w:bCs w:val="0"/>
                <w:color w:val="auto"/>
                <w:sz w:val="22"/>
                <w:szCs w:val="28"/>
                <w:highlight w:val="none"/>
                <w:lang w:val="en-US" w:eastAsia="zh-CN"/>
              </w:rPr>
              <w:t>按材料类型填写）</w:t>
            </w:r>
            <w:r>
              <w:rPr>
                <w:rFonts w:hint="eastAsia" w:ascii="宋体" w:hAnsi="宋体" w:eastAsia="宋体" w:cs="宋体"/>
                <w:color w:val="auto"/>
                <w:sz w:val="22"/>
                <w:szCs w:val="28"/>
                <w:highlight w:val="none"/>
                <w:lang w:val="en-US" w:eastAsia="zh-CN"/>
              </w:rPr>
              <w:t>。</w:t>
            </w:r>
          </w:p>
        </w:tc>
      </w:tr>
    </w:tbl>
    <w:p w14:paraId="46B81160">
      <w:pPr>
        <w:rPr>
          <w:rFonts w:hint="eastAsia"/>
        </w:rPr>
        <w:sectPr>
          <w:pgSz w:w="16838" w:h="11906" w:orient="landscape"/>
          <w:pgMar w:top="1440" w:right="1440" w:bottom="1286"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3611745D">
      <w:pPr>
        <w:pStyle w:val="3"/>
        <w:numPr>
          <w:ilvl w:val="0"/>
          <w:numId w:val="8"/>
        </w:numPr>
        <w:spacing w:line="240" w:lineRule="auto"/>
        <w:ind w:left="0" w:leftChars="0" w:firstLine="0" w:firstLineChars="0"/>
        <w:jc w:val="center"/>
        <w:outlineLvl w:val="0"/>
        <w:rPr>
          <w:rFonts w:hint="eastAsia" w:asciiTheme="majorEastAsia" w:hAnsiTheme="majorEastAsia" w:eastAsiaTheme="majorEastAsia"/>
          <w:sz w:val="30"/>
          <w:szCs w:val="30"/>
          <w:lang w:val="en-US" w:eastAsia="zh-CN"/>
        </w:rPr>
      </w:pPr>
      <w:bookmarkStart w:id="30" w:name="_Toc1006"/>
      <w:r>
        <w:rPr>
          <w:rFonts w:hint="eastAsia" w:asciiTheme="majorEastAsia" w:hAnsiTheme="majorEastAsia" w:eastAsiaTheme="majorEastAsia"/>
          <w:sz w:val="30"/>
          <w:szCs w:val="30"/>
          <w:lang w:val="en-US" w:eastAsia="zh-CN"/>
        </w:rPr>
        <w:t>综合评分指引</w:t>
      </w:r>
      <w:bookmarkEnd w:id="30"/>
    </w:p>
    <w:p w14:paraId="168FCB66">
      <w:pPr>
        <w:adjustRightInd w:val="0"/>
        <w:snapToGrid w:val="0"/>
        <w:spacing w:line="300" w:lineRule="auto"/>
        <w:ind w:firstLine="420" w:firstLineChars="200"/>
        <w:rPr>
          <w:rFonts w:ascii="宋体" w:hAnsi="宋体"/>
          <w:szCs w:val="21"/>
        </w:rPr>
      </w:pPr>
      <w:r>
        <w:rPr>
          <w:rFonts w:hint="eastAsia" w:ascii="宋体" w:hAnsi="宋体"/>
          <w:szCs w:val="21"/>
        </w:rPr>
        <w:t>对于“</w:t>
      </w:r>
      <w:r>
        <w:rPr>
          <w:rFonts w:hint="eastAsia" w:ascii="宋体" w:hAnsi="宋体"/>
          <w:b/>
          <w:szCs w:val="21"/>
        </w:rPr>
        <w:t>综合评分指引”</w:t>
      </w:r>
      <w:r>
        <w:rPr>
          <w:rFonts w:hint="eastAsia" w:ascii="宋体" w:hAnsi="宋体"/>
          <w:szCs w:val="21"/>
        </w:rPr>
        <w:t>请投标人按照</w:t>
      </w:r>
      <w:r>
        <w:rPr>
          <w:rFonts w:hint="eastAsia" w:ascii="宋体" w:hAnsi="宋体"/>
          <w:szCs w:val="21"/>
          <w:lang w:eastAsia="zh-CN"/>
        </w:rPr>
        <w:t>征集</w:t>
      </w:r>
      <w:r>
        <w:rPr>
          <w:rFonts w:hint="eastAsia" w:ascii="宋体" w:hAnsi="宋体"/>
          <w:szCs w:val="21"/>
        </w:rPr>
        <w:t>文件</w:t>
      </w:r>
      <w:r>
        <w:rPr>
          <w:rFonts w:hint="eastAsia" w:ascii="宋体" w:hAnsi="宋体"/>
          <w:b/>
          <w:szCs w:val="21"/>
        </w:rPr>
        <w:t>评标信息评分细则表</w:t>
      </w:r>
      <w:r>
        <w:rPr>
          <w:rFonts w:hint="eastAsia" w:ascii="宋体" w:hAnsi="宋体"/>
          <w:szCs w:val="21"/>
        </w:rPr>
        <w:t>内容，根据各评分项目以</w:t>
      </w:r>
      <w:r>
        <w:rPr>
          <w:rFonts w:hint="eastAsia" w:ascii="宋体" w:hAnsi="宋体"/>
          <w:b/>
          <w:szCs w:val="21"/>
        </w:rPr>
        <w:t>自上而下</w:t>
      </w:r>
      <w:r>
        <w:rPr>
          <w:rFonts w:hint="eastAsia" w:ascii="宋体" w:hAnsi="宋体"/>
          <w:szCs w:val="21"/>
        </w:rPr>
        <w:t>的顺序编制。因项目次序混乱而影响评标效率及评标结果者，投标人自负其责。</w:t>
      </w:r>
    </w:p>
    <w:p w14:paraId="257ABC5B">
      <w:pPr>
        <w:adjustRightInd w:val="0"/>
        <w:snapToGrid w:val="0"/>
        <w:spacing w:line="300" w:lineRule="auto"/>
        <w:rPr>
          <w:rFonts w:ascii="宋体" w:hAnsi="宋体"/>
          <w:szCs w:val="21"/>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1"/>
        <w:gridCol w:w="2636"/>
        <w:gridCol w:w="3367"/>
      </w:tblGrid>
      <w:tr w14:paraId="58E4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4" w:hRule="atLeast"/>
          <w:jc w:val="center"/>
        </w:trPr>
        <w:tc>
          <w:tcPr>
            <w:tcW w:w="3001" w:type="dxa"/>
            <w:vAlign w:val="center"/>
          </w:tcPr>
          <w:p w14:paraId="7098C0A7">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Cs w:val="21"/>
              </w:rPr>
            </w:pPr>
            <w:r>
              <w:rPr>
                <w:rFonts w:hint="eastAsia" w:ascii="宋体" w:hAnsi="宋体"/>
                <w:b/>
                <w:szCs w:val="21"/>
              </w:rPr>
              <w:t>评分因素</w:t>
            </w:r>
          </w:p>
        </w:tc>
        <w:tc>
          <w:tcPr>
            <w:tcW w:w="2636" w:type="dxa"/>
            <w:vAlign w:val="center"/>
          </w:tcPr>
          <w:p w14:paraId="2F23BF74">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Cs w:val="21"/>
              </w:rPr>
            </w:pPr>
            <w:r>
              <w:rPr>
                <w:rFonts w:hint="eastAsia" w:ascii="宋体" w:hAnsi="宋体"/>
                <w:b/>
                <w:szCs w:val="21"/>
              </w:rPr>
              <w:t>评分准则</w:t>
            </w:r>
          </w:p>
        </w:tc>
        <w:tc>
          <w:tcPr>
            <w:tcW w:w="3367" w:type="dxa"/>
            <w:vAlign w:val="center"/>
          </w:tcPr>
          <w:p w14:paraId="0974977E">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Cs w:val="21"/>
              </w:rPr>
            </w:pPr>
            <w:r>
              <w:rPr>
                <w:rFonts w:hint="eastAsia" w:ascii="宋体" w:hAnsi="宋体"/>
                <w:b/>
                <w:szCs w:val="21"/>
              </w:rPr>
              <w:t>证明文件</w:t>
            </w:r>
          </w:p>
        </w:tc>
      </w:tr>
      <w:tr w14:paraId="44BB5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001" w:type="dxa"/>
            <w:vAlign w:val="center"/>
          </w:tcPr>
          <w:p w14:paraId="4C8851E2">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24BA1A3A">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128CF5B8">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7CA21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001" w:type="dxa"/>
            <w:vAlign w:val="center"/>
          </w:tcPr>
          <w:p w14:paraId="61AE6F4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7BF120A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6C7FC47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66AC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3001" w:type="dxa"/>
            <w:vAlign w:val="center"/>
          </w:tcPr>
          <w:p w14:paraId="725CDC1D">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6F7544BC">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00DAD869">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5F6DB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3001" w:type="dxa"/>
            <w:vAlign w:val="center"/>
          </w:tcPr>
          <w:p w14:paraId="133B850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6D6C3D8E">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6C8257C3">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24C09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001" w:type="dxa"/>
            <w:vAlign w:val="center"/>
          </w:tcPr>
          <w:p w14:paraId="0E5EF5F1">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6C0DE595">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6C2D6675">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6D72E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001" w:type="dxa"/>
            <w:vAlign w:val="center"/>
          </w:tcPr>
          <w:p w14:paraId="6E5F3AE9">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18F66296">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5A69511D">
            <w:pPr>
              <w:keepNext w:val="0"/>
              <w:keepLines w:val="0"/>
              <w:suppressLineNumbers w:val="0"/>
              <w:adjustRightInd w:val="0"/>
              <w:snapToGrid w:val="0"/>
              <w:spacing w:before="0" w:beforeAutospacing="0" w:after="0" w:afterAutospacing="0" w:line="300" w:lineRule="auto"/>
              <w:ind w:left="0" w:right="0"/>
              <w:jc w:val="center"/>
              <w:rPr>
                <w:rFonts w:hint="eastAsia" w:ascii="宋体" w:hAnsi="宋体"/>
                <w:szCs w:val="21"/>
              </w:rPr>
            </w:pPr>
            <w:r>
              <w:rPr>
                <w:rFonts w:hint="eastAsia" w:ascii="宋体" w:hAnsi="宋体"/>
                <w:szCs w:val="21"/>
              </w:rPr>
              <w:t>见投标/响应文件第（）页</w:t>
            </w:r>
          </w:p>
        </w:tc>
      </w:tr>
      <w:tr w14:paraId="09BAB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001" w:type="dxa"/>
            <w:vAlign w:val="center"/>
          </w:tcPr>
          <w:p w14:paraId="7360DA74">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0D1FA47E">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17C5C56C">
            <w:pPr>
              <w:keepNext w:val="0"/>
              <w:keepLines w:val="0"/>
              <w:suppressLineNumbers w:val="0"/>
              <w:adjustRightInd w:val="0"/>
              <w:snapToGrid w:val="0"/>
              <w:spacing w:before="0" w:beforeAutospacing="0" w:after="0" w:afterAutospacing="0" w:line="300" w:lineRule="auto"/>
              <w:ind w:left="0" w:right="0"/>
              <w:jc w:val="center"/>
              <w:rPr>
                <w:rFonts w:hint="eastAsia" w:ascii="宋体" w:hAnsi="宋体"/>
                <w:szCs w:val="21"/>
              </w:rPr>
            </w:pPr>
            <w:r>
              <w:rPr>
                <w:rFonts w:hint="eastAsia" w:ascii="宋体" w:hAnsi="宋体"/>
                <w:szCs w:val="21"/>
              </w:rPr>
              <w:t>见投标/响应文件第（）页</w:t>
            </w:r>
          </w:p>
        </w:tc>
      </w:tr>
    </w:tbl>
    <w:p w14:paraId="360D7A47">
      <w:pPr>
        <w:numPr>
          <w:ilvl w:val="0"/>
          <w:numId w:val="0"/>
        </w:numPr>
        <w:ind w:leftChars="0"/>
        <w:rPr>
          <w:rFonts w:hint="eastAsia"/>
          <w:lang w:val="en-US" w:eastAsia="zh-CN"/>
        </w:rPr>
      </w:pPr>
    </w:p>
    <w:p w14:paraId="1B2C3062">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43652D17">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163C87CC">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5BCA0D99">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724022B1">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6C0E4DD3">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7186EDC">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748117D9">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AD3A274">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2F674D68">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5B41155B">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4D7BB6C0">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26D7CBB0">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44C12BA8">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bookmarkStart w:id="31" w:name="_Toc24549"/>
      <w:r>
        <w:rPr>
          <w:rFonts w:hint="eastAsia" w:cs="宋体" w:asciiTheme="majorEastAsia" w:hAnsiTheme="majorEastAsia" w:eastAsiaTheme="majorEastAsia"/>
          <w:kern w:val="2"/>
          <w:sz w:val="30"/>
          <w:szCs w:val="30"/>
          <w:lang w:val="en-US" w:eastAsia="zh-CN" w:bidi="ar-SA"/>
        </w:rPr>
        <w:t>（五）</w:t>
      </w:r>
      <w:r>
        <w:rPr>
          <w:rFonts w:hint="eastAsia" w:asciiTheme="majorEastAsia" w:hAnsiTheme="majorEastAsia" w:eastAsiaTheme="majorEastAsia"/>
          <w:sz w:val="30"/>
          <w:szCs w:val="30"/>
        </w:rPr>
        <w:t>资质文件</w:t>
      </w:r>
      <w:bookmarkEnd w:id="28"/>
      <w:bookmarkEnd w:id="31"/>
    </w:p>
    <w:p w14:paraId="54708C25">
      <w:pPr>
        <w:rPr>
          <w:rFonts w:hint="eastAsia" w:asciiTheme="majorEastAsia" w:hAnsiTheme="majorEastAsia" w:eastAsiaTheme="majorEastAsia" w:cstheme="majorEastAsia"/>
          <w:sz w:val="24"/>
          <w:szCs w:val="32"/>
          <w:lang w:val="en-US" w:eastAsia="zh-CN"/>
        </w:rPr>
      </w:pPr>
      <w:r>
        <w:rPr>
          <w:rFonts w:hint="eastAsia" w:asciiTheme="majorEastAsia" w:hAnsiTheme="majorEastAsia" w:eastAsiaTheme="majorEastAsia" w:cstheme="majorEastAsia"/>
          <w:sz w:val="24"/>
          <w:szCs w:val="32"/>
          <w:lang w:val="en-US" w:eastAsia="zh-CN"/>
        </w:rPr>
        <w:t>1.投标供应商营业执照、第二类医疗器械经营备案凭证（</w:t>
      </w:r>
      <w:r>
        <w:rPr>
          <w:rFonts w:hint="eastAsia" w:asciiTheme="majorEastAsia" w:hAnsiTheme="majorEastAsia" w:eastAsiaTheme="majorEastAsia" w:cstheme="majorEastAsia"/>
          <w:sz w:val="24"/>
          <w:szCs w:val="22"/>
          <w:lang w:val="en-US" w:eastAsia="zh-CN"/>
        </w:rPr>
        <w:t>如项目涉及</w:t>
      </w:r>
      <w:r>
        <w:rPr>
          <w:rFonts w:hint="eastAsia" w:asciiTheme="majorEastAsia" w:hAnsiTheme="majorEastAsia" w:eastAsiaTheme="majorEastAsia" w:cstheme="majorEastAsia"/>
          <w:sz w:val="24"/>
          <w:szCs w:val="32"/>
          <w:lang w:val="en-US" w:eastAsia="zh-CN"/>
        </w:rPr>
        <w:t>）、医疗器械经营许可证（</w:t>
      </w:r>
      <w:r>
        <w:rPr>
          <w:rFonts w:hint="eastAsia" w:asciiTheme="majorEastAsia" w:hAnsiTheme="majorEastAsia" w:eastAsiaTheme="majorEastAsia" w:cstheme="majorEastAsia"/>
          <w:sz w:val="24"/>
          <w:szCs w:val="22"/>
          <w:lang w:val="en-US" w:eastAsia="zh-CN"/>
        </w:rPr>
        <w:t>如项目涉及</w:t>
      </w:r>
      <w:r>
        <w:rPr>
          <w:rFonts w:hint="eastAsia" w:asciiTheme="majorEastAsia" w:hAnsiTheme="majorEastAsia" w:eastAsiaTheme="majorEastAsia" w:cstheme="majorEastAsia"/>
          <w:sz w:val="24"/>
          <w:szCs w:val="32"/>
          <w:lang w:val="en-US" w:eastAsia="zh-CN"/>
        </w:rPr>
        <w:t>）等资质证明文件</w:t>
      </w:r>
    </w:p>
    <w:p w14:paraId="07A712D0">
      <w:pPr>
        <w:rPr>
          <w:rFonts w:hint="default" w:asciiTheme="majorEastAsia" w:hAnsiTheme="majorEastAsia" w:eastAsiaTheme="majorEastAsia" w:cstheme="majorEastAsia"/>
          <w:sz w:val="24"/>
          <w:szCs w:val="32"/>
          <w:lang w:val="en-US" w:eastAsia="zh-CN"/>
        </w:rPr>
      </w:pPr>
      <w:r>
        <w:rPr>
          <w:rFonts w:hint="eastAsia" w:asciiTheme="majorEastAsia" w:hAnsiTheme="majorEastAsia" w:eastAsiaTheme="majorEastAsia" w:cstheme="majorEastAsia"/>
          <w:sz w:val="24"/>
          <w:szCs w:val="32"/>
          <w:lang w:val="en-US" w:eastAsia="zh-CN"/>
        </w:rPr>
        <w:t>2.生产企业（制造商）营业执照、医疗器械生产许可证、第一类医疗器械生产备案凭证</w:t>
      </w:r>
      <w:r>
        <w:rPr>
          <w:rFonts w:hint="eastAsia" w:asciiTheme="majorEastAsia" w:hAnsiTheme="majorEastAsia" w:eastAsiaTheme="majorEastAsia" w:cstheme="majorEastAsia"/>
          <w:sz w:val="24"/>
          <w:szCs w:val="22"/>
          <w:lang w:val="en-US" w:eastAsia="zh-CN"/>
        </w:rPr>
        <w:t>（如项目涉及）、产品注册证（如项目涉及）、</w:t>
      </w:r>
      <w:r>
        <w:rPr>
          <w:rFonts w:hint="eastAsia" w:asciiTheme="majorEastAsia" w:hAnsiTheme="majorEastAsia" w:eastAsiaTheme="majorEastAsia" w:cstheme="majorEastAsia"/>
          <w:sz w:val="24"/>
          <w:szCs w:val="32"/>
          <w:lang w:val="en-US" w:eastAsia="zh-CN"/>
        </w:rPr>
        <w:t>授权书等资质证明文件</w:t>
      </w:r>
    </w:p>
    <w:p w14:paraId="530E7193">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2CFFBC5">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7E7F175">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2A742C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6833E0FB">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0360B77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1F55108B">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1AC643E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21FE17F">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77B185E2">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77C91DC7">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4B81486">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6F8624B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E8BBDE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51B00AFA">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75365A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49C1257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E2676F7">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002A6B77">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FCECDCD">
      <w:pPr>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left="420" w:leftChars="0" w:hanging="420" w:firstLineChars="0"/>
        <w:jc w:val="center"/>
        <w:textAlignment w:val="auto"/>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（六）诚信及信用信息证明</w:t>
      </w:r>
    </w:p>
    <w:p w14:paraId="31958063">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8"/>
          <w:szCs w:val="28"/>
          <w:lang w:val="en-US" w:eastAsia="zh-CN" w:bidi="ar-SA"/>
        </w:rPr>
      </w:pPr>
      <w:r>
        <w:rPr>
          <w:rFonts w:hint="eastAsia" w:cs="宋体" w:asciiTheme="majorEastAsia" w:hAnsiTheme="majorEastAsia" w:eastAsiaTheme="majorEastAsia"/>
          <w:kern w:val="2"/>
          <w:sz w:val="28"/>
          <w:szCs w:val="28"/>
          <w:lang w:val="en-US" w:eastAsia="zh-CN" w:bidi="ar-SA"/>
        </w:rPr>
        <w:t>1.投标方需提供中国政府采购网（</w:t>
      </w:r>
      <w:r>
        <w:rPr>
          <w:rFonts w:hint="eastAsia" w:cs="宋体" w:asciiTheme="majorEastAsia" w:hAnsiTheme="majorEastAsia" w:eastAsiaTheme="majorEastAsia"/>
          <w:kern w:val="2"/>
          <w:sz w:val="28"/>
          <w:szCs w:val="28"/>
          <w:lang w:val="en-US" w:eastAsia="zh-CN" w:bidi="ar-SA"/>
        </w:rPr>
        <w:fldChar w:fldCharType="begin"/>
      </w:r>
      <w:r>
        <w:rPr>
          <w:rFonts w:hint="eastAsia" w:cs="宋体" w:asciiTheme="majorEastAsia" w:hAnsiTheme="majorEastAsia" w:eastAsiaTheme="majorEastAsia"/>
          <w:kern w:val="2"/>
          <w:sz w:val="28"/>
          <w:szCs w:val="28"/>
          <w:lang w:val="en-US" w:eastAsia="zh-CN" w:bidi="ar-SA"/>
        </w:rPr>
        <w:instrText xml:space="preserve"> HYPERLINK "http://www.ccgp.gov.cn/search/cr/" </w:instrText>
      </w:r>
      <w:r>
        <w:rPr>
          <w:rFonts w:hint="eastAsia" w:cs="宋体" w:asciiTheme="majorEastAsia" w:hAnsiTheme="majorEastAsia" w:eastAsiaTheme="majorEastAsia"/>
          <w:kern w:val="2"/>
          <w:sz w:val="28"/>
          <w:szCs w:val="28"/>
          <w:lang w:val="en-US" w:eastAsia="zh-CN" w:bidi="ar-SA"/>
        </w:rPr>
        <w:fldChar w:fldCharType="separate"/>
      </w:r>
      <w:r>
        <w:rPr>
          <w:rFonts w:hint="eastAsia" w:cs="宋体" w:asciiTheme="majorEastAsia" w:hAnsiTheme="majorEastAsia" w:eastAsiaTheme="majorEastAsia"/>
          <w:kern w:val="2"/>
          <w:sz w:val="28"/>
          <w:szCs w:val="28"/>
          <w:lang w:val="en-US" w:eastAsia="zh-CN" w:bidi="ar-SA"/>
        </w:rPr>
        <w:t>http://www.ccgp.gov.cn/search/cr/</w:t>
      </w:r>
      <w:r>
        <w:rPr>
          <w:rFonts w:hint="eastAsia" w:cs="宋体" w:asciiTheme="majorEastAsia" w:hAnsiTheme="majorEastAsia" w:eastAsiaTheme="majorEastAsia"/>
          <w:kern w:val="2"/>
          <w:sz w:val="28"/>
          <w:szCs w:val="28"/>
          <w:lang w:val="en-US" w:eastAsia="zh-CN" w:bidi="ar-SA"/>
        </w:rPr>
        <w:fldChar w:fldCharType="end"/>
      </w:r>
      <w:r>
        <w:rPr>
          <w:rFonts w:hint="eastAsia" w:cs="宋体" w:asciiTheme="majorEastAsia" w:hAnsiTheme="majorEastAsia" w:eastAsiaTheme="majorEastAsia"/>
          <w:kern w:val="2"/>
          <w:sz w:val="28"/>
          <w:szCs w:val="28"/>
          <w:lang w:val="en-US" w:eastAsia="zh-CN" w:bidi="ar-SA"/>
        </w:rPr>
        <w:t>）、深圳市政府采购监管网（</w:t>
      </w:r>
      <w:r>
        <w:rPr>
          <w:rFonts w:hint="eastAsia" w:cs="宋体" w:asciiTheme="majorEastAsia" w:hAnsiTheme="majorEastAsia" w:eastAsiaTheme="majorEastAsia"/>
          <w:kern w:val="2"/>
          <w:sz w:val="28"/>
          <w:szCs w:val="28"/>
          <w:lang w:val="en-US" w:eastAsia="zh-CN" w:bidi="ar-SA"/>
        </w:rPr>
        <w:fldChar w:fldCharType="begin"/>
      </w:r>
      <w:r>
        <w:rPr>
          <w:rFonts w:hint="eastAsia" w:cs="宋体" w:asciiTheme="majorEastAsia" w:hAnsiTheme="majorEastAsia" w:eastAsiaTheme="majorEastAsia"/>
          <w:kern w:val="2"/>
          <w:sz w:val="28"/>
          <w:szCs w:val="28"/>
          <w:lang w:val="en-US" w:eastAsia="zh-CN" w:bidi="ar-SA"/>
        </w:rPr>
        <w:instrText xml:space="preserve"> HYPERLINK "http://zfcg.sz.gov.cn/cgjg/cxda/index.html" </w:instrText>
      </w:r>
      <w:r>
        <w:rPr>
          <w:rFonts w:hint="eastAsia" w:cs="宋体" w:asciiTheme="majorEastAsia" w:hAnsiTheme="majorEastAsia" w:eastAsiaTheme="majorEastAsia"/>
          <w:kern w:val="2"/>
          <w:sz w:val="28"/>
          <w:szCs w:val="28"/>
          <w:lang w:val="en-US" w:eastAsia="zh-CN" w:bidi="ar-SA"/>
        </w:rPr>
        <w:fldChar w:fldCharType="separate"/>
      </w:r>
      <w:r>
        <w:rPr>
          <w:rFonts w:hint="eastAsia" w:cs="宋体" w:asciiTheme="majorEastAsia" w:hAnsiTheme="majorEastAsia" w:eastAsiaTheme="majorEastAsia"/>
          <w:kern w:val="2"/>
          <w:sz w:val="28"/>
          <w:szCs w:val="28"/>
          <w:lang w:val="en-US" w:eastAsia="zh-CN" w:bidi="ar-SA"/>
        </w:rPr>
        <w:t>http://zfcg.sz.gov.cn/cgjg/cxda/index.html</w:t>
      </w:r>
      <w:r>
        <w:rPr>
          <w:rFonts w:hint="eastAsia" w:cs="宋体" w:asciiTheme="majorEastAsia" w:hAnsiTheme="majorEastAsia" w:eastAsiaTheme="majorEastAsia"/>
          <w:kern w:val="2"/>
          <w:sz w:val="28"/>
          <w:szCs w:val="28"/>
          <w:lang w:val="en-US" w:eastAsia="zh-CN" w:bidi="ar-SA"/>
        </w:rPr>
        <w:fldChar w:fldCharType="end"/>
      </w:r>
      <w:r>
        <w:rPr>
          <w:rFonts w:hint="eastAsia" w:cs="宋体" w:asciiTheme="majorEastAsia" w:hAnsiTheme="majorEastAsia" w:eastAsiaTheme="majorEastAsia"/>
          <w:kern w:val="2"/>
          <w:sz w:val="28"/>
          <w:szCs w:val="28"/>
          <w:lang w:val="en-US" w:eastAsia="zh-CN" w:bidi="ar-SA"/>
        </w:rPr>
        <w:t>）的有效截图。</w:t>
      </w:r>
    </w:p>
    <w:p w14:paraId="7D5212A9">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default" w:cs="宋体" w:asciiTheme="majorEastAsia" w:hAnsiTheme="majorEastAsia" w:eastAsiaTheme="majorEastAsia"/>
          <w:kern w:val="2"/>
          <w:sz w:val="28"/>
          <w:szCs w:val="28"/>
          <w:lang w:val="en-US" w:eastAsia="zh-CN" w:bidi="ar-SA"/>
        </w:rPr>
      </w:pPr>
      <w:r>
        <w:rPr>
          <w:rFonts w:hint="eastAsia" w:cs="宋体" w:asciiTheme="majorEastAsia" w:hAnsiTheme="majorEastAsia" w:eastAsiaTheme="majorEastAsia"/>
          <w:kern w:val="2"/>
          <w:sz w:val="28"/>
          <w:szCs w:val="28"/>
          <w:lang w:val="en-US" w:eastAsia="zh-CN" w:bidi="ar-SA"/>
        </w:rPr>
        <w:t>2.投标方需提供国家企业信用信息公示系统（https://www.gsxt.gov.cn/index.html）、机关赋码和事业单位登记管理网（如有）（http://www.gjsy.gov.cn/sydwfrxxcx/）、全国社会组织信用信息公示平台（如有）（https://xxgs.chinanpo.mca.gov.cn/gsxt/newList）的有效截图</w:t>
      </w:r>
    </w:p>
    <w:p w14:paraId="1149DDCE">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default" w:cs="宋体" w:asciiTheme="majorEastAsia" w:hAnsiTheme="majorEastAsia" w:eastAsiaTheme="majorEastAsia"/>
          <w:kern w:val="2"/>
          <w:sz w:val="28"/>
          <w:szCs w:val="28"/>
          <w:lang w:val="en-US" w:eastAsia="zh-CN" w:bidi="ar-SA"/>
        </w:rPr>
      </w:pPr>
      <w:r>
        <w:rPr>
          <w:rFonts w:hint="eastAsia" w:cs="宋体" w:asciiTheme="majorEastAsia" w:hAnsiTheme="majorEastAsia" w:eastAsiaTheme="majorEastAsia"/>
          <w:kern w:val="2"/>
          <w:sz w:val="28"/>
          <w:szCs w:val="28"/>
          <w:lang w:val="en-US" w:eastAsia="zh-CN" w:bidi="ar-SA"/>
        </w:rPr>
        <w:t>3.投标方需提供股权关系证明材料:通过国家企业信用信息公示系统(https://www.gsxt.gov.cn/index.html)、或机关赋码和事业单位登记管理网（如有）(http://gjsy.gov.cn/sydwfrxxcx/)、或全国社会组织信用信息公示平台（如有）(https://xxgs.chinanpo.mca.gov.cn/gsxt/newList 等网站查询的最新股权(或管理)关系截图)</w:t>
      </w:r>
    </w:p>
    <w:p w14:paraId="2AEEF612">
      <w:pPr>
        <w:rPr>
          <w:rFonts w:asciiTheme="majorEastAsia" w:hAnsiTheme="majorEastAsia" w:eastAsiaTheme="majorEastAsia"/>
          <w:sz w:val="28"/>
          <w:szCs w:val="28"/>
        </w:rPr>
      </w:pPr>
      <w:r>
        <w:rPr>
          <w:rFonts w:hint="eastAsia" w:asciiTheme="majorEastAsia" w:hAnsiTheme="majorEastAsia" w:eastAsiaTheme="majorEastAsia"/>
          <w:sz w:val="28"/>
          <w:szCs w:val="28"/>
        </w:rPr>
        <w:br w:type="page"/>
      </w:r>
    </w:p>
    <w:p w14:paraId="7CC4A323">
      <w:pPr>
        <w:pStyle w:val="3"/>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rPr>
      </w:pPr>
      <w:bookmarkStart w:id="32" w:name="_Toc2255"/>
      <w:bookmarkStart w:id="33" w:name="_Toc12322"/>
      <w:r>
        <w:rPr>
          <w:rFonts w:hint="eastAsia" w:cs="宋体" w:asciiTheme="majorEastAsia" w:hAnsiTheme="majorEastAsia" w:eastAsiaTheme="majorEastAsia"/>
          <w:kern w:val="2"/>
          <w:sz w:val="30"/>
          <w:szCs w:val="30"/>
          <w:lang w:val="en-US" w:eastAsia="zh-CN" w:bidi="ar-SA"/>
        </w:rPr>
        <w:t>（七）</w:t>
      </w:r>
      <w:r>
        <w:rPr>
          <w:rFonts w:hint="eastAsia" w:asciiTheme="majorEastAsia" w:hAnsiTheme="majorEastAsia" w:eastAsiaTheme="majorEastAsia"/>
          <w:sz w:val="30"/>
          <w:szCs w:val="30"/>
        </w:rPr>
        <w:t>供应商基本情况表</w:t>
      </w:r>
      <w:bookmarkEnd w:id="32"/>
      <w:bookmarkEnd w:id="33"/>
    </w:p>
    <w:p w14:paraId="16EF2219">
      <w:pPr>
        <w:bidi w:val="0"/>
        <w:rPr>
          <w:rFonts w:hint="default" w:eastAsia="宋体"/>
          <w:u w:val="single"/>
          <w:lang w:val="en-US" w:eastAsia="zh-CN"/>
        </w:rPr>
      </w:pPr>
      <w:r>
        <w:rPr>
          <w:rFonts w:hint="eastAsia"/>
          <w:lang w:val="en-US" w:eastAsia="zh-CN"/>
        </w:rPr>
        <w:t>填表单位：</w:t>
      </w:r>
      <w:r>
        <w:rPr>
          <w:rFonts w:hint="eastAsia"/>
          <w:u w:val="single"/>
          <w:lang w:val="en-US" w:eastAsia="zh-CN"/>
        </w:rPr>
        <w:t xml:space="preserve">           </w:t>
      </w:r>
      <w:r>
        <w:rPr>
          <w:rFonts w:hint="eastAsia"/>
          <w:u w:val="none"/>
          <w:lang w:val="en-US" w:eastAsia="zh-CN"/>
        </w:rPr>
        <w:t xml:space="preserve"> （加盖单位公章）                       填表日期：      年  月  日</w:t>
      </w:r>
    </w:p>
    <w:tbl>
      <w:tblPr>
        <w:tblStyle w:val="19"/>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2"/>
        <w:gridCol w:w="1957"/>
        <w:gridCol w:w="1429"/>
        <w:gridCol w:w="1583"/>
        <w:gridCol w:w="1583"/>
        <w:gridCol w:w="1583"/>
      </w:tblGrid>
      <w:tr w14:paraId="53CB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2" w:type="dxa"/>
            <w:vAlign w:val="center"/>
          </w:tcPr>
          <w:p w14:paraId="0E9E01A3">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采购人</w:t>
            </w:r>
          </w:p>
        </w:tc>
        <w:tc>
          <w:tcPr>
            <w:tcW w:w="3386" w:type="dxa"/>
            <w:gridSpan w:val="2"/>
            <w:vAlign w:val="center"/>
          </w:tcPr>
          <w:p w14:paraId="64471A8B">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3166" w:type="dxa"/>
            <w:gridSpan w:val="2"/>
            <w:vAlign w:val="center"/>
          </w:tcPr>
          <w:p w14:paraId="45A0A5D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项目名称</w:t>
            </w:r>
          </w:p>
        </w:tc>
        <w:tc>
          <w:tcPr>
            <w:tcW w:w="1583" w:type="dxa"/>
            <w:vAlign w:val="center"/>
          </w:tcPr>
          <w:p w14:paraId="7560148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717A6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362" w:type="dxa"/>
            <w:vAlign w:val="center"/>
          </w:tcPr>
          <w:p w14:paraId="45EC77DF">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投标（响应）供应商</w:t>
            </w:r>
          </w:p>
        </w:tc>
        <w:tc>
          <w:tcPr>
            <w:tcW w:w="3386" w:type="dxa"/>
            <w:gridSpan w:val="2"/>
            <w:vAlign w:val="center"/>
          </w:tcPr>
          <w:p w14:paraId="1AF41A8D">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3166" w:type="dxa"/>
            <w:gridSpan w:val="2"/>
            <w:vAlign w:val="center"/>
          </w:tcPr>
          <w:p w14:paraId="1B42BE4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供应商统一社会信用代码</w:t>
            </w:r>
          </w:p>
        </w:tc>
        <w:tc>
          <w:tcPr>
            <w:tcW w:w="1583" w:type="dxa"/>
            <w:vAlign w:val="center"/>
          </w:tcPr>
          <w:p w14:paraId="604DACCA">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3DFFE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497" w:type="dxa"/>
            <w:gridSpan w:val="6"/>
            <w:vAlign w:val="center"/>
          </w:tcPr>
          <w:p w14:paraId="30E823A6">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投标（响应）供应商相关人员情况</w:t>
            </w:r>
          </w:p>
        </w:tc>
      </w:tr>
      <w:tr w14:paraId="463C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373F25C3">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1957" w:type="dxa"/>
            <w:vAlign w:val="center"/>
          </w:tcPr>
          <w:p w14:paraId="346A53CE">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职务</w:t>
            </w:r>
          </w:p>
        </w:tc>
        <w:tc>
          <w:tcPr>
            <w:tcW w:w="1429" w:type="dxa"/>
            <w:vAlign w:val="center"/>
          </w:tcPr>
          <w:p w14:paraId="7C4C48BB">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姓名</w:t>
            </w:r>
          </w:p>
        </w:tc>
        <w:tc>
          <w:tcPr>
            <w:tcW w:w="1583" w:type="dxa"/>
            <w:vAlign w:val="center"/>
          </w:tcPr>
          <w:p w14:paraId="39702C57">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身份证号码</w:t>
            </w:r>
          </w:p>
        </w:tc>
        <w:tc>
          <w:tcPr>
            <w:tcW w:w="1583" w:type="dxa"/>
            <w:vAlign w:val="center"/>
          </w:tcPr>
          <w:p w14:paraId="3CAF341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劳动合同</w:t>
            </w:r>
          </w:p>
          <w:p w14:paraId="5B3B2D2E">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关系单位</w:t>
            </w:r>
          </w:p>
        </w:tc>
        <w:tc>
          <w:tcPr>
            <w:tcW w:w="1583" w:type="dxa"/>
            <w:vAlign w:val="center"/>
          </w:tcPr>
          <w:p w14:paraId="3629417E">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缴纳社会</w:t>
            </w:r>
          </w:p>
          <w:p w14:paraId="6DC40D51">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保险单位</w:t>
            </w:r>
          </w:p>
        </w:tc>
      </w:tr>
      <w:tr w14:paraId="32176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362" w:type="dxa"/>
            <w:vAlign w:val="center"/>
          </w:tcPr>
          <w:p w14:paraId="5D405B29">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957" w:type="dxa"/>
            <w:vAlign w:val="center"/>
          </w:tcPr>
          <w:p w14:paraId="2A71D68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法定代表人/单位负责人/主要经营负责人</w:t>
            </w:r>
          </w:p>
        </w:tc>
        <w:tc>
          <w:tcPr>
            <w:tcW w:w="1429" w:type="dxa"/>
            <w:vAlign w:val="center"/>
          </w:tcPr>
          <w:p w14:paraId="6E7A5BB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193FE523">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483A26E6">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5FD7B42">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022A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598D9931">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1957" w:type="dxa"/>
            <w:vAlign w:val="center"/>
          </w:tcPr>
          <w:p w14:paraId="7997FEF1">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项目投标授权代表人</w:t>
            </w:r>
          </w:p>
        </w:tc>
        <w:tc>
          <w:tcPr>
            <w:tcW w:w="1429" w:type="dxa"/>
            <w:vAlign w:val="center"/>
          </w:tcPr>
          <w:p w14:paraId="767793D4">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9F19B57">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2F47493C">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D911DD1">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4BE6B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18ED7805">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1957" w:type="dxa"/>
            <w:vAlign w:val="center"/>
          </w:tcPr>
          <w:p w14:paraId="593D6D8D">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项目负责人</w:t>
            </w:r>
          </w:p>
        </w:tc>
        <w:tc>
          <w:tcPr>
            <w:tcW w:w="1429" w:type="dxa"/>
            <w:vAlign w:val="center"/>
          </w:tcPr>
          <w:p w14:paraId="007C1172">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C0051F4">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148729EF">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9FE0359">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41018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2" w:type="dxa"/>
            <w:vAlign w:val="center"/>
          </w:tcPr>
          <w:p w14:paraId="7732C98C">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1957" w:type="dxa"/>
            <w:vAlign w:val="center"/>
          </w:tcPr>
          <w:p w14:paraId="223622D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主要技术人员</w:t>
            </w:r>
          </w:p>
        </w:tc>
        <w:tc>
          <w:tcPr>
            <w:tcW w:w="1429" w:type="dxa"/>
            <w:vAlign w:val="center"/>
          </w:tcPr>
          <w:p w14:paraId="17DEDBF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7D102E7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75A708A7">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450CDBC5">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2C184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77676A1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w:t>
            </w:r>
          </w:p>
        </w:tc>
        <w:tc>
          <w:tcPr>
            <w:tcW w:w="1957" w:type="dxa"/>
            <w:vAlign w:val="center"/>
          </w:tcPr>
          <w:p w14:paraId="5C3EEB06">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投标文件编制人员</w:t>
            </w:r>
          </w:p>
        </w:tc>
        <w:tc>
          <w:tcPr>
            <w:tcW w:w="1429" w:type="dxa"/>
            <w:vAlign w:val="center"/>
          </w:tcPr>
          <w:p w14:paraId="7C3B831F">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39CE7BCD">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B62990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4BC94FC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4357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69A32B79">
            <w:pPr>
              <w:keepNext w:val="0"/>
              <w:keepLines w:val="0"/>
              <w:suppressLineNumbers w:val="0"/>
              <w:bidi w:val="0"/>
              <w:spacing w:before="0" w:beforeAutospacing="0" w:after="0" w:afterAutospacing="0" w:line="360" w:lineRule="auto"/>
              <w:ind w:left="0" w:right="0"/>
              <w:jc w:val="left"/>
              <w:rPr>
                <w:rFonts w:hint="eastAsia" w:ascii="宋体" w:hAnsi="宋体" w:eastAsia="宋体" w:cs="宋体"/>
                <w:sz w:val="21"/>
                <w:szCs w:val="21"/>
                <w:vertAlign w:val="baseline"/>
              </w:rPr>
            </w:pPr>
            <w:r>
              <w:rPr>
                <w:rFonts w:hint="eastAsia" w:ascii="宋体" w:hAnsi="宋体" w:eastAsia="宋体" w:cs="宋体"/>
                <w:b/>
                <w:bCs/>
                <w:sz w:val="21"/>
                <w:szCs w:val="21"/>
                <w:vertAlign w:val="baseline"/>
              </w:rPr>
              <w:t>说明：同一职务有多人担任（如主要技术人员），应分行填写。</w:t>
            </w:r>
          </w:p>
        </w:tc>
      </w:tr>
      <w:tr w14:paraId="26AC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6746E5D2">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b/>
                <w:bCs/>
                <w:sz w:val="21"/>
                <w:szCs w:val="21"/>
                <w:vertAlign w:val="baseline"/>
              </w:rPr>
              <w:t>投标（响应）供应商关联关系情况</w:t>
            </w:r>
          </w:p>
        </w:tc>
      </w:tr>
      <w:tr w14:paraId="4A44C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75341A74">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3386" w:type="dxa"/>
            <w:gridSpan w:val="2"/>
            <w:vAlign w:val="center"/>
          </w:tcPr>
          <w:p w14:paraId="56B9B2CF">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关联关系类型</w:t>
            </w:r>
          </w:p>
        </w:tc>
        <w:tc>
          <w:tcPr>
            <w:tcW w:w="1583" w:type="dxa"/>
            <w:vAlign w:val="center"/>
          </w:tcPr>
          <w:p w14:paraId="46A24EFC">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关联主体名称</w:t>
            </w:r>
          </w:p>
        </w:tc>
        <w:tc>
          <w:tcPr>
            <w:tcW w:w="3166" w:type="dxa"/>
            <w:gridSpan w:val="2"/>
            <w:vAlign w:val="center"/>
          </w:tcPr>
          <w:p w14:paraId="5E2022A6">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备注</w:t>
            </w:r>
          </w:p>
        </w:tc>
      </w:tr>
      <w:tr w14:paraId="7573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600701E1">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3386" w:type="dxa"/>
            <w:gridSpan w:val="2"/>
            <w:vAlign w:val="center"/>
          </w:tcPr>
          <w:p w14:paraId="566EF645">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控股股东</w:t>
            </w:r>
          </w:p>
        </w:tc>
        <w:tc>
          <w:tcPr>
            <w:tcW w:w="1583" w:type="dxa"/>
            <w:vAlign w:val="center"/>
          </w:tcPr>
          <w:p w14:paraId="6992A4CF">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3166" w:type="dxa"/>
            <w:gridSpan w:val="2"/>
            <w:vAlign w:val="center"/>
          </w:tcPr>
          <w:p w14:paraId="6B2E6F3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指出资额（或持有股份）占投标（响应）供应商资 本总额（或股本总额）50%以上的股东，以及出资额 （或持有股份）的比例虽然不足 50%，但依其出资  额（或持有股份）所享有的表决权已足以对投标（响 应）供应商股东会（或股东大会）的决议产生重要 影响的股东。</w:t>
            </w:r>
          </w:p>
        </w:tc>
      </w:tr>
      <w:tr w14:paraId="2A445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0304A5E9">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3386" w:type="dxa"/>
            <w:gridSpan w:val="2"/>
            <w:vAlign w:val="center"/>
          </w:tcPr>
          <w:p w14:paraId="4A83AFC2">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管理关系</w:t>
            </w:r>
          </w:p>
        </w:tc>
        <w:tc>
          <w:tcPr>
            <w:tcW w:w="1583" w:type="dxa"/>
            <w:vAlign w:val="center"/>
          </w:tcPr>
          <w:p w14:paraId="50071E4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3166" w:type="dxa"/>
            <w:gridSpan w:val="2"/>
            <w:vAlign w:val="center"/>
          </w:tcPr>
          <w:p w14:paraId="2A7418A5">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cs="方正仿宋_GBK" w:asciiTheme="minorEastAsia" w:hAnsiTheme="minorEastAsia" w:eastAsiaTheme="minorEastAsia"/>
                <w:szCs w:val="21"/>
              </w:rPr>
              <w:t>指对投标（响应）供应商不具有出资持股关系，但对其存在管理关系的主体。</w:t>
            </w:r>
          </w:p>
        </w:tc>
      </w:tr>
      <w:tr w14:paraId="0F6F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9497" w:type="dxa"/>
            <w:gridSpan w:val="6"/>
            <w:vAlign w:val="center"/>
          </w:tcPr>
          <w:p w14:paraId="257A4A10">
            <w:pPr>
              <w:keepNext w:val="0"/>
              <w:keepLines w:val="0"/>
              <w:suppressLineNumbers w:val="0"/>
              <w:bidi w:val="0"/>
              <w:spacing w:before="0" w:beforeAutospacing="0" w:after="0" w:afterAutospacing="0" w:line="360" w:lineRule="auto"/>
              <w:ind w:left="0" w:right="0"/>
              <w:jc w:val="left"/>
              <w:rPr>
                <w:rFonts w:hint="eastAsia" w:ascii="宋体" w:hAnsi="宋体" w:eastAsia="宋体" w:cs="宋体"/>
                <w:sz w:val="21"/>
                <w:szCs w:val="21"/>
                <w:vertAlign w:val="baseline"/>
              </w:rPr>
            </w:pPr>
            <w:r>
              <w:rPr>
                <w:rFonts w:hint="eastAsia" w:ascii="宋体" w:hAnsi="宋体" w:eastAsia="宋体" w:cs="宋体"/>
                <w:b/>
                <w:bCs/>
                <w:sz w:val="21"/>
                <w:szCs w:val="21"/>
                <w:vertAlign w:val="baseline"/>
              </w:rPr>
              <w:t>说明：同一关联关系类型有多个主体的，应分行填写。</w:t>
            </w:r>
          </w:p>
        </w:tc>
      </w:tr>
    </w:tbl>
    <w:p w14:paraId="6AA7347A">
      <w:pPr>
        <w:bidi w:val="0"/>
        <w:rPr>
          <w:rFonts w:hint="eastAsia"/>
        </w:rPr>
      </w:pPr>
    </w:p>
    <w:p w14:paraId="66A8E52C">
      <w:pPr>
        <w:rPr>
          <w:rFonts w:hint="eastAsia" w:ascii="宋体" w:hAnsi="宋体" w:eastAsia="宋体" w:cs="宋体"/>
          <w:sz w:val="30"/>
          <w:szCs w:val="30"/>
        </w:rPr>
      </w:pPr>
      <w:r>
        <w:rPr>
          <w:rFonts w:hint="eastAsia" w:ascii="宋体" w:hAnsi="宋体" w:eastAsia="宋体" w:cs="宋体"/>
          <w:sz w:val="30"/>
          <w:szCs w:val="30"/>
        </w:rPr>
        <w:br w:type="page"/>
      </w:r>
    </w:p>
    <w:p w14:paraId="76C3BE37">
      <w:pPr>
        <w:pStyle w:val="3"/>
        <w:numPr>
          <w:ilvl w:val="0"/>
          <w:numId w:val="0"/>
        </w:numPr>
        <w:spacing w:line="240" w:lineRule="auto"/>
        <w:ind w:left="420" w:leftChars="0" w:hanging="420" w:firstLineChars="0"/>
        <w:jc w:val="center"/>
        <w:outlineLvl w:val="0"/>
        <w:rPr>
          <w:rFonts w:asciiTheme="majorEastAsia" w:hAnsiTheme="majorEastAsia" w:eastAsiaTheme="majorEastAsia"/>
          <w:color w:val="auto"/>
          <w:sz w:val="30"/>
          <w:szCs w:val="30"/>
        </w:rPr>
      </w:pPr>
      <w:bookmarkStart w:id="34" w:name="_Toc30875"/>
      <w:bookmarkStart w:id="35" w:name="_Toc4049"/>
      <w:bookmarkStart w:id="36" w:name="_Toc2074"/>
      <w:r>
        <w:rPr>
          <w:rFonts w:hint="eastAsia" w:cs="宋体" w:asciiTheme="majorEastAsia" w:hAnsiTheme="majorEastAsia" w:eastAsiaTheme="majorEastAsia"/>
          <w:color w:val="auto"/>
          <w:kern w:val="2"/>
          <w:sz w:val="30"/>
          <w:szCs w:val="30"/>
          <w:lang w:val="en-US" w:eastAsia="zh-CN" w:bidi="ar-SA"/>
        </w:rPr>
        <w:t>（八）</w:t>
      </w:r>
      <w:r>
        <w:rPr>
          <w:rFonts w:hint="eastAsia" w:asciiTheme="majorEastAsia" w:hAnsiTheme="majorEastAsia" w:eastAsiaTheme="majorEastAsia"/>
          <w:sz w:val="30"/>
          <w:szCs w:val="30"/>
        </w:rPr>
        <w:t>符合政府采</w:t>
      </w:r>
      <w:r>
        <w:rPr>
          <w:rFonts w:hint="eastAsia" w:asciiTheme="majorEastAsia" w:hAnsiTheme="majorEastAsia" w:eastAsiaTheme="majorEastAsia"/>
          <w:color w:val="auto"/>
          <w:sz w:val="30"/>
          <w:szCs w:val="30"/>
        </w:rPr>
        <w:t>购优惠政策的证明材料</w:t>
      </w:r>
      <w:bookmarkEnd w:id="34"/>
      <w:bookmarkEnd w:id="35"/>
      <w:bookmarkEnd w:id="36"/>
    </w:p>
    <w:p w14:paraId="5C981CD0">
      <w:pPr>
        <w:spacing w:line="360" w:lineRule="exact"/>
        <w:rPr>
          <w:rFonts w:hint="eastAsia"/>
          <w:b/>
          <w:color w:val="auto"/>
          <w:sz w:val="24"/>
        </w:rPr>
      </w:pPr>
      <w:r>
        <w:rPr>
          <w:rFonts w:hint="eastAsia" w:ascii="黑体" w:hAnsi="宋体" w:eastAsia="黑体"/>
          <w:bCs/>
          <w:color w:val="auto"/>
          <w:szCs w:val="32"/>
        </w:rPr>
        <w:t>备注：该部分内容由供应商根据自身情况提供相关内容，不符合要求的供应商可以不提供。</w:t>
      </w:r>
    </w:p>
    <w:p w14:paraId="4B1D9CBC">
      <w:pPr>
        <w:pStyle w:val="33"/>
        <w:spacing w:before="120" w:after="120" w:line="276" w:lineRule="auto"/>
        <w:ind w:firstLine="482"/>
        <w:rPr>
          <w:rFonts w:hint="eastAsia" w:ascii="宋体" w:hAnsi="宋体" w:cs="宋体" w:eastAsiaTheme="minorEastAsia"/>
          <w:bCs/>
          <w:color w:val="auto"/>
          <w:kern w:val="0"/>
          <w:sz w:val="24"/>
          <w:szCs w:val="24"/>
          <w:highlight w:val="none"/>
          <w:lang w:eastAsia="zh-CN"/>
        </w:rPr>
      </w:pPr>
      <w:r>
        <w:rPr>
          <w:rFonts w:hint="eastAsia"/>
          <w:b/>
          <w:color w:val="auto"/>
          <w:sz w:val="24"/>
        </w:rPr>
        <w:t>填写指引：</w:t>
      </w:r>
      <w:r>
        <w:rPr>
          <w:rFonts w:hint="eastAsia" w:ascii="Times New Roman" w:hAnsi="Times New Roman" w:cs="Times New Roman"/>
          <w:color w:val="FF0000"/>
          <w:highlight w:val="yellow"/>
          <w:lang w:eastAsia="zh-CN"/>
        </w:rPr>
        <w:t>（</w:t>
      </w:r>
      <w:r>
        <w:rPr>
          <w:rFonts w:hint="eastAsia" w:ascii="Times New Roman" w:hAnsi="Times New Roman" w:cs="Times New Roman"/>
          <w:color w:val="FF0000"/>
          <w:highlight w:val="yellow"/>
        </w:rPr>
        <w:t>小微企业报价优惠：10 %</w:t>
      </w:r>
      <w:r>
        <w:rPr>
          <w:rFonts w:hint="eastAsia" w:ascii="Times New Roman" w:hAnsi="Times New Roman" w:cs="Times New Roman"/>
          <w:color w:val="FF0000"/>
          <w:highlight w:val="yellow"/>
          <w:lang w:eastAsia="zh-CN"/>
        </w:rPr>
        <w:t>，</w:t>
      </w:r>
      <w:r>
        <w:rPr>
          <w:rFonts w:hint="eastAsia" w:ascii="Times New Roman" w:hAnsi="Times New Roman" w:cs="Times New Roman"/>
          <w:color w:val="FF0000"/>
          <w:highlight w:val="yellow"/>
        </w:rPr>
        <w:t>采购标的对应的中小企业划分标准所属行业：</w:t>
      </w:r>
      <w:r>
        <w:rPr>
          <w:rFonts w:hint="eastAsia" w:ascii="Times New Roman" w:hAnsi="Times New Roman" w:cs="Times New Roman"/>
          <w:color w:val="FF0000"/>
          <w:highlight w:val="yellow"/>
          <w:lang w:val="en-US" w:eastAsia="zh-CN"/>
        </w:rPr>
        <w:t>工</w:t>
      </w:r>
      <w:r>
        <w:rPr>
          <w:rFonts w:hint="eastAsia" w:ascii="Times New Roman" w:hAnsi="Times New Roman" w:cs="Times New Roman"/>
          <w:color w:val="FF0000"/>
          <w:highlight w:val="yellow"/>
        </w:rPr>
        <w:t>业</w:t>
      </w:r>
      <w:r>
        <w:rPr>
          <w:rFonts w:hint="eastAsia" w:ascii="Times New Roman" w:hAnsi="Times New Roman" w:cs="Times New Roman"/>
          <w:color w:val="FF0000"/>
          <w:highlight w:val="yellow"/>
          <w:lang w:eastAsia="zh-CN"/>
        </w:rPr>
        <w:t>）</w:t>
      </w:r>
    </w:p>
    <w:p w14:paraId="7DBF2140">
      <w:pPr>
        <w:spacing w:after="0" w:afterLines="0" w:line="360" w:lineRule="exact"/>
        <w:ind w:right="420" w:rightChars="200" w:firstLine="420" w:firstLineChars="200"/>
        <w:outlineLvl w:val="9"/>
        <w:rPr>
          <w:rFonts w:hint="eastAsia"/>
          <w:color w:val="auto"/>
        </w:rPr>
      </w:pPr>
      <w:r>
        <w:rPr>
          <w:rFonts w:hint="eastAsia"/>
          <w:color w:val="auto"/>
        </w:rPr>
        <w:t>1、该部分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14:paraId="75617E08">
      <w:pPr>
        <w:ind w:right="420" w:rightChars="200" w:firstLine="420" w:firstLineChars="200"/>
        <w:outlineLvl w:val="9"/>
        <w:rPr>
          <w:rFonts w:hint="eastAsia"/>
          <w:color w:val="auto"/>
        </w:rPr>
      </w:pPr>
      <w:r>
        <w:rPr>
          <w:rFonts w:hint="eastAsia"/>
          <w:color w:val="auto"/>
        </w:rPr>
        <w:t>2、该部分内容填写需要参考的相关文件：</w:t>
      </w:r>
    </w:p>
    <w:p w14:paraId="64954CAC">
      <w:pPr>
        <w:ind w:right="420" w:rightChars="20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(1)财政部《政府采购促进中小企业发展管理办法》（财库〔2020〕46号）；</w:t>
      </w:r>
    </w:p>
    <w:p w14:paraId="6707DBC9">
      <w:pPr>
        <w:ind w:right="420" w:rightChars="20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(2)《工业和信息化部、国家统计局、国家发展和改革委员会、财政部关于印发中小企业划型标准规定的通知》（工信部联企业〔2011〕300 号，以下简称300号文）</w:t>
      </w:r>
      <w:r>
        <w:rPr>
          <w:rFonts w:hint="eastAsia" w:ascii="宋体" w:hAnsi="宋体" w:eastAsia="宋体" w:cs="宋体"/>
          <w:color w:val="auto"/>
          <w:sz w:val="21"/>
          <w:szCs w:val="21"/>
          <w:lang w:eastAsia="zh-CN"/>
        </w:rPr>
        <w:t>；</w:t>
      </w:r>
    </w:p>
    <w:p w14:paraId="694DC4B5">
      <w:pPr>
        <w:ind w:right="420" w:rightChars="20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(3)《统计上大中小微型企业划分办法(2017)》（国统字〔2017〕213 号）</w:t>
      </w:r>
      <w:r>
        <w:rPr>
          <w:rFonts w:hint="eastAsia" w:ascii="宋体" w:hAnsi="宋体" w:eastAsia="宋体" w:cs="宋体"/>
          <w:color w:val="auto"/>
          <w:sz w:val="21"/>
          <w:szCs w:val="21"/>
          <w:lang w:eastAsia="zh-CN"/>
        </w:rPr>
        <w:t>；</w:t>
      </w:r>
    </w:p>
    <w:p w14:paraId="2989B0D2">
      <w:pPr>
        <w:ind w:right="420" w:rightChars="20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(4)《关于促进残疾人就业政府采购政策的通知》（财库〔2017〕141号）</w:t>
      </w:r>
      <w:r>
        <w:rPr>
          <w:rFonts w:hint="eastAsia" w:ascii="宋体" w:hAnsi="宋体" w:eastAsia="宋体" w:cs="宋体"/>
          <w:color w:val="auto"/>
          <w:sz w:val="21"/>
          <w:szCs w:val="21"/>
          <w:lang w:eastAsia="zh-CN"/>
        </w:rPr>
        <w:t>；</w:t>
      </w:r>
    </w:p>
    <w:p w14:paraId="3C13DDC9">
      <w:pPr>
        <w:ind w:right="420" w:rightChars="20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(5)《关于政府采购支持监狱企业发展有关问题的通知》（财库〔2014〕68号）</w:t>
      </w:r>
      <w:r>
        <w:rPr>
          <w:rFonts w:hint="eastAsia" w:ascii="宋体" w:hAnsi="宋体" w:eastAsia="宋体" w:cs="宋体"/>
          <w:color w:val="auto"/>
          <w:sz w:val="21"/>
          <w:szCs w:val="21"/>
          <w:lang w:eastAsia="zh-CN"/>
        </w:rPr>
        <w:t>。</w:t>
      </w:r>
    </w:p>
    <w:p w14:paraId="66F6DBBB">
      <w:pPr>
        <w:spacing w:after="0" w:afterLines="0" w:line="360" w:lineRule="exact"/>
        <w:ind w:right="420" w:rightChars="200" w:firstLine="420" w:firstLineChars="200"/>
        <w:outlineLvl w:val="9"/>
        <w:rPr>
          <w:rFonts w:hint="eastAsia"/>
          <w:color w:val="auto"/>
        </w:rPr>
      </w:pPr>
      <w:r>
        <w:rPr>
          <w:rFonts w:hint="eastAsia"/>
          <w:color w:val="auto"/>
        </w:rPr>
        <w:t>3、请依照提供的格式和内容填写声明函，不要随意变更格式；满足多项优惠政策的投标人，不重复享受多项价格扣除政策。</w:t>
      </w:r>
    </w:p>
    <w:p w14:paraId="100CD60A">
      <w:pPr>
        <w:spacing w:after="0" w:afterLines="0" w:line="360" w:lineRule="exact"/>
        <w:ind w:right="420" w:rightChars="200" w:firstLine="420" w:firstLineChars="200"/>
        <w:outlineLvl w:val="9"/>
        <w:rPr>
          <w:rFonts w:hint="eastAsia"/>
          <w:color w:val="auto"/>
        </w:rPr>
      </w:pPr>
      <w:r>
        <w:rPr>
          <w:rFonts w:hint="eastAsia"/>
          <w:color w:val="auto"/>
        </w:rPr>
        <w:t>4、声明函具体填写要求：</w:t>
      </w:r>
    </w:p>
    <w:p w14:paraId="5AB7E822">
      <w:pPr>
        <w:spacing w:after="0" w:afterLines="0" w:line="360" w:lineRule="exact"/>
        <w:ind w:right="420" w:rightChars="200" w:firstLine="420" w:firstLineChars="200"/>
        <w:outlineLvl w:val="9"/>
        <w:rPr>
          <w:rFonts w:hint="eastAsia"/>
          <w:color w:val="auto"/>
        </w:rPr>
      </w:pPr>
      <w:r>
        <w:rPr>
          <w:rFonts w:hint="eastAsia"/>
          <w:color w:val="auto"/>
        </w:rPr>
        <w:t>（1）声明是中小企业须填写《中小企业声明函》的以下内容：</w:t>
      </w:r>
    </w:p>
    <w:p w14:paraId="7741FA94">
      <w:pPr>
        <w:spacing w:after="0" w:afterLines="0" w:line="360" w:lineRule="exact"/>
        <w:ind w:right="420" w:rightChars="200" w:firstLine="420" w:firstLineChars="200"/>
        <w:outlineLvl w:val="9"/>
        <w:rPr>
          <w:rFonts w:hint="eastAsia" w:eastAsiaTheme="minorEastAsia"/>
          <w:color w:val="auto"/>
          <w:lang w:eastAsia="zh-CN"/>
        </w:rPr>
      </w:pPr>
      <w:r>
        <w:rPr>
          <w:rFonts w:hint="eastAsia"/>
          <w:color w:val="auto"/>
        </w:rPr>
        <w:t>第一处，在</w:t>
      </w:r>
      <w:r>
        <w:rPr>
          <w:rFonts w:hint="eastAsia"/>
          <w:b/>
          <w:bCs/>
          <w:color w:val="auto"/>
        </w:rPr>
        <w:t>“单位名称”</w:t>
      </w:r>
      <w:r>
        <w:rPr>
          <w:rFonts w:hint="eastAsia"/>
          <w:color w:val="auto"/>
        </w:rPr>
        <w:t>下划线处如实填写</w:t>
      </w:r>
      <w:r>
        <w:rPr>
          <w:rFonts w:hint="eastAsia"/>
          <w:b/>
          <w:bCs/>
          <w:color w:val="auto"/>
        </w:rPr>
        <w:t>采购人名称</w:t>
      </w:r>
      <w:r>
        <w:rPr>
          <w:rFonts w:hint="eastAsia"/>
          <w:color w:val="auto"/>
        </w:rPr>
        <w:t>；</w:t>
      </w:r>
    </w:p>
    <w:p w14:paraId="40D70F64">
      <w:pPr>
        <w:spacing w:after="0" w:afterLines="0" w:line="360" w:lineRule="exact"/>
        <w:ind w:right="420" w:rightChars="200" w:firstLine="420" w:firstLineChars="200"/>
        <w:outlineLvl w:val="9"/>
        <w:rPr>
          <w:rFonts w:hint="eastAsia"/>
          <w:color w:val="auto"/>
        </w:rPr>
      </w:pPr>
      <w:r>
        <w:rPr>
          <w:rFonts w:hint="eastAsia"/>
          <w:color w:val="auto"/>
        </w:rPr>
        <w:t>第二处，在</w:t>
      </w:r>
      <w:r>
        <w:rPr>
          <w:rFonts w:hint="eastAsia"/>
          <w:b/>
          <w:bCs/>
          <w:color w:val="auto"/>
        </w:rPr>
        <w:t>“项目名称”</w:t>
      </w:r>
      <w:r>
        <w:rPr>
          <w:rFonts w:hint="eastAsia"/>
          <w:color w:val="auto"/>
        </w:rPr>
        <w:t>下划线处如实填写采购</w:t>
      </w:r>
      <w:r>
        <w:rPr>
          <w:rFonts w:hint="eastAsia"/>
          <w:b/>
          <w:bCs/>
          <w:color w:val="auto"/>
        </w:rPr>
        <w:t>项目名称（项目名称可在</w:t>
      </w:r>
      <w:r>
        <w:rPr>
          <w:rFonts w:hint="eastAsia"/>
          <w:b/>
          <w:bCs/>
          <w:color w:val="auto"/>
          <w:lang w:eastAsia="zh-CN"/>
        </w:rPr>
        <w:t>征集</w:t>
      </w:r>
      <w:r>
        <w:rPr>
          <w:rFonts w:hint="eastAsia"/>
          <w:b/>
          <w:bCs/>
          <w:color w:val="auto"/>
        </w:rPr>
        <w:t>公告处查看）</w:t>
      </w:r>
      <w:r>
        <w:rPr>
          <w:rFonts w:hint="eastAsia"/>
          <w:color w:val="auto"/>
        </w:rPr>
        <w:t>；</w:t>
      </w:r>
    </w:p>
    <w:p w14:paraId="65BD23A0">
      <w:pPr>
        <w:spacing w:after="0" w:afterLines="0" w:line="360" w:lineRule="exact"/>
        <w:ind w:right="420" w:rightChars="200" w:firstLine="420" w:firstLineChars="200"/>
        <w:outlineLvl w:val="9"/>
        <w:rPr>
          <w:rFonts w:hint="eastAsia"/>
          <w:color w:val="auto"/>
        </w:rPr>
      </w:pPr>
      <w:r>
        <w:rPr>
          <w:rFonts w:hint="eastAsia"/>
          <w:color w:val="auto"/>
        </w:rPr>
        <w:t>第三处，在</w:t>
      </w:r>
      <w:r>
        <w:rPr>
          <w:rFonts w:hint="eastAsia"/>
          <w:b/>
          <w:bCs/>
          <w:color w:val="auto"/>
        </w:rPr>
        <w:t>“标的名称”</w:t>
      </w:r>
      <w:r>
        <w:rPr>
          <w:rFonts w:hint="eastAsia"/>
          <w:color w:val="auto"/>
        </w:rPr>
        <w:t>下划线处填写所采购</w:t>
      </w:r>
      <w:r>
        <w:rPr>
          <w:rFonts w:hint="eastAsia"/>
          <w:color w:val="auto"/>
          <w:lang w:val="en-US" w:eastAsia="zh-CN"/>
        </w:rPr>
        <w:t>货物</w:t>
      </w:r>
      <w:r>
        <w:rPr>
          <w:rFonts w:hint="eastAsia"/>
          <w:color w:val="auto"/>
        </w:rPr>
        <w:t>（标的）的具体名称（</w:t>
      </w:r>
      <w:r>
        <w:rPr>
          <w:rFonts w:hint="eastAsia"/>
          <w:b/>
          <w:bCs/>
          <w:color w:val="auto"/>
        </w:rPr>
        <w:t>以</w:t>
      </w:r>
      <w:bookmarkStart w:id="37" w:name="_Hlk72259001"/>
      <w:r>
        <w:rPr>
          <w:rFonts w:hint="eastAsia"/>
          <w:b/>
          <w:bCs/>
          <w:color w:val="auto"/>
          <w:lang w:eastAsia="zh-CN"/>
        </w:rPr>
        <w:t>征集</w:t>
      </w:r>
      <w:r>
        <w:rPr>
          <w:rFonts w:hint="eastAsia"/>
          <w:b/>
          <w:bCs/>
          <w:color w:val="auto"/>
        </w:rPr>
        <w:t>文件</w:t>
      </w:r>
      <w:bookmarkEnd w:id="37"/>
      <w:r>
        <w:rPr>
          <w:rFonts w:hint="eastAsia"/>
          <w:b/>
          <w:bCs/>
          <w:color w:val="auto"/>
          <w:lang w:val="en-US" w:eastAsia="zh-CN"/>
        </w:rPr>
        <w:t>中</w:t>
      </w:r>
      <w:r>
        <w:rPr>
          <w:rFonts w:hint="eastAsia" w:ascii="Times New Roman" w:hAnsi="Times New Roman" w:eastAsia="宋体" w:cs="Times New Roman"/>
          <w:b/>
          <w:bCs/>
          <w:color w:val="auto"/>
        </w:rPr>
        <w:t>的“货物名称”一栏为准</w:t>
      </w:r>
      <w:r>
        <w:rPr>
          <w:rFonts w:hint="eastAsia" w:ascii="Times New Roman" w:hAnsi="Times New Roman" w:eastAsia="宋体" w:cs="Times New Roman"/>
          <w:color w:val="auto"/>
        </w:rPr>
        <w:t>）</w:t>
      </w:r>
      <w:r>
        <w:rPr>
          <w:rFonts w:hint="eastAsia"/>
          <w:color w:val="auto"/>
        </w:rPr>
        <w:t>；如果涉及多</w:t>
      </w:r>
      <w:r>
        <w:rPr>
          <w:rFonts w:hint="eastAsia"/>
          <w:color w:val="auto"/>
          <w:lang w:val="en-US" w:eastAsia="zh-CN"/>
        </w:rPr>
        <w:t>项货物</w:t>
      </w:r>
      <w:r>
        <w:rPr>
          <w:rFonts w:hint="eastAsia"/>
          <w:color w:val="auto"/>
        </w:rPr>
        <w:t>（标的）由同一企业制造，“标的名称”下划线处可以如实填写多</w:t>
      </w:r>
      <w:r>
        <w:rPr>
          <w:rFonts w:hint="eastAsia"/>
          <w:color w:val="auto"/>
          <w:lang w:val="en-US" w:eastAsia="zh-CN"/>
        </w:rPr>
        <w:t>项货物</w:t>
      </w:r>
      <w:r>
        <w:rPr>
          <w:rFonts w:hint="eastAsia"/>
          <w:color w:val="auto"/>
        </w:rPr>
        <w:t>；</w:t>
      </w:r>
    </w:p>
    <w:p w14:paraId="10F85C46">
      <w:pPr>
        <w:spacing w:after="0" w:afterLines="0" w:line="360" w:lineRule="exact"/>
        <w:ind w:right="420" w:rightChars="200" w:firstLine="420" w:firstLineChars="200"/>
        <w:outlineLvl w:val="9"/>
        <w:rPr>
          <w:rFonts w:hint="eastAsia"/>
          <w:color w:val="auto"/>
        </w:rPr>
      </w:pPr>
      <w:r>
        <w:rPr>
          <w:rFonts w:hint="eastAsia"/>
          <w:color w:val="auto"/>
        </w:rPr>
        <w:t>第四处，在</w:t>
      </w:r>
      <w:r>
        <w:rPr>
          <w:rFonts w:hint="eastAsia"/>
          <w:b/>
          <w:bCs/>
          <w:color w:val="auto"/>
        </w:rPr>
        <w:t>“</w:t>
      </w:r>
      <w:r>
        <w:rPr>
          <w:rFonts w:hint="eastAsia"/>
          <w:b/>
          <w:bCs/>
          <w:color w:val="auto"/>
          <w:lang w:eastAsia="zh-CN"/>
        </w:rPr>
        <w:t>征集</w:t>
      </w:r>
      <w:r>
        <w:rPr>
          <w:rFonts w:hint="eastAsia"/>
          <w:b/>
          <w:bCs/>
          <w:color w:val="auto"/>
        </w:rPr>
        <w:t>文件中明确的所属行业”</w:t>
      </w:r>
      <w:r>
        <w:rPr>
          <w:rFonts w:hint="eastAsia"/>
          <w:color w:val="auto"/>
        </w:rPr>
        <w:t>下划线处填写采购标的对应的中小企业划分标准所属行业（</w:t>
      </w:r>
      <w:r>
        <w:rPr>
          <w:rFonts w:hint="eastAsia"/>
          <w:b/>
          <w:bCs/>
          <w:color w:val="auto"/>
        </w:rPr>
        <w:t>所属行业可在</w:t>
      </w:r>
      <w:r>
        <w:rPr>
          <w:rFonts w:hint="eastAsia"/>
          <w:b/>
          <w:bCs/>
          <w:color w:val="auto"/>
          <w:lang w:eastAsia="zh-CN"/>
        </w:rPr>
        <w:t>征集</w:t>
      </w:r>
      <w:r>
        <w:rPr>
          <w:rFonts w:hint="eastAsia"/>
          <w:b/>
          <w:bCs/>
          <w:color w:val="auto"/>
        </w:rPr>
        <w:t>文件</w:t>
      </w:r>
      <w:r>
        <w:rPr>
          <w:rFonts w:hint="eastAsia"/>
          <w:b/>
          <w:bCs/>
          <w:color w:val="auto"/>
          <w:lang w:val="en-US" w:eastAsia="zh-CN"/>
        </w:rPr>
        <w:t>中</w:t>
      </w:r>
      <w:r>
        <w:rPr>
          <w:rFonts w:hint="eastAsia"/>
          <w:b/>
          <w:bCs/>
          <w:color w:val="auto"/>
        </w:rPr>
        <w:t>查看</w:t>
      </w:r>
      <w:r>
        <w:rPr>
          <w:rFonts w:hint="eastAsia"/>
          <w:color w:val="auto"/>
        </w:rPr>
        <w:t>）；</w:t>
      </w:r>
    </w:p>
    <w:p w14:paraId="117EB2AF">
      <w:pPr>
        <w:spacing w:after="0" w:afterLines="0" w:line="360" w:lineRule="exact"/>
        <w:ind w:right="420" w:rightChars="200" w:firstLine="420" w:firstLineChars="200"/>
        <w:outlineLvl w:val="9"/>
        <w:rPr>
          <w:rFonts w:hint="eastAsia"/>
          <w:color w:val="auto"/>
        </w:rPr>
      </w:pPr>
      <w:r>
        <w:rPr>
          <w:rFonts w:hint="eastAsia"/>
          <w:color w:val="auto"/>
        </w:rPr>
        <w:t>第五处，在</w:t>
      </w:r>
      <w:r>
        <w:rPr>
          <w:rFonts w:hint="eastAsia"/>
          <w:b/>
          <w:bCs/>
          <w:color w:val="auto"/>
        </w:rPr>
        <w:t>“企业名称”</w:t>
      </w:r>
      <w:r>
        <w:rPr>
          <w:rFonts w:hint="eastAsia"/>
          <w:color w:val="auto"/>
        </w:rPr>
        <w:t>下划线处如实填写</w:t>
      </w:r>
      <w:r>
        <w:rPr>
          <w:rFonts w:hint="eastAsia" w:ascii="Times New Roman" w:hAnsi="Times New Roman" w:eastAsia="宋体" w:cs="Times New Roman"/>
          <w:b/>
          <w:bCs/>
          <w:color w:val="auto"/>
          <w:kern w:val="2"/>
          <w:szCs w:val="22"/>
        </w:rPr>
        <w:t>制造商</w:t>
      </w:r>
      <w:r>
        <w:rPr>
          <w:rFonts w:hint="eastAsia"/>
          <w:b/>
          <w:bCs/>
          <w:color w:val="auto"/>
        </w:rPr>
        <w:t>名称</w:t>
      </w:r>
      <w:r>
        <w:rPr>
          <w:rFonts w:hint="eastAsia"/>
          <w:color w:val="auto"/>
        </w:rPr>
        <w:t>；在“从业人员”、“营业收入”、“资产总额”下划线处如实填写从业人员、营业收入、资产总额；在“中型企业、小型企业、微型企业”下划线处如实依照300号文填写相应的企业类型；</w:t>
      </w:r>
      <w:r>
        <w:rPr>
          <w:rFonts w:hint="eastAsia"/>
          <w:b/>
          <w:bCs/>
          <w:color w:val="auto"/>
        </w:rPr>
        <w:t>从业人员、营业收入、资产总额填报上一年度数据，无上一年度数据的新成立企业可以不填报。</w:t>
      </w:r>
      <w:r>
        <w:rPr>
          <w:rFonts w:hint="eastAsia" w:ascii="宋体" w:hAnsi="宋体" w:eastAsia="宋体" w:cs="宋体"/>
          <w:b/>
          <w:bCs/>
          <w:color w:val="auto"/>
          <w:sz w:val="21"/>
          <w:szCs w:val="21"/>
        </w:rPr>
        <w:t>《中小企业声明函》中制造商所属行业应当与</w:t>
      </w:r>
      <w:r>
        <w:rPr>
          <w:rFonts w:hint="eastAsia" w:ascii="宋体" w:hAnsi="宋体" w:eastAsia="宋体" w:cs="宋体"/>
          <w:b/>
          <w:bCs/>
          <w:color w:val="auto"/>
          <w:sz w:val="21"/>
          <w:szCs w:val="21"/>
          <w:lang w:eastAsia="zh-CN"/>
        </w:rPr>
        <w:t>征集</w:t>
      </w:r>
      <w:r>
        <w:rPr>
          <w:rFonts w:hint="eastAsia" w:ascii="宋体" w:hAnsi="宋体" w:eastAsia="宋体" w:cs="宋体"/>
          <w:b/>
          <w:bCs/>
          <w:color w:val="auto"/>
          <w:sz w:val="21"/>
          <w:szCs w:val="21"/>
        </w:rPr>
        <w:t>文件要求的行业相一致，</w:t>
      </w:r>
      <w:r>
        <w:rPr>
          <w:rFonts w:hint="eastAsia" w:ascii="宋体" w:hAnsi="宋体" w:eastAsia="宋体" w:cs="宋体"/>
          <w:color w:val="auto"/>
          <w:sz w:val="21"/>
          <w:szCs w:val="21"/>
        </w:rPr>
        <w:t>供应商如有疑问，可根据《国民经济行业分类》（GB/T 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14:paraId="653E128D">
      <w:pPr>
        <w:spacing w:after="0" w:afterLines="0" w:line="360" w:lineRule="exact"/>
        <w:ind w:right="420" w:rightChars="200" w:firstLine="420" w:firstLineChars="200"/>
        <w:outlineLvl w:val="9"/>
        <w:rPr>
          <w:rFonts w:hint="eastAsia"/>
          <w:color w:val="auto"/>
        </w:rPr>
      </w:pPr>
      <w:r>
        <w:rPr>
          <w:rFonts w:hint="eastAsia"/>
          <w:color w:val="auto"/>
        </w:rPr>
        <w:t>（2）声明是残疾人福利性单位须填写《残疾人福利性单位声明函》的相关内容（填写位置的字体已加粗），具体参照以上《中小企业声明函》填写要求执行。</w:t>
      </w:r>
    </w:p>
    <w:p w14:paraId="772E21B9">
      <w:pPr>
        <w:spacing w:after="0" w:afterLines="0" w:line="360" w:lineRule="exact"/>
        <w:ind w:right="420" w:rightChars="200" w:firstLine="420" w:firstLineChars="200"/>
        <w:outlineLvl w:val="9"/>
        <w:rPr>
          <w:rFonts w:hint="eastAsia"/>
          <w:color w:val="auto"/>
        </w:rPr>
      </w:pPr>
      <w:r>
        <w:rPr>
          <w:rFonts w:hint="eastAsia"/>
          <w:color w:val="auto"/>
        </w:rPr>
        <w:t>（3）声明是监狱企业须填写《监狱企业声明函》的相关内容（填写位置的字体已加粗），具体参照以上《中小企业声明函》填写要求执行。</w:t>
      </w:r>
    </w:p>
    <w:p w14:paraId="34F8C19F">
      <w:pPr>
        <w:snapToGrid/>
        <w:spacing w:after="0" w:afterLines="0" w:line="360" w:lineRule="exact"/>
        <w:ind w:right="420" w:rightChars="200" w:firstLine="420" w:firstLineChars="200"/>
        <w:rPr>
          <w:rFonts w:ascii="宋体" w:hAnsi="宋体"/>
          <w:color w:val="auto"/>
          <w:szCs w:val="21"/>
        </w:rPr>
      </w:pPr>
      <w:r>
        <w:rPr>
          <w:rFonts w:hint="eastAsia"/>
          <w:color w:val="auto"/>
        </w:rPr>
        <w:t>5、若本项目属于专门面向中小企业、残疾人福利性单位或监狱企业，则声明函有效性由采购人判定，如判定声明函无效的，相关供应商将作资格审查不通过处理；若本项目非专门面向中小企业、残疾人福利性单位或监狱企业，声明函的有效性由</w:t>
      </w:r>
      <w:r>
        <w:rPr>
          <w:rFonts w:hint="eastAsia"/>
          <w:color w:val="auto"/>
          <w:lang w:eastAsia="zh-CN"/>
        </w:rPr>
        <w:t>评标委员会</w:t>
      </w:r>
      <w:r>
        <w:rPr>
          <w:rFonts w:hint="eastAsia"/>
          <w:color w:val="auto"/>
        </w:rPr>
        <w:t>判定，如</w:t>
      </w:r>
      <w:r>
        <w:rPr>
          <w:rFonts w:hint="eastAsia"/>
          <w:color w:val="auto"/>
          <w:lang w:eastAsia="zh-CN"/>
        </w:rPr>
        <w:t>评标委员会</w:t>
      </w:r>
      <w:r>
        <w:rPr>
          <w:rFonts w:hint="eastAsia"/>
          <w:color w:val="auto"/>
        </w:rPr>
        <w:t>判定声明函无效，相关供应商不享受价格扣除（但不作投标无效处理）。</w:t>
      </w:r>
    </w:p>
    <w:p w14:paraId="04C31D22">
      <w:pPr>
        <w:pStyle w:val="6"/>
        <w:rPr>
          <w:color w:val="auto"/>
        </w:rPr>
      </w:pPr>
    </w:p>
    <w:p w14:paraId="04F8DE87">
      <w:pPr>
        <w:spacing w:after="60"/>
        <w:jc w:val="center"/>
        <w:outlineLvl w:val="1"/>
        <w:rPr>
          <w:b/>
          <w:color w:val="auto"/>
        </w:rPr>
      </w:pPr>
      <w:r>
        <w:rPr>
          <w:rFonts w:hint="eastAsia"/>
          <w:b/>
          <w:color w:val="auto"/>
        </w:rPr>
        <w:t>1、中小企业声明函</w:t>
      </w:r>
    </w:p>
    <w:p w14:paraId="260C3881">
      <w:pPr>
        <w:pStyle w:val="6"/>
        <w:spacing w:line="302" w:lineRule="auto"/>
        <w:ind w:right="-51" w:firstLine="412"/>
        <w:outlineLvl w:val="9"/>
        <w:rPr>
          <w:rFonts w:asciiTheme="minorEastAsia" w:hAnsiTheme="minorEastAsia"/>
          <w:color w:val="auto"/>
          <w:szCs w:val="21"/>
        </w:rPr>
      </w:pPr>
      <w:r>
        <w:rPr>
          <w:rFonts w:asciiTheme="minorEastAsia" w:hAnsiTheme="minorEastAsia"/>
          <w:color w:val="auto"/>
          <w:szCs w:val="21"/>
        </w:rPr>
        <w:t>本公司（联合体）郑重声明，根据《政府采购促进中小企业发展管理办法》（财库</w:t>
      </w:r>
      <w:r>
        <w:rPr>
          <w:rFonts w:hint="eastAsia" w:asciiTheme="minorEastAsia" w:hAnsiTheme="minorEastAsia"/>
          <w:color w:val="auto"/>
          <w:szCs w:val="21"/>
        </w:rPr>
        <w:t>﹝</w:t>
      </w:r>
      <w:r>
        <w:rPr>
          <w:rFonts w:asciiTheme="minorEastAsia" w:hAnsiTheme="minorEastAsia"/>
          <w:color w:val="auto"/>
          <w:szCs w:val="21"/>
        </w:rPr>
        <w:t>2020</w:t>
      </w:r>
      <w:r>
        <w:rPr>
          <w:rFonts w:hint="eastAsia" w:asciiTheme="minorEastAsia" w:hAnsiTheme="minorEastAsia"/>
          <w:color w:val="auto"/>
          <w:szCs w:val="21"/>
        </w:rPr>
        <w:t>﹞</w:t>
      </w:r>
      <w:r>
        <w:rPr>
          <w:rFonts w:asciiTheme="minorEastAsia" w:hAnsiTheme="minorEastAsia"/>
          <w:color w:val="auto"/>
          <w:szCs w:val="21"/>
        </w:rPr>
        <w:t>46 号）的规定，本公司（联合体）参加</w:t>
      </w:r>
      <w:r>
        <w:rPr>
          <w:rFonts w:asciiTheme="minorEastAsia" w:hAnsiTheme="minorEastAsia"/>
          <w:color w:val="auto"/>
          <w:szCs w:val="21"/>
          <w:u w:val="single"/>
        </w:rPr>
        <w:t>（单位名称）</w:t>
      </w:r>
      <w:r>
        <w:rPr>
          <w:rFonts w:asciiTheme="minorEastAsia" w:hAnsiTheme="minorEastAsia"/>
          <w:color w:val="auto"/>
          <w:szCs w:val="21"/>
        </w:rPr>
        <w:t>的</w:t>
      </w:r>
      <w:r>
        <w:rPr>
          <w:rFonts w:asciiTheme="minorEastAsia" w:hAnsiTheme="minorEastAsia"/>
          <w:color w:val="auto"/>
          <w:szCs w:val="21"/>
          <w:u w:val="single"/>
        </w:rPr>
        <w:t>（项目名称）</w:t>
      </w:r>
      <w:r>
        <w:rPr>
          <w:rFonts w:asciiTheme="minorEastAsia" w:hAnsiTheme="minorEastAsia"/>
          <w:color w:val="auto"/>
          <w:szCs w:val="21"/>
        </w:rPr>
        <w:t>采购活动，</w:t>
      </w:r>
      <w:r>
        <w:rPr>
          <w:rFonts w:hint="eastAsia" w:asciiTheme="minorEastAsia" w:hAnsiTheme="minorEastAsia"/>
          <w:color w:val="auto"/>
          <w:szCs w:val="21"/>
        </w:rPr>
        <w:t>提供的货物全部由符合政策要求的中小企业制造</w:t>
      </w:r>
      <w:r>
        <w:rPr>
          <w:rFonts w:asciiTheme="minorEastAsia" w:hAnsiTheme="minorEastAsia"/>
          <w:color w:val="auto"/>
          <w:szCs w:val="21"/>
        </w:rPr>
        <w:t>。相关企业（含联合体中的中小企业、签订分包意向协议的中小企业）的具体情况如下：</w:t>
      </w:r>
    </w:p>
    <w:p w14:paraId="2D1BF500">
      <w:pPr>
        <w:pStyle w:val="6"/>
        <w:spacing w:line="302" w:lineRule="auto"/>
        <w:ind w:right="-51" w:firstLine="412"/>
        <w:outlineLvl w:val="9"/>
        <w:rPr>
          <w:rFonts w:asciiTheme="minorEastAsia" w:hAnsiTheme="minorEastAsia"/>
          <w:color w:val="auto"/>
          <w:szCs w:val="21"/>
        </w:rPr>
      </w:pPr>
      <w:r>
        <w:rPr>
          <w:rFonts w:hint="eastAsia" w:asciiTheme="minorEastAsia" w:hAnsiTheme="minorEastAsia"/>
          <w:color w:val="auto"/>
          <w:szCs w:val="21"/>
        </w:rPr>
        <w:t xml:space="preserve">1. </w:t>
      </w:r>
      <w:r>
        <w:rPr>
          <w:rFonts w:asciiTheme="minorEastAsia" w:hAnsiTheme="minorEastAsia"/>
          <w:color w:val="auto"/>
          <w:szCs w:val="21"/>
          <w:u w:val="single"/>
        </w:rPr>
        <w:t>（标的名称）</w:t>
      </w:r>
      <w:r>
        <w:rPr>
          <w:rFonts w:asciiTheme="minorEastAsia" w:hAnsiTheme="minorEastAsia"/>
          <w:color w:val="auto"/>
          <w:szCs w:val="21"/>
        </w:rPr>
        <w:t>，属于</w:t>
      </w:r>
      <w:r>
        <w:rPr>
          <w:rFonts w:asciiTheme="minorEastAsia" w:hAnsiTheme="minorEastAsia"/>
          <w:color w:val="auto"/>
          <w:szCs w:val="21"/>
          <w:u w:val="single"/>
        </w:rPr>
        <w:t>（采购文件中明确的所属行业）</w:t>
      </w:r>
      <w:r>
        <w:rPr>
          <w:rFonts w:hint="eastAsia" w:asciiTheme="minorEastAsia" w:hAnsiTheme="minorEastAsia"/>
          <w:color w:val="auto"/>
          <w:szCs w:val="21"/>
        </w:rPr>
        <w:t>行业</w:t>
      </w:r>
      <w:r>
        <w:rPr>
          <w:rFonts w:asciiTheme="minorEastAsia" w:hAnsiTheme="minorEastAsia"/>
          <w:color w:val="auto"/>
          <w:szCs w:val="21"/>
        </w:rPr>
        <w:t>；</w:t>
      </w:r>
      <w:r>
        <w:rPr>
          <w:rFonts w:hint="eastAsia" w:asciiTheme="minorEastAsia" w:hAnsiTheme="minorEastAsia"/>
          <w:color w:val="auto"/>
          <w:szCs w:val="21"/>
        </w:rPr>
        <w:t>制造商</w:t>
      </w:r>
      <w:r>
        <w:rPr>
          <w:rFonts w:asciiTheme="minorEastAsia" w:hAnsiTheme="minorEastAsia"/>
          <w:color w:val="auto"/>
          <w:szCs w:val="21"/>
        </w:rPr>
        <w:t>为</w:t>
      </w:r>
      <w:r>
        <w:rPr>
          <w:rFonts w:asciiTheme="minorEastAsia" w:hAnsiTheme="minorEastAsia"/>
          <w:color w:val="auto"/>
          <w:szCs w:val="21"/>
          <w:u w:val="single"/>
        </w:rPr>
        <w:t>（企业名称）</w:t>
      </w:r>
      <w:r>
        <w:rPr>
          <w:rFonts w:asciiTheme="minorEastAsia" w:hAnsiTheme="minorEastAsia"/>
          <w:color w:val="auto"/>
          <w:szCs w:val="21"/>
        </w:rPr>
        <w:t>，从业人员</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asciiTheme="minorEastAsia" w:hAnsiTheme="minorEastAsia"/>
          <w:color w:val="auto"/>
          <w:szCs w:val="21"/>
        </w:rPr>
        <w:t>人，营业收入为</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hint="eastAsia" w:asciiTheme="minorEastAsia" w:hAnsiTheme="minorEastAsia"/>
          <w:color w:val="auto"/>
          <w:szCs w:val="21"/>
          <w:u w:val="single"/>
        </w:rPr>
        <w:t xml:space="preserve">  </w:t>
      </w:r>
      <w:r>
        <w:rPr>
          <w:rFonts w:asciiTheme="minorEastAsia" w:hAnsiTheme="minorEastAsia"/>
          <w:color w:val="auto"/>
          <w:szCs w:val="21"/>
        </w:rPr>
        <w:t>万元，资产总额为</w:t>
      </w:r>
      <w:r>
        <w:rPr>
          <w:rFonts w:hint="eastAsia" w:asciiTheme="minorEastAsia" w:hAnsiTheme="minorEastAsia"/>
          <w:color w:val="auto"/>
          <w:szCs w:val="21"/>
          <w:u w:val="single"/>
        </w:rPr>
        <w:t xml:space="preserve">     </w:t>
      </w:r>
      <w:r>
        <w:rPr>
          <w:rFonts w:asciiTheme="minorEastAsia" w:hAnsiTheme="minorEastAsia"/>
          <w:color w:val="auto"/>
          <w:szCs w:val="21"/>
        </w:rPr>
        <w:t>万元，属于</w:t>
      </w:r>
      <w:r>
        <w:rPr>
          <w:rFonts w:asciiTheme="minorEastAsia" w:hAnsiTheme="minorEastAsia"/>
          <w:color w:val="auto"/>
          <w:szCs w:val="21"/>
          <w:u w:val="single"/>
        </w:rPr>
        <w:t>（中型企业、小型企业、微型企业）</w:t>
      </w:r>
      <w:r>
        <w:rPr>
          <w:rFonts w:asciiTheme="minorEastAsia" w:hAnsiTheme="minorEastAsia"/>
          <w:color w:val="auto"/>
          <w:szCs w:val="21"/>
        </w:rPr>
        <w:t>；</w:t>
      </w:r>
    </w:p>
    <w:p w14:paraId="55E4E598">
      <w:pPr>
        <w:pStyle w:val="6"/>
        <w:spacing w:line="302" w:lineRule="auto"/>
        <w:ind w:right="-51" w:firstLine="412"/>
        <w:outlineLvl w:val="9"/>
        <w:rPr>
          <w:rFonts w:asciiTheme="minorEastAsia" w:hAnsiTheme="minorEastAsia"/>
          <w:color w:val="auto"/>
          <w:szCs w:val="21"/>
        </w:rPr>
      </w:pPr>
      <w:r>
        <w:rPr>
          <w:rFonts w:hint="eastAsia" w:asciiTheme="minorEastAsia" w:hAnsiTheme="minorEastAsia"/>
          <w:color w:val="auto"/>
          <w:szCs w:val="21"/>
        </w:rPr>
        <w:t xml:space="preserve">2. </w:t>
      </w:r>
      <w:r>
        <w:rPr>
          <w:rFonts w:asciiTheme="minorEastAsia" w:hAnsiTheme="minorEastAsia"/>
          <w:color w:val="auto"/>
          <w:szCs w:val="21"/>
          <w:u w:val="single"/>
        </w:rPr>
        <w:t>（标的名称）</w:t>
      </w:r>
      <w:r>
        <w:rPr>
          <w:rFonts w:asciiTheme="minorEastAsia" w:hAnsiTheme="minorEastAsia"/>
          <w:color w:val="auto"/>
          <w:szCs w:val="21"/>
        </w:rPr>
        <w:t>，属于</w:t>
      </w:r>
      <w:r>
        <w:rPr>
          <w:rFonts w:asciiTheme="minorEastAsia" w:hAnsiTheme="minorEastAsia"/>
          <w:color w:val="auto"/>
          <w:szCs w:val="21"/>
          <w:u w:val="single"/>
        </w:rPr>
        <w:t>（采购文件中明确的所属行业）</w:t>
      </w:r>
      <w:r>
        <w:rPr>
          <w:rFonts w:hint="eastAsia" w:asciiTheme="minorEastAsia" w:hAnsiTheme="minorEastAsia"/>
          <w:color w:val="auto"/>
          <w:szCs w:val="21"/>
        </w:rPr>
        <w:t>行业</w:t>
      </w:r>
      <w:r>
        <w:rPr>
          <w:rFonts w:asciiTheme="minorEastAsia" w:hAnsiTheme="minorEastAsia"/>
          <w:color w:val="auto"/>
          <w:szCs w:val="21"/>
        </w:rPr>
        <w:t>；</w:t>
      </w:r>
      <w:r>
        <w:rPr>
          <w:rFonts w:hint="eastAsia" w:asciiTheme="minorEastAsia" w:hAnsiTheme="minorEastAsia"/>
          <w:color w:val="auto"/>
          <w:szCs w:val="21"/>
        </w:rPr>
        <w:t>制造商</w:t>
      </w:r>
      <w:r>
        <w:rPr>
          <w:rFonts w:asciiTheme="minorEastAsia" w:hAnsiTheme="minorEastAsia"/>
          <w:color w:val="auto"/>
          <w:szCs w:val="21"/>
        </w:rPr>
        <w:t>为</w:t>
      </w:r>
      <w:r>
        <w:rPr>
          <w:rFonts w:asciiTheme="minorEastAsia" w:hAnsiTheme="minorEastAsia"/>
          <w:color w:val="auto"/>
          <w:szCs w:val="21"/>
          <w:u w:val="single"/>
        </w:rPr>
        <w:t>（企业名称）</w:t>
      </w:r>
      <w:r>
        <w:rPr>
          <w:rFonts w:asciiTheme="minorEastAsia" w:hAnsiTheme="minorEastAsia"/>
          <w:color w:val="auto"/>
          <w:szCs w:val="21"/>
        </w:rPr>
        <w:t>，从业人员</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asciiTheme="minorEastAsia" w:hAnsiTheme="minorEastAsia"/>
          <w:color w:val="auto"/>
          <w:szCs w:val="21"/>
        </w:rPr>
        <w:t>人，营业收入为</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hint="eastAsia" w:asciiTheme="minorEastAsia" w:hAnsiTheme="minorEastAsia"/>
          <w:color w:val="auto"/>
          <w:szCs w:val="21"/>
          <w:u w:val="single"/>
        </w:rPr>
        <w:t xml:space="preserve">  </w:t>
      </w:r>
      <w:r>
        <w:rPr>
          <w:rFonts w:asciiTheme="minorEastAsia" w:hAnsiTheme="minorEastAsia"/>
          <w:color w:val="auto"/>
          <w:szCs w:val="21"/>
        </w:rPr>
        <w:t>万元，资产总额为</w:t>
      </w:r>
      <w:r>
        <w:rPr>
          <w:rFonts w:hint="eastAsia" w:asciiTheme="minorEastAsia" w:hAnsiTheme="minorEastAsia"/>
          <w:color w:val="auto"/>
          <w:szCs w:val="21"/>
          <w:u w:val="single"/>
        </w:rPr>
        <w:t xml:space="preserve">     </w:t>
      </w:r>
      <w:r>
        <w:rPr>
          <w:rFonts w:asciiTheme="minorEastAsia" w:hAnsiTheme="minorEastAsia"/>
          <w:color w:val="auto"/>
          <w:szCs w:val="21"/>
        </w:rPr>
        <w:t>万元，属于</w:t>
      </w:r>
      <w:r>
        <w:rPr>
          <w:rFonts w:asciiTheme="minorEastAsia" w:hAnsiTheme="minorEastAsia"/>
          <w:color w:val="auto"/>
          <w:szCs w:val="21"/>
          <w:u w:val="single"/>
        </w:rPr>
        <w:t>（中型企业、小型企业、微型企业）</w:t>
      </w:r>
      <w:r>
        <w:rPr>
          <w:rFonts w:asciiTheme="minorEastAsia" w:hAnsiTheme="minorEastAsia"/>
          <w:color w:val="auto"/>
          <w:szCs w:val="21"/>
        </w:rPr>
        <w:t>；</w:t>
      </w:r>
    </w:p>
    <w:p w14:paraId="21CE4560">
      <w:pPr>
        <w:pStyle w:val="6"/>
        <w:spacing w:before="11"/>
        <w:ind w:right="-51" w:firstLine="424" w:firstLineChars="202"/>
        <w:outlineLvl w:val="9"/>
        <w:rPr>
          <w:rFonts w:asciiTheme="minorEastAsia" w:hAnsiTheme="minorEastAsia"/>
          <w:color w:val="auto"/>
          <w:szCs w:val="21"/>
        </w:rPr>
      </w:pPr>
      <w:r>
        <w:rPr>
          <w:rFonts w:asciiTheme="minorEastAsia" w:hAnsiTheme="minorEastAsia"/>
          <w:color w:val="auto"/>
          <w:szCs w:val="21"/>
        </w:rPr>
        <w:t>……</w:t>
      </w:r>
    </w:p>
    <w:p w14:paraId="0BA2A6F9">
      <w:pPr>
        <w:pStyle w:val="6"/>
        <w:spacing w:before="108" w:line="304" w:lineRule="auto"/>
        <w:ind w:right="-51" w:firstLine="408"/>
        <w:outlineLvl w:val="9"/>
        <w:rPr>
          <w:rFonts w:asciiTheme="minorEastAsia" w:hAnsiTheme="minorEastAsia"/>
          <w:color w:val="auto"/>
          <w:szCs w:val="21"/>
        </w:rPr>
      </w:pPr>
      <w:r>
        <w:rPr>
          <w:rFonts w:asciiTheme="minorEastAsia" w:hAnsiTheme="minorEastAsia"/>
          <w:color w:val="auto"/>
          <w:szCs w:val="21"/>
        </w:rPr>
        <w:t>以上企业，不属于大企业的分支机构，不存在控股股东为大企业的情形，也不存在与大企业的负责人为同一人的情形。</w:t>
      </w:r>
    </w:p>
    <w:p w14:paraId="3BE2077A">
      <w:pPr>
        <w:spacing w:line="360" w:lineRule="exact"/>
        <w:ind w:right="-51" w:firstLine="420" w:firstLineChars="200"/>
        <w:outlineLvl w:val="9"/>
        <w:rPr>
          <w:rFonts w:asciiTheme="minorEastAsia" w:hAnsiTheme="minorEastAsia"/>
          <w:color w:val="auto"/>
          <w:szCs w:val="21"/>
        </w:rPr>
      </w:pPr>
      <w:r>
        <w:rPr>
          <w:rFonts w:asciiTheme="minorEastAsia" w:hAnsiTheme="minorEastAsia"/>
          <w:color w:val="auto"/>
          <w:szCs w:val="21"/>
        </w:rPr>
        <w:t>本企业对上述声明内容的真实性负责。如有虚假，将依法承担相应责任</w:t>
      </w:r>
      <w:r>
        <w:rPr>
          <w:rFonts w:hint="eastAsia" w:asciiTheme="minorEastAsia" w:hAnsiTheme="minorEastAsia"/>
          <w:color w:val="auto"/>
          <w:szCs w:val="21"/>
        </w:rPr>
        <w:t>。</w:t>
      </w:r>
    </w:p>
    <w:p w14:paraId="7A5FADDD">
      <w:pPr>
        <w:spacing w:line="360" w:lineRule="exact"/>
        <w:ind w:right="-51" w:firstLine="420" w:firstLineChars="200"/>
        <w:outlineLvl w:val="9"/>
        <w:rPr>
          <w:rFonts w:asciiTheme="minorEastAsia" w:hAnsiTheme="minorEastAsia"/>
          <w:color w:val="auto"/>
          <w:szCs w:val="21"/>
        </w:rPr>
      </w:pPr>
      <w:r>
        <w:rPr>
          <w:rFonts w:hint="eastAsia" w:asciiTheme="minorEastAsia" w:hAnsiTheme="minorEastAsia"/>
          <w:color w:val="auto"/>
          <w:szCs w:val="21"/>
        </w:rPr>
        <w:t>本企业已知悉《政府采购促进中小企业发展管理办法》（财库〔2020〕46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14:paraId="5A4D99C7">
      <w:pPr>
        <w:spacing w:line="360" w:lineRule="exact"/>
        <w:ind w:firstLine="420" w:firstLineChars="200"/>
        <w:outlineLvl w:val="9"/>
        <w:rPr>
          <w:rFonts w:asciiTheme="minorEastAsia" w:hAnsiTheme="minorEastAsia"/>
          <w:color w:val="auto"/>
          <w:szCs w:val="21"/>
        </w:rPr>
      </w:pPr>
    </w:p>
    <w:p w14:paraId="16CC9DE2">
      <w:pPr>
        <w:spacing w:line="360" w:lineRule="exact"/>
        <w:jc w:val="right"/>
        <w:outlineLvl w:val="9"/>
        <w:rPr>
          <w:color w:val="auto"/>
        </w:rPr>
      </w:pPr>
      <w:r>
        <w:rPr>
          <w:rFonts w:hint="eastAsia"/>
          <w:color w:val="auto"/>
          <w:szCs w:val="21"/>
        </w:rPr>
        <w:t xml:space="preserve">                             投标人：</w:t>
      </w:r>
    </w:p>
    <w:p w14:paraId="79996728">
      <w:pPr>
        <w:spacing w:line="360" w:lineRule="exact"/>
        <w:jc w:val="right"/>
        <w:outlineLvl w:val="9"/>
        <w:rPr>
          <w:rFonts w:ascii="宋体" w:hAnsi="宋体"/>
          <w:color w:val="auto"/>
          <w:szCs w:val="21"/>
        </w:rPr>
      </w:pPr>
      <w:r>
        <w:rPr>
          <w:rFonts w:hint="eastAsia" w:ascii="宋体" w:hAnsi="宋体"/>
          <w:color w:val="auto"/>
          <w:szCs w:val="21"/>
        </w:rPr>
        <w:t xml:space="preserve">                                     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1FC5DFF0">
      <w:pPr>
        <w:spacing w:line="360" w:lineRule="exact"/>
        <w:ind w:firstLine="420" w:firstLineChars="200"/>
        <w:outlineLvl w:val="9"/>
        <w:rPr>
          <w:rFonts w:ascii="宋体" w:hAnsi="宋体"/>
          <w:color w:val="auto"/>
          <w:szCs w:val="21"/>
        </w:rPr>
      </w:pPr>
      <w:r>
        <w:rPr>
          <w:rFonts w:hint="eastAsia" w:ascii="宋体" w:hAnsi="宋体"/>
          <w:color w:val="auto"/>
          <w:szCs w:val="21"/>
        </w:rPr>
        <w:t>备注：</w:t>
      </w:r>
    </w:p>
    <w:p w14:paraId="27AD37D7">
      <w:pPr>
        <w:spacing w:line="360" w:lineRule="exact"/>
        <w:ind w:firstLine="420" w:firstLineChars="200"/>
        <w:outlineLvl w:val="9"/>
        <w:rPr>
          <w:rFonts w:ascii="宋体" w:hAnsi="宋体"/>
          <w:color w:val="auto"/>
          <w:szCs w:val="21"/>
        </w:rPr>
      </w:pPr>
      <w:r>
        <w:rPr>
          <w:rFonts w:hint="eastAsia" w:ascii="宋体" w:hAnsi="宋体"/>
          <w:color w:val="auto"/>
          <w:szCs w:val="21"/>
        </w:rPr>
        <w:t>1、填写前请认真阅读《工业和信息化部、国家统计局、国家发展和改革委员会、财政部关于印发中小企业划型标准规定的通知》</w:t>
      </w:r>
      <w:r>
        <w:rPr>
          <w:rFonts w:ascii="宋体" w:hAnsi="宋体"/>
          <w:color w:val="auto"/>
          <w:szCs w:val="21"/>
        </w:rPr>
        <w:t>(</w:t>
      </w:r>
      <w:r>
        <w:rPr>
          <w:rFonts w:hint="eastAsia" w:ascii="宋体" w:hAnsi="宋体"/>
          <w:color w:val="auto"/>
          <w:szCs w:val="21"/>
        </w:rPr>
        <w:t>工信部联企业〔</w:t>
      </w:r>
      <w:r>
        <w:rPr>
          <w:rFonts w:ascii="宋体" w:hAnsi="宋体"/>
          <w:color w:val="auto"/>
          <w:szCs w:val="21"/>
        </w:rPr>
        <w:t>2011</w:t>
      </w:r>
      <w:r>
        <w:rPr>
          <w:rFonts w:hint="eastAsia" w:ascii="宋体" w:hAnsi="宋体"/>
          <w:color w:val="auto"/>
          <w:szCs w:val="21"/>
        </w:rPr>
        <w:t>〕</w:t>
      </w:r>
      <w:r>
        <w:rPr>
          <w:rFonts w:ascii="宋体" w:hAnsi="宋体"/>
          <w:color w:val="auto"/>
          <w:szCs w:val="21"/>
        </w:rPr>
        <w:t>300</w:t>
      </w:r>
      <w:r>
        <w:rPr>
          <w:rFonts w:hint="eastAsia" w:ascii="宋体" w:hAnsi="宋体"/>
          <w:color w:val="auto"/>
          <w:szCs w:val="21"/>
        </w:rPr>
        <w:t>号</w:t>
      </w:r>
      <w:r>
        <w:rPr>
          <w:rFonts w:ascii="宋体" w:hAnsi="宋体"/>
          <w:color w:val="auto"/>
          <w:szCs w:val="21"/>
        </w:rPr>
        <w:t>)</w:t>
      </w:r>
      <w:r>
        <w:rPr>
          <w:rFonts w:hint="eastAsia" w:ascii="宋体" w:hAnsi="宋体"/>
          <w:color w:val="auto"/>
          <w:szCs w:val="21"/>
        </w:rPr>
        <w:t>和《财政部 工业和信息化部关于印发《政府采购促进中小企业发展管理办法》的通知》</w:t>
      </w:r>
      <w:r>
        <w:rPr>
          <w:rFonts w:ascii="宋体" w:hAnsi="宋体"/>
          <w:color w:val="auto"/>
          <w:szCs w:val="21"/>
        </w:rPr>
        <w:t>(</w:t>
      </w:r>
      <w:r>
        <w:rPr>
          <w:rFonts w:hint="eastAsia" w:ascii="宋体" w:hAnsi="宋体"/>
          <w:color w:val="auto"/>
          <w:szCs w:val="21"/>
        </w:rPr>
        <w:t>财库〔2020〕46号</w:t>
      </w:r>
      <w:r>
        <w:rPr>
          <w:rFonts w:ascii="宋体" w:hAnsi="宋体"/>
          <w:color w:val="auto"/>
          <w:szCs w:val="21"/>
        </w:rPr>
        <w:t>)</w:t>
      </w:r>
      <w:r>
        <w:rPr>
          <w:rFonts w:hint="eastAsia" w:ascii="宋体" w:hAnsi="宋体"/>
          <w:color w:val="auto"/>
          <w:szCs w:val="21"/>
        </w:rPr>
        <w:t>相关规定。如不符合前述相关规定所确定的</w:t>
      </w:r>
      <w:r>
        <w:rPr>
          <w:rFonts w:hint="eastAsia" w:ascii="宋体" w:hAnsi="宋体"/>
          <w:b/>
          <w:color w:val="auto"/>
          <w:szCs w:val="21"/>
        </w:rPr>
        <w:t>小型和微型企业</w:t>
      </w:r>
      <w:r>
        <w:rPr>
          <w:rFonts w:hint="eastAsia" w:ascii="宋体" w:hAnsi="宋体"/>
          <w:color w:val="auto"/>
          <w:szCs w:val="21"/>
        </w:rPr>
        <w:t>，则不需要在投标文件中提供本《中小企业声明函》；若符合前述相关规定所确定的小型和微型企业，在投标文件中没有提供本《中小企业声明函》，视为在本项目中放弃政府采购政策扶持，不进行价格扣除。</w:t>
      </w:r>
    </w:p>
    <w:p w14:paraId="185F43C9">
      <w:pPr>
        <w:spacing w:line="360" w:lineRule="exact"/>
        <w:ind w:firstLine="420" w:firstLineChars="200"/>
        <w:outlineLvl w:val="9"/>
        <w:rPr>
          <w:rFonts w:ascii="宋体" w:hAnsi="宋体"/>
          <w:color w:val="auto"/>
          <w:szCs w:val="21"/>
        </w:rPr>
      </w:pPr>
      <w:r>
        <w:rPr>
          <w:rFonts w:hint="eastAsia" w:ascii="宋体" w:hAnsi="宋体"/>
          <w:color w:val="auto"/>
          <w:szCs w:val="21"/>
        </w:rPr>
        <w:t>2、从业人员、营业收入、资产总额填报上一年度数据，无上一年度数据的新成立企业可不填报。</w:t>
      </w:r>
    </w:p>
    <w:p w14:paraId="57A7B0AD">
      <w:pPr>
        <w:spacing w:line="360" w:lineRule="exact"/>
        <w:ind w:firstLine="420" w:firstLineChars="200"/>
        <w:outlineLvl w:val="9"/>
        <w:rPr>
          <w:rFonts w:ascii="宋体" w:hAnsi="宋体"/>
          <w:color w:val="auto"/>
          <w:szCs w:val="21"/>
        </w:rPr>
      </w:pPr>
      <w:r>
        <w:rPr>
          <w:rFonts w:hint="eastAsia" w:ascii="宋体" w:hAnsi="宋体"/>
          <w:color w:val="auto"/>
          <w:szCs w:val="21"/>
        </w:rPr>
        <w:t>3、供应商提供的货物既有中小企业制造货物，也有大型企业制造货物的，不享受中小企业扶持政策。</w:t>
      </w:r>
    </w:p>
    <w:p w14:paraId="5CFDC2F7">
      <w:pPr>
        <w:spacing w:after="60" w:line="360" w:lineRule="exact"/>
        <w:jc w:val="center"/>
        <w:outlineLvl w:val="1"/>
        <w:rPr>
          <w:b/>
          <w:color w:val="auto"/>
        </w:rPr>
      </w:pPr>
      <w:r>
        <w:rPr>
          <w:rFonts w:hint="eastAsia"/>
          <w:b/>
          <w:color w:val="auto"/>
        </w:rPr>
        <w:t>2、监狱企业声明函</w:t>
      </w:r>
    </w:p>
    <w:p w14:paraId="5BCD263D">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本单位郑重声明，根据《关于政府采购支持监狱企业发展有关问题的通知》（财库〔</w:t>
      </w:r>
      <w:r>
        <w:rPr>
          <w:rFonts w:ascii="宋体" w:hAnsi="宋体"/>
          <w:color w:val="auto"/>
          <w:szCs w:val="21"/>
        </w:rPr>
        <w:t>2014</w:t>
      </w:r>
      <w:r>
        <w:rPr>
          <w:rFonts w:hint="eastAsia" w:ascii="宋体" w:hAnsi="宋体"/>
          <w:color w:val="auto"/>
          <w:szCs w:val="21"/>
        </w:rPr>
        <w:t>〕</w:t>
      </w:r>
      <w:r>
        <w:rPr>
          <w:rFonts w:ascii="宋体" w:hAnsi="宋体"/>
          <w:color w:val="auto"/>
          <w:szCs w:val="21"/>
        </w:rPr>
        <w:t>68</w:t>
      </w:r>
      <w:r>
        <w:rPr>
          <w:rFonts w:hint="eastAsia" w:ascii="宋体" w:hAnsi="宋体"/>
          <w:color w:val="auto"/>
          <w:szCs w:val="21"/>
        </w:rPr>
        <w:t>号）的规定，本单位为符合条件的监狱企业。</w:t>
      </w:r>
    </w:p>
    <w:p w14:paraId="06AEB3D5">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本单位对上述声明的真实性负责。如有虚假，将依法承担相应责任。</w:t>
      </w:r>
    </w:p>
    <w:p w14:paraId="4CB4EBE4">
      <w:pPr>
        <w:spacing w:line="360" w:lineRule="exact"/>
        <w:outlineLvl w:val="9"/>
        <w:rPr>
          <w:color w:val="auto"/>
        </w:rPr>
      </w:pPr>
      <w:r>
        <w:rPr>
          <w:rFonts w:hint="eastAsia"/>
          <w:color w:val="auto"/>
          <w:szCs w:val="21"/>
        </w:rPr>
        <w:t>投标人：</w:t>
      </w:r>
    </w:p>
    <w:p w14:paraId="50AE583F">
      <w:pPr>
        <w:spacing w:line="360" w:lineRule="exact"/>
        <w:outlineLvl w:val="9"/>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5D009A09">
      <w:pPr>
        <w:spacing w:line="360" w:lineRule="exact"/>
        <w:outlineLvl w:val="9"/>
        <w:rPr>
          <w:rFonts w:ascii="宋体"/>
          <w:b/>
          <w:color w:val="auto"/>
          <w:szCs w:val="21"/>
        </w:rPr>
      </w:pPr>
      <w:r>
        <w:rPr>
          <w:rFonts w:hint="eastAsia" w:ascii="宋体" w:hAnsi="宋体"/>
          <w:color w:val="auto"/>
          <w:szCs w:val="21"/>
        </w:rPr>
        <w:t xml:space="preserve">                                    </w:t>
      </w:r>
    </w:p>
    <w:p w14:paraId="674A5FF5">
      <w:pPr>
        <w:spacing w:after="60" w:line="360" w:lineRule="exact"/>
        <w:ind w:firstLine="422" w:firstLineChars="200"/>
        <w:outlineLvl w:val="9"/>
        <w:rPr>
          <w:rFonts w:ascii="宋体" w:hAnsi="宋体"/>
          <w:b/>
          <w:color w:val="auto"/>
          <w:szCs w:val="21"/>
        </w:rPr>
      </w:pPr>
      <w:r>
        <w:rPr>
          <w:rFonts w:hint="eastAsia" w:ascii="宋体" w:hAnsi="宋体"/>
          <w:b/>
          <w:color w:val="auto"/>
          <w:szCs w:val="21"/>
        </w:rPr>
        <w:t>附：省级以上监狱管理局、戒毒管理局（含新疆生产建设兵团）出具的监狱企业证明文件。</w:t>
      </w:r>
    </w:p>
    <w:p w14:paraId="3703EB32">
      <w:pPr>
        <w:spacing w:line="360" w:lineRule="exact"/>
        <w:ind w:firstLine="424" w:firstLineChars="202"/>
        <w:outlineLvl w:val="9"/>
        <w:rPr>
          <w:rFonts w:ascii="宋体" w:hAnsi="宋体"/>
          <w:color w:val="auto"/>
          <w:szCs w:val="21"/>
        </w:rPr>
      </w:pPr>
      <w:r>
        <w:rPr>
          <w:rFonts w:hint="eastAsia" w:ascii="宋体" w:hAnsi="宋体"/>
          <w:color w:val="auto"/>
          <w:szCs w:val="21"/>
        </w:rPr>
        <w:t>备注：填写前请认真阅读《财政部 司法部关于政府采购支持监狱企业发展有关问题的通知》（财库〔</w:t>
      </w:r>
      <w:r>
        <w:rPr>
          <w:rFonts w:ascii="宋体" w:hAnsi="宋体"/>
          <w:color w:val="auto"/>
          <w:szCs w:val="21"/>
        </w:rPr>
        <w:t>2014</w:t>
      </w:r>
      <w:r>
        <w:rPr>
          <w:rFonts w:hint="eastAsia" w:ascii="宋体" w:hAnsi="宋体"/>
          <w:color w:val="auto"/>
          <w:szCs w:val="21"/>
        </w:rPr>
        <w:t>〕</w:t>
      </w:r>
      <w:r>
        <w:rPr>
          <w:rFonts w:ascii="宋体" w:hAnsi="宋体"/>
          <w:color w:val="auto"/>
          <w:szCs w:val="21"/>
        </w:rPr>
        <w:t>68</w:t>
      </w:r>
      <w:r>
        <w:rPr>
          <w:rFonts w:hint="eastAsia" w:ascii="宋体" w:hAnsi="宋体"/>
          <w:color w:val="auto"/>
          <w:szCs w:val="21"/>
        </w:rPr>
        <w:t>号）相关规定。如不符合前述相关规定所确定的监狱企业，则不需要在投标文件中提供本《监狱企业声明函》；若符合前述相关规定所确定的监狱企业，除了提供本《监狱企业声明函》，还需提供由省级以上监狱管理局、戒毒管理局（含新疆生产建设兵团）出具的属于监狱企业的证明文件。否则视为在本项目中放弃政府采购政策扶持，不进行价格扣除。</w:t>
      </w:r>
    </w:p>
    <w:p w14:paraId="01353735">
      <w:pPr>
        <w:spacing w:after="60" w:line="360" w:lineRule="exact"/>
        <w:ind w:firstLine="420" w:firstLineChars="200"/>
        <w:outlineLvl w:val="9"/>
        <w:rPr>
          <w:rFonts w:ascii="宋体" w:hAnsi="宋体"/>
          <w:color w:val="auto"/>
          <w:szCs w:val="21"/>
        </w:rPr>
      </w:pPr>
      <w:r>
        <w:rPr>
          <w:rFonts w:hint="eastAsia" w:ascii="宋体" w:hAnsi="宋体"/>
          <w:color w:val="auto"/>
          <w:szCs w:val="21"/>
        </w:rPr>
        <w:t xml:space="preserve">                                     </w:t>
      </w:r>
    </w:p>
    <w:p w14:paraId="4B289F80">
      <w:pPr>
        <w:spacing w:after="60" w:line="360" w:lineRule="exact"/>
        <w:jc w:val="center"/>
        <w:outlineLvl w:val="1"/>
        <w:rPr>
          <w:b/>
          <w:bCs/>
          <w:color w:val="auto"/>
        </w:rPr>
      </w:pPr>
      <w:r>
        <w:rPr>
          <w:rFonts w:hint="eastAsia"/>
          <w:b/>
          <w:color w:val="auto"/>
        </w:rPr>
        <w:t>3、残疾人福利性单位声明函</w:t>
      </w:r>
    </w:p>
    <w:p w14:paraId="62A1F375">
      <w:pPr>
        <w:spacing w:line="360" w:lineRule="exact"/>
        <w:ind w:firstLine="420" w:firstLineChars="200"/>
        <w:outlineLvl w:val="9"/>
        <w:rPr>
          <w:rFonts w:ascii="宋体" w:hAnsi="宋体"/>
          <w:color w:val="auto"/>
          <w:szCs w:val="21"/>
        </w:rPr>
      </w:pPr>
      <w:r>
        <w:rPr>
          <w:rFonts w:hint="eastAsia" w:ascii="宋体" w:hAnsi="宋体"/>
          <w:color w:val="auto"/>
          <w:szCs w:val="21"/>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color w:val="auto"/>
          <w:szCs w:val="21"/>
          <w:u w:val="single"/>
        </w:rPr>
        <w:t xml:space="preserve">    </w:t>
      </w:r>
      <w:r>
        <w:rPr>
          <w:rFonts w:hint="eastAsia" w:ascii="宋体" w:hAnsi="宋体"/>
          <w:color w:val="auto"/>
          <w:szCs w:val="21"/>
        </w:rPr>
        <w:t>单位的</w:t>
      </w:r>
      <w:r>
        <w:rPr>
          <w:rFonts w:hint="eastAsia" w:ascii="宋体" w:hAnsi="宋体"/>
          <w:color w:val="auto"/>
          <w:szCs w:val="21"/>
          <w:u w:val="single"/>
        </w:rPr>
        <w:t xml:space="preserve">            </w:t>
      </w:r>
      <w:r>
        <w:rPr>
          <w:rFonts w:hint="eastAsia" w:ascii="宋体" w:hAnsi="宋体"/>
          <w:color w:val="auto"/>
          <w:szCs w:val="21"/>
        </w:rPr>
        <w:t>项目采购活动提供本单位制造的货物，或者提供其他残疾人福利性单位制造的货物（不包括使用非残疾人福利性单位注册商标的货物）。</w:t>
      </w:r>
    </w:p>
    <w:p w14:paraId="6298693E">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本单位对上述声明的真实性负责。如有虚假，将依法承担相应责任。</w:t>
      </w:r>
    </w:p>
    <w:p w14:paraId="00507B23">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本单位知悉《关于促进残疾人就业政府采购政策的通知》（财库〔2017〕141 号）的规定，承诺提供的声明函内容是真实的，如提供声明函内容不实，则依法追究相关法律责任。</w:t>
      </w:r>
    </w:p>
    <w:p w14:paraId="312D2F0C">
      <w:pPr>
        <w:spacing w:line="360" w:lineRule="exact"/>
        <w:outlineLvl w:val="9"/>
        <w:rPr>
          <w:color w:val="auto"/>
        </w:rPr>
      </w:pPr>
      <w:r>
        <w:rPr>
          <w:rFonts w:hint="eastAsia"/>
          <w:color w:val="auto"/>
          <w:szCs w:val="21"/>
        </w:rPr>
        <w:t>投标人：</w:t>
      </w:r>
    </w:p>
    <w:p w14:paraId="7EC4C1ED">
      <w:pPr>
        <w:spacing w:line="360" w:lineRule="exact"/>
        <w:outlineLvl w:val="9"/>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5E8CB70A">
      <w:pPr>
        <w:pStyle w:val="6"/>
        <w:outlineLvl w:val="9"/>
        <w:rPr>
          <w:color w:val="auto"/>
        </w:rPr>
      </w:pPr>
    </w:p>
    <w:p w14:paraId="0888B786">
      <w:pPr>
        <w:spacing w:line="360" w:lineRule="exact"/>
        <w:ind w:firstLine="424" w:firstLineChars="202"/>
        <w:outlineLvl w:val="9"/>
        <w:rPr>
          <w:rFonts w:ascii="宋体" w:hAnsi="宋体"/>
          <w:color w:val="auto"/>
          <w:szCs w:val="21"/>
        </w:rPr>
      </w:pPr>
      <w:r>
        <w:rPr>
          <w:rFonts w:hint="eastAsia" w:ascii="宋体" w:hAnsi="宋体"/>
          <w:color w:val="auto"/>
          <w:szCs w:val="21"/>
        </w:rPr>
        <w:t>备注：填写前请认真阅读《财政部 民政部 中国残疾人联合会关于促进残疾人就业政府采购政策的通知》</w:t>
      </w:r>
      <w:r>
        <w:rPr>
          <w:rFonts w:ascii="宋体" w:hAnsi="宋体"/>
          <w:color w:val="auto"/>
          <w:szCs w:val="21"/>
        </w:rPr>
        <w:t>(</w:t>
      </w:r>
      <w:r>
        <w:rPr>
          <w:rFonts w:hint="eastAsia" w:ascii="宋体" w:hAnsi="宋体"/>
          <w:color w:val="auto"/>
          <w:szCs w:val="21"/>
        </w:rPr>
        <w:t>财库〔2017〕141号</w:t>
      </w:r>
      <w:r>
        <w:rPr>
          <w:rFonts w:ascii="宋体" w:hAnsi="宋体"/>
          <w:color w:val="auto"/>
          <w:szCs w:val="21"/>
        </w:rPr>
        <w:t>)</w:t>
      </w:r>
      <w:r>
        <w:rPr>
          <w:rFonts w:hint="eastAsia" w:ascii="宋体" w:hAnsi="宋体"/>
          <w:color w:val="auto"/>
          <w:szCs w:val="21"/>
        </w:rPr>
        <w:t xml:space="preserve">相关规定。如不符合前述相关规定所确定的残疾人福利性单位，则不需要在投标文件中提供本《残疾人福利性单位声明函》；若符合前述相关规定所确定的残疾人福利性单位，但在投标文件中没有提供本《残疾人福利性单位声明函》，视为在本项目中放弃政府采购政策扶持，不进行价格扣除。                                              </w:t>
      </w:r>
    </w:p>
    <w:p w14:paraId="3BD169D5">
      <w:pPr>
        <w:rPr>
          <w:rFonts w:hint="eastAsia" w:ascii="宋体" w:hAnsi="宋体" w:eastAsia="宋体"/>
          <w:b/>
          <w:bCs/>
          <w:szCs w:val="21"/>
        </w:rPr>
      </w:pPr>
    </w:p>
    <w:p w14:paraId="0B227468">
      <w:pPr>
        <w:rPr>
          <w:rFonts w:ascii="宋体" w:hAnsi="宋体" w:eastAsia="宋体"/>
          <w:b/>
          <w:bCs/>
          <w:szCs w:val="21"/>
        </w:rPr>
      </w:pPr>
      <w:r>
        <w:rPr>
          <w:rFonts w:hint="eastAsia" w:ascii="宋体" w:hAnsi="宋体" w:eastAsia="宋体"/>
          <w:b/>
          <w:bCs/>
          <w:szCs w:val="21"/>
        </w:rPr>
        <w:t>附件1.统计上大中小微型企业划分标准</w:t>
      </w:r>
    </w:p>
    <w:p w14:paraId="03C689CE">
      <w:pPr>
        <w:rPr>
          <w:rFonts w:hint="eastAsia" w:ascii="宋体" w:hAnsi="宋体" w:eastAsia="宋体" w:cs="宋体"/>
          <w:sz w:val="21"/>
          <w:szCs w:val="21"/>
        </w:rPr>
      </w:pPr>
      <w:r>
        <w:rPr>
          <w:rFonts w:hint="eastAsia" w:ascii="宋体" w:hAnsi="宋体" w:eastAsia="宋体" w:cs="宋体"/>
          <w:sz w:val="21"/>
          <w:szCs w:val="21"/>
        </w:rPr>
        <w:t>来源：国家统计局关于印发《统计上大中小微型企业划分办法（2017）》的通知（国统字〔2017〕213 号）</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"https://www.stats.gov.cn/xxgk/tjbz/gjtjbz/202008/t20200811_1782335.html" </w:instrText>
      </w:r>
      <w:r>
        <w:rPr>
          <w:rFonts w:hint="eastAsia" w:ascii="宋体" w:hAnsi="宋体" w:eastAsia="宋体" w:cs="宋体"/>
          <w:sz w:val="21"/>
          <w:szCs w:val="21"/>
        </w:rPr>
        <w:fldChar w:fldCharType="separate"/>
      </w:r>
      <w:r>
        <w:rPr>
          <w:rFonts w:hint="eastAsia" w:ascii="宋体" w:hAnsi="宋体" w:eastAsia="宋体" w:cs="宋体"/>
          <w:sz w:val="21"/>
          <w:szCs w:val="21"/>
        </w:rPr>
        <w:t>https://www.stats.gov.cn/xxgk/tjbz/gjtjbz/202008/t20200811_1782335.html</w:t>
      </w:r>
      <w:r>
        <w:rPr>
          <w:rFonts w:hint="eastAsia" w:ascii="宋体" w:hAnsi="宋体" w:eastAsia="宋体" w:cs="宋体"/>
          <w:sz w:val="21"/>
          <w:szCs w:val="21"/>
        </w:rPr>
        <w:fldChar w:fldCharType="end"/>
      </w:r>
    </w:p>
    <w:tbl>
      <w:tblPr>
        <w:tblStyle w:val="18"/>
        <w:tblW w:w="5606" w:type="pct"/>
        <w:jc w:val="center"/>
        <w:tblLayout w:type="autofit"/>
        <w:tblCellMar>
          <w:top w:w="0" w:type="dxa"/>
          <w:left w:w="108" w:type="dxa"/>
          <w:bottom w:w="0" w:type="dxa"/>
          <w:right w:w="108" w:type="dxa"/>
        </w:tblCellMar>
      </w:tblPr>
      <w:tblGrid>
        <w:gridCol w:w="2363"/>
        <w:gridCol w:w="1529"/>
        <w:gridCol w:w="787"/>
        <w:gridCol w:w="1257"/>
        <w:gridCol w:w="1900"/>
        <w:gridCol w:w="1594"/>
        <w:gridCol w:w="1105"/>
      </w:tblGrid>
      <w:tr w14:paraId="2767ADD0">
        <w:tblPrEx>
          <w:tblCellMar>
            <w:top w:w="0" w:type="dxa"/>
            <w:left w:w="108" w:type="dxa"/>
            <w:bottom w:w="0" w:type="dxa"/>
            <w:right w:w="108" w:type="dxa"/>
          </w:tblCellMar>
        </w:tblPrEx>
        <w:trPr>
          <w:trHeight w:val="643" w:hRule="exact"/>
          <w:jc w:val="center"/>
        </w:trPr>
        <w:tc>
          <w:tcPr>
            <w:tcW w:w="1121" w:type="pct"/>
            <w:tcBorders>
              <w:top w:val="single" w:color="auto" w:sz="4" w:space="0"/>
              <w:left w:val="nil"/>
              <w:bottom w:val="single" w:color="auto" w:sz="4" w:space="0"/>
              <w:right w:val="single" w:color="auto" w:sz="4" w:space="0"/>
            </w:tcBorders>
            <w:shd w:val="clear" w:color="auto" w:fill="auto"/>
            <w:vAlign w:val="center"/>
          </w:tcPr>
          <w:p w14:paraId="76B3C900">
            <w:pPr>
              <w:keepNext w:val="0"/>
              <w:keepLines w:val="0"/>
              <w:suppressLineNumbers w:val="0"/>
              <w:spacing w:before="0" w:beforeAutospacing="0" w:after="0" w:afterAutospacing="0" w:line="240" w:lineRule="exact"/>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行业名称</w:t>
            </w:r>
          </w:p>
        </w:tc>
        <w:tc>
          <w:tcPr>
            <w:tcW w:w="725" w:type="pct"/>
            <w:tcBorders>
              <w:top w:val="single" w:color="auto" w:sz="4" w:space="0"/>
              <w:left w:val="nil"/>
              <w:bottom w:val="single" w:color="auto" w:sz="4" w:space="0"/>
              <w:right w:val="single" w:color="auto" w:sz="4" w:space="0"/>
            </w:tcBorders>
            <w:shd w:val="clear" w:color="auto" w:fill="auto"/>
            <w:vAlign w:val="center"/>
          </w:tcPr>
          <w:p w14:paraId="363619D0">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指标名称</w:t>
            </w:r>
          </w:p>
        </w:tc>
        <w:tc>
          <w:tcPr>
            <w:tcW w:w="373" w:type="pct"/>
            <w:tcBorders>
              <w:top w:val="single" w:color="auto" w:sz="4" w:space="0"/>
              <w:left w:val="nil"/>
              <w:bottom w:val="single" w:color="auto" w:sz="4" w:space="0"/>
              <w:right w:val="single" w:color="auto" w:sz="4" w:space="0"/>
            </w:tcBorders>
            <w:shd w:val="clear" w:color="auto" w:fill="auto"/>
            <w:vAlign w:val="center"/>
          </w:tcPr>
          <w:p w14:paraId="2D792FD8">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计量</w:t>
            </w:r>
            <w:r>
              <w:rPr>
                <w:rFonts w:hint="eastAsia" w:ascii="宋体" w:hAnsi="宋体" w:eastAsia="宋体" w:cs="宋体"/>
                <w:b/>
                <w:bCs/>
                <w:color w:val="000000"/>
                <w:sz w:val="21"/>
                <w:szCs w:val="21"/>
              </w:rPr>
              <w:br w:type="textWrapping"/>
            </w:r>
            <w:r>
              <w:rPr>
                <w:rFonts w:hint="eastAsia" w:ascii="宋体" w:hAnsi="宋体" w:eastAsia="宋体" w:cs="宋体"/>
                <w:b/>
                <w:bCs/>
                <w:color w:val="000000"/>
                <w:sz w:val="21"/>
                <w:szCs w:val="21"/>
              </w:rPr>
              <w:t>单位</w:t>
            </w:r>
          </w:p>
        </w:tc>
        <w:tc>
          <w:tcPr>
            <w:tcW w:w="596" w:type="pct"/>
            <w:tcBorders>
              <w:top w:val="single" w:color="auto" w:sz="4" w:space="0"/>
              <w:left w:val="nil"/>
              <w:bottom w:val="single" w:color="auto" w:sz="4" w:space="0"/>
              <w:right w:val="single" w:color="auto" w:sz="4" w:space="0"/>
            </w:tcBorders>
            <w:shd w:val="clear" w:color="auto" w:fill="auto"/>
            <w:vAlign w:val="center"/>
          </w:tcPr>
          <w:p w14:paraId="7F08D2F5">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大型</w:t>
            </w:r>
          </w:p>
        </w:tc>
        <w:tc>
          <w:tcPr>
            <w:tcW w:w="901" w:type="pct"/>
            <w:tcBorders>
              <w:top w:val="single" w:color="auto" w:sz="4" w:space="0"/>
              <w:left w:val="nil"/>
              <w:bottom w:val="single" w:color="auto" w:sz="4" w:space="0"/>
              <w:right w:val="single" w:color="auto" w:sz="4" w:space="0"/>
            </w:tcBorders>
            <w:shd w:val="clear" w:color="auto" w:fill="auto"/>
            <w:vAlign w:val="center"/>
          </w:tcPr>
          <w:p w14:paraId="7B929E8F">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中型</w:t>
            </w:r>
          </w:p>
        </w:tc>
        <w:tc>
          <w:tcPr>
            <w:tcW w:w="756" w:type="pct"/>
            <w:tcBorders>
              <w:top w:val="single" w:color="auto" w:sz="4" w:space="0"/>
              <w:left w:val="nil"/>
              <w:bottom w:val="single" w:color="auto" w:sz="4" w:space="0"/>
              <w:right w:val="single" w:color="auto" w:sz="4" w:space="0"/>
            </w:tcBorders>
            <w:shd w:val="clear" w:color="auto" w:fill="auto"/>
            <w:vAlign w:val="center"/>
          </w:tcPr>
          <w:p w14:paraId="54E0E34A">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小型</w:t>
            </w:r>
          </w:p>
        </w:tc>
        <w:tc>
          <w:tcPr>
            <w:tcW w:w="524" w:type="pct"/>
            <w:tcBorders>
              <w:top w:val="single" w:color="auto" w:sz="4" w:space="0"/>
              <w:left w:val="nil"/>
              <w:bottom w:val="single" w:color="auto" w:sz="4" w:space="0"/>
              <w:right w:val="nil"/>
            </w:tcBorders>
            <w:shd w:val="clear" w:color="auto" w:fill="auto"/>
            <w:vAlign w:val="center"/>
          </w:tcPr>
          <w:p w14:paraId="49A590F5">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微型</w:t>
            </w:r>
          </w:p>
        </w:tc>
      </w:tr>
      <w:tr w14:paraId="06E67DC5">
        <w:tblPrEx>
          <w:tblCellMar>
            <w:top w:w="0" w:type="dxa"/>
            <w:left w:w="108" w:type="dxa"/>
            <w:bottom w:w="0" w:type="dxa"/>
            <w:right w:w="108" w:type="dxa"/>
          </w:tblCellMar>
        </w:tblPrEx>
        <w:trPr>
          <w:trHeight w:val="409" w:hRule="exact"/>
          <w:jc w:val="center"/>
        </w:trPr>
        <w:tc>
          <w:tcPr>
            <w:tcW w:w="1121" w:type="pct"/>
            <w:tcBorders>
              <w:top w:val="nil"/>
              <w:left w:val="nil"/>
              <w:bottom w:val="single" w:color="auto" w:sz="4" w:space="0"/>
              <w:right w:val="single" w:color="auto" w:sz="4" w:space="0"/>
            </w:tcBorders>
            <w:shd w:val="clear" w:color="auto" w:fill="auto"/>
            <w:vAlign w:val="center"/>
          </w:tcPr>
          <w:p w14:paraId="1E4A9504">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农、林、牧、渔业</w:t>
            </w:r>
          </w:p>
        </w:tc>
        <w:tc>
          <w:tcPr>
            <w:tcW w:w="725" w:type="pct"/>
            <w:tcBorders>
              <w:top w:val="nil"/>
              <w:left w:val="nil"/>
              <w:bottom w:val="single" w:color="auto" w:sz="4" w:space="0"/>
              <w:right w:val="single" w:color="auto" w:sz="4" w:space="0"/>
            </w:tcBorders>
            <w:shd w:val="clear" w:color="auto" w:fill="auto"/>
            <w:vAlign w:val="center"/>
          </w:tcPr>
          <w:p w14:paraId="58655A9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3F106CD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1746A32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w:t>
            </w:r>
          </w:p>
        </w:tc>
        <w:tc>
          <w:tcPr>
            <w:tcW w:w="901" w:type="pct"/>
            <w:tcBorders>
              <w:top w:val="nil"/>
              <w:left w:val="nil"/>
              <w:bottom w:val="single" w:color="auto" w:sz="4" w:space="0"/>
              <w:right w:val="single" w:color="auto" w:sz="4" w:space="0"/>
            </w:tcBorders>
            <w:shd w:val="clear" w:color="auto" w:fill="auto"/>
            <w:vAlign w:val="center"/>
          </w:tcPr>
          <w:p w14:paraId="49DAE89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500≤Y＜20000</w:t>
            </w:r>
          </w:p>
        </w:tc>
        <w:tc>
          <w:tcPr>
            <w:tcW w:w="756" w:type="pct"/>
            <w:tcBorders>
              <w:top w:val="nil"/>
              <w:left w:val="nil"/>
              <w:bottom w:val="single" w:color="auto" w:sz="4" w:space="0"/>
              <w:right w:val="single" w:color="auto" w:sz="4" w:space="0"/>
            </w:tcBorders>
            <w:shd w:val="clear" w:color="auto" w:fill="auto"/>
            <w:vAlign w:val="center"/>
          </w:tcPr>
          <w:p w14:paraId="06C20AC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50≤Y＜500</w:t>
            </w:r>
          </w:p>
        </w:tc>
        <w:tc>
          <w:tcPr>
            <w:tcW w:w="524" w:type="pct"/>
            <w:tcBorders>
              <w:top w:val="nil"/>
              <w:left w:val="nil"/>
              <w:bottom w:val="single" w:color="auto" w:sz="4" w:space="0"/>
              <w:right w:val="nil"/>
            </w:tcBorders>
            <w:shd w:val="clear" w:color="auto" w:fill="auto"/>
            <w:vAlign w:val="center"/>
          </w:tcPr>
          <w:p w14:paraId="4A581E9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w:t>
            </w:r>
          </w:p>
        </w:tc>
      </w:tr>
      <w:tr w14:paraId="37584D36">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1146CCC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工业 *</w:t>
            </w:r>
          </w:p>
        </w:tc>
        <w:tc>
          <w:tcPr>
            <w:tcW w:w="725" w:type="pct"/>
            <w:tcBorders>
              <w:top w:val="nil"/>
              <w:left w:val="nil"/>
              <w:bottom w:val="nil"/>
              <w:right w:val="single" w:color="auto" w:sz="4" w:space="0"/>
            </w:tcBorders>
            <w:shd w:val="clear" w:color="auto" w:fill="auto"/>
            <w:vAlign w:val="center"/>
          </w:tcPr>
          <w:p w14:paraId="35C3A26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2E2F64D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7ADC0BF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52D2056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6C34132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4" w:type="pct"/>
            <w:tcBorders>
              <w:top w:val="nil"/>
              <w:left w:val="nil"/>
              <w:bottom w:val="nil"/>
              <w:right w:val="nil"/>
            </w:tcBorders>
            <w:shd w:val="clear" w:color="auto" w:fill="auto"/>
            <w:vAlign w:val="center"/>
          </w:tcPr>
          <w:p w14:paraId="0462CE6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3D51708A">
        <w:tblPrEx>
          <w:tblCellMar>
            <w:top w:w="0" w:type="dxa"/>
            <w:left w:w="108" w:type="dxa"/>
            <w:bottom w:w="0" w:type="dxa"/>
            <w:right w:w="108" w:type="dxa"/>
          </w:tblCellMar>
        </w:tblPrEx>
        <w:trPr>
          <w:trHeight w:val="529" w:hRule="exact"/>
          <w:jc w:val="center"/>
        </w:trPr>
        <w:tc>
          <w:tcPr>
            <w:tcW w:w="1121" w:type="pct"/>
            <w:vMerge w:val="continue"/>
            <w:tcBorders>
              <w:top w:val="nil"/>
              <w:left w:val="nil"/>
              <w:bottom w:val="single" w:color="auto" w:sz="4" w:space="0"/>
              <w:right w:val="single" w:color="auto" w:sz="4" w:space="0"/>
            </w:tcBorders>
            <w:vAlign w:val="center"/>
          </w:tcPr>
          <w:p w14:paraId="2225C670">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73F00572">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17EEF3E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5634F7F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Y≥40000</w:t>
            </w:r>
          </w:p>
        </w:tc>
        <w:tc>
          <w:tcPr>
            <w:tcW w:w="901" w:type="pct"/>
            <w:tcBorders>
              <w:top w:val="nil"/>
              <w:left w:val="nil"/>
              <w:bottom w:val="single" w:color="auto" w:sz="4" w:space="0"/>
              <w:right w:val="single" w:color="auto" w:sz="4" w:space="0"/>
            </w:tcBorders>
            <w:shd w:val="clear" w:color="auto" w:fill="auto"/>
            <w:vAlign w:val="center"/>
          </w:tcPr>
          <w:p w14:paraId="72A1DCB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2000≤Y＜40000</w:t>
            </w:r>
          </w:p>
        </w:tc>
        <w:tc>
          <w:tcPr>
            <w:tcW w:w="756" w:type="pct"/>
            <w:tcBorders>
              <w:top w:val="nil"/>
              <w:left w:val="nil"/>
              <w:bottom w:val="single" w:color="auto" w:sz="4" w:space="0"/>
              <w:right w:val="single" w:color="auto" w:sz="4" w:space="0"/>
            </w:tcBorders>
            <w:shd w:val="clear" w:color="auto" w:fill="auto"/>
            <w:vAlign w:val="center"/>
          </w:tcPr>
          <w:p w14:paraId="31E39DA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300≤Y＜2000</w:t>
            </w:r>
          </w:p>
        </w:tc>
        <w:tc>
          <w:tcPr>
            <w:tcW w:w="524" w:type="pct"/>
            <w:tcBorders>
              <w:top w:val="nil"/>
              <w:left w:val="nil"/>
              <w:bottom w:val="single" w:color="auto" w:sz="4" w:space="0"/>
              <w:right w:val="nil"/>
            </w:tcBorders>
            <w:shd w:val="clear" w:color="auto" w:fill="auto"/>
            <w:vAlign w:val="center"/>
          </w:tcPr>
          <w:p w14:paraId="2654F2C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w:t>
            </w:r>
          </w:p>
        </w:tc>
      </w:tr>
      <w:tr w14:paraId="620FC4F5">
        <w:tblPrEx>
          <w:tblCellMar>
            <w:top w:w="0" w:type="dxa"/>
            <w:left w:w="108" w:type="dxa"/>
            <w:bottom w:w="0" w:type="dxa"/>
            <w:right w:w="108" w:type="dxa"/>
          </w:tblCellMar>
        </w:tblPrEx>
        <w:trPr>
          <w:trHeight w:val="47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5A40ACF3">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建筑业</w:t>
            </w:r>
          </w:p>
        </w:tc>
        <w:tc>
          <w:tcPr>
            <w:tcW w:w="725" w:type="pct"/>
            <w:tcBorders>
              <w:top w:val="nil"/>
              <w:left w:val="nil"/>
              <w:bottom w:val="nil"/>
              <w:right w:val="single" w:color="auto" w:sz="4" w:space="0"/>
            </w:tcBorders>
            <w:shd w:val="clear" w:color="auto" w:fill="auto"/>
            <w:vAlign w:val="center"/>
          </w:tcPr>
          <w:p w14:paraId="22C2432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nil"/>
              <w:right w:val="single" w:color="auto" w:sz="4" w:space="0"/>
            </w:tcBorders>
            <w:shd w:val="clear" w:color="auto" w:fill="auto"/>
            <w:vAlign w:val="center"/>
          </w:tcPr>
          <w:p w14:paraId="36388E8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nil"/>
              <w:right w:val="single" w:color="auto" w:sz="4" w:space="0"/>
            </w:tcBorders>
            <w:shd w:val="clear" w:color="auto" w:fill="auto"/>
            <w:vAlign w:val="center"/>
          </w:tcPr>
          <w:p w14:paraId="41EBCFB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Y≥80000</w:t>
            </w:r>
          </w:p>
        </w:tc>
        <w:tc>
          <w:tcPr>
            <w:tcW w:w="901" w:type="pct"/>
            <w:tcBorders>
              <w:top w:val="nil"/>
              <w:left w:val="nil"/>
              <w:bottom w:val="nil"/>
              <w:right w:val="single" w:color="auto" w:sz="4" w:space="0"/>
            </w:tcBorders>
            <w:shd w:val="clear" w:color="auto" w:fill="auto"/>
            <w:vAlign w:val="center"/>
          </w:tcPr>
          <w:p w14:paraId="3013AC3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6000≤Y＜80000</w:t>
            </w:r>
          </w:p>
        </w:tc>
        <w:tc>
          <w:tcPr>
            <w:tcW w:w="756" w:type="pct"/>
            <w:tcBorders>
              <w:top w:val="nil"/>
              <w:left w:val="nil"/>
              <w:bottom w:val="nil"/>
              <w:right w:val="single" w:color="auto" w:sz="4" w:space="0"/>
            </w:tcBorders>
            <w:shd w:val="clear" w:color="auto" w:fill="auto"/>
            <w:vAlign w:val="center"/>
          </w:tcPr>
          <w:p w14:paraId="293566D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300≤Y＜6000</w:t>
            </w:r>
          </w:p>
        </w:tc>
        <w:tc>
          <w:tcPr>
            <w:tcW w:w="524" w:type="pct"/>
            <w:tcBorders>
              <w:top w:val="nil"/>
              <w:left w:val="nil"/>
              <w:bottom w:val="nil"/>
              <w:right w:val="nil"/>
            </w:tcBorders>
            <w:shd w:val="clear" w:color="auto" w:fill="auto"/>
            <w:vAlign w:val="center"/>
          </w:tcPr>
          <w:p w14:paraId="0FD6207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w:t>
            </w:r>
          </w:p>
        </w:tc>
      </w:tr>
      <w:tr w14:paraId="26DD693E">
        <w:tblPrEx>
          <w:tblCellMar>
            <w:top w:w="0" w:type="dxa"/>
            <w:left w:w="108" w:type="dxa"/>
            <w:bottom w:w="0" w:type="dxa"/>
            <w:right w:w="108" w:type="dxa"/>
          </w:tblCellMar>
        </w:tblPrEx>
        <w:trPr>
          <w:trHeight w:val="499" w:hRule="exact"/>
          <w:jc w:val="center"/>
        </w:trPr>
        <w:tc>
          <w:tcPr>
            <w:tcW w:w="1121" w:type="pct"/>
            <w:vMerge w:val="continue"/>
            <w:tcBorders>
              <w:top w:val="nil"/>
              <w:left w:val="nil"/>
              <w:bottom w:val="single" w:color="auto" w:sz="4" w:space="0"/>
              <w:right w:val="single" w:color="auto" w:sz="4" w:space="0"/>
            </w:tcBorders>
            <w:vAlign w:val="center"/>
          </w:tcPr>
          <w:p w14:paraId="0A93CBF2">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6115F845">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3" w:type="pct"/>
            <w:tcBorders>
              <w:top w:val="nil"/>
              <w:left w:val="nil"/>
              <w:bottom w:val="single" w:color="auto" w:sz="4" w:space="0"/>
              <w:right w:val="single" w:color="auto" w:sz="4" w:space="0"/>
            </w:tcBorders>
            <w:shd w:val="clear" w:color="auto" w:fill="auto"/>
            <w:vAlign w:val="center"/>
          </w:tcPr>
          <w:p w14:paraId="3186C9E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3636EFC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Z≥80000</w:t>
            </w:r>
          </w:p>
        </w:tc>
        <w:tc>
          <w:tcPr>
            <w:tcW w:w="901" w:type="pct"/>
            <w:tcBorders>
              <w:top w:val="nil"/>
              <w:left w:val="nil"/>
              <w:bottom w:val="single" w:color="auto" w:sz="4" w:space="0"/>
              <w:right w:val="single" w:color="auto" w:sz="4" w:space="0"/>
            </w:tcBorders>
            <w:shd w:val="clear" w:color="auto" w:fill="auto"/>
            <w:vAlign w:val="center"/>
          </w:tcPr>
          <w:p w14:paraId="4015984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5000≤Z＜80000</w:t>
            </w:r>
          </w:p>
        </w:tc>
        <w:tc>
          <w:tcPr>
            <w:tcW w:w="756" w:type="pct"/>
            <w:tcBorders>
              <w:top w:val="nil"/>
              <w:left w:val="nil"/>
              <w:bottom w:val="single" w:color="auto" w:sz="4" w:space="0"/>
              <w:right w:val="single" w:color="auto" w:sz="4" w:space="0"/>
            </w:tcBorders>
            <w:shd w:val="clear" w:color="auto" w:fill="auto"/>
            <w:vAlign w:val="center"/>
          </w:tcPr>
          <w:p w14:paraId="0CE7EB1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300≤Z＜5000</w:t>
            </w:r>
          </w:p>
        </w:tc>
        <w:tc>
          <w:tcPr>
            <w:tcW w:w="524" w:type="pct"/>
            <w:tcBorders>
              <w:top w:val="nil"/>
              <w:left w:val="nil"/>
              <w:bottom w:val="single" w:color="auto" w:sz="4" w:space="0"/>
              <w:right w:val="nil"/>
            </w:tcBorders>
            <w:shd w:val="clear" w:color="auto" w:fill="auto"/>
            <w:vAlign w:val="center"/>
          </w:tcPr>
          <w:p w14:paraId="405E6DA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Z＜300</w:t>
            </w:r>
          </w:p>
        </w:tc>
      </w:tr>
      <w:tr w14:paraId="290EEEC2">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0D85AEEC">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批发业</w:t>
            </w:r>
          </w:p>
        </w:tc>
        <w:tc>
          <w:tcPr>
            <w:tcW w:w="725" w:type="pct"/>
            <w:tcBorders>
              <w:top w:val="nil"/>
              <w:left w:val="nil"/>
              <w:bottom w:val="nil"/>
              <w:right w:val="single" w:color="auto" w:sz="4" w:space="0"/>
            </w:tcBorders>
            <w:shd w:val="clear" w:color="auto" w:fill="auto"/>
            <w:vAlign w:val="center"/>
          </w:tcPr>
          <w:p w14:paraId="1E12E71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6ECFAC3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37176D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w:t>
            </w:r>
          </w:p>
        </w:tc>
        <w:tc>
          <w:tcPr>
            <w:tcW w:w="901" w:type="pct"/>
            <w:tcBorders>
              <w:top w:val="nil"/>
              <w:left w:val="nil"/>
              <w:bottom w:val="nil"/>
              <w:right w:val="single" w:color="auto" w:sz="4" w:space="0"/>
            </w:tcBorders>
            <w:shd w:val="clear" w:color="auto" w:fill="auto"/>
            <w:vAlign w:val="center"/>
          </w:tcPr>
          <w:p w14:paraId="42828F5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20≤X＜200</w:t>
            </w:r>
          </w:p>
        </w:tc>
        <w:tc>
          <w:tcPr>
            <w:tcW w:w="756" w:type="pct"/>
            <w:tcBorders>
              <w:top w:val="nil"/>
              <w:left w:val="nil"/>
              <w:bottom w:val="nil"/>
              <w:right w:val="single" w:color="auto" w:sz="4" w:space="0"/>
            </w:tcBorders>
            <w:shd w:val="clear" w:color="auto" w:fill="auto"/>
            <w:vAlign w:val="center"/>
          </w:tcPr>
          <w:p w14:paraId="7465D58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5≤X＜20</w:t>
            </w:r>
          </w:p>
        </w:tc>
        <w:tc>
          <w:tcPr>
            <w:tcW w:w="524" w:type="pct"/>
            <w:tcBorders>
              <w:top w:val="nil"/>
              <w:left w:val="nil"/>
              <w:bottom w:val="nil"/>
              <w:right w:val="nil"/>
            </w:tcBorders>
            <w:shd w:val="clear" w:color="auto" w:fill="auto"/>
            <w:vAlign w:val="center"/>
          </w:tcPr>
          <w:p w14:paraId="1881E08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X＜5</w:t>
            </w:r>
          </w:p>
        </w:tc>
      </w:tr>
      <w:tr w14:paraId="76A794D2">
        <w:tblPrEx>
          <w:tblCellMar>
            <w:top w:w="0" w:type="dxa"/>
            <w:left w:w="108" w:type="dxa"/>
            <w:bottom w:w="0" w:type="dxa"/>
            <w:right w:w="108" w:type="dxa"/>
          </w:tblCellMar>
        </w:tblPrEx>
        <w:trPr>
          <w:trHeight w:val="598" w:hRule="exact"/>
          <w:jc w:val="center"/>
        </w:trPr>
        <w:tc>
          <w:tcPr>
            <w:tcW w:w="1121" w:type="pct"/>
            <w:vMerge w:val="continue"/>
            <w:tcBorders>
              <w:top w:val="nil"/>
              <w:left w:val="nil"/>
              <w:bottom w:val="single" w:color="auto" w:sz="4" w:space="0"/>
              <w:right w:val="single" w:color="auto" w:sz="4" w:space="0"/>
            </w:tcBorders>
            <w:vAlign w:val="center"/>
          </w:tcPr>
          <w:p w14:paraId="6D57115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AAFF7C7">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7832338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5D177DE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Y≥40000</w:t>
            </w:r>
          </w:p>
        </w:tc>
        <w:tc>
          <w:tcPr>
            <w:tcW w:w="901" w:type="pct"/>
            <w:tcBorders>
              <w:top w:val="nil"/>
              <w:left w:val="nil"/>
              <w:bottom w:val="single" w:color="auto" w:sz="4" w:space="0"/>
              <w:right w:val="single" w:color="auto" w:sz="4" w:space="0"/>
            </w:tcBorders>
            <w:shd w:val="clear" w:color="auto" w:fill="auto"/>
            <w:vAlign w:val="center"/>
          </w:tcPr>
          <w:p w14:paraId="62206B4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5000≤Y＜40000</w:t>
            </w:r>
          </w:p>
        </w:tc>
        <w:tc>
          <w:tcPr>
            <w:tcW w:w="756" w:type="pct"/>
            <w:tcBorders>
              <w:top w:val="nil"/>
              <w:left w:val="nil"/>
              <w:bottom w:val="single" w:color="auto" w:sz="4" w:space="0"/>
              <w:right w:val="single" w:color="auto" w:sz="4" w:space="0"/>
            </w:tcBorders>
            <w:shd w:val="clear" w:color="auto" w:fill="auto"/>
            <w:vAlign w:val="center"/>
          </w:tcPr>
          <w:p w14:paraId="742BD7B1">
            <w:pPr>
              <w:keepNext w:val="0"/>
              <w:keepLines w:val="0"/>
              <w:suppressLineNumbers w:val="0"/>
              <w:spacing w:before="0" w:beforeAutospacing="0" w:after="0" w:afterAutospacing="0"/>
              <w:ind w:left="-1" w:leftChars="-1" w:right="0"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1000≤Y＜5000</w:t>
            </w:r>
          </w:p>
        </w:tc>
        <w:tc>
          <w:tcPr>
            <w:tcW w:w="524" w:type="pct"/>
            <w:tcBorders>
              <w:top w:val="nil"/>
              <w:left w:val="nil"/>
              <w:bottom w:val="single" w:color="auto" w:sz="4" w:space="0"/>
              <w:right w:val="nil"/>
            </w:tcBorders>
            <w:shd w:val="clear" w:color="auto" w:fill="auto"/>
            <w:vAlign w:val="center"/>
          </w:tcPr>
          <w:p w14:paraId="745B092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w:t>
            </w:r>
          </w:p>
        </w:tc>
      </w:tr>
      <w:tr w14:paraId="33337038">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4AC9CBDF">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零售业</w:t>
            </w:r>
          </w:p>
        </w:tc>
        <w:tc>
          <w:tcPr>
            <w:tcW w:w="725" w:type="pct"/>
            <w:tcBorders>
              <w:top w:val="nil"/>
              <w:left w:val="nil"/>
              <w:bottom w:val="nil"/>
              <w:right w:val="single" w:color="auto" w:sz="4" w:space="0"/>
            </w:tcBorders>
            <w:shd w:val="clear" w:color="auto" w:fill="auto"/>
            <w:vAlign w:val="center"/>
          </w:tcPr>
          <w:p w14:paraId="3B91380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43362D4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2C8F6F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7B6599C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50≤X＜300</w:t>
            </w:r>
          </w:p>
        </w:tc>
        <w:tc>
          <w:tcPr>
            <w:tcW w:w="756" w:type="pct"/>
            <w:tcBorders>
              <w:top w:val="nil"/>
              <w:left w:val="nil"/>
              <w:bottom w:val="nil"/>
              <w:right w:val="single" w:color="auto" w:sz="4" w:space="0"/>
            </w:tcBorders>
            <w:shd w:val="clear" w:color="auto" w:fill="auto"/>
            <w:vAlign w:val="center"/>
          </w:tcPr>
          <w:p w14:paraId="1BF265D8">
            <w:pPr>
              <w:keepNext w:val="0"/>
              <w:keepLines w:val="0"/>
              <w:suppressLineNumbers w:val="0"/>
              <w:spacing w:before="0" w:beforeAutospacing="0" w:after="0" w:afterAutospacing="0"/>
              <w:ind w:left="-1" w:leftChars="-1" w:right="0"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10≤X＜50 </w:t>
            </w:r>
          </w:p>
        </w:tc>
        <w:tc>
          <w:tcPr>
            <w:tcW w:w="524" w:type="pct"/>
            <w:tcBorders>
              <w:top w:val="nil"/>
              <w:left w:val="nil"/>
              <w:bottom w:val="nil"/>
              <w:right w:val="nil"/>
            </w:tcBorders>
            <w:shd w:val="clear" w:color="auto" w:fill="auto"/>
            <w:vAlign w:val="center"/>
          </w:tcPr>
          <w:p w14:paraId="5520E24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4511B9C1">
        <w:tblPrEx>
          <w:tblCellMar>
            <w:top w:w="0" w:type="dxa"/>
            <w:left w:w="108" w:type="dxa"/>
            <w:bottom w:w="0" w:type="dxa"/>
            <w:right w:w="108" w:type="dxa"/>
          </w:tblCellMar>
        </w:tblPrEx>
        <w:trPr>
          <w:trHeight w:val="409" w:hRule="exact"/>
          <w:jc w:val="center"/>
        </w:trPr>
        <w:tc>
          <w:tcPr>
            <w:tcW w:w="1121" w:type="pct"/>
            <w:vMerge w:val="continue"/>
            <w:tcBorders>
              <w:top w:val="nil"/>
              <w:left w:val="nil"/>
              <w:bottom w:val="single" w:color="auto" w:sz="4" w:space="0"/>
              <w:right w:val="single" w:color="auto" w:sz="4" w:space="0"/>
            </w:tcBorders>
            <w:vAlign w:val="center"/>
          </w:tcPr>
          <w:p w14:paraId="060058A5">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C10FEEE">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2ABA93A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3238638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w:t>
            </w:r>
          </w:p>
        </w:tc>
        <w:tc>
          <w:tcPr>
            <w:tcW w:w="901" w:type="pct"/>
            <w:tcBorders>
              <w:top w:val="nil"/>
              <w:left w:val="nil"/>
              <w:bottom w:val="single" w:color="auto" w:sz="4" w:space="0"/>
              <w:right w:val="single" w:color="auto" w:sz="4" w:space="0"/>
            </w:tcBorders>
            <w:shd w:val="clear" w:color="auto" w:fill="auto"/>
            <w:vAlign w:val="center"/>
          </w:tcPr>
          <w:p w14:paraId="1BB0E91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500≤Y＜20000</w:t>
            </w:r>
          </w:p>
        </w:tc>
        <w:tc>
          <w:tcPr>
            <w:tcW w:w="756" w:type="pct"/>
            <w:tcBorders>
              <w:top w:val="nil"/>
              <w:left w:val="nil"/>
              <w:bottom w:val="single" w:color="auto" w:sz="4" w:space="0"/>
              <w:right w:val="single" w:color="auto" w:sz="4" w:space="0"/>
            </w:tcBorders>
            <w:shd w:val="clear" w:color="auto" w:fill="auto"/>
            <w:vAlign w:val="center"/>
          </w:tcPr>
          <w:p w14:paraId="313C9A45">
            <w:pPr>
              <w:keepNext w:val="0"/>
              <w:keepLines w:val="0"/>
              <w:suppressLineNumbers w:val="0"/>
              <w:spacing w:before="0" w:beforeAutospacing="0" w:after="0" w:afterAutospacing="0"/>
              <w:ind w:left="-1" w:leftChars="-1" w:right="0"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100≤Y＜500 </w:t>
            </w:r>
          </w:p>
        </w:tc>
        <w:tc>
          <w:tcPr>
            <w:tcW w:w="524" w:type="pct"/>
            <w:tcBorders>
              <w:top w:val="nil"/>
              <w:left w:val="nil"/>
              <w:bottom w:val="single" w:color="auto" w:sz="4" w:space="0"/>
              <w:right w:val="nil"/>
            </w:tcBorders>
            <w:shd w:val="clear" w:color="auto" w:fill="auto"/>
            <w:vAlign w:val="center"/>
          </w:tcPr>
          <w:p w14:paraId="37400EC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6F159EC1">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70E4F0C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交通运输业 *</w:t>
            </w:r>
          </w:p>
        </w:tc>
        <w:tc>
          <w:tcPr>
            <w:tcW w:w="725" w:type="pct"/>
            <w:tcBorders>
              <w:top w:val="nil"/>
              <w:left w:val="nil"/>
              <w:bottom w:val="nil"/>
              <w:right w:val="single" w:color="auto" w:sz="4" w:space="0"/>
            </w:tcBorders>
            <w:shd w:val="clear" w:color="auto" w:fill="auto"/>
            <w:vAlign w:val="center"/>
          </w:tcPr>
          <w:p w14:paraId="51F5DCC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36A8611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4E3CFC0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1410485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7B8D0C8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4" w:type="pct"/>
            <w:tcBorders>
              <w:top w:val="nil"/>
              <w:left w:val="nil"/>
              <w:bottom w:val="nil"/>
              <w:right w:val="nil"/>
            </w:tcBorders>
            <w:shd w:val="clear" w:color="auto" w:fill="auto"/>
            <w:vAlign w:val="center"/>
          </w:tcPr>
          <w:p w14:paraId="2420F85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1791983B">
        <w:tblPrEx>
          <w:tblCellMar>
            <w:top w:w="0" w:type="dxa"/>
            <w:left w:w="108" w:type="dxa"/>
            <w:bottom w:w="0" w:type="dxa"/>
            <w:right w:w="108" w:type="dxa"/>
          </w:tblCellMar>
        </w:tblPrEx>
        <w:trPr>
          <w:trHeight w:val="498" w:hRule="exact"/>
          <w:jc w:val="center"/>
        </w:trPr>
        <w:tc>
          <w:tcPr>
            <w:tcW w:w="1121" w:type="pct"/>
            <w:vMerge w:val="continue"/>
            <w:tcBorders>
              <w:top w:val="nil"/>
              <w:left w:val="nil"/>
              <w:bottom w:val="single" w:color="auto" w:sz="4" w:space="0"/>
              <w:right w:val="single" w:color="auto" w:sz="4" w:space="0"/>
            </w:tcBorders>
            <w:vAlign w:val="center"/>
          </w:tcPr>
          <w:p w14:paraId="7477D18D">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5B10CF7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6343E83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3C0472E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1" w:type="pct"/>
            <w:tcBorders>
              <w:top w:val="nil"/>
              <w:left w:val="nil"/>
              <w:bottom w:val="single" w:color="auto" w:sz="4" w:space="0"/>
              <w:right w:val="single" w:color="auto" w:sz="4" w:space="0"/>
            </w:tcBorders>
            <w:shd w:val="clear" w:color="auto" w:fill="auto"/>
            <w:vAlign w:val="center"/>
          </w:tcPr>
          <w:p w14:paraId="517AA37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3000≤Y＜30000</w:t>
            </w:r>
          </w:p>
        </w:tc>
        <w:tc>
          <w:tcPr>
            <w:tcW w:w="756" w:type="pct"/>
            <w:tcBorders>
              <w:top w:val="nil"/>
              <w:left w:val="nil"/>
              <w:bottom w:val="single" w:color="auto" w:sz="4" w:space="0"/>
              <w:right w:val="single" w:color="auto" w:sz="4" w:space="0"/>
            </w:tcBorders>
            <w:shd w:val="clear" w:color="auto" w:fill="auto"/>
            <w:vAlign w:val="center"/>
          </w:tcPr>
          <w:p w14:paraId="2C3F1D5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200≤Y＜3000</w:t>
            </w:r>
          </w:p>
        </w:tc>
        <w:tc>
          <w:tcPr>
            <w:tcW w:w="524" w:type="pct"/>
            <w:tcBorders>
              <w:top w:val="nil"/>
              <w:left w:val="nil"/>
              <w:bottom w:val="single" w:color="auto" w:sz="4" w:space="0"/>
              <w:right w:val="nil"/>
            </w:tcBorders>
            <w:shd w:val="clear" w:color="auto" w:fill="auto"/>
            <w:vAlign w:val="center"/>
          </w:tcPr>
          <w:p w14:paraId="3307341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w:t>
            </w:r>
          </w:p>
        </w:tc>
      </w:tr>
      <w:tr w14:paraId="7324CA13">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28D27621">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仓储业*</w:t>
            </w:r>
          </w:p>
        </w:tc>
        <w:tc>
          <w:tcPr>
            <w:tcW w:w="725" w:type="pct"/>
            <w:tcBorders>
              <w:top w:val="nil"/>
              <w:left w:val="nil"/>
              <w:bottom w:val="nil"/>
              <w:right w:val="single" w:color="auto" w:sz="4" w:space="0"/>
            </w:tcBorders>
            <w:shd w:val="clear" w:color="auto" w:fill="auto"/>
            <w:vAlign w:val="center"/>
          </w:tcPr>
          <w:p w14:paraId="02B3C99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56D8780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2C29790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w:t>
            </w:r>
          </w:p>
        </w:tc>
        <w:tc>
          <w:tcPr>
            <w:tcW w:w="901" w:type="pct"/>
            <w:tcBorders>
              <w:top w:val="nil"/>
              <w:left w:val="nil"/>
              <w:bottom w:val="nil"/>
              <w:right w:val="single" w:color="auto" w:sz="4" w:space="0"/>
            </w:tcBorders>
            <w:shd w:val="clear" w:color="auto" w:fill="auto"/>
            <w:vAlign w:val="center"/>
          </w:tcPr>
          <w:p w14:paraId="0B4BE9FA">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100≤X＜200</w:t>
            </w:r>
          </w:p>
        </w:tc>
        <w:tc>
          <w:tcPr>
            <w:tcW w:w="756" w:type="pct"/>
            <w:tcBorders>
              <w:top w:val="nil"/>
              <w:left w:val="nil"/>
              <w:bottom w:val="nil"/>
              <w:right w:val="single" w:color="auto" w:sz="4" w:space="0"/>
            </w:tcBorders>
            <w:shd w:val="clear" w:color="auto" w:fill="auto"/>
            <w:vAlign w:val="center"/>
          </w:tcPr>
          <w:p w14:paraId="666BCFA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20≤X＜100</w:t>
            </w:r>
          </w:p>
        </w:tc>
        <w:tc>
          <w:tcPr>
            <w:tcW w:w="524" w:type="pct"/>
            <w:tcBorders>
              <w:top w:val="nil"/>
              <w:left w:val="nil"/>
              <w:bottom w:val="nil"/>
              <w:right w:val="nil"/>
            </w:tcBorders>
            <w:shd w:val="clear" w:color="auto" w:fill="auto"/>
            <w:vAlign w:val="center"/>
          </w:tcPr>
          <w:p w14:paraId="7597B97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3D0D7CD7">
        <w:tblPrEx>
          <w:tblCellMar>
            <w:top w:w="0" w:type="dxa"/>
            <w:left w:w="108" w:type="dxa"/>
            <w:bottom w:w="0" w:type="dxa"/>
            <w:right w:w="108" w:type="dxa"/>
          </w:tblCellMar>
        </w:tblPrEx>
        <w:trPr>
          <w:trHeight w:val="568" w:hRule="exact"/>
          <w:jc w:val="center"/>
        </w:trPr>
        <w:tc>
          <w:tcPr>
            <w:tcW w:w="1121" w:type="pct"/>
            <w:vMerge w:val="continue"/>
            <w:tcBorders>
              <w:top w:val="nil"/>
              <w:left w:val="nil"/>
              <w:bottom w:val="single" w:color="auto" w:sz="4" w:space="0"/>
              <w:right w:val="single" w:color="auto" w:sz="4" w:space="0"/>
            </w:tcBorders>
            <w:vAlign w:val="center"/>
          </w:tcPr>
          <w:p w14:paraId="73446885">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13C32015">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628C6A5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4261EDA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1" w:type="pct"/>
            <w:tcBorders>
              <w:top w:val="nil"/>
              <w:left w:val="nil"/>
              <w:bottom w:val="single" w:color="auto" w:sz="4" w:space="0"/>
              <w:right w:val="single" w:color="auto" w:sz="4" w:space="0"/>
            </w:tcBorders>
            <w:shd w:val="clear" w:color="auto" w:fill="auto"/>
            <w:vAlign w:val="center"/>
          </w:tcPr>
          <w:p w14:paraId="428400A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1000≤Y＜30000</w:t>
            </w:r>
          </w:p>
        </w:tc>
        <w:tc>
          <w:tcPr>
            <w:tcW w:w="756" w:type="pct"/>
            <w:tcBorders>
              <w:top w:val="nil"/>
              <w:left w:val="nil"/>
              <w:bottom w:val="single" w:color="auto" w:sz="4" w:space="0"/>
              <w:right w:val="single" w:color="auto" w:sz="4" w:space="0"/>
            </w:tcBorders>
            <w:shd w:val="clear" w:color="auto" w:fill="auto"/>
            <w:vAlign w:val="center"/>
          </w:tcPr>
          <w:p w14:paraId="6420DF1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4" w:type="pct"/>
            <w:tcBorders>
              <w:top w:val="nil"/>
              <w:left w:val="nil"/>
              <w:bottom w:val="single" w:color="auto" w:sz="4" w:space="0"/>
              <w:right w:val="nil"/>
            </w:tcBorders>
            <w:shd w:val="clear" w:color="auto" w:fill="auto"/>
            <w:vAlign w:val="center"/>
          </w:tcPr>
          <w:p w14:paraId="709E9C2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5CCAEF01">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7EE42844">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邮政业</w:t>
            </w:r>
          </w:p>
        </w:tc>
        <w:tc>
          <w:tcPr>
            <w:tcW w:w="725" w:type="pct"/>
            <w:tcBorders>
              <w:top w:val="nil"/>
              <w:left w:val="nil"/>
              <w:bottom w:val="nil"/>
              <w:right w:val="single" w:color="auto" w:sz="4" w:space="0"/>
            </w:tcBorders>
            <w:shd w:val="clear" w:color="auto" w:fill="auto"/>
            <w:vAlign w:val="center"/>
          </w:tcPr>
          <w:p w14:paraId="4C1DBF0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032A06F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40DF520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5D9AE6A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40994DF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4" w:type="pct"/>
            <w:tcBorders>
              <w:top w:val="nil"/>
              <w:left w:val="nil"/>
              <w:bottom w:val="nil"/>
              <w:right w:val="nil"/>
            </w:tcBorders>
            <w:shd w:val="clear" w:color="auto" w:fill="auto"/>
            <w:vAlign w:val="center"/>
          </w:tcPr>
          <w:p w14:paraId="3BE341C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20D8A9BA">
        <w:tblPrEx>
          <w:tblCellMar>
            <w:top w:w="0" w:type="dxa"/>
            <w:left w:w="108" w:type="dxa"/>
            <w:bottom w:w="0" w:type="dxa"/>
            <w:right w:w="108" w:type="dxa"/>
          </w:tblCellMar>
        </w:tblPrEx>
        <w:trPr>
          <w:trHeight w:val="612" w:hRule="exact"/>
          <w:jc w:val="center"/>
        </w:trPr>
        <w:tc>
          <w:tcPr>
            <w:tcW w:w="1121" w:type="pct"/>
            <w:vMerge w:val="continue"/>
            <w:tcBorders>
              <w:top w:val="nil"/>
              <w:left w:val="nil"/>
              <w:bottom w:val="single" w:color="auto" w:sz="4" w:space="0"/>
              <w:right w:val="single" w:color="auto" w:sz="4" w:space="0"/>
            </w:tcBorders>
            <w:vAlign w:val="center"/>
          </w:tcPr>
          <w:p w14:paraId="3C63DDD2">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4D682616">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78B35CC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1E92DD3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1" w:type="pct"/>
            <w:tcBorders>
              <w:top w:val="nil"/>
              <w:left w:val="nil"/>
              <w:bottom w:val="single" w:color="auto" w:sz="4" w:space="0"/>
              <w:right w:val="single" w:color="auto" w:sz="4" w:space="0"/>
            </w:tcBorders>
            <w:shd w:val="clear" w:color="auto" w:fill="auto"/>
            <w:vAlign w:val="center"/>
          </w:tcPr>
          <w:p w14:paraId="11ECCF7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2000≤Y＜30000</w:t>
            </w:r>
          </w:p>
        </w:tc>
        <w:tc>
          <w:tcPr>
            <w:tcW w:w="756" w:type="pct"/>
            <w:tcBorders>
              <w:top w:val="nil"/>
              <w:left w:val="nil"/>
              <w:bottom w:val="single" w:color="auto" w:sz="4" w:space="0"/>
              <w:right w:val="single" w:color="auto" w:sz="4" w:space="0"/>
            </w:tcBorders>
            <w:shd w:val="clear" w:color="auto" w:fill="auto"/>
            <w:vAlign w:val="center"/>
          </w:tcPr>
          <w:p w14:paraId="18E8C66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4" w:type="pct"/>
            <w:tcBorders>
              <w:top w:val="nil"/>
              <w:left w:val="nil"/>
              <w:bottom w:val="single" w:color="auto" w:sz="4" w:space="0"/>
              <w:right w:val="nil"/>
            </w:tcBorders>
            <w:shd w:val="clear" w:color="auto" w:fill="auto"/>
            <w:vAlign w:val="center"/>
          </w:tcPr>
          <w:p w14:paraId="1F1D51B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3200705D">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698BA48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住宿业</w:t>
            </w:r>
          </w:p>
        </w:tc>
        <w:tc>
          <w:tcPr>
            <w:tcW w:w="725" w:type="pct"/>
            <w:tcBorders>
              <w:top w:val="nil"/>
              <w:left w:val="nil"/>
              <w:bottom w:val="nil"/>
              <w:right w:val="single" w:color="auto" w:sz="4" w:space="0"/>
            </w:tcBorders>
            <w:shd w:val="clear" w:color="auto" w:fill="auto"/>
            <w:vAlign w:val="center"/>
          </w:tcPr>
          <w:p w14:paraId="5C6EF85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4079B1E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5BE7FA8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6887D398">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6CDEC9F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19DA3F9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04394227">
        <w:tblPrEx>
          <w:tblCellMar>
            <w:top w:w="0" w:type="dxa"/>
            <w:left w:w="108" w:type="dxa"/>
            <w:bottom w:w="0" w:type="dxa"/>
            <w:right w:w="108" w:type="dxa"/>
          </w:tblCellMar>
        </w:tblPrEx>
        <w:trPr>
          <w:trHeight w:val="540" w:hRule="exact"/>
          <w:jc w:val="center"/>
        </w:trPr>
        <w:tc>
          <w:tcPr>
            <w:tcW w:w="1121" w:type="pct"/>
            <w:vMerge w:val="continue"/>
            <w:tcBorders>
              <w:top w:val="nil"/>
              <w:left w:val="nil"/>
              <w:bottom w:val="single" w:color="auto" w:sz="4" w:space="0"/>
              <w:right w:val="single" w:color="auto" w:sz="4" w:space="0"/>
            </w:tcBorders>
            <w:vAlign w:val="center"/>
          </w:tcPr>
          <w:p w14:paraId="255F1EC9">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62C4C645">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2CCCB75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4EF3216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1" w:type="pct"/>
            <w:tcBorders>
              <w:top w:val="nil"/>
              <w:left w:val="nil"/>
              <w:bottom w:val="single" w:color="auto" w:sz="4" w:space="0"/>
              <w:right w:val="single" w:color="auto" w:sz="4" w:space="0"/>
            </w:tcBorders>
            <w:shd w:val="clear" w:color="auto" w:fill="auto"/>
            <w:vAlign w:val="center"/>
          </w:tcPr>
          <w:p w14:paraId="3424A8F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2000≤Y＜10000</w:t>
            </w:r>
          </w:p>
        </w:tc>
        <w:tc>
          <w:tcPr>
            <w:tcW w:w="756" w:type="pct"/>
            <w:tcBorders>
              <w:top w:val="nil"/>
              <w:left w:val="nil"/>
              <w:bottom w:val="single" w:color="auto" w:sz="4" w:space="0"/>
              <w:right w:val="single" w:color="auto" w:sz="4" w:space="0"/>
            </w:tcBorders>
            <w:shd w:val="clear" w:color="auto" w:fill="auto"/>
            <w:vAlign w:val="center"/>
          </w:tcPr>
          <w:p w14:paraId="7B54734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4" w:type="pct"/>
            <w:tcBorders>
              <w:top w:val="nil"/>
              <w:left w:val="nil"/>
              <w:bottom w:val="single" w:color="auto" w:sz="4" w:space="0"/>
              <w:right w:val="nil"/>
            </w:tcBorders>
            <w:shd w:val="clear" w:color="auto" w:fill="auto"/>
            <w:vAlign w:val="center"/>
          </w:tcPr>
          <w:p w14:paraId="14F0D4C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290E8FBC">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0F165C71">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餐饮业</w:t>
            </w:r>
          </w:p>
        </w:tc>
        <w:tc>
          <w:tcPr>
            <w:tcW w:w="725" w:type="pct"/>
            <w:tcBorders>
              <w:top w:val="nil"/>
              <w:left w:val="nil"/>
              <w:bottom w:val="nil"/>
              <w:right w:val="single" w:color="auto" w:sz="4" w:space="0"/>
            </w:tcBorders>
            <w:shd w:val="clear" w:color="auto" w:fill="auto"/>
            <w:vAlign w:val="center"/>
          </w:tcPr>
          <w:p w14:paraId="6665599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28D30E5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563F27F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523F73F8">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170A3D4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73046A2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0E3EB01F">
        <w:tblPrEx>
          <w:tblCellMar>
            <w:top w:w="0" w:type="dxa"/>
            <w:left w:w="108" w:type="dxa"/>
            <w:bottom w:w="0" w:type="dxa"/>
            <w:right w:w="108" w:type="dxa"/>
          </w:tblCellMar>
        </w:tblPrEx>
        <w:trPr>
          <w:trHeight w:val="598" w:hRule="exact"/>
          <w:jc w:val="center"/>
        </w:trPr>
        <w:tc>
          <w:tcPr>
            <w:tcW w:w="1121" w:type="pct"/>
            <w:vMerge w:val="continue"/>
            <w:tcBorders>
              <w:top w:val="nil"/>
              <w:left w:val="nil"/>
              <w:bottom w:val="single" w:color="auto" w:sz="4" w:space="0"/>
              <w:right w:val="single" w:color="auto" w:sz="4" w:space="0"/>
            </w:tcBorders>
            <w:vAlign w:val="center"/>
          </w:tcPr>
          <w:p w14:paraId="031C078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284BD0F">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4DD96CA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1D59FA4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1" w:type="pct"/>
            <w:tcBorders>
              <w:top w:val="nil"/>
              <w:left w:val="nil"/>
              <w:bottom w:val="single" w:color="auto" w:sz="4" w:space="0"/>
              <w:right w:val="single" w:color="auto" w:sz="4" w:space="0"/>
            </w:tcBorders>
            <w:shd w:val="clear" w:color="auto" w:fill="auto"/>
            <w:vAlign w:val="center"/>
          </w:tcPr>
          <w:p w14:paraId="2252564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2000≤Y＜10000</w:t>
            </w:r>
          </w:p>
        </w:tc>
        <w:tc>
          <w:tcPr>
            <w:tcW w:w="756" w:type="pct"/>
            <w:tcBorders>
              <w:top w:val="nil"/>
              <w:left w:val="nil"/>
              <w:bottom w:val="single" w:color="auto" w:sz="4" w:space="0"/>
              <w:right w:val="single" w:color="auto" w:sz="4" w:space="0"/>
            </w:tcBorders>
            <w:shd w:val="clear" w:color="auto" w:fill="auto"/>
            <w:vAlign w:val="center"/>
          </w:tcPr>
          <w:p w14:paraId="4C7950F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4" w:type="pct"/>
            <w:tcBorders>
              <w:top w:val="nil"/>
              <w:left w:val="nil"/>
              <w:bottom w:val="single" w:color="auto" w:sz="4" w:space="0"/>
              <w:right w:val="nil"/>
            </w:tcBorders>
            <w:shd w:val="clear" w:color="auto" w:fill="auto"/>
            <w:vAlign w:val="center"/>
          </w:tcPr>
          <w:p w14:paraId="5C28BE2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7575276C">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6226AA49">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信息传输业 *</w:t>
            </w:r>
          </w:p>
        </w:tc>
        <w:tc>
          <w:tcPr>
            <w:tcW w:w="725" w:type="pct"/>
            <w:tcBorders>
              <w:top w:val="nil"/>
              <w:left w:val="nil"/>
              <w:bottom w:val="nil"/>
              <w:right w:val="single" w:color="auto" w:sz="4" w:space="0"/>
            </w:tcBorders>
            <w:shd w:val="clear" w:color="auto" w:fill="auto"/>
            <w:vAlign w:val="center"/>
          </w:tcPr>
          <w:p w14:paraId="25E2BA6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6ED4336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0AB5C4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X≥2000</w:t>
            </w:r>
          </w:p>
        </w:tc>
        <w:tc>
          <w:tcPr>
            <w:tcW w:w="901" w:type="pct"/>
            <w:tcBorders>
              <w:top w:val="nil"/>
              <w:left w:val="nil"/>
              <w:bottom w:val="nil"/>
              <w:right w:val="single" w:color="auto" w:sz="4" w:space="0"/>
            </w:tcBorders>
            <w:shd w:val="clear" w:color="auto" w:fill="auto"/>
            <w:vAlign w:val="center"/>
          </w:tcPr>
          <w:p w14:paraId="197F2CE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100≤X＜2000</w:t>
            </w:r>
          </w:p>
        </w:tc>
        <w:tc>
          <w:tcPr>
            <w:tcW w:w="756" w:type="pct"/>
            <w:tcBorders>
              <w:top w:val="nil"/>
              <w:left w:val="nil"/>
              <w:bottom w:val="nil"/>
              <w:right w:val="single" w:color="auto" w:sz="4" w:space="0"/>
            </w:tcBorders>
            <w:shd w:val="clear" w:color="auto" w:fill="auto"/>
            <w:vAlign w:val="center"/>
          </w:tcPr>
          <w:p w14:paraId="5F082A7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3554942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6E0BA73F">
        <w:tblPrEx>
          <w:tblCellMar>
            <w:top w:w="0" w:type="dxa"/>
            <w:left w:w="108" w:type="dxa"/>
            <w:bottom w:w="0" w:type="dxa"/>
            <w:right w:w="108" w:type="dxa"/>
          </w:tblCellMar>
        </w:tblPrEx>
        <w:trPr>
          <w:trHeight w:val="539" w:hRule="exact"/>
          <w:jc w:val="center"/>
        </w:trPr>
        <w:tc>
          <w:tcPr>
            <w:tcW w:w="1121" w:type="pct"/>
            <w:vMerge w:val="continue"/>
            <w:tcBorders>
              <w:top w:val="nil"/>
              <w:left w:val="nil"/>
              <w:bottom w:val="single" w:color="auto" w:sz="4" w:space="0"/>
              <w:right w:val="single" w:color="auto" w:sz="4" w:space="0"/>
            </w:tcBorders>
            <w:vAlign w:val="center"/>
          </w:tcPr>
          <w:p w14:paraId="628CFDA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4698AF9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1382F9D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6BE5A43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Y≥100000</w:t>
            </w:r>
          </w:p>
        </w:tc>
        <w:tc>
          <w:tcPr>
            <w:tcW w:w="901" w:type="pct"/>
            <w:tcBorders>
              <w:top w:val="nil"/>
              <w:left w:val="nil"/>
              <w:bottom w:val="single" w:color="auto" w:sz="4" w:space="0"/>
              <w:right w:val="single" w:color="auto" w:sz="4" w:space="0"/>
            </w:tcBorders>
            <w:shd w:val="clear" w:color="auto" w:fill="auto"/>
            <w:vAlign w:val="center"/>
          </w:tcPr>
          <w:p w14:paraId="3317A58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1000≤Y＜100000</w:t>
            </w:r>
          </w:p>
        </w:tc>
        <w:tc>
          <w:tcPr>
            <w:tcW w:w="756" w:type="pct"/>
            <w:tcBorders>
              <w:top w:val="nil"/>
              <w:left w:val="nil"/>
              <w:bottom w:val="single" w:color="auto" w:sz="4" w:space="0"/>
              <w:right w:val="single" w:color="auto" w:sz="4" w:space="0"/>
            </w:tcBorders>
            <w:shd w:val="clear" w:color="auto" w:fill="auto"/>
            <w:vAlign w:val="center"/>
          </w:tcPr>
          <w:p w14:paraId="0F1A4FC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4" w:type="pct"/>
            <w:tcBorders>
              <w:top w:val="nil"/>
              <w:left w:val="nil"/>
              <w:bottom w:val="single" w:color="auto" w:sz="4" w:space="0"/>
              <w:right w:val="nil"/>
            </w:tcBorders>
            <w:shd w:val="clear" w:color="auto" w:fill="auto"/>
            <w:vAlign w:val="center"/>
          </w:tcPr>
          <w:p w14:paraId="7F5996B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77210C39">
        <w:tblPrEx>
          <w:tblCellMar>
            <w:top w:w="0" w:type="dxa"/>
            <w:left w:w="108" w:type="dxa"/>
            <w:bottom w:w="0" w:type="dxa"/>
            <w:right w:w="108" w:type="dxa"/>
          </w:tblCellMar>
        </w:tblPrEx>
        <w:trPr>
          <w:trHeight w:val="351" w:hRule="exact"/>
          <w:jc w:val="center"/>
        </w:trPr>
        <w:tc>
          <w:tcPr>
            <w:tcW w:w="1121" w:type="pct"/>
            <w:vMerge w:val="restart"/>
            <w:tcBorders>
              <w:top w:val="single" w:color="auto" w:sz="4" w:space="0"/>
              <w:left w:val="nil"/>
              <w:bottom w:val="single" w:color="auto" w:sz="4" w:space="0"/>
              <w:right w:val="single" w:color="auto" w:sz="4" w:space="0"/>
            </w:tcBorders>
            <w:shd w:val="clear" w:color="auto" w:fill="auto"/>
            <w:vAlign w:val="center"/>
          </w:tcPr>
          <w:p w14:paraId="45B417F5">
            <w:pPr>
              <w:keepNext w:val="0"/>
              <w:keepLines w:val="0"/>
              <w:suppressLineNumbers w:val="0"/>
              <w:spacing w:before="0" w:beforeAutospacing="0" w:after="0" w:afterAutospacing="0" w:line="240" w:lineRule="exact"/>
              <w:ind w:left="0" w:right="0"/>
              <w:rPr>
                <w:rFonts w:hint="eastAsia" w:ascii="宋体" w:hAnsi="宋体" w:eastAsia="宋体" w:cs="宋体"/>
                <w:color w:val="000000"/>
                <w:spacing w:val="-12"/>
                <w:sz w:val="21"/>
                <w:szCs w:val="21"/>
              </w:rPr>
            </w:pPr>
            <w:r>
              <w:rPr>
                <w:rFonts w:hint="eastAsia" w:ascii="宋体" w:hAnsi="宋体" w:eastAsia="宋体" w:cs="宋体"/>
                <w:color w:val="000000"/>
                <w:spacing w:val="-12"/>
                <w:sz w:val="21"/>
                <w:szCs w:val="21"/>
              </w:rPr>
              <w:t>软件和信息技术服</w:t>
            </w:r>
            <w:r>
              <w:rPr>
                <w:rFonts w:hint="eastAsia" w:ascii="宋体" w:hAnsi="宋体" w:eastAsia="宋体" w:cs="宋体"/>
                <w:color w:val="000000"/>
                <w:sz w:val="21"/>
                <w:szCs w:val="21"/>
              </w:rPr>
              <w:t>务业</w:t>
            </w:r>
          </w:p>
        </w:tc>
        <w:tc>
          <w:tcPr>
            <w:tcW w:w="725" w:type="pct"/>
            <w:tcBorders>
              <w:top w:val="nil"/>
              <w:left w:val="nil"/>
              <w:bottom w:val="nil"/>
              <w:right w:val="single" w:color="auto" w:sz="4" w:space="0"/>
            </w:tcBorders>
            <w:shd w:val="clear" w:color="auto" w:fill="auto"/>
            <w:vAlign w:val="center"/>
          </w:tcPr>
          <w:p w14:paraId="2D4225B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697ADFE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B1BCBE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51D17C8C">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02891ED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0E55861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384D51DB">
        <w:tblPrEx>
          <w:tblCellMar>
            <w:top w:w="0" w:type="dxa"/>
            <w:left w:w="108" w:type="dxa"/>
            <w:bottom w:w="0" w:type="dxa"/>
            <w:right w:w="108" w:type="dxa"/>
          </w:tblCellMar>
        </w:tblPrEx>
        <w:trPr>
          <w:trHeight w:val="523" w:hRule="exact"/>
          <w:jc w:val="center"/>
        </w:trPr>
        <w:tc>
          <w:tcPr>
            <w:tcW w:w="1121" w:type="pct"/>
            <w:vMerge w:val="continue"/>
            <w:tcBorders>
              <w:top w:val="single" w:color="auto" w:sz="4" w:space="0"/>
              <w:left w:val="nil"/>
              <w:bottom w:val="single" w:color="auto" w:sz="4" w:space="0"/>
              <w:right w:val="single" w:color="auto" w:sz="4" w:space="0"/>
            </w:tcBorders>
            <w:vAlign w:val="center"/>
          </w:tcPr>
          <w:p w14:paraId="61B7FD76">
            <w:pPr>
              <w:keepNext w:val="0"/>
              <w:keepLines w:val="0"/>
              <w:suppressLineNumbers w:val="0"/>
              <w:spacing w:before="0" w:beforeAutospacing="0" w:after="0" w:afterAutospacing="0"/>
              <w:ind w:left="0" w:right="0"/>
              <w:rPr>
                <w:rFonts w:hint="eastAsia" w:ascii="宋体" w:hAnsi="宋体" w:eastAsia="宋体" w:cs="宋体"/>
                <w:color w:val="000000"/>
                <w:spacing w:val="-12"/>
                <w:sz w:val="21"/>
                <w:szCs w:val="21"/>
              </w:rPr>
            </w:pPr>
          </w:p>
        </w:tc>
        <w:tc>
          <w:tcPr>
            <w:tcW w:w="725" w:type="pct"/>
            <w:tcBorders>
              <w:top w:val="nil"/>
              <w:left w:val="nil"/>
              <w:bottom w:val="single" w:color="auto" w:sz="4" w:space="0"/>
              <w:right w:val="single" w:color="auto" w:sz="4" w:space="0"/>
            </w:tcBorders>
            <w:shd w:val="clear" w:color="auto" w:fill="auto"/>
            <w:vAlign w:val="center"/>
          </w:tcPr>
          <w:p w14:paraId="48F14E6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46C8D6C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620E34C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1" w:type="pct"/>
            <w:tcBorders>
              <w:top w:val="nil"/>
              <w:left w:val="nil"/>
              <w:bottom w:val="single" w:color="auto" w:sz="4" w:space="0"/>
              <w:right w:val="single" w:color="auto" w:sz="4" w:space="0"/>
            </w:tcBorders>
            <w:shd w:val="clear" w:color="auto" w:fill="auto"/>
            <w:vAlign w:val="center"/>
          </w:tcPr>
          <w:p w14:paraId="29C41C5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1000≤Y＜10000</w:t>
            </w:r>
          </w:p>
        </w:tc>
        <w:tc>
          <w:tcPr>
            <w:tcW w:w="756" w:type="pct"/>
            <w:tcBorders>
              <w:top w:val="nil"/>
              <w:left w:val="nil"/>
              <w:bottom w:val="single" w:color="auto" w:sz="4" w:space="0"/>
              <w:right w:val="single" w:color="auto" w:sz="4" w:space="0"/>
            </w:tcBorders>
            <w:shd w:val="clear" w:color="auto" w:fill="auto"/>
            <w:vAlign w:val="center"/>
          </w:tcPr>
          <w:p w14:paraId="30D5967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50≤Y＜1000</w:t>
            </w:r>
          </w:p>
        </w:tc>
        <w:tc>
          <w:tcPr>
            <w:tcW w:w="524" w:type="pct"/>
            <w:tcBorders>
              <w:top w:val="nil"/>
              <w:left w:val="nil"/>
              <w:bottom w:val="single" w:color="auto" w:sz="4" w:space="0"/>
              <w:right w:val="nil"/>
            </w:tcBorders>
            <w:shd w:val="clear" w:color="auto" w:fill="auto"/>
            <w:vAlign w:val="center"/>
          </w:tcPr>
          <w:p w14:paraId="3AD7B85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w:t>
            </w:r>
          </w:p>
        </w:tc>
      </w:tr>
      <w:tr w14:paraId="602EC54F">
        <w:tblPrEx>
          <w:tblCellMar>
            <w:top w:w="0" w:type="dxa"/>
            <w:left w:w="108" w:type="dxa"/>
            <w:bottom w:w="0" w:type="dxa"/>
            <w:right w:w="108" w:type="dxa"/>
          </w:tblCellMar>
        </w:tblPrEx>
        <w:trPr>
          <w:trHeight w:val="493"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481C872B">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房地产开发经营</w:t>
            </w:r>
          </w:p>
        </w:tc>
        <w:tc>
          <w:tcPr>
            <w:tcW w:w="725" w:type="pct"/>
            <w:tcBorders>
              <w:top w:val="nil"/>
              <w:left w:val="nil"/>
              <w:bottom w:val="nil"/>
              <w:right w:val="single" w:color="auto" w:sz="4" w:space="0"/>
            </w:tcBorders>
            <w:shd w:val="clear" w:color="auto" w:fill="auto"/>
            <w:vAlign w:val="center"/>
          </w:tcPr>
          <w:p w14:paraId="45CCA4E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nil"/>
              <w:right w:val="single" w:color="auto" w:sz="4" w:space="0"/>
            </w:tcBorders>
            <w:shd w:val="clear" w:color="auto" w:fill="auto"/>
            <w:vAlign w:val="center"/>
          </w:tcPr>
          <w:p w14:paraId="57584D3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nil"/>
              <w:right w:val="single" w:color="auto" w:sz="4" w:space="0"/>
            </w:tcBorders>
            <w:shd w:val="clear" w:color="auto" w:fill="auto"/>
            <w:vAlign w:val="center"/>
          </w:tcPr>
          <w:p w14:paraId="22560B0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Y≥200000</w:t>
            </w:r>
          </w:p>
        </w:tc>
        <w:tc>
          <w:tcPr>
            <w:tcW w:w="901" w:type="pct"/>
            <w:tcBorders>
              <w:top w:val="nil"/>
              <w:left w:val="nil"/>
              <w:bottom w:val="nil"/>
              <w:right w:val="single" w:color="auto" w:sz="4" w:space="0"/>
            </w:tcBorders>
            <w:shd w:val="clear" w:color="auto" w:fill="auto"/>
            <w:vAlign w:val="center"/>
          </w:tcPr>
          <w:p w14:paraId="1CF8A84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1000≤Y＜200000</w:t>
            </w:r>
          </w:p>
        </w:tc>
        <w:tc>
          <w:tcPr>
            <w:tcW w:w="756" w:type="pct"/>
            <w:tcBorders>
              <w:top w:val="nil"/>
              <w:left w:val="nil"/>
              <w:bottom w:val="nil"/>
              <w:right w:val="single" w:color="auto" w:sz="4" w:space="0"/>
            </w:tcBorders>
            <w:shd w:val="clear" w:color="auto" w:fill="auto"/>
            <w:vAlign w:val="center"/>
          </w:tcPr>
          <w:p w14:paraId="110E573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4" w:type="pct"/>
            <w:tcBorders>
              <w:top w:val="nil"/>
              <w:left w:val="nil"/>
              <w:bottom w:val="nil"/>
              <w:right w:val="nil"/>
            </w:tcBorders>
            <w:shd w:val="clear" w:color="auto" w:fill="auto"/>
            <w:vAlign w:val="center"/>
          </w:tcPr>
          <w:p w14:paraId="775C602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30A1D483">
        <w:tblPrEx>
          <w:tblCellMar>
            <w:top w:w="0" w:type="dxa"/>
            <w:left w:w="108" w:type="dxa"/>
            <w:bottom w:w="0" w:type="dxa"/>
            <w:right w:w="108" w:type="dxa"/>
          </w:tblCellMar>
        </w:tblPrEx>
        <w:trPr>
          <w:trHeight w:val="523" w:hRule="exact"/>
          <w:jc w:val="center"/>
        </w:trPr>
        <w:tc>
          <w:tcPr>
            <w:tcW w:w="1121" w:type="pct"/>
            <w:vMerge w:val="continue"/>
            <w:tcBorders>
              <w:top w:val="nil"/>
              <w:left w:val="nil"/>
              <w:bottom w:val="single" w:color="auto" w:sz="4" w:space="0"/>
              <w:right w:val="single" w:color="auto" w:sz="4" w:space="0"/>
            </w:tcBorders>
            <w:vAlign w:val="center"/>
          </w:tcPr>
          <w:p w14:paraId="7318124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05C63367">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3" w:type="pct"/>
            <w:tcBorders>
              <w:top w:val="nil"/>
              <w:left w:val="nil"/>
              <w:bottom w:val="single" w:color="auto" w:sz="4" w:space="0"/>
              <w:right w:val="single" w:color="auto" w:sz="4" w:space="0"/>
            </w:tcBorders>
            <w:shd w:val="clear" w:color="auto" w:fill="auto"/>
            <w:vAlign w:val="center"/>
          </w:tcPr>
          <w:p w14:paraId="4036377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7F8A5B4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Z≥10000</w:t>
            </w:r>
          </w:p>
        </w:tc>
        <w:tc>
          <w:tcPr>
            <w:tcW w:w="901" w:type="pct"/>
            <w:tcBorders>
              <w:top w:val="nil"/>
              <w:left w:val="nil"/>
              <w:bottom w:val="single" w:color="auto" w:sz="4" w:space="0"/>
              <w:right w:val="single" w:color="auto" w:sz="4" w:space="0"/>
            </w:tcBorders>
            <w:shd w:val="clear" w:color="auto" w:fill="auto"/>
            <w:vAlign w:val="center"/>
          </w:tcPr>
          <w:p w14:paraId="33E1CA9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5000≤Z＜10000</w:t>
            </w:r>
          </w:p>
        </w:tc>
        <w:tc>
          <w:tcPr>
            <w:tcW w:w="756" w:type="pct"/>
            <w:tcBorders>
              <w:top w:val="nil"/>
              <w:left w:val="nil"/>
              <w:bottom w:val="single" w:color="auto" w:sz="4" w:space="0"/>
              <w:right w:val="single" w:color="auto" w:sz="4" w:space="0"/>
            </w:tcBorders>
            <w:shd w:val="clear" w:color="auto" w:fill="auto"/>
            <w:vAlign w:val="center"/>
          </w:tcPr>
          <w:p w14:paraId="6E2F923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2000≤Z＜5000</w:t>
            </w:r>
          </w:p>
        </w:tc>
        <w:tc>
          <w:tcPr>
            <w:tcW w:w="524" w:type="pct"/>
            <w:tcBorders>
              <w:top w:val="nil"/>
              <w:left w:val="nil"/>
              <w:bottom w:val="single" w:color="auto" w:sz="4" w:space="0"/>
              <w:right w:val="nil"/>
            </w:tcBorders>
            <w:shd w:val="clear" w:color="auto" w:fill="auto"/>
            <w:vAlign w:val="center"/>
          </w:tcPr>
          <w:p w14:paraId="0AA13F7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Z＜2000</w:t>
            </w:r>
          </w:p>
        </w:tc>
      </w:tr>
      <w:tr w14:paraId="52DD8552">
        <w:tblPrEx>
          <w:tblCellMar>
            <w:top w:w="0" w:type="dxa"/>
            <w:left w:w="108" w:type="dxa"/>
            <w:bottom w:w="0" w:type="dxa"/>
            <w:right w:w="108" w:type="dxa"/>
          </w:tblCellMar>
        </w:tblPrEx>
        <w:trPr>
          <w:trHeight w:val="351"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04FE9FA7">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物业管理</w:t>
            </w:r>
          </w:p>
        </w:tc>
        <w:tc>
          <w:tcPr>
            <w:tcW w:w="725" w:type="pct"/>
            <w:tcBorders>
              <w:top w:val="nil"/>
              <w:left w:val="nil"/>
              <w:bottom w:val="nil"/>
              <w:right w:val="single" w:color="auto" w:sz="4" w:space="0"/>
            </w:tcBorders>
            <w:shd w:val="clear" w:color="auto" w:fill="auto"/>
            <w:vAlign w:val="center"/>
          </w:tcPr>
          <w:p w14:paraId="7630060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539C3CA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910EF2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4FC6582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727C294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524" w:type="pct"/>
            <w:tcBorders>
              <w:top w:val="nil"/>
              <w:left w:val="nil"/>
              <w:bottom w:val="nil"/>
              <w:right w:val="nil"/>
            </w:tcBorders>
            <w:shd w:val="clear" w:color="auto" w:fill="auto"/>
            <w:vAlign w:val="center"/>
          </w:tcPr>
          <w:p w14:paraId="14AE39A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w:t>
            </w:r>
          </w:p>
        </w:tc>
      </w:tr>
      <w:tr w14:paraId="13B76433">
        <w:tblPrEx>
          <w:tblCellMar>
            <w:top w:w="0" w:type="dxa"/>
            <w:left w:w="108" w:type="dxa"/>
            <w:bottom w:w="0" w:type="dxa"/>
            <w:right w:w="108" w:type="dxa"/>
          </w:tblCellMar>
        </w:tblPrEx>
        <w:trPr>
          <w:trHeight w:val="523" w:hRule="exact"/>
          <w:jc w:val="center"/>
        </w:trPr>
        <w:tc>
          <w:tcPr>
            <w:tcW w:w="1121" w:type="pct"/>
            <w:vMerge w:val="continue"/>
            <w:tcBorders>
              <w:top w:val="nil"/>
              <w:left w:val="nil"/>
              <w:bottom w:val="single" w:color="auto" w:sz="4" w:space="0"/>
              <w:right w:val="single" w:color="auto" w:sz="4" w:space="0"/>
            </w:tcBorders>
            <w:vAlign w:val="center"/>
          </w:tcPr>
          <w:p w14:paraId="1A68BC5E">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16BA7C3E">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51610F9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799D96E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Y≥5000</w:t>
            </w:r>
          </w:p>
        </w:tc>
        <w:tc>
          <w:tcPr>
            <w:tcW w:w="901" w:type="pct"/>
            <w:tcBorders>
              <w:top w:val="nil"/>
              <w:left w:val="nil"/>
              <w:bottom w:val="single" w:color="auto" w:sz="4" w:space="0"/>
              <w:right w:val="single" w:color="auto" w:sz="4" w:space="0"/>
            </w:tcBorders>
            <w:shd w:val="clear" w:color="auto" w:fill="auto"/>
            <w:vAlign w:val="center"/>
          </w:tcPr>
          <w:p w14:paraId="37E7E745">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1000≤Y＜5000 </w:t>
            </w:r>
          </w:p>
        </w:tc>
        <w:tc>
          <w:tcPr>
            <w:tcW w:w="756" w:type="pct"/>
            <w:tcBorders>
              <w:top w:val="nil"/>
              <w:left w:val="nil"/>
              <w:bottom w:val="single" w:color="auto" w:sz="4" w:space="0"/>
              <w:right w:val="single" w:color="auto" w:sz="4" w:space="0"/>
            </w:tcBorders>
            <w:shd w:val="clear" w:color="auto" w:fill="auto"/>
            <w:vAlign w:val="center"/>
          </w:tcPr>
          <w:p w14:paraId="4731D9D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500≤Y＜1000</w:t>
            </w:r>
          </w:p>
        </w:tc>
        <w:tc>
          <w:tcPr>
            <w:tcW w:w="524" w:type="pct"/>
            <w:tcBorders>
              <w:top w:val="nil"/>
              <w:left w:val="nil"/>
              <w:bottom w:val="single" w:color="auto" w:sz="4" w:space="0"/>
              <w:right w:val="nil"/>
            </w:tcBorders>
            <w:shd w:val="clear" w:color="auto" w:fill="auto"/>
            <w:vAlign w:val="center"/>
          </w:tcPr>
          <w:p w14:paraId="29AC619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Y＜500</w:t>
            </w:r>
          </w:p>
        </w:tc>
      </w:tr>
      <w:tr w14:paraId="3BA7E760">
        <w:tblPrEx>
          <w:tblCellMar>
            <w:top w:w="0" w:type="dxa"/>
            <w:left w:w="108" w:type="dxa"/>
            <w:bottom w:w="0" w:type="dxa"/>
            <w:right w:w="108" w:type="dxa"/>
          </w:tblCellMar>
        </w:tblPrEx>
        <w:trPr>
          <w:trHeight w:val="351"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27199F9B">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租赁和商务服务业</w:t>
            </w:r>
          </w:p>
        </w:tc>
        <w:tc>
          <w:tcPr>
            <w:tcW w:w="725" w:type="pct"/>
            <w:tcBorders>
              <w:top w:val="nil"/>
              <w:left w:val="nil"/>
              <w:bottom w:val="nil"/>
              <w:right w:val="single" w:color="auto" w:sz="4" w:space="0"/>
            </w:tcBorders>
            <w:shd w:val="clear" w:color="auto" w:fill="auto"/>
            <w:vAlign w:val="center"/>
          </w:tcPr>
          <w:p w14:paraId="463D482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1C35B23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2F820C7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32D65003">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4818E20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643E368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3B226B3D">
        <w:tblPrEx>
          <w:tblCellMar>
            <w:top w:w="0" w:type="dxa"/>
            <w:left w:w="108" w:type="dxa"/>
            <w:bottom w:w="0" w:type="dxa"/>
            <w:right w:w="108" w:type="dxa"/>
          </w:tblCellMar>
        </w:tblPrEx>
        <w:trPr>
          <w:trHeight w:val="510" w:hRule="exact"/>
          <w:jc w:val="center"/>
        </w:trPr>
        <w:tc>
          <w:tcPr>
            <w:tcW w:w="1121" w:type="pct"/>
            <w:vMerge w:val="continue"/>
            <w:tcBorders>
              <w:top w:val="nil"/>
              <w:left w:val="nil"/>
              <w:bottom w:val="single" w:color="auto" w:sz="4" w:space="0"/>
              <w:right w:val="single" w:color="auto" w:sz="4" w:space="0"/>
            </w:tcBorders>
            <w:vAlign w:val="center"/>
          </w:tcPr>
          <w:p w14:paraId="52835203">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134416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3" w:type="pct"/>
            <w:tcBorders>
              <w:top w:val="nil"/>
              <w:left w:val="nil"/>
              <w:bottom w:val="single" w:color="auto" w:sz="4" w:space="0"/>
              <w:right w:val="single" w:color="auto" w:sz="4" w:space="0"/>
            </w:tcBorders>
            <w:shd w:val="clear" w:color="auto" w:fill="auto"/>
            <w:vAlign w:val="center"/>
          </w:tcPr>
          <w:p w14:paraId="175AB97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6297D50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Z≥120000</w:t>
            </w:r>
          </w:p>
        </w:tc>
        <w:tc>
          <w:tcPr>
            <w:tcW w:w="901" w:type="pct"/>
            <w:tcBorders>
              <w:top w:val="nil"/>
              <w:left w:val="nil"/>
              <w:bottom w:val="single" w:color="auto" w:sz="4" w:space="0"/>
              <w:right w:val="single" w:color="auto" w:sz="4" w:space="0"/>
            </w:tcBorders>
            <w:shd w:val="clear" w:color="auto" w:fill="auto"/>
            <w:vAlign w:val="center"/>
          </w:tcPr>
          <w:p w14:paraId="3A78E3E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8000≤Z＜120000</w:t>
            </w:r>
          </w:p>
        </w:tc>
        <w:tc>
          <w:tcPr>
            <w:tcW w:w="756" w:type="pct"/>
            <w:tcBorders>
              <w:top w:val="nil"/>
              <w:left w:val="nil"/>
              <w:bottom w:val="single" w:color="auto" w:sz="4" w:space="0"/>
              <w:right w:val="single" w:color="auto" w:sz="4" w:space="0"/>
            </w:tcBorders>
            <w:shd w:val="clear" w:color="auto" w:fill="auto"/>
            <w:vAlign w:val="center"/>
          </w:tcPr>
          <w:p w14:paraId="2B6A714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100≤Z＜8000</w:t>
            </w:r>
          </w:p>
        </w:tc>
        <w:tc>
          <w:tcPr>
            <w:tcW w:w="524" w:type="pct"/>
            <w:tcBorders>
              <w:top w:val="nil"/>
              <w:left w:val="nil"/>
              <w:bottom w:val="single" w:color="auto" w:sz="4" w:space="0"/>
              <w:right w:val="nil"/>
            </w:tcBorders>
            <w:shd w:val="clear" w:color="auto" w:fill="auto"/>
            <w:vAlign w:val="center"/>
          </w:tcPr>
          <w:p w14:paraId="47A3466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Z＜100</w:t>
            </w:r>
          </w:p>
        </w:tc>
      </w:tr>
      <w:tr w14:paraId="2C1E9CB7">
        <w:tblPrEx>
          <w:tblCellMar>
            <w:top w:w="0" w:type="dxa"/>
            <w:left w:w="108" w:type="dxa"/>
            <w:bottom w:w="0" w:type="dxa"/>
            <w:right w:w="108" w:type="dxa"/>
          </w:tblCellMar>
        </w:tblPrEx>
        <w:trPr>
          <w:trHeight w:val="720" w:hRule="exact"/>
          <w:jc w:val="center"/>
        </w:trPr>
        <w:tc>
          <w:tcPr>
            <w:tcW w:w="1121" w:type="pct"/>
            <w:tcBorders>
              <w:top w:val="nil"/>
              <w:left w:val="nil"/>
              <w:bottom w:val="single" w:color="auto" w:sz="4" w:space="0"/>
              <w:right w:val="single" w:color="auto" w:sz="4" w:space="0"/>
            </w:tcBorders>
            <w:shd w:val="clear" w:color="auto" w:fill="auto"/>
            <w:vAlign w:val="center"/>
          </w:tcPr>
          <w:p w14:paraId="5684BF9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其他未列明行业 *</w:t>
            </w:r>
          </w:p>
        </w:tc>
        <w:tc>
          <w:tcPr>
            <w:tcW w:w="725" w:type="pct"/>
            <w:tcBorders>
              <w:top w:val="nil"/>
              <w:left w:val="nil"/>
              <w:bottom w:val="single" w:color="auto" w:sz="4" w:space="0"/>
              <w:right w:val="single" w:color="auto" w:sz="4" w:space="0"/>
            </w:tcBorders>
            <w:shd w:val="clear" w:color="auto" w:fill="auto"/>
            <w:vAlign w:val="center"/>
          </w:tcPr>
          <w:p w14:paraId="2BE1969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single" w:color="auto" w:sz="4" w:space="0"/>
              <w:right w:val="single" w:color="auto" w:sz="4" w:space="0"/>
            </w:tcBorders>
            <w:shd w:val="clear" w:color="auto" w:fill="auto"/>
            <w:vAlign w:val="center"/>
          </w:tcPr>
          <w:p w14:paraId="27854EA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single" w:color="auto" w:sz="4" w:space="0"/>
              <w:right w:val="single" w:color="auto" w:sz="4" w:space="0"/>
            </w:tcBorders>
            <w:shd w:val="clear" w:color="auto" w:fill="auto"/>
            <w:vAlign w:val="center"/>
          </w:tcPr>
          <w:p w14:paraId="3D5F863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single" w:color="auto" w:sz="4" w:space="0"/>
              <w:right w:val="single" w:color="auto" w:sz="4" w:space="0"/>
            </w:tcBorders>
            <w:shd w:val="clear" w:color="auto" w:fill="auto"/>
            <w:vAlign w:val="center"/>
          </w:tcPr>
          <w:p w14:paraId="0C1E1D9E">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single" w:color="auto" w:sz="4" w:space="0"/>
              <w:right w:val="single" w:color="auto" w:sz="4" w:space="0"/>
            </w:tcBorders>
            <w:shd w:val="clear" w:color="auto" w:fill="auto"/>
            <w:vAlign w:val="center"/>
          </w:tcPr>
          <w:p w14:paraId="6BCAF46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single" w:color="auto" w:sz="4" w:space="0"/>
              <w:right w:val="nil"/>
            </w:tcBorders>
            <w:shd w:val="clear" w:color="auto" w:fill="auto"/>
            <w:vAlign w:val="center"/>
          </w:tcPr>
          <w:p w14:paraId="10286CB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bl>
    <w:p w14:paraId="3EA04559">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说明：</w:t>
      </w:r>
    </w:p>
    <w:p w14:paraId="1466E79E">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1.大型、中型和小型企业须同时满足所列指标的下限，否则下划一档；微型企业只须满足所列指标中的一项即可。</w:t>
      </w:r>
    </w:p>
    <w:p w14:paraId="40C76877">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F33104E">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0FCBB8AC">
      <w:pPr>
        <w:spacing w:line="240" w:lineRule="exact"/>
        <w:ind w:firstLine="360" w:firstLineChars="200"/>
        <w:rPr>
          <w:rFonts w:hint="eastAsia" w:ascii="宋体" w:hAnsi="宋体" w:cs="宋体"/>
          <w:color w:val="000000"/>
          <w:sz w:val="18"/>
          <w:szCs w:val="18"/>
          <w:lang w:val="en-US" w:eastAsia="zh-CN"/>
        </w:rPr>
      </w:pPr>
    </w:p>
    <w:p w14:paraId="02D9636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center"/>
        <w:rPr>
          <w:rFonts w:hint="eastAsia" w:asciiTheme="minorHAnsi" w:hAnsiTheme="minorHAnsi" w:eastAsiaTheme="minorEastAsia" w:cstheme="minorBidi"/>
          <w:b/>
          <w:color w:val="auto"/>
          <w:kern w:val="2"/>
          <w:sz w:val="21"/>
          <w:szCs w:val="24"/>
          <w:lang w:val="en-US" w:eastAsia="zh-CN" w:bidi="ar-SA"/>
        </w:rPr>
      </w:pPr>
      <w:r>
        <w:rPr>
          <w:rFonts w:hint="eastAsia" w:asciiTheme="minorHAnsi" w:hAnsiTheme="minorHAnsi" w:eastAsiaTheme="minorEastAsia" w:cstheme="minorBidi"/>
          <w:b/>
          <w:color w:val="auto"/>
          <w:kern w:val="2"/>
          <w:sz w:val="21"/>
          <w:szCs w:val="24"/>
          <w:lang w:val="en-US" w:eastAsia="zh-CN" w:bidi="ar-SA"/>
        </w:rPr>
        <w:t>4、国务院办公厅关于在政府采购中实施本国产品标准及相关政策的通知</w:t>
      </w:r>
    </w:p>
    <w:p w14:paraId="55FC967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right"/>
        <w:rPr>
          <w:rFonts w:hint="eastAsia" w:ascii="宋体" w:hAnsi="宋体" w:eastAsia="宋体" w:cs="宋体"/>
          <w:i w:val="0"/>
          <w:iCs w:val="0"/>
          <w:caps w:val="0"/>
          <w:color w:val="333333"/>
          <w:spacing w:val="0"/>
          <w:sz w:val="21"/>
          <w:szCs w:val="21"/>
          <w:shd w:val="clear" w:color="auto" w:fill="FFFFFF"/>
        </w:rPr>
      </w:pPr>
      <w:r>
        <w:rPr>
          <w:rFonts w:ascii="楷体_GB2312" w:hAnsi="楷体_GB2312" w:eastAsia="楷体_GB2312" w:cs="楷体_GB2312"/>
          <w:i w:val="0"/>
          <w:iCs w:val="0"/>
          <w:caps w:val="0"/>
          <w:color w:val="333333"/>
          <w:spacing w:val="0"/>
          <w:sz w:val="21"/>
          <w:szCs w:val="21"/>
          <w:shd w:val="clear" w:color="auto" w:fill="FFFFFF"/>
        </w:rPr>
        <w:t>国办发〔2025〕34号</w:t>
      </w:r>
      <w:r>
        <w:rPr>
          <w:rFonts w:hint="eastAsia" w:ascii="宋体" w:hAnsi="宋体" w:eastAsia="宋体" w:cs="宋体"/>
          <w:i w:val="0"/>
          <w:iCs w:val="0"/>
          <w:caps w:val="0"/>
          <w:color w:val="333333"/>
          <w:spacing w:val="0"/>
          <w:sz w:val="21"/>
          <w:szCs w:val="21"/>
          <w:shd w:val="clear" w:color="auto" w:fill="FFFFFF"/>
        </w:rPr>
        <w:t>  </w:t>
      </w:r>
    </w:p>
    <w:p w14:paraId="70BF84B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各省、自治区、直辖市人民政府，国务院各部委、各直属机构：</w:t>
      </w:r>
    </w:p>
    <w:p w14:paraId="36700AB0">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为构建统一开放、竞争有序的政府采购市场体系，完善政府采购制度，保障各类经营主体平等参与政府采购活动，根据《中华人民共和国政府采购法》、《中华人民共和国外商投资法》等有关法律法规规定，经国务院同意，现就在政府采购中实施本国产品标准及相关政策通知如下：</w:t>
      </w:r>
    </w:p>
    <w:p w14:paraId="5B1209F0">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1"/>
          <w:rFonts w:hint="eastAsia" w:ascii="宋体" w:hAnsi="宋体" w:eastAsia="宋体" w:cs="宋体"/>
          <w:i w:val="0"/>
          <w:iCs w:val="0"/>
          <w:caps w:val="0"/>
          <w:color w:val="333333"/>
          <w:spacing w:val="0"/>
          <w:sz w:val="21"/>
          <w:szCs w:val="21"/>
          <w:shd w:val="clear" w:color="auto" w:fill="FFFFFF"/>
        </w:rPr>
        <w:t>一、本国产品标准</w:t>
      </w:r>
    </w:p>
    <w:p w14:paraId="53A7DA8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本国产品应当符合以下条件：</w:t>
      </w:r>
    </w:p>
    <w:p w14:paraId="07811D9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（一）在中国境内生产</w:t>
      </w:r>
    </w:p>
    <w:p w14:paraId="1D0B8DE7">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产品应当在中国境内生产，即在中华人民共和国关境内实现从原材料、组件到产品的属性改变。</w:t>
      </w:r>
    </w:p>
    <w:p w14:paraId="5218A7F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属性改变是指经过制造、加工或者组装等工序，产生完全不同于原材料、组件的新产品，并具有新的名称和特征（用途）。属性改变不包括以下细微操作：</w:t>
      </w:r>
    </w:p>
    <w:p w14:paraId="7583F375">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1.为确保产品在运输或者储存期间保持某种状态而进行的操作；</w:t>
      </w:r>
    </w:p>
    <w:p w14:paraId="7C9D155A">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2.为产品运输或者销售进行的包装或者展示；</w:t>
      </w:r>
    </w:p>
    <w:p w14:paraId="5C7ABA3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3.在产品或者其包装上粘贴或者印刷品牌、标志、标识以及其他用于区别的标记；</w:t>
      </w:r>
    </w:p>
    <w:p w14:paraId="1C3EDEFF">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4.简单的上漆、磨光和分装；</w:t>
      </w:r>
    </w:p>
    <w:p w14:paraId="4E66159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5.其他不属于属性改变的情形。</w:t>
      </w:r>
    </w:p>
    <w:p w14:paraId="1A548C3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（二）在中国境内生产的组件成本占比达到规定比例</w:t>
      </w:r>
    </w:p>
    <w:p w14:paraId="5A44497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产品在中国境内生产的组件成本占比应当达到规定比例，计算公式为：</w:t>
      </w:r>
    </w:p>
    <w:p w14:paraId="748F95A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drawing>
          <wp:inline distT="0" distB="0" distL="114300" distR="114300">
            <wp:extent cx="2733675" cy="390525"/>
            <wp:effectExtent l="0" t="0" r="9525" b="9525"/>
            <wp:docPr id="6" name="图片 1"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IMG_259"/>
                    <pic:cNvPicPr>
                      <a:picLocks noChangeAspect="1"/>
                    </pic:cNvPicPr>
                  </pic:nvPicPr>
                  <pic:blipFill>
                    <a:blip r:embed="rId6"/>
                    <a:stretch>
                      <a:fillRect/>
                    </a:stretch>
                  </pic:blipFill>
                  <pic:spPr>
                    <a:xfrm>
                      <a:off x="0" y="0"/>
                      <a:ext cx="2733675" cy="390525"/>
                    </a:xfrm>
                    <a:prstGeom prst="rect">
                      <a:avLst/>
                    </a:prstGeom>
                    <a:noFill/>
                    <a:ln>
                      <a:noFill/>
                    </a:ln>
                  </pic:spPr>
                </pic:pic>
              </a:graphicData>
            </a:graphic>
          </wp:inline>
        </w:drawing>
      </w:r>
    </w:p>
    <w:p w14:paraId="2B92452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1023538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（三）特定产品的关键组件、关键工序符合相关要求</w:t>
      </w:r>
    </w:p>
    <w:p w14:paraId="0773D6E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对特定产品，在符合本通知第一条第（一）项和第（二）项条件的基础上，应当符合财政部会同有关行业主管部门确定的其关键组件、关键工序在中国境内生产、完成等要求。</w:t>
      </w:r>
    </w:p>
    <w:p w14:paraId="0964E0E1">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318A66AE">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1"/>
          <w:rFonts w:hint="eastAsia" w:ascii="宋体" w:hAnsi="宋体" w:eastAsia="宋体" w:cs="宋体"/>
          <w:i w:val="0"/>
          <w:iCs w:val="0"/>
          <w:caps w:val="0"/>
          <w:color w:val="333333"/>
          <w:spacing w:val="0"/>
          <w:sz w:val="21"/>
          <w:szCs w:val="21"/>
          <w:shd w:val="clear" w:color="auto" w:fill="FFFFFF"/>
        </w:rPr>
        <w:t>二、本国产品标准的适用范围</w:t>
      </w:r>
    </w:p>
    <w:p w14:paraId="79720E0E">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b/>
          <w:bCs/>
          <w:i w:val="0"/>
          <w:iCs w:val="0"/>
          <w:caps w:val="0"/>
          <w:color w:val="FF0000"/>
          <w:spacing w:val="0"/>
          <w:sz w:val="21"/>
          <w:szCs w:val="21"/>
          <w:shd w:val="clear" w:color="auto" w:fill="FFFFFF"/>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8CBB4AA">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1"/>
          <w:rFonts w:hint="eastAsia" w:ascii="宋体" w:hAnsi="宋体" w:eastAsia="宋体" w:cs="宋体"/>
          <w:i w:val="0"/>
          <w:iCs w:val="0"/>
          <w:caps w:val="0"/>
          <w:color w:val="333333"/>
          <w:spacing w:val="0"/>
          <w:sz w:val="21"/>
          <w:szCs w:val="21"/>
          <w:shd w:val="clear" w:color="auto" w:fill="FFFFFF"/>
        </w:rPr>
        <w:t>三、对本国产品的支持政策</w:t>
      </w:r>
    </w:p>
    <w:p w14:paraId="73E09806">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政府采购活动中既有本国产品又有非本国产品参与竞争的，依法对本国产品给予价格评审优惠，对本国产品的报价给予20%的价格扣除，用扣除后的价格参与评审。</w:t>
      </w:r>
    </w:p>
    <w:p w14:paraId="6DD2802F">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7A3CCFA">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1"/>
          <w:rFonts w:hint="eastAsia" w:ascii="宋体" w:hAnsi="宋体" w:eastAsia="宋体" w:cs="宋体"/>
          <w:i w:val="0"/>
          <w:iCs w:val="0"/>
          <w:caps w:val="0"/>
          <w:color w:val="333333"/>
          <w:spacing w:val="0"/>
          <w:sz w:val="21"/>
          <w:szCs w:val="21"/>
          <w:shd w:val="clear" w:color="auto" w:fill="FFFFFF"/>
        </w:rPr>
        <w:t>四、政策执行要求</w:t>
      </w:r>
    </w:p>
    <w:p w14:paraId="36C4A405">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（一）产品在中国境内生产的组件成本核算规则。产品在中国境内生产的组件成本，按照《中国境内生产的组件成本核算基本规则》（见附件1）计算。</w:t>
      </w:r>
    </w:p>
    <w:p w14:paraId="4129D21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二）有关证明文件。采购人、采购代理机构应当在采购文件中明确要求供应商对其提供的产品出具《关于符合本国产品标准的声明函》（样式见附件2，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1AF4EED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采购人、采购代理机构应当随中标、成交结果同时公告中标、成交供应商提供的《声明函》或有关证明文件。</w:t>
      </w:r>
    </w:p>
    <w:p w14:paraId="2BF9FB3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三）平等对待各类经营主体。国有企业、民营企业、外资企业等各类经营主体平等享受对本国产品的政府采购支持政策。采购人、采购代理机构在政府采购信息发布、供应商资格条件确定和资格审查、评审标准等方面，要对各类经营主体一视同仁、平等对待，切实保障各类经营主体公平竞争。各地区、各部门要加强统筹协调，不得出台违反本通知规定的政策措施，在政府采购活动中不得指定品牌或者限制品牌注册地、所有者，不得以所有制形式、组织形式、股权结构、投资者国别以及其他不合理条件对供应商实行差别待遇或者歧视待遇。</w:t>
      </w:r>
    </w:p>
    <w:p w14:paraId="74F4E697">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（四）中华人民共和国缔结或者共同参加的国际条约、协定对政府采购中本国产品政策另有规定的，按照有关条约、协定执行。</w:t>
      </w:r>
    </w:p>
    <w:p w14:paraId="27676B5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1"/>
          <w:rFonts w:hint="eastAsia" w:ascii="宋体" w:hAnsi="宋体" w:eastAsia="宋体" w:cs="宋体"/>
          <w:i w:val="0"/>
          <w:iCs w:val="0"/>
          <w:caps w:val="0"/>
          <w:color w:val="333333"/>
          <w:spacing w:val="0"/>
          <w:sz w:val="21"/>
          <w:szCs w:val="21"/>
          <w:shd w:val="clear" w:color="auto" w:fill="FFFFFF"/>
        </w:rPr>
        <w:t>五、争议处理</w:t>
      </w:r>
    </w:p>
    <w:p w14:paraId="381B739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财政部门在政府采购投诉处理、监督检查中，对涉及本国产品标准争议事项的处理，按照政府采购相关法律法规规定等执行，必要时由有关部门或者专业机构对相关事项予以核实。各有关部门、专业机构及其工作人员对政府采购投诉处理、监督检查中知悉的商业秘密负有保密义务。</w:t>
      </w:r>
    </w:p>
    <w:p w14:paraId="4948666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（一）政府采购投诉处理、监督检查中，对产品或组件是否在中国境内生产存在争议的，按照以下原则处理：</w:t>
      </w:r>
    </w:p>
    <w:p w14:paraId="4BD7AB26">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w:t>
      </w:r>
    </w:p>
    <w:p w14:paraId="438A4ED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2.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14:paraId="0EF985A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二）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14:paraId="616ACBAA">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三）政府采购投诉处理、监督检查中，对特定产品的关键组件是否在中国境内生产存在争议的，按照本通知第五条第（一）项规定的原则处理；对特定产品的关键工序是否在中国境内完成存在争议的，相关供应商及制造商应当提供关键工序在中国境内完成的记录等材料予以证明。</w:t>
      </w:r>
    </w:p>
    <w:p w14:paraId="07A1C41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70B6062D">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本通知自2026年1月1日起施行。</w:t>
      </w:r>
    </w:p>
    <w:p w14:paraId="5361AEB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附件：1.中国境内生产的组件成本核算基本规则</w:t>
      </w:r>
    </w:p>
    <w:p w14:paraId="6178648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　　　2.关于符合本国产品标准的声明函</w:t>
      </w:r>
    </w:p>
    <w:p w14:paraId="7289F6B2">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right"/>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lang w:val="en-US" w:eastAsia="zh-CN"/>
        </w:rPr>
        <w:t xml:space="preserve">     </w:t>
      </w:r>
      <w:r>
        <w:rPr>
          <w:rFonts w:hint="eastAsia" w:ascii="宋体" w:hAnsi="宋体" w:eastAsia="宋体" w:cs="宋体"/>
          <w:i w:val="0"/>
          <w:iCs w:val="0"/>
          <w:caps w:val="0"/>
          <w:color w:val="333333"/>
          <w:spacing w:val="0"/>
          <w:sz w:val="21"/>
          <w:szCs w:val="21"/>
          <w:shd w:val="clear" w:color="auto" w:fill="FFFFFF"/>
        </w:rPr>
        <w:t>国务院办公厅         </w:t>
      </w:r>
    </w:p>
    <w:p w14:paraId="10CD1F61">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center"/>
        <w:rPr>
          <w:rFonts w:hint="eastAsia" w:ascii="宋体" w:hAnsi="宋体" w:eastAsia="宋体" w:cs="宋体"/>
        </w:rPr>
      </w:pPr>
      <w:r>
        <w:rPr>
          <w:rFonts w:hint="eastAsia" w:ascii="宋体" w:hAnsi="宋体" w:eastAsia="宋体" w:cs="宋体"/>
          <w:i w:val="0"/>
          <w:iCs w:val="0"/>
          <w:caps w:val="0"/>
          <w:color w:val="333333"/>
          <w:spacing w:val="0"/>
          <w:sz w:val="21"/>
          <w:szCs w:val="21"/>
          <w:shd w:val="clear" w:color="auto" w:fill="FFFFFF"/>
          <w:lang w:val="en-US" w:eastAsia="zh-CN"/>
        </w:rPr>
        <w:t xml:space="preserve">                                                               </w:t>
      </w:r>
      <w:r>
        <w:rPr>
          <w:rFonts w:hint="eastAsia" w:ascii="宋体" w:hAnsi="宋体" w:eastAsia="宋体" w:cs="宋体"/>
          <w:i w:val="0"/>
          <w:iCs w:val="0"/>
          <w:caps w:val="0"/>
          <w:color w:val="333333"/>
          <w:spacing w:val="0"/>
          <w:sz w:val="21"/>
          <w:szCs w:val="21"/>
          <w:shd w:val="clear" w:color="auto" w:fill="FFFFFF"/>
        </w:rPr>
        <w:t>2025年9月28日  </w:t>
      </w:r>
      <w:r>
        <w:rPr>
          <w:rFonts w:hint="eastAsia" w:ascii="宋体" w:hAnsi="宋体" w:eastAsia="宋体" w:cs="宋体"/>
          <w:i w:val="0"/>
          <w:iCs w:val="0"/>
          <w:caps w:val="0"/>
          <w:color w:val="333333"/>
          <w:spacing w:val="0"/>
          <w:sz w:val="24"/>
          <w:szCs w:val="24"/>
          <w:shd w:val="clear" w:color="auto" w:fill="FFFFFF"/>
        </w:rPr>
        <w:t>  </w:t>
      </w:r>
    </w:p>
    <w:p w14:paraId="563C520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rPr>
      </w:pPr>
    </w:p>
    <w:p w14:paraId="30048A47">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right="0"/>
      </w:pPr>
    </w:p>
    <w:p w14:paraId="70E47E7A">
      <w:r>
        <w:rPr>
          <w:rFonts w:hint="eastAsia" w:ascii="宋体" w:hAnsi="宋体" w:eastAsia="宋体"/>
          <w:b/>
          <w:bCs/>
          <w:szCs w:val="21"/>
        </w:rPr>
        <w:t>附件</w:t>
      </w:r>
      <w:r>
        <w:rPr>
          <w:rFonts w:hint="eastAsia" w:ascii="宋体" w:hAnsi="宋体" w:eastAsia="宋体"/>
          <w:b/>
          <w:bCs/>
          <w:szCs w:val="21"/>
          <w:lang w:val="en-US" w:eastAsia="zh-CN"/>
        </w:rPr>
        <w:t>1.</w:t>
      </w:r>
      <w:r>
        <w:rPr>
          <w:rFonts w:hint="eastAsia" w:ascii="宋体" w:hAnsi="宋体" w:eastAsia="宋体"/>
          <w:b/>
          <w:bCs/>
          <w:szCs w:val="21"/>
        </w:rPr>
        <w:t>中国境内生产的组件成本核算基本规则</w:t>
      </w:r>
    </w:p>
    <w:p w14:paraId="5AA190C6">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7AE4679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一、产品的一级组件是指直接组成产品的组件。产品的二级组件是指直接组成产品一级组件的组件。一级组件不可分解的，视同二级组件。</w:t>
      </w:r>
    </w:p>
    <w:p w14:paraId="3AE278A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二、二级组件在中国境内生产的，其全部成本计入中国境内生产的组件成本；二级组件不在中国境内生产的，其成本不计入中国境内生产的组件成本。</w:t>
      </w:r>
    </w:p>
    <w:p w14:paraId="335DC1CB">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三、产品总成本和组件成本以相关会计核算数据、采购合同、进货记录等为基础进行计算。</w:t>
      </w:r>
    </w:p>
    <w:p w14:paraId="45F6E99B">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四、需要对成本核算规则予以进一步明确的其他有关事项，由财政部会同有关部门另行规定。</w:t>
      </w:r>
    </w:p>
    <w:p w14:paraId="1ED59E9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p>
    <w:p w14:paraId="44FCD19F">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p>
    <w:p w14:paraId="4F1FCDD7">
      <w:r>
        <w:rPr>
          <w:rFonts w:hint="eastAsia" w:ascii="宋体" w:hAnsi="宋体" w:eastAsia="宋体"/>
          <w:b/>
          <w:bCs/>
          <w:szCs w:val="21"/>
        </w:rPr>
        <w:t>附件</w:t>
      </w:r>
      <w:r>
        <w:rPr>
          <w:rFonts w:hint="eastAsia" w:ascii="宋体" w:hAnsi="宋体" w:eastAsia="宋体"/>
          <w:b/>
          <w:bCs/>
          <w:szCs w:val="21"/>
          <w:lang w:val="en-US" w:eastAsia="zh-CN"/>
        </w:rPr>
        <w:t>2.</w:t>
      </w:r>
      <w:r>
        <w:rPr>
          <w:rFonts w:hint="eastAsia" w:ascii="宋体" w:hAnsi="宋体" w:eastAsia="宋体"/>
          <w:b/>
          <w:bCs/>
          <w:szCs w:val="21"/>
        </w:rPr>
        <w:t>关于符合本国产品标准的声明函</w:t>
      </w:r>
      <w:r>
        <w:rPr>
          <w:rFonts w:hint="eastAsia" w:ascii="宋体" w:hAnsi="宋体" w:eastAsia="宋体"/>
          <w:b/>
          <w:bCs/>
          <w:szCs w:val="21"/>
          <w:lang w:eastAsia="zh-CN"/>
        </w:rPr>
        <w:t>（</w:t>
      </w:r>
      <w:r>
        <w:rPr>
          <w:rFonts w:hint="eastAsia" w:ascii="宋体" w:hAnsi="宋体" w:eastAsia="宋体"/>
          <w:b/>
          <w:bCs/>
          <w:szCs w:val="21"/>
          <w:lang w:val="en-US" w:eastAsia="zh-CN"/>
        </w:rPr>
        <w:t>请供应商根据实际情况填写此函</w:t>
      </w:r>
      <w:r>
        <w:rPr>
          <w:rFonts w:hint="eastAsia" w:ascii="宋体" w:hAnsi="宋体" w:eastAsia="宋体"/>
          <w:b/>
          <w:bCs/>
          <w:szCs w:val="21"/>
          <w:lang w:eastAsia="zh-CN"/>
        </w:rPr>
        <w:t>）</w:t>
      </w:r>
    </w:p>
    <w:p w14:paraId="74BFEB50">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33D60A1B">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w:t>
      </w:r>
      <w:r>
        <w:rPr>
          <w:rStyle w:val="23"/>
          <w:rFonts w:hint="eastAsia" w:ascii="宋体" w:hAnsi="宋体" w:eastAsia="宋体" w:cs="宋体"/>
          <w:i w:val="0"/>
          <w:iCs w:val="0"/>
          <w:caps w:val="0"/>
          <w:color w:val="333333"/>
          <w:spacing w:val="0"/>
          <w:sz w:val="21"/>
          <w:szCs w:val="21"/>
          <w:shd w:val="clear" w:color="auto" w:fill="FFFFFF"/>
        </w:rPr>
        <w:t>（产品名称1）</w:t>
      </w:r>
      <w:r>
        <w:rPr>
          <w:rStyle w:val="23"/>
          <w:rFonts w:hint="eastAsia" w:ascii="宋体" w:hAnsi="宋体" w:eastAsia="宋体" w:cs="宋体"/>
          <w:i w:val="0"/>
          <w:iCs w:val="0"/>
          <w:caps w:val="0"/>
          <w:color w:val="333333"/>
          <w:spacing w:val="0"/>
          <w:sz w:val="21"/>
          <w:szCs w:val="21"/>
          <w:shd w:val="clear" w:color="auto" w:fill="FFFFFF"/>
          <w:vertAlign w:val="superscript"/>
        </w:rPr>
        <w:t>1</w:t>
      </w:r>
      <w:r>
        <w:rPr>
          <w:rFonts w:hint="eastAsia" w:ascii="宋体" w:hAnsi="宋体" w:eastAsia="宋体" w:cs="宋体"/>
          <w:i w:val="0"/>
          <w:iCs w:val="0"/>
          <w:caps w:val="0"/>
          <w:color w:val="333333"/>
          <w:spacing w:val="0"/>
          <w:sz w:val="21"/>
          <w:szCs w:val="21"/>
          <w:shd w:val="clear" w:color="auto" w:fill="FFFFFF"/>
        </w:rPr>
        <w:t>，生产厂为</w:t>
      </w:r>
      <w:r>
        <w:rPr>
          <w:rStyle w:val="23"/>
          <w:rFonts w:hint="eastAsia" w:ascii="宋体" w:hAnsi="宋体" w:eastAsia="宋体" w:cs="宋体"/>
          <w:i w:val="0"/>
          <w:iCs w:val="0"/>
          <w:caps w:val="0"/>
          <w:color w:val="333333"/>
          <w:spacing w:val="0"/>
          <w:sz w:val="21"/>
          <w:szCs w:val="21"/>
          <w:shd w:val="clear" w:color="auto" w:fill="FFFFFF"/>
        </w:rPr>
        <w:t>（厂名）</w:t>
      </w:r>
      <w:r>
        <w:rPr>
          <w:rStyle w:val="23"/>
          <w:rFonts w:hint="eastAsia" w:ascii="宋体" w:hAnsi="宋体" w:eastAsia="宋体" w:cs="宋体"/>
          <w:i w:val="0"/>
          <w:iCs w:val="0"/>
          <w:caps w:val="0"/>
          <w:color w:val="333333"/>
          <w:spacing w:val="0"/>
          <w:sz w:val="21"/>
          <w:szCs w:val="21"/>
          <w:shd w:val="clear" w:color="auto" w:fill="FFFFFF"/>
          <w:vertAlign w:val="superscript"/>
        </w:rPr>
        <w:t>2</w:t>
      </w:r>
      <w:r>
        <w:rPr>
          <w:rFonts w:hint="eastAsia" w:ascii="宋体" w:hAnsi="宋体" w:eastAsia="宋体" w:cs="宋体"/>
          <w:i w:val="0"/>
          <w:iCs w:val="0"/>
          <w:caps w:val="0"/>
          <w:color w:val="333333"/>
          <w:spacing w:val="0"/>
          <w:sz w:val="21"/>
          <w:szCs w:val="21"/>
          <w:shd w:val="clear" w:color="auto" w:fill="FFFFFF"/>
        </w:rPr>
        <w:t>，厂址为</w:t>
      </w:r>
      <w:r>
        <w:rPr>
          <w:rStyle w:val="23"/>
          <w:rFonts w:hint="eastAsia" w:ascii="宋体" w:hAnsi="宋体" w:eastAsia="宋体" w:cs="宋体"/>
          <w:i w:val="0"/>
          <w:iCs w:val="0"/>
          <w:caps w:val="0"/>
          <w:color w:val="333333"/>
          <w:spacing w:val="0"/>
          <w:sz w:val="21"/>
          <w:szCs w:val="21"/>
          <w:shd w:val="clear" w:color="auto" w:fill="FFFFFF"/>
        </w:rPr>
        <w:t>（生产厂址）</w:t>
      </w:r>
      <w:r>
        <w:rPr>
          <w:rFonts w:hint="eastAsia" w:ascii="宋体" w:hAnsi="宋体" w:eastAsia="宋体" w:cs="宋体"/>
          <w:i w:val="0"/>
          <w:iCs w:val="0"/>
          <w:caps w:val="0"/>
          <w:color w:val="333333"/>
          <w:spacing w:val="0"/>
          <w:sz w:val="21"/>
          <w:szCs w:val="21"/>
          <w:shd w:val="clear" w:color="auto" w:fill="FFFFFF"/>
        </w:rPr>
        <w:t>。</w:t>
      </w:r>
      <w:r>
        <w:rPr>
          <w:rStyle w:val="23"/>
          <w:rFonts w:hint="eastAsia" w:ascii="宋体" w:hAnsi="宋体" w:eastAsia="宋体" w:cs="宋体"/>
          <w:i w:val="0"/>
          <w:iCs w:val="0"/>
          <w:caps w:val="0"/>
          <w:color w:val="333333"/>
          <w:spacing w:val="0"/>
          <w:sz w:val="21"/>
          <w:szCs w:val="21"/>
          <w:shd w:val="clear" w:color="auto" w:fill="FFFFFF"/>
        </w:rPr>
        <w:t>（产品名称1）</w:t>
      </w:r>
      <w:r>
        <w:rPr>
          <w:rFonts w:hint="eastAsia" w:ascii="宋体" w:hAnsi="宋体" w:eastAsia="宋体" w:cs="宋体"/>
          <w:i w:val="0"/>
          <w:iCs w:val="0"/>
          <w:caps w:val="0"/>
          <w:color w:val="333333"/>
          <w:spacing w:val="0"/>
          <w:sz w:val="21"/>
          <w:szCs w:val="21"/>
          <w:shd w:val="clear" w:color="auto" w:fill="FFFFFF"/>
        </w:rPr>
        <w:t>的中国境内生产的组件成本占比≥</w:t>
      </w:r>
      <w:r>
        <w:rPr>
          <w:rStyle w:val="23"/>
          <w:rFonts w:hint="eastAsia" w:ascii="宋体" w:hAnsi="宋体" w:eastAsia="宋体" w:cs="宋体"/>
          <w:i w:val="0"/>
          <w:iCs w:val="0"/>
          <w:caps w:val="0"/>
          <w:color w:val="333333"/>
          <w:spacing w:val="0"/>
          <w:sz w:val="21"/>
          <w:szCs w:val="21"/>
          <w:shd w:val="clear" w:color="auto" w:fill="FFFFFF"/>
        </w:rPr>
        <w:t>（规定比例）</w:t>
      </w:r>
      <w:r>
        <w:rPr>
          <w:rStyle w:val="23"/>
          <w:rFonts w:hint="eastAsia" w:ascii="宋体" w:hAnsi="宋体" w:eastAsia="宋体" w:cs="宋体"/>
          <w:i w:val="0"/>
          <w:iCs w:val="0"/>
          <w:caps w:val="0"/>
          <w:color w:val="333333"/>
          <w:spacing w:val="0"/>
          <w:sz w:val="21"/>
          <w:szCs w:val="21"/>
          <w:shd w:val="clear" w:color="auto" w:fill="FFFFFF"/>
          <w:vertAlign w:val="superscript"/>
        </w:rPr>
        <w:t>3</w:t>
      </w:r>
      <w:r>
        <w:rPr>
          <w:rFonts w:hint="eastAsia" w:ascii="宋体" w:hAnsi="宋体" w:eastAsia="宋体" w:cs="宋体"/>
          <w:i w:val="0"/>
          <w:iCs w:val="0"/>
          <w:caps w:val="0"/>
          <w:color w:val="333333"/>
          <w:spacing w:val="0"/>
          <w:sz w:val="21"/>
          <w:szCs w:val="21"/>
          <w:shd w:val="clear" w:color="auto" w:fill="FFFFFF"/>
        </w:rPr>
        <w:t>。</w:t>
      </w:r>
      <w:r>
        <w:rPr>
          <w:rStyle w:val="23"/>
          <w:rFonts w:hint="eastAsia" w:ascii="宋体" w:hAnsi="宋体" w:eastAsia="宋体" w:cs="宋体"/>
          <w:i w:val="0"/>
          <w:iCs w:val="0"/>
          <w:caps w:val="0"/>
          <w:color w:val="333333"/>
          <w:spacing w:val="0"/>
          <w:sz w:val="21"/>
          <w:szCs w:val="21"/>
          <w:shd w:val="clear" w:color="auto" w:fill="FFFFFF"/>
        </w:rPr>
        <w:t>（产品名称1）</w:t>
      </w:r>
      <w:r>
        <w:rPr>
          <w:rFonts w:hint="eastAsia" w:ascii="宋体" w:hAnsi="宋体" w:eastAsia="宋体" w:cs="宋体"/>
          <w:i w:val="0"/>
          <w:iCs w:val="0"/>
          <w:caps w:val="0"/>
          <w:color w:val="333333"/>
          <w:spacing w:val="0"/>
          <w:sz w:val="21"/>
          <w:szCs w:val="21"/>
          <w:shd w:val="clear" w:color="auto" w:fill="FFFFFF"/>
        </w:rPr>
        <w:t>的</w:t>
      </w:r>
      <w:r>
        <w:rPr>
          <w:rStyle w:val="23"/>
          <w:rFonts w:hint="eastAsia" w:ascii="宋体" w:hAnsi="宋体" w:eastAsia="宋体" w:cs="宋体"/>
          <w:i w:val="0"/>
          <w:iCs w:val="0"/>
          <w:caps w:val="0"/>
          <w:color w:val="333333"/>
          <w:spacing w:val="0"/>
          <w:sz w:val="21"/>
          <w:szCs w:val="21"/>
          <w:shd w:val="clear" w:color="auto" w:fill="FFFFFF"/>
        </w:rPr>
        <w:t>（关键组件）</w:t>
      </w:r>
      <w:r>
        <w:rPr>
          <w:rStyle w:val="23"/>
          <w:rFonts w:hint="eastAsia" w:ascii="宋体" w:hAnsi="宋体" w:eastAsia="宋体" w:cs="宋体"/>
          <w:i w:val="0"/>
          <w:iCs w:val="0"/>
          <w:caps w:val="0"/>
          <w:color w:val="333333"/>
          <w:spacing w:val="0"/>
          <w:sz w:val="21"/>
          <w:szCs w:val="21"/>
          <w:shd w:val="clear" w:color="auto" w:fill="FFFFFF"/>
          <w:vertAlign w:val="superscript"/>
        </w:rPr>
        <w:t>4</w:t>
      </w:r>
      <w:r>
        <w:rPr>
          <w:rFonts w:hint="eastAsia" w:ascii="宋体" w:hAnsi="宋体" w:eastAsia="宋体" w:cs="宋体"/>
          <w:i w:val="0"/>
          <w:iCs w:val="0"/>
          <w:caps w:val="0"/>
          <w:color w:val="333333"/>
          <w:spacing w:val="0"/>
          <w:sz w:val="21"/>
          <w:szCs w:val="21"/>
          <w:shd w:val="clear" w:color="auto" w:fill="FFFFFF"/>
        </w:rPr>
        <w:t>在中国境内生产。</w:t>
      </w:r>
      <w:r>
        <w:rPr>
          <w:rStyle w:val="23"/>
          <w:rFonts w:hint="eastAsia" w:ascii="宋体" w:hAnsi="宋体" w:eastAsia="宋体" w:cs="宋体"/>
          <w:i w:val="0"/>
          <w:iCs w:val="0"/>
          <w:caps w:val="0"/>
          <w:color w:val="333333"/>
          <w:spacing w:val="0"/>
          <w:sz w:val="21"/>
          <w:szCs w:val="21"/>
          <w:shd w:val="clear" w:color="auto" w:fill="FFFFFF"/>
        </w:rPr>
        <w:t>（产品名称1）</w:t>
      </w:r>
      <w:r>
        <w:rPr>
          <w:rFonts w:hint="eastAsia" w:ascii="宋体" w:hAnsi="宋体" w:eastAsia="宋体" w:cs="宋体"/>
          <w:i w:val="0"/>
          <w:iCs w:val="0"/>
          <w:caps w:val="0"/>
          <w:color w:val="333333"/>
          <w:spacing w:val="0"/>
          <w:sz w:val="21"/>
          <w:szCs w:val="21"/>
          <w:shd w:val="clear" w:color="auto" w:fill="FFFFFF"/>
        </w:rPr>
        <w:t>的</w:t>
      </w:r>
      <w:r>
        <w:rPr>
          <w:rStyle w:val="23"/>
          <w:rFonts w:hint="eastAsia" w:ascii="宋体" w:hAnsi="宋体" w:eastAsia="宋体" w:cs="宋体"/>
          <w:i w:val="0"/>
          <w:iCs w:val="0"/>
          <w:caps w:val="0"/>
          <w:color w:val="333333"/>
          <w:spacing w:val="0"/>
          <w:sz w:val="21"/>
          <w:szCs w:val="21"/>
          <w:shd w:val="clear" w:color="auto" w:fill="FFFFFF"/>
        </w:rPr>
        <w:t>（关键工序）</w:t>
      </w:r>
      <w:r>
        <w:rPr>
          <w:rStyle w:val="23"/>
          <w:rFonts w:hint="eastAsia" w:ascii="宋体" w:hAnsi="宋体" w:eastAsia="宋体" w:cs="宋体"/>
          <w:i w:val="0"/>
          <w:iCs w:val="0"/>
          <w:caps w:val="0"/>
          <w:color w:val="333333"/>
          <w:spacing w:val="0"/>
          <w:sz w:val="21"/>
          <w:szCs w:val="21"/>
          <w:shd w:val="clear" w:color="auto" w:fill="FFFFFF"/>
          <w:vertAlign w:val="superscript"/>
        </w:rPr>
        <w:t>5</w:t>
      </w:r>
      <w:r>
        <w:rPr>
          <w:rFonts w:hint="eastAsia" w:ascii="宋体" w:hAnsi="宋体" w:eastAsia="宋体" w:cs="宋体"/>
          <w:i w:val="0"/>
          <w:iCs w:val="0"/>
          <w:caps w:val="0"/>
          <w:color w:val="333333"/>
          <w:spacing w:val="0"/>
          <w:sz w:val="21"/>
          <w:szCs w:val="21"/>
          <w:shd w:val="clear" w:color="auto" w:fill="FFFFFF"/>
        </w:rPr>
        <w:t>在中国境内完成。</w:t>
      </w:r>
    </w:p>
    <w:p w14:paraId="5C70906B">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2.</w:t>
      </w:r>
      <w:r>
        <w:rPr>
          <w:rStyle w:val="23"/>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，生产厂为</w:t>
      </w:r>
      <w:r>
        <w:rPr>
          <w:rStyle w:val="23"/>
          <w:rFonts w:hint="eastAsia" w:ascii="宋体" w:hAnsi="宋体" w:eastAsia="宋体" w:cs="宋体"/>
          <w:i w:val="0"/>
          <w:iCs w:val="0"/>
          <w:caps w:val="0"/>
          <w:color w:val="333333"/>
          <w:spacing w:val="0"/>
          <w:sz w:val="21"/>
          <w:szCs w:val="21"/>
          <w:shd w:val="clear" w:color="auto" w:fill="FFFFFF"/>
        </w:rPr>
        <w:t>（厂名）</w:t>
      </w:r>
      <w:r>
        <w:rPr>
          <w:rFonts w:hint="eastAsia" w:ascii="宋体" w:hAnsi="宋体" w:eastAsia="宋体" w:cs="宋体"/>
          <w:i w:val="0"/>
          <w:iCs w:val="0"/>
          <w:caps w:val="0"/>
          <w:color w:val="333333"/>
          <w:spacing w:val="0"/>
          <w:sz w:val="21"/>
          <w:szCs w:val="21"/>
          <w:shd w:val="clear" w:color="auto" w:fill="FFFFFF"/>
        </w:rPr>
        <w:t>，厂址为</w:t>
      </w:r>
      <w:r>
        <w:rPr>
          <w:rStyle w:val="23"/>
          <w:rFonts w:hint="eastAsia" w:ascii="宋体" w:hAnsi="宋体" w:eastAsia="宋体" w:cs="宋体"/>
          <w:i w:val="0"/>
          <w:iCs w:val="0"/>
          <w:caps w:val="0"/>
          <w:color w:val="333333"/>
          <w:spacing w:val="0"/>
          <w:sz w:val="21"/>
          <w:szCs w:val="21"/>
          <w:shd w:val="clear" w:color="auto" w:fill="FFFFFF"/>
        </w:rPr>
        <w:t>（生产厂址）</w:t>
      </w:r>
      <w:r>
        <w:rPr>
          <w:rFonts w:hint="eastAsia" w:ascii="宋体" w:hAnsi="宋体" w:eastAsia="宋体" w:cs="宋体"/>
          <w:i w:val="0"/>
          <w:iCs w:val="0"/>
          <w:caps w:val="0"/>
          <w:color w:val="333333"/>
          <w:spacing w:val="0"/>
          <w:sz w:val="21"/>
          <w:szCs w:val="21"/>
          <w:shd w:val="clear" w:color="auto" w:fill="FFFFFF"/>
        </w:rPr>
        <w:t>。</w:t>
      </w:r>
      <w:r>
        <w:rPr>
          <w:rStyle w:val="23"/>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的中国境内生产的组件成本占比≥</w:t>
      </w:r>
      <w:r>
        <w:rPr>
          <w:rStyle w:val="23"/>
          <w:rFonts w:hint="eastAsia" w:ascii="宋体" w:hAnsi="宋体" w:eastAsia="宋体" w:cs="宋体"/>
          <w:i w:val="0"/>
          <w:iCs w:val="0"/>
          <w:caps w:val="0"/>
          <w:color w:val="333333"/>
          <w:spacing w:val="0"/>
          <w:sz w:val="21"/>
          <w:szCs w:val="21"/>
          <w:shd w:val="clear" w:color="auto" w:fill="FFFFFF"/>
        </w:rPr>
        <w:t>（规定比例）</w:t>
      </w:r>
      <w:r>
        <w:rPr>
          <w:rFonts w:hint="eastAsia" w:ascii="宋体" w:hAnsi="宋体" w:eastAsia="宋体" w:cs="宋体"/>
          <w:i w:val="0"/>
          <w:iCs w:val="0"/>
          <w:caps w:val="0"/>
          <w:color w:val="333333"/>
          <w:spacing w:val="0"/>
          <w:sz w:val="21"/>
          <w:szCs w:val="21"/>
          <w:shd w:val="clear" w:color="auto" w:fill="FFFFFF"/>
        </w:rPr>
        <w:t>。</w:t>
      </w:r>
      <w:r>
        <w:rPr>
          <w:rStyle w:val="23"/>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的</w:t>
      </w:r>
      <w:r>
        <w:rPr>
          <w:rStyle w:val="23"/>
          <w:rFonts w:hint="eastAsia" w:ascii="宋体" w:hAnsi="宋体" w:eastAsia="宋体" w:cs="宋体"/>
          <w:i w:val="0"/>
          <w:iCs w:val="0"/>
          <w:caps w:val="0"/>
          <w:color w:val="333333"/>
          <w:spacing w:val="0"/>
          <w:sz w:val="21"/>
          <w:szCs w:val="21"/>
          <w:shd w:val="clear" w:color="auto" w:fill="FFFFFF"/>
        </w:rPr>
        <w:t>（关键组件）</w:t>
      </w:r>
      <w:r>
        <w:rPr>
          <w:rFonts w:hint="eastAsia" w:ascii="宋体" w:hAnsi="宋体" w:eastAsia="宋体" w:cs="宋体"/>
          <w:i w:val="0"/>
          <w:iCs w:val="0"/>
          <w:caps w:val="0"/>
          <w:color w:val="333333"/>
          <w:spacing w:val="0"/>
          <w:sz w:val="21"/>
          <w:szCs w:val="21"/>
          <w:shd w:val="clear" w:color="auto" w:fill="FFFFFF"/>
        </w:rPr>
        <w:t>在中国境内生产。</w:t>
      </w:r>
      <w:r>
        <w:rPr>
          <w:rStyle w:val="23"/>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的</w:t>
      </w:r>
      <w:r>
        <w:rPr>
          <w:rStyle w:val="23"/>
          <w:rFonts w:hint="eastAsia" w:ascii="宋体" w:hAnsi="宋体" w:eastAsia="宋体" w:cs="宋体"/>
          <w:i w:val="0"/>
          <w:iCs w:val="0"/>
          <w:caps w:val="0"/>
          <w:color w:val="333333"/>
          <w:spacing w:val="0"/>
          <w:sz w:val="21"/>
          <w:szCs w:val="21"/>
          <w:shd w:val="clear" w:color="auto" w:fill="FFFFFF"/>
        </w:rPr>
        <w:t>（关键工序）</w:t>
      </w:r>
      <w:r>
        <w:rPr>
          <w:rFonts w:hint="eastAsia" w:ascii="宋体" w:hAnsi="宋体" w:eastAsia="宋体" w:cs="宋体"/>
          <w:i w:val="0"/>
          <w:iCs w:val="0"/>
          <w:caps w:val="0"/>
          <w:color w:val="333333"/>
          <w:spacing w:val="0"/>
          <w:sz w:val="21"/>
          <w:szCs w:val="21"/>
          <w:shd w:val="clear" w:color="auto" w:fill="FFFFFF"/>
        </w:rPr>
        <w:t>在中国境内完成。</w:t>
      </w:r>
    </w:p>
    <w:p w14:paraId="061DE03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lang w:val="en-US" w:eastAsia="zh-CN"/>
        </w:rPr>
      </w:pPr>
      <w:r>
        <w:rPr>
          <w:rFonts w:hint="eastAsia" w:ascii="宋体" w:hAnsi="宋体" w:eastAsia="宋体" w:cs="宋体"/>
          <w:i w:val="0"/>
          <w:iCs w:val="0"/>
          <w:caps w:val="0"/>
          <w:color w:val="333333"/>
          <w:spacing w:val="0"/>
          <w:sz w:val="21"/>
          <w:szCs w:val="21"/>
          <w:shd w:val="clear" w:color="auto" w:fill="FFFFFF"/>
        </w:rPr>
        <w:t>……</w:t>
      </w:r>
    </w:p>
    <w:p w14:paraId="35677962">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lang w:val="en-US" w:eastAsia="zh-CN"/>
        </w:rPr>
      </w:pPr>
    </w:p>
    <w:p w14:paraId="4F260545">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lang w:val="en-US" w:eastAsia="zh-CN"/>
        </w:rPr>
      </w:pPr>
      <w:r>
        <w:rPr>
          <w:rFonts w:hint="eastAsia" w:ascii="宋体" w:hAnsi="宋体" w:eastAsia="宋体" w:cs="宋体"/>
          <w:i w:val="0"/>
          <w:iCs w:val="0"/>
          <w:caps w:val="0"/>
          <w:color w:val="333333"/>
          <w:spacing w:val="0"/>
          <w:sz w:val="21"/>
          <w:szCs w:val="21"/>
          <w:shd w:val="clear" w:color="auto" w:fill="FFFFFF"/>
        </w:rPr>
        <w:t>本公司（单位）</w:t>
      </w:r>
      <w:r>
        <w:rPr>
          <w:rFonts w:hint="eastAsia" w:ascii="宋体" w:hAnsi="宋体" w:eastAsia="宋体" w:cs="宋体"/>
          <w:i w:val="0"/>
          <w:iCs w:val="0"/>
          <w:caps w:val="0"/>
          <w:color w:val="333333"/>
          <w:spacing w:val="0"/>
          <w:sz w:val="21"/>
          <w:szCs w:val="21"/>
          <w:shd w:val="clear" w:color="auto" w:fill="FFFFFF"/>
          <w:lang w:val="en-US" w:eastAsia="zh-CN"/>
        </w:rPr>
        <w:t>承诺：</w:t>
      </w:r>
    </w:p>
    <w:p w14:paraId="14E69B3C">
      <w:pPr>
        <w:pStyle w:val="1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b w:val="0"/>
          <w:bCs w:val="0"/>
          <w:i w:val="0"/>
          <w:iCs w:val="0"/>
          <w:caps w:val="0"/>
          <w:color w:val="auto"/>
          <w:spacing w:val="0"/>
          <w:sz w:val="21"/>
          <w:szCs w:val="21"/>
          <w:u w:val="none"/>
          <w:shd w:val="clear" w:color="auto" w:fill="FFFFFF"/>
          <w:lang w:val="en-US" w:eastAsia="zh-CN"/>
        </w:rPr>
      </w:pPr>
      <w:r>
        <w:rPr>
          <w:rFonts w:hint="eastAsia" w:ascii="宋体" w:hAnsi="宋体" w:eastAsia="宋体" w:cs="宋体"/>
          <w:b w:val="0"/>
          <w:bCs w:val="0"/>
          <w:i w:val="0"/>
          <w:iCs w:val="0"/>
          <w:caps w:val="0"/>
          <w:color w:val="auto"/>
          <w:spacing w:val="0"/>
          <w:kern w:val="0"/>
          <w:sz w:val="21"/>
          <w:szCs w:val="21"/>
          <w:shd w:val="clear" w:fill="FFFFFF"/>
          <w:lang w:val="en-US" w:eastAsia="zh-CN" w:bidi="ar"/>
        </w:rPr>
        <w:t>1.</w:t>
      </w:r>
      <w:r>
        <w:rPr>
          <w:rFonts w:hint="eastAsia" w:ascii="宋体" w:hAnsi="宋体" w:eastAsia="宋体" w:cs="宋体"/>
          <w:b w:val="0"/>
          <w:bCs w:val="0"/>
          <w:i w:val="0"/>
          <w:iCs w:val="0"/>
          <w:caps w:val="0"/>
          <w:color w:val="auto"/>
          <w:spacing w:val="0"/>
          <w:sz w:val="21"/>
          <w:szCs w:val="21"/>
          <w:shd w:val="clear" w:color="auto" w:fill="FFFFFF"/>
          <w:lang w:val="en-US" w:eastAsia="zh-CN"/>
        </w:rPr>
        <w:t>不适用本国产品标准的货物总报价为：</w:t>
      </w:r>
      <w:r>
        <w:rPr>
          <w:rFonts w:hint="eastAsia" w:ascii="宋体" w:hAnsi="宋体" w:eastAsia="宋体" w:cs="宋体"/>
          <w:b w:val="0"/>
          <w:bCs w:val="0"/>
          <w:i w:val="0"/>
          <w:iCs w:val="0"/>
          <w:caps w:val="0"/>
          <w:color w:val="FF0000"/>
          <w:spacing w:val="0"/>
          <w:sz w:val="21"/>
          <w:szCs w:val="21"/>
          <w:u w:val="single"/>
          <w:shd w:val="clear" w:color="auto" w:fill="FFFFFF"/>
          <w:lang w:val="en-US" w:eastAsia="zh-CN"/>
        </w:rPr>
        <w:t xml:space="preserve"> </w:t>
      </w:r>
      <w:r>
        <w:rPr>
          <w:rFonts w:hint="eastAsia" w:ascii="宋体" w:hAnsi="宋体" w:eastAsia="宋体" w:cs="宋体"/>
          <w:b/>
          <w:bCs/>
          <w:i w:val="0"/>
          <w:iCs w:val="0"/>
          <w:caps w:val="0"/>
          <w:color w:val="FF0000"/>
          <w:spacing w:val="0"/>
          <w:sz w:val="21"/>
          <w:szCs w:val="21"/>
          <w:u w:val="single"/>
          <w:shd w:val="clear" w:color="auto" w:fill="FFFFFF"/>
          <w:lang w:val="en-US" w:eastAsia="zh-CN"/>
        </w:rPr>
        <w:t xml:space="preserve">（填写小写金额） </w:t>
      </w:r>
      <w:r>
        <w:rPr>
          <w:rFonts w:hint="eastAsia" w:ascii="宋体" w:hAnsi="宋体" w:eastAsia="宋体" w:cs="宋体"/>
          <w:b w:val="0"/>
          <w:bCs w:val="0"/>
          <w:i w:val="0"/>
          <w:iCs w:val="0"/>
          <w:caps w:val="0"/>
          <w:color w:val="auto"/>
          <w:spacing w:val="0"/>
          <w:sz w:val="21"/>
          <w:szCs w:val="21"/>
          <w:u w:val="none"/>
          <w:shd w:val="clear" w:color="auto" w:fill="FFFFFF"/>
          <w:lang w:val="en-US" w:eastAsia="zh-CN"/>
        </w:rPr>
        <w:t>元；</w:t>
      </w:r>
    </w:p>
    <w:p w14:paraId="53716A7F">
      <w:pPr>
        <w:pStyle w:val="1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i w:val="0"/>
          <w:iCs w:val="0"/>
          <w:caps w:val="0"/>
          <w:color w:val="333333"/>
          <w:spacing w:val="0"/>
          <w:sz w:val="21"/>
          <w:szCs w:val="21"/>
          <w:u w:val="none"/>
          <w:shd w:val="clear" w:color="auto" w:fill="FFFFFF"/>
          <w:lang w:val="en-US" w:eastAsia="zh-CN"/>
        </w:rPr>
      </w:pPr>
      <w:r>
        <w:rPr>
          <w:rFonts w:hint="eastAsia" w:ascii="宋体" w:hAnsi="宋体" w:eastAsia="宋体" w:cs="宋体"/>
          <w:i w:val="0"/>
          <w:iCs w:val="0"/>
          <w:caps w:val="0"/>
          <w:color w:val="333333"/>
          <w:spacing w:val="0"/>
          <w:kern w:val="0"/>
          <w:sz w:val="21"/>
          <w:szCs w:val="21"/>
          <w:shd w:val="clear" w:fill="FFFFFF"/>
          <w:lang w:val="en-US" w:eastAsia="zh-CN" w:bidi="ar"/>
        </w:rPr>
        <w:t>2.</w:t>
      </w:r>
      <w:r>
        <w:rPr>
          <w:rFonts w:hint="eastAsia" w:ascii="宋体" w:hAnsi="宋体" w:eastAsia="宋体" w:cs="宋体"/>
          <w:b w:val="0"/>
          <w:bCs w:val="0"/>
          <w:i w:val="0"/>
          <w:iCs w:val="0"/>
          <w:caps w:val="0"/>
          <w:color w:val="auto"/>
          <w:spacing w:val="0"/>
          <w:sz w:val="21"/>
          <w:szCs w:val="21"/>
          <w:shd w:val="clear" w:color="auto" w:fill="FFFFFF"/>
          <w:lang w:val="en-US" w:eastAsia="zh-CN"/>
        </w:rPr>
        <w:t>适用本国产品标准的货物总报价</w:t>
      </w:r>
      <w:r>
        <w:rPr>
          <w:rFonts w:hint="eastAsia" w:ascii="宋体" w:hAnsi="宋体" w:eastAsia="宋体" w:cs="宋体"/>
          <w:i w:val="0"/>
          <w:iCs w:val="0"/>
          <w:caps w:val="0"/>
          <w:color w:val="333333"/>
          <w:spacing w:val="0"/>
          <w:sz w:val="21"/>
          <w:szCs w:val="21"/>
          <w:shd w:val="clear" w:color="auto" w:fill="FFFFFF"/>
          <w:lang w:val="en-US" w:eastAsia="zh-CN"/>
        </w:rPr>
        <w:t>为：</w:t>
      </w:r>
      <w:r>
        <w:rPr>
          <w:rFonts w:hint="eastAsia" w:ascii="宋体" w:hAnsi="宋体" w:eastAsia="宋体" w:cs="宋体"/>
          <w:i w:val="0"/>
          <w:iCs w:val="0"/>
          <w:caps w:val="0"/>
          <w:color w:val="FF0000"/>
          <w:spacing w:val="0"/>
          <w:sz w:val="21"/>
          <w:szCs w:val="21"/>
          <w:u w:val="single"/>
          <w:shd w:val="clear" w:color="auto" w:fill="FFFFFF"/>
          <w:lang w:val="en-US" w:eastAsia="zh-CN"/>
        </w:rPr>
        <w:t xml:space="preserve">   </w:t>
      </w:r>
      <w:r>
        <w:rPr>
          <w:rFonts w:hint="eastAsia" w:ascii="宋体" w:hAnsi="宋体" w:eastAsia="宋体" w:cs="宋体"/>
          <w:b/>
          <w:bCs/>
          <w:i w:val="0"/>
          <w:iCs w:val="0"/>
          <w:caps w:val="0"/>
          <w:color w:val="FF0000"/>
          <w:spacing w:val="0"/>
          <w:sz w:val="21"/>
          <w:szCs w:val="21"/>
          <w:u w:val="single"/>
          <w:shd w:val="clear" w:color="auto" w:fill="FFFFFF"/>
          <w:lang w:val="en-US" w:eastAsia="zh-CN"/>
        </w:rPr>
        <w:t>（填写小写金额）</w:t>
      </w:r>
      <w:r>
        <w:rPr>
          <w:rFonts w:hint="eastAsia" w:ascii="宋体" w:hAnsi="宋体" w:eastAsia="宋体" w:cs="宋体"/>
          <w:i w:val="0"/>
          <w:iCs w:val="0"/>
          <w:caps w:val="0"/>
          <w:color w:val="FF0000"/>
          <w:spacing w:val="0"/>
          <w:sz w:val="21"/>
          <w:szCs w:val="21"/>
          <w:u w:val="single"/>
          <w:shd w:val="clear" w:color="auto" w:fill="FFFFFF"/>
          <w:lang w:val="en-US" w:eastAsia="zh-CN"/>
        </w:rPr>
        <w:t xml:space="preserve"> </w:t>
      </w:r>
      <w:r>
        <w:rPr>
          <w:rFonts w:hint="eastAsia" w:ascii="宋体" w:hAnsi="宋体" w:eastAsia="宋体" w:cs="宋体"/>
          <w:i w:val="0"/>
          <w:iCs w:val="0"/>
          <w:caps w:val="0"/>
          <w:color w:val="333333"/>
          <w:spacing w:val="0"/>
          <w:sz w:val="21"/>
          <w:szCs w:val="21"/>
          <w:u w:val="none"/>
          <w:shd w:val="clear" w:color="auto" w:fill="FFFFFF"/>
          <w:lang w:val="en-US" w:eastAsia="zh-CN"/>
        </w:rPr>
        <w:t>元；</w:t>
      </w:r>
    </w:p>
    <w:p w14:paraId="5EB47894">
      <w:pPr>
        <w:pStyle w:val="1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i w:val="0"/>
          <w:iCs w:val="0"/>
          <w:caps w:val="0"/>
          <w:color w:val="333333"/>
          <w:spacing w:val="0"/>
          <w:sz w:val="21"/>
          <w:szCs w:val="21"/>
          <w:u w:val="single"/>
          <w:shd w:val="clear" w:color="auto" w:fill="FFFFFF"/>
          <w:lang w:val="en-US" w:eastAsia="zh-CN"/>
        </w:rPr>
      </w:pPr>
      <w:r>
        <w:rPr>
          <w:rFonts w:hint="eastAsia" w:ascii="宋体" w:hAnsi="宋体" w:eastAsia="宋体" w:cs="宋体"/>
          <w:i w:val="0"/>
          <w:iCs w:val="0"/>
          <w:caps w:val="0"/>
          <w:color w:val="333333"/>
          <w:spacing w:val="0"/>
          <w:sz w:val="21"/>
          <w:szCs w:val="21"/>
          <w:u w:val="none"/>
          <w:shd w:val="clear" w:color="auto" w:fill="FFFFFF"/>
          <w:lang w:val="en-US" w:eastAsia="zh-CN"/>
        </w:rPr>
        <w:t>3.本国产品成本之和占比全部产品成本之和</w:t>
      </w:r>
      <w:r>
        <w:rPr>
          <w:rFonts w:hint="eastAsia" w:ascii="宋体" w:hAnsi="宋体" w:eastAsia="宋体" w:cs="宋体"/>
          <w:b/>
          <w:bCs/>
          <w:i w:val="0"/>
          <w:iCs w:val="0"/>
          <w:caps w:val="0"/>
          <w:color w:val="FF0000"/>
          <w:spacing w:val="0"/>
          <w:sz w:val="21"/>
          <w:szCs w:val="21"/>
          <w:u w:val="single"/>
          <w:shd w:val="clear" w:color="auto" w:fill="FFFFFF"/>
          <w:lang w:val="en-US" w:eastAsia="zh-CN"/>
        </w:rPr>
        <w:t xml:space="preserve"> （选择填写“是”或“否”，二选一） </w:t>
      </w:r>
      <w:r>
        <w:rPr>
          <w:rFonts w:hint="eastAsia" w:ascii="宋体" w:hAnsi="宋体" w:eastAsia="宋体" w:cs="宋体"/>
          <w:i w:val="0"/>
          <w:iCs w:val="0"/>
          <w:caps w:val="0"/>
          <w:color w:val="333333"/>
          <w:spacing w:val="0"/>
          <w:sz w:val="21"/>
          <w:szCs w:val="21"/>
          <w:u w:val="none"/>
          <w:shd w:val="clear" w:color="auto" w:fill="FFFFFF"/>
          <w:lang w:val="en-US" w:eastAsia="zh-CN"/>
        </w:rPr>
        <w:t>≥80%。</w:t>
      </w:r>
    </w:p>
    <w:p w14:paraId="2E26305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p>
    <w:p w14:paraId="79257517">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注：</w:t>
      </w:r>
    </w:p>
    <w:p w14:paraId="0575D915">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1.不适用本国产品标准的货物是指《政府采购品目分类目录》中的房屋和构筑物，文物和陈列品，图书和档案，特种动植物，农林牧渔业产品，矿与矿物，电力、城市燃气、蒸汽和热水、水，食品、饮料和烟草原料，无形资产。如无，则填写“0”；</w:t>
      </w:r>
    </w:p>
    <w:p w14:paraId="27990EBB">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2.适用本国产品标准的货物总报价=总报价-不适用本国产品标准的货物总报价</w:t>
      </w:r>
    </w:p>
    <w:p w14:paraId="75D3114C">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1"/>
          <w:szCs w:val="21"/>
          <w:lang w:val="en-US" w:eastAsia="zh-CN"/>
        </w:rPr>
      </w:pPr>
    </w:p>
    <w:p w14:paraId="19E91BE4">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1"/>
          <w:szCs w:val="21"/>
          <w:lang w:val="en-US" w:eastAsia="zh-CN"/>
        </w:rPr>
      </w:pPr>
    </w:p>
    <w:p w14:paraId="443FE9F2">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lang w:val="en-US" w:eastAsia="zh-CN"/>
        </w:rPr>
      </w:pPr>
      <w:r>
        <w:rPr>
          <w:rFonts w:hint="eastAsia" w:ascii="宋体" w:hAnsi="宋体" w:eastAsia="宋体" w:cs="宋体"/>
          <w:i w:val="0"/>
          <w:iCs w:val="0"/>
          <w:caps w:val="0"/>
          <w:color w:val="333333"/>
          <w:spacing w:val="0"/>
          <w:sz w:val="21"/>
          <w:szCs w:val="21"/>
          <w:shd w:val="clear" w:color="auto" w:fill="FFFFFF"/>
        </w:rPr>
        <w:t>本公司（单位）对上述声明内容的真实性负责。如有虚假，愿承担相应法律责任。</w:t>
      </w:r>
    </w:p>
    <w:p w14:paraId="7AF5EB9D">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jc w:val="right"/>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公司（单位）名称（盖章）：      </w:t>
      </w:r>
    </w:p>
    <w:p w14:paraId="39B25007">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jc w:val="right"/>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日期：　　　　　年　　月　日    </w:t>
      </w:r>
    </w:p>
    <w:p w14:paraId="059217C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right="0"/>
        <w:rPr>
          <w:rFonts w:hint="eastAsia" w:ascii="宋体" w:hAnsi="宋体" w:eastAsia="宋体" w:cs="宋体"/>
          <w:sz w:val="21"/>
          <w:szCs w:val="21"/>
        </w:rPr>
      </w:pPr>
    </w:p>
    <w:p w14:paraId="669999F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1.产品如有型号，请在“产品名称”栏一并填写。</w:t>
      </w:r>
    </w:p>
    <w:p w14:paraId="15C7AF8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2.生产厂名与厂址应与生产厂营业执照载明的相关信息保持一致。</w:t>
      </w:r>
    </w:p>
    <w:p w14:paraId="2204944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3.该产品的中国境内生产的组件成本占比相关要求实施前，“规定比例”栏可不填，下同。</w:t>
      </w:r>
    </w:p>
    <w:p w14:paraId="476FB5D5">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4.该产品的关键组件要求实施前，“关键组件”栏可不填，下同。</w:t>
      </w:r>
    </w:p>
    <w:p w14:paraId="1010ED76">
      <w:pPr>
        <w:pStyle w:val="6"/>
        <w:numPr>
          <w:ilvl w:val="0"/>
          <w:numId w:val="0"/>
        </w:numPr>
        <w:spacing w:after="120"/>
        <w:ind w:firstLine="210" w:firstLineChars="100"/>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color="auto" w:fill="FFFFFF"/>
        </w:rPr>
        <w:t>5.该产品的关键工序要求实施前，“关键工序”栏可不填，下同。</w:t>
      </w:r>
    </w:p>
    <w:p w14:paraId="362F04DC">
      <w:pPr>
        <w:pStyle w:val="6"/>
        <w:numPr>
          <w:ilvl w:val="0"/>
          <w:numId w:val="0"/>
        </w:numPr>
        <w:spacing w:after="120"/>
        <w:rPr>
          <w:rFonts w:hint="eastAsia" w:ascii="宋体" w:hAnsi="宋体" w:eastAsia="宋体" w:cs="宋体"/>
          <w:i w:val="0"/>
          <w:iCs w:val="0"/>
          <w:caps w:val="0"/>
          <w:color w:val="333333"/>
          <w:spacing w:val="0"/>
          <w:sz w:val="21"/>
          <w:szCs w:val="21"/>
          <w:shd w:val="clear" w:fill="FFFFFF"/>
        </w:rPr>
      </w:pPr>
    </w:p>
    <w:p w14:paraId="77AFA75C">
      <w:pPr>
        <w:pStyle w:val="6"/>
        <w:ind w:firstLine="420" w:firstLineChars="200"/>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color="auto" w:fill="FFFFFF"/>
          <w:lang w:val="en-US" w:eastAsia="zh-CN"/>
        </w:rPr>
        <w:t>根据《深圳市财政局关于贯彻落实政府采购本国产品标准及相关政策的通知》（深财购〔2025〕69号）相关规定，评审中发现《声明函》内容含义不明确、同类事项与投标（响应）文件表述不一致或者有明显文字错误等情况的，应当以书面形式要求供应商作出必要的澄清、说明或者补正。经澄清、说明或者补正仍不符合要求的，供应商提供的相关产品视为不符合本国产品标准。</w:t>
      </w:r>
    </w:p>
    <w:p w14:paraId="6A69460F">
      <w:pPr>
        <w:rPr>
          <w:color w:val="auto"/>
        </w:rPr>
      </w:pPr>
    </w:p>
    <w:p w14:paraId="64691BFF">
      <w:pPr>
        <w:rPr>
          <w:color w:val="auto"/>
        </w:rPr>
      </w:pPr>
    </w:p>
    <w:p w14:paraId="2A982AB6">
      <w:pPr>
        <w:rPr>
          <w:color w:val="auto"/>
        </w:rPr>
      </w:pPr>
    </w:p>
    <w:p w14:paraId="5A426C0A">
      <w:pPr>
        <w:rPr>
          <w:color w:val="auto"/>
        </w:rPr>
      </w:pPr>
    </w:p>
    <w:p w14:paraId="1D8E6724">
      <w:pPr>
        <w:rPr>
          <w:color w:val="auto"/>
        </w:rPr>
      </w:pPr>
    </w:p>
    <w:p w14:paraId="1A3E840D">
      <w:pPr>
        <w:rPr>
          <w:color w:val="auto"/>
        </w:rPr>
      </w:pPr>
    </w:p>
    <w:p w14:paraId="093493CD">
      <w:pPr>
        <w:rPr>
          <w:color w:val="auto"/>
        </w:rPr>
      </w:pPr>
    </w:p>
    <w:p w14:paraId="1D37C6CC">
      <w:pPr>
        <w:rPr>
          <w:color w:val="auto"/>
        </w:rPr>
      </w:pPr>
    </w:p>
    <w:p w14:paraId="42F5E4C0">
      <w:pPr>
        <w:rPr>
          <w:color w:val="auto"/>
        </w:rPr>
      </w:pPr>
    </w:p>
    <w:p w14:paraId="14AF4BAD">
      <w:pPr>
        <w:rPr>
          <w:color w:val="auto"/>
        </w:rPr>
      </w:pPr>
    </w:p>
    <w:p w14:paraId="2F1C726D">
      <w:pPr>
        <w:rPr>
          <w:color w:val="auto"/>
        </w:rPr>
      </w:pPr>
    </w:p>
    <w:p w14:paraId="0C3B96BD">
      <w:pPr>
        <w:rPr>
          <w:color w:val="auto"/>
        </w:rPr>
      </w:pPr>
    </w:p>
    <w:p w14:paraId="42B9973E">
      <w:pPr>
        <w:rPr>
          <w:color w:val="auto"/>
        </w:rPr>
      </w:pPr>
    </w:p>
    <w:p w14:paraId="3EF6F41F">
      <w:pPr>
        <w:rPr>
          <w:color w:val="auto"/>
        </w:rPr>
      </w:pPr>
    </w:p>
    <w:p w14:paraId="44A7480B">
      <w:pPr>
        <w:rPr>
          <w:color w:val="auto"/>
        </w:rPr>
      </w:pPr>
    </w:p>
    <w:p w14:paraId="2E9D95E9">
      <w:pPr>
        <w:rPr>
          <w:color w:val="auto"/>
        </w:rPr>
      </w:pPr>
    </w:p>
    <w:p w14:paraId="6206D5B6">
      <w:pPr>
        <w:rPr>
          <w:color w:val="auto"/>
        </w:rPr>
      </w:pPr>
    </w:p>
    <w:p w14:paraId="663A38CC">
      <w:pPr>
        <w:rPr>
          <w:color w:val="auto"/>
        </w:rPr>
      </w:pPr>
    </w:p>
    <w:p w14:paraId="680B9D94">
      <w:pPr>
        <w:rPr>
          <w:color w:val="auto"/>
        </w:rPr>
      </w:pPr>
    </w:p>
    <w:p w14:paraId="4D84F8E4">
      <w:pPr>
        <w:rPr>
          <w:color w:val="auto"/>
        </w:rPr>
      </w:pPr>
    </w:p>
    <w:p w14:paraId="406BD766">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38" w:name="_Toc3326"/>
      <w:bookmarkStart w:id="39" w:name="_Toc8245"/>
      <w:r>
        <w:rPr>
          <w:rFonts w:hint="eastAsia" w:cs="宋体" w:asciiTheme="majorEastAsia" w:hAnsiTheme="majorEastAsia" w:eastAsiaTheme="majorEastAsia"/>
          <w:kern w:val="2"/>
          <w:sz w:val="30"/>
          <w:szCs w:val="30"/>
          <w:lang w:val="en-US" w:eastAsia="zh-CN" w:bidi="ar-SA"/>
        </w:rPr>
        <w:t>（九）</w:t>
      </w:r>
      <w:r>
        <w:rPr>
          <w:rFonts w:hint="eastAsia" w:asciiTheme="majorEastAsia" w:hAnsiTheme="majorEastAsia" w:eastAsiaTheme="majorEastAsia"/>
          <w:sz w:val="30"/>
          <w:szCs w:val="30"/>
        </w:rPr>
        <w:t>开标一览表(报价表)</w:t>
      </w:r>
      <w:bookmarkEnd w:id="29"/>
      <w:bookmarkEnd w:id="38"/>
      <w:bookmarkEnd w:id="39"/>
    </w:p>
    <w:bookmarkEnd w:id="25"/>
    <w:bookmarkEnd w:id="26"/>
    <w:tbl>
      <w:tblPr>
        <w:tblStyle w:val="18"/>
        <w:tblW w:w="102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38"/>
        <w:gridCol w:w="1665"/>
        <w:gridCol w:w="1870"/>
        <w:gridCol w:w="1435"/>
        <w:gridCol w:w="1078"/>
        <w:gridCol w:w="2612"/>
      </w:tblGrid>
      <w:tr w14:paraId="1F687B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638" w:type="dxa"/>
            <w:tcBorders>
              <w:top w:val="single" w:color="auto" w:sz="12" w:space="0"/>
              <w:bottom w:val="single" w:color="auto" w:sz="12" w:space="0"/>
            </w:tcBorders>
            <w:shd w:val="clear" w:color="auto" w:fill="EEECE1"/>
            <w:vAlign w:val="center"/>
          </w:tcPr>
          <w:p w14:paraId="12F100D1">
            <w:pPr>
              <w:keepNext w:val="0"/>
              <w:keepLines w:val="0"/>
              <w:suppressLineNumbers w:val="0"/>
              <w:spacing w:before="0" w:beforeAutospacing="0" w:after="0" w:afterAutospacing="0"/>
              <w:ind w:left="0" w:right="0"/>
              <w:jc w:val="center"/>
              <w:rPr>
                <w:rFonts w:hint="default" w:ascii="宋体" w:eastAsia="宋体"/>
                <w:b/>
                <w:color w:val="auto"/>
                <w:szCs w:val="21"/>
                <w:lang w:val="en-US" w:eastAsia="zh-CN"/>
              </w:rPr>
            </w:pPr>
            <w:r>
              <w:rPr>
                <w:rFonts w:hint="eastAsia" w:ascii="宋体"/>
                <w:b/>
                <w:color w:val="auto"/>
                <w:szCs w:val="21"/>
                <w:lang w:val="en-US" w:eastAsia="zh-CN"/>
              </w:rPr>
              <w:t>采购编号</w:t>
            </w:r>
          </w:p>
        </w:tc>
        <w:tc>
          <w:tcPr>
            <w:tcW w:w="1665" w:type="dxa"/>
            <w:tcBorders>
              <w:top w:val="single" w:color="auto" w:sz="12" w:space="0"/>
              <w:bottom w:val="single" w:color="auto" w:sz="12" w:space="0"/>
            </w:tcBorders>
            <w:shd w:val="clear" w:color="auto" w:fill="EEECE1"/>
            <w:vAlign w:val="center"/>
          </w:tcPr>
          <w:p w14:paraId="7DF2F416">
            <w:pPr>
              <w:keepNext w:val="0"/>
              <w:keepLines w:val="0"/>
              <w:suppressLineNumbers w:val="0"/>
              <w:spacing w:before="0" w:beforeAutospacing="0" w:after="0" w:afterAutospacing="0"/>
              <w:ind w:left="0" w:right="0"/>
              <w:jc w:val="center"/>
              <w:rPr>
                <w:rFonts w:hint="default" w:ascii="宋体" w:eastAsia="宋体" w:hAnsiTheme="minorHAnsi" w:cstheme="minorBidi"/>
                <w:b/>
                <w:color w:val="auto"/>
                <w:kern w:val="2"/>
                <w:sz w:val="21"/>
                <w:szCs w:val="21"/>
                <w:lang w:val="en-US" w:eastAsia="zh-CN" w:bidi="ar-SA"/>
              </w:rPr>
            </w:pPr>
            <w:r>
              <w:rPr>
                <w:rFonts w:hint="eastAsia" w:ascii="宋体"/>
                <w:b/>
                <w:color w:val="auto"/>
                <w:szCs w:val="21"/>
                <w:lang w:val="en-US" w:eastAsia="zh-CN"/>
              </w:rPr>
              <w:t>采购名称</w:t>
            </w:r>
          </w:p>
        </w:tc>
        <w:tc>
          <w:tcPr>
            <w:tcW w:w="1870" w:type="dxa"/>
            <w:tcBorders>
              <w:top w:val="single" w:color="auto" w:sz="12" w:space="0"/>
              <w:bottom w:val="single" w:color="auto" w:sz="12" w:space="0"/>
            </w:tcBorders>
            <w:shd w:val="clear" w:color="auto" w:fill="EEECE1"/>
            <w:vAlign w:val="center"/>
          </w:tcPr>
          <w:p w14:paraId="0FC0ABDC">
            <w:pPr>
              <w:keepNext w:val="0"/>
              <w:keepLines w:val="0"/>
              <w:suppressLineNumbers w:val="0"/>
              <w:tabs>
                <w:tab w:val="left" w:pos="8364"/>
              </w:tabs>
              <w:snapToGrid w:val="0"/>
              <w:spacing w:before="0" w:beforeAutospacing="0" w:after="0" w:afterAutospacing="0"/>
              <w:ind w:left="0" w:right="-58"/>
              <w:jc w:val="center"/>
              <w:rPr>
                <w:rFonts w:hint="eastAsia" w:ascii="宋体"/>
                <w:b/>
                <w:color w:val="auto"/>
                <w:szCs w:val="21"/>
              </w:rPr>
            </w:pPr>
            <w:r>
              <w:rPr>
                <w:rFonts w:hint="eastAsia" w:ascii="宋体" w:hAnsi="宋体" w:eastAsia="宋体" w:cs="宋体"/>
                <w:b/>
                <w:szCs w:val="21"/>
                <w:highlight w:val="none"/>
              </w:rPr>
              <w:t>制造商、原产地</w:t>
            </w:r>
          </w:p>
        </w:tc>
        <w:tc>
          <w:tcPr>
            <w:tcW w:w="1435" w:type="dxa"/>
            <w:tcBorders>
              <w:top w:val="single" w:color="auto" w:sz="12" w:space="0"/>
              <w:bottom w:val="single" w:color="auto" w:sz="12" w:space="0"/>
            </w:tcBorders>
            <w:shd w:val="clear" w:color="auto" w:fill="EEECE1"/>
            <w:vAlign w:val="center"/>
          </w:tcPr>
          <w:p w14:paraId="65458354">
            <w:pPr>
              <w:keepNext w:val="0"/>
              <w:keepLines w:val="0"/>
              <w:suppressLineNumbers w:val="0"/>
              <w:spacing w:before="0" w:beforeAutospacing="0" w:after="0" w:afterAutospacing="0"/>
              <w:ind w:left="0" w:right="0"/>
              <w:jc w:val="center"/>
              <w:rPr>
                <w:rFonts w:hint="eastAsia" w:ascii="宋体" w:hAnsi="宋体" w:cs="宋体"/>
                <w:b/>
                <w:color w:val="FF0000"/>
                <w:szCs w:val="21"/>
                <w:highlight w:val="none"/>
                <w:lang w:eastAsia="zh-CN"/>
              </w:rPr>
            </w:pPr>
            <w:r>
              <w:rPr>
                <w:rFonts w:hint="eastAsia" w:ascii="宋体" w:hAnsi="宋体" w:eastAsia="宋体" w:cs="宋体"/>
                <w:b/>
                <w:szCs w:val="21"/>
                <w:highlight w:val="none"/>
              </w:rPr>
              <w:t>品牌、型号</w:t>
            </w:r>
          </w:p>
        </w:tc>
        <w:tc>
          <w:tcPr>
            <w:tcW w:w="1078" w:type="dxa"/>
            <w:tcBorders>
              <w:top w:val="single" w:color="auto" w:sz="12" w:space="0"/>
              <w:bottom w:val="single" w:color="auto" w:sz="12" w:space="0"/>
            </w:tcBorders>
            <w:shd w:val="clear" w:color="auto" w:fill="EEECE1"/>
            <w:vAlign w:val="center"/>
          </w:tcPr>
          <w:p w14:paraId="0DE0CD21">
            <w:pPr>
              <w:keepNext w:val="0"/>
              <w:keepLines w:val="0"/>
              <w:suppressLineNumbers w:val="0"/>
              <w:spacing w:before="0" w:beforeAutospacing="0" w:after="0" w:afterAutospacing="0"/>
              <w:ind w:left="0" w:right="0"/>
              <w:jc w:val="center"/>
              <w:rPr>
                <w:rFonts w:hint="eastAsia" w:ascii="宋体" w:hAnsiTheme="minorHAnsi" w:eastAsiaTheme="minorEastAsia" w:cstheme="minorBidi"/>
                <w:b/>
                <w:color w:val="auto"/>
                <w:kern w:val="2"/>
                <w:sz w:val="21"/>
                <w:szCs w:val="21"/>
                <w:lang w:val="en-US" w:eastAsia="zh-CN" w:bidi="ar-SA"/>
              </w:rPr>
            </w:pPr>
            <w:r>
              <w:rPr>
                <w:rFonts w:hint="eastAsia" w:ascii="宋体"/>
                <w:b/>
                <w:color w:val="auto"/>
                <w:szCs w:val="21"/>
              </w:rPr>
              <w:t>数量</w:t>
            </w:r>
          </w:p>
        </w:tc>
        <w:tc>
          <w:tcPr>
            <w:tcW w:w="2612" w:type="dxa"/>
            <w:tcBorders>
              <w:top w:val="single" w:color="auto" w:sz="12" w:space="0"/>
              <w:bottom w:val="single" w:color="auto" w:sz="12" w:space="0"/>
            </w:tcBorders>
            <w:shd w:val="clear" w:color="auto" w:fill="EEECE1"/>
            <w:vAlign w:val="center"/>
          </w:tcPr>
          <w:p w14:paraId="07C9EA11">
            <w:pPr>
              <w:keepNext w:val="0"/>
              <w:keepLines w:val="0"/>
              <w:suppressLineNumbers w:val="0"/>
              <w:spacing w:before="0" w:beforeAutospacing="0" w:after="0" w:afterAutospacing="0"/>
              <w:ind w:left="0" w:right="0"/>
              <w:jc w:val="center"/>
              <w:rPr>
                <w:rFonts w:hint="eastAsia" w:hAnsi="宋体"/>
                <w:b/>
                <w:color w:val="auto"/>
                <w:vertAlign w:val="baseline"/>
                <w:lang w:val="en-US" w:eastAsia="zh-CN"/>
              </w:rPr>
            </w:pPr>
            <w:r>
              <w:rPr>
                <w:rFonts w:hint="eastAsia" w:hAnsi="宋体"/>
                <w:b/>
                <w:color w:val="auto"/>
                <w:vertAlign w:val="baseline"/>
                <w:lang w:val="en-US" w:eastAsia="zh-CN"/>
              </w:rPr>
              <w:t>投标报价</w:t>
            </w:r>
          </w:p>
          <w:p w14:paraId="21427E9E">
            <w:pPr>
              <w:keepNext w:val="0"/>
              <w:keepLines w:val="0"/>
              <w:suppressLineNumbers w:val="0"/>
              <w:spacing w:before="0" w:beforeAutospacing="0" w:after="0" w:afterAutospacing="0"/>
              <w:ind w:left="0" w:right="0"/>
              <w:jc w:val="center"/>
              <w:rPr>
                <w:rFonts w:hint="eastAsia" w:ascii="宋体" w:hAnsiTheme="minorHAnsi" w:eastAsiaTheme="minorEastAsia" w:cstheme="minorBidi"/>
                <w:b/>
                <w:color w:val="auto"/>
                <w:kern w:val="2"/>
                <w:sz w:val="21"/>
                <w:szCs w:val="21"/>
                <w:lang w:val="en-US" w:eastAsia="zh-CN" w:bidi="ar-SA"/>
              </w:rPr>
            </w:pPr>
            <w:r>
              <w:rPr>
                <w:rFonts w:hint="eastAsia" w:hAnsi="宋体"/>
                <w:b/>
                <w:color w:val="auto"/>
                <w:vertAlign w:val="baseline"/>
                <w:lang w:val="en-US" w:eastAsia="zh-CN"/>
              </w:rPr>
              <w:t>（人民币 元）</w:t>
            </w:r>
          </w:p>
        </w:tc>
      </w:tr>
      <w:tr w14:paraId="090F9B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53" w:hRule="atLeast"/>
          <w:jc w:val="center"/>
        </w:trPr>
        <w:tc>
          <w:tcPr>
            <w:tcW w:w="1638" w:type="dxa"/>
            <w:tcBorders>
              <w:top w:val="single" w:color="auto" w:sz="12" w:space="0"/>
              <w:bottom w:val="single" w:color="auto" w:sz="12" w:space="0"/>
            </w:tcBorders>
            <w:vAlign w:val="center"/>
          </w:tcPr>
          <w:p w14:paraId="27FCC3BF">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snapToGrid/>
                <w:color w:val="auto"/>
                <w:spacing w:val="0"/>
                <w:kern w:val="2"/>
                <w:sz w:val="21"/>
                <w:szCs w:val="24"/>
                <w:lang w:val="en-US" w:eastAsia="zh-CN" w:bidi="ar-SA"/>
              </w:rPr>
            </w:pPr>
          </w:p>
        </w:tc>
        <w:tc>
          <w:tcPr>
            <w:tcW w:w="1665" w:type="dxa"/>
            <w:tcBorders>
              <w:top w:val="single" w:color="auto" w:sz="12" w:space="0"/>
              <w:bottom w:val="single" w:color="auto" w:sz="12" w:space="0"/>
            </w:tcBorders>
            <w:vAlign w:val="center"/>
          </w:tcPr>
          <w:p w14:paraId="431C6EDD">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snapToGrid/>
                <w:color w:val="auto"/>
                <w:spacing w:val="0"/>
                <w:kern w:val="2"/>
                <w:sz w:val="21"/>
                <w:szCs w:val="24"/>
                <w:lang w:val="en-US" w:eastAsia="zh-CN" w:bidi="ar-SA"/>
              </w:rPr>
            </w:pPr>
          </w:p>
        </w:tc>
        <w:tc>
          <w:tcPr>
            <w:tcW w:w="1870" w:type="dxa"/>
            <w:tcBorders>
              <w:top w:val="single" w:color="auto" w:sz="12" w:space="0"/>
              <w:bottom w:val="single" w:color="auto" w:sz="12" w:space="0"/>
            </w:tcBorders>
            <w:vAlign w:val="center"/>
          </w:tcPr>
          <w:p w14:paraId="53030D5C">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snapToGrid/>
                <w:color w:val="auto"/>
                <w:spacing w:val="0"/>
                <w:kern w:val="2"/>
                <w:sz w:val="21"/>
                <w:szCs w:val="24"/>
                <w:lang w:val="en-US" w:eastAsia="zh-CN" w:bidi="ar-SA"/>
              </w:rPr>
            </w:pPr>
          </w:p>
        </w:tc>
        <w:tc>
          <w:tcPr>
            <w:tcW w:w="1435" w:type="dxa"/>
            <w:tcBorders>
              <w:top w:val="single" w:color="auto" w:sz="12" w:space="0"/>
              <w:bottom w:val="single" w:color="auto" w:sz="12" w:space="0"/>
            </w:tcBorders>
            <w:vAlign w:val="center"/>
          </w:tcPr>
          <w:p w14:paraId="5CAF2A81">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snapToGrid/>
                <w:color w:val="auto"/>
                <w:spacing w:val="0"/>
                <w:kern w:val="2"/>
                <w:sz w:val="21"/>
                <w:szCs w:val="24"/>
                <w:lang w:val="en-US" w:eastAsia="zh-CN" w:bidi="ar-SA"/>
              </w:rPr>
            </w:pPr>
          </w:p>
        </w:tc>
        <w:tc>
          <w:tcPr>
            <w:tcW w:w="1078" w:type="dxa"/>
            <w:tcBorders>
              <w:top w:val="single" w:color="auto" w:sz="12" w:space="0"/>
              <w:bottom w:val="single" w:color="auto" w:sz="12" w:space="0"/>
            </w:tcBorders>
            <w:vAlign w:val="center"/>
          </w:tcPr>
          <w:p w14:paraId="7E633B99">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snapToGrid/>
                <w:color w:val="auto"/>
                <w:spacing w:val="0"/>
                <w:kern w:val="2"/>
                <w:sz w:val="21"/>
                <w:szCs w:val="24"/>
                <w:lang w:val="en-US" w:eastAsia="zh-CN" w:bidi="ar-SA"/>
              </w:rPr>
            </w:pPr>
          </w:p>
        </w:tc>
        <w:tc>
          <w:tcPr>
            <w:tcW w:w="2612" w:type="dxa"/>
            <w:tcBorders>
              <w:top w:val="single" w:color="auto" w:sz="12" w:space="0"/>
              <w:bottom w:val="single" w:color="auto" w:sz="12" w:space="0"/>
            </w:tcBorders>
            <w:vAlign w:val="center"/>
          </w:tcPr>
          <w:p w14:paraId="6885F932">
            <w:pPr>
              <w:pStyle w:val="34"/>
              <w:keepLines w:val="0"/>
              <w:suppressLineNumbers w:val="0"/>
              <w:spacing w:beforeAutospacing="0" w:afterAutospacing="0" w:line="240" w:lineRule="auto"/>
              <w:ind w:left="0" w:right="0"/>
              <w:rPr>
                <w:rFonts w:hint="default" w:ascii="宋体"/>
                <w:bCs/>
                <w:color w:val="auto"/>
                <w:szCs w:val="21"/>
                <w:u w:val="single"/>
              </w:rPr>
            </w:pPr>
          </w:p>
        </w:tc>
      </w:tr>
      <w:tr w14:paraId="71680E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53" w:hRule="atLeast"/>
          <w:jc w:val="center"/>
        </w:trPr>
        <w:tc>
          <w:tcPr>
            <w:tcW w:w="10298" w:type="dxa"/>
            <w:gridSpan w:val="6"/>
            <w:tcBorders>
              <w:top w:val="single" w:color="auto" w:sz="12" w:space="0"/>
              <w:bottom w:val="single" w:color="auto" w:sz="12" w:space="0"/>
            </w:tcBorders>
            <w:vAlign w:val="center"/>
          </w:tcPr>
          <w:p w14:paraId="366CD76F">
            <w:pPr>
              <w:keepNext w:val="0"/>
              <w:keepLines w:val="0"/>
              <w:suppressLineNumbers w:val="0"/>
              <w:spacing w:before="0" w:beforeAutospacing="0" w:after="0" w:afterAutospacing="0"/>
              <w:ind w:left="0" w:right="0"/>
              <w:jc w:val="left"/>
              <w:rPr>
                <w:rFonts w:hint="default" w:ascii="宋体"/>
                <w:bCs/>
                <w:color w:val="auto"/>
                <w:szCs w:val="21"/>
                <w:u w:val="single"/>
                <w:lang w:val="en-US"/>
              </w:rPr>
            </w:pPr>
            <w:r>
              <w:rPr>
                <w:rFonts w:hint="eastAsia" w:hAnsi="宋体"/>
                <w:b/>
                <w:color w:val="auto"/>
                <w:vertAlign w:val="baseline"/>
                <w:lang w:val="en-US" w:eastAsia="zh-CN"/>
              </w:rPr>
              <w:t>投标报价（元）小写：                   大写：</w:t>
            </w:r>
          </w:p>
        </w:tc>
      </w:tr>
    </w:tbl>
    <w:p w14:paraId="2F8AE64B">
      <w:pPr>
        <w:pStyle w:val="35"/>
      </w:pPr>
    </w:p>
    <w:p w14:paraId="3E7E1871">
      <w:pPr>
        <w:pStyle w:val="35"/>
      </w:pPr>
    </w:p>
    <w:p w14:paraId="65FD6EFB">
      <w:pPr>
        <w:pStyle w:val="35"/>
      </w:pPr>
    </w:p>
    <w:p w14:paraId="599AE3DB">
      <w:pPr>
        <w:spacing w:line="360" w:lineRule="auto"/>
        <w:rPr>
          <w:rFonts w:hint="default"/>
          <w:b/>
          <w:bCs/>
          <w:highlight w:val="lightGray"/>
          <w:u w:val="single"/>
          <w:lang w:val="en-US"/>
        </w:rPr>
      </w:pPr>
      <w:r>
        <w:rPr>
          <w:rFonts w:hint="eastAsia"/>
          <w:b/>
          <w:bCs/>
          <w:sz w:val="24"/>
          <w:lang w:val="en-US" w:eastAsia="zh-CN"/>
        </w:rPr>
        <w:t>投标人签字：</w:t>
      </w:r>
      <w:r>
        <w:rPr>
          <w:rFonts w:hint="eastAsia"/>
          <w:b/>
          <w:bCs/>
          <w:sz w:val="24"/>
          <w:u w:val="single"/>
          <w:lang w:val="en-US" w:eastAsia="zh-CN"/>
        </w:rPr>
        <w:t xml:space="preserve">                     </w:t>
      </w:r>
    </w:p>
    <w:p w14:paraId="73B46FEC">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7AE07D80">
      <w:pPr>
        <w:spacing w:line="360" w:lineRule="auto"/>
        <w:outlineLvl w:val="9"/>
        <w:rPr>
          <w:rFonts w:hint="eastAsia"/>
          <w:b/>
          <w:sz w:val="24"/>
        </w:rPr>
      </w:pPr>
      <w:r>
        <w:rPr>
          <w:rFonts w:hint="eastAsia"/>
          <w:b/>
          <w:sz w:val="24"/>
        </w:rPr>
        <w:t>（此处加盖投标人单位公章）</w:t>
      </w:r>
    </w:p>
    <w:p w14:paraId="7D974DDB">
      <w:pPr>
        <w:spacing w:line="360" w:lineRule="auto"/>
        <w:rPr>
          <w:rFonts w:hint="eastAsia"/>
          <w:b/>
          <w:bCs/>
          <w:sz w:val="24"/>
        </w:rPr>
      </w:pPr>
      <w:r>
        <w:rPr>
          <w:rFonts w:hint="eastAsia"/>
          <w:b/>
          <w:bCs/>
          <w:sz w:val="24"/>
        </w:rPr>
        <w:t>日期：       年     月    日</w:t>
      </w:r>
    </w:p>
    <w:p w14:paraId="3E729C9D">
      <w:pPr>
        <w:pStyle w:val="6"/>
        <w:rPr>
          <w:rFonts w:hint="default"/>
          <w:lang w:val="en-US" w:eastAsia="zh-CN"/>
        </w:rPr>
      </w:pPr>
    </w:p>
    <w:p w14:paraId="29AA90E5">
      <w:pPr>
        <w:spacing w:line="400" w:lineRule="exact"/>
        <w:rPr>
          <w:rFonts w:ascii="宋体" w:hAnsi="宋体"/>
          <w:szCs w:val="21"/>
        </w:rPr>
      </w:pPr>
      <w:r>
        <w:rPr>
          <w:rFonts w:hint="eastAsia" w:ascii="宋体" w:hAnsi="宋体"/>
          <w:szCs w:val="21"/>
        </w:rPr>
        <w:t>备注：</w:t>
      </w:r>
    </w:p>
    <w:p w14:paraId="461A862F">
      <w:pPr>
        <w:numPr>
          <w:ilvl w:val="1"/>
          <w:numId w:val="10"/>
        </w:numPr>
        <w:tabs>
          <w:tab w:val="left" w:pos="360"/>
          <w:tab w:val="clear" w:pos="1620"/>
        </w:tabs>
        <w:snapToGrid w:val="0"/>
        <w:spacing w:line="360" w:lineRule="auto"/>
        <w:ind w:left="360" w:leftChars="0" w:hanging="360" w:firstLineChars="0"/>
        <w:outlineLvl w:val="9"/>
        <w:rPr>
          <w:rFonts w:ascii="宋体" w:hAnsi="宋体"/>
          <w:szCs w:val="21"/>
        </w:rPr>
      </w:pPr>
      <w:r>
        <w:rPr>
          <w:rFonts w:hint="eastAsia" w:ascii="宋体" w:hAnsi="宋体"/>
        </w:rPr>
        <w:t>投标报价的小数点后保留两位有效数</w:t>
      </w:r>
      <w:r>
        <w:rPr>
          <w:rFonts w:hint="eastAsia" w:ascii="宋体" w:hAnsi="宋体"/>
          <w:szCs w:val="21"/>
        </w:rPr>
        <w:t>。</w:t>
      </w:r>
    </w:p>
    <w:p w14:paraId="0226C8E6">
      <w:pPr>
        <w:numPr>
          <w:ilvl w:val="1"/>
          <w:numId w:val="10"/>
        </w:numPr>
        <w:tabs>
          <w:tab w:val="left" w:pos="360"/>
          <w:tab w:val="left" w:pos="840"/>
          <w:tab w:val="clear" w:pos="1620"/>
        </w:tabs>
        <w:snapToGrid w:val="0"/>
        <w:spacing w:line="360" w:lineRule="auto"/>
        <w:ind w:left="360"/>
      </w:pPr>
      <w:r>
        <w:rPr>
          <w:rFonts w:hint="eastAsia"/>
        </w:rPr>
        <w:t>除</w:t>
      </w:r>
      <w:r>
        <w:rPr>
          <w:rFonts w:hint="eastAsia"/>
          <w:lang w:eastAsia="zh-CN"/>
        </w:rPr>
        <w:t>征集</w:t>
      </w:r>
      <w:r>
        <w:rPr>
          <w:rFonts w:hint="eastAsia"/>
        </w:rPr>
        <w:t>文件另有规定外，投标文件内不得含有任何对本报价进行价格折扣的说明或资料，否则为无效投标。</w:t>
      </w:r>
    </w:p>
    <w:p w14:paraId="63A99683">
      <w:pPr>
        <w:numPr>
          <w:ilvl w:val="1"/>
          <w:numId w:val="10"/>
        </w:numPr>
        <w:tabs>
          <w:tab w:val="left" w:pos="360"/>
          <w:tab w:val="left" w:pos="840"/>
          <w:tab w:val="clear" w:pos="1620"/>
        </w:tabs>
        <w:snapToGrid w:val="0"/>
        <w:spacing w:line="360" w:lineRule="auto"/>
        <w:ind w:left="360"/>
      </w:pPr>
      <w:r>
        <w:rPr>
          <w:rFonts w:hint="eastAsia"/>
        </w:rPr>
        <w:t>投标报价</w:t>
      </w:r>
      <w:r>
        <w:rPr>
          <w:rFonts w:hint="eastAsia"/>
          <w:lang w:val="en-US" w:eastAsia="zh-CN"/>
        </w:rPr>
        <w:t>不得超过挂网公告的预算价格，否则为无效投标</w:t>
      </w:r>
      <w:r>
        <w:rPr>
          <w:rFonts w:hint="eastAsia"/>
        </w:rPr>
        <w:t>。</w:t>
      </w:r>
    </w:p>
    <w:p w14:paraId="2B15EBBF">
      <w:pPr>
        <w:numPr>
          <w:ilvl w:val="1"/>
          <w:numId w:val="10"/>
        </w:numPr>
        <w:tabs>
          <w:tab w:val="left" w:pos="360"/>
          <w:tab w:val="left" w:pos="840"/>
          <w:tab w:val="clear" w:pos="1620"/>
        </w:tabs>
        <w:snapToGrid w:val="0"/>
        <w:spacing w:line="360" w:lineRule="auto"/>
        <w:ind w:left="360"/>
      </w:pPr>
      <w:r>
        <w:rPr>
          <w:rFonts w:hint="eastAsia" w:ascii="宋体" w:hAnsi="宋体" w:eastAsia="宋体" w:cs="宋体"/>
          <w:szCs w:val="21"/>
          <w:highlight w:val="none"/>
        </w:rPr>
        <w:t>投标人须按要求填写所有信息，不得随意更改本表格式。</w:t>
      </w:r>
    </w:p>
    <w:p w14:paraId="6497BC59">
      <w:pPr>
        <w:numPr>
          <w:ilvl w:val="1"/>
          <w:numId w:val="10"/>
        </w:numPr>
        <w:tabs>
          <w:tab w:val="left" w:pos="360"/>
          <w:tab w:val="left" w:pos="840"/>
          <w:tab w:val="clear" w:pos="1620"/>
        </w:tabs>
        <w:snapToGrid w:val="0"/>
        <w:spacing w:line="360" w:lineRule="auto"/>
        <w:ind w:left="360"/>
      </w:pPr>
      <w:r>
        <w:rPr>
          <w:rFonts w:hint="eastAsia" w:ascii="宋体" w:hAnsi="宋体" w:eastAsia="宋体" w:cs="宋体"/>
          <w:szCs w:val="21"/>
          <w:highlight w:val="none"/>
        </w:rPr>
        <w:t>此表是投标文件的必要文件，是投标文件的组成部分，封装在一个信封中，作为唱标之用。</w:t>
      </w:r>
    </w:p>
    <w:p w14:paraId="15DE9748">
      <w:pPr>
        <w:numPr>
          <w:ilvl w:val="1"/>
          <w:numId w:val="10"/>
        </w:numPr>
        <w:tabs>
          <w:tab w:val="left" w:pos="360"/>
          <w:tab w:val="left" w:pos="840"/>
          <w:tab w:val="clear" w:pos="1620"/>
        </w:tabs>
        <w:snapToGrid w:val="0"/>
        <w:spacing w:line="360" w:lineRule="auto"/>
        <w:ind w:left="360"/>
        <w:rPr>
          <w:rFonts w:hint="eastAsia" w:ascii="宋体" w:hAnsi="宋体" w:eastAsia="宋体" w:cs="宋体"/>
          <w:szCs w:val="21"/>
          <w:highlight w:val="none"/>
        </w:rPr>
      </w:pPr>
      <w:r>
        <w:rPr>
          <w:rFonts w:hint="eastAsia" w:ascii="宋体" w:hAnsi="宋体" w:eastAsia="宋体" w:cs="宋体"/>
          <w:szCs w:val="21"/>
          <w:highlight w:val="none"/>
        </w:rPr>
        <w:t>根据《政府采购货物和服务</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投标管理办法》（财政部令第87号）第六十条规定，投标人的报价明显低于其他通过符合性审查投标人的报价，有可能影响产品质量或者不能诚信履约的，评委会有权要求投标供应商在规定时间内提供书面说明以及必要的证明材料，并根据投标人的说明</w:t>
      </w:r>
      <w:r>
        <w:rPr>
          <w:rFonts w:hint="eastAsia" w:ascii="宋体" w:hAnsi="宋体" w:eastAsia="宋体" w:cs="宋体"/>
          <w:szCs w:val="21"/>
          <w:highlight w:val="none"/>
          <w:lang w:val="en-US" w:eastAsia="zh-CN"/>
        </w:rPr>
        <w:t>做</w:t>
      </w:r>
      <w:r>
        <w:rPr>
          <w:rFonts w:hint="eastAsia" w:ascii="宋体" w:hAnsi="宋体" w:eastAsia="宋体" w:cs="宋体"/>
          <w:szCs w:val="21"/>
          <w:highlight w:val="none"/>
        </w:rPr>
        <w:t>相应处理。</w:t>
      </w:r>
    </w:p>
    <w:p w14:paraId="015DCFDE">
      <w:pPr>
        <w:numPr>
          <w:ilvl w:val="1"/>
          <w:numId w:val="10"/>
        </w:numPr>
        <w:tabs>
          <w:tab w:val="left" w:pos="360"/>
          <w:tab w:val="left" w:pos="840"/>
          <w:tab w:val="clear" w:pos="1620"/>
        </w:tabs>
        <w:snapToGrid w:val="0"/>
        <w:spacing w:line="360" w:lineRule="auto"/>
        <w:ind w:left="360"/>
        <w:rPr>
          <w:rFonts w:hint="eastAsia" w:ascii="宋体" w:hAnsi="宋体" w:eastAsia="宋体" w:cs="宋体"/>
          <w:szCs w:val="21"/>
          <w:highlight w:val="none"/>
        </w:rPr>
      </w:pPr>
      <w:r>
        <w:rPr>
          <w:rFonts w:hint="eastAsia" w:ascii="宋体" w:hAnsi="宋体" w:eastAsia="宋体" w:cs="宋体"/>
          <w:szCs w:val="21"/>
          <w:highlight w:val="none"/>
        </w:rPr>
        <w:t>详细填写所投货物的制造商名称；若所投产品属于定制类的非量产货物或无具体品牌型号的货物，可以不填写品牌、型号等信息，但应当标注投标产品为定制产品。</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文件已要求提供核心产品的，供应商必须明确所投核心产品的品牌。</w:t>
      </w:r>
    </w:p>
    <w:p w14:paraId="31AC87EF">
      <w:pPr>
        <w:numPr>
          <w:ilvl w:val="1"/>
          <w:numId w:val="10"/>
        </w:numPr>
        <w:tabs>
          <w:tab w:val="left" w:pos="360"/>
          <w:tab w:val="left" w:pos="840"/>
          <w:tab w:val="clear" w:pos="1620"/>
        </w:tabs>
        <w:snapToGrid w:val="0"/>
        <w:spacing w:line="360" w:lineRule="auto"/>
        <w:ind w:left="360"/>
        <w:rPr>
          <w:rFonts w:hint="eastAsia" w:ascii="宋体" w:hAnsi="宋体" w:eastAsia="宋体" w:cs="宋体"/>
          <w:szCs w:val="21"/>
          <w:highlight w:val="none"/>
        </w:rPr>
      </w:pPr>
      <w:r>
        <w:rPr>
          <w:rFonts w:hint="eastAsia" w:asciiTheme="minorEastAsia" w:hAnsiTheme="minorEastAsia" w:eastAsiaTheme="minorEastAsia"/>
          <w:szCs w:val="21"/>
        </w:rPr>
        <w:t>若开标一览表中大写金额和小写金额不一致的，以大写金额为准。</w:t>
      </w:r>
    </w:p>
    <w:p w14:paraId="3DCB839C">
      <w:pPr>
        <w:pStyle w:val="6"/>
        <w:rPr>
          <w:rFonts w:hint="default" w:ascii="宋体" w:hAnsi="宋体" w:eastAsiaTheme="minorEastAsia" w:cstheme="minorBidi"/>
          <w:kern w:val="2"/>
          <w:sz w:val="21"/>
          <w:szCs w:val="24"/>
          <w:lang w:val="en-US" w:eastAsia="zh-CN" w:bidi="ar-SA"/>
        </w:rPr>
      </w:pPr>
    </w:p>
    <w:p w14:paraId="27349781">
      <w:pPr>
        <w:tabs>
          <w:tab w:val="left" w:pos="1200"/>
        </w:tabs>
        <w:snapToGrid w:val="0"/>
        <w:spacing w:line="360" w:lineRule="auto"/>
        <w:ind w:left="360"/>
        <w:rPr>
          <w:color w:val="FF0000"/>
        </w:rPr>
      </w:pPr>
    </w:p>
    <w:p w14:paraId="54F1A10B">
      <w:pPr>
        <w:spacing w:line="400" w:lineRule="exact"/>
        <w:rPr>
          <w:rFonts w:ascii="宋体" w:hAnsi="宋体"/>
          <w:b/>
          <w:bCs/>
          <w:szCs w:val="21"/>
        </w:rPr>
        <w:sectPr>
          <w:pgSz w:w="11906" w:h="16838"/>
          <w:pgMar w:top="1440" w:right="1286" w:bottom="1440"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357D675F">
      <w:pPr>
        <w:pStyle w:val="3"/>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lang w:eastAsia="zh-CN"/>
        </w:rPr>
      </w:pPr>
      <w:bookmarkStart w:id="40" w:name="_Toc192662843"/>
      <w:bookmarkStart w:id="41" w:name="_Toc435514866"/>
      <w:bookmarkStart w:id="42" w:name="_Toc6350"/>
      <w:bookmarkStart w:id="43" w:name="_Toc435515306"/>
      <w:bookmarkStart w:id="44" w:name="_Toc22669"/>
      <w:bookmarkStart w:id="45" w:name="_Toc275865611"/>
      <w:bookmarkStart w:id="46" w:name="_Toc22031"/>
      <w:r>
        <w:rPr>
          <w:rFonts w:hint="eastAsia" w:cs="宋体" w:asciiTheme="majorEastAsia" w:hAnsiTheme="majorEastAsia" w:eastAsiaTheme="majorEastAsia"/>
          <w:kern w:val="2"/>
          <w:sz w:val="30"/>
          <w:szCs w:val="30"/>
          <w:lang w:val="en-US" w:eastAsia="zh-CN" w:bidi="ar-SA"/>
        </w:rPr>
        <w:t>（十）</w:t>
      </w:r>
      <w:r>
        <w:rPr>
          <w:rFonts w:hint="eastAsia" w:asciiTheme="majorEastAsia" w:hAnsiTheme="majorEastAsia" w:eastAsiaTheme="majorEastAsia"/>
          <w:sz w:val="30"/>
          <w:szCs w:val="30"/>
        </w:rPr>
        <w:t>投标报价</w:t>
      </w:r>
      <w:r>
        <w:rPr>
          <w:rFonts w:hint="eastAsia" w:asciiTheme="majorEastAsia" w:hAnsiTheme="majorEastAsia" w:eastAsiaTheme="majorEastAsia"/>
          <w:sz w:val="30"/>
          <w:szCs w:val="30"/>
          <w:lang w:val="en-US" w:eastAsia="zh-CN"/>
        </w:rPr>
        <w:t>明细</w:t>
      </w:r>
      <w:r>
        <w:rPr>
          <w:rFonts w:hint="eastAsia" w:asciiTheme="majorEastAsia" w:hAnsiTheme="majorEastAsia" w:eastAsiaTheme="majorEastAsia"/>
          <w:sz w:val="30"/>
          <w:szCs w:val="30"/>
        </w:rPr>
        <w:t>表</w:t>
      </w:r>
      <w:bookmarkEnd w:id="40"/>
      <w:bookmarkEnd w:id="41"/>
      <w:bookmarkEnd w:id="42"/>
      <w:bookmarkEnd w:id="43"/>
      <w:bookmarkEnd w:id="44"/>
      <w:bookmarkEnd w:id="45"/>
      <w:bookmarkEnd w:id="46"/>
    </w:p>
    <w:tbl>
      <w:tblPr>
        <w:tblStyle w:val="18"/>
        <w:tblW w:w="1063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34"/>
        <w:gridCol w:w="1050"/>
        <w:gridCol w:w="990"/>
        <w:gridCol w:w="990"/>
        <w:gridCol w:w="990"/>
        <w:gridCol w:w="750"/>
        <w:gridCol w:w="750"/>
        <w:gridCol w:w="870"/>
        <w:gridCol w:w="1020"/>
        <w:gridCol w:w="968"/>
        <w:gridCol w:w="725"/>
      </w:tblGrid>
      <w:tr w14:paraId="30F3E2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1534" w:type="dxa"/>
            <w:tcBorders>
              <w:top w:val="single" w:color="auto" w:sz="12" w:space="0"/>
              <w:bottom w:val="double" w:color="auto" w:sz="4" w:space="0"/>
            </w:tcBorders>
            <w:shd w:val="clear" w:color="auto" w:fill="EEECE1"/>
            <w:vAlign w:val="center"/>
          </w:tcPr>
          <w:p w14:paraId="5F5EBF4D">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eastAsia" w:ascii="宋体" w:hAnsi="宋体"/>
              </w:rPr>
              <w:t>序号</w:t>
            </w:r>
          </w:p>
        </w:tc>
        <w:tc>
          <w:tcPr>
            <w:tcW w:w="1050" w:type="dxa"/>
            <w:tcBorders>
              <w:top w:val="single" w:color="auto" w:sz="12" w:space="0"/>
              <w:bottom w:val="double" w:color="auto" w:sz="4" w:space="0"/>
            </w:tcBorders>
            <w:shd w:val="clear" w:color="auto" w:fill="EEECE1"/>
            <w:vAlign w:val="center"/>
          </w:tcPr>
          <w:p w14:paraId="5915C804">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eastAsia" w:ascii="宋体" w:hAnsi="宋体"/>
              </w:rPr>
              <w:t>产品</w:t>
            </w:r>
          </w:p>
          <w:p w14:paraId="384D549C">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default" w:ascii="宋体" w:hAnsi="宋体"/>
              </w:rPr>
              <w:t>名称</w:t>
            </w:r>
          </w:p>
        </w:tc>
        <w:tc>
          <w:tcPr>
            <w:tcW w:w="990" w:type="dxa"/>
            <w:tcBorders>
              <w:top w:val="single" w:color="auto" w:sz="12" w:space="0"/>
              <w:bottom w:val="double" w:color="auto" w:sz="4" w:space="0"/>
            </w:tcBorders>
            <w:shd w:val="clear" w:color="auto" w:fill="EEECE1"/>
            <w:vAlign w:val="center"/>
          </w:tcPr>
          <w:p w14:paraId="4F87A1A6">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default" w:ascii="宋体" w:hAnsi="宋体"/>
              </w:rPr>
              <w:t>规格</w:t>
            </w:r>
            <w:r>
              <w:rPr>
                <w:rFonts w:hint="eastAsia" w:ascii="宋体" w:hAnsi="宋体"/>
                <w:lang w:val="en-US" w:eastAsia="zh-CN"/>
              </w:rPr>
              <w:t xml:space="preserve">  </w:t>
            </w:r>
            <w:r>
              <w:rPr>
                <w:rFonts w:hint="default" w:ascii="宋体" w:hAnsi="宋体"/>
              </w:rPr>
              <w:t>型号</w:t>
            </w:r>
          </w:p>
        </w:tc>
        <w:tc>
          <w:tcPr>
            <w:tcW w:w="990" w:type="dxa"/>
            <w:tcBorders>
              <w:top w:val="single" w:color="auto" w:sz="12" w:space="0"/>
              <w:bottom w:val="double" w:color="auto" w:sz="4" w:space="0"/>
            </w:tcBorders>
            <w:shd w:val="clear" w:color="auto" w:fill="EEECE1"/>
            <w:vAlign w:val="center"/>
          </w:tcPr>
          <w:p w14:paraId="1C2B3549">
            <w:pPr>
              <w:keepNext w:val="0"/>
              <w:keepLines w:val="0"/>
              <w:widowControl/>
              <w:suppressLineNumbers w:val="0"/>
              <w:adjustRightInd w:val="0"/>
              <w:snapToGrid w:val="0"/>
              <w:spacing w:before="0" w:beforeAutospacing="0" w:after="0" w:afterAutospacing="0"/>
              <w:ind w:left="0" w:right="0"/>
              <w:jc w:val="center"/>
              <w:rPr>
                <w:rFonts w:hint="eastAsia" w:ascii="宋体" w:hAnsi="宋体" w:eastAsiaTheme="minorEastAsia"/>
                <w:lang w:val="en-US" w:eastAsia="zh-CN"/>
              </w:rPr>
            </w:pPr>
            <w:r>
              <w:rPr>
                <w:rFonts w:hint="eastAsia" w:ascii="宋体" w:hAnsi="宋体"/>
                <w:lang w:val="en-US" w:eastAsia="zh-CN"/>
              </w:rPr>
              <w:t>制造商</w:t>
            </w:r>
          </w:p>
        </w:tc>
        <w:tc>
          <w:tcPr>
            <w:tcW w:w="990" w:type="dxa"/>
            <w:tcBorders>
              <w:top w:val="single" w:color="auto" w:sz="12" w:space="0"/>
              <w:bottom w:val="double" w:color="auto" w:sz="4" w:space="0"/>
            </w:tcBorders>
            <w:shd w:val="clear" w:color="auto" w:fill="EEECE1"/>
            <w:vAlign w:val="center"/>
          </w:tcPr>
          <w:p w14:paraId="69A5DBCF">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eastAsia" w:ascii="宋体" w:hAnsi="宋体"/>
              </w:rPr>
              <w:t>品牌</w:t>
            </w:r>
          </w:p>
        </w:tc>
        <w:tc>
          <w:tcPr>
            <w:tcW w:w="750" w:type="dxa"/>
            <w:tcBorders>
              <w:top w:val="single" w:color="auto" w:sz="12" w:space="0"/>
              <w:bottom w:val="double" w:color="auto" w:sz="4" w:space="0"/>
            </w:tcBorders>
            <w:shd w:val="clear" w:color="auto" w:fill="EEECE1"/>
            <w:vAlign w:val="center"/>
          </w:tcPr>
          <w:p w14:paraId="018BFB98">
            <w:pPr>
              <w:keepNext w:val="0"/>
              <w:keepLines w:val="0"/>
              <w:widowControl/>
              <w:suppressLineNumbers w:val="0"/>
              <w:adjustRightInd w:val="0"/>
              <w:snapToGrid w:val="0"/>
              <w:spacing w:before="0" w:beforeAutospacing="0" w:after="0" w:afterAutospacing="0"/>
              <w:ind w:left="0" w:right="0"/>
              <w:jc w:val="center"/>
              <w:rPr>
                <w:rFonts w:hint="default" w:ascii="宋体" w:hAnsi="宋体" w:eastAsiaTheme="minorEastAsia"/>
                <w:lang w:val="en-US" w:eastAsia="zh-CN"/>
              </w:rPr>
            </w:pPr>
            <w:r>
              <w:rPr>
                <w:rFonts w:hint="eastAsia" w:ascii="宋体" w:hAnsi="宋体"/>
                <w:lang w:val="en-US" w:eastAsia="zh-CN"/>
              </w:rPr>
              <w:t>代工厂商</w:t>
            </w:r>
          </w:p>
        </w:tc>
        <w:tc>
          <w:tcPr>
            <w:tcW w:w="750" w:type="dxa"/>
            <w:tcBorders>
              <w:top w:val="single" w:color="auto" w:sz="12" w:space="0"/>
              <w:bottom w:val="double" w:color="auto" w:sz="4" w:space="0"/>
            </w:tcBorders>
            <w:shd w:val="clear" w:color="auto" w:fill="EEECE1"/>
            <w:vAlign w:val="center"/>
          </w:tcPr>
          <w:p w14:paraId="22B38E5C">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eastAsia" w:ascii="宋体" w:hAnsi="宋体"/>
              </w:rPr>
              <w:t>单位</w:t>
            </w:r>
          </w:p>
        </w:tc>
        <w:tc>
          <w:tcPr>
            <w:tcW w:w="870" w:type="dxa"/>
            <w:tcBorders>
              <w:top w:val="single" w:color="auto" w:sz="12" w:space="0"/>
              <w:bottom w:val="double" w:color="auto" w:sz="4" w:space="0"/>
            </w:tcBorders>
            <w:shd w:val="clear" w:color="auto" w:fill="EEECE1"/>
            <w:vAlign w:val="center"/>
          </w:tcPr>
          <w:p w14:paraId="3C4AF9D9">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default" w:ascii="宋体" w:hAnsi="宋体"/>
              </w:rPr>
              <w:t>数量</w:t>
            </w:r>
          </w:p>
        </w:tc>
        <w:tc>
          <w:tcPr>
            <w:tcW w:w="1020" w:type="dxa"/>
            <w:tcBorders>
              <w:top w:val="single" w:color="auto" w:sz="12" w:space="0"/>
              <w:bottom w:val="double" w:color="auto" w:sz="4" w:space="0"/>
            </w:tcBorders>
            <w:shd w:val="clear" w:color="auto" w:fill="EEECE1"/>
            <w:vAlign w:val="center"/>
          </w:tcPr>
          <w:p w14:paraId="1D2B96D2">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default" w:ascii="宋体" w:hAnsi="宋体"/>
              </w:rPr>
              <w:t>单价</w:t>
            </w:r>
            <w:r>
              <w:rPr>
                <w:rFonts w:hint="eastAsia" w:ascii="宋体" w:hAnsi="宋体"/>
                <w:lang w:val="en-US" w:eastAsia="zh-CN"/>
              </w:rPr>
              <w:t xml:space="preserve">   </w:t>
            </w:r>
            <w:r>
              <w:rPr>
                <w:rFonts w:hint="default" w:ascii="宋体" w:hAnsi="宋体"/>
              </w:rPr>
              <w:t>（元）</w:t>
            </w:r>
          </w:p>
        </w:tc>
        <w:tc>
          <w:tcPr>
            <w:tcW w:w="968" w:type="dxa"/>
            <w:tcBorders>
              <w:top w:val="single" w:color="auto" w:sz="12" w:space="0"/>
              <w:bottom w:val="double" w:color="auto" w:sz="4" w:space="0"/>
            </w:tcBorders>
            <w:shd w:val="clear" w:color="auto" w:fill="EEECE1"/>
            <w:vAlign w:val="center"/>
          </w:tcPr>
          <w:p w14:paraId="122C5C98">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eastAsia" w:ascii="宋体" w:hAnsi="宋体"/>
              </w:rPr>
              <w:t>合计</w:t>
            </w:r>
            <w:r>
              <w:rPr>
                <w:rFonts w:hint="eastAsia" w:ascii="宋体" w:hAnsi="宋体"/>
                <w:lang w:val="en-US" w:eastAsia="zh-CN"/>
              </w:rPr>
              <w:t xml:space="preserve">   </w:t>
            </w:r>
            <w:r>
              <w:rPr>
                <w:rFonts w:hint="eastAsia" w:ascii="宋体" w:hAnsi="宋体"/>
              </w:rPr>
              <w:t>（元）</w:t>
            </w:r>
          </w:p>
        </w:tc>
        <w:tc>
          <w:tcPr>
            <w:tcW w:w="725" w:type="dxa"/>
            <w:tcBorders>
              <w:top w:val="single" w:color="auto" w:sz="12" w:space="0"/>
              <w:bottom w:val="double" w:color="auto" w:sz="4" w:space="0"/>
            </w:tcBorders>
            <w:shd w:val="clear" w:color="auto" w:fill="EEECE1"/>
            <w:vAlign w:val="center"/>
          </w:tcPr>
          <w:p w14:paraId="26BB7D70">
            <w:pPr>
              <w:keepNext w:val="0"/>
              <w:keepLines w:val="0"/>
              <w:suppressLineNumbers w:val="0"/>
              <w:adjustRightInd w:val="0"/>
              <w:snapToGrid w:val="0"/>
              <w:spacing w:before="0" w:beforeAutospacing="0" w:after="0" w:afterAutospacing="0"/>
              <w:ind w:left="0" w:right="0"/>
              <w:jc w:val="center"/>
              <w:rPr>
                <w:rFonts w:hint="default" w:ascii="宋体" w:hAnsi="宋体"/>
              </w:rPr>
            </w:pPr>
            <w:r>
              <w:rPr>
                <w:rFonts w:hint="default" w:ascii="宋体" w:hAnsi="宋体"/>
              </w:rPr>
              <w:t>备注</w:t>
            </w:r>
          </w:p>
        </w:tc>
      </w:tr>
      <w:tr w14:paraId="3D7BC0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6ADCBEC4">
            <w:pPr>
              <w:keepNext w:val="0"/>
              <w:keepLines w:val="0"/>
              <w:suppressLineNumbers w:val="0"/>
              <w:spacing w:before="0" w:beforeAutospacing="0" w:after="0" w:afterAutospacing="0"/>
              <w:ind w:left="0" w:right="0"/>
              <w:jc w:val="center"/>
              <w:rPr>
                <w:rFonts w:hint="default" w:ascii="宋体" w:hAnsi="宋体"/>
              </w:rPr>
            </w:pPr>
            <w:r>
              <w:rPr>
                <w:rFonts w:hint="eastAsia" w:ascii="宋体" w:hAnsi="宋体"/>
              </w:rPr>
              <w:t>1</w:t>
            </w:r>
          </w:p>
        </w:tc>
        <w:tc>
          <w:tcPr>
            <w:tcW w:w="1050" w:type="dxa"/>
            <w:vAlign w:val="center"/>
          </w:tcPr>
          <w:p w14:paraId="587D43AF">
            <w:pPr>
              <w:keepNext w:val="0"/>
              <w:keepLines w:val="0"/>
              <w:suppressLineNumbers w:val="0"/>
              <w:spacing w:before="0" w:beforeAutospacing="0" w:after="0" w:afterAutospacing="0"/>
              <w:ind w:left="0" w:right="0"/>
              <w:jc w:val="center"/>
              <w:rPr>
                <w:rFonts w:hint="default"/>
              </w:rPr>
            </w:pPr>
          </w:p>
        </w:tc>
        <w:tc>
          <w:tcPr>
            <w:tcW w:w="990" w:type="dxa"/>
            <w:vAlign w:val="center"/>
          </w:tcPr>
          <w:p w14:paraId="1FBD9E86">
            <w:pPr>
              <w:keepNext w:val="0"/>
              <w:keepLines w:val="0"/>
              <w:suppressLineNumbers w:val="0"/>
              <w:spacing w:before="0" w:beforeAutospacing="0" w:after="0" w:afterAutospacing="0"/>
              <w:ind w:left="0" w:right="0"/>
              <w:jc w:val="center"/>
              <w:rPr>
                <w:rFonts w:hint="default"/>
              </w:rPr>
            </w:pPr>
          </w:p>
        </w:tc>
        <w:tc>
          <w:tcPr>
            <w:tcW w:w="990" w:type="dxa"/>
            <w:vAlign w:val="center"/>
          </w:tcPr>
          <w:p w14:paraId="4F5FDCC7">
            <w:pPr>
              <w:keepNext w:val="0"/>
              <w:keepLines w:val="0"/>
              <w:suppressLineNumbers w:val="0"/>
              <w:spacing w:before="0" w:beforeAutospacing="0" w:after="0" w:afterAutospacing="0"/>
              <w:ind w:left="0" w:right="0"/>
              <w:jc w:val="center"/>
              <w:rPr>
                <w:rFonts w:hint="default"/>
              </w:rPr>
            </w:pPr>
          </w:p>
        </w:tc>
        <w:tc>
          <w:tcPr>
            <w:tcW w:w="990" w:type="dxa"/>
            <w:vAlign w:val="center"/>
          </w:tcPr>
          <w:p w14:paraId="7F126458">
            <w:pPr>
              <w:keepNext w:val="0"/>
              <w:keepLines w:val="0"/>
              <w:suppressLineNumbers w:val="0"/>
              <w:spacing w:before="0" w:beforeAutospacing="0" w:after="0" w:afterAutospacing="0"/>
              <w:ind w:left="0" w:right="0"/>
              <w:jc w:val="center"/>
              <w:rPr>
                <w:rFonts w:hint="default"/>
              </w:rPr>
            </w:pPr>
          </w:p>
        </w:tc>
        <w:tc>
          <w:tcPr>
            <w:tcW w:w="750" w:type="dxa"/>
            <w:vAlign w:val="center"/>
          </w:tcPr>
          <w:p w14:paraId="5DEBA6A7">
            <w:pPr>
              <w:keepNext w:val="0"/>
              <w:keepLines w:val="0"/>
              <w:suppressLineNumbers w:val="0"/>
              <w:spacing w:before="0" w:beforeAutospacing="0" w:after="0" w:afterAutospacing="0"/>
              <w:ind w:left="0" w:right="0"/>
              <w:jc w:val="center"/>
              <w:rPr>
                <w:rFonts w:hint="default"/>
              </w:rPr>
            </w:pPr>
          </w:p>
        </w:tc>
        <w:tc>
          <w:tcPr>
            <w:tcW w:w="750" w:type="dxa"/>
            <w:vAlign w:val="center"/>
          </w:tcPr>
          <w:p w14:paraId="7E35AFC9">
            <w:pPr>
              <w:keepNext w:val="0"/>
              <w:keepLines w:val="0"/>
              <w:suppressLineNumbers w:val="0"/>
              <w:spacing w:before="0" w:beforeAutospacing="0" w:after="0" w:afterAutospacing="0"/>
              <w:ind w:left="0" w:right="0"/>
              <w:jc w:val="center"/>
              <w:rPr>
                <w:rFonts w:hint="default"/>
              </w:rPr>
            </w:pPr>
          </w:p>
        </w:tc>
        <w:tc>
          <w:tcPr>
            <w:tcW w:w="870" w:type="dxa"/>
            <w:vAlign w:val="center"/>
          </w:tcPr>
          <w:p w14:paraId="150DCEB5">
            <w:pPr>
              <w:keepNext w:val="0"/>
              <w:keepLines w:val="0"/>
              <w:suppressLineNumbers w:val="0"/>
              <w:spacing w:before="0" w:beforeAutospacing="0" w:after="0" w:afterAutospacing="0"/>
              <w:ind w:left="0" w:right="0"/>
              <w:jc w:val="center"/>
              <w:rPr>
                <w:rFonts w:hint="default"/>
              </w:rPr>
            </w:pPr>
          </w:p>
        </w:tc>
        <w:tc>
          <w:tcPr>
            <w:tcW w:w="1020" w:type="dxa"/>
            <w:vAlign w:val="center"/>
          </w:tcPr>
          <w:p w14:paraId="0B6ACCDB">
            <w:pPr>
              <w:keepNext w:val="0"/>
              <w:keepLines w:val="0"/>
              <w:suppressLineNumbers w:val="0"/>
              <w:spacing w:before="0" w:beforeAutospacing="0" w:after="0" w:afterAutospacing="0"/>
              <w:ind w:left="0" w:right="0"/>
              <w:jc w:val="center"/>
              <w:rPr>
                <w:rFonts w:hint="default"/>
              </w:rPr>
            </w:pPr>
          </w:p>
        </w:tc>
        <w:tc>
          <w:tcPr>
            <w:tcW w:w="968" w:type="dxa"/>
            <w:vAlign w:val="center"/>
          </w:tcPr>
          <w:p w14:paraId="7BBE7B51">
            <w:pPr>
              <w:keepNext w:val="0"/>
              <w:keepLines w:val="0"/>
              <w:suppressLineNumbers w:val="0"/>
              <w:spacing w:before="0" w:beforeAutospacing="0" w:after="0" w:afterAutospacing="0"/>
              <w:ind w:left="0" w:right="0"/>
              <w:jc w:val="center"/>
              <w:rPr>
                <w:rFonts w:hint="default"/>
              </w:rPr>
            </w:pPr>
          </w:p>
        </w:tc>
        <w:tc>
          <w:tcPr>
            <w:tcW w:w="725" w:type="dxa"/>
            <w:vAlign w:val="center"/>
          </w:tcPr>
          <w:p w14:paraId="3A11F0BB">
            <w:pPr>
              <w:keepNext w:val="0"/>
              <w:keepLines w:val="0"/>
              <w:suppressLineNumbers w:val="0"/>
              <w:spacing w:before="0" w:beforeAutospacing="0" w:after="0" w:afterAutospacing="0"/>
              <w:ind w:left="0" w:right="0"/>
              <w:jc w:val="center"/>
              <w:rPr>
                <w:rFonts w:hint="default"/>
              </w:rPr>
            </w:pPr>
          </w:p>
        </w:tc>
      </w:tr>
      <w:tr w14:paraId="5F9A31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1D8B611E">
            <w:pPr>
              <w:keepNext w:val="0"/>
              <w:keepLines w:val="0"/>
              <w:suppressLineNumbers w:val="0"/>
              <w:spacing w:before="0" w:beforeAutospacing="0" w:after="0" w:afterAutospacing="0"/>
              <w:ind w:left="0" w:right="0"/>
              <w:jc w:val="center"/>
              <w:rPr>
                <w:rFonts w:hint="default" w:ascii="宋体" w:hAnsi="宋体"/>
              </w:rPr>
            </w:pPr>
            <w:r>
              <w:rPr>
                <w:rFonts w:hint="eastAsia" w:ascii="宋体" w:hAnsi="宋体"/>
              </w:rPr>
              <w:t>2</w:t>
            </w:r>
          </w:p>
        </w:tc>
        <w:tc>
          <w:tcPr>
            <w:tcW w:w="1050" w:type="dxa"/>
            <w:vAlign w:val="center"/>
          </w:tcPr>
          <w:p w14:paraId="70669F5F">
            <w:pPr>
              <w:keepNext w:val="0"/>
              <w:keepLines w:val="0"/>
              <w:suppressLineNumbers w:val="0"/>
              <w:spacing w:before="0" w:beforeAutospacing="0" w:after="0" w:afterAutospacing="0"/>
              <w:ind w:left="0" w:right="0"/>
              <w:jc w:val="center"/>
              <w:rPr>
                <w:rFonts w:hint="default"/>
              </w:rPr>
            </w:pPr>
          </w:p>
        </w:tc>
        <w:tc>
          <w:tcPr>
            <w:tcW w:w="990" w:type="dxa"/>
            <w:vAlign w:val="center"/>
          </w:tcPr>
          <w:p w14:paraId="41ED0F8E">
            <w:pPr>
              <w:keepNext w:val="0"/>
              <w:keepLines w:val="0"/>
              <w:suppressLineNumbers w:val="0"/>
              <w:spacing w:before="0" w:beforeAutospacing="0" w:after="0" w:afterAutospacing="0"/>
              <w:ind w:left="0" w:right="0"/>
              <w:jc w:val="center"/>
              <w:rPr>
                <w:rFonts w:hint="default"/>
              </w:rPr>
            </w:pPr>
          </w:p>
        </w:tc>
        <w:tc>
          <w:tcPr>
            <w:tcW w:w="990" w:type="dxa"/>
            <w:vAlign w:val="center"/>
          </w:tcPr>
          <w:p w14:paraId="222424AE">
            <w:pPr>
              <w:keepNext w:val="0"/>
              <w:keepLines w:val="0"/>
              <w:suppressLineNumbers w:val="0"/>
              <w:spacing w:before="0" w:beforeAutospacing="0" w:after="0" w:afterAutospacing="0"/>
              <w:ind w:left="0" w:right="0"/>
              <w:jc w:val="center"/>
              <w:rPr>
                <w:rFonts w:hint="default"/>
              </w:rPr>
            </w:pPr>
          </w:p>
        </w:tc>
        <w:tc>
          <w:tcPr>
            <w:tcW w:w="990" w:type="dxa"/>
            <w:vAlign w:val="center"/>
          </w:tcPr>
          <w:p w14:paraId="10F72517">
            <w:pPr>
              <w:keepNext w:val="0"/>
              <w:keepLines w:val="0"/>
              <w:suppressLineNumbers w:val="0"/>
              <w:spacing w:before="0" w:beforeAutospacing="0" w:after="0" w:afterAutospacing="0"/>
              <w:ind w:left="0" w:right="0"/>
              <w:jc w:val="center"/>
              <w:rPr>
                <w:rFonts w:hint="default"/>
              </w:rPr>
            </w:pPr>
          </w:p>
        </w:tc>
        <w:tc>
          <w:tcPr>
            <w:tcW w:w="750" w:type="dxa"/>
            <w:vAlign w:val="center"/>
          </w:tcPr>
          <w:p w14:paraId="72412A1D">
            <w:pPr>
              <w:keepNext w:val="0"/>
              <w:keepLines w:val="0"/>
              <w:suppressLineNumbers w:val="0"/>
              <w:spacing w:before="0" w:beforeAutospacing="0" w:after="0" w:afterAutospacing="0"/>
              <w:ind w:left="0" w:right="0"/>
              <w:jc w:val="center"/>
              <w:rPr>
                <w:rFonts w:hint="default"/>
              </w:rPr>
            </w:pPr>
          </w:p>
        </w:tc>
        <w:tc>
          <w:tcPr>
            <w:tcW w:w="750" w:type="dxa"/>
            <w:vAlign w:val="center"/>
          </w:tcPr>
          <w:p w14:paraId="6DFC59CD">
            <w:pPr>
              <w:keepNext w:val="0"/>
              <w:keepLines w:val="0"/>
              <w:suppressLineNumbers w:val="0"/>
              <w:spacing w:before="0" w:beforeAutospacing="0" w:after="0" w:afterAutospacing="0"/>
              <w:ind w:left="0" w:right="0"/>
              <w:jc w:val="center"/>
              <w:rPr>
                <w:rFonts w:hint="default"/>
              </w:rPr>
            </w:pPr>
          </w:p>
        </w:tc>
        <w:tc>
          <w:tcPr>
            <w:tcW w:w="870" w:type="dxa"/>
            <w:vAlign w:val="center"/>
          </w:tcPr>
          <w:p w14:paraId="257186F2">
            <w:pPr>
              <w:keepNext w:val="0"/>
              <w:keepLines w:val="0"/>
              <w:suppressLineNumbers w:val="0"/>
              <w:spacing w:before="0" w:beforeAutospacing="0" w:after="0" w:afterAutospacing="0"/>
              <w:ind w:left="0" w:right="0"/>
              <w:jc w:val="center"/>
              <w:rPr>
                <w:rFonts w:hint="default"/>
              </w:rPr>
            </w:pPr>
          </w:p>
        </w:tc>
        <w:tc>
          <w:tcPr>
            <w:tcW w:w="1020" w:type="dxa"/>
            <w:vAlign w:val="center"/>
          </w:tcPr>
          <w:p w14:paraId="42E249AF">
            <w:pPr>
              <w:keepNext w:val="0"/>
              <w:keepLines w:val="0"/>
              <w:suppressLineNumbers w:val="0"/>
              <w:spacing w:before="0" w:beforeAutospacing="0" w:after="0" w:afterAutospacing="0"/>
              <w:ind w:left="0" w:right="0"/>
              <w:jc w:val="center"/>
              <w:rPr>
                <w:rFonts w:hint="default"/>
              </w:rPr>
            </w:pPr>
          </w:p>
        </w:tc>
        <w:tc>
          <w:tcPr>
            <w:tcW w:w="968" w:type="dxa"/>
            <w:vAlign w:val="center"/>
          </w:tcPr>
          <w:p w14:paraId="5C60D203">
            <w:pPr>
              <w:keepNext w:val="0"/>
              <w:keepLines w:val="0"/>
              <w:suppressLineNumbers w:val="0"/>
              <w:spacing w:before="0" w:beforeAutospacing="0" w:after="0" w:afterAutospacing="0"/>
              <w:ind w:left="0" w:right="0"/>
              <w:jc w:val="center"/>
              <w:rPr>
                <w:rFonts w:hint="default"/>
              </w:rPr>
            </w:pPr>
          </w:p>
        </w:tc>
        <w:tc>
          <w:tcPr>
            <w:tcW w:w="725" w:type="dxa"/>
            <w:vAlign w:val="center"/>
          </w:tcPr>
          <w:p w14:paraId="5A6C1D5A">
            <w:pPr>
              <w:keepNext w:val="0"/>
              <w:keepLines w:val="0"/>
              <w:suppressLineNumbers w:val="0"/>
              <w:spacing w:before="0" w:beforeAutospacing="0" w:after="0" w:afterAutospacing="0"/>
              <w:ind w:left="0" w:right="0"/>
              <w:jc w:val="center"/>
              <w:rPr>
                <w:rFonts w:hint="default"/>
              </w:rPr>
            </w:pPr>
          </w:p>
        </w:tc>
      </w:tr>
      <w:tr w14:paraId="192755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16FB0D31">
            <w:pPr>
              <w:keepNext w:val="0"/>
              <w:keepLines w:val="0"/>
              <w:suppressLineNumbers w:val="0"/>
              <w:spacing w:before="0" w:beforeAutospacing="0" w:after="0" w:afterAutospacing="0"/>
              <w:ind w:left="0" w:right="0"/>
              <w:jc w:val="center"/>
              <w:rPr>
                <w:rFonts w:hint="eastAsia" w:eastAsiaTheme="minorEastAsia"/>
                <w:lang w:eastAsia="zh-CN"/>
              </w:rPr>
            </w:pPr>
            <w:r>
              <w:rPr>
                <w:rFonts w:hint="eastAsia"/>
                <w:lang w:val="en-US" w:eastAsia="zh-CN"/>
              </w:rPr>
              <w:t>3</w:t>
            </w:r>
          </w:p>
        </w:tc>
        <w:tc>
          <w:tcPr>
            <w:tcW w:w="1050" w:type="dxa"/>
            <w:vAlign w:val="center"/>
          </w:tcPr>
          <w:p w14:paraId="745F5712">
            <w:pPr>
              <w:keepNext w:val="0"/>
              <w:keepLines w:val="0"/>
              <w:suppressLineNumbers w:val="0"/>
              <w:spacing w:before="0" w:beforeAutospacing="0" w:after="0" w:afterAutospacing="0"/>
              <w:ind w:left="0" w:right="0"/>
              <w:jc w:val="center"/>
              <w:rPr>
                <w:rFonts w:hint="default"/>
              </w:rPr>
            </w:pPr>
          </w:p>
        </w:tc>
        <w:tc>
          <w:tcPr>
            <w:tcW w:w="990" w:type="dxa"/>
            <w:vAlign w:val="center"/>
          </w:tcPr>
          <w:p w14:paraId="77BF9D43">
            <w:pPr>
              <w:keepNext w:val="0"/>
              <w:keepLines w:val="0"/>
              <w:suppressLineNumbers w:val="0"/>
              <w:spacing w:before="0" w:beforeAutospacing="0" w:after="0" w:afterAutospacing="0"/>
              <w:ind w:left="0" w:right="0"/>
              <w:jc w:val="center"/>
              <w:rPr>
                <w:rFonts w:hint="default"/>
              </w:rPr>
            </w:pPr>
          </w:p>
        </w:tc>
        <w:tc>
          <w:tcPr>
            <w:tcW w:w="990" w:type="dxa"/>
            <w:vAlign w:val="center"/>
          </w:tcPr>
          <w:p w14:paraId="0A5DC4D5">
            <w:pPr>
              <w:keepNext w:val="0"/>
              <w:keepLines w:val="0"/>
              <w:suppressLineNumbers w:val="0"/>
              <w:spacing w:before="0" w:beforeAutospacing="0" w:after="0" w:afterAutospacing="0"/>
              <w:ind w:left="0" w:right="0"/>
              <w:jc w:val="center"/>
              <w:rPr>
                <w:rFonts w:hint="default"/>
              </w:rPr>
            </w:pPr>
          </w:p>
        </w:tc>
        <w:tc>
          <w:tcPr>
            <w:tcW w:w="990" w:type="dxa"/>
            <w:vAlign w:val="center"/>
          </w:tcPr>
          <w:p w14:paraId="02A4B03C">
            <w:pPr>
              <w:keepNext w:val="0"/>
              <w:keepLines w:val="0"/>
              <w:suppressLineNumbers w:val="0"/>
              <w:spacing w:before="0" w:beforeAutospacing="0" w:after="0" w:afterAutospacing="0"/>
              <w:ind w:left="0" w:right="0"/>
              <w:jc w:val="center"/>
              <w:rPr>
                <w:rFonts w:hint="default"/>
              </w:rPr>
            </w:pPr>
          </w:p>
        </w:tc>
        <w:tc>
          <w:tcPr>
            <w:tcW w:w="750" w:type="dxa"/>
            <w:vAlign w:val="center"/>
          </w:tcPr>
          <w:p w14:paraId="10A066A4">
            <w:pPr>
              <w:keepNext w:val="0"/>
              <w:keepLines w:val="0"/>
              <w:suppressLineNumbers w:val="0"/>
              <w:spacing w:before="0" w:beforeAutospacing="0" w:after="0" w:afterAutospacing="0"/>
              <w:ind w:left="0" w:right="0"/>
              <w:jc w:val="center"/>
              <w:rPr>
                <w:rFonts w:hint="default"/>
              </w:rPr>
            </w:pPr>
          </w:p>
        </w:tc>
        <w:tc>
          <w:tcPr>
            <w:tcW w:w="750" w:type="dxa"/>
            <w:vAlign w:val="center"/>
          </w:tcPr>
          <w:p w14:paraId="5D4CA23D">
            <w:pPr>
              <w:keepNext w:val="0"/>
              <w:keepLines w:val="0"/>
              <w:suppressLineNumbers w:val="0"/>
              <w:spacing w:before="0" w:beforeAutospacing="0" w:after="0" w:afterAutospacing="0"/>
              <w:ind w:left="0" w:right="0"/>
              <w:jc w:val="center"/>
              <w:rPr>
                <w:rFonts w:hint="default"/>
              </w:rPr>
            </w:pPr>
          </w:p>
        </w:tc>
        <w:tc>
          <w:tcPr>
            <w:tcW w:w="870" w:type="dxa"/>
            <w:vAlign w:val="center"/>
          </w:tcPr>
          <w:p w14:paraId="7B558961">
            <w:pPr>
              <w:keepNext w:val="0"/>
              <w:keepLines w:val="0"/>
              <w:suppressLineNumbers w:val="0"/>
              <w:spacing w:before="0" w:beforeAutospacing="0" w:after="0" w:afterAutospacing="0"/>
              <w:ind w:left="0" w:right="0"/>
              <w:jc w:val="center"/>
              <w:rPr>
                <w:rFonts w:hint="default"/>
              </w:rPr>
            </w:pPr>
          </w:p>
        </w:tc>
        <w:tc>
          <w:tcPr>
            <w:tcW w:w="1020" w:type="dxa"/>
            <w:vAlign w:val="center"/>
          </w:tcPr>
          <w:p w14:paraId="7E193032">
            <w:pPr>
              <w:keepNext w:val="0"/>
              <w:keepLines w:val="0"/>
              <w:suppressLineNumbers w:val="0"/>
              <w:spacing w:before="0" w:beforeAutospacing="0" w:after="0" w:afterAutospacing="0"/>
              <w:ind w:left="0" w:right="0"/>
              <w:jc w:val="center"/>
              <w:rPr>
                <w:rFonts w:hint="default"/>
              </w:rPr>
            </w:pPr>
          </w:p>
        </w:tc>
        <w:tc>
          <w:tcPr>
            <w:tcW w:w="968" w:type="dxa"/>
            <w:vAlign w:val="center"/>
          </w:tcPr>
          <w:p w14:paraId="50C0846A">
            <w:pPr>
              <w:keepNext w:val="0"/>
              <w:keepLines w:val="0"/>
              <w:suppressLineNumbers w:val="0"/>
              <w:spacing w:before="0" w:beforeAutospacing="0" w:after="0" w:afterAutospacing="0"/>
              <w:ind w:left="0" w:right="0"/>
              <w:jc w:val="center"/>
              <w:rPr>
                <w:rFonts w:hint="default"/>
              </w:rPr>
            </w:pPr>
          </w:p>
        </w:tc>
        <w:tc>
          <w:tcPr>
            <w:tcW w:w="725" w:type="dxa"/>
            <w:vAlign w:val="center"/>
          </w:tcPr>
          <w:p w14:paraId="1AB98162">
            <w:pPr>
              <w:keepNext w:val="0"/>
              <w:keepLines w:val="0"/>
              <w:suppressLineNumbers w:val="0"/>
              <w:spacing w:before="0" w:beforeAutospacing="0" w:after="0" w:afterAutospacing="0"/>
              <w:ind w:left="0" w:right="0"/>
              <w:jc w:val="center"/>
              <w:rPr>
                <w:rFonts w:hint="default"/>
              </w:rPr>
            </w:pPr>
          </w:p>
        </w:tc>
      </w:tr>
      <w:tr w14:paraId="47AF0E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137BEBF6">
            <w:pPr>
              <w:keepNext w:val="0"/>
              <w:keepLines w:val="0"/>
              <w:suppressLineNumbers w:val="0"/>
              <w:spacing w:before="0" w:beforeAutospacing="0" w:after="0" w:afterAutospacing="0"/>
              <w:ind w:left="0" w:right="0"/>
              <w:jc w:val="center"/>
              <w:rPr>
                <w:rFonts w:hint="eastAsia" w:eastAsiaTheme="minorEastAsia"/>
                <w:lang w:val="en-US" w:eastAsia="zh-CN"/>
              </w:rPr>
            </w:pPr>
            <w:r>
              <w:rPr>
                <w:rFonts w:hint="eastAsia"/>
                <w:lang w:val="en-US" w:eastAsia="zh-CN"/>
              </w:rPr>
              <w:t>4</w:t>
            </w:r>
          </w:p>
        </w:tc>
        <w:tc>
          <w:tcPr>
            <w:tcW w:w="1050" w:type="dxa"/>
            <w:vAlign w:val="center"/>
          </w:tcPr>
          <w:p w14:paraId="7C2988EE">
            <w:pPr>
              <w:keepNext w:val="0"/>
              <w:keepLines w:val="0"/>
              <w:suppressLineNumbers w:val="0"/>
              <w:spacing w:before="0" w:beforeAutospacing="0" w:after="0" w:afterAutospacing="0"/>
              <w:ind w:left="0" w:right="0"/>
              <w:jc w:val="center"/>
              <w:rPr>
                <w:rFonts w:hint="default"/>
              </w:rPr>
            </w:pPr>
          </w:p>
        </w:tc>
        <w:tc>
          <w:tcPr>
            <w:tcW w:w="990" w:type="dxa"/>
            <w:vAlign w:val="center"/>
          </w:tcPr>
          <w:p w14:paraId="29A2E49B">
            <w:pPr>
              <w:keepNext w:val="0"/>
              <w:keepLines w:val="0"/>
              <w:suppressLineNumbers w:val="0"/>
              <w:spacing w:before="0" w:beforeAutospacing="0" w:after="0" w:afterAutospacing="0"/>
              <w:ind w:left="0" w:right="0"/>
              <w:jc w:val="center"/>
              <w:rPr>
                <w:rFonts w:hint="default"/>
              </w:rPr>
            </w:pPr>
          </w:p>
        </w:tc>
        <w:tc>
          <w:tcPr>
            <w:tcW w:w="990" w:type="dxa"/>
            <w:vAlign w:val="center"/>
          </w:tcPr>
          <w:p w14:paraId="63DDBB0D">
            <w:pPr>
              <w:keepNext w:val="0"/>
              <w:keepLines w:val="0"/>
              <w:suppressLineNumbers w:val="0"/>
              <w:spacing w:before="0" w:beforeAutospacing="0" w:after="0" w:afterAutospacing="0"/>
              <w:ind w:left="0" w:right="0"/>
              <w:jc w:val="center"/>
              <w:rPr>
                <w:rFonts w:hint="default"/>
              </w:rPr>
            </w:pPr>
          </w:p>
        </w:tc>
        <w:tc>
          <w:tcPr>
            <w:tcW w:w="990" w:type="dxa"/>
            <w:vAlign w:val="center"/>
          </w:tcPr>
          <w:p w14:paraId="595942C9">
            <w:pPr>
              <w:keepNext w:val="0"/>
              <w:keepLines w:val="0"/>
              <w:suppressLineNumbers w:val="0"/>
              <w:spacing w:before="0" w:beforeAutospacing="0" w:after="0" w:afterAutospacing="0"/>
              <w:ind w:left="0" w:right="0"/>
              <w:jc w:val="center"/>
              <w:rPr>
                <w:rFonts w:hint="default"/>
              </w:rPr>
            </w:pPr>
          </w:p>
        </w:tc>
        <w:tc>
          <w:tcPr>
            <w:tcW w:w="750" w:type="dxa"/>
            <w:vAlign w:val="center"/>
          </w:tcPr>
          <w:p w14:paraId="097E2DB7">
            <w:pPr>
              <w:keepNext w:val="0"/>
              <w:keepLines w:val="0"/>
              <w:suppressLineNumbers w:val="0"/>
              <w:spacing w:before="0" w:beforeAutospacing="0" w:after="0" w:afterAutospacing="0"/>
              <w:ind w:left="0" w:right="0"/>
              <w:jc w:val="center"/>
              <w:rPr>
                <w:rFonts w:hint="default"/>
              </w:rPr>
            </w:pPr>
          </w:p>
        </w:tc>
        <w:tc>
          <w:tcPr>
            <w:tcW w:w="750" w:type="dxa"/>
            <w:vAlign w:val="center"/>
          </w:tcPr>
          <w:p w14:paraId="4721C0F4">
            <w:pPr>
              <w:keepNext w:val="0"/>
              <w:keepLines w:val="0"/>
              <w:suppressLineNumbers w:val="0"/>
              <w:spacing w:before="0" w:beforeAutospacing="0" w:after="0" w:afterAutospacing="0"/>
              <w:ind w:left="0" w:right="0"/>
              <w:jc w:val="center"/>
              <w:rPr>
                <w:rFonts w:hint="default"/>
              </w:rPr>
            </w:pPr>
          </w:p>
        </w:tc>
        <w:tc>
          <w:tcPr>
            <w:tcW w:w="870" w:type="dxa"/>
            <w:vAlign w:val="center"/>
          </w:tcPr>
          <w:p w14:paraId="06F59F69">
            <w:pPr>
              <w:keepNext w:val="0"/>
              <w:keepLines w:val="0"/>
              <w:suppressLineNumbers w:val="0"/>
              <w:spacing w:before="0" w:beforeAutospacing="0" w:after="0" w:afterAutospacing="0"/>
              <w:ind w:left="0" w:right="0"/>
              <w:jc w:val="center"/>
              <w:rPr>
                <w:rFonts w:hint="default"/>
              </w:rPr>
            </w:pPr>
          </w:p>
        </w:tc>
        <w:tc>
          <w:tcPr>
            <w:tcW w:w="1020" w:type="dxa"/>
            <w:vAlign w:val="center"/>
          </w:tcPr>
          <w:p w14:paraId="7033E8FE">
            <w:pPr>
              <w:keepNext w:val="0"/>
              <w:keepLines w:val="0"/>
              <w:suppressLineNumbers w:val="0"/>
              <w:spacing w:before="0" w:beforeAutospacing="0" w:after="0" w:afterAutospacing="0"/>
              <w:ind w:left="0" w:right="0"/>
              <w:jc w:val="center"/>
              <w:rPr>
                <w:rFonts w:hint="default"/>
              </w:rPr>
            </w:pPr>
          </w:p>
        </w:tc>
        <w:tc>
          <w:tcPr>
            <w:tcW w:w="968" w:type="dxa"/>
            <w:vAlign w:val="center"/>
          </w:tcPr>
          <w:p w14:paraId="190F58CD">
            <w:pPr>
              <w:keepNext w:val="0"/>
              <w:keepLines w:val="0"/>
              <w:suppressLineNumbers w:val="0"/>
              <w:spacing w:before="0" w:beforeAutospacing="0" w:after="0" w:afterAutospacing="0"/>
              <w:ind w:left="0" w:right="0"/>
              <w:jc w:val="center"/>
              <w:rPr>
                <w:rFonts w:hint="default"/>
              </w:rPr>
            </w:pPr>
          </w:p>
        </w:tc>
        <w:tc>
          <w:tcPr>
            <w:tcW w:w="725" w:type="dxa"/>
            <w:vAlign w:val="center"/>
          </w:tcPr>
          <w:p w14:paraId="0069FDC3">
            <w:pPr>
              <w:keepNext w:val="0"/>
              <w:keepLines w:val="0"/>
              <w:suppressLineNumbers w:val="0"/>
              <w:spacing w:before="0" w:beforeAutospacing="0" w:after="0" w:afterAutospacing="0"/>
              <w:ind w:left="0" w:right="0"/>
              <w:jc w:val="center"/>
              <w:rPr>
                <w:rFonts w:hint="default"/>
              </w:rPr>
            </w:pPr>
          </w:p>
        </w:tc>
      </w:tr>
      <w:tr w14:paraId="304F65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3D46894B">
            <w:pPr>
              <w:keepNext w:val="0"/>
              <w:keepLines w:val="0"/>
              <w:suppressLineNumbers w:val="0"/>
              <w:spacing w:before="0" w:beforeAutospacing="0" w:after="0" w:afterAutospacing="0"/>
              <w:ind w:left="0" w:right="0"/>
              <w:jc w:val="center"/>
              <w:rPr>
                <w:rFonts w:hint="eastAsia"/>
              </w:rPr>
            </w:pPr>
            <w:r>
              <w:rPr>
                <w:rFonts w:hint="eastAsia"/>
              </w:rPr>
              <w:t>……</w:t>
            </w:r>
          </w:p>
        </w:tc>
        <w:tc>
          <w:tcPr>
            <w:tcW w:w="1050" w:type="dxa"/>
            <w:vAlign w:val="center"/>
          </w:tcPr>
          <w:p w14:paraId="6D7736AA">
            <w:pPr>
              <w:keepNext w:val="0"/>
              <w:keepLines w:val="0"/>
              <w:suppressLineNumbers w:val="0"/>
              <w:spacing w:before="0" w:beforeAutospacing="0" w:after="0" w:afterAutospacing="0"/>
              <w:ind w:left="0" w:right="0"/>
              <w:jc w:val="center"/>
              <w:rPr>
                <w:rFonts w:hint="default"/>
              </w:rPr>
            </w:pPr>
          </w:p>
        </w:tc>
        <w:tc>
          <w:tcPr>
            <w:tcW w:w="990" w:type="dxa"/>
            <w:vAlign w:val="center"/>
          </w:tcPr>
          <w:p w14:paraId="1CE8CDF5">
            <w:pPr>
              <w:keepNext w:val="0"/>
              <w:keepLines w:val="0"/>
              <w:suppressLineNumbers w:val="0"/>
              <w:spacing w:before="0" w:beforeAutospacing="0" w:after="0" w:afterAutospacing="0"/>
              <w:ind w:left="0" w:right="0"/>
              <w:jc w:val="center"/>
              <w:rPr>
                <w:rFonts w:hint="default"/>
              </w:rPr>
            </w:pPr>
          </w:p>
        </w:tc>
        <w:tc>
          <w:tcPr>
            <w:tcW w:w="990" w:type="dxa"/>
            <w:vAlign w:val="center"/>
          </w:tcPr>
          <w:p w14:paraId="0A436446">
            <w:pPr>
              <w:keepNext w:val="0"/>
              <w:keepLines w:val="0"/>
              <w:suppressLineNumbers w:val="0"/>
              <w:spacing w:before="0" w:beforeAutospacing="0" w:after="0" w:afterAutospacing="0"/>
              <w:ind w:left="0" w:right="0"/>
              <w:jc w:val="center"/>
              <w:rPr>
                <w:rFonts w:hint="default"/>
              </w:rPr>
            </w:pPr>
          </w:p>
        </w:tc>
        <w:tc>
          <w:tcPr>
            <w:tcW w:w="990" w:type="dxa"/>
            <w:vAlign w:val="center"/>
          </w:tcPr>
          <w:p w14:paraId="481910AB">
            <w:pPr>
              <w:keepNext w:val="0"/>
              <w:keepLines w:val="0"/>
              <w:suppressLineNumbers w:val="0"/>
              <w:spacing w:before="0" w:beforeAutospacing="0" w:after="0" w:afterAutospacing="0"/>
              <w:ind w:left="0" w:right="0"/>
              <w:jc w:val="center"/>
              <w:rPr>
                <w:rFonts w:hint="default"/>
              </w:rPr>
            </w:pPr>
          </w:p>
        </w:tc>
        <w:tc>
          <w:tcPr>
            <w:tcW w:w="750" w:type="dxa"/>
            <w:vAlign w:val="center"/>
          </w:tcPr>
          <w:p w14:paraId="793DB9AB">
            <w:pPr>
              <w:keepNext w:val="0"/>
              <w:keepLines w:val="0"/>
              <w:suppressLineNumbers w:val="0"/>
              <w:spacing w:before="0" w:beforeAutospacing="0" w:after="0" w:afterAutospacing="0"/>
              <w:ind w:left="0" w:right="0"/>
              <w:jc w:val="center"/>
              <w:rPr>
                <w:rFonts w:hint="default"/>
              </w:rPr>
            </w:pPr>
          </w:p>
        </w:tc>
        <w:tc>
          <w:tcPr>
            <w:tcW w:w="750" w:type="dxa"/>
            <w:vAlign w:val="center"/>
          </w:tcPr>
          <w:p w14:paraId="0443F67B">
            <w:pPr>
              <w:keepNext w:val="0"/>
              <w:keepLines w:val="0"/>
              <w:suppressLineNumbers w:val="0"/>
              <w:spacing w:before="0" w:beforeAutospacing="0" w:after="0" w:afterAutospacing="0"/>
              <w:ind w:left="0" w:right="0"/>
              <w:jc w:val="center"/>
              <w:rPr>
                <w:rFonts w:hint="default"/>
              </w:rPr>
            </w:pPr>
          </w:p>
        </w:tc>
        <w:tc>
          <w:tcPr>
            <w:tcW w:w="870" w:type="dxa"/>
            <w:vAlign w:val="center"/>
          </w:tcPr>
          <w:p w14:paraId="572BDF3D">
            <w:pPr>
              <w:keepNext w:val="0"/>
              <w:keepLines w:val="0"/>
              <w:suppressLineNumbers w:val="0"/>
              <w:spacing w:before="0" w:beforeAutospacing="0" w:after="0" w:afterAutospacing="0"/>
              <w:ind w:left="0" w:right="0"/>
              <w:jc w:val="center"/>
              <w:rPr>
                <w:rFonts w:hint="default"/>
              </w:rPr>
            </w:pPr>
          </w:p>
        </w:tc>
        <w:tc>
          <w:tcPr>
            <w:tcW w:w="1020" w:type="dxa"/>
            <w:vAlign w:val="center"/>
          </w:tcPr>
          <w:p w14:paraId="0D5FDA0D">
            <w:pPr>
              <w:keepNext w:val="0"/>
              <w:keepLines w:val="0"/>
              <w:suppressLineNumbers w:val="0"/>
              <w:spacing w:before="0" w:beforeAutospacing="0" w:after="0" w:afterAutospacing="0"/>
              <w:ind w:left="0" w:right="0"/>
              <w:jc w:val="center"/>
              <w:rPr>
                <w:rFonts w:hint="default"/>
              </w:rPr>
            </w:pPr>
          </w:p>
        </w:tc>
        <w:tc>
          <w:tcPr>
            <w:tcW w:w="968" w:type="dxa"/>
            <w:vAlign w:val="center"/>
          </w:tcPr>
          <w:p w14:paraId="4386A38B">
            <w:pPr>
              <w:keepNext w:val="0"/>
              <w:keepLines w:val="0"/>
              <w:suppressLineNumbers w:val="0"/>
              <w:spacing w:before="0" w:beforeAutospacing="0" w:after="0" w:afterAutospacing="0"/>
              <w:ind w:left="0" w:right="0"/>
              <w:jc w:val="center"/>
              <w:rPr>
                <w:rFonts w:hint="default"/>
              </w:rPr>
            </w:pPr>
          </w:p>
        </w:tc>
        <w:tc>
          <w:tcPr>
            <w:tcW w:w="725" w:type="dxa"/>
            <w:vAlign w:val="center"/>
          </w:tcPr>
          <w:p w14:paraId="3AE151F1">
            <w:pPr>
              <w:keepNext w:val="0"/>
              <w:keepLines w:val="0"/>
              <w:suppressLineNumbers w:val="0"/>
              <w:spacing w:before="0" w:beforeAutospacing="0" w:after="0" w:afterAutospacing="0"/>
              <w:ind w:left="0" w:right="0"/>
              <w:jc w:val="center"/>
              <w:rPr>
                <w:rFonts w:hint="default"/>
              </w:rPr>
            </w:pPr>
          </w:p>
        </w:tc>
      </w:tr>
      <w:tr w14:paraId="7C2BA2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299453B2">
            <w:pPr>
              <w:keepNext w:val="0"/>
              <w:keepLines w:val="0"/>
              <w:suppressLineNumbers w:val="0"/>
              <w:spacing w:before="0" w:beforeAutospacing="0" w:after="0" w:afterAutospacing="0"/>
              <w:ind w:left="0" w:right="0"/>
              <w:jc w:val="center"/>
              <w:rPr>
                <w:rFonts w:hint="eastAsia" w:ascii="宋体" w:hAnsi="宋体" w:eastAsiaTheme="minorEastAsia"/>
                <w:lang w:eastAsia="zh-CN"/>
              </w:rPr>
            </w:pPr>
            <w:r>
              <w:rPr>
                <w:rFonts w:hint="eastAsia" w:ascii="宋体" w:hAnsi="宋体"/>
              </w:rPr>
              <w:t>总计</w:t>
            </w:r>
          </w:p>
        </w:tc>
        <w:tc>
          <w:tcPr>
            <w:tcW w:w="9103" w:type="dxa"/>
            <w:gridSpan w:val="10"/>
            <w:vAlign w:val="center"/>
          </w:tcPr>
          <w:p w14:paraId="44A20969">
            <w:pPr>
              <w:keepNext w:val="0"/>
              <w:keepLines w:val="0"/>
              <w:suppressLineNumbers w:val="0"/>
              <w:spacing w:before="0" w:beforeAutospacing="0" w:after="0" w:afterAutospacing="0"/>
              <w:ind w:left="0" w:right="0"/>
              <w:rPr>
                <w:rFonts w:hint="default"/>
              </w:rPr>
            </w:pPr>
            <w:r>
              <w:rPr>
                <w:rFonts w:hint="eastAsia"/>
                <w:lang w:val="en-US" w:eastAsia="zh-CN"/>
              </w:rPr>
              <w:t>小写：</w:t>
            </w:r>
            <w:r>
              <w:rPr>
                <w:rFonts w:hint="eastAsia"/>
              </w:rPr>
              <w:t xml:space="preserve">            </w:t>
            </w:r>
            <w:r>
              <w:rPr>
                <w:rFonts w:hint="eastAsia"/>
                <w:lang w:val="en-US" w:eastAsia="zh-CN"/>
              </w:rPr>
              <w:t xml:space="preserve">      </w:t>
            </w:r>
            <w:r>
              <w:rPr>
                <w:rFonts w:hint="eastAsia"/>
              </w:rPr>
              <w:t>大写：</w:t>
            </w:r>
          </w:p>
        </w:tc>
      </w:tr>
    </w:tbl>
    <w:p w14:paraId="74DB6181">
      <w:pPr>
        <w:widowControl/>
        <w:wordWrap w:val="0"/>
        <w:spacing w:line="360" w:lineRule="auto"/>
        <w:jc w:val="left"/>
        <w:rPr>
          <w:rFonts w:ascii="ˎ̥" w:hAnsi="ˎ̥" w:cs="宋体"/>
          <w:kern w:val="0"/>
          <w:sz w:val="18"/>
          <w:szCs w:val="18"/>
        </w:rPr>
      </w:pPr>
    </w:p>
    <w:p w14:paraId="6AA29BC1">
      <w:pPr>
        <w:pStyle w:val="6"/>
      </w:pPr>
    </w:p>
    <w:p w14:paraId="14D6F199">
      <w:pPr>
        <w:spacing w:line="360" w:lineRule="auto"/>
        <w:rPr>
          <w:b/>
          <w:bCs/>
          <w:sz w:val="24"/>
        </w:rPr>
      </w:pPr>
      <w:r>
        <w:rPr>
          <w:rFonts w:hint="eastAsia"/>
          <w:b/>
          <w:bCs/>
          <w:sz w:val="24"/>
          <w:lang w:val="en-US" w:eastAsia="zh-CN"/>
        </w:rPr>
        <w:t>投标人签字：</w:t>
      </w:r>
      <w:r>
        <w:rPr>
          <w:rFonts w:hint="eastAsia"/>
          <w:b/>
          <w:bCs/>
          <w:sz w:val="24"/>
          <w:u w:val="single"/>
          <w:lang w:val="en-US" w:eastAsia="zh-CN"/>
        </w:rPr>
        <w:t xml:space="preserve">                     </w:t>
      </w:r>
    </w:p>
    <w:p w14:paraId="32FD1D14">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758704B5">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4E0D3D7E">
      <w:pPr>
        <w:spacing w:line="360" w:lineRule="auto"/>
        <w:outlineLvl w:val="9"/>
        <w:rPr>
          <w:sz w:val="24"/>
        </w:rPr>
      </w:pPr>
      <w:r>
        <w:rPr>
          <w:rFonts w:hint="eastAsia"/>
          <w:b/>
          <w:sz w:val="24"/>
        </w:rPr>
        <w:t>（此处加盖投标人单位公章）</w:t>
      </w:r>
    </w:p>
    <w:p w14:paraId="2F80012B">
      <w:pPr>
        <w:tabs>
          <w:tab w:val="left" w:pos="567"/>
        </w:tabs>
        <w:snapToGrid w:val="0"/>
        <w:spacing w:line="360" w:lineRule="auto"/>
        <w:rPr>
          <w:rFonts w:ascii="宋体" w:hAnsi="宋体"/>
        </w:rPr>
      </w:pPr>
    </w:p>
    <w:p w14:paraId="7578DAC9">
      <w:pPr>
        <w:tabs>
          <w:tab w:val="left" w:pos="567"/>
        </w:tabs>
        <w:snapToGrid w:val="0"/>
        <w:spacing w:line="360" w:lineRule="auto"/>
        <w:rPr>
          <w:rFonts w:ascii="宋体" w:hAnsi="宋体"/>
        </w:rPr>
      </w:pPr>
      <w:r>
        <w:rPr>
          <w:rFonts w:hint="eastAsia" w:ascii="宋体" w:hAnsi="宋体"/>
        </w:rPr>
        <w:t>注：</w:t>
      </w:r>
    </w:p>
    <w:p w14:paraId="10109930">
      <w:pPr>
        <w:numPr>
          <w:ilvl w:val="1"/>
          <w:numId w:val="11"/>
        </w:numPr>
        <w:tabs>
          <w:tab w:val="left" w:pos="0"/>
          <w:tab w:val="clear" w:pos="1620"/>
        </w:tabs>
        <w:snapToGrid w:val="0"/>
        <w:spacing w:line="360" w:lineRule="auto"/>
        <w:ind w:left="0" w:firstLine="0"/>
        <w:rPr>
          <w:rFonts w:ascii="宋体" w:hAnsi="宋体"/>
        </w:rPr>
      </w:pPr>
      <w:r>
        <w:rPr>
          <w:rFonts w:hint="eastAsia" w:ascii="宋体" w:hAnsi="宋体"/>
        </w:rPr>
        <w:t>此表为《开标一览表(报价表)》的报价明细表。</w:t>
      </w:r>
    </w:p>
    <w:p w14:paraId="60C88164">
      <w:pPr>
        <w:numPr>
          <w:ilvl w:val="1"/>
          <w:numId w:val="11"/>
        </w:numPr>
        <w:tabs>
          <w:tab w:val="left" w:pos="0"/>
          <w:tab w:val="clear" w:pos="1620"/>
        </w:tabs>
        <w:snapToGrid w:val="0"/>
        <w:spacing w:line="360" w:lineRule="auto"/>
        <w:ind w:left="0" w:firstLine="0"/>
        <w:rPr>
          <w:rFonts w:ascii="宋体" w:hAnsi="宋体"/>
        </w:rPr>
      </w:pPr>
      <w:r>
        <w:rPr>
          <w:rFonts w:hint="eastAsia" w:ascii="宋体" w:hAnsi="宋体"/>
        </w:rPr>
        <w:t>所有价格均以人民币作为货币单位填写及计算。</w:t>
      </w:r>
    </w:p>
    <w:p w14:paraId="08644903">
      <w:pPr>
        <w:numPr>
          <w:ilvl w:val="1"/>
          <w:numId w:val="11"/>
        </w:numPr>
        <w:tabs>
          <w:tab w:val="left" w:pos="0"/>
          <w:tab w:val="clear" w:pos="1620"/>
        </w:tabs>
        <w:snapToGrid w:val="0"/>
        <w:spacing w:line="360" w:lineRule="auto"/>
        <w:ind w:left="0" w:firstLine="0"/>
        <w:rPr>
          <w:rFonts w:ascii="宋体" w:hAnsi="宋体"/>
        </w:rPr>
      </w:pPr>
      <w:r>
        <w:rPr>
          <w:rFonts w:hint="eastAsia" w:ascii="宋体" w:hAnsi="宋体"/>
        </w:rPr>
        <w:t>该表格式仅作参考，投标人的详细报价表格式可自定。</w:t>
      </w:r>
    </w:p>
    <w:p w14:paraId="4B3DAAF6">
      <w:pPr>
        <w:numPr>
          <w:ilvl w:val="1"/>
          <w:numId w:val="11"/>
        </w:numPr>
        <w:tabs>
          <w:tab w:val="left" w:pos="0"/>
          <w:tab w:val="clear" w:pos="1620"/>
        </w:tabs>
        <w:snapToGrid w:val="0"/>
        <w:spacing w:line="360" w:lineRule="auto"/>
        <w:ind w:left="0" w:firstLine="0"/>
        <w:rPr>
          <w:rFonts w:ascii="宋体" w:hAnsi="宋体"/>
        </w:rPr>
      </w:pPr>
      <w:r>
        <w:rPr>
          <w:rFonts w:hint="eastAsia" w:ascii="宋体" w:hAnsi="宋体"/>
        </w:rPr>
        <w:t>若投标报价</w:t>
      </w:r>
      <w:r>
        <w:rPr>
          <w:rFonts w:hint="eastAsia" w:ascii="宋体" w:hAnsi="宋体"/>
          <w:lang w:val="en-US" w:eastAsia="zh-CN"/>
        </w:rPr>
        <w:t>明细</w:t>
      </w:r>
      <w:r>
        <w:rPr>
          <w:rFonts w:hint="eastAsia" w:ascii="宋体" w:hAnsi="宋体"/>
        </w:rPr>
        <w:t>表中大写金额和小</w:t>
      </w:r>
      <w:r>
        <w:rPr>
          <w:rFonts w:hint="eastAsia" w:asciiTheme="minorEastAsia" w:hAnsiTheme="minorEastAsia" w:eastAsiaTheme="minorEastAsia"/>
          <w:szCs w:val="21"/>
        </w:rPr>
        <w:t>写金额不一致的，以大写金额为准。</w:t>
      </w:r>
    </w:p>
    <w:p w14:paraId="024BF639">
      <w:pPr>
        <w:numPr>
          <w:ilvl w:val="1"/>
          <w:numId w:val="11"/>
        </w:numPr>
        <w:tabs>
          <w:tab w:val="left" w:pos="0"/>
          <w:tab w:val="clear" w:pos="1620"/>
        </w:tabs>
        <w:snapToGrid w:val="0"/>
        <w:spacing w:line="360" w:lineRule="auto"/>
        <w:ind w:left="0" w:firstLine="0"/>
        <w:rPr>
          <w:rFonts w:ascii="宋体" w:hAnsi="宋体"/>
        </w:rPr>
      </w:pPr>
      <w:r>
        <w:rPr>
          <w:rFonts w:hint="eastAsia" w:ascii="宋体" w:hAnsi="宋体"/>
          <w:lang w:val="en-US" w:eastAsia="zh-CN"/>
        </w:rPr>
        <w:t>如果投标人的产品不涉及委托代工生产的情形，则在“代工厂商”列填“/”；当产品委托代工生产时，在“代工厂商”按实际情况填写。</w:t>
      </w:r>
    </w:p>
    <w:p w14:paraId="57712ECD">
      <w:pPr>
        <w:pStyle w:val="3"/>
        <w:numPr>
          <w:ilvl w:val="0"/>
          <w:numId w:val="0"/>
        </w:numPr>
        <w:spacing w:line="240" w:lineRule="auto"/>
        <w:ind w:left="420" w:leftChars="0" w:hanging="420" w:firstLineChars="0"/>
        <w:jc w:val="center"/>
        <w:outlineLvl w:val="9"/>
        <w:rPr>
          <w:rFonts w:ascii="宋体" w:hAnsi="宋体"/>
          <w:color w:val="000000"/>
        </w:rPr>
      </w:pPr>
    </w:p>
    <w:p w14:paraId="37B42F00">
      <w:pPr>
        <w:rPr>
          <w:rFonts w:ascii="宋体" w:hAnsi="宋体"/>
          <w:color w:val="000000"/>
        </w:rPr>
      </w:pPr>
    </w:p>
    <w:p w14:paraId="48A26FD0">
      <w:pPr>
        <w:pStyle w:val="6"/>
        <w:rPr>
          <w:rFonts w:ascii="宋体" w:hAnsi="宋体"/>
          <w:color w:val="000000"/>
        </w:rPr>
      </w:pPr>
    </w:p>
    <w:p w14:paraId="1EE00335">
      <w:pPr>
        <w:rPr>
          <w:rFonts w:ascii="宋体" w:hAnsi="宋体"/>
          <w:color w:val="000000"/>
        </w:rPr>
      </w:pPr>
    </w:p>
    <w:p w14:paraId="074A18CC">
      <w:pPr>
        <w:pStyle w:val="6"/>
        <w:rPr>
          <w:rFonts w:ascii="宋体" w:hAnsi="宋体"/>
          <w:color w:val="000000"/>
        </w:rPr>
      </w:pPr>
    </w:p>
    <w:p w14:paraId="1EAF0F35">
      <w:pPr>
        <w:rPr>
          <w:rFonts w:ascii="宋体" w:hAnsi="宋体"/>
          <w:color w:val="000000"/>
        </w:rPr>
      </w:pPr>
    </w:p>
    <w:p w14:paraId="561C5F22">
      <w:pPr>
        <w:pStyle w:val="6"/>
        <w:rPr>
          <w:rFonts w:ascii="宋体" w:hAnsi="宋体"/>
          <w:color w:val="000000"/>
        </w:rPr>
      </w:pPr>
    </w:p>
    <w:p w14:paraId="51E2905D">
      <w:pPr>
        <w:pStyle w:val="6"/>
      </w:pPr>
    </w:p>
    <w:p w14:paraId="48791E83">
      <w:pPr>
        <w:jc w:val="center"/>
        <w:outlineLvl w:val="0"/>
        <w:rPr>
          <w:rFonts w:hint="eastAsia" w:cs="宋体" w:asciiTheme="majorEastAsia" w:hAnsiTheme="majorEastAsia" w:eastAsiaTheme="majorEastAsia"/>
          <w:kern w:val="2"/>
          <w:sz w:val="30"/>
          <w:szCs w:val="30"/>
          <w:lang w:val="en-US" w:eastAsia="zh-CN" w:bidi="ar-SA"/>
        </w:rPr>
      </w:pPr>
      <w:bookmarkStart w:id="47" w:name="_Toc32648"/>
      <w:r>
        <w:rPr>
          <w:rFonts w:hint="eastAsia" w:cs="宋体" w:asciiTheme="majorEastAsia" w:hAnsiTheme="majorEastAsia" w:eastAsiaTheme="majorEastAsia"/>
          <w:kern w:val="2"/>
          <w:sz w:val="30"/>
          <w:szCs w:val="30"/>
          <w:lang w:val="en-US" w:eastAsia="zh-CN" w:bidi="ar-SA"/>
        </w:rPr>
        <w:t>（十一）产品配置清单</w:t>
      </w:r>
      <w:bookmarkEnd w:id="47"/>
    </w:p>
    <w:tbl>
      <w:tblPr>
        <w:tblStyle w:val="18"/>
        <w:tblW w:w="4996"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602"/>
        <w:gridCol w:w="1359"/>
        <w:gridCol w:w="1446"/>
        <w:gridCol w:w="1098"/>
        <w:gridCol w:w="1350"/>
        <w:gridCol w:w="2391"/>
        <w:gridCol w:w="957"/>
      </w:tblGrid>
      <w:tr w14:paraId="59B36881">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15" w:hRule="atLeast"/>
        </w:trPr>
        <w:tc>
          <w:tcPr>
            <w:tcW w:w="327"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27C78ED1">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rPr>
              <w:t>序号</w:t>
            </w:r>
          </w:p>
        </w:tc>
        <w:tc>
          <w:tcPr>
            <w:tcW w:w="738"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581144DE">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rPr>
              <w:t>品名</w:t>
            </w:r>
          </w:p>
        </w:tc>
        <w:tc>
          <w:tcPr>
            <w:tcW w:w="785"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57AE2661">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rPr>
              <w:t>规格说明</w:t>
            </w:r>
          </w:p>
        </w:tc>
        <w:tc>
          <w:tcPr>
            <w:tcW w:w="596"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3EDABADF">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rPr>
              <w:t>采购数量</w:t>
            </w:r>
          </w:p>
        </w:tc>
        <w:tc>
          <w:tcPr>
            <w:tcW w:w="733"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46D0FDD2">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lang w:val="en-US" w:eastAsia="zh-CN"/>
              </w:rPr>
              <w:t>投标</w:t>
            </w:r>
            <w:r>
              <w:rPr>
                <w:rFonts w:hint="eastAsia" w:ascii="宋体" w:hAnsi="宋体"/>
                <w:highlight w:val="none"/>
              </w:rPr>
              <w:t>数量</w:t>
            </w:r>
          </w:p>
        </w:tc>
        <w:tc>
          <w:tcPr>
            <w:tcW w:w="1298"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5616CA01">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rPr>
              <w:t>偏离情况（填写“正偏离、</w:t>
            </w:r>
            <w:r>
              <w:rPr>
                <w:rFonts w:hint="eastAsia" w:ascii="宋体" w:hAnsi="宋体"/>
                <w:highlight w:val="none"/>
                <w:lang w:val="en-US" w:eastAsia="zh-CN"/>
              </w:rPr>
              <w:t>无偏离</w:t>
            </w:r>
            <w:r>
              <w:rPr>
                <w:rFonts w:hint="eastAsia" w:ascii="宋体" w:hAnsi="宋体"/>
                <w:highlight w:val="none"/>
              </w:rPr>
              <w:t>或负偏离”）</w:t>
            </w:r>
          </w:p>
        </w:tc>
        <w:tc>
          <w:tcPr>
            <w:tcW w:w="519"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5281F3E1">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rPr>
              <w:t>备注</w:t>
            </w:r>
          </w:p>
        </w:tc>
      </w:tr>
      <w:tr w14:paraId="0C11FD5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327" w:type="pct"/>
            <w:tcBorders>
              <w:top w:val="double" w:color="auto" w:sz="4" w:space="0"/>
              <w:left w:val="single" w:color="auto" w:sz="4" w:space="0"/>
              <w:bottom w:val="single" w:color="auto" w:sz="4" w:space="0"/>
              <w:right w:val="single" w:color="auto" w:sz="4" w:space="0"/>
            </w:tcBorders>
            <w:vAlign w:val="center"/>
          </w:tcPr>
          <w:p w14:paraId="226BB8C9">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1</w:t>
            </w:r>
          </w:p>
        </w:tc>
        <w:tc>
          <w:tcPr>
            <w:tcW w:w="738" w:type="pct"/>
            <w:tcBorders>
              <w:top w:val="double" w:color="auto" w:sz="4" w:space="0"/>
              <w:left w:val="single" w:color="auto" w:sz="4" w:space="0"/>
              <w:bottom w:val="single" w:color="auto" w:sz="4" w:space="0"/>
              <w:right w:val="single" w:color="auto" w:sz="4" w:space="0"/>
            </w:tcBorders>
            <w:vAlign w:val="center"/>
          </w:tcPr>
          <w:p w14:paraId="49504AD2">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85" w:type="pct"/>
            <w:tcBorders>
              <w:top w:val="double" w:color="auto" w:sz="4" w:space="0"/>
              <w:left w:val="single" w:color="auto" w:sz="4" w:space="0"/>
              <w:bottom w:val="single" w:color="auto" w:sz="4" w:space="0"/>
              <w:right w:val="single" w:color="auto" w:sz="4" w:space="0"/>
            </w:tcBorders>
            <w:vAlign w:val="center"/>
          </w:tcPr>
          <w:p w14:paraId="399BD184">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96" w:type="pct"/>
            <w:tcBorders>
              <w:top w:val="double" w:color="auto" w:sz="4" w:space="0"/>
              <w:left w:val="single" w:color="auto" w:sz="4" w:space="0"/>
              <w:bottom w:val="single" w:color="auto" w:sz="4" w:space="0"/>
              <w:right w:val="single" w:color="auto" w:sz="4" w:space="0"/>
            </w:tcBorders>
            <w:vAlign w:val="center"/>
          </w:tcPr>
          <w:p w14:paraId="681D1231">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33" w:type="pct"/>
            <w:tcBorders>
              <w:top w:val="double" w:color="auto" w:sz="4" w:space="0"/>
              <w:left w:val="single" w:color="auto" w:sz="4" w:space="0"/>
              <w:bottom w:val="single" w:color="auto" w:sz="4" w:space="0"/>
              <w:right w:val="single" w:color="auto" w:sz="4" w:space="0"/>
            </w:tcBorders>
            <w:vAlign w:val="center"/>
          </w:tcPr>
          <w:p w14:paraId="11E35DC4">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1298" w:type="pct"/>
            <w:tcBorders>
              <w:top w:val="double" w:color="auto" w:sz="4" w:space="0"/>
              <w:left w:val="single" w:color="auto" w:sz="4" w:space="0"/>
              <w:bottom w:val="single" w:color="auto" w:sz="4" w:space="0"/>
              <w:right w:val="single" w:color="auto" w:sz="4" w:space="0"/>
            </w:tcBorders>
            <w:vAlign w:val="center"/>
          </w:tcPr>
          <w:p w14:paraId="3B9FCC3C">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19" w:type="pct"/>
            <w:tcBorders>
              <w:top w:val="double" w:color="auto" w:sz="4" w:space="0"/>
              <w:left w:val="single" w:color="auto" w:sz="4" w:space="0"/>
              <w:bottom w:val="single" w:color="auto" w:sz="4" w:space="0"/>
              <w:right w:val="single" w:color="auto" w:sz="4" w:space="0"/>
            </w:tcBorders>
            <w:vAlign w:val="center"/>
          </w:tcPr>
          <w:p w14:paraId="6742F55C">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r>
      <w:tr w14:paraId="610D8791">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327" w:type="pct"/>
            <w:tcBorders>
              <w:top w:val="single" w:color="auto" w:sz="4" w:space="0"/>
              <w:left w:val="single" w:color="auto" w:sz="4" w:space="0"/>
              <w:bottom w:val="single" w:color="auto" w:sz="4" w:space="0"/>
              <w:right w:val="single" w:color="auto" w:sz="4" w:space="0"/>
            </w:tcBorders>
            <w:vAlign w:val="center"/>
          </w:tcPr>
          <w:p w14:paraId="6EAC1297">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2</w:t>
            </w:r>
          </w:p>
        </w:tc>
        <w:tc>
          <w:tcPr>
            <w:tcW w:w="738" w:type="pct"/>
            <w:tcBorders>
              <w:top w:val="single" w:color="auto" w:sz="4" w:space="0"/>
              <w:left w:val="single" w:color="auto" w:sz="4" w:space="0"/>
              <w:bottom w:val="single" w:color="auto" w:sz="4" w:space="0"/>
              <w:right w:val="single" w:color="auto" w:sz="4" w:space="0"/>
            </w:tcBorders>
            <w:vAlign w:val="center"/>
          </w:tcPr>
          <w:p w14:paraId="5E3D5F77">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85" w:type="pct"/>
            <w:tcBorders>
              <w:top w:val="single" w:color="auto" w:sz="4" w:space="0"/>
              <w:left w:val="single" w:color="auto" w:sz="4" w:space="0"/>
              <w:bottom w:val="single" w:color="auto" w:sz="4" w:space="0"/>
              <w:right w:val="single" w:color="auto" w:sz="4" w:space="0"/>
            </w:tcBorders>
            <w:vAlign w:val="center"/>
          </w:tcPr>
          <w:p w14:paraId="1BFA7560">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96" w:type="pct"/>
            <w:tcBorders>
              <w:top w:val="single" w:color="auto" w:sz="4" w:space="0"/>
              <w:left w:val="single" w:color="auto" w:sz="4" w:space="0"/>
              <w:bottom w:val="single" w:color="auto" w:sz="4" w:space="0"/>
              <w:right w:val="single" w:color="auto" w:sz="4" w:space="0"/>
            </w:tcBorders>
            <w:vAlign w:val="center"/>
          </w:tcPr>
          <w:p w14:paraId="32204959">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33" w:type="pct"/>
            <w:tcBorders>
              <w:top w:val="single" w:color="auto" w:sz="4" w:space="0"/>
              <w:left w:val="single" w:color="auto" w:sz="4" w:space="0"/>
              <w:bottom w:val="single" w:color="auto" w:sz="4" w:space="0"/>
              <w:right w:val="single" w:color="auto" w:sz="4" w:space="0"/>
            </w:tcBorders>
            <w:vAlign w:val="center"/>
          </w:tcPr>
          <w:p w14:paraId="327270AB">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1298" w:type="pct"/>
            <w:tcBorders>
              <w:top w:val="single" w:color="auto" w:sz="4" w:space="0"/>
              <w:left w:val="single" w:color="auto" w:sz="4" w:space="0"/>
              <w:bottom w:val="single" w:color="auto" w:sz="4" w:space="0"/>
              <w:right w:val="single" w:color="auto" w:sz="4" w:space="0"/>
            </w:tcBorders>
            <w:vAlign w:val="center"/>
          </w:tcPr>
          <w:p w14:paraId="4BAF6193">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19" w:type="pct"/>
            <w:tcBorders>
              <w:top w:val="single" w:color="auto" w:sz="4" w:space="0"/>
              <w:left w:val="single" w:color="auto" w:sz="4" w:space="0"/>
              <w:bottom w:val="single" w:color="auto" w:sz="4" w:space="0"/>
              <w:right w:val="single" w:color="auto" w:sz="4" w:space="0"/>
            </w:tcBorders>
            <w:vAlign w:val="center"/>
          </w:tcPr>
          <w:p w14:paraId="6906FD89">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r>
      <w:tr w14:paraId="1656BA92">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327" w:type="pct"/>
            <w:tcBorders>
              <w:top w:val="single" w:color="auto" w:sz="4" w:space="0"/>
              <w:left w:val="single" w:color="auto" w:sz="4" w:space="0"/>
              <w:bottom w:val="single" w:color="auto" w:sz="4" w:space="0"/>
              <w:right w:val="single" w:color="auto" w:sz="4" w:space="0"/>
            </w:tcBorders>
            <w:vAlign w:val="center"/>
          </w:tcPr>
          <w:p w14:paraId="517C5460">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3</w:t>
            </w:r>
          </w:p>
        </w:tc>
        <w:tc>
          <w:tcPr>
            <w:tcW w:w="738" w:type="pct"/>
            <w:tcBorders>
              <w:top w:val="single" w:color="auto" w:sz="4" w:space="0"/>
              <w:left w:val="single" w:color="auto" w:sz="4" w:space="0"/>
              <w:bottom w:val="single" w:color="auto" w:sz="4" w:space="0"/>
              <w:right w:val="single" w:color="auto" w:sz="4" w:space="0"/>
            </w:tcBorders>
            <w:vAlign w:val="center"/>
          </w:tcPr>
          <w:p w14:paraId="25216D35">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85" w:type="pct"/>
            <w:tcBorders>
              <w:top w:val="single" w:color="auto" w:sz="4" w:space="0"/>
              <w:left w:val="single" w:color="auto" w:sz="4" w:space="0"/>
              <w:bottom w:val="single" w:color="auto" w:sz="4" w:space="0"/>
              <w:right w:val="single" w:color="auto" w:sz="4" w:space="0"/>
            </w:tcBorders>
            <w:vAlign w:val="center"/>
          </w:tcPr>
          <w:p w14:paraId="247AEBA6">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96" w:type="pct"/>
            <w:tcBorders>
              <w:top w:val="single" w:color="auto" w:sz="4" w:space="0"/>
              <w:left w:val="single" w:color="auto" w:sz="4" w:space="0"/>
              <w:bottom w:val="single" w:color="auto" w:sz="4" w:space="0"/>
              <w:right w:val="single" w:color="auto" w:sz="4" w:space="0"/>
            </w:tcBorders>
            <w:vAlign w:val="center"/>
          </w:tcPr>
          <w:p w14:paraId="61926611">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33" w:type="pct"/>
            <w:tcBorders>
              <w:top w:val="single" w:color="auto" w:sz="4" w:space="0"/>
              <w:left w:val="single" w:color="auto" w:sz="4" w:space="0"/>
              <w:bottom w:val="single" w:color="auto" w:sz="4" w:space="0"/>
              <w:right w:val="single" w:color="auto" w:sz="4" w:space="0"/>
            </w:tcBorders>
            <w:vAlign w:val="center"/>
          </w:tcPr>
          <w:p w14:paraId="42241BF8">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1298" w:type="pct"/>
            <w:tcBorders>
              <w:top w:val="single" w:color="auto" w:sz="4" w:space="0"/>
              <w:left w:val="single" w:color="auto" w:sz="4" w:space="0"/>
              <w:bottom w:val="single" w:color="auto" w:sz="4" w:space="0"/>
              <w:right w:val="single" w:color="auto" w:sz="4" w:space="0"/>
            </w:tcBorders>
            <w:vAlign w:val="center"/>
          </w:tcPr>
          <w:p w14:paraId="0A80945A">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19" w:type="pct"/>
            <w:tcBorders>
              <w:top w:val="single" w:color="auto" w:sz="4" w:space="0"/>
              <w:left w:val="single" w:color="auto" w:sz="4" w:space="0"/>
              <w:bottom w:val="single" w:color="auto" w:sz="4" w:space="0"/>
              <w:right w:val="single" w:color="auto" w:sz="4" w:space="0"/>
            </w:tcBorders>
            <w:vAlign w:val="center"/>
          </w:tcPr>
          <w:p w14:paraId="11E0420E">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r>
      <w:tr w14:paraId="70B69465">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327" w:type="pct"/>
            <w:tcBorders>
              <w:top w:val="single" w:color="auto" w:sz="4" w:space="0"/>
              <w:left w:val="single" w:color="auto" w:sz="4" w:space="0"/>
              <w:bottom w:val="single" w:color="auto" w:sz="4" w:space="0"/>
              <w:right w:val="single" w:color="auto" w:sz="4" w:space="0"/>
            </w:tcBorders>
            <w:vAlign w:val="center"/>
          </w:tcPr>
          <w:p w14:paraId="33DA7FE4">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4</w:t>
            </w:r>
          </w:p>
        </w:tc>
        <w:tc>
          <w:tcPr>
            <w:tcW w:w="738" w:type="pct"/>
            <w:tcBorders>
              <w:top w:val="single" w:color="auto" w:sz="4" w:space="0"/>
              <w:left w:val="single" w:color="auto" w:sz="4" w:space="0"/>
              <w:bottom w:val="single" w:color="auto" w:sz="4" w:space="0"/>
              <w:right w:val="single" w:color="auto" w:sz="4" w:space="0"/>
            </w:tcBorders>
            <w:vAlign w:val="center"/>
          </w:tcPr>
          <w:p w14:paraId="34C2F660">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85" w:type="pct"/>
            <w:tcBorders>
              <w:top w:val="single" w:color="auto" w:sz="4" w:space="0"/>
              <w:left w:val="single" w:color="auto" w:sz="4" w:space="0"/>
              <w:bottom w:val="single" w:color="auto" w:sz="4" w:space="0"/>
              <w:right w:val="single" w:color="auto" w:sz="4" w:space="0"/>
            </w:tcBorders>
            <w:vAlign w:val="center"/>
          </w:tcPr>
          <w:p w14:paraId="1B14A874">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96" w:type="pct"/>
            <w:tcBorders>
              <w:top w:val="single" w:color="auto" w:sz="4" w:space="0"/>
              <w:left w:val="single" w:color="auto" w:sz="4" w:space="0"/>
              <w:bottom w:val="single" w:color="auto" w:sz="4" w:space="0"/>
              <w:right w:val="single" w:color="auto" w:sz="4" w:space="0"/>
            </w:tcBorders>
            <w:vAlign w:val="center"/>
          </w:tcPr>
          <w:p w14:paraId="51083113">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33" w:type="pct"/>
            <w:tcBorders>
              <w:top w:val="single" w:color="auto" w:sz="4" w:space="0"/>
              <w:left w:val="single" w:color="auto" w:sz="4" w:space="0"/>
              <w:bottom w:val="single" w:color="auto" w:sz="4" w:space="0"/>
              <w:right w:val="single" w:color="auto" w:sz="4" w:space="0"/>
            </w:tcBorders>
            <w:vAlign w:val="center"/>
          </w:tcPr>
          <w:p w14:paraId="4FE7BB6F">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1298" w:type="pct"/>
            <w:tcBorders>
              <w:top w:val="single" w:color="auto" w:sz="4" w:space="0"/>
              <w:left w:val="single" w:color="auto" w:sz="4" w:space="0"/>
              <w:bottom w:val="single" w:color="auto" w:sz="4" w:space="0"/>
              <w:right w:val="single" w:color="auto" w:sz="4" w:space="0"/>
            </w:tcBorders>
            <w:vAlign w:val="center"/>
          </w:tcPr>
          <w:p w14:paraId="4FBC13D4">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19" w:type="pct"/>
            <w:tcBorders>
              <w:top w:val="single" w:color="auto" w:sz="4" w:space="0"/>
              <w:left w:val="single" w:color="auto" w:sz="4" w:space="0"/>
              <w:bottom w:val="single" w:color="auto" w:sz="4" w:space="0"/>
              <w:right w:val="single" w:color="auto" w:sz="4" w:space="0"/>
            </w:tcBorders>
            <w:vAlign w:val="center"/>
          </w:tcPr>
          <w:p w14:paraId="343D8A20">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r>
      <w:tr w14:paraId="7B343FC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327" w:type="pct"/>
            <w:tcBorders>
              <w:top w:val="single" w:color="auto" w:sz="4" w:space="0"/>
              <w:left w:val="single" w:color="auto" w:sz="4" w:space="0"/>
              <w:bottom w:val="single" w:color="auto" w:sz="4" w:space="0"/>
              <w:right w:val="single" w:color="auto" w:sz="4" w:space="0"/>
            </w:tcBorders>
            <w:vAlign w:val="center"/>
          </w:tcPr>
          <w:p w14:paraId="050012D4">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5</w:t>
            </w:r>
          </w:p>
        </w:tc>
        <w:tc>
          <w:tcPr>
            <w:tcW w:w="738" w:type="pct"/>
            <w:tcBorders>
              <w:top w:val="single" w:color="auto" w:sz="4" w:space="0"/>
              <w:left w:val="single" w:color="auto" w:sz="4" w:space="0"/>
              <w:bottom w:val="single" w:color="auto" w:sz="4" w:space="0"/>
              <w:right w:val="single" w:color="auto" w:sz="4" w:space="0"/>
            </w:tcBorders>
            <w:vAlign w:val="center"/>
          </w:tcPr>
          <w:p w14:paraId="3DF3997D">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85" w:type="pct"/>
            <w:tcBorders>
              <w:top w:val="single" w:color="auto" w:sz="4" w:space="0"/>
              <w:left w:val="single" w:color="auto" w:sz="4" w:space="0"/>
              <w:bottom w:val="single" w:color="auto" w:sz="4" w:space="0"/>
              <w:right w:val="single" w:color="auto" w:sz="4" w:space="0"/>
            </w:tcBorders>
            <w:vAlign w:val="center"/>
          </w:tcPr>
          <w:p w14:paraId="37F8DD0B">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96" w:type="pct"/>
            <w:tcBorders>
              <w:top w:val="single" w:color="auto" w:sz="4" w:space="0"/>
              <w:left w:val="single" w:color="auto" w:sz="4" w:space="0"/>
              <w:bottom w:val="single" w:color="auto" w:sz="4" w:space="0"/>
              <w:right w:val="single" w:color="auto" w:sz="4" w:space="0"/>
            </w:tcBorders>
            <w:vAlign w:val="center"/>
          </w:tcPr>
          <w:p w14:paraId="134A4BCF">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33" w:type="pct"/>
            <w:tcBorders>
              <w:top w:val="single" w:color="auto" w:sz="4" w:space="0"/>
              <w:left w:val="single" w:color="auto" w:sz="4" w:space="0"/>
              <w:bottom w:val="single" w:color="auto" w:sz="4" w:space="0"/>
              <w:right w:val="single" w:color="auto" w:sz="4" w:space="0"/>
            </w:tcBorders>
            <w:vAlign w:val="center"/>
          </w:tcPr>
          <w:p w14:paraId="26568D73">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1298" w:type="pct"/>
            <w:tcBorders>
              <w:top w:val="single" w:color="auto" w:sz="4" w:space="0"/>
              <w:left w:val="single" w:color="auto" w:sz="4" w:space="0"/>
              <w:bottom w:val="single" w:color="auto" w:sz="4" w:space="0"/>
              <w:right w:val="single" w:color="auto" w:sz="4" w:space="0"/>
            </w:tcBorders>
            <w:vAlign w:val="center"/>
          </w:tcPr>
          <w:p w14:paraId="2F72E6AF">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19" w:type="pct"/>
            <w:tcBorders>
              <w:top w:val="single" w:color="auto" w:sz="4" w:space="0"/>
              <w:left w:val="single" w:color="auto" w:sz="4" w:space="0"/>
              <w:bottom w:val="single" w:color="auto" w:sz="4" w:space="0"/>
              <w:right w:val="single" w:color="auto" w:sz="4" w:space="0"/>
            </w:tcBorders>
            <w:vAlign w:val="center"/>
          </w:tcPr>
          <w:p w14:paraId="2CE24A07">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r>
      <w:tr w14:paraId="4ACF3B7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327" w:type="pct"/>
            <w:tcBorders>
              <w:top w:val="single" w:color="auto" w:sz="4" w:space="0"/>
              <w:left w:val="single" w:color="auto" w:sz="4" w:space="0"/>
              <w:bottom w:val="single" w:color="auto" w:sz="4" w:space="0"/>
              <w:right w:val="single" w:color="auto" w:sz="4" w:space="0"/>
            </w:tcBorders>
            <w:vAlign w:val="center"/>
          </w:tcPr>
          <w:p w14:paraId="5CE6BB25">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w:t>
            </w:r>
          </w:p>
        </w:tc>
        <w:tc>
          <w:tcPr>
            <w:tcW w:w="738" w:type="pct"/>
            <w:tcBorders>
              <w:top w:val="single" w:color="auto" w:sz="4" w:space="0"/>
              <w:left w:val="single" w:color="auto" w:sz="4" w:space="0"/>
              <w:bottom w:val="single" w:color="auto" w:sz="4" w:space="0"/>
              <w:right w:val="single" w:color="auto" w:sz="4" w:space="0"/>
            </w:tcBorders>
            <w:vAlign w:val="center"/>
          </w:tcPr>
          <w:p w14:paraId="5869EB83">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85" w:type="pct"/>
            <w:tcBorders>
              <w:top w:val="single" w:color="auto" w:sz="4" w:space="0"/>
              <w:left w:val="single" w:color="auto" w:sz="4" w:space="0"/>
              <w:bottom w:val="single" w:color="auto" w:sz="4" w:space="0"/>
              <w:right w:val="single" w:color="auto" w:sz="4" w:space="0"/>
            </w:tcBorders>
            <w:vAlign w:val="center"/>
          </w:tcPr>
          <w:p w14:paraId="0594AAAC">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96" w:type="pct"/>
            <w:tcBorders>
              <w:top w:val="single" w:color="auto" w:sz="4" w:space="0"/>
              <w:left w:val="single" w:color="auto" w:sz="4" w:space="0"/>
              <w:bottom w:val="single" w:color="auto" w:sz="4" w:space="0"/>
              <w:right w:val="single" w:color="auto" w:sz="4" w:space="0"/>
            </w:tcBorders>
            <w:vAlign w:val="center"/>
          </w:tcPr>
          <w:p w14:paraId="367A4144">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33" w:type="pct"/>
            <w:tcBorders>
              <w:top w:val="single" w:color="auto" w:sz="4" w:space="0"/>
              <w:left w:val="single" w:color="auto" w:sz="4" w:space="0"/>
              <w:bottom w:val="single" w:color="auto" w:sz="4" w:space="0"/>
              <w:right w:val="single" w:color="auto" w:sz="4" w:space="0"/>
            </w:tcBorders>
            <w:vAlign w:val="center"/>
          </w:tcPr>
          <w:p w14:paraId="32429334">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1298" w:type="pct"/>
            <w:tcBorders>
              <w:top w:val="single" w:color="auto" w:sz="4" w:space="0"/>
              <w:left w:val="single" w:color="auto" w:sz="4" w:space="0"/>
              <w:bottom w:val="single" w:color="auto" w:sz="4" w:space="0"/>
              <w:right w:val="single" w:color="auto" w:sz="4" w:space="0"/>
            </w:tcBorders>
            <w:vAlign w:val="center"/>
          </w:tcPr>
          <w:p w14:paraId="29713A43">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19" w:type="pct"/>
            <w:tcBorders>
              <w:top w:val="single" w:color="auto" w:sz="4" w:space="0"/>
              <w:left w:val="single" w:color="auto" w:sz="4" w:space="0"/>
              <w:bottom w:val="single" w:color="auto" w:sz="4" w:space="0"/>
              <w:right w:val="single" w:color="auto" w:sz="4" w:space="0"/>
            </w:tcBorders>
            <w:vAlign w:val="center"/>
          </w:tcPr>
          <w:p w14:paraId="25E5BAD3">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r>
    </w:tbl>
    <w:p w14:paraId="21CB7445">
      <w:pPr>
        <w:rPr>
          <w:rFonts w:asciiTheme="minorEastAsia" w:hAnsiTheme="minorEastAsia" w:cstheme="minorEastAsia"/>
          <w:szCs w:val="21"/>
        </w:rPr>
      </w:pPr>
    </w:p>
    <w:p w14:paraId="76382B3F">
      <w:pPr>
        <w:pStyle w:val="10"/>
        <w:numPr>
          <w:ilvl w:val="0"/>
          <w:numId w:val="0"/>
        </w:numPr>
        <w:tabs>
          <w:tab w:val="left" w:pos="540"/>
        </w:tabs>
        <w:adjustRightInd w:val="0"/>
        <w:snapToGrid w:val="0"/>
        <w:spacing w:line="360" w:lineRule="auto"/>
        <w:ind w:leftChars="0"/>
        <w:rPr>
          <w:rFonts w:hint="eastAsia" w:ascii="宋体" w:hAnsi="宋体"/>
        </w:rPr>
      </w:pPr>
      <w:r>
        <w:rPr>
          <w:rFonts w:hint="eastAsia" w:ascii="宋体" w:hAnsi="宋体"/>
        </w:rPr>
        <w:t>注：</w:t>
      </w:r>
    </w:p>
    <w:p w14:paraId="40CC3990">
      <w:pPr>
        <w:pStyle w:val="10"/>
        <w:numPr>
          <w:ilvl w:val="0"/>
          <w:numId w:val="12"/>
        </w:numPr>
        <w:tabs>
          <w:tab w:val="left" w:pos="540"/>
          <w:tab w:val="clear" w:pos="312"/>
        </w:tabs>
        <w:adjustRightInd w:val="0"/>
        <w:snapToGrid w:val="0"/>
        <w:spacing w:line="360" w:lineRule="auto"/>
        <w:ind w:leftChars="0"/>
        <w:rPr>
          <w:rFonts w:hint="eastAsia" w:ascii="宋体" w:hAnsi="宋体" w:eastAsia="宋体" w:cs="Times New Roman"/>
          <w:lang w:val="en-US" w:eastAsia="zh-CN"/>
        </w:rPr>
      </w:pPr>
      <w:r>
        <w:rPr>
          <w:rFonts w:hint="eastAsia" w:ascii="宋体" w:hAnsi="宋体" w:eastAsia="宋体" w:cs="Times New Roman"/>
        </w:rPr>
        <w:t>此表为项目采购标的清单的</w:t>
      </w:r>
      <w:r>
        <w:rPr>
          <w:rFonts w:hint="eastAsia" w:ascii="宋体" w:hAnsi="宋体" w:eastAsia="宋体" w:cs="Times New Roman"/>
          <w:lang w:val="en-US" w:eastAsia="zh-CN"/>
        </w:rPr>
        <w:t>响应情况表。</w:t>
      </w:r>
    </w:p>
    <w:p w14:paraId="5C82DA66">
      <w:pPr>
        <w:pStyle w:val="10"/>
        <w:numPr>
          <w:ilvl w:val="0"/>
          <w:numId w:val="12"/>
        </w:numPr>
        <w:tabs>
          <w:tab w:val="left" w:pos="540"/>
          <w:tab w:val="clear" w:pos="312"/>
        </w:tabs>
        <w:adjustRightInd w:val="0"/>
        <w:snapToGrid w:val="0"/>
        <w:spacing w:line="360" w:lineRule="auto"/>
        <w:ind w:leftChars="0"/>
        <w:rPr>
          <w:rFonts w:hint="default" w:ascii="宋体" w:hAnsi="宋体" w:eastAsia="宋体" w:cs="Times New Roman"/>
          <w:lang w:val="en-US" w:eastAsia="zh-CN"/>
        </w:rPr>
      </w:pPr>
      <w:r>
        <w:rPr>
          <w:rFonts w:hint="eastAsia" w:ascii="宋体" w:hAnsi="宋体" w:eastAsia="宋体" w:cs="Times New Roman"/>
          <w:lang w:val="en-US" w:eastAsia="zh-CN"/>
        </w:rPr>
        <w:t>投标人需根据</w:t>
      </w:r>
      <w:r>
        <w:rPr>
          <w:rFonts w:hint="eastAsia" w:hAnsi="宋体" w:cs="Times New Roman"/>
          <w:lang w:val="en-US" w:eastAsia="zh-CN"/>
        </w:rPr>
        <w:t>征集</w:t>
      </w:r>
      <w:r>
        <w:rPr>
          <w:rFonts w:hint="eastAsia" w:ascii="宋体" w:hAnsi="宋体" w:eastAsia="宋体" w:cs="Times New Roman"/>
          <w:lang w:val="en-US" w:eastAsia="zh-CN"/>
        </w:rPr>
        <w:t>文件采购数量如实填写投标数量。</w:t>
      </w:r>
    </w:p>
    <w:p w14:paraId="71BC2208">
      <w:pPr>
        <w:numPr>
          <w:ilvl w:val="0"/>
          <w:numId w:val="12"/>
        </w:numPr>
        <w:spacing w:line="360" w:lineRule="auto"/>
        <w:ind w:left="0" w:leftChars="0" w:right="84" w:rightChars="40" w:firstLine="0" w:firstLineChars="0"/>
        <w:rPr>
          <w:rFonts w:hint="eastAsia" w:ascii="宋体" w:hAnsi="宋体"/>
          <w:szCs w:val="21"/>
        </w:rPr>
      </w:pPr>
      <w:r>
        <w:rPr>
          <w:rFonts w:hint="eastAsia" w:ascii="宋体" w:hAnsi="宋体"/>
          <w:szCs w:val="21"/>
          <w:lang w:val="en-US" w:eastAsia="zh-CN"/>
        </w:rPr>
        <w:t xml:space="preserve">  </w:t>
      </w:r>
      <w:r>
        <w:rPr>
          <w:rFonts w:hint="eastAsia" w:ascii="宋体" w:hAnsi="宋体"/>
          <w:szCs w:val="21"/>
        </w:rPr>
        <w:t>偏离情况”一栏如实填写“正偏离”、“负偏离”或“无偏离”，其中：“正偏离”表示“投标</w:t>
      </w:r>
      <w:r>
        <w:rPr>
          <w:rFonts w:hint="eastAsia" w:ascii="宋体" w:hAnsi="宋体"/>
          <w:szCs w:val="21"/>
          <w:lang w:val="en-US" w:eastAsia="zh-CN"/>
        </w:rPr>
        <w:t>技术</w:t>
      </w:r>
      <w:r>
        <w:rPr>
          <w:rFonts w:hint="eastAsia" w:ascii="宋体" w:hAnsi="宋体"/>
          <w:szCs w:val="21"/>
        </w:rPr>
        <w:t>响应优于</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要求”，“负偏离”表示“投标</w:t>
      </w:r>
      <w:r>
        <w:rPr>
          <w:rFonts w:hint="eastAsia" w:ascii="宋体" w:hAnsi="宋体"/>
          <w:szCs w:val="21"/>
          <w:lang w:val="en-US" w:eastAsia="zh-CN"/>
        </w:rPr>
        <w:t>技术</w:t>
      </w:r>
      <w:r>
        <w:rPr>
          <w:rFonts w:hint="eastAsia" w:ascii="宋体" w:hAnsi="宋体"/>
          <w:szCs w:val="21"/>
        </w:rPr>
        <w:t>响应不满足</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要求”，“无偏离”表示“投标</w:t>
      </w:r>
      <w:r>
        <w:rPr>
          <w:rFonts w:hint="eastAsia" w:ascii="宋体" w:hAnsi="宋体"/>
          <w:szCs w:val="21"/>
          <w:lang w:val="en-US" w:eastAsia="zh-CN"/>
        </w:rPr>
        <w:t>技术</w:t>
      </w:r>
      <w:r>
        <w:rPr>
          <w:rFonts w:hint="eastAsia" w:ascii="宋体" w:hAnsi="宋体"/>
          <w:szCs w:val="21"/>
        </w:rPr>
        <w:t>响应与</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要求一致”。</w:t>
      </w:r>
    </w:p>
    <w:p w14:paraId="0768874C">
      <w:pPr>
        <w:numPr>
          <w:ilvl w:val="0"/>
          <w:numId w:val="12"/>
        </w:numPr>
        <w:spacing w:line="360" w:lineRule="auto"/>
        <w:ind w:left="0" w:leftChars="0" w:right="84" w:rightChars="40" w:firstLine="0" w:firstLineChars="0"/>
        <w:rPr>
          <w:rFonts w:hint="eastAsia" w:ascii="宋体" w:hAnsi="宋体"/>
          <w:szCs w:val="21"/>
        </w:rPr>
      </w:pPr>
      <w:r>
        <w:rPr>
          <w:rFonts w:hint="eastAsia" w:ascii="宋体" w:hAnsi="宋体"/>
          <w:szCs w:val="21"/>
          <w:lang w:val="en-US" w:eastAsia="zh-CN"/>
        </w:rPr>
        <w:t xml:space="preserve">  </w:t>
      </w: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响应”对比“</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要求”存在响应不全（包括未响应整项</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要求或者未响应一项</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要求的部分内容），均视为“负偏离”。</w:t>
      </w:r>
    </w:p>
    <w:p w14:paraId="4C5FED8B">
      <w:pPr>
        <w:pStyle w:val="10"/>
        <w:numPr>
          <w:ilvl w:val="0"/>
          <w:numId w:val="0"/>
        </w:numPr>
        <w:tabs>
          <w:tab w:val="left" w:pos="540"/>
        </w:tabs>
        <w:adjustRightInd w:val="0"/>
        <w:snapToGrid w:val="0"/>
        <w:spacing w:line="360" w:lineRule="auto"/>
        <w:rPr>
          <w:rFonts w:hint="default" w:ascii="宋体" w:hAnsi="宋体" w:eastAsia="宋体" w:cs="Times New Roman"/>
          <w:lang w:val="en-US" w:eastAsia="zh-CN"/>
        </w:rPr>
      </w:pPr>
    </w:p>
    <w:p w14:paraId="51884ACB">
      <w:pPr>
        <w:pStyle w:val="3"/>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rPr>
      </w:pPr>
      <w:r>
        <w:rPr>
          <w:rFonts w:ascii="宋体" w:hAnsi="宋体"/>
          <w:color w:val="000000"/>
        </w:rPr>
        <w:br w:type="page"/>
      </w:r>
      <w:bookmarkStart w:id="48" w:name="_Toc13521"/>
      <w:bookmarkStart w:id="49" w:name="_Toc435514854"/>
      <w:bookmarkStart w:id="50" w:name="_Toc435515294"/>
      <w:bookmarkStart w:id="51" w:name="_Toc1762"/>
      <w:bookmarkStart w:id="52" w:name="_Toc20322_WPSOffice_Level1"/>
      <w:bookmarkStart w:id="53" w:name="_Toc275865605"/>
      <w:bookmarkStart w:id="54" w:name="_Toc24434"/>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lang w:val="en-US" w:eastAsia="zh-CN"/>
        </w:rPr>
        <w:t>十二</w:t>
      </w:r>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rPr>
        <w:t>投标函</w:t>
      </w:r>
      <w:bookmarkEnd w:id="48"/>
      <w:bookmarkEnd w:id="49"/>
      <w:bookmarkEnd w:id="50"/>
      <w:bookmarkEnd w:id="51"/>
      <w:bookmarkEnd w:id="52"/>
      <w:bookmarkEnd w:id="53"/>
      <w:bookmarkEnd w:id="54"/>
    </w:p>
    <w:p w14:paraId="4F6C8FF7">
      <w:pPr>
        <w:spacing w:line="360" w:lineRule="auto"/>
        <w:ind w:left="105" w:leftChars="50" w:firstLine="2"/>
        <w:rPr>
          <w:rFonts w:hint="default" w:ascii="宋体" w:hAnsi="宋体" w:eastAsiaTheme="minorEastAsia"/>
          <w:b/>
          <w:lang w:val="en-US" w:eastAsia="zh-CN"/>
        </w:rPr>
      </w:pPr>
      <w:r>
        <w:rPr>
          <w:rFonts w:hint="eastAsia" w:ascii="宋体" w:hAnsi="宋体"/>
          <w:b/>
        </w:rPr>
        <w:t>致：</w:t>
      </w:r>
      <w:r>
        <w:rPr>
          <w:rFonts w:hint="eastAsia" w:ascii="宋体" w:hAnsi="宋体"/>
          <w:b/>
          <w:lang w:val="en-US" w:eastAsia="zh-CN"/>
        </w:rPr>
        <w:t>深圳市福田区第二人民医院</w:t>
      </w:r>
    </w:p>
    <w:p w14:paraId="3D608F84">
      <w:pPr>
        <w:spacing w:line="360" w:lineRule="auto"/>
        <w:ind w:left="105" w:leftChars="50" w:firstLine="373" w:firstLineChars="178"/>
        <w:rPr>
          <w:rFonts w:ascii="宋体" w:hAnsi="宋体"/>
        </w:rPr>
      </w:pPr>
      <w:r>
        <w:rPr>
          <w:rFonts w:hint="eastAsia" w:ascii="宋体" w:hAnsi="宋体"/>
        </w:rPr>
        <w:t>我方确认收到贵方</w:t>
      </w:r>
      <w:r>
        <w:rPr>
          <w:rFonts w:hint="eastAsia" w:ascii="宋体" w:hAnsi="宋体"/>
          <w:kern w:val="28"/>
          <w:u w:val="single"/>
        </w:rPr>
        <w:t xml:space="preserve">                   </w:t>
      </w:r>
      <w:r>
        <w:rPr>
          <w:rFonts w:hint="eastAsia" w:ascii="宋体" w:hAnsi="宋体"/>
          <w:kern w:val="28"/>
        </w:rPr>
        <w:t>采购</w:t>
      </w:r>
      <w:r>
        <w:rPr>
          <w:rFonts w:hint="eastAsia" w:ascii="宋体" w:hAnsi="宋体"/>
        </w:rPr>
        <w:t>货物及相关服务的</w:t>
      </w:r>
      <w:r>
        <w:rPr>
          <w:rFonts w:hint="eastAsia" w:ascii="宋体" w:hAnsi="宋体"/>
          <w:lang w:eastAsia="zh-CN"/>
        </w:rPr>
        <w:t>征集</w:t>
      </w:r>
      <w:r>
        <w:rPr>
          <w:rFonts w:hint="eastAsia" w:ascii="宋体" w:hAnsi="宋体"/>
        </w:rPr>
        <w:t>文件（项目编号：</w:t>
      </w:r>
      <w:r>
        <w:rPr>
          <w:rFonts w:hint="eastAsia" w:ascii="宋体" w:hAnsi="宋体"/>
          <w:lang w:val="en-US" w:eastAsia="zh-CN"/>
        </w:rPr>
        <w:t xml:space="preserve"> </w:t>
      </w:r>
      <w:r>
        <w:rPr>
          <w:rFonts w:hint="eastAsia" w:ascii="宋体" w:hAnsi="宋体"/>
          <w:u w:val="single"/>
          <w:lang w:val="en-US" w:eastAsia="zh-CN"/>
        </w:rPr>
        <w:t xml:space="preserve">                   </w:t>
      </w:r>
      <w:r>
        <w:rPr>
          <w:rFonts w:hint="eastAsia" w:ascii="宋体" w:hAnsi="宋体"/>
        </w:rPr>
        <w:t>），</w:t>
      </w:r>
      <w:r>
        <w:rPr>
          <w:rFonts w:hint="eastAsia" w:ascii="宋体" w:hAnsi="宋体"/>
          <w:u w:val="single"/>
        </w:rPr>
        <w:t xml:space="preserve"> (投标人名称、地址)</w:t>
      </w:r>
      <w:r>
        <w:rPr>
          <w:rFonts w:hint="eastAsia" w:ascii="宋体" w:hAnsi="宋体"/>
        </w:rPr>
        <w:t>作为投标人已正式授权</w:t>
      </w:r>
      <w:r>
        <w:rPr>
          <w:rFonts w:hint="eastAsia" w:ascii="宋体" w:hAnsi="宋体"/>
          <w:u w:val="single"/>
        </w:rPr>
        <w:t xml:space="preserve"> (被投标人授权代表全名、职务)</w:t>
      </w:r>
      <w:r>
        <w:rPr>
          <w:rFonts w:hint="eastAsia" w:ascii="宋体" w:hAnsi="宋体"/>
        </w:rPr>
        <w:t>为我方签名代表，签名代表在此声明并同意：</w:t>
      </w:r>
    </w:p>
    <w:p w14:paraId="72162EEE">
      <w:pPr>
        <w:numPr>
          <w:ilvl w:val="0"/>
          <w:numId w:val="13"/>
        </w:numPr>
        <w:tabs>
          <w:tab w:val="clear" w:pos="780"/>
        </w:tabs>
        <w:snapToGrid w:val="0"/>
        <w:spacing w:line="360" w:lineRule="auto"/>
        <w:ind w:left="426"/>
        <w:rPr>
          <w:rFonts w:ascii="宋体" w:hAnsi="宋体"/>
          <w:b/>
        </w:rPr>
      </w:pPr>
      <w:r>
        <w:rPr>
          <w:rFonts w:hint="eastAsia" w:ascii="宋体" w:hAnsi="宋体"/>
          <w:b/>
        </w:rPr>
        <w:t>我单位愿意遵守</w:t>
      </w:r>
      <w:r>
        <w:rPr>
          <w:rFonts w:hint="eastAsia" w:ascii="宋体" w:hAnsi="宋体"/>
          <w:b/>
          <w:lang w:eastAsia="zh-CN"/>
        </w:rPr>
        <w:t>征集</w:t>
      </w:r>
      <w:r>
        <w:rPr>
          <w:rFonts w:hint="eastAsia" w:ascii="宋体" w:hAnsi="宋体"/>
          <w:b/>
        </w:rPr>
        <w:t>文件的各项规定，自愿参加投标，并已清楚</w:t>
      </w:r>
      <w:r>
        <w:rPr>
          <w:rFonts w:hint="eastAsia" w:ascii="宋体" w:hAnsi="宋体"/>
          <w:b/>
          <w:lang w:eastAsia="zh-CN"/>
        </w:rPr>
        <w:t>征集</w:t>
      </w:r>
      <w:r>
        <w:rPr>
          <w:rFonts w:hint="eastAsia" w:ascii="宋体" w:hAnsi="宋体"/>
          <w:b/>
        </w:rPr>
        <w:t>文件的要求及有关文件规定，并严格按照</w:t>
      </w:r>
      <w:r>
        <w:rPr>
          <w:rFonts w:hint="eastAsia" w:ascii="宋体" w:hAnsi="宋体"/>
          <w:b/>
          <w:lang w:eastAsia="zh-CN"/>
        </w:rPr>
        <w:t>征集</w:t>
      </w:r>
      <w:r>
        <w:rPr>
          <w:rFonts w:hint="eastAsia" w:ascii="宋体" w:hAnsi="宋体"/>
          <w:b/>
        </w:rPr>
        <w:t>文件的规定履行全部责任和义务。</w:t>
      </w:r>
    </w:p>
    <w:p w14:paraId="628A2847">
      <w:pPr>
        <w:numPr>
          <w:ilvl w:val="0"/>
          <w:numId w:val="13"/>
        </w:numPr>
        <w:tabs>
          <w:tab w:val="clear" w:pos="780"/>
        </w:tabs>
        <w:snapToGrid w:val="0"/>
        <w:spacing w:line="360" w:lineRule="auto"/>
        <w:ind w:left="426"/>
        <w:rPr>
          <w:rFonts w:ascii="宋体" w:hAnsi="宋体"/>
          <w:b/>
        </w:rPr>
      </w:pPr>
      <w:r>
        <w:rPr>
          <w:rFonts w:hint="eastAsia" w:ascii="宋体" w:hAnsi="宋体"/>
          <w:b/>
        </w:rPr>
        <w:t>我们同意本投标文件的投标有效期从提交投标文件的截止之日起</w:t>
      </w:r>
      <w:r>
        <w:rPr>
          <w:rFonts w:hint="eastAsia" w:ascii="宋体" w:hAnsi="宋体"/>
          <w:b/>
          <w:u w:val="single"/>
          <w:lang w:val="en-US" w:eastAsia="zh-CN"/>
        </w:rPr>
        <w:t>120</w:t>
      </w:r>
      <w:r>
        <w:rPr>
          <w:rFonts w:hint="eastAsia" w:ascii="宋体" w:hAnsi="宋体"/>
          <w:b/>
        </w:rPr>
        <w:t>日历日内有效。</w:t>
      </w:r>
    </w:p>
    <w:p w14:paraId="78A9D3C3">
      <w:pPr>
        <w:numPr>
          <w:ilvl w:val="0"/>
          <w:numId w:val="13"/>
        </w:numPr>
        <w:tabs>
          <w:tab w:val="clear" w:pos="780"/>
        </w:tabs>
        <w:snapToGrid w:val="0"/>
        <w:spacing w:line="360" w:lineRule="auto"/>
        <w:ind w:left="426"/>
        <w:rPr>
          <w:rFonts w:ascii="宋体" w:hAnsi="宋体"/>
          <w:b/>
        </w:rPr>
      </w:pPr>
      <w:r>
        <w:rPr>
          <w:rFonts w:hint="eastAsia" w:ascii="宋体" w:hAnsi="宋体"/>
          <w:b/>
        </w:rPr>
        <w:t>我们承诺从本项目投标截止时间起，本投标始终有效且不予撤销已递交的投标文件。</w:t>
      </w:r>
    </w:p>
    <w:p w14:paraId="539CB16A">
      <w:pPr>
        <w:numPr>
          <w:ilvl w:val="0"/>
          <w:numId w:val="13"/>
        </w:numPr>
        <w:tabs>
          <w:tab w:val="clear" w:pos="780"/>
        </w:tabs>
        <w:snapToGrid w:val="0"/>
        <w:spacing w:line="360" w:lineRule="auto"/>
        <w:ind w:left="426"/>
        <w:rPr>
          <w:rFonts w:ascii="宋体" w:hAnsi="宋体"/>
          <w:b/>
        </w:rPr>
      </w:pPr>
      <w:r>
        <w:rPr>
          <w:rFonts w:hint="eastAsia" w:ascii="宋体" w:hAnsi="宋体"/>
          <w:b/>
        </w:rPr>
        <w:t>我单位已经详细地阅读并完全明白了全部</w:t>
      </w:r>
      <w:r>
        <w:rPr>
          <w:rFonts w:hint="eastAsia" w:ascii="宋体" w:hAnsi="宋体"/>
          <w:b/>
          <w:lang w:eastAsia="zh-CN"/>
        </w:rPr>
        <w:t>征集</w:t>
      </w:r>
      <w:r>
        <w:rPr>
          <w:rFonts w:hint="eastAsia" w:ascii="宋体" w:hAnsi="宋体"/>
          <w:b/>
        </w:rPr>
        <w:t>文件及附件，包括澄清（如有）及参考文件，我单位完全理解本</w:t>
      </w:r>
      <w:r>
        <w:rPr>
          <w:rFonts w:hint="eastAsia" w:ascii="宋体" w:hAnsi="宋体"/>
          <w:b/>
          <w:lang w:eastAsia="zh-CN"/>
        </w:rPr>
        <w:t>征集</w:t>
      </w:r>
      <w:r>
        <w:rPr>
          <w:rFonts w:hint="eastAsia" w:ascii="宋体" w:hAnsi="宋体"/>
          <w:b/>
        </w:rPr>
        <w:t>文件的要求，</w:t>
      </w:r>
      <w:r>
        <w:rPr>
          <w:rFonts w:hint="eastAsia" w:ascii="宋体"/>
          <w:b/>
        </w:rPr>
        <w:t>我单位同意放弃对</w:t>
      </w:r>
      <w:r>
        <w:rPr>
          <w:rFonts w:hint="eastAsia" w:ascii="宋体"/>
          <w:b/>
          <w:lang w:eastAsia="zh-CN"/>
        </w:rPr>
        <w:t>征集</w:t>
      </w:r>
      <w:r>
        <w:rPr>
          <w:rFonts w:hint="eastAsia" w:ascii="宋体"/>
          <w:b/>
        </w:rPr>
        <w:t>文件提出不明或误解的一切权力</w:t>
      </w:r>
      <w:r>
        <w:rPr>
          <w:rFonts w:hint="eastAsia" w:ascii="宋体" w:hAnsi="宋体"/>
          <w:b/>
        </w:rPr>
        <w:t>。</w:t>
      </w:r>
    </w:p>
    <w:p w14:paraId="6B072C5B">
      <w:pPr>
        <w:numPr>
          <w:ilvl w:val="0"/>
          <w:numId w:val="13"/>
        </w:numPr>
        <w:tabs>
          <w:tab w:val="clear" w:pos="780"/>
        </w:tabs>
        <w:snapToGrid w:val="0"/>
        <w:spacing w:line="360" w:lineRule="auto"/>
        <w:ind w:left="426"/>
        <w:rPr>
          <w:rFonts w:ascii="宋体" w:hAnsi="宋体"/>
          <w:b/>
        </w:rPr>
      </w:pPr>
      <w:r>
        <w:rPr>
          <w:rFonts w:hint="eastAsia" w:ascii="宋体" w:hAnsi="宋体"/>
          <w:b/>
        </w:rPr>
        <w:t>我单位同意提供</w:t>
      </w:r>
      <w:r>
        <w:rPr>
          <w:rFonts w:hint="eastAsia" w:ascii="宋体" w:hAnsi="宋体" w:cs="宋体"/>
          <w:b/>
          <w:szCs w:val="21"/>
        </w:rPr>
        <w:t>采购人</w:t>
      </w:r>
      <w:r>
        <w:rPr>
          <w:rFonts w:hint="eastAsia" w:ascii="宋体" w:hAnsi="宋体"/>
          <w:b/>
        </w:rPr>
        <w:t>与评标委员会要求的有关投标的一切数据或资料。</w:t>
      </w:r>
    </w:p>
    <w:p w14:paraId="0FD5B310">
      <w:pPr>
        <w:numPr>
          <w:ilvl w:val="0"/>
          <w:numId w:val="13"/>
        </w:numPr>
        <w:tabs>
          <w:tab w:val="clear" w:pos="780"/>
        </w:tabs>
        <w:snapToGrid w:val="0"/>
        <w:spacing w:line="360" w:lineRule="auto"/>
        <w:ind w:left="426"/>
        <w:rPr>
          <w:rFonts w:ascii="宋体" w:hAnsi="宋体"/>
          <w:b/>
        </w:rPr>
      </w:pPr>
      <w:r>
        <w:rPr>
          <w:rFonts w:hint="eastAsia" w:ascii="宋体" w:hAnsi="宋体"/>
          <w:b/>
        </w:rPr>
        <w:t>我单位理解</w:t>
      </w:r>
      <w:r>
        <w:rPr>
          <w:rFonts w:hint="eastAsia" w:ascii="宋体" w:hAnsi="宋体" w:cs="宋体"/>
          <w:b/>
          <w:szCs w:val="21"/>
        </w:rPr>
        <w:t>采购人</w:t>
      </w:r>
      <w:r>
        <w:rPr>
          <w:rFonts w:hint="eastAsia" w:ascii="宋体" w:hAnsi="宋体"/>
          <w:b/>
        </w:rPr>
        <w:t>与评标委员会并无义务必须接受最低报价的投标或其它任何投标，完全理解拒绝迟到的任何投标和最低投标报价不是被授予中标的唯一条件。</w:t>
      </w:r>
    </w:p>
    <w:p w14:paraId="2BDE4B1F">
      <w:pPr>
        <w:numPr>
          <w:ilvl w:val="0"/>
          <w:numId w:val="13"/>
        </w:numPr>
        <w:tabs>
          <w:tab w:val="clear" w:pos="780"/>
        </w:tabs>
        <w:snapToGrid w:val="0"/>
        <w:spacing w:line="360" w:lineRule="auto"/>
        <w:ind w:left="426"/>
        <w:rPr>
          <w:rFonts w:ascii="宋体" w:hAnsi="宋体"/>
          <w:b/>
        </w:rPr>
      </w:pPr>
      <w:r>
        <w:rPr>
          <w:rFonts w:hint="eastAsia" w:ascii="宋体" w:hAnsi="宋体"/>
          <w:b/>
        </w:rPr>
        <w:t>如果我单位未对</w:t>
      </w:r>
      <w:r>
        <w:rPr>
          <w:rFonts w:hint="eastAsia" w:ascii="宋体" w:hAnsi="宋体"/>
          <w:b/>
          <w:lang w:eastAsia="zh-CN"/>
        </w:rPr>
        <w:t>征集</w:t>
      </w:r>
      <w:r>
        <w:rPr>
          <w:rFonts w:hint="eastAsia" w:ascii="宋体" w:hAnsi="宋体"/>
          <w:b/>
        </w:rPr>
        <w:t xml:space="preserve">文件全部要求作出实质性响应，则完全同意并接受按无效投标处理。 </w:t>
      </w:r>
    </w:p>
    <w:p w14:paraId="4E34F74F">
      <w:pPr>
        <w:numPr>
          <w:ilvl w:val="0"/>
          <w:numId w:val="13"/>
        </w:numPr>
        <w:tabs>
          <w:tab w:val="clear" w:pos="780"/>
        </w:tabs>
        <w:snapToGrid w:val="0"/>
        <w:spacing w:line="360" w:lineRule="auto"/>
        <w:ind w:left="426"/>
        <w:rPr>
          <w:rFonts w:ascii="宋体" w:hAnsi="宋体"/>
          <w:b/>
        </w:rPr>
      </w:pPr>
      <w:r>
        <w:rPr>
          <w:rFonts w:hint="eastAsia" w:ascii="宋体" w:hAnsi="宋体"/>
          <w:b/>
        </w:rPr>
        <w:t>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239B7B50">
      <w:pPr>
        <w:numPr>
          <w:ilvl w:val="0"/>
          <w:numId w:val="13"/>
        </w:numPr>
        <w:tabs>
          <w:tab w:val="clear" w:pos="780"/>
        </w:tabs>
        <w:snapToGrid w:val="0"/>
        <w:spacing w:line="360" w:lineRule="auto"/>
        <w:ind w:left="426"/>
        <w:rPr>
          <w:rFonts w:ascii="宋体" w:hAnsi="宋体"/>
          <w:b/>
        </w:rPr>
      </w:pPr>
      <w:r>
        <w:rPr>
          <w:rFonts w:hint="eastAsia" w:ascii="宋体" w:hAnsi="宋体"/>
          <w:b/>
        </w:rPr>
        <w:t>如果我单位提供的声明或承诺不真实，则完全同意认定为我司提供虚假材料，并同意作相应处理。</w:t>
      </w:r>
    </w:p>
    <w:p w14:paraId="4C1AC611">
      <w:pPr>
        <w:numPr>
          <w:ilvl w:val="0"/>
          <w:numId w:val="13"/>
        </w:numPr>
        <w:tabs>
          <w:tab w:val="clear" w:pos="780"/>
        </w:tabs>
        <w:snapToGrid w:val="0"/>
        <w:spacing w:line="360" w:lineRule="auto"/>
        <w:ind w:left="426"/>
        <w:rPr>
          <w:rFonts w:ascii="宋体" w:hAnsi="宋体"/>
          <w:b/>
        </w:rPr>
      </w:pPr>
      <w:r>
        <w:rPr>
          <w:rFonts w:hint="eastAsia" w:ascii="宋体" w:hAnsi="宋体"/>
          <w:b/>
        </w:rPr>
        <w:t>我单位是依法注册的法人，在法律、财务及运作上完全独立于本项目采购人、用户单位（如有）。</w:t>
      </w:r>
    </w:p>
    <w:p w14:paraId="1F18F6C0">
      <w:pPr>
        <w:numPr>
          <w:ilvl w:val="0"/>
          <w:numId w:val="13"/>
        </w:numPr>
        <w:tabs>
          <w:tab w:val="clear" w:pos="780"/>
        </w:tabs>
        <w:snapToGrid w:val="0"/>
        <w:spacing w:line="360" w:lineRule="auto"/>
        <w:ind w:left="426" w:leftChars="0" w:hanging="360" w:firstLineChars="0"/>
        <w:outlineLvl w:val="9"/>
        <w:rPr>
          <w:rFonts w:ascii="宋体" w:hAnsi="宋体"/>
          <w:b/>
        </w:rPr>
      </w:pPr>
      <w:r>
        <w:rPr>
          <w:rFonts w:hint="eastAsia" w:ascii="宋体" w:hAnsi="宋体"/>
          <w:b/>
        </w:rPr>
        <w:t>所有有关本次投标的函电请寄：</w:t>
      </w:r>
      <w:r>
        <w:rPr>
          <w:rFonts w:hint="eastAsia" w:ascii="宋体" w:hAnsi="宋体"/>
          <w:b/>
          <w:u w:val="single"/>
        </w:rPr>
        <w:t xml:space="preserve">  （投标人地址）   </w:t>
      </w:r>
    </w:p>
    <w:p w14:paraId="47161A4E">
      <w:pPr>
        <w:numPr>
          <w:ilvl w:val="0"/>
          <w:numId w:val="0"/>
        </w:numPr>
        <w:snapToGrid w:val="0"/>
        <w:spacing w:line="360" w:lineRule="auto"/>
        <w:ind w:left="66" w:leftChars="0"/>
        <w:rPr>
          <w:rFonts w:hint="eastAsia" w:ascii="宋体" w:hAnsi="宋体"/>
          <w:b/>
        </w:rPr>
      </w:pPr>
    </w:p>
    <w:p w14:paraId="12626E67">
      <w:pPr>
        <w:numPr>
          <w:ilvl w:val="0"/>
          <w:numId w:val="0"/>
        </w:numPr>
        <w:snapToGrid w:val="0"/>
        <w:spacing w:line="360" w:lineRule="auto"/>
        <w:ind w:left="66" w:leftChars="0"/>
        <w:rPr>
          <w:rFonts w:hint="eastAsia" w:ascii="宋体" w:hAnsi="宋体"/>
          <w:b/>
        </w:rPr>
      </w:pPr>
      <w:r>
        <w:rPr>
          <w:rFonts w:hint="eastAsia" w:ascii="宋体" w:hAnsi="宋体"/>
          <w:b/>
        </w:rPr>
        <w:t>备注：</w:t>
      </w:r>
    </w:p>
    <w:p w14:paraId="117E2E10">
      <w:pPr>
        <w:numPr>
          <w:ilvl w:val="0"/>
          <w:numId w:val="0"/>
        </w:numPr>
        <w:snapToGrid w:val="0"/>
        <w:spacing w:line="360" w:lineRule="auto"/>
        <w:ind w:left="66" w:leftChars="0"/>
        <w:rPr>
          <w:rFonts w:hint="eastAsia" w:ascii="宋体" w:hAnsi="宋体"/>
          <w:b/>
        </w:rPr>
      </w:pPr>
      <w:r>
        <w:rPr>
          <w:rFonts w:hint="eastAsia" w:ascii="宋体" w:hAnsi="宋体"/>
          <w:b/>
        </w:rPr>
        <w:t>1、投标函中承诺的投标有效期应当不少于</w:t>
      </w:r>
      <w:r>
        <w:rPr>
          <w:rFonts w:hint="eastAsia" w:ascii="宋体" w:hAnsi="宋体"/>
          <w:b/>
          <w:lang w:eastAsia="zh-CN"/>
        </w:rPr>
        <w:t>征集</w:t>
      </w:r>
      <w:r>
        <w:rPr>
          <w:rFonts w:hint="eastAsia" w:ascii="宋体" w:hAnsi="宋体"/>
          <w:b/>
        </w:rPr>
        <w:t>文件中载明的投标有效期，否则视为无效投标。</w:t>
      </w:r>
    </w:p>
    <w:p w14:paraId="681BA045">
      <w:pPr>
        <w:numPr>
          <w:ilvl w:val="0"/>
          <w:numId w:val="0"/>
        </w:numPr>
        <w:snapToGrid w:val="0"/>
        <w:spacing w:line="360" w:lineRule="auto"/>
        <w:ind w:left="66" w:leftChars="0"/>
        <w:rPr>
          <w:rFonts w:hint="eastAsia" w:ascii="宋体" w:hAnsi="宋体"/>
          <w:b/>
        </w:rPr>
      </w:pPr>
      <w:r>
        <w:rPr>
          <w:rFonts w:hint="eastAsia" w:ascii="宋体" w:hAnsi="宋体"/>
          <w:b/>
        </w:rPr>
        <w:t xml:space="preserve">2、除投标有效期承诺的时间外，本投标函内容不得擅自删改，否则视为无效投标。 </w:t>
      </w:r>
    </w:p>
    <w:p w14:paraId="25611BD8">
      <w:pPr>
        <w:autoSpaceDE w:val="0"/>
        <w:autoSpaceDN w:val="0"/>
        <w:adjustRightInd w:val="0"/>
        <w:spacing w:line="360" w:lineRule="auto"/>
        <w:rPr>
          <w:rFonts w:ascii="宋体" w:hAnsi="宋体"/>
          <w:b/>
        </w:rPr>
      </w:pPr>
    </w:p>
    <w:p w14:paraId="71C7008C">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3A0C8083">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54F1B277">
      <w:pPr>
        <w:spacing w:line="360" w:lineRule="auto"/>
        <w:outlineLvl w:val="9"/>
        <w:rPr>
          <w:sz w:val="24"/>
        </w:rPr>
      </w:pPr>
      <w:r>
        <w:rPr>
          <w:rFonts w:hint="eastAsia"/>
          <w:b/>
          <w:sz w:val="24"/>
        </w:rPr>
        <w:t>（此处加盖投标人单位公章）</w:t>
      </w:r>
    </w:p>
    <w:p w14:paraId="273868D5">
      <w:pPr>
        <w:adjustRightInd w:val="0"/>
        <w:snapToGrid w:val="0"/>
        <w:spacing w:line="360" w:lineRule="auto"/>
        <w:rPr>
          <w:rFonts w:ascii="黑体" w:eastAsia="黑体"/>
          <w:b/>
          <w:bCs/>
          <w:sz w:val="24"/>
        </w:rPr>
        <w:sectPr>
          <w:pgSz w:w="11906" w:h="16838"/>
          <w:pgMar w:top="1440" w:right="1286" w:bottom="144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4BC64CD1">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55" w:name="_Toc189"/>
      <w:bookmarkStart w:id="56" w:name="_Toc24650"/>
      <w:bookmarkStart w:id="57" w:name="_Toc275865606"/>
      <w:bookmarkStart w:id="58" w:name="_Toc4649"/>
      <w:bookmarkStart w:id="59" w:name="_Toc435514855"/>
      <w:bookmarkStart w:id="60" w:name="_Toc435515295"/>
      <w:r>
        <w:rPr>
          <w:rFonts w:hint="eastAsia" w:cs="宋体" w:asciiTheme="majorEastAsia" w:hAnsiTheme="majorEastAsia" w:eastAsiaTheme="majorEastAsia"/>
          <w:kern w:val="2"/>
          <w:sz w:val="30"/>
          <w:szCs w:val="30"/>
          <w:lang w:val="en-US" w:eastAsia="zh-CN" w:bidi="ar-SA"/>
        </w:rPr>
        <w:t>（十三）</w:t>
      </w:r>
      <w:r>
        <w:rPr>
          <w:rFonts w:hint="eastAsia" w:asciiTheme="majorEastAsia" w:hAnsiTheme="majorEastAsia" w:eastAsiaTheme="majorEastAsia"/>
          <w:sz w:val="30"/>
          <w:szCs w:val="30"/>
        </w:rPr>
        <w:t>投标人资格声明函</w:t>
      </w:r>
      <w:bookmarkEnd w:id="55"/>
      <w:bookmarkEnd w:id="56"/>
      <w:bookmarkEnd w:id="57"/>
      <w:bookmarkEnd w:id="58"/>
      <w:bookmarkEnd w:id="59"/>
      <w:bookmarkEnd w:id="60"/>
    </w:p>
    <w:p w14:paraId="0438D9BD">
      <w:pPr>
        <w:spacing w:line="360" w:lineRule="auto"/>
        <w:rPr>
          <w:rFonts w:hint="default" w:ascii="宋体" w:hAnsi="宋体" w:eastAsiaTheme="minorEastAsia"/>
          <w:color w:val="auto"/>
          <w:szCs w:val="21"/>
          <w:highlight w:val="none"/>
          <w:lang w:val="en-US" w:eastAsia="zh-CN"/>
        </w:rPr>
      </w:pPr>
      <w:r>
        <w:rPr>
          <w:rFonts w:hint="eastAsia" w:ascii="宋体" w:hAnsi="宋体"/>
          <w:szCs w:val="21"/>
        </w:rPr>
        <w:t>致：</w:t>
      </w:r>
      <w:r>
        <w:rPr>
          <w:rFonts w:hint="eastAsia" w:ascii="宋体" w:hAnsi="宋体"/>
          <w:szCs w:val="21"/>
          <w:lang w:val="en-US" w:eastAsia="zh-CN"/>
        </w:rPr>
        <w:t>深圳市福田区第二人民医院</w:t>
      </w:r>
    </w:p>
    <w:p w14:paraId="4C254893">
      <w:pPr>
        <w:pStyle w:val="30"/>
        <w:snapToGrid w:val="0"/>
        <w:spacing w:before="156" w:beforeLines="50" w:line="360" w:lineRule="auto"/>
        <w:ind w:left="420" w:leftChars="200"/>
        <w:rPr>
          <w:rFonts w:ascii="宋体" w:hAnsi="宋体"/>
          <w:color w:val="auto"/>
          <w:highlight w:val="none"/>
        </w:rPr>
      </w:pPr>
      <w:r>
        <w:rPr>
          <w:rFonts w:hint="eastAsia" w:ascii="宋体" w:hAnsi="宋体"/>
          <w:color w:val="auto"/>
          <w:highlight w:val="none"/>
        </w:rPr>
        <w:t>关于贵</w:t>
      </w:r>
      <w:r>
        <w:rPr>
          <w:rFonts w:hint="eastAsia" w:ascii="宋体" w:hAnsi="宋体"/>
          <w:color w:val="auto"/>
          <w:highlight w:val="none"/>
          <w:lang w:val="en-US" w:eastAsia="zh-CN"/>
        </w:rPr>
        <w:t>单位</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eastAsia" w:ascii="宋体" w:hAnsi="宋体"/>
          <w:color w:val="auto"/>
          <w:highlight w:val="none"/>
        </w:rPr>
        <w:t>项目（项目编号：</w:t>
      </w:r>
      <w:r>
        <w:rPr>
          <w:rFonts w:hint="eastAsia" w:ascii="宋体" w:hAnsi="宋体"/>
          <w:color w:val="auto"/>
          <w:highlight w:val="none"/>
          <w:u w:val="single"/>
          <w:lang w:val="en-US" w:eastAsia="zh-CN"/>
        </w:rPr>
        <w:t xml:space="preserve">                 </w:t>
      </w:r>
      <w:r>
        <w:rPr>
          <w:rFonts w:hint="eastAsia" w:ascii="宋体" w:hAnsi="宋体"/>
          <w:color w:val="auto"/>
          <w:highlight w:val="none"/>
        </w:rPr>
        <w:t>）</w:t>
      </w:r>
      <w:r>
        <w:rPr>
          <w:rFonts w:hint="eastAsia" w:ascii="宋体" w:hAnsi="宋体"/>
          <w:color w:val="auto"/>
          <w:highlight w:val="none"/>
          <w:lang w:eastAsia="zh-CN"/>
        </w:rPr>
        <w:t>征集</w:t>
      </w:r>
      <w:r>
        <w:rPr>
          <w:rFonts w:hint="eastAsia" w:ascii="宋体" w:hAnsi="宋体"/>
          <w:color w:val="auto"/>
          <w:highlight w:val="none"/>
        </w:rPr>
        <w:t>，本公司（企业）愿意参加投标，并声明：</w:t>
      </w:r>
    </w:p>
    <w:p w14:paraId="179ACA93">
      <w:pPr>
        <w:numPr>
          <w:ilvl w:val="0"/>
          <w:numId w:val="14"/>
        </w:numPr>
        <w:spacing w:line="360" w:lineRule="auto"/>
        <w:ind w:right="-815" w:firstLineChars="200"/>
        <w:rPr>
          <w:rFonts w:ascii="宋体" w:hAnsi="宋体"/>
          <w:szCs w:val="21"/>
        </w:rPr>
      </w:pPr>
      <w:r>
        <w:rPr>
          <w:rFonts w:hint="eastAsia" w:ascii="宋体" w:hAnsi="宋体"/>
          <w:color w:val="auto"/>
          <w:szCs w:val="21"/>
          <w:highlight w:val="none"/>
        </w:rPr>
        <w:t>我公司</w:t>
      </w:r>
      <w:r>
        <w:rPr>
          <w:rFonts w:hint="eastAsia" w:asciiTheme="minorEastAsia" w:hAnsiTheme="minorEastAsia" w:eastAsiaTheme="minorEastAsia"/>
          <w:bCs/>
          <w:color w:val="auto"/>
          <w:szCs w:val="21"/>
          <w:highlight w:val="none"/>
        </w:rPr>
        <w:t>具备</w:t>
      </w:r>
      <w:r>
        <w:rPr>
          <w:rFonts w:hint="eastAsia" w:ascii="宋体" w:hAnsi="宋体"/>
          <w:bCs/>
          <w:color w:val="auto"/>
          <w:szCs w:val="20"/>
          <w:highlight w:val="none"/>
        </w:rPr>
        <w:t>《中华人民共和国政府</w:t>
      </w:r>
      <w:r>
        <w:rPr>
          <w:rFonts w:hint="eastAsia" w:ascii="宋体" w:hAnsi="宋体"/>
          <w:bCs/>
          <w:szCs w:val="20"/>
        </w:rPr>
        <w:t>采购法》</w:t>
      </w:r>
      <w:r>
        <w:rPr>
          <w:rFonts w:hint="eastAsia" w:asciiTheme="minorEastAsia" w:hAnsiTheme="minorEastAsia" w:eastAsiaTheme="minorEastAsia"/>
          <w:bCs/>
          <w:szCs w:val="21"/>
        </w:rPr>
        <w:t>第二十二条规定的条件：</w:t>
      </w:r>
    </w:p>
    <w:p w14:paraId="6871E880">
      <w:pPr>
        <w:spacing w:line="360" w:lineRule="auto"/>
        <w:ind w:firstLine="420" w:firstLineChars="200"/>
        <w:rPr>
          <w:rFonts w:ascii="宋体" w:hAnsi="宋体"/>
          <w:szCs w:val="21"/>
        </w:rPr>
      </w:pPr>
      <w:r>
        <w:rPr>
          <w:rFonts w:hint="eastAsia" w:ascii="宋体" w:hAnsi="宋体"/>
          <w:szCs w:val="21"/>
        </w:rPr>
        <w:t>1.具有独立承担民事责任的能力；</w:t>
      </w:r>
    </w:p>
    <w:p w14:paraId="4E1E005F">
      <w:pPr>
        <w:spacing w:line="360" w:lineRule="auto"/>
        <w:ind w:firstLine="420" w:firstLineChars="200"/>
        <w:rPr>
          <w:rFonts w:ascii="宋体" w:hAnsi="宋体"/>
          <w:szCs w:val="21"/>
        </w:rPr>
      </w:pPr>
      <w:r>
        <w:rPr>
          <w:rFonts w:hint="eastAsia" w:ascii="宋体" w:hAnsi="宋体"/>
          <w:szCs w:val="21"/>
        </w:rPr>
        <w:t>2.具有良好的商业信誉和健全的财务会计制度；</w:t>
      </w:r>
    </w:p>
    <w:p w14:paraId="752880AF">
      <w:pPr>
        <w:spacing w:line="360" w:lineRule="auto"/>
        <w:ind w:firstLine="420" w:firstLineChars="200"/>
        <w:rPr>
          <w:rFonts w:ascii="宋体" w:hAnsi="宋体"/>
          <w:szCs w:val="21"/>
        </w:rPr>
      </w:pPr>
      <w:r>
        <w:rPr>
          <w:rFonts w:hint="eastAsia" w:ascii="宋体" w:hAnsi="宋体"/>
          <w:szCs w:val="21"/>
        </w:rPr>
        <w:t>3.具有履行合同所必需的设备和专业技术能力；</w:t>
      </w:r>
    </w:p>
    <w:p w14:paraId="57028112">
      <w:pPr>
        <w:spacing w:line="360" w:lineRule="auto"/>
        <w:ind w:firstLine="420" w:firstLineChars="200"/>
        <w:rPr>
          <w:rFonts w:ascii="宋体" w:hAnsi="宋体"/>
          <w:szCs w:val="21"/>
        </w:rPr>
      </w:pPr>
      <w:r>
        <w:rPr>
          <w:rFonts w:hint="eastAsia" w:ascii="宋体" w:hAnsi="宋体"/>
          <w:szCs w:val="21"/>
        </w:rPr>
        <w:t>4.有依法缴纳税收和社会保障资金的良好记录；</w:t>
      </w:r>
    </w:p>
    <w:p w14:paraId="33F25E51">
      <w:pPr>
        <w:spacing w:line="360" w:lineRule="auto"/>
        <w:ind w:firstLine="420" w:firstLineChars="200"/>
        <w:rPr>
          <w:rFonts w:ascii="宋体" w:hAnsi="宋体"/>
          <w:szCs w:val="21"/>
        </w:rPr>
      </w:pPr>
      <w:r>
        <w:rPr>
          <w:rFonts w:hint="eastAsia" w:ascii="宋体" w:hAnsi="宋体"/>
          <w:szCs w:val="21"/>
        </w:rPr>
        <w:t>5.参加政府采购活动前三年内，在经营活动中没有重大违法记录；</w:t>
      </w:r>
    </w:p>
    <w:p w14:paraId="658056BA">
      <w:pPr>
        <w:spacing w:line="360" w:lineRule="auto"/>
        <w:ind w:firstLine="420" w:firstLineChars="200"/>
        <w:rPr>
          <w:rFonts w:ascii="宋体" w:hAnsi="宋体"/>
          <w:szCs w:val="21"/>
        </w:rPr>
      </w:pPr>
      <w:r>
        <w:rPr>
          <w:rFonts w:hint="eastAsia" w:ascii="宋体" w:hAnsi="宋体"/>
          <w:szCs w:val="21"/>
        </w:rPr>
        <w:t>6.法律、行政法规规定的其他条件。</w:t>
      </w:r>
    </w:p>
    <w:p w14:paraId="7C9E9009">
      <w:pPr>
        <w:numPr>
          <w:ilvl w:val="0"/>
          <w:numId w:val="14"/>
        </w:numPr>
        <w:spacing w:line="360" w:lineRule="auto"/>
        <w:ind w:left="0" w:leftChars="0" w:right="-815" w:rightChars="0" w:firstLine="420" w:firstLineChars="200"/>
        <w:outlineLvl w:val="9"/>
        <w:rPr>
          <w:rFonts w:ascii="宋体" w:hAnsi="宋体"/>
          <w:szCs w:val="21"/>
        </w:rPr>
      </w:pPr>
      <w:r>
        <w:rPr>
          <w:rFonts w:hint="eastAsia" w:ascii="宋体" w:hAnsi="宋体"/>
          <w:szCs w:val="21"/>
        </w:rPr>
        <w:t>我公司对本</w:t>
      </w:r>
      <w:r>
        <w:rPr>
          <w:rFonts w:hint="eastAsia" w:ascii="宋体" w:hAnsi="宋体"/>
          <w:szCs w:val="21"/>
          <w:lang w:eastAsia="zh-CN"/>
        </w:rPr>
        <w:t>征集</w:t>
      </w:r>
      <w:r>
        <w:rPr>
          <w:rFonts w:hint="eastAsia" w:ascii="宋体" w:hAnsi="宋体"/>
          <w:szCs w:val="21"/>
        </w:rPr>
        <w:t>项目所提供的货物或服务未侵犯知识产权。</w:t>
      </w:r>
    </w:p>
    <w:p w14:paraId="6CC207C4">
      <w:pPr>
        <w:numPr>
          <w:ilvl w:val="0"/>
          <w:numId w:val="14"/>
        </w:numPr>
        <w:spacing w:line="360" w:lineRule="auto"/>
        <w:ind w:right="-815" w:firstLineChars="200"/>
        <w:rPr>
          <w:rFonts w:ascii="宋体" w:hAnsi="宋体"/>
          <w:szCs w:val="21"/>
        </w:rPr>
      </w:pPr>
      <w:r>
        <w:rPr>
          <w:rFonts w:hint="eastAsia" w:ascii="宋体" w:hAnsi="宋体"/>
          <w:szCs w:val="21"/>
        </w:rPr>
        <w:t>我公司保证采购人拥有所投产品完整的所有权，不以保护知识产权或技术保密的名义对所有权和使用权进行任何限制。</w:t>
      </w:r>
    </w:p>
    <w:p w14:paraId="34D1D2EB">
      <w:pPr>
        <w:numPr>
          <w:ilvl w:val="0"/>
          <w:numId w:val="14"/>
        </w:numPr>
        <w:spacing w:line="360" w:lineRule="auto"/>
        <w:ind w:right="-815" w:firstLineChars="200"/>
        <w:rPr>
          <w:rFonts w:ascii="宋体" w:hAnsi="宋体"/>
          <w:color w:val="auto"/>
          <w:szCs w:val="21"/>
          <w:highlight w:val="none"/>
        </w:rPr>
      </w:pPr>
      <w:r>
        <w:rPr>
          <w:rFonts w:hint="eastAsia" w:ascii="宋体" w:hAnsi="宋体"/>
          <w:szCs w:val="21"/>
        </w:rPr>
        <w:t>我公司参与该项目投标，严格遵守政府采购相关法律，投标做到诚实，不造假，不围标、串标、陪标。我公司已清楚，如违反上述要求，其投标将作废，被列入不良记录名单并在网上曝光，同时将被提请政府采购</w:t>
      </w:r>
      <w:r>
        <w:rPr>
          <w:rFonts w:hint="eastAsia" w:ascii="宋体" w:hAnsi="宋体"/>
          <w:color w:val="auto"/>
          <w:szCs w:val="21"/>
          <w:highlight w:val="none"/>
        </w:rPr>
        <w:t>监督管理部门给予一定年限内禁止参与政府采购活动或其他处罚。</w:t>
      </w:r>
    </w:p>
    <w:p w14:paraId="403D998D">
      <w:pPr>
        <w:numPr>
          <w:ilvl w:val="0"/>
          <w:numId w:val="14"/>
        </w:numPr>
        <w:spacing w:line="360" w:lineRule="auto"/>
        <w:ind w:right="-815" w:firstLineChars="200"/>
        <w:rPr>
          <w:rFonts w:ascii="宋体" w:hAnsi="宋体"/>
          <w:color w:val="auto"/>
          <w:szCs w:val="21"/>
          <w:highlight w:val="none"/>
        </w:rPr>
      </w:pPr>
      <w:r>
        <w:rPr>
          <w:rFonts w:hint="eastAsia" w:ascii="宋体" w:hAnsi="宋体"/>
          <w:color w:val="auto"/>
          <w:szCs w:val="21"/>
          <w:highlight w:val="none"/>
        </w:rPr>
        <w:t>如果中标，做到守信，不偷工减料，依照本项目</w:t>
      </w:r>
      <w:r>
        <w:rPr>
          <w:rFonts w:hint="eastAsia" w:ascii="宋体" w:hAnsi="宋体"/>
          <w:color w:val="auto"/>
          <w:szCs w:val="21"/>
          <w:highlight w:val="none"/>
          <w:lang w:eastAsia="zh-CN"/>
        </w:rPr>
        <w:t>征集</w:t>
      </w:r>
      <w:r>
        <w:rPr>
          <w:rFonts w:hint="eastAsia" w:ascii="宋体" w:hAnsi="宋体"/>
          <w:color w:val="auto"/>
          <w:szCs w:val="21"/>
          <w:highlight w:val="none"/>
        </w:rPr>
        <w:t>文件需求内容、签署的采购合同及本公司在投标中所作的一切承诺履约。项目验收达到全部指标合格，力争优良。</w:t>
      </w:r>
    </w:p>
    <w:p w14:paraId="30EADCCC">
      <w:pPr>
        <w:numPr>
          <w:ilvl w:val="0"/>
          <w:numId w:val="14"/>
        </w:numPr>
        <w:spacing w:line="360" w:lineRule="auto"/>
        <w:ind w:right="-815" w:firstLineChars="200"/>
        <w:rPr>
          <w:bCs/>
          <w:szCs w:val="21"/>
        </w:rPr>
      </w:pPr>
      <w:r>
        <w:rPr>
          <w:rFonts w:hint="eastAsia"/>
          <w:bCs/>
          <w:color w:val="auto"/>
          <w:szCs w:val="21"/>
          <w:highlight w:val="none"/>
        </w:rPr>
        <w:t>根据《</w:t>
      </w:r>
      <w:r>
        <w:rPr>
          <w:rFonts w:hint="eastAsia"/>
          <w:bCs/>
          <w:szCs w:val="21"/>
        </w:rPr>
        <w:t>中华人民共和国政府采购法实施条例》的规定，本公司（企业）如为采购项目（包组）提供整体设计、规范编制或者项目管理、监理、检测等服务的供应商，不再参加该采购项目的其他采购活动</w:t>
      </w:r>
    </w:p>
    <w:p w14:paraId="4101CCE1">
      <w:pPr>
        <w:numPr>
          <w:ilvl w:val="0"/>
          <w:numId w:val="14"/>
        </w:numPr>
        <w:spacing w:line="360" w:lineRule="auto"/>
        <w:ind w:right="-815" w:firstLineChars="200"/>
        <w:rPr>
          <w:rFonts w:ascii="宋体" w:hAnsi="宋体"/>
        </w:rPr>
      </w:pPr>
      <w:r>
        <w:rPr>
          <w:rFonts w:hint="eastAsia" w:ascii="宋体" w:hAnsi="宋体"/>
        </w:rPr>
        <w:t>本公司（企业）的法定代表人或单位负责人与本项目其他投标人的法定代表人或单位负责人不为同一人且与其他投标人之间不存在直接控股、管理关系。</w:t>
      </w:r>
    </w:p>
    <w:p w14:paraId="079C0FFE">
      <w:pPr>
        <w:numPr>
          <w:ilvl w:val="0"/>
          <w:numId w:val="14"/>
        </w:numPr>
        <w:spacing w:line="360" w:lineRule="auto"/>
        <w:ind w:right="-815" w:firstLineChars="200"/>
        <w:rPr>
          <w:rFonts w:ascii="宋体" w:hAnsi="宋体"/>
          <w:szCs w:val="21"/>
        </w:rPr>
      </w:pPr>
      <w:r>
        <w:rPr>
          <w:rFonts w:hint="eastAsia" w:ascii="宋体" w:hAnsi="宋体"/>
        </w:rPr>
        <w:t>本公司（企业）承诺在本次</w:t>
      </w:r>
      <w:r>
        <w:rPr>
          <w:rFonts w:hint="eastAsia" w:ascii="宋体" w:hAnsi="宋体"/>
          <w:lang w:eastAsia="zh-CN"/>
        </w:rPr>
        <w:t>征集</w:t>
      </w:r>
      <w:r>
        <w:rPr>
          <w:rFonts w:hint="eastAsia" w:ascii="宋体" w:hAnsi="宋体"/>
        </w:rPr>
        <w:t>采购活动中，如有违法、违规、弄虚作假行为，所造成的损失、不良后果及法律责任，一律由我公司（企业）承担。</w:t>
      </w:r>
    </w:p>
    <w:p w14:paraId="776B9E12">
      <w:pPr>
        <w:numPr>
          <w:ilvl w:val="0"/>
          <w:numId w:val="14"/>
        </w:numPr>
        <w:spacing w:line="360" w:lineRule="auto"/>
        <w:ind w:right="-815" w:firstLineChars="200"/>
        <w:rPr>
          <w:rFonts w:ascii="宋体" w:hAnsi="宋体"/>
          <w:szCs w:val="21"/>
        </w:rPr>
      </w:pPr>
      <w:r>
        <w:rPr>
          <w:rFonts w:hint="eastAsia" w:ascii="宋体" w:hAnsi="宋体"/>
          <w:szCs w:val="21"/>
        </w:rPr>
        <w:t>在参与</w:t>
      </w:r>
      <w:r>
        <w:rPr>
          <w:rFonts w:hint="eastAsia" w:ascii="宋体" w:hAnsi="宋体"/>
        </w:rPr>
        <w:t>本次</w:t>
      </w:r>
      <w:r>
        <w:rPr>
          <w:rFonts w:hint="eastAsia" w:ascii="宋体" w:hAnsi="宋体"/>
          <w:lang w:eastAsia="zh-CN"/>
        </w:rPr>
        <w:t>征集</w:t>
      </w:r>
      <w:r>
        <w:rPr>
          <w:rFonts w:hint="eastAsia" w:ascii="宋体" w:hAnsi="宋体"/>
        </w:rPr>
        <w:t>采购活动中</w:t>
      </w:r>
      <w:r>
        <w:rPr>
          <w:rFonts w:hint="eastAsia" w:ascii="宋体" w:hAnsi="宋体"/>
          <w:szCs w:val="21"/>
        </w:rPr>
        <w:t>投标截止日前三年内，在我公司的经营活动中没有存在重大违法记录，即我公司没有受到刑事处罚或者责令停产停业、吊销许可证或者执照、较大数额罚款等行政处罚。</w:t>
      </w:r>
    </w:p>
    <w:p w14:paraId="734A4238">
      <w:pPr>
        <w:numPr>
          <w:ilvl w:val="0"/>
          <w:numId w:val="14"/>
        </w:numPr>
        <w:spacing w:line="360" w:lineRule="auto"/>
        <w:ind w:right="-815" w:firstLineChars="200"/>
        <w:rPr>
          <w:rFonts w:ascii="宋体" w:hAnsi="宋体"/>
          <w:color w:val="auto"/>
          <w:szCs w:val="21"/>
        </w:rPr>
      </w:pPr>
      <w:r>
        <w:rPr>
          <w:rFonts w:hint="eastAsia"/>
          <w:szCs w:val="21"/>
        </w:rPr>
        <w:t>在参与</w:t>
      </w:r>
      <w:r>
        <w:rPr>
          <w:rFonts w:hint="eastAsia" w:ascii="宋体" w:hAnsi="宋体"/>
        </w:rPr>
        <w:t>本次</w:t>
      </w:r>
      <w:r>
        <w:rPr>
          <w:rFonts w:hint="eastAsia" w:ascii="宋体" w:hAnsi="宋体"/>
          <w:lang w:eastAsia="zh-CN"/>
        </w:rPr>
        <w:t>征集</w:t>
      </w:r>
      <w:r>
        <w:rPr>
          <w:rFonts w:hint="eastAsia" w:ascii="宋体" w:hAnsi="宋体"/>
        </w:rPr>
        <w:t>采购活动中</w:t>
      </w:r>
      <w:r>
        <w:rPr>
          <w:rFonts w:hint="eastAsia"/>
          <w:szCs w:val="21"/>
        </w:rPr>
        <w:t>，我公司不存在被政府主管部门禁止参与政府采购活动的情形，即我公</w:t>
      </w:r>
      <w:r>
        <w:rPr>
          <w:rFonts w:hint="eastAsia"/>
          <w:color w:val="auto"/>
          <w:szCs w:val="21"/>
        </w:rPr>
        <w:t>司不存在还处于被禁止参与政府采购活动的期限内情形。</w:t>
      </w:r>
    </w:p>
    <w:p w14:paraId="0E0E3185">
      <w:pPr>
        <w:numPr>
          <w:ilvl w:val="0"/>
          <w:numId w:val="14"/>
        </w:numPr>
        <w:spacing w:line="360" w:lineRule="auto"/>
        <w:ind w:right="-815" w:firstLineChars="200"/>
        <w:rPr>
          <w:rFonts w:ascii="宋体" w:hAnsi="宋体"/>
          <w:color w:val="auto"/>
          <w:szCs w:val="21"/>
        </w:rPr>
      </w:pPr>
      <w:r>
        <w:rPr>
          <w:rFonts w:hint="eastAsia" w:ascii="宋体" w:hAnsi="宋体"/>
          <w:color w:val="auto"/>
          <w:szCs w:val="21"/>
        </w:rPr>
        <w:t>参与本项目采购活动时未被列入失信被执行人、税收违法黑名单、政府采购严重违法失信行为记录名单</w:t>
      </w:r>
    </w:p>
    <w:p w14:paraId="17840CCA">
      <w:pPr>
        <w:spacing w:line="360" w:lineRule="auto"/>
        <w:ind w:firstLine="420" w:firstLineChars="200"/>
        <w:rPr>
          <w:rFonts w:ascii="宋体" w:hAnsi="宋体"/>
          <w:color w:val="auto"/>
          <w:szCs w:val="21"/>
        </w:rPr>
      </w:pPr>
      <w:r>
        <w:rPr>
          <w:rFonts w:hint="eastAsia" w:ascii="宋体" w:hAnsi="宋体"/>
          <w:color w:val="auto"/>
          <w:szCs w:val="21"/>
        </w:rPr>
        <w:t>以上承诺，如有违反，愿依照国家相关法律处理，并承担由此给采购人带来的损失。</w:t>
      </w:r>
    </w:p>
    <w:p w14:paraId="2CE6399B">
      <w:pPr>
        <w:autoSpaceDE w:val="0"/>
        <w:autoSpaceDN w:val="0"/>
        <w:adjustRightInd w:val="0"/>
        <w:spacing w:line="360" w:lineRule="auto"/>
        <w:rPr>
          <w:rFonts w:ascii="宋体" w:hAnsi="宋体"/>
          <w:b/>
          <w:color w:val="auto"/>
          <w:sz w:val="24"/>
        </w:rPr>
      </w:pPr>
      <w:r>
        <w:rPr>
          <w:rFonts w:hint="eastAsia" w:ascii="宋体" w:hAnsi="宋体"/>
          <w:b/>
          <w:color w:val="auto"/>
          <w:sz w:val="24"/>
        </w:rPr>
        <w:t>备注：1.本声明函必须提供且内容不得擅自删改，否则视为无效投标。</w:t>
      </w:r>
    </w:p>
    <w:p w14:paraId="14801788">
      <w:pPr>
        <w:snapToGrid w:val="0"/>
        <w:spacing w:line="360" w:lineRule="auto"/>
        <w:ind w:firstLine="723" w:firstLineChars="300"/>
        <w:outlineLvl w:val="9"/>
        <w:rPr>
          <w:rFonts w:ascii="宋体" w:hAnsi="宋体"/>
          <w:b/>
          <w:sz w:val="24"/>
        </w:rPr>
      </w:pPr>
      <w:r>
        <w:rPr>
          <w:rFonts w:hint="eastAsia" w:ascii="宋体" w:hAnsi="宋体"/>
          <w:b/>
          <w:sz w:val="24"/>
        </w:rPr>
        <w:t>2. 本声明函如有虚假或与事实不符的，作无效投标处理。</w:t>
      </w:r>
    </w:p>
    <w:p w14:paraId="69DC41FE">
      <w:pPr>
        <w:spacing w:line="360" w:lineRule="auto"/>
        <w:ind w:firstLine="480" w:firstLineChars="200"/>
        <w:rPr>
          <w:rFonts w:ascii="宋体" w:hAnsi="宋体"/>
          <w:sz w:val="24"/>
        </w:rPr>
      </w:pPr>
    </w:p>
    <w:p w14:paraId="071D140E">
      <w:pPr>
        <w:spacing w:line="360" w:lineRule="auto"/>
        <w:ind w:firstLine="42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投标人单位名称：</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w:t>
      </w:r>
    </w:p>
    <w:p w14:paraId="275EBD85">
      <w:pPr>
        <w:spacing w:line="360" w:lineRule="auto"/>
        <w:ind w:firstLine="420"/>
        <w:rPr>
          <w:rFonts w:ascii="宋体" w:hAnsi="宋体"/>
          <w:b/>
          <w:bCs/>
          <w:sz w:val="24"/>
        </w:rPr>
      </w:pPr>
      <w:r>
        <w:rPr>
          <w:rFonts w:hint="eastAsia"/>
          <w:b/>
          <w:bCs/>
          <w:color w:val="000000" w:themeColor="text1"/>
          <w:sz w:val="24"/>
          <w14:textFill>
            <w14:solidFill>
              <w14:schemeClr w14:val="tx1"/>
            </w14:solidFill>
          </w14:textFill>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022C1E85">
      <w:pPr>
        <w:spacing w:line="360" w:lineRule="auto"/>
        <w:ind w:firstLine="241" w:firstLineChars="100"/>
        <w:outlineLvl w:val="9"/>
        <w:rPr>
          <w:b/>
          <w:sz w:val="24"/>
        </w:rPr>
      </w:pPr>
      <w:r>
        <w:rPr>
          <w:rFonts w:hint="eastAsia"/>
          <w:b/>
          <w:sz w:val="24"/>
        </w:rPr>
        <w:t>（此处加盖投标人单位公章）</w:t>
      </w:r>
    </w:p>
    <w:p w14:paraId="51C2D38A">
      <w:pPr>
        <w:widowControl/>
        <w:jc w:val="left"/>
        <w:rPr>
          <w:b/>
          <w:sz w:val="24"/>
        </w:rPr>
      </w:pPr>
      <w:r>
        <w:rPr>
          <w:b/>
          <w:sz w:val="24"/>
        </w:rPr>
        <w:br w:type="page"/>
      </w:r>
    </w:p>
    <w:p w14:paraId="04BEA813">
      <w:pPr>
        <w:keepNext w:val="0"/>
        <w:keepLines w:val="0"/>
        <w:widowControl/>
        <w:suppressLineNumbers w:val="0"/>
        <w:jc w:val="center"/>
        <w:outlineLvl w:val="0"/>
        <w:rPr>
          <w:rFonts w:hint="eastAsia" w:ascii="宋体" w:hAnsi="宋体" w:eastAsia="宋体" w:cs="宋体"/>
          <w:b/>
          <w:bCs/>
          <w:color w:val="auto"/>
          <w:sz w:val="36"/>
          <w:szCs w:val="36"/>
          <w:highlight w:val="none"/>
        </w:rPr>
      </w:pPr>
      <w:bookmarkStart w:id="61" w:name="_承诺函"/>
      <w:bookmarkEnd w:id="61"/>
      <w:bookmarkStart w:id="62" w:name="_Toc23121"/>
      <w:bookmarkStart w:id="63" w:name="_Toc52165081"/>
      <w:bookmarkStart w:id="64" w:name="_Toc50736477"/>
      <w:bookmarkStart w:id="65" w:name="_Toc435514859"/>
      <w:bookmarkStart w:id="66" w:name="_Toc50737297"/>
      <w:bookmarkStart w:id="67" w:name="_Toc435515299"/>
      <w:bookmarkStart w:id="68" w:name="_Toc275865607"/>
      <w:bookmarkStart w:id="69" w:name="_Toc50737329"/>
      <w:bookmarkStart w:id="70" w:name="_Toc27672"/>
      <w:bookmarkStart w:id="71" w:name="_Toc24149"/>
      <w:bookmarkStart w:id="72" w:name="_Toc52165080"/>
      <w:bookmarkStart w:id="73" w:name="_Toc50737296"/>
      <w:bookmarkStart w:id="74" w:name="_Toc50736476"/>
      <w:bookmarkStart w:id="75" w:name="_Toc50737328"/>
      <w:bookmarkStart w:id="76" w:name="_Toc50691034"/>
      <w:r>
        <w:rPr>
          <w:rFonts w:hint="eastAsia" w:cs="宋体" w:asciiTheme="majorEastAsia" w:hAnsiTheme="majorEastAsia" w:eastAsiaTheme="majorEastAsia"/>
          <w:kern w:val="2"/>
          <w:sz w:val="30"/>
          <w:szCs w:val="30"/>
          <w:lang w:val="en-US" w:eastAsia="zh-CN" w:bidi="ar-SA"/>
        </w:rPr>
        <w:t>（十四）政府采购违法行为风险知悉确认书</w:t>
      </w:r>
      <w:bookmarkEnd w:id="62"/>
    </w:p>
    <w:p w14:paraId="20E114A7">
      <w:pPr>
        <w:spacing w:before="0" w:beforeLines="0" w:after="157" w:afterLines="50" w:line="360" w:lineRule="exact"/>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eastAsia="zh-CN"/>
        </w:rPr>
        <w:t>我</w:t>
      </w:r>
      <w:r>
        <w:rPr>
          <w:rFonts w:hint="eastAsia" w:ascii="宋体" w:hAnsi="宋体" w:eastAsia="宋体" w:cs="宋体"/>
          <w:b/>
          <w:bCs/>
          <w:color w:val="auto"/>
          <w:sz w:val="24"/>
          <w:szCs w:val="24"/>
          <w:highlight w:val="none"/>
          <w:lang w:val="en-US" w:eastAsia="zh-CN"/>
        </w:rPr>
        <w:t>单位</w:t>
      </w:r>
      <w:r>
        <w:rPr>
          <w:rFonts w:hint="eastAsia" w:ascii="宋体" w:hAnsi="宋体" w:eastAsia="宋体" w:cs="宋体"/>
          <w:b/>
          <w:bCs/>
          <w:color w:val="auto"/>
          <w:sz w:val="24"/>
          <w:highlight w:val="none"/>
        </w:rPr>
        <w:t>在投标前已充分知悉以下情形为参与政府采购活动时的重大风险事项，并承诺已对下述风险提示事项重点排查，</w:t>
      </w:r>
      <w:r>
        <w:rPr>
          <w:rFonts w:hint="eastAsia" w:ascii="宋体" w:hAnsi="宋体" w:eastAsia="宋体" w:cs="宋体"/>
          <w:b/>
          <w:bCs/>
          <w:color w:val="auto"/>
          <w:sz w:val="24"/>
          <w:highlight w:val="none"/>
          <w:lang w:val="en-US" w:eastAsia="zh-CN"/>
        </w:rPr>
        <w:t>若存在下述情况，我单位愿意依法承担被记入供应商诚信档案、罚款、取消参与政府采购资格等处罚；构成犯罪的，依法承担刑事责任。</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7821"/>
      </w:tblGrid>
      <w:tr w14:paraId="3D833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711" w:type="dxa"/>
            <w:noWrap w:val="0"/>
            <w:vAlign w:val="top"/>
          </w:tcPr>
          <w:p w14:paraId="4BB599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8085" w:type="dxa"/>
            <w:noWrap w:val="0"/>
            <w:vAlign w:val="top"/>
          </w:tcPr>
          <w:p w14:paraId="3C32FF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供应商参与投标禁止情形</w:t>
            </w:r>
          </w:p>
        </w:tc>
      </w:tr>
      <w:tr w14:paraId="5BE77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5C259D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8085" w:type="dxa"/>
            <w:noWrap w:val="0"/>
            <w:vAlign w:val="center"/>
          </w:tcPr>
          <w:p w14:paraId="3B0FAF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auto"/>
                <w:sz w:val="24"/>
                <w:szCs w:val="24"/>
                <w:highlight w:val="none"/>
                <w:lang w:val="en-US" w:eastAsia="zh-CN"/>
              </w:rPr>
              <w:t>同一人、属同一单位或者在同一单位缴纳社会保险</w:t>
            </w:r>
            <w:r>
              <w:rPr>
                <w:rFonts w:hint="eastAsia" w:ascii="宋体" w:hAnsi="宋体" w:eastAsia="宋体" w:cs="宋体"/>
                <w:color w:val="auto"/>
                <w:sz w:val="24"/>
                <w:szCs w:val="24"/>
                <w:highlight w:val="none"/>
                <w:lang w:val="en-US" w:eastAsia="zh-CN"/>
              </w:rPr>
              <w:t>。</w:t>
            </w:r>
          </w:p>
        </w:tc>
      </w:tr>
      <w:tr w14:paraId="417A5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noWrap w:val="0"/>
            <w:vAlign w:val="top"/>
          </w:tcPr>
          <w:p w14:paraId="1E0948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8085" w:type="dxa"/>
            <w:noWrap w:val="0"/>
            <w:vAlign w:val="center"/>
          </w:tcPr>
          <w:p w14:paraId="6261DB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参与本项目政府采购活动时，与其他投标供应商存在单位负责人为</w:t>
            </w:r>
            <w:r>
              <w:rPr>
                <w:rFonts w:hint="eastAsia" w:ascii="宋体" w:hAnsi="宋体" w:eastAsia="宋体" w:cs="宋体"/>
                <w:b/>
                <w:bCs/>
                <w:color w:val="auto"/>
                <w:sz w:val="24"/>
                <w:szCs w:val="24"/>
                <w:highlight w:val="none"/>
                <w:lang w:val="en-US" w:eastAsia="zh-CN"/>
              </w:rPr>
              <w:t>同一人或直接控股、管理关系</w:t>
            </w:r>
            <w:r>
              <w:rPr>
                <w:rFonts w:hint="eastAsia" w:ascii="宋体" w:hAnsi="宋体" w:eastAsia="宋体" w:cs="宋体"/>
                <w:color w:val="auto"/>
                <w:sz w:val="24"/>
                <w:szCs w:val="24"/>
                <w:highlight w:val="none"/>
                <w:lang w:val="en-US" w:eastAsia="zh-CN"/>
              </w:rPr>
              <w:t>。</w:t>
            </w:r>
          </w:p>
        </w:tc>
      </w:tr>
      <w:tr w14:paraId="7D5E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141F78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8085" w:type="dxa"/>
            <w:noWrap w:val="0"/>
            <w:vAlign w:val="center"/>
          </w:tcPr>
          <w:p w14:paraId="3CDD8A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与其他投标供应商的投标文件或部分投标文件</w:t>
            </w:r>
            <w:r>
              <w:rPr>
                <w:rFonts w:hint="eastAsia" w:ascii="宋体" w:hAnsi="宋体" w:eastAsia="宋体" w:cs="宋体"/>
                <w:b/>
                <w:bCs/>
                <w:color w:val="auto"/>
                <w:sz w:val="24"/>
                <w:szCs w:val="24"/>
                <w:highlight w:val="none"/>
                <w:lang w:val="en-US" w:eastAsia="zh-CN"/>
              </w:rPr>
              <w:t>相互混装或存在非正常一致</w:t>
            </w:r>
            <w:r>
              <w:rPr>
                <w:rFonts w:hint="eastAsia" w:ascii="宋体" w:hAnsi="宋体" w:eastAsia="宋体" w:cs="宋体"/>
                <w:color w:val="auto"/>
                <w:sz w:val="24"/>
                <w:szCs w:val="24"/>
                <w:highlight w:val="none"/>
                <w:lang w:val="en-US" w:eastAsia="zh-CN"/>
              </w:rPr>
              <w:t>。</w:t>
            </w:r>
          </w:p>
        </w:tc>
      </w:tr>
      <w:tr w14:paraId="1F938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707810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8085" w:type="dxa"/>
            <w:noWrap w:val="0"/>
            <w:vAlign w:val="center"/>
          </w:tcPr>
          <w:p w14:paraId="15D6B5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与其他投标供应商的投标文件由</w:t>
            </w:r>
            <w:r>
              <w:rPr>
                <w:rFonts w:hint="eastAsia" w:ascii="宋体" w:hAnsi="宋体" w:eastAsia="宋体" w:cs="宋体"/>
                <w:b/>
                <w:bCs/>
                <w:color w:val="auto"/>
                <w:sz w:val="24"/>
                <w:szCs w:val="24"/>
                <w:highlight w:val="none"/>
                <w:lang w:val="en-US" w:eastAsia="zh-CN"/>
              </w:rPr>
              <w:t>同一单位或者同一人编制</w:t>
            </w:r>
            <w:r>
              <w:rPr>
                <w:rFonts w:hint="eastAsia" w:ascii="宋体" w:hAnsi="宋体" w:eastAsia="宋体" w:cs="宋体"/>
                <w:color w:val="auto"/>
                <w:sz w:val="24"/>
                <w:szCs w:val="24"/>
                <w:highlight w:val="none"/>
                <w:lang w:val="en-US" w:eastAsia="zh-CN"/>
              </w:rPr>
              <w:t>，或者使用</w:t>
            </w:r>
            <w:r>
              <w:rPr>
                <w:rFonts w:hint="eastAsia" w:ascii="宋体" w:hAnsi="宋体" w:eastAsia="宋体" w:cs="宋体"/>
                <w:b/>
                <w:bCs/>
                <w:color w:val="auto"/>
                <w:sz w:val="24"/>
                <w:szCs w:val="24"/>
                <w:highlight w:val="none"/>
                <w:lang w:val="en-US" w:eastAsia="zh-CN"/>
              </w:rPr>
              <w:t>同一设备编制</w:t>
            </w:r>
            <w:r>
              <w:rPr>
                <w:rFonts w:hint="eastAsia" w:ascii="宋体" w:hAnsi="宋体" w:eastAsia="宋体" w:cs="宋体"/>
                <w:color w:val="auto"/>
                <w:sz w:val="24"/>
                <w:szCs w:val="24"/>
                <w:highlight w:val="none"/>
                <w:lang w:val="en-US" w:eastAsia="zh-CN"/>
              </w:rPr>
              <w:t>（“文件制作机器码”“文件创建标识码”一致）。</w:t>
            </w:r>
          </w:p>
        </w:tc>
      </w:tr>
      <w:tr w14:paraId="01531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noWrap w:val="0"/>
            <w:vAlign w:val="top"/>
          </w:tcPr>
          <w:p w14:paraId="5395EF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8085" w:type="dxa"/>
            <w:noWrap w:val="0"/>
            <w:vAlign w:val="center"/>
          </w:tcPr>
          <w:p w14:paraId="54725C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w:t>
            </w:r>
            <w:r>
              <w:rPr>
                <w:rFonts w:hint="eastAsia" w:ascii="宋体" w:hAnsi="宋体" w:eastAsia="宋体" w:cs="宋体"/>
                <w:b/>
                <w:bCs/>
                <w:color w:val="auto"/>
                <w:sz w:val="24"/>
                <w:szCs w:val="24"/>
                <w:highlight w:val="none"/>
                <w:lang w:val="en-US" w:eastAsia="zh-CN"/>
              </w:rPr>
              <w:t>未经出具机构核实</w:t>
            </w:r>
            <w:r>
              <w:rPr>
                <w:rFonts w:hint="eastAsia" w:ascii="宋体" w:hAnsi="宋体" w:eastAsia="宋体" w:cs="宋体"/>
                <w:color w:val="auto"/>
                <w:sz w:val="24"/>
                <w:szCs w:val="24"/>
                <w:highlight w:val="none"/>
                <w:lang w:val="en-US" w:eastAsia="zh-CN"/>
              </w:rPr>
              <w:t>的虚假的检验检测报告、业绩材料、社保缴纳证明、学历学位证书、职称认证证书等材料。</w:t>
            </w:r>
          </w:p>
        </w:tc>
      </w:tr>
      <w:tr w14:paraId="1A110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157D3F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8085" w:type="dxa"/>
            <w:noWrap w:val="0"/>
            <w:vAlign w:val="center"/>
          </w:tcPr>
          <w:p w14:paraId="720EBC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擅自将投标密钥或电子营业执照出借他人使用或未妥善保管。</w:t>
            </w:r>
          </w:p>
        </w:tc>
      </w:tr>
    </w:tbl>
    <w:p w14:paraId="5947B219">
      <w:pPr>
        <w:spacing w:before="157" w:beforeLines="50" w:line="380" w:lineRule="exact"/>
        <w:ind w:firstLine="422" w:firstLineChars="200"/>
        <w:outlineLvl w:val="1"/>
        <w:rPr>
          <w:rFonts w:hint="eastAsia" w:ascii="宋体" w:hAnsi="宋体" w:eastAsia="宋体" w:cs="宋体"/>
          <w:b/>
          <w:color w:val="auto"/>
          <w:highlight w:val="none"/>
        </w:rPr>
      </w:pPr>
      <w:r>
        <w:rPr>
          <w:rFonts w:hint="eastAsia" w:ascii="宋体" w:hAnsi="宋体" w:eastAsia="宋体" w:cs="宋体"/>
          <w:b/>
          <w:color w:val="auto"/>
          <w:highlight w:val="none"/>
        </w:rPr>
        <w:t>一、</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已充分知悉“隐瞒真实情况，提供虚假资料”的法定情形，包括但不限于：</w:t>
      </w:r>
    </w:p>
    <w:p w14:paraId="7228650E">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（一）通过转让或者租借等方式从其他单位获取资格或者资质证书投标的。</w:t>
      </w:r>
    </w:p>
    <w:p w14:paraId="17D34ED0">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（二）由其他单位或者其他单位负责人在投标供应商编制的投标文件上加盖印章或者签字的。</w:t>
      </w:r>
    </w:p>
    <w:p w14:paraId="69668DEE">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（三）项目负责人或者主要技术人员不是本单位人员的。</w:t>
      </w:r>
    </w:p>
    <w:p w14:paraId="598519CE">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（四）投标保证金不是从投标供应商基本账户转出的。</w:t>
      </w:r>
    </w:p>
    <w:p w14:paraId="1F469B7D">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（五）其他隐瞒真实情况、提供虚假资料的行为。</w:t>
      </w:r>
    </w:p>
    <w:p w14:paraId="357F0084">
      <w:pPr>
        <w:spacing w:beforeLines="0" w:line="380" w:lineRule="exact"/>
        <w:ind w:firstLine="422" w:firstLineChars="200"/>
        <w:outlineLvl w:val="1"/>
        <w:rPr>
          <w:rFonts w:hint="eastAsia" w:ascii="宋体" w:hAnsi="宋体" w:eastAsia="宋体" w:cs="宋体"/>
          <w:b/>
          <w:color w:val="auto"/>
          <w:highlight w:val="none"/>
        </w:rPr>
      </w:pPr>
      <w:r>
        <w:rPr>
          <w:rFonts w:hint="eastAsia" w:ascii="宋体" w:hAnsi="宋体" w:eastAsia="宋体" w:cs="宋体"/>
          <w:b/>
          <w:color w:val="auto"/>
          <w:highlight w:val="none"/>
        </w:rPr>
        <w:t>二、</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已充分知悉“与其他采购参加人串通投标”的法定情形，包括但不限于：</w:t>
      </w:r>
    </w:p>
    <w:p w14:paraId="49D8EFC2">
      <w:pPr>
        <w:spacing w:beforeLines="0" w:line="38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（一）投标供应商之间相互约定给予未中标的供应商利益补偿。</w:t>
      </w:r>
    </w:p>
    <w:p w14:paraId="21A233C2">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（二）不同投标供应商的法定代表人、主要经营负责人、项目投标授权代表人、项目负责人、主要技术人员为同一人、属同一单位或者在同一单位缴纳社会保险。</w:t>
      </w:r>
    </w:p>
    <w:p w14:paraId="7818E9A2">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（三）不同投标供应商的投标文件由同一单位或者同一人编制，或者由同一人分阶段参与编制的。</w:t>
      </w:r>
    </w:p>
    <w:p w14:paraId="0786DCD3">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（四）不同投标供应商的投标文件或部分投标文件相互混装。</w:t>
      </w:r>
    </w:p>
    <w:p w14:paraId="7BDDC56B">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（五）不同投标供应商的投标文件内容存在非正常一致。</w:t>
      </w:r>
    </w:p>
    <w:p w14:paraId="3213BA6B">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（六）由同一单位工作人员为两家以上（含两家）供应商进行同一项投标活动的。</w:t>
      </w:r>
    </w:p>
    <w:p w14:paraId="2D578AD8">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（七）不同投标人的投标报价呈规律性差异。</w:t>
      </w:r>
    </w:p>
    <w:p w14:paraId="1B067A2A">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（八）不同投标人的投标保证金从同一单位或者个人的账户转出。</w:t>
      </w:r>
    </w:p>
    <w:p w14:paraId="38137543">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（九）主管部门依照法律、法规认定的其他情形。</w:t>
      </w:r>
    </w:p>
    <w:p w14:paraId="30797EF1">
      <w:pPr>
        <w:spacing w:beforeLines="0" w:line="340" w:lineRule="exact"/>
        <w:ind w:firstLine="422" w:firstLineChars="200"/>
        <w:outlineLvl w:val="1"/>
        <w:rPr>
          <w:rFonts w:hint="eastAsia" w:ascii="宋体" w:hAnsi="宋体" w:eastAsia="宋体" w:cs="宋体"/>
          <w:b/>
          <w:color w:val="auto"/>
          <w:highlight w:val="none"/>
        </w:rPr>
      </w:pPr>
      <w:r>
        <w:rPr>
          <w:rFonts w:hint="eastAsia" w:ascii="宋体" w:hAnsi="宋体" w:eastAsia="宋体" w:cs="宋体"/>
          <w:b/>
          <w:color w:val="auto"/>
          <w:highlight w:val="none"/>
        </w:rPr>
        <w:t>三、</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已充分知悉下列情形</w:t>
      </w:r>
      <w:r>
        <w:rPr>
          <w:rFonts w:hint="eastAsia" w:ascii="宋体" w:hAnsi="宋体" w:eastAsia="宋体" w:cs="宋体"/>
          <w:b/>
          <w:color w:val="auto"/>
          <w:highlight w:val="none"/>
          <w:lang w:eastAsia="zh-CN"/>
        </w:rPr>
        <w:t>存在</w:t>
      </w:r>
      <w:r>
        <w:rPr>
          <w:rFonts w:hint="eastAsia" w:ascii="宋体" w:hAnsi="宋体" w:eastAsia="宋体" w:cs="宋体"/>
          <w:b/>
          <w:color w:val="auto"/>
          <w:highlight w:val="none"/>
        </w:rPr>
        <w:t>法律风险，在投标前已对相关风险事项进行排查。</w:t>
      </w:r>
    </w:p>
    <w:p w14:paraId="0E381613">
      <w:pPr>
        <w:spacing w:beforeLines="0" w:line="340" w:lineRule="exact"/>
        <w:ind w:firstLine="420" w:firstLineChars="200"/>
        <w:rPr>
          <w:rFonts w:hint="eastAsia" w:ascii="宋体" w:hAnsi="宋体" w:eastAsia="宋体" w:cs="宋体"/>
          <w:b/>
          <w:color w:val="auto"/>
          <w:highlight w:val="none"/>
        </w:rPr>
      </w:pPr>
      <w:r>
        <w:rPr>
          <w:rFonts w:hint="eastAsia" w:ascii="宋体" w:hAnsi="宋体" w:eastAsia="宋体" w:cs="宋体"/>
          <w:color w:val="auto"/>
          <w:highlight w:val="none"/>
        </w:rPr>
        <w:t>（一）对于从其他主体获取的投标资料，</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应审慎核查，确保</w:t>
      </w:r>
      <w:r>
        <w:rPr>
          <w:rFonts w:hint="eastAsia" w:ascii="宋体" w:hAnsi="宋体" w:eastAsia="宋体" w:cs="宋体"/>
          <w:color w:val="auto"/>
          <w:highlight w:val="none"/>
          <w:lang w:eastAsia="zh-CN"/>
        </w:rPr>
        <w:t>其</w:t>
      </w:r>
      <w:r>
        <w:rPr>
          <w:rFonts w:hint="eastAsia" w:ascii="宋体" w:hAnsi="宋体" w:eastAsia="宋体" w:cs="宋体"/>
          <w:color w:val="auto"/>
          <w:highlight w:val="none"/>
        </w:rPr>
        <w:t>真实性。</w:t>
      </w:r>
      <w:r>
        <w:rPr>
          <w:rFonts w:hint="eastAsia" w:ascii="宋体" w:hAnsi="宋体" w:eastAsia="宋体" w:cs="宋体"/>
          <w:b/>
          <w:color w:val="auto"/>
          <w:highlight w:val="none"/>
        </w:rPr>
        <w:t>如主管部门查实投标文件中存在虚假资料的，无论相关资料是否由第三方或本公司员工提供，均不影响主管部门对供应商存在“隐瞒真实情况，提供虚假资料”违法行为的认定。</w:t>
      </w:r>
    </w:p>
    <w:p w14:paraId="09BD4587">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（二）对于涉及国家机关出具的公文、证件、证明材料等文件，一旦涉嫌虚假，经查实，主管部门将依法从严处理，并移送有关部门追究法律责任；涉嫌犯罪的，移送司法机关</w:t>
      </w:r>
      <w:r>
        <w:rPr>
          <w:rFonts w:hint="eastAsia" w:ascii="宋体" w:hAnsi="宋体" w:eastAsia="宋体" w:cs="宋体"/>
          <w:color w:val="auto"/>
          <w:highlight w:val="none"/>
          <w:lang w:eastAsia="zh-CN"/>
        </w:rPr>
        <w:t>处理</w:t>
      </w:r>
      <w:r>
        <w:rPr>
          <w:rFonts w:hint="eastAsia" w:ascii="宋体" w:hAnsi="宋体" w:eastAsia="宋体" w:cs="宋体"/>
          <w:color w:val="auto"/>
          <w:highlight w:val="none"/>
        </w:rPr>
        <w:t>。</w:t>
      </w:r>
    </w:p>
    <w:p w14:paraId="419A2B43">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eastAsia="zh-CN"/>
        </w:rPr>
        <w:t>三</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对投标电子密钥</w:t>
      </w:r>
      <w:r>
        <w:rPr>
          <w:rFonts w:hint="eastAsia" w:ascii="宋体" w:hAnsi="宋体" w:eastAsia="宋体" w:cs="宋体"/>
          <w:color w:val="auto"/>
          <w:highlight w:val="none"/>
          <w:lang w:eastAsia="zh-CN"/>
        </w:rPr>
        <w:t>或</w:t>
      </w:r>
      <w:r>
        <w:rPr>
          <w:rFonts w:hint="eastAsia" w:ascii="宋体" w:hAnsi="宋体" w:eastAsia="宋体" w:cs="宋体"/>
          <w:color w:val="auto"/>
          <w:highlight w:val="none"/>
          <w:lang w:val="en-US" w:eastAsia="zh-CN"/>
        </w:rPr>
        <w:t>电子营业执照</w:t>
      </w:r>
      <w:r>
        <w:rPr>
          <w:rFonts w:hint="eastAsia" w:ascii="宋体" w:hAnsi="宋体" w:eastAsia="宋体" w:cs="宋体"/>
          <w:color w:val="auto"/>
          <w:highlight w:val="none"/>
        </w:rPr>
        <w:t>负有妥善保管、及时变更和续期等主体责任</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使用电子密钥</w:t>
      </w:r>
      <w:r>
        <w:rPr>
          <w:rFonts w:hint="eastAsia" w:ascii="宋体" w:hAnsi="宋体" w:eastAsia="宋体" w:cs="宋体"/>
          <w:color w:val="auto"/>
          <w:highlight w:val="none"/>
          <w:lang w:eastAsia="zh-CN"/>
        </w:rPr>
        <w:t>或</w:t>
      </w:r>
      <w:r>
        <w:rPr>
          <w:rFonts w:hint="eastAsia" w:ascii="宋体" w:hAnsi="宋体" w:eastAsia="宋体" w:cs="宋体"/>
          <w:color w:val="auto"/>
          <w:highlight w:val="none"/>
          <w:lang w:val="en-US" w:eastAsia="zh-CN"/>
        </w:rPr>
        <w:t>电子营业执照</w:t>
      </w:r>
      <w:r>
        <w:rPr>
          <w:rFonts w:hint="eastAsia" w:ascii="宋体" w:hAnsi="宋体" w:eastAsia="宋体" w:cs="宋体"/>
          <w:color w:val="auto"/>
          <w:highlight w:val="none"/>
        </w:rPr>
        <w:t>在深圳政府采购网站进行的活动，均具有法律效力，须承担相应的法律后果。</w:t>
      </w:r>
      <w:r>
        <w:rPr>
          <w:rFonts w:hint="eastAsia" w:ascii="宋体" w:hAnsi="宋体" w:eastAsia="宋体" w:cs="宋体"/>
          <w:color w:val="auto"/>
          <w:highlight w:val="none"/>
          <w:lang w:eastAsia="zh-CN"/>
        </w:rPr>
        <w:t>若</w:t>
      </w:r>
      <w:r>
        <w:rPr>
          <w:rFonts w:hint="eastAsia" w:ascii="宋体" w:hAnsi="宋体" w:eastAsia="宋体" w:cs="宋体"/>
          <w:b/>
          <w:bCs/>
          <w:color w:val="auto"/>
          <w:highlight w:val="none"/>
        </w:rPr>
        <w:t>擅自将投标密钥</w:t>
      </w:r>
      <w:r>
        <w:rPr>
          <w:rFonts w:hint="eastAsia" w:ascii="宋体" w:hAnsi="宋体" w:eastAsia="宋体" w:cs="宋体"/>
          <w:b/>
          <w:bCs/>
          <w:color w:val="auto"/>
          <w:highlight w:val="none"/>
          <w:lang w:eastAsia="zh-CN"/>
        </w:rPr>
        <w:t>或</w:t>
      </w:r>
      <w:r>
        <w:rPr>
          <w:rFonts w:hint="eastAsia" w:ascii="宋体" w:hAnsi="宋体" w:eastAsia="宋体" w:cs="宋体"/>
          <w:b/>
          <w:bCs/>
          <w:color w:val="auto"/>
          <w:highlight w:val="none"/>
          <w:lang w:val="en-US" w:eastAsia="zh-CN"/>
        </w:rPr>
        <w:t>电子营业执照</w:t>
      </w:r>
      <w:r>
        <w:rPr>
          <w:rFonts w:hint="eastAsia" w:ascii="宋体" w:hAnsi="宋体" w:eastAsia="宋体" w:cs="宋体"/>
          <w:b/>
          <w:bCs/>
          <w:color w:val="auto"/>
          <w:highlight w:val="none"/>
        </w:rPr>
        <w:t>出借他人使用所造成的法律后果，由</w:t>
      </w:r>
      <w:r>
        <w:rPr>
          <w:rFonts w:hint="eastAsia" w:ascii="宋体" w:hAnsi="宋体" w:eastAsia="宋体" w:cs="宋体"/>
          <w:b/>
          <w:bCs/>
          <w:color w:val="auto"/>
          <w:highlight w:val="none"/>
          <w:lang w:eastAsia="zh-CN"/>
        </w:rPr>
        <w:t>我</w:t>
      </w:r>
      <w:r>
        <w:rPr>
          <w:rFonts w:hint="eastAsia" w:ascii="宋体" w:hAnsi="宋体" w:eastAsia="宋体" w:cs="宋体"/>
          <w:b/>
          <w:bCs/>
          <w:color w:val="auto"/>
          <w:highlight w:val="none"/>
          <w:lang w:val="en-US" w:eastAsia="zh-CN"/>
        </w:rPr>
        <w:t>单位</w:t>
      </w:r>
      <w:r>
        <w:rPr>
          <w:rFonts w:hint="eastAsia" w:ascii="宋体" w:hAnsi="宋体" w:eastAsia="宋体" w:cs="宋体"/>
          <w:b/>
          <w:bCs/>
          <w:color w:val="auto"/>
          <w:highlight w:val="none"/>
        </w:rPr>
        <w:t>自行承担</w:t>
      </w:r>
      <w:r>
        <w:rPr>
          <w:rFonts w:hint="eastAsia" w:ascii="宋体" w:hAnsi="宋体" w:eastAsia="宋体" w:cs="宋体"/>
          <w:color w:val="auto"/>
          <w:highlight w:val="none"/>
        </w:rPr>
        <w:t>。</w:t>
      </w:r>
    </w:p>
    <w:p w14:paraId="7A943B34">
      <w:pPr>
        <w:spacing w:beforeLines="0" w:line="340" w:lineRule="exact"/>
        <w:ind w:firstLine="422" w:firstLineChars="200"/>
        <w:outlineLvl w:val="1"/>
        <w:rPr>
          <w:rFonts w:hint="eastAsia" w:ascii="宋体" w:hAnsi="宋体" w:eastAsia="宋体" w:cs="宋体"/>
          <w:b/>
          <w:color w:val="auto"/>
          <w:highlight w:val="none"/>
        </w:rPr>
      </w:pPr>
      <w:r>
        <w:rPr>
          <w:rFonts w:hint="eastAsia" w:ascii="宋体" w:hAnsi="宋体" w:eastAsia="宋体" w:cs="宋体"/>
          <w:b/>
          <w:color w:val="auto"/>
          <w:highlight w:val="none"/>
        </w:rPr>
        <w:t>四、</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已充分知悉政府采购违法、违规行为的法律后果。</w:t>
      </w:r>
    </w:p>
    <w:p w14:paraId="6B9D35C5">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经查实，若</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14:paraId="43606CC4">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以下文字请投标供应商抄写并确认：“</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已仔细阅读《政府采购违法行为风险知悉确认书》，充分知悉违法行为的法律后果，并承诺将严谨、诚信、依法依规参与政府采购活动”。</w:t>
      </w:r>
    </w:p>
    <w:tbl>
      <w:tblPr>
        <w:tblStyle w:val="37"/>
        <w:tblW w:w="8529" w:type="dxa"/>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5059F224">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jc w:val="center"/>
        </w:trPr>
        <w:tc>
          <w:tcPr>
            <w:tcW w:w="8529" w:type="dxa"/>
            <w:tcBorders>
              <w:top w:val="nil"/>
              <w:left w:val="nil"/>
              <w:bottom w:val="single" w:color="000000" w:sz="8" w:space="0"/>
              <w:right w:val="nil"/>
            </w:tcBorders>
            <w:noWrap w:val="0"/>
            <w:vAlign w:val="top"/>
          </w:tcPr>
          <w:p w14:paraId="51BCFE1D">
            <w:pPr>
              <w:keepNext w:val="0"/>
              <w:keepLines w:val="0"/>
              <w:suppressLineNumbers w:val="0"/>
              <w:autoSpaceDE w:val="0"/>
              <w:autoSpaceDN w:val="0"/>
              <w:spacing w:before="0" w:beforeLines="0" w:beforeAutospacing="0" w:after="0" w:afterAutospacing="0" w:line="340" w:lineRule="exact"/>
              <w:ind w:left="0" w:right="0" w:firstLine="1866"/>
              <w:jc w:val="both"/>
              <w:rPr>
                <w:rFonts w:hint="eastAsia" w:ascii="宋体" w:hAnsi="宋体" w:eastAsia="宋体" w:cs="宋体"/>
                <w:color w:val="auto"/>
                <w:spacing w:val="-4"/>
                <w:kern w:val="0"/>
                <w:szCs w:val="21"/>
                <w:highlight w:val="none"/>
              </w:rPr>
            </w:pPr>
          </w:p>
        </w:tc>
      </w:tr>
      <w:tr w14:paraId="1583ECA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000000" w:sz="8" w:space="0"/>
              <w:right w:val="nil"/>
            </w:tcBorders>
            <w:noWrap w:val="0"/>
            <w:vAlign w:val="top"/>
          </w:tcPr>
          <w:p w14:paraId="16EF46E3">
            <w:pPr>
              <w:keepNext w:val="0"/>
              <w:keepLines w:val="0"/>
              <w:suppressLineNumbers w:val="0"/>
              <w:autoSpaceDE w:val="0"/>
              <w:autoSpaceDN w:val="0"/>
              <w:spacing w:before="0" w:beforeLines="0" w:beforeAutospacing="0" w:after="0" w:afterAutospacing="0" w:line="340" w:lineRule="exact"/>
              <w:ind w:left="0" w:right="0" w:firstLine="1866"/>
              <w:jc w:val="both"/>
              <w:rPr>
                <w:rFonts w:hint="eastAsia" w:ascii="宋体" w:hAnsi="宋体" w:eastAsia="宋体" w:cs="宋体"/>
                <w:color w:val="auto"/>
                <w:spacing w:val="-4"/>
                <w:kern w:val="0"/>
                <w:szCs w:val="21"/>
                <w:highlight w:val="none"/>
              </w:rPr>
            </w:pPr>
          </w:p>
        </w:tc>
      </w:tr>
      <w:tr w14:paraId="39A2AE3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000000" w:sz="8" w:space="0"/>
              <w:right w:val="nil"/>
            </w:tcBorders>
            <w:noWrap w:val="0"/>
            <w:vAlign w:val="top"/>
          </w:tcPr>
          <w:p w14:paraId="662C21C4">
            <w:pPr>
              <w:keepNext w:val="0"/>
              <w:keepLines w:val="0"/>
              <w:suppressLineNumbers w:val="0"/>
              <w:autoSpaceDE w:val="0"/>
              <w:autoSpaceDN w:val="0"/>
              <w:spacing w:before="0" w:beforeLines="0" w:beforeAutospacing="0" w:after="0" w:afterAutospacing="0" w:line="340" w:lineRule="exact"/>
              <w:ind w:left="0" w:right="0" w:firstLine="1866"/>
              <w:jc w:val="both"/>
              <w:rPr>
                <w:rFonts w:hint="eastAsia" w:ascii="宋体" w:hAnsi="宋体" w:eastAsia="宋体" w:cs="宋体"/>
                <w:color w:val="auto"/>
                <w:spacing w:val="-4"/>
                <w:kern w:val="0"/>
                <w:szCs w:val="21"/>
                <w:highlight w:val="none"/>
              </w:rPr>
            </w:pPr>
          </w:p>
        </w:tc>
      </w:tr>
      <w:tr w14:paraId="50033A5F">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auto" w:sz="8" w:space="0"/>
              <w:right w:val="nil"/>
            </w:tcBorders>
            <w:noWrap w:val="0"/>
            <w:vAlign w:val="top"/>
          </w:tcPr>
          <w:p w14:paraId="63B196E4">
            <w:pPr>
              <w:keepNext w:val="0"/>
              <w:keepLines w:val="0"/>
              <w:suppressLineNumbers w:val="0"/>
              <w:autoSpaceDE w:val="0"/>
              <w:autoSpaceDN w:val="0"/>
              <w:spacing w:before="0" w:beforeLines="0" w:beforeAutospacing="0" w:after="0" w:afterAutospacing="0" w:line="340" w:lineRule="exact"/>
              <w:ind w:left="0" w:right="0" w:firstLine="1866"/>
              <w:jc w:val="both"/>
              <w:rPr>
                <w:rFonts w:hint="eastAsia" w:ascii="宋体" w:hAnsi="宋体" w:eastAsia="宋体" w:cs="宋体"/>
                <w:color w:val="auto"/>
                <w:spacing w:val="-4"/>
                <w:kern w:val="0"/>
                <w:szCs w:val="21"/>
                <w:highlight w:val="none"/>
              </w:rPr>
            </w:pPr>
          </w:p>
        </w:tc>
      </w:tr>
    </w:tbl>
    <w:p w14:paraId="3C2B44B7">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highlight w:val="none"/>
        </w:rPr>
      </w:pPr>
    </w:p>
    <w:p w14:paraId="01B014E9">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lang w:eastAsia="zh-CN"/>
        </w:rPr>
        <w:t>单位</w:t>
      </w:r>
      <w:r>
        <w:rPr>
          <w:rFonts w:hint="eastAsia" w:ascii="宋体" w:hAnsi="宋体" w:eastAsia="宋体" w:cs="宋体"/>
          <w:color w:val="auto"/>
          <w:spacing w:val="-4"/>
          <w:kern w:val="0"/>
          <w:szCs w:val="21"/>
          <w:highlight w:val="none"/>
        </w:rPr>
        <w:t>负责人签名：</w:t>
      </w:r>
      <w:r>
        <w:rPr>
          <w:rFonts w:hint="eastAsia" w:ascii="宋体" w:hAnsi="宋体" w:eastAsia="宋体" w:cs="宋体"/>
          <w:color w:val="auto"/>
          <w:spacing w:val="-4"/>
          <w:kern w:val="0"/>
          <w:szCs w:val="21"/>
          <w:highlight w:val="none"/>
          <w:u w:val="single"/>
        </w:rPr>
        <w:t xml:space="preserve">              </w:t>
      </w:r>
    </w:p>
    <w:p w14:paraId="6E788663">
      <w:pPr>
        <w:widowControl/>
        <w:wordWrap w:val="0"/>
        <w:autoSpaceDE w:val="0"/>
        <w:autoSpaceDN w:val="0"/>
        <w:spacing w:beforeLines="0" w:line="340" w:lineRule="exact"/>
        <w:ind w:right="808" w:firstLine="404" w:firstLineChars="200"/>
        <w:jc w:val="center"/>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lang w:val="en-US" w:eastAsia="zh-CN"/>
        </w:rPr>
        <w:t xml:space="preserve">                                 </w:t>
      </w:r>
      <w:r>
        <w:rPr>
          <w:rFonts w:hint="eastAsia" w:ascii="宋体" w:hAnsi="宋体" w:eastAsia="宋体" w:cs="宋体"/>
          <w:color w:val="auto"/>
          <w:spacing w:val="-4"/>
          <w:kern w:val="0"/>
          <w:szCs w:val="21"/>
          <w:highlight w:val="none"/>
          <w:lang w:eastAsia="zh-CN"/>
        </w:rPr>
        <w:t>（加盖</w:t>
      </w:r>
      <w:r>
        <w:rPr>
          <w:rFonts w:hint="eastAsia" w:ascii="宋体" w:hAnsi="宋体" w:eastAsia="宋体" w:cs="宋体"/>
          <w:color w:val="auto"/>
          <w:spacing w:val="-4"/>
          <w:kern w:val="0"/>
          <w:szCs w:val="21"/>
          <w:highlight w:val="none"/>
        </w:rPr>
        <w:t>公章</w:t>
      </w:r>
      <w:r>
        <w:rPr>
          <w:rFonts w:hint="eastAsia" w:ascii="宋体" w:hAnsi="宋体" w:eastAsia="宋体" w:cs="宋体"/>
          <w:color w:val="auto"/>
          <w:spacing w:val="-4"/>
          <w:kern w:val="0"/>
          <w:szCs w:val="21"/>
          <w:highlight w:val="none"/>
          <w:lang w:eastAsia="zh-CN"/>
        </w:rPr>
        <w:t>）</w:t>
      </w:r>
    </w:p>
    <w:p w14:paraId="1301C0DE">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rPr>
        <w:t xml:space="preserve">     日期：</w:t>
      </w:r>
      <w:r>
        <w:rPr>
          <w:rFonts w:hint="eastAsia" w:ascii="宋体" w:hAnsi="宋体" w:eastAsia="宋体" w:cs="宋体"/>
          <w:color w:val="auto"/>
          <w:spacing w:val="-4"/>
          <w:kern w:val="0"/>
          <w:szCs w:val="21"/>
          <w:highlight w:val="none"/>
          <w:u w:val="single"/>
        </w:rPr>
        <w:t xml:space="preserve">              </w:t>
      </w:r>
    </w:p>
    <w:p w14:paraId="3DDFD0BC">
      <w:pPr>
        <w:widowControl/>
        <w:autoSpaceDE w:val="0"/>
        <w:autoSpaceDN w:val="0"/>
        <w:spacing w:beforeLines="0" w:line="340" w:lineRule="exact"/>
        <w:ind w:firstLine="406" w:firstLineChars="200"/>
        <w:jc w:val="left"/>
        <w:rPr>
          <w:rFonts w:hint="eastAsia" w:ascii="宋体" w:hAnsi="宋体" w:eastAsia="宋体" w:cs="宋体"/>
          <w:b/>
          <w:bCs/>
          <w:color w:val="auto"/>
          <w:spacing w:val="-4"/>
          <w:kern w:val="0"/>
          <w:szCs w:val="21"/>
          <w:highlight w:val="none"/>
        </w:rPr>
      </w:pPr>
    </w:p>
    <w:p w14:paraId="6BA3BBB0">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29A78199">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7F5C7DD1">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06E1805">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C06AD5B">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B1E7BB1">
      <w:pPr>
        <w:pStyle w:val="3"/>
        <w:numPr>
          <w:ilvl w:val="0"/>
          <w:numId w:val="0"/>
        </w:numPr>
        <w:spacing w:line="240" w:lineRule="auto"/>
        <w:jc w:val="both"/>
        <w:outlineLvl w:val="9"/>
        <w:rPr>
          <w:rFonts w:hint="eastAsia" w:cs="宋体" w:asciiTheme="majorEastAsia" w:hAnsiTheme="majorEastAsia" w:eastAsiaTheme="majorEastAsia"/>
          <w:kern w:val="2"/>
          <w:sz w:val="30"/>
          <w:szCs w:val="30"/>
          <w:lang w:val="en-US" w:eastAsia="zh-CN" w:bidi="ar-SA"/>
        </w:rPr>
      </w:pPr>
    </w:p>
    <w:p w14:paraId="62FCFEB3">
      <w:pPr>
        <w:pStyle w:val="3"/>
        <w:numPr>
          <w:ilvl w:val="0"/>
          <w:numId w:val="0"/>
        </w:numPr>
        <w:spacing w:line="240" w:lineRule="auto"/>
        <w:ind w:left="0" w:leftChars="0" w:firstLine="0" w:firstLineChars="0"/>
        <w:jc w:val="center"/>
        <w:outlineLvl w:val="0"/>
        <w:rPr>
          <w:rFonts w:asciiTheme="majorEastAsia" w:hAnsiTheme="majorEastAsia" w:eastAsiaTheme="majorEastAsia"/>
          <w:sz w:val="30"/>
          <w:szCs w:val="30"/>
        </w:rPr>
      </w:pPr>
      <w:bookmarkStart w:id="77" w:name="_Toc21376"/>
      <w:r>
        <w:rPr>
          <w:rFonts w:hint="eastAsia" w:cs="宋体" w:asciiTheme="majorEastAsia" w:hAnsiTheme="majorEastAsia" w:eastAsiaTheme="majorEastAsia"/>
          <w:kern w:val="2"/>
          <w:sz w:val="30"/>
          <w:szCs w:val="30"/>
          <w:lang w:val="en-US" w:eastAsia="zh-CN" w:bidi="ar-SA"/>
        </w:rPr>
        <w:t>（十五）</w:t>
      </w:r>
      <w:r>
        <w:rPr>
          <w:rFonts w:hint="eastAsia" w:asciiTheme="majorEastAsia" w:hAnsiTheme="majorEastAsia" w:eastAsiaTheme="majorEastAsia"/>
          <w:sz w:val="30"/>
          <w:szCs w:val="30"/>
        </w:rPr>
        <w:t>法定代表人授权委托书</w:t>
      </w:r>
      <w:bookmarkEnd w:id="63"/>
      <w:bookmarkEnd w:id="64"/>
      <w:bookmarkEnd w:id="65"/>
      <w:bookmarkEnd w:id="66"/>
      <w:bookmarkEnd w:id="67"/>
      <w:bookmarkEnd w:id="68"/>
      <w:bookmarkEnd w:id="69"/>
      <w:bookmarkEnd w:id="70"/>
      <w:bookmarkEnd w:id="71"/>
      <w:bookmarkEnd w:id="77"/>
    </w:p>
    <w:p w14:paraId="232C51C3">
      <w:pPr>
        <w:pStyle w:val="10"/>
        <w:spacing w:line="360" w:lineRule="auto"/>
        <w:ind w:firstLine="420" w:firstLineChars="200"/>
      </w:pPr>
      <w:r>
        <w:rPr>
          <w:rFonts w:hint="eastAsia"/>
        </w:rPr>
        <w:t>本授权委托书声明：注册于</w:t>
      </w:r>
      <w:r>
        <w:rPr>
          <w:rFonts w:hint="eastAsia"/>
          <w:u w:val="single"/>
        </w:rPr>
        <w:t xml:space="preserve"> （投标人地址）  </w:t>
      </w:r>
      <w:r>
        <w:rPr>
          <w:rFonts w:hint="eastAsia"/>
        </w:rPr>
        <w:t>的</w:t>
      </w:r>
      <w:r>
        <w:rPr>
          <w:rFonts w:hint="eastAsia"/>
          <w:u w:val="single"/>
        </w:rPr>
        <w:t xml:space="preserve">  （投标人名称）    </w:t>
      </w:r>
      <w:r>
        <w:rPr>
          <w:rFonts w:hint="eastAsia"/>
        </w:rPr>
        <w:t>由</w:t>
      </w:r>
      <w:r>
        <w:rPr>
          <w:rFonts w:hint="eastAsia"/>
          <w:u w:val="single"/>
        </w:rPr>
        <w:t>（法定代表人姓名、职务）</w:t>
      </w:r>
      <w:r>
        <w:rPr>
          <w:rFonts w:hint="eastAsia"/>
        </w:rPr>
        <w:t>在此授权</w:t>
      </w:r>
      <w:r>
        <w:rPr>
          <w:rFonts w:hint="eastAsia"/>
          <w:u w:val="single"/>
        </w:rPr>
        <w:t>（被授权人姓名、职务、联系电话）</w:t>
      </w:r>
      <w:r>
        <w:rPr>
          <w:rFonts w:hint="eastAsia"/>
        </w:rPr>
        <w:t>作为我公司的合法代理人，就</w:t>
      </w:r>
      <w:r>
        <w:rPr>
          <w:rFonts w:hint="eastAsia"/>
          <w:u w:val="single"/>
        </w:rPr>
        <w:t>（项目名称、项目编号</w:t>
      </w:r>
      <w:r>
        <w:rPr>
          <w:rFonts w:hint="eastAsia"/>
        </w:rPr>
        <w:t>）的招投标活动，采购合同的签订、执行、完成和售后服务，作为投标人代表以我方的名义处理一切与之有关的事务。</w:t>
      </w:r>
    </w:p>
    <w:p w14:paraId="25C88E70">
      <w:pPr>
        <w:pStyle w:val="10"/>
        <w:spacing w:line="360" w:lineRule="auto"/>
        <w:ind w:firstLine="420" w:firstLineChars="200"/>
      </w:pPr>
      <w:r>
        <w:rPr>
          <w:rFonts w:hint="eastAsia"/>
        </w:rPr>
        <w:t>被授权人（投标人授权代表）无转委托权限。</w:t>
      </w:r>
    </w:p>
    <w:p w14:paraId="6EBC4722">
      <w:pPr>
        <w:spacing w:line="360" w:lineRule="auto"/>
        <w:ind w:firstLine="420" w:firstLineChars="200"/>
        <w:rPr>
          <w:rFonts w:ascii="宋体"/>
        </w:rPr>
      </w:pPr>
      <w:r>
        <w:rPr>
          <w:rFonts w:hint="eastAsia" w:ascii="宋体"/>
        </w:rPr>
        <w:t>本授权书自盖章之日起生效，特此声明。</w:t>
      </w:r>
    </w:p>
    <w:p w14:paraId="065678EB">
      <w:pPr>
        <w:spacing w:line="360" w:lineRule="auto"/>
        <w:rPr>
          <w:rFonts w:ascii="宋体"/>
          <w:b/>
        </w:rPr>
      </w:pPr>
      <w:r>
        <w:rPr>
          <w:rFonts w:hint="eastAsia" w:ascii="宋体"/>
          <w:b/>
        </w:rPr>
        <w:t>随附《法定代表人证明书》</w:t>
      </w:r>
    </w:p>
    <w:p w14:paraId="215C7755">
      <w:pPr>
        <w:spacing w:line="360" w:lineRule="auto"/>
        <w:rPr>
          <w:rFonts w:ascii="宋体"/>
        </w:rPr>
      </w:pPr>
    </w:p>
    <w:p w14:paraId="74EAEBC6">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r>
        <w:rPr>
          <w:rFonts w:hint="eastAsia"/>
          <w:b/>
          <w:sz w:val="24"/>
        </w:rPr>
        <w:t>（此处加盖投标人单位公章）</w:t>
      </w:r>
    </w:p>
    <w:p w14:paraId="2AEA9980">
      <w:pPr>
        <w:spacing w:line="360" w:lineRule="auto"/>
        <w:rPr>
          <w:rFonts w:ascii="宋体" w:hAnsi="宋体"/>
          <w:b/>
          <w:bCs/>
          <w:sz w:val="24"/>
        </w:rPr>
      </w:pPr>
    </w:p>
    <w:p w14:paraId="28B3133D">
      <w:pPr>
        <w:spacing w:line="360" w:lineRule="auto"/>
        <w:outlineLvl w:val="9"/>
        <w:rPr>
          <w:rFonts w:ascii="宋体" w:hAnsi="宋体"/>
          <w:b/>
          <w:bCs/>
          <w:sz w:val="24"/>
          <w:u w:val="single"/>
        </w:rPr>
      </w:pPr>
      <w:r>
        <w:rPr>
          <w:rFonts w:hint="eastAsia" w:ascii="宋体" w:hAnsi="宋体"/>
          <w:b/>
          <w:bCs/>
          <w:sz w:val="24"/>
        </w:rPr>
        <w:t>法定代表人：</w:t>
      </w:r>
      <w:r>
        <w:rPr>
          <w:rFonts w:hint="eastAsia" w:ascii="宋体" w:hAnsi="宋体"/>
          <w:b/>
          <w:bCs/>
          <w:sz w:val="24"/>
          <w:u w:val="single"/>
        </w:rPr>
        <w:t xml:space="preserve"> </w:t>
      </w:r>
      <w:r>
        <w:rPr>
          <w:rFonts w:ascii="宋体" w:hAnsi="宋体"/>
          <w:b/>
          <w:bCs/>
          <w:sz w:val="24"/>
          <w:u w:val="single"/>
        </w:rPr>
        <w:t xml:space="preserve">               </w:t>
      </w:r>
      <w:r>
        <w:rPr>
          <w:rFonts w:hint="eastAsia" w:ascii="宋体" w:hAnsi="宋体"/>
          <w:b/>
          <w:bCs/>
          <w:sz w:val="24"/>
        </w:rPr>
        <w:t>（签字或盖法人章）</w:t>
      </w:r>
    </w:p>
    <w:p w14:paraId="3E70759A">
      <w:pPr>
        <w:spacing w:line="360" w:lineRule="auto"/>
        <w:rPr>
          <w:rFonts w:ascii="宋体" w:hAnsi="宋体"/>
          <w:b/>
          <w:bCs/>
          <w:sz w:val="24"/>
        </w:rPr>
      </w:pPr>
    </w:p>
    <w:p w14:paraId="2B182CAD">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5ED0D45E">
      <w:pPr>
        <w:spacing w:line="360" w:lineRule="auto"/>
        <w:rPr>
          <w:sz w:val="24"/>
        </w:rPr>
      </w:pPr>
    </w:p>
    <w:p w14:paraId="1F81D656">
      <w:pPr>
        <w:tabs>
          <w:tab w:val="left" w:pos="3780"/>
        </w:tabs>
        <w:spacing w:line="360" w:lineRule="auto"/>
        <w:rPr>
          <w:rFonts w:ascii="宋体" w:hAnsi="宋体"/>
          <w:b/>
          <w:bCs/>
          <w:sz w:val="24"/>
        </w:rPr>
      </w:pPr>
    </w:p>
    <w:p w14:paraId="392B2581">
      <w:pPr>
        <w:tabs>
          <w:tab w:val="left" w:pos="3780"/>
        </w:tabs>
        <w:spacing w:line="360" w:lineRule="auto"/>
        <w:rPr>
          <w:rFonts w:ascii="宋体" w:hAnsi="宋体"/>
          <w:b/>
          <w:bCs/>
          <w:sz w:val="24"/>
        </w:rPr>
      </w:pPr>
      <w:r>
        <w:rPr>
          <w:rFonts w:hint="eastAsia" w:ascii="宋体" w:hAnsi="宋体"/>
          <w:b/>
          <w:bCs/>
          <w:sz w:val="24"/>
        </w:rPr>
        <w:t>提供被授权人（授权代表）居民身份证（正反面）复印件：</w:t>
      </w:r>
    </w:p>
    <w:p w14:paraId="501B6EE5">
      <w:pPr>
        <w:pStyle w:val="6"/>
        <w:rPr>
          <w:rFonts w:ascii="宋体" w:hAnsi="宋体"/>
          <w:b/>
          <w:bCs/>
          <w:sz w:val="24"/>
        </w:rPr>
      </w:pPr>
    </w:p>
    <w:p w14:paraId="4A32CAAD">
      <w:pPr>
        <w:spacing w:line="360" w:lineRule="auto"/>
        <w:ind w:left="1159" w:leftChars="552" w:firstLine="2261"/>
        <w:rPr>
          <w:rFonts w:ascii="宋体"/>
        </w:rPr>
      </w:pPr>
    </w:p>
    <w:p w14:paraId="1D7F7654">
      <w:pPr>
        <w:rPr>
          <w:rFonts w:hint="eastAsia" w:asciiTheme="majorEastAsia" w:hAnsiTheme="majorEastAsia" w:eastAsiaTheme="majorEastAsia"/>
          <w:sz w:val="30"/>
          <w:szCs w:val="30"/>
        </w:rPr>
      </w:pPr>
      <w:bookmarkStart w:id="78" w:name="_Toc275865608"/>
      <w:bookmarkStart w:id="79" w:name="_Toc14289"/>
      <w:bookmarkStart w:id="80" w:name="_Toc435515300"/>
      <w:bookmarkStart w:id="81" w:name="_Toc435514860"/>
    </w:p>
    <w:p w14:paraId="5C6720B5">
      <w:pPr>
        <w:rPr>
          <w:rFonts w:hint="eastAsia" w:asciiTheme="majorEastAsia" w:hAnsiTheme="majorEastAsia" w:eastAsiaTheme="majorEastAsia"/>
          <w:sz w:val="30"/>
          <w:szCs w:val="30"/>
        </w:rPr>
      </w:pPr>
    </w:p>
    <w:p w14:paraId="087A530D">
      <w:pPr>
        <w:rPr>
          <w:rFonts w:hint="eastAsia" w:asciiTheme="majorEastAsia" w:hAnsiTheme="majorEastAsia" w:eastAsiaTheme="majorEastAsia"/>
          <w:sz w:val="30"/>
          <w:szCs w:val="30"/>
        </w:rPr>
      </w:pPr>
    </w:p>
    <w:p w14:paraId="46D4BB7D">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备注：如参加开标时需另外单独提供法定代表人证明书或者法人代表授权委托书。</w:t>
      </w:r>
    </w:p>
    <w:p w14:paraId="61D0EFB9">
      <w:pPr>
        <w:rPr>
          <w:rFonts w:asciiTheme="majorEastAsia" w:hAnsiTheme="majorEastAsia" w:eastAsiaTheme="majorEastAsia"/>
          <w:sz w:val="30"/>
          <w:szCs w:val="30"/>
        </w:rPr>
      </w:pPr>
      <w:r>
        <w:rPr>
          <w:rFonts w:hint="eastAsia" w:ascii="宋体" w:hAnsi="宋体"/>
          <w:color w:val="auto"/>
          <w:szCs w:val="21"/>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r>
        <w:rPr>
          <w:rFonts w:hint="eastAsia" w:asciiTheme="majorEastAsia" w:hAnsiTheme="majorEastAsia" w:eastAsiaTheme="majorEastAsia"/>
          <w:sz w:val="30"/>
          <w:szCs w:val="30"/>
        </w:rPr>
        <w:br w:type="page"/>
      </w:r>
    </w:p>
    <w:bookmarkEnd w:id="72"/>
    <w:bookmarkEnd w:id="73"/>
    <w:bookmarkEnd w:id="74"/>
    <w:bookmarkEnd w:id="75"/>
    <w:bookmarkEnd w:id="76"/>
    <w:bookmarkEnd w:id="78"/>
    <w:bookmarkEnd w:id="79"/>
    <w:bookmarkEnd w:id="80"/>
    <w:bookmarkEnd w:id="81"/>
    <w:p w14:paraId="0DE7F095">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82" w:name="_Toc23646"/>
      <w:bookmarkStart w:id="83" w:name="_Toc6666"/>
      <w:bookmarkStart w:id="84" w:name="_Toc7067"/>
      <w:r>
        <w:rPr>
          <w:rFonts w:hint="eastAsia" w:cs="宋体" w:asciiTheme="majorEastAsia" w:hAnsiTheme="majorEastAsia" w:eastAsiaTheme="majorEastAsia"/>
          <w:kern w:val="2"/>
          <w:sz w:val="30"/>
          <w:szCs w:val="30"/>
          <w:lang w:val="en-US" w:eastAsia="zh-CN" w:bidi="ar-SA"/>
        </w:rPr>
        <w:t>（十六）</w:t>
      </w:r>
      <w:r>
        <w:rPr>
          <w:rFonts w:hint="eastAsia" w:asciiTheme="majorEastAsia" w:hAnsiTheme="majorEastAsia" w:eastAsiaTheme="majorEastAsia"/>
          <w:sz w:val="30"/>
          <w:szCs w:val="30"/>
        </w:rPr>
        <w:t>提供被授权人（授权代表）的近</w:t>
      </w:r>
      <w:r>
        <w:rPr>
          <w:rFonts w:hint="eastAsia" w:asciiTheme="majorEastAsia" w:hAnsiTheme="majorEastAsia" w:eastAsiaTheme="majorEastAsia"/>
          <w:sz w:val="30"/>
          <w:szCs w:val="30"/>
          <w:lang w:val="en-US" w:eastAsia="zh-CN"/>
        </w:rPr>
        <w:t>一</w:t>
      </w:r>
      <w:r>
        <w:rPr>
          <w:rFonts w:hint="eastAsia" w:asciiTheme="majorEastAsia" w:hAnsiTheme="majorEastAsia" w:eastAsiaTheme="majorEastAsia"/>
          <w:sz w:val="30"/>
          <w:szCs w:val="30"/>
        </w:rPr>
        <w:t>个月社保证明</w:t>
      </w:r>
      <w:bookmarkEnd w:id="82"/>
      <w:bookmarkEnd w:id="83"/>
    </w:p>
    <w:p w14:paraId="183B5364">
      <w:pPr>
        <w:spacing w:line="360" w:lineRule="auto"/>
        <w:ind w:firstLine="422" w:firstLineChars="200"/>
        <w:rPr>
          <w:rFonts w:hint="eastAsia" w:ascii="宋体" w:hAnsi="宋体" w:eastAsia="宋体" w:cs="宋体"/>
          <w:b/>
          <w:bCs w:val="0"/>
          <w:color w:val="auto"/>
          <w:kern w:val="0"/>
          <w:sz w:val="21"/>
          <w:szCs w:val="21"/>
          <w:highlight w:val="none"/>
          <w:lang w:eastAsia="zh-CN"/>
        </w:rPr>
      </w:pPr>
      <w:r>
        <w:rPr>
          <w:rFonts w:hint="eastAsia" w:ascii="宋体" w:hAnsi="宋体" w:eastAsia="宋体" w:cs="宋体"/>
          <w:b/>
          <w:bCs w:val="0"/>
          <w:kern w:val="0"/>
          <w:sz w:val="21"/>
          <w:szCs w:val="21"/>
          <w:highlight w:val="none"/>
          <w:lang w:val="en-US" w:eastAsia="zh-CN"/>
        </w:rPr>
        <w:t>1、</w:t>
      </w:r>
      <w:r>
        <w:rPr>
          <w:rFonts w:hint="eastAsia" w:ascii="宋体" w:hAnsi="宋体" w:eastAsia="宋体" w:cs="宋体"/>
          <w:b/>
          <w:bCs w:val="0"/>
          <w:kern w:val="0"/>
          <w:sz w:val="21"/>
          <w:szCs w:val="21"/>
          <w:highlight w:val="none"/>
        </w:rPr>
        <w:t>须提供被授权人（授权代表）</w:t>
      </w:r>
      <w:r>
        <w:rPr>
          <w:rFonts w:hint="eastAsia" w:ascii="宋体" w:hAnsi="宋体" w:eastAsia="宋体" w:cs="宋体"/>
          <w:b/>
          <w:bCs w:val="0"/>
          <w:kern w:val="0"/>
          <w:sz w:val="21"/>
          <w:szCs w:val="21"/>
          <w:highlight w:val="none"/>
          <w:lang w:val="en-US" w:eastAsia="zh-CN"/>
        </w:rPr>
        <w:t>投标截止前近一个月（由于社保部门原因最近一个月的社保证明无法提供的可往前顺延一个月）的社保证明；如投标人为新成立企</w:t>
      </w:r>
      <w:r>
        <w:rPr>
          <w:rFonts w:hint="eastAsia" w:ascii="宋体" w:hAnsi="宋体" w:eastAsia="宋体" w:cs="宋体"/>
          <w:b/>
          <w:bCs w:val="0"/>
          <w:color w:val="auto"/>
          <w:kern w:val="0"/>
          <w:sz w:val="21"/>
          <w:szCs w:val="21"/>
          <w:highlight w:val="none"/>
          <w:lang w:val="en-US" w:eastAsia="zh-CN"/>
        </w:rPr>
        <w:t>业且成立时间不足一个月可提供加盖公章的情况说明或者证明材料亦视为符合（格式自拟）</w:t>
      </w:r>
      <w:r>
        <w:rPr>
          <w:rFonts w:hint="eastAsia" w:ascii="宋体" w:hAnsi="宋体" w:eastAsia="宋体" w:cs="宋体"/>
          <w:b/>
          <w:bCs w:val="0"/>
          <w:color w:val="auto"/>
          <w:kern w:val="0"/>
          <w:sz w:val="21"/>
          <w:szCs w:val="21"/>
          <w:highlight w:val="none"/>
        </w:rPr>
        <w:t>。如依法不需要缴纳社会保险费的，应提供相应文件证明其依法不需要缴纳社会保险费</w:t>
      </w:r>
      <w:r>
        <w:rPr>
          <w:rFonts w:hint="eastAsia" w:ascii="宋体" w:hAnsi="宋体" w:eastAsia="宋体" w:cs="宋体"/>
          <w:b/>
          <w:bCs w:val="0"/>
          <w:color w:val="auto"/>
          <w:kern w:val="0"/>
          <w:sz w:val="21"/>
          <w:szCs w:val="21"/>
          <w:highlight w:val="none"/>
          <w:lang w:eastAsia="zh-CN"/>
        </w:rPr>
        <w:t>。</w:t>
      </w:r>
    </w:p>
    <w:p w14:paraId="3A73B24C">
      <w:pPr>
        <w:spacing w:line="360" w:lineRule="auto"/>
        <w:ind w:firstLine="422" w:firstLineChars="200"/>
        <w:rPr>
          <w:rFonts w:hint="eastAsia" w:ascii="宋体" w:hAnsi="宋体" w:eastAsia="宋体" w:cs="宋体"/>
          <w:b/>
          <w:bCs w:val="0"/>
          <w:color w:val="auto"/>
          <w:kern w:val="0"/>
          <w:sz w:val="21"/>
          <w:szCs w:val="21"/>
          <w:highlight w:val="none"/>
          <w:lang w:eastAsia="zh-CN"/>
        </w:rPr>
      </w:pPr>
      <w:r>
        <w:rPr>
          <w:rFonts w:hint="eastAsia" w:ascii="宋体" w:hAnsi="宋体" w:eastAsia="宋体" w:cs="宋体"/>
          <w:b/>
          <w:bCs w:val="0"/>
          <w:color w:val="auto"/>
          <w:kern w:val="0"/>
          <w:sz w:val="21"/>
          <w:szCs w:val="21"/>
          <w:highlight w:val="none"/>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08A4F398">
      <w:pPr>
        <w:spacing w:line="360" w:lineRule="auto"/>
        <w:ind w:firstLine="422" w:firstLineChars="200"/>
        <w:rPr>
          <w:rFonts w:hint="eastAsia" w:ascii="宋体" w:hAnsi="宋体" w:eastAsia="宋体" w:cs="宋体"/>
          <w:b/>
          <w:bCs w:val="0"/>
          <w:color w:val="auto"/>
          <w:kern w:val="0"/>
          <w:sz w:val="21"/>
          <w:szCs w:val="21"/>
          <w:highlight w:val="none"/>
          <w:lang w:eastAsia="zh-CN"/>
        </w:rPr>
      </w:pPr>
    </w:p>
    <w:p w14:paraId="08E7BD5D">
      <w:pPr>
        <w:spacing w:line="360" w:lineRule="auto"/>
        <w:ind w:firstLine="422" w:firstLineChars="200"/>
      </w:pPr>
      <w:r>
        <w:rPr>
          <w:rFonts w:hint="eastAsia" w:ascii="宋体" w:hAnsi="宋体" w:eastAsia="宋体" w:cs="宋体"/>
          <w:b/>
          <w:bCs w:val="0"/>
          <w:color w:val="auto"/>
          <w:kern w:val="0"/>
          <w:sz w:val="21"/>
          <w:szCs w:val="21"/>
          <w:highlight w:val="none"/>
          <w:lang w:val="en-US" w:eastAsia="zh-CN"/>
        </w:rPr>
        <w:t>（说明：法定代表人、投标授权代表人社保证明文件仅做为核查供应商是否存在《深圳经济特区政府采购条例实施细则》第七十五条规定的“不同投标供应商的法定代表人、主要经营负责人、项目投标授权代表人、项目负责人、主要技术人员为同一人、属同一单位或者在同一单位缴纳社会保险”的情形，该证明文件不做为废标条款。投标供应商应知悉《深圳经济特区政府采购条例实施细则》第七十五条的规定，如供应商未提供法定代表人、投标授权代表人社保证明文件，且出现“法定代表人、投标授权代表人在同一单位或者在同一单位缴纳社会保险”情形的，投标供应商应承担相应的法律责任。）</w:t>
      </w:r>
      <w:r>
        <w:br w:type="page"/>
      </w:r>
    </w:p>
    <w:p w14:paraId="7B3B6895">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85" w:name="_Toc24233"/>
      <w:bookmarkStart w:id="86" w:name="_Toc4591"/>
      <w:r>
        <w:rPr>
          <w:rFonts w:hint="eastAsia" w:cs="宋体" w:asciiTheme="majorEastAsia" w:hAnsiTheme="majorEastAsia" w:eastAsiaTheme="majorEastAsia"/>
          <w:kern w:val="2"/>
          <w:sz w:val="30"/>
          <w:szCs w:val="30"/>
          <w:lang w:val="en-US" w:eastAsia="zh-CN" w:bidi="ar-SA"/>
        </w:rPr>
        <w:t>（十七）</w:t>
      </w:r>
      <w:r>
        <w:rPr>
          <w:rFonts w:hint="eastAsia" w:asciiTheme="majorEastAsia" w:hAnsiTheme="majorEastAsia" w:eastAsiaTheme="majorEastAsia"/>
          <w:sz w:val="30"/>
          <w:szCs w:val="30"/>
        </w:rPr>
        <w:t>法定代表人证明书</w:t>
      </w:r>
      <w:bookmarkEnd w:id="84"/>
      <w:bookmarkEnd w:id="85"/>
      <w:bookmarkEnd w:id="86"/>
    </w:p>
    <w:p w14:paraId="4A383F38">
      <w:pPr>
        <w:tabs>
          <w:tab w:val="left" w:pos="900"/>
        </w:tabs>
        <w:spacing w:line="480" w:lineRule="auto"/>
        <w:ind w:firstLine="945" w:firstLineChars="450"/>
        <w:rPr>
          <w:rFonts w:ascii="宋体" w:hAnsi="宋体"/>
        </w:rPr>
      </w:pPr>
      <w:r>
        <w:rPr>
          <w:rFonts w:hint="eastAsia" w:ascii="宋体" w:hAnsi="宋体"/>
        </w:rPr>
        <w:t>______________同志，现任我单位</w:t>
      </w:r>
      <w:r>
        <w:rPr>
          <w:rFonts w:hint="eastAsia" w:ascii="宋体" w:hAnsi="宋体"/>
          <w:u w:val="single"/>
        </w:rPr>
        <w:t xml:space="preserve">       </w:t>
      </w:r>
      <w:r>
        <w:rPr>
          <w:rFonts w:hint="eastAsia" w:ascii="宋体" w:hAnsi="宋体"/>
        </w:rPr>
        <w:t>职务，为法定代表人，特此证明。</w:t>
      </w:r>
    </w:p>
    <w:p w14:paraId="1F483407">
      <w:pPr>
        <w:spacing w:line="360" w:lineRule="auto"/>
        <w:ind w:firstLine="420" w:firstLineChars="200"/>
        <w:rPr>
          <w:rFonts w:ascii="宋体" w:hAnsi="宋体"/>
        </w:rPr>
      </w:pPr>
      <w:r>
        <w:rPr>
          <w:rFonts w:hint="eastAsia" w:ascii="宋体"/>
        </w:rPr>
        <w:t>本证明书自签发之日起生效，</w:t>
      </w:r>
      <w:r>
        <w:rPr>
          <w:rFonts w:hint="eastAsia" w:ascii="宋体" w:hAnsi="宋体"/>
        </w:rPr>
        <w:t>有效期与本公司投标文件中标注的投标有效期相同。</w:t>
      </w:r>
    </w:p>
    <w:p w14:paraId="0B227F57">
      <w:pPr>
        <w:spacing w:line="480" w:lineRule="auto"/>
        <w:ind w:firstLine="420" w:firstLineChars="200"/>
        <w:rPr>
          <w:rFonts w:ascii="宋体" w:hAnsi="宋体"/>
        </w:rPr>
      </w:pPr>
      <w:r>
        <w:rPr>
          <w:rFonts w:hint="eastAsia" w:ascii="宋体" w:hAnsi="宋体"/>
        </w:rPr>
        <w:t>附：</w:t>
      </w:r>
    </w:p>
    <w:p w14:paraId="42F5B5B6">
      <w:pPr>
        <w:spacing w:line="480" w:lineRule="auto"/>
        <w:ind w:firstLine="840" w:firstLineChars="400"/>
        <w:rPr>
          <w:rFonts w:ascii="宋体" w:hAnsi="宋体"/>
        </w:rPr>
      </w:pPr>
      <w:r>
        <w:rPr>
          <w:rFonts w:hint="eastAsia" w:ascii="宋体" w:hAnsi="宋体"/>
        </w:rPr>
        <w:t>经济性质：</w:t>
      </w:r>
    </w:p>
    <w:p w14:paraId="43BB9386">
      <w:pPr>
        <w:spacing w:line="480" w:lineRule="auto"/>
        <w:ind w:firstLine="840" w:firstLineChars="400"/>
        <w:rPr>
          <w:rFonts w:ascii="宋体" w:hAnsi="宋体"/>
        </w:rPr>
      </w:pPr>
      <w:r>
        <w:rPr>
          <w:rFonts w:hint="eastAsia" w:ascii="宋体" w:hAnsi="宋体"/>
        </w:rPr>
        <w:t>主营（产）：</w:t>
      </w:r>
    </w:p>
    <w:p w14:paraId="35263D64">
      <w:pPr>
        <w:spacing w:line="480" w:lineRule="auto"/>
        <w:ind w:firstLine="840" w:firstLineChars="400"/>
        <w:rPr>
          <w:rFonts w:ascii="宋体" w:hAnsi="宋体"/>
        </w:rPr>
      </w:pPr>
      <w:r>
        <w:rPr>
          <w:rFonts w:hint="eastAsia" w:ascii="宋体" w:hAnsi="宋体"/>
        </w:rPr>
        <w:t>兼营（产）：</w:t>
      </w:r>
    </w:p>
    <w:p w14:paraId="4953BF97">
      <w:pPr>
        <w:spacing w:line="500" w:lineRule="exact"/>
        <w:rPr>
          <w:rFonts w:ascii="宋体"/>
          <w:b/>
          <w:bCs/>
        </w:rPr>
      </w:pPr>
    </w:p>
    <w:p w14:paraId="60988389">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30EA6209">
      <w:pPr>
        <w:spacing w:line="360" w:lineRule="auto"/>
        <w:rPr>
          <w:rFonts w:ascii="宋体" w:hAnsi="宋体"/>
          <w:b/>
          <w:bCs/>
          <w:sz w:val="24"/>
        </w:rPr>
      </w:pPr>
      <w:r>
        <w:rPr>
          <w:rFonts w:hint="eastAsia" w:ascii="宋体" w:hAnsi="宋体"/>
          <w:b/>
          <w:bCs/>
          <w:sz w:val="24"/>
        </w:rPr>
        <w:t>签发日期：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7E6D32CB">
      <w:pPr>
        <w:spacing w:line="360" w:lineRule="auto"/>
        <w:outlineLvl w:val="9"/>
        <w:rPr>
          <w:sz w:val="24"/>
        </w:rPr>
      </w:pPr>
      <w:r>
        <w:rPr>
          <w:rFonts w:hint="eastAsia"/>
          <w:b/>
          <w:sz w:val="24"/>
        </w:rPr>
        <w:t>（此处加盖投标人单位公章）</w:t>
      </w:r>
    </w:p>
    <w:p w14:paraId="465D750C">
      <w:pPr>
        <w:spacing w:line="500" w:lineRule="exact"/>
        <w:rPr>
          <w:rFonts w:ascii="宋体" w:hAnsi="宋体"/>
        </w:rPr>
      </w:pPr>
    </w:p>
    <w:p w14:paraId="7AB77908">
      <w:pPr>
        <w:spacing w:line="360" w:lineRule="auto"/>
        <w:rPr>
          <w:b/>
          <w:sz w:val="24"/>
        </w:rPr>
      </w:pPr>
      <w:r>
        <w:rPr>
          <w:rFonts w:hint="eastAsia"/>
          <w:b/>
          <w:sz w:val="24"/>
        </w:rPr>
        <w:t>提供法定代表人居民身份证（正反面）复印件：</w:t>
      </w:r>
    </w:p>
    <w:p w14:paraId="1D682404">
      <w:pPr>
        <w:spacing w:line="500" w:lineRule="exact"/>
        <w:rPr>
          <w:rFonts w:hint="eastAsia" w:ascii="宋体" w:hAnsi="宋体"/>
        </w:rPr>
      </w:pPr>
    </w:p>
    <w:p w14:paraId="208C415E">
      <w:pPr>
        <w:spacing w:line="500" w:lineRule="exact"/>
        <w:rPr>
          <w:rFonts w:hint="eastAsia" w:ascii="宋体" w:hAnsi="宋体"/>
        </w:rPr>
      </w:pPr>
    </w:p>
    <w:p w14:paraId="7B4511A0">
      <w:pPr>
        <w:spacing w:line="500" w:lineRule="exact"/>
        <w:rPr>
          <w:rFonts w:hint="eastAsia" w:ascii="宋体" w:hAnsi="宋体"/>
        </w:rPr>
      </w:pPr>
    </w:p>
    <w:p w14:paraId="16B17A75">
      <w:pPr>
        <w:spacing w:line="500" w:lineRule="exact"/>
        <w:rPr>
          <w:rFonts w:hint="eastAsia" w:ascii="宋体" w:hAnsi="宋体"/>
        </w:rPr>
      </w:pPr>
    </w:p>
    <w:p w14:paraId="39439C03">
      <w:pPr>
        <w:spacing w:line="500" w:lineRule="exact"/>
        <w:rPr>
          <w:rFonts w:hint="eastAsia" w:ascii="宋体" w:hAnsi="宋体"/>
        </w:rPr>
      </w:pPr>
    </w:p>
    <w:p w14:paraId="2911D273">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备注：如参加开标时需另外单独提供法定代表人证明书或者法人代表授权委托书。</w:t>
      </w:r>
    </w:p>
    <w:p w14:paraId="5E66CA1E">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7F986E39">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br w:type="page"/>
      </w:r>
    </w:p>
    <w:p w14:paraId="249326D2">
      <w:pPr>
        <w:pStyle w:val="3"/>
        <w:numPr>
          <w:ilvl w:val="0"/>
          <w:numId w:val="0"/>
        </w:numPr>
        <w:spacing w:line="240" w:lineRule="auto"/>
        <w:ind w:left="420" w:leftChars="0" w:hanging="420" w:firstLineChars="0"/>
        <w:jc w:val="center"/>
        <w:outlineLvl w:val="0"/>
        <w:rPr>
          <w:rFonts w:ascii="宋体" w:hAnsi="宋体" w:eastAsia="宋体"/>
          <w:sz w:val="30"/>
          <w:szCs w:val="30"/>
        </w:rPr>
      </w:pPr>
      <w:bookmarkStart w:id="87" w:name="_Toc24644"/>
      <w:bookmarkStart w:id="88" w:name="_Toc14446"/>
      <w:r>
        <w:rPr>
          <w:rFonts w:hint="eastAsia" w:ascii="宋体" w:hAnsi="宋体" w:eastAsia="宋体" w:cs="宋体"/>
          <w:kern w:val="2"/>
          <w:sz w:val="30"/>
          <w:szCs w:val="30"/>
          <w:lang w:val="en-US" w:eastAsia="zh-CN" w:bidi="ar-SA"/>
        </w:rPr>
        <w:t>（十八）</w:t>
      </w:r>
      <w:r>
        <w:rPr>
          <w:rFonts w:hint="eastAsia" w:ascii="宋体" w:hAnsi="宋体" w:eastAsia="宋体"/>
          <w:color w:val="auto"/>
          <w:sz w:val="30"/>
          <w:szCs w:val="30"/>
        </w:rPr>
        <w:t>提供</w:t>
      </w:r>
      <w:r>
        <w:rPr>
          <w:rFonts w:hint="eastAsia" w:asciiTheme="majorEastAsia" w:hAnsiTheme="majorEastAsia" w:eastAsiaTheme="majorEastAsia"/>
          <w:color w:val="auto"/>
          <w:sz w:val="30"/>
          <w:szCs w:val="30"/>
        </w:rPr>
        <w:t>法定代表人</w:t>
      </w:r>
      <w:r>
        <w:rPr>
          <w:rFonts w:hint="eastAsia" w:ascii="宋体" w:hAnsi="宋体" w:eastAsia="宋体"/>
          <w:color w:val="auto"/>
          <w:sz w:val="30"/>
          <w:szCs w:val="30"/>
          <w:lang w:val="en-US" w:eastAsia="zh-CN"/>
        </w:rPr>
        <w:t>近一个月</w:t>
      </w:r>
      <w:r>
        <w:rPr>
          <w:rFonts w:hint="eastAsia" w:ascii="宋体" w:hAnsi="宋体" w:eastAsia="宋体"/>
          <w:color w:val="auto"/>
          <w:sz w:val="30"/>
          <w:szCs w:val="30"/>
        </w:rPr>
        <w:t>的社会保险</w:t>
      </w:r>
      <w:r>
        <w:rPr>
          <w:rFonts w:hint="eastAsia" w:ascii="宋体" w:hAnsi="宋体" w:eastAsia="宋体"/>
          <w:sz w:val="30"/>
          <w:szCs w:val="30"/>
        </w:rPr>
        <w:t>证明</w:t>
      </w:r>
      <w:bookmarkEnd w:id="87"/>
      <w:bookmarkEnd w:id="88"/>
    </w:p>
    <w:p w14:paraId="0263054A">
      <w:pPr>
        <w:rPr>
          <w:rFonts w:hint="eastAsia" w:ascii="宋体" w:hAnsi="宋体"/>
        </w:rPr>
      </w:pPr>
      <w:r>
        <w:rPr>
          <w:rFonts w:hint="eastAsia" w:ascii="宋体" w:hAnsi="宋体"/>
        </w:rPr>
        <w:t>注：如新成立公司或退休人员无法提供社保证明的，应提供说明函（格式自拟），说明相关情况。若因为社保部门原因无法提供的，需提供劳动合同及社保部门官方通知证明(或官网公告截图)。</w:t>
      </w:r>
    </w:p>
    <w:p w14:paraId="4E6988C2">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r>
        <w:rPr>
          <w:rFonts w:hint="eastAsia" w:ascii="宋体" w:hAnsi="宋体"/>
          <w:color w:val="auto"/>
          <w:szCs w:val="21"/>
          <w:highlight w:val="none"/>
          <w:lang w:val="en-US" w:eastAsia="zh-CN"/>
        </w:rPr>
        <w:br w:type="page"/>
      </w:r>
    </w:p>
    <w:p w14:paraId="6C6A5DD0">
      <w:pPr>
        <w:pStyle w:val="3"/>
        <w:numPr>
          <w:ilvl w:val="0"/>
          <w:numId w:val="0"/>
        </w:numPr>
        <w:spacing w:line="240" w:lineRule="auto"/>
        <w:ind w:left="420" w:leftChars="0" w:hanging="420" w:firstLineChars="0"/>
        <w:jc w:val="center"/>
        <w:outlineLvl w:val="0"/>
        <w:rPr>
          <w:rFonts w:ascii="宋体" w:hAnsi="宋体" w:eastAsia="宋体"/>
          <w:color w:val="auto"/>
          <w:sz w:val="30"/>
          <w:szCs w:val="30"/>
        </w:rPr>
      </w:pPr>
      <w:bookmarkStart w:id="89" w:name="_Toc25910"/>
      <w:bookmarkStart w:id="90" w:name="_Toc11352"/>
      <w:bookmarkStart w:id="91" w:name="_Toc15871"/>
      <w:bookmarkStart w:id="92" w:name="_Toc777"/>
      <w:bookmarkStart w:id="93" w:name="_Toc2305"/>
      <w:bookmarkStart w:id="94" w:name="_Toc2124"/>
      <w:bookmarkStart w:id="95" w:name="_Toc7126"/>
      <w:r>
        <w:rPr>
          <w:rFonts w:hint="eastAsia" w:ascii="宋体" w:hAnsi="宋体" w:eastAsia="宋体" w:cs="宋体"/>
          <w:color w:val="auto"/>
          <w:kern w:val="2"/>
          <w:sz w:val="30"/>
          <w:szCs w:val="30"/>
          <w:lang w:val="en-US" w:eastAsia="zh-CN" w:bidi="ar-SA"/>
        </w:rPr>
        <w:t>（十九）</w:t>
      </w:r>
      <w:r>
        <w:rPr>
          <w:rFonts w:hint="eastAsia" w:ascii="宋体" w:hAnsi="宋体" w:eastAsia="宋体"/>
          <w:sz w:val="30"/>
          <w:szCs w:val="30"/>
        </w:rPr>
        <w:t>提供主要经营负责人</w:t>
      </w:r>
      <w:r>
        <w:rPr>
          <w:rFonts w:hint="eastAsia" w:ascii="宋体" w:hAnsi="宋体" w:eastAsia="宋体"/>
          <w:color w:val="auto"/>
          <w:sz w:val="30"/>
          <w:szCs w:val="30"/>
        </w:rPr>
        <w:t>、项目负责人、主要技术人员</w:t>
      </w:r>
      <w:r>
        <w:rPr>
          <w:rFonts w:hint="eastAsia" w:ascii="宋体" w:hAnsi="宋体" w:eastAsia="宋体"/>
          <w:color w:val="auto"/>
          <w:sz w:val="30"/>
          <w:szCs w:val="30"/>
          <w:lang w:val="en-US" w:eastAsia="zh-CN"/>
        </w:rPr>
        <w:t>近一个月</w:t>
      </w:r>
      <w:r>
        <w:rPr>
          <w:rFonts w:hint="eastAsia" w:ascii="宋体" w:hAnsi="宋体" w:eastAsia="宋体"/>
          <w:color w:val="auto"/>
          <w:sz w:val="30"/>
          <w:szCs w:val="30"/>
        </w:rPr>
        <w:t>的社会保险证明</w:t>
      </w:r>
      <w:bookmarkEnd w:id="89"/>
      <w:bookmarkEnd w:id="90"/>
      <w:bookmarkEnd w:id="91"/>
      <w:bookmarkEnd w:id="92"/>
      <w:bookmarkEnd w:id="93"/>
      <w:bookmarkEnd w:id="94"/>
      <w:bookmarkEnd w:id="95"/>
    </w:p>
    <w:p w14:paraId="08F7380F">
      <w:pPr>
        <w:spacing w:line="500" w:lineRule="exact"/>
        <w:rPr>
          <w:rFonts w:ascii="宋体" w:hAnsi="宋体"/>
          <w:color w:val="auto"/>
        </w:rPr>
      </w:pPr>
    </w:p>
    <w:p w14:paraId="46EA680B">
      <w:pPr>
        <w:rPr>
          <w:rFonts w:ascii="宋体" w:hAnsi="宋体"/>
          <w:b/>
          <w:bCs/>
          <w:color w:val="auto"/>
          <w:sz w:val="24"/>
        </w:rPr>
      </w:pPr>
      <w:r>
        <w:rPr>
          <w:rFonts w:hint="eastAsia" w:ascii="宋体" w:hAnsi="宋体"/>
          <w:b/>
          <w:bCs/>
          <w:color w:val="auto"/>
          <w:sz w:val="24"/>
        </w:rPr>
        <w:t>提供</w:t>
      </w:r>
      <w:r>
        <w:rPr>
          <w:rFonts w:hint="eastAsia"/>
          <w:b/>
          <w:color w:val="auto"/>
          <w:sz w:val="24"/>
        </w:rPr>
        <w:t>主要经营负责</w:t>
      </w:r>
      <w:r>
        <w:rPr>
          <w:rFonts w:hint="eastAsia" w:ascii="宋体" w:hAnsi="宋体"/>
          <w:b/>
          <w:bCs/>
          <w:color w:val="auto"/>
          <w:sz w:val="24"/>
        </w:rPr>
        <w:t>人近一个月的社保证明：</w:t>
      </w:r>
    </w:p>
    <w:p w14:paraId="6675E697">
      <w:pPr>
        <w:rPr>
          <w:rFonts w:ascii="宋体" w:hAnsi="宋体"/>
          <w:b/>
          <w:bCs/>
          <w:color w:val="auto"/>
          <w:sz w:val="24"/>
        </w:rPr>
      </w:pPr>
    </w:p>
    <w:p w14:paraId="4A27208D">
      <w:pPr>
        <w:rPr>
          <w:rFonts w:hint="default" w:ascii="宋体" w:hAnsi="宋体" w:eastAsiaTheme="minorEastAsia"/>
          <w:b/>
          <w:bCs/>
          <w:color w:val="auto"/>
          <w:sz w:val="24"/>
          <w:lang w:val="en-US" w:eastAsia="zh-CN"/>
        </w:rPr>
      </w:pPr>
    </w:p>
    <w:p w14:paraId="3D26AD5A">
      <w:pPr>
        <w:rPr>
          <w:rFonts w:hint="default" w:ascii="宋体" w:hAnsi="宋体" w:eastAsiaTheme="minorEastAsia"/>
          <w:b/>
          <w:bCs/>
          <w:color w:val="auto"/>
          <w:sz w:val="24"/>
          <w:lang w:val="en-US" w:eastAsia="zh-CN"/>
        </w:rPr>
      </w:pPr>
    </w:p>
    <w:p w14:paraId="68D36F64">
      <w:pPr>
        <w:rPr>
          <w:rFonts w:hint="default" w:ascii="宋体" w:hAnsi="宋体" w:eastAsiaTheme="minorEastAsia"/>
          <w:b/>
          <w:bCs/>
          <w:color w:val="auto"/>
          <w:sz w:val="24"/>
          <w:lang w:val="en-US" w:eastAsia="zh-CN"/>
        </w:rPr>
      </w:pPr>
    </w:p>
    <w:p w14:paraId="1C61B072">
      <w:pPr>
        <w:rPr>
          <w:rFonts w:hint="default" w:ascii="宋体" w:hAnsi="宋体" w:eastAsiaTheme="minorEastAsia"/>
          <w:b/>
          <w:bCs/>
          <w:color w:val="auto"/>
          <w:sz w:val="24"/>
          <w:lang w:val="en-US" w:eastAsia="zh-CN"/>
        </w:rPr>
      </w:pPr>
    </w:p>
    <w:p w14:paraId="7DED4F92">
      <w:pPr>
        <w:rPr>
          <w:rFonts w:hint="default" w:ascii="宋体" w:hAnsi="宋体" w:eastAsiaTheme="minorEastAsia"/>
          <w:b/>
          <w:bCs/>
          <w:color w:val="auto"/>
          <w:sz w:val="24"/>
          <w:lang w:val="en-US" w:eastAsia="zh-CN"/>
        </w:rPr>
      </w:pPr>
    </w:p>
    <w:p w14:paraId="2D944E21">
      <w:pPr>
        <w:rPr>
          <w:rFonts w:ascii="宋体" w:hAnsi="宋体"/>
          <w:b/>
          <w:bCs/>
          <w:color w:val="auto"/>
          <w:sz w:val="24"/>
        </w:rPr>
      </w:pPr>
    </w:p>
    <w:p w14:paraId="262F899B">
      <w:pPr>
        <w:rPr>
          <w:rFonts w:ascii="宋体" w:hAnsi="宋体"/>
          <w:b/>
          <w:bCs/>
          <w:color w:val="auto"/>
          <w:sz w:val="24"/>
        </w:rPr>
      </w:pPr>
      <w:r>
        <w:rPr>
          <w:rFonts w:hint="eastAsia" w:ascii="宋体" w:hAnsi="宋体"/>
          <w:b/>
          <w:bCs/>
          <w:color w:val="auto"/>
          <w:sz w:val="24"/>
        </w:rPr>
        <w:t>提供项目负责人近一个月的社保证明（如有）：</w:t>
      </w:r>
    </w:p>
    <w:p w14:paraId="70313BD8">
      <w:pPr>
        <w:spacing w:line="500" w:lineRule="exact"/>
        <w:rPr>
          <w:rFonts w:ascii="宋体" w:hAnsi="宋体"/>
          <w:color w:val="auto"/>
        </w:rPr>
      </w:pPr>
    </w:p>
    <w:p w14:paraId="3C259EF8">
      <w:pPr>
        <w:spacing w:line="500" w:lineRule="exact"/>
        <w:rPr>
          <w:rFonts w:ascii="宋体" w:hAnsi="宋体"/>
          <w:color w:val="auto"/>
        </w:rPr>
      </w:pPr>
    </w:p>
    <w:p w14:paraId="1F074AE8">
      <w:pPr>
        <w:spacing w:line="500" w:lineRule="exact"/>
        <w:rPr>
          <w:rFonts w:ascii="宋体" w:hAnsi="宋体"/>
          <w:color w:val="auto"/>
        </w:rPr>
      </w:pPr>
    </w:p>
    <w:p w14:paraId="125868D8">
      <w:pPr>
        <w:spacing w:line="500" w:lineRule="exact"/>
        <w:rPr>
          <w:rFonts w:ascii="宋体" w:hAnsi="宋体"/>
          <w:color w:val="auto"/>
        </w:rPr>
      </w:pPr>
    </w:p>
    <w:p w14:paraId="01262934">
      <w:pPr>
        <w:spacing w:line="500" w:lineRule="exact"/>
        <w:rPr>
          <w:rFonts w:ascii="宋体" w:hAnsi="宋体"/>
          <w:color w:val="auto"/>
        </w:rPr>
      </w:pPr>
    </w:p>
    <w:p w14:paraId="5794AF27">
      <w:pPr>
        <w:rPr>
          <w:color w:val="auto"/>
        </w:rPr>
      </w:pPr>
      <w:r>
        <w:rPr>
          <w:rFonts w:hint="eastAsia" w:ascii="宋体" w:hAnsi="宋体"/>
          <w:b/>
          <w:bCs/>
          <w:color w:val="auto"/>
          <w:sz w:val="24"/>
        </w:rPr>
        <w:t>提供主要技术人员近一个月的社保证明（如有）：</w:t>
      </w:r>
    </w:p>
    <w:p w14:paraId="4A18806C">
      <w:pPr>
        <w:spacing w:line="500" w:lineRule="exact"/>
        <w:rPr>
          <w:rFonts w:ascii="宋体" w:hAnsi="宋体"/>
        </w:rPr>
      </w:pPr>
    </w:p>
    <w:p w14:paraId="5A093BAC">
      <w:pPr>
        <w:spacing w:line="500" w:lineRule="exact"/>
        <w:rPr>
          <w:rFonts w:ascii="宋体" w:hAnsi="宋体"/>
        </w:rPr>
      </w:pPr>
    </w:p>
    <w:p w14:paraId="325C72B5">
      <w:pPr>
        <w:spacing w:line="500" w:lineRule="exact"/>
        <w:rPr>
          <w:rFonts w:ascii="宋体" w:hAnsi="宋体"/>
        </w:rPr>
      </w:pPr>
    </w:p>
    <w:p w14:paraId="42F919D5">
      <w:pPr>
        <w:spacing w:line="500" w:lineRule="exact"/>
        <w:rPr>
          <w:rFonts w:ascii="宋体" w:hAnsi="宋体"/>
        </w:rPr>
      </w:pPr>
    </w:p>
    <w:p w14:paraId="790DCE5D">
      <w:pPr>
        <w:pStyle w:val="6"/>
        <w:rPr>
          <w:rFonts w:hint="eastAsia" w:ascii="宋体" w:hAnsi="宋体"/>
        </w:rPr>
      </w:pPr>
      <w:r>
        <w:rPr>
          <w:rFonts w:hint="eastAsia" w:ascii="宋体" w:hAnsi="宋体"/>
        </w:rPr>
        <w:t>注：如新成立公司或退休人员无法提供社保证明的，应提供说明函（格式自拟），说明相关情况。若因为社保部门原因无法提供的，需提供劳动合同及社保部门官方通知证明(或官网公告截图)。如本项目未安排项目投标授权代表人、项目负责人、主要技术人员的，无需提供项目投标授权代表人、项目负责人、主要技术人员的社保。</w:t>
      </w:r>
    </w:p>
    <w:p w14:paraId="4006300D">
      <w:r>
        <w:rPr>
          <w:rFonts w:hint="eastAsia"/>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49129845">
      <w:pPr>
        <w:spacing w:line="500" w:lineRule="exact"/>
        <w:rPr>
          <w:rFonts w:ascii="宋体" w:hAnsi="宋体"/>
        </w:rPr>
      </w:pPr>
    </w:p>
    <w:p w14:paraId="0B1E9164">
      <w:pPr>
        <w:rPr>
          <w:rFonts w:hint="eastAsia" w:asciiTheme="majorEastAsia" w:hAnsiTheme="majorEastAsia" w:eastAsiaTheme="majorEastAsia"/>
          <w:sz w:val="30"/>
          <w:szCs w:val="30"/>
        </w:rPr>
      </w:pPr>
      <w:bookmarkStart w:id="96" w:name="_Toc8619"/>
      <w:bookmarkStart w:id="97" w:name="_Toc435514868"/>
      <w:bookmarkStart w:id="98" w:name="_Toc435515308"/>
      <w:r>
        <w:rPr>
          <w:rFonts w:hint="eastAsia" w:asciiTheme="majorEastAsia" w:hAnsiTheme="majorEastAsia" w:eastAsiaTheme="majorEastAsia"/>
          <w:sz w:val="30"/>
          <w:szCs w:val="30"/>
        </w:rPr>
        <w:br w:type="page"/>
      </w:r>
    </w:p>
    <w:p w14:paraId="6F888131">
      <w:pPr>
        <w:pStyle w:val="3"/>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rPr>
      </w:pPr>
      <w:bookmarkStart w:id="99" w:name="_Toc29264"/>
      <w:bookmarkStart w:id="100" w:name="_Toc17359"/>
      <w:r>
        <w:rPr>
          <w:rFonts w:hint="eastAsia" w:cs="宋体" w:asciiTheme="majorEastAsia" w:hAnsiTheme="majorEastAsia" w:eastAsiaTheme="majorEastAsia"/>
          <w:kern w:val="2"/>
          <w:sz w:val="30"/>
          <w:szCs w:val="30"/>
          <w:lang w:val="en-US" w:eastAsia="zh-CN" w:bidi="ar-SA"/>
        </w:rPr>
        <w:t>（二十）</w:t>
      </w:r>
      <w:r>
        <w:rPr>
          <w:rFonts w:hint="eastAsia" w:asciiTheme="majorEastAsia" w:hAnsiTheme="majorEastAsia" w:eastAsiaTheme="majorEastAsia"/>
          <w:sz w:val="30"/>
          <w:szCs w:val="30"/>
        </w:rPr>
        <w:t>技术规格偏离表</w:t>
      </w:r>
      <w:bookmarkEnd w:id="99"/>
      <w:bookmarkEnd w:id="100"/>
    </w:p>
    <w:p w14:paraId="4B516DB8">
      <w:pPr>
        <w:spacing w:line="400" w:lineRule="exact"/>
        <w:rPr>
          <w:rFonts w:ascii="宋体" w:hAnsi="宋体"/>
        </w:rPr>
      </w:pPr>
      <w:r>
        <w:rPr>
          <w:rFonts w:hint="eastAsia" w:ascii="宋体" w:hAnsi="宋体"/>
        </w:rPr>
        <w:t>说明：投标人必须对应</w:t>
      </w:r>
      <w:r>
        <w:rPr>
          <w:rFonts w:hint="eastAsia" w:ascii="宋体" w:hAnsi="宋体"/>
          <w:lang w:eastAsia="zh-CN"/>
        </w:rPr>
        <w:t>征集</w:t>
      </w:r>
      <w:r>
        <w:rPr>
          <w:rFonts w:hint="eastAsia" w:ascii="宋体" w:hAnsi="宋体"/>
        </w:rPr>
        <w:t>文件</w:t>
      </w:r>
      <w:r>
        <w:rPr>
          <w:rFonts w:hint="eastAsia" w:ascii="宋体" w:hAnsi="宋体"/>
          <w:lang w:val="en-US" w:eastAsia="zh-CN"/>
        </w:rPr>
        <w:t>采购清单及技术规格中的</w:t>
      </w:r>
      <w:r>
        <w:rPr>
          <w:rFonts w:hint="eastAsia" w:ascii="宋体" w:hAnsi="宋体"/>
        </w:rPr>
        <w:t>条款逐条应答并按要求填写下表。</w:t>
      </w:r>
    </w:p>
    <w:tbl>
      <w:tblPr>
        <w:tblStyle w:val="18"/>
        <w:tblW w:w="905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515"/>
        <w:gridCol w:w="2341"/>
        <w:gridCol w:w="1750"/>
        <w:gridCol w:w="1623"/>
      </w:tblGrid>
      <w:tr w14:paraId="5F40C9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30" w:type="dxa"/>
            <w:shd w:val="clear" w:color="auto" w:fill="EAF1DD" w:themeFill="accent3" w:themeFillTint="33"/>
            <w:vAlign w:val="center"/>
          </w:tcPr>
          <w:p w14:paraId="600754F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序号</w:t>
            </w:r>
          </w:p>
        </w:tc>
        <w:tc>
          <w:tcPr>
            <w:tcW w:w="2515" w:type="dxa"/>
            <w:shd w:val="clear" w:color="auto" w:fill="EAF1DD" w:themeFill="accent3" w:themeFillTint="33"/>
            <w:vAlign w:val="center"/>
          </w:tcPr>
          <w:p w14:paraId="2F5E61B4">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lang w:val="en-US"/>
              </w:rPr>
            </w:pPr>
            <w:r>
              <w:rPr>
                <w:rFonts w:hint="eastAsia" w:ascii="宋体" w:hAnsi="宋体"/>
                <w:szCs w:val="21"/>
                <w:lang w:val="en-US" w:eastAsia="zh-CN"/>
              </w:rPr>
              <w:t>征集技术要求</w:t>
            </w:r>
          </w:p>
        </w:tc>
        <w:tc>
          <w:tcPr>
            <w:tcW w:w="2341" w:type="dxa"/>
            <w:shd w:val="clear" w:color="auto" w:fill="EAF1DD" w:themeFill="accent3" w:themeFillTint="33"/>
            <w:vAlign w:val="center"/>
          </w:tcPr>
          <w:p w14:paraId="63784FC1">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w:t>
            </w:r>
          </w:p>
        </w:tc>
        <w:tc>
          <w:tcPr>
            <w:tcW w:w="1750" w:type="dxa"/>
            <w:shd w:val="clear" w:color="auto" w:fill="EAF1DD" w:themeFill="accent3" w:themeFillTint="33"/>
            <w:vAlign w:val="center"/>
          </w:tcPr>
          <w:p w14:paraId="6680638F">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偏离情况（填写“正偏离、</w:t>
            </w:r>
            <w:r>
              <w:rPr>
                <w:rFonts w:hint="eastAsia" w:asciiTheme="minorEastAsia" w:hAnsiTheme="minorEastAsia"/>
                <w:color w:val="auto"/>
                <w:szCs w:val="21"/>
                <w:lang w:val="en-US" w:eastAsia="zh-CN"/>
              </w:rPr>
              <w:t>无偏离</w:t>
            </w:r>
            <w:r>
              <w:rPr>
                <w:rFonts w:hint="eastAsia" w:asciiTheme="minorEastAsia" w:hAnsiTheme="minorEastAsia" w:eastAsiaTheme="minorEastAsia"/>
                <w:color w:val="auto"/>
                <w:szCs w:val="21"/>
              </w:rPr>
              <w:t>或负偏离”）</w:t>
            </w:r>
          </w:p>
        </w:tc>
        <w:tc>
          <w:tcPr>
            <w:tcW w:w="1623" w:type="dxa"/>
            <w:shd w:val="clear" w:color="auto" w:fill="EAF1DD" w:themeFill="accent3" w:themeFillTint="33"/>
            <w:vAlign w:val="center"/>
          </w:tcPr>
          <w:p w14:paraId="5A931387">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说明</w:t>
            </w:r>
          </w:p>
        </w:tc>
      </w:tr>
      <w:tr w14:paraId="3459CF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4E47F2F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1</w:t>
            </w:r>
          </w:p>
        </w:tc>
        <w:tc>
          <w:tcPr>
            <w:tcW w:w="2515" w:type="dxa"/>
            <w:vAlign w:val="center"/>
          </w:tcPr>
          <w:p w14:paraId="2491D04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0A8C1FC9">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67964FF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11D6455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7B411A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46ED6CC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2</w:t>
            </w:r>
          </w:p>
        </w:tc>
        <w:tc>
          <w:tcPr>
            <w:tcW w:w="2515" w:type="dxa"/>
            <w:vAlign w:val="center"/>
          </w:tcPr>
          <w:p w14:paraId="3E6648D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33EF56D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4FBF787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1DF9696A">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0FF0DC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E433214">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3</w:t>
            </w:r>
          </w:p>
        </w:tc>
        <w:tc>
          <w:tcPr>
            <w:tcW w:w="2515" w:type="dxa"/>
            <w:vAlign w:val="center"/>
          </w:tcPr>
          <w:p w14:paraId="4BAB58C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300B2E8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220D7B60">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2EFB38C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6180E3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7405FAE">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4</w:t>
            </w:r>
          </w:p>
        </w:tc>
        <w:tc>
          <w:tcPr>
            <w:tcW w:w="2515" w:type="dxa"/>
            <w:vAlign w:val="center"/>
          </w:tcPr>
          <w:p w14:paraId="0997BCF5">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0EE077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48E82144">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3D4E48A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0D3CB3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5C68015">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5</w:t>
            </w:r>
          </w:p>
        </w:tc>
        <w:tc>
          <w:tcPr>
            <w:tcW w:w="2515" w:type="dxa"/>
            <w:vAlign w:val="center"/>
          </w:tcPr>
          <w:p w14:paraId="1D058D3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D42660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4428964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015303A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275E98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BDA9829">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6</w:t>
            </w:r>
          </w:p>
        </w:tc>
        <w:tc>
          <w:tcPr>
            <w:tcW w:w="2515" w:type="dxa"/>
            <w:vAlign w:val="center"/>
          </w:tcPr>
          <w:p w14:paraId="69E7955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53128E0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1EE0E7B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67486C06">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7D6146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2376D43D">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w:t>
            </w:r>
          </w:p>
        </w:tc>
        <w:tc>
          <w:tcPr>
            <w:tcW w:w="2515" w:type="dxa"/>
            <w:vAlign w:val="center"/>
          </w:tcPr>
          <w:p w14:paraId="5E8BBAD4">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0BF324CD">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5AD49B8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247EF32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bl>
    <w:p w14:paraId="50518E54">
      <w:pPr>
        <w:spacing w:line="360" w:lineRule="auto"/>
        <w:ind w:right="84" w:rightChars="40"/>
        <w:rPr>
          <w:rFonts w:ascii="宋体" w:hAnsi="宋体"/>
          <w:szCs w:val="21"/>
        </w:rPr>
      </w:pPr>
      <w:r>
        <w:rPr>
          <w:rFonts w:hint="eastAsia" w:ascii="宋体" w:hAnsi="宋体"/>
          <w:szCs w:val="21"/>
        </w:rPr>
        <w:t>备注：投标人必须按</w:t>
      </w:r>
      <w:r>
        <w:rPr>
          <w:rFonts w:hint="eastAsia" w:ascii="宋体" w:hAnsi="宋体"/>
          <w:szCs w:val="21"/>
          <w:lang w:eastAsia="zh-CN"/>
        </w:rPr>
        <w:t>征集</w:t>
      </w:r>
      <w:r>
        <w:rPr>
          <w:rFonts w:hint="eastAsia" w:ascii="宋体" w:hAnsi="宋体"/>
          <w:szCs w:val="21"/>
        </w:rPr>
        <w:t>文件要求附相关证明文件，如未提供的视为负偏离。</w:t>
      </w:r>
    </w:p>
    <w:p w14:paraId="04071499">
      <w:pPr>
        <w:spacing w:line="360" w:lineRule="auto"/>
        <w:ind w:right="84" w:rightChars="40"/>
        <w:rPr>
          <w:rFonts w:hint="eastAsia" w:ascii="宋体" w:hAnsi="宋体"/>
          <w:szCs w:val="21"/>
        </w:rPr>
      </w:pPr>
      <w:r>
        <w:rPr>
          <w:rFonts w:hint="eastAsia" w:ascii="宋体" w:hAnsi="宋体"/>
          <w:szCs w:val="21"/>
        </w:rPr>
        <w:t>《</w:t>
      </w:r>
      <w:r>
        <w:rPr>
          <w:rFonts w:hint="eastAsia" w:ascii="宋体" w:hAnsi="宋体"/>
          <w:szCs w:val="21"/>
          <w:lang w:val="en-US" w:eastAsia="zh-CN"/>
        </w:rPr>
        <w:t>技术规格偏离表</w:t>
      </w:r>
      <w:r>
        <w:rPr>
          <w:rFonts w:hint="eastAsia" w:ascii="宋体" w:hAnsi="宋体"/>
          <w:szCs w:val="21"/>
        </w:rPr>
        <w:t>》编制指引：</w:t>
      </w:r>
    </w:p>
    <w:p w14:paraId="5FB2148D">
      <w:pPr>
        <w:spacing w:line="360" w:lineRule="auto"/>
        <w:ind w:right="84" w:rightChars="40"/>
        <w:rPr>
          <w:rFonts w:hint="eastAsia" w:ascii="宋体" w:hAnsi="宋体"/>
          <w:szCs w:val="21"/>
        </w:rPr>
      </w:pPr>
      <w:r>
        <w:rPr>
          <w:rFonts w:hint="eastAsia" w:ascii="宋体" w:hAnsi="宋体"/>
          <w:szCs w:val="21"/>
          <w:lang w:val="en-US" w:eastAsia="zh-CN"/>
        </w:rPr>
        <w:t>1</w:t>
      </w: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响应”一栏必须一一对照“</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要求”，详细填写自身响应情况，而不能不合理照搬照抄</w:t>
      </w:r>
      <w:r>
        <w:rPr>
          <w:rFonts w:hint="eastAsia" w:ascii="宋体" w:hAnsi="宋体"/>
          <w:szCs w:val="21"/>
          <w:lang w:eastAsia="zh-CN"/>
        </w:rPr>
        <w:t>征集</w:t>
      </w:r>
      <w:r>
        <w:rPr>
          <w:rFonts w:hint="eastAsia" w:ascii="宋体" w:hAnsi="宋体"/>
          <w:szCs w:val="21"/>
        </w:rPr>
        <w:t>文件的</w:t>
      </w:r>
      <w:r>
        <w:rPr>
          <w:rFonts w:hint="eastAsia" w:ascii="宋体" w:hAnsi="宋体"/>
          <w:szCs w:val="21"/>
          <w:lang w:val="en-US" w:eastAsia="zh-CN"/>
        </w:rPr>
        <w:t>技术</w:t>
      </w:r>
      <w:r>
        <w:rPr>
          <w:rFonts w:hint="eastAsia" w:ascii="宋体" w:hAnsi="宋体"/>
          <w:szCs w:val="21"/>
        </w:rPr>
        <w:t>要求，以体现具体响应情况。</w:t>
      </w:r>
    </w:p>
    <w:p w14:paraId="5E7709C8">
      <w:pPr>
        <w:spacing w:line="360" w:lineRule="auto"/>
        <w:ind w:right="84" w:rightChars="40"/>
        <w:rPr>
          <w:rFonts w:hint="eastAsia" w:ascii="宋体" w:hAnsi="宋体"/>
          <w:szCs w:val="21"/>
        </w:rPr>
      </w:pPr>
      <w:r>
        <w:rPr>
          <w:rFonts w:hint="eastAsia" w:ascii="宋体" w:hAnsi="宋体"/>
          <w:szCs w:val="21"/>
          <w:lang w:val="en-US" w:eastAsia="zh-CN"/>
        </w:rPr>
        <w:t>2</w:t>
      </w:r>
      <w:r>
        <w:rPr>
          <w:rFonts w:hint="eastAsia" w:ascii="宋体" w:hAnsi="宋体"/>
          <w:szCs w:val="21"/>
        </w:rPr>
        <w:t>、“偏离情况”一栏如实填写“正偏离”、“负偏离”或“无偏离”，其中：“正偏离”表示“投标</w:t>
      </w:r>
      <w:r>
        <w:rPr>
          <w:rFonts w:hint="eastAsia" w:ascii="宋体" w:hAnsi="宋体"/>
          <w:szCs w:val="21"/>
          <w:lang w:val="en-US" w:eastAsia="zh-CN"/>
        </w:rPr>
        <w:t>技术</w:t>
      </w:r>
      <w:r>
        <w:rPr>
          <w:rFonts w:hint="eastAsia" w:ascii="宋体" w:hAnsi="宋体"/>
          <w:szCs w:val="21"/>
        </w:rPr>
        <w:t>响应优于</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要求”，“负偏离”表示“投标</w:t>
      </w:r>
      <w:r>
        <w:rPr>
          <w:rFonts w:hint="eastAsia" w:ascii="宋体" w:hAnsi="宋体"/>
          <w:szCs w:val="21"/>
          <w:lang w:val="en-US" w:eastAsia="zh-CN"/>
        </w:rPr>
        <w:t>技术</w:t>
      </w:r>
      <w:r>
        <w:rPr>
          <w:rFonts w:hint="eastAsia" w:ascii="宋体" w:hAnsi="宋体"/>
          <w:szCs w:val="21"/>
        </w:rPr>
        <w:t>响应不满足</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要求”，“无偏离”表示“投标</w:t>
      </w:r>
      <w:r>
        <w:rPr>
          <w:rFonts w:hint="eastAsia" w:ascii="宋体" w:hAnsi="宋体"/>
          <w:szCs w:val="21"/>
          <w:lang w:val="en-US" w:eastAsia="zh-CN"/>
        </w:rPr>
        <w:t>技术</w:t>
      </w:r>
      <w:r>
        <w:rPr>
          <w:rFonts w:hint="eastAsia" w:ascii="宋体" w:hAnsi="宋体"/>
          <w:szCs w:val="21"/>
        </w:rPr>
        <w:t>响应与</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要求一致”。</w:t>
      </w:r>
    </w:p>
    <w:p w14:paraId="01F5FBAF">
      <w:pPr>
        <w:spacing w:line="360" w:lineRule="auto"/>
        <w:ind w:right="84" w:rightChars="40"/>
        <w:rPr>
          <w:rFonts w:hint="eastAsia" w:ascii="宋体" w:hAnsi="宋体"/>
          <w:szCs w:val="21"/>
        </w:rPr>
      </w:pPr>
      <w:r>
        <w:rPr>
          <w:rFonts w:hint="eastAsia" w:ascii="宋体" w:hAnsi="宋体"/>
          <w:szCs w:val="21"/>
          <w:lang w:val="en-US" w:eastAsia="zh-CN"/>
        </w:rPr>
        <w:t>3</w:t>
      </w: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响应”对比“</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要求”存在响应不全（包括未响应整项</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要求或者未响应一项</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要求的部分内容），均视为“负偏离”。</w:t>
      </w:r>
    </w:p>
    <w:p w14:paraId="5521E149">
      <w:pPr>
        <w:adjustRightInd w:val="0"/>
        <w:snapToGrid w:val="0"/>
        <w:spacing w:line="300" w:lineRule="auto"/>
        <w:rPr>
          <w:rFonts w:hint="eastAsia" w:ascii="宋体" w:hAnsi="宋体" w:eastAsia="宋体" w:cs="宋体"/>
          <w:sz w:val="24"/>
          <w:highlight w:val="none"/>
        </w:rPr>
      </w:pPr>
    </w:p>
    <w:p w14:paraId="2D7347C3">
      <w:pPr>
        <w:adjustRightInd w:val="0"/>
        <w:snapToGrid w:val="0"/>
        <w:spacing w:line="300" w:lineRule="auto"/>
        <w:ind w:firstLine="470" w:firstLineChars="224"/>
        <w:rPr>
          <w:rFonts w:hint="eastAsia" w:ascii="宋体" w:hAnsi="宋体" w:eastAsia="宋体" w:cs="宋体"/>
          <w:szCs w:val="21"/>
          <w:highlight w:val="none"/>
        </w:rPr>
      </w:pPr>
      <w:r>
        <w:rPr>
          <w:rFonts w:hint="eastAsia" w:ascii="宋体" w:hAnsi="宋体" w:eastAsia="宋体" w:cs="宋体"/>
          <w:szCs w:val="21"/>
          <w:highlight w:val="none"/>
        </w:rPr>
        <w:t>投标人法定代表人（或法定代表人授权代表）签字：</w:t>
      </w:r>
      <w:r>
        <w:rPr>
          <w:rFonts w:hint="eastAsia" w:ascii="宋体" w:hAnsi="宋体" w:eastAsia="宋体" w:cs="宋体"/>
          <w:szCs w:val="21"/>
          <w:highlight w:val="none"/>
          <w:u w:val="single"/>
        </w:rPr>
        <w:t xml:space="preserve">               </w:t>
      </w:r>
    </w:p>
    <w:p w14:paraId="2F36244A">
      <w:pPr>
        <w:adjustRightInd w:val="0"/>
        <w:snapToGrid w:val="0"/>
        <w:spacing w:line="300" w:lineRule="auto"/>
        <w:ind w:firstLine="470" w:firstLineChars="224"/>
        <w:rPr>
          <w:rFonts w:hint="eastAsia" w:ascii="宋体" w:hAnsi="宋体" w:eastAsia="宋体" w:cs="宋体"/>
          <w:szCs w:val="21"/>
          <w:highlight w:val="none"/>
          <w:u w:val="single"/>
        </w:rPr>
      </w:pPr>
      <w:r>
        <w:rPr>
          <w:rFonts w:hint="eastAsia" w:ascii="宋体" w:hAnsi="宋体" w:eastAsia="宋体" w:cs="宋体"/>
          <w:szCs w:val="21"/>
          <w:highlight w:val="none"/>
        </w:rPr>
        <w:t>投标人名称（加盖公章）：</w:t>
      </w:r>
      <w:r>
        <w:rPr>
          <w:rFonts w:hint="eastAsia" w:ascii="宋体" w:hAnsi="宋体" w:eastAsia="宋体" w:cs="宋体"/>
          <w:szCs w:val="21"/>
          <w:highlight w:val="none"/>
          <w:u w:val="single"/>
        </w:rPr>
        <w:t xml:space="preserve">                        </w:t>
      </w:r>
    </w:p>
    <w:p w14:paraId="4578E62C">
      <w:pPr>
        <w:ind w:left="2" w:firstLine="470" w:firstLineChars="224"/>
        <w:rPr>
          <w:rFonts w:ascii="Arial" w:hAnsi="Arial" w:eastAsia="黑体"/>
          <w:bCs/>
          <w:sz w:val="32"/>
          <w:szCs w:val="32"/>
        </w:rPr>
      </w:pPr>
      <w:r>
        <w:rPr>
          <w:rFonts w:hint="eastAsia" w:ascii="宋体" w:hAnsi="宋体" w:eastAsia="宋体" w:cs="宋体"/>
          <w:szCs w:val="21"/>
          <w:highlight w:val="none"/>
        </w:rPr>
        <w:t>日期：   年   月   日</w:t>
      </w:r>
    </w:p>
    <w:p w14:paraId="1562BABE">
      <w:pPr>
        <w:rPr>
          <w:rFonts w:asciiTheme="majorEastAsia" w:hAnsiTheme="majorEastAsia" w:eastAsiaTheme="majorEastAsia"/>
          <w:sz w:val="30"/>
          <w:szCs w:val="30"/>
        </w:rPr>
      </w:pPr>
      <w:r>
        <w:rPr>
          <w:rFonts w:hint="eastAsia" w:asciiTheme="majorEastAsia" w:hAnsiTheme="majorEastAsia" w:eastAsiaTheme="majorEastAsia"/>
          <w:sz w:val="30"/>
          <w:szCs w:val="30"/>
        </w:rPr>
        <w:br w:type="page"/>
      </w:r>
    </w:p>
    <w:p w14:paraId="26710D5F">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101" w:name="_Toc1851"/>
      <w:bookmarkStart w:id="102" w:name="_Toc28766"/>
      <w:r>
        <w:rPr>
          <w:rFonts w:hint="eastAsia" w:cs="宋体" w:asciiTheme="majorEastAsia" w:hAnsiTheme="majorEastAsia" w:eastAsiaTheme="majorEastAsia"/>
          <w:kern w:val="2"/>
          <w:sz w:val="30"/>
          <w:szCs w:val="30"/>
          <w:lang w:val="en-US" w:eastAsia="zh-CN" w:bidi="ar-SA"/>
        </w:rPr>
        <w:t>（二十一）</w:t>
      </w:r>
      <w:r>
        <w:rPr>
          <w:rFonts w:hint="eastAsia" w:asciiTheme="majorEastAsia" w:hAnsiTheme="majorEastAsia" w:eastAsiaTheme="majorEastAsia"/>
          <w:sz w:val="30"/>
          <w:szCs w:val="30"/>
          <w:lang w:val="en-US" w:eastAsia="zh-CN"/>
        </w:rPr>
        <w:t>商务</w:t>
      </w:r>
      <w:r>
        <w:rPr>
          <w:rFonts w:hint="eastAsia" w:asciiTheme="majorEastAsia" w:hAnsiTheme="majorEastAsia" w:eastAsiaTheme="majorEastAsia"/>
          <w:sz w:val="30"/>
          <w:szCs w:val="30"/>
        </w:rPr>
        <w:t>条款响应一览表</w:t>
      </w:r>
      <w:bookmarkEnd w:id="96"/>
      <w:bookmarkEnd w:id="101"/>
      <w:bookmarkEnd w:id="102"/>
    </w:p>
    <w:p w14:paraId="4F49A491">
      <w:pPr>
        <w:spacing w:line="400" w:lineRule="exact"/>
        <w:rPr>
          <w:rFonts w:ascii="宋体" w:hAnsi="宋体"/>
        </w:rPr>
      </w:pPr>
      <w:r>
        <w:rPr>
          <w:rFonts w:hint="eastAsia" w:ascii="宋体" w:hAnsi="宋体"/>
        </w:rPr>
        <w:t>说明：投标人必须对应</w:t>
      </w:r>
      <w:r>
        <w:rPr>
          <w:rFonts w:hint="eastAsia" w:ascii="宋体" w:hAnsi="宋体"/>
          <w:lang w:eastAsia="zh-CN"/>
        </w:rPr>
        <w:t>征集</w:t>
      </w:r>
      <w:r>
        <w:rPr>
          <w:rFonts w:hint="eastAsia" w:ascii="宋体" w:hAnsi="宋体"/>
        </w:rPr>
        <w:t>文件</w:t>
      </w:r>
      <w:r>
        <w:rPr>
          <w:rFonts w:hint="eastAsia" w:ascii="宋体" w:hAnsi="宋体"/>
          <w:lang w:val="en-US" w:eastAsia="zh-CN"/>
        </w:rPr>
        <w:t>商务要求中的</w:t>
      </w:r>
      <w:r>
        <w:rPr>
          <w:rFonts w:hint="eastAsia" w:ascii="宋体" w:hAnsi="宋体"/>
        </w:rPr>
        <w:t>条款逐条应答并按要求填写下表。</w:t>
      </w:r>
    </w:p>
    <w:tbl>
      <w:tblPr>
        <w:tblStyle w:val="18"/>
        <w:tblW w:w="905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515"/>
        <w:gridCol w:w="2341"/>
        <w:gridCol w:w="1750"/>
        <w:gridCol w:w="1623"/>
      </w:tblGrid>
      <w:tr w14:paraId="11313A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30" w:type="dxa"/>
            <w:shd w:val="clear" w:color="auto" w:fill="EAF1DD" w:themeFill="accent3" w:themeFillTint="33"/>
            <w:vAlign w:val="center"/>
          </w:tcPr>
          <w:p w14:paraId="5D47DA55">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序号</w:t>
            </w:r>
          </w:p>
        </w:tc>
        <w:tc>
          <w:tcPr>
            <w:tcW w:w="2515" w:type="dxa"/>
            <w:shd w:val="clear" w:color="auto" w:fill="EAF1DD" w:themeFill="accent3" w:themeFillTint="33"/>
            <w:vAlign w:val="center"/>
          </w:tcPr>
          <w:p w14:paraId="076510C1">
            <w:pPr>
              <w:keepNext w:val="0"/>
              <w:keepLines w:val="0"/>
              <w:suppressLineNumbers w:val="0"/>
              <w:spacing w:before="0" w:beforeAutospacing="0" w:after="0" w:afterAutospacing="0"/>
              <w:ind w:left="0" w:right="0"/>
              <w:jc w:val="center"/>
              <w:rPr>
                <w:rFonts w:hint="eastAsia" w:asciiTheme="minorEastAsia" w:hAnsiTheme="minorEastAsia" w:eastAsiaTheme="minorEastAsia"/>
                <w:color w:val="auto"/>
                <w:szCs w:val="21"/>
                <w:lang w:val="en-US" w:eastAsia="zh-CN"/>
              </w:rPr>
            </w:pPr>
            <w:r>
              <w:rPr>
                <w:rFonts w:hint="eastAsia" w:ascii="宋体" w:hAnsi="宋体"/>
                <w:szCs w:val="21"/>
                <w:lang w:val="en-US" w:eastAsia="zh-CN"/>
              </w:rPr>
              <w:t>征集</w:t>
            </w:r>
            <w:r>
              <w:rPr>
                <w:rFonts w:hint="eastAsia" w:ascii="宋体" w:hAnsi="宋体"/>
                <w:szCs w:val="21"/>
              </w:rPr>
              <w:t>商务</w:t>
            </w:r>
            <w:r>
              <w:rPr>
                <w:rFonts w:hint="eastAsia" w:ascii="宋体" w:hAnsi="宋体"/>
                <w:szCs w:val="21"/>
                <w:lang w:val="en-US" w:eastAsia="zh-CN"/>
              </w:rPr>
              <w:t>要求</w:t>
            </w:r>
          </w:p>
        </w:tc>
        <w:tc>
          <w:tcPr>
            <w:tcW w:w="2341" w:type="dxa"/>
            <w:shd w:val="clear" w:color="auto" w:fill="EAF1DD" w:themeFill="accent3" w:themeFillTint="33"/>
            <w:vAlign w:val="center"/>
          </w:tcPr>
          <w:p w14:paraId="5A5F691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宋体" w:hAnsi="宋体"/>
                <w:szCs w:val="21"/>
              </w:rPr>
              <w:t>投标商务响应</w:t>
            </w:r>
          </w:p>
        </w:tc>
        <w:tc>
          <w:tcPr>
            <w:tcW w:w="1750" w:type="dxa"/>
            <w:shd w:val="clear" w:color="auto" w:fill="EAF1DD" w:themeFill="accent3" w:themeFillTint="33"/>
            <w:vAlign w:val="center"/>
          </w:tcPr>
          <w:p w14:paraId="5EB892D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偏离情况（填写“正偏离、</w:t>
            </w:r>
            <w:r>
              <w:rPr>
                <w:rFonts w:hint="eastAsia" w:asciiTheme="minorEastAsia" w:hAnsiTheme="minorEastAsia"/>
                <w:color w:val="auto"/>
                <w:szCs w:val="21"/>
                <w:lang w:val="en-US" w:eastAsia="zh-CN"/>
              </w:rPr>
              <w:t>无偏离</w:t>
            </w:r>
            <w:r>
              <w:rPr>
                <w:rFonts w:hint="eastAsia" w:asciiTheme="minorEastAsia" w:hAnsiTheme="minorEastAsia" w:eastAsiaTheme="minorEastAsia"/>
                <w:color w:val="auto"/>
                <w:szCs w:val="21"/>
              </w:rPr>
              <w:t>或负偏离”）</w:t>
            </w:r>
          </w:p>
        </w:tc>
        <w:tc>
          <w:tcPr>
            <w:tcW w:w="1623" w:type="dxa"/>
            <w:shd w:val="clear" w:color="auto" w:fill="EAF1DD" w:themeFill="accent3" w:themeFillTint="33"/>
            <w:vAlign w:val="center"/>
          </w:tcPr>
          <w:p w14:paraId="174B985C">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说明</w:t>
            </w:r>
          </w:p>
        </w:tc>
      </w:tr>
      <w:tr w14:paraId="50CE99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9059" w:type="dxa"/>
            <w:gridSpan w:val="5"/>
            <w:vAlign w:val="center"/>
          </w:tcPr>
          <w:p w14:paraId="29324E30">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szCs w:val="21"/>
                <w:lang w:val="en-US" w:eastAsia="zh-CN"/>
              </w:rPr>
              <w:t>商务</w:t>
            </w:r>
            <w:r>
              <w:rPr>
                <w:rFonts w:hint="eastAsia" w:asciiTheme="minorEastAsia" w:hAnsiTheme="minorEastAsia" w:eastAsiaTheme="minorEastAsia"/>
                <w:szCs w:val="21"/>
              </w:rPr>
              <w:t>条款</w:t>
            </w:r>
          </w:p>
        </w:tc>
      </w:tr>
      <w:tr w14:paraId="77AD19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75F5768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1</w:t>
            </w:r>
          </w:p>
        </w:tc>
        <w:tc>
          <w:tcPr>
            <w:tcW w:w="2515" w:type="dxa"/>
            <w:vAlign w:val="center"/>
          </w:tcPr>
          <w:p w14:paraId="18A89F64">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1C7FE1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6E3F4AE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534721E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525F71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75A57EE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2</w:t>
            </w:r>
          </w:p>
        </w:tc>
        <w:tc>
          <w:tcPr>
            <w:tcW w:w="2515" w:type="dxa"/>
            <w:vAlign w:val="center"/>
          </w:tcPr>
          <w:p w14:paraId="4D13A26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391D2ADB">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04141B8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79B22E1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16C237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40DB666A">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3</w:t>
            </w:r>
          </w:p>
        </w:tc>
        <w:tc>
          <w:tcPr>
            <w:tcW w:w="2515" w:type="dxa"/>
            <w:vAlign w:val="center"/>
          </w:tcPr>
          <w:p w14:paraId="5609A78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7B37A5E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0CD5563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7173ACB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46EDF5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628F007B">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4</w:t>
            </w:r>
          </w:p>
        </w:tc>
        <w:tc>
          <w:tcPr>
            <w:tcW w:w="2515" w:type="dxa"/>
            <w:vAlign w:val="center"/>
          </w:tcPr>
          <w:p w14:paraId="39911D4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12D282E5">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5F34C41D">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2E07101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7A0B23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21405C05">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5</w:t>
            </w:r>
          </w:p>
        </w:tc>
        <w:tc>
          <w:tcPr>
            <w:tcW w:w="2515" w:type="dxa"/>
            <w:vAlign w:val="center"/>
          </w:tcPr>
          <w:p w14:paraId="14DE0EC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D95AB4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0D97C41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53FA1D5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41267E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52503923">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6</w:t>
            </w:r>
          </w:p>
        </w:tc>
        <w:tc>
          <w:tcPr>
            <w:tcW w:w="2515" w:type="dxa"/>
            <w:vAlign w:val="center"/>
          </w:tcPr>
          <w:p w14:paraId="3EB1FC95">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1DF40BB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3B51D46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3B65CDB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644EB1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0967485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w:t>
            </w:r>
          </w:p>
        </w:tc>
        <w:tc>
          <w:tcPr>
            <w:tcW w:w="2515" w:type="dxa"/>
            <w:vAlign w:val="center"/>
          </w:tcPr>
          <w:p w14:paraId="7CDB4A2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008BE62A">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60DFCF1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3AE040F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bl>
    <w:p w14:paraId="526C6290">
      <w:pPr>
        <w:spacing w:line="360" w:lineRule="auto"/>
        <w:ind w:right="84" w:rightChars="40"/>
        <w:rPr>
          <w:rFonts w:ascii="宋体" w:hAnsi="宋体"/>
          <w:szCs w:val="21"/>
        </w:rPr>
      </w:pPr>
      <w:r>
        <w:rPr>
          <w:rFonts w:hint="eastAsia" w:ascii="宋体" w:hAnsi="宋体"/>
          <w:szCs w:val="21"/>
        </w:rPr>
        <w:t>备注：投标人必须按</w:t>
      </w:r>
      <w:r>
        <w:rPr>
          <w:rFonts w:hint="eastAsia" w:ascii="宋体" w:hAnsi="宋体"/>
          <w:szCs w:val="21"/>
          <w:lang w:eastAsia="zh-CN"/>
        </w:rPr>
        <w:t>征集</w:t>
      </w:r>
      <w:r>
        <w:rPr>
          <w:rFonts w:hint="eastAsia" w:ascii="宋体" w:hAnsi="宋体"/>
          <w:szCs w:val="21"/>
        </w:rPr>
        <w:t>文件要求附相关证明文件，如未提供的视为负偏离。</w:t>
      </w:r>
    </w:p>
    <w:bookmarkEnd w:id="97"/>
    <w:bookmarkEnd w:id="98"/>
    <w:p w14:paraId="1F5586D6">
      <w:pPr>
        <w:spacing w:line="360" w:lineRule="auto"/>
        <w:ind w:right="84" w:rightChars="40"/>
        <w:rPr>
          <w:rFonts w:hint="eastAsia" w:ascii="宋体" w:hAnsi="宋体"/>
          <w:szCs w:val="21"/>
        </w:rPr>
      </w:pPr>
      <w:r>
        <w:rPr>
          <w:rFonts w:hint="eastAsia" w:ascii="宋体" w:hAnsi="宋体"/>
          <w:szCs w:val="21"/>
        </w:rPr>
        <w:t>《商务条款响应</w:t>
      </w:r>
      <w:r>
        <w:rPr>
          <w:rFonts w:hint="eastAsia" w:ascii="宋体" w:hAnsi="宋体"/>
          <w:szCs w:val="21"/>
          <w:lang w:val="en-US" w:eastAsia="zh-CN"/>
        </w:rPr>
        <w:t>一栏表</w:t>
      </w:r>
      <w:r>
        <w:rPr>
          <w:rFonts w:hint="eastAsia" w:ascii="宋体" w:hAnsi="宋体"/>
          <w:szCs w:val="21"/>
        </w:rPr>
        <w:t>》编制指引：</w:t>
      </w:r>
    </w:p>
    <w:p w14:paraId="4E2607C5">
      <w:pPr>
        <w:spacing w:line="360" w:lineRule="auto"/>
        <w:ind w:right="84" w:rightChars="40"/>
        <w:rPr>
          <w:rFonts w:hint="eastAsia" w:ascii="宋体" w:hAnsi="宋体"/>
          <w:szCs w:val="21"/>
        </w:rPr>
      </w:pPr>
      <w:r>
        <w:rPr>
          <w:rFonts w:hint="eastAsia" w:ascii="宋体" w:hAnsi="宋体"/>
          <w:szCs w:val="21"/>
          <w:lang w:val="en-US" w:eastAsia="zh-CN"/>
        </w:rPr>
        <w:t>1</w:t>
      </w:r>
      <w:r>
        <w:rPr>
          <w:rFonts w:hint="eastAsia" w:ascii="宋体" w:hAnsi="宋体"/>
          <w:szCs w:val="21"/>
        </w:rPr>
        <w:t>、“投标商务响应”一栏必须一一对照“</w:t>
      </w:r>
      <w:r>
        <w:rPr>
          <w:rFonts w:hint="eastAsia" w:ascii="宋体" w:hAnsi="宋体"/>
          <w:szCs w:val="21"/>
          <w:lang w:eastAsia="zh-CN"/>
        </w:rPr>
        <w:t>征集</w:t>
      </w:r>
      <w:r>
        <w:rPr>
          <w:rFonts w:hint="eastAsia" w:ascii="宋体" w:hAnsi="宋体"/>
          <w:szCs w:val="21"/>
        </w:rPr>
        <w:t>商务要求”，详细填写自身响应情况，而不能不合理照搬照抄</w:t>
      </w:r>
      <w:r>
        <w:rPr>
          <w:rFonts w:hint="eastAsia" w:ascii="宋体" w:hAnsi="宋体"/>
          <w:szCs w:val="21"/>
          <w:lang w:eastAsia="zh-CN"/>
        </w:rPr>
        <w:t>征集</w:t>
      </w:r>
      <w:r>
        <w:rPr>
          <w:rFonts w:hint="eastAsia" w:ascii="宋体" w:hAnsi="宋体"/>
          <w:szCs w:val="21"/>
        </w:rPr>
        <w:t>文件的商务要求，以体现具体响应情况。</w:t>
      </w:r>
    </w:p>
    <w:p w14:paraId="401E1F14">
      <w:pPr>
        <w:spacing w:line="360" w:lineRule="auto"/>
        <w:ind w:right="84" w:rightChars="40"/>
        <w:rPr>
          <w:rFonts w:hint="eastAsia" w:ascii="宋体" w:hAnsi="宋体"/>
          <w:szCs w:val="21"/>
        </w:rPr>
      </w:pPr>
      <w:r>
        <w:rPr>
          <w:rFonts w:hint="eastAsia" w:ascii="宋体" w:hAnsi="宋体"/>
          <w:szCs w:val="21"/>
          <w:lang w:val="en-US" w:eastAsia="zh-CN"/>
        </w:rPr>
        <w:t>2</w:t>
      </w:r>
      <w:r>
        <w:rPr>
          <w:rFonts w:hint="eastAsia" w:ascii="宋体" w:hAnsi="宋体"/>
          <w:szCs w:val="21"/>
        </w:rPr>
        <w:t>、“偏离情况”一栏如实填写“正偏离”、“负偏离”或“无偏离”，其中：“正偏离”表示“投标</w:t>
      </w:r>
      <w:r>
        <w:rPr>
          <w:rFonts w:hint="eastAsia" w:ascii="宋体" w:hAnsi="宋体"/>
          <w:szCs w:val="21"/>
          <w:lang w:val="en-US" w:eastAsia="zh-CN"/>
        </w:rPr>
        <w:t>商务</w:t>
      </w:r>
      <w:r>
        <w:rPr>
          <w:rFonts w:hint="eastAsia" w:ascii="宋体" w:hAnsi="宋体"/>
          <w:szCs w:val="21"/>
        </w:rPr>
        <w:t>响应优于</w:t>
      </w:r>
      <w:r>
        <w:rPr>
          <w:rFonts w:hint="eastAsia" w:ascii="宋体" w:hAnsi="宋体"/>
          <w:szCs w:val="21"/>
          <w:lang w:eastAsia="zh-CN"/>
        </w:rPr>
        <w:t>征集</w:t>
      </w:r>
      <w:r>
        <w:rPr>
          <w:rFonts w:hint="eastAsia" w:ascii="宋体" w:hAnsi="宋体"/>
          <w:szCs w:val="21"/>
        </w:rPr>
        <w:t>商务要求”，“负偏离”表示“投标</w:t>
      </w:r>
      <w:r>
        <w:rPr>
          <w:rFonts w:hint="eastAsia" w:ascii="宋体" w:hAnsi="宋体"/>
          <w:szCs w:val="21"/>
          <w:lang w:val="en-US" w:eastAsia="zh-CN"/>
        </w:rPr>
        <w:t>商务</w:t>
      </w:r>
      <w:r>
        <w:rPr>
          <w:rFonts w:hint="eastAsia" w:ascii="宋体" w:hAnsi="宋体"/>
          <w:szCs w:val="21"/>
        </w:rPr>
        <w:t>响应不满足</w:t>
      </w:r>
      <w:r>
        <w:rPr>
          <w:rFonts w:hint="eastAsia" w:ascii="宋体" w:hAnsi="宋体"/>
          <w:szCs w:val="21"/>
          <w:lang w:eastAsia="zh-CN"/>
        </w:rPr>
        <w:t>征集</w:t>
      </w:r>
      <w:r>
        <w:rPr>
          <w:rFonts w:hint="eastAsia" w:ascii="宋体" w:hAnsi="宋体"/>
          <w:szCs w:val="21"/>
        </w:rPr>
        <w:t>商务要求”，“无偏离”表示“投标</w:t>
      </w:r>
      <w:r>
        <w:rPr>
          <w:rFonts w:hint="eastAsia" w:ascii="宋体" w:hAnsi="宋体"/>
          <w:szCs w:val="21"/>
          <w:lang w:val="en-US" w:eastAsia="zh-CN"/>
        </w:rPr>
        <w:t>商务</w:t>
      </w:r>
      <w:r>
        <w:rPr>
          <w:rFonts w:hint="eastAsia" w:ascii="宋体" w:hAnsi="宋体"/>
          <w:szCs w:val="21"/>
        </w:rPr>
        <w:t>响应与</w:t>
      </w:r>
      <w:r>
        <w:rPr>
          <w:rFonts w:hint="eastAsia" w:ascii="宋体" w:hAnsi="宋体"/>
          <w:szCs w:val="21"/>
          <w:lang w:eastAsia="zh-CN"/>
        </w:rPr>
        <w:t>征集</w:t>
      </w:r>
      <w:r>
        <w:rPr>
          <w:rFonts w:hint="eastAsia" w:ascii="宋体" w:hAnsi="宋体"/>
          <w:szCs w:val="21"/>
        </w:rPr>
        <w:t>商务要求一致”。</w:t>
      </w:r>
    </w:p>
    <w:p w14:paraId="381E0A73">
      <w:pPr>
        <w:spacing w:line="360" w:lineRule="auto"/>
        <w:ind w:right="84" w:rightChars="40"/>
        <w:rPr>
          <w:rFonts w:hint="eastAsia" w:ascii="宋体" w:hAnsi="宋体"/>
          <w:szCs w:val="21"/>
        </w:rPr>
      </w:pPr>
      <w:r>
        <w:rPr>
          <w:rFonts w:hint="eastAsia" w:ascii="宋体" w:hAnsi="宋体"/>
          <w:szCs w:val="21"/>
          <w:lang w:val="en-US" w:eastAsia="zh-CN"/>
        </w:rPr>
        <w:t>3</w:t>
      </w:r>
      <w:r>
        <w:rPr>
          <w:rFonts w:hint="eastAsia" w:ascii="宋体" w:hAnsi="宋体"/>
          <w:szCs w:val="21"/>
        </w:rPr>
        <w:t>、“投标商务响应”对比“</w:t>
      </w:r>
      <w:r>
        <w:rPr>
          <w:rFonts w:hint="eastAsia" w:ascii="宋体" w:hAnsi="宋体"/>
          <w:szCs w:val="21"/>
          <w:lang w:eastAsia="zh-CN"/>
        </w:rPr>
        <w:t>征集</w:t>
      </w:r>
      <w:r>
        <w:rPr>
          <w:rFonts w:hint="eastAsia" w:ascii="宋体" w:hAnsi="宋体"/>
          <w:szCs w:val="21"/>
        </w:rPr>
        <w:t>商务要求”存在响应不全（包括未响应整项</w:t>
      </w:r>
      <w:r>
        <w:rPr>
          <w:rFonts w:hint="eastAsia" w:ascii="宋体" w:hAnsi="宋体"/>
          <w:szCs w:val="21"/>
          <w:lang w:eastAsia="zh-CN"/>
        </w:rPr>
        <w:t>征集</w:t>
      </w:r>
      <w:r>
        <w:rPr>
          <w:rFonts w:hint="eastAsia" w:ascii="宋体" w:hAnsi="宋体"/>
          <w:szCs w:val="21"/>
        </w:rPr>
        <w:t>商务要求或者未响应一项</w:t>
      </w:r>
      <w:r>
        <w:rPr>
          <w:rFonts w:hint="eastAsia" w:ascii="宋体" w:hAnsi="宋体"/>
          <w:szCs w:val="21"/>
          <w:lang w:eastAsia="zh-CN"/>
        </w:rPr>
        <w:t>征集</w:t>
      </w:r>
      <w:r>
        <w:rPr>
          <w:rFonts w:hint="eastAsia" w:ascii="宋体" w:hAnsi="宋体"/>
          <w:szCs w:val="21"/>
        </w:rPr>
        <w:t>商务要求的部分内容），均视为“负偏离”。</w:t>
      </w:r>
    </w:p>
    <w:p w14:paraId="0D577773">
      <w:pPr>
        <w:adjustRightInd w:val="0"/>
        <w:snapToGrid w:val="0"/>
        <w:spacing w:line="300" w:lineRule="auto"/>
        <w:rPr>
          <w:rFonts w:hint="eastAsia" w:ascii="宋体" w:hAnsi="宋体" w:eastAsia="宋体" w:cs="宋体"/>
          <w:sz w:val="24"/>
          <w:highlight w:val="none"/>
        </w:rPr>
      </w:pPr>
    </w:p>
    <w:p w14:paraId="3DEAE6B1">
      <w:pPr>
        <w:adjustRightInd w:val="0"/>
        <w:snapToGrid w:val="0"/>
        <w:spacing w:line="300" w:lineRule="auto"/>
        <w:ind w:firstLine="470" w:firstLineChars="224"/>
        <w:rPr>
          <w:rFonts w:hint="eastAsia" w:ascii="宋体" w:hAnsi="宋体" w:eastAsia="宋体" w:cs="宋体"/>
          <w:szCs w:val="21"/>
          <w:highlight w:val="none"/>
        </w:rPr>
      </w:pPr>
      <w:r>
        <w:rPr>
          <w:rFonts w:hint="eastAsia" w:ascii="宋体" w:hAnsi="宋体" w:eastAsia="宋体" w:cs="宋体"/>
          <w:szCs w:val="21"/>
          <w:highlight w:val="none"/>
        </w:rPr>
        <w:t>投标人法定代表人（或法定代表人授权代表）签字：</w:t>
      </w:r>
      <w:r>
        <w:rPr>
          <w:rFonts w:hint="eastAsia" w:ascii="宋体" w:hAnsi="宋体" w:eastAsia="宋体" w:cs="宋体"/>
          <w:szCs w:val="21"/>
          <w:highlight w:val="none"/>
          <w:u w:val="single"/>
        </w:rPr>
        <w:t xml:space="preserve">               </w:t>
      </w:r>
    </w:p>
    <w:p w14:paraId="40FCA40A">
      <w:pPr>
        <w:adjustRightInd w:val="0"/>
        <w:snapToGrid w:val="0"/>
        <w:spacing w:line="300" w:lineRule="auto"/>
        <w:ind w:firstLine="470" w:firstLineChars="224"/>
        <w:rPr>
          <w:rFonts w:hint="eastAsia" w:ascii="宋体" w:hAnsi="宋体" w:eastAsia="宋体" w:cs="宋体"/>
          <w:szCs w:val="21"/>
          <w:highlight w:val="none"/>
          <w:u w:val="single"/>
        </w:rPr>
      </w:pPr>
      <w:r>
        <w:rPr>
          <w:rFonts w:hint="eastAsia" w:ascii="宋体" w:hAnsi="宋体" w:eastAsia="宋体" w:cs="宋体"/>
          <w:szCs w:val="21"/>
          <w:highlight w:val="none"/>
        </w:rPr>
        <w:t>投标人名称（加盖公章）：</w:t>
      </w:r>
      <w:r>
        <w:rPr>
          <w:rFonts w:hint="eastAsia" w:ascii="宋体" w:hAnsi="宋体" w:eastAsia="宋体" w:cs="宋体"/>
          <w:szCs w:val="21"/>
          <w:highlight w:val="none"/>
          <w:u w:val="single"/>
        </w:rPr>
        <w:t xml:space="preserve">                        </w:t>
      </w:r>
    </w:p>
    <w:p w14:paraId="453EC51C">
      <w:pPr>
        <w:ind w:left="2" w:firstLine="470" w:firstLineChars="224"/>
        <w:rPr>
          <w:rFonts w:ascii="Arial" w:hAnsi="Arial" w:eastAsia="黑体"/>
          <w:bCs/>
          <w:sz w:val="32"/>
          <w:szCs w:val="32"/>
        </w:rPr>
      </w:pPr>
      <w:r>
        <w:rPr>
          <w:rFonts w:hint="eastAsia" w:ascii="宋体" w:hAnsi="宋体" w:eastAsia="宋体" w:cs="宋体"/>
          <w:szCs w:val="21"/>
          <w:highlight w:val="none"/>
        </w:rPr>
        <w:t>日期：   年   月   日</w:t>
      </w:r>
      <w:bookmarkStart w:id="103" w:name="_Toc435514878"/>
      <w:bookmarkStart w:id="104" w:name="_Toc173553195"/>
      <w:bookmarkStart w:id="105" w:name="_Toc275865626"/>
      <w:bookmarkStart w:id="106" w:name="_Toc435515318"/>
    </w:p>
    <w:p w14:paraId="57099E2D">
      <w:pPr>
        <w:pStyle w:val="3"/>
        <w:numPr>
          <w:ilvl w:val="0"/>
          <w:numId w:val="0"/>
        </w:numPr>
        <w:jc w:val="center"/>
        <w:outlineLvl w:val="9"/>
        <w:rPr>
          <w:rFonts w:hint="eastAsia" w:ascii="宋体" w:hAnsi="宋体" w:cs="宋体" w:eastAsiaTheme="minorEastAsia"/>
          <w:kern w:val="2"/>
          <w:sz w:val="30"/>
          <w:szCs w:val="30"/>
          <w:lang w:val="en-US" w:eastAsia="zh-CN" w:bidi="ar-SA"/>
        </w:rPr>
      </w:pPr>
      <w:bookmarkStart w:id="107" w:name="_Toc5084"/>
      <w:bookmarkStart w:id="108" w:name="_Toc23178"/>
      <w:bookmarkStart w:id="109" w:name="_Toc24015580"/>
    </w:p>
    <w:p w14:paraId="7A683F8F">
      <w:pPr>
        <w:pStyle w:val="3"/>
        <w:numPr>
          <w:ilvl w:val="0"/>
          <w:numId w:val="0"/>
        </w:numPr>
        <w:jc w:val="center"/>
        <w:outlineLvl w:val="9"/>
        <w:rPr>
          <w:rFonts w:hint="eastAsia" w:ascii="宋体" w:hAnsi="宋体" w:cs="宋体" w:eastAsiaTheme="minorEastAsia"/>
          <w:kern w:val="2"/>
          <w:sz w:val="30"/>
          <w:szCs w:val="30"/>
          <w:lang w:val="en-US" w:eastAsia="zh-CN" w:bidi="ar-SA"/>
        </w:rPr>
      </w:pPr>
    </w:p>
    <w:p w14:paraId="34D72260">
      <w:pPr>
        <w:pStyle w:val="3"/>
        <w:numPr>
          <w:ilvl w:val="0"/>
          <w:numId w:val="0"/>
        </w:numPr>
        <w:jc w:val="center"/>
        <w:outlineLvl w:val="9"/>
        <w:rPr>
          <w:rFonts w:hint="eastAsia" w:ascii="宋体" w:hAnsi="宋体" w:cs="宋体" w:eastAsiaTheme="minorEastAsia"/>
          <w:kern w:val="2"/>
          <w:sz w:val="30"/>
          <w:szCs w:val="30"/>
          <w:lang w:val="en-US" w:eastAsia="zh-CN" w:bidi="ar-SA"/>
        </w:rPr>
      </w:pPr>
    </w:p>
    <w:p w14:paraId="16B3BBAB">
      <w:pPr>
        <w:pStyle w:val="3"/>
        <w:numPr>
          <w:ilvl w:val="0"/>
          <w:numId w:val="0"/>
        </w:numPr>
        <w:ind w:left="0" w:leftChars="0" w:firstLine="0" w:firstLineChars="0"/>
        <w:jc w:val="center"/>
        <w:outlineLvl w:val="0"/>
        <w:rPr>
          <w:rFonts w:ascii="宋体" w:hAnsi="宋体"/>
          <w:sz w:val="30"/>
          <w:szCs w:val="30"/>
        </w:rPr>
      </w:pPr>
      <w:bookmarkStart w:id="110" w:name="_Toc27675"/>
      <w:r>
        <w:rPr>
          <w:rFonts w:hint="eastAsia" w:ascii="宋体" w:hAnsi="宋体" w:cs="宋体" w:eastAsiaTheme="minorEastAsia"/>
          <w:kern w:val="2"/>
          <w:sz w:val="30"/>
          <w:szCs w:val="30"/>
          <w:lang w:val="en-US" w:eastAsia="zh-CN" w:bidi="ar-SA"/>
        </w:rPr>
        <w:t>（</w:t>
      </w:r>
      <w:r>
        <w:rPr>
          <w:rFonts w:hint="eastAsia" w:ascii="宋体" w:hAnsi="宋体" w:cs="宋体"/>
          <w:kern w:val="2"/>
          <w:sz w:val="30"/>
          <w:szCs w:val="30"/>
          <w:lang w:val="en-US" w:eastAsia="zh-CN" w:bidi="ar-SA"/>
        </w:rPr>
        <w:t>二十二</w:t>
      </w:r>
      <w:r>
        <w:rPr>
          <w:rFonts w:hint="eastAsia" w:ascii="宋体" w:hAnsi="宋体" w:cs="宋体" w:eastAsiaTheme="minorEastAsia"/>
          <w:kern w:val="2"/>
          <w:sz w:val="30"/>
          <w:szCs w:val="30"/>
          <w:lang w:val="en-US" w:eastAsia="zh-CN" w:bidi="ar-SA"/>
        </w:rPr>
        <w:t>）</w:t>
      </w:r>
      <w:r>
        <w:rPr>
          <w:rFonts w:hint="eastAsia" w:ascii="宋体" w:hAnsi="宋体"/>
          <w:sz w:val="30"/>
          <w:szCs w:val="30"/>
        </w:rPr>
        <w:t>履约承诺函</w:t>
      </w:r>
      <w:bookmarkEnd w:id="110"/>
    </w:p>
    <w:p w14:paraId="06DFCD19">
      <w:pPr>
        <w:keepNext w:val="0"/>
        <w:keepLines w:val="0"/>
        <w:pageBreakBefore w:val="0"/>
        <w:widowControl w:val="0"/>
        <w:kinsoku/>
        <w:wordWrap/>
        <w:overflowPunct/>
        <w:topLinePunct w:val="0"/>
        <w:autoSpaceDE/>
        <w:autoSpaceDN/>
        <w:bidi w:val="0"/>
        <w:adjustRightInd w:val="0"/>
        <w:snapToGrid w:val="0"/>
        <w:spacing w:line="360" w:lineRule="auto"/>
        <w:ind w:left="422" w:hanging="422" w:hangingChars="200"/>
        <w:textAlignment w:val="auto"/>
        <w:rPr>
          <w:rFonts w:hint="eastAsia"/>
          <w:b/>
          <w:szCs w:val="21"/>
        </w:rPr>
      </w:pPr>
      <w:r>
        <w:rPr>
          <w:rFonts w:hint="eastAsia"/>
          <w:b/>
          <w:szCs w:val="21"/>
          <w:lang w:val="en-US" w:eastAsia="zh-CN"/>
        </w:rPr>
        <w:t>深圳市福田区第二人民医院</w:t>
      </w:r>
      <w:r>
        <w:rPr>
          <w:rFonts w:hint="eastAsia"/>
          <w:b/>
          <w:szCs w:val="21"/>
        </w:rPr>
        <w:t>：</w:t>
      </w:r>
    </w:p>
    <w:p w14:paraId="600BDB15">
      <w:pPr>
        <w:keepNext w:val="0"/>
        <w:keepLines w:val="0"/>
        <w:pageBreakBefore w:val="0"/>
        <w:widowControl w:val="0"/>
        <w:kinsoku/>
        <w:wordWrap/>
        <w:overflowPunct/>
        <w:topLinePunct w:val="0"/>
        <w:autoSpaceDE/>
        <w:autoSpaceDN/>
        <w:bidi w:val="0"/>
        <w:adjustRightInd w:val="0"/>
        <w:snapToGrid w:val="0"/>
        <w:spacing w:line="360" w:lineRule="auto"/>
        <w:ind w:left="422" w:hanging="420" w:hangingChars="200"/>
        <w:textAlignment w:val="auto"/>
        <w:rPr>
          <w:rFonts w:ascii="宋体" w:hAnsi="宋体"/>
          <w:szCs w:val="21"/>
        </w:rPr>
      </w:pPr>
      <w:r>
        <w:rPr>
          <w:rFonts w:hint="eastAsia" w:ascii="宋体" w:hAnsi="宋体"/>
          <w:szCs w:val="21"/>
        </w:rPr>
        <w:t>我公司承诺：</w:t>
      </w:r>
    </w:p>
    <w:p w14:paraId="044CCBB5">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firstLineChars="0"/>
        <w:textAlignment w:val="auto"/>
        <w:outlineLvl w:val="9"/>
        <w:rPr>
          <w:rFonts w:ascii="宋体" w:hAnsi="宋体"/>
          <w:szCs w:val="21"/>
        </w:rPr>
      </w:pPr>
      <w:r>
        <w:rPr>
          <w:rFonts w:hint="eastAsia" w:ascii="宋体" w:hAnsi="宋体"/>
          <w:szCs w:val="21"/>
          <w:lang w:val="en-US" w:eastAsia="zh-CN"/>
        </w:rPr>
        <w:t>1.</w:t>
      </w:r>
      <w:r>
        <w:rPr>
          <w:rFonts w:hint="eastAsia" w:ascii="宋体" w:hAnsi="宋体"/>
          <w:szCs w:val="21"/>
        </w:rPr>
        <w:t>我公司本</w:t>
      </w:r>
      <w:r>
        <w:rPr>
          <w:rFonts w:hint="eastAsia" w:ascii="宋体" w:hAnsi="宋体"/>
          <w:szCs w:val="21"/>
          <w:lang w:eastAsia="zh-CN"/>
        </w:rPr>
        <w:t>征集</w:t>
      </w:r>
      <w:r>
        <w:rPr>
          <w:rFonts w:hint="eastAsia" w:ascii="宋体" w:hAnsi="宋体"/>
          <w:szCs w:val="21"/>
        </w:rPr>
        <w:t>项目所提供的货物或服务未侵犯知识产权。</w:t>
      </w:r>
    </w:p>
    <w:p w14:paraId="5EC7A22A">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2.</w:t>
      </w:r>
      <w:r>
        <w:rPr>
          <w:rFonts w:hint="eastAsia" w:ascii="宋体" w:hAnsi="宋体"/>
          <w:szCs w:val="21"/>
        </w:rPr>
        <w:t>我公司参与本项目</w:t>
      </w:r>
      <w:r>
        <w:rPr>
          <w:rFonts w:hint="eastAsia"/>
          <w:szCs w:val="21"/>
        </w:rPr>
        <w:t>政府采购活动时不存在被有关部门禁止参与政府采购活动且在有效期内的情况。</w:t>
      </w:r>
    </w:p>
    <w:p w14:paraId="26098554">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firstLineChars="0"/>
        <w:textAlignment w:val="auto"/>
        <w:outlineLvl w:val="9"/>
        <w:rPr>
          <w:rFonts w:ascii="宋体" w:hAnsi="宋体" w:cs="宋体"/>
          <w:szCs w:val="21"/>
        </w:rPr>
      </w:pPr>
      <w:r>
        <w:rPr>
          <w:rFonts w:hint="eastAsia" w:ascii="宋体" w:hAnsi="宋体" w:cs="宋体"/>
          <w:kern w:val="0"/>
          <w:szCs w:val="21"/>
          <w:lang w:val="en-US" w:eastAsia="zh-CN"/>
        </w:rPr>
        <w:t>3.</w:t>
      </w:r>
      <w:r>
        <w:rPr>
          <w:rFonts w:hint="eastAsia" w:ascii="宋体" w:hAnsi="宋体" w:cs="宋体"/>
          <w:kern w:val="0"/>
          <w:szCs w:val="21"/>
        </w:rPr>
        <w:t>法律、行政法规规定的其他条件。</w:t>
      </w:r>
    </w:p>
    <w:p w14:paraId="2A0CE905">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4.</w:t>
      </w:r>
      <w:r>
        <w:rPr>
          <w:rFonts w:hint="eastAsia" w:ascii="宋体" w:hAnsi="宋体" w:cs="宋体"/>
          <w:szCs w:val="21"/>
        </w:rPr>
        <w:t>我公司具备《中华人民共和国政府采购法》第二十二条第一款规定的六项条件。</w:t>
      </w:r>
    </w:p>
    <w:p w14:paraId="19112A81">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5.</w:t>
      </w:r>
      <w:r>
        <w:rPr>
          <w:rFonts w:hint="eastAsia" w:ascii="宋体" w:hAnsi="宋体" w:cs="宋体"/>
          <w:szCs w:val="21"/>
        </w:rPr>
        <w:t>我公司未被列入失信被执行人、重大税收违法案件当事人名单、政府采购严重违法失信行为记录名单。</w:t>
      </w:r>
    </w:p>
    <w:p w14:paraId="489D07BA">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6.</w:t>
      </w:r>
      <w:r>
        <w:rPr>
          <w:rFonts w:hint="eastAsia" w:ascii="宋体" w:hAnsi="宋体" w:cs="宋体"/>
          <w:szCs w:val="21"/>
        </w:rPr>
        <w:t>我公司没有为采购项目同一合同项下提供整体设计、规范编制或者项目管理、监理、检测等服务。</w:t>
      </w:r>
    </w:p>
    <w:p w14:paraId="044E3019">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7.</w:t>
      </w:r>
      <w:r>
        <w:rPr>
          <w:rFonts w:hint="eastAsia" w:ascii="宋体" w:hAnsi="宋体"/>
          <w:szCs w:val="21"/>
        </w:rPr>
        <w:t>我公司承诺如与本项目同一合同项下其他的单位负责人为同一人或者存在直接控股、管理关系的情形，同意按</w:t>
      </w:r>
      <w:r>
        <w:rPr>
          <w:rFonts w:hint="eastAsia" w:ascii="宋体" w:hAnsi="宋体"/>
          <w:szCs w:val="21"/>
          <w:lang w:val="en-US" w:eastAsia="zh-CN"/>
        </w:rPr>
        <w:t>投标</w:t>
      </w:r>
      <w:r>
        <w:rPr>
          <w:rFonts w:hint="eastAsia" w:ascii="宋体" w:hAnsi="宋体"/>
          <w:szCs w:val="21"/>
        </w:rPr>
        <w:t>无效处理。</w:t>
      </w:r>
    </w:p>
    <w:p w14:paraId="0E3BCCD7">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8.</w:t>
      </w:r>
      <w:r>
        <w:rPr>
          <w:rFonts w:hint="eastAsia" w:ascii="宋体" w:hAnsi="宋体"/>
          <w:szCs w:val="21"/>
        </w:rPr>
        <w:t>我公司参与该项目</w:t>
      </w:r>
      <w:r>
        <w:rPr>
          <w:rFonts w:hint="eastAsia" w:ascii="宋体" w:hAnsi="宋体"/>
          <w:szCs w:val="21"/>
          <w:lang w:val="en-US" w:eastAsia="zh-CN"/>
        </w:rPr>
        <w:t>投标</w:t>
      </w:r>
      <w:r>
        <w:rPr>
          <w:rFonts w:hint="eastAsia" w:ascii="宋体" w:hAnsi="宋体"/>
          <w:szCs w:val="21"/>
        </w:rPr>
        <w:t>，严格遵循公平竞争的原则，不恶意串通，不妨碍其他议价的竞争行为，不损害贵院或者其他议价的合法权益。我公司已清楚，如违反上述要求，将作议价无效处理。</w:t>
      </w:r>
    </w:p>
    <w:p w14:paraId="7BD64138">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9.</w:t>
      </w:r>
      <w:r>
        <w:rPr>
          <w:rFonts w:hint="eastAsia" w:ascii="宋体" w:hAnsi="宋体"/>
          <w:szCs w:val="21"/>
        </w:rPr>
        <w:t>我公司如果中标，做到守信，不偷工减料，依照本项目采购文件需求内容、签署的采购合同及本公司在议价中所作的一切承诺履约。</w:t>
      </w:r>
    </w:p>
    <w:p w14:paraId="1757DA05">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10.</w:t>
      </w:r>
      <w:r>
        <w:rPr>
          <w:rFonts w:hint="eastAsia" w:ascii="宋体" w:hAnsi="宋体"/>
          <w:szCs w:val="21"/>
        </w:rPr>
        <w:t>我公司对本项目的报价负责，中标后将严格按照本项目需求、签署的采购合同及我公司在议价中所作的全部承诺履行。我公司清楚，若我公司以“报价太低而无法履约”为理由放弃本项目中标资格时，将接受主管部门的处理处罚。若我公司中标本项目，我公司的报价明显低于其他议价的报价时，我公司清楚，本项目将成为重点监管、重点验收项目，我公司将按时保质保量完成，并全力配合有关监管、验收工作；若我公司未按上述要求履约，我公司愿意接受主管部门的处理处罚。</w:t>
      </w:r>
    </w:p>
    <w:p w14:paraId="1829F7B5">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11.</w:t>
      </w:r>
      <w:r>
        <w:rPr>
          <w:rFonts w:hint="eastAsia" w:ascii="宋体" w:hAnsi="宋体"/>
          <w:szCs w:val="21"/>
        </w:rPr>
        <w:t>我公司已认真核实了响应文件的全部内容，所有资料均为真实资料。我公司对响应文件中全部</w:t>
      </w:r>
      <w:r>
        <w:rPr>
          <w:rFonts w:hint="eastAsia" w:ascii="宋体" w:hAnsi="宋体"/>
          <w:szCs w:val="21"/>
          <w:lang w:val="en-US" w:eastAsia="zh-CN"/>
        </w:rPr>
        <w:t>投标</w:t>
      </w:r>
      <w:r>
        <w:rPr>
          <w:rFonts w:hint="eastAsia" w:ascii="宋体" w:hAnsi="宋体"/>
          <w:szCs w:val="21"/>
        </w:rPr>
        <w:t>资料的真实性负责，如被证实我公司的响应文件中存在虚假资料的，则视为我公司隐瞒真实情况、提供虚假资料，我公司愿意接受主管部门作出的行政处罚。</w:t>
      </w:r>
    </w:p>
    <w:p w14:paraId="4EE04E8F">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firstLineChars="0"/>
        <w:textAlignment w:val="auto"/>
        <w:outlineLvl w:val="9"/>
        <w:rPr>
          <w:rFonts w:ascii="宋体" w:hAnsi="宋体"/>
          <w:szCs w:val="21"/>
        </w:rPr>
      </w:pPr>
      <w:r>
        <w:rPr>
          <w:rFonts w:hint="eastAsia" w:ascii="宋体" w:hAnsi="宋体"/>
          <w:szCs w:val="21"/>
          <w:lang w:val="en-US" w:eastAsia="zh-CN"/>
        </w:rPr>
        <w:t>12.</w:t>
      </w:r>
      <w:r>
        <w:rPr>
          <w:rFonts w:hint="eastAsia" w:ascii="宋体" w:hAnsi="宋体"/>
          <w:szCs w:val="21"/>
        </w:rPr>
        <w:t>我公司承诺不非法转包、分包。</w:t>
      </w:r>
    </w:p>
    <w:p w14:paraId="20E1EEBB">
      <w:pPr>
        <w:keepNext w:val="0"/>
        <w:keepLines w:val="0"/>
        <w:pageBreakBefore w:val="0"/>
        <w:widowControl w:val="0"/>
        <w:kinsoku/>
        <w:wordWrap/>
        <w:overflowPunct/>
        <w:topLinePunct w:val="0"/>
        <w:autoSpaceDE/>
        <w:autoSpaceDN/>
        <w:bidi w:val="0"/>
        <w:adjustRightInd/>
        <w:snapToGrid w:val="0"/>
        <w:spacing w:line="360" w:lineRule="auto"/>
        <w:ind w:left="0" w:firstLine="0" w:firstLineChars="0"/>
        <w:textAlignment w:val="auto"/>
        <w:rPr>
          <w:szCs w:val="21"/>
        </w:rPr>
      </w:pPr>
      <w:r>
        <w:rPr>
          <w:rFonts w:hint="eastAsia" w:ascii="宋体" w:hAnsi="宋体"/>
          <w:szCs w:val="21"/>
        </w:rPr>
        <w:t>以上承诺，如有违反，愿依照国家相关法律处理，并承担由此给贵院带来的损失。</w:t>
      </w:r>
    </w:p>
    <w:p w14:paraId="5BB28807">
      <w:pPr>
        <w:spacing w:line="360" w:lineRule="auto"/>
        <w:ind w:firstLine="420"/>
        <w:jc w:val="center"/>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lang w:val="en-US" w:eastAsia="zh-CN"/>
          <w14:textFill>
            <w14:solidFill>
              <w14:schemeClr w14:val="tx1"/>
            </w14:solidFill>
          </w14:textFill>
        </w:rPr>
        <w:t xml:space="preserve">                             投标</w:t>
      </w:r>
      <w:r>
        <w:rPr>
          <w:rFonts w:hint="eastAsia" w:ascii="宋体" w:hAnsi="宋体" w:cs="宋体"/>
          <w:b/>
          <w:bCs/>
          <w:color w:val="000000" w:themeColor="text1"/>
          <w:sz w:val="24"/>
          <w14:textFill>
            <w14:solidFill>
              <w14:schemeClr w14:val="tx1"/>
            </w14:solidFill>
          </w14:textFill>
        </w:rPr>
        <w:t>单位名称：</w:t>
      </w:r>
      <w:r>
        <w:rPr>
          <w:rFonts w:hint="eastAsia" w:ascii="宋体" w:hAnsi="宋体" w:cs="宋体"/>
          <w:color w:val="000000" w:themeColor="text1"/>
          <w:sz w:val="24"/>
          <w14:textFill>
            <w14:solidFill>
              <w14:schemeClr w14:val="tx1"/>
            </w14:solidFill>
          </w14:textFill>
        </w:rPr>
        <w:t>　　　　　　　</w:t>
      </w:r>
    </w:p>
    <w:p w14:paraId="64C0F3BF">
      <w:pPr>
        <w:spacing w:line="360" w:lineRule="auto"/>
        <w:ind w:firstLine="420"/>
        <w:jc w:val="center"/>
        <w:rPr>
          <w:rFonts w:hint="eastAsia" w:ascii="宋体" w:hAnsi="宋体" w:cs="宋体"/>
          <w:b/>
          <w:bCs/>
          <w:sz w:val="24"/>
        </w:rPr>
      </w:pP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
          <w:bCs/>
          <w:sz w:val="24"/>
        </w:rPr>
        <w:t>年</w:t>
      </w:r>
      <w:r>
        <w:rPr>
          <w:rFonts w:hint="eastAsia" w:ascii="宋体" w:hAnsi="宋体" w:cs="宋体"/>
          <w:b/>
          <w:bCs/>
          <w:sz w:val="24"/>
          <w:lang w:val="en-US" w:eastAsia="zh-CN"/>
        </w:rPr>
        <w:t xml:space="preserve">  </w:t>
      </w:r>
      <w:r>
        <w:rPr>
          <w:rFonts w:hint="eastAsia" w:ascii="宋体" w:hAnsi="宋体" w:cs="宋体"/>
          <w:b/>
          <w:bCs/>
          <w:sz w:val="24"/>
        </w:rPr>
        <w:t>月</w:t>
      </w:r>
      <w:r>
        <w:rPr>
          <w:rFonts w:hint="eastAsia" w:ascii="宋体" w:hAnsi="宋体" w:cs="宋体"/>
          <w:b/>
          <w:bCs/>
          <w:sz w:val="24"/>
          <w:lang w:val="en-US" w:eastAsia="zh-CN"/>
        </w:rPr>
        <w:t xml:space="preserve">  </w:t>
      </w:r>
      <w:r>
        <w:rPr>
          <w:rFonts w:hint="eastAsia" w:ascii="宋体" w:hAnsi="宋体" w:cs="宋体"/>
          <w:b/>
          <w:bCs/>
          <w:sz w:val="24"/>
        </w:rPr>
        <w:t>日</w:t>
      </w:r>
    </w:p>
    <w:p w14:paraId="22065317">
      <w:pPr>
        <w:spacing w:line="360" w:lineRule="auto"/>
        <w:ind w:firstLine="4578" w:firstLineChars="1900"/>
        <w:jc w:val="both"/>
        <w:outlineLvl w:val="9"/>
        <w:rPr>
          <w:rFonts w:hint="eastAsia" w:cs="宋体" w:asciiTheme="majorEastAsia" w:hAnsiTheme="majorEastAsia" w:eastAsiaTheme="majorEastAsia"/>
          <w:kern w:val="2"/>
          <w:sz w:val="30"/>
          <w:szCs w:val="30"/>
          <w:lang w:val="en-US" w:eastAsia="zh-CN" w:bidi="ar-SA"/>
        </w:rPr>
      </w:pPr>
      <w:r>
        <w:rPr>
          <w:rFonts w:hint="eastAsia" w:ascii="宋体" w:hAnsi="宋体" w:cs="宋体"/>
          <w:b/>
          <w:sz w:val="24"/>
        </w:rPr>
        <w:t>（此处加盖</w:t>
      </w:r>
      <w:r>
        <w:rPr>
          <w:rFonts w:hint="eastAsia" w:ascii="宋体" w:hAnsi="宋体" w:cs="宋体"/>
          <w:b/>
          <w:sz w:val="24"/>
          <w:lang w:val="en-US" w:eastAsia="zh-CN"/>
        </w:rPr>
        <w:t>投标</w:t>
      </w:r>
      <w:r>
        <w:rPr>
          <w:rFonts w:hint="eastAsia" w:ascii="宋体" w:hAnsi="宋体" w:cs="宋体"/>
          <w:b/>
          <w:sz w:val="24"/>
        </w:rPr>
        <w:t>单位公章）</w:t>
      </w:r>
    </w:p>
    <w:p w14:paraId="2E0EBD0A">
      <w:pPr>
        <w:numPr>
          <w:ilvl w:val="0"/>
          <w:numId w:val="0"/>
        </w:numPr>
        <w:ind w:left="0" w:leftChars="0" w:firstLine="0" w:firstLineChars="0"/>
        <w:jc w:val="center"/>
        <w:outlineLvl w:val="0"/>
        <w:rPr>
          <w:rFonts w:hint="eastAsia" w:asciiTheme="minorEastAsia" w:hAnsiTheme="minorEastAsia" w:cstheme="minorEastAsia"/>
          <w:sz w:val="30"/>
          <w:szCs w:val="30"/>
        </w:rPr>
      </w:pPr>
      <w:bookmarkStart w:id="111" w:name="_Toc22683"/>
      <w:r>
        <w:rPr>
          <w:rFonts w:hint="eastAsia" w:asciiTheme="minorEastAsia" w:hAnsiTheme="minorEastAsia" w:eastAsiaTheme="minorEastAsia" w:cstheme="minorEastAsia"/>
          <w:kern w:val="2"/>
          <w:sz w:val="30"/>
          <w:szCs w:val="30"/>
          <w:lang w:val="en-US" w:eastAsia="zh-CN" w:bidi="ar-SA"/>
        </w:rPr>
        <w:t>（</w:t>
      </w:r>
      <w:r>
        <w:rPr>
          <w:rFonts w:hint="eastAsia" w:asciiTheme="minorEastAsia" w:hAnsiTheme="minorEastAsia" w:cstheme="minorEastAsia"/>
          <w:kern w:val="2"/>
          <w:sz w:val="30"/>
          <w:szCs w:val="30"/>
          <w:lang w:val="en-US" w:eastAsia="zh-CN" w:bidi="ar-SA"/>
        </w:rPr>
        <w:t>二十三</w:t>
      </w:r>
      <w:r>
        <w:rPr>
          <w:rFonts w:hint="eastAsia" w:asciiTheme="minorEastAsia" w:hAnsiTheme="minorEastAsia" w:eastAsiaTheme="minorEastAsia" w:cstheme="minorEastAsia"/>
          <w:kern w:val="2"/>
          <w:sz w:val="30"/>
          <w:szCs w:val="30"/>
          <w:lang w:val="en-US" w:eastAsia="zh-CN" w:bidi="ar-SA"/>
        </w:rPr>
        <w:t>）</w:t>
      </w:r>
      <w:r>
        <w:rPr>
          <w:rFonts w:hint="eastAsia" w:asciiTheme="minorEastAsia" w:hAnsiTheme="minorEastAsia" w:cstheme="minorEastAsia"/>
          <w:sz w:val="30"/>
          <w:szCs w:val="30"/>
        </w:rPr>
        <w:t>售后服务承诺</w:t>
      </w:r>
      <w:bookmarkEnd w:id="111"/>
    </w:p>
    <w:p w14:paraId="37889004">
      <w:pPr>
        <w:numPr>
          <w:ilvl w:val="0"/>
          <w:numId w:val="0"/>
        </w:numPr>
        <w:rPr>
          <w:rFonts w:hint="eastAsia" w:asciiTheme="minorEastAsia" w:hAnsiTheme="minorEastAsia" w:cstheme="minorEastAsia"/>
          <w:sz w:val="24"/>
        </w:rPr>
      </w:pPr>
    </w:p>
    <w:p w14:paraId="0C827B89">
      <w:pPr>
        <w:widowControl/>
        <w:spacing w:after="200" w:line="220" w:lineRule="atLeast"/>
        <w:jc w:val="center"/>
        <w:outlineLvl w:val="1"/>
        <w:rPr>
          <w:rFonts w:hint="eastAsia" w:asciiTheme="minorEastAsia" w:hAnsiTheme="minorEastAsia" w:eastAsiaTheme="minorEastAsia" w:cstheme="minorEastAsia"/>
          <w:sz w:val="24"/>
          <w:highlight w:val="yellow"/>
          <w:lang w:eastAsia="zh-CN"/>
        </w:rPr>
      </w:pPr>
      <w:r>
        <w:rPr>
          <w:rFonts w:asciiTheme="minorEastAsia" w:hAnsiTheme="minorEastAsia" w:cstheme="minorEastAsia"/>
          <w:sz w:val="24"/>
          <w:highlight w:val="yellow"/>
        </w:rPr>
        <w:t>每年</w:t>
      </w:r>
      <w:r>
        <w:rPr>
          <w:rFonts w:hint="eastAsia" w:asciiTheme="minorEastAsia" w:hAnsiTheme="minorEastAsia" w:cstheme="minorEastAsia"/>
          <w:sz w:val="24"/>
          <w:highlight w:val="red"/>
          <w:lang w:val="en-US" w:eastAsia="zh-CN"/>
        </w:rPr>
        <w:t xml:space="preserve">  </w:t>
      </w:r>
      <w:r>
        <w:rPr>
          <w:rFonts w:asciiTheme="minorEastAsia" w:hAnsiTheme="minorEastAsia" w:cstheme="minorEastAsia"/>
          <w:sz w:val="24"/>
          <w:highlight w:val="yellow"/>
        </w:rPr>
        <w:t>次</w:t>
      </w:r>
      <w:r>
        <w:rPr>
          <w:rFonts w:hint="eastAsia" w:asciiTheme="minorEastAsia" w:hAnsiTheme="minorEastAsia" w:cstheme="minorEastAsia"/>
          <w:sz w:val="24"/>
          <w:highlight w:val="yellow"/>
          <w:lang w:val="en-US" w:eastAsia="zh-CN"/>
        </w:rPr>
        <w:t>维保</w:t>
      </w:r>
      <w:r>
        <w:rPr>
          <w:rFonts w:hint="eastAsia" w:asciiTheme="minorEastAsia" w:hAnsiTheme="minorEastAsia" w:cstheme="minorEastAsia"/>
          <w:sz w:val="24"/>
          <w:highlight w:val="yellow"/>
          <w:lang w:eastAsia="zh-CN"/>
        </w:rPr>
        <w:t>承诺</w:t>
      </w:r>
    </w:p>
    <w:p w14:paraId="4F2BE074">
      <w:pPr>
        <w:widowControl/>
        <w:spacing w:after="200" w:line="220" w:lineRule="atLeast"/>
        <w:ind w:left="420" w:hanging="420" w:hangingChars="200"/>
        <w:jc w:val="left"/>
        <w:rPr>
          <w:rFonts w:ascii="宋体" w:hAnsi="宋体" w:cs="宋体"/>
          <w:szCs w:val="21"/>
        </w:rPr>
      </w:pPr>
      <w:r>
        <w:rPr>
          <w:rFonts w:ascii="宋体" w:hAnsi="宋体" w:cs="宋体"/>
          <w:szCs w:val="21"/>
        </w:rPr>
        <w:t>深圳市福田区第二人民医院：</w:t>
      </w:r>
    </w:p>
    <w:p w14:paraId="0E78352C">
      <w:pPr>
        <w:ind w:firstLine="420" w:firstLineChars="200"/>
        <w:rPr>
          <w:rFonts w:ascii="宋体" w:hAnsi="宋体" w:cs="宋体"/>
          <w:szCs w:val="21"/>
        </w:rPr>
      </w:pPr>
      <w:r>
        <w:rPr>
          <w:rFonts w:ascii="宋体" w:hAnsi="宋体" w:cs="宋体"/>
          <w:szCs w:val="21"/>
        </w:rPr>
        <w:t>在您的支持和信任之下，为保障您的利益，使您得到更好更优质的服务，我司在此做出如下承诺：</w:t>
      </w:r>
    </w:p>
    <w:p w14:paraId="20163C6E">
      <w:pPr>
        <w:numPr>
          <w:ilvl w:val="0"/>
          <w:numId w:val="15"/>
        </w:numPr>
        <w:ind w:left="210" w:hanging="210" w:hangingChars="100"/>
        <w:rPr>
          <w:rFonts w:ascii="宋体" w:hAnsi="宋体" w:cs="宋体"/>
          <w:szCs w:val="21"/>
        </w:rPr>
      </w:pPr>
      <w:r>
        <w:rPr>
          <w:rFonts w:ascii="宋体" w:hAnsi="宋体" w:cs="宋体"/>
          <w:szCs w:val="21"/>
        </w:rPr>
        <w:t>安装前准备工作：</w:t>
      </w:r>
      <w:r>
        <w:rPr>
          <w:rFonts w:ascii="宋体" w:hAnsi="宋体" w:cs="宋体"/>
          <w:szCs w:val="21"/>
        </w:rPr>
        <w:br w:type="textWrapping"/>
      </w:r>
      <w:r>
        <w:rPr>
          <w:rFonts w:ascii="宋体" w:hAnsi="宋体" w:cs="宋体"/>
          <w:szCs w:val="21"/>
        </w:rPr>
        <w:t>我方所提</w:t>
      </w:r>
      <w:r>
        <w:rPr>
          <w:rFonts w:ascii="Calibri" w:hAnsi="Calibri" w:eastAsia="宋体" w:cs="Times New Roman"/>
          <w:color w:val="000000"/>
        </w:rPr>
        <w:t>供的设备必须是全新（包括零部件）的设备</w:t>
      </w:r>
      <w:r>
        <w:rPr>
          <w:rFonts w:hint="eastAsia" w:ascii="Calibri" w:hAnsi="Calibri" w:eastAsia="宋体" w:cs="Times New Roman"/>
          <w:color w:val="000000"/>
        </w:rPr>
        <w:t>,</w:t>
      </w:r>
      <w:r>
        <w:rPr>
          <w:rFonts w:hint="eastAsia" w:ascii="Calibri" w:hAnsi="Calibri" w:eastAsia="宋体" w:cs="Times New Roman"/>
          <w:color w:val="FF0000"/>
        </w:rPr>
        <w:t xml:space="preserve"> </w:t>
      </w:r>
      <w:r>
        <w:rPr>
          <w:rFonts w:hint="eastAsia" w:ascii="Calibri" w:hAnsi="Calibri" w:eastAsia="宋体" w:cs="Times New Roman"/>
          <w:color w:val="000000"/>
        </w:rPr>
        <w:t>出厂日期在采购人收到日期前12个月内，最新生产批次且经检验合格的产品。</w:t>
      </w:r>
      <w:r>
        <w:rPr>
          <w:rFonts w:ascii="Calibri" w:hAnsi="Calibri" w:eastAsia="宋体" w:cs="Times New Roman"/>
          <w:color w:val="000000"/>
        </w:rPr>
        <w:t>设备到达甲方安装现场时外包装应完好无损。本合同项下设备必须符合国家检测标准。</w:t>
      </w:r>
    </w:p>
    <w:p w14:paraId="3F31591F">
      <w:pPr>
        <w:numPr>
          <w:ilvl w:val="0"/>
          <w:numId w:val="15"/>
        </w:numPr>
        <w:ind w:left="210" w:hanging="210" w:hangingChars="100"/>
        <w:rPr>
          <w:szCs w:val="21"/>
        </w:rPr>
      </w:pPr>
      <w:r>
        <w:rPr>
          <w:rFonts w:ascii="宋体" w:hAnsi="宋体" w:cs="宋体"/>
          <w:szCs w:val="21"/>
        </w:rPr>
        <w:t>安装与调试及培训</w:t>
      </w:r>
      <w:r>
        <w:rPr>
          <w:rFonts w:ascii="宋体" w:hAnsi="宋体" w:cs="宋体"/>
          <w:szCs w:val="21"/>
        </w:rPr>
        <w:br w:type="textWrapping"/>
      </w:r>
      <w:r>
        <w:rPr>
          <w:rFonts w:ascii="宋体" w:hAnsi="宋体" w:cs="宋体"/>
          <w:szCs w:val="21"/>
        </w:rPr>
        <w:t>1.我方对所提供的设备负责现场指导安装与调试直至系统正常运行。</w:t>
      </w:r>
      <w:r>
        <w:rPr>
          <w:rFonts w:ascii="宋体" w:hAnsi="宋体" w:cs="宋体"/>
          <w:szCs w:val="21"/>
        </w:rPr>
        <w:br w:type="textWrapping"/>
      </w:r>
      <w:r>
        <w:rPr>
          <w:rFonts w:ascii="宋体" w:hAnsi="宋体" w:cs="宋体"/>
          <w:szCs w:val="21"/>
        </w:rPr>
        <w:t>2.安装调试完成后我方将在安装现场由具有</w:t>
      </w:r>
      <w:r>
        <w:rPr>
          <w:rFonts w:hint="eastAsia" w:ascii="宋体" w:hAnsi="宋体" w:cs="宋体"/>
          <w:szCs w:val="21"/>
        </w:rPr>
        <w:t>三</w:t>
      </w:r>
      <w:r>
        <w:rPr>
          <w:rFonts w:ascii="宋体" w:hAnsi="宋体" w:cs="宋体"/>
          <w:szCs w:val="21"/>
        </w:rPr>
        <w:t>年以上的维修经验的技术员为需方进行培训，使其能独立完成与设备、系统有关的各项操作，以及使用时注意的事项和常见简单故障的处理，保证用户对仪器能进行熟练的操作和日常维护。</w:t>
      </w:r>
    </w:p>
    <w:p w14:paraId="3062E996">
      <w:pPr>
        <w:ind w:left="210" w:hanging="210" w:hangingChars="100"/>
      </w:pPr>
      <w:r>
        <w:rPr>
          <w:rFonts w:hint="eastAsia" w:ascii="宋体" w:hAnsi="宋体" w:cs="宋体"/>
          <w:szCs w:val="21"/>
          <w:lang w:val="en-US" w:eastAsia="zh-CN"/>
        </w:rPr>
        <w:t>三、</w:t>
      </w:r>
      <w:r>
        <w:rPr>
          <w:rFonts w:ascii="宋体" w:hAnsi="宋体" w:cs="宋体"/>
          <w:szCs w:val="21"/>
        </w:rPr>
        <w:t>维护保养服务</w:t>
      </w:r>
      <w:r>
        <w:rPr>
          <w:rFonts w:ascii="宋体" w:hAnsi="宋体" w:cs="宋体"/>
          <w:szCs w:val="21"/>
        </w:rPr>
        <w:br w:type="textWrapping"/>
      </w:r>
      <w:r>
        <w:rPr>
          <w:rFonts w:ascii="宋体" w:hAnsi="宋体" w:cs="宋体"/>
          <w:szCs w:val="21"/>
        </w:rPr>
        <w:t>我们保证为货物提供整机免</w:t>
      </w:r>
      <w:r>
        <w:rPr>
          <w:rFonts w:ascii="宋体" w:hAnsi="宋体" w:cs="宋体"/>
          <w:color w:val="000000" w:themeColor="text1"/>
          <w:szCs w:val="21"/>
          <w14:textFill>
            <w14:solidFill>
              <w14:schemeClr w14:val="tx1"/>
            </w14:solidFill>
          </w14:textFill>
        </w:rPr>
        <w:t>费</w:t>
      </w:r>
      <w:r>
        <w:rPr>
          <w:rFonts w:ascii="宋体" w:hAnsi="宋体" w:cs="宋体"/>
          <w:color w:val="000000" w:themeColor="text1"/>
          <w:szCs w:val="21"/>
          <w:highlight w:val="yellow"/>
          <w14:textFill>
            <w14:solidFill>
              <w14:schemeClr w14:val="tx1"/>
            </w14:solidFill>
          </w14:textFill>
        </w:rPr>
        <w:t>保修期</w:t>
      </w:r>
      <w:r>
        <w:rPr>
          <w:rFonts w:hint="eastAsia" w:ascii="宋体" w:hAnsi="宋体" w:cs="宋体"/>
          <w:color w:val="000000" w:themeColor="text1"/>
          <w:szCs w:val="21"/>
          <w:highlight w:val="red"/>
          <w:lang w:val="en-US" w:eastAsia="zh-CN"/>
          <w14:textFill>
            <w14:solidFill>
              <w14:schemeClr w14:val="tx1"/>
            </w14:solidFill>
          </w14:textFill>
        </w:rPr>
        <w:t xml:space="preserve">  </w:t>
      </w:r>
      <w:r>
        <w:rPr>
          <w:rFonts w:ascii="宋体" w:hAnsi="宋体" w:cs="宋体"/>
          <w:color w:val="000000" w:themeColor="text1"/>
          <w:szCs w:val="21"/>
          <w:highlight w:val="yellow"/>
          <w14:textFill>
            <w14:solidFill>
              <w14:schemeClr w14:val="tx1"/>
            </w14:solidFill>
          </w14:textFill>
        </w:rPr>
        <w:t>年</w:t>
      </w:r>
      <w:r>
        <w:rPr>
          <w:rFonts w:ascii="宋体" w:hAnsi="宋体" w:cs="宋体"/>
          <w:szCs w:val="21"/>
        </w:rPr>
        <w:t>，终身有偿维修。年度定期预防性维护保养次数应</w:t>
      </w:r>
      <w:r>
        <w:rPr>
          <w:rFonts w:ascii="宋体" w:hAnsi="宋体" w:cs="宋体"/>
          <w:szCs w:val="21"/>
          <w:highlight w:val="yellow"/>
        </w:rPr>
        <w:t>不少于</w:t>
      </w:r>
      <w:r>
        <w:rPr>
          <w:rFonts w:hint="eastAsia" w:ascii="宋体" w:hAnsi="宋体" w:cs="宋体"/>
          <w:szCs w:val="21"/>
          <w:highlight w:val="red"/>
          <w:lang w:val="en-US" w:eastAsia="zh-CN"/>
        </w:rPr>
        <w:t xml:space="preserve">  </w:t>
      </w:r>
      <w:r>
        <w:rPr>
          <w:rFonts w:ascii="宋体" w:hAnsi="宋体" w:cs="宋体"/>
          <w:szCs w:val="21"/>
          <w:highlight w:val="yellow"/>
        </w:rPr>
        <w:t>次</w:t>
      </w:r>
      <w:r>
        <w:rPr>
          <w:rFonts w:hint="eastAsia" w:ascii="宋体" w:hAnsi="宋体" w:cs="宋体"/>
          <w:szCs w:val="21"/>
          <w:highlight w:val="yellow"/>
          <w:lang w:eastAsia="zh-CN"/>
        </w:rPr>
        <w:t>。</w:t>
      </w:r>
      <w:r>
        <w:rPr>
          <w:rFonts w:ascii="宋体" w:hAnsi="宋体" w:cs="宋体"/>
          <w:szCs w:val="21"/>
        </w:rPr>
        <w:br w:type="textWrapping"/>
      </w:r>
      <w:r>
        <w:rPr>
          <w:rFonts w:ascii="宋体" w:hAnsi="宋体" w:cs="宋体"/>
          <w:szCs w:val="21"/>
        </w:rPr>
        <w:t>1．</w:t>
      </w:r>
      <w:r>
        <w:rPr>
          <w:rFonts w:hint="eastAsia" w:ascii="宋体" w:hAnsi="宋体" w:cs="宋体"/>
          <w:szCs w:val="21"/>
          <w:lang w:val="en-US" w:eastAsia="zh-CN"/>
        </w:rPr>
        <w:t>仪器</w:t>
      </w:r>
      <w:r>
        <w:rPr>
          <w:rFonts w:ascii="宋体" w:hAnsi="宋体" w:cs="宋体"/>
          <w:szCs w:val="21"/>
        </w:rPr>
        <w:t>的正常保养</w:t>
      </w:r>
      <w:r>
        <w:rPr>
          <w:rFonts w:hint="eastAsia" w:ascii="宋体" w:hAnsi="宋体" w:cs="宋体"/>
          <w:szCs w:val="21"/>
          <w:lang w:eastAsia="zh-CN"/>
        </w:rPr>
        <w:t>。</w:t>
      </w:r>
      <w:r>
        <w:rPr>
          <w:rFonts w:ascii="宋体" w:hAnsi="宋体" w:cs="宋体"/>
          <w:szCs w:val="21"/>
        </w:rPr>
        <w:br w:type="textWrapping"/>
      </w:r>
      <w:r>
        <w:rPr>
          <w:rFonts w:ascii="宋体" w:hAnsi="宋体" w:cs="宋体"/>
          <w:szCs w:val="21"/>
        </w:rPr>
        <w:t>2．</w:t>
      </w:r>
      <w:r>
        <w:rPr>
          <w:rFonts w:hint="eastAsia" w:ascii="宋体" w:hAnsi="宋体" w:cs="宋体"/>
          <w:szCs w:val="21"/>
          <w:lang w:val="en-US" w:eastAsia="zh-CN"/>
        </w:rPr>
        <w:t>仪器</w:t>
      </w:r>
      <w:r>
        <w:rPr>
          <w:rFonts w:ascii="宋体" w:hAnsi="宋体" w:cs="宋体"/>
          <w:szCs w:val="21"/>
        </w:rPr>
        <w:t>性能的检测。 </w:t>
      </w:r>
    </w:p>
    <w:p w14:paraId="0D53EFF2">
      <w:pPr>
        <w:ind w:left="210" w:hanging="210" w:hangingChars="100"/>
      </w:pPr>
      <w:r>
        <w:rPr>
          <w:rFonts w:hint="eastAsia"/>
          <w:lang w:val="en-US" w:eastAsia="zh-CN"/>
        </w:rPr>
        <w:t>四、</w:t>
      </w:r>
      <w:r>
        <w:t>免费保修期内外所提供服务</w:t>
      </w:r>
      <w:r>
        <w:br w:type="textWrapping"/>
      </w:r>
      <w:r>
        <w:t>1.保修期内免费更换零配件、免工时保修时间从验收签字起计算。在质保期内我方将严格遵守中华人民共和国的相关法律和法规对货物提供“三包”等售后服务</w:t>
      </w:r>
      <w:r>
        <w:rPr>
          <w:rFonts w:hint="eastAsia"/>
        </w:rPr>
        <w:t>。</w:t>
      </w:r>
    </w:p>
    <w:p w14:paraId="536B31BE">
      <w:pPr>
        <w:ind w:left="210" w:leftChars="100" w:firstLine="0" w:firstLineChars="0"/>
      </w:pPr>
      <w:r>
        <w:rPr>
          <w:highlight w:val="yellow"/>
        </w:rPr>
        <w:t>2.由我方提供售后服务，</w:t>
      </w:r>
      <w:r>
        <w:rPr>
          <w:rFonts w:hint="eastAsia"/>
          <w:highlight w:val="red"/>
          <w:lang w:val="en-US" w:eastAsia="zh-CN"/>
        </w:rPr>
        <w:t xml:space="preserve">  </w:t>
      </w:r>
      <w:r>
        <w:rPr>
          <w:highlight w:val="yellow"/>
        </w:rPr>
        <w:t>小时内响应，</w:t>
      </w:r>
      <w:r>
        <w:rPr>
          <w:rFonts w:hint="eastAsia"/>
          <w:highlight w:val="red"/>
          <w:lang w:val="en-US" w:eastAsia="zh-CN"/>
        </w:rPr>
        <w:t xml:space="preserve">  </w:t>
      </w:r>
      <w:r>
        <w:rPr>
          <w:highlight w:val="yellow"/>
        </w:rPr>
        <w:t>小时维修到位（不可抗力情况除外）。消耗品和零配件供应及时，特殊情况下可提供备用机</w:t>
      </w:r>
      <w:r>
        <w:t>。</w:t>
      </w:r>
      <w:r>
        <w:rPr>
          <w:rFonts w:hint="eastAsia"/>
        </w:rPr>
        <w:t xml:space="preserve">   </w:t>
      </w:r>
    </w:p>
    <w:p w14:paraId="44D01A4A">
      <w:pPr>
        <w:outlineLvl w:val="9"/>
      </w:pPr>
      <w:r>
        <w:rPr>
          <w:rFonts w:hint="eastAsia"/>
        </w:rPr>
        <w:t>五、信息化服务</w:t>
      </w:r>
    </w:p>
    <w:p w14:paraId="1263201E">
      <w:pPr>
        <w:ind w:left="210" w:leftChars="100" w:firstLine="210" w:firstLineChars="100"/>
      </w:pPr>
      <w:r>
        <w:rPr>
          <w:rFonts w:hint="eastAsia"/>
        </w:rPr>
        <w:t xml:space="preserve">免费提供软件升级服务,并免费开放设备接口，无偿派人配合与医院信息系统的连接工作(包括接口费与二次开发费)，直至该设备与医院信息系统可进行完整的数据交换；在设备保修期内，当医院信息系统变更并需要与该设备连接时，需无偿派人配合直至该设备与医院信息系统可进行完整的数据交换。  </w:t>
      </w:r>
    </w:p>
    <w:p w14:paraId="783B0E99">
      <w:pPr>
        <w:numPr>
          <w:ilvl w:val="0"/>
          <w:numId w:val="0"/>
        </w:numPr>
        <w:rPr>
          <w:rFonts w:hint="eastAsia" w:ascii="宋体" w:hAnsi="宋体" w:cs="宋体"/>
          <w:color w:val="000000" w:themeColor="text1"/>
          <w:szCs w:val="21"/>
          <w:lang w:eastAsia="zh-CN"/>
          <w14:textFill>
            <w14:solidFill>
              <w14:schemeClr w14:val="tx1"/>
            </w14:solidFill>
          </w14:textFill>
        </w:rPr>
      </w:pPr>
    </w:p>
    <w:p w14:paraId="0CE62F1F">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A8FC25D">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6A806D6A">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02FE106F">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7A407CCC">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5E40BD2">
      <w:pPr>
        <w:keepNext w:val="0"/>
        <w:keepLines w:val="0"/>
        <w:widowControl/>
        <w:suppressLineNumbers w:val="0"/>
        <w:jc w:val="center"/>
        <w:textAlignment w:val="center"/>
        <w:outlineLvl w:val="0"/>
        <w:rPr>
          <w:rFonts w:hint="eastAsia" w:cs="宋体" w:asciiTheme="majorEastAsia" w:hAnsiTheme="majorEastAsia" w:eastAsiaTheme="majorEastAsia"/>
          <w:kern w:val="2"/>
          <w:sz w:val="30"/>
          <w:szCs w:val="30"/>
          <w:lang w:val="en-US" w:eastAsia="zh-CN" w:bidi="ar-SA"/>
        </w:rPr>
      </w:pPr>
      <w:bookmarkStart w:id="112" w:name="_Toc2085"/>
      <w:r>
        <w:rPr>
          <w:rFonts w:hint="eastAsia" w:cs="宋体" w:asciiTheme="majorEastAsia" w:hAnsiTheme="majorEastAsia" w:eastAsiaTheme="majorEastAsia"/>
          <w:kern w:val="2"/>
          <w:sz w:val="30"/>
          <w:szCs w:val="30"/>
          <w:lang w:val="en-US" w:eastAsia="zh-CN" w:bidi="ar-SA"/>
        </w:rPr>
        <w:t>（二十四）</w:t>
      </w:r>
      <w:bookmarkEnd w:id="107"/>
      <w:r>
        <w:rPr>
          <w:rFonts w:hint="eastAsia" w:cs="宋体" w:asciiTheme="majorEastAsia" w:hAnsiTheme="majorEastAsia" w:eastAsiaTheme="majorEastAsia"/>
          <w:kern w:val="2"/>
          <w:sz w:val="30"/>
          <w:szCs w:val="30"/>
          <w:lang w:val="en-US" w:eastAsia="zh-CN" w:bidi="ar-SA"/>
        </w:rPr>
        <w:t>技术保障措施</w:t>
      </w:r>
      <w:bookmarkEnd w:id="112"/>
    </w:p>
    <w:p w14:paraId="32448156">
      <w:pPr>
        <w:keepNext w:val="0"/>
        <w:keepLines w:val="0"/>
        <w:widowControl/>
        <w:suppressLineNumbers w:val="0"/>
        <w:jc w:val="center"/>
        <w:textAlignment w:val="center"/>
        <w:outlineLvl w:val="9"/>
        <w:rPr>
          <w:rFonts w:hint="default"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格式自拟</w:t>
      </w:r>
    </w:p>
    <w:p w14:paraId="05FF5B71">
      <w:pPr>
        <w:pStyle w:val="3"/>
        <w:numPr>
          <w:ilvl w:val="0"/>
          <w:numId w:val="0"/>
        </w:numPr>
        <w:spacing w:line="240" w:lineRule="auto"/>
        <w:ind w:left="0" w:leftChars="0" w:firstLine="0" w:firstLineChars="0"/>
        <w:jc w:val="center"/>
        <w:outlineLvl w:val="9"/>
        <w:rPr>
          <w:rFonts w:hint="eastAsia" w:asciiTheme="majorEastAsia" w:hAnsiTheme="majorEastAsia" w:eastAsiaTheme="majorEastAsia"/>
          <w:sz w:val="30"/>
          <w:szCs w:val="30"/>
        </w:rPr>
      </w:pPr>
    </w:p>
    <w:p w14:paraId="142BDA7C">
      <w:pPr>
        <w:widowControl w:val="0"/>
        <w:numPr>
          <w:ilvl w:val="0"/>
          <w:numId w:val="0"/>
        </w:numPr>
        <w:jc w:val="both"/>
        <w:rPr>
          <w:rFonts w:hint="eastAsia"/>
          <w:sz w:val="32"/>
          <w:szCs w:val="32"/>
          <w:lang w:val="en-US" w:eastAsia="zh-CN"/>
        </w:rPr>
      </w:pPr>
    </w:p>
    <w:p w14:paraId="386EC165">
      <w:pPr>
        <w:widowControl w:val="0"/>
        <w:numPr>
          <w:ilvl w:val="0"/>
          <w:numId w:val="0"/>
        </w:numPr>
        <w:jc w:val="both"/>
        <w:rPr>
          <w:rFonts w:hint="eastAsia"/>
          <w:sz w:val="32"/>
          <w:szCs w:val="32"/>
          <w:lang w:val="en-US" w:eastAsia="zh-CN"/>
        </w:rPr>
      </w:pPr>
    </w:p>
    <w:p w14:paraId="50E0B4B0">
      <w:pPr>
        <w:widowControl w:val="0"/>
        <w:numPr>
          <w:ilvl w:val="0"/>
          <w:numId w:val="0"/>
        </w:numPr>
        <w:jc w:val="both"/>
        <w:rPr>
          <w:rFonts w:hint="eastAsia"/>
          <w:sz w:val="32"/>
          <w:szCs w:val="32"/>
          <w:lang w:val="en-US" w:eastAsia="zh-CN"/>
        </w:rPr>
      </w:pPr>
    </w:p>
    <w:p w14:paraId="07EB7E8B">
      <w:pPr>
        <w:widowControl w:val="0"/>
        <w:numPr>
          <w:ilvl w:val="0"/>
          <w:numId w:val="0"/>
        </w:numPr>
        <w:jc w:val="both"/>
        <w:rPr>
          <w:rFonts w:hint="eastAsia"/>
          <w:sz w:val="32"/>
          <w:szCs w:val="32"/>
          <w:lang w:val="en-US" w:eastAsia="zh-CN"/>
        </w:rPr>
      </w:pPr>
    </w:p>
    <w:p w14:paraId="379CB4BF">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bookmarkStart w:id="113" w:name="_Toc435514882"/>
      <w:bookmarkStart w:id="114" w:name="_Toc435515322"/>
    </w:p>
    <w:p w14:paraId="44FBB5B3">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79EE82B4">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57ED4A22">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40D78151">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67E0C35D">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0B94A021">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7D17910D">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25642173">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5CC54C3A">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6FE501F5">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668A0206">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288D0701">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51CB9269">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74048E0C">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1F0C58A0">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595C51CB">
      <w:pPr>
        <w:pStyle w:val="17"/>
        <w:numPr>
          <w:ilvl w:val="0"/>
          <w:numId w:val="0"/>
        </w:numPr>
        <w:ind w:left="0" w:leftChars="0" w:firstLine="0" w:firstLineChars="0"/>
        <w:jc w:val="both"/>
        <w:rPr>
          <w:rFonts w:hint="eastAsia" w:asciiTheme="majorEastAsia" w:hAnsiTheme="majorEastAsia" w:eastAsiaTheme="minorEastAsia" w:cstheme="minorBidi"/>
          <w:kern w:val="2"/>
          <w:sz w:val="32"/>
          <w:szCs w:val="32"/>
          <w:lang w:val="en-US" w:eastAsia="zh-CN" w:bidi="ar-SA"/>
        </w:rPr>
      </w:pPr>
    </w:p>
    <w:p w14:paraId="451040B1">
      <w:pPr>
        <w:keepNext w:val="0"/>
        <w:keepLines w:val="0"/>
        <w:widowControl/>
        <w:suppressLineNumbers w:val="0"/>
        <w:jc w:val="center"/>
        <w:textAlignment w:val="center"/>
        <w:outlineLvl w:val="0"/>
        <w:rPr>
          <w:rFonts w:hint="eastAsia" w:cs="宋体" w:asciiTheme="majorEastAsia" w:hAnsiTheme="majorEastAsia" w:eastAsiaTheme="majorEastAsia"/>
          <w:kern w:val="2"/>
          <w:sz w:val="30"/>
          <w:szCs w:val="30"/>
          <w:lang w:val="en-US" w:eastAsia="zh-CN" w:bidi="ar-SA"/>
        </w:rPr>
      </w:pPr>
      <w:bookmarkStart w:id="115" w:name="_Toc7641"/>
      <w:r>
        <w:rPr>
          <w:rFonts w:hint="eastAsia" w:cs="宋体" w:asciiTheme="majorEastAsia" w:hAnsiTheme="majorEastAsia" w:eastAsiaTheme="majorEastAsia"/>
          <w:kern w:val="2"/>
          <w:sz w:val="30"/>
          <w:szCs w:val="30"/>
          <w:lang w:val="en-US" w:eastAsia="zh-CN" w:bidi="ar-SA"/>
        </w:rPr>
        <w:t>（二十五）有效业绩</w:t>
      </w:r>
      <w:bookmarkEnd w:id="115"/>
    </w:p>
    <w:p w14:paraId="4A0B5855">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33D3DFEE">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77C76D66">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E241D1F">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272C0D11">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0E407A8F">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928BA83">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14013F4D">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6488E10">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F081C0A">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167D38E">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08EC393">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3AD6A4CD">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7D538EA1">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E98773D">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133CECA4">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7306C941">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0FE3A0F8">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240FEC72">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17FDCF30">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F9ADBBE">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1E125051">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2D9A2BD0">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234E2CF8">
      <w:pPr>
        <w:keepNext w:val="0"/>
        <w:keepLines w:val="0"/>
        <w:widowControl/>
        <w:suppressLineNumbers w:val="0"/>
        <w:jc w:val="center"/>
        <w:textAlignment w:val="center"/>
        <w:outlineLvl w:val="0"/>
        <w:rPr>
          <w:rFonts w:hint="eastAsia" w:cs="宋体" w:asciiTheme="majorEastAsia" w:hAnsiTheme="majorEastAsia" w:eastAsiaTheme="majorEastAsia"/>
          <w:kern w:val="2"/>
          <w:sz w:val="30"/>
          <w:szCs w:val="30"/>
          <w:lang w:val="en-US" w:eastAsia="zh-CN" w:bidi="ar-SA"/>
        </w:rPr>
      </w:pPr>
      <w:bookmarkStart w:id="116" w:name="_Toc9590"/>
      <w:r>
        <w:rPr>
          <w:rFonts w:hint="eastAsia" w:cs="宋体" w:asciiTheme="majorEastAsia" w:hAnsiTheme="majorEastAsia" w:eastAsiaTheme="majorEastAsia"/>
          <w:kern w:val="2"/>
          <w:sz w:val="30"/>
          <w:szCs w:val="30"/>
          <w:lang w:val="en-US" w:eastAsia="zh-CN" w:bidi="ar-SA"/>
        </w:rPr>
        <w:t>（二十六）履约评价</w:t>
      </w:r>
      <w:bookmarkEnd w:id="116"/>
    </w:p>
    <w:p w14:paraId="7FB48CE9">
      <w:pPr>
        <w:pStyle w:val="17"/>
        <w:widowControl w:val="0"/>
        <w:numPr>
          <w:ilvl w:val="0"/>
          <w:numId w:val="0"/>
        </w:numPr>
        <w:spacing w:line="560" w:lineRule="exact"/>
        <w:jc w:val="center"/>
        <w:rPr>
          <w:rFonts w:hint="eastAsia" w:asciiTheme="majorEastAsia" w:hAnsiTheme="majorEastAsia"/>
          <w:sz w:val="32"/>
          <w:szCs w:val="32"/>
        </w:rPr>
      </w:pPr>
    </w:p>
    <w:p w14:paraId="1E64563B">
      <w:pPr>
        <w:pStyle w:val="17"/>
        <w:widowControl w:val="0"/>
        <w:numPr>
          <w:ilvl w:val="0"/>
          <w:numId w:val="0"/>
        </w:numPr>
        <w:spacing w:line="560" w:lineRule="exact"/>
        <w:jc w:val="center"/>
        <w:rPr>
          <w:rFonts w:hint="eastAsia" w:asciiTheme="majorEastAsia" w:hAnsiTheme="majorEastAsia"/>
          <w:sz w:val="32"/>
          <w:szCs w:val="32"/>
        </w:rPr>
      </w:pPr>
    </w:p>
    <w:p w14:paraId="1E9153AC">
      <w:pPr>
        <w:pStyle w:val="17"/>
        <w:widowControl w:val="0"/>
        <w:numPr>
          <w:ilvl w:val="0"/>
          <w:numId w:val="0"/>
        </w:numPr>
        <w:spacing w:line="560" w:lineRule="exact"/>
        <w:jc w:val="center"/>
        <w:rPr>
          <w:rFonts w:hint="eastAsia" w:asciiTheme="majorEastAsia" w:hAnsiTheme="majorEastAsia"/>
          <w:sz w:val="32"/>
          <w:szCs w:val="32"/>
        </w:rPr>
      </w:pPr>
    </w:p>
    <w:p w14:paraId="5F101BCF">
      <w:pPr>
        <w:pStyle w:val="17"/>
        <w:widowControl w:val="0"/>
        <w:numPr>
          <w:ilvl w:val="0"/>
          <w:numId w:val="0"/>
        </w:numPr>
        <w:spacing w:line="560" w:lineRule="exact"/>
        <w:jc w:val="center"/>
        <w:rPr>
          <w:rFonts w:hint="eastAsia" w:asciiTheme="majorEastAsia" w:hAnsiTheme="majorEastAsia"/>
          <w:sz w:val="32"/>
          <w:szCs w:val="32"/>
        </w:rPr>
      </w:pPr>
    </w:p>
    <w:p w14:paraId="1F62F63F">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33560822">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54735608">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38ED6084">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42381D16">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0FEEA16C">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5C4C8B4E">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01472155">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74EA864B">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25E3BA20">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33DE6472">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31DE47BF">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64A1AEF9">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74BEBDAB">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464AB9C6">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2F802E55">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311974B5">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175A2CD7">
      <w:pPr>
        <w:snapToGrid w:val="0"/>
        <w:ind w:left="0" w:leftChars="0" w:firstLine="0" w:firstLineChars="0"/>
        <w:jc w:val="center"/>
        <w:rPr>
          <w:rFonts w:hint="eastAsia" w:asciiTheme="majorEastAsia" w:hAnsiTheme="majorEastAsia" w:eastAsiaTheme="majorEastAsia"/>
          <w:sz w:val="30"/>
          <w:szCs w:val="30"/>
          <w:lang w:eastAsia="zh-CN"/>
        </w:rPr>
      </w:pPr>
    </w:p>
    <w:p w14:paraId="3323938C">
      <w:pPr>
        <w:pStyle w:val="17"/>
        <w:numPr>
          <w:ilvl w:val="0"/>
          <w:numId w:val="0"/>
        </w:numPr>
        <w:ind w:left="0" w:leftChars="0" w:firstLine="0" w:firstLineChars="0"/>
        <w:jc w:val="center"/>
        <w:outlineLvl w:val="0"/>
        <w:rPr>
          <w:rFonts w:hint="eastAsia" w:asciiTheme="majorEastAsia" w:hAnsiTheme="majorEastAsia"/>
          <w:sz w:val="30"/>
          <w:szCs w:val="30"/>
        </w:rPr>
      </w:pPr>
      <w:bookmarkStart w:id="117" w:name="_Toc21342"/>
      <w:r>
        <w:rPr>
          <w:rFonts w:hint="eastAsia" w:asciiTheme="majorEastAsia" w:hAnsiTheme="majorEastAsia" w:eastAsiaTheme="minorEastAsia" w:cstheme="minorBidi"/>
          <w:kern w:val="2"/>
          <w:sz w:val="30"/>
          <w:szCs w:val="30"/>
          <w:lang w:val="en-US" w:eastAsia="zh-CN" w:bidi="ar-SA"/>
        </w:rPr>
        <w:t>（</w:t>
      </w:r>
      <w:r>
        <w:rPr>
          <w:rFonts w:hint="eastAsia" w:asciiTheme="majorEastAsia" w:hAnsiTheme="majorEastAsia" w:cstheme="minorBidi"/>
          <w:kern w:val="2"/>
          <w:sz w:val="30"/>
          <w:szCs w:val="30"/>
          <w:lang w:val="en-US" w:eastAsia="zh-CN" w:bidi="ar-SA"/>
        </w:rPr>
        <w:t>二十七</w:t>
      </w:r>
      <w:r>
        <w:rPr>
          <w:rFonts w:hint="eastAsia" w:asciiTheme="majorEastAsia" w:hAnsiTheme="majorEastAsia" w:eastAsiaTheme="minorEastAsia" w:cstheme="minorBidi"/>
          <w:kern w:val="2"/>
          <w:sz w:val="30"/>
          <w:szCs w:val="30"/>
          <w:lang w:val="en-US" w:eastAsia="zh-CN" w:bidi="ar-SA"/>
        </w:rPr>
        <w:t>）</w:t>
      </w:r>
      <w:r>
        <w:rPr>
          <w:rFonts w:hint="eastAsia" w:asciiTheme="majorEastAsia" w:hAnsiTheme="majorEastAsia"/>
          <w:sz w:val="30"/>
          <w:szCs w:val="30"/>
        </w:rPr>
        <w:t>所投设备参数及产品注册时的检测报告</w:t>
      </w:r>
      <w:bookmarkEnd w:id="117"/>
    </w:p>
    <w:p w14:paraId="40472A44">
      <w:pPr>
        <w:rPr>
          <w:rFonts w:hint="eastAsia" w:asciiTheme="majorEastAsia" w:hAnsiTheme="majorEastAsia" w:eastAsiaTheme="majorEastAsia"/>
          <w:sz w:val="30"/>
          <w:szCs w:val="30"/>
          <w:lang w:eastAsia="zh-CN"/>
        </w:rPr>
      </w:pPr>
    </w:p>
    <w:p w14:paraId="7588BA56">
      <w:pPr>
        <w:pStyle w:val="6"/>
        <w:rPr>
          <w:rFonts w:hint="eastAsia" w:asciiTheme="majorEastAsia" w:hAnsiTheme="majorEastAsia" w:eastAsiaTheme="majorEastAsia"/>
          <w:sz w:val="30"/>
          <w:szCs w:val="30"/>
          <w:lang w:eastAsia="zh-CN"/>
        </w:rPr>
      </w:pPr>
    </w:p>
    <w:p w14:paraId="17CABD36">
      <w:pPr>
        <w:rPr>
          <w:rFonts w:hint="eastAsia" w:asciiTheme="majorEastAsia" w:hAnsiTheme="majorEastAsia" w:eastAsiaTheme="majorEastAsia"/>
          <w:sz w:val="30"/>
          <w:szCs w:val="30"/>
          <w:lang w:eastAsia="zh-CN"/>
        </w:rPr>
      </w:pPr>
    </w:p>
    <w:p w14:paraId="4EFA4CC0">
      <w:pPr>
        <w:pStyle w:val="6"/>
        <w:rPr>
          <w:rFonts w:hint="eastAsia" w:asciiTheme="majorEastAsia" w:hAnsiTheme="majorEastAsia" w:eastAsiaTheme="majorEastAsia"/>
          <w:sz w:val="30"/>
          <w:szCs w:val="30"/>
          <w:lang w:eastAsia="zh-CN"/>
        </w:rPr>
      </w:pPr>
    </w:p>
    <w:p w14:paraId="4BD30BB8">
      <w:pPr>
        <w:rPr>
          <w:rFonts w:hint="eastAsia" w:asciiTheme="majorEastAsia" w:hAnsiTheme="majorEastAsia" w:eastAsiaTheme="majorEastAsia"/>
          <w:sz w:val="30"/>
          <w:szCs w:val="30"/>
          <w:lang w:eastAsia="zh-CN"/>
        </w:rPr>
      </w:pPr>
    </w:p>
    <w:p w14:paraId="67DAEE38">
      <w:pPr>
        <w:pStyle w:val="6"/>
        <w:rPr>
          <w:rFonts w:hint="eastAsia" w:asciiTheme="majorEastAsia" w:hAnsiTheme="majorEastAsia" w:eastAsiaTheme="majorEastAsia"/>
          <w:sz w:val="30"/>
          <w:szCs w:val="30"/>
          <w:lang w:eastAsia="zh-CN"/>
        </w:rPr>
      </w:pPr>
    </w:p>
    <w:p w14:paraId="0C2C9215">
      <w:pPr>
        <w:rPr>
          <w:rFonts w:hint="eastAsia" w:asciiTheme="majorEastAsia" w:hAnsiTheme="majorEastAsia" w:eastAsiaTheme="majorEastAsia"/>
          <w:sz w:val="30"/>
          <w:szCs w:val="30"/>
          <w:lang w:eastAsia="zh-CN"/>
        </w:rPr>
      </w:pPr>
    </w:p>
    <w:p w14:paraId="23AEC420">
      <w:pPr>
        <w:pStyle w:val="6"/>
        <w:rPr>
          <w:rFonts w:hint="eastAsia" w:asciiTheme="majorEastAsia" w:hAnsiTheme="majorEastAsia" w:eastAsiaTheme="majorEastAsia"/>
          <w:sz w:val="30"/>
          <w:szCs w:val="30"/>
          <w:lang w:eastAsia="zh-CN"/>
        </w:rPr>
      </w:pPr>
    </w:p>
    <w:p w14:paraId="1DA4F157">
      <w:pPr>
        <w:rPr>
          <w:rFonts w:hint="eastAsia" w:asciiTheme="majorEastAsia" w:hAnsiTheme="majorEastAsia" w:eastAsiaTheme="majorEastAsia"/>
          <w:sz w:val="30"/>
          <w:szCs w:val="30"/>
          <w:lang w:eastAsia="zh-CN"/>
        </w:rPr>
      </w:pPr>
    </w:p>
    <w:p w14:paraId="2612965B">
      <w:pPr>
        <w:pStyle w:val="6"/>
        <w:rPr>
          <w:rFonts w:hint="eastAsia" w:asciiTheme="majorEastAsia" w:hAnsiTheme="majorEastAsia" w:eastAsiaTheme="majorEastAsia"/>
          <w:sz w:val="30"/>
          <w:szCs w:val="30"/>
          <w:lang w:eastAsia="zh-CN"/>
        </w:rPr>
      </w:pPr>
    </w:p>
    <w:p w14:paraId="42B2449E">
      <w:pPr>
        <w:rPr>
          <w:rFonts w:hint="eastAsia" w:asciiTheme="majorEastAsia" w:hAnsiTheme="majorEastAsia" w:eastAsiaTheme="majorEastAsia"/>
          <w:sz w:val="30"/>
          <w:szCs w:val="30"/>
          <w:lang w:eastAsia="zh-CN"/>
        </w:rPr>
      </w:pPr>
    </w:p>
    <w:p w14:paraId="2AE8F28C">
      <w:pPr>
        <w:pStyle w:val="6"/>
        <w:rPr>
          <w:rFonts w:hint="eastAsia" w:asciiTheme="majorEastAsia" w:hAnsiTheme="majorEastAsia" w:eastAsiaTheme="majorEastAsia"/>
          <w:sz w:val="30"/>
          <w:szCs w:val="30"/>
          <w:lang w:eastAsia="zh-CN"/>
        </w:rPr>
      </w:pPr>
    </w:p>
    <w:p w14:paraId="1C6F6F6C">
      <w:pPr>
        <w:rPr>
          <w:rFonts w:hint="eastAsia" w:asciiTheme="majorEastAsia" w:hAnsiTheme="majorEastAsia" w:eastAsiaTheme="majorEastAsia"/>
          <w:sz w:val="30"/>
          <w:szCs w:val="30"/>
          <w:lang w:eastAsia="zh-CN"/>
        </w:rPr>
      </w:pPr>
    </w:p>
    <w:p w14:paraId="461EB672">
      <w:pPr>
        <w:pStyle w:val="6"/>
        <w:rPr>
          <w:rFonts w:hint="eastAsia" w:asciiTheme="majorEastAsia" w:hAnsiTheme="majorEastAsia" w:eastAsiaTheme="majorEastAsia"/>
          <w:sz w:val="30"/>
          <w:szCs w:val="30"/>
          <w:lang w:eastAsia="zh-CN"/>
        </w:rPr>
      </w:pPr>
    </w:p>
    <w:p w14:paraId="303E52EE">
      <w:pPr>
        <w:rPr>
          <w:rFonts w:hint="eastAsia" w:asciiTheme="majorEastAsia" w:hAnsiTheme="majorEastAsia" w:eastAsiaTheme="majorEastAsia"/>
          <w:sz w:val="30"/>
          <w:szCs w:val="30"/>
          <w:lang w:eastAsia="zh-CN"/>
        </w:rPr>
      </w:pPr>
    </w:p>
    <w:p w14:paraId="46B53A22">
      <w:pPr>
        <w:pStyle w:val="6"/>
        <w:rPr>
          <w:rFonts w:hint="eastAsia" w:asciiTheme="majorEastAsia" w:hAnsiTheme="majorEastAsia" w:eastAsiaTheme="majorEastAsia"/>
          <w:sz w:val="30"/>
          <w:szCs w:val="30"/>
          <w:lang w:eastAsia="zh-CN"/>
        </w:rPr>
      </w:pPr>
    </w:p>
    <w:p w14:paraId="6412A59E">
      <w:pPr>
        <w:pStyle w:val="6"/>
        <w:rPr>
          <w:rFonts w:hint="eastAsia"/>
          <w:lang w:eastAsia="zh-CN"/>
        </w:rPr>
      </w:pPr>
    </w:p>
    <w:p w14:paraId="706D9213">
      <w:pPr>
        <w:rPr>
          <w:rFonts w:hint="eastAsia"/>
          <w:lang w:eastAsia="zh-CN"/>
        </w:rPr>
      </w:pPr>
    </w:p>
    <w:p w14:paraId="565BAA7E">
      <w:pPr>
        <w:rPr>
          <w:rFonts w:hint="eastAsia"/>
          <w:lang w:eastAsia="zh-CN"/>
        </w:rPr>
      </w:pPr>
    </w:p>
    <w:p w14:paraId="0D900A92">
      <w:pPr>
        <w:rPr>
          <w:rFonts w:hint="eastAsia"/>
          <w:lang w:eastAsia="zh-CN"/>
        </w:rPr>
      </w:pPr>
    </w:p>
    <w:p w14:paraId="22E4BFDB">
      <w:pPr>
        <w:rPr>
          <w:rFonts w:hint="eastAsia"/>
          <w:lang w:eastAsia="zh-CN"/>
        </w:rPr>
      </w:pPr>
    </w:p>
    <w:p w14:paraId="7D5BD77E">
      <w:pPr>
        <w:snapToGrid w:val="0"/>
        <w:ind w:left="0" w:leftChars="0" w:firstLine="0" w:firstLineChars="0"/>
        <w:jc w:val="center"/>
        <w:outlineLvl w:val="9"/>
        <w:rPr>
          <w:rFonts w:hint="eastAsia" w:asciiTheme="majorEastAsia" w:hAnsiTheme="majorEastAsia" w:eastAsiaTheme="majorEastAsia"/>
          <w:sz w:val="30"/>
          <w:szCs w:val="30"/>
          <w:lang w:eastAsia="zh-CN"/>
        </w:rPr>
      </w:pPr>
    </w:p>
    <w:p w14:paraId="5F0A14F1">
      <w:pPr>
        <w:snapToGrid w:val="0"/>
        <w:ind w:left="0" w:leftChars="0" w:firstLine="0" w:firstLineChars="0"/>
        <w:jc w:val="center"/>
        <w:outlineLvl w:val="0"/>
        <w:rPr>
          <w:rFonts w:hint="default" w:hAnsi="宋体" w:cs="Times New Roman" w:eastAsiaTheme="majorEastAsia"/>
          <w:sz w:val="30"/>
          <w:szCs w:val="30"/>
          <w:lang w:val="en-US" w:eastAsia="zh-CN"/>
        </w:rPr>
      </w:pPr>
      <w:bookmarkStart w:id="118" w:name="_Toc24218"/>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lang w:val="en-US" w:eastAsia="zh-CN"/>
        </w:rPr>
        <w:t>二十八</w:t>
      </w:r>
      <w:r>
        <w:rPr>
          <w:rFonts w:hint="eastAsia" w:asciiTheme="majorEastAsia" w:hAnsiTheme="majorEastAsia" w:eastAsiaTheme="majorEastAsia"/>
          <w:sz w:val="30"/>
          <w:szCs w:val="30"/>
          <w:lang w:eastAsia="zh-CN"/>
        </w:rPr>
        <w:t>）</w:t>
      </w:r>
      <w:r>
        <w:rPr>
          <w:rFonts w:hint="eastAsia" w:hAnsi="宋体" w:cs="Times New Roman" w:eastAsiaTheme="majorEastAsia"/>
          <w:sz w:val="30"/>
          <w:szCs w:val="30"/>
          <w:lang w:val="en-US" w:eastAsia="zh-CN"/>
        </w:rPr>
        <w:t>征集文件要求的其他内容及投标人认为需要加以说明其他内容</w:t>
      </w:r>
      <w:bookmarkEnd w:id="118"/>
    </w:p>
    <w:bookmarkEnd w:id="103"/>
    <w:bookmarkEnd w:id="104"/>
    <w:bookmarkEnd w:id="105"/>
    <w:bookmarkEnd w:id="106"/>
    <w:bookmarkEnd w:id="108"/>
    <w:bookmarkEnd w:id="109"/>
    <w:bookmarkEnd w:id="113"/>
    <w:bookmarkEnd w:id="114"/>
    <w:p w14:paraId="07274D8C">
      <w:pPr>
        <w:rPr>
          <w:rFonts w:hint="eastAsia"/>
          <w:lang w:val="en-US" w:eastAsia="zh-CN"/>
        </w:rPr>
      </w:pPr>
      <w:bookmarkStart w:id="119" w:name="_Toc435516650"/>
      <w:bookmarkStart w:id="120" w:name="_Toc438223136"/>
      <w:bookmarkStart w:id="121" w:name="_Toc11652"/>
      <w:bookmarkStart w:id="122" w:name="_Toc435174933"/>
      <w:bookmarkStart w:id="123" w:name="_Toc1658"/>
    </w:p>
    <w:p w14:paraId="01839AA0">
      <w:pPr>
        <w:rPr>
          <w:rFonts w:hint="eastAsia"/>
          <w:lang w:val="en-US" w:eastAsia="zh-CN"/>
        </w:rPr>
      </w:pPr>
    </w:p>
    <w:p w14:paraId="6160C6A8">
      <w:pPr>
        <w:rPr>
          <w:rFonts w:hint="eastAsia"/>
          <w:lang w:val="en-US" w:eastAsia="zh-CN"/>
        </w:rPr>
      </w:pPr>
    </w:p>
    <w:p w14:paraId="05FF164F">
      <w:pPr>
        <w:rPr>
          <w:rFonts w:hint="eastAsia"/>
          <w:lang w:val="en-US" w:eastAsia="zh-CN"/>
        </w:rPr>
      </w:pPr>
    </w:p>
    <w:p w14:paraId="3924BB1C">
      <w:pPr>
        <w:rPr>
          <w:rFonts w:hint="eastAsia"/>
          <w:lang w:val="en-US" w:eastAsia="zh-CN"/>
        </w:rPr>
      </w:pPr>
    </w:p>
    <w:p w14:paraId="765374E4">
      <w:pPr>
        <w:rPr>
          <w:rFonts w:hint="eastAsia"/>
          <w:lang w:val="en-US" w:eastAsia="zh-CN"/>
        </w:rPr>
      </w:pPr>
    </w:p>
    <w:p w14:paraId="2E12F95B">
      <w:pPr>
        <w:rPr>
          <w:rFonts w:hint="eastAsia"/>
          <w:lang w:val="en-US" w:eastAsia="zh-CN"/>
        </w:rPr>
      </w:pPr>
    </w:p>
    <w:p w14:paraId="3986F0E4">
      <w:pPr>
        <w:rPr>
          <w:rFonts w:hint="eastAsia"/>
          <w:lang w:val="en-US" w:eastAsia="zh-CN"/>
        </w:rPr>
      </w:pPr>
    </w:p>
    <w:p w14:paraId="7B2A69DA">
      <w:pPr>
        <w:rPr>
          <w:rFonts w:hint="eastAsia"/>
          <w:lang w:val="en-US" w:eastAsia="zh-CN"/>
        </w:rPr>
      </w:pPr>
    </w:p>
    <w:p w14:paraId="60E6783B">
      <w:pPr>
        <w:rPr>
          <w:rFonts w:hint="eastAsia"/>
          <w:lang w:val="en-US" w:eastAsia="zh-CN"/>
        </w:rPr>
      </w:pPr>
    </w:p>
    <w:p w14:paraId="66C19318">
      <w:pPr>
        <w:rPr>
          <w:rFonts w:hint="eastAsia"/>
          <w:lang w:val="en-US" w:eastAsia="zh-CN"/>
        </w:rPr>
      </w:pPr>
    </w:p>
    <w:p w14:paraId="77167894">
      <w:pPr>
        <w:rPr>
          <w:rFonts w:hint="eastAsia"/>
          <w:lang w:val="en-US" w:eastAsia="zh-CN"/>
        </w:rPr>
      </w:pPr>
    </w:p>
    <w:p w14:paraId="7C31674A">
      <w:pPr>
        <w:rPr>
          <w:rFonts w:hint="eastAsia"/>
          <w:lang w:val="en-US" w:eastAsia="zh-CN"/>
        </w:rPr>
      </w:pPr>
    </w:p>
    <w:p w14:paraId="4430B061">
      <w:pPr>
        <w:rPr>
          <w:rFonts w:hint="eastAsia"/>
          <w:lang w:val="en-US" w:eastAsia="zh-CN"/>
        </w:rPr>
      </w:pPr>
    </w:p>
    <w:p w14:paraId="74078B60">
      <w:pPr>
        <w:rPr>
          <w:rFonts w:hint="eastAsia"/>
          <w:lang w:val="en-US" w:eastAsia="zh-CN"/>
        </w:rPr>
      </w:pPr>
    </w:p>
    <w:p w14:paraId="46A15B1E">
      <w:pPr>
        <w:rPr>
          <w:rFonts w:hint="eastAsia"/>
          <w:lang w:val="en-US" w:eastAsia="zh-CN"/>
        </w:rPr>
      </w:pPr>
    </w:p>
    <w:p w14:paraId="50475D5C">
      <w:pPr>
        <w:rPr>
          <w:rFonts w:hint="eastAsia"/>
          <w:lang w:val="en-US" w:eastAsia="zh-CN"/>
        </w:rPr>
      </w:pPr>
    </w:p>
    <w:p w14:paraId="24550BB2">
      <w:pPr>
        <w:rPr>
          <w:rFonts w:hint="eastAsia"/>
          <w:lang w:val="en-US" w:eastAsia="zh-CN"/>
        </w:rPr>
      </w:pPr>
    </w:p>
    <w:p w14:paraId="7CADD6A8">
      <w:pPr>
        <w:rPr>
          <w:rFonts w:hint="eastAsia"/>
          <w:lang w:val="en-US" w:eastAsia="zh-CN"/>
        </w:rPr>
      </w:pPr>
    </w:p>
    <w:p w14:paraId="3AE379AE">
      <w:pPr>
        <w:rPr>
          <w:rFonts w:hint="eastAsia"/>
          <w:lang w:val="en-US" w:eastAsia="zh-CN"/>
        </w:rPr>
      </w:pPr>
    </w:p>
    <w:p w14:paraId="0DFBB981">
      <w:pPr>
        <w:rPr>
          <w:rFonts w:hint="eastAsia"/>
          <w:lang w:val="en-US" w:eastAsia="zh-CN"/>
        </w:rPr>
      </w:pPr>
    </w:p>
    <w:p w14:paraId="2874A78B">
      <w:pPr>
        <w:rPr>
          <w:rFonts w:hint="eastAsia"/>
          <w:lang w:val="en-US" w:eastAsia="zh-CN"/>
        </w:rPr>
      </w:pPr>
    </w:p>
    <w:p w14:paraId="02B6A54E">
      <w:pPr>
        <w:rPr>
          <w:rFonts w:hint="eastAsia"/>
          <w:lang w:val="en-US" w:eastAsia="zh-CN"/>
        </w:rPr>
      </w:pPr>
    </w:p>
    <w:p w14:paraId="417C402B">
      <w:pPr>
        <w:rPr>
          <w:rFonts w:hint="eastAsia"/>
          <w:lang w:val="en-US" w:eastAsia="zh-CN"/>
        </w:rPr>
      </w:pPr>
    </w:p>
    <w:p w14:paraId="22766AED">
      <w:pPr>
        <w:rPr>
          <w:rFonts w:hint="eastAsia"/>
          <w:lang w:val="en-US" w:eastAsia="zh-CN"/>
        </w:rPr>
      </w:pPr>
    </w:p>
    <w:p w14:paraId="34925213">
      <w:pPr>
        <w:rPr>
          <w:rFonts w:hint="eastAsia"/>
          <w:lang w:val="en-US" w:eastAsia="zh-CN"/>
        </w:rPr>
      </w:pPr>
    </w:p>
    <w:p w14:paraId="2373C163">
      <w:pPr>
        <w:rPr>
          <w:rFonts w:hint="eastAsia"/>
          <w:lang w:val="en-US" w:eastAsia="zh-CN"/>
        </w:rPr>
      </w:pPr>
    </w:p>
    <w:p w14:paraId="7430E413">
      <w:pPr>
        <w:rPr>
          <w:rFonts w:hint="eastAsia"/>
          <w:lang w:val="en-US" w:eastAsia="zh-CN"/>
        </w:rPr>
      </w:pPr>
    </w:p>
    <w:p w14:paraId="1AF218DC">
      <w:pPr>
        <w:rPr>
          <w:rFonts w:hint="eastAsia"/>
          <w:lang w:val="en-US" w:eastAsia="zh-CN"/>
        </w:rPr>
      </w:pPr>
    </w:p>
    <w:p w14:paraId="25B0008D">
      <w:pPr>
        <w:rPr>
          <w:rFonts w:hint="eastAsia"/>
          <w:lang w:val="en-US" w:eastAsia="zh-CN"/>
        </w:rPr>
      </w:pPr>
    </w:p>
    <w:p w14:paraId="6236D4D8">
      <w:pPr>
        <w:rPr>
          <w:rFonts w:hint="eastAsia"/>
          <w:lang w:val="en-US" w:eastAsia="zh-CN"/>
        </w:rPr>
      </w:pPr>
    </w:p>
    <w:p w14:paraId="457F6D09">
      <w:pPr>
        <w:rPr>
          <w:rFonts w:hint="eastAsia"/>
          <w:lang w:val="en-US" w:eastAsia="zh-CN"/>
        </w:rPr>
      </w:pPr>
    </w:p>
    <w:p w14:paraId="3A13A657">
      <w:pPr>
        <w:rPr>
          <w:rFonts w:hint="eastAsia"/>
          <w:lang w:val="en-US" w:eastAsia="zh-CN"/>
        </w:rPr>
      </w:pPr>
    </w:p>
    <w:p w14:paraId="440FB7F8">
      <w:pPr>
        <w:rPr>
          <w:rFonts w:hint="eastAsia"/>
          <w:lang w:val="en-US" w:eastAsia="zh-CN"/>
        </w:rPr>
      </w:pPr>
    </w:p>
    <w:p w14:paraId="563C929D">
      <w:pPr>
        <w:rPr>
          <w:rFonts w:hint="eastAsia"/>
          <w:lang w:val="en-US" w:eastAsia="zh-CN"/>
        </w:rPr>
      </w:pPr>
    </w:p>
    <w:p w14:paraId="1A933B1C">
      <w:pPr>
        <w:rPr>
          <w:rFonts w:hint="eastAsia"/>
          <w:lang w:val="en-US" w:eastAsia="zh-CN"/>
        </w:rPr>
      </w:pPr>
    </w:p>
    <w:p w14:paraId="29A89262">
      <w:pPr>
        <w:rPr>
          <w:rFonts w:hint="eastAsia"/>
          <w:lang w:val="en-US" w:eastAsia="zh-CN"/>
        </w:rPr>
      </w:pPr>
    </w:p>
    <w:p w14:paraId="17BD064E">
      <w:pPr>
        <w:rPr>
          <w:rFonts w:hint="eastAsia"/>
          <w:lang w:val="en-US" w:eastAsia="zh-CN"/>
        </w:rPr>
      </w:pPr>
    </w:p>
    <w:p w14:paraId="79979A95">
      <w:pPr>
        <w:rPr>
          <w:rFonts w:hint="eastAsia"/>
          <w:lang w:val="en-US" w:eastAsia="zh-CN"/>
        </w:rPr>
      </w:pPr>
    </w:p>
    <w:p w14:paraId="6BCEC9D5">
      <w:pPr>
        <w:rPr>
          <w:rFonts w:hint="eastAsia"/>
          <w:lang w:val="en-US" w:eastAsia="zh-CN"/>
        </w:rPr>
      </w:pPr>
    </w:p>
    <w:p w14:paraId="0D842D59">
      <w:pPr>
        <w:rPr>
          <w:rFonts w:hint="eastAsia"/>
          <w:lang w:val="en-US" w:eastAsia="zh-CN"/>
        </w:rPr>
      </w:pPr>
    </w:p>
    <w:p w14:paraId="660F3520">
      <w:pPr>
        <w:rPr>
          <w:rFonts w:hint="eastAsia"/>
          <w:lang w:val="en-US" w:eastAsia="zh-CN"/>
        </w:rPr>
      </w:pPr>
    </w:p>
    <w:p w14:paraId="4844EB47">
      <w:pPr>
        <w:pStyle w:val="3"/>
        <w:numPr>
          <w:ilvl w:val="0"/>
          <w:numId w:val="16"/>
        </w:numPr>
        <w:spacing w:line="240" w:lineRule="auto"/>
        <w:ind w:left="420" w:leftChars="0" w:hanging="420" w:firstLineChars="0"/>
        <w:jc w:val="center"/>
        <w:outlineLvl w:val="0"/>
        <w:rPr>
          <w:rFonts w:asciiTheme="majorEastAsia" w:hAnsiTheme="majorEastAsia" w:eastAsiaTheme="majorEastAsia"/>
          <w:sz w:val="32"/>
          <w:szCs w:val="32"/>
          <w:lang w:eastAsia="zh-TW"/>
        </w:rPr>
      </w:pPr>
      <w:bookmarkStart w:id="124" w:name="_Toc5245"/>
      <w:r>
        <w:rPr>
          <w:rFonts w:asciiTheme="majorEastAsia" w:hAnsiTheme="majorEastAsia" w:eastAsiaTheme="majorEastAsia"/>
          <w:sz w:val="32"/>
          <w:szCs w:val="32"/>
          <w:lang w:eastAsia="zh-TW"/>
        </w:rPr>
        <w:t>说 明</w:t>
      </w:r>
      <w:bookmarkEnd w:id="119"/>
      <w:bookmarkEnd w:id="120"/>
      <w:bookmarkEnd w:id="121"/>
      <w:bookmarkEnd w:id="122"/>
      <w:bookmarkEnd w:id="123"/>
      <w:bookmarkEnd w:id="124"/>
      <w:bookmarkStart w:id="125" w:name="_Toc292267791"/>
    </w:p>
    <w:p w14:paraId="7D46DAAC">
      <w:pPr>
        <w:numPr>
          <w:ilvl w:val="0"/>
          <w:numId w:val="0"/>
        </w:numPr>
        <w:jc w:val="center"/>
        <w:rPr>
          <w:rFonts w:hint="default" w:eastAsiaTheme="minorEastAsia"/>
          <w:sz w:val="30"/>
          <w:szCs w:val="30"/>
          <w:lang w:val="en-US" w:eastAsia="zh-CN"/>
        </w:rPr>
      </w:pPr>
      <w:r>
        <w:rPr>
          <w:rFonts w:hint="eastAsia"/>
          <w:sz w:val="30"/>
          <w:szCs w:val="30"/>
          <w:lang w:val="en-US" w:eastAsia="zh-CN"/>
        </w:rPr>
        <w:t>总则</w:t>
      </w:r>
    </w:p>
    <w:bookmarkEnd w:id="125"/>
    <w:p w14:paraId="6C6C625E">
      <w:pPr>
        <w:numPr>
          <w:ilvl w:val="0"/>
          <w:numId w:val="17"/>
        </w:numPr>
        <w:autoSpaceDE w:val="0"/>
        <w:autoSpaceDN w:val="0"/>
        <w:adjustRightInd w:val="0"/>
        <w:snapToGrid w:val="0"/>
        <w:spacing w:line="360" w:lineRule="auto"/>
        <w:outlineLvl w:val="1"/>
        <w:rPr>
          <w:rFonts w:ascii="宋体" w:hAnsi="宋体"/>
          <w:b/>
          <w:bCs/>
          <w:szCs w:val="21"/>
        </w:rPr>
      </w:pPr>
      <w:bookmarkStart w:id="126" w:name="_Toc23054"/>
      <w:r>
        <w:rPr>
          <w:rFonts w:hint="eastAsia" w:ascii="宋体" w:hAnsi="宋体"/>
          <w:b/>
          <w:bCs/>
          <w:szCs w:val="21"/>
        </w:rPr>
        <w:t>适用范围</w:t>
      </w:r>
      <w:bookmarkEnd w:id="126"/>
    </w:p>
    <w:p w14:paraId="5425D084">
      <w:pPr>
        <w:numPr>
          <w:ilvl w:val="0"/>
          <w:numId w:val="0"/>
        </w:numPr>
        <w:autoSpaceDE w:val="0"/>
        <w:autoSpaceDN w:val="0"/>
        <w:adjustRightInd w:val="0"/>
        <w:snapToGrid w:val="0"/>
        <w:spacing w:line="360" w:lineRule="auto"/>
        <w:ind w:leftChars="0"/>
        <w:jc w:val="left"/>
        <w:outlineLvl w:val="9"/>
        <w:rPr>
          <w:rFonts w:ascii="宋体" w:hAnsi="宋体"/>
          <w:b/>
          <w:bCs/>
          <w:szCs w:val="21"/>
        </w:rPr>
      </w:pPr>
      <w:r>
        <w:rPr>
          <w:rFonts w:hint="eastAsia" w:ascii="宋体" w:hAnsi="宋体"/>
          <w:szCs w:val="21"/>
          <w:lang w:val="en-US" w:eastAsia="zh-CN"/>
        </w:rPr>
        <w:t>1.1.</w:t>
      </w:r>
      <w:r>
        <w:rPr>
          <w:rFonts w:hint="eastAsia" w:ascii="宋体" w:hAnsi="宋体"/>
          <w:szCs w:val="21"/>
        </w:rPr>
        <w:t>本</w:t>
      </w:r>
      <w:r>
        <w:rPr>
          <w:rFonts w:hint="eastAsia" w:ascii="宋体" w:hAnsi="宋体"/>
          <w:szCs w:val="21"/>
          <w:lang w:eastAsia="zh-CN"/>
        </w:rPr>
        <w:t>征集</w:t>
      </w:r>
      <w:r>
        <w:rPr>
          <w:rFonts w:hint="eastAsia" w:ascii="宋体" w:hAnsi="宋体"/>
          <w:szCs w:val="21"/>
        </w:rPr>
        <w:t>文件适用于本投标邀请中所述采购项目。</w:t>
      </w:r>
    </w:p>
    <w:p w14:paraId="39FB9C80">
      <w:pPr>
        <w:numPr>
          <w:ilvl w:val="0"/>
          <w:numId w:val="0"/>
        </w:numPr>
        <w:autoSpaceDE w:val="0"/>
        <w:autoSpaceDN w:val="0"/>
        <w:adjustRightInd w:val="0"/>
        <w:snapToGrid w:val="0"/>
        <w:spacing w:line="360" w:lineRule="auto"/>
        <w:ind w:leftChars="0"/>
        <w:jc w:val="left"/>
        <w:outlineLvl w:val="9"/>
        <w:rPr>
          <w:rFonts w:hint="eastAsia" w:ascii="宋体" w:hAnsi="宋体"/>
          <w:szCs w:val="21"/>
        </w:rPr>
      </w:pPr>
      <w:r>
        <w:rPr>
          <w:rFonts w:hint="eastAsia" w:ascii="宋体" w:hAnsi="宋体"/>
          <w:szCs w:val="21"/>
          <w:lang w:val="en-US" w:eastAsia="zh-CN"/>
        </w:rPr>
        <w:t>1.2.</w:t>
      </w:r>
      <w:r>
        <w:rPr>
          <w:rFonts w:hint="eastAsia" w:ascii="宋体" w:hAnsi="宋体"/>
          <w:szCs w:val="21"/>
        </w:rPr>
        <w:t>本项目参照《深圳经济特区政府采购条例》《深圳经济特区政府采购条例实施细则》的规定，并参考有关法规、政策、规章、规定，通过公开</w:t>
      </w:r>
      <w:r>
        <w:rPr>
          <w:rFonts w:hint="eastAsia" w:ascii="宋体" w:hAnsi="宋体"/>
          <w:szCs w:val="21"/>
          <w:lang w:eastAsia="zh-CN"/>
        </w:rPr>
        <w:t>征集</w:t>
      </w:r>
      <w:r>
        <w:rPr>
          <w:rFonts w:hint="eastAsia" w:ascii="宋体" w:hAnsi="宋体"/>
          <w:szCs w:val="21"/>
        </w:rPr>
        <w:t>择优选定供应商。</w:t>
      </w:r>
    </w:p>
    <w:p w14:paraId="0810A1EC">
      <w:pPr>
        <w:numPr>
          <w:ilvl w:val="0"/>
          <w:numId w:val="0"/>
        </w:numPr>
        <w:autoSpaceDE w:val="0"/>
        <w:autoSpaceDN w:val="0"/>
        <w:adjustRightInd w:val="0"/>
        <w:snapToGrid w:val="0"/>
        <w:spacing w:line="360" w:lineRule="auto"/>
        <w:ind w:leftChars="0"/>
        <w:jc w:val="left"/>
        <w:outlineLvl w:val="9"/>
        <w:rPr>
          <w:rFonts w:ascii="宋体" w:hAnsi="宋体"/>
          <w:b/>
          <w:bCs/>
          <w:szCs w:val="21"/>
        </w:rPr>
      </w:pPr>
      <w:r>
        <w:rPr>
          <w:rFonts w:hint="eastAsia" w:ascii="宋体" w:hAnsi="宋体"/>
          <w:szCs w:val="21"/>
          <w:lang w:val="en-US" w:eastAsia="zh-CN"/>
        </w:rPr>
        <w:t>1.3.</w:t>
      </w:r>
      <w:r>
        <w:rPr>
          <w:rFonts w:hint="eastAsia" w:ascii="宋体" w:hAnsi="宋体"/>
          <w:szCs w:val="21"/>
        </w:rPr>
        <w:t>本</w:t>
      </w:r>
      <w:r>
        <w:rPr>
          <w:rFonts w:hint="eastAsia" w:ascii="宋体" w:hAnsi="宋体"/>
          <w:szCs w:val="21"/>
          <w:lang w:eastAsia="zh-CN"/>
        </w:rPr>
        <w:t>征集</w:t>
      </w:r>
      <w:r>
        <w:rPr>
          <w:rFonts w:hint="eastAsia" w:ascii="宋体" w:hAnsi="宋体"/>
          <w:szCs w:val="21"/>
        </w:rPr>
        <w:t>文件适用于货物采购项目。</w:t>
      </w:r>
    </w:p>
    <w:p w14:paraId="7B029138">
      <w:pPr>
        <w:numPr>
          <w:ilvl w:val="0"/>
          <w:numId w:val="17"/>
        </w:numPr>
        <w:autoSpaceDE w:val="0"/>
        <w:autoSpaceDN w:val="0"/>
        <w:adjustRightInd w:val="0"/>
        <w:snapToGrid w:val="0"/>
        <w:spacing w:line="360" w:lineRule="auto"/>
        <w:ind w:left="449" w:hanging="449" w:hangingChars="213"/>
        <w:outlineLvl w:val="1"/>
        <w:rPr>
          <w:rFonts w:ascii="宋体" w:hAnsi="宋体"/>
          <w:b/>
          <w:bCs/>
          <w:strike/>
          <w:szCs w:val="21"/>
        </w:rPr>
      </w:pPr>
      <w:bookmarkStart w:id="127" w:name="_Toc28379"/>
      <w:r>
        <w:rPr>
          <w:rFonts w:hint="eastAsia" w:ascii="宋体" w:hAnsi="宋体"/>
          <w:b/>
          <w:szCs w:val="21"/>
        </w:rPr>
        <w:t>定义</w:t>
      </w:r>
      <w:bookmarkEnd w:id="127"/>
    </w:p>
    <w:p w14:paraId="293D86D5">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2.1.</w:t>
      </w:r>
      <w:r>
        <w:rPr>
          <w:rFonts w:hint="eastAsia" w:ascii="宋体" w:hAnsi="宋体"/>
          <w:szCs w:val="21"/>
        </w:rPr>
        <w:t>采购人</w:t>
      </w:r>
      <w:r>
        <w:rPr>
          <w:rFonts w:hint="eastAsia" w:ascii="宋体" w:hAnsi="宋体"/>
          <w:szCs w:val="21"/>
          <w:lang w:val="en-US" w:eastAsia="zh-CN"/>
        </w:rPr>
        <w:t>是</w:t>
      </w:r>
      <w:r>
        <w:rPr>
          <w:rFonts w:hint="eastAsia" w:ascii="宋体" w:hAnsi="宋体"/>
          <w:szCs w:val="21"/>
        </w:rPr>
        <w:t>指各级</w:t>
      </w:r>
      <w:r>
        <w:rPr>
          <w:rFonts w:ascii="宋体" w:hAnsi="宋体"/>
          <w:szCs w:val="21"/>
        </w:rPr>
        <w:t>国家机关、事业单位和团体组织</w:t>
      </w:r>
      <w:r>
        <w:rPr>
          <w:rFonts w:hint="eastAsia" w:ascii="宋体" w:hAnsi="宋体"/>
          <w:szCs w:val="21"/>
          <w:lang w:eastAsia="zh-CN"/>
        </w:rPr>
        <w:t>。</w:t>
      </w:r>
      <w:r>
        <w:rPr>
          <w:rFonts w:hint="eastAsia" w:ascii="宋体" w:hAnsi="宋体" w:cs="宋体"/>
          <w:szCs w:val="21"/>
        </w:rPr>
        <w:t>采购人已拥有一笔财政性资金或资金来源已落实。采购人计划将一部分或全部资金用于支付本次采购后所签订合同项下的款项。</w:t>
      </w:r>
    </w:p>
    <w:p w14:paraId="3ECABCB9">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2.2.</w:t>
      </w:r>
      <w:r>
        <w:rPr>
          <w:rFonts w:hint="eastAsia" w:ascii="宋体" w:hAnsi="宋体"/>
          <w:szCs w:val="21"/>
        </w:rPr>
        <w:t>供应商是指向采购人提供货物、工程或者服务的法人、其他组织或者自然人。</w:t>
      </w:r>
    </w:p>
    <w:p w14:paraId="65BBC7FD">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2.3.评标</w:t>
      </w:r>
      <w:r>
        <w:rPr>
          <w:rFonts w:hint="eastAsia" w:ascii="宋体" w:hAnsi="宋体"/>
          <w:szCs w:val="21"/>
        </w:rPr>
        <w:t>委员会是</w:t>
      </w:r>
      <w:r>
        <w:rPr>
          <w:rFonts w:hint="eastAsia" w:ascii="宋体" w:hAnsi="宋体"/>
          <w:szCs w:val="21"/>
          <w:lang w:val="en-US" w:eastAsia="zh-CN"/>
        </w:rPr>
        <w:t>指</w:t>
      </w:r>
      <w:r>
        <w:rPr>
          <w:rFonts w:hint="eastAsia" w:ascii="宋体" w:hAnsi="宋体"/>
          <w:szCs w:val="21"/>
        </w:rPr>
        <w:t>专门负责本项目评标工作的临时性机构。</w:t>
      </w:r>
    </w:p>
    <w:p w14:paraId="10EFBBBE">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2.4.</w:t>
      </w:r>
      <w:r>
        <w:rPr>
          <w:rFonts w:hint="eastAsia" w:ascii="宋体" w:hAnsi="宋体"/>
          <w:szCs w:val="21"/>
        </w:rPr>
        <w:t>投标人是指响应</w:t>
      </w:r>
      <w:r>
        <w:rPr>
          <w:rFonts w:hint="eastAsia" w:ascii="宋体" w:hAnsi="宋体"/>
          <w:szCs w:val="21"/>
          <w:lang w:eastAsia="zh-CN"/>
        </w:rPr>
        <w:t>征集</w:t>
      </w:r>
      <w:r>
        <w:rPr>
          <w:rFonts w:hint="eastAsia" w:ascii="宋体" w:hAnsi="宋体"/>
          <w:szCs w:val="21"/>
        </w:rPr>
        <w:t>、参加投标竞争的法人、其他组织或者自然人。</w:t>
      </w:r>
    </w:p>
    <w:p w14:paraId="03F60D92">
      <w:pPr>
        <w:numPr>
          <w:ilvl w:val="0"/>
          <w:numId w:val="0"/>
        </w:numPr>
        <w:autoSpaceDE w:val="0"/>
        <w:autoSpaceDN w:val="0"/>
        <w:adjustRightInd w:val="0"/>
        <w:snapToGrid w:val="0"/>
        <w:spacing w:line="360" w:lineRule="auto"/>
        <w:ind w:leftChars="0"/>
        <w:outlineLvl w:val="9"/>
        <w:rPr>
          <w:rFonts w:ascii="宋体" w:hAnsi="宋体"/>
          <w:szCs w:val="21"/>
        </w:rPr>
      </w:pPr>
      <w:r>
        <w:rPr>
          <w:rFonts w:hint="eastAsia" w:ascii="宋体" w:hAnsi="宋体"/>
          <w:szCs w:val="21"/>
          <w:lang w:val="en-US" w:eastAsia="zh-CN"/>
        </w:rPr>
        <w:t>2.5.</w:t>
      </w:r>
      <w:r>
        <w:rPr>
          <w:rFonts w:hint="eastAsia" w:ascii="宋体" w:hAnsi="宋体"/>
          <w:szCs w:val="21"/>
        </w:rPr>
        <w:t>中标人是指经法定程序确定并授予合同的投标人。</w:t>
      </w:r>
    </w:p>
    <w:p w14:paraId="176C9523">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2.6.</w:t>
      </w:r>
      <w:r>
        <w:rPr>
          <w:rFonts w:hint="eastAsia" w:ascii="宋体" w:hAnsi="宋体"/>
          <w:szCs w:val="21"/>
        </w:rPr>
        <w:t>合同</w:t>
      </w:r>
      <w:r>
        <w:rPr>
          <w:rFonts w:hint="eastAsia" w:ascii="宋体" w:hAnsi="宋体"/>
          <w:szCs w:val="21"/>
          <w:lang w:val="en-US" w:eastAsia="zh-CN"/>
        </w:rPr>
        <w:t>是</w:t>
      </w:r>
      <w:r>
        <w:rPr>
          <w:rFonts w:hint="eastAsia" w:ascii="宋体" w:hAnsi="宋体"/>
          <w:szCs w:val="21"/>
        </w:rPr>
        <w:t>指由本次</w:t>
      </w:r>
      <w:r>
        <w:rPr>
          <w:rFonts w:hint="eastAsia" w:ascii="宋体" w:hAnsi="宋体"/>
          <w:szCs w:val="21"/>
          <w:lang w:eastAsia="zh-CN"/>
        </w:rPr>
        <w:t>征集</w:t>
      </w:r>
      <w:r>
        <w:rPr>
          <w:rFonts w:hint="eastAsia" w:ascii="宋体" w:hAnsi="宋体"/>
          <w:szCs w:val="21"/>
        </w:rPr>
        <w:t>所产生的合同或合约文件。</w:t>
      </w:r>
    </w:p>
    <w:p w14:paraId="0EE11412">
      <w:pPr>
        <w:numPr>
          <w:ilvl w:val="0"/>
          <w:numId w:val="0"/>
        </w:numPr>
        <w:autoSpaceDE w:val="0"/>
        <w:autoSpaceDN w:val="0"/>
        <w:adjustRightInd w:val="0"/>
        <w:snapToGrid w:val="0"/>
        <w:spacing w:line="360" w:lineRule="auto"/>
        <w:ind w:leftChars="0"/>
        <w:outlineLvl w:val="9"/>
        <w:rPr>
          <w:rFonts w:hint="eastAsia" w:ascii="宋体" w:hAnsi="宋体"/>
          <w:szCs w:val="21"/>
        </w:rPr>
      </w:pPr>
      <w:r>
        <w:rPr>
          <w:rFonts w:hint="eastAsia" w:ascii="宋体" w:hAnsi="宋体"/>
          <w:szCs w:val="21"/>
          <w:lang w:val="en-US" w:eastAsia="zh-CN"/>
        </w:rPr>
        <w:t>2.7.</w:t>
      </w:r>
      <w:r>
        <w:rPr>
          <w:rFonts w:hint="eastAsia" w:ascii="宋体" w:hAnsi="宋体"/>
          <w:szCs w:val="21"/>
        </w:rPr>
        <w:t>纸质投标文件</w:t>
      </w:r>
      <w:r>
        <w:rPr>
          <w:rFonts w:hint="eastAsia" w:ascii="宋体" w:hAnsi="宋体"/>
          <w:szCs w:val="21"/>
          <w:lang w:val="en-US" w:eastAsia="zh-CN"/>
        </w:rPr>
        <w:t>是</w:t>
      </w:r>
      <w:r>
        <w:rPr>
          <w:rFonts w:hint="eastAsia" w:ascii="宋体" w:hAnsi="宋体"/>
          <w:szCs w:val="21"/>
        </w:rPr>
        <w:t>指根据本</w:t>
      </w:r>
      <w:r>
        <w:rPr>
          <w:rFonts w:hint="eastAsia" w:ascii="宋体" w:hAnsi="宋体"/>
          <w:szCs w:val="21"/>
          <w:lang w:eastAsia="zh-CN"/>
        </w:rPr>
        <w:t>征集</w:t>
      </w:r>
      <w:r>
        <w:rPr>
          <w:rFonts w:hint="eastAsia" w:ascii="宋体" w:hAnsi="宋体"/>
          <w:szCs w:val="21"/>
        </w:rPr>
        <w:t>文件模板的要求规范填写，打印输出并盖有单位公章的投标文件原件。</w:t>
      </w:r>
    </w:p>
    <w:p w14:paraId="0DADBB14">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2.8.</w:t>
      </w:r>
      <w:r>
        <w:rPr>
          <w:rFonts w:hint="eastAsia" w:ascii="宋体" w:hAnsi="宋体"/>
          <w:szCs w:val="21"/>
        </w:rPr>
        <w:t>现场投标</w:t>
      </w:r>
      <w:r>
        <w:rPr>
          <w:rFonts w:hint="eastAsia" w:ascii="宋体" w:hAnsi="宋体"/>
          <w:szCs w:val="21"/>
          <w:lang w:val="en-US" w:eastAsia="zh-CN"/>
        </w:rPr>
        <w:t>是</w:t>
      </w:r>
      <w:r>
        <w:rPr>
          <w:rFonts w:hint="eastAsia" w:ascii="宋体" w:hAnsi="宋体"/>
          <w:szCs w:val="21"/>
        </w:rPr>
        <w:t>指在规定时间内直接向</w:t>
      </w:r>
      <w:r>
        <w:rPr>
          <w:rFonts w:hint="eastAsia" w:ascii="宋体" w:hAnsi="宋体"/>
          <w:szCs w:val="21"/>
          <w:lang w:val="en-US" w:eastAsia="zh-CN"/>
        </w:rPr>
        <w:t>我院</w:t>
      </w:r>
      <w:r>
        <w:rPr>
          <w:rFonts w:hint="eastAsia" w:ascii="宋体" w:hAnsi="宋体"/>
          <w:szCs w:val="21"/>
        </w:rPr>
        <w:t>提交纸质投标文件。</w:t>
      </w:r>
    </w:p>
    <w:p w14:paraId="4EC4B668">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2.9.</w:t>
      </w:r>
      <w:r>
        <w:rPr>
          <w:rFonts w:hint="eastAsia" w:ascii="宋体" w:hAnsi="宋体"/>
          <w:szCs w:val="21"/>
          <w:lang w:eastAsia="zh-CN"/>
        </w:rPr>
        <w:t>征集</w:t>
      </w:r>
      <w:r>
        <w:rPr>
          <w:rFonts w:hint="eastAsia" w:ascii="宋体" w:hAnsi="宋体"/>
          <w:szCs w:val="21"/>
        </w:rPr>
        <w:t>文件中的标题或题名仅起引导作用，而不应视为对</w:t>
      </w:r>
      <w:r>
        <w:rPr>
          <w:rFonts w:hint="eastAsia" w:ascii="宋体" w:hAnsi="宋体"/>
          <w:szCs w:val="21"/>
          <w:lang w:eastAsia="zh-CN"/>
        </w:rPr>
        <w:t>征集</w:t>
      </w:r>
      <w:r>
        <w:rPr>
          <w:rFonts w:hint="eastAsia" w:ascii="宋体" w:hAnsi="宋体"/>
          <w:szCs w:val="21"/>
        </w:rPr>
        <w:t>文件内容的理解和解释。</w:t>
      </w:r>
    </w:p>
    <w:p w14:paraId="77DE7CA6">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2.10.</w:t>
      </w:r>
      <w:r>
        <w:rPr>
          <w:rFonts w:hint="eastAsia" w:ascii="宋体" w:hAnsi="宋体"/>
          <w:szCs w:val="21"/>
        </w:rPr>
        <w:t>日期</w:t>
      </w:r>
      <w:r>
        <w:rPr>
          <w:rFonts w:hint="eastAsia" w:ascii="宋体" w:hAnsi="宋体"/>
          <w:szCs w:val="21"/>
          <w:lang w:val="en-US" w:eastAsia="zh-CN"/>
        </w:rPr>
        <w:t>是</w:t>
      </w:r>
      <w:r>
        <w:rPr>
          <w:rFonts w:hint="eastAsia" w:ascii="宋体" w:hAnsi="宋体"/>
          <w:szCs w:val="21"/>
        </w:rPr>
        <w:t>指公历日。</w:t>
      </w:r>
    </w:p>
    <w:p w14:paraId="767FC079">
      <w:pPr>
        <w:numPr>
          <w:ilvl w:val="0"/>
          <w:numId w:val="0"/>
        </w:numPr>
        <w:autoSpaceDE w:val="0"/>
        <w:autoSpaceDN w:val="0"/>
        <w:adjustRightInd w:val="0"/>
        <w:snapToGrid w:val="0"/>
        <w:spacing w:line="360" w:lineRule="auto"/>
        <w:ind w:leftChars="0"/>
        <w:rPr>
          <w:rFonts w:hint="default" w:ascii="宋体" w:hAnsi="宋体" w:eastAsiaTheme="minorEastAsia"/>
          <w:szCs w:val="21"/>
          <w:lang w:val="en-US" w:eastAsia="zh-CN"/>
        </w:rPr>
      </w:pPr>
      <w:r>
        <w:rPr>
          <w:rFonts w:hint="eastAsia" w:ascii="宋体" w:hAnsi="宋体"/>
          <w:szCs w:val="21"/>
          <w:lang w:val="en-US" w:eastAsia="zh-CN"/>
        </w:rPr>
        <w:t>2.11.征集</w:t>
      </w:r>
      <w:r>
        <w:rPr>
          <w:rFonts w:hint="eastAsia" w:ascii="宋体" w:hAnsi="宋体"/>
          <w:szCs w:val="21"/>
        </w:rPr>
        <w:t>文件中的标题或题名仅起引导作用，而不应视为对</w:t>
      </w:r>
      <w:r>
        <w:rPr>
          <w:rFonts w:hint="eastAsia" w:ascii="宋体" w:hAnsi="宋体"/>
          <w:szCs w:val="21"/>
          <w:lang w:val="en-US" w:eastAsia="zh-CN"/>
        </w:rPr>
        <w:t>征集</w:t>
      </w:r>
      <w:r>
        <w:rPr>
          <w:rFonts w:hint="eastAsia" w:ascii="宋体" w:hAnsi="宋体"/>
          <w:szCs w:val="21"/>
        </w:rPr>
        <w:t>文件内容的理解和解释。</w:t>
      </w:r>
    </w:p>
    <w:p w14:paraId="08E94636">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28" w:name="_Toc4681"/>
      <w:r>
        <w:rPr>
          <w:rFonts w:hint="eastAsia" w:ascii="宋体" w:hAnsi="宋体"/>
          <w:b/>
          <w:bCs/>
          <w:szCs w:val="21"/>
        </w:rPr>
        <w:t>合格的货物和服务</w:t>
      </w:r>
      <w:bookmarkEnd w:id="128"/>
    </w:p>
    <w:p w14:paraId="6CA79C08">
      <w:pPr>
        <w:numPr>
          <w:ilvl w:val="0"/>
          <w:numId w:val="0"/>
        </w:numPr>
        <w:autoSpaceDE w:val="0"/>
        <w:autoSpaceDN w:val="0"/>
        <w:adjustRightInd w:val="0"/>
        <w:snapToGrid w:val="0"/>
        <w:spacing w:line="360" w:lineRule="auto"/>
        <w:ind w:leftChars="0"/>
        <w:rPr>
          <w:rFonts w:ascii="宋体" w:hAnsi="宋体" w:cs="黑体"/>
          <w:b/>
          <w:bCs/>
          <w:szCs w:val="21"/>
        </w:rPr>
      </w:pPr>
      <w:r>
        <w:rPr>
          <w:rFonts w:hint="eastAsia" w:ascii="宋体" w:hAnsi="宋体"/>
          <w:szCs w:val="21"/>
          <w:lang w:val="en-US" w:eastAsia="zh-CN"/>
        </w:rPr>
        <w:t>3.1.</w:t>
      </w:r>
      <w:r>
        <w:rPr>
          <w:rFonts w:hint="eastAsia" w:ascii="宋体" w:hAnsi="宋体"/>
          <w:szCs w:val="21"/>
        </w:rPr>
        <w:t>货物是指投标人制造或组织符合</w:t>
      </w:r>
      <w:r>
        <w:rPr>
          <w:rFonts w:hint="eastAsia" w:ascii="宋体" w:hAnsi="宋体"/>
          <w:szCs w:val="21"/>
          <w:lang w:eastAsia="zh-CN"/>
        </w:rPr>
        <w:t>征集</w:t>
      </w:r>
      <w:r>
        <w:rPr>
          <w:rFonts w:hint="eastAsia" w:ascii="宋体" w:hAnsi="宋体"/>
          <w:szCs w:val="21"/>
        </w:rPr>
        <w:t>文件要求的货物等。投标的货物必须是其合法生产、合法来源的符合国家有关标准要求的货物，并满足</w:t>
      </w:r>
      <w:r>
        <w:rPr>
          <w:rFonts w:hint="eastAsia" w:ascii="宋体" w:hAnsi="宋体"/>
          <w:szCs w:val="21"/>
          <w:lang w:eastAsia="zh-CN"/>
        </w:rPr>
        <w:t>征集</w:t>
      </w:r>
      <w:r>
        <w:rPr>
          <w:rFonts w:hint="eastAsia" w:ascii="宋体" w:hAnsi="宋体"/>
          <w:szCs w:val="21"/>
        </w:rPr>
        <w:t>文件规定的规格、参数、质量、价格、有效期、售后服务等要求。</w:t>
      </w:r>
    </w:p>
    <w:p w14:paraId="26B52F2E">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3.2.</w:t>
      </w:r>
      <w:r>
        <w:rPr>
          <w:rFonts w:hint="eastAsia" w:ascii="宋体" w:hAnsi="宋体"/>
          <w:szCs w:val="21"/>
        </w:rPr>
        <w:t>服务是指除货物和工程以外的其他政府采购对象，其中包括：投标人须承担的运输、安装、技术支持、培训以及</w:t>
      </w:r>
      <w:r>
        <w:rPr>
          <w:rFonts w:hint="eastAsia" w:ascii="宋体" w:hAnsi="宋体"/>
          <w:szCs w:val="21"/>
          <w:lang w:eastAsia="zh-CN"/>
        </w:rPr>
        <w:t>征集</w:t>
      </w:r>
      <w:r>
        <w:rPr>
          <w:rFonts w:hint="eastAsia" w:ascii="宋体" w:hAnsi="宋体"/>
          <w:szCs w:val="21"/>
        </w:rPr>
        <w:t>文件规定的其它服务。</w:t>
      </w:r>
    </w:p>
    <w:p w14:paraId="1B2DAB83">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3.3.</w:t>
      </w:r>
      <w:r>
        <w:rPr>
          <w:rFonts w:hint="eastAsia" w:ascii="宋体" w:hAnsi="宋体"/>
          <w:szCs w:val="21"/>
        </w:rPr>
        <w:t>国产的货物及其有关服务必须符合中华人民共和国的设计、制造生产标准及行业标准。</w:t>
      </w:r>
      <w:r>
        <w:rPr>
          <w:rFonts w:hint="eastAsia" w:ascii="宋体" w:hAnsi="宋体"/>
          <w:szCs w:val="21"/>
          <w:lang w:eastAsia="zh-CN"/>
        </w:rPr>
        <w:t>征集</w:t>
      </w:r>
      <w:r>
        <w:rPr>
          <w:rFonts w:hint="eastAsia" w:ascii="宋体" w:hAnsi="宋体"/>
          <w:szCs w:val="21"/>
        </w:rPr>
        <w:t>公告有其他要求的，亦应符合其要求。进口货物及其有关服务必须符合原产地和中华人民共和国的设计、制造生产标准及行业标准。进口的货物必须具有合法的进口手续和途径，并通过中华人民共和国商检部门检验。</w:t>
      </w:r>
      <w:r>
        <w:rPr>
          <w:rFonts w:hint="eastAsia" w:ascii="宋体" w:hAnsi="宋体"/>
          <w:szCs w:val="21"/>
          <w:lang w:eastAsia="zh-CN"/>
        </w:rPr>
        <w:t>征集</w:t>
      </w:r>
      <w:r>
        <w:rPr>
          <w:rFonts w:hint="eastAsia" w:ascii="宋体" w:hAnsi="宋体"/>
          <w:szCs w:val="21"/>
        </w:rPr>
        <w:t>公告有其他要求的，亦应符合其要求。</w:t>
      </w:r>
    </w:p>
    <w:p w14:paraId="03AB9CC5">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3.4.</w:t>
      </w:r>
      <w:r>
        <w:rPr>
          <w:rFonts w:hint="eastAsia" w:ascii="宋体" w:hAnsi="宋体"/>
          <w:szCs w:val="21"/>
        </w:rPr>
        <w:t>关于进口产品：根据财政部《政府采购进口产品管理办法》（财库〔2007〕119 号）“第三条本办法所称进口产品是指通过中国海关报关验放进入中国境内且产自关境外的产品。” 及《关于政府采购进口产品管理有关问题的通知》（财办库[2008]248号）“二、关于关境和海关特殊监管区域产品认定 根据《中华人民共和国海关法》(以下简称海关法)的规定，我国现行关境是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这些区域仅在关税待遇及贸易管制方面实施不同于我国关境内其他地区的特殊政策，但仍属于中华人民共和国关境内区域，由海关按照海关法实施监管。因此，凡在海关特殊监管区域内企业生产或加工(包括从境外进口料件)销往境内其他地区的产品，不作为政府采购项下进口产品。对从境外进入海关特殊监管区域，再经办理报关手续后从海关特殊监管区进入境内其他地区的产品，应当认定为进口产品。”。</w:t>
      </w:r>
    </w:p>
    <w:p w14:paraId="7CB46EEB">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3.5.</w:t>
      </w:r>
      <w:r>
        <w:rPr>
          <w:rFonts w:hint="eastAsia" w:ascii="宋体" w:hAnsi="宋体"/>
          <w:szCs w:val="21"/>
        </w:rPr>
        <w:t>若所投产品属于政府强制采购节能产品的，则投标人必须提供该产品国家强制性节能产品进行响应，并提供强制性节能产品认证证书，否则视为无效投标。</w:t>
      </w:r>
    </w:p>
    <w:p w14:paraId="4D908F58">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3.6.</w:t>
      </w:r>
      <w:r>
        <w:rPr>
          <w:rFonts w:hint="eastAsia" w:ascii="宋体" w:hAnsi="宋体"/>
          <w:szCs w:val="21"/>
        </w:rPr>
        <w:t>投标人</w:t>
      </w:r>
      <w:bookmarkStart w:id="129" w:name="_Hlk72152753"/>
      <w:r>
        <w:rPr>
          <w:rFonts w:hint="eastAsia" w:ascii="宋体" w:hAnsi="宋体"/>
          <w:szCs w:val="21"/>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129"/>
    </w:p>
    <w:p w14:paraId="7436C279">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3.7.</w:t>
      </w:r>
      <w:r>
        <w:rPr>
          <w:rFonts w:hint="eastAsia" w:ascii="宋体" w:hAnsi="宋体"/>
          <w:szCs w:val="21"/>
        </w:rPr>
        <w:t>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73CF8BAC">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3.8.</w:t>
      </w:r>
      <w:r>
        <w:rPr>
          <w:rFonts w:hint="eastAsia" w:ascii="宋体" w:hAnsi="宋体"/>
          <w:szCs w:val="21"/>
        </w:rPr>
        <w:t>工期要求：投标人在投标时对其所投项目应提交交货进度、交货计划等，在合同规定的时间内完成项目实施工作。</w:t>
      </w:r>
    </w:p>
    <w:p w14:paraId="5D1ABA44">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3.9.</w:t>
      </w:r>
      <w:r>
        <w:rPr>
          <w:rFonts w:hint="eastAsia" w:ascii="宋体" w:hAnsi="宋体"/>
          <w:szCs w:val="21"/>
        </w:rPr>
        <w:t>投标人必须承担的设备运输、安装调试、验收检测和提供设备操作说明书、图纸等其他相关及类似的义务。</w:t>
      </w:r>
    </w:p>
    <w:p w14:paraId="45BD45A2">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30" w:name="_Toc27847"/>
      <w:r>
        <w:rPr>
          <w:rFonts w:hint="eastAsia" w:ascii="宋体" w:hAnsi="宋体"/>
          <w:b/>
          <w:bCs/>
          <w:szCs w:val="21"/>
        </w:rPr>
        <w:t>其他</w:t>
      </w:r>
      <w:bookmarkEnd w:id="130"/>
    </w:p>
    <w:p w14:paraId="20835FFD">
      <w:pPr>
        <w:numPr>
          <w:ilvl w:val="0"/>
          <w:numId w:val="0"/>
        </w:numPr>
        <w:autoSpaceDE w:val="0"/>
        <w:autoSpaceDN w:val="0"/>
        <w:adjustRightInd w:val="0"/>
        <w:snapToGrid w:val="0"/>
        <w:spacing w:line="360" w:lineRule="auto"/>
        <w:ind w:leftChars="0"/>
        <w:rPr>
          <w:rFonts w:ascii="宋体" w:hAnsi="宋体" w:cs="宋体"/>
          <w:color w:val="auto"/>
          <w:szCs w:val="21"/>
          <w:highlight w:val="none"/>
        </w:rPr>
      </w:pPr>
      <w:r>
        <w:rPr>
          <w:rFonts w:hint="eastAsia" w:ascii="宋体" w:hAnsi="宋体" w:cs="宋体"/>
          <w:szCs w:val="21"/>
          <w:lang w:val="en-US" w:eastAsia="zh-CN"/>
        </w:rPr>
        <w:t>4.1.</w:t>
      </w:r>
      <w:r>
        <w:rPr>
          <w:rFonts w:hint="eastAsia" w:ascii="宋体" w:hAnsi="宋体" w:cs="宋体"/>
          <w:szCs w:val="21"/>
        </w:rPr>
        <w:t>所有时间均为24小时制北京时间，所有货币单位均为人民币元，所使用的计量单位均以《中华</w:t>
      </w:r>
      <w:r>
        <w:rPr>
          <w:rFonts w:hint="eastAsia" w:ascii="宋体" w:hAnsi="宋体" w:cs="宋体"/>
          <w:color w:val="auto"/>
          <w:szCs w:val="21"/>
          <w:highlight w:val="none"/>
        </w:rPr>
        <w:t>人民共和国法定计量单位》为准（特别注明除外）。</w:t>
      </w:r>
    </w:p>
    <w:p w14:paraId="18D56482">
      <w:pPr>
        <w:numPr>
          <w:ilvl w:val="0"/>
          <w:numId w:val="0"/>
        </w:numPr>
        <w:autoSpaceDE w:val="0"/>
        <w:autoSpaceDN w:val="0"/>
        <w:adjustRightInd w:val="0"/>
        <w:snapToGrid w:val="0"/>
        <w:spacing w:line="360" w:lineRule="auto"/>
        <w:ind w:leftChars="0"/>
        <w:rPr>
          <w:rFonts w:ascii="宋体" w:hAnsi="宋体" w:cs="宋体"/>
          <w:color w:val="auto"/>
          <w:szCs w:val="21"/>
          <w:highlight w:val="none"/>
        </w:rPr>
      </w:pPr>
      <w:r>
        <w:rPr>
          <w:rFonts w:hint="eastAsia" w:ascii="宋体" w:hAnsi="宋体" w:cs="宋体"/>
          <w:color w:val="auto"/>
          <w:szCs w:val="21"/>
          <w:highlight w:val="none"/>
          <w:lang w:val="en-US" w:eastAsia="zh-CN"/>
        </w:rPr>
        <w:t>4.2.</w:t>
      </w:r>
      <w:r>
        <w:rPr>
          <w:rFonts w:hint="eastAsia" w:ascii="宋体" w:hAnsi="宋体" w:cs="宋体"/>
          <w:color w:val="auto"/>
          <w:szCs w:val="21"/>
          <w:highlight w:val="none"/>
        </w:rPr>
        <w:t>供应商（投标人）向我</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咨询的有关项目事项，一切以法律法规的规定和本</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书面答复为准，其他一切形式均为个人意见，不代表本</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的意见。</w:t>
      </w:r>
    </w:p>
    <w:p w14:paraId="50953B09">
      <w:pPr>
        <w:numPr>
          <w:ilvl w:val="0"/>
          <w:numId w:val="0"/>
        </w:numPr>
        <w:adjustRightInd w:val="0"/>
        <w:snapToGrid w:val="0"/>
        <w:spacing w:line="360" w:lineRule="auto"/>
        <w:ind w:leftChars="0"/>
        <w:rPr>
          <w:rFonts w:cs="宋体" w:asciiTheme="minorEastAsia" w:hAnsiTheme="minorEastAsia" w:eastAsiaTheme="minorEastAsia"/>
          <w:bCs/>
          <w:color w:val="auto"/>
          <w:szCs w:val="21"/>
          <w:highlight w:val="none"/>
        </w:rPr>
      </w:pPr>
      <w:bookmarkStart w:id="131" w:name="_Hlk21592778"/>
      <w:r>
        <w:rPr>
          <w:rFonts w:hint="eastAsia" w:asciiTheme="minorEastAsia" w:hAnsiTheme="minorEastAsia"/>
          <w:color w:val="auto"/>
          <w:szCs w:val="21"/>
          <w:highlight w:val="none"/>
          <w:lang w:val="en-US" w:eastAsia="zh-CN"/>
        </w:rPr>
        <w:t>4.3.</w:t>
      </w:r>
      <w:r>
        <w:rPr>
          <w:rFonts w:hint="eastAsia" w:asciiTheme="minorEastAsia" w:hAnsiTheme="minorEastAsia" w:eastAsiaTheme="minorEastAsia"/>
          <w:color w:val="auto"/>
          <w:szCs w:val="21"/>
          <w:highlight w:val="none"/>
        </w:rPr>
        <w:t>对列入失信</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黑名单</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的</w:t>
      </w:r>
      <w:bookmarkStart w:id="132" w:name="_Hlk21591509"/>
      <w:r>
        <w:rPr>
          <w:rFonts w:hint="eastAsia" w:asciiTheme="minorEastAsia" w:hAnsiTheme="minorEastAsia" w:eastAsiaTheme="minorEastAsia"/>
          <w:color w:val="auto"/>
          <w:szCs w:val="21"/>
          <w:highlight w:val="none"/>
        </w:rPr>
        <w:t>供应商限制参与政府采购</w:t>
      </w:r>
      <w:bookmarkEnd w:id="132"/>
      <w:r>
        <w:rPr>
          <w:rFonts w:hint="eastAsia" w:asciiTheme="minorEastAsia" w:hAnsiTheme="minorEastAsia" w:eastAsiaTheme="minorEastAsia"/>
          <w:color w:val="auto"/>
          <w:szCs w:val="21"/>
          <w:highlight w:val="none"/>
        </w:rPr>
        <w:t>。</w:t>
      </w:r>
      <w:r>
        <w:rPr>
          <w:rFonts w:hint="eastAsia" w:cs="宋体" w:asciiTheme="minorEastAsia" w:hAnsiTheme="minorEastAsia" w:eastAsiaTheme="minorEastAsia"/>
          <w:bCs/>
          <w:color w:val="auto"/>
          <w:szCs w:val="21"/>
          <w:highlight w:val="none"/>
        </w:rPr>
        <w:t>供应商诚信查询方式：</w:t>
      </w:r>
      <w:r>
        <w:rPr>
          <w:rFonts w:asciiTheme="minorEastAsia" w:hAnsiTheme="minorEastAsia" w:eastAsiaTheme="minorEastAsia"/>
          <w:color w:val="auto"/>
          <w:szCs w:val="21"/>
          <w:highlight w:val="none"/>
        </w:rPr>
        <w:t>“信用中国”网站(www.creditchina.gov.cn)</w:t>
      </w:r>
      <w:r>
        <w:rPr>
          <w:rFonts w:hint="eastAsia" w:asciiTheme="minorEastAsia" w:hAnsiTheme="minorEastAsia" w:eastAsiaTheme="minorEastAsia"/>
          <w:color w:val="auto"/>
          <w:szCs w:val="21"/>
          <w:highlight w:val="none"/>
        </w:rPr>
        <w:t>没有以下任意记录名单之一：①</w:t>
      </w:r>
      <w:r>
        <w:rPr>
          <w:rFonts w:asciiTheme="minorEastAsia" w:hAnsiTheme="minorEastAsia" w:eastAsiaTheme="minorEastAsia"/>
          <w:color w:val="auto"/>
          <w:szCs w:val="21"/>
          <w:highlight w:val="none"/>
        </w:rPr>
        <w:t>记录失信被执行人</w:t>
      </w:r>
      <w:r>
        <w:rPr>
          <w:rFonts w:hint="eastAsia" w:asciiTheme="minorEastAsia" w:hAnsiTheme="minorEastAsia" w:eastAsiaTheme="minorEastAsia"/>
          <w:color w:val="auto"/>
          <w:szCs w:val="21"/>
          <w:highlight w:val="none"/>
        </w:rPr>
        <w:t>；②税收违法黑名单；</w:t>
      </w:r>
      <w:r>
        <w:rPr>
          <w:rFonts w:asciiTheme="minorEastAsia" w:hAnsiTheme="minorEastAsia" w:eastAsiaTheme="minorEastAsia"/>
          <w:color w:val="auto"/>
          <w:szCs w:val="21"/>
          <w:highlight w:val="none"/>
        </w:rPr>
        <w:t>中国政府采购网(www.ccgp.gov.cn)不处于“政府采购严重违法失信行为信息记录”中的禁止参加政府采购活动期间</w:t>
      </w:r>
      <w:r>
        <w:rPr>
          <w:rFonts w:hint="eastAsia" w:asciiTheme="minorEastAsia" w:hAnsiTheme="minorEastAsia" w:eastAsiaTheme="minorEastAsia"/>
          <w:color w:val="auto"/>
          <w:szCs w:val="21"/>
          <w:highlight w:val="none"/>
        </w:rPr>
        <w:t>；</w:t>
      </w:r>
      <w:bookmarkEnd w:id="131"/>
      <w:r>
        <w:rPr>
          <w:rFonts w:hint="eastAsia" w:asciiTheme="minorEastAsia" w:hAnsiTheme="minorEastAsia" w:eastAsiaTheme="minorEastAsia"/>
          <w:color w:val="auto"/>
          <w:szCs w:val="21"/>
          <w:highlight w:val="none"/>
        </w:rPr>
        <w:t>在深圳信用网（</w:t>
      </w:r>
      <w:r>
        <w:rPr>
          <w:rFonts w:asciiTheme="minorEastAsia" w:hAnsiTheme="minorEastAsia" w:eastAsiaTheme="minorEastAsia"/>
          <w:color w:val="auto"/>
          <w:szCs w:val="21"/>
          <w:highlight w:val="none"/>
        </w:rPr>
        <w:t>https://www.szcredit.com.cn</w:t>
      </w:r>
      <w:r>
        <w:rPr>
          <w:rFonts w:hint="eastAsia" w:asciiTheme="minorEastAsia" w:hAnsiTheme="minorEastAsia" w:eastAsiaTheme="minorEastAsia"/>
          <w:color w:val="auto"/>
          <w:szCs w:val="21"/>
          <w:highlight w:val="none"/>
        </w:rPr>
        <w:t>）、</w:t>
      </w:r>
      <w:r>
        <w:rPr>
          <w:rFonts w:hint="eastAsia" w:cs="宋体" w:asciiTheme="minorEastAsia" w:hAnsiTheme="minorEastAsia" w:eastAsiaTheme="minorEastAsia"/>
          <w:bCs/>
          <w:color w:val="auto"/>
          <w:szCs w:val="21"/>
          <w:highlight w:val="none"/>
        </w:rPr>
        <w:t>深圳市政府采购监管网（zfcg.sz.gov.cn）查询相关主体信用记录，对不符合《中华人民共和国政府采购法》第二十二条规定条件的供应商限制参与政府采购。</w:t>
      </w:r>
      <w:r>
        <w:rPr>
          <w:rFonts w:hint="eastAsia" w:cs="宋体" w:asciiTheme="minorEastAsia" w:hAnsiTheme="minorEastAsia" w:eastAsiaTheme="minorEastAsia"/>
          <w:color w:val="auto"/>
          <w:szCs w:val="21"/>
          <w:highlight w:val="none"/>
        </w:rPr>
        <w:t>联合体投标的，对</w:t>
      </w:r>
      <w:r>
        <w:rPr>
          <w:rFonts w:cs="宋体" w:asciiTheme="minorEastAsia" w:hAnsiTheme="minorEastAsia" w:eastAsiaTheme="minorEastAsia"/>
          <w:color w:val="auto"/>
          <w:szCs w:val="21"/>
          <w:highlight w:val="none"/>
        </w:rPr>
        <w:t>所有联合体成员进行信用记录查询，联合体成员存在不良信用记录的，视同联合体存在不良信用记录。</w:t>
      </w:r>
      <w:r>
        <w:rPr>
          <w:rFonts w:cs="宋体" w:asciiTheme="minorEastAsia" w:hAnsiTheme="minorEastAsia" w:eastAsiaTheme="minorEastAsia"/>
          <w:bCs/>
          <w:color w:val="auto"/>
          <w:szCs w:val="21"/>
          <w:highlight w:val="none"/>
        </w:rPr>
        <w:t>如在上述网站查询结果均显示没有相关记录，视为</w:t>
      </w:r>
      <w:r>
        <w:rPr>
          <w:rFonts w:hint="eastAsia" w:cs="宋体" w:asciiTheme="minorEastAsia" w:hAnsiTheme="minorEastAsia" w:eastAsiaTheme="minorEastAsia"/>
          <w:bCs/>
          <w:color w:val="auto"/>
          <w:szCs w:val="21"/>
          <w:highlight w:val="none"/>
        </w:rPr>
        <w:t>不存在</w:t>
      </w:r>
      <w:r>
        <w:rPr>
          <w:rFonts w:cs="宋体" w:asciiTheme="minorEastAsia" w:hAnsiTheme="minorEastAsia" w:eastAsiaTheme="minorEastAsia"/>
          <w:bCs/>
          <w:color w:val="auto"/>
          <w:szCs w:val="21"/>
          <w:highlight w:val="none"/>
        </w:rPr>
        <w:t>上述不良信用记录</w:t>
      </w:r>
      <w:r>
        <w:rPr>
          <w:rFonts w:hint="eastAsia" w:cs="宋体" w:asciiTheme="minorEastAsia" w:hAnsiTheme="minorEastAsia" w:eastAsiaTheme="minorEastAsia"/>
          <w:bCs/>
          <w:color w:val="auto"/>
          <w:szCs w:val="21"/>
          <w:highlight w:val="none"/>
        </w:rPr>
        <w:t>。由</w:t>
      </w:r>
      <w:r>
        <w:rPr>
          <w:rFonts w:hint="eastAsia" w:cs="宋体" w:asciiTheme="minorEastAsia" w:hAnsiTheme="minorEastAsia"/>
          <w:bCs/>
          <w:color w:val="auto"/>
          <w:szCs w:val="21"/>
          <w:highlight w:val="none"/>
          <w:lang w:val="en-US" w:eastAsia="zh-CN"/>
        </w:rPr>
        <w:t>采购人工作人员</w:t>
      </w:r>
      <w:r>
        <w:rPr>
          <w:rFonts w:hint="eastAsia" w:cs="宋体" w:asciiTheme="minorEastAsia" w:hAnsiTheme="minorEastAsia" w:eastAsiaTheme="minorEastAsia"/>
          <w:bCs/>
          <w:color w:val="auto"/>
          <w:szCs w:val="21"/>
          <w:highlight w:val="none"/>
        </w:rPr>
        <w:t>对信用信息查询记录和证据截图或下载存档，</w:t>
      </w:r>
      <w:r>
        <w:rPr>
          <w:rFonts w:hint="eastAsia" w:asciiTheme="minorEastAsia" w:hAnsiTheme="minorEastAsia" w:eastAsiaTheme="minorEastAsia"/>
          <w:color w:val="auto"/>
          <w:szCs w:val="21"/>
          <w:highlight w:val="none"/>
        </w:rPr>
        <w:t>相关信息以开标当日的查询结果为准。信用信息查询记录应当作为项目档案材料一并保存。</w:t>
      </w:r>
    </w:p>
    <w:p w14:paraId="33445C9F">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p>
    <w:p w14:paraId="5CDF3448">
      <w:pPr>
        <w:numPr>
          <w:ilvl w:val="0"/>
          <w:numId w:val="0"/>
        </w:numPr>
        <w:adjustRightInd w:val="0"/>
        <w:snapToGrid w:val="0"/>
        <w:spacing w:line="360" w:lineRule="auto"/>
        <w:ind w:leftChars="0"/>
        <w:jc w:val="center"/>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征集文件</w:t>
      </w:r>
    </w:p>
    <w:p w14:paraId="1C971EE1">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r>
        <w:rPr>
          <w:rFonts w:hint="eastAsia" w:ascii="宋体" w:hAnsi="宋体"/>
          <w:b/>
          <w:bCs/>
          <w:szCs w:val="21"/>
          <w:lang w:val="en-US" w:eastAsia="zh-CN"/>
        </w:rPr>
        <w:t>征集文件注意事项</w:t>
      </w:r>
    </w:p>
    <w:p w14:paraId="38D39AA9">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5.1.</w:t>
      </w:r>
      <w:r>
        <w:rPr>
          <w:rFonts w:hint="eastAsia" w:cs="宋体" w:asciiTheme="minorEastAsia" w:hAnsiTheme="minorEastAsia" w:eastAsiaTheme="minorEastAsia"/>
          <w:bCs/>
          <w:color w:val="auto"/>
          <w:szCs w:val="21"/>
          <w:highlight w:val="none"/>
        </w:rPr>
        <w:t>投标人获得</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文件后，应仔细检查</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文件的所有内容，如有残缺应在投标截止时间</w:t>
      </w:r>
      <w:r>
        <w:rPr>
          <w:rFonts w:hint="eastAsia" w:cs="宋体" w:asciiTheme="minorEastAsia" w:hAnsiTheme="minorEastAsia"/>
          <w:bCs/>
          <w:color w:val="auto"/>
          <w:szCs w:val="21"/>
          <w:highlight w:val="none"/>
          <w:lang w:val="en-US" w:eastAsia="zh-CN"/>
        </w:rPr>
        <w:t>1个工作日</w:t>
      </w:r>
      <w:r>
        <w:rPr>
          <w:rFonts w:hint="eastAsia" w:cs="宋体" w:asciiTheme="minorEastAsia" w:hAnsiTheme="minorEastAsia" w:eastAsiaTheme="minorEastAsia"/>
          <w:bCs/>
          <w:color w:val="auto"/>
          <w:szCs w:val="21"/>
          <w:highlight w:val="none"/>
        </w:rPr>
        <w:t>前向</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提出，否则，由此引起的投标损失自负；投标人同时应认真审阅</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文件所有的事项、格式、条款和规范要求等，如果投标人的投标文件没有按</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文件要求提交全部资料或者投标文件没有对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文件做出实质性响应，其风险应由投标人自行承担，并根据有关条款规定，其投标有可能被拒绝。</w:t>
      </w:r>
    </w:p>
    <w:p w14:paraId="4B9F136D">
      <w:pPr>
        <w:numPr>
          <w:ilvl w:val="0"/>
          <w:numId w:val="0"/>
        </w:numPr>
        <w:adjustRightInd w:val="0"/>
        <w:snapToGrid w:val="0"/>
        <w:spacing w:line="360" w:lineRule="auto"/>
        <w:ind w:leftChars="0"/>
        <w:rPr>
          <w:rFonts w:ascii="宋体" w:hAnsi="宋体" w:cs="黑体"/>
          <w:b/>
          <w:bCs/>
          <w:szCs w:val="21"/>
        </w:rPr>
      </w:pPr>
      <w:r>
        <w:rPr>
          <w:rFonts w:hint="eastAsia" w:cs="宋体" w:asciiTheme="minorEastAsia" w:hAnsiTheme="minorEastAsia"/>
          <w:bCs/>
          <w:color w:val="auto"/>
          <w:szCs w:val="21"/>
          <w:highlight w:val="none"/>
          <w:lang w:val="en-US" w:eastAsia="zh-CN"/>
        </w:rPr>
        <w:t>5.2.</w:t>
      </w:r>
      <w:r>
        <w:rPr>
          <w:rFonts w:hint="eastAsia" w:cs="宋体" w:asciiTheme="minorEastAsia" w:hAnsiTheme="minorEastAsia" w:eastAsiaTheme="minorEastAsia"/>
          <w:bCs/>
          <w:color w:val="auto"/>
          <w:szCs w:val="21"/>
          <w:highlight w:val="none"/>
        </w:rPr>
        <w:t>任何人或任何组织向投标人提交的任何书面或口头资料，未经</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在网上发布或书面通知，均作无效处理，不得作为</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文件的组成部分。</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对投标人由此而做出的推论、理解和结论概不负责。</w:t>
      </w:r>
    </w:p>
    <w:p w14:paraId="11AE4433">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5.3.</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文件澄清的目的是澄清、解答投标人在查阅</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文件后或现场踏勘中可能提出的与投标有关的疑问或询问。</w:t>
      </w:r>
      <w:r>
        <w:rPr>
          <w:rFonts w:hint="eastAsia" w:cs="宋体" w:asciiTheme="minorEastAsia" w:hAnsiTheme="minorEastAsia"/>
          <w:bCs/>
          <w:color w:val="auto"/>
          <w:szCs w:val="21"/>
          <w:highlight w:val="none"/>
          <w:lang w:val="en-US" w:eastAsia="zh-CN"/>
        </w:rPr>
        <w:t>征集</w:t>
      </w:r>
      <w:r>
        <w:rPr>
          <w:rFonts w:hint="eastAsia" w:cs="宋体" w:asciiTheme="minorEastAsia" w:hAnsiTheme="minorEastAsia" w:eastAsiaTheme="minorEastAsia"/>
          <w:bCs/>
          <w:color w:val="auto"/>
          <w:szCs w:val="21"/>
          <w:highlight w:val="none"/>
        </w:rPr>
        <w:t>文件的修改性文件，如补充、澄清文件或</w:t>
      </w:r>
      <w:r>
        <w:rPr>
          <w:rFonts w:hint="eastAsia" w:cs="宋体" w:asciiTheme="minorEastAsia" w:hAnsiTheme="minorEastAsia"/>
          <w:bCs/>
          <w:color w:val="auto"/>
          <w:szCs w:val="21"/>
          <w:highlight w:val="none"/>
          <w:lang w:val="en-US" w:eastAsia="zh-CN"/>
        </w:rPr>
        <w:t>征集</w:t>
      </w:r>
      <w:r>
        <w:rPr>
          <w:rFonts w:hint="eastAsia" w:cs="宋体" w:asciiTheme="minorEastAsia" w:hAnsiTheme="minorEastAsia" w:eastAsiaTheme="minorEastAsia"/>
          <w:bCs/>
          <w:color w:val="auto"/>
          <w:szCs w:val="21"/>
          <w:highlight w:val="none"/>
        </w:rPr>
        <w:t>文件修订说明同样具有法律效力。</w:t>
      </w:r>
    </w:p>
    <w:p w14:paraId="769203AE">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5.4.</w:t>
      </w:r>
      <w:r>
        <w:rPr>
          <w:rFonts w:hint="eastAsia" w:cs="宋体" w:asciiTheme="minorEastAsia" w:hAnsiTheme="minorEastAsia" w:eastAsiaTheme="minorEastAsia"/>
          <w:bCs/>
          <w:color w:val="auto"/>
          <w:szCs w:val="21"/>
          <w:highlight w:val="none"/>
        </w:rPr>
        <w:t>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文件进行澄清或者对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文件有限制性、倾向性条款提出</w:t>
      </w:r>
      <w:r>
        <w:rPr>
          <w:rFonts w:hint="eastAsia" w:cs="宋体" w:asciiTheme="minorEastAsia" w:hAnsiTheme="minorEastAsia"/>
          <w:bCs/>
          <w:color w:val="auto"/>
          <w:szCs w:val="21"/>
          <w:highlight w:val="none"/>
          <w:lang w:val="en-US" w:eastAsia="zh-CN"/>
        </w:rPr>
        <w:t>征集答疑</w:t>
      </w:r>
      <w:r>
        <w:rPr>
          <w:rFonts w:hint="eastAsia" w:cs="宋体" w:asciiTheme="minorEastAsia" w:hAnsiTheme="minorEastAsia" w:eastAsiaTheme="minorEastAsia"/>
          <w:bCs/>
          <w:color w:val="auto"/>
          <w:szCs w:val="21"/>
          <w:highlight w:val="none"/>
        </w:rPr>
        <w:t>的投标人，均应于“</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公告”中所述</w:t>
      </w:r>
      <w:r>
        <w:rPr>
          <w:rFonts w:hint="eastAsia" w:cs="宋体" w:asciiTheme="minorEastAsia" w:hAnsiTheme="minorEastAsia"/>
          <w:bCs/>
          <w:color w:val="auto"/>
          <w:szCs w:val="21"/>
          <w:highlight w:val="none"/>
          <w:lang w:val="en-US" w:eastAsia="zh-CN"/>
        </w:rPr>
        <w:t>投标</w:t>
      </w:r>
      <w:r>
        <w:rPr>
          <w:rFonts w:hint="eastAsia" w:cs="宋体" w:asciiTheme="minorEastAsia" w:hAnsiTheme="minorEastAsia" w:eastAsiaTheme="minorEastAsia"/>
          <w:bCs/>
          <w:color w:val="auto"/>
          <w:szCs w:val="21"/>
          <w:highlight w:val="none"/>
        </w:rPr>
        <w:t>截止时间</w:t>
      </w:r>
      <w:r>
        <w:rPr>
          <w:rFonts w:hint="eastAsia" w:cs="宋体" w:asciiTheme="minorEastAsia" w:hAnsiTheme="minorEastAsia"/>
          <w:bCs/>
          <w:color w:val="auto"/>
          <w:szCs w:val="21"/>
          <w:highlight w:val="none"/>
          <w:lang w:val="en-US" w:eastAsia="zh-CN"/>
        </w:rPr>
        <w:t>1个工作日</w:t>
      </w:r>
      <w:r>
        <w:rPr>
          <w:rFonts w:hint="eastAsia" w:cs="宋体" w:asciiTheme="minorEastAsia" w:hAnsiTheme="minorEastAsia" w:eastAsiaTheme="minorEastAsia"/>
          <w:bCs/>
          <w:color w:val="auto"/>
          <w:szCs w:val="21"/>
          <w:highlight w:val="none"/>
        </w:rPr>
        <w:t>前书面通知</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对规定时间内收到的对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文件的澄清或者</w:t>
      </w:r>
      <w:r>
        <w:rPr>
          <w:rFonts w:hint="eastAsia" w:cs="宋体" w:asciiTheme="minorEastAsia" w:hAnsiTheme="minorEastAsia"/>
          <w:bCs/>
          <w:color w:val="auto"/>
          <w:szCs w:val="21"/>
          <w:highlight w:val="none"/>
          <w:lang w:val="en-US" w:eastAsia="zh-CN"/>
        </w:rPr>
        <w:t>质疑</w:t>
      </w:r>
      <w:r>
        <w:rPr>
          <w:rFonts w:hint="eastAsia" w:cs="宋体" w:asciiTheme="minorEastAsia" w:hAnsiTheme="minorEastAsia" w:eastAsiaTheme="minorEastAsia"/>
          <w:bCs/>
          <w:color w:val="auto"/>
          <w:szCs w:val="21"/>
          <w:highlight w:val="none"/>
        </w:rPr>
        <w:t>，视情况予以答复。</w:t>
      </w:r>
    </w:p>
    <w:p w14:paraId="212D6499">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5.5.</w:t>
      </w:r>
      <w:r>
        <w:rPr>
          <w:rFonts w:hint="eastAsia" w:cs="宋体" w:asciiTheme="minorEastAsia" w:hAnsiTheme="minorEastAsia" w:eastAsiaTheme="minorEastAsia"/>
          <w:bCs/>
          <w:color w:val="auto"/>
          <w:szCs w:val="21"/>
          <w:highlight w:val="none"/>
        </w:rPr>
        <w:t>不论是</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根据需要主动对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文件进行必要的澄清或是根据投标人的要求对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文件做出澄清，</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都将在投标截止日期前以书面形式（包括网站发布方式）答复或发送给所有投标人。答复内容是</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文件的组成部分，对投标人起约束作用。</w:t>
      </w:r>
    </w:p>
    <w:p w14:paraId="71321A82">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5.6.</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文件发出后，在投标截止日期前任何时候，确需要变更</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内容的，</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可主动地或在解答投标人提出的澄清问题时对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文件进行修改</w:t>
      </w:r>
      <w:r>
        <w:rPr>
          <w:rFonts w:hint="eastAsia" w:cs="宋体" w:asciiTheme="minorEastAsia" w:hAnsiTheme="minorEastAsia"/>
          <w:bCs/>
          <w:color w:val="auto"/>
          <w:szCs w:val="21"/>
          <w:highlight w:val="none"/>
          <w:lang w:eastAsia="zh-CN"/>
        </w:rPr>
        <w:t>。</w:t>
      </w:r>
    </w:p>
    <w:p w14:paraId="0B39DAF2">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5.7.</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文件的修改均在指定网站</w:t>
      </w:r>
      <w:r>
        <w:rPr>
          <w:rFonts w:hint="eastAsia" w:cs="宋体" w:asciiTheme="minorEastAsia" w:hAnsiTheme="minorEastAsia"/>
          <w:bCs/>
          <w:color w:val="auto"/>
          <w:szCs w:val="21"/>
          <w:highlight w:val="none"/>
          <w:lang w:eastAsia="zh-CN"/>
        </w:rPr>
        <w:t>（</w:t>
      </w:r>
      <w:r>
        <w:rPr>
          <w:rFonts w:hint="eastAsia" w:cs="宋体" w:asciiTheme="minorEastAsia" w:hAnsiTheme="minorEastAsia"/>
          <w:bCs/>
          <w:color w:val="auto"/>
          <w:szCs w:val="21"/>
          <w:highlight w:val="none"/>
          <w:lang w:val="en-US" w:eastAsia="zh-CN"/>
        </w:rPr>
        <w:t>医院官网</w:t>
      </w:r>
      <w:r>
        <w:rPr>
          <w:rFonts w:hint="eastAsia" w:cs="宋体" w:asciiTheme="minorEastAsia" w:hAnsiTheme="minorEastAsia"/>
          <w:bCs/>
          <w:color w:val="auto"/>
          <w:szCs w:val="21"/>
          <w:highlight w:val="none"/>
          <w:lang w:eastAsia="zh-CN"/>
        </w:rPr>
        <w:t>）</w:t>
      </w:r>
      <w:r>
        <w:rPr>
          <w:rFonts w:hint="eastAsia" w:cs="宋体" w:asciiTheme="minorEastAsia" w:hAnsiTheme="minorEastAsia" w:eastAsiaTheme="minorEastAsia"/>
          <w:bCs/>
          <w:color w:val="auto"/>
          <w:szCs w:val="21"/>
          <w:highlight w:val="none"/>
        </w:rPr>
        <w:t>以网上公告形式发布，并对投标人具有约束力，在项目开标前，投标人有义务上网查看，公告一经上网发布，即视为送达。</w:t>
      </w:r>
    </w:p>
    <w:p w14:paraId="03A88549">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5.8.</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文件澄清（答疑）纪要、</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文件修改补充通知内容均以书面明确的内容为准。当</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文件、修改补充通知、澄清（答疑）纪要内容相互矛盾时，以最后发出的通知（或纪要）或修改文件为准</w:t>
      </w:r>
      <w:r>
        <w:rPr>
          <w:rFonts w:hint="eastAsia" w:cs="宋体" w:asciiTheme="minorEastAsia" w:hAnsiTheme="minorEastAsia"/>
          <w:bCs/>
          <w:color w:val="auto"/>
          <w:szCs w:val="21"/>
          <w:highlight w:val="none"/>
          <w:lang w:eastAsia="zh-CN"/>
        </w:rPr>
        <w:t>。</w:t>
      </w:r>
    </w:p>
    <w:p w14:paraId="01BD5C1A">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5.9.我院</w:t>
      </w:r>
      <w:r>
        <w:rPr>
          <w:rFonts w:hint="eastAsia" w:cs="宋体" w:asciiTheme="minorEastAsia" w:hAnsiTheme="minorEastAsia" w:eastAsiaTheme="minorEastAsia"/>
          <w:bCs/>
          <w:color w:val="auto"/>
          <w:szCs w:val="21"/>
          <w:highlight w:val="none"/>
        </w:rPr>
        <w:t>保证</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文件澄清（答疑）纪要和</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文件修改补充通知在投标截止时间前以网站公开发布形式或书面形式发送给所有投标人。为使投标人在编写投标文件时有充分时间对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文件的修改部分进行研究，</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可以酌情延长递交投标文件的截止日期，具体时间将在修改补充通知中明确。</w:t>
      </w:r>
    </w:p>
    <w:p w14:paraId="162D3CE0">
      <w:pPr>
        <w:numPr>
          <w:ilvl w:val="0"/>
          <w:numId w:val="0"/>
        </w:numPr>
        <w:adjustRightInd w:val="0"/>
        <w:snapToGrid w:val="0"/>
        <w:spacing w:line="360" w:lineRule="auto"/>
        <w:ind w:leftChars="0"/>
        <w:rPr>
          <w:rFonts w:hint="eastAsia" w:cs="宋体" w:asciiTheme="minorEastAsia" w:hAnsiTheme="minorEastAsia"/>
          <w:bCs/>
          <w:color w:val="auto"/>
          <w:szCs w:val="21"/>
          <w:highlight w:val="none"/>
          <w:lang w:val="en-US" w:eastAsia="zh-CN"/>
        </w:rPr>
      </w:pPr>
      <w:r>
        <w:rPr>
          <w:rFonts w:hint="eastAsia" w:cs="宋体" w:asciiTheme="minorEastAsia" w:hAnsiTheme="minorEastAsia"/>
          <w:bCs/>
          <w:color w:val="auto"/>
          <w:szCs w:val="21"/>
          <w:highlight w:val="none"/>
          <w:lang w:val="en-US" w:eastAsia="zh-CN"/>
        </w:rPr>
        <w:t>5.10.征集文件由深圳市福田区第二人民医院负责解释。</w:t>
      </w:r>
    </w:p>
    <w:p w14:paraId="59DC293A">
      <w:pPr>
        <w:numPr>
          <w:ilvl w:val="0"/>
          <w:numId w:val="0"/>
        </w:numPr>
        <w:adjustRightInd w:val="0"/>
        <w:snapToGrid w:val="0"/>
        <w:spacing w:line="360" w:lineRule="auto"/>
        <w:ind w:leftChars="0"/>
        <w:rPr>
          <w:rFonts w:hint="eastAsia" w:ascii="宋体" w:hAnsi="宋体"/>
          <w:szCs w:val="21"/>
        </w:rPr>
      </w:pPr>
      <w:r>
        <w:rPr>
          <w:rFonts w:hint="eastAsia" w:cs="宋体" w:asciiTheme="minorEastAsia" w:hAnsiTheme="minorEastAsia"/>
          <w:bCs/>
          <w:color w:val="auto"/>
          <w:szCs w:val="21"/>
          <w:highlight w:val="none"/>
          <w:lang w:val="en-US" w:eastAsia="zh-CN"/>
        </w:rPr>
        <w:t>5.11.</w:t>
      </w:r>
      <w:r>
        <w:rPr>
          <w:rFonts w:hint="eastAsia" w:ascii="宋体" w:hAnsi="宋体"/>
          <w:szCs w:val="21"/>
        </w:rPr>
        <w:t>本次招投标的最终解释权归</w:t>
      </w:r>
      <w:r>
        <w:rPr>
          <w:rFonts w:hint="eastAsia" w:cs="宋体" w:asciiTheme="minorEastAsia" w:hAnsiTheme="minorEastAsia"/>
          <w:bCs/>
          <w:color w:val="auto"/>
          <w:szCs w:val="21"/>
          <w:highlight w:val="none"/>
          <w:lang w:val="en-US" w:eastAsia="zh-CN"/>
        </w:rPr>
        <w:t>深圳市福田区第二人民医院</w:t>
      </w:r>
      <w:r>
        <w:rPr>
          <w:rFonts w:hint="eastAsia" w:ascii="宋体" w:hAnsi="宋体"/>
          <w:szCs w:val="21"/>
        </w:rPr>
        <w:t>所有。本文件未作须知明示，而又有相关法律、法规规定的，</w:t>
      </w:r>
      <w:r>
        <w:rPr>
          <w:rFonts w:hint="eastAsia" w:cs="宋体" w:asciiTheme="minorEastAsia" w:hAnsiTheme="minorEastAsia"/>
          <w:bCs/>
          <w:color w:val="auto"/>
          <w:szCs w:val="21"/>
          <w:highlight w:val="none"/>
          <w:lang w:val="en-US" w:eastAsia="zh-CN"/>
        </w:rPr>
        <w:t>深圳市福田区第二人民医院</w:t>
      </w:r>
      <w:r>
        <w:rPr>
          <w:rFonts w:hint="eastAsia" w:ascii="宋体" w:hAnsi="宋体"/>
          <w:szCs w:val="21"/>
        </w:rPr>
        <w:t>将对此解释为依据有关法律、法规的规定。</w:t>
      </w:r>
    </w:p>
    <w:p w14:paraId="65742B83">
      <w:pPr>
        <w:numPr>
          <w:ilvl w:val="0"/>
          <w:numId w:val="0"/>
        </w:numPr>
        <w:adjustRightInd w:val="0"/>
        <w:snapToGrid w:val="0"/>
        <w:spacing w:line="360" w:lineRule="auto"/>
        <w:ind w:leftChars="0"/>
        <w:rPr>
          <w:rFonts w:hint="default" w:cs="宋体" w:asciiTheme="minorEastAsia" w:hAnsiTheme="minorEastAsia"/>
          <w:bCs/>
          <w:color w:val="auto"/>
          <w:szCs w:val="21"/>
          <w:highlight w:val="none"/>
          <w:lang w:val="en-US" w:eastAsia="zh-CN"/>
        </w:rPr>
      </w:pPr>
    </w:p>
    <w:p w14:paraId="71E88C04">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lang w:eastAsia="zh-TW"/>
        </w:rPr>
      </w:pPr>
      <w:bookmarkStart w:id="133" w:name="_Toc435174935"/>
      <w:bookmarkStart w:id="134" w:name="_Toc15510"/>
      <w:bookmarkStart w:id="135" w:name="_Toc22222"/>
      <w:bookmarkStart w:id="136" w:name="_Toc26815"/>
      <w:bookmarkStart w:id="137" w:name="_Toc438223138"/>
      <w:bookmarkStart w:id="138" w:name="_Toc435516652"/>
      <w:r>
        <w:rPr>
          <w:rFonts w:hint="eastAsia" w:asciiTheme="majorEastAsia" w:hAnsiTheme="majorEastAsia" w:eastAsiaTheme="majorEastAsia"/>
          <w:sz w:val="30"/>
          <w:szCs w:val="30"/>
          <w:lang w:eastAsia="zh-TW"/>
        </w:rPr>
        <w:t>投标文件的编制</w:t>
      </w:r>
      <w:bookmarkEnd w:id="133"/>
      <w:bookmarkEnd w:id="134"/>
      <w:bookmarkEnd w:id="135"/>
      <w:bookmarkEnd w:id="136"/>
      <w:bookmarkEnd w:id="137"/>
      <w:bookmarkEnd w:id="138"/>
    </w:p>
    <w:p w14:paraId="5EBD4F7D">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39" w:name="_Toc27317"/>
      <w:r>
        <w:rPr>
          <w:rFonts w:hint="eastAsia" w:ascii="宋体" w:hAnsi="宋体"/>
          <w:b/>
          <w:bCs/>
          <w:szCs w:val="21"/>
        </w:rPr>
        <w:t>投标的语言</w:t>
      </w:r>
      <w:bookmarkEnd w:id="139"/>
      <w:r>
        <w:rPr>
          <w:rFonts w:hint="eastAsia" w:ascii="宋体" w:hAnsi="宋体"/>
          <w:b/>
          <w:bCs/>
          <w:szCs w:val="21"/>
          <w:lang w:val="en-US" w:eastAsia="zh-CN"/>
        </w:rPr>
        <w:t>及度量单位</w:t>
      </w:r>
    </w:p>
    <w:p w14:paraId="60E51897">
      <w:pPr>
        <w:numPr>
          <w:ilvl w:val="0"/>
          <w:numId w:val="0"/>
        </w:numPr>
        <w:autoSpaceDE w:val="0"/>
        <w:autoSpaceDN w:val="0"/>
        <w:adjustRightInd w:val="0"/>
        <w:snapToGrid w:val="0"/>
        <w:spacing w:line="360" w:lineRule="auto"/>
        <w:ind w:leftChars="0"/>
        <w:rPr>
          <w:rFonts w:ascii="宋体" w:hAnsi="宋体" w:cs="黑体"/>
          <w:b/>
          <w:bCs/>
          <w:szCs w:val="21"/>
        </w:rPr>
      </w:pPr>
      <w:r>
        <w:rPr>
          <w:rFonts w:hint="eastAsia" w:ascii="宋体" w:hAnsi="宋体" w:cs="宋体"/>
          <w:szCs w:val="21"/>
          <w:lang w:val="en-US" w:eastAsia="zh-CN"/>
        </w:rPr>
        <w:t>6.1.</w:t>
      </w:r>
      <w:r>
        <w:rPr>
          <w:rFonts w:hint="eastAsia" w:ascii="宋体" w:hAnsi="宋体" w:cs="宋体"/>
          <w:szCs w:val="21"/>
        </w:rPr>
        <w:t>投标人提交的投标文件以及投标人与采购人就有关投标的所有来往函电均应使用中文书写。投标人提交的支持文件或印刷的资料可以用另一种语言，但相应内容应附有中文翻译本，由翻译机构盖章或者翻译人员签名。</w:t>
      </w:r>
      <w:r>
        <w:rPr>
          <w:rFonts w:hint="eastAsia" w:ascii="宋体" w:hAnsi="宋体"/>
        </w:rPr>
        <w:t>两种语言不一致时以中文翻译本为准。</w:t>
      </w:r>
    </w:p>
    <w:p w14:paraId="2EC9C25D">
      <w:pPr>
        <w:numPr>
          <w:ilvl w:val="0"/>
          <w:numId w:val="0"/>
        </w:numPr>
        <w:autoSpaceDE w:val="0"/>
        <w:autoSpaceDN w:val="0"/>
        <w:adjustRightInd w:val="0"/>
        <w:snapToGrid w:val="0"/>
        <w:spacing w:line="360" w:lineRule="auto"/>
        <w:ind w:leftChars="0"/>
        <w:rPr>
          <w:rFonts w:hint="eastAsia" w:ascii="宋体" w:hAnsi="宋体" w:cs="宋体"/>
          <w:szCs w:val="21"/>
        </w:rPr>
      </w:pPr>
      <w:r>
        <w:rPr>
          <w:rFonts w:hint="eastAsia" w:ascii="宋体" w:hAnsi="宋体" w:cs="宋体"/>
          <w:szCs w:val="21"/>
          <w:lang w:val="en-US" w:eastAsia="zh-CN"/>
        </w:rPr>
        <w:t>6.2.</w:t>
      </w:r>
      <w:r>
        <w:rPr>
          <w:rFonts w:hint="eastAsia" w:ascii="宋体" w:hAnsi="宋体" w:cs="宋体"/>
          <w:szCs w:val="21"/>
        </w:rPr>
        <w:t>除技术规范另有规定外，投标文件使用的度量单位，均采用中华人民共和国法定计量单位。</w:t>
      </w:r>
    </w:p>
    <w:p w14:paraId="5EB2D7D4">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0" w:name="_Toc2446"/>
      <w:r>
        <w:rPr>
          <w:rFonts w:hint="eastAsia" w:ascii="宋体" w:hAnsi="宋体"/>
          <w:b/>
          <w:bCs/>
          <w:szCs w:val="21"/>
        </w:rPr>
        <w:t>投标文件的构成</w:t>
      </w:r>
      <w:bookmarkEnd w:id="140"/>
    </w:p>
    <w:p w14:paraId="57D603E8">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7.1.</w:t>
      </w:r>
      <w:r>
        <w:rPr>
          <w:rFonts w:hint="eastAsia" w:ascii="宋体" w:hAnsi="宋体" w:cs="宋体"/>
          <w:szCs w:val="21"/>
        </w:rPr>
        <w:t>投标人编写的投标文件应包括资格性文件、符合性文件、技术文件、商务文件等，编排顺序参见投标文件格式。</w:t>
      </w:r>
    </w:p>
    <w:p w14:paraId="219B7BC5">
      <w:pPr>
        <w:numPr>
          <w:ilvl w:val="0"/>
          <w:numId w:val="0"/>
        </w:numPr>
        <w:autoSpaceDE w:val="0"/>
        <w:autoSpaceDN w:val="0"/>
        <w:adjustRightInd w:val="0"/>
        <w:snapToGrid w:val="0"/>
        <w:spacing w:line="360" w:lineRule="auto"/>
        <w:ind w:leftChars="0"/>
        <w:outlineLvl w:val="9"/>
        <w:rPr>
          <w:rFonts w:ascii="宋体" w:hAnsi="宋体" w:cs="宋体"/>
          <w:szCs w:val="21"/>
        </w:rPr>
      </w:pPr>
      <w:r>
        <w:rPr>
          <w:rFonts w:hint="eastAsia" w:ascii="宋体" w:hAnsi="宋体" w:cs="宋体"/>
          <w:szCs w:val="21"/>
          <w:lang w:val="en-US" w:eastAsia="zh-CN"/>
        </w:rPr>
        <w:t>7.2.</w:t>
      </w:r>
      <w:r>
        <w:rPr>
          <w:rFonts w:hint="eastAsia" w:ascii="宋体" w:hAnsi="宋体" w:cs="宋体"/>
          <w:szCs w:val="21"/>
        </w:rPr>
        <w:t>投标文件的构成应符合法律法规及</w:t>
      </w:r>
      <w:r>
        <w:rPr>
          <w:rFonts w:hint="eastAsia" w:ascii="宋体" w:hAnsi="宋体" w:cs="宋体"/>
          <w:szCs w:val="21"/>
          <w:lang w:eastAsia="zh-CN"/>
        </w:rPr>
        <w:t>征集</w:t>
      </w:r>
      <w:r>
        <w:rPr>
          <w:rFonts w:hint="eastAsia" w:ascii="宋体" w:hAnsi="宋体" w:cs="宋体"/>
          <w:szCs w:val="21"/>
        </w:rPr>
        <w:t>文件的要求。</w:t>
      </w:r>
    </w:p>
    <w:p w14:paraId="0F86CEF7">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1" w:name="_Toc11091"/>
      <w:r>
        <w:rPr>
          <w:rFonts w:hint="eastAsia" w:ascii="宋体" w:hAnsi="宋体"/>
          <w:b/>
          <w:bCs/>
          <w:szCs w:val="21"/>
        </w:rPr>
        <w:t>投标文件的编写</w:t>
      </w:r>
      <w:bookmarkEnd w:id="141"/>
    </w:p>
    <w:p w14:paraId="3AA1BCA5">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8.1.</w:t>
      </w:r>
      <w:r>
        <w:rPr>
          <w:rFonts w:hint="eastAsia" w:ascii="宋体" w:hAnsi="宋体" w:cs="宋体"/>
          <w:szCs w:val="21"/>
        </w:rPr>
        <w:t>投标人对</w:t>
      </w:r>
      <w:r>
        <w:rPr>
          <w:rFonts w:hint="eastAsia" w:ascii="宋体" w:hAnsi="宋体" w:cs="宋体"/>
          <w:szCs w:val="21"/>
          <w:lang w:eastAsia="zh-CN"/>
        </w:rPr>
        <w:t>征集</w:t>
      </w:r>
      <w:r>
        <w:rPr>
          <w:rFonts w:hint="eastAsia" w:ascii="宋体" w:hAnsi="宋体" w:cs="宋体"/>
          <w:szCs w:val="21"/>
        </w:rPr>
        <w:t>文件中多个包组进行投标的，其投标文件的编制可按每个包组的要求分别装订和密封。投标人应当对投标文件进行装订，对未经装订的投标文件可能发生的文件散落或缺损，由此造成的后果和责任由投标人承担。</w:t>
      </w:r>
    </w:p>
    <w:p w14:paraId="2476390D">
      <w:pPr>
        <w:numPr>
          <w:ilvl w:val="0"/>
          <w:numId w:val="0"/>
        </w:numPr>
        <w:tabs>
          <w:tab w:val="left" w:pos="709"/>
        </w:tabs>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8.2.</w:t>
      </w:r>
      <w:r>
        <w:rPr>
          <w:rFonts w:hint="eastAsia" w:ascii="宋体" w:hAnsi="宋体" w:cs="宋体"/>
          <w:szCs w:val="21"/>
        </w:rPr>
        <w:t>投标人必须对投标文件所提供的全部资料的真实性承担法律责任，并无条件接受采购人或者</w:t>
      </w:r>
      <w:r>
        <w:rPr>
          <w:rFonts w:hint="eastAsia" w:ascii="宋体" w:hAnsi="宋体"/>
          <w:szCs w:val="21"/>
        </w:rPr>
        <w:t>政府采购监督管理部门</w:t>
      </w:r>
      <w:r>
        <w:rPr>
          <w:rFonts w:hint="eastAsia" w:ascii="宋体" w:hAnsi="宋体" w:cs="宋体"/>
          <w:szCs w:val="21"/>
        </w:rPr>
        <w:t>对其中任何资料进行核实的要求。</w:t>
      </w:r>
    </w:p>
    <w:p w14:paraId="1EC5433C">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8.3.</w:t>
      </w:r>
      <w:r>
        <w:rPr>
          <w:rFonts w:hint="eastAsia" w:ascii="宋体" w:hAnsi="宋体" w:cs="宋体"/>
          <w:szCs w:val="21"/>
        </w:rPr>
        <w:t>如果因为投标人的投标文件只填写和提供了本</w:t>
      </w:r>
      <w:r>
        <w:rPr>
          <w:rFonts w:hint="eastAsia" w:ascii="宋体" w:hAnsi="宋体" w:cs="宋体"/>
          <w:szCs w:val="21"/>
          <w:lang w:eastAsia="zh-CN"/>
        </w:rPr>
        <w:t>征集</w:t>
      </w:r>
      <w:r>
        <w:rPr>
          <w:rFonts w:hint="eastAsia" w:ascii="宋体" w:hAnsi="宋体" w:cs="宋体"/>
          <w:szCs w:val="21"/>
        </w:rPr>
        <w:t>文件要求的部分内容和附件，或没有提供</w:t>
      </w:r>
      <w:r>
        <w:rPr>
          <w:rFonts w:hint="eastAsia" w:ascii="宋体" w:hAnsi="宋体" w:cs="宋体"/>
          <w:szCs w:val="21"/>
          <w:lang w:eastAsia="zh-CN"/>
        </w:rPr>
        <w:t>征集</w:t>
      </w:r>
      <w:r>
        <w:rPr>
          <w:rFonts w:hint="eastAsia" w:ascii="宋体" w:hAnsi="宋体" w:cs="宋体"/>
          <w:szCs w:val="21"/>
        </w:rPr>
        <w:t>文件中所要求的资料及数据，由此造成的后果和责任由投标人承担。</w:t>
      </w:r>
    </w:p>
    <w:p w14:paraId="274B42DA">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8.4.</w:t>
      </w:r>
      <w:r>
        <w:rPr>
          <w:rFonts w:hint="eastAsia" w:ascii="宋体" w:hAnsi="宋体" w:cs="宋体"/>
          <w:szCs w:val="21"/>
        </w:rPr>
        <w:t>投标人应认真阅读、并充分理解</w:t>
      </w:r>
      <w:r>
        <w:rPr>
          <w:rFonts w:hint="eastAsia" w:ascii="宋体" w:hAnsi="宋体" w:cs="宋体"/>
          <w:szCs w:val="21"/>
          <w:lang w:eastAsia="zh-CN"/>
        </w:rPr>
        <w:t>征集</w:t>
      </w:r>
      <w:r>
        <w:rPr>
          <w:rFonts w:hint="eastAsia" w:ascii="宋体" w:hAnsi="宋体" w:cs="宋体"/>
          <w:szCs w:val="21"/>
        </w:rPr>
        <w:t>文件的全部内容（包括所有的补充、修改内容重要事项、格式、条款和技术规范、参数及要求等）。投标人没有按照</w:t>
      </w:r>
      <w:r>
        <w:rPr>
          <w:rFonts w:hint="eastAsia" w:ascii="宋体" w:hAnsi="宋体" w:cs="宋体"/>
          <w:szCs w:val="21"/>
          <w:lang w:eastAsia="zh-CN"/>
        </w:rPr>
        <w:t>征集</w:t>
      </w:r>
      <w:r>
        <w:rPr>
          <w:rFonts w:hint="eastAsia" w:ascii="宋体" w:hAnsi="宋体" w:cs="宋体"/>
          <w:szCs w:val="21"/>
        </w:rPr>
        <w:t>文件要求提交资料，或者投标文件没有对</w:t>
      </w:r>
      <w:r>
        <w:rPr>
          <w:rFonts w:hint="eastAsia" w:ascii="宋体" w:hAnsi="宋体" w:cs="宋体"/>
          <w:szCs w:val="21"/>
          <w:lang w:eastAsia="zh-CN"/>
        </w:rPr>
        <w:t>征集</w:t>
      </w:r>
      <w:r>
        <w:rPr>
          <w:rFonts w:hint="eastAsia" w:ascii="宋体" w:hAnsi="宋体" w:cs="宋体"/>
          <w:szCs w:val="21"/>
        </w:rPr>
        <w:t>文件在各方面都作出实质性响应是投标人的风险，有可能导致其投标被认定为无效投标或被确定为投标无效。</w:t>
      </w:r>
    </w:p>
    <w:p w14:paraId="20EF46CE">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8.5.</w:t>
      </w:r>
      <w:r>
        <w:rPr>
          <w:rFonts w:hint="eastAsia" w:ascii="宋体" w:hAnsi="宋体" w:cs="宋体"/>
          <w:szCs w:val="21"/>
        </w:rPr>
        <w:t>如</w:t>
      </w:r>
      <w:r>
        <w:rPr>
          <w:rFonts w:hint="eastAsia" w:ascii="宋体" w:hAnsi="宋体" w:cs="宋体"/>
          <w:szCs w:val="21"/>
          <w:lang w:eastAsia="zh-CN"/>
        </w:rPr>
        <w:t>征集</w:t>
      </w:r>
      <w:r>
        <w:rPr>
          <w:rFonts w:hint="eastAsia" w:ascii="宋体" w:hAnsi="宋体" w:cs="宋体"/>
          <w:szCs w:val="21"/>
        </w:rPr>
        <w:t>文件提供了投标文件格式，则投标人提交的投标文件必须毫无例外地使用</w:t>
      </w:r>
      <w:r>
        <w:rPr>
          <w:rFonts w:hint="eastAsia" w:ascii="宋体" w:hAnsi="宋体" w:cs="宋体"/>
          <w:szCs w:val="21"/>
          <w:lang w:eastAsia="zh-CN"/>
        </w:rPr>
        <w:t>征集</w:t>
      </w:r>
      <w:r>
        <w:rPr>
          <w:rFonts w:hint="eastAsia" w:ascii="宋体" w:hAnsi="宋体" w:cs="宋体"/>
          <w:szCs w:val="21"/>
        </w:rPr>
        <w:t>文件所提供的相应格式（表格可以按同样格式扩展）。</w:t>
      </w:r>
    </w:p>
    <w:p w14:paraId="17A80A89">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2" w:name="_Toc7497"/>
      <w:r>
        <w:rPr>
          <w:rFonts w:hint="eastAsia" w:ascii="宋体" w:hAnsi="宋体"/>
          <w:b/>
          <w:bCs/>
          <w:szCs w:val="21"/>
        </w:rPr>
        <w:t>投标报价</w:t>
      </w:r>
      <w:bookmarkEnd w:id="142"/>
    </w:p>
    <w:p w14:paraId="34667E9C">
      <w:pPr>
        <w:numPr>
          <w:ilvl w:val="0"/>
          <w:numId w:val="0"/>
        </w:numPr>
        <w:autoSpaceDE w:val="0"/>
        <w:autoSpaceDN w:val="0"/>
        <w:adjustRightInd w:val="0"/>
        <w:snapToGrid w:val="0"/>
        <w:spacing w:line="360" w:lineRule="auto"/>
        <w:ind w:leftChars="0"/>
        <w:rPr>
          <w:rFonts w:ascii="宋体" w:hAnsi="宋体" w:cs="黑体"/>
          <w:b/>
          <w:bCs/>
          <w:szCs w:val="21"/>
        </w:rPr>
      </w:pPr>
      <w:r>
        <w:rPr>
          <w:rFonts w:hint="eastAsia" w:ascii="宋体" w:hAnsi="宋体" w:cs="宋体"/>
          <w:szCs w:val="21"/>
          <w:lang w:val="en-US" w:eastAsia="zh-CN"/>
        </w:rPr>
        <w:t>9.1.</w:t>
      </w:r>
      <w:r>
        <w:rPr>
          <w:rFonts w:hint="eastAsia" w:ascii="宋体" w:hAnsi="宋体" w:cs="宋体"/>
          <w:szCs w:val="21"/>
        </w:rPr>
        <w:t>投标人应按照“用户需求书”中采购项目技术规格、参数及要求规定的内容、责任范围进行报价。并按《开标一览表(报价表)》及《投标分项报价表》（如适用）的要求报出总价和分项价格。</w:t>
      </w:r>
    </w:p>
    <w:p w14:paraId="4C0B5911">
      <w:pPr>
        <w:numPr>
          <w:ilvl w:val="0"/>
          <w:numId w:val="0"/>
        </w:numPr>
        <w:autoSpaceDE w:val="0"/>
        <w:autoSpaceDN w:val="0"/>
        <w:adjustRightInd w:val="0"/>
        <w:snapToGrid w:val="0"/>
        <w:spacing w:line="360" w:lineRule="auto"/>
        <w:ind w:leftChars="0"/>
        <w:outlineLvl w:val="9"/>
        <w:rPr>
          <w:rFonts w:ascii="宋体" w:hAnsi="宋体"/>
          <w:szCs w:val="21"/>
        </w:rPr>
      </w:pPr>
      <w:r>
        <w:rPr>
          <w:rFonts w:hint="eastAsia" w:ascii="宋体" w:hAnsi="宋体" w:cs="宋体"/>
          <w:szCs w:val="21"/>
          <w:lang w:val="en-US" w:eastAsia="zh-CN"/>
        </w:rPr>
        <w:t>9.2.</w:t>
      </w:r>
      <w:r>
        <w:rPr>
          <w:rFonts w:hint="eastAsia" w:ascii="宋体" w:hAnsi="宋体" w:cs="宋体"/>
          <w:szCs w:val="21"/>
          <w:lang w:eastAsia="zh-TW"/>
        </w:rPr>
        <w:t>投标分项报价</w:t>
      </w:r>
      <w:r>
        <w:rPr>
          <w:rFonts w:hint="eastAsia" w:ascii="宋体" w:hAnsi="宋体" w:cs="宋体"/>
          <w:szCs w:val="21"/>
        </w:rPr>
        <w:t>应包含：</w:t>
      </w:r>
    </w:p>
    <w:p w14:paraId="7BEEE35F">
      <w:pPr>
        <w:numPr>
          <w:ilvl w:val="0"/>
          <w:numId w:val="0"/>
        </w:numPr>
        <w:tabs>
          <w:tab w:val="left" w:pos="851"/>
        </w:tabs>
        <w:autoSpaceDE w:val="0"/>
        <w:autoSpaceDN w:val="0"/>
        <w:adjustRightInd w:val="0"/>
        <w:snapToGrid w:val="0"/>
        <w:spacing w:line="360" w:lineRule="auto"/>
        <w:ind w:leftChars="0"/>
        <w:jc w:val="left"/>
        <w:rPr>
          <w:rFonts w:ascii="宋体" w:hAnsi="宋体" w:cs="宋体"/>
          <w:szCs w:val="21"/>
        </w:rPr>
      </w:pPr>
      <w:r>
        <w:rPr>
          <w:rFonts w:hint="eastAsia" w:ascii="宋体" w:hAnsi="宋体" w:cs="宋体"/>
          <w:szCs w:val="21"/>
          <w:lang w:val="en-US" w:eastAsia="zh-CN"/>
        </w:rPr>
        <w:t>9.2.1.</w:t>
      </w:r>
      <w:r>
        <w:rPr>
          <w:rFonts w:hint="eastAsia" w:ascii="宋体" w:hAnsi="宋体" w:cs="宋体"/>
          <w:szCs w:val="21"/>
        </w:rPr>
        <w:t>按</w:t>
      </w:r>
      <w:r>
        <w:rPr>
          <w:rFonts w:hint="eastAsia" w:ascii="宋体" w:hAnsi="宋体" w:cs="宋体"/>
          <w:szCs w:val="21"/>
          <w:lang w:eastAsia="zh-CN"/>
        </w:rPr>
        <w:t>征集</w:t>
      </w:r>
      <w:r>
        <w:rPr>
          <w:rFonts w:hint="eastAsia" w:ascii="宋体" w:hAnsi="宋体" w:cs="宋体"/>
          <w:szCs w:val="21"/>
        </w:rPr>
        <w:t>文件的要求全部货物及服务内容所需的所有费用，</w:t>
      </w:r>
      <w:r>
        <w:t>包括但不限于项目的</w:t>
      </w:r>
      <w:r>
        <w:rPr>
          <w:rFonts w:hint="eastAsia" w:ascii="宋体" w:hAnsi="宋体" w:cs="宋体"/>
          <w:szCs w:val="21"/>
        </w:rPr>
        <w:t>全部产品价格、服务价格、应向中华人民共和国政府缴纳的增值税和其它税等全部税费、</w:t>
      </w:r>
      <w:r>
        <w:t>运输、保险、安装、伴随服务、</w:t>
      </w:r>
      <w:r>
        <w:rPr>
          <w:rFonts w:hint="eastAsia" w:ascii="宋体" w:hAnsi="宋体" w:cs="宋体"/>
          <w:szCs w:val="21"/>
        </w:rPr>
        <w:t>标准附件价、备品备件及专用工具价</w:t>
      </w:r>
      <w:r>
        <w:rPr>
          <w:rFonts w:ascii="宋体" w:hAnsi="宋体" w:cs="宋体"/>
          <w:szCs w:val="21"/>
        </w:rPr>
        <w:t>(</w:t>
      </w:r>
      <w:r>
        <w:rPr>
          <w:rFonts w:hint="eastAsia" w:ascii="宋体" w:hAnsi="宋体" w:cs="宋体"/>
          <w:szCs w:val="21"/>
        </w:rPr>
        <w:t>如有</w:t>
      </w:r>
      <w:r>
        <w:rPr>
          <w:rFonts w:ascii="宋体" w:hAnsi="宋体" w:cs="宋体"/>
          <w:szCs w:val="21"/>
        </w:rPr>
        <w:t>)、</w:t>
      </w:r>
      <w:r>
        <w:t>以及</w:t>
      </w:r>
      <w:r>
        <w:rPr>
          <w:rFonts w:hint="eastAsia" w:ascii="宋体" w:hAnsi="宋体" w:cs="宋体"/>
          <w:szCs w:val="21"/>
        </w:rPr>
        <w:t>履行合同所需的费用、</w:t>
      </w:r>
      <w:r>
        <w:t>所有风险、责任等</w:t>
      </w:r>
      <w:r>
        <w:rPr>
          <w:rFonts w:hint="eastAsia" w:ascii="宋体" w:hAnsi="宋体" w:cs="宋体"/>
          <w:szCs w:val="21"/>
        </w:rPr>
        <w:t>其他一切隐含及不可预见的费用</w:t>
      </w:r>
      <w:r>
        <w:t>。如是</w:t>
      </w:r>
      <w:r>
        <w:rPr>
          <w:rFonts w:hint="eastAsia" w:ascii="宋体" w:hAnsi="宋体" w:cs="宋体"/>
          <w:szCs w:val="21"/>
        </w:rPr>
        <w:t>提供境外的货物，还应包括货物从境外进口己缴纳或应缴纳的全部关税、增值税和其它税、报货物境外离岸价格、国外运输费、国外运输保险费等费用。投标资料表中对进口环节关税和增值税另有规定的，从其规定。</w:t>
      </w:r>
    </w:p>
    <w:p w14:paraId="46B2DB31">
      <w:pPr>
        <w:numPr>
          <w:ilvl w:val="0"/>
          <w:numId w:val="0"/>
        </w:numPr>
        <w:tabs>
          <w:tab w:val="left" w:pos="851"/>
        </w:tabs>
        <w:autoSpaceDE w:val="0"/>
        <w:autoSpaceDN w:val="0"/>
        <w:adjustRightInd w:val="0"/>
        <w:snapToGrid w:val="0"/>
        <w:spacing w:line="360" w:lineRule="auto"/>
        <w:ind w:leftChars="0"/>
        <w:jc w:val="left"/>
        <w:outlineLvl w:val="9"/>
        <w:rPr>
          <w:rFonts w:ascii="宋体" w:hAnsi="宋体" w:cs="宋体"/>
          <w:szCs w:val="21"/>
        </w:rPr>
      </w:pPr>
      <w:r>
        <w:rPr>
          <w:rFonts w:hint="eastAsia" w:ascii="宋体" w:hAnsi="宋体" w:cs="宋体"/>
          <w:szCs w:val="21"/>
          <w:lang w:val="en-US" w:eastAsia="zh-CN"/>
        </w:rPr>
        <w:t>9.2.2.</w:t>
      </w:r>
      <w:r>
        <w:rPr>
          <w:rFonts w:hint="eastAsia" w:ascii="宋体" w:hAnsi="宋体" w:cs="宋体"/>
          <w:szCs w:val="21"/>
        </w:rPr>
        <w:t>对于报价免费的内容须标明“免费”。</w:t>
      </w:r>
    </w:p>
    <w:p w14:paraId="3708B8C6">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szCs w:val="21"/>
          <w:lang w:val="en-US" w:eastAsia="zh-CN"/>
        </w:rPr>
        <w:t>9.3.</w:t>
      </w:r>
      <w:r>
        <w:rPr>
          <w:rFonts w:hint="eastAsia" w:ascii="宋体" w:hAnsi="宋体"/>
          <w:szCs w:val="21"/>
        </w:rPr>
        <w:t>除</w:t>
      </w:r>
      <w:r>
        <w:rPr>
          <w:rFonts w:hint="eastAsia" w:ascii="宋体" w:hAnsi="宋体" w:cs="宋体"/>
          <w:szCs w:val="21"/>
        </w:rPr>
        <w:t>投标资料表中另有</w:t>
      </w:r>
      <w:r>
        <w:rPr>
          <w:rFonts w:hint="eastAsia" w:ascii="宋体" w:hAnsi="宋体"/>
          <w:szCs w:val="21"/>
        </w:rPr>
        <w:t>规定，</w:t>
      </w:r>
      <w:r>
        <w:rPr>
          <w:rFonts w:hint="eastAsia" w:ascii="宋体" w:hAnsi="宋体" w:cs="宋体"/>
          <w:szCs w:val="21"/>
        </w:rPr>
        <w:t>投标人所报的投标价在合同执行过程中是固定不变的，不得以任何理由予以变更。任何包含价格调整要求的投标被认为是非实质性响应投标而予以拒绝。</w:t>
      </w:r>
    </w:p>
    <w:p w14:paraId="36D75F95">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cs="宋体"/>
          <w:szCs w:val="21"/>
          <w:lang w:val="en-US" w:eastAsia="zh-CN"/>
        </w:rPr>
        <w:t>9.4.</w:t>
      </w:r>
      <w:r>
        <w:rPr>
          <w:rFonts w:hint="eastAsia" w:ascii="宋体" w:hAnsi="宋体" w:cs="宋体"/>
          <w:szCs w:val="21"/>
        </w:rPr>
        <w:t>除投标资料表中允许有</w:t>
      </w:r>
      <w:r>
        <w:rPr>
          <w:rFonts w:hint="eastAsia" w:ascii="宋体" w:hAnsi="宋体"/>
          <w:szCs w:val="21"/>
        </w:rPr>
        <w:t>备选方案外，本次</w:t>
      </w:r>
      <w:r>
        <w:rPr>
          <w:rFonts w:hint="eastAsia" w:ascii="宋体" w:hAnsi="宋体"/>
          <w:szCs w:val="21"/>
          <w:lang w:eastAsia="zh-CN"/>
        </w:rPr>
        <w:t>征集</w:t>
      </w:r>
      <w:r>
        <w:rPr>
          <w:rFonts w:hint="eastAsia" w:ascii="宋体" w:hAnsi="宋体"/>
          <w:szCs w:val="21"/>
        </w:rPr>
        <w:t>不接受选择性报价，</w:t>
      </w:r>
      <w:r>
        <w:rPr>
          <w:rFonts w:hint="eastAsia" w:ascii="宋体" w:hAnsi="宋体" w:cs="宋体"/>
          <w:szCs w:val="21"/>
        </w:rPr>
        <w:t>否则将被视为无效投标。</w:t>
      </w:r>
    </w:p>
    <w:p w14:paraId="32B5E02E">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szCs w:val="21"/>
          <w:lang w:val="en-US" w:eastAsia="zh-CN"/>
        </w:rPr>
        <w:t>9.5.</w:t>
      </w:r>
      <w:r>
        <w:rPr>
          <w:rFonts w:hint="eastAsia" w:ascii="宋体" w:hAnsi="宋体"/>
          <w:szCs w:val="21"/>
        </w:rPr>
        <w:t>除投标资料表另有规定外，本次</w:t>
      </w:r>
      <w:r>
        <w:rPr>
          <w:rFonts w:hint="eastAsia" w:ascii="宋体" w:hAnsi="宋体"/>
          <w:szCs w:val="21"/>
          <w:lang w:eastAsia="zh-CN"/>
        </w:rPr>
        <w:t>征集</w:t>
      </w:r>
      <w:r>
        <w:rPr>
          <w:rFonts w:hint="eastAsia" w:ascii="宋体" w:hAnsi="宋体"/>
          <w:szCs w:val="21"/>
        </w:rPr>
        <w:t>不接受具有附加条件的报价，</w:t>
      </w:r>
      <w:r>
        <w:rPr>
          <w:rFonts w:hint="eastAsia" w:ascii="宋体" w:hAnsi="宋体" w:cs="宋体"/>
          <w:szCs w:val="21"/>
        </w:rPr>
        <w:t>否则将被视为无效投标。</w:t>
      </w:r>
    </w:p>
    <w:p w14:paraId="2B358E29">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3" w:name="_Toc2827"/>
      <w:r>
        <w:rPr>
          <w:rFonts w:hint="eastAsia" w:ascii="宋体" w:hAnsi="宋体"/>
          <w:b/>
          <w:bCs/>
          <w:szCs w:val="21"/>
        </w:rPr>
        <w:t>投标货币</w:t>
      </w:r>
      <w:bookmarkEnd w:id="143"/>
    </w:p>
    <w:p w14:paraId="75F25268">
      <w:pPr>
        <w:numPr>
          <w:ilvl w:val="1"/>
          <w:numId w:val="17"/>
        </w:numPr>
        <w:autoSpaceDE w:val="0"/>
        <w:autoSpaceDN w:val="0"/>
        <w:adjustRightInd w:val="0"/>
        <w:snapToGrid w:val="0"/>
        <w:spacing w:line="360" w:lineRule="auto"/>
        <w:ind w:left="567" w:leftChars="0" w:hanging="567" w:firstLineChars="0"/>
        <w:outlineLvl w:val="9"/>
        <w:rPr>
          <w:rFonts w:ascii="宋体" w:hAnsi="宋体"/>
          <w:szCs w:val="21"/>
        </w:rPr>
      </w:pPr>
      <w:r>
        <w:rPr>
          <w:rFonts w:hint="eastAsia" w:ascii="宋体" w:hAnsi="宋体"/>
          <w:szCs w:val="21"/>
        </w:rPr>
        <w:t>投标人所提供的货物和服务均应以人民币报价。</w:t>
      </w:r>
    </w:p>
    <w:p w14:paraId="74EED58B">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4" w:name="_Toc23174"/>
      <w:r>
        <w:rPr>
          <w:rFonts w:hint="eastAsia" w:ascii="宋体" w:hAnsi="宋体"/>
          <w:b/>
          <w:bCs/>
          <w:szCs w:val="21"/>
        </w:rPr>
        <w:t>联合体投标</w:t>
      </w:r>
      <w:bookmarkEnd w:id="144"/>
    </w:p>
    <w:p w14:paraId="1C1E2EC5">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szCs w:val="21"/>
        </w:rPr>
        <w:t>除</w:t>
      </w:r>
      <w:r>
        <w:rPr>
          <w:rFonts w:hint="eastAsia" w:ascii="宋体" w:hAnsi="宋体"/>
          <w:bCs/>
          <w:szCs w:val="20"/>
        </w:rPr>
        <w:t>非投标邀请中另有规定</w:t>
      </w:r>
      <w:r>
        <w:rPr>
          <w:rFonts w:hint="eastAsia" w:ascii="宋体" w:hAnsi="宋体"/>
          <w:szCs w:val="21"/>
        </w:rPr>
        <w:t>，不接受联合体投标。如果投标邀请中规定允许联合体投标的，则必须满足：</w:t>
      </w:r>
    </w:p>
    <w:p w14:paraId="5EFCE263">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11.1.1.</w:t>
      </w:r>
      <w:r>
        <w:rPr>
          <w:rFonts w:hint="eastAsia" w:ascii="宋体" w:hAnsi="宋体"/>
          <w:szCs w:val="21"/>
        </w:rPr>
        <w:t>以联合体形式参加投标的，联合体各方均必须符合联合体各方均必须符合</w:t>
      </w:r>
      <w:r>
        <w:rPr>
          <w:rFonts w:hint="eastAsia" w:ascii="宋体" w:hAnsi="宋体"/>
          <w:bCs/>
          <w:szCs w:val="20"/>
        </w:rPr>
        <w:t>《中华人民共和国政府采购法》第二十二条第（一）至（六）项规定。</w:t>
      </w:r>
    </w:p>
    <w:p w14:paraId="7D7ADB52">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11.1.2.</w:t>
      </w:r>
      <w:r>
        <w:rPr>
          <w:rFonts w:hint="eastAsia" w:ascii="宋体" w:hAnsi="宋体"/>
          <w:szCs w:val="21"/>
        </w:rPr>
        <w:t>联合体投标的，必须提供各方签订的联合投标协议，明确约定各方承担的工作和相应的责任。联合体各方签订联合投标协议后，不得再以自己名义单独在同一项目（或包组）中投标，也不得组成新的联合体参加同一项目（或包组）投标。</w:t>
      </w:r>
    </w:p>
    <w:p w14:paraId="168C4E3F">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11.1.3.</w:t>
      </w:r>
      <w:r>
        <w:rPr>
          <w:rFonts w:hint="eastAsia" w:ascii="宋体" w:hAnsi="宋体"/>
          <w:szCs w:val="21"/>
        </w:rPr>
        <w:t>联合体中有同类资质的供应商按照联合体分工承担相同工作的，应当按照资质等级较低的供应商确定资质等级。</w:t>
      </w:r>
    </w:p>
    <w:p w14:paraId="637120FC">
      <w:pPr>
        <w:numPr>
          <w:ilvl w:val="0"/>
          <w:numId w:val="0"/>
        </w:numPr>
        <w:tabs>
          <w:tab w:val="left" w:pos="851"/>
        </w:tabs>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11.1.4.</w:t>
      </w:r>
      <w:r>
        <w:rPr>
          <w:rFonts w:ascii="宋体" w:hAnsi="宋体"/>
          <w:szCs w:val="21"/>
        </w:rPr>
        <w:t>联合体中标的，联合体各方应当共同与</w:t>
      </w:r>
      <w:r>
        <w:rPr>
          <w:rFonts w:hint="eastAsia" w:ascii="宋体" w:hAnsi="宋体"/>
          <w:szCs w:val="21"/>
        </w:rPr>
        <w:t>采购</w:t>
      </w:r>
      <w:r>
        <w:rPr>
          <w:rFonts w:ascii="宋体" w:hAnsi="宋体"/>
          <w:szCs w:val="21"/>
        </w:rPr>
        <w:t>人签订合同。</w:t>
      </w:r>
    </w:p>
    <w:p w14:paraId="1D5AF8E3">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5" w:name="_Toc14020"/>
      <w:r>
        <w:rPr>
          <w:rFonts w:hint="eastAsia" w:ascii="宋体" w:hAnsi="宋体"/>
          <w:b/>
          <w:bCs/>
          <w:szCs w:val="21"/>
        </w:rPr>
        <w:t>证明投标人合格和资格的文件</w:t>
      </w:r>
      <w:bookmarkEnd w:id="145"/>
    </w:p>
    <w:p w14:paraId="5439B540">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投标人应提交证明其有资格参加投标和中标后有能力履行合同的文件，并作为其投标文件的一部分。如果投标人为联合体，应提交联合体各方的资格证明文件、</w:t>
      </w:r>
      <w:r>
        <w:rPr>
          <w:rFonts w:hint="eastAsia" w:ascii="宋体" w:hAnsi="宋体"/>
          <w:szCs w:val="21"/>
        </w:rPr>
        <w:t>联合</w:t>
      </w:r>
      <w:r>
        <w:rPr>
          <w:rFonts w:hint="eastAsia" w:ascii="宋体" w:hAnsi="宋体" w:cs="宋体"/>
          <w:szCs w:val="21"/>
        </w:rPr>
        <w:t>投标协议并注明主体方及各方拟承担的工作和责任。</w:t>
      </w:r>
      <w:r>
        <w:rPr>
          <w:rFonts w:hint="eastAsia" w:ascii="宋体" w:hAnsi="宋体" w:cs="宋体"/>
          <w:szCs w:val="21"/>
          <w:lang w:eastAsia="zh-TW"/>
        </w:rPr>
        <w:t>否则</w:t>
      </w:r>
      <w:r>
        <w:rPr>
          <w:rFonts w:hint="eastAsia" w:ascii="宋体" w:hAnsi="宋体" w:cs="宋体"/>
          <w:szCs w:val="21"/>
        </w:rPr>
        <w:t>，</w:t>
      </w:r>
      <w:r>
        <w:rPr>
          <w:rFonts w:hint="eastAsia" w:ascii="宋体" w:hAnsi="宋体" w:cs="宋体"/>
          <w:szCs w:val="21"/>
          <w:lang w:eastAsia="zh-TW"/>
        </w:rPr>
        <w:t>将导致其投标</w:t>
      </w:r>
      <w:r>
        <w:rPr>
          <w:rFonts w:hint="eastAsia" w:ascii="宋体" w:hAnsi="宋体" w:cs="宋体"/>
          <w:szCs w:val="21"/>
        </w:rPr>
        <w:t>无效。</w:t>
      </w:r>
    </w:p>
    <w:p w14:paraId="2E771B7C">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投标人提交的资格证明文件应证明其满足</w:t>
      </w:r>
      <w:r>
        <w:rPr>
          <w:rFonts w:hint="eastAsia" w:ascii="宋体"/>
          <w:bCs/>
          <w:szCs w:val="20"/>
        </w:rPr>
        <w:t>投标人的资格要求</w:t>
      </w:r>
      <w:r>
        <w:rPr>
          <w:rFonts w:hint="eastAsia" w:ascii="宋体" w:hAnsi="宋体" w:cs="宋体"/>
          <w:szCs w:val="21"/>
        </w:rPr>
        <w:t>。</w:t>
      </w:r>
    </w:p>
    <w:p w14:paraId="62D82397">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6" w:name="_Toc17198"/>
      <w:r>
        <w:rPr>
          <w:rFonts w:ascii="宋体" w:hAnsi="宋体"/>
          <w:b/>
          <w:bCs/>
          <w:szCs w:val="21"/>
        </w:rPr>
        <w:t>证明投标标的的合格性和符合</w:t>
      </w:r>
      <w:r>
        <w:rPr>
          <w:rFonts w:hint="eastAsia" w:ascii="宋体" w:hAnsi="宋体"/>
          <w:b/>
          <w:bCs/>
          <w:szCs w:val="21"/>
          <w:lang w:eastAsia="zh-CN"/>
        </w:rPr>
        <w:t>征集</w:t>
      </w:r>
      <w:r>
        <w:rPr>
          <w:rFonts w:ascii="宋体" w:hAnsi="宋体"/>
          <w:b/>
          <w:bCs/>
          <w:szCs w:val="21"/>
        </w:rPr>
        <w:t>文件规定的文件</w:t>
      </w:r>
      <w:bookmarkEnd w:id="146"/>
    </w:p>
    <w:p w14:paraId="6B9702A6">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投标人应提交证明文件，证明其拟投标的货物和服务的合格性符合</w:t>
      </w:r>
      <w:r>
        <w:rPr>
          <w:rFonts w:hint="eastAsia" w:ascii="宋体" w:hAnsi="宋体" w:cs="宋体"/>
          <w:szCs w:val="21"/>
          <w:lang w:eastAsia="zh-CN"/>
        </w:rPr>
        <w:t>征集</w:t>
      </w:r>
      <w:r>
        <w:rPr>
          <w:rFonts w:hint="eastAsia" w:ascii="宋体" w:hAnsi="宋体" w:cs="宋体"/>
          <w:szCs w:val="21"/>
        </w:rPr>
        <w:t>文件规定。该证明文件作为投标文件的一部分。</w:t>
      </w:r>
    </w:p>
    <w:p w14:paraId="2283C2D1">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货物和服务合格性的证明文件应包括投标分项报价表中对货物和服务原产地的说明。</w:t>
      </w:r>
    </w:p>
    <w:p w14:paraId="34664144">
      <w:pPr>
        <w:numPr>
          <w:ilvl w:val="1"/>
          <w:numId w:val="17"/>
        </w:numPr>
        <w:autoSpaceDE w:val="0"/>
        <w:autoSpaceDN w:val="0"/>
        <w:adjustRightInd w:val="0"/>
        <w:snapToGrid w:val="0"/>
        <w:spacing w:line="360" w:lineRule="auto"/>
        <w:rPr>
          <w:rFonts w:ascii="宋体" w:hAnsi="宋体"/>
          <w:strike/>
          <w:color w:val="auto"/>
          <w:szCs w:val="21"/>
        </w:rPr>
      </w:pPr>
      <w:r>
        <w:rPr>
          <w:rFonts w:hint="eastAsia" w:ascii="宋体" w:hAnsi="宋体" w:cs="宋体"/>
          <w:szCs w:val="21"/>
        </w:rPr>
        <w:t>证</w:t>
      </w:r>
      <w:r>
        <w:rPr>
          <w:rFonts w:hint="eastAsia" w:ascii="宋体" w:hAnsi="宋体" w:cs="宋体"/>
          <w:color w:val="auto"/>
          <w:szCs w:val="21"/>
        </w:rPr>
        <w:t>明货物和服务与</w:t>
      </w:r>
      <w:r>
        <w:rPr>
          <w:rFonts w:hint="eastAsia" w:ascii="宋体" w:hAnsi="宋体" w:cs="宋体"/>
          <w:color w:val="auto"/>
          <w:szCs w:val="21"/>
          <w:lang w:eastAsia="zh-CN"/>
        </w:rPr>
        <w:t>征集</w:t>
      </w:r>
      <w:r>
        <w:rPr>
          <w:rFonts w:hint="eastAsia" w:ascii="宋体" w:hAnsi="宋体" w:cs="宋体"/>
          <w:color w:val="auto"/>
          <w:szCs w:val="21"/>
        </w:rPr>
        <w:t>文件的要求相一致的文件，可以是文字资料、图纸和数据。</w:t>
      </w:r>
    </w:p>
    <w:p w14:paraId="4D4BF88B">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7" w:name="_Toc20270"/>
      <w:r>
        <w:rPr>
          <w:rFonts w:hint="eastAsia" w:ascii="宋体" w:hAnsi="宋体"/>
          <w:b/>
          <w:bCs/>
          <w:szCs w:val="21"/>
        </w:rPr>
        <w:t>投标文件的式样和签署、密封</w:t>
      </w:r>
      <w:bookmarkEnd w:id="147"/>
    </w:p>
    <w:p w14:paraId="669ADE1D">
      <w:pPr>
        <w:numPr>
          <w:ilvl w:val="1"/>
          <w:numId w:val="17"/>
        </w:numPr>
        <w:autoSpaceDE w:val="0"/>
        <w:autoSpaceDN w:val="0"/>
        <w:adjustRightInd w:val="0"/>
        <w:snapToGrid w:val="0"/>
        <w:spacing w:line="360" w:lineRule="auto"/>
        <w:rPr>
          <w:rFonts w:ascii="宋体" w:hAnsi="宋体" w:cs="黑体"/>
          <w:b/>
          <w:bCs/>
          <w:szCs w:val="21"/>
        </w:rPr>
      </w:pPr>
      <w:bookmarkStart w:id="148" w:name="_Toc435174936"/>
      <w:bookmarkStart w:id="149" w:name="_Toc438223139"/>
      <w:bookmarkStart w:id="150" w:name="_Toc435516653"/>
      <w:r>
        <w:rPr>
          <w:rFonts w:hint="eastAsia" w:ascii="宋体" w:hAnsi="宋体" w:cs="宋体"/>
          <w:szCs w:val="21"/>
        </w:rPr>
        <w:t>投标文件的式样：投标人应准备纸质投标文件一份正本、电子文件和</w:t>
      </w:r>
      <w:r>
        <w:rPr>
          <w:rFonts w:hint="eastAsia" w:ascii="宋体" w:hAnsi="宋体" w:cs="宋体"/>
          <w:szCs w:val="21"/>
          <w:lang w:val="en-US" w:eastAsia="zh-CN"/>
        </w:rPr>
        <w:t>征集须知</w:t>
      </w:r>
      <w:r>
        <w:rPr>
          <w:rFonts w:hint="eastAsia" w:ascii="宋体" w:hAnsi="宋体" w:cs="宋体"/>
          <w:szCs w:val="21"/>
        </w:rPr>
        <w:t>中规定数目的纸质副本。投标文件的副本可采用正本的复印件。每套投标文件须清楚地标明“正本”或“副本”。</w:t>
      </w:r>
      <w:r>
        <w:rPr>
          <w:rFonts w:hint="eastAsia" w:ascii="宋体" w:hAnsi="宋体" w:cs="宋体"/>
          <w:szCs w:val="21"/>
          <w:lang w:eastAsia="zh-TW"/>
        </w:rPr>
        <w:t>若副本与正本不符</w:t>
      </w:r>
      <w:r>
        <w:rPr>
          <w:rFonts w:hint="eastAsia" w:ascii="宋体" w:hAnsi="宋体" w:cs="宋体"/>
          <w:szCs w:val="21"/>
        </w:rPr>
        <w:t>，</w:t>
      </w:r>
      <w:r>
        <w:rPr>
          <w:rFonts w:hint="eastAsia" w:ascii="宋体" w:hAnsi="宋体" w:cs="宋体"/>
          <w:szCs w:val="21"/>
          <w:lang w:eastAsia="zh-TW"/>
        </w:rPr>
        <w:t>以正本为准。</w:t>
      </w:r>
    </w:p>
    <w:p w14:paraId="33C4C948">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电子文件：是指将按</w:t>
      </w:r>
      <w:r>
        <w:rPr>
          <w:rFonts w:hint="eastAsia" w:ascii="宋体" w:hAnsi="宋体" w:cs="宋体"/>
          <w:szCs w:val="21"/>
          <w:lang w:eastAsia="zh-CN"/>
        </w:rPr>
        <w:t>征集</w:t>
      </w:r>
      <w:r>
        <w:rPr>
          <w:rFonts w:hint="eastAsia" w:ascii="宋体" w:hAnsi="宋体" w:cs="宋体"/>
          <w:szCs w:val="21"/>
        </w:rPr>
        <w:t>文件要求签署、盖章后的正本投标文件扫描成PDF格式后拷贝至无病毒无密码的U盘或光盘。电子文件与</w:t>
      </w:r>
      <w:r>
        <w:rPr>
          <w:rFonts w:hint="eastAsia" w:ascii="宋体" w:hAnsi="宋体" w:cs="宋体"/>
          <w:szCs w:val="21"/>
          <w:lang w:val="en-US" w:eastAsia="zh-CN"/>
        </w:rPr>
        <w:t>开标一览表</w:t>
      </w:r>
      <w:r>
        <w:rPr>
          <w:rFonts w:hint="eastAsia" w:ascii="宋体" w:hAnsi="宋体" w:cs="宋体"/>
          <w:szCs w:val="21"/>
        </w:rPr>
        <w:t>一同密封，若电子文件与正本不符，以正本为准。</w:t>
      </w:r>
    </w:p>
    <w:p w14:paraId="2956E498">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
          <w:bCs/>
          <w:szCs w:val="21"/>
        </w:rPr>
      </w:pPr>
      <w:r>
        <w:rPr>
          <w:rFonts w:hint="eastAsia" w:ascii="宋体" w:hAnsi="宋体" w:cs="宋体"/>
          <w:szCs w:val="21"/>
          <w:lang w:eastAsia="zh-TW"/>
        </w:rPr>
        <w:t>投标文件的签署：</w:t>
      </w:r>
      <w:r>
        <w:rPr>
          <w:rFonts w:ascii="宋体" w:hAnsi="宋体" w:cs="黑体"/>
          <w:b/>
          <w:bCs/>
          <w:szCs w:val="21"/>
        </w:rPr>
        <w:t xml:space="preserve"> </w:t>
      </w:r>
    </w:p>
    <w:p w14:paraId="17D5B1D7">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cs="宋体"/>
          <w:szCs w:val="21"/>
          <w:lang w:val="en-US" w:eastAsia="zh-CN"/>
        </w:rPr>
        <w:t>14.3.1.</w:t>
      </w:r>
      <w:r>
        <w:rPr>
          <w:rFonts w:hint="eastAsia" w:ascii="宋体" w:hAnsi="宋体" w:cs="宋体"/>
          <w:szCs w:val="21"/>
        </w:rPr>
        <w:t>投标文件的正本需打印或用不褪色墨水书写，且</w:t>
      </w:r>
      <w:r>
        <w:rPr>
          <w:rFonts w:hint="eastAsia" w:ascii="宋体" w:hAnsi="宋体" w:cs="宋体"/>
          <w:szCs w:val="21"/>
          <w:lang w:eastAsia="zh-CN"/>
        </w:rPr>
        <w:t>征集</w:t>
      </w:r>
      <w:r>
        <w:rPr>
          <w:rFonts w:hint="eastAsia" w:ascii="宋体" w:hAnsi="宋体" w:cs="宋体"/>
          <w:szCs w:val="21"/>
        </w:rPr>
        <w:t>文件要求签名的由法定代表人或经其正式授权的代表签字或盖章，以及</w:t>
      </w:r>
      <w:r>
        <w:rPr>
          <w:rFonts w:hint="eastAsia" w:ascii="宋体" w:hAnsi="宋体" w:cs="宋体"/>
          <w:szCs w:val="21"/>
          <w:lang w:eastAsia="zh-CN"/>
        </w:rPr>
        <w:t>征集</w:t>
      </w:r>
      <w:r>
        <w:rPr>
          <w:rFonts w:hint="eastAsia" w:ascii="宋体" w:hAnsi="宋体" w:cs="宋体"/>
          <w:szCs w:val="21"/>
        </w:rPr>
        <w:t>文件中明示盖公章处及要求提供的证明材料应盖投标人公章，副本可以</w:t>
      </w:r>
      <w:r>
        <w:rPr>
          <w:rFonts w:hint="eastAsia" w:ascii="宋体" w:hAnsi="宋体" w:cs="Courier New"/>
        </w:rPr>
        <w:t>用正本</w:t>
      </w:r>
      <w:r>
        <w:rPr>
          <w:rFonts w:hint="eastAsia" w:ascii="宋体" w:hAnsi="宋体" w:cs="宋体"/>
          <w:szCs w:val="21"/>
        </w:rPr>
        <w:t>复印，与正本具有同等法律效力。授权代表须将以书面形式出具的《法定代表人授权委托书》附在投标文件中。</w:t>
      </w:r>
    </w:p>
    <w:p w14:paraId="087BEF45">
      <w:pPr>
        <w:numPr>
          <w:ilvl w:val="2"/>
          <w:numId w:val="17"/>
        </w:numPr>
        <w:tabs>
          <w:tab w:val="left" w:pos="851"/>
        </w:tabs>
        <w:autoSpaceDE w:val="0"/>
        <w:autoSpaceDN w:val="0"/>
        <w:adjustRightInd w:val="0"/>
        <w:snapToGrid w:val="0"/>
        <w:spacing w:line="360" w:lineRule="auto"/>
        <w:ind w:left="851" w:hanging="851"/>
        <w:rPr>
          <w:rFonts w:ascii="宋体" w:hAnsi="宋体" w:cs="宋体"/>
          <w:b w:val="0"/>
          <w:bCs w:val="0"/>
          <w:szCs w:val="21"/>
        </w:rPr>
      </w:pPr>
      <w:r>
        <w:rPr>
          <w:rFonts w:hint="eastAsia" w:ascii="宋体" w:hAnsi="宋体" w:cs="宋体"/>
          <w:szCs w:val="21"/>
        </w:rPr>
        <w:t>投标文件中的任何重要的插字、涂改和增删，必须由法定代表人或经其正式授权的</w:t>
      </w:r>
      <w:r>
        <w:rPr>
          <w:rFonts w:hint="eastAsia" w:ascii="宋体" w:hAnsi="宋体" w:cs="宋体"/>
          <w:b w:val="0"/>
          <w:bCs w:val="0"/>
          <w:szCs w:val="21"/>
        </w:rPr>
        <w:t>代表在旁边签章或签字</w:t>
      </w:r>
      <w:r>
        <w:rPr>
          <w:rFonts w:hint="eastAsia" w:ascii="宋体" w:hAnsi="宋体"/>
          <w:b w:val="0"/>
          <w:bCs w:val="0"/>
        </w:rPr>
        <w:t>或盖投标人公章</w:t>
      </w:r>
      <w:r>
        <w:rPr>
          <w:rFonts w:hint="eastAsia" w:ascii="宋体" w:hAnsi="宋体" w:cs="宋体"/>
          <w:b w:val="0"/>
          <w:bCs w:val="0"/>
          <w:szCs w:val="21"/>
        </w:rPr>
        <w:t>才有效。</w:t>
      </w:r>
    </w:p>
    <w:p w14:paraId="3179F55C">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 w:val="0"/>
          <w:bCs w:val="0"/>
          <w:szCs w:val="21"/>
        </w:rPr>
      </w:pPr>
      <w:r>
        <w:rPr>
          <w:rFonts w:hint="eastAsia" w:ascii="宋体" w:hAnsi="宋体" w:cs="宋体"/>
          <w:b w:val="0"/>
          <w:bCs w:val="0"/>
          <w:szCs w:val="21"/>
          <w:lang w:eastAsia="zh-TW"/>
        </w:rPr>
        <w:t>投标文件</w:t>
      </w:r>
      <w:r>
        <w:rPr>
          <w:rFonts w:hint="eastAsia" w:ascii="宋体" w:hAnsi="宋体" w:cs="宋体"/>
          <w:b w:val="0"/>
          <w:bCs w:val="0"/>
          <w:szCs w:val="21"/>
          <w:lang w:val="en-US" w:eastAsia="zh-CN"/>
        </w:rPr>
        <w:t>必须</w:t>
      </w:r>
      <w:r>
        <w:rPr>
          <w:rFonts w:hint="eastAsia" w:ascii="宋体" w:hAnsi="宋体"/>
          <w:b w:val="0"/>
          <w:bCs w:val="0"/>
          <w:szCs w:val="21"/>
        </w:rPr>
        <w:t>密封</w:t>
      </w:r>
      <w:r>
        <w:rPr>
          <w:rFonts w:hint="eastAsia" w:ascii="宋体" w:hAnsi="宋体" w:cs="宋体"/>
          <w:b w:val="0"/>
          <w:bCs w:val="0"/>
          <w:szCs w:val="21"/>
          <w:lang w:eastAsia="zh-TW"/>
        </w:rPr>
        <w:t>：</w:t>
      </w:r>
    </w:p>
    <w:p w14:paraId="10B9B55B">
      <w:pPr>
        <w:numPr>
          <w:ilvl w:val="2"/>
          <w:numId w:val="17"/>
        </w:numPr>
        <w:tabs>
          <w:tab w:val="left" w:pos="851"/>
          <w:tab w:val="clear" w:pos="567"/>
        </w:tabs>
        <w:autoSpaceDE w:val="0"/>
        <w:autoSpaceDN w:val="0"/>
        <w:adjustRightInd w:val="0"/>
        <w:snapToGrid w:val="0"/>
        <w:spacing w:line="360" w:lineRule="auto"/>
        <w:ind w:left="567" w:leftChars="0" w:hanging="567" w:firstLineChars="0"/>
        <w:rPr>
          <w:rFonts w:hint="eastAsia" w:ascii="宋体" w:hAnsi="宋体" w:cs="宋体"/>
          <w:szCs w:val="21"/>
        </w:rPr>
      </w:pPr>
      <w:r>
        <w:rPr>
          <w:rFonts w:hint="eastAsia" w:ascii="宋体" w:hAnsi="宋体"/>
        </w:rPr>
        <w:t>信封或外包装上应当</w:t>
      </w:r>
      <w:r>
        <w:rPr>
          <w:rFonts w:hint="eastAsia" w:ascii="宋体" w:hAnsi="宋体" w:cs="宋体"/>
          <w:szCs w:val="21"/>
        </w:rPr>
        <w:t>清楚写明</w:t>
      </w:r>
      <w:r>
        <w:rPr>
          <w:rFonts w:hint="eastAsia" w:ascii="宋体" w:hAnsi="宋体"/>
        </w:rPr>
        <w:t>投标人名称、项目名称、项目编号、</w:t>
      </w:r>
      <w:r>
        <w:rPr>
          <w:rFonts w:hint="eastAsia" w:ascii="宋体" w:hAnsi="宋体" w:cs="宋体"/>
          <w:szCs w:val="21"/>
        </w:rPr>
        <w:t>包组号（如有）和</w:t>
      </w:r>
      <w:r>
        <w:rPr>
          <w:rFonts w:hint="eastAsia" w:ascii="宋体" w:hAnsi="宋体"/>
          <w:szCs w:val="21"/>
        </w:rPr>
        <w:t>“</w:t>
      </w:r>
      <w:r>
        <w:rPr>
          <w:rFonts w:hint="eastAsia" w:ascii="宋体" w:hAnsi="宋体" w:cs="宋体"/>
          <w:szCs w:val="21"/>
        </w:rPr>
        <w:t>在</w:t>
      </w:r>
      <w:r>
        <w:rPr>
          <w:rFonts w:ascii="宋体" w:hAnsi="宋体" w:cs="宋体"/>
          <w:szCs w:val="21"/>
        </w:rPr>
        <w:t>(</w:t>
      </w:r>
      <w:r>
        <w:rPr>
          <w:rFonts w:hint="eastAsia" w:ascii="宋体" w:hAnsi="宋体" w:cs="宋体"/>
          <w:szCs w:val="21"/>
          <w:lang w:eastAsia="zh-CN"/>
        </w:rPr>
        <w:t>征集</w:t>
      </w:r>
      <w:r>
        <w:rPr>
          <w:rFonts w:hint="eastAsia" w:ascii="宋体" w:hAnsi="宋体" w:cs="宋体"/>
          <w:szCs w:val="21"/>
        </w:rPr>
        <w:t>文件中规定的开标日期和时间</w:t>
      </w:r>
      <w:r>
        <w:rPr>
          <w:rFonts w:ascii="宋体" w:hAnsi="宋体" w:cs="宋体"/>
          <w:szCs w:val="21"/>
        </w:rPr>
        <w:t>)</w:t>
      </w:r>
      <w:r>
        <w:rPr>
          <w:rFonts w:hint="eastAsia" w:ascii="宋体" w:hAnsi="宋体" w:cs="宋体"/>
          <w:szCs w:val="21"/>
        </w:rPr>
        <w:t>之前不得启封”的字样。</w:t>
      </w:r>
    </w:p>
    <w:p w14:paraId="74C79580">
      <w:pPr>
        <w:numPr>
          <w:ilvl w:val="0"/>
          <w:numId w:val="0"/>
        </w:numPr>
        <w:tabs>
          <w:tab w:val="left" w:pos="851"/>
        </w:tabs>
        <w:autoSpaceDE w:val="0"/>
        <w:autoSpaceDN w:val="0"/>
        <w:adjustRightInd w:val="0"/>
        <w:snapToGrid w:val="0"/>
        <w:spacing w:line="360" w:lineRule="auto"/>
        <w:ind w:leftChars="0"/>
        <w:rPr>
          <w:rFonts w:hint="eastAsia" w:ascii="宋体" w:hAnsi="宋体" w:cs="宋体"/>
          <w:szCs w:val="21"/>
        </w:rPr>
      </w:pPr>
    </w:p>
    <w:p w14:paraId="2761954F">
      <w:pPr>
        <w:pStyle w:val="3"/>
        <w:numPr>
          <w:ilvl w:val="0"/>
          <w:numId w:val="0"/>
        </w:numPr>
        <w:spacing w:line="240" w:lineRule="auto"/>
        <w:ind w:left="420" w:leftChars="0" w:hanging="420" w:firstLineChars="0"/>
        <w:jc w:val="center"/>
        <w:outlineLvl w:val="9"/>
        <w:rPr>
          <w:rFonts w:asciiTheme="majorEastAsia" w:hAnsiTheme="majorEastAsia" w:eastAsiaTheme="majorEastAsia"/>
          <w:sz w:val="30"/>
          <w:szCs w:val="30"/>
          <w:lang w:eastAsia="zh-TW"/>
        </w:rPr>
      </w:pPr>
      <w:bookmarkStart w:id="151" w:name="_Toc28883"/>
      <w:bookmarkStart w:id="152" w:name="_Toc5252"/>
      <w:r>
        <w:rPr>
          <w:rFonts w:hint="eastAsia" w:asciiTheme="majorEastAsia" w:hAnsiTheme="majorEastAsia" w:eastAsiaTheme="majorEastAsia"/>
          <w:sz w:val="30"/>
          <w:szCs w:val="30"/>
          <w:lang w:eastAsia="zh-TW"/>
        </w:rPr>
        <w:t>投标文件的递交</w:t>
      </w:r>
      <w:bookmarkEnd w:id="148"/>
      <w:bookmarkEnd w:id="149"/>
      <w:bookmarkEnd w:id="150"/>
      <w:bookmarkEnd w:id="151"/>
      <w:bookmarkEnd w:id="152"/>
    </w:p>
    <w:p w14:paraId="34019736">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3" w:name="_Toc13202"/>
      <w:r>
        <w:rPr>
          <w:rFonts w:hint="eastAsia" w:ascii="宋体" w:hAnsi="宋体"/>
          <w:b/>
          <w:bCs/>
          <w:szCs w:val="21"/>
        </w:rPr>
        <w:t>投标文件递交</w:t>
      </w:r>
      <w:bookmarkEnd w:id="153"/>
    </w:p>
    <w:p w14:paraId="6CF7C752">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投标人的投标文件应在</w:t>
      </w:r>
      <w:r>
        <w:rPr>
          <w:rFonts w:hint="eastAsia" w:ascii="宋体" w:hAnsi="宋体"/>
        </w:rPr>
        <w:t>本项目投标截止时间前送达开标地点。</w:t>
      </w:r>
    </w:p>
    <w:p w14:paraId="3C3AF87B">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逾期送达或者未按照</w:t>
      </w:r>
      <w:r>
        <w:rPr>
          <w:rFonts w:hint="eastAsia" w:ascii="宋体" w:hAnsi="宋体"/>
          <w:lang w:eastAsia="zh-CN"/>
        </w:rPr>
        <w:t>征集</w:t>
      </w:r>
      <w:r>
        <w:rPr>
          <w:rFonts w:hint="eastAsia" w:ascii="宋体" w:hAnsi="宋体"/>
        </w:rPr>
        <w:t>文件要求密封的投标文件，采购人应当拒收。</w:t>
      </w:r>
    </w:p>
    <w:p w14:paraId="4E5AD5BF">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开标一览表》作为开标时唱标的依据，除按格式要求放入投标文件中外，还应另行单独密封提交一份，在封口密封处加盖公章（或密封封口处粘贴封条并加盖投标单位公章），并在信封上标明“开标一览表”字样。</w:t>
      </w:r>
    </w:p>
    <w:p w14:paraId="29C8BEAC">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投标文件正本、所有的副本应统一封装在一个信封中，信封密封封口处须加盖投标单位公章（或信封密封封口处粘贴封条并加盖投标单位公章）。</w:t>
      </w:r>
    </w:p>
    <w:p w14:paraId="5D6ABDE0">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密封包上</w:t>
      </w:r>
      <w:r>
        <w:rPr>
          <w:rFonts w:hint="eastAsia" w:ascii="宋体" w:hAnsi="宋体"/>
          <w:lang w:val="en-US" w:eastAsia="zh-CN"/>
        </w:rPr>
        <w:t>应</w:t>
      </w:r>
      <w:r>
        <w:rPr>
          <w:rFonts w:hint="eastAsia" w:ascii="宋体" w:hAnsi="宋体"/>
        </w:rPr>
        <w:t>注明所规定的开标时间（指</w:t>
      </w:r>
      <w:r>
        <w:rPr>
          <w:rFonts w:hint="eastAsia" w:ascii="宋体" w:hAnsi="宋体"/>
          <w:lang w:eastAsia="zh-CN"/>
        </w:rPr>
        <w:t>征集</w:t>
      </w:r>
      <w:r>
        <w:rPr>
          <w:rFonts w:hint="eastAsia" w:ascii="宋体" w:hAnsi="宋体"/>
        </w:rPr>
        <w:t>公告中规定的开标时间）前不准启封的字样。</w:t>
      </w:r>
    </w:p>
    <w:p w14:paraId="5C42D29C">
      <w:pPr>
        <w:numPr>
          <w:ilvl w:val="1"/>
          <w:numId w:val="17"/>
        </w:numPr>
        <w:autoSpaceDE w:val="0"/>
        <w:autoSpaceDN w:val="0"/>
        <w:adjustRightInd w:val="0"/>
        <w:snapToGrid w:val="0"/>
        <w:spacing w:line="360" w:lineRule="auto"/>
        <w:rPr>
          <w:rFonts w:hint="eastAsia" w:ascii="宋体" w:hAnsi="宋体"/>
        </w:rPr>
      </w:pPr>
      <w:r>
        <w:rPr>
          <w:rFonts w:hint="eastAsia" w:ascii="宋体" w:hAnsi="宋体"/>
          <w:lang w:val="en-US" w:eastAsia="zh-CN"/>
        </w:rPr>
        <w:t>我院将拒绝并原封退回在其规定的投标截止期后收到的任何投标文件。</w:t>
      </w:r>
    </w:p>
    <w:p w14:paraId="5FB9A843">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4" w:name="_Toc22017"/>
      <w:r>
        <w:rPr>
          <w:rFonts w:hint="eastAsia" w:ascii="宋体" w:hAnsi="宋体"/>
          <w:b/>
          <w:bCs/>
          <w:szCs w:val="21"/>
        </w:rPr>
        <w:t>投标文件的修改和撤回、撤销</w:t>
      </w:r>
      <w:bookmarkEnd w:id="154"/>
    </w:p>
    <w:p w14:paraId="6E8E5B6D">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投标人在投标截止时间前，可以对所递交的投标文件进行补充、修改或者撤回。补充、修改的内容应当按</w:t>
      </w:r>
      <w:r>
        <w:rPr>
          <w:rFonts w:hint="eastAsia" w:ascii="宋体" w:hAnsi="宋体" w:cs="宋体"/>
          <w:szCs w:val="21"/>
          <w:lang w:eastAsia="zh-CN"/>
        </w:rPr>
        <w:t>征集</w:t>
      </w:r>
      <w:r>
        <w:rPr>
          <w:rFonts w:hint="eastAsia" w:ascii="宋体" w:hAnsi="宋体" w:cs="宋体"/>
          <w:szCs w:val="21"/>
        </w:rPr>
        <w:t>文件要求签署、盖章、密封后，并作为投标文件的组成部分。在投标截止时间之后，投标人不得对其投标文件做任何修改和补充。</w:t>
      </w:r>
    </w:p>
    <w:p w14:paraId="00F01FD5">
      <w:pPr>
        <w:numPr>
          <w:ilvl w:val="1"/>
          <w:numId w:val="17"/>
        </w:numPr>
        <w:autoSpaceDE w:val="0"/>
        <w:autoSpaceDN w:val="0"/>
        <w:adjustRightInd w:val="0"/>
        <w:snapToGrid w:val="0"/>
        <w:spacing w:line="360" w:lineRule="auto"/>
        <w:rPr>
          <w:rFonts w:ascii="宋体" w:hAnsi="宋体" w:cs="黑体"/>
          <w:b/>
          <w:bCs/>
          <w:strike/>
          <w:szCs w:val="21"/>
        </w:rPr>
      </w:pPr>
      <w:r>
        <w:rPr>
          <w:rFonts w:hint="eastAsia" w:ascii="宋体" w:hAnsi="宋体"/>
          <w:bCs/>
        </w:rPr>
        <w:t>投标人在投标截止后或在</w:t>
      </w:r>
      <w:r>
        <w:rPr>
          <w:rFonts w:hint="eastAsia" w:ascii="宋体" w:hAnsi="宋体"/>
          <w:bCs/>
          <w:lang w:eastAsia="zh-CN"/>
        </w:rPr>
        <w:t>征集</w:t>
      </w:r>
      <w:r>
        <w:rPr>
          <w:rFonts w:hint="eastAsia" w:ascii="宋体" w:hAnsi="宋体"/>
          <w:bCs/>
        </w:rPr>
        <w:t>文件中规定的投标有效期内不可撤销其投标。</w:t>
      </w:r>
      <w:r>
        <w:rPr>
          <w:rFonts w:hint="eastAsia" w:ascii="宋体" w:hAnsi="宋体"/>
        </w:rPr>
        <w:t>投标人所提交的投标文件在本项目投标截止时间后均不予退还。</w:t>
      </w:r>
    </w:p>
    <w:p w14:paraId="6D72A899">
      <w:pPr>
        <w:numPr>
          <w:ilvl w:val="0"/>
          <w:numId w:val="17"/>
        </w:numPr>
        <w:autoSpaceDE w:val="0"/>
        <w:autoSpaceDN w:val="0"/>
        <w:adjustRightInd w:val="0"/>
        <w:snapToGrid w:val="0"/>
        <w:spacing w:line="360" w:lineRule="auto"/>
        <w:ind w:left="449" w:hanging="449" w:hangingChars="213"/>
        <w:outlineLvl w:val="1"/>
        <w:rPr>
          <w:rFonts w:ascii="宋体" w:hAnsi="宋体" w:cs="黑体"/>
          <w:bCs/>
          <w:szCs w:val="21"/>
        </w:rPr>
      </w:pPr>
      <w:bookmarkStart w:id="155" w:name="_Toc18853"/>
      <w:r>
        <w:rPr>
          <w:rFonts w:hint="eastAsia" w:ascii="宋体" w:hAnsi="宋体"/>
          <w:b/>
          <w:bCs/>
          <w:szCs w:val="21"/>
        </w:rPr>
        <w:t>质疑</w:t>
      </w:r>
      <w:bookmarkEnd w:id="155"/>
    </w:p>
    <w:p w14:paraId="40FAED7F">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Cs/>
          <w:szCs w:val="21"/>
        </w:rPr>
      </w:pPr>
      <w:r>
        <w:rPr>
          <w:rFonts w:hint="eastAsia" w:ascii="宋体" w:hAnsi="宋体" w:cs="黑体"/>
          <w:bCs/>
          <w:szCs w:val="21"/>
        </w:rPr>
        <w:t>质疑期限：</w:t>
      </w:r>
    </w:p>
    <w:p w14:paraId="495E23B1">
      <w:pPr>
        <w:numPr>
          <w:ilvl w:val="0"/>
          <w:numId w:val="0"/>
        </w:numPr>
        <w:tabs>
          <w:tab w:val="left" w:pos="1078"/>
        </w:tabs>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17.1.1.</w:t>
      </w:r>
      <w:r>
        <w:rPr>
          <w:rFonts w:hint="eastAsia" w:ascii="宋体" w:hAnsi="宋体" w:cs="黑体"/>
          <w:bCs/>
          <w:szCs w:val="21"/>
        </w:rPr>
        <w:t>供应商认为采购文件的内容损害其权益的，应在采购文件公布之日起七个工作日内。</w:t>
      </w:r>
    </w:p>
    <w:p w14:paraId="285D781C">
      <w:pPr>
        <w:numPr>
          <w:ilvl w:val="0"/>
          <w:numId w:val="0"/>
        </w:numPr>
        <w:tabs>
          <w:tab w:val="left" w:pos="1078"/>
        </w:tabs>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17.1.2.</w:t>
      </w:r>
      <w:r>
        <w:rPr>
          <w:rFonts w:hint="eastAsia" w:ascii="宋体" w:hAnsi="宋体" w:cs="黑体"/>
          <w:bCs/>
          <w:szCs w:val="21"/>
        </w:rPr>
        <w:t>供应商认为采购过程损害其权益的，应在各采购程序环节结束之日起七个工作日内。</w:t>
      </w:r>
    </w:p>
    <w:p w14:paraId="09A5D385">
      <w:pPr>
        <w:numPr>
          <w:ilvl w:val="0"/>
          <w:numId w:val="0"/>
        </w:numPr>
        <w:tabs>
          <w:tab w:val="left" w:pos="1078"/>
        </w:tabs>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17.1.3.</w:t>
      </w:r>
      <w:r>
        <w:rPr>
          <w:rFonts w:hint="eastAsia" w:ascii="宋体" w:hAnsi="宋体" w:cs="黑体"/>
          <w:bCs/>
          <w:szCs w:val="21"/>
        </w:rPr>
        <w:t>供应商认为中标或者成交结果以及</w:t>
      </w:r>
      <w:r>
        <w:rPr>
          <w:rFonts w:hint="eastAsia" w:ascii="宋体" w:hAnsi="宋体" w:cs="黑体"/>
          <w:bCs/>
          <w:szCs w:val="21"/>
          <w:lang w:eastAsia="zh-CN"/>
        </w:rPr>
        <w:t>评标委员会</w:t>
      </w:r>
      <w:r>
        <w:rPr>
          <w:rFonts w:hint="eastAsia" w:ascii="宋体" w:hAnsi="宋体" w:cs="黑体"/>
          <w:bCs/>
          <w:szCs w:val="21"/>
        </w:rPr>
        <w:t>、谈判小组、竞价小组组成人员损害其权益的，应在中标或者成交结果公示之日起七个工作日内。</w:t>
      </w:r>
    </w:p>
    <w:p w14:paraId="4AC2CB6D">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Cs/>
          <w:szCs w:val="21"/>
        </w:rPr>
      </w:pPr>
      <w:r>
        <w:rPr>
          <w:rFonts w:hint="eastAsia" w:ascii="宋体" w:hAnsi="宋体" w:cs="黑体"/>
          <w:bCs/>
          <w:szCs w:val="21"/>
        </w:rPr>
        <w:t>提交要求：</w:t>
      </w:r>
    </w:p>
    <w:p w14:paraId="119713E8">
      <w:pPr>
        <w:numPr>
          <w:ilvl w:val="0"/>
          <w:numId w:val="0"/>
        </w:numPr>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17.2.1.</w:t>
      </w:r>
      <w:r>
        <w:rPr>
          <w:rFonts w:hint="eastAsia" w:ascii="宋体" w:hAnsi="宋体" w:cs="黑体"/>
          <w:bCs/>
          <w:szCs w:val="21"/>
        </w:rPr>
        <w:t>以书面形式向采购人</w:t>
      </w:r>
      <w:r>
        <w:rPr>
          <w:rFonts w:hint="eastAsia" w:ascii="宋体" w:hAnsi="宋体" w:cs="宋体"/>
          <w:szCs w:val="21"/>
        </w:rPr>
        <w:t>一次性提出针对同一采购程序环节的</w:t>
      </w:r>
      <w:r>
        <w:rPr>
          <w:rFonts w:hint="eastAsia" w:ascii="宋体" w:hAnsi="宋体" w:cs="黑体"/>
          <w:bCs/>
          <w:szCs w:val="21"/>
        </w:rPr>
        <w:t>质疑。</w:t>
      </w:r>
    </w:p>
    <w:p w14:paraId="43876402">
      <w:pPr>
        <w:numPr>
          <w:ilvl w:val="0"/>
          <w:numId w:val="0"/>
        </w:numPr>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17.2.2.</w:t>
      </w:r>
      <w:r>
        <w:rPr>
          <w:rFonts w:hint="eastAsia" w:ascii="宋体" w:hAnsi="宋体" w:cs="黑体"/>
          <w:bCs/>
          <w:szCs w:val="21"/>
        </w:rPr>
        <w:t>以联合体形式参加政府采购活动的，其质疑应当由组成联合体的所有供应商共同提出。</w:t>
      </w:r>
    </w:p>
    <w:p w14:paraId="720447C5">
      <w:pPr>
        <w:numPr>
          <w:ilvl w:val="0"/>
          <w:numId w:val="0"/>
        </w:numPr>
        <w:autoSpaceDE w:val="0"/>
        <w:autoSpaceDN w:val="0"/>
        <w:adjustRightInd w:val="0"/>
        <w:snapToGrid w:val="0"/>
        <w:spacing w:line="360" w:lineRule="auto"/>
        <w:ind w:leftChars="0"/>
        <w:rPr>
          <w:rFonts w:hint="eastAsia" w:ascii="宋体" w:hAnsi="宋体" w:eastAsia="宋体" w:cs="宋体"/>
          <w:bCs/>
          <w:szCs w:val="21"/>
        </w:rPr>
      </w:pPr>
      <w:r>
        <w:rPr>
          <w:rFonts w:hint="eastAsia" w:ascii="宋体" w:hAnsi="宋体" w:cs="黑体"/>
          <w:bCs/>
          <w:szCs w:val="21"/>
          <w:lang w:val="en-US" w:eastAsia="zh-CN"/>
        </w:rPr>
        <w:t>17.2.3.</w:t>
      </w:r>
      <w:r>
        <w:rPr>
          <w:rFonts w:hint="eastAsia" w:ascii="宋体" w:hAnsi="宋体" w:cs="黑体"/>
          <w:bCs/>
          <w:szCs w:val="21"/>
        </w:rPr>
        <w:t>质疑函内容：应包括供应商的姓名或者名称、地址、邮编、联系人及联系电话、质疑项目的名称及编号、具体且明确的质疑事项和与质疑事项相关的请求、事实依据、必要的法律依据、提出质疑的日期。供应商为自然人的，质疑函应当由本人签字；供应商为法人或者其他组织的，应当由法定代表人、主要负责人或授权代表签字或者盖章，并加盖公章。响应供应商递交质疑函时非法定代表人亲自办理的需提供法定代表人授权委托书（应载明授权</w:t>
      </w:r>
      <w:r>
        <w:rPr>
          <w:rFonts w:hint="eastAsia" w:ascii="宋体" w:hAnsi="宋体" w:eastAsia="宋体" w:cs="宋体"/>
          <w:bCs/>
          <w:szCs w:val="21"/>
        </w:rPr>
        <w:t>代表的姓名或者名称、代理事项、具体权限、期限和相关事项）及授权代表身份证复印件。</w:t>
      </w:r>
    </w:p>
    <w:p w14:paraId="44F2E68E">
      <w:pPr>
        <w:numPr>
          <w:ilvl w:val="0"/>
          <w:numId w:val="0"/>
        </w:numPr>
        <w:autoSpaceDE w:val="0"/>
        <w:autoSpaceDN w:val="0"/>
        <w:adjustRightInd w:val="0"/>
        <w:snapToGrid w:val="0"/>
        <w:spacing w:line="360" w:lineRule="auto"/>
        <w:ind w:leftChars="0"/>
        <w:rPr>
          <w:rFonts w:hAnsi="宋体"/>
          <w:snapToGrid w:val="0"/>
          <w:szCs w:val="21"/>
        </w:rPr>
      </w:pPr>
      <w:r>
        <w:rPr>
          <w:rFonts w:hint="eastAsia" w:ascii="宋体" w:hAnsi="宋体" w:eastAsia="宋体" w:cs="宋体"/>
          <w:szCs w:val="21"/>
          <w:lang w:val="en-US" w:eastAsia="zh-CN"/>
        </w:rPr>
        <w:t>17.2.4.</w:t>
      </w:r>
      <w:r>
        <w:rPr>
          <w:rFonts w:hint="eastAsia" w:ascii="宋体" w:hAnsi="宋体" w:eastAsia="宋体" w:cs="宋体"/>
          <w:szCs w:val="21"/>
        </w:rPr>
        <w:t>供应商捏造</w:t>
      </w:r>
      <w:r>
        <w:rPr>
          <w:rFonts w:hint="eastAsia" w:hAnsi="宋体"/>
          <w:szCs w:val="21"/>
        </w:rPr>
        <w:t>事实、提供虚假材料或者以非法手段取得证明材料不能作为质疑的证明材料</w:t>
      </w:r>
      <w:r>
        <w:rPr>
          <w:rFonts w:hint="eastAsia" w:hAnsi="宋体"/>
          <w:snapToGrid w:val="0"/>
          <w:szCs w:val="21"/>
        </w:rPr>
        <w:t>。</w:t>
      </w:r>
    </w:p>
    <w:p w14:paraId="13B078DA">
      <w:pPr>
        <w:numPr>
          <w:ilvl w:val="0"/>
          <w:numId w:val="0"/>
        </w:numPr>
        <w:tabs>
          <w:tab w:val="left" w:pos="1134"/>
        </w:tabs>
        <w:autoSpaceDE w:val="0"/>
        <w:autoSpaceDN w:val="0"/>
        <w:adjustRightInd w:val="0"/>
        <w:snapToGrid w:val="0"/>
        <w:spacing w:line="360" w:lineRule="auto"/>
        <w:ind w:leftChars="0"/>
        <w:rPr>
          <w:rFonts w:ascii="宋体" w:hAnsi="宋体" w:cs="黑体"/>
          <w:bCs/>
          <w:szCs w:val="21"/>
        </w:rPr>
      </w:pPr>
      <w:r>
        <w:rPr>
          <w:rFonts w:hint="eastAsia" w:ascii="宋体" w:hAnsi="宋体" w:cs="宋体"/>
          <w:szCs w:val="21"/>
          <w:lang w:val="en-US" w:eastAsia="zh-CN"/>
        </w:rPr>
        <w:t>17.2.5.</w:t>
      </w:r>
      <w:r>
        <w:rPr>
          <w:rFonts w:hint="eastAsia" w:ascii="宋体" w:hAnsi="宋体" w:cs="宋体"/>
          <w:szCs w:val="21"/>
        </w:rPr>
        <w:t>采购人</w:t>
      </w:r>
      <w:r>
        <w:rPr>
          <w:rFonts w:hint="eastAsia" w:ascii="宋体" w:hAnsi="宋体"/>
          <w:szCs w:val="21"/>
        </w:rPr>
        <w:t>在收到投标人的书面质疑后七个工作日内作出答复，并以书面形式通知质疑投标人和其他有关投标人，但答复内容不涉及商业秘密。质疑投标人须提供相关证明材料，包括但不限于权益受损害的情况说明及受损害的原因、证据内容等，并对质疑内容的真实性承担责任。</w:t>
      </w:r>
    </w:p>
    <w:p w14:paraId="743620BC">
      <w:pPr>
        <w:numPr>
          <w:ilvl w:val="0"/>
          <w:numId w:val="0"/>
        </w:numPr>
        <w:autoSpaceDE w:val="0"/>
        <w:autoSpaceDN w:val="0"/>
        <w:adjustRightInd w:val="0"/>
        <w:snapToGrid w:val="0"/>
        <w:spacing w:line="360" w:lineRule="auto"/>
        <w:ind w:leftChars="0"/>
        <w:rPr>
          <w:rFonts w:hint="eastAsia" w:ascii="宋体" w:hAnsi="宋体" w:eastAsia="宋体" w:cs="宋体"/>
          <w:b/>
          <w:bCs/>
          <w:szCs w:val="21"/>
        </w:rPr>
      </w:pPr>
      <w:r>
        <w:rPr>
          <w:rFonts w:hint="eastAsia" w:ascii="宋体" w:hAnsi="宋体" w:eastAsia="宋体" w:cs="宋体"/>
          <w:snapToGrid w:val="0"/>
          <w:szCs w:val="21"/>
          <w:lang w:val="en-US" w:eastAsia="zh-CN"/>
        </w:rPr>
        <w:t>17.2.6.</w:t>
      </w:r>
      <w:r>
        <w:rPr>
          <w:rFonts w:hint="eastAsia" w:ascii="宋体" w:hAnsi="宋体" w:eastAsia="宋体" w:cs="宋体"/>
          <w:snapToGrid w:val="0"/>
          <w:szCs w:val="21"/>
        </w:rPr>
        <w:t>采购</w:t>
      </w:r>
      <w:r>
        <w:rPr>
          <w:rFonts w:hint="eastAsia" w:hAnsi="宋体"/>
          <w:snapToGrid w:val="0"/>
          <w:szCs w:val="21"/>
        </w:rPr>
        <w:t>人接收以书面形式递交的质疑函，接收质疑函的联系人、联系方式和通讯地址</w:t>
      </w:r>
      <w:r>
        <w:rPr>
          <w:rFonts w:hint="eastAsia" w:ascii="宋体" w:hAnsi="宋体" w:eastAsia="宋体" w:cs="宋体"/>
          <w:snapToGrid w:val="0"/>
          <w:szCs w:val="21"/>
          <w:lang w:val="en-US" w:eastAsia="zh-CN"/>
        </w:rPr>
        <w:t>见征集公告</w:t>
      </w:r>
      <w:r>
        <w:rPr>
          <w:rFonts w:hint="eastAsia" w:ascii="宋体" w:hAnsi="宋体" w:eastAsia="宋体" w:cs="宋体"/>
          <w:szCs w:val="21"/>
        </w:rPr>
        <w:t>。</w:t>
      </w:r>
    </w:p>
    <w:p w14:paraId="263985DD">
      <w:pPr>
        <w:numPr>
          <w:ilvl w:val="0"/>
          <w:numId w:val="0"/>
        </w:numPr>
        <w:autoSpaceDE w:val="0"/>
        <w:autoSpaceDN w:val="0"/>
        <w:adjustRightInd w:val="0"/>
        <w:snapToGrid w:val="0"/>
        <w:spacing w:line="360" w:lineRule="auto"/>
        <w:ind w:leftChars="0"/>
        <w:rPr>
          <w:rFonts w:hint="eastAsia" w:ascii="宋体" w:hAnsi="宋体" w:eastAsia="宋体" w:cs="宋体"/>
          <w:snapToGrid w:val="0"/>
          <w:szCs w:val="21"/>
        </w:rPr>
      </w:pPr>
      <w:r>
        <w:rPr>
          <w:rFonts w:hint="eastAsia" w:ascii="宋体" w:hAnsi="宋体" w:eastAsia="宋体" w:cs="宋体"/>
          <w:snapToGrid w:val="0"/>
          <w:szCs w:val="21"/>
          <w:lang w:val="en-US" w:eastAsia="zh-CN"/>
        </w:rPr>
        <w:t>17.2.7.</w:t>
      </w:r>
      <w:r>
        <w:rPr>
          <w:rFonts w:hint="eastAsia" w:ascii="宋体" w:hAnsi="宋体" w:eastAsia="宋体" w:cs="宋体"/>
          <w:snapToGrid w:val="0"/>
          <w:szCs w:val="21"/>
        </w:rPr>
        <w:t>提出质疑的供应商应当是参与所质疑项目采购活动的供应商。</w:t>
      </w:r>
    </w:p>
    <w:p w14:paraId="25732EA9">
      <w:pPr>
        <w:numPr>
          <w:ilvl w:val="0"/>
          <w:numId w:val="0"/>
        </w:numPr>
        <w:autoSpaceDE w:val="0"/>
        <w:autoSpaceDN w:val="0"/>
        <w:adjustRightInd w:val="0"/>
        <w:snapToGrid w:val="0"/>
        <w:spacing w:line="360" w:lineRule="auto"/>
        <w:ind w:leftChars="0"/>
        <w:rPr>
          <w:rFonts w:hint="eastAsia" w:ascii="宋体" w:hAnsi="宋体" w:eastAsia="宋体" w:cs="宋体"/>
          <w:snapToGrid w:val="0"/>
          <w:szCs w:val="21"/>
        </w:rPr>
      </w:pPr>
      <w:r>
        <w:rPr>
          <w:rFonts w:hint="eastAsia" w:ascii="宋体" w:hAnsi="宋体" w:eastAsia="宋体" w:cs="宋体"/>
          <w:snapToGrid w:val="0"/>
          <w:szCs w:val="21"/>
          <w:lang w:val="en-US" w:eastAsia="zh-CN"/>
        </w:rPr>
        <w:t>17.2.8.</w:t>
      </w:r>
      <w:r>
        <w:rPr>
          <w:rFonts w:hint="eastAsia" w:ascii="宋体" w:hAnsi="宋体" w:eastAsia="宋体" w:cs="宋体"/>
          <w:snapToGrid w:val="0"/>
          <w:szCs w:val="21"/>
        </w:rPr>
        <w:t>供应商质疑不成立，或者成立但未对中标、成交结果构成影响的，继续开展采购活动。</w:t>
      </w:r>
    </w:p>
    <w:p w14:paraId="26A23E6B">
      <w:pPr>
        <w:numPr>
          <w:ilvl w:val="0"/>
          <w:numId w:val="0"/>
        </w:numPr>
        <w:autoSpaceDE w:val="0"/>
        <w:autoSpaceDN w:val="0"/>
        <w:adjustRightInd w:val="0"/>
        <w:snapToGrid w:val="0"/>
        <w:spacing w:line="360" w:lineRule="auto"/>
        <w:ind w:leftChars="0"/>
        <w:rPr>
          <w:rFonts w:hint="eastAsia" w:ascii="宋体" w:hAnsi="宋体" w:eastAsia="宋体" w:cs="宋体"/>
          <w:snapToGrid w:val="0"/>
          <w:szCs w:val="21"/>
        </w:rPr>
      </w:pPr>
      <w:r>
        <w:rPr>
          <w:rFonts w:hint="eastAsia" w:ascii="宋体" w:hAnsi="宋体" w:eastAsia="宋体" w:cs="宋体"/>
          <w:snapToGrid w:val="0"/>
          <w:szCs w:val="21"/>
          <w:lang w:val="en-US" w:eastAsia="zh-CN"/>
        </w:rPr>
        <w:t>17.2.9.</w:t>
      </w:r>
      <w:r>
        <w:rPr>
          <w:rFonts w:hint="eastAsia" w:ascii="宋体" w:hAnsi="宋体" w:eastAsia="宋体" w:cs="宋体"/>
          <w:snapToGrid w:val="0"/>
          <w:szCs w:val="21"/>
        </w:rPr>
        <w:t>供应商质疑成立且影响或者可能影响中标、成交结果的，按照下列情况处理：</w:t>
      </w:r>
    </w:p>
    <w:p w14:paraId="3C314CF7">
      <w:pPr>
        <w:snapToGrid w:val="0"/>
        <w:spacing w:line="360" w:lineRule="auto"/>
        <w:rPr>
          <w:rFonts w:hint="eastAsia" w:hAnsi="宋体"/>
          <w:snapToGrid w:val="0"/>
          <w:szCs w:val="21"/>
        </w:rPr>
      </w:pPr>
      <w:r>
        <w:rPr>
          <w:rFonts w:hint="eastAsia" w:ascii="宋体" w:hAnsi="宋体" w:eastAsia="宋体" w:cs="宋体"/>
          <w:snapToGrid w:val="0"/>
          <w:szCs w:val="21"/>
          <w:lang w:val="en-US" w:eastAsia="zh-CN"/>
        </w:rPr>
        <w:t>17.2.10.</w:t>
      </w:r>
      <w:r>
        <w:rPr>
          <w:rFonts w:hint="eastAsia" w:ascii="宋体" w:hAnsi="宋体" w:eastAsia="宋体" w:cs="宋体"/>
          <w:snapToGrid w:val="0"/>
          <w:szCs w:val="21"/>
        </w:rPr>
        <w:t>对采购文件提</w:t>
      </w:r>
      <w:r>
        <w:rPr>
          <w:rFonts w:hint="eastAsia" w:hAnsi="宋体"/>
          <w:snapToGrid w:val="0"/>
          <w:szCs w:val="21"/>
        </w:rPr>
        <w:t>出的质疑，依法通过澄清或者修改可以继续开展采购活动的，澄清或者修改采购文件后继续开展采购活动；否则应当修改采购文件后重新开展采购活动。</w:t>
      </w:r>
    </w:p>
    <w:p w14:paraId="7E90B108">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r>
        <w:rPr>
          <w:rFonts w:hint="eastAsia" w:ascii="宋体" w:hAnsi="宋体"/>
          <w:b/>
          <w:bCs/>
          <w:szCs w:val="21"/>
          <w:lang w:val="en-US" w:eastAsia="zh-CN"/>
        </w:rPr>
        <w:t>违约责任</w:t>
      </w:r>
    </w:p>
    <w:p w14:paraId="37F2FCB9">
      <w:pPr>
        <w:numPr>
          <w:ilvl w:val="1"/>
          <w:numId w:val="17"/>
        </w:numPr>
        <w:snapToGrid w:val="0"/>
        <w:spacing w:line="360" w:lineRule="auto"/>
        <w:ind w:left="567" w:leftChars="0" w:hanging="567" w:firstLineChars="0"/>
        <w:rPr>
          <w:rFonts w:hint="eastAsia" w:hAnsi="宋体"/>
          <w:snapToGrid w:val="0"/>
          <w:szCs w:val="21"/>
          <w:lang w:val="en-US" w:eastAsia="zh-CN"/>
        </w:rPr>
      </w:pPr>
      <w:r>
        <w:rPr>
          <w:rFonts w:hint="eastAsia" w:hAnsi="宋体"/>
          <w:snapToGrid w:val="0"/>
          <w:szCs w:val="21"/>
          <w:lang w:val="en-US" w:eastAsia="zh-CN"/>
        </w:rPr>
        <w:t>供应商若在政府采购活动存在下列违法行为，给采购人造成损失的，应当承担赔偿责任。</w:t>
      </w:r>
    </w:p>
    <w:p w14:paraId="47E13451">
      <w:pPr>
        <w:snapToGrid w:val="0"/>
        <w:spacing w:line="360" w:lineRule="auto"/>
        <w:rPr>
          <w:rFonts w:hint="eastAsia" w:hAnsi="宋体"/>
          <w:snapToGrid w:val="0"/>
          <w:szCs w:val="21"/>
        </w:rPr>
      </w:pPr>
      <w:r>
        <w:rPr>
          <w:rFonts w:hint="eastAsia" w:hAnsi="宋体"/>
          <w:snapToGrid w:val="0"/>
          <w:szCs w:val="21"/>
        </w:rPr>
        <w:t>（1）未按照规定签订、履行采购合同；</w:t>
      </w:r>
    </w:p>
    <w:p w14:paraId="25A0EEAE">
      <w:pPr>
        <w:snapToGrid w:val="0"/>
        <w:spacing w:line="360" w:lineRule="auto"/>
        <w:rPr>
          <w:rFonts w:hint="eastAsia" w:hAnsi="宋体"/>
          <w:snapToGrid w:val="0"/>
          <w:szCs w:val="21"/>
        </w:rPr>
      </w:pPr>
      <w:r>
        <w:rPr>
          <w:rFonts w:hint="eastAsia" w:hAnsi="宋体"/>
          <w:snapToGrid w:val="0"/>
          <w:szCs w:val="21"/>
        </w:rPr>
        <w:t>（2）提供虚假材料谋取中标、成交的；</w:t>
      </w:r>
    </w:p>
    <w:p w14:paraId="29F1483A">
      <w:pPr>
        <w:snapToGrid w:val="0"/>
        <w:spacing w:line="360" w:lineRule="auto"/>
        <w:rPr>
          <w:rFonts w:hint="eastAsia" w:hAnsi="宋体"/>
          <w:snapToGrid w:val="0"/>
          <w:szCs w:val="21"/>
        </w:rPr>
      </w:pPr>
      <w:r>
        <w:rPr>
          <w:rFonts w:hint="eastAsia" w:hAnsi="宋体"/>
          <w:snapToGrid w:val="0"/>
          <w:szCs w:val="21"/>
        </w:rPr>
        <w:t>（3）采取不正当手段诋毁、排挤其他供应商的；</w:t>
      </w:r>
    </w:p>
    <w:p w14:paraId="286CA9B2">
      <w:pPr>
        <w:snapToGrid w:val="0"/>
        <w:spacing w:line="360" w:lineRule="auto"/>
        <w:rPr>
          <w:rFonts w:hint="eastAsia" w:hAnsi="宋体"/>
          <w:snapToGrid w:val="0"/>
          <w:szCs w:val="21"/>
        </w:rPr>
      </w:pPr>
      <w:r>
        <w:rPr>
          <w:rFonts w:hint="eastAsia" w:hAnsi="宋体"/>
          <w:snapToGrid w:val="0"/>
          <w:szCs w:val="21"/>
        </w:rPr>
        <w:t>（4）与其他供应商恶意串通的；</w:t>
      </w:r>
    </w:p>
    <w:p w14:paraId="6BB6D639">
      <w:pPr>
        <w:snapToGrid w:val="0"/>
        <w:spacing w:line="360" w:lineRule="auto"/>
        <w:rPr>
          <w:rFonts w:hint="eastAsia" w:hAnsi="宋体"/>
          <w:snapToGrid w:val="0"/>
          <w:szCs w:val="21"/>
        </w:rPr>
      </w:pPr>
      <w:r>
        <w:rPr>
          <w:rFonts w:hint="eastAsia" w:hAnsi="宋体"/>
          <w:snapToGrid w:val="0"/>
          <w:szCs w:val="21"/>
        </w:rPr>
        <w:t>（5）拒绝有关部门监督检查或者提供虚假情况的；</w:t>
      </w:r>
    </w:p>
    <w:p w14:paraId="60452A43">
      <w:pPr>
        <w:snapToGrid w:val="0"/>
        <w:spacing w:line="360" w:lineRule="auto"/>
        <w:rPr>
          <w:rFonts w:hint="eastAsia" w:hAnsi="宋体"/>
          <w:snapToGrid w:val="0"/>
          <w:szCs w:val="21"/>
        </w:rPr>
      </w:pPr>
      <w:r>
        <w:rPr>
          <w:rFonts w:hint="eastAsia" w:hAnsi="宋体"/>
          <w:snapToGrid w:val="0"/>
          <w:szCs w:val="21"/>
        </w:rPr>
        <w:t>（6）经主管部门认定的其他违法采购相关法律法规的行为。</w:t>
      </w:r>
    </w:p>
    <w:p w14:paraId="74E07005">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6" w:name="_Toc19729"/>
      <w:r>
        <w:rPr>
          <w:rFonts w:hint="eastAsia" w:ascii="宋体" w:hAnsi="宋体"/>
          <w:b/>
          <w:bCs/>
          <w:szCs w:val="21"/>
        </w:rPr>
        <w:t>中标通知书</w:t>
      </w:r>
      <w:bookmarkEnd w:id="156"/>
    </w:p>
    <w:p w14:paraId="0275F8BA">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中标人确定后，采购</w:t>
      </w:r>
      <w:r>
        <w:rPr>
          <w:rFonts w:hint="eastAsia" w:ascii="宋体" w:hAnsi="宋体" w:cs="宋体"/>
          <w:szCs w:val="21"/>
          <w:lang w:val="en-US" w:eastAsia="zh-CN"/>
        </w:rPr>
        <w:t>人</w:t>
      </w:r>
      <w:r>
        <w:rPr>
          <w:rFonts w:hint="eastAsia" w:ascii="宋体" w:hAnsi="宋体" w:cs="宋体"/>
          <w:szCs w:val="21"/>
        </w:rPr>
        <w:t>将在发布采购信息公告的媒体上发布中标公告，并向中标人发出《中标通知书》，</w:t>
      </w:r>
      <w:r>
        <w:rPr>
          <w:rFonts w:hint="eastAsia" w:ascii="宋体" w:hAnsi="宋体" w:cs="宋体"/>
          <w:szCs w:val="21"/>
          <w:lang w:val="en-US" w:eastAsia="zh-CN"/>
        </w:rPr>
        <w:t>其中</w:t>
      </w:r>
      <w:r>
        <w:rPr>
          <w:rFonts w:hint="eastAsia" w:ascii="宋体" w:hAnsi="宋体" w:cs="宋体"/>
          <w:szCs w:val="21"/>
        </w:rPr>
        <w:t>《中标通知书》对中标人和采购人具有同等法律效力。</w:t>
      </w:r>
    </w:p>
    <w:p w14:paraId="1A6AFA14">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szCs w:val="21"/>
        </w:rPr>
        <w:t>《中标通知书》将作为授予合同资格的合法依据，是合同的一个组成部分。</w:t>
      </w:r>
    </w:p>
    <w:p w14:paraId="49145DAD">
      <w:pPr>
        <w:numPr>
          <w:ilvl w:val="0"/>
          <w:numId w:val="0"/>
        </w:numPr>
        <w:autoSpaceDE w:val="0"/>
        <w:autoSpaceDN w:val="0"/>
        <w:adjustRightInd w:val="0"/>
        <w:snapToGrid w:val="0"/>
        <w:spacing w:line="360" w:lineRule="auto"/>
        <w:ind w:leftChars="0"/>
        <w:rPr>
          <w:rFonts w:ascii="宋体" w:hAnsi="宋体" w:cs="黑体"/>
          <w:b/>
          <w:bCs/>
          <w:szCs w:val="21"/>
        </w:rPr>
      </w:pPr>
    </w:p>
    <w:p w14:paraId="3FF9917A">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lang w:eastAsia="zh-TW"/>
        </w:rPr>
      </w:pPr>
      <w:bookmarkStart w:id="157" w:name="_Toc435174938"/>
      <w:bookmarkStart w:id="158" w:name="_Toc435516655"/>
      <w:bookmarkStart w:id="159" w:name="_Toc6704"/>
      <w:bookmarkStart w:id="160" w:name="_Toc21548"/>
      <w:bookmarkStart w:id="161" w:name="_Toc20050"/>
      <w:bookmarkStart w:id="162" w:name="_Toc438223141"/>
      <w:r>
        <w:rPr>
          <w:rFonts w:hint="eastAsia" w:asciiTheme="majorEastAsia" w:hAnsiTheme="majorEastAsia" w:eastAsiaTheme="majorEastAsia"/>
          <w:sz w:val="30"/>
          <w:szCs w:val="30"/>
          <w:lang w:eastAsia="zh-TW"/>
        </w:rPr>
        <w:t>授予合同</w:t>
      </w:r>
      <w:bookmarkEnd w:id="157"/>
      <w:bookmarkEnd w:id="158"/>
      <w:bookmarkEnd w:id="159"/>
      <w:bookmarkEnd w:id="160"/>
      <w:bookmarkEnd w:id="161"/>
      <w:bookmarkEnd w:id="162"/>
    </w:p>
    <w:p w14:paraId="58EF3211">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3" w:name="_Toc23713"/>
      <w:bookmarkStart w:id="164" w:name="_Toc5467"/>
      <w:r>
        <w:rPr>
          <w:rFonts w:hint="eastAsia" w:ascii="宋体" w:hAnsi="宋体"/>
          <w:b/>
          <w:bCs/>
          <w:szCs w:val="21"/>
        </w:rPr>
        <w:t>合同的订立</w:t>
      </w:r>
      <w:bookmarkEnd w:id="163"/>
      <w:bookmarkEnd w:id="164"/>
    </w:p>
    <w:p w14:paraId="4D85A810">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采购人应当自中标通知书发出之日起十个工作日内，按照</w:t>
      </w:r>
      <w:r>
        <w:rPr>
          <w:rFonts w:hint="eastAsia" w:ascii="宋体" w:hAnsi="宋体" w:cs="宋体"/>
          <w:szCs w:val="21"/>
          <w:lang w:eastAsia="zh-CN"/>
        </w:rPr>
        <w:t>征集</w:t>
      </w:r>
      <w:r>
        <w:rPr>
          <w:rFonts w:hint="eastAsia" w:ascii="宋体" w:hAnsi="宋体" w:cs="宋体"/>
          <w:szCs w:val="21"/>
        </w:rPr>
        <w:t>文件和中标人投标文件的约定，与中标人签订书面合同。所签订的合同不得对</w:t>
      </w:r>
      <w:r>
        <w:rPr>
          <w:rFonts w:hint="eastAsia" w:ascii="宋体" w:hAnsi="宋体" w:cs="宋体"/>
          <w:szCs w:val="21"/>
          <w:lang w:eastAsia="zh-CN"/>
        </w:rPr>
        <w:t>征集</w:t>
      </w:r>
      <w:r>
        <w:rPr>
          <w:rFonts w:hint="eastAsia" w:ascii="宋体" w:hAnsi="宋体" w:cs="宋体"/>
          <w:szCs w:val="21"/>
        </w:rPr>
        <w:t>文件和中标人投标文件作实质性修改。</w:t>
      </w:r>
    </w:p>
    <w:p w14:paraId="6A8641E7">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 xml:space="preserve">采购人不得向中标人提出任何不合理的要求，作为签订合同的条件，不得与中标人私下订立背离合同实质性内容的协议。 </w:t>
      </w:r>
    </w:p>
    <w:p w14:paraId="5A4F68FF">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自政府采购合同签订之日起2个工作日内，采购人应将政府采购合同在指定的渠道公告，但政府采购合同中涉及国家秘密、商业秘密的内容除外。</w:t>
      </w:r>
    </w:p>
    <w:p w14:paraId="608A44DF">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政府采购合同签订之日起10日内，采购人应将政府采购合同副本报同级监管部门备案和有关部门备案。</w:t>
      </w:r>
    </w:p>
    <w:p w14:paraId="38113B04">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5" w:name="_Toc560"/>
      <w:bookmarkStart w:id="166" w:name="_Toc5053"/>
      <w:r>
        <w:rPr>
          <w:rFonts w:hint="eastAsia" w:ascii="宋体" w:hAnsi="宋体"/>
          <w:b/>
          <w:bCs/>
          <w:szCs w:val="21"/>
        </w:rPr>
        <w:t>合同的履行</w:t>
      </w:r>
      <w:bookmarkEnd w:id="165"/>
      <w:bookmarkEnd w:id="166"/>
    </w:p>
    <w:p w14:paraId="5265F92B">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政府采购合同订立后，合同各方不得擅自变更、中止或者终止合同。政府采购合同需要变更的，采购人应将有关合同变更内容，以书面形式报政府采购监督管理部门备案；因特殊情况需要中止或终止合同的，采购人应将中止或终止合同的理由以及相应措施，以书面形式报政府采购监督管理部门备案。</w:t>
      </w:r>
    </w:p>
    <w:p w14:paraId="0B352265">
      <w:pPr>
        <w:numPr>
          <w:ilvl w:val="1"/>
          <w:numId w:val="17"/>
        </w:numPr>
        <w:autoSpaceDE w:val="0"/>
        <w:autoSpaceDN w:val="0"/>
        <w:adjustRightInd w:val="0"/>
        <w:snapToGrid w:val="0"/>
        <w:spacing w:line="360" w:lineRule="auto"/>
        <w:rPr>
          <w:rFonts w:hint="eastAsia" w:ascii="黑体" w:hAnsi="宋体" w:eastAsia="黑体" w:cs="黑体"/>
          <w:b/>
          <w:bCs/>
          <w:kern w:val="44"/>
          <w:sz w:val="44"/>
          <w:szCs w:val="44"/>
        </w:rPr>
      </w:pPr>
      <w:r>
        <w:rPr>
          <w:rFonts w:hint="eastAsia" w:ascii="宋体" w:hAnsi="宋体" w:cs="宋体"/>
          <w:szCs w:val="21"/>
        </w:rPr>
        <w:t>政府采购合同履行中，采购人需追加与合同标的相同的货物、工程或者服务的，在不改变合同其他条款的前提下，可以与供应商签订补充合同，但所补充合同的采购金额不得超过原合同采购金额的百分之十。</w:t>
      </w:r>
      <w:r>
        <w:rPr>
          <w:rFonts w:hint="eastAsia" w:ascii="宋体" w:hAnsi="宋体" w:cs="宋体"/>
          <w:szCs w:val="21"/>
          <w:lang w:eastAsia="zh-TW"/>
        </w:rPr>
        <w:t>签订补充合同的必须按规定备案。</w:t>
      </w:r>
      <w:bookmarkStart w:id="167" w:name="_Toc6953"/>
    </w:p>
    <w:p w14:paraId="5B5517A4">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362B0181">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33DF0F3B">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16BB0921">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1803C8D8">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5C6F6BA8">
      <w:pPr>
        <w:pStyle w:val="2"/>
        <w:widowControl/>
        <w:numPr>
          <w:ilvl w:val="0"/>
          <w:numId w:val="0"/>
        </w:numPr>
        <w:spacing w:before="0" w:beforeAutospacing="0" w:after="0" w:afterAutospacing="0"/>
        <w:ind w:left="0" w:leftChars="0" w:firstLine="0" w:firstLineChars="0"/>
        <w:jc w:val="both"/>
        <w:outlineLvl w:val="9"/>
        <w:rPr>
          <w:rFonts w:hint="eastAsia" w:ascii="黑体" w:hAnsi="宋体" w:eastAsia="黑体" w:cs="黑体"/>
          <w:b/>
          <w:bCs/>
          <w:kern w:val="44"/>
          <w:sz w:val="44"/>
          <w:szCs w:val="44"/>
        </w:rPr>
      </w:pPr>
    </w:p>
    <w:p w14:paraId="14AE1EFA">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046234DE">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4C2332A4">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4567B637">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077F369F">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3DFD1B82">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1FD4DA5F">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6827F9DC">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13F5D706">
      <w:pPr>
        <w:rPr>
          <w:rFonts w:hint="eastAsia" w:ascii="黑体" w:hAnsi="宋体" w:eastAsia="黑体" w:cs="黑体"/>
          <w:b/>
          <w:bCs/>
          <w:kern w:val="44"/>
          <w:sz w:val="44"/>
          <w:szCs w:val="44"/>
        </w:rPr>
      </w:pPr>
    </w:p>
    <w:p w14:paraId="3C195DDC">
      <w:pPr>
        <w:rPr>
          <w:rFonts w:hint="eastAsia" w:ascii="黑体" w:hAnsi="宋体" w:eastAsia="黑体" w:cs="黑体"/>
          <w:b/>
          <w:bCs/>
          <w:kern w:val="44"/>
          <w:sz w:val="44"/>
          <w:szCs w:val="44"/>
        </w:rPr>
      </w:pPr>
    </w:p>
    <w:p w14:paraId="669EE19B">
      <w:pPr>
        <w:rPr>
          <w:rFonts w:hint="eastAsia" w:ascii="黑体" w:hAnsi="宋体" w:eastAsia="黑体" w:cs="黑体"/>
          <w:b/>
          <w:bCs/>
          <w:kern w:val="44"/>
          <w:sz w:val="44"/>
          <w:szCs w:val="44"/>
        </w:rPr>
      </w:pPr>
    </w:p>
    <w:p w14:paraId="5BF0ADAF">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Times New Roman"/>
          <w:kern w:val="2"/>
          <w:sz w:val="21"/>
          <w:szCs w:val="21"/>
        </w:rPr>
      </w:pPr>
      <w:r>
        <w:rPr>
          <w:rFonts w:hint="eastAsia" w:ascii="黑体" w:hAnsi="宋体" w:eastAsia="黑体" w:cs="黑体"/>
          <w:b/>
          <w:bCs/>
          <w:kern w:val="44"/>
          <w:sz w:val="44"/>
          <w:szCs w:val="44"/>
        </w:rPr>
        <w:t>合同格式</w:t>
      </w:r>
      <w:bookmarkEnd w:id="167"/>
    </w:p>
    <w:p w14:paraId="144919E2">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b/>
          <w:bCs/>
          <w:color w:val="FF0000"/>
          <w:kern w:val="2"/>
          <w:sz w:val="21"/>
          <w:szCs w:val="21"/>
          <w:highlight w:val="none"/>
          <w:lang w:val="en-US" w:eastAsia="zh-CN" w:bidi="ar"/>
        </w:rPr>
        <w:t>（此部分仅供参考，具体以实际签订为准）</w:t>
      </w:r>
    </w:p>
    <w:p w14:paraId="09180E1A">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7BDB2344">
      <w:pPr>
        <w:keepNext w:val="0"/>
        <w:keepLines w:val="0"/>
        <w:widowControl w:val="0"/>
        <w:suppressLineNumbers w:val="0"/>
        <w:spacing w:before="0" w:beforeAutospacing="0" w:after="0" w:afterAutospacing="0"/>
        <w:ind w:left="0" w:right="0"/>
        <w:jc w:val="right"/>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合同编号：</w:t>
      </w:r>
      <w:r>
        <w:rPr>
          <w:rFonts w:hint="eastAsia" w:ascii="仿宋" w:hAnsi="仿宋" w:eastAsia="仿宋" w:cs="Times New Roman"/>
          <w:b/>
          <w:bCs w:val="0"/>
          <w:kern w:val="2"/>
          <w:sz w:val="32"/>
          <w:szCs w:val="32"/>
          <w:lang w:val="en-US" w:eastAsia="zh-CN" w:bidi="ar"/>
        </w:rPr>
        <w:t xml:space="preserve"> </w:t>
      </w:r>
    </w:p>
    <w:p w14:paraId="7B5A5D2C">
      <w:pPr>
        <w:keepNext w:val="0"/>
        <w:keepLines w:val="0"/>
        <w:widowControl w:val="0"/>
        <w:suppressLineNumbers w:val="0"/>
        <w:spacing w:before="0" w:beforeAutospacing="0" w:after="0" w:afterAutospacing="0"/>
        <w:ind w:left="0" w:right="0"/>
        <w:jc w:val="right"/>
        <w:rPr>
          <w:rFonts w:hint="eastAsia" w:ascii="仿宋" w:hAnsi="仿宋" w:eastAsia="仿宋" w:cs="Times New Roman"/>
          <w:b/>
          <w:bCs w:val="0"/>
          <w:kern w:val="2"/>
          <w:sz w:val="32"/>
          <w:szCs w:val="32"/>
        </w:rPr>
      </w:pPr>
      <w:r>
        <w:rPr>
          <w:rFonts w:hint="eastAsia" w:ascii="仿宋" w:hAnsi="仿宋" w:eastAsia="仿宋" w:cs="Times New Roman"/>
          <w:b/>
          <w:bCs w:val="0"/>
          <w:kern w:val="2"/>
          <w:sz w:val="32"/>
          <w:szCs w:val="32"/>
          <w:lang w:val="en-US" w:eastAsia="zh-CN" w:bidi="ar"/>
        </w:rPr>
        <w:t xml:space="preserve"> </w:t>
      </w:r>
    </w:p>
    <w:p w14:paraId="1954386D">
      <w:pPr>
        <w:keepNext w:val="0"/>
        <w:keepLines w:val="0"/>
        <w:widowControl w:val="0"/>
        <w:suppressLineNumbers w:val="0"/>
        <w:spacing w:before="0" w:beforeAutospacing="0" w:after="0" w:afterAutospacing="0"/>
        <w:ind w:left="0" w:right="0"/>
        <w:jc w:val="right"/>
        <w:rPr>
          <w:rFonts w:hint="eastAsia" w:ascii="仿宋" w:hAnsi="仿宋" w:eastAsia="仿宋" w:cs="Times New Roman"/>
          <w:b/>
          <w:bCs w:val="0"/>
          <w:kern w:val="2"/>
          <w:sz w:val="32"/>
          <w:szCs w:val="32"/>
        </w:rPr>
      </w:pPr>
      <w:r>
        <w:rPr>
          <w:rFonts w:hint="eastAsia" w:ascii="仿宋" w:hAnsi="仿宋" w:eastAsia="仿宋" w:cs="Times New Roman"/>
          <w:b/>
          <w:bCs w:val="0"/>
          <w:kern w:val="2"/>
          <w:sz w:val="32"/>
          <w:szCs w:val="32"/>
          <w:lang w:val="en-US" w:eastAsia="zh-CN" w:bidi="ar"/>
        </w:rPr>
        <w:t xml:space="preserve"> </w:t>
      </w:r>
    </w:p>
    <w:p w14:paraId="6023CF0F">
      <w:pPr>
        <w:keepNext w:val="0"/>
        <w:keepLines w:val="0"/>
        <w:widowControl w:val="0"/>
        <w:suppressLineNumbers w:val="0"/>
        <w:spacing w:before="0" w:beforeAutospacing="0" w:after="0" w:afterAutospacing="0"/>
        <w:ind w:left="0" w:right="0"/>
        <w:jc w:val="right"/>
        <w:rPr>
          <w:rFonts w:hint="eastAsia" w:ascii="仿宋" w:hAnsi="仿宋" w:eastAsia="仿宋" w:cs="Times New Roman"/>
          <w:b/>
          <w:bCs w:val="0"/>
          <w:kern w:val="2"/>
          <w:sz w:val="21"/>
          <w:szCs w:val="21"/>
        </w:rPr>
      </w:pPr>
      <w:r>
        <w:rPr>
          <w:rFonts w:hint="eastAsia" w:ascii="仿宋" w:hAnsi="仿宋" w:eastAsia="仿宋" w:cs="Times New Roman"/>
          <w:b/>
          <w:bCs w:val="0"/>
          <w:kern w:val="2"/>
          <w:sz w:val="21"/>
          <w:szCs w:val="21"/>
          <w:lang w:val="en-US" w:eastAsia="zh-CN" w:bidi="ar"/>
        </w:rPr>
        <w:t xml:space="preserve"> </w:t>
      </w:r>
    </w:p>
    <w:p w14:paraId="02EDA3B9">
      <w:pPr>
        <w:keepNext w:val="0"/>
        <w:keepLines w:val="0"/>
        <w:widowControl w:val="0"/>
        <w:suppressLineNumbers w:val="0"/>
        <w:spacing w:before="0" w:beforeAutospacing="0" w:after="0" w:afterAutospacing="0"/>
        <w:ind w:left="0" w:right="0"/>
        <w:jc w:val="center"/>
        <w:rPr>
          <w:rFonts w:hint="eastAsia" w:ascii="宋体" w:hAnsi="宋体" w:eastAsia="宋体" w:cs="宋体"/>
          <w:b/>
          <w:bCs/>
          <w:kern w:val="2"/>
          <w:sz w:val="72"/>
          <w:szCs w:val="72"/>
        </w:rPr>
      </w:pPr>
      <w:r>
        <w:rPr>
          <w:rFonts w:hint="eastAsia" w:ascii="宋体" w:hAnsi="宋体" w:eastAsia="宋体" w:cs="宋体"/>
          <w:b/>
          <w:bCs/>
          <w:kern w:val="2"/>
          <w:sz w:val="72"/>
          <w:szCs w:val="72"/>
          <w:lang w:val="en-US" w:eastAsia="zh-CN" w:bidi="ar"/>
        </w:rPr>
        <w:t>福田区卫生系统医用设备采购合同</w:t>
      </w:r>
    </w:p>
    <w:p w14:paraId="511DCED3">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77814D16">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3FCEDB11">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2A9CD248">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3E3DE5F7">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60428329">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0FDD6601">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eastAsia" w:ascii="Times New Roman" w:hAnsi="Times New Roman" w:eastAsia="宋体" w:cs="Times New Roman"/>
          <w:kern w:val="2"/>
          <w:sz w:val="21"/>
          <w:szCs w:val="21"/>
          <w:lang w:val="en-US" w:eastAsia="zh-CN" w:bidi="ar"/>
        </w:rPr>
        <w:t xml:space="preserve"> </w:t>
      </w:r>
    </w:p>
    <w:p w14:paraId="379846F8">
      <w:pPr>
        <w:keepNext w:val="0"/>
        <w:keepLines w:val="0"/>
        <w:widowControl w:val="0"/>
        <w:suppressLineNumbers w:val="0"/>
        <w:spacing w:before="0" w:beforeAutospacing="0" w:after="0" w:afterAutospacing="0"/>
        <w:ind w:left="0" w:right="0" w:firstLine="1120" w:firstLineChars="350"/>
        <w:jc w:val="both"/>
        <w:rPr>
          <w:rFonts w:hint="eastAsia" w:ascii="仿宋_GB2312" w:eastAsia="仿宋_GB2312" w:cs="仿宋_GB2312"/>
          <w:bCs/>
          <w:kern w:val="2"/>
          <w:sz w:val="32"/>
          <w:szCs w:val="32"/>
        </w:rPr>
      </w:pPr>
      <w:r>
        <w:rPr>
          <w:rFonts w:hint="eastAsia" w:ascii="仿宋_GB2312" w:hAnsi="Times New Roman" w:eastAsia="仿宋_GB2312" w:cs="仿宋_GB2312"/>
          <w:bCs/>
          <w:kern w:val="2"/>
          <w:sz w:val="32"/>
          <w:szCs w:val="32"/>
          <w:lang w:val="en-US" w:eastAsia="zh-CN" w:bidi="ar"/>
        </w:rPr>
        <w:t>项目名称：</w:t>
      </w:r>
      <w:r>
        <w:rPr>
          <w:rFonts w:hint="eastAsia" w:ascii="仿宋_GB2312" w:hAnsi="Times New Roman" w:eastAsia="仿宋_GB2312" w:cs="仿宋_GB2312"/>
          <w:bCs/>
          <w:kern w:val="2"/>
          <w:sz w:val="32"/>
          <w:szCs w:val="32"/>
          <w:u w:val="single"/>
          <w:lang w:val="en-US" w:eastAsia="zh-CN" w:bidi="ar"/>
        </w:rPr>
        <w:t xml:space="preserve">                               </w:t>
      </w:r>
    </w:p>
    <w:p w14:paraId="5FE8EE7C">
      <w:pPr>
        <w:keepNext w:val="0"/>
        <w:keepLines w:val="0"/>
        <w:widowControl w:val="0"/>
        <w:suppressLineNumbers w:val="0"/>
        <w:spacing w:before="0" w:beforeAutospacing="0" w:after="0" w:afterAutospacing="0"/>
        <w:ind w:left="0" w:right="0" w:firstLine="1120" w:firstLineChars="350"/>
        <w:jc w:val="both"/>
        <w:rPr>
          <w:rFonts w:hint="eastAsia" w:ascii="仿宋_GB2312" w:eastAsia="仿宋_GB2312" w:cs="仿宋_GB2312"/>
          <w:bCs/>
          <w:kern w:val="2"/>
          <w:sz w:val="32"/>
          <w:szCs w:val="32"/>
          <w:u w:val="single"/>
        </w:rPr>
      </w:pPr>
      <w:r>
        <w:rPr>
          <w:rFonts w:hint="eastAsia" w:ascii="仿宋_GB2312" w:hAnsi="Times New Roman" w:eastAsia="仿宋_GB2312" w:cs="仿宋_GB2312"/>
          <w:bCs/>
          <w:kern w:val="2"/>
          <w:sz w:val="32"/>
          <w:szCs w:val="32"/>
          <w:lang w:val="en-US" w:eastAsia="zh-CN" w:bidi="ar"/>
        </w:rPr>
        <w:t>甲    方：</w:t>
      </w:r>
      <w:r>
        <w:rPr>
          <w:rFonts w:hint="eastAsia" w:ascii="仿宋_GB2312" w:hAnsi="Times New Roman" w:eastAsia="仿宋_GB2312" w:cs="仿宋_GB2312"/>
          <w:kern w:val="2"/>
          <w:sz w:val="32"/>
          <w:szCs w:val="32"/>
          <w:u w:val="single"/>
          <w:lang w:val="en-US" w:eastAsia="zh-CN" w:bidi="ar"/>
        </w:rPr>
        <w:t xml:space="preserve">    深圳市福田区第二人民医院   </w:t>
      </w:r>
    </w:p>
    <w:p w14:paraId="391FCCB2">
      <w:pPr>
        <w:keepNext w:val="0"/>
        <w:keepLines w:val="0"/>
        <w:widowControl w:val="0"/>
        <w:suppressLineNumbers w:val="0"/>
        <w:spacing w:before="0" w:beforeAutospacing="0" w:after="0" w:afterAutospacing="0"/>
        <w:ind w:left="0" w:right="0" w:firstLine="1120" w:firstLineChars="350"/>
        <w:jc w:val="both"/>
        <w:rPr>
          <w:rFonts w:hint="eastAsia" w:ascii="仿宋_GB2312" w:eastAsia="仿宋_GB2312" w:cs="仿宋_GB2312"/>
          <w:bCs/>
          <w:kern w:val="2"/>
          <w:sz w:val="32"/>
          <w:szCs w:val="32"/>
          <w:u w:val="single"/>
        </w:rPr>
      </w:pPr>
      <w:r>
        <w:rPr>
          <w:rFonts w:hint="eastAsia" w:ascii="仿宋_GB2312" w:hAnsi="Times New Roman" w:eastAsia="仿宋_GB2312" w:cs="仿宋_GB2312"/>
          <w:bCs/>
          <w:kern w:val="2"/>
          <w:sz w:val="32"/>
          <w:szCs w:val="32"/>
          <w:lang w:val="en-US" w:eastAsia="zh-CN" w:bidi="ar"/>
        </w:rPr>
        <w:t>乙    方：</w:t>
      </w:r>
      <w:r>
        <w:rPr>
          <w:rFonts w:hint="eastAsia" w:ascii="仿宋_GB2312" w:hAnsi="Times New Roman" w:eastAsia="仿宋_GB2312" w:cs="仿宋_GB2312"/>
          <w:bCs/>
          <w:kern w:val="2"/>
          <w:sz w:val="32"/>
          <w:szCs w:val="32"/>
          <w:u w:val="single"/>
          <w:lang w:val="en-US" w:eastAsia="zh-CN" w:bidi="ar"/>
        </w:rPr>
        <w:t xml:space="preserve">                           </w:t>
      </w:r>
      <w:r>
        <w:rPr>
          <w:rFonts w:hint="eastAsia" w:ascii="仿宋_GB2312" w:hAnsi="Times New Roman" w:eastAsia="仿宋_GB2312" w:cs="仿宋_GB2312"/>
          <w:bCs/>
          <w:color w:val="FF0000"/>
          <w:kern w:val="2"/>
          <w:sz w:val="32"/>
          <w:szCs w:val="32"/>
          <w:u w:val="single"/>
          <w:lang w:val="en-US" w:eastAsia="zh-CN" w:bidi="ar"/>
        </w:rPr>
        <w:t xml:space="preserve"> </w:t>
      </w:r>
      <w:r>
        <w:rPr>
          <w:rFonts w:hint="eastAsia" w:ascii="仿宋_GB2312" w:hAnsi="Times New Roman" w:eastAsia="仿宋_GB2312" w:cs="仿宋_GB2312"/>
          <w:bCs/>
          <w:kern w:val="2"/>
          <w:sz w:val="32"/>
          <w:szCs w:val="32"/>
          <w:u w:val="single"/>
          <w:lang w:val="en-US" w:eastAsia="zh-CN" w:bidi="ar"/>
        </w:rPr>
        <w:t xml:space="preserve">   </w:t>
      </w:r>
    </w:p>
    <w:p w14:paraId="4F59B20D">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rPr>
      </w:pPr>
      <w:r>
        <w:rPr>
          <w:rFonts w:hint="default" w:ascii="Times New Roman" w:hAnsi="Times New Roman" w:eastAsia="宋体" w:cs="Times New Roman"/>
          <w:kern w:val="2"/>
          <w:sz w:val="48"/>
          <w:szCs w:val="48"/>
          <w:lang w:val="en-US" w:eastAsia="zh-CN" w:bidi="ar"/>
        </w:rPr>
        <w:t xml:space="preserve"> </w:t>
      </w:r>
    </w:p>
    <w:p w14:paraId="07517EA1">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rPr>
      </w:pPr>
      <w:r>
        <w:rPr>
          <w:rFonts w:hint="default" w:ascii="Times New Roman" w:hAnsi="Times New Roman" w:eastAsia="宋体" w:cs="Times New Roman"/>
          <w:kern w:val="2"/>
          <w:sz w:val="48"/>
          <w:szCs w:val="48"/>
          <w:lang w:val="en-US" w:eastAsia="zh-CN" w:bidi="ar"/>
        </w:rPr>
        <w:t xml:space="preserve"> </w:t>
      </w:r>
    </w:p>
    <w:p w14:paraId="3CCED6E0">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lang w:val="en-US" w:eastAsia="zh-CN" w:bidi="ar"/>
        </w:rPr>
      </w:pPr>
      <w:r>
        <w:rPr>
          <w:rFonts w:hint="default" w:ascii="Times New Roman" w:hAnsi="Times New Roman" w:eastAsia="宋体" w:cs="Times New Roman"/>
          <w:kern w:val="2"/>
          <w:sz w:val="48"/>
          <w:szCs w:val="48"/>
          <w:lang w:val="en-US" w:eastAsia="zh-CN" w:bidi="ar"/>
        </w:rPr>
        <w:t xml:space="preserve"> </w:t>
      </w:r>
    </w:p>
    <w:p w14:paraId="4AA5236E">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lang w:val="en-US" w:eastAsia="zh-CN" w:bidi="ar"/>
        </w:rPr>
      </w:pPr>
    </w:p>
    <w:p w14:paraId="58D762C3">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lang w:val="en-US" w:eastAsia="zh-CN" w:bidi="ar"/>
        </w:rPr>
      </w:pPr>
    </w:p>
    <w:p w14:paraId="557CBABF">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lang w:val="en-US" w:eastAsia="zh-CN" w:bidi="ar"/>
        </w:rPr>
      </w:pPr>
    </w:p>
    <w:p w14:paraId="70058330">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lang w:val="en-US" w:eastAsia="zh-CN" w:bidi="ar"/>
        </w:rPr>
      </w:pPr>
    </w:p>
    <w:p w14:paraId="5DDCA062">
      <w:pPr>
        <w:keepNext w:val="0"/>
        <w:keepLines w:val="0"/>
        <w:widowControl/>
        <w:suppressLineNumbers w:val="0"/>
        <w:spacing w:before="0" w:beforeAutospacing="0" w:after="0" w:afterAutospacing="0"/>
        <w:ind w:left="0" w:right="0"/>
        <w:jc w:val="center"/>
        <w:rPr>
          <w:rFonts w:hint="eastAsia" w:ascii="宋体" w:hAnsi="宋体" w:eastAsia="宋体" w:cs="Times New Roman"/>
          <w:b/>
          <w:bCs w:val="0"/>
          <w:kern w:val="2"/>
          <w:sz w:val="24"/>
          <w:szCs w:val="24"/>
        </w:rPr>
      </w:pPr>
      <w:r>
        <w:rPr>
          <w:rFonts w:hint="eastAsia" w:ascii="方正小标宋简体" w:hAnsi="方正小标宋简体" w:eastAsia="方正小标宋简体" w:cs="方正小标宋简体"/>
          <w:kern w:val="2"/>
          <w:sz w:val="44"/>
          <w:szCs w:val="44"/>
          <w:lang w:val="en-US" w:eastAsia="zh-CN" w:bidi="ar"/>
        </w:rPr>
        <w:t>福田区卫生系统医用设备采购合同</w:t>
      </w:r>
    </w:p>
    <w:p w14:paraId="79729736">
      <w:pPr>
        <w:keepNext w:val="0"/>
        <w:keepLines w:val="0"/>
        <w:widowControl w:val="0"/>
        <w:suppressLineNumbers w:val="0"/>
        <w:spacing w:before="0" w:beforeAutospacing="0" w:after="0" w:afterAutospacing="0" w:line="360" w:lineRule="auto"/>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甲方（采购人）：深圳市福田区第二人民医院</w:t>
      </w:r>
    </w:p>
    <w:p w14:paraId="3C39095F">
      <w:pPr>
        <w:keepNext w:val="0"/>
        <w:keepLines w:val="0"/>
        <w:widowControl w:val="0"/>
        <w:suppressLineNumbers w:val="0"/>
        <w:spacing w:before="0" w:beforeAutospacing="0" w:after="0" w:afterAutospacing="0" w:line="360" w:lineRule="auto"/>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法定代表人/负责人或授权代表：</w:t>
      </w:r>
    </w:p>
    <w:p w14:paraId="02A429C5">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u w:val="single"/>
        </w:rPr>
      </w:pPr>
      <w:r>
        <w:rPr>
          <w:rFonts w:hint="eastAsia" w:ascii="仿宋_GB2312" w:hAnsi="Times New Roman" w:eastAsia="仿宋_GB2312" w:cs="仿宋_GB2312"/>
          <w:kern w:val="2"/>
          <w:sz w:val="28"/>
          <w:szCs w:val="28"/>
          <w:lang w:val="en-US" w:eastAsia="zh-CN" w:bidi="ar"/>
        </w:rPr>
        <w:t>地址：</w:t>
      </w:r>
    </w:p>
    <w:p w14:paraId="314251D8">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联系电话：</w:t>
      </w:r>
    </w:p>
    <w:p w14:paraId="305A9A1D">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6E127DCF">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color w:val="000000" w:themeColor="text1"/>
          <w:kern w:val="2"/>
          <w:sz w:val="28"/>
          <w:szCs w:val="28"/>
          <w:u w:val="single"/>
          <w14:textFill>
            <w14:solidFill>
              <w14:schemeClr w14:val="tx1"/>
            </w14:solidFill>
          </w14:textFill>
        </w:rPr>
      </w:pP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乙方（供应商）：</w:t>
      </w:r>
    </w:p>
    <w:p w14:paraId="52868DAA">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法定代表人或授权代表：</w:t>
      </w:r>
    </w:p>
    <w:p w14:paraId="697044E0">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地址：</w:t>
      </w:r>
    </w:p>
    <w:p w14:paraId="76DC2565">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联系电话：</w:t>
      </w:r>
    </w:p>
    <w:p w14:paraId="5D062FA0">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default" w:ascii="Times New Roman" w:hAnsi="Times New Roman" w:eastAsia="宋体" w:cs="Times New Roman"/>
          <w:kern w:val="2"/>
          <w:sz w:val="21"/>
          <w:szCs w:val="21"/>
        </w:rPr>
      </w:pPr>
      <w:r>
        <w:rPr>
          <w:rFonts w:hint="eastAsia" w:ascii="仿宋_GB2312" w:hAnsi="Times New Roman" w:eastAsia="仿宋_GB2312" w:cs="仿宋_GB2312"/>
          <w:color w:val="000000"/>
          <w:kern w:val="2"/>
          <w:sz w:val="28"/>
          <w:szCs w:val="28"/>
          <w:lang w:val="en-US" w:eastAsia="zh-CN" w:bidi="ar"/>
        </w:rPr>
        <w:t>甲、乙双方</w:t>
      </w: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根据 2024年XX月XX日“XXXX”（征集编号：XXXX）采购项目的结果，按照《中华人民共和国民法典》《中华人民共和国</w:t>
      </w:r>
      <w:r>
        <w:rPr>
          <w:rFonts w:hint="eastAsia" w:ascii="仿宋_GB2312" w:hAnsi="Times New Roman" w:eastAsia="仿宋_GB2312" w:cs="仿宋_GB2312"/>
          <w:kern w:val="2"/>
          <w:sz w:val="28"/>
          <w:szCs w:val="28"/>
          <w:lang w:val="en-US" w:eastAsia="zh-CN" w:bidi="ar"/>
        </w:rPr>
        <w:t>政府采购法》《深圳经济特区政府采购条例》《深圳经济特区政府采购条例实施细则》等相关法律法规的规定，经双方协商一致，达成以下合同条款：</w:t>
      </w:r>
    </w:p>
    <w:p w14:paraId="5E99CF32">
      <w:pPr>
        <w:keepNext w:val="0"/>
        <w:keepLines w:val="0"/>
        <w:widowControl w:val="0"/>
        <w:suppressLineNumbers w:val="0"/>
        <w:adjustRightInd w:val="0"/>
        <w:snapToGrid w:val="0"/>
        <w:spacing w:before="0" w:beforeAutospacing="0" w:after="0" w:afterAutospacing="0" w:line="560" w:lineRule="exact"/>
        <w:ind w:left="0" w:leftChars="0" w:right="0" w:rightChars="0"/>
        <w:jc w:val="both"/>
        <w:outlineLvl w:val="0"/>
        <w:rPr>
          <w:rFonts w:hint="eastAsia" w:ascii="仿宋_GB2312" w:eastAsia="仿宋_GB2312" w:cs="仿宋_GB2312"/>
          <w:b/>
          <w:bCs w:val="0"/>
          <w:kern w:val="2"/>
          <w:sz w:val="28"/>
          <w:szCs w:val="28"/>
        </w:rPr>
      </w:pPr>
      <w:bookmarkStart w:id="168" w:name="_Toc15229"/>
      <w:r>
        <w:rPr>
          <w:rFonts w:hint="eastAsia" w:ascii="仿宋_GB2312" w:hAnsi="Times New Roman" w:eastAsia="仿宋_GB2312" w:cs="仿宋_GB2312"/>
          <w:b/>
          <w:bCs w:val="0"/>
          <w:kern w:val="2"/>
          <w:sz w:val="28"/>
          <w:szCs w:val="28"/>
          <w:lang w:val="en-US" w:eastAsia="zh-CN" w:bidi="ar"/>
        </w:rPr>
        <w:t>第一条  合同标的</w:t>
      </w:r>
      <w:bookmarkEnd w:id="168"/>
    </w:p>
    <w:tbl>
      <w:tblPr>
        <w:tblStyle w:val="18"/>
        <w:tblW w:w="63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12"/>
        <w:gridCol w:w="1001"/>
        <w:gridCol w:w="870"/>
        <w:gridCol w:w="1083"/>
        <w:gridCol w:w="1116"/>
        <w:gridCol w:w="658"/>
        <w:gridCol w:w="794"/>
        <w:gridCol w:w="554"/>
        <w:gridCol w:w="1275"/>
        <w:gridCol w:w="1162"/>
        <w:gridCol w:w="465"/>
        <w:gridCol w:w="474"/>
        <w:gridCol w:w="801"/>
      </w:tblGrid>
      <w:tr w14:paraId="3FD0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1" w:hRule="atLeast"/>
          <w:jc w:val="center"/>
        </w:trPr>
        <w:tc>
          <w:tcPr>
            <w:tcW w:w="541" w:type="dxa"/>
            <w:tcBorders>
              <w:top w:val="single" w:color="auto" w:sz="4" w:space="0"/>
              <w:left w:val="single" w:color="auto" w:sz="4" w:space="0"/>
              <w:bottom w:val="single" w:color="auto" w:sz="4" w:space="0"/>
              <w:right w:val="single" w:color="auto" w:sz="4" w:space="0"/>
            </w:tcBorders>
            <w:shd w:val="clear" w:color="auto" w:fill="auto"/>
            <w:vAlign w:val="center"/>
          </w:tcPr>
          <w:p w14:paraId="1F0EB107">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序号</w:t>
            </w:r>
          </w:p>
        </w:tc>
        <w:tc>
          <w:tcPr>
            <w:tcW w:w="1058" w:type="dxa"/>
            <w:tcBorders>
              <w:top w:val="single" w:color="auto" w:sz="4" w:space="0"/>
              <w:left w:val="nil"/>
              <w:bottom w:val="single" w:color="auto" w:sz="4" w:space="0"/>
              <w:right w:val="single" w:color="auto" w:sz="4" w:space="0"/>
            </w:tcBorders>
            <w:shd w:val="clear" w:color="auto" w:fill="auto"/>
            <w:vAlign w:val="center"/>
          </w:tcPr>
          <w:p w14:paraId="78A0430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设备</w:t>
            </w:r>
          </w:p>
          <w:p w14:paraId="50AC90BD">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名称</w:t>
            </w:r>
          </w:p>
        </w:tc>
        <w:tc>
          <w:tcPr>
            <w:tcW w:w="919" w:type="dxa"/>
            <w:tcBorders>
              <w:top w:val="single" w:color="auto" w:sz="4" w:space="0"/>
              <w:left w:val="nil"/>
              <w:bottom w:val="single" w:color="auto" w:sz="4" w:space="0"/>
              <w:right w:val="single" w:color="auto" w:sz="4" w:space="0"/>
            </w:tcBorders>
            <w:shd w:val="clear" w:color="auto" w:fill="auto"/>
            <w:vAlign w:val="center"/>
          </w:tcPr>
          <w:p w14:paraId="07CCF94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产地</w:t>
            </w:r>
            <w:r>
              <w:rPr>
                <w:rFonts w:hint="eastAsia" w:ascii="Times New Roman" w:hAnsi="Times New Roman"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品牌</w:t>
            </w:r>
          </w:p>
        </w:tc>
        <w:tc>
          <w:tcPr>
            <w:tcW w:w="1144" w:type="dxa"/>
            <w:tcBorders>
              <w:top w:val="single" w:color="auto" w:sz="4" w:space="0"/>
              <w:left w:val="nil"/>
              <w:bottom w:val="single" w:color="auto" w:sz="4" w:space="0"/>
              <w:right w:val="single" w:color="auto" w:sz="4" w:space="0"/>
            </w:tcBorders>
            <w:shd w:val="clear" w:color="auto" w:fill="auto"/>
            <w:vAlign w:val="center"/>
          </w:tcPr>
          <w:p w14:paraId="36E0222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规格型号</w:t>
            </w:r>
          </w:p>
        </w:tc>
        <w:tc>
          <w:tcPr>
            <w:tcW w:w="1179" w:type="dxa"/>
            <w:tcBorders>
              <w:top w:val="single" w:color="auto" w:sz="4" w:space="0"/>
              <w:left w:val="nil"/>
              <w:bottom w:val="single" w:color="auto" w:sz="4" w:space="0"/>
              <w:right w:val="single" w:color="auto" w:sz="4" w:space="0"/>
            </w:tcBorders>
            <w:shd w:val="clear" w:color="auto" w:fill="auto"/>
            <w:vAlign w:val="center"/>
          </w:tcPr>
          <w:p w14:paraId="06BCE06A">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注册证名</w:t>
            </w:r>
          </w:p>
        </w:tc>
        <w:tc>
          <w:tcPr>
            <w:tcW w:w="695" w:type="dxa"/>
            <w:tcBorders>
              <w:top w:val="single" w:color="auto" w:sz="4" w:space="0"/>
              <w:left w:val="nil"/>
              <w:bottom w:val="single" w:color="auto" w:sz="4" w:space="0"/>
              <w:right w:val="single" w:color="auto" w:sz="4" w:space="0"/>
            </w:tcBorders>
            <w:shd w:val="clear" w:color="auto" w:fill="auto"/>
            <w:vAlign w:val="center"/>
          </w:tcPr>
          <w:p w14:paraId="48A79582">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注册证号</w:t>
            </w:r>
          </w:p>
        </w:tc>
        <w:tc>
          <w:tcPr>
            <w:tcW w:w="839" w:type="dxa"/>
            <w:tcBorders>
              <w:top w:val="single" w:color="auto" w:sz="4" w:space="0"/>
              <w:left w:val="nil"/>
              <w:bottom w:val="single" w:color="auto" w:sz="4" w:space="0"/>
              <w:right w:val="single" w:color="auto" w:sz="4" w:space="0"/>
            </w:tcBorders>
            <w:shd w:val="clear" w:color="auto" w:fill="auto"/>
            <w:vAlign w:val="center"/>
          </w:tcPr>
          <w:p w14:paraId="3193F87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单位</w:t>
            </w:r>
          </w:p>
        </w:tc>
        <w:tc>
          <w:tcPr>
            <w:tcW w:w="585" w:type="dxa"/>
            <w:tcBorders>
              <w:top w:val="single" w:color="auto" w:sz="4" w:space="0"/>
              <w:left w:val="nil"/>
              <w:bottom w:val="single" w:color="auto" w:sz="4" w:space="0"/>
              <w:right w:val="single" w:color="auto" w:sz="4" w:space="0"/>
            </w:tcBorders>
            <w:shd w:val="clear" w:color="auto" w:fill="auto"/>
            <w:vAlign w:val="center"/>
          </w:tcPr>
          <w:p w14:paraId="2F52B8D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数量</w:t>
            </w:r>
          </w:p>
        </w:tc>
        <w:tc>
          <w:tcPr>
            <w:tcW w:w="1347" w:type="dxa"/>
            <w:tcBorders>
              <w:top w:val="single" w:color="auto" w:sz="4" w:space="0"/>
              <w:left w:val="nil"/>
              <w:bottom w:val="single" w:color="auto" w:sz="4" w:space="0"/>
              <w:right w:val="single" w:color="auto" w:sz="4" w:space="0"/>
            </w:tcBorders>
            <w:shd w:val="clear" w:color="auto" w:fill="auto"/>
            <w:vAlign w:val="center"/>
          </w:tcPr>
          <w:p w14:paraId="6DB72FA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单价（元）</w:t>
            </w:r>
          </w:p>
        </w:tc>
        <w:tc>
          <w:tcPr>
            <w:tcW w:w="1228" w:type="dxa"/>
            <w:tcBorders>
              <w:top w:val="single" w:color="auto" w:sz="4" w:space="0"/>
              <w:left w:val="nil"/>
              <w:bottom w:val="single" w:color="auto" w:sz="4" w:space="0"/>
              <w:right w:val="single" w:color="auto" w:sz="4" w:space="0"/>
            </w:tcBorders>
            <w:shd w:val="clear" w:color="auto" w:fill="auto"/>
            <w:vAlign w:val="center"/>
          </w:tcPr>
          <w:p w14:paraId="5793F15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总价（元）</w:t>
            </w:r>
          </w:p>
        </w:tc>
        <w:tc>
          <w:tcPr>
            <w:tcW w:w="491" w:type="dxa"/>
            <w:tcBorders>
              <w:top w:val="single" w:color="auto" w:sz="4" w:space="0"/>
              <w:left w:val="nil"/>
              <w:bottom w:val="single" w:color="auto" w:sz="4" w:space="0"/>
              <w:right w:val="single" w:color="auto" w:sz="4" w:space="0"/>
            </w:tcBorders>
            <w:shd w:val="clear" w:color="auto" w:fill="auto"/>
            <w:vAlign w:val="center"/>
          </w:tcPr>
          <w:p w14:paraId="54EF476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随机配件</w:t>
            </w:r>
          </w:p>
        </w:tc>
        <w:tc>
          <w:tcPr>
            <w:tcW w:w="501" w:type="dxa"/>
            <w:tcBorders>
              <w:top w:val="single" w:color="auto" w:sz="4" w:space="0"/>
              <w:left w:val="nil"/>
              <w:bottom w:val="single" w:color="auto" w:sz="4" w:space="0"/>
              <w:right w:val="single" w:color="auto" w:sz="4" w:space="0"/>
            </w:tcBorders>
            <w:shd w:val="clear" w:color="auto" w:fill="auto"/>
            <w:vAlign w:val="center"/>
          </w:tcPr>
          <w:p w14:paraId="3AF54D1A">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使用科室</w:t>
            </w:r>
          </w:p>
        </w:tc>
        <w:tc>
          <w:tcPr>
            <w:tcW w:w="846" w:type="dxa"/>
            <w:tcBorders>
              <w:top w:val="single" w:color="auto" w:sz="4" w:space="0"/>
              <w:left w:val="nil"/>
              <w:bottom w:val="single" w:color="auto" w:sz="4" w:space="0"/>
              <w:right w:val="single" w:color="auto" w:sz="4" w:space="0"/>
            </w:tcBorders>
            <w:shd w:val="clear" w:color="auto" w:fill="auto"/>
            <w:vAlign w:val="center"/>
          </w:tcPr>
          <w:p w14:paraId="058F805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设备用途</w:t>
            </w:r>
          </w:p>
        </w:tc>
      </w:tr>
      <w:tr w14:paraId="6BFB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541" w:type="dxa"/>
            <w:tcBorders>
              <w:top w:val="single" w:color="auto" w:sz="4" w:space="0"/>
              <w:left w:val="single" w:color="auto" w:sz="4" w:space="0"/>
              <w:bottom w:val="single" w:color="auto" w:sz="4" w:space="0"/>
              <w:right w:val="single" w:color="auto" w:sz="4" w:space="0"/>
            </w:tcBorders>
            <w:shd w:val="clear" w:color="auto" w:fill="auto"/>
            <w:vAlign w:val="center"/>
          </w:tcPr>
          <w:p w14:paraId="2D8498A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1</w:t>
            </w:r>
          </w:p>
        </w:tc>
        <w:tc>
          <w:tcPr>
            <w:tcW w:w="1058" w:type="dxa"/>
            <w:tcBorders>
              <w:top w:val="single" w:color="auto" w:sz="4" w:space="0"/>
              <w:left w:val="nil"/>
              <w:bottom w:val="single" w:color="auto" w:sz="4" w:space="0"/>
              <w:right w:val="single" w:color="auto" w:sz="4" w:space="0"/>
            </w:tcBorders>
            <w:shd w:val="clear" w:color="auto" w:fill="auto"/>
            <w:vAlign w:val="center"/>
          </w:tcPr>
          <w:p w14:paraId="2DC1999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919" w:type="dxa"/>
            <w:tcBorders>
              <w:top w:val="single" w:color="auto" w:sz="4" w:space="0"/>
              <w:left w:val="nil"/>
              <w:bottom w:val="single" w:color="auto" w:sz="4" w:space="0"/>
              <w:right w:val="single" w:color="auto" w:sz="4" w:space="0"/>
            </w:tcBorders>
            <w:shd w:val="clear" w:color="auto" w:fill="auto"/>
            <w:vAlign w:val="center"/>
          </w:tcPr>
          <w:p w14:paraId="28E6FAD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1144" w:type="dxa"/>
            <w:tcBorders>
              <w:top w:val="single" w:color="auto" w:sz="4" w:space="0"/>
              <w:left w:val="nil"/>
              <w:bottom w:val="single" w:color="auto" w:sz="4" w:space="0"/>
              <w:right w:val="single" w:color="auto" w:sz="4" w:space="0"/>
            </w:tcBorders>
            <w:shd w:val="clear" w:color="auto" w:fill="auto"/>
            <w:vAlign w:val="center"/>
          </w:tcPr>
          <w:p w14:paraId="10DCF5B7">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1179" w:type="dxa"/>
            <w:tcBorders>
              <w:top w:val="single" w:color="auto" w:sz="4" w:space="0"/>
              <w:left w:val="nil"/>
              <w:bottom w:val="single" w:color="auto" w:sz="4" w:space="0"/>
              <w:right w:val="single" w:color="auto" w:sz="4" w:space="0"/>
            </w:tcBorders>
            <w:shd w:val="clear" w:color="auto" w:fill="auto"/>
            <w:vAlign w:val="center"/>
          </w:tcPr>
          <w:p w14:paraId="02ACD994">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695" w:type="dxa"/>
            <w:tcBorders>
              <w:top w:val="single" w:color="auto" w:sz="4" w:space="0"/>
              <w:left w:val="nil"/>
              <w:bottom w:val="single" w:color="auto" w:sz="4" w:space="0"/>
              <w:right w:val="single" w:color="auto" w:sz="4" w:space="0"/>
            </w:tcBorders>
            <w:shd w:val="clear" w:color="auto" w:fill="auto"/>
            <w:vAlign w:val="center"/>
          </w:tcPr>
          <w:p w14:paraId="5C20AFF6">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839" w:type="dxa"/>
            <w:tcBorders>
              <w:top w:val="single" w:color="auto" w:sz="4" w:space="0"/>
              <w:left w:val="nil"/>
              <w:bottom w:val="single" w:color="auto" w:sz="4" w:space="0"/>
              <w:right w:val="single" w:color="auto" w:sz="4" w:space="0"/>
            </w:tcBorders>
            <w:shd w:val="clear" w:color="auto" w:fill="auto"/>
            <w:vAlign w:val="center"/>
          </w:tcPr>
          <w:p w14:paraId="3776F7E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585" w:type="dxa"/>
            <w:tcBorders>
              <w:top w:val="single" w:color="auto" w:sz="4" w:space="0"/>
              <w:left w:val="nil"/>
              <w:bottom w:val="single" w:color="auto" w:sz="4" w:space="0"/>
              <w:right w:val="single" w:color="auto" w:sz="4" w:space="0"/>
            </w:tcBorders>
            <w:shd w:val="clear" w:color="auto" w:fill="auto"/>
            <w:vAlign w:val="center"/>
          </w:tcPr>
          <w:p w14:paraId="6A1BBB9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1347" w:type="dxa"/>
            <w:tcBorders>
              <w:top w:val="single" w:color="auto" w:sz="4" w:space="0"/>
              <w:left w:val="nil"/>
              <w:bottom w:val="single" w:color="auto" w:sz="4" w:space="0"/>
              <w:right w:val="single" w:color="auto" w:sz="4" w:space="0"/>
            </w:tcBorders>
            <w:shd w:val="clear" w:color="auto" w:fill="auto"/>
            <w:vAlign w:val="center"/>
          </w:tcPr>
          <w:p w14:paraId="2B32764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1228" w:type="dxa"/>
            <w:tcBorders>
              <w:top w:val="single" w:color="auto" w:sz="4" w:space="0"/>
              <w:left w:val="nil"/>
              <w:bottom w:val="single" w:color="auto" w:sz="4" w:space="0"/>
              <w:right w:val="single" w:color="auto" w:sz="4" w:space="0"/>
            </w:tcBorders>
            <w:shd w:val="clear" w:color="auto" w:fill="auto"/>
            <w:vAlign w:val="center"/>
          </w:tcPr>
          <w:p w14:paraId="644A5CF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491" w:type="dxa"/>
            <w:tcBorders>
              <w:top w:val="single" w:color="auto" w:sz="4" w:space="0"/>
              <w:left w:val="nil"/>
              <w:bottom w:val="single" w:color="auto" w:sz="4" w:space="0"/>
              <w:right w:val="single" w:color="auto" w:sz="4" w:space="0"/>
            </w:tcBorders>
            <w:shd w:val="clear" w:color="auto" w:fill="auto"/>
            <w:vAlign w:val="center"/>
          </w:tcPr>
          <w:p w14:paraId="5CBC5944">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FF0000"/>
                <w:kern w:val="2"/>
                <w:sz w:val="21"/>
                <w:szCs w:val="21"/>
              </w:rPr>
            </w:pPr>
            <w:r>
              <w:rPr>
                <w:rFonts w:hint="eastAsia" w:ascii="宋体" w:hAnsi="宋体" w:eastAsia="宋体" w:cs="宋体"/>
                <w:kern w:val="2"/>
                <w:sz w:val="21"/>
                <w:szCs w:val="21"/>
                <w:lang w:val="en-US" w:eastAsia="zh-CN" w:bidi="ar"/>
              </w:rPr>
              <w:t>详见配置清单</w:t>
            </w:r>
          </w:p>
        </w:tc>
        <w:tc>
          <w:tcPr>
            <w:tcW w:w="501" w:type="dxa"/>
            <w:tcBorders>
              <w:top w:val="single" w:color="auto" w:sz="4" w:space="0"/>
              <w:left w:val="nil"/>
              <w:bottom w:val="single" w:color="auto" w:sz="4" w:space="0"/>
              <w:right w:val="single" w:color="auto" w:sz="4" w:space="0"/>
            </w:tcBorders>
            <w:shd w:val="clear" w:color="auto" w:fill="auto"/>
            <w:vAlign w:val="top"/>
          </w:tcPr>
          <w:p w14:paraId="69888EB5">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FF0000"/>
                <w:kern w:val="2"/>
                <w:sz w:val="21"/>
                <w:szCs w:val="21"/>
              </w:rPr>
            </w:pPr>
          </w:p>
        </w:tc>
        <w:tc>
          <w:tcPr>
            <w:tcW w:w="846" w:type="dxa"/>
            <w:tcBorders>
              <w:top w:val="single" w:color="auto" w:sz="4" w:space="0"/>
              <w:left w:val="nil"/>
              <w:bottom w:val="single" w:color="auto" w:sz="4" w:space="0"/>
              <w:right w:val="single" w:color="auto" w:sz="4" w:space="0"/>
            </w:tcBorders>
            <w:shd w:val="clear" w:color="auto" w:fill="auto"/>
            <w:vAlign w:val="top"/>
          </w:tcPr>
          <w:p w14:paraId="7AACBBBE">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p w14:paraId="2F048FAB">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p w14:paraId="55CF7186">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r>
      <w:tr w14:paraId="3378B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1373" w:type="dxa"/>
            <w:gridSpan w:val="13"/>
            <w:tcBorders>
              <w:top w:val="single" w:color="auto" w:sz="4" w:space="0"/>
              <w:left w:val="single" w:color="auto" w:sz="4" w:space="0"/>
              <w:bottom w:val="single" w:color="auto" w:sz="4" w:space="0"/>
              <w:right w:val="single" w:color="auto" w:sz="4" w:space="0"/>
            </w:tcBorders>
            <w:shd w:val="clear" w:color="auto" w:fill="auto"/>
            <w:vAlign w:val="center"/>
          </w:tcPr>
          <w:p w14:paraId="46583CD8">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合计人民币：</w:t>
            </w:r>
            <w:r>
              <w:rPr>
                <w:rFonts w:hint="default" w:ascii="Times New Roman" w:hAnsi="Times New Roman" w:eastAsia="宋体" w:cs="Times New Roman"/>
                <w:kern w:val="2"/>
                <w:sz w:val="21"/>
                <w:szCs w:val="21"/>
                <w:lang w:val="en-US" w:eastAsia="zh-CN" w:bidi="ar"/>
              </w:rPr>
              <w:t>XXXX</w:t>
            </w:r>
            <w:r>
              <w:rPr>
                <w:rFonts w:hint="eastAsia" w:ascii="宋体" w:hAnsi="宋体" w:eastAsia="宋体" w:cs="宋体"/>
                <w:kern w:val="2"/>
                <w:sz w:val="21"/>
                <w:szCs w:val="21"/>
                <w:lang w:val="en-US" w:eastAsia="zh-CN" w:bidi="ar"/>
              </w:rPr>
              <w:t xml:space="preserve">元整（￥ </w:t>
            </w:r>
            <w:r>
              <w:rPr>
                <w:rFonts w:hint="default" w:ascii="Times New Roman" w:hAnsi="Times New Roman" w:eastAsia="宋体" w:cs="Times New Roman"/>
                <w:kern w:val="2"/>
                <w:sz w:val="21"/>
                <w:szCs w:val="21"/>
                <w:lang w:val="en-US" w:eastAsia="zh-CN" w:bidi="ar"/>
              </w:rPr>
              <w:t>XXXX.00</w:t>
            </w:r>
            <w:r>
              <w:rPr>
                <w:rFonts w:hint="eastAsia" w:ascii="宋体" w:hAnsi="宋体" w:eastAsia="宋体" w:cs="宋体"/>
                <w:kern w:val="2"/>
                <w:sz w:val="21"/>
                <w:szCs w:val="21"/>
                <w:lang w:val="en-US" w:eastAsia="zh-CN" w:bidi="ar"/>
              </w:rPr>
              <w:t>元）</w:t>
            </w:r>
          </w:p>
        </w:tc>
      </w:tr>
    </w:tbl>
    <w:p w14:paraId="34CBD8BD">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_GB2312" w:eastAsia="仿宋_GB2312" w:cs="仿宋_GB2312"/>
          <w:b/>
          <w:bCs w:val="0"/>
          <w:kern w:val="2"/>
          <w:sz w:val="28"/>
          <w:szCs w:val="28"/>
        </w:rPr>
      </w:pPr>
      <w:r>
        <w:rPr>
          <w:rFonts w:hint="eastAsia" w:ascii="仿宋_GB2312" w:hAnsi="Times New Roman" w:eastAsia="仿宋_GB2312" w:cs="仿宋_GB2312"/>
          <w:b/>
          <w:bCs w:val="0"/>
          <w:kern w:val="2"/>
          <w:sz w:val="28"/>
          <w:szCs w:val="28"/>
          <w:lang w:val="en-US" w:eastAsia="zh-CN" w:bidi="ar"/>
        </w:rPr>
        <w:t xml:space="preserve"> </w:t>
      </w:r>
    </w:p>
    <w:p w14:paraId="55128311">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69" w:name="_Toc8755"/>
      <w:r>
        <w:rPr>
          <w:rFonts w:hint="eastAsia" w:ascii="仿宋_GB2312" w:hAnsi="Times New Roman" w:eastAsia="仿宋_GB2312" w:cs="仿宋_GB2312"/>
          <w:b/>
          <w:bCs w:val="0"/>
          <w:kern w:val="2"/>
          <w:sz w:val="28"/>
          <w:szCs w:val="28"/>
          <w:lang w:val="en-US" w:eastAsia="zh-CN" w:bidi="ar"/>
        </w:rPr>
        <w:t>第二条 合同价款</w:t>
      </w:r>
      <w:bookmarkEnd w:id="169"/>
    </w:p>
    <w:p w14:paraId="2C6C2F13">
      <w:pPr>
        <w:keepNext w:val="0"/>
        <w:keepLines w:val="0"/>
        <w:widowControl w:val="0"/>
        <w:suppressLineNumbers w:val="0"/>
        <w:adjustRightInd w:val="0"/>
        <w:snapToGrid w:val="0"/>
        <w:spacing w:before="0" w:beforeAutospacing="0" w:after="0" w:afterAutospacing="0" w:line="560" w:lineRule="exact"/>
        <w:ind w:left="0" w:right="0" w:firstLine="56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1.本合同项下甲乙双方买卖</w:t>
      </w: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设备含税总价款为：大写人民币</w:t>
      </w:r>
      <w:r>
        <w:rPr>
          <w:rFonts w:hint="eastAsia" w:ascii="仿宋_GB2312" w:hAnsi="Times New Roman" w:eastAsia="仿宋_GB2312" w:cs="仿宋_GB2312"/>
          <w:color w:val="000000" w:themeColor="text1"/>
          <w:kern w:val="2"/>
          <w:sz w:val="28"/>
          <w:szCs w:val="28"/>
          <w:u w:val="single"/>
          <w:lang w:val="en-US" w:eastAsia="zh-CN" w:bidi="ar"/>
          <w14:textFill>
            <w14:solidFill>
              <w14:schemeClr w14:val="tx1"/>
            </w14:solidFill>
          </w14:textFill>
        </w:rPr>
        <w:t>XXXX</w:t>
      </w: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元整（￥</w:t>
      </w:r>
      <w:r>
        <w:rPr>
          <w:rFonts w:hint="eastAsia" w:ascii="仿宋_GB2312" w:hAnsi="Times New Roman" w:eastAsia="仿宋_GB2312" w:cs="仿宋_GB2312"/>
          <w:color w:val="000000" w:themeColor="text1"/>
          <w:kern w:val="2"/>
          <w:sz w:val="28"/>
          <w:szCs w:val="28"/>
          <w:u w:val="single"/>
          <w:lang w:val="en-US" w:eastAsia="zh-CN" w:bidi="ar"/>
          <w14:textFill>
            <w14:solidFill>
              <w14:schemeClr w14:val="tx1"/>
            </w14:solidFill>
          </w14:textFill>
        </w:rPr>
        <w:t xml:space="preserve"> XXXX.00元</w:t>
      </w: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）。此价款为甲方履行本合同义务而产生的一切费用，除此以外甲方不再对乙方承担任何支付价款或以外费用的责任。此价款包括但不限于报装费、设计费、设备</w:t>
      </w:r>
      <w:r>
        <w:rPr>
          <w:rFonts w:hint="eastAsia" w:ascii="仿宋_GB2312" w:hAnsi="Times New Roman" w:eastAsia="仿宋_GB2312" w:cs="仿宋_GB2312"/>
          <w:kern w:val="2"/>
          <w:sz w:val="28"/>
          <w:szCs w:val="28"/>
          <w:lang w:val="en-US" w:eastAsia="zh-CN" w:bidi="ar"/>
        </w:rPr>
        <w:t>制造费、包装费、仓储费、运输费、安装调试费、验收和保修期届满前备品备件费用以及与本合同设备及服务相关的税和费。合同总价款不因通货膨胀、市场行情等市场价格的变动而变动，但本合同另有约定的除外。</w:t>
      </w:r>
    </w:p>
    <w:p w14:paraId="00F9F276">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
          <w:bCs w:val="0"/>
          <w:kern w:val="2"/>
          <w:sz w:val="28"/>
          <w:szCs w:val="28"/>
        </w:rPr>
      </w:pPr>
      <w:r>
        <w:rPr>
          <w:rFonts w:hint="eastAsia" w:ascii="仿宋_GB2312" w:hAnsi="Times New Roman" w:eastAsia="仿宋_GB2312" w:cs="仿宋_GB2312"/>
          <w:kern w:val="2"/>
          <w:sz w:val="28"/>
          <w:szCs w:val="28"/>
          <w:lang w:val="en-US" w:eastAsia="zh-CN" w:bidi="ar"/>
        </w:rPr>
        <w:t>2.合同价款的支付方式（双方应共同选择一项，并在所选项□内打“√”）：</w:t>
      </w:r>
    </w:p>
    <w:p w14:paraId="64AF8125">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kern w:val="2"/>
          <w:sz w:val="28"/>
          <w:szCs w:val="28"/>
        </w:rPr>
      </w:pPr>
      <w:r>
        <w:rPr>
          <w:rFonts w:hint="eastAsia" w:ascii="仿宋_GB2312" w:hAnsi="Wingdings 2" w:eastAsia="仿宋_GB2312" w:cs="仿宋_GB2312"/>
          <w:kern w:val="2"/>
          <w:sz w:val="28"/>
          <w:szCs w:val="28"/>
          <w:lang w:val="en-US" w:eastAsia="zh-CN" w:bidi="ar"/>
        </w:rPr>
        <w:t>£</w:t>
      </w:r>
      <w:r>
        <w:rPr>
          <w:rFonts w:hint="eastAsia" w:ascii="仿宋_GB2312" w:hAnsi="Times New Roman" w:eastAsia="仿宋_GB2312" w:cs="仿宋_GB2312"/>
          <w:kern w:val="2"/>
          <w:sz w:val="28"/>
          <w:szCs w:val="28"/>
          <w:lang w:val="en-US" w:eastAsia="zh-CN" w:bidi="ar"/>
        </w:rPr>
        <w:t>一次性支付</w:t>
      </w:r>
    </w:p>
    <w:p w14:paraId="249405FA">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color w:val="000000"/>
          <w:kern w:val="2"/>
          <w:sz w:val="28"/>
          <w:szCs w:val="28"/>
        </w:rPr>
      </w:pPr>
      <w:r>
        <w:rPr>
          <w:rFonts w:hint="eastAsia" w:ascii="仿宋_GB2312" w:hAnsi="Times New Roman" w:eastAsia="仿宋_GB2312" w:cs="仿宋_GB2312"/>
          <w:color w:val="000000"/>
          <w:kern w:val="2"/>
          <w:sz w:val="28"/>
          <w:szCs w:val="28"/>
          <w:lang w:val="en-US" w:eastAsia="zh-CN" w:bidi="ar"/>
        </w:rPr>
        <w:t>货到安装、调试验收合格后，乙方应按本合同全额价款出具正规税务发票，甲方财务科收到乙方发票等相关资料后</w:t>
      </w:r>
      <w:r>
        <w:rPr>
          <w:rFonts w:hint="eastAsia" w:ascii="仿宋_GB2312" w:hAnsi="Times New Roman" w:eastAsia="仿宋_GB2312" w:cs="仿宋_GB2312"/>
          <w:color w:val="000000"/>
          <w:kern w:val="2"/>
          <w:sz w:val="28"/>
          <w:szCs w:val="28"/>
          <w:u w:val="single"/>
          <w:lang w:val="en-US" w:eastAsia="zh-CN" w:bidi="ar"/>
        </w:rPr>
        <w:t>10</w:t>
      </w:r>
      <w:r>
        <w:rPr>
          <w:rFonts w:hint="eastAsia" w:ascii="仿宋_GB2312" w:hAnsi="Times New Roman" w:eastAsia="仿宋_GB2312" w:cs="仿宋_GB2312"/>
          <w:color w:val="000000"/>
          <w:kern w:val="2"/>
          <w:sz w:val="28"/>
          <w:szCs w:val="28"/>
          <w:lang w:val="en-US" w:eastAsia="zh-CN" w:bidi="ar"/>
        </w:rPr>
        <w:t>个工作日内向乙方支付合同全款。</w:t>
      </w:r>
    </w:p>
    <w:p w14:paraId="66857BA4">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Wingdings 2" w:eastAsia="仿宋_GB2312" w:cs="仿宋_GB2312"/>
          <w:kern w:val="2"/>
          <w:sz w:val="28"/>
          <w:szCs w:val="28"/>
          <w:lang w:val="en-US" w:eastAsia="zh-CN" w:bidi="ar"/>
        </w:rPr>
        <w:t>£</w:t>
      </w:r>
      <w:r>
        <w:rPr>
          <w:rFonts w:hint="eastAsia" w:ascii="仿宋_GB2312" w:hAnsi="Times New Roman" w:eastAsia="仿宋_GB2312" w:cs="仿宋_GB2312"/>
          <w:kern w:val="2"/>
          <w:sz w:val="28"/>
          <w:szCs w:val="28"/>
          <w:lang w:val="en-US" w:eastAsia="zh-CN" w:bidi="ar"/>
        </w:rPr>
        <w:t>分笔支付</w:t>
      </w:r>
    </w:p>
    <w:p w14:paraId="65E4F975">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color w:val="000000"/>
          <w:kern w:val="2"/>
          <w:sz w:val="28"/>
          <w:szCs w:val="28"/>
          <w:lang w:val="en-US" w:eastAsia="zh-CN" w:bidi="ar"/>
        </w:rPr>
        <w:t>货到安装、调试验收合格且财政资金下达后，乙方应按本合同全额价款出具正规税务发票，甲方财务科收到乙方发票等相关资料后15日内向乙方支付合同价款的90%；若财政当次下达资金未达合同价款的90%，则以当次实际下达资金为准，直至付款至合同价款的90%。货款余额（合同价款的10%）在项目结算并下达尾款资金后支付。</w:t>
      </w:r>
    </w:p>
    <w:p w14:paraId="7F6EF684">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color w:val="000000" w:themeColor="text1"/>
          <w:kern w:val="2"/>
          <w:sz w:val="28"/>
          <w:szCs w:val="28"/>
          <w14:textFill>
            <w14:solidFill>
              <w14:schemeClr w14:val="tx1"/>
            </w14:solidFill>
          </w14:textFill>
        </w:rPr>
      </w:pP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3.乙方指定的收款账户：</w:t>
      </w:r>
    </w:p>
    <w:p w14:paraId="1EA99589">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color w:val="000000" w:themeColor="text1"/>
          <w:kern w:val="2"/>
          <w:sz w:val="28"/>
          <w:szCs w:val="28"/>
          <w14:textFill>
            <w14:solidFill>
              <w14:schemeClr w14:val="tx1"/>
            </w14:solidFill>
          </w14:textFill>
        </w:rPr>
      </w:pP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户名：</w:t>
      </w:r>
    </w:p>
    <w:p w14:paraId="0832B239">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银行账号</w:t>
      </w:r>
      <w:r>
        <w:rPr>
          <w:rFonts w:hint="eastAsia" w:ascii="仿宋_GB2312" w:hAnsi="Times New Roman" w:eastAsia="仿宋_GB2312" w:cs="仿宋_GB2312"/>
          <w:kern w:val="2"/>
          <w:sz w:val="28"/>
          <w:szCs w:val="28"/>
          <w:lang w:val="en-US" w:eastAsia="zh-CN" w:bidi="ar"/>
        </w:rPr>
        <w:t>：</w:t>
      </w:r>
    </w:p>
    <w:p w14:paraId="4660AF90">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开户行：</w:t>
      </w:r>
    </w:p>
    <w:p w14:paraId="1AAFC1EE">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0" w:name="_Toc3012"/>
      <w:r>
        <w:rPr>
          <w:rFonts w:hint="eastAsia" w:ascii="仿宋_GB2312" w:hAnsi="Times New Roman" w:eastAsia="仿宋_GB2312" w:cs="仿宋_GB2312"/>
          <w:b/>
          <w:bCs w:val="0"/>
          <w:kern w:val="2"/>
          <w:sz w:val="28"/>
          <w:szCs w:val="28"/>
          <w:lang w:val="en-US" w:eastAsia="zh-CN" w:bidi="ar"/>
        </w:rPr>
        <w:t>第三条  质量标准</w:t>
      </w:r>
      <w:bookmarkEnd w:id="170"/>
    </w:p>
    <w:p w14:paraId="50F884C0">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1.乙方在本合同项下向甲方提供的</w:t>
      </w:r>
      <w:r>
        <w:rPr>
          <w:rFonts w:hint="eastAsia" w:ascii="仿宋_GB2312" w:hAnsi="Times New Roman" w:eastAsia="仿宋_GB2312" w:cs="仿宋_GB2312"/>
          <w:kern w:val="2"/>
          <w:sz w:val="28"/>
          <w:szCs w:val="28"/>
          <w:lang w:val="en-US" w:eastAsia="zh-CN" w:bidi="ar"/>
        </w:rPr>
        <w:t>设备</w:t>
      </w:r>
      <w:r>
        <w:rPr>
          <w:rFonts w:hint="eastAsia" w:ascii="仿宋_GB2312" w:hAnsi="Times New Roman" w:eastAsia="仿宋_GB2312" w:cs="仿宋_GB2312"/>
          <w:bCs/>
          <w:kern w:val="2"/>
          <w:sz w:val="28"/>
          <w:szCs w:val="28"/>
          <w:lang w:val="en-US" w:eastAsia="zh-CN" w:bidi="ar"/>
        </w:rPr>
        <w:t>质量和技术规格应符合以下标准：</w:t>
      </w:r>
    </w:p>
    <w:p w14:paraId="527B30EB">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（1）项目的中标通知书、征集文件、答疑及补充通知；</w:t>
      </w:r>
    </w:p>
    <w:p w14:paraId="0F52D330">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（2）乙方的投标文件；</w:t>
      </w:r>
    </w:p>
    <w:p w14:paraId="32546F1B">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u w:val="single"/>
        </w:rPr>
      </w:pPr>
      <w:r>
        <w:rPr>
          <w:rFonts w:hint="eastAsia" w:ascii="仿宋_GB2312" w:hAnsi="Times New Roman" w:eastAsia="仿宋_GB2312" w:cs="仿宋_GB2312"/>
          <w:kern w:val="2"/>
          <w:sz w:val="28"/>
          <w:szCs w:val="28"/>
          <w:lang w:val="en-US" w:eastAsia="zh-CN" w:bidi="ar"/>
        </w:rPr>
        <w:t>（3）本合同附件</w:t>
      </w:r>
      <w:r>
        <w:rPr>
          <w:rFonts w:hint="eastAsia" w:ascii="仿宋_GB2312" w:hAnsi="Times New Roman" w:eastAsia="仿宋_GB2312" w:cs="仿宋_GB2312"/>
          <w:bCs/>
          <w:kern w:val="2"/>
          <w:sz w:val="28"/>
          <w:szCs w:val="28"/>
          <w:lang w:val="en-US" w:eastAsia="zh-CN" w:bidi="ar"/>
        </w:rPr>
        <w:t>的约定；</w:t>
      </w:r>
    </w:p>
    <w:p w14:paraId="3011BCE6">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（4）国家关于该类设备的设计和制造生产标准；</w:t>
      </w:r>
    </w:p>
    <w:p w14:paraId="59F70D45">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（5）国家关于该类设备质量的行业标准；</w:t>
      </w:r>
    </w:p>
    <w:p w14:paraId="6855ACB1">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（6）符合国家有关安全、环保等规范和要求（乙方须提供设备测验报告）；</w:t>
      </w:r>
    </w:p>
    <w:p w14:paraId="76C7E72E">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（7）进口设备具有进口注册证书、《入境设备检验检疫证明》等中国海关商检合格证明</w:t>
      </w:r>
    </w:p>
    <w:p w14:paraId="475DF8D3">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设备注册证名、产地品牌、规格型号应与在行政部门登记的注册证描述一致并在有效期内。消毒设备在注册证号栏中分别填入注册证号、卫生许可证号、卫生许可证批号。合同设备如属《中华人民共和国进口计量器具型式审查目录》或《中华人民共和国强制检定的工作计量器具目录》内的，乙方需提供计量合格证，所有上述证照办理的费用均包含在合同总价内。</w:t>
      </w:r>
    </w:p>
    <w:p w14:paraId="127CB90B">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3.如合同设备属于国家规定的强检设备，由乙方负责完成首次计量强制检定，验收前乙方必须附上计量检定合格报告。</w:t>
      </w:r>
    </w:p>
    <w:p w14:paraId="632E43A2">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w:t>
      </w:r>
      <w:r>
        <w:rPr>
          <w:rFonts w:hint="eastAsia" w:ascii="仿宋_GB2312" w:hAnsi="Times New Roman" w:eastAsia="仿宋_GB2312" w:cs="仿宋_GB2312"/>
          <w:bCs/>
          <w:color w:val="000000"/>
          <w:kern w:val="2"/>
          <w:sz w:val="28"/>
          <w:szCs w:val="28"/>
          <w:lang w:val="en-US" w:eastAsia="zh-CN" w:bidi="ar"/>
        </w:rPr>
        <w:t>如合同设备需要甲方信息端口，则由乙方负责甲方信息系统端口连接的安装工作及费用（包含信息系统方的接口开发费）。甲方协助乙方完成信息系统安装，确保设备稳定运行。</w:t>
      </w:r>
    </w:p>
    <w:p w14:paraId="2E910D0C">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 xml:space="preserve"> </w:t>
      </w:r>
    </w:p>
    <w:p w14:paraId="28EAC693">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Cs/>
          <w:kern w:val="2"/>
          <w:sz w:val="28"/>
          <w:szCs w:val="28"/>
        </w:rPr>
      </w:pPr>
      <w:bookmarkStart w:id="171" w:name="_Toc23268"/>
      <w:r>
        <w:rPr>
          <w:rFonts w:hint="eastAsia" w:ascii="仿宋_GB2312" w:hAnsi="Times New Roman" w:eastAsia="仿宋_GB2312" w:cs="仿宋_GB2312"/>
          <w:b/>
          <w:bCs w:val="0"/>
          <w:kern w:val="2"/>
          <w:sz w:val="28"/>
          <w:szCs w:val="28"/>
          <w:lang w:val="en-US" w:eastAsia="zh-CN" w:bidi="ar"/>
        </w:rPr>
        <w:t>第四条  质量保证及售后服务</w:t>
      </w:r>
      <w:bookmarkEnd w:id="171"/>
    </w:p>
    <w:p w14:paraId="4A74E58C">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color w:val="FF0000"/>
          <w:kern w:val="2"/>
          <w:sz w:val="28"/>
          <w:szCs w:val="28"/>
        </w:rPr>
      </w:pPr>
      <w:r>
        <w:rPr>
          <w:rFonts w:hint="eastAsia" w:ascii="仿宋_GB2312" w:hAnsi="Times New Roman" w:eastAsia="仿宋_GB2312" w:cs="仿宋_GB2312"/>
          <w:bCs/>
          <w:kern w:val="2"/>
          <w:sz w:val="28"/>
          <w:szCs w:val="28"/>
          <w:lang w:val="en-US" w:eastAsia="zh-CN" w:bidi="ar"/>
        </w:rPr>
        <w:t>1.乙方应保证设备是全新、未使用过的原装合格正品（包括零部件），设备到达甲方安装现场时外包装应完好无损，最新生产批次且经检验合格的产品。</w:t>
      </w:r>
    </w:p>
    <w:p w14:paraId="48CE8139">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2.乙方对本合同设备提供质</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保期</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3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年（</w:t>
      </w:r>
      <w:r>
        <w:rPr>
          <w:rFonts w:hint="eastAsia" w:ascii="仿宋_GB2312" w:hAnsi="Times New Roman" w:eastAsia="仿宋_GB2312" w:cs="仿宋_GB2312"/>
          <w:bCs/>
          <w:kern w:val="2"/>
          <w:sz w:val="28"/>
          <w:szCs w:val="28"/>
          <w:lang w:val="en-US" w:eastAsia="zh-CN" w:bidi="ar"/>
        </w:rPr>
        <w:t>自验收合格之日起算），终身维护。质保期内免费提供每年2次定期保养。设备出现故障时乙方应在接到甲方通知时4小时响应，24小时内到位，若乙方未能在24小时内消除障碍，甲方有权聘请第三方消除障碍，</w:t>
      </w:r>
      <w:r>
        <w:rPr>
          <w:rFonts w:hint="eastAsia" w:ascii="仿宋_GB2312" w:hAnsi="Times New Roman" w:eastAsia="仿宋_GB2312" w:cs="仿宋_GB2312"/>
          <w:kern w:val="2"/>
          <w:sz w:val="28"/>
          <w:szCs w:val="28"/>
          <w:lang w:val="en-US" w:eastAsia="zh-CN" w:bidi="ar"/>
        </w:rPr>
        <w:t>所发生的费用由乙方全部承担，乙方应于故障发生后</w:t>
      </w:r>
      <w:r>
        <w:rPr>
          <w:rFonts w:hint="eastAsia" w:ascii="仿宋_GB2312" w:hAnsi="Times New Roman" w:eastAsia="仿宋_GB2312" w:cs="仿宋_GB2312"/>
          <w:bCs/>
          <w:kern w:val="2"/>
          <w:sz w:val="28"/>
          <w:szCs w:val="28"/>
          <w:u w:val="single"/>
          <w:lang w:val="en-US" w:eastAsia="zh-CN" w:bidi="ar"/>
        </w:rPr>
        <w:t xml:space="preserve"> 15 </w:t>
      </w:r>
      <w:r>
        <w:rPr>
          <w:rFonts w:hint="eastAsia" w:ascii="仿宋_GB2312" w:hAnsi="Times New Roman" w:eastAsia="仿宋_GB2312" w:cs="仿宋_GB2312"/>
          <w:kern w:val="2"/>
          <w:sz w:val="28"/>
          <w:szCs w:val="28"/>
          <w:lang w:val="en-US" w:eastAsia="zh-CN" w:bidi="ar"/>
        </w:rPr>
        <w:t>日内支付。</w:t>
      </w:r>
    </w:p>
    <w:p w14:paraId="3867D030">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3.质保期内非因甲方人为原因而出现的质量问题，由乙方负责包修、包换或者包退，并承担修理、调换或退货的实际费用。乙方不能修理或不能调换，按不能交货处理。</w:t>
      </w:r>
    </w:p>
    <w:p w14:paraId="2CF296AD">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乙方必须提供由设备生产原厂签署承诺的合法有效的保修、维修证明（售后服务承诺函，盖厂家公章），厂家签署承诺的保修期应与投标供应商承诺的保修期一致；必须由原厂工程师及技术人员直接提供保修、维修、免费技术培训服务。</w:t>
      </w:r>
    </w:p>
    <w:p w14:paraId="00ADCC34">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5.保修期届满后，乙方应按其在深圳地区同类产品的优惠价格提供维保服务，具体设备维护事宜由双方另行协商。</w:t>
      </w:r>
    </w:p>
    <w:p w14:paraId="41941F25">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2" w:name="_Toc23356"/>
      <w:r>
        <w:rPr>
          <w:rFonts w:hint="eastAsia" w:ascii="仿宋_GB2312" w:hAnsi="Times New Roman" w:eastAsia="仿宋_GB2312" w:cs="仿宋_GB2312"/>
          <w:b/>
          <w:bCs w:val="0"/>
          <w:kern w:val="2"/>
          <w:sz w:val="28"/>
          <w:szCs w:val="28"/>
          <w:lang w:val="en-US" w:eastAsia="zh-CN" w:bidi="ar"/>
        </w:rPr>
        <w:t>第五条  进口设备手续（进口设备方使用该条款）</w:t>
      </w:r>
      <w:bookmarkEnd w:id="172"/>
    </w:p>
    <w:p w14:paraId="214316D4">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乙方提供的进口设备必须具有合法的进口手续，并负责办理设备进口报关等手续。</w:t>
      </w:r>
    </w:p>
    <w:p w14:paraId="23575CE2">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3" w:name="_Toc7546"/>
      <w:r>
        <w:rPr>
          <w:rFonts w:hint="eastAsia" w:ascii="仿宋_GB2312" w:hAnsi="Times New Roman" w:eastAsia="仿宋_GB2312" w:cs="仿宋_GB2312"/>
          <w:b/>
          <w:bCs w:val="0"/>
          <w:kern w:val="2"/>
          <w:sz w:val="28"/>
          <w:szCs w:val="28"/>
          <w:lang w:val="en-US" w:eastAsia="zh-CN" w:bidi="ar"/>
        </w:rPr>
        <w:t>第六条  包装</w:t>
      </w:r>
      <w:bookmarkEnd w:id="173"/>
    </w:p>
    <w:p w14:paraId="3598D30B">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乙方提供设备运输至本合同指定的交货地点所需要的包装，包装费用由乙方承担，包装物不返还，归甲方所有。设备的包装均应有良好的防湿、防锈、防潮、防雨、防腐及防碰撞的措施，符合产品标准关于包装的要求。凡由于包装问题造成的损失和由此产生的费用均由乙方承担。</w:t>
      </w:r>
    </w:p>
    <w:p w14:paraId="02E7C3D4">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Cs/>
          <w:kern w:val="2"/>
          <w:sz w:val="28"/>
          <w:szCs w:val="28"/>
        </w:rPr>
      </w:pPr>
      <w:bookmarkStart w:id="174" w:name="_Toc10140"/>
      <w:r>
        <w:rPr>
          <w:rFonts w:hint="eastAsia" w:ascii="仿宋_GB2312" w:hAnsi="Times New Roman" w:eastAsia="仿宋_GB2312" w:cs="仿宋_GB2312"/>
          <w:b/>
          <w:bCs w:val="0"/>
          <w:kern w:val="2"/>
          <w:sz w:val="28"/>
          <w:szCs w:val="28"/>
          <w:lang w:val="en-US" w:eastAsia="zh-CN" w:bidi="ar"/>
        </w:rPr>
        <w:t>第七条  交付</w:t>
      </w:r>
      <w:bookmarkEnd w:id="174"/>
    </w:p>
    <w:p w14:paraId="24E40373">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1.交货时间：合同签订并接甲方</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通知后</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日内。</w:t>
      </w:r>
    </w:p>
    <w:p w14:paraId="503DD4D3">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2.交货地点：运输及卸车搬至甲方指定地点。运输费用及风险由乙方承担。在乙方将设备送至该交货地点前，甲方有权单方变更该交货地点，但应提前</w:t>
      </w:r>
      <w:r>
        <w:rPr>
          <w:rFonts w:hint="eastAsia" w:ascii="仿宋_GB2312" w:hAnsi="Times New Roman" w:eastAsia="仿宋_GB2312" w:cs="仿宋_GB2312"/>
          <w:bCs/>
          <w:kern w:val="2"/>
          <w:sz w:val="28"/>
          <w:szCs w:val="28"/>
          <w:u w:val="single"/>
          <w:lang w:val="en-US" w:eastAsia="zh-CN" w:bidi="ar"/>
        </w:rPr>
        <w:t xml:space="preserve"> 1 </w:t>
      </w:r>
      <w:r>
        <w:rPr>
          <w:rFonts w:hint="eastAsia" w:ascii="仿宋_GB2312" w:hAnsi="Times New Roman" w:eastAsia="仿宋_GB2312" w:cs="仿宋_GB2312"/>
          <w:bCs/>
          <w:kern w:val="2"/>
          <w:sz w:val="28"/>
          <w:szCs w:val="28"/>
          <w:lang w:val="en-US" w:eastAsia="zh-CN" w:bidi="ar"/>
        </w:rPr>
        <w:t>日通知乙方，乙方应无条件服从，因此产生的费用由乙方承担。</w:t>
      </w:r>
    </w:p>
    <w:p w14:paraId="1D62D960">
      <w:pPr>
        <w:pStyle w:val="16"/>
        <w:keepNext w:val="0"/>
        <w:keepLines w:val="0"/>
        <w:widowControl w:val="0"/>
        <w:suppressLineNumbers w:val="0"/>
        <w:adjustRightInd w:val="0"/>
        <w:snapToGrid w:val="0"/>
        <w:spacing w:before="0" w:beforeAutospacing="0" w:after="0" w:afterAutospacing="0" w:line="560" w:lineRule="exact"/>
        <w:ind w:left="0" w:right="0" w:firstLine="560" w:firstLineChars="200"/>
        <w:jc w:val="left"/>
        <w:rPr>
          <w:rFonts w:hint="eastAsia" w:ascii="仿宋_GB2312" w:eastAsia="仿宋_GB2312" w:cs="仿宋_GB2312"/>
          <w:bCs/>
          <w:kern w:val="2"/>
          <w:sz w:val="28"/>
          <w:szCs w:val="28"/>
        </w:rPr>
      </w:pPr>
      <w:r>
        <w:rPr>
          <w:rFonts w:hint="eastAsia" w:ascii="仿宋_GB2312" w:hAnsi="Calibri" w:eastAsia="仿宋_GB2312" w:cs="仿宋_GB2312"/>
          <w:bCs/>
          <w:kern w:val="2"/>
          <w:sz w:val="28"/>
          <w:szCs w:val="28"/>
          <w:lang w:val="en-US" w:eastAsia="zh-CN" w:bidi="ar"/>
        </w:rPr>
        <w:t>3.乙方应随设备向甲方交付设备中文版《使用说明书》等与本合同设备使用有关的所有资料。如为进口设备，乙方还应提供进口设备原产地证、检测报告、检验检疫证明、进口报关手续等资料。</w:t>
      </w:r>
    </w:p>
    <w:p w14:paraId="2780DE8F">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5" w:name="_Toc1684"/>
      <w:r>
        <w:rPr>
          <w:rFonts w:hint="eastAsia" w:ascii="仿宋_GB2312" w:hAnsi="Times New Roman" w:eastAsia="仿宋_GB2312" w:cs="仿宋_GB2312"/>
          <w:b/>
          <w:bCs w:val="0"/>
          <w:kern w:val="2"/>
          <w:sz w:val="28"/>
          <w:szCs w:val="28"/>
          <w:lang w:val="en-US" w:eastAsia="zh-CN" w:bidi="ar"/>
        </w:rPr>
        <w:t>第八条  安装调试</w:t>
      </w:r>
      <w:bookmarkEnd w:id="175"/>
    </w:p>
    <w:p w14:paraId="341EA768">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color w:val="000000" w:themeColor="text1"/>
          <w:kern w:val="2"/>
          <w:sz w:val="28"/>
          <w:szCs w:val="28"/>
          <w14:textFill>
            <w14:solidFill>
              <w14:schemeClr w14:val="tx1"/>
            </w14:solidFill>
          </w14:textFill>
        </w:rPr>
      </w:pPr>
      <w:r>
        <w:rPr>
          <w:rFonts w:hint="eastAsia" w:ascii="仿宋_GB2312" w:hAnsi="Times New Roman" w:eastAsia="仿宋_GB2312" w:cs="仿宋_GB2312"/>
          <w:bCs/>
          <w:kern w:val="2"/>
          <w:sz w:val="28"/>
          <w:szCs w:val="28"/>
          <w:lang w:val="en-US" w:eastAsia="zh-CN" w:bidi="ar"/>
        </w:rPr>
        <w:t>1.安装调试时间</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：自交货</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日内完成。</w:t>
      </w:r>
    </w:p>
    <w:p w14:paraId="5F47CA3C">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2.乙方负责合同项下设备的安装、调</w:t>
      </w:r>
      <w:r>
        <w:rPr>
          <w:rFonts w:hint="eastAsia" w:ascii="仿宋_GB2312" w:hAnsi="Times New Roman" w:eastAsia="仿宋_GB2312" w:cs="仿宋_GB2312"/>
          <w:bCs/>
          <w:kern w:val="2"/>
          <w:sz w:val="28"/>
          <w:szCs w:val="28"/>
          <w:lang w:val="en-US" w:eastAsia="zh-CN" w:bidi="ar"/>
        </w:rPr>
        <w:t>试，一切费用及责任由乙方承担。</w:t>
      </w:r>
    </w:p>
    <w:p w14:paraId="0950F281">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设备安装需施工的，乙方应在合同签订前提供设备安装施工图纸，甲方与乙方共同签字确定安装场地施工方案，确保安装场地（包括消防、环保等）适合设备安装，如因乙方延迟提供材料或未及时签字确认方案等致设备无法如期安装所造成的损失由乙方承担。安装前乙方通知甲方使用科室、设备科三方共同到场开箱，并填写开箱记录。乙方应提供与设备相符且完整的资料，提供包括但不限于如下资料：①产品安装、操作和维修手册②中文版使用说明书③出厂合格证（进口产品提供进口报关单及检疫证明）④到货清单。</w:t>
      </w:r>
    </w:p>
    <w:p w14:paraId="4A932002">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乙方安装时须对安装场地及场地内的其他设备、设施有良好保护措施。如因乙方原因造成甲方场地或场地内其他设备、设施损坏，由乙方承担赔偿责任。如安装地点不适合应当书面通知甲方调换合适的地点，设备运送、安装调试以及计量检测所产生的费用由乙方负责。</w:t>
      </w:r>
    </w:p>
    <w:p w14:paraId="21A3797A">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default" w:ascii="Times New Roman" w:hAnsi="Times New Roman" w:eastAsia="宋体" w:cs="Times New Roman"/>
          <w:kern w:val="2"/>
          <w:sz w:val="21"/>
          <w:szCs w:val="21"/>
        </w:rPr>
      </w:pPr>
      <w:r>
        <w:rPr>
          <w:rFonts w:hint="eastAsia" w:ascii="仿宋_GB2312" w:hAnsi="Times New Roman" w:eastAsia="仿宋_GB2312" w:cs="仿宋_GB2312"/>
          <w:bCs/>
          <w:kern w:val="2"/>
          <w:sz w:val="28"/>
          <w:szCs w:val="28"/>
          <w:lang w:val="en-US" w:eastAsia="zh-CN" w:bidi="ar"/>
        </w:rPr>
        <w:t>5.如乙方人员（包括受乙方委托提供送货、安装、调试等服务的人员）应提供安全、专业的服务，如在送货、安装、调试过程中造成乙方及乙方服务人员自身、甲方及甲方人员或者任何第三方的人身或财产损害，应由乙方自行承担责任；</w:t>
      </w:r>
    </w:p>
    <w:p w14:paraId="66E68496">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6" w:name="_Toc25027"/>
      <w:r>
        <w:rPr>
          <w:rFonts w:hint="eastAsia" w:ascii="仿宋_GB2312" w:hAnsi="Times New Roman" w:eastAsia="仿宋_GB2312" w:cs="仿宋_GB2312"/>
          <w:b/>
          <w:bCs w:val="0"/>
          <w:kern w:val="2"/>
          <w:sz w:val="28"/>
          <w:szCs w:val="28"/>
          <w:lang w:val="en-US" w:eastAsia="zh-CN" w:bidi="ar"/>
        </w:rPr>
        <w:t>第九条  验收</w:t>
      </w:r>
      <w:bookmarkEnd w:id="176"/>
    </w:p>
    <w:p w14:paraId="5A4AD280">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1.验收时间：设备安装调试完毕，并正常运行后</w:t>
      </w:r>
      <w:r>
        <w:rPr>
          <w:rFonts w:hint="eastAsia" w:ascii="仿宋_GB2312" w:hAnsi="Times New Roman" w:eastAsia="仿宋_GB2312" w:cs="仿宋_GB2312"/>
          <w:bCs/>
          <w:color w:val="FF0000"/>
          <w:kern w:val="2"/>
          <w:sz w:val="28"/>
          <w:szCs w:val="28"/>
          <w:u w:val="single"/>
          <w:lang w:val="en-US" w:eastAsia="zh-CN" w:bidi="ar"/>
        </w:rPr>
        <w:t xml:space="preserve">  </w:t>
      </w:r>
      <w:r>
        <w:rPr>
          <w:rFonts w:hint="eastAsia" w:ascii="仿宋_GB2312" w:hAnsi="Times New Roman" w:eastAsia="仿宋_GB2312" w:cs="仿宋_GB2312"/>
          <w:bCs/>
          <w:kern w:val="2"/>
          <w:sz w:val="28"/>
          <w:szCs w:val="28"/>
          <w:lang w:val="en-US" w:eastAsia="zh-CN" w:bidi="ar"/>
        </w:rPr>
        <w:t>日内。</w:t>
      </w:r>
    </w:p>
    <w:p w14:paraId="666954D5">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验收日期前乙方必须完成合同约定的各项培训，包括对甲方相关人员进行设备使用培训及日常保养培训并提供培训记录。现场验收时乙方提供必要的技术支持并协助甲方完成各项指标和功能的测试，否则因验收延误产生的后果由乙方负责。</w:t>
      </w:r>
    </w:p>
    <w:p w14:paraId="5628763E">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3.合同设备安装调试完毕后，乙方应及时书面提请验收。甲乙双方共同对</w:t>
      </w:r>
      <w:r>
        <w:rPr>
          <w:rFonts w:hint="eastAsia" w:ascii="仿宋_GB2312" w:hAnsi="Times New Roman" w:eastAsia="仿宋_GB2312" w:cs="仿宋_GB2312"/>
          <w:kern w:val="2"/>
          <w:sz w:val="28"/>
          <w:szCs w:val="28"/>
          <w:lang w:val="en-US" w:eastAsia="zh-CN" w:bidi="ar"/>
        </w:rPr>
        <w:t>设备</w:t>
      </w:r>
      <w:r>
        <w:rPr>
          <w:rFonts w:hint="eastAsia" w:ascii="仿宋_GB2312" w:hAnsi="Times New Roman" w:eastAsia="仿宋_GB2312" w:cs="仿宋_GB2312"/>
          <w:bCs/>
          <w:kern w:val="2"/>
          <w:sz w:val="28"/>
          <w:szCs w:val="28"/>
          <w:lang w:val="en-US" w:eastAsia="zh-CN" w:bidi="ar"/>
        </w:rPr>
        <w:t>的包装、外观、数量、商标、型号、规格、质量以及设备随附单证、资料等进行验收。经双方验收后，由双方共同签署验收报告。乙方提供的设备及其随附物件的风险在经验收合格后转移至甲方。因乙方未及时书面提请验收造成付款延误的，由乙方自行承担责任。</w:t>
      </w:r>
    </w:p>
    <w:p w14:paraId="6085CCA0">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验收按本合同要求及国家有关的规定、规范进行。验收时如发现所交付的设备有短装、次品、损坏或其它不符合本合同规定之情形者，甲方可作现场记录，或由甲乙双方签署备忘录。此现场记录或备忘录可用作换货、补充缺失、更换损坏部件和追责的有效证据。由此产生的有关费用由乙方承担。乙方提供的各种文件载明的内容必须真实，甲方对产品的技术数据置疑时，有权要求乙方按照双方认可的第三方检测机构出具的检验方法进行检测（检测费用由乙方承担），检测结果必须证明乙方提供的技术数据是真实的，否则视为不合格。</w:t>
      </w:r>
    </w:p>
    <w:p w14:paraId="738C1179">
      <w:pPr>
        <w:keepNext w:val="0"/>
        <w:keepLines w:val="0"/>
        <w:widowControl w:val="0"/>
        <w:suppressLineNumbers w:val="0"/>
        <w:tabs>
          <w:tab w:val="left" w:pos="780"/>
        </w:tabs>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5.验收发现设备短装、损坏或质量不符合本合同之规定，不论何种原因导致，在甲方提出换货要求的情况下，乙方应及时安排换货，以保证合同设备如期安装、通过验收。换货的相关费用和相应后果由乙方承担，验收时间不予顺延。</w:t>
      </w:r>
    </w:p>
    <w:p w14:paraId="581AEB88">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7" w:name="_Toc22375"/>
      <w:r>
        <w:rPr>
          <w:rFonts w:hint="eastAsia" w:ascii="仿宋_GB2312" w:hAnsi="Times New Roman" w:eastAsia="仿宋_GB2312" w:cs="仿宋_GB2312"/>
          <w:b/>
          <w:bCs w:val="0"/>
          <w:kern w:val="2"/>
          <w:sz w:val="28"/>
          <w:szCs w:val="28"/>
          <w:lang w:val="en-US" w:eastAsia="zh-CN" w:bidi="ar"/>
        </w:rPr>
        <w:t>第十条 权利保证</w:t>
      </w:r>
      <w:bookmarkEnd w:id="177"/>
    </w:p>
    <w:p w14:paraId="6DEBE08B">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bCs/>
          <w:kern w:val="2"/>
          <w:sz w:val="28"/>
          <w:szCs w:val="28"/>
          <w:lang w:val="en-US" w:eastAsia="zh-CN" w:bidi="ar"/>
        </w:rPr>
        <w:t>1.</w:t>
      </w:r>
      <w:r>
        <w:rPr>
          <w:rFonts w:hint="eastAsia" w:ascii="仿宋_GB2312" w:hAnsi="Times New Roman" w:eastAsia="仿宋_GB2312" w:cs="仿宋_GB2312"/>
          <w:kern w:val="2"/>
          <w:sz w:val="28"/>
          <w:szCs w:val="28"/>
          <w:lang w:val="en-US" w:eastAsia="zh-CN" w:bidi="ar"/>
        </w:rPr>
        <w:t>乙方保证所提供的设备通过合法、正规渠道供货，在交付甲方时具有完全的所有权或有处分权，甲方在使用本合同项下标的物或标的物的任何一部分时，不会产生因第三方提出的包括但不限于侵犯其专利权、商标权、工业设计权等知识产权和侵犯其所有权、抵押权等物权及其他权利而引发的纠纷。如有纠纷，乙方应承担全部责任，并赔偿因此给甲方所造成的损失，损失包括但不限于第三方权利人索赔、因与第三方权利人侵权等纠纷导致甲方不能正常使用设备造成的全部损失、律师费、诉讼费、取证费、差旅费、保全费、担保费、鉴证费、公证费、执行费以及间接损失等。</w:t>
      </w:r>
    </w:p>
    <w:p w14:paraId="0E5F35F1">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2.乙方保证所提供的设备符合征集文件以及合同约定的所有质量和技术、配置等要求，并不存在危及人身财产安全的缺陷，对于因产品在正常使用过程中发生的因产品质量缺陷等造成甲方或者任何第三方的人身损害或者财产损失，乙方应当承担赔偿责任及由此给甲方造成的全部损失，包括但不限于第三方权利人的索赔，因纠纷导致甲方不能正常使用设备的损失及因纠纷造成的其他损失（如被保全等）、甲方为解决纠纷支出的律师费、诉讼费、保全费、担保费、差旅费、鉴证费、公证费、执行费等全部费用以及全部间接损失。</w:t>
      </w:r>
    </w:p>
    <w:p w14:paraId="74A55061">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3.如有关法院、仲裁机构或行政机关禁止甲方继续使用本合同项目下设备的部分或全部，乙方应酌情采取以下措施之一：</w:t>
      </w:r>
    </w:p>
    <w:p w14:paraId="68CEDF55">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 xml:space="preserve">（1）使甲方重新免费获得使用上述设备的权利； </w:t>
      </w:r>
    </w:p>
    <w:p w14:paraId="1CBDBA28">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（2）免费更换或改造上述设备，使甲方不受上述禁令限制继续使用该设备。</w:t>
      </w:r>
    </w:p>
    <w:p w14:paraId="748CF3DF">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乙方采取上述措施不能免除乙方就甲方因此遭受的损失进行赔偿的义务。</w:t>
      </w:r>
    </w:p>
    <w:p w14:paraId="034A79A9">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8" w:name="_Toc21144"/>
      <w:r>
        <w:rPr>
          <w:rFonts w:hint="eastAsia" w:ascii="仿宋_GB2312" w:hAnsi="Times New Roman" w:eastAsia="仿宋_GB2312" w:cs="仿宋_GB2312"/>
          <w:b/>
          <w:bCs w:val="0"/>
          <w:kern w:val="2"/>
          <w:sz w:val="28"/>
          <w:szCs w:val="28"/>
          <w:lang w:val="en-US" w:eastAsia="zh-CN" w:bidi="ar"/>
        </w:rPr>
        <w:t>第十一条  违约责任</w:t>
      </w:r>
      <w:bookmarkEnd w:id="178"/>
    </w:p>
    <w:p w14:paraId="2DAF2192">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1.甲方无正当理由拒收设备、拒付设备款的，甲方向乙方偿付其所拒收设备总值的</w:t>
      </w:r>
      <w:r>
        <w:rPr>
          <w:rFonts w:hint="eastAsia" w:ascii="仿宋_GB2312" w:hAnsi="Times New Roman" w:eastAsia="仿宋_GB2312" w:cs="仿宋_GB2312"/>
          <w:kern w:val="2"/>
          <w:sz w:val="28"/>
          <w:szCs w:val="28"/>
          <w:u w:val="single"/>
          <w:lang w:val="en-US" w:eastAsia="zh-CN" w:bidi="ar"/>
        </w:rPr>
        <w:t xml:space="preserve"> 10 </w:t>
      </w:r>
      <w:r>
        <w:rPr>
          <w:rFonts w:hint="eastAsia" w:ascii="仿宋_GB2312" w:hAnsi="Times New Roman" w:eastAsia="仿宋_GB2312" w:cs="仿宋_GB2312"/>
          <w:kern w:val="2"/>
          <w:sz w:val="28"/>
          <w:szCs w:val="28"/>
          <w:lang w:val="en-US" w:eastAsia="zh-CN" w:bidi="ar"/>
        </w:rPr>
        <w:t>％</w:t>
      </w:r>
      <w:r>
        <w:rPr>
          <w:rFonts w:hint="eastAsia" w:ascii="仿宋_GB2312" w:hAnsi="Times New Roman" w:eastAsia="仿宋_GB2312" w:cs="仿宋_GB2312"/>
          <w:bCs/>
          <w:kern w:val="2"/>
          <w:sz w:val="28"/>
          <w:szCs w:val="28"/>
          <w:lang w:val="en-US" w:eastAsia="zh-CN" w:bidi="ar"/>
        </w:rPr>
        <w:t>的违约金。</w:t>
      </w:r>
    </w:p>
    <w:p w14:paraId="73CAB818">
      <w:pPr>
        <w:pStyle w:val="47"/>
        <w:widowControl/>
        <w:adjustRightInd w:val="0"/>
        <w:snapToGrid w:val="0"/>
        <w:spacing w:line="560" w:lineRule="exact"/>
        <w:ind w:left="0" w:firstLine="602"/>
        <w:jc w:val="left"/>
        <w:rPr>
          <w:rFonts w:hint="default" w:ascii="Calibri" w:hAnsi="Calibri" w:eastAsia="宋体" w:cs="Times New Roman"/>
          <w:kern w:val="2"/>
          <w:sz w:val="24"/>
          <w:szCs w:val="24"/>
        </w:rPr>
      </w:pPr>
      <w:r>
        <w:rPr>
          <w:rFonts w:hint="eastAsia" w:ascii="仿宋_GB2312" w:eastAsia="仿宋_GB2312" w:cs="仿宋_GB2312"/>
          <w:bCs/>
          <w:kern w:val="2"/>
          <w:sz w:val="28"/>
          <w:szCs w:val="28"/>
        </w:rPr>
        <w:t>2.甲方逾期付设备款的，甲方向乙方每日偿付欠款总额</w:t>
      </w:r>
      <w:r>
        <w:rPr>
          <w:rFonts w:hint="eastAsia" w:ascii="仿宋_GB2312" w:eastAsia="仿宋_GB2312" w:cs="仿宋_GB2312"/>
          <w:kern w:val="2"/>
          <w:sz w:val="28"/>
          <w:szCs w:val="28"/>
          <w:u w:val="single"/>
        </w:rPr>
        <w:t xml:space="preserve">  1  </w:t>
      </w:r>
      <w:r>
        <w:rPr>
          <w:rFonts w:hint="eastAsia" w:ascii="仿宋_GB2312" w:eastAsia="仿宋_GB2312" w:cs="仿宋_GB2312"/>
          <w:kern w:val="2"/>
          <w:sz w:val="28"/>
          <w:szCs w:val="28"/>
        </w:rPr>
        <w:t>‰</w:t>
      </w:r>
      <w:r>
        <w:rPr>
          <w:rFonts w:hint="eastAsia" w:ascii="仿宋_GB2312" w:eastAsia="仿宋_GB2312" w:cs="仿宋_GB2312"/>
          <w:bCs/>
          <w:kern w:val="2"/>
          <w:sz w:val="28"/>
          <w:szCs w:val="28"/>
        </w:rPr>
        <w:t>的违约金，违约金总额最高不超过逾期支付设备款项的5%。但因甲方使用的是财政资金，甲方应在约定期限内办理财政支付申请手续（不含政府财政支付部门审核的时间）。因财政支付流程造成的延误，应视为甲方依约履行，甲方不承担任何逾期付款的违约责任。</w:t>
      </w:r>
    </w:p>
    <w:p w14:paraId="443668E0">
      <w:pPr>
        <w:keepNext w:val="0"/>
        <w:keepLines w:val="0"/>
        <w:widowControl w:val="0"/>
        <w:suppressLineNumbers w:val="0"/>
        <w:adjustRightInd w:val="0"/>
        <w:snapToGrid w:val="0"/>
        <w:spacing w:before="0" w:beforeAutospacing="0" w:after="0" w:afterAutospacing="0" w:line="560" w:lineRule="exact"/>
        <w:ind w:left="0" w:right="0" w:firstLine="560" w:firstLineChars="200"/>
        <w:jc w:val="left"/>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3.乙方逾期交付设备的，每逾期1日，乙方向甲方偿付</w:t>
      </w:r>
      <w:r>
        <w:rPr>
          <w:rFonts w:hint="eastAsia" w:ascii="仿宋_GB2312" w:hAnsi="Times New Roman" w:eastAsia="仿宋_GB2312" w:cs="仿宋_GB2312"/>
          <w:bCs/>
          <w:kern w:val="2"/>
          <w:sz w:val="28"/>
          <w:szCs w:val="28"/>
          <w:lang w:val="en-US" w:eastAsia="zh-CN" w:bidi="ar"/>
        </w:rPr>
        <w:t>本合同总价款</w:t>
      </w:r>
      <w:r>
        <w:rPr>
          <w:rFonts w:hint="eastAsia" w:ascii="仿宋_GB2312" w:hAnsi="Times New Roman" w:eastAsia="仿宋_GB2312" w:cs="仿宋_GB2312"/>
          <w:kern w:val="2"/>
          <w:sz w:val="28"/>
          <w:szCs w:val="28"/>
          <w:u w:val="single"/>
          <w:lang w:val="en-US" w:eastAsia="zh-CN" w:bidi="ar"/>
        </w:rPr>
        <w:t xml:space="preserve">  5  </w:t>
      </w:r>
      <w:r>
        <w:rPr>
          <w:rFonts w:hint="eastAsia" w:ascii="仿宋_GB2312" w:hAnsi="Times New Roman" w:eastAsia="仿宋_GB2312" w:cs="仿宋_GB2312"/>
          <w:kern w:val="2"/>
          <w:sz w:val="28"/>
          <w:szCs w:val="28"/>
          <w:lang w:val="en-US" w:eastAsia="zh-CN" w:bidi="ar"/>
        </w:rPr>
        <w:t>‰</w:t>
      </w:r>
      <w:r>
        <w:rPr>
          <w:rFonts w:hint="eastAsia" w:ascii="仿宋_GB2312" w:hAnsi="Times New Roman" w:eastAsia="仿宋_GB2312" w:cs="仿宋_GB2312"/>
          <w:bCs/>
          <w:kern w:val="2"/>
          <w:sz w:val="28"/>
          <w:szCs w:val="28"/>
          <w:lang w:val="en-US" w:eastAsia="zh-CN" w:bidi="ar"/>
        </w:rPr>
        <w:t>的违约金</w:t>
      </w:r>
      <w:r>
        <w:rPr>
          <w:rFonts w:hint="eastAsia" w:ascii="仿宋_GB2312" w:hAnsi="Times New Roman" w:eastAsia="仿宋_GB2312" w:cs="仿宋_GB2312"/>
          <w:kern w:val="2"/>
          <w:sz w:val="28"/>
          <w:szCs w:val="28"/>
          <w:lang w:val="en-US" w:eastAsia="zh-CN" w:bidi="ar"/>
        </w:rPr>
        <w:t>。如乙方逾期交货达</w:t>
      </w:r>
      <w:r>
        <w:rPr>
          <w:rFonts w:hint="eastAsia" w:ascii="仿宋_GB2312" w:hAnsi="Times New Roman" w:eastAsia="仿宋_GB2312" w:cs="仿宋_GB2312"/>
          <w:kern w:val="2"/>
          <w:sz w:val="28"/>
          <w:szCs w:val="28"/>
          <w:u w:val="single"/>
          <w:lang w:val="en-US" w:eastAsia="zh-CN" w:bidi="ar"/>
        </w:rPr>
        <w:t xml:space="preserve">  30  </w:t>
      </w:r>
      <w:r>
        <w:rPr>
          <w:rFonts w:hint="eastAsia" w:ascii="仿宋_GB2312" w:hAnsi="Times New Roman" w:eastAsia="仿宋_GB2312" w:cs="仿宋_GB2312"/>
          <w:kern w:val="2"/>
          <w:sz w:val="28"/>
          <w:szCs w:val="28"/>
          <w:lang w:val="en-US" w:eastAsia="zh-CN" w:bidi="ar"/>
        </w:rPr>
        <w:t>日，甲方有权单方解除合同，同时乙方应向甲方</w:t>
      </w:r>
      <w:r>
        <w:rPr>
          <w:rFonts w:hint="eastAsia" w:ascii="仿宋_GB2312" w:hAnsi="Times New Roman" w:eastAsia="仿宋_GB2312" w:cs="仿宋_GB2312"/>
          <w:bCs/>
          <w:kern w:val="2"/>
          <w:sz w:val="28"/>
          <w:szCs w:val="28"/>
          <w:lang w:val="en-US" w:eastAsia="zh-CN" w:bidi="ar"/>
        </w:rPr>
        <w:t>支付合同总价款</w:t>
      </w:r>
      <w:r>
        <w:rPr>
          <w:rFonts w:hint="eastAsia" w:ascii="仿宋_GB2312" w:hAnsi="Times New Roman" w:eastAsia="仿宋_GB2312" w:cs="仿宋_GB2312"/>
          <w:kern w:val="2"/>
          <w:sz w:val="28"/>
          <w:szCs w:val="28"/>
          <w:u w:val="single"/>
          <w:lang w:val="en-US" w:eastAsia="zh-CN" w:bidi="ar"/>
        </w:rPr>
        <w:t xml:space="preserve">  30  </w:t>
      </w:r>
      <w:r>
        <w:rPr>
          <w:rFonts w:hint="eastAsia" w:ascii="仿宋_GB2312" w:hAnsi="Times New Roman" w:eastAsia="仿宋_GB2312" w:cs="仿宋_GB2312"/>
          <w:kern w:val="2"/>
          <w:sz w:val="28"/>
          <w:szCs w:val="28"/>
          <w:lang w:val="en-US" w:eastAsia="zh-CN" w:bidi="ar"/>
        </w:rPr>
        <w:t>％</w:t>
      </w:r>
      <w:r>
        <w:rPr>
          <w:rFonts w:hint="eastAsia" w:ascii="仿宋_GB2312" w:hAnsi="Times New Roman" w:eastAsia="仿宋_GB2312" w:cs="仿宋_GB2312"/>
          <w:bCs/>
          <w:kern w:val="2"/>
          <w:sz w:val="28"/>
          <w:szCs w:val="28"/>
          <w:lang w:val="en-US" w:eastAsia="zh-CN" w:bidi="ar"/>
        </w:rPr>
        <w:t>的违约金。</w:t>
      </w:r>
    </w:p>
    <w:p w14:paraId="25819B11">
      <w:pPr>
        <w:keepNext w:val="0"/>
        <w:keepLines w:val="0"/>
        <w:widowControl w:val="0"/>
        <w:suppressLineNumbers w:val="0"/>
        <w:adjustRightInd w:val="0"/>
        <w:snapToGrid w:val="0"/>
        <w:spacing w:before="0" w:beforeAutospacing="0" w:after="0" w:afterAutospacing="0" w:line="560" w:lineRule="exact"/>
        <w:ind w:left="0" w:right="0" w:firstLine="560"/>
        <w:jc w:val="left"/>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4.乙方所交付的设备品种、型号、规格、质量标准等不符合合同约定的，甲方有权要求乙方进行退换货处理;设备已安装的，乙方须按照甲方要求的时间、方式拆除处置乙方设备，由此产生一切费用（含恢复原状费用）由乙方承担。乙方在甲方要求时间内不予处置的，甲方有权自行处置，乙方应向甲方支付货款总额</w:t>
      </w:r>
      <w:r>
        <w:rPr>
          <w:rFonts w:hint="eastAsia" w:ascii="仿宋_GB2312" w:hAnsi="Times New Roman" w:eastAsia="仿宋_GB2312" w:cs="仿宋_GB2312"/>
          <w:kern w:val="2"/>
          <w:sz w:val="28"/>
          <w:szCs w:val="28"/>
          <w:u w:val="single"/>
          <w:lang w:val="en-US" w:eastAsia="zh-CN" w:bidi="ar"/>
        </w:rPr>
        <w:t xml:space="preserve"> 30 </w:t>
      </w:r>
      <w:r>
        <w:rPr>
          <w:rFonts w:hint="eastAsia" w:ascii="仿宋_GB2312" w:hAnsi="Times New Roman" w:eastAsia="仿宋_GB2312" w:cs="仿宋_GB2312"/>
          <w:kern w:val="2"/>
          <w:sz w:val="28"/>
          <w:szCs w:val="28"/>
          <w:lang w:val="en-US" w:eastAsia="zh-CN" w:bidi="ar"/>
        </w:rPr>
        <w:t>％的违约金。乙方因退换货造成逾期交货的，按本条第3点的约定执行。</w:t>
      </w:r>
    </w:p>
    <w:p w14:paraId="6F6DC6D4">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5.在乙方承诺的或国家规定的质量保证期内（取两者中最长的期限），如经乙方两次维修或更换，设备仍不能达到合同约定的质量标准，甲方有权单方解除合同，乙方应退回全部货款并赔偿甲方因此遭受的损失，同时乙方应向甲方支付合同总价</w:t>
      </w:r>
      <w:r>
        <w:rPr>
          <w:rFonts w:hint="eastAsia" w:ascii="仿宋_GB2312" w:hAnsi="Times New Roman" w:eastAsia="仿宋_GB2312" w:cs="仿宋_GB2312"/>
          <w:kern w:val="2"/>
          <w:sz w:val="28"/>
          <w:szCs w:val="28"/>
          <w:u w:val="single"/>
          <w:lang w:val="en-US" w:eastAsia="zh-CN" w:bidi="ar"/>
        </w:rPr>
        <w:t xml:space="preserve"> 30 </w:t>
      </w:r>
      <w:r>
        <w:rPr>
          <w:rFonts w:hint="eastAsia" w:ascii="仿宋_GB2312" w:hAnsi="Times New Roman" w:eastAsia="仿宋_GB2312" w:cs="仿宋_GB2312"/>
          <w:kern w:val="2"/>
          <w:sz w:val="28"/>
          <w:szCs w:val="28"/>
          <w:lang w:val="en-US" w:eastAsia="zh-CN" w:bidi="ar"/>
        </w:rPr>
        <w:t>％的违约金。</w:t>
      </w:r>
    </w:p>
    <w:p w14:paraId="346B6D96">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6.乙方未履行本合同项下的其他义务或违反征集文件的要求或其在投标文件中的相关承诺的，乙方须在</w:t>
      </w:r>
      <w:r>
        <w:rPr>
          <w:rFonts w:hint="eastAsia" w:ascii="仿宋_GB2312" w:hAnsi="Times New Roman" w:eastAsia="仿宋_GB2312" w:cs="仿宋_GB2312"/>
          <w:kern w:val="2"/>
          <w:sz w:val="28"/>
          <w:szCs w:val="28"/>
          <w:u w:val="single"/>
          <w:lang w:val="en-US" w:eastAsia="zh-CN" w:bidi="ar"/>
        </w:rPr>
        <w:t>10日</w:t>
      </w:r>
      <w:r>
        <w:rPr>
          <w:rFonts w:hint="eastAsia" w:ascii="仿宋_GB2312" w:hAnsi="Times New Roman" w:eastAsia="仿宋_GB2312" w:cs="仿宋_GB2312"/>
          <w:kern w:val="2"/>
          <w:sz w:val="28"/>
          <w:szCs w:val="28"/>
          <w:lang w:val="en-US" w:eastAsia="zh-CN" w:bidi="ar"/>
        </w:rPr>
        <w:t>内改正，未能在</w:t>
      </w:r>
      <w:r>
        <w:rPr>
          <w:rFonts w:hint="eastAsia" w:ascii="仿宋_GB2312" w:hAnsi="Times New Roman" w:eastAsia="仿宋_GB2312" w:cs="仿宋_GB2312"/>
          <w:kern w:val="2"/>
          <w:sz w:val="28"/>
          <w:szCs w:val="28"/>
          <w:u w:val="single"/>
          <w:lang w:val="en-US" w:eastAsia="zh-CN" w:bidi="ar"/>
        </w:rPr>
        <w:t>10日</w:t>
      </w:r>
      <w:r>
        <w:rPr>
          <w:rFonts w:hint="eastAsia" w:ascii="仿宋_GB2312" w:hAnsi="Times New Roman" w:eastAsia="仿宋_GB2312" w:cs="仿宋_GB2312"/>
          <w:kern w:val="2"/>
          <w:sz w:val="28"/>
          <w:szCs w:val="28"/>
          <w:lang w:val="en-US" w:eastAsia="zh-CN" w:bidi="ar"/>
        </w:rPr>
        <w:t>内改正且无正当理由的，甲方有权单方解除合同，乙方应退回全部货款，同时乙方应向甲方支付合同总价</w:t>
      </w:r>
      <w:r>
        <w:rPr>
          <w:rFonts w:hint="eastAsia" w:ascii="仿宋_GB2312" w:hAnsi="Times New Roman" w:eastAsia="仿宋_GB2312" w:cs="仿宋_GB2312"/>
          <w:kern w:val="2"/>
          <w:sz w:val="28"/>
          <w:szCs w:val="28"/>
          <w:u w:val="single"/>
          <w:lang w:val="en-US" w:eastAsia="zh-CN" w:bidi="ar"/>
        </w:rPr>
        <w:t xml:space="preserve"> 30 </w:t>
      </w:r>
      <w:r>
        <w:rPr>
          <w:rFonts w:hint="eastAsia" w:ascii="仿宋_GB2312" w:hAnsi="Times New Roman" w:eastAsia="仿宋_GB2312" w:cs="仿宋_GB2312"/>
          <w:kern w:val="2"/>
          <w:sz w:val="28"/>
          <w:szCs w:val="28"/>
          <w:lang w:val="en-US" w:eastAsia="zh-CN" w:bidi="ar"/>
        </w:rPr>
        <w:t>％的违约金。</w:t>
      </w:r>
    </w:p>
    <w:p w14:paraId="3B50EAB8">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7.乙方在承担上述一项或多项违约责任后，仍应继续履行合同规定的义务（甲方解除合同的除外）。甲方未能及时追究乙方的任何一项违约责任并不表明甲方放弃追究乙方该项或其他违约责任。</w:t>
      </w:r>
    </w:p>
    <w:p w14:paraId="7DCC9C7C">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u w:val="single"/>
        </w:rPr>
      </w:pPr>
      <w:r>
        <w:rPr>
          <w:rFonts w:hint="eastAsia" w:ascii="仿宋_GB2312" w:hAnsi="Times New Roman" w:eastAsia="仿宋_GB2312" w:cs="仿宋_GB2312"/>
          <w:kern w:val="2"/>
          <w:sz w:val="28"/>
          <w:szCs w:val="28"/>
          <w:lang w:val="en-US" w:eastAsia="zh-CN" w:bidi="ar"/>
        </w:rPr>
        <w:t>8.合同双方认为应补充的内容（不违反招投标文件及相关法律法规）：</w:t>
      </w:r>
      <w:r>
        <w:rPr>
          <w:rFonts w:hint="eastAsia" w:ascii="仿宋_GB2312" w:hAnsi="Times New Roman" w:eastAsia="仿宋_GB2312" w:cs="仿宋_GB2312"/>
          <w:kern w:val="2"/>
          <w:sz w:val="28"/>
          <w:szCs w:val="28"/>
          <w:u w:val="single"/>
          <w:lang w:val="en-US" w:eastAsia="zh-CN" w:bidi="ar"/>
        </w:rPr>
        <w:t xml:space="preserve">   无   </w:t>
      </w:r>
    </w:p>
    <w:p w14:paraId="6FF5175D">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9" w:name="_Toc14233"/>
      <w:r>
        <w:rPr>
          <w:rFonts w:hint="eastAsia" w:ascii="仿宋_GB2312" w:hAnsi="Times New Roman" w:eastAsia="仿宋_GB2312" w:cs="仿宋_GB2312"/>
          <w:b/>
          <w:bCs w:val="0"/>
          <w:kern w:val="2"/>
          <w:sz w:val="28"/>
          <w:szCs w:val="28"/>
          <w:lang w:val="en-US" w:eastAsia="zh-CN" w:bidi="ar"/>
        </w:rPr>
        <w:t>第十二条  不可抗力</w:t>
      </w:r>
      <w:bookmarkEnd w:id="179"/>
    </w:p>
    <w:p w14:paraId="4E4FA3D7">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本合同约定的不可抗力指甲乙双方任何一方在签订本合同时不可预见的、遭受影响的一方不能克服和不能避免的，并对本合同的履行产生影响的事件。包括但不限于：（1）战争、敌对行动、入侵、外敌行为；（2）叛乱、恐怖主义、暴动；（3）自然灾害，如地震、飓风、台风或火山活动；（4）</w:t>
      </w:r>
      <w:r>
        <w:rPr>
          <w:rFonts w:hint="eastAsia" w:ascii="仿宋_GB2312" w:hAnsi="Times New Roman" w:eastAsia="仿宋_GB2312" w:cs="仿宋_GB2312"/>
          <w:kern w:val="2"/>
          <w:sz w:val="28"/>
          <w:szCs w:val="28"/>
          <w:lang w:val="en-US" w:eastAsia="zh-CN" w:bidi="ar"/>
        </w:rPr>
        <w:t>突发公共卫生事件</w:t>
      </w:r>
      <w:r>
        <w:rPr>
          <w:rFonts w:hint="eastAsia" w:ascii="仿宋_GB2312" w:hAnsi="Times New Roman" w:eastAsia="仿宋_GB2312" w:cs="仿宋_GB2312"/>
          <w:bCs/>
          <w:kern w:val="2"/>
          <w:sz w:val="28"/>
          <w:szCs w:val="28"/>
          <w:lang w:val="en-US" w:eastAsia="zh-CN" w:bidi="ar"/>
        </w:rPr>
        <w:t>等。</w:t>
      </w:r>
    </w:p>
    <w:p w14:paraId="033C406E">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甲乙双方任何一方遭受不可抗力时应尽可能在最短的时间内通知另一方，解释其需要提出发生不可抗力的理由，并在该不可抗力事件发生后十五日内向另一方提供关于此种不可抗力事件及其持续时间的证据。未及时履行通知义务而导致损失扩大的，过错方应当承担赔偿责任。主张不可抗力事件导致其对本合同的履行在客观上成为不可能或不实际的一方，有责任尽一切合理的努力消除或减轻此等不可抗力事件的影响。</w:t>
      </w:r>
    </w:p>
    <w:p w14:paraId="4278B0BF">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3.如果发生不可抗力事件，任何一方不应对另一方因此而未能履行本合同下的全部或部分义务承担责任，该义务履行在不可抗力事件妨碍期间中止。本合同项下的其他不受不可抗力事件影响的义务应继续履行。</w:t>
      </w:r>
    </w:p>
    <w:p w14:paraId="3170BE37">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适用本合同关于合同终止的规定。</w:t>
      </w:r>
    </w:p>
    <w:p w14:paraId="6116D662">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200"/>
        <w:jc w:val="both"/>
        <w:outlineLvl w:val="0"/>
        <w:rPr>
          <w:rFonts w:hint="eastAsia" w:ascii="仿宋_GB2312" w:eastAsia="仿宋_GB2312" w:cs="仿宋_GB2312"/>
          <w:b/>
          <w:bCs w:val="0"/>
          <w:kern w:val="2"/>
          <w:sz w:val="28"/>
          <w:szCs w:val="28"/>
          <w:u w:val="single"/>
        </w:rPr>
      </w:pPr>
      <w:bookmarkStart w:id="180" w:name="_Toc1028"/>
      <w:r>
        <w:rPr>
          <w:rFonts w:hint="eastAsia" w:ascii="仿宋_GB2312" w:hAnsi="Times New Roman" w:eastAsia="仿宋_GB2312" w:cs="仿宋_GB2312"/>
          <w:b/>
          <w:bCs w:val="0"/>
          <w:kern w:val="2"/>
          <w:sz w:val="28"/>
          <w:szCs w:val="28"/>
          <w:lang w:val="en-US" w:eastAsia="zh-CN" w:bidi="ar"/>
        </w:rPr>
        <w:t>第十三条 变更、终止条款</w:t>
      </w:r>
      <w:bookmarkEnd w:id="180"/>
    </w:p>
    <w:p w14:paraId="74735353">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1.除继续履行将损害国家利益和社会公共利益的外，双方不得擅自变更或者终止合同，确有需要的，甲乙双方应根据相关规定完成合同变更程序。</w:t>
      </w:r>
    </w:p>
    <w:p w14:paraId="7A67EE99">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2.如继续履行将损害国家利益和社会公共利益的，主张变更或终止权利一方应在终止事件或情形发生时通知另一方。双方另行签订变更或终止协议。</w:t>
      </w:r>
    </w:p>
    <w:p w14:paraId="62277166">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default" w:ascii="Times New Roman" w:hAnsi="Times New Roman" w:eastAsia="宋体" w:cs="Times New Roman"/>
          <w:kern w:val="2"/>
          <w:sz w:val="21"/>
          <w:szCs w:val="21"/>
        </w:rPr>
      </w:pPr>
      <w:r>
        <w:rPr>
          <w:rFonts w:hint="eastAsia" w:ascii="仿宋_GB2312" w:hAnsi="Times New Roman" w:eastAsia="仿宋_GB2312" w:cs="仿宋_GB2312"/>
          <w:kern w:val="2"/>
          <w:sz w:val="28"/>
          <w:szCs w:val="28"/>
          <w:lang w:val="en-US" w:eastAsia="zh-CN" w:bidi="ar"/>
        </w:rPr>
        <w:t>3.合同履行期间，相关法律、法规、规章、规范性文件和政策发生变化或者颁布新的规定，导致本合同的履行依据发生变化的，双方可以按照修改后或者新的规定执行，并另行签订变更协议。</w:t>
      </w:r>
    </w:p>
    <w:p w14:paraId="694F3FFF">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200"/>
        <w:jc w:val="both"/>
        <w:outlineLvl w:val="0"/>
        <w:rPr>
          <w:rFonts w:hint="eastAsia" w:ascii="仿宋_GB2312" w:eastAsia="仿宋_GB2312" w:cs="仿宋_GB2312"/>
          <w:b/>
          <w:bCs w:val="0"/>
          <w:kern w:val="2"/>
          <w:sz w:val="28"/>
          <w:szCs w:val="28"/>
        </w:rPr>
      </w:pPr>
      <w:bookmarkStart w:id="181" w:name="_Toc28393"/>
      <w:r>
        <w:rPr>
          <w:rFonts w:hint="eastAsia" w:ascii="仿宋_GB2312" w:hAnsi="Times New Roman" w:eastAsia="仿宋_GB2312" w:cs="仿宋_GB2312"/>
          <w:b/>
          <w:bCs w:val="0"/>
          <w:kern w:val="2"/>
          <w:sz w:val="28"/>
          <w:szCs w:val="28"/>
          <w:lang w:val="en-US" w:eastAsia="zh-CN" w:bidi="ar"/>
        </w:rPr>
        <w:t>第十四条  争议解决</w:t>
      </w:r>
      <w:bookmarkEnd w:id="181"/>
    </w:p>
    <w:p w14:paraId="54A40327">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1.因设备的质量问题发生争议，由国家和市政府指定的技术单位进行质量鉴定，该鉴定结论是终局的，甲乙双方应当接受。</w:t>
      </w:r>
    </w:p>
    <w:p w14:paraId="4488280B">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2.因履行本合同引起的或与本合同有关的争议，甲、乙双方应首先通过友好协商解决，如果协商不能解决争议，则向甲方所在地有管辖权的人民法院提起诉讼。</w:t>
      </w:r>
    </w:p>
    <w:p w14:paraId="4DE7BD5A">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3.有关本协议的效力、解释及可执行性的所有问题均应当受中华人民共和国法律管辖并按照其法律进行解释。</w:t>
      </w:r>
    </w:p>
    <w:p w14:paraId="1308FC55">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200"/>
        <w:jc w:val="both"/>
        <w:outlineLvl w:val="0"/>
        <w:rPr>
          <w:rFonts w:hint="eastAsia" w:ascii="仿宋_GB2312" w:eastAsia="仿宋_GB2312" w:cs="仿宋_GB2312"/>
          <w:b/>
          <w:bCs w:val="0"/>
          <w:kern w:val="2"/>
          <w:sz w:val="28"/>
          <w:szCs w:val="28"/>
        </w:rPr>
      </w:pPr>
      <w:bookmarkStart w:id="182" w:name="_Toc13943"/>
      <w:r>
        <w:rPr>
          <w:rFonts w:hint="eastAsia" w:ascii="仿宋_GB2312" w:hAnsi="Times New Roman" w:eastAsia="仿宋_GB2312" w:cs="仿宋_GB2312"/>
          <w:b/>
          <w:bCs w:val="0"/>
          <w:kern w:val="2"/>
          <w:sz w:val="28"/>
          <w:szCs w:val="28"/>
          <w:lang w:val="en-US" w:eastAsia="zh-CN" w:bidi="ar"/>
        </w:rPr>
        <w:t>第十五条  保密责任</w:t>
      </w:r>
      <w:bookmarkEnd w:id="182"/>
    </w:p>
    <w:p w14:paraId="0122AC32">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乙方保证对在讨论、签订、执行本协议过程中所获悉的属于甲方的且无法自公开渠道获得的信息、文件及资料（包括商业秘密、商业计划、运营活动、财务信息、技术信息、经营信息及其他商业秘密）予以保密。未经该信息、资料和文件的原提供方同意，乙方不得向任何第三方泄露该商业秘密的全部或部分内容，更不得不正当使用。但法律、法规另有规定或双方另有约定的除外。乙方同时应保证其雇员、代表履行上述保密义务，乙方雇员、代表等违反上述保密义务视为乙方违反保密义务。</w:t>
      </w:r>
    </w:p>
    <w:p w14:paraId="7847E6C7">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u w:val="single"/>
        </w:rPr>
      </w:pPr>
      <w:r>
        <w:rPr>
          <w:rFonts w:hint="eastAsia" w:ascii="仿宋_GB2312" w:hAnsi="Times New Roman" w:eastAsia="仿宋_GB2312" w:cs="仿宋_GB2312"/>
          <w:bCs/>
          <w:kern w:val="2"/>
          <w:sz w:val="28"/>
          <w:szCs w:val="28"/>
          <w:lang w:val="en-US" w:eastAsia="zh-CN" w:bidi="ar"/>
        </w:rPr>
        <w:t>2.上述保密义务长期有效，不因本协议的终止而失效。乙方违反该条款给甲方造成损失的，应当赔偿甲方的损失。该损失包括但是不限于律师费、诉讼费、取证费、差旅费、保全费、担保费、鉴证费、公证费、执行费以及间接损失等。</w:t>
      </w:r>
    </w:p>
    <w:p w14:paraId="255E804D">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200"/>
        <w:jc w:val="both"/>
        <w:outlineLvl w:val="0"/>
        <w:rPr>
          <w:rFonts w:hint="eastAsia" w:ascii="仿宋_GB2312" w:eastAsia="仿宋_GB2312" w:cs="仿宋_GB2312"/>
          <w:b/>
          <w:bCs w:val="0"/>
          <w:kern w:val="2"/>
          <w:sz w:val="28"/>
          <w:szCs w:val="28"/>
        </w:rPr>
      </w:pPr>
      <w:bookmarkStart w:id="183" w:name="_Toc7432"/>
      <w:r>
        <w:rPr>
          <w:rFonts w:hint="eastAsia" w:ascii="仿宋_GB2312" w:hAnsi="Times New Roman" w:eastAsia="仿宋_GB2312" w:cs="仿宋_GB2312"/>
          <w:b/>
          <w:bCs w:val="0"/>
          <w:kern w:val="2"/>
          <w:sz w:val="28"/>
          <w:szCs w:val="28"/>
          <w:lang w:val="en-US" w:eastAsia="zh-CN" w:bidi="ar"/>
        </w:rPr>
        <w:t>第十六条  通信送达</w:t>
      </w:r>
      <w:bookmarkEnd w:id="183"/>
    </w:p>
    <w:p w14:paraId="624E5387">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1.乙方履行本合同的指定联系人及授</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权代表为</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XXXX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；职务</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销售经理</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；联系电话</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XXXX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；电子邮箱</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XXXX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。在履行合同过程中，该指定联系人及授权代表的行为、意思表示及对甲方所作的任何</w:t>
      </w:r>
      <w:r>
        <w:rPr>
          <w:rFonts w:hint="eastAsia" w:ascii="仿宋_GB2312" w:hAnsi="Times New Roman" w:eastAsia="仿宋_GB2312" w:cs="仿宋_GB2312"/>
          <w:bCs/>
          <w:kern w:val="2"/>
          <w:sz w:val="28"/>
          <w:szCs w:val="28"/>
          <w:lang w:val="en-US" w:eastAsia="zh-CN" w:bidi="ar"/>
        </w:rPr>
        <w:t>承诺、通知等，都对乙方直接具有约束力；甲方通知送达该联系人及授权代表时，即视为通知送达乙方。</w:t>
      </w:r>
    </w:p>
    <w:p w14:paraId="339E78F1">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bCs/>
          <w:kern w:val="2"/>
          <w:sz w:val="28"/>
          <w:szCs w:val="28"/>
          <w:lang w:val="en-US" w:eastAsia="zh-CN" w:bidi="ar"/>
        </w:rPr>
        <w:t>2.乙方的指定联系人、授权代表的信息发生变化的，或乙方联系地址、电话等发生变化的，应提前5个工作日书面通知到甲方。否则相关送达的不利后果及责任，由乙方自行承担。</w:t>
      </w:r>
    </w:p>
    <w:p w14:paraId="5543FC91">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3.如上述地址无法送达的，以双方当事人的注册地址作为送达地址。</w:t>
      </w:r>
    </w:p>
    <w:p w14:paraId="1C321F47">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0"/>
        <w:jc w:val="both"/>
        <w:outlineLvl w:val="0"/>
        <w:rPr>
          <w:rFonts w:hint="eastAsia" w:ascii="仿宋_GB2312" w:eastAsia="仿宋_GB2312" w:cs="仿宋_GB2312"/>
          <w:b/>
          <w:bCs w:val="0"/>
          <w:kern w:val="2"/>
          <w:sz w:val="28"/>
          <w:szCs w:val="28"/>
        </w:rPr>
      </w:pPr>
      <w:bookmarkStart w:id="184" w:name="_Toc28631"/>
      <w:r>
        <w:rPr>
          <w:rFonts w:hint="eastAsia" w:ascii="仿宋_GB2312" w:hAnsi="Times New Roman" w:eastAsia="仿宋_GB2312" w:cs="仿宋_GB2312"/>
          <w:b/>
          <w:bCs w:val="0"/>
          <w:kern w:val="2"/>
          <w:sz w:val="28"/>
          <w:szCs w:val="28"/>
          <w:lang w:val="en-US" w:eastAsia="zh-CN" w:bidi="ar"/>
        </w:rPr>
        <w:t>第十七条  廉洁合作</w:t>
      </w:r>
      <w:bookmarkEnd w:id="184"/>
    </w:p>
    <w:p w14:paraId="4300A405">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为确保防范通过政府采购项目拿回扣、职务侵占、商业贿赂等腐败行为，乙方应在合同签订时将《廉洁合作承诺书(企业承诺)》一并递交甲方备案,并在合同签订后与员工签订《廉洁从业承诺书(员工承诺)》,乙方存档备查。</w:t>
      </w:r>
    </w:p>
    <w:p w14:paraId="14E0434F">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因本项目使用资金为财政资金，乙方应具备健全的财务会计制度，并完整保存本项目相关资料，审计部门等监管机构有权对资金流向实施监管。对不配合监督检查工作的，审计部门等监管机构可以根据相关规定进行处理，并向有关部门提出给予处分的建议。</w:t>
      </w:r>
    </w:p>
    <w:p w14:paraId="48E4A2A7">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0"/>
        <w:jc w:val="both"/>
        <w:outlineLvl w:val="0"/>
        <w:rPr>
          <w:rFonts w:hint="eastAsia" w:ascii="仿宋_GB2312" w:eastAsia="仿宋_GB2312" w:cs="仿宋_GB2312"/>
          <w:b/>
          <w:bCs w:val="0"/>
          <w:kern w:val="2"/>
          <w:sz w:val="28"/>
          <w:szCs w:val="28"/>
        </w:rPr>
      </w:pPr>
      <w:bookmarkStart w:id="185" w:name="_Toc26962"/>
      <w:r>
        <w:rPr>
          <w:rFonts w:hint="eastAsia" w:ascii="仿宋_GB2312" w:hAnsi="Times New Roman" w:eastAsia="仿宋_GB2312" w:cs="仿宋_GB2312"/>
          <w:b/>
          <w:bCs w:val="0"/>
          <w:kern w:val="2"/>
          <w:sz w:val="28"/>
          <w:szCs w:val="28"/>
          <w:lang w:val="en-US" w:eastAsia="zh-CN" w:bidi="ar"/>
        </w:rPr>
        <w:t>第十八条  附则</w:t>
      </w:r>
      <w:bookmarkEnd w:id="185"/>
    </w:p>
    <w:p w14:paraId="21CD95DA">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1.本合同一式</w:t>
      </w:r>
      <w:r>
        <w:rPr>
          <w:rFonts w:hint="eastAsia" w:ascii="仿宋_GB2312" w:hAnsi="Times New Roman" w:eastAsia="仿宋_GB2312" w:cs="仿宋_GB2312"/>
          <w:kern w:val="2"/>
          <w:sz w:val="28"/>
          <w:szCs w:val="28"/>
          <w:u w:val="single"/>
          <w:lang w:val="en-US" w:eastAsia="zh-CN" w:bidi="ar"/>
        </w:rPr>
        <w:t xml:space="preserve"> 陆 </w:t>
      </w:r>
      <w:r>
        <w:rPr>
          <w:rFonts w:hint="eastAsia" w:ascii="仿宋_GB2312" w:hAnsi="Times New Roman" w:eastAsia="仿宋_GB2312" w:cs="仿宋_GB2312"/>
          <w:bCs/>
          <w:kern w:val="2"/>
          <w:sz w:val="28"/>
          <w:szCs w:val="28"/>
          <w:lang w:val="en-US" w:eastAsia="zh-CN" w:bidi="ar"/>
        </w:rPr>
        <w:t>份，甲方执</w:t>
      </w:r>
      <w:r>
        <w:rPr>
          <w:rFonts w:hint="eastAsia" w:ascii="仿宋_GB2312" w:hAnsi="Times New Roman" w:eastAsia="仿宋_GB2312" w:cs="仿宋_GB2312"/>
          <w:kern w:val="2"/>
          <w:sz w:val="28"/>
          <w:szCs w:val="28"/>
          <w:u w:val="single"/>
          <w:lang w:val="en-US" w:eastAsia="zh-CN" w:bidi="ar"/>
        </w:rPr>
        <w:t xml:space="preserve"> 伍 </w:t>
      </w:r>
      <w:r>
        <w:rPr>
          <w:rFonts w:hint="eastAsia" w:ascii="仿宋_GB2312" w:hAnsi="Times New Roman" w:eastAsia="仿宋_GB2312" w:cs="仿宋_GB2312"/>
          <w:bCs/>
          <w:kern w:val="2"/>
          <w:sz w:val="28"/>
          <w:szCs w:val="28"/>
          <w:lang w:val="en-US" w:eastAsia="zh-CN" w:bidi="ar"/>
        </w:rPr>
        <w:t>份、乙方执</w:t>
      </w:r>
      <w:r>
        <w:rPr>
          <w:rFonts w:hint="eastAsia" w:ascii="仿宋_GB2312" w:hAnsi="Times New Roman" w:eastAsia="仿宋_GB2312" w:cs="仿宋_GB2312"/>
          <w:kern w:val="2"/>
          <w:sz w:val="28"/>
          <w:szCs w:val="28"/>
          <w:u w:val="single"/>
          <w:lang w:val="en-US" w:eastAsia="zh-CN" w:bidi="ar"/>
        </w:rPr>
        <w:t xml:space="preserve"> 壹 </w:t>
      </w:r>
      <w:r>
        <w:rPr>
          <w:rFonts w:hint="eastAsia" w:ascii="仿宋_GB2312" w:hAnsi="Times New Roman" w:eastAsia="仿宋_GB2312" w:cs="仿宋_GB2312"/>
          <w:bCs/>
          <w:kern w:val="2"/>
          <w:sz w:val="28"/>
          <w:szCs w:val="28"/>
          <w:lang w:val="en-US" w:eastAsia="zh-CN" w:bidi="ar"/>
        </w:rPr>
        <w:t>份，具有同等法律效力。本合同自双方法定代表人或有权代理人签字并加盖双方公章或合同专用章之日起生效。</w:t>
      </w:r>
    </w:p>
    <w:p w14:paraId="30BA3AC6">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2.本合同未尽事宜，由双方协商处理，经协商一致可签订补充协议。</w:t>
      </w:r>
    </w:p>
    <w:p w14:paraId="30A3ABE0">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3.如有设备相关耗材、试剂或易损器械，设备及主要维修配件，乙方应提供并分别列出它们的优惠价格。</w:t>
      </w:r>
    </w:p>
    <w:p w14:paraId="7F4E5407">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0"/>
        <w:jc w:val="both"/>
        <w:outlineLvl w:val="0"/>
        <w:rPr>
          <w:rFonts w:hint="eastAsia" w:ascii="仿宋_GB2312" w:eastAsia="仿宋_GB2312" w:cs="仿宋_GB2312"/>
          <w:b/>
          <w:bCs w:val="0"/>
          <w:kern w:val="2"/>
          <w:sz w:val="28"/>
          <w:szCs w:val="28"/>
        </w:rPr>
      </w:pPr>
      <w:bookmarkStart w:id="186" w:name="_Toc22233"/>
      <w:r>
        <w:rPr>
          <w:rFonts w:hint="eastAsia" w:ascii="仿宋_GB2312" w:hAnsi="Times New Roman" w:eastAsia="仿宋_GB2312" w:cs="仿宋_GB2312"/>
          <w:b/>
          <w:bCs w:val="0"/>
          <w:kern w:val="2"/>
          <w:sz w:val="28"/>
          <w:szCs w:val="28"/>
          <w:lang w:val="en-US" w:eastAsia="zh-CN" w:bidi="ar"/>
        </w:rPr>
        <w:t>第十九条  合同组成文件</w:t>
      </w:r>
      <w:bookmarkEnd w:id="186"/>
    </w:p>
    <w:p w14:paraId="7EADE498">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下列文件为本合同的组成部分，并构成一个整体，需综合解释、相互补充。如果下列文件内容出现不一致的情形，在保证按照采购文件确定的事项的前提下，组成本合同的多个文件的优先适用顺序如下：</w:t>
      </w:r>
    </w:p>
    <w:p w14:paraId="66D58A3A">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1.本合同及其附件、补充合同、变更协议；</w:t>
      </w:r>
    </w:p>
    <w:p w14:paraId="28FF17B3">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2.中标通知书；</w:t>
      </w:r>
    </w:p>
    <w:p w14:paraId="566848FE">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3.投标文件（含澄清或者说明文件）；</w:t>
      </w:r>
    </w:p>
    <w:p w14:paraId="57028774">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4.征集文件（含澄清或者修改文件）；</w:t>
      </w:r>
    </w:p>
    <w:p w14:paraId="7FBE8B5E">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5.其他相关采购文件。</w:t>
      </w:r>
    </w:p>
    <w:p w14:paraId="1DBDB0B2">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附件一：中标通知书</w:t>
      </w:r>
    </w:p>
    <w:p w14:paraId="1CDC973A">
      <w:pPr>
        <w:keepNext w:val="0"/>
        <w:keepLines w:val="0"/>
        <w:widowControl w:val="0"/>
        <w:suppressLineNumbers w:val="0"/>
        <w:adjustRightInd w:val="0"/>
        <w:snapToGrid w:val="0"/>
        <w:spacing w:before="0" w:beforeAutospacing="0" w:after="0" w:afterAutospacing="0" w:line="560" w:lineRule="exact"/>
        <w:ind w:left="0" w:right="0" w:firstLine="56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附件二：廉洁合作承诺书（企业承诺）</w:t>
      </w:r>
    </w:p>
    <w:p w14:paraId="79CA7C50">
      <w:pPr>
        <w:keepNext w:val="0"/>
        <w:keepLines w:val="0"/>
        <w:widowControl w:val="0"/>
        <w:suppressLineNumbers w:val="0"/>
        <w:adjustRightInd w:val="0"/>
        <w:snapToGrid w:val="0"/>
        <w:spacing w:before="0" w:beforeAutospacing="0" w:after="0" w:afterAutospacing="0" w:line="560" w:lineRule="exact"/>
        <w:ind w:left="0" w:right="0" w:firstLine="560"/>
        <w:jc w:val="left"/>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附件三：廉洁从业承诺书（员工承诺）</w:t>
      </w:r>
    </w:p>
    <w:p w14:paraId="1EFC61B5">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附件四：配置清单</w:t>
      </w:r>
    </w:p>
    <w:p w14:paraId="138DABC3">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附件五：技术偏离表</w:t>
      </w:r>
    </w:p>
    <w:p w14:paraId="00F6C0AD">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附件六：售后服务承诺（含厂家）</w:t>
      </w:r>
    </w:p>
    <w:p w14:paraId="501FDF1D">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附件七：每年二次的维护计划</w:t>
      </w:r>
    </w:p>
    <w:p w14:paraId="61B1BB15">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76F7AE85">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67BF623C">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7283FF78">
      <w:pPr>
        <w:keepNext w:val="0"/>
        <w:keepLines w:val="0"/>
        <w:widowControl/>
        <w:suppressLineNumbers w:val="0"/>
        <w:spacing w:before="0" w:beforeAutospacing="0" w:after="0" w:afterAutospacing="0"/>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br w:type="page"/>
      </w:r>
    </w:p>
    <w:p w14:paraId="7094F3A3">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（本页无正文</w:t>
      </w: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，为《XXXX》签署页</w:t>
      </w:r>
      <w:r>
        <w:rPr>
          <w:rFonts w:hint="eastAsia" w:ascii="仿宋_GB2312" w:hAnsi="Times New Roman" w:eastAsia="仿宋_GB2312" w:cs="仿宋_GB2312"/>
          <w:kern w:val="2"/>
          <w:sz w:val="28"/>
          <w:szCs w:val="28"/>
          <w:lang w:val="en-US" w:eastAsia="zh-CN" w:bidi="ar"/>
        </w:rPr>
        <w:t>）</w:t>
      </w:r>
    </w:p>
    <w:p w14:paraId="4F8276BF">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2EEB6780">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5D9DE3DA">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tbl>
      <w:tblPr>
        <w:tblStyle w:val="19"/>
        <w:tblW w:w="5000" w:type="pct"/>
        <w:jc w:val="center"/>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362"/>
        <w:gridCol w:w="4160"/>
      </w:tblGrid>
      <w:tr w14:paraId="13BE9969">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14D854B5">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甲方：深圳市福田区第二人民医院</w:t>
            </w:r>
          </w:p>
        </w:tc>
        <w:tc>
          <w:tcPr>
            <w:tcW w:w="2441" w:type="pct"/>
            <w:tcBorders>
              <w:top w:val="nil"/>
              <w:left w:val="nil"/>
              <w:bottom w:val="nil"/>
              <w:right w:val="nil"/>
            </w:tcBorders>
            <w:shd w:val="clear" w:color="auto" w:fill="auto"/>
            <w:vAlign w:val="top"/>
          </w:tcPr>
          <w:p w14:paraId="3C71B5CB">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乙方：</w:t>
            </w:r>
          </w:p>
        </w:tc>
      </w:tr>
      <w:tr w14:paraId="223952E9">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01358CA2">
            <w:pPr>
              <w:keepNext w:val="0"/>
              <w:keepLines w:val="0"/>
              <w:widowControl w:val="0"/>
              <w:suppressLineNumbers w:val="0"/>
              <w:spacing w:before="0" w:beforeAutospacing="0" w:after="0" w:afterAutospacing="0" w:line="360" w:lineRule="auto"/>
              <w:ind w:left="0" w:right="0" w:firstLine="840" w:firstLineChars="30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地址：</w:t>
            </w:r>
          </w:p>
        </w:tc>
        <w:tc>
          <w:tcPr>
            <w:tcW w:w="2441" w:type="pct"/>
            <w:tcBorders>
              <w:top w:val="nil"/>
              <w:left w:val="nil"/>
              <w:bottom w:val="nil"/>
              <w:right w:val="nil"/>
            </w:tcBorders>
            <w:shd w:val="clear" w:color="auto" w:fill="auto"/>
            <w:vAlign w:val="top"/>
          </w:tcPr>
          <w:p w14:paraId="344D2F80">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地</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址：</w:t>
            </w:r>
          </w:p>
        </w:tc>
      </w:tr>
      <w:tr w14:paraId="1DC6AC51">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64BC953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法定代表人：</w:t>
            </w:r>
          </w:p>
          <w:p w14:paraId="2A2D2CB3">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p>
        </w:tc>
        <w:tc>
          <w:tcPr>
            <w:tcW w:w="2441" w:type="pct"/>
            <w:tcBorders>
              <w:top w:val="nil"/>
              <w:left w:val="nil"/>
              <w:bottom w:val="nil"/>
              <w:right w:val="nil"/>
            </w:tcBorders>
            <w:shd w:val="clear" w:color="auto" w:fill="auto"/>
            <w:vAlign w:val="top"/>
          </w:tcPr>
          <w:p w14:paraId="4DAE673C">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法定代表人：</w:t>
            </w:r>
          </w:p>
        </w:tc>
      </w:tr>
      <w:tr w14:paraId="338836D8">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0F1B7B50">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委托代理人：</w:t>
            </w:r>
          </w:p>
          <w:p w14:paraId="2B13E927">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p>
        </w:tc>
        <w:tc>
          <w:tcPr>
            <w:tcW w:w="2441" w:type="pct"/>
            <w:tcBorders>
              <w:top w:val="nil"/>
              <w:left w:val="nil"/>
              <w:bottom w:val="nil"/>
              <w:right w:val="nil"/>
            </w:tcBorders>
            <w:shd w:val="clear" w:color="auto" w:fill="auto"/>
            <w:vAlign w:val="top"/>
          </w:tcPr>
          <w:p w14:paraId="69E7D060">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委托代理人：</w:t>
            </w:r>
          </w:p>
        </w:tc>
      </w:tr>
      <w:tr w14:paraId="066AEE46">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09AF21AF">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电</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话：</w:t>
            </w:r>
          </w:p>
        </w:tc>
        <w:tc>
          <w:tcPr>
            <w:tcW w:w="2441" w:type="pct"/>
            <w:tcBorders>
              <w:top w:val="nil"/>
              <w:left w:val="nil"/>
              <w:bottom w:val="nil"/>
              <w:right w:val="nil"/>
            </w:tcBorders>
            <w:shd w:val="clear" w:color="auto" w:fill="auto"/>
            <w:vAlign w:val="top"/>
          </w:tcPr>
          <w:p w14:paraId="245F03F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电</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话：</w:t>
            </w:r>
          </w:p>
        </w:tc>
      </w:tr>
      <w:tr w14:paraId="1B115055">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0CD57FB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开户银行：</w:t>
            </w:r>
          </w:p>
        </w:tc>
        <w:tc>
          <w:tcPr>
            <w:tcW w:w="2441" w:type="pct"/>
            <w:tcBorders>
              <w:top w:val="nil"/>
              <w:left w:val="nil"/>
              <w:bottom w:val="nil"/>
              <w:right w:val="nil"/>
            </w:tcBorders>
            <w:shd w:val="clear" w:color="auto" w:fill="auto"/>
            <w:vAlign w:val="top"/>
          </w:tcPr>
          <w:p w14:paraId="0C5397A8">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开户银行：</w:t>
            </w:r>
          </w:p>
        </w:tc>
      </w:tr>
      <w:tr w14:paraId="36411420">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6EA15F9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账</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号：</w:t>
            </w:r>
          </w:p>
        </w:tc>
        <w:tc>
          <w:tcPr>
            <w:tcW w:w="2441" w:type="pct"/>
            <w:tcBorders>
              <w:top w:val="nil"/>
              <w:left w:val="nil"/>
              <w:bottom w:val="nil"/>
              <w:right w:val="nil"/>
            </w:tcBorders>
            <w:shd w:val="clear" w:color="auto" w:fill="auto"/>
            <w:vAlign w:val="top"/>
          </w:tcPr>
          <w:p w14:paraId="05A37C21">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账</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号：</w:t>
            </w:r>
          </w:p>
        </w:tc>
      </w:tr>
      <w:tr w14:paraId="5467284B">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4C27A9FB">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签约时间：</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年</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月</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日</w:t>
            </w:r>
          </w:p>
        </w:tc>
        <w:tc>
          <w:tcPr>
            <w:tcW w:w="2441" w:type="pct"/>
            <w:tcBorders>
              <w:top w:val="nil"/>
              <w:left w:val="nil"/>
              <w:bottom w:val="nil"/>
              <w:right w:val="nil"/>
            </w:tcBorders>
            <w:shd w:val="clear" w:color="auto" w:fill="auto"/>
            <w:vAlign w:val="top"/>
          </w:tcPr>
          <w:p w14:paraId="73E6F56A">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签约时间：</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年</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月</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日</w:t>
            </w:r>
          </w:p>
        </w:tc>
      </w:tr>
    </w:tbl>
    <w:p w14:paraId="48D2DAA0">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2FDF13AE">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776B3E01">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1F751C3F">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br w:type="page"/>
      </w:r>
    </w:p>
    <w:p w14:paraId="3BA9FD39">
      <w:pPr>
        <w:pStyle w:val="16"/>
        <w:keepNext w:val="0"/>
        <w:keepLines w:val="0"/>
        <w:widowControl/>
        <w:suppressLineNumbers w:val="0"/>
        <w:tabs>
          <w:tab w:val="left" w:pos="7497"/>
        </w:tabs>
        <w:spacing w:before="0" w:beforeAutospacing="1" w:after="120" w:afterLines="50" w:afterAutospacing="0" w:line="600" w:lineRule="exact"/>
        <w:ind w:left="0" w:right="0"/>
        <w:jc w:val="left"/>
        <w:rPr>
          <w:rFonts w:hint="eastAsia" w:ascii="仿宋_GB2312" w:eastAsia="仿宋_GB2312" w:cs="仿宋_GB2312"/>
          <w:b/>
          <w:bCs/>
          <w:kern w:val="0"/>
          <w:sz w:val="28"/>
          <w:szCs w:val="28"/>
        </w:rPr>
      </w:pPr>
      <w:r>
        <w:rPr>
          <w:rFonts w:hint="eastAsia" w:ascii="仿宋_GB2312" w:hAnsi="Times New Roman" w:eastAsia="仿宋_GB2312" w:cs="仿宋_GB2312"/>
          <w:b/>
          <w:bCs/>
          <w:kern w:val="0"/>
          <w:sz w:val="28"/>
          <w:szCs w:val="28"/>
          <w:lang w:val="en-US" w:eastAsia="zh-CN" w:bidi="ar"/>
        </w:rPr>
        <w:t>附件一：中标通知书</w:t>
      </w:r>
    </w:p>
    <w:p w14:paraId="3C84B435">
      <w:pPr>
        <w:keepNext w:val="0"/>
        <w:keepLines w:val="0"/>
        <w:widowControl/>
        <w:suppressLineNumbers w:val="0"/>
        <w:spacing w:before="0" w:beforeAutospacing="0" w:after="0" w:afterAutospacing="0"/>
        <w:ind w:left="0" w:right="0"/>
        <w:jc w:val="left"/>
        <w:rPr>
          <w:rFonts w:hint="eastAsia" w:ascii="方正小标宋_GBK" w:hAnsi="方正小标宋_GBK" w:eastAsia="方正小标宋_GBK" w:cs="方正小标宋_GBK"/>
          <w:bCs/>
          <w:kern w:val="0"/>
          <w:sz w:val="44"/>
          <w:szCs w:val="44"/>
        </w:rPr>
      </w:pPr>
      <w:r>
        <w:rPr>
          <w:rFonts w:hint="eastAsia" w:ascii="方正小标宋_GBK" w:hAnsi="方正小标宋_GBK" w:eastAsia="方正小标宋_GBK" w:cs="方正小标宋_GBK"/>
          <w:bCs/>
          <w:kern w:val="0"/>
          <w:sz w:val="44"/>
          <w:szCs w:val="44"/>
          <w:lang w:val="en-US" w:eastAsia="zh-CN" w:bidi="ar"/>
        </w:rPr>
        <w:t xml:space="preserve"> </w:t>
      </w:r>
    </w:p>
    <w:p w14:paraId="37E6A5D3">
      <w:pPr>
        <w:keepNext w:val="0"/>
        <w:keepLines w:val="0"/>
        <w:widowControl/>
        <w:suppressLineNumbers w:val="0"/>
        <w:spacing w:before="0" w:beforeAutospacing="0" w:after="0" w:afterAutospacing="0"/>
        <w:ind w:left="0" w:right="0"/>
        <w:jc w:val="left"/>
        <w:rPr>
          <w:rFonts w:hint="eastAsia" w:ascii="仿宋_GB2312" w:eastAsia="仿宋_GB2312" w:cs="仿宋_GB2312"/>
          <w:b/>
          <w:bCs w:val="0"/>
          <w:kern w:val="0"/>
          <w:sz w:val="28"/>
          <w:szCs w:val="28"/>
        </w:rPr>
      </w:pPr>
      <w:r>
        <w:rPr>
          <w:rFonts w:hint="eastAsia" w:ascii="仿宋_GB2312" w:hAnsi="Times New Roman" w:eastAsia="仿宋_GB2312" w:cs="仿宋_GB2312"/>
          <w:b/>
          <w:bCs w:val="0"/>
          <w:kern w:val="2"/>
          <w:sz w:val="28"/>
          <w:szCs w:val="28"/>
          <w:lang w:val="en-US" w:eastAsia="zh-CN" w:bidi="ar"/>
        </w:rPr>
        <w:br w:type="page"/>
      </w:r>
    </w:p>
    <w:p w14:paraId="362DF27A">
      <w:pPr>
        <w:pStyle w:val="16"/>
        <w:keepNext w:val="0"/>
        <w:keepLines w:val="0"/>
        <w:widowControl/>
        <w:suppressLineNumbers w:val="0"/>
        <w:tabs>
          <w:tab w:val="left" w:pos="7497"/>
        </w:tabs>
        <w:spacing w:before="0" w:beforeAutospacing="1" w:after="120" w:afterLines="50" w:afterAutospacing="0" w:line="600" w:lineRule="exact"/>
        <w:ind w:left="0" w:right="0"/>
        <w:jc w:val="left"/>
        <w:rPr>
          <w:rFonts w:hint="eastAsia" w:ascii="方正小标宋_GBK" w:hAnsi="方正小标宋_GBK" w:eastAsia="方正小标宋_GBK" w:cs="方正小标宋_GBK"/>
          <w:b/>
          <w:bCs/>
          <w:kern w:val="0"/>
          <w:sz w:val="44"/>
          <w:szCs w:val="44"/>
        </w:rPr>
      </w:pPr>
      <w:r>
        <w:rPr>
          <w:rFonts w:hint="eastAsia" w:ascii="仿宋_GB2312" w:hAnsi="Times New Roman" w:eastAsia="仿宋_GB2312" w:cs="仿宋_GB2312"/>
          <w:b/>
          <w:bCs w:val="0"/>
          <w:kern w:val="0"/>
          <w:sz w:val="28"/>
          <w:szCs w:val="28"/>
          <w:lang w:val="en-US" w:eastAsia="zh-CN" w:bidi="ar"/>
        </w:rPr>
        <w:t>附件二：廉洁合作承诺书（企业承诺）</w:t>
      </w:r>
    </w:p>
    <w:p w14:paraId="3F649317">
      <w:pPr>
        <w:pStyle w:val="16"/>
        <w:keepNext w:val="0"/>
        <w:keepLines w:val="0"/>
        <w:widowControl/>
        <w:suppressLineNumbers w:val="0"/>
        <w:tabs>
          <w:tab w:val="left" w:pos="7497"/>
        </w:tabs>
        <w:spacing w:before="0" w:beforeAutospacing="1" w:after="120" w:afterLines="50" w:afterAutospacing="0" w:line="600" w:lineRule="exact"/>
        <w:ind w:left="0" w:right="0"/>
        <w:jc w:val="center"/>
        <w:rPr>
          <w:rFonts w:hint="eastAsia" w:ascii="方正小标宋_GBK" w:hAnsi="方正小标宋_GBK" w:eastAsia="方正小标宋_GBK" w:cs="方正小标宋_GBK"/>
          <w:bCs/>
          <w:kern w:val="0"/>
          <w:sz w:val="44"/>
          <w:szCs w:val="44"/>
        </w:rPr>
      </w:pPr>
      <w:r>
        <w:rPr>
          <w:rFonts w:hint="eastAsia" w:ascii="方正小标宋_GBK" w:hAnsi="方正小标宋_GBK" w:eastAsia="方正小标宋_GBK" w:cs="方正小标宋_GBK"/>
          <w:bCs/>
          <w:kern w:val="0"/>
          <w:sz w:val="44"/>
          <w:szCs w:val="44"/>
          <w:lang w:val="en-US" w:eastAsia="zh-CN" w:bidi="ar"/>
        </w:rPr>
        <w:t>廉洁合作承诺书</w:t>
      </w:r>
    </w:p>
    <w:p w14:paraId="70CCDE80">
      <w:pPr>
        <w:pStyle w:val="16"/>
        <w:keepNext w:val="0"/>
        <w:keepLines w:val="0"/>
        <w:widowControl/>
        <w:suppressLineNumbers w:val="0"/>
        <w:spacing w:before="0" w:beforeAutospacing="1" w:after="120" w:afterLines="50" w:afterAutospacing="0" w:line="600" w:lineRule="exact"/>
        <w:ind w:left="0" w:right="0"/>
        <w:jc w:val="center"/>
        <w:rPr>
          <w:rFonts w:hint="eastAsia" w:ascii="仿宋_GB2312" w:eastAsia="仿宋_GB2312" w:cs="仿宋_GB2312"/>
          <w:b/>
          <w:bCs w:val="0"/>
          <w:kern w:val="0"/>
          <w:sz w:val="28"/>
          <w:szCs w:val="28"/>
        </w:rPr>
      </w:pPr>
      <w:r>
        <w:rPr>
          <w:rFonts w:hint="eastAsia" w:ascii="仿宋_GB2312" w:hAnsi="Times New Roman" w:eastAsia="仿宋_GB2312" w:cs="仿宋_GB2312"/>
          <w:b/>
          <w:bCs w:val="0"/>
          <w:kern w:val="0"/>
          <w:sz w:val="28"/>
          <w:szCs w:val="28"/>
          <w:lang w:val="en-US" w:eastAsia="zh-CN" w:bidi="ar"/>
        </w:rPr>
        <w:t>（企业承诺）</w:t>
      </w:r>
    </w:p>
    <w:p w14:paraId="0C7FE7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本公司决定参加项目投标。为维护公平竞争的市场秩序，促进企业廉洁从业、诚实守信，特承诺如下：</w:t>
      </w:r>
    </w:p>
    <w:p w14:paraId="5498C2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firstLine="560" w:firstLineChars="200"/>
        <w:jc w:val="left"/>
        <w:textAlignment w:val="auto"/>
        <w:outlineLvl w:val="0"/>
        <w:rPr>
          <w:rFonts w:hint="eastAsia" w:ascii="仿宋_GB2312" w:hAnsi="Times New Roman" w:eastAsia="仿宋_GB2312" w:cs="仿宋_GB2312"/>
          <w:kern w:val="0"/>
          <w:sz w:val="28"/>
          <w:szCs w:val="28"/>
          <w:lang w:val="en-US" w:eastAsia="zh-CN" w:bidi="ar"/>
        </w:rPr>
      </w:pPr>
      <w:bookmarkStart w:id="187" w:name="_Toc12621"/>
      <w:r>
        <w:rPr>
          <w:rFonts w:hint="eastAsia" w:ascii="仿宋_GB2312" w:hAnsi="Times New Roman" w:eastAsia="仿宋_GB2312" w:cs="仿宋_GB2312"/>
          <w:kern w:val="0"/>
          <w:sz w:val="28"/>
          <w:szCs w:val="28"/>
          <w:lang w:val="en-US" w:eastAsia="zh-CN" w:bidi="ar"/>
        </w:rPr>
        <w:t>一、严格遵守《中华人民共和国征集投标法》、《中华人民共和国政府采购法》等法律法规，决不发生以下行为：</w:t>
      </w:r>
      <w:bookmarkEnd w:id="187"/>
    </w:p>
    <w:p w14:paraId="05B6A1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1.以他人名义投标，允许其他单位或个人使用本单位资质投标；</w:t>
      </w:r>
    </w:p>
    <w:p w14:paraId="30DBBB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2.提供虚假材料，或以其他方式弄虚作假骗取中标；</w:t>
      </w:r>
    </w:p>
    <w:p w14:paraId="6CDDC9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3.与征集人或者其他投标人相互串通投标；</w:t>
      </w:r>
    </w:p>
    <w:p w14:paraId="56CFF1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4.中标后将项目转包，或违法分包；</w:t>
      </w:r>
    </w:p>
    <w:p w14:paraId="273200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5.中标后与征集人签订背离投标文件及合同实质性内容的私下协议；</w:t>
      </w:r>
    </w:p>
    <w:p w14:paraId="19B581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6.其他违反征集投标、政府采购等法律法规的行为。</w:t>
      </w:r>
    </w:p>
    <w:p w14:paraId="680C45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firstLine="560" w:firstLineChars="200"/>
        <w:jc w:val="left"/>
        <w:textAlignment w:val="auto"/>
        <w:outlineLvl w:val="0"/>
        <w:rPr>
          <w:rFonts w:hint="eastAsia" w:ascii="仿宋_GB2312" w:hAnsi="Times New Roman" w:eastAsia="仿宋_GB2312" w:cs="仿宋_GB2312"/>
          <w:kern w:val="0"/>
          <w:sz w:val="28"/>
          <w:szCs w:val="28"/>
          <w:lang w:val="en-US" w:eastAsia="zh-CN" w:bidi="ar"/>
        </w:rPr>
      </w:pPr>
      <w:bookmarkStart w:id="188" w:name="_Toc26117"/>
      <w:r>
        <w:rPr>
          <w:rFonts w:hint="eastAsia" w:ascii="仿宋_GB2312" w:hAnsi="Times New Roman" w:eastAsia="仿宋_GB2312" w:cs="仿宋_GB2312"/>
          <w:kern w:val="0"/>
          <w:sz w:val="28"/>
          <w:szCs w:val="28"/>
          <w:lang w:val="en-US" w:eastAsia="zh-CN" w:bidi="ar"/>
        </w:rPr>
        <w:t>二、不以任何理由给予采购单位、主管部门、相关单位及其工作人员以下好处：</w:t>
      </w:r>
      <w:bookmarkEnd w:id="188"/>
    </w:p>
    <w:p w14:paraId="6BCA90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1.赠送礼金、有价证券、贵重物品，或给予回扣、感谢费、劳务费等各种名目的经费；</w:t>
      </w:r>
    </w:p>
    <w:p w14:paraId="0F4FE8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2.报销应由上述单位或个人支付的费用；</w:t>
      </w:r>
    </w:p>
    <w:p w14:paraId="3776D0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3.赠送或提供通讯工具、交通工具和高档办公用品等；</w:t>
      </w:r>
    </w:p>
    <w:p w14:paraId="7BD195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 xml:space="preserve">4.提供宴请、健身、旅游、娱乐等高消费活动； </w:t>
      </w:r>
    </w:p>
    <w:p w14:paraId="6CB9B2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5.无偿或明显低于市场价装修住房。</w:t>
      </w:r>
    </w:p>
    <w:p w14:paraId="73BFB7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三、不以任何理由为采购单位、主管部门、相关单位的工作人员及其配偶、子女等亲属的工作安排以及出国（境）等提供方便。</w:t>
      </w:r>
    </w:p>
    <w:p w14:paraId="68BC2C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四、自觉接受有关部门和派驻廉政监察组等机构的监督，积极配合采购单位开展廉政文化进工程工作，加强廉洁从业环境宣传、项目管理制度建设，多种形式开展廉洁教育。</w:t>
      </w:r>
    </w:p>
    <w:p w14:paraId="19F8A3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上述承诺如有违反，愿接受录入诚信档案的处理，构成违纪违法的，由相关部门依纪依法作出处理。</w:t>
      </w:r>
    </w:p>
    <w:p w14:paraId="4877FA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（本承诺书由投标人法定代表人签名，并加盖公章；一式贰份，采购单位与履约供应商各持壹份。）</w:t>
      </w:r>
    </w:p>
    <w:p w14:paraId="150BEE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640" w:firstLineChars="200"/>
        <w:jc w:val="left"/>
        <w:textAlignment w:val="auto"/>
        <w:rPr>
          <w:rFonts w:hint="eastAsia" w:ascii="仿宋_GB2312" w:hAnsi="Times New Roman" w:eastAsia="仿宋_GB2312" w:cs="仿宋_GB2312"/>
          <w:kern w:val="0"/>
          <w:sz w:val="32"/>
          <w:szCs w:val="32"/>
          <w:lang w:val="en-US" w:eastAsia="zh-CN" w:bidi="ar"/>
        </w:rPr>
      </w:pPr>
      <w:r>
        <w:rPr>
          <w:rFonts w:hint="eastAsia" w:ascii="仿宋_GB2312" w:hAnsi="Times New Roman" w:eastAsia="仿宋_GB2312" w:cs="仿宋_GB2312"/>
          <w:kern w:val="0"/>
          <w:sz w:val="32"/>
          <w:szCs w:val="32"/>
          <w:lang w:val="en-US" w:eastAsia="zh-CN" w:bidi="ar"/>
        </w:rPr>
        <w:t xml:space="preserve"> </w:t>
      </w:r>
    </w:p>
    <w:p w14:paraId="762692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 xml:space="preserve">  </w:t>
      </w:r>
    </w:p>
    <w:p w14:paraId="17047F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righ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法定代表人签名：</w:t>
      </w:r>
    </w:p>
    <w:p w14:paraId="67FFCA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righ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承诺单位（公章）：</w:t>
      </w:r>
    </w:p>
    <w:p w14:paraId="70C029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right"/>
        <w:textAlignment w:val="auto"/>
        <w:rPr>
          <w:rFonts w:hint="eastAsia" w:ascii="仿宋_GB2312" w:eastAsia="仿宋_GB2312" w:cs="仿宋_GB2312"/>
          <w:kern w:val="2"/>
          <w:sz w:val="28"/>
          <w:szCs w:val="28"/>
        </w:rPr>
      </w:pPr>
      <w:r>
        <w:rPr>
          <w:rFonts w:hint="eastAsia" w:ascii="仿宋_GB2312" w:hAnsi="Times New Roman" w:eastAsia="仿宋_GB2312" w:cs="仿宋_GB2312"/>
          <w:kern w:val="0"/>
          <w:sz w:val="28"/>
          <w:szCs w:val="28"/>
          <w:lang w:val="en-US" w:eastAsia="zh-CN" w:bidi="ar"/>
        </w:rPr>
        <w:t>承诺日期：</w:t>
      </w:r>
      <w:r>
        <w:rPr>
          <w:rFonts w:hint="eastAsia" w:ascii="仿宋_GB2312" w:hAnsi="Times New Roman" w:eastAsia="仿宋_GB2312" w:cs="仿宋_GB2312"/>
          <w:kern w:val="2"/>
          <w:sz w:val="28"/>
          <w:szCs w:val="28"/>
          <w:lang w:val="en-US" w:eastAsia="zh-CN" w:bidi="ar"/>
        </w:rPr>
        <w:br w:type="page"/>
      </w:r>
    </w:p>
    <w:p w14:paraId="26DE5847">
      <w:pPr>
        <w:keepNext w:val="0"/>
        <w:keepLines w:val="0"/>
        <w:widowControl/>
        <w:suppressLineNumbers w:val="0"/>
        <w:spacing w:before="0" w:beforeAutospacing="0" w:after="0" w:afterAutospacing="0"/>
        <w:ind w:left="0" w:leftChars="0" w:right="0" w:rightChars="0"/>
        <w:jc w:val="left"/>
        <w:outlineLvl w:val="0"/>
        <w:rPr>
          <w:rFonts w:hint="eastAsia" w:ascii="仿宋_GB2312" w:eastAsia="仿宋_GB2312" w:cs="仿宋_GB2312"/>
          <w:b/>
          <w:bCs w:val="0"/>
          <w:kern w:val="2"/>
          <w:sz w:val="28"/>
          <w:szCs w:val="28"/>
        </w:rPr>
      </w:pPr>
      <w:bookmarkStart w:id="189" w:name="_Toc13331"/>
      <w:r>
        <w:rPr>
          <w:rFonts w:hint="eastAsia" w:ascii="仿宋_GB2312" w:hAnsi="Times New Roman" w:eastAsia="仿宋_GB2312" w:cs="仿宋_GB2312"/>
          <w:b/>
          <w:bCs w:val="0"/>
          <w:kern w:val="2"/>
          <w:sz w:val="28"/>
          <w:szCs w:val="28"/>
          <w:lang w:val="en-US" w:eastAsia="zh-CN" w:bidi="ar"/>
        </w:rPr>
        <w:t>附件三：廉洁从业承诺书（员工承诺）</w:t>
      </w:r>
      <w:bookmarkEnd w:id="189"/>
    </w:p>
    <w:p w14:paraId="15EB66DC">
      <w:pPr>
        <w:keepNext w:val="0"/>
        <w:keepLines w:val="0"/>
        <w:widowControl/>
        <w:suppressLineNumbers w:val="0"/>
        <w:spacing w:before="0" w:beforeAutospacing="0" w:after="0" w:afterAutospacing="0"/>
        <w:ind w:left="0" w:right="0"/>
        <w:jc w:val="center"/>
        <w:rPr>
          <w:rFonts w:hint="eastAsia" w:ascii="方正小标宋_GBK" w:hAnsi="方正小标宋_GBK" w:eastAsia="方正小标宋_GBK" w:cs="方正小标宋_GBK"/>
          <w:bCs/>
          <w:kern w:val="2"/>
          <w:sz w:val="44"/>
          <w:szCs w:val="44"/>
        </w:rPr>
      </w:pPr>
      <w:r>
        <w:rPr>
          <w:rFonts w:hint="eastAsia" w:ascii="方正小标宋_GBK" w:hAnsi="方正小标宋_GBK" w:eastAsia="方正小标宋_GBK" w:cs="方正小标宋_GBK"/>
          <w:bCs/>
          <w:kern w:val="2"/>
          <w:sz w:val="44"/>
          <w:szCs w:val="44"/>
          <w:lang w:val="en-US" w:eastAsia="zh-CN" w:bidi="ar"/>
        </w:rPr>
        <w:t>廉洁从业承诺书</w:t>
      </w:r>
    </w:p>
    <w:p w14:paraId="36F8610E">
      <w:pPr>
        <w:pStyle w:val="16"/>
        <w:keepNext w:val="0"/>
        <w:keepLines w:val="0"/>
        <w:widowControl/>
        <w:suppressLineNumbers w:val="0"/>
        <w:spacing w:before="0" w:beforeAutospacing="1" w:after="120" w:afterLines="50" w:afterAutospacing="0" w:line="600" w:lineRule="exact"/>
        <w:ind w:left="0" w:right="0"/>
        <w:jc w:val="center"/>
        <w:rPr>
          <w:rFonts w:hint="eastAsia" w:ascii="仿宋_GB2312" w:eastAsia="仿宋_GB2312" w:cs="仿宋_GB2312"/>
          <w:b/>
          <w:bCs w:val="0"/>
          <w:kern w:val="0"/>
          <w:sz w:val="28"/>
          <w:szCs w:val="28"/>
        </w:rPr>
      </w:pPr>
      <w:r>
        <w:rPr>
          <w:rFonts w:hint="eastAsia" w:ascii="仿宋_GB2312" w:hAnsi="Times New Roman" w:eastAsia="仿宋_GB2312" w:cs="仿宋_GB2312"/>
          <w:b/>
          <w:bCs w:val="0"/>
          <w:kern w:val="0"/>
          <w:sz w:val="28"/>
          <w:szCs w:val="28"/>
          <w:lang w:val="en-US" w:eastAsia="zh-CN" w:bidi="ar"/>
        </w:rPr>
        <w:t>（员工承诺）</w:t>
      </w:r>
    </w:p>
    <w:p w14:paraId="160FFA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本人决定自愿参加本项目。为了更好的树立公司对外形象，更好地打造公司的品牌，促进个人廉洁从业、诚实守信，特承诺如下：</w:t>
      </w:r>
    </w:p>
    <w:p w14:paraId="14C702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一、不以任何理由给予采购单位、主管部门、相关单位及其工作人员以下好处：</w:t>
      </w:r>
    </w:p>
    <w:p w14:paraId="37FDC9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1.赠送礼金、有价证券、贵重物品，或给予回扣、感谢费、劳务费等各种名目的经费；</w:t>
      </w:r>
    </w:p>
    <w:p w14:paraId="73AF2F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2.报销应由上述单位或个人支付的费用；</w:t>
      </w:r>
    </w:p>
    <w:p w14:paraId="409FEA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3.赠送或提供通讯工具、交通工具和高档办公用品等；</w:t>
      </w:r>
    </w:p>
    <w:p w14:paraId="6CE6FB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4.提供宴请、健身、旅游、娱乐等高消费活动；</w:t>
      </w:r>
    </w:p>
    <w:p w14:paraId="49386F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5.无偿或明显低于市场价装修住房。</w:t>
      </w:r>
    </w:p>
    <w:p w14:paraId="291ED7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二、不以任何理由为采购单位、主管部门、相关单位的工作人员及其配偶、子女等亲属的工作安排以及出国（境）等提供方便。</w:t>
      </w:r>
    </w:p>
    <w:p w14:paraId="164A13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三、自觉接受有关部门和派驻廉政监察组等机构的监督。</w:t>
      </w:r>
    </w:p>
    <w:p w14:paraId="419BE5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以上承诺接受公司和广大员工的监督。本人如有违反承诺，自愿承担违诺责任和法律后果。</w:t>
      </w:r>
    </w:p>
    <w:p w14:paraId="1B3B62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（本承诺书由项目人员签名，一式贰份。公司与项目人员各持壹份。）</w:t>
      </w:r>
    </w:p>
    <w:p w14:paraId="0CBF6E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righ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承诺人：</w:t>
      </w:r>
    </w:p>
    <w:p w14:paraId="797BAB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righ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承诺日期：</w:t>
      </w:r>
    </w:p>
    <w:p w14:paraId="328685BE">
      <w:pPr>
        <w:pStyle w:val="16"/>
        <w:keepNext w:val="0"/>
        <w:keepLines w:val="0"/>
        <w:widowControl/>
        <w:suppressLineNumbers w:val="0"/>
        <w:adjustRightInd w:val="0"/>
        <w:snapToGrid w:val="0"/>
        <w:spacing w:before="0" w:beforeAutospacing="1" w:after="0" w:afterAutospacing="1" w:line="579" w:lineRule="exact"/>
        <w:ind w:left="0" w:right="0"/>
        <w:jc w:val="left"/>
        <w:rPr>
          <w:rFonts w:hint="default" w:ascii="Times New Roman" w:hAnsi="Times New Roman" w:cs="Times New Roman"/>
          <w:color w:val="FFFFFF"/>
          <w:kern w:val="2"/>
          <w:sz w:val="16"/>
          <w:szCs w:val="16"/>
          <w:shd w:val="clear" w:fill="000000"/>
        </w:rPr>
      </w:pPr>
      <w:r>
        <w:rPr>
          <w:rFonts w:hint="eastAsia" w:ascii="仿宋_GB2312" w:hAnsi="Times New Roman" w:eastAsia="仿宋_GB2312" w:cs="仿宋_GB2312"/>
          <w:b/>
          <w:bCs/>
          <w:kern w:val="0"/>
          <w:sz w:val="28"/>
          <w:szCs w:val="28"/>
          <w:lang w:val="en-US" w:eastAsia="zh-CN" w:bidi="ar"/>
        </w:rPr>
        <w:t>附件四：配置清单</w:t>
      </w:r>
    </w:p>
    <w:p w14:paraId="042C0A60">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br w:type="page"/>
      </w:r>
    </w:p>
    <w:p w14:paraId="0F829A2F">
      <w:pPr>
        <w:keepNext w:val="0"/>
        <w:keepLines w:val="0"/>
        <w:widowControl w:val="0"/>
        <w:suppressLineNumbers w:val="0"/>
        <w:spacing w:before="0" w:beforeAutospacing="0" w:after="0" w:afterAutospacing="0"/>
        <w:ind w:left="0" w:right="0"/>
        <w:jc w:val="left"/>
        <w:rPr>
          <w:rFonts w:hint="eastAsia" w:ascii="仿宋" w:hAnsi="仿宋" w:eastAsia="仿宋" w:cs="Times New Roman"/>
          <w:b/>
          <w:bCs w:val="0"/>
          <w:color w:val="FF0000"/>
          <w:kern w:val="2"/>
          <w:sz w:val="28"/>
          <w:szCs w:val="28"/>
        </w:rPr>
      </w:pPr>
      <w:r>
        <w:rPr>
          <w:rFonts w:hint="eastAsia" w:ascii="仿宋" w:hAnsi="仿宋" w:eastAsia="仿宋" w:cs="仿宋"/>
          <w:b/>
          <w:bCs w:val="0"/>
          <w:kern w:val="2"/>
          <w:sz w:val="28"/>
          <w:szCs w:val="28"/>
          <w:lang w:val="en-US" w:eastAsia="zh-CN" w:bidi="ar"/>
        </w:rPr>
        <w:t>附件五：技术参数偏离表</w:t>
      </w:r>
    </w:p>
    <w:p w14:paraId="4881B7C8">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674263CC">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724BB280">
      <w:pPr>
        <w:keepNext w:val="0"/>
        <w:keepLines w:val="0"/>
        <w:widowControl/>
        <w:suppressLineNumbers w:val="0"/>
        <w:spacing w:before="0" w:beforeAutospacing="0" w:after="0" w:afterAutospacing="0"/>
        <w:ind w:left="0" w:right="0"/>
        <w:jc w:val="left"/>
        <w:rPr>
          <w:rFonts w:hint="eastAsia" w:ascii="仿宋_GB2312" w:eastAsia="仿宋_GB2312" w:cs="仿宋_GB2312"/>
          <w:b/>
          <w:bCs/>
          <w:kern w:val="2"/>
          <w:sz w:val="28"/>
          <w:szCs w:val="28"/>
        </w:rPr>
      </w:pPr>
      <w:r>
        <w:rPr>
          <w:rFonts w:hint="eastAsia" w:ascii="仿宋_GB2312" w:hAnsi="Times New Roman" w:eastAsia="仿宋_GB2312" w:cs="仿宋_GB2312"/>
          <w:b/>
          <w:bCs/>
          <w:kern w:val="2"/>
          <w:sz w:val="28"/>
          <w:szCs w:val="28"/>
          <w:lang w:val="en-US" w:eastAsia="zh-CN" w:bidi="ar"/>
        </w:rPr>
        <w:br w:type="page"/>
      </w:r>
    </w:p>
    <w:p w14:paraId="122DB131">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宋体" w:cs="Times New Roman"/>
          <w:kern w:val="2"/>
          <w:sz w:val="21"/>
          <w:szCs w:val="21"/>
        </w:rPr>
      </w:pPr>
      <w:r>
        <w:rPr>
          <w:rFonts w:hint="eastAsia" w:ascii="仿宋_GB2312" w:hAnsi="Times New Roman" w:eastAsia="仿宋_GB2312" w:cs="仿宋_GB2312"/>
          <w:b/>
          <w:bCs/>
          <w:kern w:val="2"/>
          <w:sz w:val="28"/>
          <w:szCs w:val="28"/>
          <w:lang w:val="en-US" w:eastAsia="zh-CN" w:bidi="ar"/>
        </w:rPr>
        <w:t>附件六：售后服务承诺（含厂家）</w:t>
      </w:r>
    </w:p>
    <w:p w14:paraId="6EDEECB2">
      <w:pPr>
        <w:keepNext w:val="0"/>
        <w:keepLines w:val="0"/>
        <w:widowControl/>
        <w:suppressLineNumbers w:val="0"/>
        <w:spacing w:before="0" w:beforeAutospacing="0" w:after="0" w:afterAutospacing="0"/>
        <w:ind w:left="0" w:right="0"/>
        <w:jc w:val="left"/>
        <w:rPr>
          <w:rFonts w:hint="eastAsia" w:ascii="仿宋_GB2312" w:eastAsia="仿宋_GB2312" w:cs="仿宋_GB2312"/>
          <w:b/>
          <w:bCs/>
          <w:kern w:val="2"/>
          <w:sz w:val="28"/>
          <w:szCs w:val="28"/>
        </w:rPr>
      </w:pPr>
      <w:r>
        <w:rPr>
          <w:rFonts w:hint="eastAsia" w:ascii="仿宋_GB2312" w:hAnsi="Times New Roman" w:eastAsia="仿宋_GB2312" w:cs="仿宋_GB2312"/>
          <w:b/>
          <w:bCs/>
          <w:kern w:val="2"/>
          <w:sz w:val="28"/>
          <w:szCs w:val="28"/>
          <w:lang w:val="en-US" w:eastAsia="zh-CN" w:bidi="ar"/>
        </w:rPr>
        <w:br w:type="page"/>
      </w:r>
    </w:p>
    <w:p w14:paraId="43C1B10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val="0"/>
          <w:kern w:val="0"/>
          <w:sz w:val="32"/>
          <w:szCs w:val="32"/>
        </w:rPr>
      </w:pPr>
      <w:r>
        <w:rPr>
          <w:rFonts w:hint="eastAsia" w:ascii="仿宋_GB2312" w:hAnsi="Times New Roman" w:eastAsia="仿宋_GB2312" w:cs="仿宋_GB2312"/>
          <w:b/>
          <w:bCs/>
          <w:kern w:val="2"/>
          <w:sz w:val="28"/>
          <w:szCs w:val="28"/>
          <w:lang w:val="en-US" w:eastAsia="zh-CN" w:bidi="ar"/>
        </w:rPr>
        <w:t>附件七：每年二次的维护计划</w:t>
      </w:r>
    </w:p>
    <w:p w14:paraId="6D05C46A">
      <w:pPr>
        <w:pStyle w:val="25"/>
        <w:ind w:left="0" w:leftChars="0" w:firstLine="0" w:firstLineChars="0"/>
        <w:rPr>
          <w:rFonts w:hint="eastAsia" w:ascii="宋体" w:hAnsi="宋体" w:cs="宋体"/>
          <w:color w:val="000000" w:themeColor="text1"/>
          <w:szCs w:val="21"/>
          <w:lang w:eastAsia="zh-CN"/>
          <w14:textFill>
            <w14:solidFill>
              <w14:schemeClr w14:val="tx1"/>
            </w14:solidFill>
          </w14:textFill>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43F34B3-ECA7-42DE-A5FE-0872B5C94048}"/>
  </w:font>
  <w:font w:name="黑体">
    <w:panose1 w:val="02010609060101010101"/>
    <w:charset w:val="86"/>
    <w:family w:val="auto"/>
    <w:pitch w:val="default"/>
    <w:sig w:usb0="800002BF" w:usb1="38CF7CFA" w:usb2="00000016" w:usb3="00000000" w:csb0="00040001" w:csb1="00000000"/>
    <w:embedRegular r:id="rId2" w:fontKey="{2843F1EF-654A-4AF0-ACB2-7CB6CAD320CC}"/>
  </w:font>
  <w:font w:name="Courier New">
    <w:panose1 w:val="02070309020205020404"/>
    <w:charset w:val="01"/>
    <w:family w:val="modern"/>
    <w:pitch w:val="default"/>
    <w:sig w:usb0="E0002EFF" w:usb1="C0007843" w:usb2="00000009" w:usb3="00000000" w:csb0="400001FF" w:csb1="FFFF0000"/>
    <w:embedRegular r:id="rId3" w:fontKey="{AEE99C9A-0E4D-40E7-B95F-DAFDC4D0E353}"/>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BAB38731-338B-46C6-B70A-38FBD05746FF}"/>
  </w:font>
  <w:font w:name="Cambria">
    <w:panose1 w:val="02040503050406030204"/>
    <w:charset w:val="00"/>
    <w:family w:val="roman"/>
    <w:pitch w:val="default"/>
    <w:sig w:usb0="E00006FF" w:usb1="420024FF" w:usb2="0200000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embedRegular r:id="rId5" w:fontKey="{AD42700B-E189-45C4-B87B-45972BE6D0BA}"/>
  </w:font>
  <w:font w:name="微软雅黑">
    <w:panose1 w:val="020B0503020204020204"/>
    <w:charset w:val="86"/>
    <w:family w:val="swiss"/>
    <w:pitch w:val="default"/>
    <w:sig w:usb0="80000287" w:usb1="2ACF3C50" w:usb2="00000016" w:usb3="00000000" w:csb0="0004001F" w:csb1="00000000"/>
  </w:font>
  <w:font w:name="华文宋体">
    <w:altName w:val="宋体"/>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embedRegular r:id="rId6" w:fontKey="{0B65F796-7EF6-4F28-ABD6-3BDA110AE74B}"/>
  </w:font>
  <w:font w:name="Wingdings 2">
    <w:panose1 w:val="05020102010507070707"/>
    <w:charset w:val="00"/>
    <w:family w:val="auto"/>
    <w:pitch w:val="default"/>
    <w:sig w:usb0="00000000" w:usb1="00000000" w:usb2="00000000" w:usb3="00000000" w:csb0="80000000" w:csb1="00000000"/>
    <w:embedRegular r:id="rId7" w:fontKey="{2C021F1D-E2DA-41F6-A977-DF2EBF83AA75}"/>
  </w:font>
  <w:font w:name="方正仿宋_GBK">
    <w:altName w:val="微软雅黑"/>
    <w:panose1 w:val="00000000000000000000"/>
    <w:charset w:val="86"/>
    <w:family w:val="auto"/>
    <w:pitch w:val="default"/>
    <w:sig w:usb0="00000000" w:usb1="00000000" w:usb2="00000000" w:usb3="00000000" w:csb0="00040000" w:csb1="00000000"/>
    <w:embedRegular r:id="rId8" w:fontKey="{DAA0BE84-5384-4E64-BEB7-2FBA7D19802C}"/>
  </w:font>
  <w:font w:name="楷体_GB2312">
    <w:altName w:val="楷体"/>
    <w:panose1 w:val="00000000000000000000"/>
    <w:charset w:val="00"/>
    <w:family w:val="auto"/>
    <w:pitch w:val="default"/>
    <w:sig w:usb0="00000000" w:usb1="00000000" w:usb2="00000000" w:usb3="00000000" w:csb0="00000000" w:csb1="00000000"/>
    <w:embedRegular r:id="rId9" w:fontKey="{9D129641-D555-4D88-A597-52D6E2EA08E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embedRegular r:id="rId10" w:fontKey="{2A6F04CC-EFF9-4729-A974-A3B5AE2E8CE7}"/>
  </w:font>
  <w:font w:name="方正小标宋简体">
    <w:panose1 w:val="02010600010101010101"/>
    <w:charset w:val="86"/>
    <w:family w:val="auto"/>
    <w:pitch w:val="default"/>
    <w:sig w:usb0="00000001" w:usb1="080E0000" w:usb2="00000000" w:usb3="00000000" w:csb0="00040000" w:csb1="00000000"/>
    <w:embedRegular r:id="rId11" w:fontKey="{439C955A-B530-488B-88B0-25A1A57B5E4A}"/>
  </w:font>
  <w:font w:name="方正小标宋_GBK">
    <w:panose1 w:val="02000000000000000000"/>
    <w:charset w:val="86"/>
    <w:family w:val="auto"/>
    <w:pitch w:val="default"/>
    <w:sig w:usb0="A00002BF" w:usb1="38CF7CFA" w:usb2="00082016" w:usb3="00000000" w:csb0="00040001" w:csb1="00000000"/>
    <w:embedRegular r:id="rId12" w:fontKey="{8B87822D-8ECF-4075-8C31-EF5A6CC0C76E}"/>
  </w:font>
  <w:font w:name="WPSEMBED9">
    <w:panose1 w:val="05020102010507070707"/>
    <w:charset w:val="00"/>
    <w:family w:val="auto"/>
    <w:pitch w:val="default"/>
    <w:sig w:usb0="00000000" w:usb1="00000000" w:usb2="00000000" w:usb3="00000000" w:csb0="80000000"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FC0B5">
    <w:pPr>
      <w:pStyle w:val="11"/>
      <w:jc w:val="center"/>
      <w:rPr>
        <w:rStyle w:val="22"/>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4776B1">
                          <w:pPr>
                            <w:pStyle w:val="11"/>
                            <w:jc w:val="center"/>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85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B4776B1">
                    <w:pPr>
                      <w:pStyle w:val="11"/>
                      <w:jc w:val="center"/>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85</w:t>
                    </w:r>
                    <w:r>
                      <w:fldChar w:fldCharType="end"/>
                    </w:r>
                    <w:r>
                      <w:t xml:space="preserve"> 页</w:t>
                    </w:r>
                  </w:p>
                </w:txbxContent>
              </v:textbox>
            </v:shape>
          </w:pict>
        </mc:Fallback>
      </mc:AlternateContent>
    </w:r>
  </w:p>
  <w:p w14:paraId="5AE7A01B">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9996D">
    <w:pPr>
      <w:pStyle w:val="12"/>
      <w:jc w:val="right"/>
      <w:rPr>
        <w:rFonts w:hint="eastAsia" w:ascii="宋体" w:hAnsi="宋体" w:eastAsia="宋体"/>
        <w:color w:val="auto"/>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FF3313"/>
    <w:multiLevelType w:val="singleLevel"/>
    <w:tmpl w:val="C2FF3313"/>
    <w:lvl w:ilvl="0" w:tentative="0">
      <w:start w:val="3"/>
      <w:numFmt w:val="chineseCounting"/>
      <w:suff w:val="space"/>
      <w:lvlText w:val="（%1）"/>
      <w:lvlJc w:val="left"/>
      <w:rPr>
        <w:rFonts w:hint="eastAsia"/>
      </w:rPr>
    </w:lvl>
  </w:abstractNum>
  <w:abstractNum w:abstractNumId="1">
    <w:nsid w:val="D9602B2F"/>
    <w:multiLevelType w:val="singleLevel"/>
    <w:tmpl w:val="D9602B2F"/>
    <w:lvl w:ilvl="0" w:tentative="0">
      <w:start w:val="1"/>
      <w:numFmt w:val="chineseCounting"/>
      <w:suff w:val="space"/>
      <w:lvlText w:val="%1、"/>
      <w:lvlJc w:val="left"/>
      <w:rPr>
        <w:rFonts w:hint="eastAsia"/>
      </w:rPr>
    </w:lvl>
  </w:abstractNum>
  <w:abstractNum w:abstractNumId="2">
    <w:nsid w:val="F4421C38"/>
    <w:multiLevelType w:val="singleLevel"/>
    <w:tmpl w:val="F4421C38"/>
    <w:lvl w:ilvl="0" w:tentative="0">
      <w:start w:val="1"/>
      <w:numFmt w:val="chineseCounting"/>
      <w:suff w:val="space"/>
      <w:lvlText w:val="第%1章"/>
      <w:lvlJc w:val="left"/>
      <w:rPr>
        <w:rFonts w:hint="eastAsia"/>
      </w:rPr>
    </w:lvl>
  </w:abstractNum>
  <w:abstractNum w:abstractNumId="3">
    <w:nsid w:val="07486699"/>
    <w:multiLevelType w:val="singleLevel"/>
    <w:tmpl w:val="07486699"/>
    <w:lvl w:ilvl="0" w:tentative="0">
      <w:start w:val="1"/>
      <w:numFmt w:val="decimal"/>
      <w:lvlText w:val="%1."/>
      <w:lvlJc w:val="left"/>
      <w:pPr>
        <w:tabs>
          <w:tab w:val="left" w:pos="312"/>
        </w:tabs>
      </w:pPr>
    </w:lvl>
  </w:abstractNum>
  <w:abstractNum w:abstractNumId="4">
    <w:nsid w:val="25AC778E"/>
    <w:multiLevelType w:val="multilevel"/>
    <w:tmpl w:val="25AC778E"/>
    <w:lvl w:ilvl="0" w:tentative="0">
      <w:start w:val="1"/>
      <w:numFmt w:val="japaneseCounting"/>
      <w:lvlText w:val="%1、"/>
      <w:lvlJc w:val="left"/>
      <w:pPr>
        <w:tabs>
          <w:tab w:val="left" w:pos="420"/>
        </w:tabs>
        <w:ind w:left="420" w:hanging="420"/>
      </w:pPr>
      <w:rPr>
        <w:rFonts w:ascii="宋体" w:hAnsi="宋体" w:eastAsia="宋体" w:cs="Courier New"/>
      </w:rPr>
    </w:lvl>
    <w:lvl w:ilvl="1" w:tentative="0">
      <w:start w:val="1"/>
      <w:numFmt w:val="decimal"/>
      <w:lvlText w:val="%2、"/>
      <w:lvlJc w:val="left"/>
      <w:pPr>
        <w:tabs>
          <w:tab w:val="left" w:pos="780"/>
        </w:tabs>
        <w:ind w:left="780" w:hanging="360"/>
      </w:pPr>
      <w:rPr>
        <w:rFonts w:hint="default"/>
        <w:b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35844DFD"/>
    <w:multiLevelType w:val="multilevel"/>
    <w:tmpl w:val="35844DFD"/>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6">
    <w:nsid w:val="4501719F"/>
    <w:multiLevelType w:val="multilevel"/>
    <w:tmpl w:val="4501719F"/>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4AF300E9"/>
    <w:multiLevelType w:val="multilevel"/>
    <w:tmpl w:val="4AF300E9"/>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8">
    <w:nsid w:val="4C5BCD0C"/>
    <w:multiLevelType w:val="singleLevel"/>
    <w:tmpl w:val="4C5BCD0C"/>
    <w:lvl w:ilvl="0" w:tentative="0">
      <w:start w:val="6"/>
      <w:numFmt w:val="chineseCounting"/>
      <w:suff w:val="space"/>
      <w:lvlText w:val="第%1章"/>
      <w:lvlJc w:val="left"/>
      <w:rPr>
        <w:rFonts w:hint="eastAsia"/>
      </w:rPr>
    </w:lvl>
  </w:abstractNum>
  <w:abstractNum w:abstractNumId="9">
    <w:nsid w:val="507A66DD"/>
    <w:multiLevelType w:val="singleLevel"/>
    <w:tmpl w:val="507A66DD"/>
    <w:lvl w:ilvl="0" w:tentative="0">
      <w:start w:val="5"/>
      <w:numFmt w:val="chineseCounting"/>
      <w:suff w:val="nothing"/>
      <w:lvlText w:val="%1、"/>
      <w:lvlJc w:val="left"/>
      <w:rPr>
        <w:rFonts w:hint="eastAsia"/>
      </w:rPr>
    </w:lvl>
  </w:abstractNum>
  <w:abstractNum w:abstractNumId="10">
    <w:nsid w:val="50FB4E67"/>
    <w:multiLevelType w:val="singleLevel"/>
    <w:tmpl w:val="50FB4E67"/>
    <w:lvl w:ilvl="0" w:tentative="0">
      <w:start w:val="1"/>
      <w:numFmt w:val="decimal"/>
      <w:suff w:val="space"/>
      <w:lvlText w:val="%1."/>
      <w:lvlJc w:val="left"/>
    </w:lvl>
  </w:abstractNum>
  <w:abstractNum w:abstractNumId="11">
    <w:nsid w:val="59215DE2"/>
    <w:multiLevelType w:val="singleLevel"/>
    <w:tmpl w:val="59215DE2"/>
    <w:lvl w:ilvl="0" w:tentative="0">
      <w:start w:val="2"/>
      <w:numFmt w:val="decimal"/>
      <w:suff w:val="nothing"/>
      <w:lvlText w:val="（%1）"/>
      <w:lvlJc w:val="left"/>
    </w:lvl>
  </w:abstractNum>
  <w:abstractNum w:abstractNumId="12">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13">
    <w:nsid w:val="5DE61E17"/>
    <w:multiLevelType w:val="multilevel"/>
    <w:tmpl w:val="5DE61E17"/>
    <w:lvl w:ilvl="0" w:tentative="0">
      <w:start w:val="1"/>
      <w:numFmt w:val="decimal"/>
      <w:lvlText w:val="%1"/>
      <w:lvlJc w:val="left"/>
      <w:pPr>
        <w:tabs>
          <w:tab w:val="left" w:pos="425"/>
        </w:tabs>
        <w:ind w:left="425" w:hanging="425"/>
      </w:pPr>
      <w:rPr>
        <w:rFonts w:hint="eastAsia" w:ascii="宋体" w:hAnsi="宋体" w:eastAsia="宋体"/>
        <w:strike w:val="0"/>
      </w:rPr>
    </w:lvl>
    <w:lvl w:ilvl="1" w:tentative="0">
      <w:start w:val="1"/>
      <w:numFmt w:val="decimal"/>
      <w:lvlText w:val="%1.%2."/>
      <w:lvlJc w:val="left"/>
      <w:pPr>
        <w:tabs>
          <w:tab w:val="left" w:pos="567"/>
        </w:tabs>
        <w:ind w:left="567" w:hanging="567"/>
      </w:pPr>
      <w:rPr>
        <w:rFonts w:hint="eastAsia" w:ascii="宋体" w:hAnsi="宋体" w:eastAsia="宋体"/>
        <w:b w:val="0"/>
        <w:strike w:val="0"/>
        <w:dstrike w:val="0"/>
        <w:sz w:val="21"/>
        <w:szCs w:val="21"/>
      </w:rPr>
    </w:lvl>
    <w:lvl w:ilvl="2" w:tentative="0">
      <w:start w:val="1"/>
      <w:numFmt w:val="decimal"/>
      <w:lvlText w:val="%1.%2.%3."/>
      <w:lvlJc w:val="left"/>
      <w:pPr>
        <w:tabs>
          <w:tab w:val="left" w:pos="567"/>
        </w:tabs>
        <w:ind w:left="567" w:hanging="567"/>
      </w:pPr>
      <w:rPr>
        <w:rFonts w:hint="eastAsia" w:ascii="宋体" w:hAnsi="宋体" w:eastAsia="宋体"/>
        <w:b w:val="0"/>
        <w:sz w:val="21"/>
        <w:szCs w:val="21"/>
      </w:rPr>
    </w:lvl>
    <w:lvl w:ilvl="3" w:tentative="0">
      <w:start w:val="1"/>
      <w:numFmt w:val="decimal"/>
      <w:lvlText w:val="%1.%2.%3.%4."/>
      <w:lvlJc w:val="left"/>
      <w:pPr>
        <w:tabs>
          <w:tab w:val="left" w:pos="851"/>
        </w:tabs>
        <w:ind w:left="851" w:hanging="851"/>
      </w:pPr>
      <w:rPr>
        <w:rFonts w:hint="eastAsia" w:ascii="宋体" w:hAnsi="宋体" w:eastAsia="宋体"/>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4">
    <w:nsid w:val="6EEB7F65"/>
    <w:multiLevelType w:val="multilevel"/>
    <w:tmpl w:val="6EEB7F65"/>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72A91BB4"/>
    <w:multiLevelType w:val="multilevel"/>
    <w:tmpl w:val="72A91BB4"/>
    <w:lvl w:ilvl="0" w:tentative="0">
      <w:start w:val="1"/>
      <w:numFmt w:val="japaneseCounting"/>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1"/>
  </w:num>
  <w:num w:numId="4">
    <w:abstractNumId w:val="9"/>
  </w:num>
  <w:num w:numId="5">
    <w:abstractNumId w:val="6"/>
  </w:num>
  <w:num w:numId="6">
    <w:abstractNumId w:val="4"/>
  </w:num>
  <w:num w:numId="7">
    <w:abstractNumId w:val="14"/>
  </w:num>
  <w:num w:numId="8">
    <w:abstractNumId w:val="0"/>
  </w:num>
  <w:num w:numId="9">
    <w:abstractNumId w:val="10"/>
  </w:num>
  <w:num w:numId="10">
    <w:abstractNumId w:val="7"/>
  </w:num>
  <w:num w:numId="11">
    <w:abstractNumId w:val="5"/>
  </w:num>
  <w:num w:numId="12">
    <w:abstractNumId w:val="3"/>
  </w:num>
  <w:num w:numId="13">
    <w:abstractNumId w:val="16"/>
  </w:num>
  <w:num w:numId="14">
    <w:abstractNumId w:val="12"/>
  </w:num>
  <w:num w:numId="15">
    <w:abstractNumId w:val="1"/>
  </w:num>
  <w:num w:numId="16">
    <w:abstractNumId w:val="8"/>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yNDYyYmQ1ZDA0NDE2ZWMxMTVjMTBjNjZlNGMxZWMifQ=="/>
  </w:docVars>
  <w:rsids>
    <w:rsidRoot w:val="00172A27"/>
    <w:rsid w:val="00053647"/>
    <w:rsid w:val="00085086"/>
    <w:rsid w:val="000962F1"/>
    <w:rsid w:val="00103746"/>
    <w:rsid w:val="00153EC7"/>
    <w:rsid w:val="001C4B92"/>
    <w:rsid w:val="001E3994"/>
    <w:rsid w:val="00265A7A"/>
    <w:rsid w:val="002B0228"/>
    <w:rsid w:val="00305A7B"/>
    <w:rsid w:val="003476CA"/>
    <w:rsid w:val="00362699"/>
    <w:rsid w:val="00393014"/>
    <w:rsid w:val="003D734D"/>
    <w:rsid w:val="004434B5"/>
    <w:rsid w:val="004E10A0"/>
    <w:rsid w:val="00515D3E"/>
    <w:rsid w:val="00525336"/>
    <w:rsid w:val="00526253"/>
    <w:rsid w:val="00582E4C"/>
    <w:rsid w:val="00587EFF"/>
    <w:rsid w:val="005B67A2"/>
    <w:rsid w:val="005C3928"/>
    <w:rsid w:val="005C4239"/>
    <w:rsid w:val="006A1144"/>
    <w:rsid w:val="0073551B"/>
    <w:rsid w:val="007463C5"/>
    <w:rsid w:val="007F4C78"/>
    <w:rsid w:val="00820D55"/>
    <w:rsid w:val="008E7AB4"/>
    <w:rsid w:val="008F2D7D"/>
    <w:rsid w:val="0093371A"/>
    <w:rsid w:val="00960105"/>
    <w:rsid w:val="00975532"/>
    <w:rsid w:val="009A6F43"/>
    <w:rsid w:val="00A14DD6"/>
    <w:rsid w:val="00A45DF8"/>
    <w:rsid w:val="00A818CE"/>
    <w:rsid w:val="00B05B1C"/>
    <w:rsid w:val="00B11F87"/>
    <w:rsid w:val="00B429BE"/>
    <w:rsid w:val="00B4641D"/>
    <w:rsid w:val="00B54575"/>
    <w:rsid w:val="00BD37E9"/>
    <w:rsid w:val="00C035E7"/>
    <w:rsid w:val="00C12F48"/>
    <w:rsid w:val="00C242B3"/>
    <w:rsid w:val="00CB48A0"/>
    <w:rsid w:val="00D076D9"/>
    <w:rsid w:val="00D27E74"/>
    <w:rsid w:val="00D36759"/>
    <w:rsid w:val="00D70391"/>
    <w:rsid w:val="00DD4B18"/>
    <w:rsid w:val="00DE0DB1"/>
    <w:rsid w:val="00DF281B"/>
    <w:rsid w:val="00E309D1"/>
    <w:rsid w:val="00E70B1C"/>
    <w:rsid w:val="00EE5E48"/>
    <w:rsid w:val="00FC1F7B"/>
    <w:rsid w:val="00FD6AFE"/>
    <w:rsid w:val="00FF2DFF"/>
    <w:rsid w:val="02A9777F"/>
    <w:rsid w:val="02AF66E0"/>
    <w:rsid w:val="02F67A76"/>
    <w:rsid w:val="031E1CC9"/>
    <w:rsid w:val="0320670E"/>
    <w:rsid w:val="034B4BE6"/>
    <w:rsid w:val="03D86CBB"/>
    <w:rsid w:val="0407590C"/>
    <w:rsid w:val="046B70B1"/>
    <w:rsid w:val="046F3F65"/>
    <w:rsid w:val="047E7636"/>
    <w:rsid w:val="05830AC6"/>
    <w:rsid w:val="05B34ED2"/>
    <w:rsid w:val="05C7701E"/>
    <w:rsid w:val="05E163D0"/>
    <w:rsid w:val="05FA3B56"/>
    <w:rsid w:val="06A974F2"/>
    <w:rsid w:val="0729050F"/>
    <w:rsid w:val="0744295F"/>
    <w:rsid w:val="075E2523"/>
    <w:rsid w:val="07711AD4"/>
    <w:rsid w:val="07AB1C61"/>
    <w:rsid w:val="07FB70D8"/>
    <w:rsid w:val="080655EC"/>
    <w:rsid w:val="0861098D"/>
    <w:rsid w:val="08D364DD"/>
    <w:rsid w:val="098008CA"/>
    <w:rsid w:val="09A06388"/>
    <w:rsid w:val="0AA16DFC"/>
    <w:rsid w:val="0B89451B"/>
    <w:rsid w:val="0C415C2B"/>
    <w:rsid w:val="0C775C71"/>
    <w:rsid w:val="0CA95AF4"/>
    <w:rsid w:val="0D2F59DD"/>
    <w:rsid w:val="0DD34C1E"/>
    <w:rsid w:val="0F2B57C3"/>
    <w:rsid w:val="0F3833E7"/>
    <w:rsid w:val="0FEF647A"/>
    <w:rsid w:val="1099323E"/>
    <w:rsid w:val="11170236"/>
    <w:rsid w:val="113F716A"/>
    <w:rsid w:val="11547CE6"/>
    <w:rsid w:val="11A46535"/>
    <w:rsid w:val="12DD6F01"/>
    <w:rsid w:val="12EC5AC1"/>
    <w:rsid w:val="13251FF4"/>
    <w:rsid w:val="133438E9"/>
    <w:rsid w:val="14103048"/>
    <w:rsid w:val="14784417"/>
    <w:rsid w:val="14BB18F8"/>
    <w:rsid w:val="15E056F0"/>
    <w:rsid w:val="165B02D3"/>
    <w:rsid w:val="16E878A8"/>
    <w:rsid w:val="16FD7F75"/>
    <w:rsid w:val="17422DCB"/>
    <w:rsid w:val="17BE6A0B"/>
    <w:rsid w:val="17C0574B"/>
    <w:rsid w:val="182D25C2"/>
    <w:rsid w:val="187C40C2"/>
    <w:rsid w:val="18CD0295"/>
    <w:rsid w:val="18D1626C"/>
    <w:rsid w:val="19C34D79"/>
    <w:rsid w:val="19E23181"/>
    <w:rsid w:val="1A2A0151"/>
    <w:rsid w:val="1AF57CC6"/>
    <w:rsid w:val="1BCD1BBD"/>
    <w:rsid w:val="1CB04F5A"/>
    <w:rsid w:val="1CBD6967"/>
    <w:rsid w:val="1CF04135"/>
    <w:rsid w:val="1D0B2FB0"/>
    <w:rsid w:val="1E1B7543"/>
    <w:rsid w:val="1E287231"/>
    <w:rsid w:val="1FB10D31"/>
    <w:rsid w:val="1FB63395"/>
    <w:rsid w:val="201B5E8D"/>
    <w:rsid w:val="20533A26"/>
    <w:rsid w:val="205729C5"/>
    <w:rsid w:val="20B61DE1"/>
    <w:rsid w:val="20FE7400"/>
    <w:rsid w:val="210D20DA"/>
    <w:rsid w:val="21307DB2"/>
    <w:rsid w:val="216A22EC"/>
    <w:rsid w:val="220311B7"/>
    <w:rsid w:val="22E70F8C"/>
    <w:rsid w:val="22F35ED1"/>
    <w:rsid w:val="230949B3"/>
    <w:rsid w:val="231B2B24"/>
    <w:rsid w:val="239F6B5C"/>
    <w:rsid w:val="23C063DE"/>
    <w:rsid w:val="24106E72"/>
    <w:rsid w:val="24487A08"/>
    <w:rsid w:val="24BE1867"/>
    <w:rsid w:val="25DE2164"/>
    <w:rsid w:val="260471AE"/>
    <w:rsid w:val="262C78E7"/>
    <w:rsid w:val="268564DD"/>
    <w:rsid w:val="26A900A8"/>
    <w:rsid w:val="271324B7"/>
    <w:rsid w:val="274550D1"/>
    <w:rsid w:val="275859A0"/>
    <w:rsid w:val="27BB7CDD"/>
    <w:rsid w:val="27C941A8"/>
    <w:rsid w:val="29833AC2"/>
    <w:rsid w:val="2A786D8D"/>
    <w:rsid w:val="2A802951"/>
    <w:rsid w:val="2B4C1378"/>
    <w:rsid w:val="2BE90BA6"/>
    <w:rsid w:val="2C150838"/>
    <w:rsid w:val="2C3E49FC"/>
    <w:rsid w:val="2CD71545"/>
    <w:rsid w:val="2D18339C"/>
    <w:rsid w:val="2D8D5C78"/>
    <w:rsid w:val="2E1F2D74"/>
    <w:rsid w:val="2EE67D35"/>
    <w:rsid w:val="2F623005"/>
    <w:rsid w:val="2F807931"/>
    <w:rsid w:val="3153125F"/>
    <w:rsid w:val="315F792B"/>
    <w:rsid w:val="32674CE9"/>
    <w:rsid w:val="32BB4225"/>
    <w:rsid w:val="33EC55F9"/>
    <w:rsid w:val="348651FA"/>
    <w:rsid w:val="34FE4919"/>
    <w:rsid w:val="35294DAE"/>
    <w:rsid w:val="355369E9"/>
    <w:rsid w:val="35F51174"/>
    <w:rsid w:val="35F76384"/>
    <w:rsid w:val="364E3EA8"/>
    <w:rsid w:val="366D7269"/>
    <w:rsid w:val="36865435"/>
    <w:rsid w:val="371231E8"/>
    <w:rsid w:val="37206CBB"/>
    <w:rsid w:val="37743C09"/>
    <w:rsid w:val="37753A04"/>
    <w:rsid w:val="38AA1DD4"/>
    <w:rsid w:val="38E30E42"/>
    <w:rsid w:val="38EF30F5"/>
    <w:rsid w:val="3A483B73"/>
    <w:rsid w:val="3AA765CB"/>
    <w:rsid w:val="3B273268"/>
    <w:rsid w:val="3C74211A"/>
    <w:rsid w:val="3C844841"/>
    <w:rsid w:val="3D626DA6"/>
    <w:rsid w:val="3E896739"/>
    <w:rsid w:val="3ED82EA8"/>
    <w:rsid w:val="3F951D49"/>
    <w:rsid w:val="3FB3156E"/>
    <w:rsid w:val="3FF9372A"/>
    <w:rsid w:val="4000052B"/>
    <w:rsid w:val="40624EF6"/>
    <w:rsid w:val="41B77024"/>
    <w:rsid w:val="437A1489"/>
    <w:rsid w:val="45FD1696"/>
    <w:rsid w:val="46614FB8"/>
    <w:rsid w:val="47541888"/>
    <w:rsid w:val="480F755D"/>
    <w:rsid w:val="483303EA"/>
    <w:rsid w:val="486B29D8"/>
    <w:rsid w:val="48C4659A"/>
    <w:rsid w:val="48DB3851"/>
    <w:rsid w:val="494A4D03"/>
    <w:rsid w:val="49F56077"/>
    <w:rsid w:val="4A4B30A6"/>
    <w:rsid w:val="4A673681"/>
    <w:rsid w:val="4ADF76BB"/>
    <w:rsid w:val="4BA80704"/>
    <w:rsid w:val="4BB057D6"/>
    <w:rsid w:val="4C186067"/>
    <w:rsid w:val="4CFC253C"/>
    <w:rsid w:val="4D4B557E"/>
    <w:rsid w:val="4E287B8F"/>
    <w:rsid w:val="4E2B2C17"/>
    <w:rsid w:val="4ECE5EBC"/>
    <w:rsid w:val="4F1D2EA8"/>
    <w:rsid w:val="4F276100"/>
    <w:rsid w:val="4F337933"/>
    <w:rsid w:val="4F7227C9"/>
    <w:rsid w:val="51CA5707"/>
    <w:rsid w:val="52662470"/>
    <w:rsid w:val="52796647"/>
    <w:rsid w:val="52835739"/>
    <w:rsid w:val="528965FF"/>
    <w:rsid w:val="54034D64"/>
    <w:rsid w:val="546465A8"/>
    <w:rsid w:val="54707634"/>
    <w:rsid w:val="548605A3"/>
    <w:rsid w:val="54CD1DCA"/>
    <w:rsid w:val="55223429"/>
    <w:rsid w:val="55301E37"/>
    <w:rsid w:val="55A5322D"/>
    <w:rsid w:val="564156CE"/>
    <w:rsid w:val="57004BF9"/>
    <w:rsid w:val="5703767D"/>
    <w:rsid w:val="570C231F"/>
    <w:rsid w:val="571C54EC"/>
    <w:rsid w:val="57641802"/>
    <w:rsid w:val="57C31A8B"/>
    <w:rsid w:val="58DE2B70"/>
    <w:rsid w:val="58EB2CD9"/>
    <w:rsid w:val="592204BC"/>
    <w:rsid w:val="595C38E5"/>
    <w:rsid w:val="5AC72E8D"/>
    <w:rsid w:val="5AF00445"/>
    <w:rsid w:val="5B0F6FF4"/>
    <w:rsid w:val="5D045FFD"/>
    <w:rsid w:val="5DAE1F62"/>
    <w:rsid w:val="5DE35818"/>
    <w:rsid w:val="5DED21E0"/>
    <w:rsid w:val="5DFC0378"/>
    <w:rsid w:val="5DFC6F6D"/>
    <w:rsid w:val="5E533026"/>
    <w:rsid w:val="5F7F1015"/>
    <w:rsid w:val="5F8F74AA"/>
    <w:rsid w:val="603040BD"/>
    <w:rsid w:val="61131A15"/>
    <w:rsid w:val="61D943D5"/>
    <w:rsid w:val="63DA5557"/>
    <w:rsid w:val="651F6AF8"/>
    <w:rsid w:val="6591642E"/>
    <w:rsid w:val="65AF2FC0"/>
    <w:rsid w:val="664D7777"/>
    <w:rsid w:val="66934D57"/>
    <w:rsid w:val="66FB3482"/>
    <w:rsid w:val="672B148E"/>
    <w:rsid w:val="6773695A"/>
    <w:rsid w:val="67775E34"/>
    <w:rsid w:val="67B840B0"/>
    <w:rsid w:val="68921DB9"/>
    <w:rsid w:val="69D81A4D"/>
    <w:rsid w:val="69EE0DB5"/>
    <w:rsid w:val="6A507835"/>
    <w:rsid w:val="6B1E5ABE"/>
    <w:rsid w:val="6B694230"/>
    <w:rsid w:val="6B7258C3"/>
    <w:rsid w:val="6B9D7D0A"/>
    <w:rsid w:val="6BE5773F"/>
    <w:rsid w:val="6CA908B2"/>
    <w:rsid w:val="6D6134B1"/>
    <w:rsid w:val="6EF015E7"/>
    <w:rsid w:val="6FA3559F"/>
    <w:rsid w:val="700B526E"/>
    <w:rsid w:val="70497201"/>
    <w:rsid w:val="7083201C"/>
    <w:rsid w:val="708A7E9A"/>
    <w:rsid w:val="70933FDB"/>
    <w:rsid w:val="70A95EF1"/>
    <w:rsid w:val="70C67989"/>
    <w:rsid w:val="71991172"/>
    <w:rsid w:val="71D904F0"/>
    <w:rsid w:val="72207836"/>
    <w:rsid w:val="723039E4"/>
    <w:rsid w:val="72367718"/>
    <w:rsid w:val="72ED6ADA"/>
    <w:rsid w:val="734B61B4"/>
    <w:rsid w:val="73C80160"/>
    <w:rsid w:val="73F85F77"/>
    <w:rsid w:val="744F0493"/>
    <w:rsid w:val="74B661AA"/>
    <w:rsid w:val="755469EE"/>
    <w:rsid w:val="76074F9A"/>
    <w:rsid w:val="76525A3A"/>
    <w:rsid w:val="76764645"/>
    <w:rsid w:val="77187ACC"/>
    <w:rsid w:val="77785B42"/>
    <w:rsid w:val="77813724"/>
    <w:rsid w:val="77CB584B"/>
    <w:rsid w:val="780A23D9"/>
    <w:rsid w:val="786D4A31"/>
    <w:rsid w:val="788039DC"/>
    <w:rsid w:val="78B60C02"/>
    <w:rsid w:val="78FA0D3D"/>
    <w:rsid w:val="7A2747BD"/>
    <w:rsid w:val="7A7430CC"/>
    <w:rsid w:val="7B2C15E1"/>
    <w:rsid w:val="7BC4348B"/>
    <w:rsid w:val="7C22504E"/>
    <w:rsid w:val="7CA61410"/>
    <w:rsid w:val="7D0D1FD1"/>
    <w:rsid w:val="7D806106"/>
    <w:rsid w:val="7D863BB0"/>
    <w:rsid w:val="7D986F5E"/>
    <w:rsid w:val="7E060C3F"/>
    <w:rsid w:val="7E370052"/>
    <w:rsid w:val="7ED11769"/>
    <w:rsid w:val="7F0D1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widowControl/>
      <w:jc w:val="left"/>
      <w:outlineLvl w:val="0"/>
    </w:pPr>
    <w:rPr>
      <w:b/>
      <w:bCs/>
      <w:kern w:val="0"/>
      <w:sz w:val="24"/>
    </w:rPr>
  </w:style>
  <w:style w:type="paragraph" w:styleId="3">
    <w:name w:val="heading 2"/>
    <w:basedOn w:val="1"/>
    <w:next w:val="1"/>
    <w:qFormat/>
    <w:uiPriority w:val="0"/>
    <w:pPr>
      <w:outlineLvl w:val="1"/>
    </w:pPr>
    <w:rPr>
      <w:rFonts w:ascii="Cambria" w:hAnsi="Cambria" w:cs="宋体"/>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20">
    <w:name w:val="Default Paragraph Font"/>
    <w:semiHidden/>
    <w:unhideWhenUsed/>
    <w:qFormat/>
    <w:uiPriority w:val="1"/>
  </w:style>
  <w:style w:type="table" w:default="1" w:styleId="1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Normal Indent"/>
    <w:basedOn w:val="1"/>
    <w:next w:val="6"/>
    <w:qFormat/>
    <w:uiPriority w:val="99"/>
    <w:pPr>
      <w:ind w:firstLine="420" w:firstLineChars="200"/>
    </w:pPr>
  </w:style>
  <w:style w:type="paragraph" w:styleId="6">
    <w:name w:val="Body Text"/>
    <w:basedOn w:val="1"/>
    <w:qFormat/>
    <w:uiPriority w:val="0"/>
    <w:pPr>
      <w:spacing w:after="120"/>
    </w:pPr>
  </w:style>
  <w:style w:type="paragraph" w:styleId="7">
    <w:name w:val="annotation text"/>
    <w:basedOn w:val="1"/>
    <w:qFormat/>
    <w:uiPriority w:val="0"/>
    <w:pPr>
      <w:jc w:val="left"/>
    </w:pPr>
    <w:rPr>
      <w:rFonts w:asciiTheme="minorHAnsi" w:hAnsiTheme="minorHAnsi" w:eastAsiaTheme="minorEastAsia" w:cstheme="minorBidi"/>
    </w:rPr>
  </w:style>
  <w:style w:type="paragraph" w:styleId="8">
    <w:name w:val="Body Text Indent"/>
    <w:basedOn w:val="1"/>
    <w:qFormat/>
    <w:uiPriority w:val="0"/>
    <w:pPr>
      <w:spacing w:line="560" w:lineRule="exact"/>
      <w:ind w:left="300"/>
    </w:pPr>
    <w:rPr>
      <w:sz w:val="24"/>
    </w:rPr>
  </w:style>
  <w:style w:type="paragraph" w:styleId="9">
    <w:name w:val="toc 3"/>
    <w:basedOn w:val="1"/>
    <w:next w:val="1"/>
    <w:semiHidden/>
    <w:unhideWhenUsed/>
    <w:qFormat/>
    <w:uiPriority w:val="39"/>
    <w:pPr>
      <w:ind w:left="840" w:leftChars="400"/>
    </w:pPr>
  </w:style>
  <w:style w:type="paragraph" w:styleId="10">
    <w:name w:val="Plain Text"/>
    <w:basedOn w:val="1"/>
    <w:link w:val="28"/>
    <w:semiHidden/>
    <w:unhideWhenUsed/>
    <w:qFormat/>
    <w:uiPriority w:val="99"/>
    <w:rPr>
      <w:rFonts w:ascii="宋体" w:hAnsi="Courier New" w:eastAsia="宋体" w:cs="Times New Roman"/>
      <w:szCs w:val="20"/>
    </w:rPr>
  </w:style>
  <w:style w:type="paragraph" w:styleId="11">
    <w:name w:val="footer"/>
    <w:basedOn w:val="1"/>
    <w:link w:val="27"/>
    <w:semiHidden/>
    <w:unhideWhenUsed/>
    <w:qFormat/>
    <w:uiPriority w:val="99"/>
    <w:pPr>
      <w:tabs>
        <w:tab w:val="center" w:pos="4153"/>
        <w:tab w:val="right" w:pos="8306"/>
      </w:tabs>
      <w:snapToGrid w:val="0"/>
      <w:jc w:val="left"/>
    </w:pPr>
    <w:rPr>
      <w:sz w:val="18"/>
      <w:szCs w:val="18"/>
    </w:rPr>
  </w:style>
  <w:style w:type="paragraph" w:styleId="12">
    <w:name w:val="header"/>
    <w:basedOn w:val="1"/>
    <w:link w:val="2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semiHidden/>
    <w:unhideWhenUsed/>
    <w:qFormat/>
    <w:uiPriority w:val="39"/>
  </w:style>
  <w:style w:type="paragraph" w:styleId="14">
    <w:name w:val="Subtitle"/>
    <w:basedOn w:val="1"/>
    <w:next w:val="1"/>
    <w:qFormat/>
    <w:uiPriority w:val="0"/>
    <w:pPr>
      <w:tabs>
        <w:tab w:val="left" w:pos="426"/>
      </w:tabs>
      <w:spacing w:before="240" w:after="60" w:line="312" w:lineRule="auto"/>
      <w:jc w:val="center"/>
      <w:outlineLvl w:val="1"/>
    </w:pPr>
    <w:rPr>
      <w:rFonts w:ascii="Cambria" w:hAnsi="Cambria" w:cs="Times New Roman"/>
      <w:b/>
      <w:bCs/>
      <w:kern w:val="28"/>
      <w:sz w:val="28"/>
      <w:szCs w:val="32"/>
    </w:rPr>
  </w:style>
  <w:style w:type="paragraph" w:styleId="15">
    <w:name w:val="toc 2"/>
    <w:basedOn w:val="1"/>
    <w:next w:val="1"/>
    <w:semiHidden/>
    <w:unhideWhenUsed/>
    <w:qFormat/>
    <w:uiPriority w:val="39"/>
    <w:pPr>
      <w:ind w:left="420" w:leftChars="200"/>
    </w:pPr>
  </w:style>
  <w:style w:type="paragraph" w:styleId="16">
    <w:name w:val="Normal (Web)"/>
    <w:basedOn w:val="1"/>
    <w:semiHidden/>
    <w:unhideWhenUsed/>
    <w:qFormat/>
    <w:uiPriority w:val="99"/>
    <w:pPr>
      <w:widowControl/>
      <w:spacing w:before="0" w:beforeAutospacing="1" w:after="0" w:afterAutospacing="1"/>
      <w:ind w:left="0" w:right="0"/>
      <w:jc w:val="left"/>
    </w:pPr>
    <w:rPr>
      <w:rFonts w:ascii="宋体" w:hAnsi="宋体" w:eastAsia="宋体" w:cs="宋体"/>
      <w:kern w:val="0"/>
      <w:sz w:val="24"/>
      <w:szCs w:val="24"/>
      <w:lang w:val="en-US" w:eastAsia="zh-CN" w:bidi="ar"/>
    </w:rPr>
  </w:style>
  <w:style w:type="paragraph" w:styleId="17">
    <w:name w:val="Body Text First Indent 2"/>
    <w:basedOn w:val="8"/>
    <w:qFormat/>
    <w:uiPriority w:val="0"/>
    <w:pPr>
      <w:ind w:firstLine="420" w:firstLineChars="200"/>
    </w:pPr>
    <w:rPr>
      <w:sz w:val="21"/>
    </w:rPr>
  </w:style>
  <w:style w:type="table" w:styleId="19">
    <w:name w:val="Table Grid"/>
    <w:basedOn w:val="18"/>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1">
    <w:name w:val="Strong"/>
    <w:basedOn w:val="20"/>
    <w:qFormat/>
    <w:uiPriority w:val="0"/>
    <w:rPr>
      <w:b/>
      <w:bCs/>
    </w:rPr>
  </w:style>
  <w:style w:type="character" w:styleId="22">
    <w:name w:val="page number"/>
    <w:basedOn w:val="20"/>
    <w:qFormat/>
    <w:uiPriority w:val="0"/>
  </w:style>
  <w:style w:type="character" w:styleId="23">
    <w:name w:val="Emphasis"/>
    <w:basedOn w:val="20"/>
    <w:qFormat/>
    <w:uiPriority w:val="0"/>
    <w:rPr>
      <w:i/>
      <w:iCs/>
    </w:rPr>
  </w:style>
  <w:style w:type="character" w:styleId="24">
    <w:name w:val="Hyperlink"/>
    <w:qFormat/>
    <w:uiPriority w:val="99"/>
    <w:rPr>
      <w:color w:val="0000FF"/>
      <w:u w:val="single"/>
    </w:rPr>
  </w:style>
  <w:style w:type="paragraph" w:customStyle="1" w:styleId="25">
    <w:name w:val="文档正文"/>
    <w:basedOn w:val="1"/>
    <w:qFormat/>
    <w:uiPriority w:val="99"/>
    <w:pPr>
      <w:adjustRightInd w:val="0"/>
      <w:spacing w:line="480" w:lineRule="atLeast"/>
      <w:ind w:firstLine="567" w:firstLineChars="200"/>
      <w:textAlignment w:val="baseline"/>
    </w:pPr>
    <w:rPr>
      <w:rFonts w:ascii="长城仿宋"/>
      <w:szCs w:val="20"/>
    </w:rPr>
  </w:style>
  <w:style w:type="character" w:customStyle="1" w:styleId="26">
    <w:name w:val="页眉 Char"/>
    <w:basedOn w:val="20"/>
    <w:link w:val="12"/>
    <w:semiHidden/>
    <w:qFormat/>
    <w:uiPriority w:val="99"/>
    <w:rPr>
      <w:sz w:val="18"/>
      <w:szCs w:val="18"/>
    </w:rPr>
  </w:style>
  <w:style w:type="character" w:customStyle="1" w:styleId="27">
    <w:name w:val="页脚 Char"/>
    <w:basedOn w:val="20"/>
    <w:link w:val="11"/>
    <w:semiHidden/>
    <w:qFormat/>
    <w:uiPriority w:val="99"/>
    <w:rPr>
      <w:sz w:val="18"/>
      <w:szCs w:val="18"/>
    </w:rPr>
  </w:style>
  <w:style w:type="character" w:customStyle="1" w:styleId="28">
    <w:name w:val="纯文本 Char"/>
    <w:basedOn w:val="20"/>
    <w:link w:val="10"/>
    <w:semiHidden/>
    <w:qFormat/>
    <w:uiPriority w:val="99"/>
    <w:rPr>
      <w:rFonts w:ascii="宋体" w:hAnsi="Courier New" w:eastAsia="宋体" w:cs="Times New Roman"/>
      <w:szCs w:val="20"/>
    </w:rPr>
  </w:style>
  <w:style w:type="paragraph" w:customStyle="1" w:styleId="29">
    <w:name w:val="列出段落11"/>
    <w:basedOn w:val="1"/>
    <w:qFormat/>
    <w:uiPriority w:val="0"/>
    <w:pPr>
      <w:ind w:firstLine="420" w:firstLineChars="200"/>
    </w:pPr>
  </w:style>
  <w:style w:type="paragraph" w:styleId="30">
    <w:name w:val="List Paragraph"/>
    <w:basedOn w:val="1"/>
    <w:autoRedefine/>
    <w:qFormat/>
    <w:uiPriority w:val="34"/>
    <w:pPr>
      <w:ind w:firstLine="420" w:firstLineChars="200"/>
    </w:pPr>
    <w:rPr>
      <w:rFonts w:ascii="Calibri" w:hAnsi="Calibri"/>
      <w:szCs w:val="22"/>
    </w:rPr>
  </w:style>
  <w:style w:type="character" w:customStyle="1" w:styleId="31">
    <w:name w:val="font11"/>
    <w:basedOn w:val="20"/>
    <w:qFormat/>
    <w:uiPriority w:val="0"/>
    <w:rPr>
      <w:rFonts w:hint="eastAsia" w:ascii="宋体" w:hAnsi="宋体" w:eastAsia="宋体" w:cs="宋体"/>
      <w:color w:val="000000"/>
      <w:sz w:val="24"/>
      <w:szCs w:val="24"/>
      <w:u w:val="none"/>
    </w:rPr>
  </w:style>
  <w:style w:type="character" w:customStyle="1" w:styleId="32">
    <w:name w:val="font41"/>
    <w:basedOn w:val="20"/>
    <w:qFormat/>
    <w:uiPriority w:val="0"/>
    <w:rPr>
      <w:rFonts w:hint="default" w:ascii="Times New Roman" w:hAnsi="Times New Roman" w:cs="Times New Roman"/>
      <w:color w:val="000000"/>
      <w:sz w:val="24"/>
      <w:szCs w:val="24"/>
      <w:u w:val="none"/>
    </w:rPr>
  </w:style>
  <w:style w:type="paragraph" w:customStyle="1" w:styleId="33">
    <w:name w:val="*正文"/>
    <w:basedOn w:val="1"/>
    <w:qFormat/>
    <w:uiPriority w:val="0"/>
    <w:pPr>
      <w:spacing w:line="360" w:lineRule="auto"/>
      <w:ind w:firstLine="200" w:firstLineChars="200"/>
    </w:pPr>
    <w:rPr>
      <w:rFonts w:ascii="宋体" w:hAnsi="宋体"/>
      <w:kern w:val="0"/>
      <w:sz w:val="22"/>
      <w:szCs w:val="24"/>
    </w:rPr>
  </w:style>
  <w:style w:type="paragraph" w:customStyle="1" w:styleId="34">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35">
    <w:name w:val="_Style 3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
    <w:name w:val="列出段落1"/>
    <w:basedOn w:val="1"/>
    <w:autoRedefine/>
    <w:qFormat/>
    <w:uiPriority w:val="34"/>
    <w:pPr>
      <w:ind w:firstLine="420" w:firstLineChars="200"/>
    </w:pPr>
  </w:style>
  <w:style w:type="table" w:customStyle="1" w:styleId="37">
    <w:name w:val="网格型1"/>
    <w:basedOn w:val="18"/>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8">
    <w:name w:val="font21"/>
    <w:basedOn w:val="20"/>
    <w:qFormat/>
    <w:uiPriority w:val="0"/>
    <w:rPr>
      <w:rFonts w:hint="eastAsia" w:ascii="宋体" w:hAnsi="宋体" w:eastAsia="宋体" w:cs="宋体"/>
      <w:color w:val="000000"/>
      <w:sz w:val="22"/>
      <w:szCs w:val="22"/>
      <w:u w:val="none"/>
    </w:rPr>
  </w:style>
  <w:style w:type="character" w:customStyle="1" w:styleId="39">
    <w:name w:val="font71"/>
    <w:basedOn w:val="20"/>
    <w:qFormat/>
    <w:uiPriority w:val="0"/>
    <w:rPr>
      <w:rFonts w:hint="eastAsia" w:ascii="微软雅黑" w:hAnsi="微软雅黑" w:eastAsia="微软雅黑" w:cs="微软雅黑"/>
      <w:color w:val="FF0000"/>
      <w:sz w:val="22"/>
      <w:szCs w:val="22"/>
      <w:u w:val="none"/>
    </w:rPr>
  </w:style>
  <w:style w:type="character" w:customStyle="1" w:styleId="40">
    <w:name w:val="font81"/>
    <w:basedOn w:val="20"/>
    <w:qFormat/>
    <w:uiPriority w:val="0"/>
    <w:rPr>
      <w:rFonts w:hint="eastAsia" w:ascii="宋体" w:hAnsi="宋体" w:eastAsia="宋体" w:cs="宋体"/>
      <w:color w:val="000000"/>
      <w:sz w:val="22"/>
      <w:szCs w:val="22"/>
      <w:u w:val="none"/>
    </w:rPr>
  </w:style>
  <w:style w:type="character" w:customStyle="1" w:styleId="41">
    <w:name w:val="font91"/>
    <w:basedOn w:val="20"/>
    <w:qFormat/>
    <w:uiPriority w:val="0"/>
    <w:rPr>
      <w:rFonts w:hint="default" w:ascii="Times New Roman" w:hAnsi="Times New Roman" w:cs="Times New Roman"/>
      <w:color w:val="FF0000"/>
      <w:sz w:val="22"/>
      <w:szCs w:val="22"/>
      <w:u w:val="none"/>
    </w:rPr>
  </w:style>
  <w:style w:type="character" w:customStyle="1" w:styleId="42">
    <w:name w:val="font101"/>
    <w:basedOn w:val="20"/>
    <w:qFormat/>
    <w:uiPriority w:val="0"/>
    <w:rPr>
      <w:rFonts w:hint="eastAsia" w:ascii="宋体" w:hAnsi="宋体" w:eastAsia="宋体" w:cs="宋体"/>
      <w:color w:val="FF0000"/>
      <w:sz w:val="22"/>
      <w:szCs w:val="22"/>
      <w:u w:val="none"/>
    </w:rPr>
  </w:style>
  <w:style w:type="character" w:customStyle="1" w:styleId="43">
    <w:name w:val="font51"/>
    <w:basedOn w:val="20"/>
    <w:qFormat/>
    <w:uiPriority w:val="0"/>
    <w:rPr>
      <w:rFonts w:hint="default" w:ascii="华文宋体" w:hAnsi="华文宋体" w:eastAsia="华文宋体" w:cs="华文宋体"/>
      <w:color w:val="000000"/>
      <w:sz w:val="22"/>
      <w:szCs w:val="22"/>
      <w:u w:val="none"/>
    </w:rPr>
  </w:style>
  <w:style w:type="character" w:customStyle="1" w:styleId="44">
    <w:name w:val="font121"/>
    <w:basedOn w:val="20"/>
    <w:qFormat/>
    <w:uiPriority w:val="0"/>
    <w:rPr>
      <w:rFonts w:hint="default" w:ascii="华文宋体" w:hAnsi="华文宋体" w:eastAsia="华文宋体" w:cs="华文宋体"/>
      <w:color w:val="FF0000"/>
      <w:sz w:val="22"/>
      <w:szCs w:val="22"/>
      <w:u w:val="none"/>
    </w:rPr>
  </w:style>
  <w:style w:type="character" w:customStyle="1" w:styleId="45">
    <w:name w:val="font111"/>
    <w:basedOn w:val="20"/>
    <w:qFormat/>
    <w:uiPriority w:val="0"/>
    <w:rPr>
      <w:rFonts w:ascii="Arial" w:hAnsi="Arial" w:cs="Arial"/>
      <w:color w:val="000000"/>
      <w:sz w:val="22"/>
      <w:szCs w:val="22"/>
      <w:u w:val="none"/>
    </w:rPr>
  </w:style>
  <w:style w:type="paragraph" w:customStyle="1" w:styleId="46">
    <w:name w:val="WPSOffice手动目录 1"/>
    <w:qFormat/>
    <w:uiPriority w:val="0"/>
    <w:pPr>
      <w:ind w:leftChars="0"/>
    </w:pPr>
    <w:rPr>
      <w:rFonts w:ascii="Times New Roman" w:hAnsi="Times New Roman" w:eastAsia="宋体" w:cs="Times New Roman"/>
      <w:sz w:val="20"/>
      <w:szCs w:val="20"/>
    </w:rPr>
  </w:style>
  <w:style w:type="paragraph" w:customStyle="1" w:styleId="47">
    <w:name w:val="样式1 Char Char"/>
    <w:basedOn w:val="1"/>
    <w:qFormat/>
    <w:uiPriority w:val="0"/>
    <w:pPr>
      <w:keepNext w:val="0"/>
      <w:keepLines w:val="0"/>
      <w:widowControl w:val="0"/>
      <w:suppressLineNumbers w:val="0"/>
      <w:spacing w:before="0" w:beforeAutospacing="0" w:after="0" w:afterAutospacing="0" w:line="360" w:lineRule="auto"/>
      <w:ind w:left="0" w:right="0" w:firstLine="516" w:firstLineChars="215"/>
      <w:jc w:val="both"/>
    </w:pPr>
    <w:rPr>
      <w:rFonts w:hint="default" w:ascii="Calibri" w:hAnsi="Calibri" w:eastAsia="宋体" w:cs="Times New Roman"/>
      <w:kern w:val="2"/>
      <w:sz w:val="24"/>
      <w:szCs w:val="24"/>
      <w:lang w:val="en-US" w:eastAsia="zh-CN" w:bidi="ar"/>
    </w:rPr>
  </w:style>
  <w:style w:type="character" w:customStyle="1" w:styleId="48">
    <w:name w:val="font31"/>
    <w:basedOn w:val="20"/>
    <w:qFormat/>
    <w:uiPriority w:val="0"/>
    <w:rPr>
      <w:rFonts w:hint="eastAsia" w:ascii="宋体" w:hAnsi="宋体" w:eastAsia="宋体" w:cs="宋体"/>
      <w:color w:val="FF0000"/>
      <w:sz w:val="22"/>
      <w:szCs w:val="22"/>
      <w:u w:val="none"/>
    </w:rPr>
  </w:style>
  <w:style w:type="character" w:customStyle="1" w:styleId="49">
    <w:name w:val="font61"/>
    <w:basedOn w:val="20"/>
    <w:qFormat/>
    <w:uiPriority w:val="0"/>
    <w:rPr>
      <w:rFonts w:hint="eastAsia" w:ascii="宋体" w:hAnsi="宋体" w:eastAsia="宋体" w:cs="宋体"/>
      <w:color w:val="000000"/>
      <w:sz w:val="24"/>
      <w:szCs w:val="24"/>
      <w:u w:val="none"/>
      <w:vertAlign w:val="superscript"/>
    </w:rPr>
  </w:style>
  <w:style w:type="paragraph" w:customStyle="1" w:styleId="50">
    <w:name w:val="0五号正文"/>
    <w:basedOn w:val="1"/>
    <w:qFormat/>
    <w:uiPriority w:val="0"/>
    <w:pPr>
      <w:widowControl w:val="0"/>
      <w:shd w:val="clear" w:color="auto" w:fill="auto"/>
      <w:spacing w:line="300" w:lineRule="auto"/>
      <w:ind w:firstLine="420" w:firstLineChars="200"/>
    </w:pPr>
    <w:rPr>
      <w:rFonts w:cs="Times New Roman"/>
      <w:kern w:val="2"/>
      <w:szCs w:val="21"/>
    </w:rPr>
  </w:style>
  <w:style w:type="paragraph" w:customStyle="1" w:styleId="51">
    <w:name w:val="WPSOffice手动目录 2"/>
    <w:qFormat/>
    <w:uiPriority w:val="0"/>
    <w:pPr>
      <w:ind w:leftChars="200"/>
    </w:pPr>
    <w:rPr>
      <w:rFonts w:ascii="Times New Roman" w:hAnsi="Times New Roman" w:eastAsia="宋体" w:cs="Times New Roman"/>
      <w:sz w:val="20"/>
      <w:szCs w:val="20"/>
    </w:rPr>
  </w:style>
  <w:style w:type="paragraph" w:customStyle="1" w:styleId="52">
    <w:name w:val="WPSOffice手动目录 3"/>
    <w:qFormat/>
    <w:uiPriority w:val="0"/>
    <w:pPr>
      <w:ind w:leftChars="400"/>
    </w:pPr>
    <w:rPr>
      <w:rFonts w:ascii="Times New Roman" w:hAnsi="Times New Roman" w:eastAsia="宋体" w:cs="Times New Roman"/>
      <w:sz w:val="20"/>
      <w:szCs w:val="20"/>
    </w:rPr>
  </w:style>
  <w:style w:type="paragraph" w:customStyle="1" w:styleId="53">
    <w:name w:val="彩色列表 - 强调文字颜色 111"/>
    <w:basedOn w:val="1"/>
    <w:autoRedefine/>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96</Pages>
  <Words>5048</Words>
  <Characters>5169</Characters>
  <Lines>1</Lines>
  <Paragraphs>1</Paragraphs>
  <TotalTime>5</TotalTime>
  <ScaleCrop>false</ScaleCrop>
  <LinksUpToDate>false</LinksUpToDate>
  <CharactersWithSpaces>5478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2020-12-22T01:51:00Z</dcterms:created>
  <dc:creator>lenovo</dc:creator>
  <cp:lastModifiedBy>路菲君</cp:lastModifiedBy>
  <dcterms:modified xsi:type="dcterms:W3CDTF">2026-09-02T07:27:23Z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EC0B704C2CB6445FB532C3EE29242D3F_13</vt:lpwstr>
  </property>
  <property fmtid="{D5CDD505-2E9C-101B-9397-08002B2CF9AE}" pid="4" name="KSOTemplateDocerSaveRecord">
    <vt:lpwstr>eyJoZGlkIjoiM2EyNDYyYmQ1ZDA0NDE2ZWMxMTVjMTBjNjZlNGMxZWMiLCJ1c2VySWQiOiIxOTQ5NzkyNTQifQ==</vt:lpwstr>
  </property>
</Properties>
</file>