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福田区第二人民医院耗材投标单位须知</w:t>
      </w:r>
      <w:r>
        <w:rPr>
          <w:rFonts w:hint="eastAsia" w:asciiTheme="minorEastAsia" w:hAnsiTheme="minorEastAsia" w:cstheme="minorEastAsia"/>
          <w:b/>
          <w:bCs/>
          <w:sz w:val="24"/>
          <w:lang w:eastAsia="zh-CN"/>
        </w:rPr>
        <w:t>（含招标文件）</w:t>
      </w:r>
    </w:p>
    <w:p>
      <w:pPr>
        <w:jc w:val="center"/>
        <w:rPr>
          <w:rFonts w:asciiTheme="minorEastAsia" w:hAnsiTheme="minorEastAsia" w:cstheme="minorEastAsia"/>
          <w:b/>
          <w:bCs/>
          <w:sz w:val="24"/>
        </w:rPr>
      </w:pPr>
    </w:p>
    <w:p>
      <w:pPr>
        <w:rPr>
          <w:rFonts w:asciiTheme="minorEastAsia" w:hAnsiTheme="minorEastAsia" w:cstheme="minorEastAsia"/>
          <w:szCs w:val="21"/>
        </w:rPr>
      </w:pPr>
      <w:r>
        <w:rPr>
          <w:rFonts w:hint="eastAsia" w:asciiTheme="minorEastAsia" w:hAnsiTheme="minorEastAsia" w:cstheme="minorEastAsia"/>
          <w:szCs w:val="21"/>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Cs w:val="21"/>
        </w:rPr>
      </w:pPr>
      <w:r>
        <w:rPr>
          <w:rFonts w:hint="eastAsia" w:asciiTheme="minorEastAsia" w:hAnsiTheme="minorEastAsia" w:cstheme="minorEastAsia"/>
          <w:szCs w:val="21"/>
        </w:rPr>
        <w:t>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2、供应商可根据自身的经营情况，选择投一个或多个采购条目，但不允许将一个采购条目流水号的内容拆散判。</w:t>
      </w:r>
      <w:r>
        <w:rPr>
          <w:rFonts w:hint="eastAsia" w:asciiTheme="minorEastAsia" w:hAnsiTheme="minorEastAsia" w:cstheme="minorEastAsia"/>
          <w:color w:val="FF0000"/>
          <w:szCs w:val="21"/>
        </w:rPr>
        <w:t>请准备投标文件三份（一份正本二份副本）。</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(1)参加应标的供应商法人证明书；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(2)参加应标的供应商法人代表授权书；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 参加应标公司法入及被授权人身份证复印件(正反面、加盖公司公章)；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(4)参加应标的供应商营业执照副本复印件(加盖公章)；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(5) 参加应标的供应商医疗器械经营许可证复印件(加盖公章)；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(6) 参加应标的供应商必须为制造商或制造商对项目指定的唯一合法代理商，必须提供制造授权书；</w:t>
      </w:r>
    </w:p>
    <w:p>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Cs w:val="21"/>
          <w:lang w:eastAsia="zh-CN"/>
        </w:rPr>
        <w:t>、</w:t>
      </w:r>
      <w:r>
        <w:rPr>
          <w:rFonts w:hint="eastAsia" w:asciiTheme="minorEastAsia" w:hAnsiTheme="minorEastAsia" w:cstheme="minorEastAsia"/>
          <w:color w:val="000000" w:themeColor="text1"/>
          <w:szCs w:val="21"/>
        </w:rPr>
        <w:t>售后服务承诺</w:t>
      </w:r>
      <w:r>
        <w:rPr>
          <w:rFonts w:hint="eastAsia" w:asciiTheme="minorEastAsia" w:hAnsiTheme="minorEastAsia" w:cstheme="minorEastAsia"/>
          <w:color w:val="000000" w:themeColor="text1"/>
          <w:szCs w:val="21"/>
          <w:lang w:eastAsia="zh-CN"/>
        </w:rPr>
        <w:t>、产品情况技术先进性等</w:t>
      </w:r>
      <w:r>
        <w:rPr>
          <w:rFonts w:hint="eastAsia" w:asciiTheme="minorEastAsia" w:hAnsiTheme="minorEastAsia" w:cstheme="minorEastAsia"/>
          <w:color w:val="000000" w:themeColor="text1"/>
          <w:szCs w:val="21"/>
        </w:rPr>
        <w:t>；</w:t>
      </w:r>
      <w:r>
        <w:rPr>
          <w:rFonts w:hint="eastAsia" w:asciiTheme="minorEastAsia" w:hAnsiTheme="minorEastAsia" w:cstheme="minorEastAsia"/>
          <w:color w:val="FF0000"/>
          <w:szCs w:val="21"/>
        </w:rPr>
        <w:t>开标当天纸质版报价表需做双份，一份为开标一览表单独密封投递，一份为纸质报价表装订在标书内</w:t>
      </w:r>
      <w:r>
        <w:rPr>
          <w:rFonts w:hint="eastAsia" w:asciiTheme="minorEastAsia" w:hAnsiTheme="minorEastAsia" w:cstheme="minorEastAsia"/>
          <w:color w:val="FF0000"/>
          <w:szCs w:val="21"/>
          <w:lang w:eastAsia="zh-CN"/>
        </w:rPr>
        <w:t>密封</w:t>
      </w:r>
      <w:r>
        <w:rPr>
          <w:rFonts w:hint="eastAsia" w:asciiTheme="minorEastAsia" w:hAnsiTheme="minorEastAsia" w:cstheme="minorEastAsia"/>
          <w:color w:val="FF0000"/>
          <w:szCs w:val="21"/>
        </w:rPr>
        <w:t>。</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(8)货比三家资料(发票复印件)、彩页等，</w:t>
      </w:r>
      <w:r>
        <w:rPr>
          <w:rFonts w:hint="eastAsia" w:asciiTheme="minorEastAsia" w:hAnsiTheme="minorEastAsia" w:cstheme="minorEastAsia"/>
          <w:color w:val="FF0000"/>
          <w:szCs w:val="21"/>
        </w:rPr>
        <w:t>耗材类需提供样品</w:t>
      </w:r>
      <w:r>
        <w:rPr>
          <w:rFonts w:hint="eastAsia" w:asciiTheme="minorEastAsia" w:hAnsiTheme="minorEastAsia" w:cstheme="minorEastAsia"/>
          <w:color w:val="000000" w:themeColor="text1"/>
          <w:szCs w:val="21"/>
        </w:rPr>
        <w:t>。</w:t>
      </w:r>
    </w:p>
    <w:p>
      <w:pPr>
        <w:rPr>
          <w:rFonts w:asciiTheme="minorEastAsia" w:hAnsiTheme="minorEastAsia" w:cstheme="minorEastAsia"/>
          <w:szCs w:val="21"/>
        </w:rPr>
      </w:pPr>
      <w:r>
        <w:rPr>
          <w:rFonts w:hint="eastAsia" w:asciiTheme="minorEastAsia" w:hAnsiTheme="minorEastAsia" w:cstheme="minorEastAsia"/>
          <w:color w:val="000000" w:themeColor="text1"/>
          <w:szCs w:val="21"/>
        </w:rPr>
        <w:t xml:space="preserve"> (9)属于国家强制计量检测设备项目需提供有效期内</w:t>
      </w:r>
      <w:r>
        <w:rPr>
          <w:rFonts w:hint="eastAsia" w:asciiTheme="minorEastAsia" w:hAnsiTheme="minorEastAsia" w:cstheme="minorEastAsia"/>
          <w:szCs w:val="21"/>
        </w:rPr>
        <w:t>的第三方检测报告及检测合格证；   （1</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 xml:space="preserve">）每家经销公司参与投标的同品名、同规格的品种，不得超过1个。 </w:t>
      </w:r>
    </w:p>
    <w:p>
      <w:pP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11</w:t>
      </w:r>
      <w:r>
        <w:rPr>
          <w:rFonts w:hint="eastAsia" w:asciiTheme="minorEastAsia" w:hAnsiTheme="minorEastAsia" w:cstheme="minorEastAsia"/>
          <w:szCs w:val="21"/>
        </w:rPr>
        <w:t xml:space="preserve">）投标价格一经公布，不得更改，如有错误，作废标处理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 xml:space="preserve">）投标文件中不许有加行、涂改，否则作废标处理。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 xml:space="preserve">）招标单位不向落标方解释原因，不退还投标文件。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 xml:space="preserve">）中标单位在中标公告发出两周内与招标方确定签订合同事宜，逾期作废。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 xml:space="preserve">）医用材料招标项目合同的执行期为12个月；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 xml:space="preserve">）企业参加投标，即表示接受本次招标的各项要求。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 xml:space="preserve">）招标活动的最终解释权属于深圳市福田区第二人民医院。 </w:t>
      </w:r>
    </w:p>
    <w:p>
      <w:pPr>
        <w:rPr>
          <w:rFonts w:hint="eastAsia"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19</w:t>
      </w:r>
      <w:r>
        <w:rPr>
          <w:rFonts w:hint="eastAsia" w:asciiTheme="minorEastAsia" w:hAnsiTheme="minorEastAsia" w:cstheme="minorEastAsia"/>
          <w:szCs w:val="21"/>
        </w:rPr>
        <w:t xml:space="preserve">）招标评审组由院领导、相关科室专家、设备科、财务科、医院纪检部门等组成。 </w:t>
      </w:r>
    </w:p>
    <w:p>
      <w:pPr>
        <w:rPr>
          <w:rFonts w:hint="eastAsia"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）参加投标企业需投标前15分钟到达开标地点。</w:t>
      </w: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商务条款：</w:t>
      </w:r>
    </w:p>
    <w:p>
      <w:pPr>
        <w:rPr>
          <w:rFonts w:hint="eastAsia" w:asciiTheme="minorEastAsia" w:hAnsiTheme="minorEastAsia" w:cstheme="minorEastAsia"/>
          <w:szCs w:val="21"/>
          <w:lang w:eastAsia="zh-CN"/>
        </w:rPr>
      </w:pPr>
    </w:p>
    <w:p>
      <w:pPr>
        <w:rPr>
          <w:rFonts w:asciiTheme="minorEastAsia" w:hAnsiTheme="minorEastAsia" w:cstheme="minorEastAsia"/>
          <w:szCs w:val="21"/>
        </w:rPr>
      </w:pPr>
    </w:p>
    <w:p>
      <w:pPr>
        <w:numPr>
          <w:ilvl w:val="0"/>
          <w:numId w:val="1"/>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ilvl w:val="0"/>
          <w:numId w:val="1"/>
        </w:numPr>
        <w:rPr>
          <w:rFonts w:hint="eastAsia"/>
        </w:rPr>
      </w:pPr>
      <w:bookmarkStart w:id="0" w:name="_GoBack"/>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bookmarkEnd w:id="0"/>
    <w:p>
      <w:pPr>
        <w:numPr>
          <w:ilvl w:val="0"/>
          <w:numId w:val="0"/>
        </w:numPr>
        <w:rPr>
          <w:rFonts w:hint="eastAsia"/>
        </w:rPr>
      </w:pPr>
      <w:r>
        <w:rPr>
          <w:rFonts w:hint="eastAsia"/>
          <w:lang w:val="en-US" w:eastAsia="zh-CN"/>
        </w:rPr>
        <w:t>3、</w:t>
      </w: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p>
      <w:pPr>
        <w:numPr>
          <w:ilvl w:val="0"/>
          <w:numId w:val="0"/>
        </w:numPr>
        <w:rPr>
          <w:rFonts w:hint="eastAsia"/>
        </w:rPr>
      </w:pPr>
      <w:r>
        <w:rPr>
          <w:rFonts w:hint="eastAsia"/>
          <w:lang w:val="en-US" w:eastAsia="zh-CN"/>
        </w:rPr>
        <w:t>4</w:t>
      </w: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ilvl w:val="0"/>
          <w:numId w:val="0"/>
        </w:numPr>
        <w:rPr>
          <w:rFonts w:hint="eastAsia"/>
          <w:lang w:val="en-US" w:eastAsia="zh-CN"/>
        </w:rPr>
      </w:pPr>
    </w:p>
    <w:p>
      <w:pPr>
        <w:numPr>
          <w:ilvl w:val="0"/>
          <w:numId w:val="0"/>
        </w:numPr>
        <w:rPr>
          <w:rFonts w:hint="eastAsia"/>
          <w:color w:val="FF0000"/>
        </w:rPr>
      </w:pPr>
      <w:r>
        <w:rPr>
          <w:rFonts w:hint="eastAsia"/>
          <w:color w:val="FF0000"/>
          <w:lang w:val="en-US" w:eastAsia="zh-CN"/>
        </w:rPr>
        <w:t>以上商务</w:t>
      </w:r>
      <w:r>
        <w:rPr>
          <w:rFonts w:hint="eastAsia"/>
          <w:color w:val="FF0000"/>
        </w:rPr>
        <w:t>条款</w:t>
      </w:r>
      <w:r>
        <w:rPr>
          <w:rFonts w:hint="eastAsia"/>
          <w:color w:val="FF0000"/>
          <w:lang w:val="en-US" w:eastAsia="zh-CN"/>
        </w:rPr>
        <w:t>为废标条款</w:t>
      </w:r>
      <w:r>
        <w:rPr>
          <w:rFonts w:hint="eastAsia"/>
          <w:color w:val="FF0000"/>
        </w:rPr>
        <w:t>。</w:t>
      </w:r>
    </w:p>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5"/>
        <w:tblW w:w="11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33"/>
        <w:gridCol w:w="1417"/>
        <w:gridCol w:w="849"/>
        <w:gridCol w:w="992"/>
        <w:gridCol w:w="849"/>
        <w:gridCol w:w="672"/>
        <w:gridCol w:w="760"/>
        <w:gridCol w:w="837"/>
        <w:gridCol w:w="851"/>
        <w:gridCol w:w="1134"/>
        <w:gridCol w:w="85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产品名称（注册证名称）</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商品名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产品注册证号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品牌及规格型号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包装规格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生产企业</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报价单位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投标价（元）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目前在用二甲以上医院客户名单</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二甲以上医院供货价格</w:t>
            </w:r>
          </w:p>
        </w:tc>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Lines="25" w:line="300" w:lineRule="auto"/>
        <w:ind w:left="420"/>
        <w:jc w:val="center"/>
        <w:rPr>
          <w:rFonts w:ascii="宋体" w:hAnsi="宋体" w:cs="宋体"/>
          <w:color w:val="000000" w:themeColor="text1"/>
          <w:szCs w:val="21"/>
        </w:rPr>
      </w:pPr>
    </w:p>
    <w:p>
      <w:pPr>
        <w:spacing w:afterLines="25" w:line="300" w:lineRule="auto"/>
        <w:ind w:left="420"/>
        <w:jc w:val="center"/>
        <w:rPr>
          <w:rFonts w:ascii="宋体" w:hAnsi="宋体" w:cs="宋体"/>
          <w:color w:val="000000" w:themeColor="text1"/>
          <w:szCs w:val="21"/>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2"/>
        <w:ind w:firstLine="207" w:firstLineChars="98"/>
        <w:rPr>
          <w:rFonts w:ascii="Times New Roman" w:hAnsi="Times New Roman"/>
          <w:b/>
          <w:color w:val="000000"/>
        </w:rPr>
      </w:pPr>
      <w:r>
        <w:rPr>
          <w:rFonts w:hint="eastAsia" w:ascii="Times New Roman" w:hAnsi="Times New Roman"/>
          <w:b/>
          <w:color w:val="000000"/>
        </w:rPr>
        <w:t>产品名称：</w:t>
      </w:r>
    </w:p>
    <w:tbl>
      <w:tblPr>
        <w:tblStyle w:val="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序号</w:t>
            </w:r>
          </w:p>
        </w:tc>
        <w:tc>
          <w:tcPr>
            <w:tcW w:w="1716"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招标规格</w:t>
            </w:r>
            <w:r>
              <w:rPr>
                <w:b/>
                <w:color w:val="000000"/>
              </w:rPr>
              <w:t>/</w:t>
            </w:r>
            <w:r>
              <w:rPr>
                <w:rFonts w:hint="eastAsia"/>
                <w:b/>
                <w:color w:val="000000"/>
              </w:rPr>
              <w:t>要求</w:t>
            </w:r>
          </w:p>
        </w:tc>
        <w:tc>
          <w:tcPr>
            <w:tcW w:w="320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投标实际参数</w:t>
            </w:r>
          </w:p>
          <w:p>
            <w:pPr>
              <w:jc w:val="center"/>
              <w:rPr>
                <w:b/>
                <w:color w:val="000000"/>
              </w:rPr>
            </w:pPr>
            <w:r>
              <w:rPr>
                <w:bCs/>
                <w:color w:val="000000"/>
              </w:rPr>
              <w:t>(</w:t>
            </w:r>
            <w:r>
              <w:rPr>
                <w:rFonts w:hint="eastAsia"/>
                <w:bCs/>
                <w:color w:val="000000"/>
              </w:rPr>
              <w:t>投标人应按投标货物实际数据如实填写，不能照抄招标要求</w:t>
            </w:r>
            <w:r>
              <w:rPr>
                <w:bCs/>
                <w:color w:val="000000"/>
              </w:rPr>
              <w:t>)</w:t>
            </w:r>
          </w:p>
        </w:tc>
        <w:tc>
          <w:tcPr>
            <w:tcW w:w="1890"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15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60"/>
        <w:jc w:val="center"/>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100" w:firstLineChars="1000"/>
        <w:jc w:val="both"/>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numPr>
          <w:ilvl w:val="0"/>
          <w:numId w:val="2"/>
        </w:numPr>
        <w:spacing w:after="60"/>
        <w:ind w:firstLine="2811" w:firstLineChars="1000"/>
        <w:jc w:val="both"/>
        <w:rPr>
          <w:rFonts w:hint="eastAsia" w:cs="Arial"/>
          <w:b/>
          <w:color w:val="000000"/>
          <w:sz w:val="28"/>
          <w:szCs w:val="28"/>
          <w:lang w:eastAsia="zh-CN"/>
        </w:rPr>
      </w:pPr>
      <w:r>
        <w:rPr>
          <w:rFonts w:hint="eastAsia" w:cs="Arial"/>
          <w:b/>
          <w:color w:val="000000"/>
          <w:sz w:val="28"/>
          <w:szCs w:val="28"/>
          <w:lang w:eastAsia="zh-CN"/>
        </w:rPr>
        <w:t>商务情况偏离表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09"/>
        <w:gridCol w:w="5130"/>
        <w:gridCol w:w="88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9"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序号</w:t>
            </w:r>
          </w:p>
        </w:tc>
        <w:tc>
          <w:tcPr>
            <w:tcW w:w="5130" w:type="dxa"/>
          </w:tcPr>
          <w:p>
            <w:pPr>
              <w:jc w:val="center"/>
              <w:rPr>
                <w:rFonts w:hint="eastAsia"/>
                <w:b/>
                <w:color w:val="000000"/>
                <w:lang w:eastAsia="zh-CN"/>
              </w:rPr>
            </w:pPr>
          </w:p>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商务条款</w:t>
            </w:r>
          </w:p>
        </w:tc>
        <w:tc>
          <w:tcPr>
            <w:tcW w:w="882" w:type="dxa"/>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1008"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04" w:hRule="atLeast"/>
        </w:trPr>
        <w:tc>
          <w:tcPr>
            <w:tcW w:w="609" w:type="dxa"/>
          </w:tcPr>
          <w:p>
            <w:pPr>
              <w:jc w:val="center"/>
              <w:rPr>
                <w:rFonts w:hint="eastAsia"/>
                <w:color w:val="000000"/>
                <w:lang w:val="en-US" w:eastAsia="zh-CN"/>
              </w:rPr>
            </w:pPr>
          </w:p>
          <w:p>
            <w:pPr>
              <w:jc w:val="center"/>
              <w:rPr>
                <w:rFonts w:hint="eastAsia"/>
                <w:color w:val="000000"/>
                <w:lang w:val="en-US" w:eastAsia="zh-CN"/>
              </w:rPr>
            </w:pPr>
          </w:p>
          <w:p>
            <w:pPr>
              <w:jc w:val="center"/>
              <w:rPr>
                <w:rFonts w:hint="eastAsia"/>
                <w:color w:val="000000"/>
                <w:lang w:val="en-US" w:eastAsia="zh-CN"/>
              </w:rPr>
            </w:pPr>
          </w:p>
          <w:p>
            <w:pPr>
              <w:jc w:val="center"/>
              <w:rPr>
                <w:rFonts w:hint="default"/>
                <w:color w:val="000000"/>
                <w:lang w:val="en-US" w:eastAsia="zh-CN"/>
              </w:rPr>
            </w:pPr>
            <w:r>
              <w:rPr>
                <w:rFonts w:hint="eastAsia"/>
                <w:color w:val="000000"/>
                <w:lang w:val="en-US" w:eastAsia="zh-CN"/>
              </w:rPr>
              <w:t>1</w:t>
            </w:r>
          </w:p>
        </w:tc>
        <w:tc>
          <w:tcPr>
            <w:tcW w:w="5130" w:type="dxa"/>
          </w:tcPr>
          <w:p>
            <w:pPr>
              <w:rPr>
                <w:rFonts w:asciiTheme="minorEastAsia" w:hAnsiTheme="minorEastAsia" w:cstheme="minorEastAsia"/>
                <w:szCs w:val="21"/>
              </w:rPr>
            </w:pPr>
          </w:p>
          <w:p>
            <w:pPr>
              <w:numPr>
                <w:numId w:val="0"/>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numId w:val="0"/>
              </w:numPr>
              <w:spacing w:after="60"/>
              <w:jc w:val="both"/>
              <w:rPr>
                <w:rFonts w:hint="eastAsia" w:cs="Arial"/>
                <w:b/>
                <w:color w:val="000000"/>
                <w:sz w:val="28"/>
                <w:szCs w:val="28"/>
                <w:vertAlign w:val="baseline"/>
                <w:lang w:eastAsia="zh-CN"/>
              </w:rPr>
            </w:pPr>
          </w:p>
        </w:tc>
        <w:tc>
          <w:tcPr>
            <w:tcW w:w="882" w:type="dxa"/>
          </w:tcPr>
          <w:p>
            <w:pPr>
              <w:numPr>
                <w:numId w:val="0"/>
              </w:numPr>
              <w:spacing w:after="60"/>
              <w:jc w:val="both"/>
              <w:rPr>
                <w:rFonts w:hint="eastAsia" w:cs="Arial"/>
                <w:b/>
                <w:color w:val="000000"/>
                <w:sz w:val="28"/>
                <w:szCs w:val="28"/>
                <w:vertAlign w:val="baseline"/>
                <w:lang w:eastAsia="zh-CN"/>
              </w:rPr>
            </w:pPr>
          </w:p>
        </w:tc>
        <w:tc>
          <w:tcPr>
            <w:tcW w:w="1008" w:type="dxa"/>
          </w:tcPr>
          <w:p>
            <w:pPr>
              <w:numPr>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9" w:type="dxa"/>
          </w:tcPr>
          <w:p>
            <w:pPr>
              <w:jc w:val="center"/>
              <w:rPr>
                <w:rFonts w:hint="default"/>
                <w:color w:val="000000"/>
                <w:lang w:val="en-US" w:eastAsia="zh-CN"/>
              </w:rPr>
            </w:pPr>
            <w:r>
              <w:rPr>
                <w:rFonts w:hint="eastAsia"/>
                <w:color w:val="000000"/>
                <w:lang w:val="en-US" w:eastAsia="zh-CN"/>
              </w:rPr>
              <w:t>2</w:t>
            </w:r>
          </w:p>
        </w:tc>
        <w:tc>
          <w:tcPr>
            <w:tcW w:w="5130" w:type="dxa"/>
          </w:tcPr>
          <w:p>
            <w:pPr>
              <w:numPr>
                <w:ilvl w:val="0"/>
                <w:numId w:val="0"/>
              </w:numPr>
              <w:rPr>
                <w:rFonts w:hint="eastAsia"/>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p>
            <w:pPr>
              <w:numPr>
                <w:numId w:val="0"/>
              </w:numPr>
              <w:spacing w:after="60"/>
              <w:jc w:val="both"/>
              <w:rPr>
                <w:rFonts w:hint="eastAsia" w:cs="Arial"/>
                <w:b/>
                <w:color w:val="000000"/>
                <w:sz w:val="28"/>
                <w:szCs w:val="28"/>
                <w:vertAlign w:val="baseline"/>
                <w:lang w:eastAsia="zh-CN"/>
              </w:rPr>
            </w:pPr>
          </w:p>
        </w:tc>
        <w:tc>
          <w:tcPr>
            <w:tcW w:w="882" w:type="dxa"/>
          </w:tcPr>
          <w:p>
            <w:pPr>
              <w:numPr>
                <w:numId w:val="0"/>
              </w:numPr>
              <w:spacing w:after="60"/>
              <w:jc w:val="both"/>
              <w:rPr>
                <w:rFonts w:hint="eastAsia" w:cs="Arial"/>
                <w:b/>
                <w:color w:val="000000"/>
                <w:sz w:val="28"/>
                <w:szCs w:val="28"/>
                <w:vertAlign w:val="baseline"/>
                <w:lang w:eastAsia="zh-CN"/>
              </w:rPr>
            </w:pPr>
          </w:p>
        </w:tc>
        <w:tc>
          <w:tcPr>
            <w:tcW w:w="1008" w:type="dxa"/>
          </w:tcPr>
          <w:p>
            <w:pPr>
              <w:numPr>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9" w:type="dxa"/>
          </w:tcPr>
          <w:p>
            <w:pPr>
              <w:jc w:val="center"/>
              <w:rPr>
                <w:rFonts w:hint="default"/>
                <w:color w:val="000000"/>
                <w:lang w:val="en-US" w:eastAsia="zh-CN"/>
              </w:rPr>
            </w:pPr>
            <w:r>
              <w:rPr>
                <w:rFonts w:hint="eastAsia"/>
                <w:color w:val="000000"/>
                <w:lang w:val="en-US" w:eastAsia="zh-CN"/>
              </w:rPr>
              <w:t>3</w:t>
            </w:r>
          </w:p>
        </w:tc>
        <w:tc>
          <w:tcPr>
            <w:tcW w:w="5130" w:type="dxa"/>
          </w:tcPr>
          <w:p>
            <w:pPr>
              <w:numPr>
                <w:numId w:val="0"/>
              </w:numPr>
              <w:spacing w:after="60"/>
              <w:jc w:val="both"/>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882" w:type="dxa"/>
          </w:tcPr>
          <w:p>
            <w:pPr>
              <w:numPr>
                <w:numId w:val="0"/>
              </w:numPr>
              <w:spacing w:after="60"/>
              <w:jc w:val="both"/>
              <w:rPr>
                <w:rFonts w:hint="eastAsia" w:cs="Arial"/>
                <w:b/>
                <w:color w:val="000000"/>
                <w:sz w:val="28"/>
                <w:szCs w:val="28"/>
                <w:vertAlign w:val="baseline"/>
                <w:lang w:eastAsia="zh-CN"/>
              </w:rPr>
            </w:pPr>
          </w:p>
        </w:tc>
        <w:tc>
          <w:tcPr>
            <w:tcW w:w="1008" w:type="dxa"/>
          </w:tcPr>
          <w:p>
            <w:pPr>
              <w:numPr>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9" w:type="dxa"/>
          </w:tcPr>
          <w:p>
            <w:pPr>
              <w:jc w:val="center"/>
              <w:rPr>
                <w:rFonts w:hint="default"/>
                <w:color w:val="000000"/>
                <w:lang w:val="en-US" w:eastAsia="zh-CN"/>
              </w:rPr>
            </w:pPr>
            <w:r>
              <w:rPr>
                <w:rFonts w:hint="eastAsia"/>
                <w:color w:val="000000"/>
                <w:lang w:val="en-US" w:eastAsia="zh-CN"/>
              </w:rPr>
              <w:t>4</w:t>
            </w:r>
          </w:p>
        </w:tc>
        <w:tc>
          <w:tcPr>
            <w:tcW w:w="5130" w:type="dxa"/>
          </w:tcPr>
          <w:p>
            <w:pPr>
              <w:numPr>
                <w:ilvl w:val="0"/>
                <w:numId w:val="0"/>
              </w:numPr>
              <w:rPr>
                <w:rFonts w:hint="eastAsia"/>
              </w:rPr>
            </w:pP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numId w:val="0"/>
              </w:numPr>
              <w:spacing w:after="60"/>
              <w:jc w:val="both"/>
              <w:rPr>
                <w:rFonts w:hint="eastAsia" w:cs="Arial"/>
                <w:b/>
                <w:color w:val="000000"/>
                <w:sz w:val="28"/>
                <w:szCs w:val="28"/>
                <w:vertAlign w:val="baseline"/>
                <w:lang w:eastAsia="zh-CN"/>
              </w:rPr>
            </w:pPr>
          </w:p>
        </w:tc>
        <w:tc>
          <w:tcPr>
            <w:tcW w:w="882" w:type="dxa"/>
          </w:tcPr>
          <w:p>
            <w:pPr>
              <w:numPr>
                <w:numId w:val="0"/>
              </w:numPr>
              <w:spacing w:after="60"/>
              <w:jc w:val="both"/>
              <w:rPr>
                <w:rFonts w:hint="eastAsia" w:cs="Arial"/>
                <w:b/>
                <w:color w:val="000000"/>
                <w:sz w:val="28"/>
                <w:szCs w:val="28"/>
                <w:vertAlign w:val="baseline"/>
                <w:lang w:eastAsia="zh-CN"/>
              </w:rPr>
            </w:pPr>
          </w:p>
        </w:tc>
        <w:tc>
          <w:tcPr>
            <w:tcW w:w="1008" w:type="dxa"/>
          </w:tcPr>
          <w:p>
            <w:pPr>
              <w:numPr>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bl>
    <w:p>
      <w:pPr>
        <w:numPr>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60"/>
        <w:jc w:val="center"/>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b/>
          <w:color w:val="000000"/>
          <w:kern w:val="0"/>
          <w:sz w:val="28"/>
          <w:szCs w:val="28"/>
        </w:rPr>
      </w:pPr>
      <w:r>
        <w:rPr>
          <w:rFonts w:hint="eastAsia" w:cs="Arial"/>
          <w:b/>
          <w:color w:val="000000"/>
          <w:sz w:val="28"/>
          <w:szCs w:val="28"/>
          <w:lang w:eastAsia="zh-CN"/>
        </w:rPr>
        <w:t>四、</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2"/>
              <w:spacing w:line="360" w:lineRule="auto"/>
              <w:rPr>
                <w:rFonts w:hAnsi="宋体"/>
                <w:szCs w:val="24"/>
              </w:rPr>
            </w:pPr>
            <w:r>
              <w:rPr>
                <w:rFonts w:hint="eastAsia" w:hAnsi="宋体"/>
                <w:szCs w:val="24"/>
              </w:rPr>
              <w:t>1、一般产品配送不超过48小时送达；</w:t>
            </w:r>
          </w:p>
          <w:p>
            <w:pPr>
              <w:pStyle w:val="2"/>
              <w:spacing w:line="360" w:lineRule="auto"/>
              <w:rPr>
                <w:rFonts w:hAnsi="宋体"/>
                <w:szCs w:val="24"/>
              </w:rPr>
            </w:pPr>
            <w:r>
              <w:rPr>
                <w:rFonts w:hint="eastAsia" w:hAnsi="宋体"/>
                <w:szCs w:val="24"/>
              </w:rPr>
              <w:t>2、紧急配送，供应商应保证所有产品在四小时内送达。</w:t>
            </w:r>
          </w:p>
          <w:p>
            <w:pPr>
              <w:pStyle w:val="2"/>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2"/>
              <w:spacing w:line="360" w:lineRule="auto"/>
              <w:ind w:firstLine="315" w:firstLineChars="150"/>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提供相应技术服务和学术支持</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color w:val="000000"/>
          <w:sz w:val="28"/>
          <w:szCs w:val="28"/>
        </w:rPr>
        <w:t>：</w:t>
      </w:r>
    </w:p>
    <w:p>
      <w:pPr>
        <w:spacing w:after="60"/>
        <w:ind w:firstLine="420" w:firstLineChars="200"/>
        <w:rPr>
          <w:rFonts w:cs="Arial"/>
          <w:color w:val="000000"/>
        </w:rPr>
      </w:pPr>
      <w:r>
        <w:rPr>
          <w:rFonts w:cs="Arial"/>
          <w:color w:val="000000"/>
        </w:rPr>
        <w:t>1</w:t>
      </w:r>
      <w:r>
        <w:rPr>
          <w:rFonts w:hint="eastAsia" w:cs="Arial"/>
          <w:color w:val="000000"/>
        </w:rPr>
        <w:t>、售后服务人员简介；</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2</w:t>
      </w:r>
      <w:r>
        <w:rPr>
          <w:rFonts w:hint="eastAsia" w:cs="Arial"/>
          <w:color w:val="000000"/>
        </w:rPr>
        <w:t>、应急维修时间安排；</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3</w:t>
      </w:r>
      <w:r>
        <w:rPr>
          <w:rFonts w:hint="eastAsia" w:cs="Arial"/>
          <w:color w:val="000000"/>
        </w:rPr>
        <w:t>、维修服务收费标准（保质期内、保质期外）；</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4</w:t>
      </w:r>
      <w:r>
        <w:rPr>
          <w:rFonts w:hint="eastAsia" w:cs="Arial"/>
          <w:color w:val="000000"/>
        </w:rPr>
        <w:t>、主要零配件价格（保质期内、保质期外）；</w:t>
      </w:r>
    </w:p>
    <w:p>
      <w:pPr>
        <w:spacing w:after="60"/>
        <w:ind w:firstLine="420" w:firstLineChars="200"/>
        <w:rPr>
          <w:rFonts w:cs="Arial"/>
          <w:color w:val="000000"/>
        </w:rPr>
      </w:pPr>
    </w:p>
    <w:p>
      <w:pPr>
        <w:spacing w:after="60"/>
        <w:ind w:firstLine="420" w:firstLineChars="200"/>
        <w:rPr>
          <w:rFonts w:hAnsi="宋体"/>
          <w:bCs/>
          <w:color w:val="000000"/>
        </w:rPr>
      </w:pPr>
      <w:r>
        <w:rPr>
          <w:rFonts w:cs="Arial"/>
          <w:color w:val="000000"/>
        </w:rPr>
        <w:t>5</w:t>
      </w:r>
      <w:r>
        <w:rPr>
          <w:rFonts w:hint="eastAsia" w:cs="Arial"/>
          <w:color w:val="000000"/>
        </w:rPr>
        <w:t>、</w:t>
      </w:r>
      <w:r>
        <w:rPr>
          <w:rFonts w:hint="eastAsia" w:hAnsi="宋体"/>
          <w:bCs/>
          <w:color w:val="000000"/>
        </w:rPr>
        <w:t>技术培训安排；</w:t>
      </w:r>
    </w:p>
    <w:p>
      <w:pPr>
        <w:spacing w:after="60"/>
        <w:ind w:firstLine="420" w:firstLineChars="200"/>
        <w:rPr>
          <w:rFonts w:hAnsi="宋体"/>
          <w:bCs/>
          <w:color w:val="000000"/>
        </w:rPr>
      </w:pPr>
    </w:p>
    <w:p>
      <w:pPr>
        <w:spacing w:after="60"/>
        <w:ind w:firstLine="420" w:firstLineChars="200"/>
        <w:rPr>
          <w:rFonts w:hAnsi="宋体"/>
          <w:bCs/>
          <w:color w:val="000000"/>
        </w:rPr>
      </w:pPr>
      <w:r>
        <w:rPr>
          <w:rFonts w:hAnsi="宋体"/>
          <w:bCs/>
          <w:color w:val="000000"/>
        </w:rPr>
        <w:t>6</w:t>
      </w:r>
      <w:r>
        <w:rPr>
          <w:rFonts w:hint="eastAsia" w:hAnsi="宋体"/>
          <w:bCs/>
          <w:color w:val="000000"/>
        </w:rPr>
        <w:t>、保修服务计划；</w:t>
      </w:r>
    </w:p>
    <w:p>
      <w:pPr>
        <w:spacing w:after="60"/>
        <w:ind w:firstLine="420" w:firstLineChars="200"/>
        <w:rPr>
          <w:rFonts w:hAnsi="宋体"/>
          <w:bCs/>
          <w:color w:val="000000"/>
        </w:rPr>
      </w:pPr>
    </w:p>
    <w:p>
      <w:pPr>
        <w:spacing w:after="60"/>
        <w:ind w:firstLine="420" w:firstLineChars="200"/>
        <w:rPr>
          <w:rFonts w:cs="Arial"/>
          <w:color w:val="000000"/>
        </w:rPr>
      </w:pPr>
      <w:r>
        <w:rPr>
          <w:rFonts w:hAnsi="宋体"/>
          <w:bCs/>
          <w:color w:val="000000"/>
        </w:rPr>
        <w:t>7</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rPr>
      </w:pPr>
      <w:r>
        <w:rPr>
          <w:rFonts w:hint="eastAsia" w:ascii="宋体" w:hAnsi="宋体" w:cs="宋体"/>
          <w:color w:val="000000" w:themeColor="text1"/>
          <w:szCs w:val="21"/>
        </w:rPr>
        <w:t xml:space="preserve">      </w:t>
      </w: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ind w:right="-517" w:rightChars="-246"/>
        <w:jc w:val="both"/>
        <w:rPr>
          <w:rFonts w:ascii="宋体" w:hAnsi="宋体"/>
          <w:b/>
          <w:bCs/>
          <w:snapToGrid w:val="0"/>
          <w:kern w:val="0"/>
          <w:sz w:val="32"/>
          <w:szCs w:val="32"/>
        </w:rPr>
      </w:pPr>
      <w:r>
        <w:rPr>
          <w:rFonts w:hint="eastAsia" w:ascii="宋体" w:hAnsi="宋体" w:cs="宋体"/>
          <w:color w:val="000000" w:themeColor="text1"/>
          <w:szCs w:val="21"/>
        </w:rPr>
        <w:t xml:space="preserve"> </w:t>
      </w:r>
      <w:r>
        <w:rPr>
          <w:rFonts w:hint="eastAsia" w:ascii="宋体" w:hAnsi="宋体" w:cs="宋体"/>
          <w:b/>
          <w:snapToGrid w:val="0"/>
          <w:kern w:val="0"/>
          <w:sz w:val="32"/>
          <w:szCs w:val="32"/>
          <w:lang w:eastAsia="zh-CN"/>
        </w:rPr>
        <w:t>五、</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EB273"/>
    <w:multiLevelType w:val="singleLevel"/>
    <w:tmpl w:val="8DAEB273"/>
    <w:lvl w:ilvl="0" w:tentative="0">
      <w:start w:val="3"/>
      <w:numFmt w:val="chineseCounting"/>
      <w:suff w:val="nothing"/>
      <w:lvlText w:val="%1、"/>
      <w:lvlJc w:val="left"/>
      <w:rPr>
        <w:rFonts w:hint="eastAsia"/>
      </w:rPr>
    </w:lvl>
  </w:abstractNum>
  <w:abstractNum w:abstractNumId="1">
    <w:nsid w:val="A00E2294"/>
    <w:multiLevelType w:val="singleLevel"/>
    <w:tmpl w:val="A00E22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NTNlY2QyYjA1MDAwMmU2MzIxZWI1ZjQ4M2JhMDk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10437371"/>
    <w:rsid w:val="13272F7A"/>
    <w:rsid w:val="14DA7639"/>
    <w:rsid w:val="167968A8"/>
    <w:rsid w:val="168261AD"/>
    <w:rsid w:val="1ACD08AB"/>
    <w:rsid w:val="1D740F3F"/>
    <w:rsid w:val="1FC04AB6"/>
    <w:rsid w:val="217A1947"/>
    <w:rsid w:val="2AD85138"/>
    <w:rsid w:val="2BC25ADE"/>
    <w:rsid w:val="2C2F1E92"/>
    <w:rsid w:val="37436ACA"/>
    <w:rsid w:val="38312021"/>
    <w:rsid w:val="3A4F4F44"/>
    <w:rsid w:val="46E84D7E"/>
    <w:rsid w:val="4E8E5256"/>
    <w:rsid w:val="58AF7528"/>
    <w:rsid w:val="5A2F6381"/>
    <w:rsid w:val="5CAC08DD"/>
    <w:rsid w:val="5D045FFD"/>
    <w:rsid w:val="69E7776E"/>
    <w:rsid w:val="7405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eastAsia="宋体" w:cs="Times New Roman"/>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semiHidden/>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3043</Words>
  <Characters>3132</Characters>
  <Lines>31</Lines>
  <Paragraphs>8</Paragraphs>
  <TotalTime>1</TotalTime>
  <ScaleCrop>false</ScaleCrop>
  <LinksUpToDate>false</LinksUpToDate>
  <CharactersWithSpaces>3621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lenovo</cp:lastModifiedBy>
  <dcterms:modified xsi:type="dcterms:W3CDTF">2022-11-23T07:55:53Z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E22E6180E9BC42218675102372457424</vt:lpwstr>
  </property>
</Properties>
</file>