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福田区第二人民医院医疗设备/耗材投标单位须知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1、深圳市福田区第二人民医院对本单位部分医疗设备采购/耗材进行公开招标。欢迎各有医疗器械经营许可权或医疗设备生产许可权的经营企业或生产企业参加投标。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(8)货比三家资料(发票复印件)、彩页等，耗材类需提供样品一份，设备类提供产品彩页。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（16）医用材料招标项目合同的执行期为12个月，设备保修期限36个月</w:t>
      </w:r>
      <w:r>
        <w:rPr>
          <w:rFonts w:hint="eastAsia" w:asciiTheme="minorEastAsia" w:hAnsiTheme="minorEastAsia" w:cstheme="minorEastAsia"/>
          <w:szCs w:val="21"/>
          <w:lang w:eastAsia="zh-CN"/>
        </w:rPr>
        <w:t>以上</w:t>
      </w:r>
      <w:bookmarkStart w:id="0" w:name="_GoBack"/>
      <w:bookmarkEnd w:id="0"/>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二、</w:t>
      </w: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4214"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90"/>
        <w:gridCol w:w="1576"/>
        <w:gridCol w:w="2955"/>
        <w:gridCol w:w="16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3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12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21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w:t>
            </w:r>
            <w:r>
              <w:rPr>
                <w:rFonts w:hint="eastAsia" w:asciiTheme="minorEastAsia" w:hAnsiTheme="minorEastAsia" w:cstheme="minorEastAsia"/>
                <w:szCs w:val="21"/>
                <w:lang w:eastAsia="zh-CN"/>
              </w:rPr>
              <w:t>技术参数</w:t>
            </w:r>
            <w:r>
              <w:rPr>
                <w:rFonts w:hint="eastAsia" w:asciiTheme="minorEastAsia" w:hAnsiTheme="minorEastAsia" w:cstheme="minorEastAsia"/>
                <w:szCs w:val="21"/>
              </w:rPr>
              <w:t>参数</w:t>
            </w:r>
          </w:p>
        </w:tc>
        <w:tc>
          <w:tcPr>
            <w:tcW w:w="114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四、</w:t>
      </w:r>
      <w:r>
        <w:rPr>
          <w:rFonts w:hint="eastAsia" w:asciiTheme="minorEastAsia" w:hAnsiTheme="minorEastAsia" w:cstheme="minorEastAsia"/>
          <w:sz w:val="24"/>
        </w:rPr>
        <w:t>售后服务承诺：</w:t>
      </w:r>
    </w:p>
    <w:p>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1"/>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ascii="宋体" w:hAnsi="宋体" w:cs="宋体"/>
          <w:szCs w:val="21"/>
        </w:rPr>
        <w:t>2.由我方提供售后服务，2小时内响应，8小时维修到位（不可抗力情况除外）。消耗品和零配件供应及时，特殊情况下可提供备用机。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rPr>
        <w:t>五、信息化服务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numPr>
          <w:ilvl w:val="0"/>
          <w:numId w:val="1"/>
        </w:numPr>
        <w:ind w:left="280" w:leftChars="0" w:hanging="280" w:hangingChars="100"/>
        <w:rPr>
          <w:rFonts w:hint="eastAsia" w:ascii="宋体" w:hAnsi="宋体" w:cs="宋体"/>
          <w:color w:val="000000" w:themeColor="text1"/>
          <w:sz w:val="28"/>
          <w:szCs w:val="28"/>
          <w:lang w:eastAsia="zh-CN"/>
        </w:rPr>
      </w:pPr>
      <w:r>
        <w:rPr>
          <w:rFonts w:hint="eastAsia" w:ascii="宋体" w:hAnsi="宋体" w:cs="宋体"/>
          <w:color w:val="000000" w:themeColor="text1"/>
          <w:sz w:val="28"/>
          <w:szCs w:val="28"/>
          <w:lang w:eastAsia="zh-CN"/>
        </w:rPr>
        <w:t>评分细则</w:t>
      </w:r>
    </w:p>
    <w:tbl>
      <w:tblPr>
        <w:tblStyle w:val="5"/>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47"/>
        <w:gridCol w:w="697"/>
        <w:gridCol w:w="673"/>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6" w:type="dxa"/>
            <w:gridSpan w:val="4"/>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评分项</w:t>
            </w:r>
          </w:p>
        </w:tc>
        <w:tc>
          <w:tcPr>
            <w:tcW w:w="5459"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546" w:type="dxa"/>
            <w:gridSpan w:val="4"/>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一、价格部分</w:t>
            </w:r>
          </w:p>
        </w:tc>
        <w:tc>
          <w:tcPr>
            <w:tcW w:w="5459"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5" w:type="dxa"/>
            <w:gridSpan w:val="6"/>
            <w:vAlign w:val="center"/>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6" w:type="dxa"/>
            <w:gridSpan w:val="4"/>
            <w:vAlign w:val="center"/>
          </w:tcPr>
          <w:p>
            <w:pPr>
              <w:pStyle w:val="10"/>
              <w:spacing w:line="360" w:lineRule="auto"/>
              <w:ind w:firstLine="0" w:firstLineChars="0"/>
              <w:jc w:val="center"/>
              <w:rPr>
                <w:rFonts w:asciiTheme="minorEastAsia" w:hAnsiTheme="minorEastAsia" w:eastAsiaTheme="minorEastAsia"/>
                <w:b/>
                <w:szCs w:val="21"/>
              </w:rPr>
            </w:pPr>
            <w:r>
              <w:rPr>
                <w:rFonts w:hint="eastAsia" w:cs="宋体" w:asciiTheme="minorEastAsia" w:hAnsiTheme="minorEastAsia" w:eastAsiaTheme="minorEastAsia"/>
                <w:b/>
                <w:kern w:val="0"/>
                <w:szCs w:val="21"/>
              </w:rPr>
              <w:t>二、技术部分</w:t>
            </w:r>
          </w:p>
        </w:tc>
        <w:tc>
          <w:tcPr>
            <w:tcW w:w="5459" w:type="dxa"/>
            <w:gridSpan w:val="2"/>
            <w:vAlign w:val="center"/>
          </w:tcPr>
          <w:p>
            <w:pPr>
              <w:pStyle w:val="10"/>
              <w:spacing w:line="360" w:lineRule="auto"/>
              <w:ind w:firstLine="0" w:firstLineChars="0"/>
              <w:jc w:val="center"/>
              <w:rPr>
                <w:rFonts w:asciiTheme="minorEastAsia" w:hAnsiTheme="minorEastAsia" w:eastAsiaTheme="minorEastAsia"/>
                <w:b/>
                <w:szCs w:val="21"/>
              </w:rPr>
            </w:pPr>
            <w:r>
              <w:rPr>
                <w:rFonts w:hint="eastAsia" w:asciiTheme="minorEastAsia" w:hAnsiTheme="minorEastAsia"/>
                <w:b/>
                <w:szCs w:val="21"/>
                <w:lang w:val="en-US" w:eastAsia="zh-CN"/>
              </w:rPr>
              <w:t>65</w:t>
            </w:r>
            <w:r>
              <w:rPr>
                <w:rFonts w:hint="eastAsia" w:asciiTheme="minorEastAsia" w:hAnsiTheme="minorEastAsia" w:eastAsiaTheme="minorEastAsia"/>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7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174"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69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c>
          <w:tcPr>
            <w:tcW w:w="673"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评分方式</w:t>
            </w:r>
          </w:p>
        </w:tc>
        <w:tc>
          <w:tcPr>
            <w:tcW w:w="4786"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174" w:type="dxa"/>
            <w:gridSpan w:val="2"/>
            <w:vAlign w:val="center"/>
          </w:tcPr>
          <w:p>
            <w:pPr>
              <w:widowControl/>
              <w:spacing w:line="360" w:lineRule="auto"/>
              <w:jc w:val="center"/>
              <w:textAlignment w:val="top"/>
              <w:rPr>
                <w:rFonts w:ascii="宋体" w:hAnsi="宋体" w:cs="宋体"/>
                <w:kern w:val="0"/>
                <w:szCs w:val="21"/>
              </w:rPr>
            </w:pPr>
            <w:r>
              <w:rPr>
                <w:rFonts w:ascii="宋体" w:hAnsi="宋体" w:cs="宋体"/>
                <w:kern w:val="0"/>
                <w:szCs w:val="21"/>
              </w:rPr>
              <w:t>重要</w:t>
            </w:r>
            <w:r>
              <w:rPr>
                <w:rFonts w:hint="eastAsia" w:ascii="宋体" w:hAnsi="宋体" w:cs="宋体"/>
                <w:kern w:val="0"/>
                <w:szCs w:val="21"/>
              </w:rPr>
              <w:t>技术</w:t>
            </w:r>
            <w:r>
              <w:rPr>
                <w:rFonts w:ascii="宋体" w:hAnsi="宋体" w:cs="宋体"/>
                <w:kern w:val="0"/>
                <w:szCs w:val="21"/>
              </w:rPr>
              <w:t>参数技术响应评分</w:t>
            </w:r>
          </w:p>
        </w:tc>
        <w:tc>
          <w:tcPr>
            <w:tcW w:w="697" w:type="dxa"/>
            <w:vAlign w:val="center"/>
          </w:tcPr>
          <w:p>
            <w:pPr>
              <w:widowControl/>
              <w:spacing w:line="360" w:lineRule="auto"/>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20</w:t>
            </w:r>
          </w:p>
        </w:tc>
        <w:tc>
          <w:tcPr>
            <w:tcW w:w="673"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4786" w:type="dxa"/>
            <w:vAlign w:val="center"/>
          </w:tcPr>
          <w:p>
            <w:pPr>
              <w:spacing w:line="360" w:lineRule="auto"/>
              <w:ind w:firstLine="420" w:firstLineChars="200"/>
              <w:rPr>
                <w:rFonts w:asciiTheme="minorEastAsia" w:hAnsiTheme="minorEastAsia" w:eastAsiaTheme="minorEastAsia"/>
                <w:kern w:val="0"/>
                <w:szCs w:val="21"/>
              </w:rPr>
            </w:pPr>
            <w:r>
              <w:rPr>
                <w:rFonts w:ascii="宋体" w:hAnsi="宋体" w:cs="宋体"/>
                <w:kern w:val="0"/>
                <w:szCs w:val="21"/>
              </w:rPr>
              <w:t>投标供应商应如实填写《技术规格偏离表》，评审委员会根据技术需求参数响应情况进行打分，</w:t>
            </w:r>
            <w:r>
              <w:rPr>
                <w:rFonts w:hint="eastAsia" w:ascii="宋体" w:hAnsi="宋体" w:cs="宋体"/>
                <w:kern w:val="0"/>
                <w:szCs w:val="21"/>
              </w:rPr>
              <w:t>标注</w:t>
            </w:r>
            <w:r>
              <w:rPr>
                <w:rFonts w:ascii="宋体" w:hAnsi="宋体" w:cs="宋体"/>
                <w:kern w:val="0"/>
                <w:szCs w:val="21"/>
              </w:rPr>
              <w:t>▲的为重要技术参数，每1项负偏离的，扣</w:t>
            </w:r>
            <w:r>
              <w:rPr>
                <w:rFonts w:hint="eastAsia" w:ascii="宋体" w:hAnsi="宋体" w:cs="宋体"/>
                <w:kern w:val="0"/>
                <w:szCs w:val="21"/>
                <w:lang w:val="en-US" w:eastAsia="zh-CN"/>
              </w:rPr>
              <w:t>4</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174" w:type="dxa"/>
            <w:gridSpan w:val="2"/>
            <w:vAlign w:val="center"/>
          </w:tcPr>
          <w:p>
            <w:pPr>
              <w:widowControl/>
              <w:spacing w:line="360" w:lineRule="auto"/>
              <w:jc w:val="center"/>
              <w:textAlignment w:val="top"/>
              <w:rPr>
                <w:rFonts w:ascii="宋体" w:hAnsi="宋体" w:cs="宋体"/>
                <w:kern w:val="0"/>
                <w:szCs w:val="21"/>
              </w:rPr>
            </w:pPr>
            <w:r>
              <w:rPr>
                <w:rFonts w:ascii="宋体" w:hAnsi="宋体" w:cs="宋体"/>
                <w:kern w:val="0"/>
                <w:szCs w:val="21"/>
              </w:rPr>
              <w:t>一般技术参数响应</w:t>
            </w:r>
            <w:r>
              <w:rPr>
                <w:rFonts w:hint="eastAsia" w:ascii="宋体" w:hAnsi="宋体" w:cs="宋体"/>
                <w:kern w:val="0"/>
                <w:szCs w:val="21"/>
              </w:rPr>
              <w:t>评分</w:t>
            </w:r>
          </w:p>
        </w:tc>
        <w:tc>
          <w:tcPr>
            <w:tcW w:w="697" w:type="dxa"/>
            <w:vAlign w:val="center"/>
          </w:tcPr>
          <w:p>
            <w:pPr>
              <w:widowControl/>
              <w:spacing w:line="360" w:lineRule="auto"/>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20</w:t>
            </w:r>
          </w:p>
        </w:tc>
        <w:tc>
          <w:tcPr>
            <w:tcW w:w="673"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4786" w:type="dxa"/>
            <w:vAlign w:val="center"/>
          </w:tcPr>
          <w:p>
            <w:pPr>
              <w:widowControl/>
              <w:spacing w:line="360" w:lineRule="auto"/>
              <w:ind w:firstLine="420" w:firstLineChars="200"/>
              <w:jc w:val="left"/>
              <w:textAlignment w:val="top"/>
              <w:rPr>
                <w:rFonts w:ascii="宋体" w:hAnsi="宋体" w:cs="宋体"/>
                <w:kern w:val="0"/>
                <w:szCs w:val="21"/>
              </w:rPr>
            </w:pPr>
            <w:r>
              <w:rPr>
                <w:rFonts w:ascii="宋体" w:hAnsi="宋体" w:cs="宋体"/>
                <w:kern w:val="0"/>
                <w:szCs w:val="21"/>
              </w:rPr>
              <w:t>投标供应商应如实填写《技术规格偏离表》，评审委员会根据技术需求参数响应情况进行打分，每1</w:t>
            </w:r>
            <w:r>
              <w:rPr>
                <w:rFonts w:hint="eastAsia" w:ascii="宋体" w:hAnsi="宋体" w:cs="宋体"/>
                <w:kern w:val="0"/>
                <w:szCs w:val="21"/>
              </w:rPr>
              <w:t>项</w:t>
            </w:r>
            <w:r>
              <w:rPr>
                <w:rFonts w:ascii="宋体" w:hAnsi="宋体" w:cs="宋体"/>
                <w:kern w:val="0"/>
                <w:szCs w:val="21"/>
              </w:rPr>
              <w:t>负偏离</w:t>
            </w:r>
            <w:r>
              <w:rPr>
                <w:rFonts w:hint="eastAsia" w:ascii="宋体" w:hAnsi="宋体" w:cs="宋体"/>
                <w:kern w:val="0"/>
                <w:szCs w:val="21"/>
              </w:rPr>
              <w:t>的</w:t>
            </w:r>
            <w:r>
              <w:rPr>
                <w:rFonts w:ascii="宋体" w:hAnsi="宋体" w:cs="宋体"/>
                <w:kern w:val="0"/>
                <w:szCs w:val="21"/>
              </w:rPr>
              <w:t>，扣</w:t>
            </w:r>
            <w:r>
              <w:rPr>
                <w:rFonts w:hint="eastAsia" w:ascii="宋体" w:hAnsi="宋体" w:cs="宋体"/>
                <w:kern w:val="0"/>
                <w:szCs w:val="21"/>
                <w:lang w:val="en-US" w:eastAsia="zh-CN"/>
              </w:rPr>
              <w:t>2</w:t>
            </w:r>
            <w:r>
              <w:rPr>
                <w:rFonts w:ascii="宋体" w:hAnsi="宋体" w:cs="宋体"/>
                <w:kern w:val="0"/>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174" w:type="dxa"/>
            <w:gridSpan w:val="2"/>
            <w:vAlign w:val="center"/>
          </w:tcPr>
          <w:p>
            <w:pPr>
              <w:widowControl/>
              <w:spacing w:line="360" w:lineRule="auto"/>
              <w:jc w:val="center"/>
              <w:textAlignment w:val="top"/>
              <w:rPr>
                <w:rFonts w:ascii="宋体" w:hAnsi="宋体" w:cs="宋体"/>
                <w:kern w:val="0"/>
                <w:szCs w:val="21"/>
              </w:rPr>
            </w:pPr>
            <w:r>
              <w:rPr>
                <w:rFonts w:hint="eastAsia" w:ascii="宋体" w:hAnsi="宋体"/>
                <w:szCs w:val="21"/>
              </w:rPr>
              <w:t>对设备的安全稳定性、故障率、使用年限等作综合评价</w:t>
            </w:r>
          </w:p>
        </w:tc>
        <w:tc>
          <w:tcPr>
            <w:tcW w:w="697" w:type="dxa"/>
            <w:vAlign w:val="center"/>
          </w:tcPr>
          <w:p>
            <w:pPr>
              <w:widowControl/>
              <w:spacing w:line="360" w:lineRule="auto"/>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10</w:t>
            </w:r>
          </w:p>
        </w:tc>
        <w:tc>
          <w:tcPr>
            <w:tcW w:w="673"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4786" w:type="dxa"/>
            <w:vAlign w:val="center"/>
          </w:tcPr>
          <w:p>
            <w:pPr>
              <w:rPr>
                <w:rFonts w:cs="宋体"/>
                <w:szCs w:val="21"/>
              </w:rPr>
            </w:pPr>
            <w:r>
              <w:rPr>
                <w:rFonts w:hint="eastAsia" w:cs="宋体"/>
                <w:szCs w:val="21"/>
              </w:rPr>
              <w:t>根据投标产品的</w:t>
            </w:r>
            <w:r>
              <w:rPr>
                <w:rFonts w:hint="eastAsia" w:ascii="宋体" w:hAnsi="宋体"/>
                <w:szCs w:val="21"/>
              </w:rPr>
              <w:t>安全</w:t>
            </w:r>
            <w:r>
              <w:rPr>
                <w:rFonts w:hint="eastAsia" w:cs="宋体"/>
                <w:szCs w:val="21"/>
              </w:rPr>
              <w:t>稳定性、故障率、使用年限等进行横向评比：</w:t>
            </w:r>
            <w:r>
              <w:rPr>
                <w:rFonts w:cs="宋体"/>
                <w:szCs w:val="21"/>
              </w:rPr>
              <w:t xml:space="preserve"> </w:t>
            </w:r>
          </w:p>
          <w:p>
            <w:pPr>
              <w:rPr>
                <w:rFonts w:cs="宋体"/>
                <w:szCs w:val="21"/>
              </w:rPr>
            </w:pPr>
            <w:r>
              <w:rPr>
                <w:rFonts w:hint="eastAsia" w:cs="宋体"/>
                <w:szCs w:val="21"/>
              </w:rPr>
              <w:t>（1）投标产品的</w:t>
            </w:r>
            <w:r>
              <w:rPr>
                <w:rFonts w:hint="eastAsia" w:ascii="宋体" w:hAnsi="宋体"/>
                <w:szCs w:val="21"/>
              </w:rPr>
              <w:t>安全</w:t>
            </w:r>
            <w:r>
              <w:rPr>
                <w:rFonts w:hint="eastAsia" w:cs="宋体"/>
                <w:szCs w:val="21"/>
              </w:rPr>
              <w:t>稳定性高、故障率低、使用年限长评价为优得</w:t>
            </w:r>
            <w:r>
              <w:rPr>
                <w:rFonts w:hint="eastAsia" w:cs="宋体"/>
                <w:szCs w:val="21"/>
                <w:lang w:val="en-US" w:eastAsia="zh-CN"/>
              </w:rPr>
              <w:t>10</w:t>
            </w:r>
            <w:r>
              <w:rPr>
                <w:rFonts w:hint="eastAsia" w:cs="宋体"/>
                <w:szCs w:val="21"/>
              </w:rPr>
              <w:t>分，</w:t>
            </w:r>
          </w:p>
          <w:p>
            <w:pPr>
              <w:rPr>
                <w:rFonts w:cs="宋体"/>
                <w:szCs w:val="21"/>
              </w:rPr>
            </w:pPr>
            <w:r>
              <w:rPr>
                <w:rFonts w:hint="eastAsia" w:cs="宋体"/>
                <w:szCs w:val="21"/>
              </w:rPr>
              <w:t>（2）投标产品的</w:t>
            </w:r>
            <w:r>
              <w:rPr>
                <w:rFonts w:hint="eastAsia" w:ascii="宋体" w:hAnsi="宋体"/>
                <w:szCs w:val="21"/>
              </w:rPr>
              <w:t>安全</w:t>
            </w:r>
            <w:r>
              <w:rPr>
                <w:rFonts w:hint="eastAsia" w:cs="宋体"/>
                <w:szCs w:val="21"/>
              </w:rPr>
              <w:t>稳定性较高、故障率较低、使用年限较长评价为良得</w:t>
            </w:r>
            <w:r>
              <w:rPr>
                <w:rFonts w:hint="eastAsia" w:cs="宋体"/>
                <w:szCs w:val="21"/>
                <w:lang w:val="en-US" w:eastAsia="zh-CN"/>
              </w:rPr>
              <w:t>5</w:t>
            </w:r>
            <w:r>
              <w:rPr>
                <w:rFonts w:hint="eastAsia" w:cs="宋体"/>
                <w:szCs w:val="21"/>
              </w:rPr>
              <w:t>分，</w:t>
            </w:r>
          </w:p>
          <w:p>
            <w:pPr>
              <w:rPr>
                <w:rFonts w:cs="宋体"/>
                <w:szCs w:val="21"/>
              </w:rPr>
            </w:pPr>
            <w:r>
              <w:rPr>
                <w:rFonts w:hint="eastAsia" w:cs="宋体"/>
                <w:szCs w:val="21"/>
              </w:rPr>
              <w:t>（3）投标产品的</w:t>
            </w:r>
            <w:r>
              <w:rPr>
                <w:rFonts w:hint="eastAsia" w:ascii="宋体" w:hAnsi="宋体"/>
                <w:szCs w:val="21"/>
              </w:rPr>
              <w:t>安全</w:t>
            </w:r>
            <w:r>
              <w:rPr>
                <w:rFonts w:hint="eastAsia" w:cs="宋体"/>
                <w:szCs w:val="21"/>
              </w:rPr>
              <w:t>稳定性一般、故障率较低、使用年限较短评价为中得</w:t>
            </w:r>
            <w:r>
              <w:rPr>
                <w:rFonts w:hint="eastAsia" w:cs="宋体"/>
                <w:szCs w:val="21"/>
                <w:lang w:val="en-US" w:eastAsia="zh-CN"/>
              </w:rPr>
              <w:t>3</w:t>
            </w:r>
            <w:r>
              <w:rPr>
                <w:rFonts w:hint="eastAsia" w:cs="宋体"/>
                <w:szCs w:val="21"/>
              </w:rPr>
              <w:t>分，</w:t>
            </w:r>
          </w:p>
          <w:p>
            <w:pPr>
              <w:widowControl/>
              <w:spacing w:line="360" w:lineRule="auto"/>
              <w:ind w:firstLine="420" w:firstLineChars="200"/>
              <w:jc w:val="left"/>
              <w:textAlignment w:val="top"/>
              <w:rPr>
                <w:rFonts w:ascii="宋体" w:hAnsi="宋体"/>
                <w:szCs w:val="21"/>
              </w:rPr>
            </w:pPr>
            <w:r>
              <w:rPr>
                <w:rFonts w:hint="eastAsia" w:cs="宋体"/>
                <w:szCs w:val="21"/>
              </w:rPr>
              <w:t>（4）投标产品的</w:t>
            </w:r>
            <w:r>
              <w:rPr>
                <w:rFonts w:hint="eastAsia" w:ascii="宋体" w:hAnsi="宋体"/>
                <w:szCs w:val="21"/>
              </w:rPr>
              <w:t>安全</w:t>
            </w:r>
            <w:r>
              <w:rPr>
                <w:rFonts w:hint="eastAsia" w:cs="宋体"/>
                <w:szCs w:val="21"/>
              </w:rPr>
              <w:t xml:space="preserve">稳定性低、故障率较高、使用年限长评价为差得0。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75" w:type="dxa"/>
            <w:vAlign w:val="center"/>
          </w:tcPr>
          <w:p>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174" w:type="dxa"/>
            <w:gridSpan w:val="2"/>
            <w:vAlign w:val="center"/>
          </w:tcPr>
          <w:p>
            <w:pPr>
              <w:widowControl/>
              <w:spacing w:line="360" w:lineRule="auto"/>
              <w:jc w:val="center"/>
              <w:textAlignment w:val="top"/>
              <w:rPr>
                <w:rFonts w:ascii="宋体" w:hAnsi="宋体" w:cs="宋体"/>
                <w:kern w:val="0"/>
                <w:szCs w:val="21"/>
              </w:rPr>
            </w:pPr>
            <w:r>
              <w:rPr>
                <w:rFonts w:hint="eastAsia" w:ascii="宋体" w:hAnsi="宋体" w:cs="宋体"/>
                <w:szCs w:val="21"/>
              </w:rPr>
              <w:t>对所投设备的总体功能、性能及技术先进性作综合评价</w:t>
            </w:r>
          </w:p>
        </w:tc>
        <w:tc>
          <w:tcPr>
            <w:tcW w:w="697" w:type="dxa"/>
            <w:vAlign w:val="center"/>
          </w:tcPr>
          <w:p>
            <w:pPr>
              <w:widowControl/>
              <w:spacing w:line="360" w:lineRule="auto"/>
              <w:jc w:val="center"/>
              <w:textAlignment w:val="top"/>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673" w:type="dxa"/>
            <w:vAlign w:val="center"/>
          </w:tcPr>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专家评分</w:t>
            </w:r>
          </w:p>
        </w:tc>
        <w:tc>
          <w:tcPr>
            <w:tcW w:w="4786" w:type="dxa"/>
            <w:vAlign w:val="center"/>
          </w:tcPr>
          <w:p>
            <w:pPr>
              <w:rPr>
                <w:rFonts w:cs="宋体"/>
                <w:szCs w:val="21"/>
              </w:rPr>
            </w:pPr>
            <w:r>
              <w:rPr>
                <w:rFonts w:hint="eastAsia" w:cs="宋体"/>
                <w:szCs w:val="21"/>
              </w:rPr>
              <w:t>以所投设备的总体功能、性能及技术先进性作综合评价等为主要评价依据，横向比较，</w:t>
            </w:r>
          </w:p>
          <w:p>
            <w:pPr>
              <w:rPr>
                <w:rFonts w:cs="宋体"/>
                <w:szCs w:val="21"/>
              </w:rPr>
            </w:pPr>
            <w:r>
              <w:rPr>
                <w:rFonts w:hint="eastAsia" w:cs="宋体"/>
                <w:szCs w:val="21"/>
              </w:rPr>
              <w:t>（1）</w:t>
            </w:r>
            <w:r>
              <w:rPr>
                <w:rFonts w:hint="eastAsia" w:ascii="宋体" w:hAnsi="宋体" w:cs="宋体"/>
                <w:szCs w:val="21"/>
              </w:rPr>
              <w:t>所投设备的总体功能完善、性能好及技术先进的</w:t>
            </w:r>
            <w:r>
              <w:rPr>
                <w:rFonts w:hint="eastAsia" w:cs="宋体"/>
                <w:szCs w:val="21"/>
              </w:rPr>
              <w:t>评价为优得</w:t>
            </w:r>
            <w:r>
              <w:rPr>
                <w:rFonts w:hint="eastAsia" w:cs="宋体"/>
                <w:szCs w:val="21"/>
                <w:lang w:val="en-US" w:eastAsia="zh-CN"/>
              </w:rPr>
              <w:t>10</w:t>
            </w:r>
            <w:r>
              <w:rPr>
                <w:rFonts w:hint="eastAsia" w:cs="宋体"/>
                <w:szCs w:val="21"/>
              </w:rPr>
              <w:t>分，</w:t>
            </w:r>
          </w:p>
          <w:p>
            <w:pPr>
              <w:rPr>
                <w:rFonts w:cs="宋体"/>
                <w:szCs w:val="21"/>
              </w:rPr>
            </w:pPr>
            <w:r>
              <w:rPr>
                <w:rFonts w:hint="eastAsia" w:cs="宋体"/>
                <w:szCs w:val="21"/>
              </w:rPr>
              <w:t>（2）</w:t>
            </w:r>
            <w:r>
              <w:rPr>
                <w:rFonts w:hint="eastAsia" w:ascii="宋体" w:hAnsi="宋体" w:cs="宋体"/>
                <w:szCs w:val="21"/>
              </w:rPr>
              <w:t>所投设备的总体功能较为完善、性能较好及技术较为先进的</w:t>
            </w:r>
            <w:r>
              <w:rPr>
                <w:rFonts w:hint="eastAsia" w:cs="宋体"/>
                <w:szCs w:val="21"/>
              </w:rPr>
              <w:t>评价为良得</w:t>
            </w:r>
            <w:r>
              <w:rPr>
                <w:rFonts w:hint="eastAsia" w:cs="宋体"/>
                <w:szCs w:val="21"/>
                <w:lang w:val="en-US" w:eastAsia="zh-CN"/>
              </w:rPr>
              <w:t>5</w:t>
            </w:r>
            <w:r>
              <w:rPr>
                <w:rFonts w:hint="eastAsia" w:cs="宋体"/>
                <w:szCs w:val="21"/>
              </w:rPr>
              <w:t>分，</w:t>
            </w:r>
          </w:p>
          <w:p>
            <w:pPr>
              <w:rPr>
                <w:rFonts w:cs="宋体"/>
                <w:szCs w:val="21"/>
              </w:rPr>
            </w:pPr>
            <w:r>
              <w:rPr>
                <w:rFonts w:hint="eastAsia" w:cs="宋体"/>
                <w:szCs w:val="21"/>
              </w:rPr>
              <w:t>（3）</w:t>
            </w:r>
            <w:r>
              <w:rPr>
                <w:rFonts w:hint="eastAsia" w:ascii="宋体" w:hAnsi="宋体" w:cs="宋体"/>
                <w:szCs w:val="21"/>
              </w:rPr>
              <w:t>所投设备的总体功能一般、性能一般及技术先进性一般的</w:t>
            </w:r>
            <w:r>
              <w:rPr>
                <w:rFonts w:hint="eastAsia" w:cs="宋体"/>
                <w:szCs w:val="21"/>
              </w:rPr>
              <w:t>评价为中得</w:t>
            </w:r>
            <w:r>
              <w:rPr>
                <w:rFonts w:hint="eastAsia" w:cs="宋体"/>
                <w:szCs w:val="21"/>
                <w:lang w:val="en-US" w:eastAsia="zh-CN"/>
              </w:rPr>
              <w:t>3</w:t>
            </w:r>
            <w:r>
              <w:rPr>
                <w:rFonts w:hint="eastAsia" w:cs="宋体"/>
                <w:szCs w:val="21"/>
              </w:rPr>
              <w:t>分，</w:t>
            </w:r>
          </w:p>
          <w:p>
            <w:pPr>
              <w:widowControl/>
              <w:spacing w:line="360" w:lineRule="auto"/>
              <w:jc w:val="left"/>
              <w:textAlignment w:val="top"/>
              <w:rPr>
                <w:rFonts w:hint="eastAsia" w:ascii="宋体" w:hAnsi="宋体" w:cs="宋体"/>
                <w:kern w:val="0"/>
                <w:szCs w:val="21"/>
              </w:rPr>
            </w:pPr>
            <w:r>
              <w:rPr>
                <w:rFonts w:hint="eastAsia" w:cs="宋体"/>
                <w:szCs w:val="21"/>
              </w:rPr>
              <w:t>（4）</w:t>
            </w:r>
            <w:r>
              <w:rPr>
                <w:rFonts w:hint="eastAsia" w:ascii="宋体" w:hAnsi="宋体" w:cs="宋体"/>
                <w:szCs w:val="21"/>
              </w:rPr>
              <w:t>所投设备的总体功能差、性能差及技术先进性低</w:t>
            </w:r>
            <w:r>
              <w:rPr>
                <w:rFonts w:hint="eastAsia" w:cs="宋体"/>
                <w:szCs w:val="21"/>
              </w:rPr>
              <w:t>评价为差得0。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75"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5</w:t>
            </w:r>
          </w:p>
        </w:tc>
        <w:tc>
          <w:tcPr>
            <w:tcW w:w="2174" w:type="dxa"/>
            <w:gridSpan w:val="2"/>
            <w:vAlign w:val="center"/>
          </w:tcPr>
          <w:p>
            <w:pPr>
              <w:spacing w:line="360" w:lineRule="auto"/>
              <w:jc w:val="center"/>
              <w:rPr>
                <w:rFonts w:ascii="宋体" w:hAnsi="宋体" w:cs="宋体"/>
                <w:kern w:val="0"/>
                <w:szCs w:val="21"/>
              </w:rPr>
            </w:pPr>
            <w:r>
              <w:rPr>
                <w:rFonts w:hint="eastAsia" w:ascii="宋体" w:hAnsi="宋体" w:cs="宋体"/>
                <w:kern w:val="0"/>
                <w:szCs w:val="21"/>
              </w:rPr>
              <w:t>售后服务方案</w:t>
            </w:r>
          </w:p>
        </w:tc>
        <w:tc>
          <w:tcPr>
            <w:tcW w:w="697" w:type="dxa"/>
            <w:vAlign w:val="center"/>
          </w:tcPr>
          <w:p>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5</w:t>
            </w:r>
          </w:p>
        </w:tc>
        <w:tc>
          <w:tcPr>
            <w:tcW w:w="673" w:type="dxa"/>
            <w:vAlign w:val="center"/>
          </w:tcPr>
          <w:p>
            <w:pPr>
              <w:spacing w:line="360" w:lineRule="auto"/>
              <w:jc w:val="center"/>
              <w:rPr>
                <w:rFonts w:ascii="宋体" w:hAnsi="宋体" w:cs="宋体"/>
                <w:kern w:val="0"/>
                <w:szCs w:val="21"/>
              </w:rPr>
            </w:pPr>
            <w:r>
              <w:rPr>
                <w:rFonts w:hint="eastAsia" w:ascii="宋体" w:hAnsi="宋体" w:cs="宋体"/>
                <w:kern w:val="0"/>
                <w:szCs w:val="21"/>
              </w:rPr>
              <w:t>专家打分</w:t>
            </w:r>
          </w:p>
        </w:tc>
        <w:tc>
          <w:tcPr>
            <w:tcW w:w="4786" w:type="dxa"/>
            <w:vAlign w:val="center"/>
          </w:tcPr>
          <w:p>
            <w:pPr>
              <w:spacing w:line="360" w:lineRule="auto"/>
              <w:rPr>
                <w:rFonts w:hint="default" w:ascii="宋体" w:hAnsi="宋体" w:eastAsiaTheme="minorEastAsia"/>
                <w:szCs w:val="21"/>
                <w:lang w:val="en-US" w:eastAsia="zh-CN"/>
              </w:rPr>
            </w:pPr>
            <w:r>
              <w:rPr>
                <w:rFonts w:hint="eastAsia" w:ascii="宋体" w:hAnsi="宋体"/>
                <w:color w:val="auto"/>
                <w:szCs w:val="21"/>
              </w:rPr>
              <w:t>针对</w:t>
            </w:r>
            <w:r>
              <w:rPr>
                <w:rFonts w:hint="eastAsia" w:ascii="宋体" w:hAnsi="宋体"/>
                <w:color w:val="auto"/>
                <w:szCs w:val="21"/>
                <w:lang w:eastAsia="zh-CN"/>
              </w:rPr>
              <w:t>售后服务方案包含维修响应时间</w:t>
            </w:r>
            <w:r>
              <w:rPr>
                <w:rFonts w:hint="eastAsia" w:ascii="宋体" w:hAnsi="宋体"/>
                <w:color w:val="auto"/>
                <w:szCs w:val="21"/>
              </w:rPr>
              <w:t>、技术人员培训等方面的具体措施：</w:t>
            </w:r>
            <w:r>
              <w:rPr>
                <w:rFonts w:hint="eastAsia" w:ascii="宋体" w:hAnsi="宋体"/>
                <w:color w:val="auto"/>
                <w:szCs w:val="21"/>
                <w:lang w:eastAsia="zh-CN"/>
              </w:rPr>
              <w:t>提供售后服务承诺得</w:t>
            </w:r>
            <w:r>
              <w:rPr>
                <w:rFonts w:hint="eastAsia" w:ascii="宋体" w:hAnsi="宋体"/>
                <w:color w:val="auto"/>
                <w:szCs w:val="21"/>
                <w:lang w:val="en-US" w:eastAsia="zh-CN"/>
              </w:rPr>
              <w:t>2分，</w:t>
            </w:r>
            <w:r>
              <w:rPr>
                <w:rFonts w:hint="eastAsia" w:ascii="宋体" w:hAnsi="宋体" w:cs="宋体"/>
                <w:kern w:val="0"/>
                <w:szCs w:val="21"/>
              </w:rPr>
              <w:t>在满足此基础上进一步综合评审：评价为优加</w:t>
            </w:r>
            <w:r>
              <w:rPr>
                <w:rFonts w:hint="eastAsia" w:ascii="宋体" w:hAnsi="宋体" w:cs="宋体"/>
                <w:kern w:val="0"/>
                <w:szCs w:val="21"/>
                <w:lang w:val="en-US" w:eastAsia="zh-CN"/>
              </w:rPr>
              <w:t>3</w:t>
            </w:r>
            <w:r>
              <w:rPr>
                <w:rFonts w:hint="eastAsia" w:ascii="宋体" w:hAnsi="宋体" w:cs="宋体"/>
                <w:kern w:val="0"/>
                <w:szCs w:val="21"/>
              </w:rPr>
              <w:t>分，良加</w:t>
            </w:r>
            <w:r>
              <w:rPr>
                <w:rFonts w:hint="eastAsia" w:ascii="宋体" w:hAnsi="宋体" w:cs="宋体"/>
                <w:kern w:val="0"/>
                <w:szCs w:val="21"/>
                <w:lang w:val="en-US" w:eastAsia="zh-CN"/>
              </w:rPr>
              <w:t>1</w:t>
            </w:r>
            <w:r>
              <w:rPr>
                <w:rFonts w:hint="eastAsia" w:ascii="宋体" w:hAnsi="宋体" w:cs="宋体"/>
                <w:kern w:val="0"/>
                <w:szCs w:val="21"/>
              </w:rPr>
              <w:t>分，未提供或无法判断则不得分。</w:t>
            </w:r>
          </w:p>
          <w:p>
            <w:pPr>
              <w:spacing w:line="360" w:lineRule="auto"/>
              <w:ind w:firstLine="420" w:firstLineChars="20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46" w:type="dxa"/>
            <w:gridSpan w:val="4"/>
            <w:vAlign w:val="center"/>
          </w:tcPr>
          <w:p>
            <w:pPr>
              <w:pStyle w:val="10"/>
              <w:spacing w:line="360" w:lineRule="auto"/>
              <w:ind w:firstLine="0" w:firstLineChars="0"/>
              <w:jc w:val="center"/>
              <w:rPr>
                <w:rFonts w:asciiTheme="minorEastAsia" w:hAnsiTheme="minorEastAsia" w:eastAsiaTheme="minorEastAsia"/>
                <w:b/>
                <w:szCs w:val="21"/>
              </w:rPr>
            </w:pPr>
            <w:r>
              <w:rPr>
                <w:rFonts w:hint="eastAsia" w:asciiTheme="minorEastAsia" w:hAnsiTheme="minorEastAsia" w:eastAsiaTheme="minorEastAsia"/>
                <w:b/>
                <w:szCs w:val="21"/>
              </w:rPr>
              <w:t>三、商务部分</w:t>
            </w:r>
          </w:p>
        </w:tc>
        <w:tc>
          <w:tcPr>
            <w:tcW w:w="5459"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b/>
                <w:szCs w:val="21"/>
                <w:lang w:val="en-US" w:eastAsia="zh-CN"/>
              </w:rPr>
              <w:t>5</w:t>
            </w:r>
            <w:r>
              <w:rPr>
                <w:rFonts w:hint="eastAsia" w:asciiTheme="minorEastAsia" w:hAnsiTheme="minorEastAsia" w:eastAsiaTheme="minorEastAsia"/>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12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744"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c>
          <w:tcPr>
            <w:tcW w:w="673"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评分方式</w:t>
            </w:r>
          </w:p>
        </w:tc>
        <w:tc>
          <w:tcPr>
            <w:tcW w:w="4786"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127" w:type="dxa"/>
            <w:vAlign w:val="center"/>
          </w:tcPr>
          <w:p>
            <w:pPr>
              <w:widowControl/>
              <w:spacing w:line="360" w:lineRule="auto"/>
              <w:jc w:val="center"/>
              <w:textAlignment w:val="top"/>
              <w:rPr>
                <w:rFonts w:asciiTheme="minorEastAsia" w:hAnsiTheme="minorEastAsia" w:eastAsiaTheme="minorEastAsia"/>
                <w:szCs w:val="21"/>
              </w:rPr>
            </w:pPr>
            <w:r>
              <w:rPr>
                <w:rFonts w:ascii="宋体" w:hAnsi="宋体" w:cs="宋体"/>
                <w:kern w:val="0"/>
                <w:szCs w:val="21"/>
              </w:rPr>
              <w:t>有效业绩</w:t>
            </w:r>
          </w:p>
        </w:tc>
        <w:tc>
          <w:tcPr>
            <w:tcW w:w="744" w:type="dxa"/>
            <w:gridSpan w:val="2"/>
            <w:vAlign w:val="center"/>
          </w:tcPr>
          <w:p>
            <w:pPr>
              <w:widowControl/>
              <w:spacing w:line="360" w:lineRule="auto"/>
              <w:jc w:val="center"/>
              <w:textAlignment w:val="top"/>
              <w:rPr>
                <w:rFonts w:asciiTheme="minorEastAsia" w:hAnsiTheme="minorEastAsia" w:eastAsiaTheme="minorEastAsia"/>
                <w:szCs w:val="21"/>
              </w:rPr>
            </w:pPr>
            <w:r>
              <w:rPr>
                <w:rFonts w:hint="eastAsia" w:cs="宋体" w:asciiTheme="minorEastAsia" w:hAnsiTheme="minorEastAsia" w:eastAsiaTheme="minorEastAsia"/>
                <w:szCs w:val="21"/>
              </w:rPr>
              <w:t>3</w:t>
            </w:r>
          </w:p>
        </w:tc>
        <w:tc>
          <w:tcPr>
            <w:tcW w:w="673"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4786" w:type="dxa"/>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提供1项有效业绩的，得1分；以此类推，最高不超过3分。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不提供或者不能有效证明的，得0分。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有效业绩定义：（同时满足以下全部要求同类业绩才属于有效业绩）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1）为投标供应商所承接</w:t>
            </w:r>
            <w:r>
              <w:rPr>
                <w:rFonts w:hint="eastAsia" w:asciiTheme="minorEastAsia" w:hAnsiTheme="minorEastAsia"/>
                <w:szCs w:val="21"/>
                <w:lang w:eastAsia="zh-CN"/>
              </w:rPr>
              <w:t>或投标品牌</w:t>
            </w:r>
            <w:r>
              <w:rPr>
                <w:rFonts w:hint="eastAsia" w:asciiTheme="minorEastAsia" w:hAnsiTheme="minorEastAsia" w:eastAsiaTheme="minorEastAsia"/>
                <w:szCs w:val="21"/>
              </w:rPr>
              <w:t>的项目。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2）同类业绩指：</w:t>
            </w:r>
            <w:r>
              <w:rPr>
                <w:rFonts w:hint="eastAsia" w:asciiTheme="minorEastAsia" w:hAnsiTheme="minorEastAsia"/>
                <w:szCs w:val="21"/>
                <w:lang w:eastAsia="zh-CN"/>
              </w:rPr>
              <w:t>吊塔</w:t>
            </w:r>
            <w:r>
              <w:rPr>
                <w:rFonts w:hint="eastAsia" w:asciiTheme="minorEastAsia" w:hAnsiTheme="minorEastAsia" w:eastAsiaTheme="minorEastAsia"/>
                <w:szCs w:val="21"/>
              </w:rPr>
              <w:t>项目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3）合同签订时间为20</w:t>
            </w:r>
            <w:r>
              <w:rPr>
                <w:rFonts w:hint="eastAsia" w:asciiTheme="minorEastAsia" w:hAnsiTheme="minorEastAsia"/>
                <w:szCs w:val="21"/>
                <w:lang w:val="en-US" w:eastAsia="zh-CN"/>
              </w:rPr>
              <w:t>20</w:t>
            </w:r>
            <w:r>
              <w:rPr>
                <w:rFonts w:hint="eastAsia" w:asciiTheme="minorEastAsia" w:hAnsiTheme="minorEastAsia" w:eastAsiaTheme="minorEastAsia"/>
                <w:szCs w:val="21"/>
              </w:rPr>
              <w:t>年1月1日至投标截止时间前。</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证明文件：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供应商必须提供项目合同</w:t>
            </w:r>
            <w:r>
              <w:rPr>
                <w:rFonts w:hint="eastAsia" w:asciiTheme="minorEastAsia" w:hAnsiTheme="minorEastAsia"/>
                <w:szCs w:val="21"/>
                <w:lang w:eastAsia="zh-CN"/>
              </w:rPr>
              <w:t>或中标通知书</w:t>
            </w:r>
            <w:r>
              <w:rPr>
                <w:rFonts w:hint="eastAsia" w:asciiTheme="minorEastAsia" w:hAnsiTheme="minorEastAsia" w:eastAsiaTheme="minorEastAsia"/>
                <w:szCs w:val="21"/>
              </w:rPr>
              <w:t>复印件，未提供或无法判断则不得分，原件备查。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127" w:type="dxa"/>
            <w:vAlign w:val="center"/>
          </w:tcPr>
          <w:p>
            <w:pPr>
              <w:widowControl/>
              <w:spacing w:line="360" w:lineRule="auto"/>
              <w:jc w:val="center"/>
              <w:textAlignment w:val="top"/>
              <w:rPr>
                <w:rFonts w:ascii="宋体" w:hAnsi="宋体" w:cs="宋体"/>
                <w:color w:val="auto"/>
                <w:kern w:val="0"/>
                <w:szCs w:val="21"/>
              </w:rPr>
            </w:pPr>
            <w:r>
              <w:rPr>
                <w:rFonts w:hint="eastAsia" w:ascii="宋体" w:hAnsi="宋体" w:cs="宋体"/>
                <w:color w:val="auto"/>
                <w:kern w:val="0"/>
                <w:szCs w:val="21"/>
              </w:rPr>
              <w:t>延长质保期</w:t>
            </w:r>
          </w:p>
        </w:tc>
        <w:tc>
          <w:tcPr>
            <w:tcW w:w="744" w:type="dxa"/>
            <w:gridSpan w:val="2"/>
            <w:vAlign w:val="center"/>
          </w:tcPr>
          <w:p>
            <w:pPr>
              <w:widowControl/>
              <w:spacing w:line="360" w:lineRule="auto"/>
              <w:jc w:val="center"/>
              <w:textAlignment w:val="top"/>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p>
        </w:tc>
        <w:tc>
          <w:tcPr>
            <w:tcW w:w="673"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专家评分</w:t>
            </w:r>
          </w:p>
        </w:tc>
        <w:tc>
          <w:tcPr>
            <w:tcW w:w="4786" w:type="dxa"/>
          </w:tcPr>
          <w:p>
            <w:pP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在满足免费保修期（3年质保期）基础上，承诺每延长1年加1分，最高2分。</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提供延长免费保修期的承诺函（格式自拟），  未提供或无法判断则不得分。</w:t>
            </w:r>
          </w:p>
        </w:tc>
      </w:tr>
    </w:tbl>
    <w:p>
      <w:pPr>
        <w:numPr>
          <w:ilvl w:val="0"/>
          <w:numId w:val="0"/>
        </w:numPr>
        <w:ind w:leftChars="-100"/>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F2B57C3"/>
    <w:rsid w:val="0F3833E7"/>
    <w:rsid w:val="12DD6F01"/>
    <w:rsid w:val="16FD7F75"/>
    <w:rsid w:val="29833AC2"/>
    <w:rsid w:val="38AA1DD4"/>
    <w:rsid w:val="3FF9372A"/>
    <w:rsid w:val="4000052B"/>
    <w:rsid w:val="40624EF6"/>
    <w:rsid w:val="437A1489"/>
    <w:rsid w:val="486B29D8"/>
    <w:rsid w:val="494A4D03"/>
    <w:rsid w:val="528965FF"/>
    <w:rsid w:val="55223429"/>
    <w:rsid w:val="58EB2CD9"/>
    <w:rsid w:val="5D045FFD"/>
    <w:rsid w:val="6B7258C3"/>
    <w:rsid w:val="70A95EF1"/>
    <w:rsid w:val="755469EE"/>
    <w:rsid w:val="77813724"/>
    <w:rsid w:val="780A23D9"/>
    <w:rsid w:val="786D4A31"/>
    <w:rsid w:val="7A2747BD"/>
    <w:rsid w:val="7A74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 w:type="paragraph" w:customStyle="1" w:styleId="10">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2964</Words>
  <Characters>3038</Characters>
  <Lines>31</Lines>
  <Paragraphs>8</Paragraphs>
  <TotalTime>4</TotalTime>
  <ScaleCrop>false</ScaleCrop>
  <LinksUpToDate>false</LinksUpToDate>
  <CharactersWithSpaces>3305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2023-03-08T02:19:30Z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E22E6180E9BC42218675102372457424</vt:lpwstr>
  </property>
</Properties>
</file>