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28"/>
          <w:szCs w:val="28"/>
        </w:rPr>
      </w:pPr>
      <w:bookmarkStart w:id="127" w:name="_GoBack"/>
      <w:bookmarkEnd w:id="127"/>
      <w:r>
        <w:rPr>
          <w:rFonts w:hint="eastAsia" w:ascii="宋体" w:hAnsi="宋体"/>
          <w:b/>
          <w:color w:val="000000"/>
          <w:spacing w:val="20"/>
          <w:sz w:val="40"/>
        </w:rPr>
        <w:t xml:space="preserve">          </w:t>
      </w:r>
      <w:r>
        <w:rPr>
          <w:rFonts w:hint="eastAsia" w:ascii="宋体" w:hAnsi="宋体"/>
          <w:b/>
          <w:sz w:val="28"/>
          <w:szCs w:val="28"/>
        </w:rPr>
        <w:t>项目编号：F</w:t>
      </w:r>
      <w:r>
        <w:rPr>
          <w:rFonts w:ascii="宋体" w:hAnsi="宋体"/>
          <w:b/>
          <w:sz w:val="28"/>
          <w:szCs w:val="28"/>
        </w:rPr>
        <w:t>TEYZWK20230302</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黑体" w:hAnsi="Arial" w:eastAsia="黑体" w:cs="Arial"/>
          <w:sz w:val="52"/>
          <w:szCs w:val="52"/>
        </w:rPr>
      </w:pPr>
      <w:r>
        <w:rPr>
          <w:rFonts w:hint="eastAsia" w:ascii="黑体" w:hAnsi="Arial" w:eastAsia="黑体" w:cs="Arial"/>
          <w:sz w:val="52"/>
          <w:szCs w:val="52"/>
        </w:rPr>
        <w:t>【服务类】</w:t>
      </w:r>
    </w:p>
    <w:p>
      <w:pPr>
        <w:jc w:val="center"/>
        <w:rPr>
          <w:rFonts w:ascii="黑体" w:eastAsia="黑体"/>
          <w:sz w:val="52"/>
          <w:szCs w:val="52"/>
        </w:rPr>
      </w:pPr>
      <w:r>
        <w:rPr>
          <w:rFonts w:hint="eastAsia" w:ascii="黑体" w:eastAsia="黑体"/>
          <w:sz w:val="52"/>
          <w:szCs w:val="52"/>
        </w:rPr>
        <w:t>福田区第二人民医院物业管理服务</w:t>
      </w:r>
    </w:p>
    <w:p>
      <w:pPr>
        <w:jc w:val="center"/>
        <w:rPr>
          <w:rFonts w:ascii="黑体" w:eastAsia="黑体"/>
          <w:sz w:val="52"/>
          <w:szCs w:val="52"/>
        </w:rPr>
      </w:pPr>
      <w:r>
        <w:rPr>
          <w:rFonts w:hint="eastAsia" w:ascii="黑体" w:eastAsia="黑体"/>
          <w:sz w:val="52"/>
          <w:szCs w:val="52"/>
        </w:rPr>
        <w:t>采购第三方咨询供应商项目</w:t>
      </w:r>
    </w:p>
    <w:p/>
    <w:p/>
    <w:p/>
    <w:p/>
    <w:p>
      <w:pPr>
        <w:jc w:val="center"/>
        <w:rPr>
          <w:rFonts w:ascii="黑体" w:eastAsia="黑体"/>
          <w:color w:val="000000" w:themeColor="text1"/>
          <w:sz w:val="72"/>
          <w:szCs w:val="52"/>
          <w14:textFill>
            <w14:solidFill>
              <w14:schemeClr w14:val="tx1"/>
            </w14:solidFill>
          </w14:textFill>
        </w:rPr>
      </w:pPr>
      <w:r>
        <w:rPr>
          <w:rFonts w:hint="eastAsia" w:ascii="黑体" w:eastAsia="黑体"/>
          <w:color w:val="000000" w:themeColor="text1"/>
          <w:sz w:val="72"/>
          <w:szCs w:val="52"/>
          <w14:textFill>
            <w14:solidFill>
              <w14:schemeClr w14:val="tx1"/>
            </w14:solidFill>
          </w14:textFill>
        </w:rPr>
        <w:t>招 标 文 件</w:t>
      </w:r>
    </w:p>
    <w:p>
      <w:pPr>
        <w:rPr>
          <w:rFonts w:ascii="Arial" w:hAnsi="Arial" w:eastAsia="仿宋_GB2312" w:cs="Arial"/>
          <w:sz w:val="44"/>
        </w:rPr>
      </w:pPr>
    </w:p>
    <w:p>
      <w:pPr>
        <w:snapToGrid w:val="0"/>
        <w:spacing w:line="480" w:lineRule="auto"/>
        <w:rPr>
          <w:rFonts w:ascii="Arial" w:hAnsi="Arial" w:eastAsia="仿宋_GB2312" w:cs="Arial"/>
          <w:sz w:val="48"/>
        </w:rPr>
      </w:pPr>
    </w:p>
    <w:p>
      <w:pPr>
        <w:snapToGrid w:val="0"/>
        <w:spacing w:line="360" w:lineRule="auto"/>
        <w:jc w:val="center"/>
        <w:rPr>
          <w:rFonts w:ascii="仿宋" w:hAnsi="仿宋" w:eastAsia="仿宋" w:cs="Arial"/>
          <w:b/>
          <w:bCs/>
          <w:sz w:val="36"/>
          <w:szCs w:val="36"/>
        </w:rPr>
      </w:pPr>
      <w:r>
        <w:rPr>
          <w:rFonts w:hint="eastAsia" w:ascii="仿宋" w:hAnsi="仿宋" w:eastAsia="仿宋" w:cs="Arial"/>
          <w:b/>
          <w:bCs/>
          <w:sz w:val="36"/>
          <w:szCs w:val="36"/>
        </w:rPr>
        <w:t>深圳市福田区第二人民医院</w:t>
      </w:r>
    </w:p>
    <w:p>
      <w:pPr>
        <w:spacing w:line="360" w:lineRule="auto"/>
        <w:jc w:val="center"/>
        <w:rPr>
          <w:rFonts w:ascii="仿宋" w:hAnsi="仿宋" w:eastAsia="仿宋"/>
          <w:sz w:val="36"/>
          <w:szCs w:val="36"/>
        </w:rPr>
      </w:pPr>
      <w:r>
        <w:rPr>
          <w:rFonts w:hint="eastAsia" w:ascii="仿宋" w:hAnsi="仿宋" w:eastAsia="仿宋" w:cs="Arial"/>
          <w:b/>
          <w:bCs/>
          <w:sz w:val="36"/>
          <w:szCs w:val="36"/>
        </w:rPr>
        <w:t>二</w:t>
      </w:r>
      <w:r>
        <w:rPr>
          <w:rFonts w:hint="eastAsia" w:ascii="仿宋" w:hAnsi="仿宋" w:eastAsia="仿宋" w:cs="宋体"/>
          <w:b/>
          <w:bCs/>
          <w:sz w:val="36"/>
          <w:szCs w:val="36"/>
        </w:rPr>
        <w:t>〇</w:t>
      </w:r>
      <w:r>
        <w:rPr>
          <w:rFonts w:hint="eastAsia" w:ascii="仿宋" w:hAnsi="仿宋" w:eastAsia="仿宋" w:cs="Arial"/>
          <w:b/>
          <w:bCs/>
          <w:sz w:val="36"/>
          <w:szCs w:val="36"/>
        </w:rPr>
        <w:t>二三年</w:t>
      </w:r>
      <w:r>
        <w:rPr>
          <w:rFonts w:hint="eastAsia" w:ascii="仿宋" w:hAnsi="仿宋" w:eastAsia="仿宋" w:cs="宋体"/>
          <w:b/>
          <w:bCs/>
          <w:sz w:val="36"/>
          <w:szCs w:val="36"/>
        </w:rPr>
        <w:t>三</w:t>
      </w:r>
      <w:r>
        <w:rPr>
          <w:rFonts w:hint="eastAsia" w:ascii="仿宋" w:hAnsi="仿宋" w:eastAsia="仿宋" w:cs="Arial"/>
          <w:b/>
          <w:bCs/>
          <w:sz w:val="36"/>
          <w:szCs w:val="36"/>
        </w:rPr>
        <w:t>月</w:t>
      </w:r>
    </w:p>
    <w:p>
      <w:pPr>
        <w:spacing w:line="0" w:lineRule="atLeast"/>
        <w:jc w:val="center"/>
        <w:rPr>
          <w:rFonts w:ascii="微软雅黑" w:hAnsi="微软雅黑" w:eastAsia="微软雅黑" w:cs="微软雅黑"/>
          <w:b/>
          <w:color w:val="000000"/>
          <w:spacing w:val="20"/>
          <w:sz w:val="32"/>
          <w:szCs w:val="32"/>
        </w:rPr>
      </w:pPr>
    </w:p>
    <w:p>
      <w:pPr>
        <w:pStyle w:val="2"/>
      </w:pPr>
    </w:p>
    <w:p>
      <w:pPr>
        <w:pStyle w:val="2"/>
      </w:pPr>
    </w:p>
    <w:p>
      <w:pPr>
        <w:spacing w:line="0" w:lineRule="atLeast"/>
        <w:jc w:val="center"/>
        <w:rPr>
          <w:rFonts w:ascii="微软雅黑" w:hAnsi="微软雅黑" w:eastAsia="微软雅黑" w:cs="微软雅黑"/>
          <w:b/>
          <w:color w:val="000000"/>
          <w:sz w:val="32"/>
          <w:szCs w:val="32"/>
        </w:rPr>
      </w:pPr>
      <w:r>
        <w:rPr>
          <w:rFonts w:hint="eastAsia" w:ascii="微软雅黑" w:hAnsi="微软雅黑" w:eastAsia="微软雅黑" w:cs="微软雅黑"/>
          <w:b/>
          <w:color w:val="000000"/>
          <w:spacing w:val="20"/>
          <w:sz w:val="32"/>
          <w:szCs w:val="32"/>
        </w:rPr>
        <w:t>目  录</w:t>
      </w:r>
    </w:p>
    <w:p>
      <w:pPr>
        <w:pStyle w:val="20"/>
        <w:tabs>
          <w:tab w:val="right" w:leader="dot" w:pos="8999"/>
          <w:tab w:val="clear" w:pos="8989"/>
        </w:tabs>
        <w:rPr>
          <w:rFonts w:cs="宋体"/>
        </w:rPr>
      </w:pPr>
      <w:r>
        <w:rPr>
          <w:spacing w:val="20"/>
        </w:rPr>
        <w:fldChar w:fldCharType="begin"/>
      </w:r>
      <w:r>
        <w:rPr>
          <w:spacing w:val="20"/>
        </w:rPr>
        <w:instrText xml:space="preserve"> TOC \o "1-4" \h \z \u </w:instrText>
      </w:r>
      <w:r>
        <w:rPr>
          <w:spacing w:val="20"/>
        </w:rPr>
        <w:fldChar w:fldCharType="separate"/>
      </w:r>
      <w:r>
        <w:fldChar w:fldCharType="begin"/>
      </w:r>
      <w:r>
        <w:instrText xml:space="preserve"> HYPERLINK \l "_Toc32402" </w:instrText>
      </w:r>
      <w:r>
        <w:fldChar w:fldCharType="separate"/>
      </w:r>
      <w:r>
        <w:rPr>
          <w:rFonts w:hint="eastAsia" w:cs="宋体"/>
        </w:rPr>
        <w:t>特别警示条款</w:t>
      </w:r>
      <w:r>
        <w:rPr>
          <w:rFonts w:hint="eastAsia" w:cs="宋体"/>
        </w:rPr>
        <w:tab/>
      </w:r>
      <w:r>
        <w:rPr>
          <w:rFonts w:hint="eastAsia" w:cs="宋体"/>
        </w:rPr>
        <w:fldChar w:fldCharType="begin"/>
      </w:r>
      <w:r>
        <w:rPr>
          <w:rFonts w:hint="eastAsia" w:cs="宋体"/>
        </w:rPr>
        <w:instrText xml:space="preserve"> PAGEREF _Toc32402 \h </w:instrText>
      </w:r>
      <w:r>
        <w:rPr>
          <w:rFonts w:hint="eastAsia" w:cs="宋体"/>
        </w:rPr>
        <w:fldChar w:fldCharType="separate"/>
      </w:r>
      <w:r>
        <w:rPr>
          <w:rFonts w:hint="eastAsia" w:cs="宋体"/>
        </w:rPr>
        <w:t>3</w:t>
      </w:r>
      <w:r>
        <w:rPr>
          <w:rFonts w:hint="eastAsia" w:cs="宋体"/>
        </w:rPr>
        <w:fldChar w:fldCharType="end"/>
      </w:r>
      <w:r>
        <w:rPr>
          <w:rFonts w:hint="eastAsia" w:cs="宋体"/>
        </w:rPr>
        <w:fldChar w:fldCharType="end"/>
      </w:r>
    </w:p>
    <w:p>
      <w:pPr>
        <w:pStyle w:val="20"/>
        <w:tabs>
          <w:tab w:val="right" w:leader="dot" w:pos="8999"/>
          <w:tab w:val="clear" w:pos="8989"/>
        </w:tabs>
        <w:rPr>
          <w:rFonts w:cs="宋体"/>
        </w:rPr>
      </w:pPr>
      <w:r>
        <w:fldChar w:fldCharType="begin"/>
      </w:r>
      <w:r>
        <w:instrText xml:space="preserve"> HYPERLINK \l "_Toc23303" </w:instrText>
      </w:r>
      <w:r>
        <w:fldChar w:fldCharType="separate"/>
      </w:r>
      <w:r>
        <w:rPr>
          <w:rFonts w:hint="eastAsia" w:cs="宋体"/>
        </w:rPr>
        <w:t>第一章  招标公告</w:t>
      </w:r>
      <w:r>
        <w:rPr>
          <w:rFonts w:hint="eastAsia" w:cs="宋体"/>
        </w:rPr>
        <w:tab/>
      </w:r>
      <w:r>
        <w:rPr>
          <w:rFonts w:hint="eastAsia" w:cs="宋体"/>
        </w:rPr>
        <w:fldChar w:fldCharType="begin"/>
      </w:r>
      <w:r>
        <w:rPr>
          <w:rFonts w:hint="eastAsia" w:cs="宋体"/>
        </w:rPr>
        <w:instrText xml:space="preserve"> PAGEREF _Toc23303 \h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pPr>
        <w:pStyle w:val="20"/>
        <w:tabs>
          <w:tab w:val="right" w:leader="dot" w:pos="8999"/>
          <w:tab w:val="clear" w:pos="8989"/>
        </w:tabs>
        <w:rPr>
          <w:rFonts w:cs="宋体"/>
        </w:rPr>
      </w:pPr>
      <w:r>
        <w:fldChar w:fldCharType="begin"/>
      </w:r>
      <w:r>
        <w:instrText xml:space="preserve"> HYPERLINK \l "_Toc10336" </w:instrText>
      </w:r>
      <w:r>
        <w:fldChar w:fldCharType="separate"/>
      </w:r>
      <w:r>
        <w:rPr>
          <w:rFonts w:hint="eastAsia" w:cs="宋体"/>
        </w:rPr>
        <w:t>第二章  投标人须知及前附表</w:t>
      </w:r>
      <w:r>
        <w:rPr>
          <w:rFonts w:hint="eastAsia" w:cs="宋体"/>
        </w:rPr>
        <w:tab/>
      </w:r>
      <w:r>
        <w:rPr>
          <w:rFonts w:hint="eastAsia" w:cs="宋体"/>
        </w:rPr>
        <w:fldChar w:fldCharType="begin"/>
      </w:r>
      <w:r>
        <w:rPr>
          <w:rFonts w:hint="eastAsia" w:cs="宋体"/>
        </w:rPr>
        <w:instrText xml:space="preserve"> PAGEREF _Toc10336 \h </w:instrText>
      </w:r>
      <w:r>
        <w:rPr>
          <w:rFonts w:hint="eastAsia" w:cs="宋体"/>
        </w:rPr>
        <w:fldChar w:fldCharType="separate"/>
      </w:r>
      <w:r>
        <w:rPr>
          <w:rFonts w:hint="eastAsia" w:cs="宋体"/>
        </w:rPr>
        <w:t>8</w:t>
      </w:r>
      <w:r>
        <w:rPr>
          <w:rFonts w:hint="eastAsia" w:cs="宋体"/>
        </w:rPr>
        <w:fldChar w:fldCharType="end"/>
      </w:r>
      <w:r>
        <w:rPr>
          <w:rFonts w:hint="eastAsia" w:cs="宋体"/>
        </w:rPr>
        <w:fldChar w:fldCharType="end"/>
      </w:r>
    </w:p>
    <w:p>
      <w:pPr>
        <w:pStyle w:val="24"/>
        <w:tabs>
          <w:tab w:val="right" w:leader="dot" w:pos="8999"/>
        </w:tabs>
        <w:spacing w:line="440" w:lineRule="exact"/>
        <w:rPr>
          <w:rFonts w:ascii="宋体" w:hAnsi="宋体" w:cs="宋体"/>
          <w:b/>
          <w:sz w:val="21"/>
          <w:szCs w:val="21"/>
        </w:rPr>
      </w:pPr>
      <w:r>
        <w:fldChar w:fldCharType="begin"/>
      </w:r>
      <w:r>
        <w:instrText xml:space="preserve"> HYPERLINK \l "_Toc2012" </w:instrText>
      </w:r>
      <w:r>
        <w:fldChar w:fldCharType="separate"/>
      </w:r>
      <w:r>
        <w:rPr>
          <w:rFonts w:hint="eastAsia" w:ascii="宋体" w:hAnsi="宋体" w:cs="宋体"/>
          <w:b/>
          <w:sz w:val="21"/>
          <w:szCs w:val="21"/>
        </w:rPr>
        <w:t>第一部分  投标人须知前附表</w:t>
      </w:r>
      <w:r>
        <w:rPr>
          <w:rFonts w:hint="eastAsia" w:ascii="宋体" w:hAnsi="宋体" w:cs="宋体"/>
          <w:b/>
          <w:sz w:val="21"/>
          <w:szCs w:val="21"/>
        </w:rPr>
        <w:tab/>
      </w:r>
      <w:r>
        <w:rPr>
          <w:rFonts w:hint="eastAsia" w:ascii="宋体" w:hAnsi="宋体" w:cs="宋体"/>
          <w:b/>
          <w:sz w:val="21"/>
          <w:szCs w:val="21"/>
        </w:rPr>
        <w:fldChar w:fldCharType="begin"/>
      </w:r>
      <w:r>
        <w:rPr>
          <w:rFonts w:hint="eastAsia" w:ascii="宋体" w:hAnsi="宋体" w:cs="宋体"/>
          <w:b/>
          <w:sz w:val="21"/>
          <w:szCs w:val="21"/>
        </w:rPr>
        <w:instrText xml:space="preserve"> PAGEREF _Toc2012 \h </w:instrText>
      </w:r>
      <w:r>
        <w:rPr>
          <w:rFonts w:hint="eastAsia" w:ascii="宋体" w:hAnsi="宋体" w:cs="宋体"/>
          <w:b/>
          <w:sz w:val="21"/>
          <w:szCs w:val="21"/>
        </w:rPr>
        <w:fldChar w:fldCharType="separate"/>
      </w:r>
      <w:r>
        <w:rPr>
          <w:rFonts w:hint="eastAsia" w:ascii="宋体" w:hAnsi="宋体" w:cs="宋体"/>
          <w:b/>
          <w:sz w:val="21"/>
          <w:szCs w:val="21"/>
        </w:rPr>
        <w:t>8</w:t>
      </w:r>
      <w:r>
        <w:rPr>
          <w:rFonts w:hint="eastAsia" w:ascii="宋体" w:hAnsi="宋体" w:cs="宋体"/>
          <w:b/>
          <w:sz w:val="21"/>
          <w:szCs w:val="21"/>
        </w:rPr>
        <w:fldChar w:fldCharType="end"/>
      </w:r>
      <w:r>
        <w:rPr>
          <w:rFonts w:hint="eastAsia" w:ascii="宋体" w:hAnsi="宋体" w:cs="宋体"/>
          <w:b/>
          <w:sz w:val="21"/>
          <w:szCs w:val="21"/>
        </w:rPr>
        <w:fldChar w:fldCharType="end"/>
      </w:r>
    </w:p>
    <w:p>
      <w:pPr>
        <w:pStyle w:val="24"/>
        <w:tabs>
          <w:tab w:val="right" w:leader="dot" w:pos="8999"/>
        </w:tabs>
        <w:spacing w:line="440" w:lineRule="exact"/>
        <w:rPr>
          <w:rFonts w:ascii="宋体" w:hAnsi="宋体" w:cs="宋体"/>
          <w:sz w:val="21"/>
          <w:szCs w:val="21"/>
        </w:rPr>
      </w:pPr>
      <w:r>
        <w:fldChar w:fldCharType="begin"/>
      </w:r>
      <w:r>
        <w:instrText xml:space="preserve"> HYPERLINK \l "_Toc960" </w:instrText>
      </w:r>
      <w:r>
        <w:fldChar w:fldCharType="separate"/>
      </w:r>
      <w:r>
        <w:rPr>
          <w:rFonts w:hint="eastAsia" w:ascii="宋体" w:hAnsi="宋体" w:cs="宋体"/>
          <w:b/>
          <w:sz w:val="21"/>
          <w:szCs w:val="21"/>
        </w:rPr>
        <w:t>第二部分  投标人须知</w:t>
      </w:r>
      <w:r>
        <w:rPr>
          <w:rFonts w:hint="eastAsia" w:ascii="宋体" w:hAnsi="宋体" w:cs="宋体"/>
          <w:b/>
          <w:sz w:val="21"/>
          <w:szCs w:val="21"/>
        </w:rPr>
        <w:tab/>
      </w:r>
      <w:r>
        <w:rPr>
          <w:rFonts w:ascii="宋体" w:hAnsi="宋体" w:cs="宋体"/>
          <w:b/>
          <w:sz w:val="21"/>
          <w:szCs w:val="21"/>
        </w:rPr>
        <w:t>10</w:t>
      </w:r>
      <w:r>
        <w:rPr>
          <w:rFonts w:ascii="宋体" w:hAnsi="宋体" w:cs="宋体"/>
          <w:b/>
          <w:sz w:val="21"/>
          <w:szCs w:val="21"/>
        </w:rPr>
        <w:fldChar w:fldCharType="end"/>
      </w:r>
    </w:p>
    <w:p>
      <w:pPr>
        <w:pStyle w:val="13"/>
        <w:tabs>
          <w:tab w:val="right" w:leader="dot" w:pos="8999"/>
          <w:tab w:val="clear" w:pos="8989"/>
        </w:tabs>
        <w:rPr>
          <w:rFonts w:cs="宋体"/>
        </w:rPr>
      </w:pPr>
      <w:r>
        <w:fldChar w:fldCharType="begin"/>
      </w:r>
      <w:r>
        <w:instrText xml:space="preserve"> HYPERLINK \l "_Toc11834" </w:instrText>
      </w:r>
      <w:r>
        <w:fldChar w:fldCharType="separate"/>
      </w:r>
      <w:r>
        <w:rPr>
          <w:rFonts w:hint="eastAsia" w:cs="宋体"/>
          <w:bCs/>
        </w:rPr>
        <w:t>一、总则</w:t>
      </w:r>
      <w:r>
        <w:rPr>
          <w:rFonts w:hint="eastAsia" w:cs="宋体"/>
        </w:rPr>
        <w:tab/>
      </w:r>
      <w:r>
        <w:rPr>
          <w:rFonts w:cs="宋体"/>
        </w:rPr>
        <w:t>10</w:t>
      </w:r>
      <w:r>
        <w:rPr>
          <w:rFonts w:cs="宋体"/>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"_Toc19665" </w:instrText>
      </w:r>
      <w:r>
        <w:fldChar w:fldCharType="separate"/>
      </w:r>
      <w:r>
        <w:rPr>
          <w:rFonts w:hint="eastAsia" w:ascii="宋体" w:hAnsi="宋体" w:cs="宋体"/>
          <w:bCs/>
          <w:sz w:val="21"/>
          <w:szCs w:val="21"/>
        </w:rPr>
        <w:t>1．适用范围</w:t>
      </w:r>
      <w:r>
        <w:rPr>
          <w:rFonts w:hint="eastAsia" w:ascii="宋体" w:hAnsi="宋体" w:cs="宋体"/>
          <w:sz w:val="21"/>
          <w:szCs w:val="21"/>
        </w:rPr>
        <w:tab/>
      </w:r>
      <w:r>
        <w:rPr>
          <w:rFonts w:ascii="宋体" w:hAnsi="宋体" w:cs="宋体"/>
          <w:sz w:val="21"/>
          <w:szCs w:val="21"/>
        </w:rPr>
        <w:t>10</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"_Toc28072" </w:instrText>
      </w:r>
      <w:r>
        <w:fldChar w:fldCharType="separate"/>
      </w:r>
      <w:r>
        <w:rPr>
          <w:rFonts w:hint="eastAsia" w:ascii="宋体" w:hAnsi="宋体" w:cs="宋体"/>
          <w:bCs/>
          <w:sz w:val="21"/>
          <w:szCs w:val="21"/>
        </w:rPr>
        <w:t>2．定义</w:t>
      </w:r>
      <w:r>
        <w:rPr>
          <w:rFonts w:hint="eastAsia" w:ascii="宋体" w:hAnsi="宋体" w:cs="宋体"/>
          <w:sz w:val="21"/>
          <w:szCs w:val="21"/>
        </w:rPr>
        <w:tab/>
      </w:r>
      <w:r>
        <w:rPr>
          <w:rFonts w:ascii="宋体" w:hAnsi="宋体" w:cs="宋体"/>
          <w:sz w:val="21"/>
          <w:szCs w:val="21"/>
        </w:rPr>
        <w:t>10</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"_Toc20793" </w:instrText>
      </w:r>
      <w:r>
        <w:fldChar w:fldCharType="separate"/>
      </w:r>
      <w:r>
        <w:rPr>
          <w:rFonts w:hint="eastAsia" w:ascii="宋体" w:hAnsi="宋体" w:cs="宋体"/>
          <w:sz w:val="21"/>
          <w:szCs w:val="21"/>
        </w:rPr>
        <w:t>3</w:t>
      </w:r>
      <w:r>
        <w:rPr>
          <w:rFonts w:hint="eastAsia" w:ascii="宋体" w:hAnsi="宋体" w:cs="宋体"/>
          <w:bCs/>
          <w:sz w:val="21"/>
          <w:szCs w:val="21"/>
        </w:rPr>
        <w:t>．合格的投标人</w:t>
      </w:r>
      <w:r>
        <w:rPr>
          <w:rFonts w:hint="eastAsia" w:ascii="宋体" w:hAnsi="宋体" w:cs="宋体"/>
          <w:sz w:val="21"/>
          <w:szCs w:val="21"/>
        </w:rPr>
        <w:tab/>
      </w:r>
      <w:r>
        <w:rPr>
          <w:rFonts w:ascii="宋体" w:hAnsi="宋体" w:cs="宋体"/>
          <w:sz w:val="21"/>
          <w:szCs w:val="21"/>
        </w:rPr>
        <w:t>10</w:t>
      </w:r>
      <w:r>
        <w:rPr>
          <w:rFonts w:ascii="宋体" w:hAnsi="宋体" w:cs="宋体"/>
          <w:sz w:val="21"/>
          <w:szCs w:val="21"/>
        </w:rPr>
        <w:fldChar w:fldCharType="end"/>
      </w:r>
    </w:p>
    <w:p>
      <w:pPr>
        <w:pStyle w:val="13"/>
        <w:tabs>
          <w:tab w:val="right" w:leader="dot" w:pos="8999"/>
          <w:tab w:val="clear" w:pos="8989"/>
        </w:tabs>
        <w:rPr>
          <w:rFonts w:cs="宋体"/>
        </w:rPr>
      </w:pPr>
      <w:r>
        <w:fldChar w:fldCharType="begin"/>
      </w:r>
      <w:r>
        <w:instrText xml:space="preserve"> HYPERLINK \l "_Toc8281" </w:instrText>
      </w:r>
      <w:r>
        <w:fldChar w:fldCharType="separate"/>
      </w:r>
      <w:r>
        <w:rPr>
          <w:rFonts w:hint="eastAsia" w:cs="宋体"/>
          <w:bCs/>
        </w:rPr>
        <w:t>二、招标文件</w:t>
      </w:r>
      <w:r>
        <w:rPr>
          <w:rFonts w:hint="eastAsia" w:cs="宋体"/>
        </w:rPr>
        <w:tab/>
      </w:r>
      <w:r>
        <w:rPr>
          <w:rFonts w:cs="宋体"/>
        </w:rPr>
        <w:t>10</w:t>
      </w:r>
      <w:r>
        <w:rPr>
          <w:rFonts w:cs="宋体"/>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"_Toc1416" </w:instrText>
      </w:r>
      <w:r>
        <w:fldChar w:fldCharType="separate"/>
      </w:r>
      <w:r>
        <w:rPr>
          <w:rFonts w:hint="eastAsia" w:ascii="宋体" w:hAnsi="宋体" w:cs="宋体"/>
          <w:bCs/>
          <w:sz w:val="21"/>
          <w:szCs w:val="21"/>
        </w:rPr>
        <w:t>5．招标文件构成</w:t>
      </w:r>
      <w:r>
        <w:rPr>
          <w:rFonts w:hint="eastAsia" w:ascii="宋体" w:hAnsi="宋体" w:cs="宋体"/>
          <w:sz w:val="21"/>
          <w:szCs w:val="21"/>
        </w:rPr>
        <w:tab/>
      </w:r>
      <w:r>
        <w:rPr>
          <w:rFonts w:ascii="宋体" w:hAnsi="宋体" w:cs="宋体"/>
          <w:sz w:val="21"/>
          <w:szCs w:val="21"/>
        </w:rPr>
        <w:t>10</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"_Toc24184" </w:instrText>
      </w:r>
      <w:r>
        <w:fldChar w:fldCharType="separate"/>
      </w:r>
      <w:r>
        <w:rPr>
          <w:rFonts w:hint="eastAsia" w:ascii="宋体" w:hAnsi="宋体" w:cs="宋体"/>
          <w:sz w:val="21"/>
          <w:szCs w:val="21"/>
        </w:rPr>
        <w:t>6</w:t>
      </w:r>
      <w:r>
        <w:rPr>
          <w:rFonts w:hint="eastAsia" w:ascii="宋体" w:hAnsi="宋体" w:cs="宋体"/>
          <w:bCs/>
          <w:sz w:val="21"/>
          <w:szCs w:val="21"/>
        </w:rPr>
        <w:t>．招标文件的澄清</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_Toc24184 \h </w:instrText>
      </w:r>
      <w:r>
        <w:rPr>
          <w:rFonts w:hint="eastAsia" w:ascii="宋体" w:hAnsi="宋体" w:cs="宋体"/>
          <w:sz w:val="21"/>
          <w:szCs w:val="21"/>
        </w:rPr>
        <w:fldChar w:fldCharType="separate"/>
      </w:r>
      <w:r>
        <w:rPr>
          <w:rFonts w:hint="eastAsia" w:ascii="宋体" w:hAnsi="宋体" w:cs="宋体"/>
          <w:sz w:val="21"/>
          <w:szCs w:val="21"/>
        </w:rPr>
        <w:t>1</w:t>
      </w:r>
      <w:r>
        <w:rPr>
          <w:rFonts w:ascii="宋体" w:hAnsi="宋体" w:cs="宋体"/>
          <w:sz w:val="21"/>
          <w:szCs w:val="21"/>
        </w:rPr>
        <w:t>0</w:t>
      </w:r>
      <w:r>
        <w:rPr>
          <w:rFonts w:hint="eastAsia" w:ascii="宋体" w:hAnsi="宋体" w:cs="宋体"/>
          <w:sz w:val="21"/>
          <w:szCs w:val="21"/>
        </w:rPr>
        <w:fldChar w:fldCharType="end"/>
      </w:r>
      <w:r>
        <w:rPr>
          <w:rFonts w:hint="eastAsia"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"_Toc5473" </w:instrText>
      </w:r>
      <w:r>
        <w:fldChar w:fldCharType="separate"/>
      </w:r>
      <w:r>
        <w:rPr>
          <w:rFonts w:hint="eastAsia" w:ascii="宋体" w:hAnsi="宋体" w:cs="宋体"/>
          <w:bCs/>
          <w:sz w:val="21"/>
          <w:szCs w:val="21"/>
        </w:rPr>
        <w:t>7．招标文件的修改</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_Toc5473 \h </w:instrText>
      </w:r>
      <w:r>
        <w:rPr>
          <w:rFonts w:hint="eastAsia" w:ascii="宋体" w:hAnsi="宋体" w:cs="宋体"/>
          <w:sz w:val="21"/>
          <w:szCs w:val="21"/>
        </w:rPr>
        <w:fldChar w:fldCharType="separate"/>
      </w:r>
      <w:r>
        <w:rPr>
          <w:rFonts w:hint="eastAsia" w:ascii="宋体" w:hAnsi="宋体" w:cs="宋体"/>
          <w:sz w:val="21"/>
          <w:szCs w:val="21"/>
        </w:rPr>
        <w:t>1</w:t>
      </w:r>
      <w:r>
        <w:rPr>
          <w:rFonts w:ascii="宋体" w:hAnsi="宋体" w:cs="宋体"/>
          <w:sz w:val="21"/>
          <w:szCs w:val="21"/>
        </w:rPr>
        <w:t>1</w:t>
      </w:r>
      <w:r>
        <w:rPr>
          <w:rFonts w:hint="eastAsia" w:ascii="宋体" w:hAnsi="宋体" w:cs="宋体"/>
          <w:sz w:val="21"/>
          <w:szCs w:val="21"/>
        </w:rPr>
        <w:fldChar w:fldCharType="end"/>
      </w:r>
      <w:r>
        <w:rPr>
          <w:rFonts w:hint="eastAsia" w:ascii="宋体" w:hAnsi="宋体" w:cs="宋体"/>
          <w:sz w:val="21"/>
          <w:szCs w:val="21"/>
        </w:rPr>
        <w:fldChar w:fldCharType="end"/>
      </w:r>
    </w:p>
    <w:p>
      <w:pPr>
        <w:pStyle w:val="13"/>
        <w:tabs>
          <w:tab w:val="right" w:leader="dot" w:pos="8999"/>
          <w:tab w:val="clear" w:pos="8989"/>
        </w:tabs>
        <w:rPr>
          <w:rFonts w:cs="宋体"/>
        </w:rPr>
      </w:pPr>
      <w:r>
        <w:fldChar w:fldCharType="begin"/>
      </w:r>
      <w:r>
        <w:instrText xml:space="preserve"> HYPERLINK \l "_Toc23020" </w:instrText>
      </w:r>
      <w:r>
        <w:fldChar w:fldCharType="separate"/>
      </w:r>
      <w:r>
        <w:rPr>
          <w:rFonts w:hint="eastAsia" w:cs="宋体"/>
          <w:bCs/>
        </w:rPr>
        <w:t>三、投标书的编制</w:t>
      </w:r>
      <w:r>
        <w:rPr>
          <w:rFonts w:hint="eastAsia" w:cs="宋体"/>
        </w:rPr>
        <w:tab/>
      </w:r>
      <w:r>
        <w:rPr>
          <w:rFonts w:cs="宋体"/>
        </w:rPr>
        <w:t>11</w:t>
      </w:r>
      <w:r>
        <w:rPr>
          <w:rFonts w:cs="宋体"/>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"_Toc1323" </w:instrText>
      </w:r>
      <w:r>
        <w:fldChar w:fldCharType="separate"/>
      </w:r>
      <w:r>
        <w:rPr>
          <w:rFonts w:hint="eastAsia" w:ascii="宋体" w:hAnsi="宋体" w:cs="宋体"/>
          <w:bCs/>
          <w:sz w:val="21"/>
          <w:szCs w:val="21"/>
        </w:rPr>
        <w:t>8．投标的语言及计量单位</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_Toc1323 \h </w:instrText>
      </w:r>
      <w:r>
        <w:rPr>
          <w:rFonts w:hint="eastAsia" w:ascii="宋体" w:hAnsi="宋体" w:cs="宋体"/>
          <w:sz w:val="21"/>
          <w:szCs w:val="21"/>
        </w:rPr>
        <w:fldChar w:fldCharType="separate"/>
      </w:r>
      <w:r>
        <w:rPr>
          <w:rFonts w:hint="eastAsia" w:ascii="宋体" w:hAnsi="宋体" w:cs="宋体"/>
          <w:sz w:val="21"/>
          <w:szCs w:val="21"/>
        </w:rPr>
        <w:t>1</w:t>
      </w:r>
      <w:r>
        <w:rPr>
          <w:rFonts w:ascii="宋体" w:hAnsi="宋体" w:cs="宋体"/>
          <w:sz w:val="21"/>
          <w:szCs w:val="21"/>
        </w:rPr>
        <w:t>1</w:t>
      </w:r>
      <w:r>
        <w:rPr>
          <w:rFonts w:hint="eastAsia" w:ascii="宋体" w:hAnsi="宋体" w:cs="宋体"/>
          <w:sz w:val="21"/>
          <w:szCs w:val="21"/>
        </w:rPr>
        <w:fldChar w:fldCharType="end"/>
      </w:r>
      <w:r>
        <w:rPr>
          <w:rFonts w:hint="eastAsia"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"_Toc15038" </w:instrText>
      </w:r>
      <w:r>
        <w:fldChar w:fldCharType="separate"/>
      </w:r>
      <w:r>
        <w:rPr>
          <w:rFonts w:hint="eastAsia" w:ascii="宋体" w:hAnsi="宋体" w:cs="宋体"/>
          <w:sz w:val="21"/>
          <w:szCs w:val="21"/>
        </w:rPr>
        <w:t>9</w:t>
      </w:r>
      <w:r>
        <w:rPr>
          <w:rFonts w:hint="eastAsia" w:ascii="宋体" w:hAnsi="宋体" w:cs="宋体"/>
          <w:bCs/>
          <w:sz w:val="21"/>
          <w:szCs w:val="21"/>
        </w:rPr>
        <w:t>. 投标书的构成与编排</w:t>
      </w:r>
      <w:r>
        <w:rPr>
          <w:rFonts w:hint="eastAsia" w:ascii="宋体" w:hAnsi="宋体" w:cs="宋体"/>
          <w:sz w:val="21"/>
          <w:szCs w:val="21"/>
        </w:rPr>
        <w:tab/>
      </w:r>
      <w:r>
        <w:rPr>
          <w:rFonts w:ascii="宋体" w:hAnsi="宋体" w:cs="宋体"/>
          <w:sz w:val="21"/>
          <w:szCs w:val="21"/>
        </w:rPr>
        <w:t>12</w:t>
      </w:r>
      <w:r>
        <w:rPr>
          <w:rFonts w:ascii="宋体" w:hAnsi="宋体" w:cs="宋体"/>
          <w:sz w:val="21"/>
          <w:szCs w:val="21"/>
        </w:rPr>
        <w:fldChar w:fldCharType="end"/>
      </w:r>
    </w:p>
    <w:p>
      <w:pPr>
        <w:pStyle w:val="21"/>
        <w:tabs>
          <w:tab w:val="right" w:leader="dot" w:pos="8999"/>
        </w:tabs>
        <w:spacing w:line="440" w:lineRule="exact"/>
        <w:rPr>
          <w:rFonts w:ascii="宋体" w:hAnsi="宋体" w:cs="宋体"/>
          <w:color w:val="000000" w:themeColor="text1"/>
          <w:sz w:val="21"/>
          <w:szCs w:val="21"/>
          <w14:textFill>
            <w14:solidFill>
              <w14:schemeClr w14:val="tx1"/>
            </w14:solidFill>
          </w14:textFill>
        </w:rPr>
      </w:pPr>
      <w:r>
        <w:fldChar w:fldCharType="begin"/>
      </w:r>
      <w:r>
        <w:instrText xml:space="preserve"> HYPERLINK \l "_Toc20034" </w:instrText>
      </w:r>
      <w:r>
        <w:fldChar w:fldCharType="separate"/>
      </w:r>
      <w:r>
        <w:rPr>
          <w:rFonts w:hint="eastAsia" w:ascii="宋体" w:hAnsi="宋体" w:cs="宋体"/>
          <w:color w:val="000000" w:themeColor="text1"/>
          <w:sz w:val="21"/>
          <w:szCs w:val="21"/>
          <w14:textFill>
            <w14:solidFill>
              <w14:schemeClr w14:val="tx1"/>
            </w14:solidFill>
          </w14:textFill>
        </w:rPr>
        <w:t>10</w:t>
      </w:r>
      <w:r>
        <w:rPr>
          <w:rFonts w:hint="eastAsia" w:ascii="宋体" w:hAnsi="宋体" w:cs="宋体"/>
          <w:bCs/>
          <w:color w:val="000000" w:themeColor="text1"/>
          <w:sz w:val="21"/>
          <w:szCs w:val="21"/>
          <w14:textFill>
            <w14:solidFill>
              <w14:schemeClr w14:val="tx1"/>
            </w14:solidFill>
          </w14:textFill>
        </w:rPr>
        <w:t>．投标函</w:t>
      </w:r>
      <w:r>
        <w:rPr>
          <w:rFonts w:hint="eastAsia" w:ascii="宋体" w:hAnsi="宋体" w:cs="宋体"/>
          <w:color w:val="000000" w:themeColor="text1"/>
          <w:sz w:val="21"/>
          <w:szCs w:val="21"/>
          <w14:textFill>
            <w14:solidFill>
              <w14:schemeClr w14:val="tx1"/>
            </w14:solidFill>
          </w14:textFill>
        </w:rPr>
        <w:tab/>
      </w:r>
      <w:r>
        <w:rPr>
          <w:rFonts w:ascii="宋体" w:hAnsi="宋体" w:cs="宋体"/>
          <w:color w:val="000000" w:themeColor="text1"/>
          <w:sz w:val="21"/>
          <w:szCs w:val="21"/>
          <w14:textFill>
            <w14:solidFill>
              <w14:schemeClr w14:val="tx1"/>
            </w14:solidFill>
          </w14:textFill>
        </w:rPr>
        <w:t>12</w:t>
      </w:r>
      <w:r>
        <w:rPr>
          <w:rFonts w:ascii="宋体" w:hAnsi="宋体" w:cs="宋体"/>
          <w:color w:val="000000" w:themeColor="text1"/>
          <w:sz w:val="21"/>
          <w:szCs w:val="21"/>
          <w14:textFill>
            <w14:solidFill>
              <w14:schemeClr w14:val="tx1"/>
            </w14:solidFill>
          </w14:textFill>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"_Toc10350" </w:instrText>
      </w:r>
      <w:r>
        <w:fldChar w:fldCharType="separate"/>
      </w:r>
      <w:r>
        <w:rPr>
          <w:rFonts w:hint="eastAsia" w:ascii="宋体" w:hAnsi="宋体" w:cs="宋体"/>
          <w:sz w:val="21"/>
          <w:szCs w:val="21"/>
        </w:rPr>
        <w:t>11．</w:t>
      </w:r>
      <w:r>
        <w:rPr>
          <w:rFonts w:hint="eastAsia" w:ascii="宋体" w:hAnsi="宋体" w:cs="宋体"/>
          <w:bCs/>
          <w:sz w:val="21"/>
          <w:szCs w:val="21"/>
        </w:rPr>
        <w:t>投标报价</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_Toc10350 \h </w:instrText>
      </w:r>
      <w:r>
        <w:rPr>
          <w:rFonts w:hint="eastAsia" w:ascii="宋体" w:hAnsi="宋体" w:cs="宋体"/>
          <w:sz w:val="21"/>
          <w:szCs w:val="21"/>
        </w:rPr>
        <w:fldChar w:fldCharType="separate"/>
      </w:r>
      <w:r>
        <w:rPr>
          <w:rFonts w:hint="eastAsia" w:ascii="宋体" w:hAnsi="宋体" w:cs="宋体"/>
          <w:sz w:val="21"/>
          <w:szCs w:val="21"/>
        </w:rPr>
        <w:t>1</w:t>
      </w:r>
      <w:r>
        <w:rPr>
          <w:rFonts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"_Toc1907" </w:instrText>
      </w:r>
      <w:r>
        <w:fldChar w:fldCharType="separate"/>
      </w:r>
      <w:r>
        <w:rPr>
          <w:rFonts w:hint="eastAsia" w:ascii="宋体" w:hAnsi="宋体" w:cs="宋体"/>
          <w:bCs/>
          <w:sz w:val="21"/>
          <w:szCs w:val="21"/>
        </w:rPr>
        <w:t>12．投标货币</w:t>
      </w:r>
      <w:r>
        <w:rPr>
          <w:rFonts w:hint="eastAsia" w:ascii="宋体" w:hAnsi="宋体" w:cs="宋体"/>
          <w:sz w:val="21"/>
          <w:szCs w:val="21"/>
        </w:rPr>
        <w:tab/>
      </w:r>
      <w:r>
        <w:rPr>
          <w:rFonts w:ascii="宋体" w:hAnsi="宋体" w:cs="宋体"/>
          <w:sz w:val="21"/>
          <w:szCs w:val="21"/>
        </w:rPr>
        <w:t>12</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"_Toc24245" </w:instrText>
      </w:r>
      <w:r>
        <w:fldChar w:fldCharType="separate"/>
      </w:r>
      <w:r>
        <w:rPr>
          <w:rFonts w:hint="eastAsia" w:ascii="宋体" w:hAnsi="宋体" w:cs="宋体"/>
          <w:bCs/>
          <w:sz w:val="21"/>
          <w:szCs w:val="21"/>
        </w:rPr>
        <w:t>13．证明投标人合格和资格的文件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_Toc24245 \h </w:instrText>
      </w:r>
      <w:r>
        <w:rPr>
          <w:rFonts w:hint="eastAsia" w:ascii="宋体" w:hAnsi="宋体" w:cs="宋体"/>
          <w:sz w:val="21"/>
          <w:szCs w:val="21"/>
        </w:rPr>
        <w:fldChar w:fldCharType="separate"/>
      </w:r>
      <w:r>
        <w:rPr>
          <w:rFonts w:hint="eastAsia" w:ascii="宋体" w:hAnsi="宋体" w:cs="宋体"/>
          <w:sz w:val="21"/>
          <w:szCs w:val="21"/>
        </w:rPr>
        <w:t>1</w:t>
      </w:r>
      <w:r>
        <w:rPr>
          <w:rFonts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"_Toc1326" </w:instrText>
      </w:r>
      <w:r>
        <w:fldChar w:fldCharType="separate"/>
      </w:r>
      <w:r>
        <w:rPr>
          <w:rFonts w:hint="eastAsia" w:ascii="宋体" w:hAnsi="宋体" w:cs="宋体"/>
          <w:sz w:val="21"/>
          <w:szCs w:val="21"/>
        </w:rPr>
        <w:t>14</w:t>
      </w:r>
      <w:r>
        <w:rPr>
          <w:rFonts w:hint="eastAsia" w:ascii="宋体" w:hAnsi="宋体" w:cs="宋体"/>
          <w:bCs/>
          <w:sz w:val="21"/>
          <w:szCs w:val="21"/>
        </w:rPr>
        <w:t>．证明所具有拟采购项目符合招标文件规定的文件</w:t>
      </w:r>
      <w:r>
        <w:rPr>
          <w:rFonts w:hint="eastAsia" w:ascii="宋体" w:hAnsi="宋体" w:cs="宋体"/>
          <w:sz w:val="21"/>
          <w:szCs w:val="21"/>
        </w:rPr>
        <w:tab/>
      </w:r>
      <w:r>
        <w:rPr>
          <w:rFonts w:ascii="宋体" w:hAnsi="宋体" w:cs="宋体"/>
          <w:sz w:val="21"/>
          <w:szCs w:val="21"/>
        </w:rPr>
        <w:t>13</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"_Toc8233" </w:instrText>
      </w:r>
      <w:r>
        <w:fldChar w:fldCharType="separate"/>
      </w:r>
      <w:r>
        <w:rPr>
          <w:rFonts w:hint="eastAsia" w:ascii="宋体" w:hAnsi="宋体" w:cs="宋体"/>
          <w:bCs/>
          <w:sz w:val="21"/>
          <w:szCs w:val="21"/>
        </w:rPr>
        <w:t>1</w:t>
      </w:r>
      <w:r>
        <w:rPr>
          <w:rFonts w:ascii="宋体" w:hAnsi="宋体" w:cs="宋体"/>
          <w:bCs/>
          <w:sz w:val="21"/>
          <w:szCs w:val="21"/>
        </w:rPr>
        <w:t>5</w:t>
      </w:r>
      <w:r>
        <w:rPr>
          <w:rFonts w:hint="eastAsia" w:ascii="宋体" w:hAnsi="宋体" w:cs="宋体"/>
          <w:bCs/>
          <w:sz w:val="21"/>
          <w:szCs w:val="21"/>
        </w:rPr>
        <w:t>．投标有效期</w:t>
      </w:r>
      <w:r>
        <w:rPr>
          <w:rFonts w:hint="eastAsia" w:ascii="宋体" w:hAnsi="宋体" w:cs="宋体"/>
          <w:sz w:val="21"/>
          <w:szCs w:val="21"/>
        </w:rPr>
        <w:tab/>
      </w:r>
      <w:r>
        <w:rPr>
          <w:rFonts w:ascii="宋体" w:hAnsi="宋体" w:cs="宋体"/>
          <w:sz w:val="21"/>
          <w:szCs w:val="21"/>
        </w:rPr>
        <w:t>14</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"_Toc16723" </w:instrText>
      </w:r>
      <w:r>
        <w:fldChar w:fldCharType="separate"/>
      </w:r>
      <w:r>
        <w:rPr>
          <w:rFonts w:hint="eastAsia" w:ascii="宋体" w:hAnsi="宋体" w:cs="宋体"/>
          <w:sz w:val="21"/>
          <w:szCs w:val="21"/>
        </w:rPr>
        <w:t>1</w:t>
      </w:r>
      <w:r>
        <w:rPr>
          <w:rFonts w:ascii="宋体" w:hAnsi="宋体" w:cs="宋体"/>
          <w:sz w:val="21"/>
          <w:szCs w:val="21"/>
        </w:rPr>
        <w:t>6</w:t>
      </w:r>
      <w:r>
        <w:rPr>
          <w:rFonts w:hint="eastAsia" w:ascii="宋体" w:hAnsi="宋体" w:cs="宋体"/>
          <w:sz w:val="21"/>
          <w:szCs w:val="21"/>
        </w:rPr>
        <w:t>．投标书的式样和签署</w:t>
      </w:r>
      <w:r>
        <w:rPr>
          <w:rFonts w:hint="eastAsia" w:ascii="宋体" w:hAnsi="宋体" w:cs="宋体"/>
          <w:sz w:val="21"/>
          <w:szCs w:val="21"/>
        </w:rPr>
        <w:tab/>
      </w:r>
      <w:r>
        <w:rPr>
          <w:rFonts w:ascii="宋体" w:hAnsi="宋体" w:cs="宋体"/>
          <w:sz w:val="21"/>
          <w:szCs w:val="21"/>
        </w:rPr>
        <w:t>14</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"_Toc32336" </w:instrText>
      </w:r>
      <w:r>
        <w:fldChar w:fldCharType="separate"/>
      </w:r>
      <w:r>
        <w:rPr>
          <w:rFonts w:hint="eastAsia" w:ascii="宋体" w:hAnsi="宋体" w:cs="宋体"/>
          <w:bCs/>
          <w:sz w:val="21"/>
          <w:szCs w:val="21"/>
        </w:rPr>
        <w:t>1</w:t>
      </w:r>
      <w:r>
        <w:rPr>
          <w:rFonts w:ascii="宋体" w:hAnsi="宋体" w:cs="宋体"/>
          <w:bCs/>
          <w:sz w:val="21"/>
          <w:szCs w:val="21"/>
        </w:rPr>
        <w:t>7</w:t>
      </w:r>
      <w:r>
        <w:rPr>
          <w:rFonts w:hint="eastAsia" w:ascii="宋体" w:hAnsi="宋体" w:cs="宋体"/>
          <w:bCs/>
          <w:sz w:val="21"/>
          <w:szCs w:val="21"/>
        </w:rPr>
        <w:t>．投标人的替代方案</w:t>
      </w:r>
      <w:r>
        <w:rPr>
          <w:rFonts w:hint="eastAsia" w:ascii="宋体" w:hAnsi="宋体" w:cs="宋体"/>
          <w:sz w:val="21"/>
          <w:szCs w:val="21"/>
        </w:rPr>
        <w:tab/>
      </w:r>
      <w:r>
        <w:rPr>
          <w:rFonts w:ascii="宋体" w:hAnsi="宋体" w:cs="宋体"/>
          <w:sz w:val="21"/>
          <w:szCs w:val="21"/>
        </w:rPr>
        <w:t>15</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"_Toc27994" </w:instrText>
      </w:r>
      <w:r>
        <w:fldChar w:fldCharType="separate"/>
      </w:r>
      <w:r>
        <w:rPr>
          <w:rFonts w:hint="eastAsia" w:ascii="宋体" w:hAnsi="宋体" w:cs="宋体"/>
          <w:bCs/>
          <w:sz w:val="21"/>
          <w:szCs w:val="21"/>
        </w:rPr>
        <w:t>1</w:t>
      </w:r>
      <w:r>
        <w:rPr>
          <w:rFonts w:ascii="宋体" w:hAnsi="宋体" w:cs="宋体"/>
          <w:bCs/>
          <w:sz w:val="21"/>
          <w:szCs w:val="21"/>
        </w:rPr>
        <w:t>8</w:t>
      </w:r>
      <w:r>
        <w:rPr>
          <w:rFonts w:hint="eastAsia" w:ascii="宋体" w:hAnsi="宋体" w:cs="宋体"/>
          <w:bCs/>
          <w:sz w:val="21"/>
          <w:szCs w:val="21"/>
        </w:rPr>
        <w:t>．联合体投标</w:t>
      </w:r>
      <w:r>
        <w:rPr>
          <w:rFonts w:hint="eastAsia" w:ascii="宋体" w:hAnsi="宋体" w:cs="宋体"/>
          <w:sz w:val="21"/>
          <w:szCs w:val="21"/>
        </w:rPr>
        <w:tab/>
      </w:r>
      <w:r>
        <w:rPr>
          <w:rFonts w:ascii="宋体" w:hAnsi="宋体" w:cs="宋体"/>
          <w:sz w:val="21"/>
          <w:szCs w:val="21"/>
        </w:rPr>
        <w:t>15</w:t>
      </w:r>
      <w:r>
        <w:rPr>
          <w:rFonts w:ascii="宋体" w:hAnsi="宋体" w:cs="宋体"/>
          <w:sz w:val="21"/>
          <w:szCs w:val="21"/>
        </w:rPr>
        <w:fldChar w:fldCharType="end"/>
      </w:r>
    </w:p>
    <w:p>
      <w:pPr>
        <w:pStyle w:val="13"/>
        <w:tabs>
          <w:tab w:val="right" w:leader="dot" w:pos="8999"/>
          <w:tab w:val="clear" w:pos="8989"/>
        </w:tabs>
        <w:rPr>
          <w:rFonts w:cs="宋体"/>
        </w:rPr>
      </w:pPr>
      <w:r>
        <w:fldChar w:fldCharType="begin"/>
      </w:r>
      <w:r>
        <w:instrText xml:space="preserve"> HYPERLINK \l "_Toc22512" </w:instrText>
      </w:r>
      <w:r>
        <w:fldChar w:fldCharType="separate"/>
      </w:r>
      <w:r>
        <w:rPr>
          <w:rFonts w:hint="eastAsia" w:cs="宋体"/>
          <w:bCs/>
        </w:rPr>
        <w:t>四、投标书的递交</w:t>
      </w:r>
      <w:r>
        <w:rPr>
          <w:rFonts w:hint="eastAsia" w:cs="宋体"/>
        </w:rPr>
        <w:tab/>
      </w:r>
      <w:r>
        <w:rPr>
          <w:rFonts w:cs="宋体"/>
        </w:rPr>
        <w:t>15</w:t>
      </w:r>
      <w:r>
        <w:rPr>
          <w:rFonts w:cs="宋体"/>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"_Toc13314" </w:instrText>
      </w:r>
      <w:r>
        <w:fldChar w:fldCharType="separate"/>
      </w:r>
      <w:r>
        <w:rPr>
          <w:rFonts w:ascii="宋体" w:hAnsi="宋体" w:cs="宋体"/>
          <w:sz w:val="21"/>
          <w:szCs w:val="21"/>
        </w:rPr>
        <w:t>19</w:t>
      </w:r>
      <w:r>
        <w:rPr>
          <w:rFonts w:hint="eastAsia" w:ascii="宋体" w:hAnsi="宋体" w:cs="宋体"/>
          <w:bCs/>
          <w:sz w:val="21"/>
          <w:szCs w:val="21"/>
        </w:rPr>
        <w:t>．投标书（或谈判文件）的密封和标记</w:t>
      </w:r>
      <w:r>
        <w:rPr>
          <w:rFonts w:hint="eastAsia" w:ascii="宋体" w:hAnsi="宋体" w:cs="宋体"/>
          <w:sz w:val="21"/>
          <w:szCs w:val="21"/>
        </w:rPr>
        <w:tab/>
      </w:r>
      <w:r>
        <w:rPr>
          <w:rFonts w:ascii="宋体" w:hAnsi="宋体" w:cs="宋体"/>
          <w:sz w:val="21"/>
          <w:szCs w:val="21"/>
        </w:rPr>
        <w:t>16</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"_Toc17279" </w:instrText>
      </w:r>
      <w:r>
        <w:fldChar w:fldCharType="separate"/>
      </w:r>
      <w:r>
        <w:rPr>
          <w:rFonts w:ascii="宋体" w:hAnsi="宋体" w:cs="宋体"/>
          <w:bCs/>
          <w:sz w:val="21"/>
          <w:szCs w:val="21"/>
        </w:rPr>
        <w:t>20</w:t>
      </w:r>
      <w:r>
        <w:rPr>
          <w:rFonts w:hint="eastAsia" w:ascii="宋体" w:hAnsi="宋体" w:cs="宋体"/>
          <w:bCs/>
          <w:sz w:val="21"/>
          <w:szCs w:val="21"/>
        </w:rPr>
        <w:t>．投标（或递交谈判文件）截止时间</w:t>
      </w:r>
      <w:r>
        <w:rPr>
          <w:rFonts w:hint="eastAsia" w:ascii="宋体" w:hAnsi="宋体" w:cs="宋体"/>
          <w:sz w:val="21"/>
          <w:szCs w:val="21"/>
        </w:rPr>
        <w:tab/>
      </w:r>
      <w:r>
        <w:rPr>
          <w:rFonts w:ascii="宋体" w:hAnsi="宋体" w:cs="宋体"/>
          <w:sz w:val="21"/>
          <w:szCs w:val="21"/>
        </w:rPr>
        <w:t>16</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"_Toc1116" </w:instrText>
      </w:r>
      <w:r>
        <w:fldChar w:fldCharType="separate"/>
      </w:r>
      <w:r>
        <w:rPr>
          <w:rFonts w:hint="eastAsia" w:ascii="宋体" w:hAnsi="宋体" w:cs="宋体"/>
          <w:bCs/>
          <w:sz w:val="21"/>
          <w:szCs w:val="21"/>
        </w:rPr>
        <w:t>2</w:t>
      </w:r>
      <w:r>
        <w:rPr>
          <w:rFonts w:ascii="宋体" w:hAnsi="宋体" w:cs="宋体"/>
          <w:bCs/>
          <w:sz w:val="21"/>
          <w:szCs w:val="21"/>
        </w:rPr>
        <w:t>1</w:t>
      </w:r>
      <w:r>
        <w:rPr>
          <w:rFonts w:hint="eastAsia" w:ascii="宋体" w:hAnsi="宋体" w:cs="宋体"/>
          <w:bCs/>
          <w:sz w:val="21"/>
          <w:szCs w:val="21"/>
        </w:rPr>
        <w:t>．迟交的投标书（或谈判文件）</w:t>
      </w:r>
      <w:r>
        <w:rPr>
          <w:rFonts w:hint="eastAsia" w:ascii="宋体" w:hAnsi="宋体" w:cs="宋体"/>
          <w:sz w:val="21"/>
          <w:szCs w:val="21"/>
        </w:rPr>
        <w:tab/>
      </w:r>
      <w:r>
        <w:rPr>
          <w:rFonts w:ascii="宋体" w:hAnsi="宋体" w:cs="宋体"/>
          <w:sz w:val="21"/>
          <w:szCs w:val="21"/>
        </w:rPr>
        <w:t>16</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"_Toc9335" </w:instrText>
      </w:r>
      <w:r>
        <w:fldChar w:fldCharType="separate"/>
      </w:r>
      <w:r>
        <w:rPr>
          <w:rFonts w:hint="eastAsia" w:ascii="宋体" w:hAnsi="宋体" w:cs="宋体"/>
          <w:bCs/>
          <w:sz w:val="21"/>
          <w:szCs w:val="21"/>
        </w:rPr>
        <w:t>2</w:t>
      </w:r>
      <w:r>
        <w:rPr>
          <w:rFonts w:ascii="宋体" w:hAnsi="宋体" w:cs="宋体"/>
          <w:bCs/>
          <w:sz w:val="21"/>
          <w:szCs w:val="21"/>
        </w:rPr>
        <w:t>2</w:t>
      </w:r>
      <w:r>
        <w:rPr>
          <w:rFonts w:hint="eastAsia" w:ascii="宋体" w:hAnsi="宋体" w:cs="宋体"/>
          <w:bCs/>
          <w:sz w:val="21"/>
          <w:szCs w:val="21"/>
        </w:rPr>
        <w:t>．投标书（或谈判文件）的修改和撤回</w:t>
      </w:r>
      <w:r>
        <w:rPr>
          <w:rFonts w:hint="eastAsia" w:ascii="宋体" w:hAnsi="宋体" w:cs="宋体"/>
          <w:sz w:val="21"/>
          <w:szCs w:val="21"/>
        </w:rPr>
        <w:tab/>
      </w:r>
      <w:r>
        <w:rPr>
          <w:rFonts w:ascii="宋体" w:hAnsi="宋体" w:cs="宋体"/>
          <w:sz w:val="21"/>
          <w:szCs w:val="21"/>
        </w:rPr>
        <w:t>16</w:t>
      </w:r>
      <w:r>
        <w:rPr>
          <w:rFonts w:ascii="宋体" w:hAnsi="宋体" w:cs="宋体"/>
          <w:sz w:val="21"/>
          <w:szCs w:val="21"/>
        </w:rPr>
        <w:fldChar w:fldCharType="end"/>
      </w:r>
    </w:p>
    <w:p>
      <w:pPr>
        <w:pStyle w:val="13"/>
        <w:tabs>
          <w:tab w:val="right" w:leader="dot" w:pos="8999"/>
          <w:tab w:val="clear" w:pos="8989"/>
        </w:tabs>
        <w:rPr>
          <w:rFonts w:cs="宋体"/>
        </w:rPr>
      </w:pPr>
      <w:r>
        <w:fldChar w:fldCharType="begin"/>
      </w:r>
      <w:r>
        <w:instrText xml:space="preserve"> HYPERLINK \l "_Toc18942" </w:instrText>
      </w:r>
      <w:r>
        <w:fldChar w:fldCharType="separate"/>
      </w:r>
      <w:r>
        <w:rPr>
          <w:rFonts w:hint="eastAsia" w:cs="宋体"/>
          <w:bCs/>
        </w:rPr>
        <w:t>五、开标与评标</w:t>
      </w:r>
      <w:r>
        <w:rPr>
          <w:rFonts w:hint="eastAsia" w:cs="宋体"/>
        </w:rPr>
        <w:tab/>
      </w:r>
      <w:r>
        <w:rPr>
          <w:rFonts w:cs="宋体"/>
        </w:rPr>
        <w:t>16</w:t>
      </w:r>
      <w:r>
        <w:rPr>
          <w:rFonts w:cs="宋体"/>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"_Toc32275" </w:instrText>
      </w:r>
      <w:r>
        <w:fldChar w:fldCharType="separate"/>
      </w:r>
      <w:r>
        <w:rPr>
          <w:rFonts w:hint="eastAsia" w:ascii="宋体" w:hAnsi="宋体" w:cs="宋体"/>
          <w:bCs/>
          <w:sz w:val="21"/>
          <w:szCs w:val="21"/>
        </w:rPr>
        <w:t>2</w:t>
      </w:r>
      <w:r>
        <w:rPr>
          <w:rFonts w:ascii="宋体" w:hAnsi="宋体" w:cs="宋体"/>
          <w:bCs/>
          <w:sz w:val="21"/>
          <w:szCs w:val="21"/>
        </w:rPr>
        <w:t>3</w:t>
      </w:r>
      <w:r>
        <w:rPr>
          <w:rFonts w:hint="eastAsia" w:ascii="宋体" w:hAnsi="宋体" w:cs="宋体"/>
          <w:bCs/>
          <w:sz w:val="21"/>
          <w:szCs w:val="21"/>
        </w:rPr>
        <w:t>．开标（谈判按第六章要求）</w:t>
      </w:r>
      <w:r>
        <w:rPr>
          <w:rFonts w:hint="eastAsia" w:ascii="宋体" w:hAnsi="宋体" w:cs="宋体"/>
          <w:sz w:val="21"/>
          <w:szCs w:val="21"/>
        </w:rPr>
        <w:tab/>
      </w:r>
      <w:r>
        <w:rPr>
          <w:rFonts w:ascii="宋体" w:hAnsi="宋体" w:cs="宋体"/>
          <w:sz w:val="21"/>
          <w:szCs w:val="21"/>
        </w:rPr>
        <w:t>17</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"_Toc4426" </w:instrText>
      </w:r>
      <w:r>
        <w:fldChar w:fldCharType="separate"/>
      </w:r>
      <w:r>
        <w:rPr>
          <w:rFonts w:hint="eastAsia" w:ascii="宋体" w:hAnsi="宋体" w:cs="宋体"/>
          <w:bCs/>
          <w:sz w:val="21"/>
          <w:szCs w:val="21"/>
        </w:rPr>
        <w:t>2</w:t>
      </w:r>
      <w:r>
        <w:rPr>
          <w:rFonts w:ascii="宋体" w:hAnsi="宋体" w:cs="宋体"/>
          <w:bCs/>
          <w:sz w:val="21"/>
          <w:szCs w:val="21"/>
        </w:rPr>
        <w:t>4</w:t>
      </w:r>
      <w:r>
        <w:rPr>
          <w:rFonts w:hint="eastAsia" w:ascii="宋体" w:hAnsi="宋体" w:cs="宋体"/>
          <w:bCs/>
          <w:sz w:val="21"/>
          <w:szCs w:val="21"/>
        </w:rPr>
        <w:t>．</w:t>
      </w:r>
      <w:r>
        <w:rPr>
          <w:rFonts w:hint="eastAsia" w:ascii="宋体" w:hAnsi="宋体" w:cs="宋体"/>
          <w:sz w:val="21"/>
          <w:szCs w:val="21"/>
        </w:rPr>
        <w:t>评标委员会的组建和</w:t>
      </w:r>
      <w:r>
        <w:rPr>
          <w:rFonts w:hint="eastAsia" w:ascii="宋体" w:hAnsi="宋体" w:cs="宋体"/>
          <w:bCs/>
          <w:sz w:val="21"/>
          <w:szCs w:val="21"/>
        </w:rPr>
        <w:t>评标过程的保密性（谈判按第六章要求）</w:t>
      </w:r>
      <w:r>
        <w:rPr>
          <w:rFonts w:hint="eastAsia" w:ascii="宋体" w:hAnsi="宋体" w:cs="宋体"/>
          <w:sz w:val="21"/>
          <w:szCs w:val="21"/>
        </w:rPr>
        <w:tab/>
      </w:r>
      <w:r>
        <w:rPr>
          <w:rFonts w:ascii="宋体" w:hAnsi="宋体" w:cs="宋体"/>
          <w:sz w:val="21"/>
          <w:szCs w:val="21"/>
        </w:rPr>
        <w:t>17</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"_Toc12531" </w:instrText>
      </w:r>
      <w:r>
        <w:fldChar w:fldCharType="separate"/>
      </w:r>
      <w:r>
        <w:rPr>
          <w:rFonts w:hint="eastAsia" w:ascii="宋体" w:hAnsi="宋体" w:cs="宋体"/>
          <w:bCs/>
          <w:sz w:val="21"/>
          <w:szCs w:val="21"/>
        </w:rPr>
        <w:t>2</w:t>
      </w:r>
      <w:r>
        <w:rPr>
          <w:rFonts w:ascii="宋体" w:hAnsi="宋体" w:cs="宋体"/>
          <w:bCs/>
          <w:sz w:val="21"/>
          <w:szCs w:val="21"/>
        </w:rPr>
        <w:t>5</w:t>
      </w:r>
      <w:r>
        <w:rPr>
          <w:rFonts w:hint="eastAsia" w:ascii="宋体" w:hAnsi="宋体" w:cs="宋体"/>
          <w:sz w:val="21"/>
          <w:szCs w:val="21"/>
        </w:rPr>
        <w:t>．</w:t>
      </w:r>
      <w:r>
        <w:rPr>
          <w:rFonts w:hint="eastAsia" w:ascii="宋体" w:hAnsi="宋体" w:cs="宋体"/>
          <w:bCs/>
          <w:sz w:val="21"/>
          <w:szCs w:val="21"/>
        </w:rPr>
        <w:t>投标书的澄清</w:t>
      </w:r>
      <w:r>
        <w:rPr>
          <w:rFonts w:hint="eastAsia" w:ascii="宋体" w:hAnsi="宋体" w:cs="宋体"/>
          <w:sz w:val="21"/>
          <w:szCs w:val="21"/>
        </w:rPr>
        <w:tab/>
      </w:r>
      <w:r>
        <w:rPr>
          <w:rFonts w:ascii="宋体" w:hAnsi="宋体" w:cs="宋体"/>
          <w:sz w:val="21"/>
          <w:szCs w:val="21"/>
        </w:rPr>
        <w:t>17</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"_Toc20222" </w:instrText>
      </w:r>
      <w:r>
        <w:fldChar w:fldCharType="separate"/>
      </w:r>
      <w:r>
        <w:rPr>
          <w:rFonts w:hint="eastAsia" w:ascii="宋体" w:hAnsi="宋体" w:cs="宋体"/>
          <w:bCs/>
          <w:sz w:val="21"/>
          <w:szCs w:val="21"/>
        </w:rPr>
        <w:t>2</w:t>
      </w:r>
      <w:r>
        <w:rPr>
          <w:rFonts w:ascii="宋体" w:hAnsi="宋体" w:cs="宋体"/>
          <w:bCs/>
          <w:sz w:val="21"/>
          <w:szCs w:val="21"/>
        </w:rPr>
        <w:t>6</w:t>
      </w:r>
      <w:r>
        <w:rPr>
          <w:rFonts w:hint="eastAsia" w:ascii="宋体" w:hAnsi="宋体" w:cs="宋体"/>
          <w:bCs/>
          <w:sz w:val="21"/>
          <w:szCs w:val="21"/>
        </w:rPr>
        <w:t>．投标书的初审和评审</w:t>
      </w:r>
      <w:r>
        <w:rPr>
          <w:rFonts w:hint="eastAsia" w:ascii="宋体" w:hAnsi="宋体" w:cs="宋体"/>
          <w:sz w:val="21"/>
          <w:szCs w:val="21"/>
        </w:rPr>
        <w:tab/>
      </w:r>
      <w:r>
        <w:rPr>
          <w:rFonts w:ascii="宋体" w:hAnsi="宋体" w:cs="宋体"/>
          <w:sz w:val="21"/>
          <w:szCs w:val="21"/>
        </w:rPr>
        <w:t>17</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"_Toc8951" </w:instrText>
      </w:r>
      <w:r>
        <w:fldChar w:fldCharType="separate"/>
      </w:r>
      <w:r>
        <w:rPr>
          <w:rFonts w:hint="eastAsia" w:ascii="宋体" w:hAnsi="宋体" w:cs="宋体"/>
          <w:bCs/>
          <w:sz w:val="21"/>
          <w:szCs w:val="21"/>
        </w:rPr>
        <w:t>2</w:t>
      </w:r>
      <w:r>
        <w:rPr>
          <w:rFonts w:ascii="宋体" w:hAnsi="宋体" w:cs="宋体"/>
          <w:bCs/>
          <w:sz w:val="21"/>
          <w:szCs w:val="21"/>
        </w:rPr>
        <w:t>7</w:t>
      </w:r>
      <w:r>
        <w:rPr>
          <w:rFonts w:hint="eastAsia" w:ascii="宋体" w:hAnsi="宋体" w:cs="宋体"/>
          <w:bCs/>
          <w:sz w:val="21"/>
          <w:szCs w:val="21"/>
        </w:rPr>
        <w:t>．评标原则及方法</w:t>
      </w:r>
      <w:r>
        <w:rPr>
          <w:rFonts w:hint="eastAsia" w:ascii="宋体" w:hAnsi="宋体" w:cs="宋体"/>
          <w:sz w:val="21"/>
          <w:szCs w:val="21"/>
        </w:rPr>
        <w:tab/>
      </w:r>
      <w:r>
        <w:rPr>
          <w:rFonts w:ascii="宋体" w:hAnsi="宋体" w:cs="宋体"/>
          <w:sz w:val="21"/>
          <w:szCs w:val="21"/>
        </w:rPr>
        <w:t>19</w:t>
      </w:r>
      <w:r>
        <w:rPr>
          <w:rFonts w:ascii="宋体" w:hAnsi="宋体" w:cs="宋体"/>
          <w:sz w:val="21"/>
          <w:szCs w:val="21"/>
        </w:rPr>
        <w:fldChar w:fldCharType="end"/>
      </w:r>
    </w:p>
    <w:p>
      <w:pPr>
        <w:pStyle w:val="13"/>
        <w:tabs>
          <w:tab w:val="right" w:leader="dot" w:pos="8999"/>
          <w:tab w:val="clear" w:pos="8989"/>
        </w:tabs>
        <w:rPr>
          <w:rFonts w:cs="宋体"/>
        </w:rPr>
      </w:pPr>
      <w:r>
        <w:fldChar w:fldCharType="begin"/>
      </w:r>
      <w:r>
        <w:instrText xml:space="preserve"> HYPERLINK \l "_Toc27951" </w:instrText>
      </w:r>
      <w:r>
        <w:fldChar w:fldCharType="separate"/>
      </w:r>
      <w:r>
        <w:rPr>
          <w:rFonts w:hint="eastAsia" w:cs="宋体"/>
          <w:bCs/>
        </w:rPr>
        <w:t>六、授予合同</w:t>
      </w:r>
      <w:r>
        <w:rPr>
          <w:rFonts w:hint="eastAsia" w:cs="宋体"/>
        </w:rPr>
        <w:tab/>
      </w:r>
      <w:r>
        <w:rPr>
          <w:rFonts w:cs="宋体"/>
        </w:rPr>
        <w:t>19</w:t>
      </w:r>
      <w:r>
        <w:rPr>
          <w:rFonts w:cs="宋体"/>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"_Toc2765" </w:instrText>
      </w:r>
      <w:r>
        <w:fldChar w:fldCharType="separate"/>
      </w:r>
      <w:r>
        <w:rPr>
          <w:rFonts w:hint="eastAsia" w:ascii="宋体" w:hAnsi="宋体" w:cs="宋体"/>
          <w:bCs/>
          <w:sz w:val="21"/>
          <w:szCs w:val="21"/>
        </w:rPr>
        <w:t>2</w:t>
      </w:r>
      <w:r>
        <w:rPr>
          <w:rFonts w:ascii="宋体" w:hAnsi="宋体" w:cs="宋体"/>
          <w:bCs/>
          <w:sz w:val="21"/>
          <w:szCs w:val="21"/>
        </w:rPr>
        <w:t>8</w:t>
      </w:r>
      <w:r>
        <w:rPr>
          <w:rFonts w:hint="eastAsia" w:ascii="宋体" w:hAnsi="宋体" w:cs="宋体"/>
          <w:bCs/>
          <w:sz w:val="21"/>
          <w:szCs w:val="21"/>
        </w:rPr>
        <w:t>．定标原则及合同授予标准</w:t>
      </w:r>
      <w:r>
        <w:rPr>
          <w:rFonts w:hint="eastAsia" w:ascii="宋体" w:hAnsi="宋体" w:cs="宋体"/>
          <w:sz w:val="21"/>
          <w:szCs w:val="21"/>
        </w:rPr>
        <w:tab/>
      </w:r>
      <w:r>
        <w:rPr>
          <w:rFonts w:ascii="宋体" w:hAnsi="宋体" w:cs="宋体"/>
          <w:sz w:val="21"/>
          <w:szCs w:val="21"/>
        </w:rPr>
        <w:t>19</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"_Toc4374" </w:instrText>
      </w:r>
      <w:r>
        <w:fldChar w:fldCharType="separate"/>
      </w:r>
      <w:r>
        <w:rPr>
          <w:rFonts w:ascii="宋体" w:hAnsi="宋体" w:cs="宋体"/>
          <w:bCs/>
          <w:sz w:val="21"/>
          <w:szCs w:val="21"/>
        </w:rPr>
        <w:t>29</w:t>
      </w:r>
      <w:r>
        <w:rPr>
          <w:rFonts w:hint="eastAsia" w:ascii="宋体" w:hAnsi="宋体" w:cs="宋体"/>
          <w:bCs/>
          <w:sz w:val="21"/>
          <w:szCs w:val="21"/>
        </w:rPr>
        <w:t>．资格后审及其他</w:t>
      </w:r>
      <w:r>
        <w:rPr>
          <w:rFonts w:hint="eastAsia" w:ascii="宋体" w:hAnsi="宋体" w:cs="宋体"/>
          <w:sz w:val="21"/>
          <w:szCs w:val="21"/>
        </w:rPr>
        <w:tab/>
      </w:r>
      <w:r>
        <w:rPr>
          <w:rFonts w:ascii="宋体" w:hAnsi="宋体" w:cs="宋体"/>
          <w:sz w:val="21"/>
          <w:szCs w:val="21"/>
        </w:rPr>
        <w:t>20</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"_Toc9472" </w:instrText>
      </w:r>
      <w:r>
        <w:fldChar w:fldCharType="separate"/>
      </w:r>
      <w:r>
        <w:rPr>
          <w:rFonts w:hint="eastAsia" w:ascii="宋体" w:hAnsi="宋体" w:cs="宋体"/>
          <w:bCs/>
          <w:sz w:val="21"/>
          <w:szCs w:val="21"/>
        </w:rPr>
        <w:t>3</w:t>
      </w:r>
      <w:r>
        <w:rPr>
          <w:rFonts w:ascii="宋体" w:hAnsi="宋体" w:cs="宋体"/>
          <w:bCs/>
          <w:sz w:val="21"/>
          <w:szCs w:val="21"/>
        </w:rPr>
        <w:t>0</w:t>
      </w:r>
      <w:r>
        <w:rPr>
          <w:rFonts w:hint="eastAsia" w:ascii="宋体" w:hAnsi="宋体" w:cs="宋体"/>
          <w:bCs/>
          <w:sz w:val="21"/>
          <w:szCs w:val="21"/>
        </w:rPr>
        <w:t>．采购人更改拟采购项目数量的权利</w:t>
      </w:r>
      <w:r>
        <w:rPr>
          <w:rFonts w:hint="eastAsia" w:ascii="宋体" w:hAnsi="宋体" w:cs="宋体"/>
          <w:sz w:val="21"/>
          <w:szCs w:val="21"/>
        </w:rPr>
        <w:tab/>
      </w:r>
      <w:r>
        <w:rPr>
          <w:rFonts w:ascii="宋体" w:hAnsi="宋体" w:cs="宋体"/>
          <w:sz w:val="21"/>
          <w:szCs w:val="21"/>
        </w:rPr>
        <w:t>20</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"_Toc26720" </w:instrText>
      </w:r>
      <w:r>
        <w:fldChar w:fldCharType="separate"/>
      </w:r>
      <w:r>
        <w:rPr>
          <w:rFonts w:hint="eastAsia" w:ascii="宋体" w:hAnsi="宋体" w:cs="宋体"/>
          <w:bCs/>
          <w:sz w:val="21"/>
          <w:szCs w:val="21"/>
        </w:rPr>
        <w:t>3</w:t>
      </w:r>
      <w:r>
        <w:rPr>
          <w:rFonts w:ascii="宋体" w:hAnsi="宋体" w:cs="宋体"/>
          <w:bCs/>
          <w:sz w:val="21"/>
          <w:szCs w:val="21"/>
        </w:rPr>
        <w:t>1</w:t>
      </w:r>
      <w:r>
        <w:rPr>
          <w:rFonts w:hint="eastAsia" w:ascii="宋体" w:hAnsi="宋体" w:cs="宋体"/>
          <w:bCs/>
          <w:sz w:val="21"/>
          <w:szCs w:val="21"/>
        </w:rPr>
        <w:t>．采购人接受和拒绝任何或所有投标的权利</w:t>
      </w:r>
      <w:r>
        <w:rPr>
          <w:rFonts w:hint="eastAsia" w:ascii="宋体" w:hAnsi="宋体" w:cs="宋体"/>
          <w:sz w:val="21"/>
          <w:szCs w:val="21"/>
        </w:rPr>
        <w:tab/>
      </w:r>
      <w:r>
        <w:rPr>
          <w:rFonts w:ascii="宋体" w:hAnsi="宋体" w:cs="宋体"/>
          <w:sz w:val="21"/>
          <w:szCs w:val="21"/>
        </w:rPr>
        <w:t>20</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"_Toc1687" </w:instrText>
      </w:r>
      <w:r>
        <w:fldChar w:fldCharType="separate"/>
      </w:r>
      <w:r>
        <w:rPr>
          <w:rFonts w:hint="eastAsia" w:ascii="宋体" w:hAnsi="宋体" w:cs="宋体"/>
          <w:bCs/>
          <w:sz w:val="21"/>
          <w:szCs w:val="21"/>
        </w:rPr>
        <w:t>3</w:t>
      </w:r>
      <w:r>
        <w:rPr>
          <w:rFonts w:ascii="宋体" w:hAnsi="宋体" w:cs="宋体"/>
          <w:bCs/>
          <w:sz w:val="21"/>
          <w:szCs w:val="21"/>
        </w:rPr>
        <w:t>2</w:t>
      </w:r>
      <w:r>
        <w:rPr>
          <w:rFonts w:hint="eastAsia" w:ascii="宋体" w:hAnsi="宋体" w:cs="宋体"/>
          <w:bCs/>
          <w:sz w:val="21"/>
          <w:szCs w:val="21"/>
        </w:rPr>
        <w:t>．中标通知书</w:t>
      </w:r>
      <w:r>
        <w:rPr>
          <w:rFonts w:hint="eastAsia" w:ascii="宋体" w:hAnsi="宋体" w:cs="宋体"/>
          <w:sz w:val="21"/>
          <w:szCs w:val="21"/>
        </w:rPr>
        <w:tab/>
      </w:r>
      <w:r>
        <w:rPr>
          <w:rFonts w:ascii="宋体" w:hAnsi="宋体" w:cs="宋体"/>
          <w:sz w:val="21"/>
          <w:szCs w:val="21"/>
        </w:rPr>
        <w:t>20</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"_Toc476" </w:instrText>
      </w:r>
      <w:r>
        <w:fldChar w:fldCharType="separate"/>
      </w:r>
      <w:r>
        <w:rPr>
          <w:rFonts w:hint="eastAsia" w:ascii="宋体" w:hAnsi="宋体" w:cs="宋体"/>
          <w:bCs/>
          <w:sz w:val="21"/>
          <w:szCs w:val="21"/>
        </w:rPr>
        <w:t>3</w:t>
      </w:r>
      <w:r>
        <w:rPr>
          <w:rFonts w:ascii="宋体" w:hAnsi="宋体" w:cs="宋体"/>
          <w:bCs/>
          <w:sz w:val="21"/>
          <w:szCs w:val="21"/>
        </w:rPr>
        <w:t>3</w:t>
      </w:r>
      <w:r>
        <w:rPr>
          <w:rFonts w:hint="eastAsia" w:ascii="宋体" w:hAnsi="宋体" w:cs="宋体"/>
          <w:bCs/>
          <w:sz w:val="21"/>
          <w:szCs w:val="21"/>
        </w:rPr>
        <w:t>．签订合同</w:t>
      </w:r>
      <w:r>
        <w:rPr>
          <w:rFonts w:hint="eastAsia" w:ascii="宋体" w:hAnsi="宋体" w:cs="宋体"/>
          <w:sz w:val="21"/>
          <w:szCs w:val="21"/>
        </w:rPr>
        <w:tab/>
      </w:r>
      <w:r>
        <w:rPr>
          <w:rFonts w:ascii="宋体" w:hAnsi="宋体" w:cs="宋体"/>
          <w:sz w:val="21"/>
          <w:szCs w:val="21"/>
        </w:rPr>
        <w:t>20</w:t>
      </w:r>
      <w:r>
        <w:rPr>
          <w:rFonts w:ascii="宋体" w:hAnsi="宋体" w:cs="宋体"/>
          <w:sz w:val="21"/>
          <w:szCs w:val="21"/>
        </w:rPr>
        <w:fldChar w:fldCharType="end"/>
      </w:r>
    </w:p>
    <w:p>
      <w:pPr>
        <w:pStyle w:val="21"/>
        <w:tabs>
          <w:tab w:val="right" w:leader="dot" w:pos="8999"/>
        </w:tabs>
        <w:spacing w:line="440" w:lineRule="exact"/>
        <w:rPr>
          <w:rFonts w:ascii="宋体" w:hAnsi="宋体" w:cs="宋体"/>
          <w:sz w:val="21"/>
          <w:szCs w:val="21"/>
        </w:rPr>
      </w:pPr>
      <w:r>
        <w:fldChar w:fldCharType="begin"/>
      </w:r>
      <w:r>
        <w:instrText xml:space="preserve"> HYPERLINK \l "_Toc28997" </w:instrText>
      </w:r>
      <w:r>
        <w:fldChar w:fldCharType="separate"/>
      </w:r>
      <w:r>
        <w:rPr>
          <w:rFonts w:hint="eastAsia" w:ascii="宋体" w:hAnsi="宋体" w:cs="宋体"/>
          <w:bCs/>
          <w:sz w:val="21"/>
          <w:szCs w:val="21"/>
        </w:rPr>
        <w:t>3</w:t>
      </w:r>
      <w:r>
        <w:rPr>
          <w:rFonts w:ascii="宋体" w:hAnsi="宋体" w:cs="宋体"/>
          <w:bCs/>
          <w:sz w:val="21"/>
          <w:szCs w:val="21"/>
        </w:rPr>
        <w:t>4</w:t>
      </w:r>
      <w:r>
        <w:rPr>
          <w:rFonts w:hint="eastAsia" w:ascii="宋体" w:hAnsi="宋体" w:cs="宋体"/>
          <w:bCs/>
          <w:sz w:val="21"/>
          <w:szCs w:val="21"/>
        </w:rPr>
        <w:t>．腐败和欺诈</w:t>
      </w:r>
      <w:r>
        <w:rPr>
          <w:rFonts w:hint="eastAsia" w:ascii="宋体" w:hAnsi="宋体" w:cs="宋体"/>
          <w:sz w:val="21"/>
          <w:szCs w:val="21"/>
        </w:rPr>
        <w:tab/>
      </w:r>
      <w:r>
        <w:rPr>
          <w:rFonts w:ascii="宋体" w:hAnsi="宋体" w:cs="宋体"/>
          <w:sz w:val="21"/>
          <w:szCs w:val="21"/>
        </w:rPr>
        <w:t>20</w:t>
      </w:r>
      <w:r>
        <w:rPr>
          <w:rFonts w:ascii="宋体" w:hAnsi="宋体" w:cs="宋体"/>
          <w:sz w:val="21"/>
          <w:szCs w:val="21"/>
        </w:rPr>
        <w:fldChar w:fldCharType="end"/>
      </w:r>
    </w:p>
    <w:p>
      <w:pPr>
        <w:pStyle w:val="13"/>
        <w:tabs>
          <w:tab w:val="right" w:leader="dot" w:pos="8999"/>
          <w:tab w:val="clear" w:pos="8989"/>
        </w:tabs>
        <w:rPr>
          <w:rFonts w:cs="宋体"/>
        </w:rPr>
      </w:pPr>
      <w:r>
        <w:fldChar w:fldCharType="begin"/>
      </w:r>
      <w:r>
        <w:instrText xml:space="preserve"> HYPERLINK \l "_Toc29386" </w:instrText>
      </w:r>
      <w:r>
        <w:fldChar w:fldCharType="separate"/>
      </w:r>
      <w:r>
        <w:rPr>
          <w:rFonts w:hint="eastAsia" w:cs="宋体"/>
          <w:bCs/>
        </w:rPr>
        <w:t>七、未尽事项</w:t>
      </w:r>
      <w:r>
        <w:rPr>
          <w:rFonts w:hint="eastAsia" w:cs="宋体"/>
        </w:rPr>
        <w:tab/>
      </w:r>
      <w:r>
        <w:rPr>
          <w:rFonts w:cs="宋体"/>
        </w:rPr>
        <w:t>20</w:t>
      </w:r>
      <w:r>
        <w:rPr>
          <w:rFonts w:cs="宋体"/>
        </w:rPr>
        <w:fldChar w:fldCharType="end"/>
      </w:r>
    </w:p>
    <w:p>
      <w:pPr>
        <w:pStyle w:val="20"/>
        <w:tabs>
          <w:tab w:val="right" w:leader="dot" w:pos="8999"/>
          <w:tab w:val="clear" w:pos="8989"/>
        </w:tabs>
        <w:rPr>
          <w:rFonts w:cs="宋体"/>
        </w:rPr>
      </w:pPr>
      <w:r>
        <w:fldChar w:fldCharType="begin"/>
      </w:r>
      <w:r>
        <w:instrText xml:space="preserve"> HYPERLINK \l "_Toc15120" </w:instrText>
      </w:r>
      <w:r>
        <w:fldChar w:fldCharType="separate"/>
      </w:r>
      <w:r>
        <w:rPr>
          <w:rFonts w:hint="eastAsia" w:cs="宋体"/>
        </w:rPr>
        <w:t>第三章  合同条款格式（仅供参考）</w:t>
      </w:r>
      <w:r>
        <w:rPr>
          <w:rFonts w:hint="eastAsia" w:cs="宋体"/>
        </w:rPr>
        <w:tab/>
      </w:r>
      <w:r>
        <w:rPr>
          <w:rFonts w:cs="宋体"/>
        </w:rPr>
        <w:t>22</w:t>
      </w:r>
      <w:r>
        <w:rPr>
          <w:rFonts w:cs="宋体"/>
        </w:rPr>
        <w:fldChar w:fldCharType="end"/>
      </w:r>
    </w:p>
    <w:p>
      <w:pPr>
        <w:pStyle w:val="20"/>
        <w:tabs>
          <w:tab w:val="right" w:leader="dot" w:pos="8999"/>
          <w:tab w:val="clear" w:pos="8989"/>
        </w:tabs>
        <w:rPr>
          <w:rFonts w:cs="宋体"/>
        </w:rPr>
      </w:pPr>
      <w:r>
        <w:fldChar w:fldCharType="begin"/>
      </w:r>
      <w:r>
        <w:instrText xml:space="preserve"> HYPERLINK \l "_Toc1331" </w:instrText>
      </w:r>
      <w:r>
        <w:fldChar w:fldCharType="separate"/>
      </w:r>
      <w:r>
        <w:rPr>
          <w:rFonts w:hint="eastAsia" w:cs="宋体"/>
        </w:rPr>
        <w:t>第四章  需求及技术规格</w:t>
      </w:r>
      <w:r>
        <w:rPr>
          <w:rFonts w:hint="eastAsia" w:cs="宋体"/>
        </w:rPr>
        <w:tab/>
      </w:r>
      <w:r>
        <w:rPr>
          <w:rFonts w:cs="宋体"/>
        </w:rPr>
        <w:t>26</w:t>
      </w:r>
      <w:r>
        <w:rPr>
          <w:rFonts w:cs="宋体"/>
        </w:rPr>
        <w:fldChar w:fldCharType="end"/>
      </w:r>
    </w:p>
    <w:p>
      <w:pPr>
        <w:pStyle w:val="24"/>
        <w:tabs>
          <w:tab w:val="right" w:leader="dot" w:pos="8999"/>
        </w:tabs>
        <w:spacing w:line="440" w:lineRule="exact"/>
        <w:rPr>
          <w:rFonts w:ascii="宋体" w:hAnsi="宋体" w:cs="宋体"/>
          <w:sz w:val="21"/>
          <w:szCs w:val="21"/>
        </w:rPr>
      </w:pPr>
      <w:r>
        <w:fldChar w:fldCharType="begin"/>
      </w:r>
      <w:r>
        <w:instrText xml:space="preserve"> HYPERLINK \l "_Toc24986" </w:instrText>
      </w:r>
      <w:r>
        <w:fldChar w:fldCharType="separate"/>
      </w:r>
      <w:r>
        <w:rPr>
          <w:rFonts w:hint="eastAsia" w:ascii="宋体" w:hAnsi="宋体" w:cs="宋体"/>
          <w:bCs/>
          <w:sz w:val="21"/>
          <w:szCs w:val="21"/>
        </w:rPr>
        <w:t>第一节  说明</w:t>
      </w:r>
      <w:r>
        <w:rPr>
          <w:rFonts w:hint="eastAsia" w:ascii="宋体" w:hAnsi="宋体" w:cs="宋体"/>
          <w:sz w:val="21"/>
          <w:szCs w:val="21"/>
        </w:rPr>
        <w:tab/>
      </w:r>
      <w:r>
        <w:rPr>
          <w:rFonts w:ascii="宋体" w:hAnsi="宋体" w:cs="宋体"/>
          <w:sz w:val="21"/>
          <w:szCs w:val="21"/>
        </w:rPr>
        <w:t>26</w:t>
      </w:r>
      <w:r>
        <w:rPr>
          <w:rFonts w:ascii="宋体" w:hAnsi="宋体" w:cs="宋体"/>
          <w:sz w:val="21"/>
          <w:szCs w:val="21"/>
        </w:rPr>
        <w:fldChar w:fldCharType="end"/>
      </w:r>
    </w:p>
    <w:p>
      <w:pPr>
        <w:pStyle w:val="24"/>
        <w:tabs>
          <w:tab w:val="right" w:leader="dot" w:pos="8999"/>
        </w:tabs>
        <w:spacing w:line="440" w:lineRule="exact"/>
        <w:rPr>
          <w:rFonts w:ascii="宋体" w:hAnsi="宋体" w:cs="宋体"/>
          <w:sz w:val="21"/>
          <w:szCs w:val="21"/>
        </w:rPr>
      </w:pPr>
      <w:r>
        <w:fldChar w:fldCharType="begin"/>
      </w:r>
      <w:r>
        <w:instrText xml:space="preserve"> HYPERLINK \l "_Toc28899" </w:instrText>
      </w:r>
      <w:r>
        <w:fldChar w:fldCharType="separate"/>
      </w:r>
      <w:r>
        <w:rPr>
          <w:rFonts w:hint="eastAsia" w:ascii="宋体" w:hAnsi="宋体" w:cs="宋体"/>
          <w:bCs/>
          <w:sz w:val="21"/>
          <w:szCs w:val="21"/>
        </w:rPr>
        <w:t>第二节  需求一览表</w:t>
      </w:r>
      <w:r>
        <w:rPr>
          <w:rFonts w:hint="eastAsia" w:ascii="宋体" w:hAnsi="宋体" w:cs="宋体"/>
          <w:sz w:val="21"/>
          <w:szCs w:val="21"/>
        </w:rPr>
        <w:tab/>
      </w:r>
      <w:r>
        <w:rPr>
          <w:rFonts w:ascii="宋体" w:hAnsi="宋体" w:cs="宋体"/>
          <w:sz w:val="21"/>
          <w:szCs w:val="21"/>
        </w:rPr>
        <w:t>26</w:t>
      </w:r>
      <w:r>
        <w:rPr>
          <w:rFonts w:ascii="宋体" w:hAnsi="宋体" w:cs="宋体"/>
          <w:sz w:val="21"/>
          <w:szCs w:val="21"/>
        </w:rPr>
        <w:fldChar w:fldCharType="end"/>
      </w:r>
    </w:p>
    <w:p>
      <w:pPr>
        <w:pStyle w:val="24"/>
        <w:tabs>
          <w:tab w:val="right" w:leader="dot" w:pos="8999"/>
        </w:tabs>
        <w:spacing w:line="440" w:lineRule="exact"/>
        <w:rPr>
          <w:rFonts w:ascii="宋体" w:hAnsi="宋体" w:cs="宋体"/>
          <w:sz w:val="21"/>
          <w:szCs w:val="21"/>
        </w:rPr>
      </w:pPr>
      <w:r>
        <w:fldChar w:fldCharType="begin"/>
      </w:r>
      <w:r>
        <w:instrText xml:space="preserve"> HYPERLINK \l "_Toc5820" </w:instrText>
      </w:r>
      <w:r>
        <w:fldChar w:fldCharType="separate"/>
      </w:r>
      <w:r>
        <w:rPr>
          <w:rFonts w:hint="eastAsia" w:ascii="宋体" w:hAnsi="宋体" w:cs="宋体"/>
          <w:bCs/>
          <w:sz w:val="21"/>
          <w:szCs w:val="21"/>
        </w:rPr>
        <w:t>第三节  技术需求明细</w:t>
      </w:r>
      <w:r>
        <w:rPr>
          <w:rFonts w:hint="eastAsia" w:ascii="宋体" w:hAnsi="宋体" w:cs="宋体"/>
          <w:sz w:val="21"/>
          <w:szCs w:val="21"/>
        </w:rPr>
        <w:tab/>
      </w:r>
      <w:r>
        <w:rPr>
          <w:rFonts w:ascii="宋体" w:hAnsi="宋体" w:cs="宋体"/>
          <w:sz w:val="21"/>
          <w:szCs w:val="21"/>
        </w:rPr>
        <w:t>26</w:t>
      </w:r>
      <w:r>
        <w:rPr>
          <w:rFonts w:ascii="宋体" w:hAnsi="宋体" w:cs="宋体"/>
          <w:sz w:val="21"/>
          <w:szCs w:val="21"/>
        </w:rPr>
        <w:fldChar w:fldCharType="end"/>
      </w:r>
    </w:p>
    <w:p>
      <w:pPr>
        <w:pStyle w:val="24"/>
        <w:tabs>
          <w:tab w:val="right" w:leader="dot" w:pos="8999"/>
        </w:tabs>
        <w:spacing w:line="440" w:lineRule="exact"/>
        <w:rPr>
          <w:rFonts w:ascii="宋体" w:hAnsi="宋体" w:cs="宋体"/>
          <w:sz w:val="21"/>
          <w:szCs w:val="21"/>
        </w:rPr>
      </w:pPr>
      <w:r>
        <w:fldChar w:fldCharType="begin"/>
      </w:r>
      <w:r>
        <w:instrText xml:space="preserve"> HYPERLINK \l "_Toc9861" </w:instrText>
      </w:r>
      <w:r>
        <w:fldChar w:fldCharType="separate"/>
      </w:r>
      <w:r>
        <w:rPr>
          <w:rFonts w:hint="eastAsia" w:ascii="宋体" w:hAnsi="宋体" w:cs="宋体"/>
          <w:bCs/>
          <w:sz w:val="21"/>
          <w:szCs w:val="21"/>
        </w:rPr>
        <w:t>第四节  商务需求明细</w:t>
      </w:r>
      <w:r>
        <w:rPr>
          <w:rFonts w:hint="eastAsia" w:ascii="宋体" w:hAnsi="宋体" w:cs="宋体"/>
          <w:sz w:val="21"/>
          <w:szCs w:val="21"/>
        </w:rPr>
        <w:tab/>
      </w:r>
      <w:r>
        <w:rPr>
          <w:rFonts w:ascii="宋体" w:hAnsi="宋体" w:cs="宋体"/>
          <w:sz w:val="21"/>
          <w:szCs w:val="21"/>
        </w:rPr>
        <w:t>28</w:t>
      </w:r>
      <w:r>
        <w:rPr>
          <w:rFonts w:ascii="宋体" w:hAnsi="宋体" w:cs="宋体"/>
          <w:sz w:val="21"/>
          <w:szCs w:val="21"/>
        </w:rPr>
        <w:fldChar w:fldCharType="end"/>
      </w:r>
    </w:p>
    <w:p>
      <w:pPr>
        <w:pStyle w:val="24"/>
        <w:tabs>
          <w:tab w:val="right" w:leader="dot" w:pos="8999"/>
        </w:tabs>
        <w:spacing w:line="440" w:lineRule="exact"/>
        <w:rPr>
          <w:rFonts w:ascii="宋体" w:hAnsi="宋体" w:cs="宋体"/>
          <w:sz w:val="21"/>
          <w:szCs w:val="21"/>
        </w:rPr>
      </w:pPr>
      <w:r>
        <w:fldChar w:fldCharType="begin"/>
      </w:r>
      <w:r>
        <w:instrText xml:space="preserve"> HYPERLINK \l "_Toc15840" </w:instrText>
      </w:r>
      <w:r>
        <w:fldChar w:fldCharType="separate"/>
      </w:r>
      <w:r>
        <w:rPr>
          <w:rFonts w:hint="eastAsia" w:ascii="宋体" w:hAnsi="宋体" w:cs="宋体"/>
          <w:caps/>
          <w:sz w:val="21"/>
          <w:szCs w:val="21"/>
        </w:rPr>
        <w:t>第五节  投标</w:t>
      </w:r>
      <w:r>
        <w:rPr>
          <w:rFonts w:hint="eastAsia" w:ascii="宋体" w:hAnsi="宋体" w:cs="宋体"/>
          <w:bCs/>
          <w:sz w:val="21"/>
          <w:szCs w:val="21"/>
        </w:rPr>
        <w:t>文件</w:t>
      </w:r>
      <w:r>
        <w:rPr>
          <w:rFonts w:hint="eastAsia" w:ascii="宋体" w:hAnsi="宋体" w:cs="宋体"/>
          <w:caps/>
          <w:sz w:val="21"/>
          <w:szCs w:val="21"/>
        </w:rPr>
        <w:t>否决性条款摘要</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_Toc15840 \h </w:instrText>
      </w:r>
      <w:r>
        <w:rPr>
          <w:rFonts w:hint="eastAsia" w:ascii="宋体" w:hAnsi="宋体" w:cs="宋体"/>
          <w:sz w:val="21"/>
          <w:szCs w:val="21"/>
        </w:rPr>
        <w:fldChar w:fldCharType="separate"/>
      </w:r>
      <w:r>
        <w:rPr>
          <w:rFonts w:hint="eastAsia" w:ascii="宋体" w:hAnsi="宋体" w:cs="宋体"/>
          <w:sz w:val="21"/>
          <w:szCs w:val="21"/>
        </w:rPr>
        <w:t>28</w:t>
      </w:r>
      <w:r>
        <w:rPr>
          <w:rFonts w:hint="eastAsia" w:ascii="宋体" w:hAnsi="宋体" w:cs="宋体"/>
          <w:sz w:val="21"/>
          <w:szCs w:val="21"/>
        </w:rPr>
        <w:fldChar w:fldCharType="end"/>
      </w:r>
      <w:r>
        <w:rPr>
          <w:rFonts w:hint="eastAsia" w:ascii="宋体" w:hAnsi="宋体" w:cs="宋体"/>
          <w:sz w:val="21"/>
          <w:szCs w:val="21"/>
        </w:rPr>
        <w:fldChar w:fldCharType="end"/>
      </w:r>
    </w:p>
    <w:p>
      <w:pPr>
        <w:pStyle w:val="24"/>
        <w:tabs>
          <w:tab w:val="right" w:leader="dot" w:pos="8999"/>
        </w:tabs>
        <w:spacing w:line="440" w:lineRule="exact"/>
        <w:rPr>
          <w:rFonts w:ascii="宋体" w:hAnsi="宋体" w:cs="宋体"/>
          <w:sz w:val="21"/>
          <w:szCs w:val="21"/>
        </w:rPr>
      </w:pPr>
      <w:r>
        <w:fldChar w:fldCharType="begin"/>
      </w:r>
      <w:r>
        <w:instrText xml:space="preserve"> HYPERLINK \l "_Toc921" </w:instrText>
      </w:r>
      <w:r>
        <w:fldChar w:fldCharType="separate"/>
      </w:r>
      <w:r>
        <w:rPr>
          <w:rFonts w:hint="eastAsia" w:ascii="宋体" w:hAnsi="宋体" w:cs="宋体"/>
          <w:bCs/>
          <w:sz w:val="21"/>
          <w:szCs w:val="21"/>
        </w:rPr>
        <w:t>第六节  评标方法及程序</w:t>
      </w:r>
      <w:r>
        <w:rPr>
          <w:rFonts w:hint="eastAsia" w:ascii="宋体" w:hAnsi="宋体" w:cs="宋体"/>
          <w:sz w:val="21"/>
          <w:szCs w:val="21"/>
        </w:rPr>
        <w:tab/>
      </w:r>
      <w:r>
        <w:rPr>
          <w:rFonts w:ascii="宋体" w:hAnsi="宋体" w:cs="宋体"/>
          <w:sz w:val="21"/>
          <w:szCs w:val="21"/>
        </w:rPr>
        <w:t>29</w:t>
      </w:r>
      <w:r>
        <w:rPr>
          <w:rFonts w:ascii="宋体" w:hAnsi="宋体" w:cs="宋体"/>
          <w:sz w:val="21"/>
          <w:szCs w:val="21"/>
        </w:rPr>
        <w:fldChar w:fldCharType="end"/>
      </w:r>
    </w:p>
    <w:p>
      <w:pPr>
        <w:pStyle w:val="20"/>
        <w:tabs>
          <w:tab w:val="right" w:leader="dot" w:pos="8999"/>
          <w:tab w:val="clear" w:pos="8989"/>
        </w:tabs>
        <w:rPr>
          <w:rFonts w:cs="宋体"/>
        </w:rPr>
      </w:pPr>
      <w:r>
        <w:fldChar w:fldCharType="begin"/>
      </w:r>
      <w:r>
        <w:instrText xml:space="preserve"> HYPERLINK \l "_Toc12094" </w:instrText>
      </w:r>
      <w:r>
        <w:fldChar w:fldCharType="separate"/>
      </w:r>
      <w:r>
        <w:rPr>
          <w:rFonts w:hint="eastAsia" w:cs="宋体"/>
        </w:rPr>
        <w:t>第五章  投标文件格式</w:t>
      </w:r>
      <w:r>
        <w:rPr>
          <w:rFonts w:hint="eastAsia" w:cs="宋体"/>
        </w:rPr>
        <w:tab/>
      </w:r>
      <w:r>
        <w:rPr>
          <w:rFonts w:cs="宋体"/>
        </w:rPr>
        <w:t>37</w:t>
      </w:r>
      <w:r>
        <w:rPr>
          <w:rFonts w:cs="宋体"/>
        </w:rPr>
        <w:fldChar w:fldCharType="end"/>
      </w:r>
    </w:p>
    <w:p>
      <w:pPr>
        <w:pStyle w:val="20"/>
        <w:tabs>
          <w:tab w:val="right" w:leader="dot" w:pos="8999"/>
          <w:tab w:val="clear" w:pos="8989"/>
        </w:tabs>
        <w:rPr>
          <w:rFonts w:cs="宋体"/>
        </w:rPr>
      </w:pPr>
      <w:r>
        <w:fldChar w:fldCharType="begin"/>
      </w:r>
      <w:r>
        <w:instrText xml:space="preserve"> HYPERLINK \l "_Toc12094" </w:instrText>
      </w:r>
      <w:r>
        <w:fldChar w:fldCharType="separate"/>
      </w:r>
      <w:r>
        <w:rPr>
          <w:rFonts w:hint="eastAsia" w:cs="宋体"/>
        </w:rPr>
        <w:t>第六章  公开招标失败后后续采购程序和须知</w:t>
      </w:r>
      <w:r>
        <w:rPr>
          <w:rFonts w:hint="eastAsia" w:cs="宋体"/>
        </w:rPr>
        <w:tab/>
      </w:r>
      <w:r>
        <w:rPr>
          <w:rFonts w:cs="宋体"/>
        </w:rPr>
        <w:t>55</w:t>
      </w:r>
      <w:r>
        <w:rPr>
          <w:rFonts w:cs="宋体"/>
        </w:rPr>
        <w:fldChar w:fldCharType="end"/>
      </w:r>
    </w:p>
    <w:p>
      <w:pPr>
        <w:pStyle w:val="20"/>
        <w:tabs>
          <w:tab w:val="right" w:leader="dot" w:pos="8999"/>
          <w:tab w:val="clear" w:pos="8989"/>
        </w:tabs>
      </w:pPr>
      <w:r>
        <w:fldChar w:fldCharType="begin"/>
      </w:r>
      <w:r>
        <w:instrText xml:space="preserve"> HYPERLINK \l "_Toc26623" </w:instrText>
      </w:r>
      <w:r>
        <w:fldChar w:fldCharType="separate"/>
      </w:r>
      <w:r>
        <w:fldChar w:fldCharType="end"/>
      </w:r>
    </w:p>
    <w:p>
      <w:pPr>
        <w:spacing w:line="440" w:lineRule="exact"/>
        <w:jc w:val="center"/>
        <w:outlineLvl w:val="0"/>
        <w:rPr>
          <w:rFonts w:ascii="微软雅黑" w:hAnsi="微软雅黑" w:eastAsia="微软雅黑" w:cs="微软雅黑"/>
          <w:b/>
          <w:color w:val="FF0000"/>
          <w:sz w:val="32"/>
          <w:szCs w:val="32"/>
        </w:rPr>
      </w:pPr>
      <w:r>
        <w:rPr>
          <w:rFonts w:ascii="宋体" w:hAnsi="宋体"/>
          <w:bCs/>
          <w:caps/>
          <w:color w:val="000000"/>
          <w:spacing w:val="20"/>
          <w:szCs w:val="21"/>
        </w:rPr>
        <w:fldChar w:fldCharType="end"/>
      </w:r>
      <w:bookmarkStart w:id="0" w:name="_Toc32402"/>
      <w:r>
        <w:rPr>
          <w:rFonts w:ascii="宋体" w:hAnsi="宋体"/>
          <w:color w:val="000000"/>
          <w:spacing w:val="20"/>
          <w:sz w:val="44"/>
        </w:rPr>
        <w:br w:type="page"/>
      </w:r>
      <w:r>
        <w:rPr>
          <w:rFonts w:hint="eastAsia" w:ascii="微软雅黑" w:hAnsi="微软雅黑" w:eastAsia="微软雅黑" w:cs="微软雅黑"/>
          <w:b/>
          <w:color w:val="FF0000"/>
          <w:sz w:val="32"/>
          <w:szCs w:val="32"/>
        </w:rPr>
        <w:t>特别警示条款</w:t>
      </w:r>
      <w:bookmarkEnd w:id="0"/>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（一）在采购活动中应当回避而未回避的；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（二）未按本条例规定签订、履行采购合同，造成严重后果的；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（三）隐瞒真实情况，提供虚假资料的；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（四）以非法手段排斥其他供应商参与竞争的；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（五）与其他采购参加人串通投标的；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（六）恶意投诉的；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（七）向采购项目相关人行贿或者提供其他不当利益的；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（八）阻碍、抗拒主管部门监督检查的；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（九）其他违反本条例规定的行为。</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二、《深圳经济特区政府采购条例实施细则》第七十五条</w:t>
      </w:r>
      <w:r>
        <w:rPr>
          <w:rFonts w:asciiTheme="minorEastAsia" w:hAnsiTheme="minorEastAsia" w:eastAsiaTheme="minorEastAsia"/>
          <w:color w:val="000000" w:themeColor="text1"/>
          <w:szCs w:val="21"/>
          <w14:textFill>
            <w14:solidFill>
              <w14:schemeClr w14:val="tx1"/>
            </w14:solidFill>
          </w14:textFill>
        </w:rPr>
        <w:t> </w:t>
      </w:r>
      <w:r>
        <w:rPr>
          <w:rFonts w:hint="eastAsia" w:asciiTheme="minorEastAsia" w:hAnsiTheme="minorEastAsia" w:eastAsiaTheme="minorEastAsia"/>
          <w:color w:val="000000" w:themeColor="text1"/>
          <w:szCs w:val="21"/>
          <w14:textFill>
            <w14:solidFill>
              <w14:schemeClr w14:val="tx1"/>
            </w14:solidFill>
          </w14:textFill>
        </w:rPr>
        <w:t>供应商有下列情形之一的，属于采购条例所称的串通投标行为，按照采购条例第五十七条有关规定处理：</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（一）投标供应商之间相互约定给予未中标的供应商利益补偿；</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（二）不同投标供应商的法定代表人、主要经营负责人、项目投标授权代表人、项目负责人、主要技术人员为同一人、属同一单位或者在同一单位缴纳社会保险；　　　　</w:t>
      </w:r>
      <w:r>
        <w:rPr>
          <w:rFonts w:asciiTheme="minorEastAsia" w:hAnsiTheme="minorEastAsia" w:eastAsiaTheme="minorEastAsia"/>
          <w:color w:val="000000" w:themeColor="text1"/>
          <w:szCs w:val="21"/>
          <w14:textFill>
            <w14:solidFill>
              <w14:schemeClr w14:val="tx1"/>
            </w14:solidFill>
          </w14:textFill>
        </w:rPr>
        <w:t> </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（三）不同投标供应商的投标文件由同一单位或者同一人编制，或者由同一人分阶段参与编制的；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（四）不同投标供应商的投标文件或部分投标文件相互混装；</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（五）不同投标供应商的投标文件内容存在非正常一致；</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（六）由同一单位工作人员为两家以上（含两家）供应商进行同一项投标活动的；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（七）主管部门依照法律、法规认定的其他情形。</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三、《深圳经济特区政府采购条例实施细则》第七十七条</w:t>
      </w:r>
      <w:r>
        <w:rPr>
          <w:rFonts w:asciiTheme="minorEastAsia" w:hAnsiTheme="minorEastAsia" w:eastAsiaTheme="minorEastAsia"/>
          <w:color w:val="000000" w:themeColor="text1"/>
          <w:szCs w:val="21"/>
          <w14:textFill>
            <w14:solidFill>
              <w14:schemeClr w14:val="tx1"/>
            </w14:solidFill>
          </w14:textFill>
        </w:rPr>
        <w:t> </w:t>
      </w:r>
      <w:r>
        <w:rPr>
          <w:rFonts w:hint="eastAsia" w:asciiTheme="minorEastAsia" w:hAnsiTheme="minorEastAsia" w:eastAsiaTheme="minorEastAsia"/>
          <w:color w:val="000000" w:themeColor="text1"/>
          <w:szCs w:val="21"/>
          <w14:textFill>
            <w14:solidFill>
              <w14:schemeClr w14:val="tx1"/>
            </w14:solidFill>
          </w14:textFill>
        </w:rPr>
        <w:t>供应商有下列情形之一的，属于隐瞒真实情况，提供虚假资料，按照采购条例第五十七的有关规定处理：</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（一）通过转让或者租借等方式从其他单位获取资格或者资质证书投标的；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（二）由其他单位或者其他单位负责人在投标供应商编制的投标文件上加盖印章或者签字的；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（三）项目负责人或者主要技术人员不是本单位人员的；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（四）投标保证金不是从投标供应商基本账户转出的；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（五）其他隐瞒真实情况、提供虚假资料的行为。</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投标供应商不能提供项目负责人或者主要技术人员的劳动合同、社会保险等劳动关系证明材料的，视为存在前款第（三）项规定的情形。</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四、根据深财购[2021]45号文规定，进一步规范投标供应商资质审查：</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（一）依据《中华人民共和国政府采购法实施条例》第十八条规定，单位负责人为同一人或者存在直接控股、管理关系的不同供应商，不得参加同一合同项下的政府采购活动。</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二）项目开评标过程中，通过查看供应商投标文件、查询供应商股权信息等方式，核查同一项目中不同投标供应商之间，是否存在单位负责人为同一人或者存在直接控股、管理关系的情况。对疑似存在上述情形的供应商，</w:t>
      </w:r>
      <w:r>
        <w:rPr>
          <w:rFonts w:hint="eastAsia" w:asciiTheme="minorEastAsia" w:hAnsiTheme="minorEastAsia" w:eastAsiaTheme="minorEastAsia"/>
          <w:color w:val="000000" w:themeColor="text1"/>
          <w:szCs w:val="21"/>
          <w14:textFill>
            <w14:solidFill>
              <w14:schemeClr w14:val="tx1"/>
            </w14:solidFill>
          </w14:textFill>
        </w:rPr>
        <w:t>有权</w:t>
      </w:r>
      <w:r>
        <w:rPr>
          <w:rFonts w:asciiTheme="minorEastAsia" w:hAnsiTheme="minorEastAsia" w:eastAsiaTheme="minorEastAsia"/>
          <w:color w:val="000000" w:themeColor="text1"/>
          <w:szCs w:val="21"/>
          <w14:textFill>
            <w14:solidFill>
              <w14:schemeClr w14:val="tx1"/>
            </w14:solidFill>
          </w14:textFill>
        </w:rPr>
        <w:t>要求其在评标现场合理的时间内提供书面说明，必要时提交相关证明材料。</w:t>
      </w:r>
    </w:p>
    <w:p>
      <w:pPr>
        <w:spacing w:line="400" w:lineRule="exact"/>
        <w:ind w:firstLine="420" w:firstLineChars="200"/>
        <w:rPr>
          <w:rFonts w:ascii="宋体" w:hAnsi="宋体"/>
          <w:color w:val="000000"/>
          <w:spacing w:val="20"/>
          <w:sz w:val="44"/>
        </w:rPr>
      </w:pPr>
      <w:r>
        <w:rPr>
          <w:rFonts w:asciiTheme="minorEastAsia" w:hAnsiTheme="minorEastAsia" w:eastAsiaTheme="minorEastAsia"/>
          <w:color w:val="000000" w:themeColor="text1"/>
          <w:szCs w:val="21"/>
          <w14:textFill>
            <w14:solidFill>
              <w14:schemeClr w14:val="tx1"/>
            </w14:solidFill>
          </w14:textFill>
        </w:rPr>
        <w:t>（三）经核实，投标供应商确实存在《中华人民共和国政府采购法实施条例》第十八条规定情形的，依法认定其投标无效，涉嫌存在串通投标等违法行为的，书面报告同级财政部门。</w:t>
      </w:r>
    </w:p>
    <w:p>
      <w:pPr>
        <w:rPr>
          <w:rFonts w:ascii="微软雅黑" w:hAnsi="微软雅黑" w:eastAsia="微软雅黑" w:cs="微软雅黑"/>
          <w:b/>
          <w:color w:val="000000"/>
          <w:sz w:val="32"/>
          <w:szCs w:val="32"/>
        </w:rPr>
      </w:pPr>
      <w:bookmarkStart w:id="1" w:name="_Toc23303"/>
      <w:r>
        <w:rPr>
          <w:rFonts w:hint="eastAsia" w:ascii="微软雅黑" w:hAnsi="微软雅黑" w:eastAsia="微软雅黑" w:cs="微软雅黑"/>
          <w:b/>
          <w:color w:val="000000"/>
          <w:sz w:val="32"/>
          <w:szCs w:val="32"/>
        </w:rPr>
        <w:br w:type="page"/>
      </w:r>
    </w:p>
    <w:p>
      <w:pPr>
        <w:spacing w:line="440" w:lineRule="exact"/>
        <w:jc w:val="center"/>
        <w:outlineLvl w:val="0"/>
        <w:rPr>
          <w:rFonts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 xml:space="preserve">第一章  </w:t>
      </w:r>
      <w:bookmarkEnd w:id="1"/>
      <w:r>
        <w:rPr>
          <w:rFonts w:hint="eastAsia" w:ascii="微软雅黑" w:hAnsi="微软雅黑" w:eastAsia="微软雅黑" w:cs="微软雅黑"/>
          <w:b/>
          <w:color w:val="000000"/>
          <w:sz w:val="32"/>
          <w:szCs w:val="32"/>
        </w:rPr>
        <w:t>招标公告</w:t>
      </w:r>
    </w:p>
    <w:p>
      <w:pPr>
        <w:spacing w:line="440" w:lineRule="exact"/>
        <w:rPr>
          <w:rFonts w:asciiTheme="minorEastAsia" w:hAnsiTheme="minorEastAsia" w:eastAsiaTheme="minorEastAsia"/>
          <w:szCs w:val="21"/>
        </w:rPr>
      </w:pPr>
    </w:p>
    <w:tbl>
      <w:tblPr>
        <w:tblStyle w:val="30"/>
        <w:tblW w:w="921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5" w:type="dxa"/>
          </w:tcPr>
          <w:p>
            <w:pPr>
              <w:spacing w:line="440" w:lineRule="exact"/>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项目概况：</w:t>
            </w:r>
          </w:p>
          <w:p>
            <w:pPr>
              <w:spacing w:line="440" w:lineRule="exact"/>
              <w:ind w:firstLine="420" w:firstLineChars="200"/>
              <w:rPr>
                <w:rFonts w:asciiTheme="minorEastAsia" w:hAnsiTheme="minorEastAsia" w:eastAsiaTheme="minorEastAsia" w:cstheme="minorBidi"/>
                <w:szCs w:val="21"/>
              </w:rPr>
            </w:pPr>
            <w:r>
              <w:rPr>
                <w:rFonts w:hint="eastAsia" w:asciiTheme="minorEastAsia" w:hAnsiTheme="minorEastAsia" w:eastAsiaTheme="minorEastAsia" w:cstheme="minorBidi"/>
                <w:szCs w:val="21"/>
                <w:u w:val="single"/>
              </w:rPr>
              <w:t>福田区第二人民医院物业管理服务采购第三方咨询供应商项目</w:t>
            </w:r>
            <w:r>
              <w:rPr>
                <w:rFonts w:hint="eastAsia" w:asciiTheme="minorEastAsia" w:hAnsiTheme="minorEastAsia" w:eastAsiaTheme="minorEastAsia" w:cstheme="minorBidi"/>
                <w:szCs w:val="21"/>
              </w:rPr>
              <w:t>的潜在投标</w:t>
            </w:r>
            <w:r>
              <w:rPr>
                <w:rFonts w:hint="eastAsia" w:asciiTheme="minorEastAsia" w:hAnsiTheme="minorEastAsia" w:eastAsiaTheme="minorEastAsia" w:cstheme="minorBidi"/>
                <w:color w:val="000000" w:themeColor="text1"/>
                <w:szCs w:val="21"/>
                <w14:textFill>
                  <w14:solidFill>
                    <w14:schemeClr w14:val="tx1"/>
                  </w14:solidFill>
                </w14:textFill>
              </w:rPr>
              <w:t>人应在</w:t>
            </w:r>
            <w:r>
              <w:rPr>
                <w:rFonts w:hint="eastAsia" w:asciiTheme="minorEastAsia" w:hAnsiTheme="minorEastAsia" w:eastAsiaTheme="minorEastAsia" w:cstheme="minorBidi"/>
                <w:color w:val="000000" w:themeColor="text1"/>
                <w:szCs w:val="21"/>
                <w:u w:val="single"/>
                <w14:textFill>
                  <w14:solidFill>
                    <w14:schemeClr w14:val="tx1"/>
                  </w14:solidFill>
                </w14:textFill>
              </w:rPr>
              <w:t>深圳市福田区第二人民医院</w:t>
            </w:r>
            <w:r>
              <w:rPr>
                <w:rFonts w:hint="eastAsia" w:asciiTheme="minorEastAsia" w:hAnsiTheme="minorEastAsia" w:eastAsiaTheme="minorEastAsia" w:cstheme="minorBidi"/>
                <w:szCs w:val="21"/>
              </w:rPr>
              <w:t>获取招标文件，并于</w:t>
            </w:r>
            <w:r>
              <w:rPr>
                <w:rFonts w:hint="eastAsia" w:asciiTheme="minorEastAsia" w:hAnsiTheme="minorEastAsia" w:eastAsiaTheme="minorEastAsia" w:cstheme="minorBidi"/>
                <w:szCs w:val="21"/>
                <w:highlight w:val="yellow"/>
              </w:rPr>
              <w:t>2023年04月0</w:t>
            </w:r>
            <w:r>
              <w:rPr>
                <w:rFonts w:asciiTheme="minorEastAsia" w:hAnsiTheme="minorEastAsia" w:eastAsiaTheme="minorEastAsia" w:cstheme="minorBidi"/>
                <w:szCs w:val="21"/>
                <w:highlight w:val="yellow"/>
              </w:rPr>
              <w:t>7</w:t>
            </w:r>
            <w:r>
              <w:rPr>
                <w:rFonts w:hint="eastAsia" w:asciiTheme="minorEastAsia" w:hAnsiTheme="minorEastAsia" w:eastAsiaTheme="minorEastAsia" w:cstheme="minorBidi"/>
                <w:szCs w:val="21"/>
                <w:highlight w:val="yellow"/>
              </w:rPr>
              <w:t>日</w:t>
            </w:r>
            <w:r>
              <w:rPr>
                <w:rFonts w:asciiTheme="minorEastAsia" w:hAnsiTheme="minorEastAsia" w:eastAsiaTheme="minorEastAsia" w:cstheme="minorBidi"/>
                <w:szCs w:val="21"/>
                <w:highlight w:val="yellow"/>
              </w:rPr>
              <w:t>10:00</w:t>
            </w:r>
            <w:r>
              <w:rPr>
                <w:rFonts w:hint="eastAsia" w:asciiTheme="minorEastAsia" w:hAnsiTheme="minorEastAsia" w:eastAsiaTheme="minorEastAsia" w:cstheme="minorBidi"/>
                <w:szCs w:val="21"/>
                <w:highlight w:val="yellow"/>
              </w:rPr>
              <w:t>（北京时间）</w:t>
            </w:r>
            <w:r>
              <w:rPr>
                <w:rFonts w:hint="eastAsia" w:asciiTheme="minorEastAsia" w:hAnsiTheme="minorEastAsia" w:eastAsiaTheme="minorEastAsia" w:cstheme="minorBidi"/>
                <w:szCs w:val="21"/>
              </w:rPr>
              <w:t>前递交投标文件。</w:t>
            </w:r>
          </w:p>
        </w:tc>
      </w:tr>
    </w:tbl>
    <w:p>
      <w:pPr>
        <w:spacing w:line="440" w:lineRule="exact"/>
        <w:rPr>
          <w:rFonts w:asciiTheme="minorEastAsia" w:hAnsiTheme="minorEastAsia" w:eastAsiaTheme="minorEastAsia"/>
          <w:szCs w:val="21"/>
        </w:rPr>
      </w:pPr>
    </w:p>
    <w:p>
      <w:pPr>
        <w:spacing w:line="440" w:lineRule="exact"/>
        <w:ind w:firstLine="422" w:firstLineChars="200"/>
        <w:rPr>
          <w:rFonts w:asciiTheme="minorEastAsia" w:hAnsiTheme="minorEastAsia" w:eastAsiaTheme="minorEastAsia"/>
          <w:b/>
          <w:bCs/>
          <w:szCs w:val="21"/>
        </w:rPr>
      </w:pPr>
      <w:bookmarkStart w:id="2" w:name="_Toc70231383"/>
      <w:r>
        <w:rPr>
          <w:rFonts w:hint="eastAsia" w:asciiTheme="minorEastAsia" w:hAnsiTheme="minorEastAsia" w:eastAsiaTheme="minorEastAsia"/>
          <w:b/>
          <w:bCs/>
          <w:szCs w:val="21"/>
        </w:rPr>
        <w:t>一、项目基本情况</w:t>
      </w:r>
      <w:bookmarkEnd w:id="2"/>
    </w:p>
    <w:p>
      <w:pPr>
        <w:pStyle w:val="55"/>
        <w:numPr>
          <w:ilvl w:val="0"/>
          <w:numId w:val="1"/>
        </w:numPr>
        <w:spacing w:line="440" w:lineRule="exact"/>
        <w:ind w:firstLineChars="0"/>
        <w:rPr>
          <w:rFonts w:asciiTheme="minorEastAsia" w:hAnsiTheme="minorEastAsia" w:eastAsiaTheme="minorEastAsia"/>
          <w:color w:val="FF0000"/>
          <w:szCs w:val="21"/>
        </w:rPr>
      </w:pPr>
      <w:r>
        <w:rPr>
          <w:rFonts w:hint="eastAsia" w:asciiTheme="minorEastAsia" w:hAnsiTheme="minorEastAsia" w:eastAsiaTheme="minorEastAsia"/>
          <w:szCs w:val="21"/>
        </w:rPr>
        <w:t>项目编号：</w:t>
      </w:r>
      <w:r>
        <w:rPr>
          <w:rFonts w:asciiTheme="minorEastAsia" w:hAnsiTheme="minorEastAsia" w:eastAsiaTheme="minorEastAsia" w:cstheme="minorBidi"/>
          <w:szCs w:val="21"/>
        </w:rPr>
        <w:t>FTEYZWK20230302</w:t>
      </w:r>
    </w:p>
    <w:p>
      <w:pPr>
        <w:pStyle w:val="55"/>
        <w:numPr>
          <w:ilvl w:val="0"/>
          <w:numId w:val="1"/>
        </w:numPr>
        <w:spacing w:line="440" w:lineRule="exact"/>
        <w:ind w:firstLineChars="0"/>
        <w:rPr>
          <w:rFonts w:asciiTheme="minorEastAsia" w:hAnsiTheme="minorEastAsia" w:eastAsiaTheme="minorEastAsia"/>
          <w:color w:val="FF0000"/>
          <w:szCs w:val="21"/>
        </w:rPr>
      </w:pPr>
      <w:r>
        <w:rPr>
          <w:rFonts w:hint="eastAsia" w:asciiTheme="minorEastAsia" w:hAnsiTheme="minorEastAsia" w:eastAsiaTheme="minorEastAsia"/>
          <w:szCs w:val="21"/>
        </w:rPr>
        <w:t>项目名称：</w:t>
      </w:r>
      <w:r>
        <w:rPr>
          <w:rFonts w:hint="eastAsia" w:asciiTheme="minorEastAsia" w:hAnsiTheme="minorEastAsia" w:eastAsiaTheme="minorEastAsia" w:cstheme="minorBidi"/>
          <w:szCs w:val="21"/>
          <w:u w:val="single"/>
        </w:rPr>
        <w:t>福田区第二人民医院物业管理服务采购第三方咨询供应商项目</w:t>
      </w:r>
    </w:p>
    <w:p>
      <w:pPr>
        <w:pStyle w:val="55"/>
        <w:numPr>
          <w:ilvl w:val="0"/>
          <w:numId w:val="1"/>
        </w:numPr>
        <w:spacing w:line="440" w:lineRule="exact"/>
        <w:ind w:firstLineChars="0"/>
        <w:rPr>
          <w:rFonts w:asciiTheme="minorEastAsia" w:hAnsiTheme="minorEastAsia" w:eastAsiaTheme="minorEastAsia"/>
          <w:color w:val="FF0000"/>
          <w:szCs w:val="21"/>
        </w:rPr>
      </w:pPr>
      <w:r>
        <w:rPr>
          <w:rFonts w:hint="eastAsia" w:asciiTheme="minorEastAsia" w:hAnsiTheme="minorEastAsia" w:eastAsiaTheme="minorEastAsia"/>
          <w:szCs w:val="21"/>
        </w:rPr>
        <w:t>预算金额：¥</w:t>
      </w:r>
      <w:r>
        <w:rPr>
          <w:rFonts w:asciiTheme="minorEastAsia" w:hAnsiTheme="minorEastAsia" w:eastAsiaTheme="minorEastAsia"/>
          <w:szCs w:val="21"/>
        </w:rPr>
        <w:t xml:space="preserve"> 50,000.00</w:t>
      </w:r>
      <w:r>
        <w:rPr>
          <w:rFonts w:hint="eastAsia" w:asciiTheme="minorEastAsia" w:hAnsiTheme="minorEastAsia" w:eastAsiaTheme="minorEastAsia"/>
          <w:szCs w:val="21"/>
        </w:rPr>
        <w:t>元</w:t>
      </w:r>
    </w:p>
    <w:p>
      <w:pPr>
        <w:pStyle w:val="55"/>
        <w:numPr>
          <w:ilvl w:val="0"/>
          <w:numId w:val="1"/>
        </w:numPr>
        <w:spacing w:line="440" w:lineRule="exact"/>
        <w:ind w:firstLineChars="0"/>
        <w:rPr>
          <w:rFonts w:asciiTheme="minorEastAsia" w:hAnsiTheme="minorEastAsia" w:eastAsiaTheme="minorEastAsia"/>
          <w:color w:val="FF0000"/>
          <w:szCs w:val="21"/>
        </w:rPr>
      </w:pPr>
      <w:r>
        <w:rPr>
          <w:rFonts w:hint="eastAsia" w:asciiTheme="minorEastAsia" w:hAnsiTheme="minorEastAsia" w:eastAsiaTheme="minorEastAsia"/>
          <w:color w:val="000000" w:themeColor="text1"/>
          <w:szCs w:val="21"/>
          <w14:textFill>
            <w14:solidFill>
              <w14:schemeClr w14:val="tx1"/>
            </w14:solidFill>
          </w14:textFill>
        </w:rPr>
        <w:t>最高限价：</w:t>
      </w:r>
      <w:r>
        <w:rPr>
          <w:rFonts w:hint="eastAsia" w:asciiTheme="minorEastAsia" w:hAnsiTheme="minorEastAsia" w:eastAsiaTheme="minorEastAsia"/>
          <w:szCs w:val="21"/>
        </w:rPr>
        <w:t>¥</w:t>
      </w:r>
      <w:r>
        <w:rPr>
          <w:rFonts w:asciiTheme="minorEastAsia" w:hAnsiTheme="minorEastAsia" w:eastAsiaTheme="minorEastAsia"/>
          <w:szCs w:val="21"/>
        </w:rPr>
        <w:t xml:space="preserve"> 50,000.00</w:t>
      </w:r>
      <w:r>
        <w:rPr>
          <w:rFonts w:hint="eastAsia" w:asciiTheme="minorEastAsia" w:hAnsiTheme="minorEastAsia" w:eastAsiaTheme="minorEastAsia"/>
          <w:szCs w:val="21"/>
        </w:rPr>
        <w:t>元</w:t>
      </w:r>
    </w:p>
    <w:p>
      <w:pPr>
        <w:pStyle w:val="55"/>
        <w:numPr>
          <w:ilvl w:val="0"/>
          <w:numId w:val="1"/>
        </w:numPr>
        <w:spacing w:line="440" w:lineRule="exact"/>
        <w:ind w:firstLineChars="0"/>
        <w:rPr>
          <w:rFonts w:asciiTheme="minorEastAsia" w:hAnsiTheme="minorEastAsia" w:eastAsiaTheme="minorEastAsia"/>
          <w:color w:val="FF0000"/>
          <w:szCs w:val="21"/>
        </w:rPr>
      </w:pPr>
      <w:r>
        <w:rPr>
          <w:rFonts w:hint="eastAsia" w:asciiTheme="minorEastAsia" w:hAnsiTheme="minorEastAsia" w:eastAsiaTheme="minorEastAsia"/>
          <w:color w:val="000000" w:themeColor="text1"/>
          <w:szCs w:val="21"/>
          <w14:textFill>
            <w14:solidFill>
              <w14:schemeClr w14:val="tx1"/>
            </w14:solidFill>
          </w14:textFill>
        </w:rPr>
        <w:t>采购需求：详见招标文件相关内容</w:t>
      </w:r>
    </w:p>
    <w:p>
      <w:pPr>
        <w:pStyle w:val="55"/>
        <w:numPr>
          <w:ilvl w:val="0"/>
          <w:numId w:val="1"/>
        </w:numPr>
        <w:spacing w:line="440" w:lineRule="exact"/>
        <w:ind w:firstLineChars="0"/>
        <w:rPr>
          <w:rFonts w:asciiTheme="minorEastAsia" w:hAnsiTheme="minorEastAsia" w:eastAsiaTheme="minorEastAsia"/>
          <w:color w:val="FF0000"/>
          <w:szCs w:val="21"/>
        </w:rPr>
      </w:pPr>
      <w:r>
        <w:rPr>
          <w:rFonts w:hint="eastAsia" w:asciiTheme="minorEastAsia" w:hAnsiTheme="minorEastAsia" w:eastAsiaTheme="minorEastAsia"/>
          <w:color w:val="000000" w:themeColor="text1"/>
          <w:szCs w:val="21"/>
          <w14:textFill>
            <w14:solidFill>
              <w14:schemeClr w14:val="tx1"/>
            </w14:solidFill>
          </w14:textFill>
        </w:rPr>
        <w:t>合同履行期限：详见招标文件相关内容</w:t>
      </w:r>
    </w:p>
    <w:p>
      <w:pPr>
        <w:pStyle w:val="55"/>
        <w:numPr>
          <w:ilvl w:val="0"/>
          <w:numId w:val="1"/>
        </w:numPr>
        <w:spacing w:line="440" w:lineRule="exact"/>
        <w:ind w:firstLineChars="0"/>
        <w:rPr>
          <w:rFonts w:asciiTheme="minorEastAsia" w:hAnsiTheme="minorEastAsia" w:eastAsiaTheme="minorEastAsia"/>
          <w:color w:val="FF0000"/>
          <w:szCs w:val="21"/>
        </w:rPr>
      </w:pPr>
      <w:r>
        <w:rPr>
          <w:rFonts w:hint="eastAsia" w:asciiTheme="minorEastAsia" w:hAnsiTheme="minorEastAsia" w:eastAsiaTheme="minorEastAsia"/>
          <w:szCs w:val="21"/>
        </w:rPr>
        <w:t>本项目是否接受联合体投标：否</w:t>
      </w:r>
    </w:p>
    <w:p>
      <w:pPr>
        <w:spacing w:line="440" w:lineRule="exact"/>
        <w:ind w:firstLine="422" w:firstLineChars="200"/>
        <w:rPr>
          <w:rFonts w:asciiTheme="minorEastAsia" w:hAnsiTheme="minorEastAsia" w:eastAsiaTheme="minorEastAsia"/>
          <w:b/>
          <w:bCs/>
          <w:szCs w:val="21"/>
        </w:rPr>
      </w:pPr>
      <w:bookmarkStart w:id="3" w:name="_Toc70231384"/>
      <w:r>
        <w:rPr>
          <w:rFonts w:hint="eastAsia" w:asciiTheme="minorEastAsia" w:hAnsiTheme="minorEastAsia" w:eastAsiaTheme="minorEastAsia"/>
          <w:b/>
          <w:bCs/>
          <w:szCs w:val="21"/>
        </w:rPr>
        <w:t>二、投标人的资格要求</w:t>
      </w:r>
      <w:bookmarkEnd w:id="3"/>
    </w:p>
    <w:p>
      <w:pPr>
        <w:pStyle w:val="55"/>
        <w:numPr>
          <w:ilvl w:val="0"/>
          <w:numId w:val="2"/>
        </w:numPr>
        <w:spacing w:line="440" w:lineRule="exact"/>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具备《中华人民共和国政府采购法》第二十二条第一款的条件（由供应商在《政府采购投</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标及履约承诺函》中作出声明，加盖公章）；</w:t>
      </w:r>
    </w:p>
    <w:p>
      <w:pPr>
        <w:pStyle w:val="55"/>
        <w:numPr>
          <w:ilvl w:val="0"/>
          <w:numId w:val="2"/>
        </w:numPr>
        <w:spacing w:line="440" w:lineRule="exact"/>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具有独立法人资格或具有独立承担民事责任的能力的其它组织（提供营业执照或事业单位</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法人证等法人证明扫描件，加盖公章，原件备查）；</w:t>
      </w:r>
    </w:p>
    <w:p>
      <w:pPr>
        <w:pStyle w:val="55"/>
        <w:numPr>
          <w:ilvl w:val="0"/>
          <w:numId w:val="2"/>
        </w:numPr>
        <w:spacing w:line="440" w:lineRule="exact"/>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highlight w:val="yellow"/>
          <w14:textFill>
            <w14:solidFill>
              <w14:schemeClr w14:val="tx1"/>
            </w14:solidFill>
          </w14:textFill>
        </w:rPr>
        <w:t>本项目不接受联合体投标，本项目不允许分包、转包；</w:t>
      </w:r>
    </w:p>
    <w:p>
      <w:pPr>
        <w:pStyle w:val="55"/>
        <w:numPr>
          <w:ilvl w:val="0"/>
          <w:numId w:val="2"/>
        </w:numPr>
        <w:spacing w:line="440" w:lineRule="exact"/>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参与本项目政府采购活动前三年内，在经营活动中没有重大违法记录（由供应商在《政府</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采购投标及履约承诺函》中作出声明，加盖公章）；</w:t>
      </w:r>
    </w:p>
    <w:p>
      <w:pPr>
        <w:pStyle w:val="55"/>
        <w:numPr>
          <w:ilvl w:val="0"/>
          <w:numId w:val="2"/>
        </w:numPr>
        <w:spacing w:line="440" w:lineRule="exact"/>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参与本项目政府采购活动时不存在被有关部门禁止参与政府采购活动且在有效期内的情</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况（由供应商在《政府采购投标及履约承诺函》中作出声明，加盖公章）；</w:t>
      </w:r>
    </w:p>
    <w:p>
      <w:pPr>
        <w:pStyle w:val="55"/>
        <w:numPr>
          <w:ilvl w:val="0"/>
          <w:numId w:val="2"/>
        </w:numPr>
        <w:spacing w:line="440" w:lineRule="exact"/>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未被列入失信被执行人、重大税收违法案件当事人名单、政府采购严重违法失信行为记录</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名单</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由供应商在《政府采购投标及履约承诺函》中作出声明，加盖公章）；</w:t>
      </w:r>
    </w:p>
    <w:p>
      <w:pPr>
        <w:pStyle w:val="55"/>
        <w:numPr>
          <w:ilvl w:val="0"/>
          <w:numId w:val="2"/>
        </w:numPr>
        <w:spacing w:line="440" w:lineRule="exact"/>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单位负责人为同一人或者存在直接控股、管理关系的不同供应商，不得参加同一合同项下</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的政府采购活动；为采购项目提供整体设计、规范编制或者项目管理、监理、检测等服务的供应商，不得再参加该采购项目的其他采购活动（由供应商在《政府采购投标及履约承诺函》中作出声明，加盖公章）；</w:t>
      </w:r>
    </w:p>
    <w:p>
      <w:pPr>
        <w:pStyle w:val="55"/>
        <w:numPr>
          <w:ilvl w:val="0"/>
          <w:numId w:val="2"/>
        </w:numPr>
        <w:spacing w:line="440" w:lineRule="exact"/>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本项目是（否）专门面向中小企业采购：否。</w:t>
      </w:r>
    </w:p>
    <w:p>
      <w:pPr>
        <w:spacing w:line="440" w:lineRule="exact"/>
        <w:ind w:firstLine="422" w:firstLineChars="200"/>
        <w:rPr>
          <w:rFonts w:asciiTheme="minorEastAsia" w:hAnsiTheme="minorEastAsia" w:eastAsiaTheme="minorEastAsia"/>
          <w:b/>
          <w:bCs/>
          <w:szCs w:val="21"/>
        </w:rPr>
      </w:pPr>
      <w:bookmarkStart w:id="4" w:name="_Toc70231385"/>
      <w:r>
        <w:rPr>
          <w:rFonts w:hint="eastAsia" w:asciiTheme="minorEastAsia" w:hAnsiTheme="minorEastAsia" w:eastAsiaTheme="minorEastAsia"/>
          <w:b/>
          <w:bCs/>
          <w:szCs w:val="21"/>
        </w:rPr>
        <w:t>三、获取招标文件</w:t>
      </w:r>
      <w:bookmarkEnd w:id="4"/>
    </w:p>
    <w:p>
      <w:pPr>
        <w:pStyle w:val="55"/>
        <w:numPr>
          <w:ilvl w:val="0"/>
          <w:numId w:val="3"/>
        </w:numPr>
        <w:spacing w:line="440" w:lineRule="exact"/>
        <w:ind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时间：</w:t>
      </w:r>
      <w:r>
        <w:rPr>
          <w:rFonts w:hint="eastAsia" w:asciiTheme="minorEastAsia" w:hAnsiTheme="minorEastAsia" w:eastAsiaTheme="minorEastAsia"/>
          <w:color w:val="000000" w:themeColor="text1"/>
          <w:szCs w:val="21"/>
          <w14:textFill>
            <w14:solidFill>
              <w14:schemeClr w14:val="tx1"/>
            </w14:solidFill>
          </w14:textFill>
        </w:rPr>
        <w:t>2023年</w:t>
      </w:r>
      <w:r>
        <w:rPr>
          <w:rFonts w:asciiTheme="minorEastAsia" w:hAnsiTheme="minorEastAsia" w:eastAsiaTheme="minorEastAsia"/>
          <w:color w:val="000000" w:themeColor="text1"/>
          <w:szCs w:val="21"/>
          <w14:textFill>
            <w14:solidFill>
              <w14:schemeClr w14:val="tx1"/>
            </w14:solidFill>
          </w14:textFill>
        </w:rPr>
        <w:t>03</w:t>
      </w:r>
      <w:r>
        <w:rPr>
          <w:rFonts w:hint="eastAsia" w:asciiTheme="minorEastAsia" w:hAnsiTheme="minorEastAsia" w:eastAsiaTheme="minorEastAsia"/>
          <w:color w:val="000000" w:themeColor="text1"/>
          <w:szCs w:val="21"/>
          <w14:textFill>
            <w14:solidFill>
              <w14:schemeClr w14:val="tx1"/>
            </w14:solidFill>
          </w14:textFill>
        </w:rPr>
        <w:t>月</w:t>
      </w:r>
      <w:r>
        <w:rPr>
          <w:rFonts w:asciiTheme="minorEastAsia" w:hAnsiTheme="minorEastAsia" w:eastAsiaTheme="minorEastAsia"/>
          <w:color w:val="000000" w:themeColor="text1"/>
          <w:szCs w:val="21"/>
          <w14:textFill>
            <w14:solidFill>
              <w14:schemeClr w14:val="tx1"/>
            </w14:solidFill>
          </w14:textFill>
        </w:rPr>
        <w:t>28</w:t>
      </w:r>
      <w:r>
        <w:rPr>
          <w:rFonts w:hint="eastAsia" w:asciiTheme="minorEastAsia" w:hAnsiTheme="minorEastAsia" w:eastAsiaTheme="minorEastAsia"/>
          <w:color w:val="000000" w:themeColor="text1"/>
          <w:szCs w:val="21"/>
          <w14:textFill>
            <w14:solidFill>
              <w14:schemeClr w14:val="tx1"/>
            </w14:solidFill>
          </w14:textFill>
        </w:rPr>
        <w:t>日</w:t>
      </w:r>
      <w:r>
        <w:rPr>
          <w:rFonts w:asciiTheme="minorEastAsia" w:hAnsiTheme="minorEastAsia" w:eastAsiaTheme="minorEastAsia"/>
          <w:color w:val="000000" w:themeColor="text1"/>
          <w:szCs w:val="21"/>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时</w:t>
      </w:r>
      <w:r>
        <w:rPr>
          <w:rFonts w:hint="eastAsia" w:cs="宋体" w:asciiTheme="minorEastAsia" w:hAnsiTheme="minorEastAsia" w:eastAsiaTheme="minorEastAsia"/>
          <w:color w:val="000000" w:themeColor="text1"/>
          <w:szCs w:val="21"/>
          <w14:textFill>
            <w14:solidFill>
              <w14:schemeClr w14:val="tx1"/>
            </w14:solidFill>
          </w14:textFill>
        </w:rPr>
        <w:t>至</w:t>
      </w:r>
      <w:r>
        <w:rPr>
          <w:rFonts w:hint="eastAsia" w:asciiTheme="minorEastAsia" w:hAnsiTheme="minorEastAsia" w:eastAsiaTheme="minorEastAsia"/>
          <w:color w:val="000000" w:themeColor="text1"/>
          <w:szCs w:val="21"/>
          <w14:textFill>
            <w14:solidFill>
              <w14:schemeClr w14:val="tx1"/>
            </w14:solidFill>
          </w14:textFill>
        </w:rPr>
        <w:t>2023年</w:t>
      </w:r>
      <w:r>
        <w:rPr>
          <w:rFonts w:asciiTheme="minorEastAsia" w:hAnsiTheme="minorEastAsia" w:eastAsiaTheme="minorEastAsia"/>
          <w:color w:val="000000" w:themeColor="text1"/>
          <w:szCs w:val="21"/>
          <w14:textFill>
            <w14:solidFill>
              <w14:schemeClr w14:val="tx1"/>
            </w14:solidFill>
          </w14:textFill>
        </w:rPr>
        <w:t>04</w:t>
      </w:r>
      <w:r>
        <w:rPr>
          <w:rFonts w:hint="eastAsia" w:asciiTheme="minorEastAsia" w:hAnsiTheme="minorEastAsia" w:eastAsiaTheme="minorEastAsia"/>
          <w:color w:val="000000" w:themeColor="text1"/>
          <w:szCs w:val="21"/>
          <w14:textFill>
            <w14:solidFill>
              <w14:schemeClr w14:val="tx1"/>
            </w14:solidFill>
          </w14:textFill>
        </w:rPr>
        <w:t>月</w:t>
      </w:r>
      <w:r>
        <w:rPr>
          <w:rFonts w:asciiTheme="minorEastAsia" w:hAnsiTheme="minorEastAsia" w:eastAsiaTheme="minorEastAsia"/>
          <w:color w:val="000000" w:themeColor="text1"/>
          <w:szCs w:val="21"/>
          <w14:textFill>
            <w14:solidFill>
              <w14:schemeClr w14:val="tx1"/>
            </w14:solidFill>
          </w14:textFill>
        </w:rPr>
        <w:t>06</w:t>
      </w:r>
      <w:r>
        <w:rPr>
          <w:rFonts w:hint="eastAsia" w:asciiTheme="minorEastAsia" w:hAnsiTheme="minorEastAsia" w:eastAsiaTheme="minorEastAsia"/>
          <w:color w:val="000000" w:themeColor="text1"/>
          <w:szCs w:val="21"/>
          <w14:textFill>
            <w14:solidFill>
              <w14:schemeClr w14:val="tx1"/>
            </w14:solidFill>
          </w14:textFill>
        </w:rPr>
        <w:t>日</w:t>
      </w:r>
      <w:r>
        <w:rPr>
          <w:rFonts w:asciiTheme="minorEastAsia" w:hAnsiTheme="minorEastAsia" w:eastAsiaTheme="minorEastAsia"/>
          <w:color w:val="000000" w:themeColor="text1"/>
          <w:szCs w:val="21"/>
          <w14:textFill>
            <w14:solidFill>
              <w14:schemeClr w14:val="tx1"/>
            </w14:solidFill>
          </w14:textFill>
        </w:rPr>
        <w:t>17</w:t>
      </w:r>
      <w:r>
        <w:rPr>
          <w:rFonts w:hint="eastAsia" w:asciiTheme="minorEastAsia" w:hAnsiTheme="minorEastAsia" w:eastAsiaTheme="minorEastAsia"/>
          <w:color w:val="000000" w:themeColor="text1"/>
          <w:szCs w:val="21"/>
          <w14:textFill>
            <w14:solidFill>
              <w14:schemeClr w14:val="tx1"/>
            </w14:solidFill>
          </w14:textFill>
        </w:rPr>
        <w:t>时</w:t>
      </w:r>
      <w:r>
        <w:rPr>
          <w:rFonts w:hint="eastAsia" w:cs="宋体" w:asciiTheme="minorEastAsia" w:hAnsiTheme="minorEastAsia" w:eastAsiaTheme="minorEastAsia"/>
          <w:color w:val="000000" w:themeColor="text1"/>
          <w:szCs w:val="21"/>
          <w14:textFill>
            <w14:solidFill>
              <w14:schemeClr w14:val="tx1"/>
            </w14:solidFill>
          </w14:textFill>
        </w:rPr>
        <w:t>（北京时间，</w:t>
      </w:r>
      <w:r>
        <w:rPr>
          <w:rFonts w:cs="宋体" w:asciiTheme="minorEastAsia" w:hAnsiTheme="minorEastAsia" w:eastAsiaTheme="minorEastAsia"/>
          <w:color w:val="000000" w:themeColor="text1"/>
          <w:szCs w:val="21"/>
          <w14:textFill>
            <w14:solidFill>
              <w14:schemeClr w14:val="tx1"/>
            </w14:solidFill>
          </w14:textFill>
        </w:rPr>
        <w:t>法定节假日</w:t>
      </w:r>
      <w:r>
        <w:rPr>
          <w:rFonts w:hint="eastAsia" w:cs="宋体" w:asciiTheme="minorEastAsia" w:hAnsiTheme="minorEastAsia" w:eastAsiaTheme="minorEastAsia"/>
          <w:color w:val="000000" w:themeColor="text1"/>
          <w:szCs w:val="21"/>
          <w14:textFill>
            <w14:solidFill>
              <w14:schemeClr w14:val="tx1"/>
            </w14:solidFill>
          </w14:textFill>
        </w:rPr>
        <w:t>除外）；</w:t>
      </w:r>
    </w:p>
    <w:p>
      <w:pPr>
        <w:pStyle w:val="55"/>
        <w:numPr>
          <w:ilvl w:val="0"/>
          <w:numId w:val="3"/>
        </w:numPr>
        <w:spacing w:line="440" w:lineRule="exact"/>
        <w:ind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地点：登录深圳市福田区第二人民医院官网（</w:t>
      </w:r>
      <w:r>
        <w:rPr>
          <w:rFonts w:cs="宋体" w:asciiTheme="minorEastAsia" w:hAnsiTheme="minorEastAsia" w:eastAsiaTheme="minorEastAsia"/>
          <w:color w:val="000000" w:themeColor="text1"/>
          <w:szCs w:val="21"/>
          <w14:textFill>
            <w14:solidFill>
              <w14:schemeClr w14:val="tx1"/>
            </w14:solidFill>
          </w14:textFill>
        </w:rPr>
        <w:t>https://www.ft2yy.cn/ywgk/tzgg/</w:t>
      </w:r>
      <w:r>
        <w:rPr>
          <w:rFonts w:hint="eastAsia" w:cs="宋体" w:asciiTheme="minorEastAsia" w:hAnsiTheme="minorEastAsia" w:eastAsiaTheme="minorEastAsia"/>
          <w:color w:val="000000" w:themeColor="text1"/>
          <w:szCs w:val="21"/>
          <w14:textFill>
            <w14:solidFill>
              <w14:schemeClr w14:val="tx1"/>
            </w14:solidFill>
          </w14:textFill>
        </w:rPr>
        <w:t>） 下载</w:t>
      </w:r>
    </w:p>
    <w:p>
      <w:pPr>
        <w:spacing w:line="44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本项目的招标文件</w:t>
      </w:r>
      <w:r>
        <w:rPr>
          <w:rFonts w:hint="eastAsia" w:asciiTheme="minorEastAsia" w:hAnsiTheme="minorEastAsia" w:eastAsiaTheme="minorEastAsia"/>
          <w:color w:val="000000" w:themeColor="text1"/>
          <w:szCs w:val="21"/>
          <w14:textFill>
            <w14:solidFill>
              <w14:schemeClr w14:val="tx1"/>
            </w14:solidFill>
          </w14:textFill>
        </w:rPr>
        <w:t>；</w:t>
      </w:r>
    </w:p>
    <w:p>
      <w:pPr>
        <w:pStyle w:val="55"/>
        <w:numPr>
          <w:ilvl w:val="0"/>
          <w:numId w:val="3"/>
        </w:numPr>
        <w:spacing w:line="440" w:lineRule="exact"/>
        <w:ind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方式：</w:t>
      </w:r>
      <w:r>
        <w:rPr>
          <w:rFonts w:hint="eastAsia" w:asciiTheme="minorEastAsia" w:hAnsiTheme="minorEastAsia" w:eastAsiaTheme="minorEastAsia"/>
          <w:color w:val="000000" w:themeColor="text1"/>
          <w:szCs w:val="21"/>
          <w14:textFill>
            <w14:solidFill>
              <w14:schemeClr w14:val="tx1"/>
            </w14:solidFill>
          </w14:textFill>
        </w:rPr>
        <w:t>在线下载；</w:t>
      </w:r>
    </w:p>
    <w:p>
      <w:pPr>
        <w:pStyle w:val="55"/>
        <w:numPr>
          <w:ilvl w:val="0"/>
          <w:numId w:val="3"/>
        </w:numPr>
        <w:spacing w:line="440" w:lineRule="exact"/>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报名方式：投标人如确定参加投标，需将下列资料的电子版发送到邮箱9</w:t>
      </w:r>
      <w:r>
        <w:rPr>
          <w:rFonts w:asciiTheme="minorEastAsia" w:hAnsiTheme="minorEastAsia" w:eastAsiaTheme="minorEastAsia"/>
          <w:color w:val="000000" w:themeColor="text1"/>
          <w:szCs w:val="21"/>
          <w14:textFill>
            <w14:solidFill>
              <w14:schemeClr w14:val="tx1"/>
            </w14:solidFill>
          </w14:textFill>
        </w:rPr>
        <w:t>87892868@qq.com</w:t>
      </w:r>
      <w:r>
        <w:rPr>
          <w:rFonts w:hint="eastAsia" w:asciiTheme="minorEastAsia" w:hAnsiTheme="minorEastAsia" w:eastAsiaTheme="minorEastAsia"/>
          <w:color w:val="000000" w:themeColor="text1"/>
          <w:szCs w:val="21"/>
          <w14:textFill>
            <w14:solidFill>
              <w14:schemeClr w14:val="tx1"/>
            </w14:solidFill>
          </w14:textFill>
        </w:rPr>
        <w:t>：</w:t>
      </w:r>
    </w:p>
    <w:p>
      <w:pPr>
        <w:pStyle w:val="2"/>
        <w:numPr>
          <w:ilvl w:val="0"/>
          <w:numId w:val="4"/>
        </w:num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法定代表人证明书原件及身份证扫描件（加盖公章）；</w:t>
      </w:r>
    </w:p>
    <w:p>
      <w:pPr>
        <w:pStyle w:val="2"/>
        <w:numPr>
          <w:ilvl w:val="0"/>
          <w:numId w:val="4"/>
        </w:num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法定代表人授权委托书原件及被授权人身份证扫描件（加盖公章）；</w:t>
      </w:r>
    </w:p>
    <w:p>
      <w:pPr>
        <w:pStyle w:val="2"/>
        <w:numPr>
          <w:ilvl w:val="0"/>
          <w:numId w:val="4"/>
        </w:num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上述“二、投标人的资格要求”中第</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项证明文件。</w:t>
      </w:r>
    </w:p>
    <w:p>
      <w:pPr>
        <w:pStyle w:val="2"/>
        <w:numPr>
          <w:ilvl w:val="0"/>
          <w:numId w:val="4"/>
        </w:num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投标函 </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详见招标文件第五章,加盖公章</w:t>
      </w:r>
      <w:r>
        <w:rPr>
          <w:rFonts w:asciiTheme="minorEastAsia" w:hAnsiTheme="minorEastAsia" w:eastAsiaTheme="minorEastAsia"/>
          <w:color w:val="000000" w:themeColor="text1"/>
          <w:szCs w:val="21"/>
          <w14:textFill>
            <w14:solidFill>
              <w14:schemeClr w14:val="tx1"/>
            </w14:solidFill>
          </w14:textFill>
        </w:rPr>
        <w:t>)</w:t>
      </w:r>
    </w:p>
    <w:p>
      <w:pPr>
        <w:pStyle w:val="2"/>
        <w:spacing w:line="440" w:lineRule="exact"/>
        <w:ind w:firstLine="420" w:firstLineChars="200"/>
      </w:pPr>
      <w:r>
        <w:rPr>
          <w:rFonts w:hint="eastAsia"/>
        </w:rPr>
        <w:t>温馨提示：以上材料投标时需同时放入投标文件中作为资格审查材料，投标时若未提供将作无效投标处理。</w:t>
      </w:r>
    </w:p>
    <w:p>
      <w:pPr>
        <w:spacing w:line="44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bookmarkStart w:id="5" w:name="_Toc70231386"/>
      <w:r>
        <w:rPr>
          <w:rFonts w:hint="eastAsia" w:asciiTheme="minorEastAsia" w:hAnsiTheme="minorEastAsia" w:eastAsiaTheme="minorEastAsia"/>
          <w:b/>
          <w:bCs/>
          <w:color w:val="000000" w:themeColor="text1"/>
          <w:szCs w:val="21"/>
          <w14:textFill>
            <w14:solidFill>
              <w14:schemeClr w14:val="tx1"/>
            </w14:solidFill>
          </w14:textFill>
        </w:rPr>
        <w:t>四、提交投标文件截止时间、开标时间和地点</w:t>
      </w:r>
      <w:bookmarkEnd w:id="5"/>
    </w:p>
    <w:p>
      <w:pPr>
        <w:pStyle w:val="55"/>
        <w:numPr>
          <w:ilvl w:val="0"/>
          <w:numId w:val="5"/>
        </w:numPr>
        <w:spacing w:line="440" w:lineRule="exact"/>
        <w:ind w:firstLineChars="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时间</w:t>
      </w:r>
      <w:r>
        <w:rPr>
          <w:rFonts w:asciiTheme="minorEastAsia" w:hAnsiTheme="minorEastAsia" w:eastAsiaTheme="minorEastAsia"/>
          <w:bCs/>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2023年</w:t>
      </w:r>
      <w:r>
        <w:rPr>
          <w:rFonts w:asciiTheme="minorEastAsia" w:hAnsiTheme="minorEastAsia" w:eastAsiaTheme="minorEastAsia"/>
          <w:color w:val="000000" w:themeColor="text1"/>
          <w:szCs w:val="21"/>
          <w14:textFill>
            <w14:solidFill>
              <w14:schemeClr w14:val="tx1"/>
            </w14:solidFill>
          </w14:textFill>
        </w:rPr>
        <w:t>04</w:t>
      </w:r>
      <w:r>
        <w:rPr>
          <w:rFonts w:hint="eastAsia" w:asciiTheme="minorEastAsia" w:hAnsiTheme="minorEastAsia" w:eastAsiaTheme="minorEastAsia"/>
          <w:color w:val="000000" w:themeColor="text1"/>
          <w:szCs w:val="21"/>
          <w14:textFill>
            <w14:solidFill>
              <w14:schemeClr w14:val="tx1"/>
            </w14:solidFill>
          </w14:textFill>
        </w:rPr>
        <w:t>月</w:t>
      </w:r>
      <w:r>
        <w:rPr>
          <w:rFonts w:asciiTheme="minorEastAsia" w:hAnsiTheme="minorEastAsia" w:eastAsiaTheme="minorEastAsia"/>
          <w:color w:val="000000" w:themeColor="text1"/>
          <w:szCs w:val="21"/>
          <w14:textFill>
            <w14:solidFill>
              <w14:schemeClr w14:val="tx1"/>
            </w14:solidFill>
          </w14:textFill>
        </w:rPr>
        <w:t>07</w:t>
      </w:r>
      <w:r>
        <w:rPr>
          <w:rFonts w:hint="eastAsia" w:asciiTheme="minorEastAsia" w:hAnsiTheme="minorEastAsia" w:eastAsiaTheme="minorEastAsia"/>
          <w:color w:val="000000" w:themeColor="text1"/>
          <w:szCs w:val="21"/>
          <w14:textFill>
            <w14:solidFill>
              <w14:schemeClr w14:val="tx1"/>
            </w14:solidFill>
          </w14:textFill>
        </w:rPr>
        <w:t>日</w:t>
      </w:r>
      <w:r>
        <w:rPr>
          <w:rFonts w:asciiTheme="minorEastAsia" w:hAnsiTheme="minorEastAsia" w:eastAsiaTheme="minorEastAsia"/>
          <w:color w:val="000000" w:themeColor="text1"/>
          <w:szCs w:val="21"/>
          <w14:textFill>
            <w14:solidFill>
              <w14:schemeClr w14:val="tx1"/>
            </w14:solidFill>
          </w14:textFill>
        </w:rPr>
        <w:t>10</w:t>
      </w:r>
      <w:r>
        <w:rPr>
          <w:rFonts w:hint="eastAsia" w:asciiTheme="minorEastAsia" w:hAnsiTheme="minorEastAsia" w:eastAsiaTheme="minorEastAsia"/>
          <w:color w:val="000000" w:themeColor="text1"/>
          <w:szCs w:val="21"/>
          <w14:textFill>
            <w14:solidFill>
              <w14:schemeClr w14:val="tx1"/>
            </w14:solidFill>
          </w14:textFill>
        </w:rPr>
        <w:t xml:space="preserve">点 </w:t>
      </w:r>
      <w:r>
        <w:rPr>
          <w:rFonts w:asciiTheme="minorEastAsia" w:hAnsiTheme="minorEastAsia" w:eastAsiaTheme="minorEastAsia"/>
          <w:color w:val="000000" w:themeColor="text1"/>
          <w:szCs w:val="21"/>
          <w14:textFill>
            <w14:solidFill>
              <w14:schemeClr w14:val="tx1"/>
            </w14:solidFill>
          </w14:textFill>
        </w:rPr>
        <w:t>00</w:t>
      </w:r>
      <w:r>
        <w:rPr>
          <w:rFonts w:hint="eastAsia" w:asciiTheme="minorEastAsia" w:hAnsiTheme="minorEastAsia" w:eastAsiaTheme="minorEastAsia"/>
          <w:color w:val="000000" w:themeColor="text1"/>
          <w:szCs w:val="21"/>
          <w14:textFill>
            <w14:solidFill>
              <w14:schemeClr w14:val="tx1"/>
            </w14:solidFill>
          </w14:textFill>
        </w:rPr>
        <w:t>分</w:t>
      </w:r>
      <w:r>
        <w:rPr>
          <w:rFonts w:hint="eastAsia" w:asciiTheme="minorEastAsia" w:hAnsiTheme="minorEastAsia" w:eastAsiaTheme="minorEastAsia"/>
          <w:bCs/>
          <w:color w:val="000000" w:themeColor="text1"/>
          <w:szCs w:val="21"/>
          <w14:textFill>
            <w14:solidFill>
              <w14:schemeClr w14:val="tx1"/>
            </w14:solidFill>
          </w14:textFill>
        </w:rPr>
        <w:t>（北京时间）</w:t>
      </w:r>
    </w:p>
    <w:p>
      <w:pPr>
        <w:pStyle w:val="55"/>
        <w:numPr>
          <w:ilvl w:val="0"/>
          <w:numId w:val="5"/>
        </w:numPr>
        <w:spacing w:line="440" w:lineRule="exact"/>
        <w:ind w:firstLineChars="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地点：深圳市福田区上梅林中康路2</w:t>
      </w: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号综合楼7楼办公区</w:t>
      </w:r>
    </w:p>
    <w:p>
      <w:pPr>
        <w:spacing w:line="44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bookmarkStart w:id="6" w:name="_Toc70231387"/>
      <w:r>
        <w:rPr>
          <w:rFonts w:hint="eastAsia" w:asciiTheme="minorEastAsia" w:hAnsiTheme="minorEastAsia" w:eastAsiaTheme="minorEastAsia"/>
          <w:b/>
          <w:bCs/>
          <w:color w:val="000000" w:themeColor="text1"/>
          <w:szCs w:val="21"/>
          <w14:textFill>
            <w14:solidFill>
              <w14:schemeClr w14:val="tx1"/>
            </w14:solidFill>
          </w14:textFill>
        </w:rPr>
        <w:t>五、公告期限</w:t>
      </w:r>
      <w:bookmarkEnd w:id="6"/>
    </w:p>
    <w:p>
      <w:pPr>
        <w:spacing w:line="440" w:lineRule="exact"/>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自本公告发布之日起5个工作日。</w:t>
      </w:r>
    </w:p>
    <w:p>
      <w:pPr>
        <w:spacing w:line="44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bookmarkStart w:id="7" w:name="_Toc70231388"/>
      <w:r>
        <w:rPr>
          <w:rFonts w:hint="eastAsia" w:asciiTheme="minorEastAsia" w:hAnsiTheme="minorEastAsia" w:eastAsiaTheme="minorEastAsia"/>
          <w:b/>
          <w:bCs/>
          <w:color w:val="000000" w:themeColor="text1"/>
          <w:szCs w:val="21"/>
          <w14:textFill>
            <w14:solidFill>
              <w14:schemeClr w14:val="tx1"/>
            </w14:solidFill>
          </w14:textFill>
        </w:rPr>
        <w:t>六、其他补充事宜</w:t>
      </w:r>
      <w:bookmarkEnd w:id="7"/>
    </w:p>
    <w:p>
      <w:pPr>
        <w:pStyle w:val="55"/>
        <w:numPr>
          <w:ilvl w:val="0"/>
          <w:numId w:val="6"/>
        </w:numPr>
        <w:spacing w:line="440" w:lineRule="exact"/>
        <w:ind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澄清及答疑事项：投标人应于投标截止日五日前，将对招标文件的疑问以书面形式（包括</w:t>
      </w:r>
    </w:p>
    <w:p>
      <w:pPr>
        <w:spacing w:line="44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认为招标文件的技术指标或参数存在排他性或歧视性条款）加盖单位公章送达采购人，逾期不予受理。采购人将集中答疑结果在“投标人须知前附表”所列信息发布网站以公开发布方式发送给所有投标人。对招标文件的任何修改，以采购人发出的通知为准。</w:t>
      </w:r>
    </w:p>
    <w:p>
      <w:pPr>
        <w:pStyle w:val="55"/>
        <w:numPr>
          <w:ilvl w:val="0"/>
          <w:numId w:val="6"/>
        </w:numPr>
        <w:spacing w:line="440" w:lineRule="exact"/>
        <w:ind w:firstLineChars="0"/>
        <w:rPr>
          <w:b/>
          <w:bCs/>
        </w:rPr>
      </w:pPr>
      <w:r>
        <w:rPr>
          <w:rFonts w:hint="eastAsia"/>
          <w:b/>
          <w:bCs/>
        </w:rPr>
        <w:t>本项目所属行业类型为：</w:t>
      </w:r>
      <w:r>
        <w:rPr>
          <w:rFonts w:hint="eastAsia"/>
          <w:b/>
          <w:bCs/>
          <w:u w:val="single"/>
        </w:rPr>
        <w:t>商业服务业</w:t>
      </w:r>
      <w:r>
        <w:rPr>
          <w:rFonts w:hint="eastAsia"/>
          <w:b/>
          <w:bCs/>
        </w:rPr>
        <w:t>或</w:t>
      </w:r>
      <w:r>
        <w:rPr>
          <w:rFonts w:hint="eastAsia"/>
          <w:b/>
          <w:bCs/>
          <w:u w:val="single"/>
        </w:rPr>
        <w:t>其他服务业</w:t>
      </w:r>
    </w:p>
    <w:p>
      <w:pPr>
        <w:adjustRightInd w:val="0"/>
        <w:snapToGrid w:val="0"/>
        <w:spacing w:line="40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注：投标人须根据《政府采购促进中小企业发展管理办法》（财库﹝2020﹞46 号）的规定填写《中小企业声明函》。</w:t>
      </w:r>
    </w:p>
    <w:p>
      <w:pPr>
        <w:pStyle w:val="55"/>
        <w:numPr>
          <w:ilvl w:val="0"/>
          <w:numId w:val="6"/>
        </w:numPr>
        <w:spacing w:line="440" w:lineRule="exact"/>
        <w:ind w:firstLineChars="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现场踏勘：无。</w:t>
      </w:r>
    </w:p>
    <w:p>
      <w:pPr>
        <w:spacing w:line="44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bookmarkStart w:id="8" w:name="_Toc70231389"/>
      <w:r>
        <w:rPr>
          <w:rFonts w:hint="eastAsia" w:asciiTheme="minorEastAsia" w:hAnsiTheme="minorEastAsia" w:eastAsiaTheme="minorEastAsia"/>
          <w:b/>
          <w:bCs/>
          <w:color w:val="000000" w:themeColor="text1"/>
          <w:szCs w:val="21"/>
          <w14:textFill>
            <w14:solidFill>
              <w14:schemeClr w14:val="tx1"/>
            </w14:solidFill>
          </w14:textFill>
        </w:rPr>
        <w:t>七、对本次招标提出询问，请按以下方式联系</w:t>
      </w:r>
      <w:bookmarkEnd w:id="8"/>
    </w:p>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1、采购人信息</w:t>
      </w:r>
    </w:p>
    <w:p>
      <w:pPr>
        <w:spacing w:line="440" w:lineRule="exact"/>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名　  称：深圳市福田区第二人民医院</w:t>
      </w:r>
    </w:p>
    <w:p>
      <w:pPr>
        <w:ind w:firstLine="420" w:firstLineChars="200"/>
      </w:pPr>
      <w:r>
        <w:rPr>
          <w:rFonts w:hint="eastAsia" w:asciiTheme="minorEastAsia" w:hAnsiTheme="minorEastAsia" w:eastAsiaTheme="minorEastAsia"/>
          <w:color w:val="000000" w:themeColor="text1"/>
          <w:szCs w:val="21"/>
          <w14:textFill>
            <w14:solidFill>
              <w14:schemeClr w14:val="tx1"/>
            </w14:solidFill>
          </w14:textFill>
        </w:rPr>
        <w:t xml:space="preserve">地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址：深圳市福田区上梅林中康路27、25号，梅林街道龙尾社区梅亭路1号4栋</w:t>
      </w:r>
    </w:p>
    <w:p>
      <w:pPr>
        <w:spacing w:line="440" w:lineRule="exact"/>
        <w:ind w:firstLine="420" w:firstLineChars="200"/>
        <w:jc w:val="left"/>
        <w:rPr>
          <w:rFonts w:asciiTheme="minorEastAsia" w:hAnsiTheme="minorEastAsia" w:eastAsiaTheme="minorEastAsia"/>
          <w:color w:val="000000" w:themeColor="text1"/>
          <w:szCs w:val="21"/>
          <w14:textFill>
            <w14:solidFill>
              <w14:schemeClr w14:val="tx1"/>
            </w14:solidFill>
          </w14:textFill>
        </w:rPr>
      </w:pP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2、项目</w:t>
      </w:r>
      <w:r>
        <w:rPr>
          <w:rFonts w:cs="宋体" w:asciiTheme="minorEastAsia" w:hAnsiTheme="minorEastAsia" w:eastAsiaTheme="minorEastAsia"/>
          <w:color w:val="000000" w:themeColor="text1"/>
          <w:szCs w:val="21"/>
          <w14:textFill>
            <w14:solidFill>
              <w14:schemeClr w14:val="tx1"/>
            </w14:solidFill>
          </w14:textFill>
        </w:rPr>
        <w:t>联系方式</w:t>
      </w:r>
    </w:p>
    <w:p>
      <w:pPr>
        <w:pStyle w:val="2"/>
        <w:spacing w:line="440" w:lineRule="exact"/>
        <w:ind w:firstLine="420" w:firstLineChars="200"/>
        <w:rPr>
          <w:rFonts w:asciiTheme="minorEastAsia" w:hAnsiTheme="minorEastAsia" w:eastAsiaTheme="minorEastAsia"/>
          <w:i/>
          <w:iCs/>
          <w:color w:val="000000" w:themeColor="text1"/>
          <w:szCs w:val="21"/>
          <w:highlight w:val="yellow"/>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联系人：梁工</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　话：0755-</w:t>
      </w:r>
      <w:r>
        <w:rPr>
          <w:rFonts w:asciiTheme="minorEastAsia" w:hAnsiTheme="minorEastAsia" w:eastAsiaTheme="minorEastAsia"/>
          <w:color w:val="000000" w:themeColor="text1"/>
          <w:szCs w:val="21"/>
          <w14:textFill>
            <w14:solidFill>
              <w14:schemeClr w14:val="tx1"/>
            </w14:solidFill>
          </w14:textFill>
        </w:rPr>
        <w:t>83140233</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邮 </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箱：9</w:t>
      </w:r>
      <w:r>
        <w:rPr>
          <w:rFonts w:asciiTheme="minorEastAsia" w:hAnsiTheme="minorEastAsia" w:eastAsiaTheme="minorEastAsia"/>
          <w:color w:val="000000" w:themeColor="text1"/>
          <w:szCs w:val="21"/>
          <w14:textFill>
            <w14:solidFill>
              <w14:schemeClr w14:val="tx1"/>
            </w14:solidFill>
          </w14:textFill>
        </w:rPr>
        <w:t>87892868@qq.com</w:t>
      </w:r>
      <w:r>
        <w:rPr>
          <w:rFonts w:hint="eastAsia" w:asciiTheme="minorEastAsia" w:hAnsiTheme="minorEastAsia" w:eastAsiaTheme="minorEastAsia"/>
          <w:color w:val="000000" w:themeColor="text1"/>
          <w:szCs w:val="21"/>
          <w14:textFill>
            <w14:solidFill>
              <w14:schemeClr w14:val="tx1"/>
            </w14:solidFill>
          </w14:textFill>
        </w:rPr>
        <w:t>　</w:t>
      </w:r>
    </w:p>
    <w:p>
      <w:pPr>
        <w:spacing w:line="440" w:lineRule="exact"/>
        <w:ind w:firstLine="420" w:firstLineChars="200"/>
        <w:rPr>
          <w:rFonts w:ascii="宋体" w:hAnsi="宋体"/>
          <w:color w:val="000000"/>
          <w:szCs w:val="21"/>
        </w:rPr>
      </w:pPr>
    </w:p>
    <w:p>
      <w:pPr>
        <w:spacing w:line="440" w:lineRule="exact"/>
        <w:rPr>
          <w:rFonts w:ascii="宋体" w:hAnsi="宋体"/>
          <w:color w:val="000000"/>
          <w:szCs w:val="21"/>
        </w:rPr>
      </w:pPr>
    </w:p>
    <w:p>
      <w:pPr>
        <w:spacing w:line="440" w:lineRule="exact"/>
        <w:ind w:firstLine="3007" w:firstLineChars="1432"/>
        <w:jc w:val="right"/>
        <w:rPr>
          <w:rFonts w:ascii="宋体" w:hAnsi="宋体"/>
          <w:color w:val="000000"/>
          <w:szCs w:val="21"/>
        </w:rPr>
      </w:pPr>
      <w:r>
        <w:rPr>
          <w:rFonts w:hint="eastAsia" w:ascii="宋体" w:hAnsi="宋体"/>
          <w:color w:val="000000"/>
          <w:szCs w:val="21"/>
        </w:rPr>
        <w:t xml:space="preserve">                         深圳市</w:t>
      </w:r>
      <w:r>
        <w:rPr>
          <w:rFonts w:hint="eastAsia" w:asciiTheme="minorEastAsia" w:hAnsiTheme="minorEastAsia" w:eastAsiaTheme="minorEastAsia"/>
          <w:color w:val="000000" w:themeColor="text1"/>
          <w:szCs w:val="21"/>
          <w14:textFill>
            <w14:solidFill>
              <w14:schemeClr w14:val="tx1"/>
            </w14:solidFill>
          </w14:textFill>
        </w:rPr>
        <w:t>福田区第二人民医院</w:t>
      </w:r>
    </w:p>
    <w:p>
      <w:pPr>
        <w:spacing w:line="440" w:lineRule="exact"/>
        <w:ind w:firstLine="198"/>
        <w:jc w:val="right"/>
        <w:rPr>
          <w:rFonts w:ascii="宋体" w:hAnsi="宋体"/>
          <w:color w:val="0000FF"/>
          <w:szCs w:val="21"/>
        </w:rPr>
      </w:pPr>
      <w:r>
        <w:rPr>
          <w:rFonts w:hint="eastAsia" w:ascii="宋体" w:hAnsi="宋体"/>
          <w:color w:val="000000"/>
          <w:szCs w:val="21"/>
        </w:rPr>
        <w:t xml:space="preserve">                                  </w:t>
      </w:r>
      <w:r>
        <w:rPr>
          <w:rFonts w:hint="eastAsia" w:ascii="宋体" w:hAnsi="宋体"/>
          <w:color w:val="0000FF"/>
          <w:szCs w:val="21"/>
        </w:rPr>
        <w:t xml:space="preserve">                     </w:t>
      </w:r>
      <w:r>
        <w:rPr>
          <w:rFonts w:hint="eastAsia" w:ascii="宋体" w:hAnsi="宋体"/>
          <w:color w:val="000000" w:themeColor="text1"/>
          <w:szCs w:val="21"/>
          <w14:textFill>
            <w14:solidFill>
              <w14:schemeClr w14:val="tx1"/>
            </w14:solidFill>
          </w14:textFill>
        </w:rPr>
        <w:t xml:space="preserve">  2023年</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27</w:t>
      </w:r>
      <w:r>
        <w:rPr>
          <w:rFonts w:hint="eastAsia" w:ascii="宋体" w:hAnsi="宋体"/>
          <w:color w:val="000000" w:themeColor="text1"/>
          <w:szCs w:val="21"/>
          <w14:textFill>
            <w14:solidFill>
              <w14:schemeClr w14:val="tx1"/>
            </w14:solidFill>
          </w14:textFill>
        </w:rPr>
        <w:t>日</w:t>
      </w:r>
    </w:p>
    <w:p>
      <w:pPr>
        <w:spacing w:line="400" w:lineRule="exact"/>
        <w:ind w:firstLine="420" w:firstLineChars="200"/>
        <w:rPr>
          <w:rFonts w:ascii="宋体" w:hAnsi="宋体"/>
          <w:color w:val="000000"/>
          <w:szCs w:val="21"/>
        </w:rPr>
      </w:pPr>
    </w:p>
    <w:p>
      <w:pPr>
        <w:pStyle w:val="15"/>
        <w:spacing w:line="400" w:lineRule="exact"/>
        <w:jc w:val="center"/>
        <w:outlineLvl w:val="0"/>
        <w:rPr>
          <w:rFonts w:ascii="微软雅黑" w:hAnsi="微软雅黑" w:eastAsia="微软雅黑" w:cs="微软雅黑"/>
          <w:b/>
          <w:color w:val="000000"/>
          <w:szCs w:val="32"/>
        </w:rPr>
      </w:pPr>
      <w:r>
        <w:rPr>
          <w:rFonts w:ascii="宋体" w:hAnsi="宋体"/>
          <w:b/>
          <w:bCs/>
          <w:color w:val="000000"/>
          <w:spacing w:val="20"/>
          <w:sz w:val="36"/>
        </w:rPr>
        <w:br w:type="page"/>
      </w:r>
      <w:bookmarkStart w:id="9" w:name="_Toc10336"/>
      <w:r>
        <w:rPr>
          <w:rFonts w:hint="eastAsia" w:ascii="微软雅黑" w:hAnsi="微软雅黑" w:eastAsia="微软雅黑" w:cs="微软雅黑"/>
          <w:b/>
          <w:color w:val="000000"/>
          <w:szCs w:val="32"/>
        </w:rPr>
        <w:t>第二章  投标人须知及前附表</w:t>
      </w:r>
      <w:bookmarkEnd w:id="9"/>
    </w:p>
    <w:p>
      <w:pPr>
        <w:jc w:val="center"/>
        <w:rPr>
          <w:rFonts w:ascii="宋体" w:hAnsi="宋体"/>
          <w:bCs/>
          <w:color w:val="000000"/>
          <w:sz w:val="32"/>
        </w:rPr>
      </w:pPr>
    </w:p>
    <w:p>
      <w:pPr>
        <w:spacing w:after="250" w:afterLines="50"/>
        <w:outlineLvl w:val="1"/>
        <w:rPr>
          <w:rFonts w:ascii="微软雅黑" w:hAnsi="微软雅黑" w:eastAsia="微软雅黑" w:cs="微软雅黑"/>
          <w:b/>
          <w:color w:val="000000"/>
          <w:sz w:val="28"/>
          <w:szCs w:val="28"/>
        </w:rPr>
      </w:pPr>
      <w:bookmarkStart w:id="10" w:name="_Toc2012"/>
      <w:r>
        <w:rPr>
          <w:rFonts w:hint="eastAsia" w:ascii="微软雅黑" w:hAnsi="微软雅黑" w:eastAsia="微软雅黑" w:cs="微软雅黑"/>
          <w:b/>
          <w:color w:val="000000"/>
          <w:sz w:val="28"/>
          <w:szCs w:val="28"/>
        </w:rPr>
        <w:t>第一部分  投标人须知前附表</w:t>
      </w:r>
      <w:bookmarkEnd w:id="10"/>
    </w:p>
    <w:tbl>
      <w:tblPr>
        <w:tblStyle w:val="30"/>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9"/>
        <w:gridCol w:w="1875"/>
        <w:gridCol w:w="64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blHeader/>
          <w:jc w:val="center"/>
        </w:trPr>
        <w:tc>
          <w:tcPr>
            <w:tcW w:w="899" w:type="dxa"/>
            <w:vAlign w:val="center"/>
          </w:tcPr>
          <w:p>
            <w:pPr>
              <w:spacing w:line="440" w:lineRule="exact"/>
              <w:jc w:val="center"/>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序号</w:t>
            </w:r>
          </w:p>
        </w:tc>
        <w:tc>
          <w:tcPr>
            <w:tcW w:w="1875" w:type="dxa"/>
            <w:vAlign w:val="center"/>
          </w:tcPr>
          <w:p>
            <w:pPr>
              <w:spacing w:line="440" w:lineRule="exact"/>
              <w:jc w:val="center"/>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项目</w:t>
            </w:r>
          </w:p>
        </w:tc>
        <w:tc>
          <w:tcPr>
            <w:tcW w:w="6441" w:type="dxa"/>
            <w:vAlign w:val="center"/>
          </w:tcPr>
          <w:p>
            <w:pPr>
              <w:spacing w:line="440" w:lineRule="exact"/>
              <w:jc w:val="center"/>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1</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项目编号</w:t>
            </w:r>
          </w:p>
        </w:tc>
        <w:tc>
          <w:tcPr>
            <w:tcW w:w="6441" w:type="dxa"/>
            <w:vAlign w:val="center"/>
          </w:tcPr>
          <w:p>
            <w:pPr>
              <w:spacing w:line="440" w:lineRule="exact"/>
              <w:rPr>
                <w:rFonts w:asciiTheme="minorEastAsia" w:hAnsiTheme="minorEastAsia" w:eastAsiaTheme="minorEastAsia" w:cstheme="minorBidi"/>
                <w:color w:val="0000FF"/>
                <w:szCs w:val="21"/>
                <w:highlight w:val="yellow"/>
              </w:rPr>
            </w:pPr>
            <w:r>
              <w:rPr>
                <w:rFonts w:asciiTheme="minorEastAsia" w:hAnsiTheme="minorEastAsia" w:eastAsiaTheme="minorEastAsia" w:cstheme="minorBidi"/>
                <w:szCs w:val="21"/>
              </w:rPr>
              <w:t>FTEYZWK20230302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2</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项目名称</w:t>
            </w:r>
          </w:p>
        </w:tc>
        <w:tc>
          <w:tcPr>
            <w:tcW w:w="6441" w:type="dxa"/>
            <w:vAlign w:val="center"/>
          </w:tcPr>
          <w:p>
            <w:pPr>
              <w:spacing w:line="440" w:lineRule="exact"/>
              <w:rPr>
                <w:rFonts w:asciiTheme="minorEastAsia" w:hAnsiTheme="minorEastAsia" w:eastAsiaTheme="minorEastAsia" w:cstheme="minorBidi"/>
                <w:color w:val="0000FF"/>
                <w:szCs w:val="21"/>
                <w:highlight w:val="yellow"/>
              </w:rPr>
            </w:pPr>
            <w:r>
              <w:rPr>
                <w:rFonts w:hint="eastAsia" w:asciiTheme="minorEastAsia" w:hAnsiTheme="minorEastAsia" w:eastAsiaTheme="minorEastAsia" w:cstheme="minorBidi"/>
                <w:szCs w:val="21"/>
              </w:rPr>
              <w:t>福田区第二人民医院物业管理服务采购第三方咨询供应商项目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3</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采购方式</w:t>
            </w:r>
          </w:p>
        </w:tc>
        <w:tc>
          <w:tcPr>
            <w:tcW w:w="6441" w:type="dxa"/>
            <w:vAlign w:val="center"/>
          </w:tcPr>
          <w:p>
            <w:pPr>
              <w:spacing w:line="440" w:lineRule="exac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4</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货币类型</w:t>
            </w:r>
          </w:p>
        </w:tc>
        <w:tc>
          <w:tcPr>
            <w:tcW w:w="6441" w:type="dxa"/>
            <w:vAlign w:val="center"/>
          </w:tcPr>
          <w:p>
            <w:pPr>
              <w:spacing w:line="440" w:lineRule="exac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人民币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5</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预算金额</w:t>
            </w:r>
          </w:p>
        </w:tc>
        <w:tc>
          <w:tcPr>
            <w:tcW w:w="6441" w:type="dxa"/>
            <w:vAlign w:val="center"/>
          </w:tcPr>
          <w:p>
            <w:pPr>
              <w:spacing w:line="440" w:lineRule="exact"/>
              <w:rPr>
                <w:rFonts w:asciiTheme="minorEastAsia" w:hAnsiTheme="minorEastAsia" w:eastAsiaTheme="minorEastAsia" w:cstheme="minorBidi"/>
                <w:color w:val="0000FF"/>
                <w:szCs w:val="21"/>
                <w:highlight w:val="yellow"/>
              </w:rPr>
            </w:pPr>
            <w:r>
              <w:rPr>
                <w:rFonts w:hint="eastAsia" w:asciiTheme="minorEastAsia" w:hAnsiTheme="minorEastAsia" w:eastAsiaTheme="minorEastAsia"/>
                <w:szCs w:val="21"/>
              </w:rPr>
              <w:t>¥</w:t>
            </w:r>
            <w:r>
              <w:rPr>
                <w:rFonts w:asciiTheme="minorEastAsia" w:hAnsiTheme="minorEastAsia" w:eastAsiaTheme="minorEastAsia"/>
                <w:szCs w:val="21"/>
              </w:rPr>
              <w:t xml:space="preserve"> 50,000.00</w:t>
            </w:r>
            <w:r>
              <w:rPr>
                <w:rFonts w:hint="eastAsia" w:asciiTheme="minorEastAsia" w:hAnsiTheme="minorEastAsia" w:eastAsiaTheme="minorEastAsia"/>
                <w:szCs w:val="21"/>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6</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投标截止时间</w:t>
            </w:r>
          </w:p>
        </w:tc>
        <w:tc>
          <w:tcPr>
            <w:tcW w:w="6441" w:type="dxa"/>
            <w:vAlign w:val="center"/>
          </w:tcPr>
          <w:p>
            <w:pPr>
              <w:spacing w:line="440" w:lineRule="exac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7</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开标时间</w:t>
            </w:r>
          </w:p>
        </w:tc>
        <w:tc>
          <w:tcPr>
            <w:tcW w:w="6441" w:type="dxa"/>
            <w:vAlign w:val="center"/>
          </w:tcPr>
          <w:p>
            <w:pPr>
              <w:spacing w:line="440" w:lineRule="exac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8</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投标文件递交及开标地点</w:t>
            </w:r>
          </w:p>
        </w:tc>
        <w:tc>
          <w:tcPr>
            <w:tcW w:w="6441" w:type="dxa"/>
            <w:vAlign w:val="center"/>
          </w:tcPr>
          <w:p>
            <w:pPr>
              <w:spacing w:line="440" w:lineRule="exac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9</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信息发布网站</w:t>
            </w:r>
          </w:p>
        </w:tc>
        <w:tc>
          <w:tcPr>
            <w:tcW w:w="6441" w:type="dxa"/>
            <w:vAlign w:val="center"/>
          </w:tcPr>
          <w:p>
            <w:pPr>
              <w:spacing w:line="440" w:lineRule="exact"/>
              <w:rPr>
                <w:rFonts w:ascii="宋体" w:hAnsi="宋体"/>
                <w:color w:val="0000FF"/>
                <w:szCs w:val="21"/>
                <w:highlight w:val="yellow"/>
              </w:rPr>
            </w:pPr>
            <w:r>
              <w:rPr>
                <w:rFonts w:hint="eastAsia" w:ascii="宋体" w:hAnsi="宋体"/>
                <w:color w:val="000000" w:themeColor="text1"/>
                <w:szCs w:val="21"/>
                <w14:textFill>
                  <w14:solidFill>
                    <w14:schemeClr w14:val="tx1"/>
                  </w14:solidFill>
                </w14:textFill>
              </w:rPr>
              <w:t>深圳市福田区第二人民医院：</w:t>
            </w:r>
            <w:r>
              <w:rPr>
                <w:rFonts w:cs="宋体" w:asciiTheme="minorEastAsia" w:hAnsiTheme="minorEastAsia" w:eastAsiaTheme="minorEastAsia"/>
                <w:color w:val="000000" w:themeColor="text1"/>
                <w:szCs w:val="21"/>
                <w14:textFill>
                  <w14:solidFill>
                    <w14:schemeClr w14:val="tx1"/>
                  </w14:solidFill>
                </w14:textFill>
              </w:rPr>
              <w:t>https://www.ft2yy.cn/ywgk/tzgg/</w:t>
            </w:r>
          </w:p>
          <w:p>
            <w:pPr>
              <w:spacing w:line="440" w:lineRule="exact"/>
              <w:rPr>
                <w:rFonts w:asciiTheme="minorEastAsia" w:hAnsiTheme="minorEastAsia"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b/>
                <w:color w:val="000000" w:themeColor="text1"/>
                <w:szCs w:val="21"/>
                <w14:textFill>
                  <w14:solidFill>
                    <w14:schemeClr w14:val="tx1"/>
                  </w14:solidFill>
                </w14:textFill>
              </w:rPr>
              <w:t>重要提示：</w:t>
            </w:r>
            <w:r>
              <w:rPr>
                <w:rFonts w:hint="eastAsia" w:ascii="宋体" w:hAnsi="宋体" w:eastAsiaTheme="minorEastAsia" w:cstheme="minorBidi"/>
                <w:color w:val="000000" w:themeColor="text1"/>
                <w:szCs w:val="21"/>
                <w14:textFill>
                  <w14:solidFill>
                    <w14:schemeClr w14:val="tx1"/>
                  </w14:solidFill>
                </w14:textFill>
              </w:rPr>
              <w:t>投标人有义务在招标活动期间浏览上述网站，采购人在网上公布的与本次招标项目有关的信息视为已送达各投标人。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10</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澄清答疑</w:t>
            </w:r>
          </w:p>
        </w:tc>
        <w:tc>
          <w:tcPr>
            <w:tcW w:w="6441" w:type="dxa"/>
            <w:vAlign w:val="center"/>
          </w:tcPr>
          <w:p>
            <w:pPr>
              <w:spacing w:line="440" w:lineRule="exact"/>
              <w:rPr>
                <w:rFonts w:ascii="宋体" w:hAnsi="宋体"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1"/>
                <w14:textFill>
                  <w14:solidFill>
                    <w14:schemeClr w14:val="tx1"/>
                  </w14:solidFill>
                </w14:textFill>
              </w:rPr>
              <w:t>任何要求对招标文件进行澄清的投标人，均应于本项目“招标公告”中所述答疑截止时间前书面通知采购人。对于没有提出澄清又参与了该项目投标的供应商将被视为完全认同该招标文件，投标截止期后不再受理针对招标文件的相关投诉。对采购文件中描述有歧义或前后不一致的地方，评标委员会有权进行评判，但对同一条款的评判应适用于每个投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11</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投标有效期</w:t>
            </w:r>
          </w:p>
        </w:tc>
        <w:tc>
          <w:tcPr>
            <w:tcW w:w="6441" w:type="dxa"/>
            <w:vAlign w:val="center"/>
          </w:tcPr>
          <w:p>
            <w:pPr>
              <w:spacing w:line="440" w:lineRule="exac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开标（或谈判）后九十（90）天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12</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投标文件份数</w:t>
            </w:r>
          </w:p>
        </w:tc>
        <w:tc>
          <w:tcPr>
            <w:tcW w:w="6441" w:type="dxa"/>
            <w:vAlign w:val="center"/>
          </w:tcPr>
          <w:p>
            <w:pPr>
              <w:spacing w:line="440" w:lineRule="exac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纸质投标文件正本1份、副本4份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13</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投标文件电子档</w:t>
            </w:r>
          </w:p>
        </w:tc>
        <w:tc>
          <w:tcPr>
            <w:tcW w:w="6441" w:type="dxa"/>
            <w:vAlign w:val="center"/>
          </w:tcPr>
          <w:p>
            <w:pPr>
              <w:spacing w:line="440" w:lineRule="exac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光盘或U盘（投标文件正本盖章彩色扫描件，PDF格式）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14</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信用记录查询</w:t>
            </w:r>
          </w:p>
        </w:tc>
        <w:tc>
          <w:tcPr>
            <w:tcW w:w="6441" w:type="dxa"/>
            <w:vAlign w:val="center"/>
          </w:tcPr>
          <w:p>
            <w:pPr>
              <w:spacing w:line="440" w:lineRule="exact"/>
              <w:ind w:right="-57"/>
              <w:rPr>
                <w:rFonts w:ascii="宋体" w:hAnsi="宋体" w:eastAsiaTheme="minorEastAsia" w:cstheme="minorBidi"/>
                <w:bCs/>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2"/>
                <w14:textFill>
                  <w14:solidFill>
                    <w14:schemeClr w14:val="tx1"/>
                  </w14:solidFill>
                </w14:textFill>
              </w:rPr>
              <w:t>1、根据《深圳市人民政府关于印发深圳市贯彻落实守信联合激励和失信联合惩戒制度实施方案的通知》（深府〔2017〕57号）的要求，对列入失信“黑名单”的供应商限制参与政府采购。</w:t>
            </w:r>
          </w:p>
          <w:p>
            <w:pPr>
              <w:spacing w:line="440" w:lineRule="exact"/>
              <w:ind w:right="-57"/>
              <w:rPr>
                <w:rFonts w:ascii="宋体" w:hAnsi="宋体" w:eastAsiaTheme="minorEastAsia" w:cstheme="minorBidi"/>
                <w:bCs/>
                <w:color w:val="000000" w:themeColor="text1"/>
                <w:szCs w:val="21"/>
                <w14:textFill>
                  <w14:solidFill>
                    <w14:schemeClr w14:val="tx1"/>
                  </w14:solidFill>
                </w14:textFill>
              </w:rPr>
            </w:pPr>
            <w:r>
              <w:rPr>
                <w:rFonts w:hint="eastAsia" w:ascii="宋体" w:hAnsi="宋体" w:eastAsiaTheme="minorEastAsia" w:cstheme="minorBidi"/>
                <w:bCs/>
                <w:color w:val="000000" w:themeColor="text1"/>
                <w:szCs w:val="21"/>
                <w14:textFill>
                  <w14:solidFill>
                    <w14:schemeClr w14:val="tx1"/>
                  </w14:solidFill>
                </w14:textFill>
              </w:rPr>
              <w:t>2、</w:t>
            </w:r>
            <w:r>
              <w:rPr>
                <w:rFonts w:hint="eastAsia" w:ascii="宋体" w:hAnsi="宋体" w:eastAsiaTheme="minorEastAsia" w:cstheme="minorBidi"/>
                <w:color w:val="000000" w:themeColor="text1"/>
                <w:szCs w:val="20"/>
                <w14:textFill>
                  <w14:solidFill>
                    <w14:schemeClr w14:val="tx1"/>
                  </w14:solidFill>
                </w14:textFill>
              </w:rPr>
              <w:t>“信用中国”中</w:t>
            </w:r>
            <w:r>
              <w:rPr>
                <w:rFonts w:ascii="宋体" w:hAnsi="宋体" w:eastAsiaTheme="minorEastAsia" w:cstheme="minorBidi"/>
                <w:color w:val="000000" w:themeColor="text1"/>
                <w:szCs w:val="20"/>
                <w14:textFill>
                  <w14:solidFill>
                    <w14:schemeClr w14:val="tx1"/>
                  </w14:solidFill>
                </w14:textFill>
              </w:rPr>
              <w:t>“</w:t>
            </w:r>
            <w:r>
              <w:rPr>
                <w:rFonts w:hint="eastAsia" w:ascii="宋体" w:hAnsi="宋体" w:eastAsiaTheme="minorEastAsia" w:cstheme="minorBidi"/>
                <w:color w:val="000000" w:themeColor="text1"/>
                <w:szCs w:val="20"/>
                <w14:textFill>
                  <w14:solidFill>
                    <w14:schemeClr w14:val="tx1"/>
                  </w14:solidFill>
                </w14:textFill>
              </w:rPr>
              <w:t>信用</w:t>
            </w:r>
            <w:r>
              <w:rPr>
                <w:rFonts w:ascii="宋体" w:hAnsi="宋体" w:eastAsiaTheme="minorEastAsia" w:cstheme="minorBidi"/>
                <w:color w:val="000000" w:themeColor="text1"/>
                <w:szCs w:val="20"/>
                <w14:textFill>
                  <w14:solidFill>
                    <w14:schemeClr w14:val="tx1"/>
                  </w14:solidFill>
                </w14:textFill>
              </w:rPr>
              <w:t>服务”</w:t>
            </w:r>
            <w:r>
              <w:rPr>
                <w:rFonts w:hint="eastAsia" w:ascii="宋体" w:hAnsi="宋体" w:eastAsiaTheme="minorEastAsia" w:cstheme="minorBidi"/>
                <w:color w:val="000000" w:themeColor="text1"/>
                <w:szCs w:val="20"/>
                <w14:textFill>
                  <w14:solidFill>
                    <w14:schemeClr w14:val="tx1"/>
                  </w14:solidFill>
                </w14:textFill>
              </w:rPr>
              <w:t>栏</w:t>
            </w:r>
            <w:r>
              <w:rPr>
                <w:rFonts w:ascii="宋体" w:hAnsi="宋体" w:eastAsiaTheme="minorEastAsia" w:cstheme="minorBidi"/>
                <w:color w:val="000000" w:themeColor="text1"/>
                <w:szCs w:val="20"/>
                <w14:textFill>
                  <w14:solidFill>
                    <w14:schemeClr w14:val="tx1"/>
                  </w14:solidFill>
                </w14:textFill>
              </w:rPr>
              <w:t>的“</w:t>
            </w:r>
            <w:r>
              <w:rPr>
                <w:rFonts w:hint="eastAsia" w:ascii="宋体" w:hAnsi="宋体" w:eastAsiaTheme="minorEastAsia" w:cstheme="minorBidi"/>
                <w:color w:val="000000" w:themeColor="text1"/>
                <w:szCs w:val="20"/>
                <w14:textFill>
                  <w14:solidFill>
                    <w14:schemeClr w14:val="tx1"/>
                  </w14:solidFill>
                </w14:textFill>
              </w:rPr>
              <w:t>重大税收违法失信主体</w:t>
            </w:r>
            <w:r>
              <w:rPr>
                <w:rFonts w:ascii="宋体" w:hAnsi="宋体" w:eastAsiaTheme="minorEastAsia" w:cstheme="minorBidi"/>
                <w:color w:val="000000" w:themeColor="text1"/>
                <w:szCs w:val="20"/>
                <w14:textFill>
                  <w14:solidFill>
                    <w14:schemeClr w14:val="tx1"/>
                  </w14:solidFill>
                </w14:textFill>
              </w:rPr>
              <w:t>”“</w:t>
            </w:r>
            <w:r>
              <w:rPr>
                <w:rFonts w:hint="eastAsia" w:ascii="宋体" w:hAnsi="宋体" w:eastAsiaTheme="minorEastAsia" w:cstheme="minorBidi"/>
                <w:color w:val="000000" w:themeColor="text1"/>
                <w:szCs w:val="20"/>
                <w14:textFill>
                  <w14:solidFill>
                    <w14:schemeClr w14:val="tx1"/>
                  </w14:solidFill>
                </w14:textFill>
              </w:rPr>
              <w:t>失信被执行人</w:t>
            </w:r>
            <w:r>
              <w:rPr>
                <w:rFonts w:ascii="宋体" w:hAnsi="宋体" w:eastAsiaTheme="minorEastAsia" w:cstheme="minorBidi"/>
                <w:color w:val="000000" w:themeColor="text1"/>
                <w:szCs w:val="20"/>
                <w14:textFill>
                  <w14:solidFill>
                    <w14:schemeClr w14:val="tx1"/>
                  </w14:solidFill>
                </w14:textFill>
              </w:rPr>
              <w:t>”</w:t>
            </w:r>
            <w:r>
              <w:rPr>
                <w:rFonts w:hint="eastAsia" w:ascii="宋体" w:hAnsi="宋体" w:eastAsiaTheme="minorEastAsia" w:cstheme="minorBidi"/>
                <w:color w:val="000000" w:themeColor="text1"/>
                <w:szCs w:val="20"/>
                <w14:textFill>
                  <w14:solidFill>
                    <w14:schemeClr w14:val="tx1"/>
                  </w14:solidFill>
                </w14:textFill>
              </w:rPr>
              <w:t>、“中国政府采购网”中</w:t>
            </w:r>
            <w:r>
              <w:rPr>
                <w:rFonts w:ascii="宋体" w:hAnsi="宋体" w:eastAsiaTheme="minorEastAsia" w:cstheme="minorBidi"/>
                <w:color w:val="000000" w:themeColor="text1"/>
                <w:szCs w:val="20"/>
                <w14:textFill>
                  <w14:solidFill>
                    <w14:schemeClr w14:val="tx1"/>
                  </w14:solidFill>
                </w14:textFill>
              </w:rPr>
              <w:t>的“</w:t>
            </w:r>
            <w:r>
              <w:rPr>
                <w:rFonts w:hint="eastAsia" w:ascii="宋体" w:hAnsi="宋体" w:eastAsiaTheme="minorEastAsia" w:cstheme="minorBidi"/>
                <w:color w:val="000000" w:themeColor="text1"/>
                <w:szCs w:val="20"/>
                <w14:textFill>
                  <w14:solidFill>
                    <w14:schemeClr w14:val="tx1"/>
                  </w14:solidFill>
                </w14:textFill>
              </w:rPr>
              <w:t>政府采购严重违法失信行为记录名单</w:t>
            </w:r>
            <w:r>
              <w:rPr>
                <w:rFonts w:ascii="宋体" w:hAnsi="宋体" w:eastAsiaTheme="minorEastAsia" w:cstheme="minorBidi"/>
                <w:color w:val="000000" w:themeColor="text1"/>
                <w:szCs w:val="20"/>
                <w14:textFill>
                  <w14:solidFill>
                    <w14:schemeClr w14:val="tx1"/>
                  </w14:solidFill>
                </w14:textFill>
              </w:rPr>
              <w:t>”</w:t>
            </w:r>
            <w:r>
              <w:rPr>
                <w:rFonts w:hint="eastAsia" w:ascii="宋体" w:hAnsi="宋体" w:eastAsiaTheme="minorEastAsia" w:cstheme="minorBidi"/>
                <w:color w:val="000000" w:themeColor="text1"/>
                <w:szCs w:val="20"/>
                <w14:textFill>
                  <w14:solidFill>
                    <w14:schemeClr w14:val="tx1"/>
                  </w14:solidFill>
                </w14:textFill>
              </w:rPr>
              <w:t>、“深圳</w:t>
            </w:r>
            <w:r>
              <w:rPr>
                <w:rFonts w:ascii="宋体" w:hAnsi="宋体" w:eastAsiaTheme="minorEastAsia" w:cstheme="minorBidi"/>
                <w:color w:val="000000" w:themeColor="text1"/>
                <w:szCs w:val="20"/>
                <w14:textFill>
                  <w14:solidFill>
                    <w14:schemeClr w14:val="tx1"/>
                  </w14:solidFill>
                </w14:textFill>
              </w:rPr>
              <w:t>信用网</w:t>
            </w:r>
            <w:r>
              <w:rPr>
                <w:rFonts w:hint="eastAsia" w:ascii="宋体" w:hAnsi="宋体" w:eastAsiaTheme="minorEastAsia" w:cstheme="minorBidi"/>
                <w:color w:val="000000" w:themeColor="text1"/>
                <w:szCs w:val="20"/>
                <w14:textFill>
                  <w14:solidFill>
                    <w14:schemeClr w14:val="tx1"/>
                  </w14:solidFill>
                </w14:textFill>
              </w:rPr>
              <w:t>”以及“深圳市政府采购监管网”为供应商信用信息的查询渠道，相关信息以开标当日的查询结果为准。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899" w:type="dxa"/>
            <w:vAlign w:val="center"/>
          </w:tcPr>
          <w:p>
            <w:pPr>
              <w:spacing w:line="440" w:lineRule="exact"/>
              <w:jc w:val="center"/>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15</w:t>
            </w:r>
          </w:p>
        </w:tc>
        <w:tc>
          <w:tcPr>
            <w:tcW w:w="1875" w:type="dxa"/>
            <w:vAlign w:val="center"/>
          </w:tcPr>
          <w:p>
            <w:pPr>
              <w:spacing w:line="440" w:lineRule="exact"/>
              <w:jc w:val="lef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bCs/>
                <w:color w:val="000000" w:themeColor="text1"/>
                <w:szCs w:val="21"/>
                <w14:textFill>
                  <w14:solidFill>
                    <w14:schemeClr w14:val="tx1"/>
                  </w14:solidFill>
                </w14:textFill>
              </w:rPr>
              <w:t>中标候选人</w:t>
            </w:r>
          </w:p>
        </w:tc>
        <w:tc>
          <w:tcPr>
            <w:tcW w:w="6441" w:type="dxa"/>
            <w:vAlign w:val="center"/>
          </w:tcPr>
          <w:p>
            <w:pPr>
              <w:rPr>
                <w:rFonts w:ascii="宋体" w:hAnsi="宋体" w:eastAsiaTheme="minorEastAsia" w:cstheme="minorBidi"/>
                <w:color w:val="000000" w:themeColor="text1"/>
                <w:szCs w:val="20"/>
                <w14:textFill>
                  <w14:solidFill>
                    <w14:schemeClr w14:val="tx1"/>
                  </w14:solidFill>
                </w14:textFill>
              </w:rPr>
            </w:pPr>
            <w:r>
              <w:rPr>
                <w:rFonts w:hint="eastAsia" w:ascii="宋体" w:hAnsi="宋体" w:eastAsiaTheme="minorEastAsia" w:cstheme="minorBidi"/>
                <w:color w:val="000000" w:themeColor="text1"/>
                <w:szCs w:val="20"/>
                <w14:textFill>
                  <w14:solidFill>
                    <w14:schemeClr w14:val="tx1"/>
                  </w14:solidFill>
                </w14:textFill>
              </w:rPr>
              <w:t>评标委员会推荐排名第一的投标人为第一候选中标供应商，排名第二的投标人为第二候选中标供应商，排名第三的投标人为第三候选中标供应商。</w:t>
            </w:r>
          </w:p>
          <w:p>
            <w:pPr>
              <w:spacing w:line="440" w:lineRule="exact"/>
              <w:rPr>
                <w:rFonts w:asciiTheme="minorEastAsia" w:hAnsiTheme="minorEastAsia" w:eastAsiaTheme="minorEastAsia" w:cstheme="minorBidi"/>
                <w:color w:val="000000" w:themeColor="text1"/>
                <w:szCs w:val="21"/>
                <w14:textFill>
                  <w14:solidFill>
                    <w14:schemeClr w14:val="tx1"/>
                  </w14:solidFill>
                </w14:textFill>
              </w:rPr>
            </w:pPr>
            <w:r>
              <w:rPr>
                <w:rFonts w:hint="eastAsia" w:ascii="宋体" w:hAnsi="宋体" w:eastAsiaTheme="minorEastAsia" w:cstheme="minorBidi"/>
                <w:color w:val="000000" w:themeColor="text1"/>
                <w:szCs w:val="20"/>
                <w14:textFill>
                  <w14:solidFill>
                    <w14:schemeClr w14:val="tx1"/>
                  </w14:solidFill>
                </w14:textFill>
              </w:rPr>
              <w:t>中标供应商放弃中标资格的或中标资格被依法确认无效的，因情况紧急，重新组织采购不能满足采购人要求时，可依法从其他候选中标供应商中确定替补中标供应商。</w:t>
            </w:r>
          </w:p>
        </w:tc>
      </w:tr>
    </w:tbl>
    <w:p>
      <w:pPr>
        <w:spacing w:line="360" w:lineRule="exact"/>
        <w:ind w:firstLine="422" w:firstLineChars="200"/>
        <w:rPr>
          <w:rFonts w:ascii="宋体" w:hAnsi="宋体"/>
          <w:b/>
          <w:bCs/>
          <w:color w:val="000000" w:themeColor="text1"/>
          <w:szCs w:val="21"/>
          <w14:textFill>
            <w14:solidFill>
              <w14:schemeClr w14:val="tx1"/>
            </w14:solidFill>
          </w14:textFill>
        </w:rPr>
      </w:pPr>
    </w:p>
    <w:p>
      <w:pPr>
        <w:spacing w:after="250" w:afterLines="50"/>
        <w:outlineLvl w:val="1"/>
        <w:rPr>
          <w:rFonts w:ascii="微软雅黑" w:hAnsi="微软雅黑" w:eastAsia="微软雅黑" w:cs="微软雅黑"/>
          <w:b/>
          <w:color w:val="000000"/>
          <w:sz w:val="28"/>
          <w:szCs w:val="28"/>
        </w:rPr>
      </w:pPr>
      <w:r>
        <w:rPr>
          <w:rFonts w:ascii="宋体" w:hAnsi="宋体"/>
          <w:color w:val="000000"/>
          <w:sz w:val="24"/>
        </w:rPr>
        <w:br w:type="page"/>
      </w:r>
      <w:bookmarkStart w:id="11" w:name="_Toc960"/>
      <w:r>
        <w:rPr>
          <w:rFonts w:hint="eastAsia" w:ascii="微软雅黑" w:hAnsi="微软雅黑" w:eastAsia="微软雅黑" w:cs="微软雅黑"/>
          <w:b/>
          <w:color w:val="000000"/>
          <w:sz w:val="28"/>
          <w:szCs w:val="28"/>
        </w:rPr>
        <w:t>第二部分  投标人须知</w:t>
      </w:r>
      <w:bookmarkEnd w:id="11"/>
    </w:p>
    <w:p>
      <w:pPr>
        <w:spacing w:line="440" w:lineRule="exact"/>
        <w:jc w:val="center"/>
        <w:outlineLvl w:val="2"/>
        <w:rPr>
          <w:rFonts w:ascii="宋体" w:hAnsi="宋体"/>
          <w:b/>
          <w:bCs/>
          <w:color w:val="000000"/>
          <w:szCs w:val="21"/>
        </w:rPr>
      </w:pPr>
      <w:bookmarkStart w:id="12" w:name="_Toc11834"/>
      <w:r>
        <w:rPr>
          <w:rFonts w:hint="eastAsia" w:ascii="宋体" w:hAnsi="宋体"/>
          <w:b/>
          <w:bCs/>
          <w:color w:val="000000"/>
          <w:szCs w:val="21"/>
        </w:rPr>
        <w:t>一、总则</w:t>
      </w:r>
      <w:bookmarkEnd w:id="12"/>
    </w:p>
    <w:p>
      <w:pPr>
        <w:spacing w:line="440" w:lineRule="exact"/>
        <w:ind w:firstLine="422" w:firstLineChars="200"/>
        <w:outlineLvl w:val="3"/>
        <w:rPr>
          <w:rFonts w:ascii="宋体" w:hAnsi="宋体"/>
          <w:b/>
          <w:bCs/>
          <w:szCs w:val="21"/>
        </w:rPr>
      </w:pPr>
      <w:bookmarkStart w:id="13" w:name="_Toc19665"/>
      <w:r>
        <w:rPr>
          <w:rFonts w:hint="eastAsia" w:ascii="宋体" w:hAnsi="宋体"/>
          <w:b/>
          <w:bCs/>
          <w:szCs w:val="21"/>
        </w:rPr>
        <w:t>1．适用范围</w:t>
      </w:r>
      <w:bookmarkEnd w:id="13"/>
    </w:p>
    <w:p>
      <w:pPr>
        <w:spacing w:line="440" w:lineRule="exact"/>
        <w:ind w:firstLine="420" w:firstLineChars="200"/>
        <w:rPr>
          <w:rFonts w:ascii="宋体" w:hAnsi="宋体"/>
          <w:szCs w:val="21"/>
        </w:rPr>
      </w:pPr>
      <w:r>
        <w:rPr>
          <w:rFonts w:hint="eastAsia" w:ascii="宋体" w:hAnsi="宋体"/>
          <w:szCs w:val="21"/>
        </w:rPr>
        <w:t>1.1  本招标文件仅适用于本次招标文件中所叙述项目的服务采购。</w:t>
      </w:r>
    </w:p>
    <w:p>
      <w:pPr>
        <w:spacing w:line="440" w:lineRule="exact"/>
        <w:ind w:firstLine="422" w:firstLineChars="200"/>
        <w:outlineLvl w:val="3"/>
        <w:rPr>
          <w:rFonts w:ascii="宋体" w:hAnsi="宋体"/>
          <w:b/>
          <w:bCs/>
          <w:szCs w:val="21"/>
        </w:rPr>
      </w:pPr>
      <w:bookmarkStart w:id="14" w:name="_Toc28072"/>
      <w:r>
        <w:rPr>
          <w:rFonts w:hint="eastAsia" w:ascii="宋体" w:hAnsi="宋体"/>
          <w:b/>
          <w:bCs/>
          <w:szCs w:val="21"/>
        </w:rPr>
        <w:t>2．定义</w:t>
      </w:r>
      <w:bookmarkEnd w:id="14"/>
    </w:p>
    <w:p>
      <w:pPr>
        <w:spacing w:line="440" w:lineRule="exact"/>
        <w:ind w:firstLine="420" w:firstLineChars="200"/>
        <w:rPr>
          <w:rFonts w:ascii="宋体" w:hAnsi="宋体"/>
          <w:szCs w:val="21"/>
        </w:rPr>
      </w:pPr>
      <w:r>
        <w:rPr>
          <w:rFonts w:hint="eastAsia" w:ascii="宋体" w:hAnsi="宋体"/>
          <w:szCs w:val="21"/>
        </w:rPr>
        <w:t>2.1  “采购人”、“采购方”、“采购单位”是指利用财政性资金依法进行政府采购的国家机关、事业单位、团体组织等。</w:t>
      </w:r>
    </w:p>
    <w:p>
      <w:pPr>
        <w:spacing w:line="440" w:lineRule="exact"/>
        <w:ind w:firstLine="420" w:firstLineChars="200"/>
        <w:rPr>
          <w:rFonts w:ascii="宋体" w:hAnsi="宋体"/>
          <w:szCs w:val="21"/>
        </w:rPr>
      </w:pPr>
      <w:r>
        <w:rPr>
          <w:rFonts w:hint="eastAsia" w:ascii="宋体" w:hAnsi="宋体"/>
          <w:szCs w:val="21"/>
        </w:rPr>
        <w:t>2.2  “投标人”或“投标方”，即供应商，是指参加投标竞争的依法成立的单位，并愿意按照招标文件要求向采购人提供服务的法人、其他组织或者自然人。</w:t>
      </w:r>
    </w:p>
    <w:p>
      <w:pPr>
        <w:spacing w:line="440" w:lineRule="exact"/>
        <w:ind w:firstLine="420" w:firstLineChars="200"/>
        <w:rPr>
          <w:rFonts w:ascii="宋体" w:hAnsi="宋体"/>
          <w:szCs w:val="21"/>
        </w:rPr>
      </w:pPr>
      <w:r>
        <w:rPr>
          <w:rFonts w:hint="eastAsia" w:ascii="宋体" w:hAnsi="宋体"/>
          <w:szCs w:val="21"/>
        </w:rPr>
        <w:t>2.3  “服务”系指招标文件规定卖方须承担的服务和其它类似的义务。</w:t>
      </w:r>
    </w:p>
    <w:p>
      <w:pPr>
        <w:spacing w:line="440" w:lineRule="exact"/>
        <w:ind w:firstLine="422" w:firstLineChars="200"/>
        <w:outlineLvl w:val="3"/>
        <w:rPr>
          <w:rFonts w:ascii="宋体" w:hAnsi="宋体"/>
          <w:b/>
          <w:bCs/>
          <w:szCs w:val="21"/>
        </w:rPr>
      </w:pPr>
      <w:bookmarkStart w:id="15" w:name="_Toc20793"/>
      <w:r>
        <w:rPr>
          <w:rFonts w:hint="eastAsia" w:ascii="宋体" w:hAnsi="宋体"/>
          <w:b/>
          <w:szCs w:val="21"/>
        </w:rPr>
        <w:t>3</w:t>
      </w:r>
      <w:r>
        <w:rPr>
          <w:rFonts w:hint="eastAsia" w:ascii="宋体" w:hAnsi="宋体"/>
          <w:b/>
          <w:bCs/>
          <w:szCs w:val="21"/>
        </w:rPr>
        <w:t>．合格的投标人</w:t>
      </w:r>
      <w:bookmarkEnd w:id="15"/>
    </w:p>
    <w:p>
      <w:pPr>
        <w:spacing w:line="440" w:lineRule="exact"/>
        <w:ind w:firstLine="420" w:firstLineChars="200"/>
        <w:rPr>
          <w:rFonts w:ascii="宋体" w:hAnsi="宋体"/>
          <w:szCs w:val="21"/>
        </w:rPr>
      </w:pPr>
      <w:r>
        <w:rPr>
          <w:rFonts w:hint="eastAsia" w:ascii="宋体" w:hAnsi="宋体"/>
          <w:szCs w:val="21"/>
        </w:rPr>
        <w:t>3.1  在中华人民共和国境内进行登记注册，并有能力按本次采购文件的要求保证按时、按质、按量提供招标服务的供应商。</w:t>
      </w:r>
    </w:p>
    <w:p>
      <w:pPr>
        <w:spacing w:line="440" w:lineRule="exact"/>
        <w:ind w:firstLine="420" w:firstLineChars="200"/>
        <w:rPr>
          <w:rFonts w:ascii="宋体" w:hAnsi="宋体"/>
          <w:szCs w:val="21"/>
        </w:rPr>
      </w:pPr>
      <w:r>
        <w:rPr>
          <w:rFonts w:hint="eastAsia" w:ascii="宋体" w:hAnsi="宋体"/>
          <w:szCs w:val="21"/>
        </w:rPr>
        <w:t>3.2  合格的投标人应具有本采购项目（以下称本采购项目）的相应资质和条件，即“招标公告”中所要求的资质和条件。</w:t>
      </w:r>
    </w:p>
    <w:p>
      <w:pPr>
        <w:spacing w:line="440" w:lineRule="exact"/>
        <w:ind w:firstLine="420" w:firstLineChars="200"/>
        <w:rPr>
          <w:rFonts w:ascii="宋体" w:hAnsi="宋体"/>
          <w:szCs w:val="21"/>
        </w:rPr>
      </w:pPr>
      <w:r>
        <w:rPr>
          <w:rFonts w:hint="eastAsia" w:ascii="宋体" w:hAnsi="宋体"/>
          <w:szCs w:val="21"/>
        </w:rPr>
        <w:t>3.3  投标方应遵守有关的法律和政府采购条例。</w:t>
      </w:r>
    </w:p>
    <w:p>
      <w:pPr>
        <w:spacing w:line="440" w:lineRule="exact"/>
        <w:ind w:firstLine="422" w:firstLineChars="200"/>
        <w:outlineLvl w:val="3"/>
        <w:rPr>
          <w:rFonts w:ascii="宋体" w:hAnsi="宋体"/>
          <w:b/>
          <w:bCs/>
          <w:szCs w:val="21"/>
        </w:rPr>
      </w:pPr>
      <w:bookmarkStart w:id="16" w:name="_Toc24696"/>
      <w:r>
        <w:rPr>
          <w:rFonts w:hint="eastAsia" w:ascii="宋体" w:hAnsi="宋体"/>
          <w:b/>
          <w:bCs/>
          <w:szCs w:val="21"/>
        </w:rPr>
        <w:t>4．投标费用</w:t>
      </w:r>
      <w:bookmarkEnd w:id="16"/>
    </w:p>
    <w:p>
      <w:pPr>
        <w:spacing w:line="440" w:lineRule="exact"/>
        <w:ind w:firstLine="420" w:firstLineChars="200"/>
        <w:rPr>
          <w:rFonts w:ascii="宋体" w:hAnsi="宋体"/>
          <w:szCs w:val="21"/>
        </w:rPr>
      </w:pPr>
      <w:r>
        <w:rPr>
          <w:rFonts w:hint="eastAsia" w:ascii="宋体" w:hAnsi="宋体"/>
          <w:szCs w:val="21"/>
        </w:rPr>
        <w:t>4.1  投标人应承担所有与编写和提交投标书有关的费用，不论投标的结果如何，采购人在任何情况下均无义务和责任承担这些费用。</w:t>
      </w:r>
    </w:p>
    <w:p>
      <w:pPr>
        <w:spacing w:line="440" w:lineRule="exact"/>
        <w:jc w:val="center"/>
        <w:outlineLvl w:val="2"/>
        <w:rPr>
          <w:rFonts w:ascii="宋体" w:hAnsi="宋体"/>
          <w:b/>
          <w:bCs/>
          <w:color w:val="000000"/>
          <w:szCs w:val="21"/>
        </w:rPr>
      </w:pPr>
      <w:bookmarkStart w:id="17" w:name="_Toc8281"/>
      <w:r>
        <w:rPr>
          <w:rFonts w:hint="eastAsia" w:ascii="宋体" w:hAnsi="宋体"/>
          <w:b/>
          <w:bCs/>
          <w:color w:val="000000"/>
          <w:szCs w:val="21"/>
        </w:rPr>
        <w:t>二、招标文件</w:t>
      </w:r>
      <w:bookmarkEnd w:id="17"/>
    </w:p>
    <w:p>
      <w:pPr>
        <w:spacing w:line="440" w:lineRule="exact"/>
        <w:ind w:firstLine="422" w:firstLineChars="200"/>
        <w:outlineLvl w:val="3"/>
        <w:rPr>
          <w:rFonts w:ascii="宋体" w:hAnsi="宋体"/>
          <w:b/>
          <w:bCs/>
          <w:color w:val="000000"/>
          <w:szCs w:val="21"/>
        </w:rPr>
      </w:pPr>
      <w:bookmarkStart w:id="18" w:name="_Toc1416"/>
      <w:r>
        <w:rPr>
          <w:rFonts w:hint="eastAsia" w:ascii="宋体" w:hAnsi="宋体"/>
          <w:b/>
          <w:bCs/>
          <w:color w:val="000000"/>
          <w:szCs w:val="21"/>
        </w:rPr>
        <w:t>5．招标文件构成</w:t>
      </w:r>
      <w:bookmarkEnd w:id="18"/>
    </w:p>
    <w:p>
      <w:pPr>
        <w:spacing w:line="440" w:lineRule="exact"/>
        <w:rPr>
          <w:rFonts w:ascii="宋体" w:hAnsi="宋体"/>
          <w:color w:val="000000"/>
          <w:szCs w:val="21"/>
        </w:rPr>
      </w:pPr>
      <w:r>
        <w:rPr>
          <w:rFonts w:hint="eastAsia" w:ascii="宋体" w:hAnsi="宋体"/>
          <w:color w:val="000000"/>
          <w:szCs w:val="21"/>
        </w:rPr>
        <w:t xml:space="preserve">    5</w:t>
      </w:r>
      <w:r>
        <w:rPr>
          <w:rFonts w:ascii="宋体" w:hAnsi="宋体"/>
          <w:color w:val="000000"/>
          <w:szCs w:val="21"/>
        </w:rPr>
        <w:t>.</w:t>
      </w:r>
      <w:r>
        <w:rPr>
          <w:rFonts w:hint="eastAsia" w:ascii="宋体" w:hAnsi="宋体"/>
          <w:color w:val="000000"/>
          <w:szCs w:val="21"/>
        </w:rPr>
        <w:t>1  对采购项目的要求、招标过程和合同条款等在招标文件中均有说明。招标文件包括：</w:t>
      </w:r>
    </w:p>
    <w:p>
      <w:pPr>
        <w:spacing w:line="440" w:lineRule="exact"/>
        <w:rPr>
          <w:rFonts w:ascii="宋体" w:hAnsi="宋体"/>
          <w:color w:val="000000"/>
          <w:szCs w:val="21"/>
        </w:rPr>
      </w:pPr>
      <w:r>
        <w:rPr>
          <w:rFonts w:hint="eastAsia" w:ascii="宋体" w:hAnsi="宋体"/>
          <w:color w:val="000000"/>
          <w:szCs w:val="21"/>
        </w:rPr>
        <w:t xml:space="preserve">    （1）招标公告；                          </w:t>
      </w:r>
      <w:r>
        <w:rPr>
          <w:rFonts w:ascii="宋体" w:hAnsi="宋体"/>
          <w:color w:val="000000"/>
          <w:szCs w:val="21"/>
        </w:rPr>
        <w:t xml:space="preserve">  </w:t>
      </w:r>
      <w:r>
        <w:rPr>
          <w:rFonts w:hint="eastAsia" w:ascii="宋体" w:hAnsi="宋体"/>
          <w:color w:val="000000"/>
          <w:szCs w:val="21"/>
        </w:rPr>
        <w:t xml:space="preserve">  （2）投标人须知及前附表；</w:t>
      </w:r>
    </w:p>
    <w:p>
      <w:pPr>
        <w:spacing w:line="440" w:lineRule="exact"/>
        <w:ind w:firstLine="405"/>
        <w:rPr>
          <w:rFonts w:ascii="宋体" w:hAnsi="宋体"/>
          <w:color w:val="000000"/>
          <w:szCs w:val="21"/>
        </w:rPr>
      </w:pPr>
      <w:r>
        <w:rPr>
          <w:rFonts w:hint="eastAsia" w:ascii="宋体" w:hAnsi="宋体"/>
          <w:color w:val="000000"/>
          <w:szCs w:val="21"/>
        </w:rPr>
        <w:t>（3）合同条款格式；                          （4）需求及技术规格；</w:t>
      </w:r>
    </w:p>
    <w:p>
      <w:pPr>
        <w:spacing w:line="440" w:lineRule="exact"/>
        <w:ind w:firstLine="405"/>
        <w:rPr>
          <w:rFonts w:ascii="宋体" w:hAnsi="宋体"/>
          <w:color w:val="000000"/>
          <w:szCs w:val="21"/>
        </w:rPr>
      </w:pPr>
      <w:r>
        <w:rPr>
          <w:rFonts w:hint="eastAsia" w:ascii="宋体" w:hAnsi="宋体"/>
          <w:color w:val="000000"/>
          <w:szCs w:val="21"/>
        </w:rPr>
        <w:t>（5）投标文件格式；                          （6）其他。</w:t>
      </w:r>
    </w:p>
    <w:p>
      <w:pPr>
        <w:spacing w:line="440" w:lineRule="exact"/>
        <w:rPr>
          <w:rFonts w:ascii="宋体" w:hAnsi="宋体"/>
          <w:color w:val="000000"/>
          <w:szCs w:val="21"/>
        </w:rPr>
      </w:pPr>
      <w:r>
        <w:rPr>
          <w:rFonts w:hint="eastAsia" w:ascii="宋体" w:hAnsi="宋体"/>
          <w:color w:val="000000"/>
          <w:szCs w:val="21"/>
        </w:rPr>
        <w:t xml:space="preserve">    5.2  投标人应认真阅读招标文件中所有的事项、格式、条款和规范要求。如果投标人没有按照招标文件要求提交全部资料或者投标书没有对招标文件在各方面都作出实质性响应，是投标人的风险。没有实质上响应招标文件要求的投标将被认定为无效投标。</w:t>
      </w:r>
    </w:p>
    <w:p>
      <w:pPr>
        <w:spacing w:line="440" w:lineRule="exact"/>
        <w:ind w:firstLine="422" w:firstLineChars="200"/>
        <w:outlineLvl w:val="3"/>
        <w:rPr>
          <w:rFonts w:ascii="宋体" w:hAnsi="宋体"/>
          <w:b/>
          <w:bCs/>
          <w:color w:val="000000"/>
          <w:szCs w:val="21"/>
        </w:rPr>
      </w:pPr>
      <w:bookmarkStart w:id="19" w:name="_Toc24184"/>
      <w:r>
        <w:rPr>
          <w:rFonts w:hint="eastAsia" w:ascii="宋体" w:hAnsi="宋体"/>
          <w:b/>
          <w:color w:val="000000"/>
          <w:szCs w:val="21"/>
        </w:rPr>
        <w:t>6</w:t>
      </w:r>
      <w:r>
        <w:rPr>
          <w:rFonts w:hint="eastAsia" w:ascii="宋体" w:hAnsi="宋体"/>
          <w:b/>
          <w:bCs/>
          <w:color w:val="000000"/>
          <w:szCs w:val="21"/>
        </w:rPr>
        <w:t>．招标文件的澄清</w:t>
      </w:r>
      <w:bookmarkEnd w:id="19"/>
    </w:p>
    <w:p>
      <w:pPr>
        <w:spacing w:line="440" w:lineRule="exact"/>
        <w:ind w:firstLine="420" w:firstLineChars="200"/>
        <w:rPr>
          <w:rFonts w:ascii="宋体" w:hAnsi="宋体"/>
          <w:color w:val="000000"/>
          <w:szCs w:val="21"/>
        </w:rPr>
      </w:pPr>
      <w:r>
        <w:rPr>
          <w:rFonts w:hint="eastAsia" w:ascii="宋体" w:hAnsi="宋体"/>
          <w:color w:val="000000"/>
          <w:szCs w:val="21"/>
        </w:rPr>
        <w:t xml:space="preserve">6.1  任何要求对招标文件进行澄清的投标人，均应按本招标文件第一章“澄清及答疑事项”规定的时间内，以书面形式通知采购人。不论是采购人根据需要主动对招标文件进行必要的澄清或是根据投标人的要求对招标文件做出澄清，采购人将在“投标人须知前附表”所列信息发布网站以公开发布方式将答复内容发送给所有投标人。澄清纪要作为招标文件的组成部分，对投标人起约束作用。项目开标前，投标人有义务上网查看，公告一经上网发布，即视为送达。 </w:t>
      </w:r>
    </w:p>
    <w:p>
      <w:pPr>
        <w:spacing w:line="440" w:lineRule="exact"/>
        <w:ind w:firstLine="420" w:firstLineChars="200"/>
        <w:rPr>
          <w:rFonts w:ascii="宋体" w:hAnsi="宋体"/>
          <w:color w:val="000000"/>
          <w:szCs w:val="21"/>
        </w:rPr>
      </w:pPr>
      <w:r>
        <w:rPr>
          <w:rFonts w:hint="eastAsia" w:ascii="宋体" w:hAnsi="宋体"/>
          <w:color w:val="000000"/>
          <w:szCs w:val="21"/>
        </w:rPr>
        <w:t>6.2  投标供应商若认为招标文件的技术要求有倾向性或不公正性，可在招标答疑阶段提出，以维护招标行为的公平、公正。</w:t>
      </w:r>
    </w:p>
    <w:p>
      <w:pPr>
        <w:spacing w:line="440" w:lineRule="exact"/>
        <w:ind w:firstLine="420" w:firstLineChars="200"/>
        <w:rPr>
          <w:rFonts w:ascii="宋体" w:hAnsi="宋体"/>
          <w:color w:val="000000"/>
          <w:szCs w:val="21"/>
        </w:rPr>
      </w:pPr>
      <w:r>
        <w:rPr>
          <w:rFonts w:hint="eastAsia" w:ascii="宋体" w:hAnsi="宋体"/>
          <w:color w:val="000000"/>
          <w:szCs w:val="21"/>
        </w:rPr>
        <w:t>6.3  对于在答疑期内（见第一章规定）没有提出澄清又参与了该项目投标的供应商将被视为完全认同该招标文件，招标文件规定的答疑期后不再受理针对招标文件的相关质疑。</w:t>
      </w:r>
    </w:p>
    <w:p>
      <w:pPr>
        <w:spacing w:line="440" w:lineRule="exact"/>
        <w:ind w:firstLine="420" w:firstLineChars="200"/>
        <w:rPr>
          <w:rFonts w:ascii="宋体" w:hAnsi="宋体"/>
          <w:color w:val="000000"/>
          <w:szCs w:val="21"/>
        </w:rPr>
      </w:pPr>
      <w:r>
        <w:rPr>
          <w:rFonts w:hint="eastAsia" w:ascii="宋体" w:hAnsi="宋体"/>
          <w:color w:val="000000"/>
          <w:szCs w:val="21"/>
        </w:rPr>
        <w:t>6.4  对招标文件中描述有歧意或前后不一致的</w:t>
      </w:r>
      <w:r>
        <w:rPr>
          <w:rFonts w:hint="eastAsia"/>
          <w:color w:val="000000"/>
          <w:szCs w:val="21"/>
        </w:rPr>
        <w:t>地方，评标委员会有权进行评判，但对同一条款的评判应适用于每个投标人。</w:t>
      </w:r>
    </w:p>
    <w:p>
      <w:pPr>
        <w:spacing w:line="440" w:lineRule="exact"/>
        <w:ind w:firstLine="417" w:firstLineChars="198"/>
        <w:outlineLvl w:val="3"/>
        <w:rPr>
          <w:rFonts w:ascii="宋体" w:hAnsi="宋体"/>
          <w:b/>
          <w:bCs/>
          <w:color w:val="000000"/>
          <w:szCs w:val="21"/>
        </w:rPr>
      </w:pPr>
      <w:bookmarkStart w:id="20" w:name="_Toc5473"/>
      <w:r>
        <w:rPr>
          <w:rFonts w:hint="eastAsia" w:ascii="宋体" w:hAnsi="宋体"/>
          <w:b/>
          <w:bCs/>
          <w:color w:val="000000"/>
          <w:szCs w:val="21"/>
        </w:rPr>
        <w:t>7．招标文件的修改</w:t>
      </w:r>
      <w:bookmarkEnd w:id="20"/>
    </w:p>
    <w:p>
      <w:pPr>
        <w:spacing w:line="440" w:lineRule="exact"/>
        <w:ind w:firstLine="420" w:firstLineChars="200"/>
        <w:rPr>
          <w:rFonts w:ascii="宋体" w:hAnsi="宋体"/>
          <w:color w:val="000000"/>
          <w:szCs w:val="21"/>
        </w:rPr>
      </w:pPr>
      <w:r>
        <w:rPr>
          <w:rFonts w:hint="eastAsia" w:ascii="宋体" w:hAnsi="宋体"/>
          <w:color w:val="000000"/>
          <w:szCs w:val="21"/>
        </w:rPr>
        <w:t>7.1  招标文件发出后，投标人对招标文件任何部分若有任何疑问，或要求澄清招标文件的，均应在招标文件规定的招标文件答疑截止时间内，以书面方式向采购人提交。在投标截止日期前，确需要变更招标文件内容的，采购人可主动地或在解答投标人提出的澄清（答疑）问题时对招标文件进行修改；</w:t>
      </w:r>
    </w:p>
    <w:p>
      <w:pPr>
        <w:spacing w:line="440" w:lineRule="exact"/>
        <w:ind w:firstLine="420" w:firstLineChars="200"/>
        <w:rPr>
          <w:rFonts w:ascii="宋体" w:hAnsi="宋体"/>
          <w:color w:val="000000"/>
          <w:szCs w:val="21"/>
        </w:rPr>
      </w:pPr>
      <w:r>
        <w:rPr>
          <w:rFonts w:hint="eastAsia" w:ascii="宋体" w:hAnsi="宋体"/>
          <w:color w:val="000000"/>
          <w:szCs w:val="21"/>
        </w:rPr>
        <w:t>7.2  招标文件的修改将在“投标人须知前附表”所列信息发布网站以公开发布方式发送给所有投标人，招标文件的修改内容作为招标文件的组成部分，并具有约束力。 在项目开标前，投标人有义务上网查看，公告一经上网发布，即视为送达各投标人。</w:t>
      </w:r>
    </w:p>
    <w:p>
      <w:pPr>
        <w:spacing w:line="440" w:lineRule="exact"/>
        <w:ind w:firstLine="420" w:firstLineChars="200"/>
        <w:rPr>
          <w:rFonts w:ascii="宋体" w:hAnsi="宋体"/>
          <w:color w:val="000000"/>
          <w:szCs w:val="21"/>
        </w:rPr>
      </w:pPr>
      <w:r>
        <w:rPr>
          <w:rFonts w:hint="eastAsia" w:ascii="宋体" w:hAnsi="宋体"/>
          <w:color w:val="000000"/>
          <w:szCs w:val="21"/>
        </w:rPr>
        <w:t>7.3  招标文件澄清（答疑）内容、招标文件修改补充通知内容均以网站公开发布方式明确的内容为准。当招标文件、修改补充通知、澄清（答疑）内容相互矛盾时，以最后发出的通知或修改文件为准；</w:t>
      </w:r>
    </w:p>
    <w:p>
      <w:pPr>
        <w:spacing w:line="440" w:lineRule="exact"/>
        <w:ind w:firstLine="420" w:firstLineChars="200"/>
        <w:rPr>
          <w:rFonts w:ascii="宋体" w:hAnsi="宋体"/>
          <w:color w:val="000000"/>
          <w:szCs w:val="21"/>
        </w:rPr>
      </w:pPr>
      <w:r>
        <w:rPr>
          <w:rFonts w:hint="eastAsia" w:ascii="宋体" w:hAnsi="宋体"/>
          <w:color w:val="000000"/>
          <w:szCs w:val="21"/>
        </w:rPr>
        <w:t>7.4  采购人保证招标文件澄清（答疑）内容和招标文件修改补充通知在投标截止时间前以网站公开发布形式发送给所有投标人。为使投标人在编写投标文件时有充分时间对招标文件的修改部分进行研究，采购人可以根据具体情况考虑酌情延长递交投标文件的截止日期，如确需延长的，具体时间将在修改补充通知中明确。</w:t>
      </w:r>
    </w:p>
    <w:p>
      <w:pPr>
        <w:spacing w:line="440" w:lineRule="exact"/>
        <w:jc w:val="center"/>
        <w:outlineLvl w:val="2"/>
        <w:rPr>
          <w:rFonts w:ascii="宋体" w:hAnsi="宋体"/>
          <w:b/>
          <w:bCs/>
          <w:color w:val="000000"/>
          <w:szCs w:val="21"/>
        </w:rPr>
      </w:pPr>
      <w:bookmarkStart w:id="21" w:name="_Toc23020"/>
      <w:r>
        <w:rPr>
          <w:rFonts w:hint="eastAsia" w:ascii="宋体" w:hAnsi="宋体"/>
          <w:b/>
          <w:bCs/>
          <w:color w:val="000000"/>
          <w:szCs w:val="21"/>
        </w:rPr>
        <w:t>三、投标书的编制</w:t>
      </w:r>
      <w:bookmarkEnd w:id="21"/>
    </w:p>
    <w:p>
      <w:pPr>
        <w:spacing w:line="440" w:lineRule="exact"/>
        <w:ind w:firstLine="422" w:firstLineChars="200"/>
        <w:outlineLvl w:val="3"/>
        <w:rPr>
          <w:rFonts w:ascii="宋体" w:hAnsi="宋体"/>
          <w:b/>
          <w:bCs/>
          <w:color w:val="000000"/>
          <w:szCs w:val="21"/>
        </w:rPr>
      </w:pPr>
      <w:bookmarkStart w:id="22" w:name="_Toc1323"/>
      <w:r>
        <w:rPr>
          <w:rFonts w:hint="eastAsia" w:ascii="宋体" w:hAnsi="宋体"/>
          <w:b/>
          <w:bCs/>
          <w:color w:val="000000"/>
          <w:szCs w:val="21"/>
        </w:rPr>
        <w:t>8．投标的语言及计量单位</w:t>
      </w:r>
      <w:bookmarkEnd w:id="22"/>
    </w:p>
    <w:p>
      <w:pPr>
        <w:spacing w:line="440" w:lineRule="exact"/>
        <w:ind w:firstLine="420" w:firstLineChars="200"/>
        <w:rPr>
          <w:rFonts w:ascii="宋体" w:hAnsi="宋体"/>
          <w:color w:val="000000"/>
          <w:szCs w:val="21"/>
        </w:rPr>
      </w:pPr>
      <w:r>
        <w:rPr>
          <w:rFonts w:hint="eastAsia" w:ascii="宋体" w:hAnsi="宋体"/>
          <w:color w:val="000000"/>
          <w:szCs w:val="21"/>
        </w:rPr>
        <w:t>8.1  投标人提交的投标书以及投标人与采购人就有关投标的所有来往书面文件均应使用中文。投标人随投标文件提供的证明文件和资料可以为其它语言，但必须附中文译文并加盖投标单位公章。在此，为了解释投标文件，应以中文为准；</w:t>
      </w:r>
    </w:p>
    <w:p>
      <w:pPr>
        <w:spacing w:line="440" w:lineRule="exact"/>
        <w:ind w:firstLine="420" w:firstLineChars="200"/>
        <w:rPr>
          <w:rFonts w:ascii="宋体" w:hAnsi="宋体"/>
          <w:color w:val="000000"/>
          <w:szCs w:val="21"/>
        </w:rPr>
      </w:pPr>
      <w:r>
        <w:rPr>
          <w:rFonts w:hint="eastAsia" w:ascii="宋体" w:hAnsi="宋体"/>
          <w:color w:val="000000"/>
          <w:szCs w:val="21"/>
        </w:rPr>
        <w:t>8.2  除在招标文件的技术规格中另有规定外，计量单位应使用中华人民共和国法定计量单位。</w:t>
      </w:r>
    </w:p>
    <w:p>
      <w:pPr>
        <w:spacing w:line="440" w:lineRule="exact"/>
        <w:ind w:firstLine="422" w:firstLineChars="200"/>
        <w:outlineLvl w:val="3"/>
        <w:rPr>
          <w:rFonts w:ascii="宋体" w:hAnsi="宋体"/>
          <w:b/>
          <w:bCs/>
          <w:color w:val="000000"/>
          <w:szCs w:val="21"/>
        </w:rPr>
      </w:pPr>
      <w:bookmarkStart w:id="23" w:name="_Toc15038"/>
      <w:r>
        <w:rPr>
          <w:rFonts w:hint="eastAsia" w:ascii="宋体" w:hAnsi="宋体"/>
          <w:b/>
          <w:color w:val="000000"/>
          <w:szCs w:val="21"/>
        </w:rPr>
        <w:t>9</w:t>
      </w:r>
      <w:r>
        <w:rPr>
          <w:rFonts w:hint="eastAsia" w:ascii="宋体" w:hAnsi="宋体"/>
          <w:b/>
          <w:bCs/>
          <w:color w:val="000000"/>
          <w:szCs w:val="21"/>
        </w:rPr>
        <w:t>. 投标书的构成与编排</w:t>
      </w:r>
      <w:bookmarkEnd w:id="23"/>
    </w:p>
    <w:p>
      <w:pPr>
        <w:spacing w:line="440" w:lineRule="exact"/>
        <w:ind w:firstLine="420" w:firstLineChars="200"/>
        <w:rPr>
          <w:rFonts w:ascii="宋体" w:hAnsi="宋体"/>
          <w:color w:val="000000"/>
          <w:szCs w:val="21"/>
        </w:rPr>
      </w:pPr>
      <w:r>
        <w:rPr>
          <w:rFonts w:hint="eastAsia" w:ascii="宋体" w:hAnsi="宋体"/>
          <w:color w:val="000000"/>
          <w:szCs w:val="21"/>
        </w:rPr>
        <w:t>9.1  投标人编写的投标书应包括下列部分：</w:t>
      </w:r>
    </w:p>
    <w:p>
      <w:pPr>
        <w:spacing w:line="440" w:lineRule="exact"/>
        <w:ind w:left="1" w:firstLine="420" w:firstLineChars="200"/>
        <w:rPr>
          <w:rFonts w:ascii="宋体" w:hAnsi="宋体"/>
          <w:color w:val="000000"/>
          <w:szCs w:val="21"/>
        </w:rPr>
      </w:pPr>
      <w:r>
        <w:rPr>
          <w:rFonts w:hint="eastAsia" w:ascii="宋体" w:hAnsi="宋体"/>
          <w:color w:val="000000"/>
          <w:szCs w:val="21"/>
        </w:rPr>
        <w:t>（1）按照投标人须知第9、10和11条要求填写的投标函格式、开标一览表和投标报价明细表；</w:t>
      </w:r>
    </w:p>
    <w:p>
      <w:pPr>
        <w:spacing w:line="440" w:lineRule="exact"/>
        <w:ind w:firstLine="420" w:firstLineChars="200"/>
        <w:rPr>
          <w:rFonts w:ascii="宋体" w:hAnsi="宋体"/>
          <w:color w:val="000000"/>
          <w:szCs w:val="21"/>
        </w:rPr>
      </w:pPr>
      <w:r>
        <w:rPr>
          <w:rFonts w:hint="eastAsia" w:ascii="宋体" w:hAnsi="宋体"/>
          <w:color w:val="000000"/>
          <w:szCs w:val="21"/>
        </w:rPr>
        <w:t>（2）按照投标人须知第13条要求出具的资格证明文件，法定代表人签字或盖章的法定代表人授权委托书原件，证明投标人是合格的，而且中标后有能力履行合同；</w:t>
      </w:r>
    </w:p>
    <w:p>
      <w:pPr>
        <w:spacing w:line="440" w:lineRule="exact"/>
        <w:ind w:firstLine="420" w:firstLineChars="200"/>
        <w:rPr>
          <w:rFonts w:ascii="宋体" w:hAnsi="宋体"/>
          <w:color w:val="000000"/>
          <w:szCs w:val="21"/>
        </w:rPr>
      </w:pPr>
      <w:r>
        <w:rPr>
          <w:rFonts w:hint="eastAsia" w:ascii="宋体" w:hAnsi="宋体"/>
          <w:color w:val="000000"/>
          <w:szCs w:val="21"/>
        </w:rPr>
        <w:t>（3）按照投标人须知第14条要求出具的证明文件，证明投标人提供的采购项目及提供的伴随服务符合招标文件的规定；</w:t>
      </w:r>
    </w:p>
    <w:p>
      <w:pPr>
        <w:spacing w:line="440" w:lineRule="exact"/>
        <w:ind w:left="1" w:firstLine="420" w:firstLineChars="200"/>
        <w:rPr>
          <w:rFonts w:ascii="宋体" w:hAnsi="宋体"/>
          <w:color w:val="000000"/>
          <w:szCs w:val="21"/>
        </w:rPr>
      </w:pPr>
      <w:r>
        <w:rPr>
          <w:rFonts w:hint="eastAsia" w:ascii="宋体" w:hAnsi="宋体"/>
          <w:color w:val="000000"/>
          <w:szCs w:val="21"/>
        </w:rPr>
        <w:t>（4）投标人可对本招标文件中采购项目所列的所有采购项目进行投标，也可只对其中一个或几个分包进行投标（如有的话），但不得将一个包中的内容拆开投标，否则将导致其投标被拒绝。</w:t>
      </w:r>
    </w:p>
    <w:p>
      <w:pPr>
        <w:spacing w:line="440" w:lineRule="exact"/>
        <w:ind w:firstLine="420" w:firstLineChars="200"/>
        <w:rPr>
          <w:rFonts w:ascii="宋体" w:hAnsi="宋体"/>
          <w:color w:val="000000"/>
          <w:szCs w:val="21"/>
        </w:rPr>
      </w:pPr>
      <w:r>
        <w:rPr>
          <w:rFonts w:hint="eastAsia" w:ascii="宋体" w:hAnsi="宋体"/>
          <w:color w:val="000000"/>
          <w:szCs w:val="21"/>
        </w:rPr>
        <w:t>9.2  投标人编写的投标书主要包括以下内容和按下列顺序编排：</w:t>
      </w:r>
    </w:p>
    <w:p>
      <w:pPr>
        <w:spacing w:line="440" w:lineRule="exact"/>
        <w:ind w:firstLine="420" w:firstLineChars="200"/>
        <w:rPr>
          <w:rFonts w:ascii="宋体" w:hAnsi="宋体"/>
        </w:rPr>
      </w:pPr>
      <w:r>
        <w:rPr>
          <w:rFonts w:hint="eastAsia" w:ascii="宋体" w:hAnsi="宋体"/>
        </w:rPr>
        <w:t>（1）</w:t>
      </w:r>
      <w:bookmarkStart w:id="24" w:name="_Toc353262378"/>
      <w:r>
        <w:rPr>
          <w:rFonts w:hint="eastAsia" w:ascii="宋体" w:hAnsi="宋体"/>
        </w:rPr>
        <w:t>“第五章  投标文件格式”</w:t>
      </w:r>
      <w:bookmarkEnd w:id="24"/>
      <w:r>
        <w:rPr>
          <w:rFonts w:hint="eastAsia" w:ascii="宋体" w:hAnsi="宋体"/>
        </w:rPr>
        <w:t>所列格式文件；</w:t>
      </w:r>
    </w:p>
    <w:p>
      <w:pPr>
        <w:spacing w:line="440" w:lineRule="exact"/>
        <w:ind w:firstLine="420" w:firstLineChars="200"/>
        <w:rPr>
          <w:rFonts w:ascii="宋体" w:hAnsi="宋体"/>
        </w:rPr>
      </w:pPr>
      <w:r>
        <w:rPr>
          <w:rFonts w:hint="eastAsia" w:ascii="宋体" w:hAnsi="宋体"/>
        </w:rPr>
        <w:t xml:space="preserve">（2）招标文件中评标标准所要求的内容（自行编排）； </w:t>
      </w:r>
    </w:p>
    <w:p>
      <w:pPr>
        <w:spacing w:line="440" w:lineRule="exact"/>
        <w:ind w:firstLine="420" w:firstLineChars="200"/>
        <w:rPr>
          <w:rFonts w:ascii="宋体" w:hAnsi="宋体"/>
        </w:rPr>
      </w:pPr>
      <w:r>
        <w:rPr>
          <w:rFonts w:hint="eastAsia" w:ascii="宋体" w:hAnsi="宋体"/>
        </w:rPr>
        <w:t>（3）投标人认为需要补充的其他内容（自行编排）。</w:t>
      </w:r>
    </w:p>
    <w:p>
      <w:pPr>
        <w:spacing w:line="440" w:lineRule="exact"/>
        <w:ind w:firstLine="420" w:firstLineChars="200"/>
        <w:rPr>
          <w:rFonts w:ascii="宋体" w:hAnsi="宋体"/>
        </w:rPr>
      </w:pPr>
      <w:r>
        <w:rPr>
          <w:rFonts w:hint="eastAsia" w:ascii="宋体" w:hAnsi="宋体"/>
        </w:rPr>
        <w:t>投标人应将上述文件装订成册，并填写“投标文件清单（或目录）”。</w:t>
      </w:r>
    </w:p>
    <w:p>
      <w:pPr>
        <w:spacing w:line="440" w:lineRule="exact"/>
        <w:ind w:firstLine="422" w:firstLineChars="200"/>
        <w:rPr>
          <w:rFonts w:ascii="宋体" w:hAnsi="宋体"/>
        </w:rPr>
      </w:pPr>
      <w:r>
        <w:rPr>
          <w:rFonts w:hint="eastAsia" w:ascii="宋体" w:hAnsi="宋体"/>
          <w:b/>
          <w:color w:val="FF0000"/>
        </w:rPr>
        <w:t>温馨提示：</w:t>
      </w:r>
      <w:r>
        <w:rPr>
          <w:rFonts w:hint="eastAsia" w:ascii="宋体" w:hAnsi="宋体"/>
        </w:rPr>
        <w:t>为提高评审效率，建议投标人编制“评分信息表”，建立页码索引并置于投标文件正文首页，以方便评标委员会的评审。</w:t>
      </w:r>
    </w:p>
    <w:p>
      <w:pPr>
        <w:spacing w:line="440" w:lineRule="exact"/>
        <w:ind w:firstLine="422" w:firstLineChars="200"/>
        <w:outlineLvl w:val="3"/>
        <w:rPr>
          <w:rFonts w:ascii="宋体" w:hAnsi="宋体"/>
          <w:b/>
          <w:bCs/>
          <w:color w:val="000000"/>
          <w:szCs w:val="21"/>
        </w:rPr>
      </w:pPr>
      <w:bookmarkStart w:id="25" w:name="_Toc20034"/>
      <w:r>
        <w:rPr>
          <w:rFonts w:hint="eastAsia" w:ascii="宋体" w:hAnsi="宋体"/>
          <w:b/>
          <w:color w:val="000000"/>
          <w:szCs w:val="21"/>
        </w:rPr>
        <w:t>10</w:t>
      </w:r>
      <w:r>
        <w:rPr>
          <w:rFonts w:hint="eastAsia" w:ascii="宋体" w:hAnsi="宋体"/>
          <w:b/>
          <w:bCs/>
          <w:color w:val="000000"/>
          <w:szCs w:val="21"/>
        </w:rPr>
        <w:t>．投标函</w:t>
      </w:r>
      <w:bookmarkEnd w:id="25"/>
    </w:p>
    <w:p>
      <w:pPr>
        <w:spacing w:line="440" w:lineRule="exact"/>
        <w:rPr>
          <w:rFonts w:ascii="宋体" w:hAnsi="宋体"/>
          <w:color w:val="000000"/>
          <w:szCs w:val="21"/>
        </w:rPr>
      </w:pPr>
      <w:r>
        <w:rPr>
          <w:rFonts w:hint="eastAsia" w:ascii="宋体" w:hAnsi="宋体"/>
          <w:color w:val="000000"/>
          <w:szCs w:val="21"/>
        </w:rPr>
        <w:t xml:space="preserve">    10.1  投标人应完整地填写招标文件中提供的投标函。</w:t>
      </w:r>
    </w:p>
    <w:p>
      <w:pPr>
        <w:spacing w:line="440" w:lineRule="exact"/>
        <w:ind w:firstLine="413" w:firstLineChars="196"/>
        <w:outlineLvl w:val="3"/>
        <w:rPr>
          <w:rFonts w:ascii="宋体" w:hAnsi="宋体"/>
          <w:b/>
          <w:bCs/>
          <w:szCs w:val="21"/>
        </w:rPr>
      </w:pPr>
      <w:bookmarkStart w:id="26" w:name="_Toc10350"/>
      <w:r>
        <w:rPr>
          <w:rFonts w:hint="eastAsia" w:ascii="宋体" w:hAnsi="宋体"/>
          <w:b/>
          <w:szCs w:val="21"/>
        </w:rPr>
        <w:t>11．</w:t>
      </w:r>
      <w:r>
        <w:rPr>
          <w:rFonts w:hint="eastAsia" w:ascii="宋体" w:hAnsi="宋体"/>
          <w:b/>
          <w:bCs/>
          <w:szCs w:val="21"/>
        </w:rPr>
        <w:t>投标报价</w:t>
      </w:r>
      <w:bookmarkEnd w:id="26"/>
    </w:p>
    <w:p>
      <w:pPr>
        <w:spacing w:line="440" w:lineRule="exact"/>
        <w:ind w:firstLine="420" w:firstLineChars="200"/>
        <w:rPr>
          <w:rFonts w:ascii="宋体" w:hAnsi="宋体"/>
          <w:szCs w:val="21"/>
        </w:rPr>
      </w:pPr>
      <w:r>
        <w:rPr>
          <w:rFonts w:hint="eastAsia" w:ascii="宋体" w:hAnsi="宋体"/>
          <w:szCs w:val="21"/>
        </w:rPr>
        <w:t>11.1  投标人应在投标书中的投标报价表标明其拟投标项目的价格。任何有选择的报价将不予接受，每种采购项目都只允许有一个报价。</w:t>
      </w:r>
    </w:p>
    <w:p>
      <w:pPr>
        <w:spacing w:line="440" w:lineRule="exact"/>
        <w:rPr>
          <w:rFonts w:ascii="宋体" w:hAnsi="宋体"/>
          <w:szCs w:val="21"/>
        </w:rPr>
      </w:pPr>
      <w:r>
        <w:rPr>
          <w:rFonts w:hint="eastAsia" w:ascii="宋体" w:hAnsi="宋体"/>
          <w:szCs w:val="21"/>
        </w:rPr>
        <w:t xml:space="preserve">    11.2  投标报价表中的价格应包含：</w:t>
      </w:r>
    </w:p>
    <w:p>
      <w:pPr>
        <w:spacing w:line="440" w:lineRule="exact"/>
        <w:rPr>
          <w:rFonts w:ascii="宋体" w:hAnsi="宋体"/>
          <w:szCs w:val="21"/>
        </w:rPr>
      </w:pPr>
      <w:r>
        <w:rPr>
          <w:rFonts w:hint="eastAsia" w:ascii="宋体" w:hAnsi="宋体"/>
          <w:szCs w:val="21"/>
        </w:rPr>
        <w:t xml:space="preserve">    （1）服务的分项报价；</w:t>
      </w:r>
    </w:p>
    <w:p>
      <w:pPr>
        <w:spacing w:line="440" w:lineRule="exact"/>
        <w:rPr>
          <w:rFonts w:ascii="宋体" w:hAnsi="宋体"/>
          <w:szCs w:val="21"/>
        </w:rPr>
      </w:pPr>
      <w:r>
        <w:rPr>
          <w:rFonts w:hint="eastAsia" w:ascii="宋体" w:hAnsi="宋体"/>
          <w:szCs w:val="21"/>
        </w:rPr>
        <w:t xml:space="preserve">    （2）其它费用：包括投标人的管理费、利润、各种税费等以及合同条款第9条所列全部伴随服务的费用和所有其它费用； </w:t>
      </w:r>
    </w:p>
    <w:p>
      <w:pPr>
        <w:spacing w:line="440" w:lineRule="exact"/>
        <w:rPr>
          <w:rFonts w:ascii="宋体" w:hAnsi="宋体"/>
          <w:szCs w:val="21"/>
        </w:rPr>
      </w:pPr>
      <w:r>
        <w:rPr>
          <w:rFonts w:hint="eastAsia" w:ascii="宋体" w:hAnsi="宋体"/>
          <w:szCs w:val="21"/>
        </w:rPr>
        <w:t xml:space="preserve">    （3）项目的投标总价。</w:t>
      </w:r>
    </w:p>
    <w:p>
      <w:pPr>
        <w:spacing w:line="440" w:lineRule="exact"/>
        <w:ind w:firstLine="525" w:firstLineChars="250"/>
        <w:rPr>
          <w:rFonts w:ascii="宋体" w:hAnsi="宋体"/>
          <w:color w:val="000000"/>
          <w:szCs w:val="21"/>
        </w:rPr>
      </w:pPr>
      <w:r>
        <w:rPr>
          <w:rFonts w:hint="eastAsia" w:ascii="宋体" w:hAnsi="宋体"/>
          <w:szCs w:val="21"/>
        </w:rPr>
        <w:t>11.3  投标人所报的投标价在合同执行过程中是固定不变的，不得以任何理由予以变更。否则投标人以可调整的价格提交的投标书将按投标人须知第27条规定作为非响应性投标而予以拒绝。</w:t>
      </w:r>
    </w:p>
    <w:p>
      <w:pPr>
        <w:spacing w:line="440" w:lineRule="exact"/>
        <w:ind w:firstLine="422" w:firstLineChars="200"/>
        <w:outlineLvl w:val="3"/>
        <w:rPr>
          <w:rFonts w:ascii="宋体" w:hAnsi="宋体"/>
          <w:b/>
          <w:bCs/>
          <w:color w:val="000000"/>
          <w:szCs w:val="21"/>
        </w:rPr>
      </w:pPr>
      <w:bookmarkStart w:id="27" w:name="_Toc1907"/>
      <w:r>
        <w:rPr>
          <w:rFonts w:hint="eastAsia" w:ascii="宋体" w:hAnsi="宋体"/>
          <w:b/>
          <w:bCs/>
          <w:color w:val="000000"/>
          <w:szCs w:val="21"/>
        </w:rPr>
        <w:t>12．投标货币</w:t>
      </w:r>
      <w:bookmarkEnd w:id="27"/>
    </w:p>
    <w:p>
      <w:pPr>
        <w:spacing w:line="440" w:lineRule="exact"/>
        <w:ind w:firstLine="420" w:firstLineChars="200"/>
        <w:rPr>
          <w:rFonts w:ascii="宋体" w:hAnsi="宋体"/>
          <w:color w:val="000000"/>
          <w:szCs w:val="21"/>
        </w:rPr>
      </w:pPr>
      <w:r>
        <w:rPr>
          <w:rFonts w:hint="eastAsia" w:ascii="宋体" w:hAnsi="宋体"/>
          <w:color w:val="000000"/>
          <w:szCs w:val="21"/>
        </w:rPr>
        <w:t>12.1  本采购项目的投标应以人民币计。</w:t>
      </w:r>
    </w:p>
    <w:p>
      <w:pPr>
        <w:spacing w:line="440" w:lineRule="exact"/>
        <w:ind w:firstLine="422" w:firstLineChars="200"/>
        <w:outlineLvl w:val="3"/>
        <w:rPr>
          <w:rFonts w:ascii="宋体" w:hAnsi="宋体"/>
          <w:b/>
          <w:bCs/>
          <w:color w:val="000000"/>
          <w:szCs w:val="21"/>
        </w:rPr>
      </w:pPr>
      <w:bookmarkStart w:id="28" w:name="_Toc24245"/>
      <w:r>
        <w:rPr>
          <w:rFonts w:hint="eastAsia" w:ascii="宋体" w:hAnsi="宋体"/>
          <w:b/>
          <w:bCs/>
          <w:color w:val="000000"/>
          <w:szCs w:val="21"/>
        </w:rPr>
        <w:t>13．证明投标人合格和资格的文件</w:t>
      </w:r>
      <w:bookmarkEnd w:id="28"/>
    </w:p>
    <w:p>
      <w:pPr>
        <w:spacing w:line="440" w:lineRule="exact"/>
        <w:rPr>
          <w:rFonts w:ascii="宋体" w:hAnsi="宋体"/>
          <w:color w:val="000000"/>
          <w:szCs w:val="21"/>
        </w:rPr>
      </w:pPr>
      <w:r>
        <w:rPr>
          <w:rFonts w:hint="eastAsia" w:ascii="宋体" w:hAnsi="宋体"/>
          <w:color w:val="000000"/>
          <w:szCs w:val="21"/>
        </w:rPr>
        <w:t xml:space="preserve">    13.1  按照投标人须知第9条规定，投标人应提交证明其有资格参加投标和中标后有能力履行合同的文件，并作为其投标书的一部分。</w:t>
      </w:r>
    </w:p>
    <w:p>
      <w:pPr>
        <w:spacing w:line="440" w:lineRule="exact"/>
        <w:ind w:firstLine="420" w:firstLineChars="200"/>
        <w:rPr>
          <w:rFonts w:ascii="宋体" w:hAnsi="宋体"/>
          <w:color w:val="000000"/>
          <w:szCs w:val="21"/>
        </w:rPr>
      </w:pPr>
      <w:r>
        <w:rPr>
          <w:rFonts w:hint="eastAsia" w:ascii="宋体" w:hAnsi="宋体"/>
          <w:color w:val="000000"/>
          <w:szCs w:val="21"/>
        </w:rPr>
        <w:t>13.2  投标人提交的合格性证明文件应使采购人满意：</w:t>
      </w:r>
    </w:p>
    <w:p>
      <w:pPr>
        <w:spacing w:line="440" w:lineRule="exact"/>
        <w:ind w:left="1033" w:hanging="1033" w:hangingChars="492"/>
        <w:rPr>
          <w:rFonts w:ascii="宋体" w:hAnsi="宋体"/>
          <w:color w:val="000000"/>
          <w:szCs w:val="21"/>
        </w:rPr>
      </w:pPr>
      <w:r>
        <w:rPr>
          <w:rFonts w:hint="eastAsia" w:ascii="宋体" w:hAnsi="宋体"/>
          <w:color w:val="000000"/>
          <w:szCs w:val="21"/>
        </w:rPr>
        <w:t xml:space="preserve">          投标人必须具有“招标公告”所要求的相应资质和条件。</w:t>
      </w:r>
    </w:p>
    <w:p>
      <w:pPr>
        <w:spacing w:line="440" w:lineRule="exact"/>
        <w:ind w:left="1033" w:hanging="1033" w:hangingChars="492"/>
        <w:rPr>
          <w:rFonts w:ascii="宋体" w:hAnsi="宋体"/>
          <w:color w:val="000000"/>
          <w:szCs w:val="21"/>
        </w:rPr>
      </w:pPr>
      <w:r>
        <w:rPr>
          <w:rFonts w:hint="eastAsia" w:ascii="宋体" w:hAnsi="宋体"/>
          <w:color w:val="000000"/>
          <w:szCs w:val="21"/>
        </w:rPr>
        <w:t xml:space="preserve">    13.3  投标人提交的中标后履行合同的资格证明应使采购人满意：</w:t>
      </w:r>
    </w:p>
    <w:p>
      <w:pPr>
        <w:spacing w:line="440" w:lineRule="exact"/>
        <w:ind w:left="1033" w:hanging="1033" w:hangingChars="492"/>
        <w:rPr>
          <w:rFonts w:ascii="宋体" w:hAnsi="宋体"/>
          <w:color w:val="000000"/>
          <w:szCs w:val="21"/>
        </w:rPr>
      </w:pPr>
      <w:r>
        <w:rPr>
          <w:rFonts w:hint="eastAsia" w:ascii="宋体" w:hAnsi="宋体"/>
          <w:color w:val="000000"/>
          <w:szCs w:val="21"/>
        </w:rPr>
        <w:t xml:space="preserve">          投标人必须具备履行合同所需的财务、技术等能力。</w:t>
      </w:r>
    </w:p>
    <w:p>
      <w:pPr>
        <w:spacing w:line="440" w:lineRule="exact"/>
        <w:rPr>
          <w:rFonts w:ascii="宋体" w:hAnsi="宋体"/>
          <w:color w:val="000000"/>
          <w:szCs w:val="21"/>
        </w:rPr>
      </w:pPr>
      <w:r>
        <w:rPr>
          <w:rFonts w:hint="eastAsia" w:ascii="宋体" w:hAnsi="宋体"/>
          <w:color w:val="000000"/>
          <w:szCs w:val="21"/>
        </w:rPr>
        <w:t xml:space="preserve">    13.4  投标人应填写并提交招标文件上所附的“资格证明文件”。</w:t>
      </w:r>
    </w:p>
    <w:p>
      <w:pPr>
        <w:spacing w:line="440" w:lineRule="exact"/>
        <w:ind w:firstLine="422" w:firstLineChars="200"/>
        <w:outlineLvl w:val="3"/>
        <w:rPr>
          <w:rFonts w:ascii="宋体" w:hAnsi="宋体"/>
          <w:b/>
          <w:bCs/>
          <w:szCs w:val="21"/>
        </w:rPr>
      </w:pPr>
      <w:bookmarkStart w:id="29" w:name="_Toc1326"/>
      <w:r>
        <w:rPr>
          <w:rFonts w:hint="eastAsia" w:ascii="宋体" w:hAnsi="宋体"/>
          <w:b/>
          <w:szCs w:val="21"/>
        </w:rPr>
        <w:t>14</w:t>
      </w:r>
      <w:r>
        <w:rPr>
          <w:rFonts w:hint="eastAsia" w:ascii="宋体" w:hAnsi="宋体"/>
          <w:b/>
          <w:bCs/>
          <w:szCs w:val="21"/>
        </w:rPr>
        <w:t>．证明所具有拟采购项目符合招标文件规定的文件</w:t>
      </w:r>
      <w:bookmarkEnd w:id="29"/>
    </w:p>
    <w:p>
      <w:pPr>
        <w:spacing w:line="440" w:lineRule="exact"/>
        <w:rPr>
          <w:rFonts w:ascii="宋体" w:hAnsi="宋体"/>
          <w:szCs w:val="21"/>
        </w:rPr>
      </w:pPr>
      <w:r>
        <w:rPr>
          <w:rFonts w:hint="eastAsia" w:ascii="宋体" w:hAnsi="宋体"/>
          <w:szCs w:val="21"/>
        </w:rPr>
        <w:t xml:space="preserve">    14.1  按照投标人须知第9条规定，投标人应提交证明其拟采购项目和拟提供的伴随服务符合招标文件规定的文件，证明文件应作为其投标书的一部分。</w:t>
      </w:r>
    </w:p>
    <w:p>
      <w:pPr>
        <w:spacing w:line="440" w:lineRule="exact"/>
        <w:rPr>
          <w:rFonts w:ascii="宋体" w:hAnsi="宋体"/>
          <w:szCs w:val="21"/>
        </w:rPr>
      </w:pPr>
      <w:r>
        <w:rPr>
          <w:rFonts w:hint="eastAsia" w:ascii="宋体" w:hAnsi="宋体"/>
          <w:szCs w:val="21"/>
        </w:rPr>
        <w:t xml:space="preserve">    14.2  证明采购项目及伴随服务与招标文件的要求相一致的文件，应包括文字资料和具体数据，投标人应提供：</w:t>
      </w:r>
    </w:p>
    <w:p>
      <w:pPr>
        <w:spacing w:line="440" w:lineRule="exact"/>
        <w:ind w:left="1"/>
        <w:rPr>
          <w:rFonts w:ascii="宋体" w:hAnsi="宋体"/>
          <w:szCs w:val="21"/>
        </w:rPr>
      </w:pPr>
      <w:r>
        <w:rPr>
          <w:rFonts w:hint="eastAsia" w:ascii="宋体" w:hAnsi="宋体"/>
          <w:szCs w:val="21"/>
        </w:rPr>
        <w:t xml:space="preserve">    （1）投标人使用的标准必须是国际公认或国家、或地方政府颁布的同等或更高的标准，如投标人使用的标准低于上述标准，评标委员会将有权不予接受，投标人必须列表将明显的差异详细说明。</w:t>
      </w:r>
    </w:p>
    <w:p>
      <w:pPr>
        <w:spacing w:line="440" w:lineRule="exact"/>
        <w:rPr>
          <w:rFonts w:ascii="宋体" w:hAnsi="宋体"/>
          <w:szCs w:val="21"/>
        </w:rPr>
      </w:pPr>
      <w:r>
        <w:rPr>
          <w:rFonts w:hint="eastAsia" w:ascii="宋体" w:hAnsi="宋体"/>
          <w:szCs w:val="21"/>
        </w:rPr>
        <w:t xml:space="preserve">    （2）拟投标服务的主要技术要求；</w:t>
      </w:r>
    </w:p>
    <w:p>
      <w:pPr>
        <w:spacing w:line="440" w:lineRule="exact"/>
        <w:rPr>
          <w:rFonts w:ascii="宋体" w:hAnsi="宋体"/>
          <w:szCs w:val="21"/>
        </w:rPr>
      </w:pPr>
      <w:r>
        <w:rPr>
          <w:rFonts w:hint="eastAsia" w:ascii="宋体" w:hAnsi="宋体"/>
          <w:szCs w:val="21"/>
        </w:rPr>
        <w:t xml:space="preserve">    （3）投标人准备用于采购项目的设备情况；</w:t>
      </w:r>
    </w:p>
    <w:p>
      <w:pPr>
        <w:spacing w:line="440" w:lineRule="exact"/>
        <w:rPr>
          <w:rFonts w:ascii="宋体" w:hAnsi="宋体"/>
          <w:szCs w:val="21"/>
        </w:rPr>
      </w:pPr>
      <w:r>
        <w:rPr>
          <w:rFonts w:hint="eastAsia" w:ascii="宋体" w:hAnsi="宋体"/>
          <w:szCs w:val="21"/>
        </w:rPr>
        <w:t xml:space="preserve">    （4）详细列举自己所提供伴随服务的内容，并说明是否已对招标的要求做出了实质性响应。</w:t>
      </w:r>
    </w:p>
    <w:p>
      <w:pPr>
        <w:spacing w:line="440" w:lineRule="exact"/>
        <w:ind w:firstLine="422" w:firstLineChars="200"/>
        <w:outlineLvl w:val="3"/>
        <w:rPr>
          <w:rFonts w:ascii="宋体" w:hAnsi="宋体"/>
          <w:b/>
          <w:bCs/>
          <w:color w:val="000000"/>
          <w:szCs w:val="21"/>
        </w:rPr>
      </w:pPr>
      <w:bookmarkStart w:id="30" w:name="_Toc12665"/>
      <w:r>
        <w:rPr>
          <w:rFonts w:hint="eastAsia" w:ascii="宋体" w:hAnsi="宋体"/>
          <w:b/>
          <w:bCs/>
          <w:color w:val="000000"/>
          <w:szCs w:val="21"/>
        </w:rPr>
        <w:t>15．投标保证金</w:t>
      </w:r>
      <w:bookmarkEnd w:id="30"/>
      <w:r>
        <w:rPr>
          <w:rFonts w:hint="eastAsia" w:ascii="宋体" w:hAnsi="宋体"/>
          <w:b/>
          <w:bCs/>
          <w:color w:val="000000"/>
          <w:szCs w:val="21"/>
        </w:rPr>
        <w:t>(本项目不适用)</w:t>
      </w:r>
    </w:p>
    <w:p>
      <w:pPr>
        <w:spacing w:line="440" w:lineRule="exact"/>
        <w:rPr>
          <w:rFonts w:ascii="宋体" w:hAnsi="宋体"/>
          <w:color w:val="000000"/>
          <w:szCs w:val="21"/>
        </w:rPr>
      </w:pPr>
      <w:r>
        <w:rPr>
          <w:rFonts w:hint="eastAsia" w:ascii="宋体" w:hAnsi="宋体"/>
          <w:color w:val="000000"/>
          <w:szCs w:val="21"/>
        </w:rPr>
        <w:t xml:space="preserve">    15.1  投标人应按“投标人须知前附表”的规定缴纳投标保证金</w:t>
      </w:r>
      <w:r>
        <w:rPr>
          <w:rFonts w:hint="eastAsia" w:ascii="宋体" w:hAnsi="宋体"/>
          <w:szCs w:val="21"/>
        </w:rPr>
        <w:t>，并作为其投标的一部分</w:t>
      </w:r>
      <w:r>
        <w:rPr>
          <w:rFonts w:hint="eastAsia" w:ascii="宋体" w:hAnsi="宋体"/>
          <w:color w:val="000000"/>
          <w:szCs w:val="21"/>
        </w:rPr>
        <w:t>。</w:t>
      </w:r>
    </w:p>
    <w:p>
      <w:pPr>
        <w:spacing w:line="440" w:lineRule="exact"/>
        <w:rPr>
          <w:rFonts w:ascii="宋体" w:hAnsi="宋体"/>
          <w:szCs w:val="21"/>
        </w:rPr>
      </w:pPr>
      <w:r>
        <w:rPr>
          <w:rFonts w:hint="eastAsia" w:ascii="宋体" w:hAnsi="宋体"/>
          <w:szCs w:val="21"/>
        </w:rPr>
        <w:t xml:space="preserve">    15.2  投标保证金是为了保护招标机构免遭因投标人的行为而蒙受的损失，招标机构在因投标人的行为受到损害时可根据投标人须知第15.8条的规定不与退还投标人的投标保证金。</w:t>
      </w:r>
    </w:p>
    <w:p>
      <w:pPr>
        <w:spacing w:line="440" w:lineRule="exact"/>
        <w:rPr>
          <w:rFonts w:ascii="宋体" w:hAnsi="宋体"/>
          <w:b/>
          <w:szCs w:val="21"/>
        </w:rPr>
      </w:pPr>
      <w:r>
        <w:rPr>
          <w:rFonts w:hint="eastAsia" w:ascii="宋体" w:hAnsi="宋体"/>
          <w:szCs w:val="21"/>
        </w:rPr>
        <w:t xml:space="preserve">    15.3  </w:t>
      </w:r>
      <w:r>
        <w:rPr>
          <w:rFonts w:ascii="宋体" w:hAnsi="宋体"/>
          <w:szCs w:val="21"/>
        </w:rPr>
        <w:t>投标保证金应用投标货币即人民币，采用</w:t>
      </w:r>
      <w:r>
        <w:rPr>
          <w:rFonts w:hint="eastAsia" w:ascii="宋体" w:hAnsi="宋体"/>
          <w:szCs w:val="21"/>
        </w:rPr>
        <w:t>转账方式，</w:t>
      </w:r>
      <w:r>
        <w:rPr>
          <w:rFonts w:ascii="Calibri" w:hAnsi="Calibri"/>
          <w:szCs w:val="21"/>
        </w:rPr>
        <w:t>款项须在开标前到达</w:t>
      </w:r>
      <w:r>
        <w:rPr>
          <w:rFonts w:hint="eastAsia" w:ascii="Calibri" w:hAnsi="Calibri"/>
          <w:szCs w:val="21"/>
        </w:rPr>
        <w:t>“</w:t>
      </w:r>
      <w:r>
        <w:rPr>
          <w:rFonts w:ascii="Calibri" w:hAnsi="Calibri"/>
          <w:szCs w:val="21"/>
        </w:rPr>
        <w:t>投标邀请</w:t>
      </w:r>
      <w:r>
        <w:rPr>
          <w:rFonts w:hint="eastAsia" w:ascii="Calibri" w:hAnsi="Calibri"/>
          <w:szCs w:val="21"/>
        </w:rPr>
        <w:t>书”</w:t>
      </w:r>
      <w:r>
        <w:rPr>
          <w:rFonts w:ascii="Calibri" w:hAnsi="Calibri"/>
          <w:szCs w:val="21"/>
        </w:rPr>
        <w:t>指定的开户银行、帐号</w:t>
      </w:r>
      <w:r>
        <w:rPr>
          <w:rFonts w:hint="eastAsia" w:ascii="Calibri" w:hAnsi="Calibri"/>
          <w:szCs w:val="21"/>
        </w:rPr>
        <w:t>。</w:t>
      </w:r>
    </w:p>
    <w:p>
      <w:pPr>
        <w:spacing w:line="440" w:lineRule="exact"/>
        <w:ind w:firstLine="420" w:firstLineChars="200"/>
        <w:rPr>
          <w:rFonts w:ascii="宋体" w:hAnsi="宋体"/>
          <w:szCs w:val="21"/>
        </w:rPr>
      </w:pPr>
      <w:r>
        <w:rPr>
          <w:rFonts w:hint="eastAsia" w:ascii="宋体" w:hAnsi="宋体"/>
          <w:szCs w:val="21"/>
        </w:rPr>
        <w:t>15.4  投标保证金应于开标前交于招标机构。</w:t>
      </w:r>
    </w:p>
    <w:p>
      <w:pPr>
        <w:spacing w:line="440" w:lineRule="exact"/>
        <w:ind w:firstLine="405"/>
        <w:rPr>
          <w:rFonts w:ascii="宋体" w:hAnsi="宋体"/>
          <w:szCs w:val="21"/>
        </w:rPr>
      </w:pPr>
      <w:r>
        <w:rPr>
          <w:rFonts w:hint="eastAsia" w:ascii="宋体" w:hAnsi="宋体"/>
          <w:szCs w:val="21"/>
        </w:rPr>
        <w:t xml:space="preserve">15.5  在开标时，凡没有交纳投标保证金的投标，应视为非响应性投标予以拒绝。    </w:t>
      </w:r>
    </w:p>
    <w:p>
      <w:pPr>
        <w:spacing w:line="440" w:lineRule="exact"/>
        <w:ind w:firstLine="405"/>
        <w:rPr>
          <w:rFonts w:ascii="宋体" w:hAnsi="宋体"/>
          <w:szCs w:val="21"/>
        </w:rPr>
      </w:pPr>
      <w:r>
        <w:rPr>
          <w:rFonts w:hint="eastAsia" w:ascii="宋体" w:hAnsi="宋体"/>
          <w:szCs w:val="21"/>
        </w:rPr>
        <w:t xml:space="preserve">15.6  </w:t>
      </w:r>
      <w:r>
        <w:rPr>
          <w:rFonts w:ascii="宋体" w:hAnsi="宋体"/>
          <w:szCs w:val="21"/>
        </w:rPr>
        <w:t>中标公告</w:t>
      </w:r>
      <w:r>
        <w:rPr>
          <w:rFonts w:hint="eastAsia" w:ascii="宋体" w:hAnsi="宋体"/>
          <w:szCs w:val="21"/>
        </w:rPr>
        <w:t>发布后五个工作日内，未中标人的投标保证金，须在交回我司开出的投标保证金收据后，我司不计利息</w:t>
      </w:r>
      <w:r>
        <w:rPr>
          <w:rFonts w:ascii="宋体" w:hAnsi="宋体"/>
          <w:szCs w:val="21"/>
        </w:rPr>
        <w:t>退回。</w:t>
      </w:r>
      <w:r>
        <w:rPr>
          <w:rFonts w:hint="eastAsia" w:ascii="宋体" w:hAnsi="宋体"/>
          <w:szCs w:val="21"/>
        </w:rPr>
        <w:t>未到我司交回投标保证金收据而造成投标保证金逾期退还的，责任由投标人自负，在退还时不计利息。受到质疑、投诉或正在被调查的投标人，在调查结束后，如没有发现违法违规行为的再退回投标保证金。</w:t>
      </w:r>
    </w:p>
    <w:p>
      <w:pPr>
        <w:spacing w:line="440" w:lineRule="exact"/>
        <w:ind w:firstLine="367" w:firstLineChars="175"/>
        <w:rPr>
          <w:rFonts w:ascii="宋体" w:hAnsi="宋体"/>
          <w:szCs w:val="21"/>
        </w:rPr>
      </w:pPr>
      <w:r>
        <w:rPr>
          <w:rFonts w:hint="eastAsia" w:ascii="宋体" w:hAnsi="宋体"/>
          <w:szCs w:val="21"/>
        </w:rPr>
        <w:t xml:space="preserve">15.7  </w:t>
      </w:r>
      <w:r>
        <w:rPr>
          <w:rFonts w:ascii="宋体" w:hAnsi="宋体"/>
          <w:szCs w:val="21"/>
        </w:rPr>
        <w:t>中标</w:t>
      </w:r>
      <w:r>
        <w:rPr>
          <w:rFonts w:hint="eastAsia" w:ascii="宋体" w:hAnsi="宋体"/>
          <w:szCs w:val="21"/>
        </w:rPr>
        <w:t>人在和采购方签订合同后（提供合同原件核实）的五个工作日内，并退回我司开出的投标保证金收据后，我司不计利息</w:t>
      </w:r>
      <w:r>
        <w:rPr>
          <w:rFonts w:ascii="宋体" w:hAnsi="宋体"/>
          <w:szCs w:val="21"/>
        </w:rPr>
        <w:t>退回。</w:t>
      </w:r>
      <w:r>
        <w:rPr>
          <w:rFonts w:hint="eastAsia" w:ascii="宋体" w:hAnsi="宋体"/>
          <w:szCs w:val="21"/>
        </w:rPr>
        <w:t>未到我司办理退还手续而造成投标保证金逾期退还的，责任由投标人自负。受到质疑、投诉或正在被调查的投标人，在调查结束后，如没有发现违法违规行为的再退回投标保证金。</w:t>
      </w:r>
    </w:p>
    <w:p>
      <w:pPr>
        <w:spacing w:line="440" w:lineRule="exact"/>
        <w:rPr>
          <w:rFonts w:ascii="宋体" w:hAnsi="宋体"/>
          <w:szCs w:val="21"/>
        </w:rPr>
      </w:pPr>
      <w:r>
        <w:rPr>
          <w:rFonts w:hint="eastAsia" w:ascii="宋体" w:hAnsi="宋体"/>
          <w:szCs w:val="21"/>
        </w:rPr>
        <w:t xml:space="preserve">    15.8  下列任何情况发生时，投标保证金将不予退还：</w:t>
      </w:r>
    </w:p>
    <w:p>
      <w:pPr>
        <w:spacing w:line="440" w:lineRule="exact"/>
        <w:ind w:firstLine="420" w:firstLineChars="200"/>
        <w:rPr>
          <w:rFonts w:ascii="宋体" w:hAnsi="宋体"/>
          <w:szCs w:val="21"/>
        </w:rPr>
      </w:pPr>
      <w:r>
        <w:rPr>
          <w:rFonts w:hint="eastAsia" w:ascii="宋体" w:hAnsi="宋体"/>
          <w:szCs w:val="21"/>
        </w:rPr>
        <w:t>（1）投标人在投标函格式中规定的投标有效期内撤回其投标。</w:t>
      </w:r>
    </w:p>
    <w:p>
      <w:pPr>
        <w:spacing w:line="440" w:lineRule="exact"/>
        <w:ind w:firstLine="420" w:firstLineChars="200"/>
        <w:jc w:val="left"/>
        <w:rPr>
          <w:rFonts w:ascii="宋体" w:hAnsi="宋体"/>
          <w:szCs w:val="21"/>
        </w:rPr>
      </w:pPr>
      <w:r>
        <w:rPr>
          <w:rFonts w:hint="eastAsia" w:ascii="宋体" w:hAnsi="宋体"/>
          <w:szCs w:val="21"/>
        </w:rPr>
        <w:t>（2）中标人在规定期限内未能：根据投标人须知第34条规定签订合同；</w:t>
      </w:r>
    </w:p>
    <w:p>
      <w:pPr>
        <w:spacing w:line="440" w:lineRule="exact"/>
        <w:rPr>
          <w:rFonts w:ascii="宋体" w:hAnsi="宋体"/>
          <w:szCs w:val="21"/>
        </w:rPr>
      </w:pPr>
      <w:r>
        <w:rPr>
          <w:rFonts w:hint="eastAsia" w:ascii="宋体" w:hAnsi="宋体"/>
          <w:szCs w:val="21"/>
        </w:rPr>
        <w:t xml:space="preserve">    （3）隐瞒投标的真实情况、投标文件中提供虚假材料或者虚假补充文件或者故意进行无效投标或者质疑投诉提供虚假情况；</w:t>
      </w:r>
    </w:p>
    <w:p>
      <w:pPr>
        <w:spacing w:line="440" w:lineRule="exact"/>
        <w:ind w:firstLine="420" w:firstLineChars="200"/>
        <w:rPr>
          <w:rFonts w:ascii="宋体" w:hAnsi="宋体"/>
          <w:szCs w:val="21"/>
        </w:rPr>
      </w:pPr>
      <w:r>
        <w:rPr>
          <w:rFonts w:hint="eastAsia" w:ascii="宋体" w:hAnsi="宋体"/>
          <w:szCs w:val="21"/>
        </w:rPr>
        <w:t>（4）在投标人之间相互串通，事先商定投标价格或者合谋使特定投标人中标的；</w:t>
      </w:r>
    </w:p>
    <w:p>
      <w:pPr>
        <w:spacing w:line="440" w:lineRule="exact"/>
        <w:ind w:firstLine="420" w:firstLineChars="200"/>
        <w:rPr>
          <w:rFonts w:ascii="宋体" w:hAnsi="宋体"/>
          <w:szCs w:val="21"/>
        </w:rPr>
      </w:pPr>
      <w:r>
        <w:rPr>
          <w:rFonts w:hint="eastAsia" w:ascii="宋体" w:hAnsi="宋体"/>
          <w:szCs w:val="21"/>
        </w:rPr>
        <w:t>（5）采用不正当手段防碍、排挤其它投标人的；</w:t>
      </w:r>
    </w:p>
    <w:p>
      <w:pPr>
        <w:spacing w:line="440" w:lineRule="exact"/>
        <w:ind w:firstLine="420" w:firstLineChars="200"/>
        <w:rPr>
          <w:rFonts w:ascii="宋体" w:hAnsi="宋体"/>
          <w:szCs w:val="21"/>
        </w:rPr>
      </w:pPr>
      <w:r>
        <w:rPr>
          <w:rFonts w:hint="eastAsia" w:ascii="宋体" w:hAnsi="宋体"/>
          <w:szCs w:val="21"/>
        </w:rPr>
        <w:t>（6）向采购人、招标机构行贿或者提供其它不正当利益的；</w:t>
      </w:r>
    </w:p>
    <w:p>
      <w:pPr>
        <w:spacing w:line="440" w:lineRule="exact"/>
        <w:ind w:firstLine="420" w:firstLineChars="200"/>
        <w:rPr>
          <w:rFonts w:ascii="宋体" w:hAnsi="宋体"/>
          <w:szCs w:val="21"/>
        </w:rPr>
      </w:pPr>
      <w:r>
        <w:rPr>
          <w:rFonts w:hint="eastAsia" w:ascii="宋体" w:hAnsi="宋体"/>
          <w:szCs w:val="21"/>
        </w:rPr>
        <w:t>（7）与采购人和招标机构串通投标的；</w:t>
      </w:r>
    </w:p>
    <w:p>
      <w:pPr>
        <w:spacing w:line="440" w:lineRule="exact"/>
        <w:ind w:left="-2" w:leftChars="-1" w:firstLine="420" w:firstLineChars="200"/>
        <w:rPr>
          <w:rFonts w:ascii="宋体" w:hAnsi="宋体"/>
          <w:szCs w:val="21"/>
        </w:rPr>
      </w:pPr>
      <w:r>
        <w:rPr>
          <w:rFonts w:hint="eastAsia" w:ascii="宋体" w:hAnsi="宋体"/>
          <w:szCs w:val="21"/>
        </w:rPr>
        <w:t>（8）其它严重违反《中华人民共和国政府采购法》和《深圳经济特区政府采购条例》和相关法律法规的。</w:t>
      </w:r>
    </w:p>
    <w:p>
      <w:pPr>
        <w:spacing w:line="440" w:lineRule="exact"/>
        <w:ind w:firstLine="422" w:firstLineChars="200"/>
        <w:outlineLvl w:val="3"/>
        <w:rPr>
          <w:rFonts w:ascii="宋体" w:hAnsi="宋体"/>
          <w:b/>
          <w:bCs/>
          <w:color w:val="000000"/>
          <w:szCs w:val="21"/>
        </w:rPr>
      </w:pPr>
      <w:bookmarkStart w:id="31" w:name="_Toc8233"/>
      <w:r>
        <w:rPr>
          <w:rFonts w:hint="eastAsia" w:ascii="宋体" w:hAnsi="宋体"/>
          <w:b/>
          <w:bCs/>
          <w:color w:val="000000"/>
          <w:szCs w:val="21"/>
        </w:rPr>
        <w:t>16．投标有效期</w:t>
      </w:r>
      <w:bookmarkEnd w:id="31"/>
    </w:p>
    <w:p>
      <w:pPr>
        <w:spacing w:line="440" w:lineRule="exact"/>
        <w:rPr>
          <w:rFonts w:ascii="宋体" w:hAnsi="宋体"/>
          <w:color w:val="000000"/>
          <w:szCs w:val="21"/>
        </w:rPr>
      </w:pPr>
      <w:r>
        <w:rPr>
          <w:rFonts w:hint="eastAsia" w:ascii="宋体" w:hAnsi="宋体"/>
          <w:color w:val="000000"/>
          <w:szCs w:val="21"/>
        </w:rPr>
        <w:t xml:space="preserve">    16.1  投标书应从投标人须知第24条规定的开标之日起，在“投标人须知前附表”所规定的以日历天计算的投标有效期内有效。投标有效期比规定短的可以视为非响应投标而予以拒绝。</w:t>
      </w:r>
    </w:p>
    <w:p>
      <w:pPr>
        <w:snapToGrid w:val="0"/>
        <w:spacing w:line="440" w:lineRule="exact"/>
        <w:ind w:firstLine="411" w:firstLineChars="196"/>
        <w:rPr>
          <w:rFonts w:ascii="宋体" w:hAnsi="宋体"/>
          <w:color w:val="000000"/>
          <w:szCs w:val="21"/>
        </w:rPr>
      </w:pPr>
      <w:r>
        <w:rPr>
          <w:rFonts w:hint="eastAsia" w:ascii="宋体" w:hAnsi="宋体"/>
          <w:color w:val="000000"/>
          <w:szCs w:val="21"/>
        </w:rPr>
        <w:t>16.2  在特殊情况下，在原投标有效期期满之前，采购人可在“投标人须知前附表”所列信息发布网站上发布延长投标有效期的通知，对此通知投标人须以书面形式予以答复，投标人可以拒绝采购人此项要求，其投标在原投标有效期满后不再有效。同意延长投标有效期的投标人不能要求也不允许修改其投标文件；</w:t>
      </w:r>
    </w:p>
    <w:p>
      <w:pPr>
        <w:spacing w:line="440" w:lineRule="exact"/>
        <w:ind w:firstLine="420" w:firstLineChars="200"/>
        <w:rPr>
          <w:rFonts w:ascii="宋体" w:hAnsi="宋体"/>
          <w:color w:val="000000"/>
          <w:szCs w:val="21"/>
        </w:rPr>
      </w:pPr>
      <w:r>
        <w:rPr>
          <w:rFonts w:hint="eastAsia" w:ascii="宋体" w:hAnsi="宋体"/>
          <w:color w:val="000000"/>
          <w:szCs w:val="21"/>
        </w:rPr>
        <w:t xml:space="preserve"> 16.3  中标单位的投标书有效期，截止于完成本招标文件规定的全部项目内容，并通过验收及保修结束。</w:t>
      </w:r>
    </w:p>
    <w:p>
      <w:pPr>
        <w:spacing w:line="440" w:lineRule="exact"/>
        <w:ind w:firstLine="422" w:firstLineChars="200"/>
        <w:outlineLvl w:val="3"/>
        <w:rPr>
          <w:rFonts w:ascii="宋体" w:hAnsi="宋体"/>
          <w:b/>
          <w:color w:val="000000"/>
          <w:szCs w:val="21"/>
        </w:rPr>
      </w:pPr>
      <w:bookmarkStart w:id="32" w:name="_Toc16723"/>
      <w:r>
        <w:rPr>
          <w:rFonts w:hint="eastAsia" w:ascii="宋体" w:hAnsi="宋体"/>
          <w:b/>
          <w:color w:val="000000"/>
          <w:szCs w:val="21"/>
        </w:rPr>
        <w:t>17．投标书的式样和签署</w:t>
      </w:r>
      <w:bookmarkEnd w:id="32"/>
    </w:p>
    <w:p>
      <w:pPr>
        <w:spacing w:line="440" w:lineRule="exact"/>
        <w:rPr>
          <w:rFonts w:ascii="宋体" w:hAnsi="宋体"/>
          <w:color w:val="000000"/>
          <w:szCs w:val="21"/>
        </w:rPr>
      </w:pPr>
      <w:r>
        <w:rPr>
          <w:rFonts w:hint="eastAsia" w:ascii="宋体" w:hAnsi="宋体"/>
          <w:color w:val="000000"/>
          <w:szCs w:val="21"/>
        </w:rPr>
        <w:t xml:space="preserve">    17.1  投标人应按照投标人须知第9.1条的要求，准备一份投标书正本和四份副本，每份投标书封面须清楚地标明“投标书正本”或“投标书副本”。一旦正本和副本不符，以正本为准。另须提供投标文件电子文档（光盘或U盘）1份，与纸制投标文件一并密封。当投标文件电子文档与纸制投标文件不一致时，以纸制投标文件为准。</w:t>
      </w:r>
    </w:p>
    <w:p>
      <w:pPr>
        <w:spacing w:line="440" w:lineRule="exact"/>
        <w:ind w:firstLine="420" w:firstLineChars="200"/>
        <w:rPr>
          <w:rFonts w:ascii="宋体" w:hAnsi="宋体"/>
          <w:color w:val="000000"/>
          <w:szCs w:val="21"/>
        </w:rPr>
      </w:pPr>
      <w:r>
        <w:rPr>
          <w:rFonts w:hint="eastAsia" w:ascii="宋体" w:hAnsi="宋体"/>
          <w:color w:val="000000"/>
          <w:szCs w:val="21"/>
        </w:rPr>
        <w:t>17.2  投标书的正本需打印，并由经正式授权的投标方代表签字并</w:t>
      </w:r>
      <w:r>
        <w:rPr>
          <w:rFonts w:hint="eastAsia" w:ascii="宋体" w:hAnsi="宋体"/>
          <w:b/>
          <w:bCs/>
          <w:color w:val="000000"/>
          <w:szCs w:val="21"/>
        </w:rPr>
        <w:t>加盖公章</w:t>
      </w:r>
      <w:r>
        <w:rPr>
          <w:rFonts w:hint="eastAsia" w:ascii="宋体" w:hAnsi="宋体"/>
          <w:color w:val="000000"/>
          <w:szCs w:val="21"/>
        </w:rPr>
        <w:t>。授权代表须将以书面形式出具的“法定代表人授权证书”附在投标书中。投标文件的副本可采用正本的复印件。</w:t>
      </w:r>
    </w:p>
    <w:p>
      <w:pPr>
        <w:spacing w:line="440" w:lineRule="exact"/>
        <w:ind w:firstLine="420" w:firstLineChars="200"/>
        <w:rPr>
          <w:rFonts w:ascii="宋体" w:hAnsi="宋体"/>
          <w:color w:val="000000"/>
          <w:szCs w:val="21"/>
        </w:rPr>
      </w:pPr>
      <w:r>
        <w:rPr>
          <w:rFonts w:hint="eastAsia" w:ascii="宋体" w:hAnsi="宋体"/>
          <w:color w:val="000000"/>
          <w:szCs w:val="21"/>
        </w:rPr>
        <w:t>17.3  任何行间插字、涂改和增删，必须由投标书签字人签字和盖章。</w:t>
      </w:r>
    </w:p>
    <w:p>
      <w:pPr>
        <w:spacing w:line="440" w:lineRule="exact"/>
        <w:ind w:firstLine="422" w:firstLineChars="200"/>
        <w:outlineLvl w:val="3"/>
        <w:rPr>
          <w:rFonts w:ascii="宋体" w:hAnsi="宋体"/>
          <w:b/>
          <w:bCs/>
          <w:color w:val="000000"/>
          <w:szCs w:val="21"/>
        </w:rPr>
      </w:pPr>
      <w:bookmarkStart w:id="33" w:name="_Toc32336"/>
      <w:r>
        <w:rPr>
          <w:rFonts w:hint="eastAsia" w:ascii="宋体" w:hAnsi="宋体"/>
          <w:b/>
          <w:bCs/>
          <w:color w:val="000000"/>
          <w:szCs w:val="21"/>
        </w:rPr>
        <w:t>18．投标人的替代方案</w:t>
      </w:r>
      <w:bookmarkEnd w:id="33"/>
    </w:p>
    <w:p>
      <w:pPr>
        <w:spacing w:line="440" w:lineRule="exact"/>
        <w:ind w:firstLine="420" w:firstLineChars="200"/>
        <w:rPr>
          <w:rFonts w:ascii="宋体" w:hAnsi="宋体"/>
          <w:szCs w:val="21"/>
        </w:rPr>
      </w:pPr>
      <w:r>
        <w:rPr>
          <w:rFonts w:hint="eastAsia" w:ascii="宋体" w:hAnsi="宋体"/>
          <w:szCs w:val="21"/>
        </w:rPr>
        <w:t>18.1  本次招标不考虑</w:t>
      </w:r>
      <w:r>
        <w:rPr>
          <w:rFonts w:hint="eastAsia" w:ascii="宋体" w:hAnsi="宋体"/>
          <w:bCs/>
          <w:szCs w:val="21"/>
        </w:rPr>
        <w:t>投标人的</w:t>
      </w:r>
      <w:r>
        <w:rPr>
          <w:rFonts w:hint="eastAsia" w:ascii="宋体" w:hAnsi="宋体"/>
          <w:szCs w:val="21"/>
        </w:rPr>
        <w:t>替代方案。</w:t>
      </w:r>
    </w:p>
    <w:p>
      <w:pPr>
        <w:spacing w:line="440" w:lineRule="exact"/>
        <w:ind w:firstLine="422" w:firstLineChars="200"/>
        <w:outlineLvl w:val="3"/>
        <w:rPr>
          <w:rFonts w:ascii="宋体" w:hAnsi="宋体"/>
          <w:b/>
          <w:bCs/>
          <w:color w:val="000000"/>
          <w:szCs w:val="21"/>
        </w:rPr>
      </w:pPr>
      <w:bookmarkStart w:id="34" w:name="_Toc27994"/>
      <w:r>
        <w:rPr>
          <w:rFonts w:hint="eastAsia" w:ascii="宋体" w:hAnsi="宋体"/>
          <w:b/>
          <w:bCs/>
          <w:color w:val="000000"/>
          <w:szCs w:val="21"/>
        </w:rPr>
        <w:t>19．联合体投标</w:t>
      </w:r>
      <w:bookmarkEnd w:id="34"/>
      <w:r>
        <w:rPr>
          <w:rFonts w:hint="eastAsia" w:ascii="宋体" w:hAnsi="宋体"/>
          <w:b/>
          <w:bCs/>
          <w:color w:val="000000"/>
          <w:szCs w:val="21"/>
        </w:rPr>
        <w:t>(本项目不适用)</w:t>
      </w:r>
    </w:p>
    <w:p>
      <w:pPr>
        <w:spacing w:line="440" w:lineRule="exact"/>
        <w:ind w:firstLine="420" w:firstLineChars="200"/>
        <w:rPr>
          <w:rFonts w:ascii="宋体" w:hAnsi="宋体"/>
          <w:color w:val="000000"/>
          <w:szCs w:val="21"/>
        </w:rPr>
      </w:pPr>
      <w:r>
        <w:rPr>
          <w:rFonts w:hint="eastAsia" w:ascii="宋体" w:hAnsi="宋体"/>
          <w:color w:val="000000"/>
          <w:szCs w:val="21"/>
        </w:rPr>
        <w:t>由两个或两个以上法人组成一个联合体以一个投标人的身份共同投标时，应符合以下原则：</w:t>
      </w:r>
    </w:p>
    <w:p>
      <w:pPr>
        <w:spacing w:line="440" w:lineRule="exact"/>
        <w:ind w:firstLine="420" w:firstLineChars="200"/>
        <w:rPr>
          <w:rFonts w:ascii="宋体" w:hAnsi="宋体"/>
          <w:color w:val="000000"/>
          <w:szCs w:val="21"/>
        </w:rPr>
      </w:pPr>
      <w:r>
        <w:rPr>
          <w:rFonts w:hint="eastAsia" w:ascii="宋体" w:hAnsi="宋体"/>
          <w:color w:val="000000"/>
          <w:szCs w:val="21"/>
        </w:rPr>
        <w:t>（1）投标联合体各方参加政府采购活动应当具备下列条件：</w:t>
      </w:r>
      <w:r>
        <w:rPr>
          <w:rFonts w:ascii="宋体" w:hAnsi="宋体"/>
          <w:color w:val="000000"/>
          <w:szCs w:val="21"/>
        </w:rPr>
        <w:t xml:space="preserve"> </w:t>
      </w:r>
    </w:p>
    <w:p>
      <w:pPr>
        <w:spacing w:line="440" w:lineRule="exact"/>
        <w:ind w:firstLine="917" w:firstLineChars="437"/>
        <w:rPr>
          <w:rFonts w:ascii="宋体" w:hAnsi="宋体"/>
          <w:color w:val="000000"/>
          <w:szCs w:val="21"/>
        </w:rPr>
      </w:pPr>
      <w:r>
        <w:rPr>
          <w:rFonts w:hint="eastAsia" w:ascii="宋体" w:hAnsi="宋体"/>
          <w:color w:val="000000"/>
          <w:szCs w:val="21"/>
        </w:rPr>
        <w:t>①具有独立承担民事责任的能力；</w:t>
      </w:r>
      <w:r>
        <w:rPr>
          <w:rFonts w:ascii="宋体" w:hAnsi="宋体"/>
          <w:color w:val="000000"/>
          <w:szCs w:val="21"/>
        </w:rPr>
        <w:t xml:space="preserve"> </w:t>
      </w:r>
    </w:p>
    <w:p>
      <w:pPr>
        <w:spacing w:line="440" w:lineRule="exact"/>
        <w:ind w:firstLine="917" w:firstLineChars="437"/>
        <w:rPr>
          <w:rFonts w:ascii="宋体" w:hAnsi="宋体"/>
          <w:color w:val="000000"/>
          <w:szCs w:val="21"/>
        </w:rPr>
      </w:pPr>
      <w:r>
        <w:rPr>
          <w:rFonts w:hint="eastAsia" w:ascii="宋体" w:hAnsi="宋体"/>
          <w:color w:val="000000"/>
          <w:szCs w:val="21"/>
        </w:rPr>
        <w:t>②有良好的商业信誉和健全的财务会计制度；</w:t>
      </w:r>
      <w:r>
        <w:rPr>
          <w:rFonts w:ascii="宋体" w:hAnsi="宋体"/>
          <w:color w:val="000000"/>
          <w:szCs w:val="21"/>
        </w:rPr>
        <w:t xml:space="preserve"> </w:t>
      </w:r>
    </w:p>
    <w:p>
      <w:pPr>
        <w:spacing w:line="440" w:lineRule="exact"/>
        <w:ind w:firstLine="917" w:firstLineChars="437"/>
        <w:rPr>
          <w:rFonts w:ascii="宋体" w:hAnsi="宋体"/>
          <w:color w:val="000000"/>
          <w:szCs w:val="21"/>
        </w:rPr>
      </w:pPr>
      <w:r>
        <w:rPr>
          <w:rFonts w:hint="eastAsia" w:ascii="宋体" w:hAnsi="宋体"/>
          <w:color w:val="000000"/>
          <w:szCs w:val="21"/>
        </w:rPr>
        <w:t>③具有履行合同所必需的设备和专业技术能力；</w:t>
      </w:r>
      <w:r>
        <w:rPr>
          <w:rFonts w:ascii="宋体" w:hAnsi="宋体"/>
          <w:color w:val="000000"/>
          <w:szCs w:val="21"/>
        </w:rPr>
        <w:t xml:space="preserve"> </w:t>
      </w:r>
    </w:p>
    <w:p>
      <w:pPr>
        <w:spacing w:line="440" w:lineRule="exact"/>
        <w:ind w:firstLine="917" w:firstLineChars="437"/>
        <w:rPr>
          <w:rFonts w:ascii="宋体" w:hAnsi="宋体"/>
          <w:color w:val="000000"/>
          <w:szCs w:val="21"/>
        </w:rPr>
      </w:pPr>
      <w:r>
        <w:rPr>
          <w:rFonts w:hint="eastAsia" w:ascii="宋体" w:hAnsi="宋体"/>
          <w:color w:val="000000"/>
          <w:szCs w:val="21"/>
        </w:rPr>
        <w:t>④有依法缴纳税收和社会保障资金的良好记录；</w:t>
      </w:r>
      <w:r>
        <w:rPr>
          <w:rFonts w:ascii="宋体" w:hAnsi="宋体"/>
          <w:color w:val="000000"/>
          <w:szCs w:val="21"/>
        </w:rPr>
        <w:t xml:space="preserve"> </w:t>
      </w:r>
    </w:p>
    <w:p>
      <w:pPr>
        <w:spacing w:line="440" w:lineRule="exact"/>
        <w:ind w:firstLine="917" w:firstLineChars="437"/>
        <w:rPr>
          <w:rFonts w:ascii="宋体" w:hAnsi="宋体"/>
          <w:color w:val="000000"/>
          <w:szCs w:val="21"/>
        </w:rPr>
      </w:pPr>
      <w:r>
        <w:rPr>
          <w:rFonts w:hint="eastAsia" w:ascii="宋体" w:hAnsi="宋体"/>
          <w:color w:val="000000"/>
          <w:szCs w:val="21"/>
        </w:rPr>
        <w:t>⑤参加政府采购活动前三年内，在经营活动中没有重大违法记录；</w:t>
      </w:r>
      <w:r>
        <w:rPr>
          <w:rFonts w:ascii="宋体" w:hAnsi="宋体"/>
          <w:color w:val="000000"/>
          <w:szCs w:val="21"/>
        </w:rPr>
        <w:t xml:space="preserve"> </w:t>
      </w:r>
    </w:p>
    <w:p>
      <w:pPr>
        <w:spacing w:line="440" w:lineRule="exact"/>
        <w:ind w:firstLine="917" w:firstLineChars="437"/>
        <w:rPr>
          <w:rFonts w:ascii="宋体" w:hAnsi="宋体"/>
          <w:color w:val="000000"/>
          <w:szCs w:val="21"/>
        </w:rPr>
      </w:pPr>
      <w:r>
        <w:rPr>
          <w:rFonts w:hint="eastAsia" w:ascii="宋体" w:hAnsi="宋体"/>
          <w:color w:val="000000"/>
          <w:szCs w:val="21"/>
        </w:rPr>
        <w:t>⑥法律、行政法规规定的其他条件。</w:t>
      </w:r>
      <w:r>
        <w:rPr>
          <w:rFonts w:ascii="宋体" w:hAnsi="宋体"/>
          <w:color w:val="000000"/>
          <w:szCs w:val="21"/>
        </w:rPr>
        <w:t xml:space="preserve"> </w:t>
      </w:r>
    </w:p>
    <w:p>
      <w:pPr>
        <w:spacing w:line="440" w:lineRule="exact"/>
        <w:ind w:firstLine="457" w:firstLineChars="218"/>
        <w:rPr>
          <w:rFonts w:ascii="宋体" w:hAnsi="宋体"/>
          <w:color w:val="000000"/>
          <w:szCs w:val="21"/>
        </w:rPr>
      </w:pPr>
      <w:r>
        <w:rPr>
          <w:rFonts w:hint="eastAsia" w:ascii="宋体" w:hAnsi="宋体"/>
          <w:color w:val="000000"/>
          <w:szCs w:val="21"/>
        </w:rPr>
        <w:t>（2）采购人根据采购项目的特殊要求规定投标人特定条件的，联合体各方中至少应当有一方符合采购人规定的特定条件；联合体各方的不同资质可优势互补。</w:t>
      </w:r>
    </w:p>
    <w:p>
      <w:pPr>
        <w:spacing w:line="440" w:lineRule="exact"/>
        <w:ind w:firstLine="457" w:firstLineChars="218"/>
        <w:rPr>
          <w:rFonts w:ascii="宋体" w:hAnsi="宋体"/>
          <w:color w:val="000000"/>
          <w:szCs w:val="21"/>
        </w:rPr>
      </w:pPr>
      <w:r>
        <w:rPr>
          <w:rFonts w:hint="eastAsia" w:ascii="宋体" w:hAnsi="宋体"/>
          <w:color w:val="000000"/>
          <w:szCs w:val="21"/>
        </w:rPr>
        <w:t>（3）投标人的投标文件及中标后签署的合同协议对联合体各方均具法律约束力；</w:t>
      </w:r>
    </w:p>
    <w:p>
      <w:pPr>
        <w:spacing w:line="440" w:lineRule="exact"/>
        <w:ind w:firstLine="457" w:firstLineChars="218"/>
        <w:rPr>
          <w:rFonts w:ascii="宋体" w:hAnsi="宋体"/>
          <w:color w:val="000000"/>
          <w:szCs w:val="21"/>
        </w:rPr>
      </w:pPr>
      <w:r>
        <w:rPr>
          <w:rFonts w:hint="eastAsia" w:ascii="宋体" w:hAnsi="宋体"/>
          <w:color w:val="000000"/>
          <w:szCs w:val="21"/>
        </w:rPr>
        <w:t>（4）联合体各方应当签订共同投标协议，明确约定各方拟承担的工作和责任，并将该共同投标协议随投标文件一并递交给招标机构；</w:t>
      </w:r>
    </w:p>
    <w:p>
      <w:pPr>
        <w:spacing w:line="440" w:lineRule="exact"/>
        <w:ind w:firstLine="457" w:firstLineChars="218"/>
        <w:rPr>
          <w:rFonts w:ascii="宋体" w:hAnsi="宋体"/>
          <w:color w:val="000000"/>
          <w:szCs w:val="21"/>
        </w:rPr>
      </w:pPr>
      <w:r>
        <w:rPr>
          <w:rFonts w:hint="eastAsia" w:ascii="宋体" w:hAnsi="宋体"/>
          <w:color w:val="000000"/>
          <w:szCs w:val="21"/>
        </w:rPr>
        <w:t>（5）联合体中标后，联合体各方应当共同与采购单位签订合同，就中标项目向采购单位承担连带责任；</w:t>
      </w:r>
    </w:p>
    <w:p>
      <w:pPr>
        <w:spacing w:line="440" w:lineRule="exact"/>
        <w:ind w:firstLine="457" w:firstLineChars="218"/>
        <w:rPr>
          <w:rFonts w:ascii="宋体" w:hAnsi="宋体"/>
          <w:color w:val="000000"/>
          <w:szCs w:val="21"/>
        </w:rPr>
      </w:pPr>
      <w:r>
        <w:rPr>
          <w:rFonts w:hint="eastAsia" w:ascii="宋体" w:hAnsi="宋体"/>
          <w:color w:val="000000"/>
          <w:szCs w:val="21"/>
        </w:rPr>
        <w:t>（6）联合体的各方应当共同推荐一联合体投标授权代表人，由联合体各方提交一份授权书，证明其有资格代表联合体各方签署投标文件，该授权书作为投标文件的组成部分一并提交给招标机构；</w:t>
      </w:r>
    </w:p>
    <w:p>
      <w:pPr>
        <w:spacing w:line="440" w:lineRule="exact"/>
        <w:ind w:firstLine="457" w:firstLineChars="218"/>
        <w:rPr>
          <w:rFonts w:ascii="宋体" w:hAnsi="宋体"/>
          <w:color w:val="000000"/>
          <w:szCs w:val="21"/>
        </w:rPr>
      </w:pPr>
      <w:r>
        <w:rPr>
          <w:rFonts w:hint="eastAsia" w:ascii="宋体" w:hAnsi="宋体"/>
          <w:color w:val="000000"/>
          <w:szCs w:val="21"/>
        </w:rPr>
        <w:t>（7）参加联合体的各方不得再以自己的名义单独投标，不得同时参加两个或两个以上的联合体投标、不得以分包商或其它形式参与投标，出现上述情况者，其投标和与此有关联合体、总包单位的投标将被拒绝；</w:t>
      </w:r>
    </w:p>
    <w:p>
      <w:pPr>
        <w:spacing w:line="440" w:lineRule="exact"/>
        <w:ind w:firstLine="457" w:firstLineChars="218"/>
        <w:rPr>
          <w:rFonts w:ascii="宋体" w:hAnsi="宋体"/>
          <w:color w:val="000000"/>
          <w:szCs w:val="21"/>
        </w:rPr>
      </w:pPr>
      <w:r>
        <w:rPr>
          <w:rFonts w:hint="eastAsia" w:ascii="宋体" w:hAnsi="宋体"/>
          <w:color w:val="000000"/>
          <w:szCs w:val="21"/>
        </w:rPr>
        <w:t>（8）除非另有规定或说明，本须知中“投标人”一词亦指联合体各方。</w:t>
      </w:r>
    </w:p>
    <w:p>
      <w:pPr>
        <w:spacing w:line="440" w:lineRule="exact"/>
        <w:jc w:val="center"/>
        <w:outlineLvl w:val="2"/>
        <w:rPr>
          <w:rFonts w:ascii="宋体" w:hAnsi="宋体"/>
          <w:b/>
          <w:bCs/>
          <w:color w:val="000000"/>
          <w:szCs w:val="21"/>
        </w:rPr>
      </w:pPr>
      <w:bookmarkStart w:id="35" w:name="_Toc22512"/>
      <w:r>
        <w:rPr>
          <w:rFonts w:hint="eastAsia" w:ascii="宋体" w:hAnsi="宋体"/>
          <w:b/>
          <w:bCs/>
          <w:color w:val="000000"/>
          <w:szCs w:val="21"/>
        </w:rPr>
        <w:t>四、投标书的递交</w:t>
      </w:r>
      <w:bookmarkEnd w:id="35"/>
    </w:p>
    <w:p>
      <w:pPr>
        <w:spacing w:line="440" w:lineRule="exact"/>
        <w:ind w:firstLine="422" w:firstLineChars="200"/>
        <w:outlineLvl w:val="3"/>
        <w:rPr>
          <w:rFonts w:ascii="宋体" w:hAnsi="宋体"/>
          <w:b/>
          <w:bCs/>
          <w:color w:val="000000"/>
          <w:szCs w:val="21"/>
        </w:rPr>
      </w:pPr>
      <w:bookmarkStart w:id="36" w:name="_Toc13314"/>
      <w:r>
        <w:rPr>
          <w:rFonts w:hint="eastAsia" w:ascii="宋体" w:hAnsi="宋体"/>
          <w:b/>
          <w:color w:val="000000"/>
          <w:szCs w:val="21"/>
        </w:rPr>
        <w:t>20</w:t>
      </w:r>
      <w:r>
        <w:rPr>
          <w:rFonts w:hint="eastAsia" w:ascii="宋体" w:hAnsi="宋体"/>
          <w:b/>
          <w:bCs/>
          <w:color w:val="000000"/>
          <w:szCs w:val="21"/>
        </w:rPr>
        <w:t>．投标书（或谈判文件）的密封和标记</w:t>
      </w:r>
      <w:bookmarkEnd w:id="36"/>
    </w:p>
    <w:p>
      <w:pPr>
        <w:spacing w:line="440" w:lineRule="exact"/>
        <w:rPr>
          <w:rFonts w:ascii="宋体" w:hAnsi="宋体"/>
          <w:color w:val="000000"/>
          <w:szCs w:val="21"/>
        </w:rPr>
      </w:pPr>
      <w:r>
        <w:rPr>
          <w:rFonts w:hint="eastAsia" w:ascii="宋体" w:hAnsi="宋体"/>
          <w:color w:val="000000"/>
          <w:szCs w:val="21"/>
        </w:rPr>
        <w:t xml:space="preserve">    20.1  投标人应将投标文件</w:t>
      </w:r>
      <w:r>
        <w:rPr>
          <w:rFonts w:hint="eastAsia" w:ascii="宋体" w:hAnsi="宋体"/>
          <w:bCs/>
          <w:color w:val="000000"/>
          <w:szCs w:val="21"/>
        </w:rPr>
        <w:t>（或谈判文件）</w:t>
      </w:r>
      <w:r>
        <w:rPr>
          <w:rFonts w:hint="eastAsia" w:ascii="宋体" w:hAnsi="宋体"/>
          <w:color w:val="000000"/>
          <w:szCs w:val="21"/>
        </w:rPr>
        <w:t>正本和副本密封，并标明项目编号、招标项目名称及“正本”或“副本”。</w:t>
      </w:r>
    </w:p>
    <w:p>
      <w:pPr>
        <w:spacing w:line="440" w:lineRule="exact"/>
        <w:rPr>
          <w:rFonts w:ascii="宋体" w:hAnsi="宋体"/>
          <w:color w:val="000000"/>
          <w:szCs w:val="21"/>
        </w:rPr>
      </w:pPr>
      <w:r>
        <w:rPr>
          <w:rFonts w:hint="eastAsia" w:ascii="宋体" w:hAnsi="宋体"/>
          <w:color w:val="000000"/>
          <w:szCs w:val="21"/>
        </w:rPr>
        <w:t xml:space="preserve">    20.2  密封包上注明按“投标人须知前附表”所规定的开标（或谈判时间）时间（指招标公告中规定的开标时间</w:t>
      </w:r>
      <w:r>
        <w:rPr>
          <w:rFonts w:hint="eastAsia" w:ascii="宋体" w:hAnsi="宋体"/>
          <w:bCs/>
          <w:color w:val="000000"/>
          <w:szCs w:val="21"/>
        </w:rPr>
        <w:t>（或谈判时间）</w:t>
      </w:r>
      <w:r>
        <w:rPr>
          <w:rFonts w:hint="eastAsia" w:ascii="宋体" w:hAnsi="宋体"/>
          <w:color w:val="000000"/>
          <w:szCs w:val="21"/>
        </w:rPr>
        <w:t>）前不准启封的字样。</w:t>
      </w:r>
    </w:p>
    <w:p>
      <w:pPr>
        <w:spacing w:line="440" w:lineRule="exact"/>
        <w:ind w:firstLine="420" w:firstLineChars="200"/>
        <w:rPr>
          <w:rFonts w:ascii="宋体" w:hAnsi="宋体"/>
          <w:color w:val="000000"/>
          <w:szCs w:val="21"/>
        </w:rPr>
      </w:pPr>
      <w:r>
        <w:rPr>
          <w:rFonts w:hint="eastAsia" w:ascii="宋体" w:hAnsi="宋体"/>
          <w:color w:val="000000"/>
          <w:szCs w:val="21"/>
        </w:rPr>
        <w:t>20.3  如投标文件由专人送交，投标方应将投标文件按20.1-20.2中的规定进行密封和标记后，按招标公告注明的地址送至采购人。</w:t>
      </w:r>
    </w:p>
    <w:p>
      <w:pPr>
        <w:spacing w:line="440" w:lineRule="exact"/>
        <w:ind w:firstLine="420" w:firstLineChars="200"/>
        <w:rPr>
          <w:rFonts w:ascii="宋体" w:hAnsi="宋体"/>
          <w:color w:val="000000"/>
          <w:szCs w:val="21"/>
        </w:rPr>
      </w:pPr>
      <w:r>
        <w:rPr>
          <w:rFonts w:hint="eastAsia" w:ascii="宋体" w:hAnsi="宋体"/>
          <w:bCs/>
          <w:color w:val="000000"/>
          <w:szCs w:val="21"/>
        </w:rPr>
        <w:t xml:space="preserve">20.4  </w:t>
      </w:r>
      <w:r>
        <w:rPr>
          <w:rFonts w:hint="eastAsia" w:ascii="宋体" w:hAnsi="宋体"/>
          <w:color w:val="000000"/>
          <w:szCs w:val="21"/>
        </w:rPr>
        <w:t>如果投标文件通过邮寄递交，投标方应将投标文件用内、外两层信封密封。</w:t>
      </w:r>
    </w:p>
    <w:p>
      <w:pPr>
        <w:spacing w:line="440" w:lineRule="exact"/>
        <w:ind w:firstLine="420" w:firstLineChars="200"/>
        <w:rPr>
          <w:rFonts w:ascii="宋体" w:hAnsi="宋体"/>
          <w:color w:val="000000"/>
          <w:szCs w:val="21"/>
        </w:rPr>
      </w:pPr>
      <w:r>
        <w:rPr>
          <w:rFonts w:hint="eastAsia" w:ascii="宋体" w:hAnsi="宋体"/>
          <w:color w:val="000000"/>
          <w:szCs w:val="21"/>
        </w:rPr>
        <w:t>（1）内层信封的封装与标记同20.1-20.2规定。</w:t>
      </w:r>
    </w:p>
    <w:p>
      <w:pPr>
        <w:spacing w:line="440" w:lineRule="exact"/>
        <w:ind w:firstLine="420" w:firstLineChars="200"/>
        <w:rPr>
          <w:rFonts w:ascii="宋体" w:hAnsi="宋体"/>
          <w:color w:val="000000"/>
          <w:szCs w:val="21"/>
        </w:rPr>
      </w:pPr>
      <w:r>
        <w:rPr>
          <w:rFonts w:hint="eastAsia" w:ascii="宋体" w:hAnsi="宋体"/>
          <w:color w:val="000000"/>
          <w:szCs w:val="21"/>
        </w:rPr>
        <w:t>（2）外层信封装入20.1-20.2所述全部资料，并注明招标项目名称、采购人名称、地址。同时应写明投标方的名称、地址、邮编，以便如果其投标被宣布为“迟到”投标时，能原封退回。</w:t>
      </w:r>
    </w:p>
    <w:p>
      <w:pPr>
        <w:spacing w:line="440" w:lineRule="exact"/>
        <w:ind w:firstLine="420" w:firstLineChars="200"/>
        <w:rPr>
          <w:rFonts w:ascii="宋体" w:hAnsi="宋体"/>
          <w:color w:val="000000"/>
          <w:szCs w:val="21"/>
        </w:rPr>
      </w:pPr>
      <w:r>
        <w:rPr>
          <w:rFonts w:hint="eastAsia" w:ascii="宋体" w:hAnsi="宋体"/>
          <w:color w:val="000000"/>
          <w:szCs w:val="21"/>
        </w:rPr>
        <w:t>（3）如果外层信封未按投标人须知第20.2条要求密封和加写标记，采购人对误投或过早启封概不负责。对由此造成提前开封的投标书，采购人将予以拒绝，并退回投标人。</w:t>
      </w:r>
    </w:p>
    <w:p>
      <w:pPr>
        <w:spacing w:line="440" w:lineRule="exact"/>
        <w:ind w:firstLine="420" w:firstLineChars="200"/>
        <w:rPr>
          <w:rFonts w:ascii="宋体" w:hAnsi="宋体"/>
          <w:color w:val="000000"/>
          <w:szCs w:val="21"/>
        </w:rPr>
      </w:pPr>
      <w:r>
        <w:rPr>
          <w:rFonts w:hint="eastAsia" w:ascii="宋体" w:hAnsi="宋体"/>
          <w:color w:val="000000"/>
          <w:szCs w:val="21"/>
        </w:rPr>
        <w:t>20.5  电报、电话、传真形式的投标概不接受。</w:t>
      </w:r>
    </w:p>
    <w:p>
      <w:pPr>
        <w:spacing w:line="440" w:lineRule="exact"/>
        <w:ind w:firstLine="422" w:firstLineChars="200"/>
        <w:outlineLvl w:val="3"/>
        <w:rPr>
          <w:rFonts w:ascii="宋体" w:hAnsi="宋体"/>
          <w:b/>
          <w:bCs/>
          <w:color w:val="000000"/>
          <w:szCs w:val="21"/>
        </w:rPr>
      </w:pPr>
      <w:bookmarkStart w:id="37" w:name="_Toc17279"/>
      <w:r>
        <w:rPr>
          <w:rFonts w:hint="eastAsia" w:ascii="宋体" w:hAnsi="宋体"/>
          <w:b/>
          <w:bCs/>
          <w:color w:val="000000"/>
          <w:szCs w:val="21"/>
        </w:rPr>
        <w:t>21．投标（或递交谈判文件）截止时间</w:t>
      </w:r>
      <w:bookmarkEnd w:id="37"/>
    </w:p>
    <w:p>
      <w:pPr>
        <w:spacing w:line="440" w:lineRule="exact"/>
        <w:rPr>
          <w:rFonts w:ascii="宋体" w:hAnsi="宋体"/>
          <w:color w:val="000000"/>
          <w:szCs w:val="21"/>
        </w:rPr>
      </w:pPr>
      <w:r>
        <w:rPr>
          <w:rFonts w:hint="eastAsia" w:ascii="宋体" w:hAnsi="宋体"/>
          <w:color w:val="000000"/>
          <w:szCs w:val="21"/>
        </w:rPr>
        <w:t xml:space="preserve">    21.1  采购人在投标人须知第20.3条规定的地址收到投标书</w:t>
      </w:r>
      <w:r>
        <w:rPr>
          <w:rFonts w:hint="eastAsia" w:ascii="宋体" w:hAnsi="宋体"/>
          <w:bCs/>
          <w:color w:val="000000"/>
          <w:szCs w:val="21"/>
        </w:rPr>
        <w:t>（或谈判文件）</w:t>
      </w:r>
      <w:r>
        <w:rPr>
          <w:rFonts w:hint="eastAsia" w:ascii="宋体" w:hAnsi="宋体"/>
          <w:color w:val="000000"/>
          <w:szCs w:val="21"/>
        </w:rPr>
        <w:t>的时间不得迟于“投标人须知前附表”所规定的时间。</w:t>
      </w:r>
    </w:p>
    <w:p>
      <w:pPr>
        <w:spacing w:line="440" w:lineRule="exact"/>
        <w:ind w:firstLine="422" w:firstLineChars="200"/>
        <w:outlineLvl w:val="3"/>
        <w:rPr>
          <w:rFonts w:ascii="宋体" w:hAnsi="宋体"/>
          <w:b/>
          <w:bCs/>
          <w:color w:val="000000"/>
          <w:szCs w:val="21"/>
        </w:rPr>
      </w:pPr>
      <w:bookmarkStart w:id="38" w:name="_Toc1116"/>
      <w:r>
        <w:rPr>
          <w:rFonts w:hint="eastAsia" w:ascii="宋体" w:hAnsi="宋体"/>
          <w:b/>
          <w:bCs/>
          <w:color w:val="000000"/>
          <w:szCs w:val="21"/>
        </w:rPr>
        <w:t>22．迟交的投标书（或谈判文件）</w:t>
      </w:r>
      <w:bookmarkEnd w:id="38"/>
    </w:p>
    <w:p>
      <w:pPr>
        <w:spacing w:line="440" w:lineRule="exact"/>
        <w:rPr>
          <w:rFonts w:ascii="宋体" w:hAnsi="宋体"/>
          <w:color w:val="000000"/>
          <w:szCs w:val="21"/>
        </w:rPr>
      </w:pPr>
      <w:r>
        <w:rPr>
          <w:rFonts w:hint="eastAsia" w:ascii="宋体" w:hAnsi="宋体"/>
          <w:color w:val="000000"/>
          <w:szCs w:val="21"/>
        </w:rPr>
        <w:t xml:space="preserve">    22.1  按照投标人须知第21条规定，采购人将拒绝并原封退回在其规定的投标截止期后收到的任何投标书</w:t>
      </w:r>
      <w:r>
        <w:rPr>
          <w:rFonts w:hint="eastAsia" w:ascii="宋体" w:hAnsi="宋体"/>
          <w:bCs/>
          <w:color w:val="000000"/>
          <w:szCs w:val="21"/>
        </w:rPr>
        <w:t>（或谈判文件）</w:t>
      </w:r>
      <w:r>
        <w:rPr>
          <w:rFonts w:hint="eastAsia" w:ascii="宋体" w:hAnsi="宋体"/>
          <w:color w:val="000000"/>
          <w:szCs w:val="21"/>
        </w:rPr>
        <w:t>。</w:t>
      </w:r>
    </w:p>
    <w:p>
      <w:pPr>
        <w:spacing w:line="440" w:lineRule="exact"/>
        <w:ind w:firstLine="422" w:firstLineChars="200"/>
        <w:outlineLvl w:val="3"/>
        <w:rPr>
          <w:rFonts w:ascii="宋体" w:hAnsi="宋体"/>
          <w:b/>
          <w:bCs/>
          <w:color w:val="000000"/>
          <w:szCs w:val="21"/>
        </w:rPr>
      </w:pPr>
      <w:bookmarkStart w:id="39" w:name="_Toc9335"/>
      <w:r>
        <w:rPr>
          <w:rFonts w:hint="eastAsia" w:ascii="宋体" w:hAnsi="宋体"/>
          <w:b/>
          <w:bCs/>
          <w:color w:val="000000"/>
          <w:szCs w:val="21"/>
        </w:rPr>
        <w:t>23．投标书（或谈判文件）的修改和撤回</w:t>
      </w:r>
      <w:bookmarkEnd w:id="39"/>
    </w:p>
    <w:p>
      <w:pPr>
        <w:spacing w:line="440" w:lineRule="exact"/>
        <w:rPr>
          <w:rFonts w:ascii="宋体" w:hAnsi="宋体"/>
          <w:color w:val="000000"/>
          <w:szCs w:val="21"/>
        </w:rPr>
      </w:pPr>
      <w:r>
        <w:rPr>
          <w:rFonts w:hint="eastAsia" w:ascii="宋体" w:hAnsi="宋体"/>
          <w:color w:val="000000"/>
          <w:szCs w:val="21"/>
        </w:rPr>
        <w:t xml:space="preserve">    23.1  投标人在递交投标书</w:t>
      </w:r>
      <w:r>
        <w:rPr>
          <w:rFonts w:hint="eastAsia" w:ascii="宋体" w:hAnsi="宋体"/>
          <w:bCs/>
          <w:color w:val="000000"/>
          <w:szCs w:val="21"/>
        </w:rPr>
        <w:t>（或谈判文件）</w:t>
      </w:r>
      <w:r>
        <w:rPr>
          <w:rFonts w:hint="eastAsia" w:ascii="宋体" w:hAnsi="宋体"/>
          <w:color w:val="000000"/>
          <w:szCs w:val="21"/>
        </w:rPr>
        <w:t>后，可以修改或撤回其投标书</w:t>
      </w:r>
      <w:r>
        <w:rPr>
          <w:rFonts w:hint="eastAsia" w:ascii="宋体" w:hAnsi="宋体"/>
          <w:bCs/>
          <w:color w:val="000000"/>
          <w:szCs w:val="21"/>
        </w:rPr>
        <w:t>（或谈判文件）</w:t>
      </w:r>
      <w:r>
        <w:rPr>
          <w:rFonts w:hint="eastAsia" w:ascii="宋体" w:hAnsi="宋体"/>
          <w:color w:val="000000"/>
          <w:szCs w:val="21"/>
        </w:rPr>
        <w:t>，但采购人必须在规定的投标</w:t>
      </w:r>
      <w:r>
        <w:rPr>
          <w:rFonts w:hint="eastAsia" w:ascii="宋体" w:hAnsi="宋体"/>
          <w:bCs/>
          <w:color w:val="000000"/>
          <w:szCs w:val="21"/>
        </w:rPr>
        <w:t>（或谈判）</w:t>
      </w:r>
      <w:r>
        <w:rPr>
          <w:rFonts w:hint="eastAsia" w:ascii="宋体" w:hAnsi="宋体"/>
          <w:color w:val="000000"/>
          <w:szCs w:val="21"/>
        </w:rPr>
        <w:t>截止期之前，收到修改或撤回的书面通知。</w:t>
      </w:r>
    </w:p>
    <w:p>
      <w:pPr>
        <w:spacing w:line="440" w:lineRule="exact"/>
        <w:rPr>
          <w:rFonts w:ascii="宋体" w:hAnsi="宋体"/>
          <w:color w:val="000000"/>
          <w:szCs w:val="21"/>
        </w:rPr>
      </w:pPr>
      <w:r>
        <w:rPr>
          <w:rFonts w:hint="eastAsia" w:ascii="宋体" w:hAnsi="宋体"/>
          <w:color w:val="000000"/>
          <w:szCs w:val="21"/>
        </w:rPr>
        <w:t xml:space="preserve">    23.2  投标人的修改或撤回通知书应按投标人须知第20、21条规定编制、密封、标记和发送，并应在封套上加注“修改”或“撤回”字样。</w:t>
      </w:r>
    </w:p>
    <w:p>
      <w:pPr>
        <w:spacing w:line="440" w:lineRule="exact"/>
        <w:ind w:firstLine="420" w:firstLineChars="200"/>
        <w:rPr>
          <w:rFonts w:ascii="宋体" w:hAnsi="宋体"/>
          <w:color w:val="000000"/>
          <w:szCs w:val="21"/>
        </w:rPr>
      </w:pPr>
      <w:r>
        <w:rPr>
          <w:rFonts w:hint="eastAsia" w:ascii="宋体" w:hAnsi="宋体"/>
          <w:color w:val="000000"/>
          <w:szCs w:val="21"/>
        </w:rPr>
        <w:t>23.3  在投标截止期之后，投标人不得对其投标书做任何修改。</w:t>
      </w:r>
    </w:p>
    <w:p>
      <w:pPr>
        <w:spacing w:line="440" w:lineRule="exact"/>
        <w:ind w:firstLine="420" w:firstLineChars="200"/>
        <w:rPr>
          <w:rFonts w:ascii="宋体" w:hAnsi="宋体"/>
          <w:color w:val="000000"/>
          <w:szCs w:val="21"/>
        </w:rPr>
      </w:pPr>
      <w:r>
        <w:rPr>
          <w:rFonts w:hint="eastAsia" w:ascii="宋体" w:hAnsi="宋体"/>
          <w:color w:val="000000"/>
          <w:szCs w:val="21"/>
        </w:rPr>
        <w:t>23.4  在投标人须知第21条规定的投标截止期至投标人须知第16条规定的投标有效期期满之间的这段时间内，投标人不得撤回其投标，否则根据投标人须知第15.8条规定，其投标保证金将不予退还。</w:t>
      </w:r>
    </w:p>
    <w:p>
      <w:pPr>
        <w:spacing w:line="440" w:lineRule="exact"/>
        <w:jc w:val="center"/>
        <w:outlineLvl w:val="2"/>
        <w:rPr>
          <w:rFonts w:ascii="宋体" w:hAnsi="宋体"/>
          <w:b/>
          <w:bCs/>
          <w:color w:val="000000"/>
          <w:szCs w:val="21"/>
        </w:rPr>
      </w:pPr>
      <w:bookmarkStart w:id="40" w:name="_Toc18942"/>
      <w:r>
        <w:rPr>
          <w:rFonts w:hint="eastAsia" w:ascii="宋体" w:hAnsi="宋体"/>
          <w:b/>
          <w:bCs/>
          <w:color w:val="000000"/>
          <w:szCs w:val="21"/>
        </w:rPr>
        <w:t>五、开标与评标</w:t>
      </w:r>
      <w:bookmarkEnd w:id="40"/>
    </w:p>
    <w:p>
      <w:pPr>
        <w:spacing w:line="440" w:lineRule="exact"/>
        <w:ind w:firstLine="422" w:firstLineChars="200"/>
        <w:outlineLvl w:val="3"/>
        <w:rPr>
          <w:rFonts w:ascii="宋体" w:hAnsi="宋体"/>
          <w:b/>
          <w:bCs/>
          <w:color w:val="000000"/>
          <w:szCs w:val="21"/>
        </w:rPr>
      </w:pPr>
      <w:bookmarkStart w:id="41" w:name="_Toc32275"/>
      <w:r>
        <w:rPr>
          <w:rFonts w:hint="eastAsia" w:ascii="宋体" w:hAnsi="宋体"/>
          <w:b/>
          <w:bCs/>
          <w:color w:val="000000"/>
          <w:szCs w:val="21"/>
        </w:rPr>
        <w:t>24．开标</w:t>
      </w:r>
      <w:bookmarkEnd w:id="41"/>
    </w:p>
    <w:p>
      <w:pPr>
        <w:spacing w:line="440" w:lineRule="exact"/>
        <w:rPr>
          <w:rFonts w:ascii="宋体" w:hAnsi="宋体"/>
          <w:color w:val="000000"/>
          <w:szCs w:val="21"/>
        </w:rPr>
      </w:pPr>
      <w:r>
        <w:rPr>
          <w:rFonts w:hint="eastAsia" w:ascii="宋体" w:hAnsi="宋体"/>
          <w:color w:val="000000"/>
          <w:szCs w:val="21"/>
        </w:rPr>
        <w:t xml:space="preserve">    24.1 采购人将按投标人须知前附表规定的时间和地点组织公开开标。投标人应委派代表参加，参加开标的代表应签名报到以证明出席。</w:t>
      </w:r>
    </w:p>
    <w:p>
      <w:pPr>
        <w:spacing w:line="440" w:lineRule="exact"/>
        <w:ind w:firstLine="420" w:firstLineChars="200"/>
        <w:rPr>
          <w:rFonts w:ascii="宋体" w:hAnsi="宋体"/>
          <w:color w:val="000000"/>
          <w:szCs w:val="21"/>
        </w:rPr>
      </w:pPr>
      <w:r>
        <w:rPr>
          <w:rFonts w:hint="eastAsia" w:ascii="宋体" w:hAnsi="宋体"/>
          <w:color w:val="000000"/>
          <w:szCs w:val="21"/>
        </w:rPr>
        <w:t>24.2  开标时，采购人将当众宣读投标人名称、修改和撤回投标的通知、开标一览表（以招标文件规定的开标一览表内容为准）。除了按照投标人须知第22条规定原封退回的投标之外，开标时将不得拒绝任何投标书。</w:t>
      </w:r>
    </w:p>
    <w:p>
      <w:pPr>
        <w:spacing w:line="440" w:lineRule="exact"/>
        <w:rPr>
          <w:rFonts w:ascii="宋体" w:hAnsi="宋体"/>
          <w:color w:val="000000"/>
          <w:szCs w:val="21"/>
        </w:rPr>
      </w:pPr>
      <w:r>
        <w:rPr>
          <w:rFonts w:hint="eastAsia" w:ascii="宋体" w:hAnsi="宋体"/>
          <w:color w:val="000000"/>
          <w:szCs w:val="21"/>
        </w:rPr>
        <w:t xml:space="preserve">    24.3  按照投标人须知第23条规定，提交了可接受的“撤回”通知的投标将不予开封。</w:t>
      </w:r>
    </w:p>
    <w:p>
      <w:pPr>
        <w:spacing w:line="440" w:lineRule="exact"/>
        <w:rPr>
          <w:rFonts w:ascii="宋体" w:hAnsi="宋体"/>
          <w:color w:val="000000"/>
          <w:szCs w:val="21"/>
        </w:rPr>
      </w:pPr>
      <w:r>
        <w:rPr>
          <w:rFonts w:hint="eastAsia" w:ascii="宋体" w:hAnsi="宋体"/>
          <w:color w:val="000000"/>
          <w:szCs w:val="21"/>
        </w:rPr>
        <w:t xml:space="preserve">    24.4  无论如何在开标时没有启封和读出的投标书在评标时将不予考虑。撤回的投标书将原封退回投标人。</w:t>
      </w:r>
    </w:p>
    <w:p>
      <w:pPr>
        <w:spacing w:line="440" w:lineRule="exact"/>
        <w:rPr>
          <w:rFonts w:ascii="宋体" w:hAnsi="宋体"/>
          <w:color w:val="000000"/>
          <w:szCs w:val="21"/>
        </w:rPr>
      </w:pPr>
      <w:r>
        <w:rPr>
          <w:rFonts w:hint="eastAsia" w:ascii="宋体" w:hAnsi="宋体"/>
          <w:color w:val="000000"/>
          <w:szCs w:val="21"/>
        </w:rPr>
        <w:t xml:space="preserve">    24.5  采购人将做开标记录，开标记录包括按投标人须知第24.2的规定在开标时宣读的全部内容。</w:t>
      </w:r>
    </w:p>
    <w:p>
      <w:pPr>
        <w:spacing w:line="440" w:lineRule="exact"/>
        <w:ind w:firstLine="422" w:firstLineChars="200"/>
        <w:outlineLvl w:val="3"/>
        <w:rPr>
          <w:rFonts w:ascii="宋体" w:hAnsi="宋体"/>
          <w:b/>
          <w:bCs/>
          <w:color w:val="000000"/>
          <w:szCs w:val="21"/>
        </w:rPr>
      </w:pPr>
      <w:bookmarkStart w:id="42" w:name="_Toc4426"/>
      <w:r>
        <w:rPr>
          <w:rFonts w:hint="eastAsia" w:ascii="宋体" w:hAnsi="宋体"/>
          <w:b/>
          <w:bCs/>
          <w:color w:val="000000"/>
          <w:szCs w:val="21"/>
        </w:rPr>
        <w:t>25．</w:t>
      </w:r>
      <w:r>
        <w:rPr>
          <w:rFonts w:hint="eastAsia" w:ascii="宋体" w:hAnsi="宋体"/>
          <w:b/>
          <w:color w:val="000000"/>
          <w:szCs w:val="21"/>
        </w:rPr>
        <w:t>评标委员会的组建和</w:t>
      </w:r>
      <w:r>
        <w:rPr>
          <w:rFonts w:hint="eastAsia" w:ascii="宋体" w:hAnsi="宋体"/>
          <w:b/>
          <w:bCs/>
          <w:color w:val="000000"/>
          <w:szCs w:val="21"/>
        </w:rPr>
        <w:t>评标过程的保密性</w:t>
      </w:r>
      <w:bookmarkEnd w:id="42"/>
    </w:p>
    <w:p>
      <w:pPr>
        <w:spacing w:line="440" w:lineRule="exact"/>
        <w:ind w:firstLine="420" w:firstLineChars="200"/>
        <w:rPr>
          <w:rFonts w:ascii="宋体" w:hAnsi="宋体"/>
          <w:color w:val="000000"/>
          <w:szCs w:val="21"/>
        </w:rPr>
      </w:pPr>
      <w:r>
        <w:rPr>
          <w:rFonts w:hint="eastAsia" w:ascii="宋体" w:hAnsi="宋体"/>
          <w:color w:val="000000"/>
          <w:szCs w:val="21"/>
        </w:rPr>
        <w:t>25.1  评标委员会由采购人依法组建，负责评标活动。评标委员会由有关技术、经济等方面的专家组成，成员人数为五人以上单数，其中技术、经济等方面的专家不少于成员总数的三分之二。采用评标定标分离方式的评审委员会组成，按相关规定执行。</w:t>
      </w:r>
    </w:p>
    <w:p>
      <w:pPr>
        <w:spacing w:line="440" w:lineRule="exact"/>
        <w:rPr>
          <w:rFonts w:ascii="宋体" w:hAnsi="宋体"/>
          <w:color w:val="000000"/>
          <w:szCs w:val="21"/>
        </w:rPr>
      </w:pPr>
      <w:r>
        <w:rPr>
          <w:rFonts w:hint="eastAsia" w:ascii="宋体" w:hAnsi="宋体"/>
          <w:color w:val="000000"/>
          <w:szCs w:val="21"/>
        </w:rPr>
        <w:t xml:space="preserve">    25.2  公开开标后，直至向中标的投标人授予合同时止，凡与审查、澄清、评价和比较投标的有关资料以及授标意见等，均不得向投标人及与评标无关的其他人透露。</w:t>
      </w:r>
    </w:p>
    <w:p>
      <w:pPr>
        <w:spacing w:line="440" w:lineRule="exact"/>
        <w:rPr>
          <w:rFonts w:ascii="宋体" w:hAnsi="宋体"/>
          <w:color w:val="000000"/>
          <w:szCs w:val="21"/>
        </w:rPr>
      </w:pPr>
      <w:r>
        <w:rPr>
          <w:rFonts w:hint="eastAsia" w:ascii="宋体" w:hAnsi="宋体"/>
          <w:color w:val="000000"/>
          <w:szCs w:val="21"/>
        </w:rPr>
        <w:t xml:space="preserve">    25.3  在评标过程中，投标人试图在投标书审查、澄清、比较及授予合同方面向采购人施加影响的任何行动都可能导致其投标被拒绝。</w:t>
      </w:r>
    </w:p>
    <w:p>
      <w:pPr>
        <w:spacing w:line="440" w:lineRule="exact"/>
        <w:ind w:firstLine="422" w:firstLineChars="200"/>
        <w:outlineLvl w:val="3"/>
        <w:rPr>
          <w:rFonts w:ascii="宋体" w:hAnsi="宋体"/>
          <w:b/>
          <w:bCs/>
          <w:color w:val="000000"/>
          <w:szCs w:val="21"/>
        </w:rPr>
      </w:pPr>
      <w:bookmarkStart w:id="43" w:name="_Toc12531"/>
      <w:r>
        <w:rPr>
          <w:rFonts w:hint="eastAsia" w:ascii="宋体" w:hAnsi="宋体"/>
          <w:b/>
          <w:bCs/>
          <w:color w:val="000000"/>
          <w:szCs w:val="21"/>
        </w:rPr>
        <w:t>26</w:t>
      </w:r>
      <w:r>
        <w:rPr>
          <w:rFonts w:hint="eastAsia" w:ascii="宋体" w:hAnsi="宋体"/>
          <w:color w:val="000000"/>
          <w:szCs w:val="21"/>
        </w:rPr>
        <w:t>．</w:t>
      </w:r>
      <w:r>
        <w:rPr>
          <w:rFonts w:hint="eastAsia" w:ascii="宋体" w:hAnsi="宋体"/>
          <w:b/>
          <w:bCs/>
          <w:color w:val="000000"/>
          <w:szCs w:val="21"/>
        </w:rPr>
        <w:t>投标书的澄清</w:t>
      </w:r>
      <w:bookmarkEnd w:id="43"/>
    </w:p>
    <w:p>
      <w:pPr>
        <w:spacing w:line="440" w:lineRule="exact"/>
        <w:ind w:firstLine="420"/>
        <w:rPr>
          <w:rFonts w:ascii="宋体" w:hAnsi="宋体"/>
          <w:color w:val="000000"/>
          <w:szCs w:val="21"/>
        </w:rPr>
      </w:pPr>
      <w:r>
        <w:rPr>
          <w:rFonts w:hint="eastAsia" w:ascii="宋体" w:hAnsi="宋体"/>
          <w:color w:val="000000"/>
          <w:szCs w:val="21"/>
        </w:rPr>
        <w:t>26.1  为有助于对投标书审查、评价和比较，对于投标文件中含义不明确、同类问题表述不一致或者有明显文字和计算错误的内容，评标委员会以书面形式要求投标人作出必要的澄清、说明或者补正。</w:t>
      </w:r>
    </w:p>
    <w:p>
      <w:pPr>
        <w:spacing w:line="440" w:lineRule="exact"/>
        <w:ind w:firstLine="420"/>
        <w:rPr>
          <w:rFonts w:ascii="宋体" w:hAnsi="宋体"/>
          <w:color w:val="000000"/>
          <w:szCs w:val="21"/>
        </w:rPr>
      </w:pPr>
      <w:r>
        <w:rPr>
          <w:rFonts w:hint="eastAsia" w:ascii="宋体" w:hAnsi="宋体"/>
          <w:color w:val="000000"/>
          <w:szCs w:val="21"/>
        </w:rPr>
        <w:t>26.2  投标人的澄清、说明或者补正采用书面形式，并加盖公章，或者由法定代表人或其授权的代表签字。投标人的澄清、说明或者补正不得超出投标文件的范围或者改变投标文件的实质性内容。</w:t>
      </w:r>
    </w:p>
    <w:p>
      <w:pPr>
        <w:spacing w:line="440" w:lineRule="exact"/>
        <w:ind w:firstLine="422" w:firstLineChars="200"/>
        <w:outlineLvl w:val="3"/>
        <w:rPr>
          <w:rFonts w:ascii="宋体" w:hAnsi="宋体"/>
          <w:b/>
          <w:bCs/>
          <w:color w:val="000000"/>
          <w:szCs w:val="21"/>
        </w:rPr>
      </w:pPr>
      <w:bookmarkStart w:id="44" w:name="_Toc20222"/>
      <w:r>
        <w:rPr>
          <w:rFonts w:hint="eastAsia" w:ascii="宋体" w:hAnsi="宋体"/>
          <w:b/>
          <w:bCs/>
          <w:color w:val="000000"/>
          <w:szCs w:val="21"/>
        </w:rPr>
        <w:t>27．投标书的初审和评审</w:t>
      </w:r>
      <w:bookmarkEnd w:id="44"/>
    </w:p>
    <w:p>
      <w:pPr>
        <w:spacing w:line="440" w:lineRule="exact"/>
        <w:ind w:firstLine="420" w:firstLineChars="200"/>
        <w:rPr>
          <w:rFonts w:ascii="宋体" w:hAnsi="宋体"/>
          <w:szCs w:val="21"/>
        </w:rPr>
      </w:pPr>
      <w:r>
        <w:rPr>
          <w:rFonts w:hint="eastAsia" w:ascii="宋体" w:hAnsi="宋体"/>
          <w:szCs w:val="21"/>
        </w:rPr>
        <w:t>27.1  开标后，采购人（或授权评标委员会）投标文件中的资格证明等内容对投标供应商进行资格核查，核查不合格的，视为投标无效；核查内容均合格的，其投标文件将由评标委员会进行评审。</w:t>
      </w:r>
    </w:p>
    <w:p>
      <w:pPr>
        <w:spacing w:line="440" w:lineRule="exact"/>
        <w:rPr>
          <w:rFonts w:ascii="宋体" w:hAnsi="宋体"/>
          <w:color w:val="000000"/>
          <w:szCs w:val="21"/>
        </w:rPr>
      </w:pPr>
      <w:r>
        <w:rPr>
          <w:rFonts w:hint="eastAsia" w:ascii="宋体" w:hAnsi="宋体"/>
          <w:color w:val="000000"/>
          <w:szCs w:val="21"/>
        </w:rPr>
        <w:t xml:space="preserve">    27.2  在详细评标之前，评标委员会要审查每份投标书是否实质上响应了招标文件的要求。实质上响应的投标应该是与招标文件要求的全部条款、条件和规格相符，没有重大偏离或保留的投标。所谓重大偏离或保留指实质上影响合同的供货范围、质量和性能；或者实质上与招标文件不一致，而且限制了合同中采购人的权利或投标人的义务。纠正这些偏离或保留将会对其他实质性响应要求的投标人的竞争地位产生不公正的影响。评标委员会决定投标书的响应性只根据投标书本身的内容，而不寻求外部的证据。</w:t>
      </w:r>
    </w:p>
    <w:p>
      <w:pPr>
        <w:spacing w:line="440" w:lineRule="exact"/>
        <w:rPr>
          <w:rFonts w:ascii="宋体" w:hAnsi="宋体"/>
          <w:color w:val="000000"/>
          <w:szCs w:val="21"/>
        </w:rPr>
      </w:pPr>
      <w:r>
        <w:rPr>
          <w:rFonts w:hint="eastAsia" w:ascii="宋体" w:hAnsi="宋体"/>
          <w:color w:val="000000"/>
          <w:szCs w:val="21"/>
        </w:rPr>
        <w:t xml:space="preserve">    27.3  如果投标书实质上没有响应招标文件的要求，评标委员会将予以拒绝，投标人不得通过修正或撤消不符合要求的偏离或保留从而使其投标成为实质上响应的投标。</w:t>
      </w:r>
    </w:p>
    <w:p>
      <w:pPr>
        <w:spacing w:line="440" w:lineRule="exact"/>
        <w:ind w:firstLine="420" w:firstLineChars="200"/>
        <w:rPr>
          <w:rFonts w:ascii="宋体" w:hAnsi="宋体"/>
          <w:color w:val="000000"/>
          <w:szCs w:val="21"/>
        </w:rPr>
      </w:pPr>
      <w:r>
        <w:rPr>
          <w:rFonts w:hint="eastAsia" w:ascii="宋体" w:hAnsi="宋体"/>
          <w:color w:val="000000"/>
          <w:szCs w:val="21"/>
        </w:rPr>
        <w:t>27.4  评标委员会将对确定为实质上响应的投标文件进行审核，投标文件报价出现前后不一致的，除招标文件另有规定外，按照下列规定修正：</w:t>
      </w:r>
    </w:p>
    <w:p>
      <w:pPr>
        <w:spacing w:line="440" w:lineRule="exact"/>
        <w:ind w:firstLine="420" w:firstLineChars="200"/>
        <w:rPr>
          <w:rFonts w:ascii="宋体" w:hAnsi="宋体"/>
          <w:color w:val="000000"/>
          <w:szCs w:val="21"/>
        </w:rPr>
      </w:pPr>
      <w:r>
        <w:rPr>
          <w:rFonts w:hint="eastAsia" w:ascii="宋体" w:hAnsi="宋体"/>
          <w:color w:val="000000"/>
          <w:szCs w:val="21"/>
        </w:rPr>
        <w:t>（1）投标文件中开标一览表内容与投标文件中相应内容不一致的，以开标一览表为准；</w:t>
      </w:r>
    </w:p>
    <w:p>
      <w:pPr>
        <w:spacing w:line="440" w:lineRule="exact"/>
        <w:ind w:firstLine="420" w:firstLineChars="200"/>
        <w:rPr>
          <w:rFonts w:ascii="宋体" w:hAnsi="宋体"/>
          <w:color w:val="000000"/>
          <w:szCs w:val="21"/>
        </w:rPr>
      </w:pPr>
      <w:r>
        <w:rPr>
          <w:rFonts w:hint="eastAsia" w:ascii="宋体" w:hAnsi="宋体"/>
          <w:color w:val="000000"/>
          <w:szCs w:val="21"/>
        </w:rPr>
        <w:t>（2）大写金额和小写金额不一致的，以大写金额为准；</w:t>
      </w:r>
    </w:p>
    <w:p>
      <w:pPr>
        <w:spacing w:line="440" w:lineRule="exact"/>
        <w:ind w:firstLine="420" w:firstLineChars="200"/>
        <w:rPr>
          <w:rFonts w:ascii="宋体" w:hAnsi="宋体"/>
          <w:color w:val="000000"/>
          <w:szCs w:val="21"/>
        </w:rPr>
      </w:pPr>
      <w:r>
        <w:rPr>
          <w:rFonts w:hint="eastAsia" w:ascii="宋体" w:hAnsi="宋体"/>
          <w:color w:val="000000"/>
          <w:szCs w:val="21"/>
        </w:rPr>
        <w:t>（3）单价金额小数点或者百分比有明显错位的，以开标一览表的总价为准，并修改单价；</w:t>
      </w:r>
    </w:p>
    <w:p>
      <w:pPr>
        <w:spacing w:line="440" w:lineRule="exact"/>
        <w:ind w:firstLine="420" w:firstLineChars="200"/>
        <w:rPr>
          <w:rFonts w:ascii="宋体" w:hAnsi="宋体"/>
          <w:color w:val="000000"/>
          <w:szCs w:val="21"/>
        </w:rPr>
      </w:pPr>
      <w:r>
        <w:rPr>
          <w:rFonts w:hint="eastAsia" w:ascii="宋体" w:hAnsi="宋体"/>
          <w:color w:val="000000"/>
          <w:szCs w:val="21"/>
        </w:rPr>
        <w:t>（4）总价金额与按单价汇总金额不一致的，以单价金额计算结果为准。</w:t>
      </w:r>
    </w:p>
    <w:p>
      <w:pPr>
        <w:spacing w:line="440" w:lineRule="exact"/>
        <w:ind w:firstLine="420"/>
        <w:rPr>
          <w:rFonts w:ascii="宋体" w:hAnsi="宋体"/>
          <w:color w:val="000000"/>
          <w:szCs w:val="21"/>
        </w:rPr>
      </w:pPr>
      <w:r>
        <w:rPr>
          <w:rFonts w:hint="eastAsia" w:ascii="宋体" w:hAnsi="宋体"/>
          <w:color w:val="000000"/>
          <w:szCs w:val="21"/>
        </w:rPr>
        <w:t>27.5  评标委员会将按上述方法修正投标报价，同时出现两种以上不一致的，按照上述27.4条规定的顺序修正。修正后的报价按照26.2条的规定经投标人确认后产生约束力，投标人不确认的，其投标无效。</w:t>
      </w:r>
    </w:p>
    <w:p>
      <w:pPr>
        <w:spacing w:line="440" w:lineRule="exact"/>
        <w:ind w:firstLine="420" w:firstLineChars="200"/>
        <w:rPr>
          <w:rFonts w:ascii="宋体" w:hAnsi="宋体"/>
          <w:color w:val="000000"/>
          <w:szCs w:val="21"/>
        </w:rPr>
      </w:pPr>
      <w:r>
        <w:rPr>
          <w:rFonts w:hint="eastAsia" w:ascii="宋体" w:hAnsi="宋体"/>
          <w:color w:val="000000"/>
          <w:szCs w:val="21"/>
        </w:rPr>
        <w:t>27.6  对于投标书中不构成实质性偏差的小的不正规、不一致或不规范，评标委员会可以接受，但这种接受不能损害或影响任何投标人的相对排序。</w:t>
      </w:r>
    </w:p>
    <w:p>
      <w:pPr>
        <w:spacing w:line="440" w:lineRule="exact"/>
        <w:ind w:left="-2" w:leftChars="-1" w:firstLine="420" w:firstLineChars="200"/>
        <w:rPr>
          <w:rFonts w:ascii="宋体" w:hAnsi="宋体"/>
          <w:color w:val="000000"/>
          <w:szCs w:val="21"/>
        </w:rPr>
      </w:pPr>
      <w:r>
        <w:rPr>
          <w:rFonts w:hint="eastAsia" w:ascii="宋体" w:hAnsi="宋体"/>
          <w:color w:val="000000"/>
          <w:szCs w:val="21"/>
        </w:rPr>
        <w:t>27.7  评标委员会将拒绝被确定为非实质性响应的投标方，投标方不能通过修正或撤销不符之处而使其投标成为实质性响应的投标。如发现下列情况之一的，其投标将被拒绝：</w:t>
      </w:r>
    </w:p>
    <w:p>
      <w:pPr>
        <w:spacing w:line="440" w:lineRule="exact"/>
        <w:ind w:firstLine="455" w:firstLineChars="217"/>
        <w:rPr>
          <w:rFonts w:ascii="宋体" w:hAnsi="宋体"/>
          <w:color w:val="000000"/>
          <w:szCs w:val="21"/>
        </w:rPr>
      </w:pPr>
      <w:r>
        <w:rPr>
          <w:rFonts w:hint="eastAsia" w:ascii="宋体" w:hAnsi="宋体"/>
          <w:color w:val="000000"/>
          <w:szCs w:val="21"/>
        </w:rPr>
        <w:t>（1）</w:t>
      </w:r>
      <w:r>
        <w:rPr>
          <w:rFonts w:hint="eastAsia" w:ascii="宋体" w:hAnsi="宋体"/>
          <w:szCs w:val="21"/>
        </w:rPr>
        <w:t>投标</w:t>
      </w:r>
      <w:r>
        <w:rPr>
          <w:rFonts w:hint="eastAsia" w:ascii="宋体" w:hAnsi="宋体"/>
          <w:color w:val="000000"/>
          <w:szCs w:val="21"/>
        </w:rPr>
        <w:t>人未按照招标文件的要求提供投标保证金的；</w:t>
      </w:r>
      <w:r>
        <w:rPr>
          <w:rFonts w:ascii="宋体" w:hAnsi="宋体"/>
          <w:color w:val="000000"/>
          <w:szCs w:val="21"/>
        </w:rPr>
        <w:t xml:space="preserve"> </w:t>
      </w:r>
    </w:p>
    <w:p>
      <w:pPr>
        <w:spacing w:line="440" w:lineRule="exact"/>
        <w:ind w:firstLine="455" w:firstLineChars="217"/>
        <w:rPr>
          <w:rFonts w:ascii="宋体" w:hAnsi="宋体"/>
          <w:szCs w:val="21"/>
        </w:rPr>
      </w:pPr>
      <w:r>
        <w:rPr>
          <w:rFonts w:hint="eastAsia" w:ascii="宋体" w:hAnsi="宋体"/>
          <w:color w:val="000000"/>
          <w:szCs w:val="21"/>
        </w:rPr>
        <w:t>（2）投标文</w:t>
      </w:r>
      <w:r>
        <w:rPr>
          <w:rFonts w:hint="eastAsia" w:ascii="宋体" w:hAnsi="宋体"/>
          <w:szCs w:val="21"/>
        </w:rPr>
        <w:t>件无法定代表人签字或盖章，或签字人无法定代表人有效授权委托书原件的；</w:t>
      </w:r>
    </w:p>
    <w:p>
      <w:pPr>
        <w:spacing w:line="440" w:lineRule="exact"/>
        <w:ind w:firstLine="455" w:firstLineChars="217"/>
        <w:rPr>
          <w:rFonts w:ascii="宋体" w:hAnsi="宋体"/>
          <w:szCs w:val="21"/>
        </w:rPr>
      </w:pPr>
      <w:r>
        <w:rPr>
          <w:rFonts w:hint="eastAsia" w:ascii="宋体" w:hAnsi="宋体"/>
          <w:color w:val="000000"/>
          <w:szCs w:val="21"/>
        </w:rPr>
        <w:t>（3）投标总价</w:t>
      </w:r>
      <w:r>
        <w:rPr>
          <w:rFonts w:hint="eastAsia" w:ascii="宋体" w:hAnsi="宋体"/>
          <w:szCs w:val="21"/>
        </w:rPr>
        <w:t>或分项报价</w:t>
      </w:r>
      <w:r>
        <w:rPr>
          <w:rFonts w:hint="eastAsia" w:ascii="宋体" w:hAnsi="宋体"/>
          <w:color w:val="000000"/>
          <w:szCs w:val="21"/>
        </w:rPr>
        <w:t>超过预算控制金额的；</w:t>
      </w:r>
    </w:p>
    <w:p>
      <w:pPr>
        <w:spacing w:line="440" w:lineRule="exact"/>
        <w:ind w:firstLine="455" w:firstLineChars="217"/>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）开标一览表出现无报价或报价为零或有选择性报价的；</w:t>
      </w:r>
    </w:p>
    <w:p>
      <w:pPr>
        <w:spacing w:line="440" w:lineRule="exact"/>
        <w:ind w:firstLine="455" w:firstLineChars="217"/>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spacing w:val="-4"/>
          <w:szCs w:val="21"/>
        </w:rPr>
        <w:t>投标人以他人的名义投标、串通投标、以行贿手段谋取中标或者以其他弄虚作假方式投标；</w:t>
      </w:r>
    </w:p>
    <w:p>
      <w:pPr>
        <w:spacing w:line="440" w:lineRule="exact"/>
        <w:ind w:firstLine="455" w:firstLineChars="217"/>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spacing w:val="-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Cs w:val="21"/>
        </w:rPr>
        <w:t>；</w:t>
      </w:r>
    </w:p>
    <w:p>
      <w:pPr>
        <w:spacing w:line="440" w:lineRule="exact"/>
        <w:ind w:firstLine="455" w:firstLineChars="217"/>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）投标人拒不按照要求对投标文件进行澄清、说明或者补正的；</w:t>
      </w:r>
    </w:p>
    <w:p>
      <w:pPr>
        <w:spacing w:line="440" w:lineRule="exact"/>
        <w:ind w:firstLine="455" w:firstLineChars="217"/>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）文件的关键内容字迹模糊、无法辨认的；</w:t>
      </w:r>
    </w:p>
    <w:p>
      <w:pPr>
        <w:spacing w:line="440" w:lineRule="exact"/>
        <w:ind w:firstLine="455" w:firstLineChars="217"/>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）投标函未按规定填写的；</w:t>
      </w:r>
    </w:p>
    <w:p>
      <w:pPr>
        <w:spacing w:line="440" w:lineRule="exact"/>
        <w:ind w:firstLine="455" w:firstLineChars="217"/>
        <w:rPr>
          <w:rFonts w:ascii="宋体" w:hAnsi="宋体"/>
          <w:color w:val="000000"/>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）投标有效期不足的；</w:t>
      </w:r>
    </w:p>
    <w:p>
      <w:pPr>
        <w:spacing w:line="440" w:lineRule="exact"/>
        <w:ind w:firstLine="455" w:firstLineChars="217"/>
        <w:rPr>
          <w:rFonts w:ascii="宋体" w:hAnsi="宋体"/>
          <w:color w:val="000000"/>
          <w:szCs w:val="21"/>
        </w:rPr>
      </w:pP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w:t>
      </w:r>
      <w:r>
        <w:rPr>
          <w:rFonts w:hint="eastAsia" w:ascii="宋体" w:hAnsi="宋体"/>
          <w:spacing w:val="-6"/>
          <w:szCs w:val="21"/>
        </w:rPr>
        <w:t>投标人的投标未能在实质上响应招标文件提出的所有实质性要求和条件（不可偏离条款）的；</w:t>
      </w:r>
    </w:p>
    <w:p>
      <w:pPr>
        <w:spacing w:line="440" w:lineRule="exact"/>
        <w:ind w:firstLine="455" w:firstLineChars="217"/>
        <w:rPr>
          <w:rFonts w:ascii="宋体" w:hAnsi="宋体"/>
          <w:color w:val="000000"/>
          <w:szCs w:val="21"/>
        </w:rPr>
      </w:pP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）法律、法规规定的其他情形。</w:t>
      </w:r>
    </w:p>
    <w:p>
      <w:pPr>
        <w:spacing w:line="440" w:lineRule="exact"/>
        <w:ind w:firstLine="422" w:firstLineChars="200"/>
        <w:outlineLvl w:val="3"/>
        <w:rPr>
          <w:rFonts w:ascii="宋体" w:hAnsi="宋体"/>
          <w:b/>
          <w:bCs/>
          <w:color w:val="000000"/>
          <w:szCs w:val="21"/>
        </w:rPr>
      </w:pPr>
      <w:bookmarkStart w:id="45" w:name="_Toc8951"/>
      <w:r>
        <w:rPr>
          <w:rFonts w:hint="eastAsia" w:ascii="宋体" w:hAnsi="宋体"/>
          <w:b/>
          <w:bCs/>
          <w:color w:val="000000"/>
          <w:szCs w:val="21"/>
        </w:rPr>
        <w:t>28．评标原则及方法</w:t>
      </w:r>
      <w:bookmarkEnd w:id="45"/>
    </w:p>
    <w:p>
      <w:pPr>
        <w:spacing w:line="440" w:lineRule="exact"/>
        <w:rPr>
          <w:rFonts w:ascii="宋体" w:hAnsi="宋体"/>
          <w:color w:val="000000"/>
          <w:szCs w:val="21"/>
        </w:rPr>
      </w:pPr>
      <w:r>
        <w:rPr>
          <w:rFonts w:hint="eastAsia" w:ascii="宋体" w:hAnsi="宋体"/>
          <w:color w:val="000000"/>
          <w:szCs w:val="21"/>
        </w:rPr>
        <w:t xml:space="preserve">    28.1  评标活动依法进行，任何单位和个人不得非法干预评标过程和结果。</w:t>
      </w:r>
    </w:p>
    <w:p>
      <w:pPr>
        <w:spacing w:line="440" w:lineRule="exact"/>
        <w:rPr>
          <w:rFonts w:ascii="宋体" w:hAnsi="宋体"/>
          <w:color w:val="000000"/>
          <w:szCs w:val="21"/>
        </w:rPr>
      </w:pPr>
      <w:r>
        <w:rPr>
          <w:rFonts w:hint="eastAsia" w:ascii="宋体" w:hAnsi="宋体"/>
          <w:color w:val="000000"/>
          <w:szCs w:val="21"/>
        </w:rPr>
        <w:t xml:space="preserve">    28.2  评标过程中不允许违背评标程序或采用招标文件未载明的评标方法或评标因素进行评标。</w:t>
      </w:r>
    </w:p>
    <w:p>
      <w:pPr>
        <w:spacing w:line="440" w:lineRule="exact"/>
        <w:ind w:firstLine="420" w:firstLineChars="200"/>
        <w:rPr>
          <w:rFonts w:ascii="宋体" w:hAnsi="宋体"/>
          <w:color w:val="000000"/>
          <w:szCs w:val="21"/>
        </w:rPr>
      </w:pPr>
      <w:r>
        <w:rPr>
          <w:rFonts w:hint="eastAsia" w:ascii="宋体" w:hAnsi="宋体"/>
          <w:color w:val="000000"/>
          <w:szCs w:val="21"/>
        </w:rPr>
        <w:t>28.3  评标委员会将按照投标人须知第27条规定，只对确定为实质上响应招标文件要求的投标进行评价和比较。</w:t>
      </w:r>
    </w:p>
    <w:p>
      <w:pPr>
        <w:spacing w:line="440" w:lineRule="exact"/>
        <w:rPr>
          <w:rFonts w:ascii="宋体" w:hAnsi="宋体"/>
          <w:color w:val="000000"/>
          <w:szCs w:val="21"/>
        </w:rPr>
      </w:pPr>
      <w:r>
        <w:rPr>
          <w:rFonts w:hint="eastAsia" w:ascii="宋体" w:hAnsi="宋体"/>
          <w:color w:val="000000"/>
          <w:szCs w:val="21"/>
        </w:rPr>
        <w:t xml:space="preserve">    28.4  评标的基础是按投标人须知第11条规定的投标报价。</w:t>
      </w:r>
    </w:p>
    <w:p>
      <w:pPr>
        <w:spacing w:line="440" w:lineRule="exact"/>
        <w:ind w:firstLine="420" w:firstLineChars="200"/>
        <w:rPr>
          <w:rFonts w:ascii="宋体" w:hAnsi="宋体"/>
          <w:color w:val="000000"/>
          <w:szCs w:val="21"/>
        </w:rPr>
      </w:pPr>
      <w:r>
        <w:rPr>
          <w:rFonts w:hint="eastAsia" w:ascii="宋体" w:hAnsi="宋体"/>
          <w:color w:val="000000"/>
          <w:szCs w:val="21"/>
        </w:rPr>
        <w:t>28.5  评标委员会在评标时，除考虑投标人的报价和技术服务之外，还要按照技术规格规定的方法考虑下列因素：</w:t>
      </w:r>
    </w:p>
    <w:p>
      <w:pPr>
        <w:spacing w:line="440" w:lineRule="exact"/>
        <w:ind w:firstLine="472" w:firstLineChars="225"/>
        <w:rPr>
          <w:rFonts w:ascii="宋体" w:hAnsi="宋体"/>
          <w:color w:val="000000"/>
          <w:szCs w:val="21"/>
        </w:rPr>
      </w:pPr>
      <w:r>
        <w:rPr>
          <w:rFonts w:hint="eastAsia" w:ascii="宋体" w:hAnsi="宋体"/>
          <w:color w:val="000000"/>
          <w:szCs w:val="21"/>
        </w:rPr>
        <w:t>（1）投标人所提供服务的质量情况；</w:t>
      </w:r>
    </w:p>
    <w:p>
      <w:pPr>
        <w:spacing w:line="440" w:lineRule="exact"/>
        <w:ind w:firstLine="472" w:firstLineChars="225"/>
        <w:rPr>
          <w:rFonts w:ascii="宋体" w:hAnsi="宋体"/>
          <w:color w:val="000000"/>
          <w:szCs w:val="21"/>
        </w:rPr>
      </w:pPr>
      <w:r>
        <w:rPr>
          <w:rFonts w:hint="eastAsia" w:ascii="宋体" w:hAnsi="宋体"/>
          <w:color w:val="000000"/>
          <w:szCs w:val="21"/>
        </w:rPr>
        <w:t>（2）投标方售后服务的能力；</w:t>
      </w:r>
    </w:p>
    <w:p>
      <w:pPr>
        <w:spacing w:line="440" w:lineRule="exact"/>
        <w:ind w:firstLine="472" w:firstLineChars="225"/>
        <w:rPr>
          <w:rFonts w:ascii="宋体" w:hAnsi="宋体"/>
          <w:color w:val="000000"/>
          <w:szCs w:val="21"/>
        </w:rPr>
      </w:pPr>
      <w:r>
        <w:rPr>
          <w:rFonts w:hint="eastAsia" w:ascii="宋体" w:hAnsi="宋体"/>
          <w:color w:val="000000"/>
          <w:szCs w:val="21"/>
        </w:rPr>
        <w:t>（3）投标人资质情况；</w:t>
      </w:r>
    </w:p>
    <w:p>
      <w:pPr>
        <w:spacing w:line="440" w:lineRule="exact"/>
        <w:ind w:firstLine="472" w:firstLineChars="225"/>
        <w:rPr>
          <w:rFonts w:ascii="宋体" w:hAnsi="宋体"/>
          <w:color w:val="000000"/>
          <w:szCs w:val="21"/>
        </w:rPr>
      </w:pPr>
      <w:r>
        <w:rPr>
          <w:rFonts w:hint="eastAsia" w:ascii="宋体" w:hAnsi="宋体"/>
          <w:color w:val="000000"/>
          <w:szCs w:val="21"/>
        </w:rPr>
        <w:t>（4）投标人所承诺的伴随服务情况。</w:t>
      </w:r>
    </w:p>
    <w:p>
      <w:pPr>
        <w:spacing w:line="440" w:lineRule="exact"/>
        <w:ind w:firstLine="472" w:firstLineChars="225"/>
        <w:rPr>
          <w:rFonts w:ascii="宋体" w:hAnsi="宋体"/>
          <w:color w:val="000000"/>
          <w:szCs w:val="21"/>
        </w:rPr>
      </w:pPr>
      <w:r>
        <w:rPr>
          <w:rFonts w:hint="eastAsia" w:ascii="宋体" w:hAnsi="宋体"/>
          <w:color w:val="000000"/>
          <w:szCs w:val="21"/>
        </w:rPr>
        <w:t>28.6</w:t>
      </w:r>
      <w:bookmarkStart w:id="46" w:name="_Toc100052404"/>
      <w:r>
        <w:rPr>
          <w:rFonts w:hint="eastAsia" w:ascii="宋体" w:hAnsi="宋体"/>
          <w:color w:val="000000"/>
          <w:szCs w:val="21"/>
        </w:rPr>
        <w:t xml:space="preserve">  编写评标报告</w:t>
      </w:r>
      <w:bookmarkEnd w:id="46"/>
      <w:r>
        <w:rPr>
          <w:rFonts w:hint="eastAsia" w:ascii="宋体" w:hAnsi="宋体"/>
          <w:color w:val="000000"/>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40" w:lineRule="exact"/>
        <w:ind w:firstLine="455" w:firstLineChars="217"/>
        <w:rPr>
          <w:rFonts w:ascii="宋体" w:hAnsi="宋体"/>
          <w:color w:val="000000"/>
          <w:szCs w:val="21"/>
        </w:rPr>
      </w:pPr>
      <w:r>
        <w:rPr>
          <w:rFonts w:hint="eastAsia" w:ascii="宋体" w:hAnsi="宋体"/>
          <w:color w:val="000000"/>
          <w:szCs w:val="21"/>
        </w:rPr>
        <w:t>28.7  中标公告</w:t>
      </w:r>
    </w:p>
    <w:p>
      <w:pPr>
        <w:pStyle w:val="27"/>
        <w:widowControl w:val="0"/>
        <w:spacing w:before="0" w:beforeAutospacing="0" w:after="0" w:afterAutospacing="0" w:line="440" w:lineRule="exact"/>
        <w:ind w:right="215" w:firstLine="455" w:firstLineChars="217"/>
        <w:jc w:val="both"/>
        <w:rPr>
          <w:color w:val="000000"/>
          <w:sz w:val="21"/>
          <w:szCs w:val="21"/>
        </w:rPr>
      </w:pPr>
      <w:r>
        <w:rPr>
          <w:rFonts w:hint="eastAsia"/>
          <w:color w:val="000000"/>
          <w:kern w:val="2"/>
          <w:sz w:val="21"/>
          <w:szCs w:val="21"/>
        </w:rPr>
        <w:t>（1）为体现“公开、公平、公正”的原则，评标结束后，采购人将在“投标人须知前附表”所列信息发布网站上发布中标结果公告，公示期为不少于3日。供应商如对评标结果有异议，请于公示期内，以</w:t>
      </w:r>
      <w:r>
        <w:rPr>
          <w:rFonts w:hint="eastAsia"/>
          <w:color w:val="000000"/>
          <w:sz w:val="21"/>
          <w:szCs w:val="21"/>
        </w:rPr>
        <w:t>书面形式向采购人反映。若在公示期内未提出异议，则视为认同该评标结果。</w:t>
      </w:r>
    </w:p>
    <w:p>
      <w:pPr>
        <w:spacing w:line="440" w:lineRule="exact"/>
        <w:ind w:firstLine="411" w:firstLineChars="196"/>
        <w:rPr>
          <w:rFonts w:ascii="宋体" w:hAnsi="宋体"/>
          <w:color w:val="000000"/>
          <w:szCs w:val="21"/>
        </w:rPr>
      </w:pPr>
      <w:r>
        <w:rPr>
          <w:rFonts w:hint="eastAsia" w:ascii="宋体" w:hAnsi="宋体"/>
          <w:color w:val="000000"/>
          <w:szCs w:val="21"/>
        </w:rPr>
        <w:t>（2）质疑投诉人应保证质疑投诉内容的真实性和可靠性，并承担相应的法律责任。</w:t>
      </w:r>
    </w:p>
    <w:p>
      <w:pPr>
        <w:spacing w:line="440" w:lineRule="exact"/>
        <w:jc w:val="center"/>
        <w:outlineLvl w:val="2"/>
        <w:rPr>
          <w:rFonts w:ascii="宋体" w:hAnsi="宋体"/>
          <w:b/>
          <w:bCs/>
          <w:color w:val="000000"/>
          <w:szCs w:val="21"/>
        </w:rPr>
      </w:pPr>
      <w:bookmarkStart w:id="47" w:name="_Toc27951"/>
      <w:r>
        <w:rPr>
          <w:rFonts w:hint="eastAsia" w:ascii="宋体" w:hAnsi="宋体"/>
          <w:b/>
          <w:bCs/>
          <w:color w:val="000000"/>
          <w:szCs w:val="21"/>
        </w:rPr>
        <w:t>六、授予合同</w:t>
      </w:r>
      <w:bookmarkEnd w:id="47"/>
    </w:p>
    <w:p>
      <w:pPr>
        <w:spacing w:line="440" w:lineRule="exact"/>
        <w:ind w:firstLine="422" w:firstLineChars="200"/>
        <w:outlineLvl w:val="3"/>
        <w:rPr>
          <w:rFonts w:ascii="宋体" w:hAnsi="宋体"/>
          <w:b/>
          <w:bCs/>
          <w:color w:val="000000"/>
          <w:szCs w:val="21"/>
        </w:rPr>
      </w:pPr>
      <w:bookmarkStart w:id="48" w:name="_Toc2765"/>
      <w:r>
        <w:rPr>
          <w:rFonts w:hint="eastAsia" w:ascii="宋体" w:hAnsi="宋体"/>
          <w:b/>
          <w:bCs/>
          <w:color w:val="000000"/>
          <w:szCs w:val="21"/>
        </w:rPr>
        <w:t>29．定标原则及合同授予标准</w:t>
      </w:r>
      <w:bookmarkEnd w:id="48"/>
    </w:p>
    <w:p>
      <w:pPr>
        <w:spacing w:line="440" w:lineRule="exact"/>
        <w:ind w:firstLine="420" w:firstLineChars="200"/>
        <w:rPr>
          <w:rFonts w:ascii="宋体" w:hAnsi="宋体"/>
          <w:color w:val="000000"/>
          <w:szCs w:val="21"/>
        </w:rPr>
      </w:pPr>
      <w:r>
        <w:rPr>
          <w:rFonts w:hint="eastAsia" w:ascii="宋体" w:hAnsi="宋体"/>
          <w:color w:val="000000"/>
          <w:szCs w:val="21"/>
        </w:rPr>
        <w:t>29.1  严格按照招标文件的要求和条件进行评标，择优定标；</w:t>
      </w:r>
    </w:p>
    <w:p>
      <w:pPr>
        <w:spacing w:line="440" w:lineRule="exact"/>
        <w:ind w:firstLine="420" w:firstLineChars="200"/>
        <w:rPr>
          <w:rFonts w:ascii="宋体" w:hAnsi="宋体"/>
          <w:color w:val="000000"/>
          <w:szCs w:val="21"/>
        </w:rPr>
      </w:pPr>
      <w:r>
        <w:rPr>
          <w:rFonts w:hint="eastAsia" w:ascii="宋体" w:hAnsi="宋体"/>
          <w:color w:val="000000"/>
          <w:szCs w:val="21"/>
        </w:rPr>
        <w:t>29.2  评标方法见第四章“</w:t>
      </w:r>
      <w:r>
        <w:rPr>
          <w:rFonts w:hint="eastAsia" w:ascii="宋体" w:hAnsi="宋体"/>
          <w:bCs/>
          <w:color w:val="000000"/>
          <w:szCs w:val="21"/>
        </w:rPr>
        <w:t>评标方法及程序</w:t>
      </w:r>
      <w:r>
        <w:rPr>
          <w:rFonts w:hint="eastAsia" w:ascii="宋体" w:hAnsi="宋体"/>
          <w:color w:val="000000"/>
          <w:szCs w:val="21"/>
        </w:rPr>
        <w:t>”。</w:t>
      </w:r>
    </w:p>
    <w:p>
      <w:pPr>
        <w:spacing w:line="440" w:lineRule="exact"/>
        <w:ind w:firstLine="420" w:firstLineChars="200"/>
        <w:rPr>
          <w:rFonts w:ascii="宋体" w:hAnsi="宋体"/>
          <w:color w:val="000000"/>
          <w:szCs w:val="21"/>
        </w:rPr>
      </w:pPr>
      <w:r>
        <w:rPr>
          <w:rFonts w:hint="eastAsia" w:ascii="宋体" w:hAnsi="宋体"/>
          <w:color w:val="000000"/>
          <w:szCs w:val="21"/>
        </w:rPr>
        <w:t>29.3  不能保证最低报价的投标最终中标。</w:t>
      </w:r>
    </w:p>
    <w:p>
      <w:pPr>
        <w:spacing w:line="440" w:lineRule="exact"/>
        <w:ind w:firstLine="422" w:firstLineChars="200"/>
        <w:outlineLvl w:val="3"/>
        <w:rPr>
          <w:rFonts w:ascii="宋体" w:hAnsi="宋体"/>
          <w:b/>
          <w:bCs/>
          <w:color w:val="000000"/>
          <w:szCs w:val="21"/>
        </w:rPr>
      </w:pPr>
      <w:bookmarkStart w:id="49" w:name="_Toc4374"/>
      <w:r>
        <w:rPr>
          <w:rFonts w:hint="eastAsia" w:ascii="宋体" w:hAnsi="宋体"/>
          <w:b/>
          <w:bCs/>
          <w:color w:val="000000"/>
          <w:szCs w:val="21"/>
        </w:rPr>
        <w:t>30．资格后审及其他</w:t>
      </w:r>
      <w:bookmarkEnd w:id="49"/>
    </w:p>
    <w:p>
      <w:pPr>
        <w:spacing w:line="440" w:lineRule="exact"/>
        <w:rPr>
          <w:rFonts w:ascii="宋体" w:hAnsi="宋体"/>
          <w:color w:val="000000"/>
          <w:szCs w:val="21"/>
        </w:rPr>
      </w:pPr>
      <w:r>
        <w:rPr>
          <w:rFonts w:hint="eastAsia" w:ascii="宋体" w:hAnsi="宋体"/>
          <w:color w:val="000000"/>
          <w:szCs w:val="21"/>
        </w:rPr>
        <w:t xml:space="preserve">    30.1  对中标供应商投标真实性以及是否有能力令人满意地履行合同的核实等，按相关法律法规处理。</w:t>
      </w:r>
    </w:p>
    <w:p>
      <w:pPr>
        <w:spacing w:line="440" w:lineRule="exact"/>
        <w:ind w:firstLine="422" w:firstLineChars="200"/>
        <w:outlineLvl w:val="3"/>
        <w:rPr>
          <w:rFonts w:ascii="宋体" w:hAnsi="宋体"/>
          <w:b/>
          <w:bCs/>
          <w:color w:val="000000"/>
          <w:szCs w:val="21"/>
        </w:rPr>
      </w:pPr>
      <w:bookmarkStart w:id="50" w:name="_Toc9472"/>
      <w:r>
        <w:rPr>
          <w:rFonts w:hint="eastAsia" w:ascii="宋体" w:hAnsi="宋体"/>
          <w:b/>
          <w:bCs/>
          <w:color w:val="000000"/>
          <w:szCs w:val="21"/>
        </w:rPr>
        <w:t>31．采购人更改拟采购项目数量的权利</w:t>
      </w:r>
      <w:bookmarkEnd w:id="50"/>
    </w:p>
    <w:p>
      <w:pPr>
        <w:spacing w:line="440" w:lineRule="exact"/>
        <w:rPr>
          <w:rFonts w:ascii="宋体" w:hAnsi="宋体"/>
          <w:color w:val="000000"/>
          <w:szCs w:val="21"/>
        </w:rPr>
      </w:pPr>
      <w:r>
        <w:rPr>
          <w:rFonts w:hint="eastAsia" w:ascii="宋体" w:hAnsi="宋体"/>
          <w:color w:val="000000"/>
          <w:szCs w:val="21"/>
        </w:rPr>
        <w:t xml:space="preserve">    31.1  按财政部门相关的规定执行。</w:t>
      </w:r>
    </w:p>
    <w:p>
      <w:pPr>
        <w:spacing w:line="440" w:lineRule="exact"/>
        <w:ind w:firstLine="422" w:firstLineChars="200"/>
        <w:outlineLvl w:val="3"/>
        <w:rPr>
          <w:rFonts w:ascii="宋体" w:hAnsi="宋体"/>
          <w:b/>
          <w:bCs/>
          <w:color w:val="000000"/>
          <w:szCs w:val="21"/>
        </w:rPr>
      </w:pPr>
      <w:bookmarkStart w:id="51" w:name="_Toc26720"/>
      <w:r>
        <w:rPr>
          <w:rFonts w:hint="eastAsia" w:ascii="宋体" w:hAnsi="宋体"/>
          <w:b/>
          <w:bCs/>
          <w:color w:val="000000"/>
          <w:szCs w:val="21"/>
        </w:rPr>
        <w:t>32．采购人接受和拒绝任何或所有投标的权利</w:t>
      </w:r>
      <w:bookmarkEnd w:id="51"/>
    </w:p>
    <w:p>
      <w:pPr>
        <w:spacing w:line="440" w:lineRule="exact"/>
        <w:ind w:firstLine="420"/>
        <w:rPr>
          <w:rFonts w:ascii="宋体" w:hAnsi="宋体"/>
          <w:color w:val="000000"/>
          <w:szCs w:val="21"/>
        </w:rPr>
      </w:pPr>
      <w:r>
        <w:rPr>
          <w:rFonts w:hint="eastAsia" w:ascii="宋体" w:hAnsi="宋体"/>
          <w:color w:val="000000"/>
          <w:szCs w:val="21"/>
        </w:rPr>
        <w:t>32.1  当出现损害国家利益情况时，采购人会有选择或拒绝任何投标方的权利，对于受影响的投标人不承担任何责任，也无义务向受影响的投标人解释采取这一行动的理由。</w:t>
      </w:r>
    </w:p>
    <w:p>
      <w:pPr>
        <w:spacing w:line="440" w:lineRule="exact"/>
        <w:ind w:firstLine="422" w:firstLineChars="200"/>
        <w:outlineLvl w:val="3"/>
        <w:rPr>
          <w:rFonts w:ascii="宋体" w:hAnsi="宋体"/>
          <w:b/>
          <w:bCs/>
          <w:color w:val="000000"/>
          <w:szCs w:val="21"/>
        </w:rPr>
      </w:pPr>
      <w:bookmarkStart w:id="52" w:name="_Toc1687"/>
      <w:r>
        <w:rPr>
          <w:rFonts w:hint="eastAsia" w:ascii="宋体" w:hAnsi="宋体"/>
          <w:b/>
          <w:bCs/>
          <w:color w:val="000000"/>
          <w:szCs w:val="21"/>
        </w:rPr>
        <w:t>33．中标通知书</w:t>
      </w:r>
      <w:bookmarkEnd w:id="52"/>
    </w:p>
    <w:p>
      <w:pPr>
        <w:spacing w:line="440" w:lineRule="exact"/>
        <w:ind w:firstLine="411" w:firstLineChars="196"/>
        <w:rPr>
          <w:rFonts w:ascii="宋体" w:hAnsi="宋体"/>
          <w:color w:val="000000"/>
          <w:szCs w:val="21"/>
        </w:rPr>
      </w:pPr>
      <w:r>
        <w:rPr>
          <w:rFonts w:hint="eastAsia" w:ascii="宋体" w:hAnsi="宋体"/>
          <w:szCs w:val="21"/>
        </w:rPr>
        <w:t>（1）中标公告公布以后，公示期内无人质疑和投诉，将发布中标通知书。中标公告由采购人在“投标人须知前附表”所列信息发布网站上发布。投标人有义务上网查看，中标公告一经上网发布，即视为送达各投标人。中标人应尽快到采购人领取中标通知书，未及时领取造成采购工作延误的责任自负。</w:t>
      </w:r>
      <w:r>
        <w:rPr>
          <w:rFonts w:hint="eastAsia" w:ascii="宋体" w:hAnsi="宋体"/>
          <w:color w:val="000000"/>
          <w:szCs w:val="21"/>
        </w:rPr>
        <w:t xml:space="preserve"> </w:t>
      </w:r>
    </w:p>
    <w:p>
      <w:pPr>
        <w:spacing w:line="440" w:lineRule="exact"/>
        <w:ind w:firstLine="472" w:firstLineChars="225"/>
        <w:rPr>
          <w:rFonts w:ascii="宋体" w:hAnsi="宋体"/>
          <w:color w:val="000000"/>
          <w:szCs w:val="21"/>
        </w:rPr>
      </w:pPr>
      <w:r>
        <w:rPr>
          <w:rFonts w:hint="eastAsia" w:ascii="宋体" w:hAnsi="宋体"/>
          <w:color w:val="000000"/>
          <w:szCs w:val="21"/>
        </w:rPr>
        <w:t>（2）中标通知书是合同的重要组成部分。</w:t>
      </w:r>
    </w:p>
    <w:p>
      <w:pPr>
        <w:spacing w:line="440" w:lineRule="exact"/>
        <w:ind w:firstLine="422" w:firstLineChars="200"/>
        <w:outlineLvl w:val="3"/>
        <w:rPr>
          <w:rFonts w:ascii="宋体" w:hAnsi="宋体"/>
          <w:b/>
          <w:bCs/>
          <w:color w:val="000000"/>
          <w:szCs w:val="21"/>
        </w:rPr>
      </w:pPr>
      <w:bookmarkStart w:id="53" w:name="_Toc476"/>
      <w:r>
        <w:rPr>
          <w:rFonts w:hint="eastAsia" w:ascii="宋体" w:hAnsi="宋体"/>
          <w:b/>
          <w:bCs/>
          <w:color w:val="000000"/>
          <w:szCs w:val="21"/>
        </w:rPr>
        <w:t>34．签订合同</w:t>
      </w:r>
      <w:bookmarkEnd w:id="53"/>
    </w:p>
    <w:p>
      <w:pPr>
        <w:spacing w:line="440" w:lineRule="exact"/>
        <w:rPr>
          <w:rFonts w:ascii="宋体" w:hAnsi="宋体"/>
          <w:color w:val="000000"/>
          <w:szCs w:val="21"/>
        </w:rPr>
      </w:pPr>
      <w:r>
        <w:rPr>
          <w:rFonts w:hint="eastAsia" w:ascii="宋体" w:hAnsi="宋体"/>
          <w:color w:val="000000"/>
          <w:szCs w:val="21"/>
        </w:rPr>
        <w:t xml:space="preserve">    34.1  采购人在发中标通知书前，应将中标人的投标文件存档。</w:t>
      </w:r>
    </w:p>
    <w:p>
      <w:pPr>
        <w:spacing w:line="440" w:lineRule="exact"/>
        <w:ind w:firstLine="420" w:firstLineChars="200"/>
        <w:rPr>
          <w:rFonts w:ascii="宋体" w:hAnsi="宋体"/>
          <w:color w:val="000000"/>
          <w:szCs w:val="21"/>
        </w:rPr>
      </w:pPr>
      <w:r>
        <w:rPr>
          <w:rFonts w:hint="eastAsia" w:ascii="宋体" w:hAnsi="宋体"/>
          <w:color w:val="000000"/>
          <w:szCs w:val="21"/>
        </w:rPr>
        <w:t>34.2  中标人在收到中标通知书和合同格式后十个工作日内，应派授权代表到采购人所在地与采购人签订合同。</w:t>
      </w:r>
    </w:p>
    <w:p>
      <w:pPr>
        <w:spacing w:line="440" w:lineRule="exact"/>
        <w:ind w:firstLine="420" w:firstLineChars="200"/>
        <w:rPr>
          <w:rFonts w:ascii="宋体" w:hAnsi="宋体"/>
          <w:color w:val="000000"/>
          <w:szCs w:val="21"/>
        </w:rPr>
      </w:pPr>
      <w:r>
        <w:rPr>
          <w:rFonts w:hint="eastAsia" w:ascii="宋体" w:hAnsi="宋体"/>
          <w:color w:val="000000"/>
          <w:szCs w:val="21"/>
        </w:rPr>
        <w:t>34.3  招标文件、中标方的投标文件及其澄清、修改文件等，均为签订经济合同的依据。</w:t>
      </w:r>
    </w:p>
    <w:p>
      <w:pPr>
        <w:spacing w:line="440" w:lineRule="exact"/>
        <w:rPr>
          <w:rFonts w:ascii="宋体" w:hAnsi="宋体"/>
          <w:color w:val="000000"/>
          <w:szCs w:val="21"/>
        </w:rPr>
      </w:pPr>
      <w:r>
        <w:rPr>
          <w:rFonts w:hint="eastAsia" w:ascii="宋体" w:hAnsi="宋体"/>
          <w:color w:val="000000"/>
          <w:szCs w:val="21"/>
        </w:rPr>
        <w:t xml:space="preserve">    招标文件第三章提供的合同格式在签订合同时，双方可根据中标结果等修正。</w:t>
      </w:r>
    </w:p>
    <w:p>
      <w:pPr>
        <w:spacing w:line="440" w:lineRule="exact"/>
        <w:ind w:firstLine="422" w:firstLineChars="200"/>
        <w:outlineLvl w:val="3"/>
        <w:rPr>
          <w:rFonts w:ascii="宋体" w:hAnsi="宋体"/>
          <w:b/>
          <w:bCs/>
          <w:color w:val="000000"/>
          <w:szCs w:val="21"/>
        </w:rPr>
      </w:pPr>
      <w:bookmarkStart w:id="54" w:name="_Toc28997"/>
      <w:r>
        <w:rPr>
          <w:rFonts w:hint="eastAsia" w:ascii="宋体" w:hAnsi="宋体"/>
          <w:b/>
          <w:bCs/>
          <w:color w:val="000000"/>
          <w:szCs w:val="21"/>
        </w:rPr>
        <w:t>36．腐败和欺诈</w:t>
      </w:r>
      <w:bookmarkEnd w:id="54"/>
    </w:p>
    <w:p>
      <w:pPr>
        <w:spacing w:line="440" w:lineRule="exact"/>
        <w:ind w:firstLine="420" w:firstLineChars="200"/>
        <w:rPr>
          <w:rFonts w:ascii="宋体" w:hAnsi="宋体"/>
          <w:color w:val="000000"/>
          <w:szCs w:val="21"/>
        </w:rPr>
      </w:pPr>
      <w:r>
        <w:rPr>
          <w:rFonts w:hint="eastAsia" w:ascii="宋体" w:hAnsi="宋体"/>
          <w:color w:val="000000"/>
          <w:szCs w:val="21"/>
        </w:rPr>
        <w:t>36.1  “腐败行为”是指提供、给予、接受或索取任何有价值的东西来影响采购人员在采购过程或合同实施过程中行为；“欺诈行为”是指为了影响采购过程或合同实施过程而谎报事实，损害采购人的利益，包括投标人之间串通投标（递交投标书之前或之后），人为地使投标丧失竞争性，损害采购人从自由公开竞争中所能获得的权益。</w:t>
      </w:r>
    </w:p>
    <w:p>
      <w:pPr>
        <w:spacing w:line="440" w:lineRule="exact"/>
        <w:ind w:firstLine="420" w:firstLineChars="200"/>
        <w:rPr>
          <w:rFonts w:ascii="宋体" w:hAnsi="宋体"/>
          <w:color w:val="000000"/>
          <w:szCs w:val="21"/>
        </w:rPr>
      </w:pPr>
      <w:r>
        <w:rPr>
          <w:rFonts w:hint="eastAsia" w:ascii="宋体" w:hAnsi="宋体"/>
          <w:color w:val="000000"/>
          <w:szCs w:val="21"/>
        </w:rPr>
        <w:t>如果采购人认为所建议的中标人在本合同的竞争中有腐败或欺诈行为，则将拒绝该授标建议。</w:t>
      </w:r>
    </w:p>
    <w:p>
      <w:pPr>
        <w:spacing w:line="440" w:lineRule="exact"/>
        <w:jc w:val="center"/>
        <w:outlineLvl w:val="2"/>
        <w:rPr>
          <w:rFonts w:ascii="宋体" w:hAnsi="宋体"/>
          <w:b/>
          <w:bCs/>
          <w:color w:val="000000"/>
          <w:szCs w:val="21"/>
        </w:rPr>
      </w:pPr>
      <w:bookmarkStart w:id="55" w:name="_Toc29386"/>
      <w:r>
        <w:rPr>
          <w:rFonts w:hint="eastAsia" w:ascii="宋体" w:hAnsi="宋体"/>
          <w:b/>
          <w:bCs/>
          <w:color w:val="000000"/>
          <w:szCs w:val="21"/>
        </w:rPr>
        <w:t>七、未尽事项</w:t>
      </w:r>
      <w:bookmarkEnd w:id="55"/>
    </w:p>
    <w:p>
      <w:pPr>
        <w:spacing w:line="440" w:lineRule="exact"/>
        <w:ind w:firstLine="420" w:firstLineChars="200"/>
        <w:rPr>
          <w:rFonts w:cs="Segoe UI" w:asciiTheme="minorEastAsia" w:hAnsiTheme="minorEastAsia" w:eastAsiaTheme="minorEastAsia"/>
          <w:color w:val="000000"/>
          <w:kern w:val="0"/>
          <w:szCs w:val="21"/>
        </w:rPr>
      </w:pPr>
      <w:r>
        <w:rPr>
          <w:rFonts w:hint="eastAsia" w:ascii="宋体" w:hAnsi="宋体"/>
          <w:color w:val="000000"/>
          <w:szCs w:val="21"/>
        </w:rPr>
        <w:t>37．</w:t>
      </w:r>
      <w:r>
        <w:rPr>
          <w:rFonts w:hint="eastAsia" w:asciiTheme="minorEastAsia" w:hAnsiTheme="minorEastAsia" w:eastAsiaTheme="minorEastAsia"/>
          <w:szCs w:val="21"/>
        </w:rPr>
        <w:t>供应商认为自己的权益在采购活动中受到损害的，应当自知道或者应当知道其权益受到损害之日起七个工作日内以书面形式提出质疑，但</w:t>
      </w:r>
      <w:r>
        <w:rPr>
          <w:rFonts w:hint="eastAsia" w:cs="Segoe UI" w:asciiTheme="minorEastAsia" w:hAnsiTheme="minorEastAsia" w:eastAsiaTheme="minorEastAsia"/>
          <w:color w:val="000000"/>
          <w:kern w:val="0"/>
          <w:szCs w:val="21"/>
        </w:rPr>
        <w:t>应当在法定质疑期内一次性提出针对同一采购程序环节的质疑。</w:t>
      </w:r>
    </w:p>
    <w:p>
      <w:pPr>
        <w:spacing w:line="440" w:lineRule="exact"/>
        <w:ind w:firstLine="420" w:firstLineChars="200"/>
        <w:rPr>
          <w:rFonts w:ascii="宋体" w:hAnsi="宋体"/>
          <w:color w:val="000000"/>
          <w:szCs w:val="21"/>
        </w:rPr>
      </w:pPr>
      <w:r>
        <w:rPr>
          <w:rFonts w:hint="eastAsia" w:ascii="宋体" w:hAnsi="宋体"/>
          <w:color w:val="000000"/>
          <w:szCs w:val="21"/>
        </w:rPr>
        <w:t>38．其它未尽事项按《深圳经济特区政府采购条例》《深圳经济特区政府采购条例实施</w:t>
      </w:r>
      <w:r>
        <w:rPr>
          <w:rFonts w:ascii="宋体" w:hAnsi="宋体"/>
          <w:color w:val="000000"/>
          <w:szCs w:val="21"/>
        </w:rPr>
        <w:t>细则</w:t>
      </w:r>
      <w:r>
        <w:rPr>
          <w:rFonts w:hint="eastAsia" w:ascii="宋体" w:hAnsi="宋体"/>
          <w:color w:val="000000"/>
          <w:szCs w:val="21"/>
        </w:rPr>
        <w:t>》《中华人民共和国政府采购法》《中华人民共和国政府采购法实施</w:t>
      </w:r>
      <w:r>
        <w:rPr>
          <w:rFonts w:ascii="宋体" w:hAnsi="宋体"/>
          <w:color w:val="000000"/>
          <w:szCs w:val="21"/>
        </w:rPr>
        <w:t>条例</w:t>
      </w:r>
      <w:r>
        <w:rPr>
          <w:rFonts w:hint="eastAsia" w:ascii="宋体" w:hAnsi="宋体"/>
          <w:color w:val="000000"/>
          <w:szCs w:val="21"/>
        </w:rPr>
        <w:t>》及相关法律法规执行。</w:t>
      </w:r>
    </w:p>
    <w:p>
      <w:pPr>
        <w:spacing w:line="330" w:lineRule="exact"/>
        <w:ind w:firstLine="422" w:firstLineChars="200"/>
        <w:rPr>
          <w:rFonts w:ascii="宋体" w:hAnsi="宋体"/>
          <w:b/>
          <w:bCs/>
          <w:color w:val="000000"/>
          <w:szCs w:val="21"/>
        </w:rPr>
      </w:pPr>
    </w:p>
    <w:p>
      <w:pPr>
        <w:spacing w:line="0" w:lineRule="atLeast"/>
        <w:jc w:val="center"/>
        <w:rPr>
          <w:rFonts w:ascii="宋体" w:hAnsi="宋体"/>
          <w:b/>
          <w:bCs/>
          <w:color w:val="000000"/>
          <w:sz w:val="36"/>
          <w:szCs w:val="36"/>
        </w:rPr>
      </w:pPr>
    </w:p>
    <w:p>
      <w:pPr>
        <w:spacing w:line="0" w:lineRule="atLeast"/>
        <w:jc w:val="center"/>
        <w:outlineLvl w:val="0"/>
        <w:rPr>
          <w:rFonts w:ascii="黑体" w:hAnsi="宋体" w:eastAsia="黑体"/>
          <w:bCs/>
          <w:color w:val="000000"/>
          <w:sz w:val="32"/>
          <w:szCs w:val="32"/>
        </w:rPr>
      </w:pPr>
      <w:r>
        <w:rPr>
          <w:rFonts w:ascii="宋体" w:hAnsi="宋体"/>
          <w:b/>
          <w:bCs/>
          <w:color w:val="000000"/>
          <w:sz w:val="36"/>
          <w:szCs w:val="36"/>
        </w:rPr>
        <w:br w:type="page"/>
      </w:r>
      <w:bookmarkStart w:id="56" w:name="_Toc15120"/>
      <w:r>
        <w:rPr>
          <w:rFonts w:hint="eastAsia" w:ascii="微软雅黑" w:hAnsi="微软雅黑" w:eastAsia="微软雅黑" w:cs="微软雅黑"/>
          <w:b/>
          <w:color w:val="000000"/>
          <w:sz w:val="32"/>
          <w:szCs w:val="32"/>
        </w:rPr>
        <w:t>第三章  合同条款格式</w:t>
      </w:r>
      <w:r>
        <w:rPr>
          <w:rFonts w:hint="eastAsia" w:ascii="楷体_GB2312" w:hAnsi="宋体" w:eastAsia="楷体_GB2312"/>
          <w:bCs/>
          <w:color w:val="000000"/>
          <w:sz w:val="32"/>
          <w:szCs w:val="32"/>
        </w:rPr>
        <w:t>（仅供参考）</w:t>
      </w:r>
      <w:bookmarkEnd w:id="56"/>
    </w:p>
    <w:p>
      <w:pPr>
        <w:spacing w:line="440" w:lineRule="exact"/>
        <w:ind w:right="-29" w:rightChars="-14" w:firstLine="422" w:firstLineChars="200"/>
        <w:rPr>
          <w:rFonts w:ascii="宋体" w:hAnsi="宋体"/>
          <w:b/>
          <w:color w:val="000000"/>
          <w:szCs w:val="21"/>
        </w:rPr>
      </w:pPr>
    </w:p>
    <w:p>
      <w:pPr>
        <w:spacing w:line="440" w:lineRule="exact"/>
        <w:ind w:firstLine="420" w:firstLineChars="200"/>
        <w:jc w:val="left"/>
        <w:rPr>
          <w:rFonts w:asciiTheme="majorEastAsia" w:hAnsiTheme="majorEastAsia" w:eastAsiaTheme="majorEastAsia"/>
          <w:color w:val="000000"/>
          <w:szCs w:val="21"/>
        </w:rPr>
      </w:pPr>
      <w:r>
        <w:rPr>
          <w:rFonts w:hint="eastAsia"/>
          <w:szCs w:val="21"/>
        </w:rPr>
        <w:t>根据深圳市福田区第二人民医院</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号招标项目的投标结果，由</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单位为中标方。按照《中华人民共和国</w:t>
      </w:r>
      <w:r>
        <w:rPr>
          <w:rFonts w:hint="eastAsia" w:asciiTheme="majorEastAsia" w:hAnsiTheme="majorEastAsia" w:eastAsiaTheme="majorEastAsia"/>
          <w:szCs w:val="21"/>
        </w:rPr>
        <w:t>民法典》和</w:t>
      </w:r>
      <w:r>
        <w:rPr>
          <w:rFonts w:hint="eastAsia" w:asciiTheme="majorEastAsia" w:hAnsiTheme="majorEastAsia" w:eastAsiaTheme="majorEastAsia"/>
          <w:color w:val="000000"/>
          <w:szCs w:val="21"/>
        </w:rPr>
        <w:t>《深圳经济特区政府采购条例》，经深圳市</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（以下简称甲方）和</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单位（以下简称乙方）协商，就甲方委托乙方承担</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服务项目，达成以下合同条款：</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第一条　项目概况</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项目名称：</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项目内容：</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服务时间：</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合同价款：合同总价为</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元，含一切税、费。</w:t>
      </w:r>
      <w:r>
        <w:rPr>
          <w:rFonts w:asciiTheme="majorEastAsia" w:hAnsiTheme="majorEastAsia" w:eastAsiaTheme="majorEastAsia"/>
          <w:color w:val="000000"/>
          <w:szCs w:val="21"/>
        </w:rPr>
        <w:t>本合同总价包括</w:t>
      </w:r>
      <w:r>
        <w:rPr>
          <w:rFonts w:hint="eastAsia" w:asciiTheme="majorEastAsia" w:hAnsiTheme="majorEastAsia" w:eastAsiaTheme="majorEastAsia"/>
          <w:color w:val="000000"/>
          <w:szCs w:val="21"/>
        </w:rPr>
        <w:t>乙方为实施本项目所需的设备仪器费、车辆租赁费、</w:t>
      </w:r>
      <w:r>
        <w:rPr>
          <w:rFonts w:asciiTheme="majorEastAsia" w:hAnsiTheme="majorEastAsia" w:eastAsiaTheme="majorEastAsia"/>
          <w:color w:val="000000"/>
          <w:szCs w:val="21"/>
        </w:rPr>
        <w:t>服务</w:t>
      </w:r>
      <w:r>
        <w:rPr>
          <w:rFonts w:hint="eastAsia" w:asciiTheme="majorEastAsia" w:hAnsiTheme="majorEastAsia" w:eastAsiaTheme="majorEastAsia"/>
          <w:color w:val="000000"/>
          <w:szCs w:val="21"/>
        </w:rPr>
        <w:t>和</w:t>
      </w:r>
      <w:r>
        <w:rPr>
          <w:rFonts w:asciiTheme="majorEastAsia" w:hAnsiTheme="majorEastAsia" w:eastAsiaTheme="majorEastAsia"/>
          <w:color w:val="000000"/>
          <w:szCs w:val="21"/>
        </w:rPr>
        <w:t>技术费用</w:t>
      </w:r>
      <w:r>
        <w:rPr>
          <w:rFonts w:hint="eastAsia" w:asciiTheme="majorEastAsia" w:hAnsiTheme="majorEastAsia" w:eastAsiaTheme="majorEastAsia"/>
          <w:color w:val="000000"/>
          <w:szCs w:val="21"/>
        </w:rPr>
        <w:t>等</w:t>
      </w:r>
      <w:r>
        <w:rPr>
          <w:rFonts w:asciiTheme="majorEastAsia" w:hAnsiTheme="majorEastAsia" w:eastAsiaTheme="majorEastAsia"/>
          <w:color w:val="000000"/>
          <w:szCs w:val="21"/>
        </w:rPr>
        <w:t>，为固定不变价格，且不随通货膨胀的影响而波动。合同总价包括</w:t>
      </w:r>
      <w:r>
        <w:rPr>
          <w:rFonts w:hint="eastAsia" w:asciiTheme="majorEastAsia" w:hAnsiTheme="majorEastAsia" w:eastAsiaTheme="majorEastAsia"/>
          <w:color w:val="000000"/>
          <w:szCs w:val="21"/>
        </w:rPr>
        <w:t>乙方</w:t>
      </w:r>
      <w:r>
        <w:rPr>
          <w:rFonts w:asciiTheme="majorEastAsia" w:hAnsiTheme="majorEastAsia" w:eastAsiaTheme="majorEastAsia"/>
          <w:color w:val="000000"/>
          <w:szCs w:val="21"/>
        </w:rPr>
        <w:t>履行本合同义务所发生的一切费用和支出和以各种方式寄送技术资料到</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方办公室所发生的费用。</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支付方式：分期支付。</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第二条  服务范围</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4、其他合同未明示的相关工作。</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第三条  时间要求及阶段成果</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1、合同签订</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天内完成项目实施的准备工作，包括工作大纲和细则的编制；</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 xml:space="preserve"> </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w:t>
      </w:r>
      <w:r>
        <w:rPr>
          <w:rFonts w:hint="eastAsia" w:asciiTheme="majorEastAsia" w:hAnsiTheme="majorEastAsia" w:eastAsiaTheme="majorEastAsia"/>
          <w:color w:val="000000"/>
          <w:szCs w:val="21"/>
          <w:u w:val="single"/>
        </w:rPr>
        <w:t xml:space="preserve">                                </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r>
        <w:rPr>
          <w:rFonts w:hint="eastAsia" w:asciiTheme="majorEastAsia" w:hAnsiTheme="majorEastAsia" w:eastAsiaTheme="majorEastAsia"/>
          <w:color w:val="000000"/>
          <w:szCs w:val="21"/>
          <w:u w:val="single"/>
        </w:rPr>
        <w:t xml:space="preserve">                                </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第四条  服务资料归属</w:t>
      </w:r>
    </w:p>
    <w:p>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所有提交给</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方的服务</w:t>
      </w:r>
      <w:r>
        <w:rPr>
          <w:rFonts w:hint="eastAsia" w:asciiTheme="majorEastAsia" w:hAnsiTheme="majorEastAsia" w:eastAsiaTheme="majorEastAsia"/>
          <w:color w:val="000000"/>
          <w:szCs w:val="21"/>
        </w:rPr>
        <w:t>文件</w:t>
      </w:r>
      <w:r>
        <w:rPr>
          <w:rFonts w:asciiTheme="majorEastAsia" w:hAnsiTheme="majorEastAsia" w:eastAsiaTheme="majorEastAsia"/>
          <w:color w:val="000000"/>
          <w:szCs w:val="21"/>
        </w:rPr>
        <w:t>及相关的资料的最后文本，包括为履行服务范围所编制的图纸、计划和证明资料等，都属于</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方的财产，</w:t>
      </w:r>
      <w:r>
        <w:rPr>
          <w:rFonts w:hint="eastAsia" w:asciiTheme="majorEastAsia" w:hAnsiTheme="majorEastAsia" w:eastAsiaTheme="majorEastAsia"/>
          <w:color w:val="000000"/>
          <w:szCs w:val="21"/>
        </w:rPr>
        <w:t>知识产权也为甲方所有，乙</w:t>
      </w:r>
      <w:r>
        <w:rPr>
          <w:rFonts w:asciiTheme="majorEastAsia" w:hAnsiTheme="majorEastAsia" w:eastAsiaTheme="majorEastAsia"/>
          <w:color w:val="000000"/>
          <w:szCs w:val="21"/>
        </w:rPr>
        <w:t>方在提交给</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方之前应将上述资料进行整理归类和编制索引</w:t>
      </w:r>
      <w:r>
        <w:rPr>
          <w:rFonts w:hint="eastAsia" w:asciiTheme="majorEastAsia" w:hAnsiTheme="majorEastAsia" w:eastAsiaTheme="majorEastAsia"/>
          <w:color w:val="000000"/>
          <w:szCs w:val="21"/>
        </w:rPr>
        <w:t>。</w:t>
      </w:r>
    </w:p>
    <w:p>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、乙</w:t>
      </w:r>
      <w:r>
        <w:rPr>
          <w:rFonts w:asciiTheme="majorEastAsia" w:hAnsiTheme="majorEastAsia" w:eastAsiaTheme="majorEastAsia"/>
          <w:color w:val="000000"/>
          <w:szCs w:val="21"/>
        </w:rPr>
        <w:t>方未经</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方的书面同意，不得将上述资料用于本服务项目之外的任何项目</w:t>
      </w:r>
      <w:r>
        <w:rPr>
          <w:rFonts w:hint="eastAsia" w:asciiTheme="majorEastAsia" w:hAnsiTheme="majorEastAsia" w:eastAsiaTheme="majorEastAsia"/>
          <w:color w:val="000000"/>
          <w:szCs w:val="21"/>
        </w:rPr>
        <w:t>。</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w:t>
      </w:r>
      <w:r>
        <w:rPr>
          <w:rFonts w:asciiTheme="majorEastAsia" w:hAnsiTheme="majorEastAsia" w:eastAsiaTheme="majorEastAsia"/>
          <w:color w:val="000000"/>
          <w:szCs w:val="21"/>
        </w:rPr>
        <w:t>合同履行</w:t>
      </w:r>
      <w:r>
        <w:rPr>
          <w:rFonts w:hint="eastAsia" w:asciiTheme="majorEastAsia" w:hAnsiTheme="majorEastAsia" w:eastAsiaTheme="majorEastAsia"/>
          <w:color w:val="000000"/>
          <w:szCs w:val="21"/>
        </w:rPr>
        <w:t>完毕，</w:t>
      </w:r>
      <w:r>
        <w:rPr>
          <w:rFonts w:asciiTheme="majorEastAsia" w:hAnsiTheme="majorEastAsia" w:eastAsiaTheme="majorEastAsia"/>
          <w:color w:val="000000"/>
          <w:szCs w:val="21"/>
        </w:rPr>
        <w:t>未经</w:t>
      </w:r>
      <w:r>
        <w:rPr>
          <w:rFonts w:hint="eastAsia" w:asciiTheme="majorEastAsia" w:hAnsiTheme="majorEastAsia" w:eastAsiaTheme="majorEastAsia"/>
          <w:color w:val="000000"/>
          <w:szCs w:val="21"/>
        </w:rPr>
        <w:t>甲</w:t>
      </w:r>
      <w:r>
        <w:rPr>
          <w:rFonts w:asciiTheme="majorEastAsia" w:hAnsiTheme="majorEastAsia" w:eastAsiaTheme="majorEastAsia"/>
          <w:color w:val="000000"/>
          <w:szCs w:val="21"/>
        </w:rPr>
        <w:t>方的书面同意</w:t>
      </w:r>
      <w:r>
        <w:rPr>
          <w:rFonts w:hint="eastAsia" w:asciiTheme="majorEastAsia" w:hAnsiTheme="majorEastAsia" w:eastAsiaTheme="majorEastAsia"/>
          <w:color w:val="000000"/>
          <w:szCs w:val="21"/>
        </w:rPr>
        <w:t>，乙</w:t>
      </w:r>
      <w:r>
        <w:rPr>
          <w:rFonts w:asciiTheme="majorEastAsia" w:hAnsiTheme="majorEastAsia" w:eastAsiaTheme="majorEastAsia"/>
          <w:color w:val="000000"/>
          <w:szCs w:val="21"/>
        </w:rPr>
        <w:t>方</w:t>
      </w:r>
      <w:r>
        <w:rPr>
          <w:rFonts w:hint="eastAsia" w:asciiTheme="majorEastAsia" w:hAnsiTheme="majorEastAsia" w:eastAsiaTheme="majorEastAsia"/>
          <w:color w:val="000000"/>
          <w:szCs w:val="21"/>
        </w:rPr>
        <w:t>不得保存在</w:t>
      </w:r>
      <w:r>
        <w:rPr>
          <w:rFonts w:asciiTheme="majorEastAsia" w:hAnsiTheme="majorEastAsia" w:eastAsiaTheme="majorEastAsia"/>
          <w:color w:val="000000"/>
          <w:szCs w:val="21"/>
        </w:rPr>
        <w:t>履行合同过程中所获得或接触到的任何</w:t>
      </w:r>
      <w:r>
        <w:rPr>
          <w:rFonts w:hint="eastAsia" w:asciiTheme="majorEastAsia" w:hAnsiTheme="majorEastAsia" w:eastAsiaTheme="majorEastAsia"/>
          <w:color w:val="000000"/>
          <w:szCs w:val="21"/>
        </w:rPr>
        <w:t>内部数据资料。</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第五条  甲方的义务</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1、负责与本服务项目有关的第三方的协调，提供开展服务工作的外部条件。</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2、向乙方提供与本项目服务工作有关的资料。</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3、负责组织有关专家对项目成果评估报告的评审。</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第七条　乙方的义务</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1、应按照</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号招标文件、乙方投标文件要求按期完成本项目服务工作。</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2、负责组织项目的实施，保证项目进度和工作质量，并满足交工验收相关标准。</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3、向甲方提交检测资料等各</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套，一套电子版文件。</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4、在履行合同期间或合同规定期限内，不得泄露与本合同规定业务活动有关的保密资料。</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第八条  甲方的权利</w:t>
      </w:r>
    </w:p>
    <w:p>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、有权向乙方询问工作进展情况及相关的内容。</w:t>
      </w:r>
    </w:p>
    <w:p>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、有权阐述对具体问题的意见和建议。</w:t>
      </w:r>
    </w:p>
    <w:p>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3</w:t>
      </w:r>
      <w:r>
        <w:rPr>
          <w:rFonts w:hint="eastAsia" w:asciiTheme="majorEastAsia" w:hAnsiTheme="majorEastAsia" w:eastAsiaTheme="majorEastAsia"/>
          <w:color w:val="000000"/>
          <w:szCs w:val="21"/>
        </w:rPr>
        <w:t>、当甲方认定乙方人员不按合同履行其职责，或与第三人串通给甲方造成经济损失的，甲方有权要求更换人员，直至终止合同并要求乙方承担相应的赔偿责任。</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第九条  乙方的权利</w:t>
      </w:r>
    </w:p>
    <w:p>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、乙方在本项目服务过程中，如甲方提供的资料不明确时可向甲方提出书面报告。</w:t>
      </w:r>
    </w:p>
    <w:p>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2</w:t>
      </w:r>
      <w:r>
        <w:rPr>
          <w:rFonts w:hint="eastAsia" w:asciiTheme="majorEastAsia" w:hAnsiTheme="majorEastAsia" w:eastAsiaTheme="majorEastAsia"/>
          <w:color w:val="000000"/>
          <w:szCs w:val="21"/>
        </w:rPr>
        <w:t>、乙方在本项目服务过程中，有权对第三方提出与本服务业务有关的问题进行核对或查问。</w:t>
      </w:r>
    </w:p>
    <w:p>
      <w:pPr>
        <w:spacing w:line="440" w:lineRule="exact"/>
        <w:ind w:firstLine="420" w:firstLineChars="200"/>
        <w:rPr>
          <w:rFonts w:asciiTheme="majorEastAsia" w:hAnsiTheme="majorEastAsia" w:eastAsiaTheme="majorEastAsia"/>
          <w:color w:val="000000"/>
          <w:szCs w:val="21"/>
        </w:rPr>
      </w:pPr>
      <w:r>
        <w:rPr>
          <w:rFonts w:asciiTheme="majorEastAsia" w:hAnsiTheme="majorEastAsia" w:eastAsiaTheme="majorEastAsia"/>
          <w:color w:val="000000"/>
          <w:szCs w:val="21"/>
        </w:rPr>
        <w:t>3</w:t>
      </w:r>
      <w:r>
        <w:rPr>
          <w:rFonts w:hint="eastAsia" w:asciiTheme="majorEastAsia" w:hAnsiTheme="majorEastAsia" w:eastAsiaTheme="majorEastAsia"/>
          <w:color w:val="000000"/>
          <w:szCs w:val="21"/>
        </w:rPr>
        <w:t>、乙方在本项目服务过程中，有到项目现场勘察的权利。</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第十条  甲方的责任</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1、应当履行本合同约定的义务，如有违反则应当承担违约责任，赔偿给乙方造成的损失。</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2、甲方向乙方提出赔偿要求不能成立时，则应补偿由于该赔偿或其他要求所导致乙方的各种费用的支出。</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第十一条  乙方的责任</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1、乙方的责任期即本合同有效期。如因非乙方的责任造成进度的推迟或延误而超过约定的日期，双方应进一步约定相应延长合同有效期。</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2、乙方的责任期内，应当履行本合同中约定的义务，因乙方的单方过失造成的经济损失，应当向甲方进行赔偿。</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3、乙方对甲方或第三方所提出的问题不能及时核对或答复，导致合同不能全部或部分履行，乙方应承担责任。</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4、乙方向甲方提出赔偿要求不能成立时，则应补偿由于该赔偿或其他要求所导致甲方的各种费用的支出。</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第十二条  人员要求</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1、参加本项目的人员必须具有国家和有关部门规定的相应资质。</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2、参加本项目的人员的配置必须与投标文件中的服务承诺书和服务组织实施方案一致。</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3、必须以直属人员参与本项目服务，不得使用挂靠队伍。</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第十三条  乙方服务工具要求</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1、乙方应配备中标项目所需的足够数量的仪器、仪表以及工具等设备。用户不需向乙方提供施工工具和仪器、仪表。</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2、乙方在提供服务过程中应自备车辆。</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第十四条  保密要求</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asciiTheme="majorEastAsia" w:hAnsiTheme="majorEastAsia" w:eastAsiaTheme="majorEastAsia"/>
          <w:color w:val="000000"/>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w:t>
      </w:r>
      <w:r>
        <w:rPr>
          <w:rFonts w:asciiTheme="majorEastAsia" w:hAnsiTheme="majorEastAsia" w:eastAsiaTheme="majorEastAsia"/>
          <w:color w:val="000000"/>
          <w:szCs w:val="21"/>
        </w:rPr>
        <w:t>乙方在履行合同过程中所获得或接触到的任何</w:t>
      </w:r>
      <w:r>
        <w:rPr>
          <w:rFonts w:hint="eastAsia" w:asciiTheme="majorEastAsia" w:hAnsiTheme="majorEastAsia" w:eastAsiaTheme="majorEastAsia"/>
          <w:color w:val="000000"/>
          <w:szCs w:val="21"/>
        </w:rPr>
        <w:t>内部数据资料，未经甲方同意，不得向第三方透露。</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w:t>
      </w:r>
      <w:r>
        <w:rPr>
          <w:rFonts w:asciiTheme="majorEastAsia" w:hAnsiTheme="majorEastAsia" w:eastAsiaTheme="majorEastAsia"/>
          <w:color w:val="000000"/>
          <w:szCs w:val="21"/>
        </w:rPr>
        <w:t>乙方</w:t>
      </w:r>
      <w:r>
        <w:rPr>
          <w:rFonts w:hint="eastAsia" w:asciiTheme="majorEastAsia" w:hAnsiTheme="majorEastAsia" w:eastAsiaTheme="majorEastAsia"/>
          <w:color w:val="000000"/>
          <w:szCs w:val="21"/>
        </w:rPr>
        <w:t>实施项目的一切程序都应符合国家安全、保密的有关规定和标准。</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r>
        <w:rPr>
          <w:rFonts w:asciiTheme="majorEastAsia" w:hAnsiTheme="majorEastAsia" w:eastAsiaTheme="majorEastAsia"/>
          <w:color w:val="000000"/>
          <w:szCs w:val="21"/>
        </w:rPr>
        <w:t>乙方</w:t>
      </w:r>
      <w:r>
        <w:rPr>
          <w:rFonts w:hint="eastAsia" w:asciiTheme="majorEastAsia" w:hAnsiTheme="majorEastAsia" w:eastAsiaTheme="majorEastAsia"/>
          <w:color w:val="000000"/>
          <w:szCs w:val="21"/>
        </w:rPr>
        <w:t>参加项目的有关人员均需同甲方签订保密协议。</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 xml:space="preserve">第十五条  验收     </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1、下列文件的验收分为</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三个阶段:</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2、其余文件和工作由用户组织有关技术人员根据国家和行业有关规范、规程、标准和用户需求直接验收。</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3、验收依据为</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号招标文件、乙方投标文件，国家和行业有关规范、规程和标准。</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第十六条  付款方式</w:t>
      </w:r>
    </w:p>
    <w:p>
      <w:pPr>
        <w:spacing w:line="440" w:lineRule="exact"/>
        <w:ind w:firstLine="422" w:firstLineChars="200"/>
        <w:rPr>
          <w:rFonts w:asciiTheme="majorEastAsia" w:hAnsiTheme="majorEastAsia" w:eastAsiaTheme="majorEastAsia"/>
          <w:b/>
          <w:color w:val="000000"/>
          <w:szCs w:val="21"/>
        </w:rPr>
      </w:pPr>
    </w:p>
    <w:p>
      <w:pPr>
        <w:spacing w:line="440" w:lineRule="exact"/>
        <w:ind w:firstLine="422" w:firstLineChars="200"/>
        <w:rPr>
          <w:rFonts w:asciiTheme="majorEastAsia" w:hAnsiTheme="majorEastAsia" w:eastAsiaTheme="majorEastAsia"/>
          <w:b/>
          <w:color w:val="000000"/>
          <w:szCs w:val="21"/>
        </w:rPr>
      </w:pP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第十七条  争议解决办法</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执行本合同发生的争议，由甲乙双方协商解决。协商不成的，由甲方所在地人民法院管辖。</w:t>
      </w:r>
    </w:p>
    <w:p>
      <w:pPr>
        <w:spacing w:line="440" w:lineRule="exact"/>
        <w:ind w:firstLine="420" w:firstLineChars="200"/>
        <w:rPr>
          <w:rFonts w:asciiTheme="majorEastAsia" w:hAnsiTheme="majorEastAsia" w:eastAsiaTheme="majorEastAsia"/>
          <w:color w:val="000000"/>
          <w:szCs w:val="21"/>
        </w:rPr>
      </w:pP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第十八条  风险责任</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１、乙方应完全地按照</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号招标文件的要求和乙方投标文件的承诺完成本项目，出于自身财务、技术、人力等原因导致项目失败的，应承担全部责任。</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2、乙方在实施过程中应对自身的安全生产负责，若由乙方原因发生的各种事故甲方不承担任何责任。</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第十九条  违约责任</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１、因乙方原因，未能按规定时间完成有关工作的，每延误一天，甲方可在支付合同余款中扣除合同总价款的千分之一，若余款不足以扣款或者款项已经支付完毕，则乙方应向甲方支付上述同等数额的违约金。</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2、由于乙方原因造成试验成果质量低劣，不能满足大纲要求时，应继续完善工作，其费用由乙方承担。</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3、如乙方提供的服务文件不符合质量要求，必须在甲方提出要求后7天内无条件修改，其费用由乙方承担。否则，甲方有权终止合同，并要求乙方向甲方支付合同总价的百分之十作为违约金。</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spacing w:line="440" w:lineRule="exact"/>
        <w:ind w:firstLine="422" w:firstLineChars="20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第二十条  其他</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1、本合同与 </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号招标文件、乙方投标文件如有抵触之处，以本合同条款为准。</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2、下列文件均为本合同的组成部分：</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号招标文件、答疑及补充通知；</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（2）投标文件；</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（3）本合同执行中共同签署的补充与修正文件。</w:t>
      </w:r>
    </w:p>
    <w:p>
      <w:pPr>
        <w:spacing w:line="440" w:lineRule="exact"/>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本合同一式</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份，甲、乙方双方各执</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份，具有同等法律效力。本合同自双方法人代表签字（盖章）认可之日起生效。</w:t>
      </w:r>
    </w:p>
    <w:p>
      <w:pPr>
        <w:spacing w:line="440" w:lineRule="exact"/>
        <w:ind w:firstLine="420" w:firstLineChars="200"/>
        <w:rPr>
          <w:color w:val="0000FF"/>
        </w:rPr>
      </w:pPr>
      <w:r>
        <w:rPr>
          <w:rFonts w:hint="eastAsia" w:asciiTheme="majorEastAsia" w:hAnsiTheme="majorEastAsia" w:eastAsiaTheme="majorEastAsia"/>
          <w:color w:val="000000"/>
          <w:szCs w:val="21"/>
        </w:rPr>
        <w:t>本合同未尽事宜，双方友好协商，达成解决方案，经双方签字后，可作为本合同的组成部分。</w:t>
      </w:r>
    </w:p>
    <w:p>
      <w:pPr>
        <w:spacing w:line="328" w:lineRule="exact"/>
        <w:ind w:right="-29" w:rightChars="-14"/>
        <w:rPr>
          <w:rFonts w:ascii="宋体" w:hAnsi="宋体"/>
          <w:color w:val="000000"/>
          <w:sz w:val="24"/>
        </w:rPr>
      </w:pPr>
    </w:p>
    <w:p>
      <w:pPr>
        <w:spacing w:line="0" w:lineRule="atLeast"/>
        <w:jc w:val="center"/>
        <w:outlineLvl w:val="0"/>
        <w:rPr>
          <w:rFonts w:ascii="微软雅黑" w:hAnsi="微软雅黑" w:eastAsia="微软雅黑" w:cs="微软雅黑"/>
          <w:b/>
          <w:color w:val="000000"/>
          <w:sz w:val="32"/>
          <w:szCs w:val="32"/>
        </w:rPr>
      </w:pPr>
      <w:r>
        <w:rPr>
          <w:rFonts w:ascii="黑体" w:hAnsi="宋体" w:eastAsia="黑体"/>
          <w:b/>
          <w:bCs/>
          <w:color w:val="000000"/>
          <w:sz w:val="32"/>
          <w:szCs w:val="32"/>
        </w:rPr>
        <w:br w:type="page"/>
      </w:r>
      <w:bookmarkStart w:id="57" w:name="_Toc1331"/>
      <w:bookmarkStart w:id="58" w:name="_Hlk130578360"/>
      <w:r>
        <w:rPr>
          <w:rFonts w:hint="eastAsia" w:ascii="微软雅黑" w:hAnsi="微软雅黑" w:eastAsia="微软雅黑" w:cs="微软雅黑"/>
          <w:b/>
          <w:color w:val="000000"/>
          <w:sz w:val="32"/>
          <w:szCs w:val="32"/>
        </w:rPr>
        <w:t>第四章  需求及技术规格</w:t>
      </w:r>
      <w:bookmarkEnd w:id="57"/>
    </w:p>
    <w:p>
      <w:pPr>
        <w:spacing w:line="340" w:lineRule="exact"/>
        <w:ind w:left="-71" w:firstLine="447" w:firstLineChars="212"/>
        <w:rPr>
          <w:rFonts w:ascii="宋体" w:hAnsi="宋体"/>
          <w:b/>
          <w:bCs/>
          <w:color w:val="000000"/>
          <w:szCs w:val="21"/>
        </w:rPr>
      </w:pPr>
    </w:p>
    <w:p>
      <w:pPr>
        <w:jc w:val="center"/>
        <w:outlineLvl w:val="1"/>
        <w:rPr>
          <w:rFonts w:ascii="微软雅黑" w:hAnsi="微软雅黑" w:eastAsia="微软雅黑" w:cs="微软雅黑"/>
          <w:b/>
          <w:color w:val="000000"/>
          <w:sz w:val="24"/>
          <w:szCs w:val="24"/>
        </w:rPr>
      </w:pPr>
      <w:bookmarkStart w:id="59" w:name="_Toc24986"/>
      <w:r>
        <w:rPr>
          <w:rFonts w:hint="eastAsia" w:ascii="微软雅黑" w:hAnsi="微软雅黑" w:eastAsia="微软雅黑" w:cs="微软雅黑"/>
          <w:b/>
          <w:color w:val="000000"/>
          <w:sz w:val="24"/>
          <w:szCs w:val="24"/>
        </w:rPr>
        <w:t>第一节  说明</w:t>
      </w:r>
      <w:bookmarkEnd w:id="59"/>
    </w:p>
    <w:p>
      <w:pPr>
        <w:spacing w:line="440" w:lineRule="exact"/>
        <w:ind w:firstLine="420" w:firstLineChars="200"/>
        <w:rPr>
          <w:rFonts w:ascii="宋体" w:hAnsi="宋体"/>
          <w:b/>
          <w:bCs/>
          <w:szCs w:val="21"/>
        </w:rPr>
      </w:pPr>
      <w:r>
        <w:rPr>
          <w:rFonts w:hint="eastAsia" w:ascii="宋体" w:hAnsi="宋体"/>
          <w:color w:val="000000"/>
          <w:szCs w:val="21"/>
        </w:rPr>
        <w:t>1、</w:t>
      </w:r>
      <w:r>
        <w:rPr>
          <w:rFonts w:hint="eastAsia" w:ascii="宋体" w:hAnsi="宋体"/>
          <w:szCs w:val="21"/>
        </w:rPr>
        <w:t>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pPr>
        <w:spacing w:line="440" w:lineRule="exact"/>
        <w:ind w:firstLine="422" w:firstLineChars="200"/>
        <w:rPr>
          <w:rFonts w:ascii="宋体" w:hAnsi="宋体"/>
          <w:b/>
        </w:rPr>
      </w:pPr>
      <w:r>
        <w:rPr>
          <w:rFonts w:hint="eastAsia" w:ascii="宋体" w:hAnsi="宋体"/>
          <w:b/>
        </w:rPr>
        <w:t>重点说明：偏离表中“偏离度”由投标人自行判断后填写，内容仅供评委参考，</w:t>
      </w:r>
      <w:r>
        <w:rPr>
          <w:rFonts w:ascii="宋体" w:hAnsi="宋体"/>
          <w:b/>
        </w:rPr>
        <w:t>评标委员会将根据</w:t>
      </w:r>
      <w:r>
        <w:rPr>
          <w:rFonts w:hint="eastAsia" w:ascii="宋体" w:hAnsi="宋体"/>
          <w:b/>
        </w:rPr>
        <w:t>具体响应内容</w:t>
      </w:r>
      <w:r>
        <w:rPr>
          <w:rFonts w:ascii="宋体" w:hAnsi="宋体"/>
          <w:b/>
        </w:rPr>
        <w:t>给予是否偏离的认定，并以此</w:t>
      </w:r>
      <w:r>
        <w:rPr>
          <w:rFonts w:hint="eastAsia" w:ascii="宋体" w:hAnsi="宋体"/>
          <w:b/>
        </w:rPr>
        <w:t>作为</w:t>
      </w:r>
      <w:r>
        <w:rPr>
          <w:rFonts w:ascii="宋体" w:hAnsi="宋体"/>
          <w:b/>
        </w:rPr>
        <w:t>最终评判</w:t>
      </w:r>
      <w:r>
        <w:rPr>
          <w:rFonts w:hint="eastAsia" w:ascii="宋体" w:hAnsi="宋体"/>
          <w:b/>
          <w:szCs w:val="22"/>
        </w:rPr>
        <w:t>。</w:t>
      </w:r>
      <w:r>
        <w:rPr>
          <w:rFonts w:hint="eastAsia" w:ascii="宋体" w:hAnsi="宋体"/>
          <w:b/>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pPr>
        <w:spacing w:line="44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w:t>
      </w:r>
      <w:r>
        <w:rPr>
          <w:rFonts w:hint="eastAsia" w:ascii="宋体" w:hAnsi="宋体"/>
          <w:b/>
          <w:bCs/>
          <w:szCs w:val="21"/>
        </w:rPr>
        <w:t>不可偏离条款，</w:t>
      </w:r>
      <w:r>
        <w:rPr>
          <w:rFonts w:ascii="宋体" w:hAnsi="宋体"/>
          <w:b/>
          <w:bCs/>
          <w:szCs w:val="21"/>
        </w:rPr>
        <w:t>投标人要特别加以注意</w:t>
      </w:r>
      <w:r>
        <w:rPr>
          <w:rFonts w:hint="eastAsia" w:ascii="宋体" w:hAnsi="宋体"/>
          <w:b/>
          <w:bCs/>
          <w:szCs w:val="21"/>
        </w:rPr>
        <w:t>并予以响应，</w:t>
      </w:r>
      <w:r>
        <w:rPr>
          <w:rFonts w:ascii="宋体" w:hAnsi="宋体"/>
          <w:b/>
          <w:bCs/>
          <w:szCs w:val="21"/>
        </w:rPr>
        <w:t>否则，若有一项带</w:t>
      </w:r>
      <w:r>
        <w:rPr>
          <w:rFonts w:hint="eastAsia" w:ascii="宋体" w:hAnsi="宋体"/>
          <w:b/>
          <w:bCs/>
          <w:szCs w:val="21"/>
        </w:rPr>
        <w:t>“★”</w:t>
      </w:r>
      <w:r>
        <w:rPr>
          <w:rFonts w:ascii="宋体" w:hAnsi="宋体"/>
          <w:b/>
          <w:bCs/>
          <w:szCs w:val="21"/>
        </w:rPr>
        <w:t>的</w:t>
      </w:r>
      <w:r>
        <w:rPr>
          <w:rFonts w:hint="eastAsia" w:ascii="宋体" w:hAnsi="宋体"/>
          <w:b/>
          <w:bCs/>
          <w:szCs w:val="21"/>
        </w:rPr>
        <w:t>要求</w:t>
      </w:r>
      <w:r>
        <w:rPr>
          <w:rFonts w:ascii="宋体" w:hAnsi="宋体"/>
          <w:b/>
          <w:bCs/>
          <w:szCs w:val="21"/>
        </w:rPr>
        <w:t>未响应或不满足，将按投标无效处理</w:t>
      </w:r>
      <w:r>
        <w:rPr>
          <w:rFonts w:hint="eastAsia" w:ascii="宋体" w:hAnsi="宋体"/>
          <w:b/>
          <w:bCs/>
          <w:szCs w:val="21"/>
        </w:rPr>
        <w:t>；</w:t>
      </w:r>
      <w:r>
        <w:rPr>
          <w:rFonts w:ascii="宋体" w:hAnsi="宋体"/>
          <w:b/>
          <w:bCs/>
          <w:szCs w:val="21"/>
        </w:rPr>
        <w:t>凡标有</w:t>
      </w:r>
      <w:r>
        <w:rPr>
          <w:rFonts w:hint="eastAsia" w:ascii="宋体" w:hAnsi="宋体"/>
          <w:b/>
          <w:bCs/>
          <w:szCs w:val="21"/>
        </w:rPr>
        <w:t xml:space="preserve"> “▲”</w:t>
      </w:r>
      <w:r>
        <w:rPr>
          <w:rFonts w:ascii="宋体" w:hAnsi="宋体"/>
          <w:b/>
          <w:bCs/>
          <w:szCs w:val="21"/>
        </w:rPr>
        <w:t>的地方均被视为重要要求</w:t>
      </w:r>
      <w:r>
        <w:rPr>
          <w:rFonts w:hint="eastAsia" w:ascii="宋体" w:hAnsi="宋体"/>
          <w:b/>
          <w:bCs/>
          <w:szCs w:val="21"/>
        </w:rPr>
        <w:t>，若有带“▲”的要求未响应或不满足的，将按加重扣分处理</w:t>
      </w:r>
      <w:r>
        <w:rPr>
          <w:rFonts w:ascii="宋体" w:hAnsi="宋体"/>
          <w:b/>
          <w:bCs/>
          <w:szCs w:val="21"/>
        </w:rPr>
        <w:t>。</w:t>
      </w:r>
    </w:p>
    <w:p>
      <w:pPr>
        <w:spacing w:line="440" w:lineRule="exact"/>
        <w:jc w:val="center"/>
        <w:rPr>
          <w:rFonts w:ascii="宋体" w:hAnsi="宋体"/>
          <w:b/>
          <w:bCs/>
          <w:color w:val="000000"/>
          <w:szCs w:val="21"/>
        </w:rPr>
      </w:pPr>
    </w:p>
    <w:p>
      <w:pPr>
        <w:jc w:val="center"/>
        <w:outlineLvl w:val="1"/>
        <w:rPr>
          <w:rFonts w:ascii="微软雅黑" w:hAnsi="微软雅黑" w:eastAsia="微软雅黑" w:cs="微软雅黑"/>
          <w:b/>
          <w:color w:val="000000"/>
          <w:sz w:val="24"/>
          <w:szCs w:val="24"/>
        </w:rPr>
      </w:pPr>
      <w:bookmarkStart w:id="60" w:name="_Toc28899"/>
      <w:r>
        <w:rPr>
          <w:rFonts w:hint="eastAsia" w:ascii="微软雅黑" w:hAnsi="微软雅黑" w:eastAsia="微软雅黑" w:cs="微软雅黑"/>
          <w:b/>
          <w:color w:val="000000"/>
          <w:sz w:val="24"/>
          <w:szCs w:val="24"/>
        </w:rPr>
        <w:t>第二节  需求一览表</w:t>
      </w:r>
      <w:bookmarkEnd w:id="60"/>
    </w:p>
    <w:tbl>
      <w:tblPr>
        <w:tblStyle w:val="2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138"/>
        <w:gridCol w:w="922"/>
        <w:gridCol w:w="107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2" w:type="dxa"/>
            <w:vAlign w:val="center"/>
          </w:tcPr>
          <w:p>
            <w:pPr>
              <w:jc w:val="center"/>
              <w:rPr>
                <w:b/>
              </w:rPr>
            </w:pPr>
            <w:r>
              <w:rPr>
                <w:b/>
              </w:rPr>
              <w:t>序号</w:t>
            </w:r>
          </w:p>
        </w:tc>
        <w:tc>
          <w:tcPr>
            <w:tcW w:w="4138" w:type="dxa"/>
            <w:vAlign w:val="center"/>
          </w:tcPr>
          <w:p>
            <w:pPr>
              <w:jc w:val="center"/>
              <w:rPr>
                <w:b/>
              </w:rPr>
            </w:pPr>
            <w:r>
              <w:rPr>
                <w:b/>
              </w:rPr>
              <w:t>服务名称</w:t>
            </w:r>
          </w:p>
        </w:tc>
        <w:tc>
          <w:tcPr>
            <w:tcW w:w="922" w:type="dxa"/>
            <w:vAlign w:val="center"/>
          </w:tcPr>
          <w:p>
            <w:pPr>
              <w:jc w:val="center"/>
              <w:rPr>
                <w:b/>
              </w:rPr>
            </w:pPr>
            <w:r>
              <w:rPr>
                <w:b/>
              </w:rPr>
              <w:t>数量</w:t>
            </w:r>
          </w:p>
        </w:tc>
        <w:tc>
          <w:tcPr>
            <w:tcW w:w="1073" w:type="dxa"/>
            <w:vAlign w:val="center"/>
          </w:tcPr>
          <w:p>
            <w:pPr>
              <w:jc w:val="center"/>
              <w:rPr>
                <w:b/>
              </w:rPr>
            </w:pPr>
            <w:r>
              <w:rPr>
                <w:b/>
              </w:rPr>
              <w:t>单位</w:t>
            </w:r>
          </w:p>
        </w:tc>
        <w:tc>
          <w:tcPr>
            <w:tcW w:w="1900" w:type="dxa"/>
            <w:vAlign w:val="center"/>
          </w:tcPr>
          <w:p>
            <w:pPr>
              <w:jc w:val="center"/>
              <w:rPr>
                <w:rFonts w:ascii="宋体" w:hAnsi="宋体"/>
                <w:b/>
              </w:rPr>
            </w:pPr>
            <w:r>
              <w:rPr>
                <w:rFonts w:hint="eastAsia"/>
                <w:b/>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2" w:type="dxa"/>
            <w:vAlign w:val="center"/>
          </w:tcPr>
          <w:p>
            <w:pPr>
              <w:jc w:val="center"/>
              <w:rPr>
                <w:rFonts w:ascii="宋体" w:hAnsi="宋体"/>
              </w:rPr>
            </w:pPr>
            <w:r>
              <w:rPr>
                <w:rFonts w:ascii="宋体" w:hAnsi="宋体"/>
              </w:rPr>
              <w:t>1</w:t>
            </w:r>
          </w:p>
        </w:tc>
        <w:tc>
          <w:tcPr>
            <w:tcW w:w="4138" w:type="dxa"/>
            <w:vAlign w:val="center"/>
          </w:tcPr>
          <w:p>
            <w:pPr>
              <w:spacing w:line="440" w:lineRule="exact"/>
              <w:rPr>
                <w:rFonts w:asciiTheme="minorEastAsia" w:hAnsiTheme="minorEastAsia" w:eastAsiaTheme="minorEastAsia"/>
                <w:color w:val="FF0000"/>
                <w:szCs w:val="21"/>
              </w:rPr>
            </w:pPr>
            <w:r>
              <w:rPr>
                <w:rFonts w:hint="eastAsia" w:asciiTheme="minorEastAsia" w:hAnsiTheme="minorEastAsia" w:eastAsiaTheme="minorEastAsia" w:cstheme="minorBidi"/>
                <w:szCs w:val="21"/>
              </w:rPr>
              <w:t>福田区第二人民医院物业管理服务采购第三方咨询供应商项目</w:t>
            </w:r>
          </w:p>
        </w:tc>
        <w:tc>
          <w:tcPr>
            <w:tcW w:w="922" w:type="dxa"/>
            <w:vAlign w:val="center"/>
          </w:tcPr>
          <w:p>
            <w:pPr>
              <w:jc w:val="center"/>
              <w:rPr>
                <w:rFonts w:ascii="宋体" w:hAnsi="宋体"/>
              </w:rPr>
            </w:pPr>
            <w:r>
              <w:rPr>
                <w:rFonts w:ascii="宋体" w:hAnsi="宋体"/>
              </w:rPr>
              <w:t>1</w:t>
            </w:r>
          </w:p>
        </w:tc>
        <w:tc>
          <w:tcPr>
            <w:tcW w:w="1073" w:type="dxa"/>
            <w:vAlign w:val="center"/>
          </w:tcPr>
          <w:p>
            <w:pPr>
              <w:jc w:val="center"/>
              <w:rPr>
                <w:rFonts w:ascii="宋体" w:hAnsi="宋体"/>
              </w:rPr>
            </w:pPr>
            <w:r>
              <w:rPr>
                <w:rFonts w:ascii="宋体" w:hAnsi="宋体"/>
              </w:rPr>
              <w:t>项</w:t>
            </w:r>
          </w:p>
        </w:tc>
        <w:tc>
          <w:tcPr>
            <w:tcW w:w="1900" w:type="dxa"/>
            <w:vAlign w:val="center"/>
          </w:tcPr>
          <w:p>
            <w:pPr>
              <w:jc w:val="center"/>
              <w:rPr>
                <w:rFonts w:ascii="宋体" w:hAnsi="宋体"/>
              </w:rPr>
            </w:pPr>
            <w:r>
              <w:rPr>
                <w:rFonts w:hint="eastAsia"/>
                <w:szCs w:val="21"/>
              </w:rPr>
              <w:t>5万元</w:t>
            </w:r>
          </w:p>
        </w:tc>
      </w:tr>
    </w:tbl>
    <w:p>
      <w:pPr>
        <w:spacing w:line="340" w:lineRule="exact"/>
        <w:ind w:firstLine="422" w:firstLineChars="200"/>
        <w:rPr>
          <w:rFonts w:ascii="宋体" w:hAnsi="宋体"/>
          <w:b/>
          <w:bCs/>
          <w:color w:val="000000"/>
          <w:szCs w:val="21"/>
        </w:rPr>
      </w:pPr>
    </w:p>
    <w:p>
      <w:pPr>
        <w:jc w:val="center"/>
        <w:outlineLvl w:val="1"/>
        <w:rPr>
          <w:rFonts w:ascii="微软雅黑" w:hAnsi="微软雅黑" w:eastAsia="微软雅黑" w:cs="微软雅黑"/>
          <w:b/>
          <w:color w:val="000000"/>
          <w:sz w:val="24"/>
          <w:szCs w:val="24"/>
        </w:rPr>
      </w:pPr>
      <w:bookmarkStart w:id="61" w:name="_Toc5820"/>
      <w:r>
        <w:rPr>
          <w:rFonts w:hint="eastAsia" w:ascii="微软雅黑" w:hAnsi="微软雅黑" w:eastAsia="微软雅黑" w:cs="微软雅黑"/>
          <w:b/>
          <w:color w:val="000000"/>
          <w:sz w:val="24"/>
          <w:szCs w:val="24"/>
        </w:rPr>
        <w:t>第三节  技术</w:t>
      </w:r>
      <w:bookmarkEnd w:id="61"/>
      <w:r>
        <w:rPr>
          <w:rFonts w:hint="eastAsia" w:ascii="微软雅黑" w:hAnsi="微软雅黑" w:eastAsia="微软雅黑" w:cs="微软雅黑"/>
          <w:b/>
          <w:color w:val="000000"/>
          <w:sz w:val="24"/>
          <w:szCs w:val="24"/>
        </w:rPr>
        <w:t>需求明细</w:t>
      </w:r>
    </w:p>
    <w:p>
      <w:pPr>
        <w:spacing w:line="440" w:lineRule="exact"/>
        <w:ind w:firstLine="420" w:firstLineChars="199"/>
        <w:rPr>
          <w:rFonts w:ascii="宋体" w:hAnsi="宋体"/>
          <w:b/>
          <w:szCs w:val="21"/>
        </w:rPr>
      </w:pPr>
      <w:r>
        <w:rPr>
          <w:rFonts w:hint="eastAsia" w:ascii="宋体" w:hAnsi="宋体"/>
          <w:b/>
          <w:szCs w:val="21"/>
        </w:rPr>
        <w:t>一、项目概况</w:t>
      </w:r>
    </w:p>
    <w:p>
      <w:pPr>
        <w:spacing w:line="440" w:lineRule="exact"/>
        <w:ind w:firstLine="420" w:firstLineChars="200"/>
        <w:rPr>
          <w:rFonts w:ascii="宋体" w:hAnsi="宋体"/>
          <w:color w:val="000000"/>
          <w:szCs w:val="21"/>
        </w:rPr>
      </w:pPr>
      <w:r>
        <w:rPr>
          <w:rFonts w:hint="eastAsia" w:ascii="宋体" w:hAnsi="宋体"/>
          <w:color w:val="000000"/>
          <w:szCs w:val="21"/>
        </w:rPr>
        <w:t>深圳市福田区第二人民医院计划于2023年</w:t>
      </w:r>
      <w:r>
        <w:rPr>
          <w:rFonts w:ascii="宋体" w:hAnsi="宋体"/>
          <w:color w:val="000000"/>
          <w:szCs w:val="21"/>
        </w:rPr>
        <w:t>5</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月采购物业管理服务项目，年度预算金额上限约为1400万元（最终以财政下达计划金额为准）。本项目是为深圳市福田区第二人民医院物业管理服务</w:t>
      </w:r>
      <w:r>
        <w:rPr>
          <w:rFonts w:ascii="宋体" w:hAnsi="宋体"/>
          <w:color w:val="000000"/>
          <w:szCs w:val="21"/>
        </w:rPr>
        <w:t>项目</w:t>
      </w:r>
      <w:r>
        <w:rPr>
          <w:rFonts w:hint="eastAsia" w:ascii="宋体" w:hAnsi="宋体"/>
          <w:color w:val="000000"/>
          <w:szCs w:val="21"/>
        </w:rPr>
        <w:t>采购第三方咨询服务供应商,供应商需按照《政府采购需求管理办法》相关要求为采购人的物业管理服务项目开展需求调查、审查等咨询工作。</w:t>
      </w:r>
    </w:p>
    <w:p>
      <w:pPr>
        <w:spacing w:line="440" w:lineRule="exact"/>
        <w:ind w:firstLine="420" w:firstLineChars="199"/>
        <w:rPr>
          <w:rFonts w:ascii="宋体" w:hAnsi="宋体"/>
          <w:b/>
          <w:color w:val="000000"/>
          <w:szCs w:val="21"/>
        </w:rPr>
      </w:pPr>
      <w:r>
        <w:rPr>
          <w:rFonts w:hint="eastAsia" w:ascii="宋体" w:hAnsi="宋体"/>
          <w:b/>
          <w:color w:val="000000"/>
          <w:szCs w:val="21"/>
        </w:rPr>
        <w:t>二、服务需求</w:t>
      </w:r>
      <w:r>
        <w:rPr>
          <w:rFonts w:hint="eastAsia" w:ascii="宋体" w:hAnsi="宋体"/>
          <w:b/>
          <w:bCs/>
          <w:szCs w:val="21"/>
        </w:rPr>
        <w:t>★</w:t>
      </w:r>
    </w:p>
    <w:p>
      <w:pPr>
        <w:spacing w:line="440" w:lineRule="exact"/>
        <w:ind w:firstLine="472" w:firstLineChars="225"/>
        <w:rPr>
          <w:rFonts w:ascii="宋体" w:hAnsi="宋体"/>
          <w:color w:val="000000"/>
          <w:szCs w:val="21"/>
        </w:rPr>
      </w:pPr>
      <w:r>
        <w:rPr>
          <w:rFonts w:ascii="宋体" w:hAnsi="宋体"/>
          <w:color w:val="000000"/>
          <w:szCs w:val="21"/>
        </w:rPr>
        <w:t xml:space="preserve">1. </w:t>
      </w:r>
      <w:r>
        <w:rPr>
          <w:rFonts w:hint="eastAsia" w:ascii="宋体" w:hAnsi="宋体"/>
          <w:color w:val="000000"/>
          <w:szCs w:val="21"/>
        </w:rPr>
        <w:t>供应商按照《政府采购需求管理办法》《深圳市落实采购人主体责任实施办法》相关要求开展福田区第二人民医院物业管理服务项目的需求调查及审查等咨询工作；以促使采购人的物业管理服务项目招标采购工作顺利完成为最终服务目的。</w:t>
      </w:r>
    </w:p>
    <w:p>
      <w:pPr>
        <w:spacing w:line="440" w:lineRule="exact"/>
        <w:ind w:firstLine="472" w:firstLineChars="225"/>
        <w:rPr>
          <w:rFonts w:ascii="宋体" w:hAnsi="宋体"/>
          <w:color w:val="000000"/>
          <w:szCs w:val="21"/>
        </w:rPr>
      </w:pPr>
      <w:r>
        <w:rPr>
          <w:rFonts w:ascii="宋体" w:hAnsi="宋体"/>
          <w:color w:val="000000"/>
          <w:szCs w:val="21"/>
        </w:rPr>
        <w:t xml:space="preserve">2. </w:t>
      </w:r>
      <w:r>
        <w:rPr>
          <w:rFonts w:hint="eastAsia" w:ascii="宋体" w:hAnsi="宋体"/>
          <w:color w:val="000000"/>
          <w:szCs w:val="21"/>
        </w:rPr>
        <w:t>工作范围及内容</w:t>
      </w:r>
      <w:bookmarkStart w:id="62" w:name="_Hlk104186507"/>
      <w:r>
        <w:rPr>
          <w:rFonts w:hint="eastAsia" w:ascii="宋体" w:hAnsi="宋体"/>
          <w:color w:val="000000"/>
          <w:szCs w:val="21"/>
        </w:rPr>
        <w:t>包括但不限于物业管理服务采购需求调查、采购需求编制、</w:t>
      </w:r>
      <w:bookmarkEnd w:id="62"/>
      <w:r>
        <w:rPr>
          <w:rFonts w:hint="eastAsia" w:ascii="宋体" w:hAnsi="宋体"/>
          <w:color w:val="000000"/>
          <w:szCs w:val="21"/>
        </w:rPr>
        <w:t xml:space="preserve">专家论证、采购咨询报告编制、审查服务等，相关的采购咨询工作以《政府采购需求管理办法》《深圳市落实采购人主体责任实施办法》相关要求为依据。 </w:t>
      </w:r>
    </w:p>
    <w:p>
      <w:pPr>
        <w:spacing w:line="440" w:lineRule="exact"/>
        <w:ind w:firstLine="472" w:firstLineChars="225"/>
        <w:rPr>
          <w:rFonts w:ascii="宋体" w:hAnsi="宋体"/>
          <w:color w:val="000000"/>
          <w:szCs w:val="21"/>
        </w:rPr>
      </w:pPr>
      <w:r>
        <w:rPr>
          <w:rFonts w:hint="eastAsia" w:ascii="宋体" w:hAnsi="宋体"/>
          <w:color w:val="000000"/>
          <w:szCs w:val="21"/>
        </w:rPr>
        <w:t>（一）采购需求编制服务</w:t>
      </w:r>
    </w:p>
    <w:p>
      <w:pPr>
        <w:spacing w:line="440" w:lineRule="exact"/>
        <w:ind w:firstLine="472" w:firstLineChars="225"/>
        <w:rPr>
          <w:rFonts w:ascii="宋体" w:hAnsi="宋体"/>
          <w:color w:val="000000"/>
          <w:szCs w:val="21"/>
        </w:rPr>
      </w:pPr>
      <w:r>
        <w:rPr>
          <w:rFonts w:hint="eastAsia" w:ascii="宋体" w:hAnsi="宋体"/>
          <w:color w:val="000000"/>
          <w:szCs w:val="21"/>
        </w:rPr>
        <w:t>（1）需求编制摸底。了解采购人采购项目需求方向，确认项目类型，明确项目要求，整理项目需求特征和需求信息，分析项目采购需求编制重点和难点。</w:t>
      </w:r>
    </w:p>
    <w:p>
      <w:pPr>
        <w:spacing w:line="440" w:lineRule="exact"/>
        <w:ind w:firstLine="472" w:firstLineChars="225"/>
        <w:rPr>
          <w:rFonts w:ascii="宋体" w:hAnsi="宋体"/>
          <w:color w:val="000000"/>
          <w:szCs w:val="21"/>
        </w:rPr>
      </w:pPr>
      <w:r>
        <w:rPr>
          <w:rFonts w:hint="eastAsia" w:ascii="宋体" w:hAnsi="宋体"/>
          <w:color w:val="000000"/>
          <w:szCs w:val="21"/>
        </w:rPr>
        <w:t>（2）采购需求调查。了解项目相关产业发展、市场供给、同类采购项目历史成交信息情况。</w:t>
      </w:r>
    </w:p>
    <w:p>
      <w:pPr>
        <w:spacing w:line="440" w:lineRule="exact"/>
        <w:ind w:firstLine="472" w:firstLineChars="225"/>
        <w:rPr>
          <w:rFonts w:ascii="宋体" w:hAnsi="宋体"/>
          <w:color w:val="000000"/>
          <w:szCs w:val="21"/>
        </w:rPr>
      </w:pPr>
      <w:r>
        <w:rPr>
          <w:rFonts w:hint="eastAsia" w:ascii="宋体" w:hAnsi="宋体"/>
          <w:color w:val="000000"/>
          <w:szCs w:val="21"/>
        </w:rPr>
        <w:t>（3）采购需求编制。根据项目特点编制项目技术要求（采购标的的功能和质量要求，包括性能、材料、结构、外观、安全，或者服务内容和标准等）；编制商务要求（包括取得采购标的的时间、地点、财务和服务要求，包括交付（实施）的时间（期限）和地点（范围）；付款条件（进度和方式）；包装和运输；售后服务等），形成采购需求书，采购需求书须由中标供应商组织专家论证后再交付给采购人。</w:t>
      </w:r>
    </w:p>
    <w:p>
      <w:pPr>
        <w:spacing w:line="440" w:lineRule="exact"/>
        <w:ind w:firstLine="472" w:firstLineChars="225"/>
        <w:rPr>
          <w:rFonts w:ascii="宋体" w:hAnsi="宋体"/>
          <w:color w:val="000000"/>
          <w:szCs w:val="21"/>
        </w:rPr>
      </w:pPr>
      <w:r>
        <w:rPr>
          <w:rFonts w:hint="eastAsia" w:ascii="宋体" w:hAnsi="宋体"/>
          <w:color w:val="000000"/>
          <w:szCs w:val="21"/>
        </w:rPr>
        <w:t>（二）采购咨询报告编制（调研报告）</w:t>
      </w:r>
    </w:p>
    <w:p>
      <w:pPr>
        <w:spacing w:line="440" w:lineRule="exact"/>
        <w:ind w:firstLine="472" w:firstLineChars="225"/>
        <w:rPr>
          <w:rFonts w:ascii="宋体" w:hAnsi="宋体"/>
          <w:color w:val="000000"/>
          <w:szCs w:val="21"/>
        </w:rPr>
      </w:pPr>
      <w:r>
        <w:rPr>
          <w:rFonts w:hint="eastAsia" w:ascii="宋体" w:hAnsi="宋体"/>
          <w:color w:val="000000"/>
          <w:szCs w:val="21"/>
        </w:rPr>
        <w:t>根据采购需求调查编制的采购需求以及同类采购项目相关数据信息整合编制针对采购人物业管理服务项目的采购咨询报告（调研报告）。</w:t>
      </w:r>
    </w:p>
    <w:p>
      <w:pPr>
        <w:spacing w:line="440" w:lineRule="exact"/>
        <w:ind w:firstLine="472" w:firstLineChars="225"/>
        <w:rPr>
          <w:rFonts w:ascii="宋体" w:hAnsi="宋体"/>
          <w:color w:val="000000"/>
          <w:szCs w:val="21"/>
        </w:rPr>
      </w:pPr>
      <w:r>
        <w:rPr>
          <w:rFonts w:hint="eastAsia" w:ascii="宋体" w:hAnsi="宋体"/>
          <w:color w:val="000000"/>
          <w:szCs w:val="21"/>
        </w:rPr>
        <w:t>（三）审查服务</w:t>
      </w:r>
    </w:p>
    <w:p>
      <w:pPr>
        <w:spacing w:line="440" w:lineRule="exact"/>
        <w:ind w:firstLine="472" w:firstLineChars="225"/>
        <w:rPr>
          <w:rFonts w:ascii="宋体" w:hAnsi="宋体"/>
          <w:color w:val="000000"/>
          <w:szCs w:val="21"/>
        </w:rPr>
      </w:pPr>
      <w:r>
        <w:rPr>
          <w:rFonts w:hint="eastAsia" w:ascii="宋体" w:hAnsi="宋体"/>
          <w:color w:val="000000"/>
          <w:szCs w:val="21"/>
        </w:rPr>
        <w:t>（1）一般性审查；</w:t>
      </w:r>
    </w:p>
    <w:p>
      <w:pPr>
        <w:spacing w:line="440" w:lineRule="exact"/>
        <w:ind w:firstLine="472" w:firstLineChars="225"/>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）重点审查。</w:t>
      </w:r>
    </w:p>
    <w:p>
      <w:pPr>
        <w:spacing w:line="440" w:lineRule="exact"/>
        <w:ind w:firstLine="472" w:firstLineChars="225"/>
        <w:rPr>
          <w:rFonts w:ascii="宋体" w:hAnsi="宋体"/>
          <w:color w:val="000000"/>
          <w:szCs w:val="21"/>
        </w:rPr>
      </w:pPr>
      <w:r>
        <w:rPr>
          <w:rFonts w:hint="eastAsia" w:ascii="宋体" w:hAnsi="宋体"/>
          <w:color w:val="000000"/>
          <w:szCs w:val="21"/>
        </w:rPr>
        <w:t>（四）专家论证。根据本项目特点编制的项目需求书、咨询报告（调研报告）、审查服务等如需组织专家论证的，由供应商组织开展。</w:t>
      </w:r>
    </w:p>
    <w:p>
      <w:pPr>
        <w:spacing w:line="440" w:lineRule="exact"/>
        <w:ind w:firstLine="472" w:firstLineChars="225"/>
        <w:rPr>
          <w:rFonts w:ascii="宋体" w:hAnsi="宋体"/>
          <w:color w:val="000000"/>
          <w:szCs w:val="21"/>
        </w:rPr>
      </w:pPr>
      <w:r>
        <w:rPr>
          <w:rFonts w:ascii="宋体" w:hAnsi="宋体"/>
          <w:color w:val="000000"/>
          <w:szCs w:val="21"/>
        </w:rPr>
        <w:t>3.</w:t>
      </w:r>
      <w:r>
        <w:rPr>
          <w:rFonts w:hint="eastAsia" w:ascii="宋体" w:hAnsi="宋体"/>
          <w:color w:val="000000"/>
          <w:szCs w:val="21"/>
        </w:rPr>
        <w:t>咨询人员安排要求：</w:t>
      </w:r>
    </w:p>
    <w:p>
      <w:pPr>
        <w:spacing w:line="440" w:lineRule="exact"/>
        <w:ind w:firstLine="472" w:firstLineChars="225"/>
        <w:rPr>
          <w:rFonts w:ascii="宋体" w:hAnsi="宋体"/>
          <w:color w:val="000000"/>
          <w:szCs w:val="21"/>
        </w:rPr>
      </w:pPr>
      <w:r>
        <w:rPr>
          <w:rFonts w:hint="eastAsia" w:ascii="宋体" w:hAnsi="宋体"/>
          <w:color w:val="000000"/>
          <w:szCs w:val="21"/>
        </w:rPr>
        <w:t>（一）人员数量要求：中标供应商应至少</w:t>
      </w:r>
      <w:r>
        <w:rPr>
          <w:rFonts w:ascii="宋体" w:hAnsi="宋体"/>
          <w:color w:val="000000"/>
          <w:szCs w:val="21"/>
        </w:rPr>
        <w:t>安排</w:t>
      </w: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3名项目人员进行项目调研、报告编写、汇报等工作；以及重要节点提供充足的工作人员确保完成本项目。</w:t>
      </w:r>
    </w:p>
    <w:p>
      <w:pPr>
        <w:spacing w:line="440" w:lineRule="exact"/>
        <w:ind w:firstLine="472" w:firstLineChars="225"/>
        <w:rPr>
          <w:rFonts w:ascii="宋体" w:hAnsi="宋体"/>
          <w:color w:val="000000"/>
          <w:szCs w:val="21"/>
        </w:rPr>
      </w:pPr>
      <w:r>
        <w:rPr>
          <w:rFonts w:hint="eastAsia" w:ascii="宋体" w:hAnsi="宋体"/>
          <w:color w:val="000000"/>
          <w:szCs w:val="21"/>
        </w:rPr>
        <w:t>（二）人员具体要求：中标供应商安排参与本项目人员必须有完成过相关咨询工作的经历。</w:t>
      </w:r>
    </w:p>
    <w:p>
      <w:pPr>
        <w:spacing w:line="440" w:lineRule="exact"/>
        <w:ind w:firstLine="472" w:firstLineChars="225"/>
        <w:rPr>
          <w:rFonts w:ascii="宋体" w:hAnsi="宋体"/>
          <w:color w:val="000000"/>
          <w:szCs w:val="21"/>
        </w:rPr>
      </w:pPr>
      <w:r>
        <w:rPr>
          <w:rFonts w:ascii="宋体" w:hAnsi="宋体"/>
          <w:color w:val="000000"/>
          <w:szCs w:val="21"/>
        </w:rPr>
        <w:t>4.</w:t>
      </w:r>
      <w:r>
        <w:rPr>
          <w:rFonts w:hint="eastAsia" w:ascii="宋体" w:hAnsi="宋体"/>
          <w:color w:val="000000"/>
          <w:szCs w:val="21"/>
        </w:rPr>
        <w:t>其他服务要求：</w:t>
      </w:r>
    </w:p>
    <w:p>
      <w:pPr>
        <w:spacing w:line="440" w:lineRule="exact"/>
        <w:ind w:firstLine="472" w:firstLineChars="225"/>
      </w:pPr>
      <w:r>
        <w:rPr>
          <w:rFonts w:hint="eastAsia"/>
        </w:rPr>
        <w:t>上述所有的服务要求均以促使</w:t>
      </w:r>
      <w:r>
        <w:rPr>
          <w:rFonts w:hint="eastAsia" w:ascii="宋体" w:hAnsi="宋体"/>
          <w:color w:val="000000"/>
          <w:szCs w:val="21"/>
        </w:rPr>
        <w:t>采购人的物业管理服务项目招标采购工作顺利完成为最终服务目的。如中标供应商提供的最终采购需求及相关报告等资料在政府采购活动的公开征求意见环节或专家论证环节被退回，中标供应商需根据相关整改意见进行整改（因此产生的费用，由中标供应商承担），直至达到整改要求，使采购人物业管理服务项目招标采购工作顺利完成为止。</w:t>
      </w:r>
    </w:p>
    <w:p>
      <w:pPr>
        <w:spacing w:line="340" w:lineRule="exact"/>
        <w:ind w:firstLine="472" w:firstLineChars="225"/>
        <w:rPr>
          <w:rFonts w:ascii="宋体" w:hAnsi="宋体"/>
          <w:color w:val="000000"/>
          <w:szCs w:val="21"/>
        </w:rPr>
      </w:pPr>
    </w:p>
    <w:p>
      <w:pPr>
        <w:jc w:val="center"/>
        <w:outlineLvl w:val="1"/>
        <w:rPr>
          <w:rFonts w:ascii="微软雅黑" w:hAnsi="微软雅黑" w:eastAsia="微软雅黑" w:cs="微软雅黑"/>
          <w:b/>
          <w:color w:val="000000"/>
          <w:sz w:val="24"/>
          <w:szCs w:val="24"/>
        </w:rPr>
      </w:pPr>
      <w:bookmarkStart w:id="63" w:name="_Toc9861"/>
      <w:r>
        <w:rPr>
          <w:rFonts w:hint="eastAsia" w:ascii="微软雅黑" w:hAnsi="微软雅黑" w:eastAsia="微软雅黑" w:cs="微软雅黑"/>
          <w:b/>
          <w:color w:val="000000"/>
          <w:sz w:val="24"/>
          <w:szCs w:val="24"/>
        </w:rPr>
        <w:t>第四节  商务</w:t>
      </w:r>
      <w:bookmarkEnd w:id="63"/>
      <w:r>
        <w:rPr>
          <w:rFonts w:hint="eastAsia" w:ascii="微软雅黑" w:hAnsi="微软雅黑" w:eastAsia="微软雅黑" w:cs="微软雅黑"/>
          <w:b/>
          <w:color w:val="000000"/>
          <w:sz w:val="24"/>
          <w:szCs w:val="24"/>
        </w:rPr>
        <w:t>需求明细</w:t>
      </w:r>
    </w:p>
    <w:p>
      <w:pPr>
        <w:spacing w:line="440" w:lineRule="exact"/>
        <w:ind w:firstLine="420" w:firstLineChars="199"/>
        <w:rPr>
          <w:rFonts w:ascii="宋体" w:hAnsi="宋体"/>
          <w:b/>
          <w:szCs w:val="21"/>
        </w:rPr>
      </w:pPr>
      <w:r>
        <w:rPr>
          <w:rFonts w:hint="eastAsia" w:ascii="宋体" w:hAnsi="宋体"/>
          <w:b/>
          <w:szCs w:val="21"/>
        </w:rPr>
        <w:t>一、服务期限</w:t>
      </w:r>
    </w:p>
    <w:p>
      <w:pPr>
        <w:spacing w:line="440" w:lineRule="exact"/>
        <w:ind w:firstLine="420" w:firstLineChars="200"/>
        <w:rPr>
          <w:rFonts w:ascii="宋体" w:hAnsi="宋体"/>
          <w:color w:val="000000"/>
          <w:szCs w:val="21"/>
        </w:rPr>
      </w:pPr>
      <w:r>
        <w:rPr>
          <w:rFonts w:hint="eastAsia" w:ascii="宋体" w:hAnsi="宋体"/>
          <w:color w:val="000000"/>
          <w:szCs w:val="21"/>
        </w:rPr>
        <w:t>本项目服务期限自合同签订之日起至采购人物业管理服务项目招标采购完成止。</w:t>
      </w:r>
    </w:p>
    <w:p>
      <w:pPr>
        <w:spacing w:line="440" w:lineRule="exact"/>
        <w:ind w:firstLine="420" w:firstLineChars="199"/>
        <w:rPr>
          <w:rFonts w:ascii="宋体" w:hAnsi="宋体"/>
          <w:b/>
          <w:color w:val="000000"/>
          <w:szCs w:val="21"/>
        </w:rPr>
      </w:pPr>
      <w:r>
        <w:rPr>
          <w:rFonts w:hint="eastAsia" w:ascii="宋体" w:hAnsi="宋体"/>
          <w:b/>
          <w:color w:val="000000"/>
          <w:szCs w:val="21"/>
        </w:rPr>
        <w:t>二、报价方式</w:t>
      </w:r>
      <w:r>
        <w:rPr>
          <w:rFonts w:hint="eastAsia" w:ascii="宋体" w:hAnsi="宋体"/>
          <w:b/>
          <w:bCs/>
          <w:szCs w:val="21"/>
        </w:rPr>
        <w:t>★</w:t>
      </w:r>
    </w:p>
    <w:p>
      <w:pPr>
        <w:spacing w:line="440" w:lineRule="exact"/>
        <w:ind w:firstLine="472" w:firstLineChars="225"/>
        <w:rPr>
          <w:rFonts w:ascii="宋体" w:hAnsi="宋体"/>
          <w:color w:val="000000"/>
          <w:szCs w:val="21"/>
        </w:rPr>
      </w:pPr>
      <w:bookmarkStart w:id="64" w:name="_Toc333420706"/>
      <w:bookmarkStart w:id="65" w:name="_Toc15840"/>
      <w:bookmarkStart w:id="66" w:name="_Toc353262376"/>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本项目采用报总价的模式。投标人应根据招标文件第四章“第二节 需求一览表”列示的服务内容进行报价。投标报价高于预算金额的作投标无效处理。</w:t>
      </w:r>
    </w:p>
    <w:p>
      <w:pPr>
        <w:spacing w:line="440" w:lineRule="exact"/>
        <w:ind w:firstLine="472" w:firstLineChars="225"/>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本项目投标价格为包干价，包含服务咨询费、专家论证费、相关人员的工资、交通费、差旅费、工伤费、保险费、相关税费、利润等所有相关费用。</w:t>
      </w:r>
    </w:p>
    <w:p>
      <w:pPr>
        <w:spacing w:line="440" w:lineRule="exact"/>
        <w:ind w:firstLine="472" w:firstLineChars="225"/>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投标供应商应当根据本企业的成本自行决定报价，但不得以低于其企业成本的报价投标。</w:t>
      </w:r>
    </w:p>
    <w:p>
      <w:pPr>
        <w:spacing w:line="440" w:lineRule="exact"/>
        <w:ind w:firstLine="472" w:firstLineChars="225"/>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投标供应商的报价，应当是本项目采购范围和采购文件及合同条款上所列的各项内容中所述的全部，不得以任何理由予以重复。</w:t>
      </w:r>
    </w:p>
    <w:p>
      <w:pPr>
        <w:spacing w:line="440" w:lineRule="exact"/>
        <w:ind w:firstLine="472" w:firstLineChars="225"/>
        <w:rPr>
          <w:rFonts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440" w:lineRule="exact"/>
        <w:ind w:firstLine="420" w:firstLineChars="199"/>
        <w:rPr>
          <w:rFonts w:ascii="宋体" w:hAnsi="宋体"/>
          <w:b/>
          <w:color w:val="000000"/>
          <w:szCs w:val="21"/>
        </w:rPr>
      </w:pPr>
      <w:r>
        <w:rPr>
          <w:rFonts w:hint="eastAsia" w:ascii="宋体" w:hAnsi="宋体"/>
          <w:b/>
          <w:color w:val="000000"/>
          <w:szCs w:val="21"/>
        </w:rPr>
        <w:t>三、付款方式</w:t>
      </w:r>
    </w:p>
    <w:p>
      <w:pPr>
        <w:spacing w:line="440" w:lineRule="exact"/>
        <w:ind w:firstLine="411" w:firstLineChars="196"/>
        <w:rPr>
          <w:rFonts w:ascii="宋体" w:hAnsi="宋体"/>
          <w:color w:val="000000"/>
          <w:szCs w:val="21"/>
        </w:rPr>
      </w:pPr>
      <w:r>
        <w:rPr>
          <w:rFonts w:hint="eastAsia" w:ascii="宋体" w:hAnsi="宋体"/>
          <w:color w:val="000000"/>
          <w:szCs w:val="21"/>
        </w:rPr>
        <w:t>按照医院有关规定付款。采购人物业管理服务项目招标采购完成后支付。</w:t>
      </w:r>
    </w:p>
    <w:p>
      <w:pPr>
        <w:spacing w:line="440" w:lineRule="exact"/>
        <w:ind w:firstLine="420" w:firstLineChars="199"/>
        <w:rPr>
          <w:rFonts w:ascii="宋体" w:hAnsi="宋体"/>
          <w:b/>
          <w:color w:val="000000"/>
          <w:szCs w:val="21"/>
        </w:rPr>
      </w:pPr>
      <w:r>
        <w:rPr>
          <w:rFonts w:hint="eastAsia" w:ascii="宋体" w:hAnsi="宋体"/>
          <w:b/>
          <w:color w:val="000000"/>
          <w:szCs w:val="21"/>
        </w:rPr>
        <w:t>四、关于验收</w:t>
      </w:r>
      <w:r>
        <w:rPr>
          <w:rFonts w:hint="eastAsia" w:ascii="宋体" w:hAnsi="宋体"/>
          <w:b/>
          <w:bCs/>
          <w:szCs w:val="21"/>
        </w:rPr>
        <w:t>★</w:t>
      </w:r>
    </w:p>
    <w:p>
      <w:pPr>
        <w:spacing w:line="440" w:lineRule="exact"/>
        <w:ind w:firstLine="411" w:firstLineChars="196"/>
        <w:rPr>
          <w:rFonts w:ascii="宋体" w:hAnsi="宋体"/>
          <w:color w:val="000000"/>
          <w:szCs w:val="21"/>
        </w:rPr>
      </w:pPr>
      <w:r>
        <w:rPr>
          <w:rFonts w:hint="eastAsia" w:ascii="宋体" w:hAnsi="宋体"/>
          <w:color w:val="000000"/>
          <w:szCs w:val="21"/>
        </w:rPr>
        <w:t>以中标供应商所提供的所有服务达到《政府采购需求管理办法》《深圳市落实采购人主体责任实施办法》相关要求及本项目全部要求为准。</w:t>
      </w:r>
    </w:p>
    <w:p>
      <w:pPr>
        <w:pStyle w:val="2"/>
      </w:pPr>
    </w:p>
    <w:p>
      <w:pPr>
        <w:jc w:val="center"/>
        <w:outlineLvl w:val="1"/>
        <w:rPr>
          <w:rFonts w:ascii="微软雅黑" w:hAnsi="微软雅黑" w:eastAsia="微软雅黑" w:cs="微软雅黑"/>
          <w:b/>
          <w:bCs/>
          <w:caps/>
          <w:color w:val="000000"/>
          <w:sz w:val="24"/>
          <w:szCs w:val="24"/>
        </w:rPr>
      </w:pPr>
      <w:r>
        <w:rPr>
          <w:rFonts w:hint="eastAsia" w:ascii="微软雅黑" w:hAnsi="微软雅黑" w:eastAsia="微软雅黑" w:cs="微软雅黑"/>
          <w:b/>
          <w:bCs/>
          <w:caps/>
          <w:color w:val="000000"/>
          <w:sz w:val="24"/>
          <w:szCs w:val="24"/>
        </w:rPr>
        <w:t>第五节  投标</w:t>
      </w:r>
      <w:r>
        <w:rPr>
          <w:rFonts w:hint="eastAsia" w:ascii="微软雅黑" w:hAnsi="微软雅黑" w:eastAsia="微软雅黑" w:cs="微软雅黑"/>
          <w:b/>
          <w:bCs/>
          <w:color w:val="000000"/>
          <w:sz w:val="24"/>
          <w:szCs w:val="24"/>
        </w:rPr>
        <w:t>文件</w:t>
      </w:r>
      <w:r>
        <w:rPr>
          <w:rFonts w:hint="eastAsia" w:ascii="微软雅黑" w:hAnsi="微软雅黑" w:eastAsia="微软雅黑" w:cs="微软雅黑"/>
          <w:b/>
          <w:bCs/>
          <w:caps/>
          <w:color w:val="000000"/>
          <w:sz w:val="24"/>
          <w:szCs w:val="24"/>
        </w:rPr>
        <w:t>否决性条款摘要</w:t>
      </w:r>
      <w:bookmarkEnd w:id="64"/>
      <w:bookmarkEnd w:id="65"/>
      <w:bookmarkEnd w:id="66"/>
    </w:p>
    <w:p>
      <w:pPr>
        <w:spacing w:line="440" w:lineRule="exact"/>
        <w:ind w:firstLine="422" w:firstLineChars="200"/>
        <w:rPr>
          <w:rFonts w:ascii="宋体" w:hAnsi="宋体"/>
          <w:b/>
          <w:szCs w:val="21"/>
        </w:rPr>
      </w:pPr>
      <w:r>
        <w:rPr>
          <w:rFonts w:ascii="宋体" w:hAnsi="宋体"/>
          <w:b/>
        </w:rPr>
        <w:t>1、</w:t>
      </w:r>
      <w:r>
        <w:rPr>
          <w:rFonts w:ascii="宋体" w:hAnsi="宋体"/>
          <w:b/>
          <w:szCs w:val="21"/>
        </w:rPr>
        <w:t>投标文件有下列情形之一的，不予受理：</w:t>
      </w:r>
    </w:p>
    <w:p>
      <w:pPr>
        <w:spacing w:line="440" w:lineRule="exact"/>
        <w:ind w:firstLine="420" w:firstLineChars="200"/>
        <w:rPr>
          <w:rFonts w:ascii="宋体" w:hAnsi="宋体"/>
          <w:szCs w:val="21"/>
        </w:rPr>
      </w:pPr>
      <w:r>
        <w:rPr>
          <w:rFonts w:ascii="宋体" w:hAnsi="宋体"/>
        </w:rPr>
        <w:t xml:space="preserve">1.1  </w:t>
      </w:r>
      <w:r>
        <w:rPr>
          <w:rFonts w:ascii="宋体" w:hAnsi="宋体"/>
          <w:szCs w:val="21"/>
        </w:rPr>
        <w:t>在投标截止时间以后送达的，或者未送达指定地点的；</w:t>
      </w:r>
    </w:p>
    <w:p>
      <w:pPr>
        <w:spacing w:line="440" w:lineRule="exact"/>
        <w:ind w:firstLine="420" w:firstLineChars="200"/>
        <w:rPr>
          <w:rFonts w:ascii="宋体" w:hAnsi="宋体"/>
        </w:rPr>
      </w:pPr>
      <w:r>
        <w:rPr>
          <w:rFonts w:ascii="宋体" w:hAnsi="宋体"/>
        </w:rPr>
        <w:t xml:space="preserve">1.2  </w:t>
      </w:r>
      <w:r>
        <w:rPr>
          <w:rFonts w:hint="eastAsia" w:ascii="宋体" w:hAnsi="宋体"/>
        </w:rPr>
        <w:t>投标文件未密封的；</w:t>
      </w:r>
    </w:p>
    <w:p>
      <w:pPr>
        <w:spacing w:line="440" w:lineRule="exact"/>
        <w:ind w:firstLine="420" w:firstLineChars="200"/>
        <w:rPr>
          <w:rFonts w:ascii="宋体" w:hAnsi="宋体"/>
          <w:b/>
          <w:szCs w:val="21"/>
        </w:rPr>
      </w:pPr>
      <w:r>
        <w:rPr>
          <w:rFonts w:hint="eastAsia" w:ascii="宋体" w:hAnsi="宋体"/>
        </w:rPr>
        <w:t xml:space="preserve">1.3  </w:t>
      </w:r>
      <w:r>
        <w:rPr>
          <w:rFonts w:ascii="宋体" w:hAnsi="宋体"/>
          <w:szCs w:val="21"/>
        </w:rPr>
        <w:t>投标人的名称与</w:t>
      </w:r>
      <w:bookmarkStart w:id="67" w:name="_Toc76871384"/>
      <w:r>
        <w:rPr>
          <w:rFonts w:hint="eastAsia" w:ascii="宋体" w:hAnsi="宋体"/>
          <w:szCs w:val="21"/>
        </w:rPr>
        <w:t>报名</w:t>
      </w:r>
      <w:r>
        <w:rPr>
          <w:rFonts w:ascii="宋体" w:hAnsi="宋体"/>
          <w:szCs w:val="21"/>
        </w:rPr>
        <w:t>时登记</w:t>
      </w:r>
      <w:bookmarkEnd w:id="67"/>
      <w:r>
        <w:rPr>
          <w:rFonts w:ascii="宋体" w:hAnsi="宋体"/>
          <w:szCs w:val="21"/>
        </w:rPr>
        <w:t>的不一致的。</w:t>
      </w:r>
    </w:p>
    <w:p>
      <w:pPr>
        <w:spacing w:line="440" w:lineRule="exact"/>
        <w:ind w:firstLine="422" w:firstLineChars="200"/>
        <w:rPr>
          <w:rFonts w:ascii="宋体" w:hAnsi="宋体"/>
          <w:b/>
          <w:szCs w:val="21"/>
        </w:rPr>
      </w:pPr>
      <w:r>
        <w:rPr>
          <w:rFonts w:ascii="宋体" w:hAnsi="宋体"/>
          <w:b/>
        </w:rPr>
        <w:t>2</w:t>
      </w:r>
      <w:r>
        <w:rPr>
          <w:rFonts w:hint="eastAsia" w:ascii="宋体" w:hAnsi="宋体"/>
          <w:b/>
        </w:rPr>
        <w:t>、</w:t>
      </w:r>
      <w:r>
        <w:rPr>
          <w:rFonts w:ascii="宋体" w:hAnsi="宋体"/>
          <w:b/>
          <w:szCs w:val="21"/>
        </w:rPr>
        <w:t>投标文件有下列</w:t>
      </w:r>
      <w:r>
        <w:rPr>
          <w:rFonts w:hint="eastAsia" w:ascii="宋体" w:hAnsi="宋体"/>
          <w:b/>
          <w:szCs w:val="21"/>
        </w:rPr>
        <w:t>情形之一的，按无效标处理：</w:t>
      </w:r>
    </w:p>
    <w:p>
      <w:pPr>
        <w:spacing w:line="440" w:lineRule="exact"/>
        <w:ind w:firstLine="420" w:firstLineChars="200"/>
        <w:rPr>
          <w:rFonts w:ascii="宋体" w:hAnsi="宋体"/>
          <w:szCs w:val="21"/>
        </w:rPr>
      </w:pPr>
      <w:r>
        <w:rPr>
          <w:rFonts w:hint="eastAsia" w:ascii="宋体" w:hAnsi="宋体"/>
        </w:rPr>
        <w:t xml:space="preserve">2.1  </w:t>
      </w:r>
      <w:r>
        <w:rPr>
          <w:rFonts w:hint="eastAsia" w:ascii="宋体" w:hAnsi="宋体"/>
          <w:szCs w:val="21"/>
        </w:rPr>
        <w:t>投标文件无法定代表人签字或盖章，或签字人无法定代表人有效授权委托书原件的；</w:t>
      </w:r>
    </w:p>
    <w:p>
      <w:pPr>
        <w:spacing w:line="440" w:lineRule="exact"/>
        <w:ind w:firstLine="420" w:firstLineChars="200"/>
        <w:rPr>
          <w:rFonts w:ascii="宋体" w:hAnsi="宋体"/>
          <w:szCs w:val="21"/>
        </w:rPr>
      </w:pPr>
      <w:r>
        <w:rPr>
          <w:rFonts w:hint="eastAsia" w:ascii="宋体" w:hAnsi="宋体"/>
          <w:szCs w:val="21"/>
        </w:rPr>
        <w:t>2.2  投标人资格条件不符合国家有关规定和招标文件要求；</w:t>
      </w:r>
    </w:p>
    <w:p>
      <w:pPr>
        <w:spacing w:line="440" w:lineRule="exact"/>
        <w:ind w:firstLine="420" w:firstLineChars="200"/>
        <w:rPr>
          <w:rFonts w:ascii="宋体" w:hAnsi="宋体"/>
          <w:szCs w:val="21"/>
        </w:rPr>
      </w:pPr>
      <w:r>
        <w:rPr>
          <w:rFonts w:hint="eastAsia" w:ascii="宋体" w:hAnsi="宋体"/>
          <w:szCs w:val="21"/>
        </w:rPr>
        <w:t xml:space="preserve">2.3 </w:t>
      </w:r>
      <w:r>
        <w:rPr>
          <w:rFonts w:ascii="宋体" w:hAnsi="宋体"/>
          <w:szCs w:val="21"/>
        </w:rPr>
        <w:t xml:space="preserve"> </w:t>
      </w:r>
      <w:r>
        <w:rPr>
          <w:rFonts w:hint="eastAsia" w:ascii="宋体" w:hAnsi="宋体"/>
          <w:szCs w:val="21"/>
        </w:rPr>
        <w:t>投标总价或分项报价超过预算控制金额的；</w:t>
      </w:r>
    </w:p>
    <w:p>
      <w:pPr>
        <w:spacing w:line="440" w:lineRule="exact"/>
        <w:ind w:firstLine="420" w:firstLineChars="200"/>
        <w:rPr>
          <w:rFonts w:ascii="宋体" w:hAnsi="宋体"/>
          <w:szCs w:val="21"/>
        </w:rPr>
      </w:pPr>
      <w:r>
        <w:rPr>
          <w:rFonts w:hint="eastAsia" w:ascii="宋体" w:hAnsi="宋体"/>
          <w:szCs w:val="21"/>
        </w:rPr>
        <w:t xml:space="preserve">2.4 </w:t>
      </w:r>
      <w:r>
        <w:rPr>
          <w:rFonts w:ascii="宋体" w:hAnsi="宋体"/>
          <w:szCs w:val="21"/>
        </w:rPr>
        <w:t xml:space="preserve"> </w:t>
      </w:r>
      <w:r>
        <w:rPr>
          <w:rFonts w:hint="eastAsia" w:ascii="宋体" w:hAnsi="宋体"/>
          <w:szCs w:val="21"/>
        </w:rPr>
        <w:t>开标一览表出现无报价或报价为零或有选择性报价的；</w:t>
      </w:r>
    </w:p>
    <w:p>
      <w:pPr>
        <w:spacing w:line="440" w:lineRule="exact"/>
        <w:ind w:firstLine="420" w:firstLineChars="200"/>
        <w:rPr>
          <w:rFonts w:ascii="宋体" w:hAnsi="宋体"/>
          <w:szCs w:val="21"/>
        </w:rPr>
      </w:pPr>
      <w:r>
        <w:rPr>
          <w:rFonts w:hint="eastAsia" w:ascii="宋体" w:hAnsi="宋体"/>
          <w:szCs w:val="21"/>
        </w:rPr>
        <w:t xml:space="preserve">2.5  </w:t>
      </w:r>
      <w:r>
        <w:rPr>
          <w:rFonts w:hint="eastAsia" w:ascii="宋体" w:hAnsi="宋体"/>
          <w:spacing w:val="-2"/>
          <w:szCs w:val="21"/>
        </w:rPr>
        <w:t>投标人以他人的名义投标、串通投标、以行贿手段谋取中标或者以其他弄虚作假方式投标；</w:t>
      </w:r>
    </w:p>
    <w:p>
      <w:pPr>
        <w:spacing w:line="440" w:lineRule="exact"/>
        <w:ind w:firstLine="420" w:firstLineChars="200"/>
        <w:rPr>
          <w:rFonts w:ascii="宋体" w:hAnsi="宋体"/>
          <w:szCs w:val="21"/>
        </w:rPr>
      </w:pPr>
      <w:r>
        <w:rPr>
          <w:rFonts w:hint="eastAsia" w:ascii="宋体" w:hAnsi="宋体"/>
          <w:szCs w:val="21"/>
        </w:rPr>
        <w:t xml:space="preserve">2.6 </w:t>
      </w:r>
      <w:r>
        <w:rPr>
          <w:rFonts w:hint="eastAsia" w:ascii="宋体" w:hAnsi="宋体"/>
          <w:spacing w:val="-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2.7  投标人拒不按照要求对投标文件进行澄清、说明或者补正的；</w:t>
      </w:r>
    </w:p>
    <w:p>
      <w:pPr>
        <w:spacing w:line="440" w:lineRule="exact"/>
        <w:ind w:firstLine="420" w:firstLineChars="200"/>
        <w:rPr>
          <w:rFonts w:ascii="宋体" w:hAnsi="宋体"/>
          <w:szCs w:val="21"/>
        </w:rPr>
      </w:pPr>
      <w:r>
        <w:rPr>
          <w:rFonts w:hint="eastAsia" w:ascii="宋体" w:hAnsi="宋体"/>
          <w:szCs w:val="21"/>
        </w:rPr>
        <w:t>2.8  文件的关键内容字迹模糊、无法辨认的；</w:t>
      </w:r>
    </w:p>
    <w:p>
      <w:pPr>
        <w:spacing w:line="440" w:lineRule="exact"/>
        <w:ind w:firstLine="420" w:firstLineChars="200"/>
        <w:rPr>
          <w:rFonts w:ascii="宋体" w:hAnsi="宋体"/>
          <w:szCs w:val="21"/>
        </w:rPr>
      </w:pPr>
      <w:r>
        <w:rPr>
          <w:rFonts w:hint="eastAsia" w:ascii="宋体" w:hAnsi="宋体"/>
          <w:szCs w:val="21"/>
        </w:rPr>
        <w:t>2.9  投标函未按规定填写的；</w:t>
      </w:r>
    </w:p>
    <w:p>
      <w:pPr>
        <w:spacing w:line="440" w:lineRule="exact"/>
        <w:ind w:firstLine="420" w:firstLineChars="200"/>
        <w:rPr>
          <w:rFonts w:ascii="宋体" w:hAnsi="宋体"/>
          <w:szCs w:val="21"/>
        </w:rPr>
      </w:pPr>
      <w:r>
        <w:rPr>
          <w:rFonts w:hint="eastAsia" w:ascii="宋体" w:hAnsi="宋体"/>
          <w:szCs w:val="21"/>
        </w:rPr>
        <w:t>2.10  投标有效期不足的；</w:t>
      </w:r>
    </w:p>
    <w:p>
      <w:pPr>
        <w:spacing w:line="440" w:lineRule="exact"/>
        <w:ind w:firstLine="420" w:firstLineChars="200"/>
        <w:rPr>
          <w:rFonts w:ascii="宋体" w:hAnsi="宋体"/>
          <w:szCs w:val="21"/>
        </w:rPr>
      </w:pPr>
      <w:r>
        <w:rPr>
          <w:rFonts w:hint="eastAsia" w:ascii="宋体" w:hAnsi="宋体"/>
          <w:szCs w:val="21"/>
        </w:rPr>
        <w:t xml:space="preserve">2.11  </w:t>
      </w:r>
      <w:r>
        <w:rPr>
          <w:rFonts w:hint="eastAsia" w:ascii="宋体" w:hAnsi="宋体"/>
          <w:spacing w:val="-6"/>
          <w:szCs w:val="21"/>
        </w:rPr>
        <w:t>投标人的投标未能在实质上响应招标文件提出的所有实质性要求和条件（不可偏离条款）的；</w:t>
      </w:r>
    </w:p>
    <w:p>
      <w:pPr>
        <w:spacing w:line="440" w:lineRule="exact"/>
        <w:ind w:firstLine="420" w:firstLineChars="200"/>
        <w:rPr>
          <w:rFonts w:ascii="宋体" w:hAnsi="宋体"/>
          <w:szCs w:val="21"/>
        </w:rPr>
      </w:pPr>
      <w:r>
        <w:rPr>
          <w:rFonts w:hint="eastAsia" w:ascii="宋体" w:hAnsi="宋体"/>
          <w:szCs w:val="21"/>
        </w:rPr>
        <w:t xml:space="preserve">2.12 </w:t>
      </w:r>
      <w:r>
        <w:rPr>
          <w:rFonts w:ascii="宋体" w:hAnsi="宋体"/>
          <w:szCs w:val="21"/>
        </w:rPr>
        <w:t xml:space="preserve"> 投标报价有严重缺漏项目的</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 xml:space="preserve">2.13  </w:t>
      </w:r>
      <w:r>
        <w:rPr>
          <w:rFonts w:ascii="宋体" w:hAnsi="宋体"/>
          <w:szCs w:val="21"/>
        </w:rPr>
        <w:t>投标人递交两份或多份内容不同</w:t>
      </w:r>
      <w:r>
        <w:rPr>
          <w:rFonts w:hint="eastAsia" w:ascii="宋体" w:hAnsi="宋体"/>
          <w:szCs w:val="21"/>
        </w:rPr>
        <w:t>投标方案（</w:t>
      </w:r>
      <w:r>
        <w:rPr>
          <w:rFonts w:ascii="宋体" w:hAnsi="宋体"/>
          <w:szCs w:val="21"/>
        </w:rPr>
        <w:t>招标文件规定提交备选投标方案的除外</w:t>
      </w:r>
      <w:r>
        <w:rPr>
          <w:rFonts w:hint="eastAsia" w:ascii="宋体" w:hAnsi="宋体"/>
          <w:szCs w:val="21"/>
        </w:rPr>
        <w:t>）</w:t>
      </w:r>
      <w:r>
        <w:rPr>
          <w:rFonts w:ascii="宋体" w:hAnsi="宋体"/>
          <w:szCs w:val="21"/>
        </w:rPr>
        <w:t>；</w:t>
      </w:r>
    </w:p>
    <w:p>
      <w:pPr>
        <w:spacing w:line="440" w:lineRule="exact"/>
        <w:ind w:firstLine="420" w:firstLineChars="200"/>
        <w:rPr>
          <w:rFonts w:ascii="宋体" w:hAnsi="宋体"/>
          <w:szCs w:val="21"/>
        </w:rPr>
      </w:pPr>
      <w:r>
        <w:rPr>
          <w:rFonts w:hint="eastAsia" w:ascii="宋体" w:hAnsi="宋体"/>
          <w:szCs w:val="21"/>
        </w:rPr>
        <w:t>2.14  投标文件只对</w:t>
      </w:r>
      <w:r>
        <w:rPr>
          <w:rFonts w:ascii="宋体" w:hAnsi="宋体"/>
          <w:szCs w:val="21"/>
        </w:rPr>
        <w:t>同一</w:t>
      </w:r>
      <w:r>
        <w:rPr>
          <w:rFonts w:hint="eastAsia" w:ascii="宋体" w:hAnsi="宋体"/>
          <w:szCs w:val="21"/>
        </w:rPr>
        <w:t>项目</w:t>
      </w:r>
      <w:r>
        <w:rPr>
          <w:rFonts w:ascii="宋体" w:hAnsi="宋体"/>
          <w:szCs w:val="21"/>
        </w:rPr>
        <w:t>包中的</w:t>
      </w:r>
      <w:r>
        <w:rPr>
          <w:rFonts w:hint="eastAsia" w:ascii="宋体" w:hAnsi="宋体"/>
          <w:szCs w:val="21"/>
        </w:rPr>
        <w:t>部分</w:t>
      </w:r>
      <w:r>
        <w:rPr>
          <w:rFonts w:ascii="宋体" w:hAnsi="宋体"/>
          <w:szCs w:val="21"/>
        </w:rPr>
        <w:t>内容</w:t>
      </w:r>
      <w:r>
        <w:rPr>
          <w:rFonts w:hint="eastAsia" w:ascii="宋体" w:hAnsi="宋体"/>
          <w:szCs w:val="21"/>
        </w:rPr>
        <w:t>投标，或把</w:t>
      </w:r>
      <w:r>
        <w:rPr>
          <w:rFonts w:ascii="宋体" w:hAnsi="宋体"/>
          <w:szCs w:val="21"/>
        </w:rPr>
        <w:t>同一</w:t>
      </w:r>
      <w:r>
        <w:rPr>
          <w:rFonts w:hint="eastAsia" w:ascii="宋体" w:hAnsi="宋体"/>
          <w:szCs w:val="21"/>
        </w:rPr>
        <w:t>项目</w:t>
      </w:r>
      <w:r>
        <w:rPr>
          <w:rFonts w:ascii="宋体" w:hAnsi="宋体"/>
          <w:szCs w:val="21"/>
        </w:rPr>
        <w:t>包中</w:t>
      </w:r>
      <w:r>
        <w:rPr>
          <w:rFonts w:hint="eastAsia" w:ascii="宋体" w:hAnsi="宋体"/>
          <w:szCs w:val="21"/>
        </w:rPr>
        <w:t>的内容拆开的投标；</w:t>
      </w:r>
    </w:p>
    <w:p>
      <w:pPr>
        <w:spacing w:line="440" w:lineRule="exact"/>
        <w:ind w:firstLine="420" w:firstLineChars="200"/>
        <w:rPr>
          <w:rFonts w:ascii="宋体" w:hAnsi="宋体"/>
          <w:szCs w:val="21"/>
        </w:rPr>
      </w:pPr>
      <w:r>
        <w:rPr>
          <w:rFonts w:hint="eastAsia" w:ascii="宋体" w:hAnsi="宋体"/>
          <w:szCs w:val="21"/>
        </w:rPr>
        <w:t>2.15  评标委员会根据招标文件的规定对投标文件的计算错误进行修正，投标人不接受修正后的投标报价的；</w:t>
      </w:r>
    </w:p>
    <w:p>
      <w:pPr>
        <w:spacing w:line="440" w:lineRule="exact"/>
        <w:ind w:firstLine="420" w:firstLineChars="200"/>
        <w:rPr>
          <w:rFonts w:ascii="宋体" w:hAnsi="宋体"/>
          <w:szCs w:val="21"/>
        </w:rPr>
      </w:pPr>
      <w:r>
        <w:rPr>
          <w:rFonts w:hint="eastAsia" w:ascii="宋体" w:hAnsi="宋体"/>
          <w:szCs w:val="21"/>
        </w:rPr>
        <w:t>2.16  投标文件符合法律、法规及</w:t>
      </w:r>
      <w:r>
        <w:rPr>
          <w:rFonts w:hint="eastAsia" w:ascii="宋体" w:hAnsi="宋体"/>
        </w:rPr>
        <w:t>招标文件中规定的其他否决因素的。</w:t>
      </w:r>
    </w:p>
    <w:p>
      <w:pPr>
        <w:pStyle w:val="2"/>
      </w:pPr>
    </w:p>
    <w:p>
      <w:pPr>
        <w:jc w:val="center"/>
        <w:outlineLvl w:val="1"/>
        <w:rPr>
          <w:rFonts w:ascii="微软雅黑" w:hAnsi="微软雅黑" w:eastAsia="微软雅黑" w:cs="微软雅黑"/>
          <w:b/>
          <w:color w:val="000000"/>
          <w:sz w:val="24"/>
          <w:szCs w:val="24"/>
        </w:rPr>
      </w:pPr>
      <w:bookmarkStart w:id="68" w:name="_Toc921"/>
      <w:r>
        <w:rPr>
          <w:rFonts w:hint="eastAsia" w:ascii="微软雅黑" w:hAnsi="微软雅黑" w:eastAsia="微软雅黑" w:cs="微软雅黑"/>
          <w:b/>
          <w:color w:val="000000"/>
          <w:sz w:val="24"/>
          <w:szCs w:val="24"/>
        </w:rPr>
        <w:t>第六节  评标方法及程序</w:t>
      </w:r>
      <w:bookmarkEnd w:id="68"/>
    </w:p>
    <w:p>
      <w:pPr>
        <w:spacing w:line="360" w:lineRule="exact"/>
        <w:ind w:firstLine="422" w:firstLineChars="200"/>
        <w:rPr>
          <w:rFonts w:ascii="宋体" w:hAnsi="宋体"/>
          <w:b/>
          <w:bCs/>
          <w:szCs w:val="21"/>
        </w:rPr>
      </w:pPr>
      <w:r>
        <w:rPr>
          <w:rFonts w:hint="eastAsia" w:ascii="宋体" w:hAnsi="宋体"/>
          <w:b/>
          <w:bCs/>
          <w:szCs w:val="21"/>
        </w:rPr>
        <w:t>一、本项目评标及定标方法</w:t>
      </w:r>
    </w:p>
    <w:tbl>
      <w:tblPr>
        <w:tblStyle w:val="30"/>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5"/>
        <w:gridCol w:w="1770"/>
        <w:gridCol w:w="66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785" w:type="dxa"/>
            <w:vAlign w:val="center"/>
          </w:tcPr>
          <w:p>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序号</w:t>
            </w:r>
          </w:p>
        </w:tc>
        <w:tc>
          <w:tcPr>
            <w:tcW w:w="1770" w:type="dxa"/>
            <w:vAlign w:val="center"/>
          </w:tcPr>
          <w:p>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项目</w:t>
            </w:r>
          </w:p>
        </w:tc>
        <w:tc>
          <w:tcPr>
            <w:tcW w:w="6660" w:type="dxa"/>
            <w:vAlign w:val="center"/>
          </w:tcPr>
          <w:p>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szCs w:val="21"/>
              </w:rPr>
            </w:pPr>
            <w:r>
              <w:rPr>
                <w:rFonts w:hint="eastAsia" w:ascii="宋体" w:hAnsi="宋体" w:eastAsiaTheme="minorEastAsia" w:cstheme="minorBidi"/>
                <w:bCs/>
                <w:szCs w:val="21"/>
              </w:rPr>
              <w:t>1</w:t>
            </w:r>
          </w:p>
        </w:tc>
        <w:tc>
          <w:tcPr>
            <w:tcW w:w="1770" w:type="dxa"/>
            <w:vAlign w:val="center"/>
          </w:tcPr>
          <w:p>
            <w:pPr>
              <w:spacing w:line="44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定标方式</w:t>
            </w:r>
          </w:p>
        </w:tc>
        <w:tc>
          <w:tcPr>
            <w:tcW w:w="6660" w:type="dxa"/>
            <w:vAlign w:val="center"/>
          </w:tcPr>
          <w:p>
            <w:pPr>
              <w:spacing w:line="44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授权评标委员会确定中标单位   □ 评标和定标分离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szCs w:val="21"/>
              </w:rPr>
            </w:pPr>
            <w:r>
              <w:rPr>
                <w:rFonts w:hint="eastAsia" w:ascii="宋体" w:hAnsi="宋体" w:eastAsiaTheme="minorEastAsia" w:cstheme="minorBidi"/>
                <w:bCs/>
                <w:szCs w:val="21"/>
              </w:rPr>
              <w:t>2</w:t>
            </w:r>
          </w:p>
        </w:tc>
        <w:tc>
          <w:tcPr>
            <w:tcW w:w="1770" w:type="dxa"/>
            <w:vAlign w:val="center"/>
          </w:tcPr>
          <w:p>
            <w:pPr>
              <w:spacing w:line="44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评标方法</w:t>
            </w:r>
          </w:p>
        </w:tc>
        <w:tc>
          <w:tcPr>
            <w:tcW w:w="6660" w:type="dxa"/>
            <w:vAlign w:val="center"/>
          </w:tcPr>
          <w:p>
            <w:pPr>
              <w:spacing w:line="44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 综合评分法    </w:t>
            </w:r>
            <w:r>
              <w:rPr>
                <w:rFonts w:asciiTheme="majorEastAsia" w:hAnsiTheme="majorEastAsia" w:eastAsiaTheme="majorEastAsia" w:cstheme="majorEastAsia"/>
                <w:szCs w:val="22"/>
              </w:rPr>
              <w:t xml:space="preserve">               </w:t>
            </w:r>
            <w:r>
              <w:rPr>
                <w:rFonts w:hint="eastAsia" w:asciiTheme="majorEastAsia" w:hAnsiTheme="majorEastAsia" w:eastAsiaTheme="majorEastAsia" w:cstheme="majorEastAsia"/>
                <w:szCs w:val="22"/>
              </w:rPr>
              <w:t>□ 最低价法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szCs w:val="21"/>
              </w:rPr>
            </w:pPr>
            <w:r>
              <w:rPr>
                <w:rFonts w:ascii="宋体" w:hAnsi="宋体" w:eastAsiaTheme="minorEastAsia" w:cstheme="minorBidi"/>
                <w:bCs/>
                <w:szCs w:val="21"/>
              </w:rPr>
              <w:t>3</w:t>
            </w:r>
          </w:p>
        </w:tc>
        <w:tc>
          <w:tcPr>
            <w:tcW w:w="1770" w:type="dxa"/>
            <w:vAlign w:val="center"/>
          </w:tcPr>
          <w:p>
            <w:pPr>
              <w:spacing w:line="440" w:lineRule="exact"/>
              <w:rPr>
                <w:rFonts w:ascii="宋体" w:hAnsi="宋体" w:eastAsiaTheme="minorEastAsia" w:cstheme="minorBidi"/>
                <w:bCs/>
                <w:szCs w:val="21"/>
              </w:rPr>
            </w:pPr>
            <w:r>
              <w:rPr>
                <w:rFonts w:hint="eastAsia" w:asciiTheme="majorEastAsia" w:hAnsiTheme="majorEastAsia" w:eastAsiaTheme="majorEastAsia" w:cstheme="majorEastAsia"/>
                <w:szCs w:val="22"/>
              </w:rPr>
              <w:t>价格评审优惠政策</w:t>
            </w:r>
          </w:p>
        </w:tc>
        <w:tc>
          <w:tcPr>
            <w:tcW w:w="6660" w:type="dxa"/>
            <w:vAlign w:val="center"/>
          </w:tcPr>
          <w:p>
            <w:pPr>
              <w:spacing w:line="44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1、小型企业、微型企业、监狱企业、残疾人福利性单位承接服务，对其价格给予10%的扣除，用扣除后的价格参与评审。满足多项优惠政策的企业，不重复享受多项价格扣除政策。</w:t>
            </w:r>
          </w:p>
          <w:p>
            <w:pPr>
              <w:spacing w:line="44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szCs w:val="22"/>
                <w:highlight w:val="yellow"/>
              </w:rPr>
              <w:t>3%</w:t>
            </w:r>
            <w:r>
              <w:rPr>
                <w:rFonts w:hint="eastAsia" w:asciiTheme="majorEastAsia" w:hAnsiTheme="majorEastAsia" w:eastAsiaTheme="majorEastAsia" w:cstheme="majorEastAsia"/>
                <w:szCs w:val="22"/>
              </w:rPr>
              <w:t>扣除，用扣除后的价格参加评审。联合体各方均为小微企业的，价格扣除比例为</w:t>
            </w:r>
            <w:r>
              <w:rPr>
                <w:rFonts w:hint="eastAsia" w:asciiTheme="majorEastAsia" w:hAnsiTheme="majorEastAsia" w:eastAsiaTheme="majorEastAsia" w:cstheme="majorEastAsia"/>
                <w:szCs w:val="22"/>
                <w:highlight w:val="yellow"/>
              </w:rPr>
              <w:t>10%</w:t>
            </w:r>
            <w:r>
              <w:rPr>
                <w:rFonts w:hint="eastAsia" w:asciiTheme="majorEastAsia" w:hAnsiTheme="majorEastAsia" w:eastAsiaTheme="majorEastAsia" w:cstheme="majorEastAsia"/>
                <w:szCs w:val="22"/>
              </w:rPr>
              <w:t>。</w:t>
            </w:r>
            <w:r>
              <w:rPr>
                <w:rFonts w:hint="eastAsia" w:asciiTheme="majorEastAsia" w:hAnsiTheme="majorEastAsia" w:eastAsiaTheme="majorEastAsia" w:cstheme="majorEastAsia"/>
                <w:b/>
                <w:szCs w:val="22"/>
              </w:rPr>
              <w:t>（不接受联合体投标的项目，本条不适用）</w:t>
            </w:r>
            <w:r>
              <w:rPr>
                <w:rFonts w:hint="eastAsia" w:asciiTheme="majorEastAsia" w:hAnsiTheme="majorEastAsia" w:eastAsiaTheme="majorEastAsia" w:cstheme="majorEastAsia"/>
                <w:szCs w:val="22"/>
              </w:rPr>
              <w:t>。</w:t>
            </w:r>
          </w:p>
          <w:p>
            <w:pPr>
              <w:spacing w:line="440" w:lineRule="exact"/>
              <w:rPr>
                <w:rFonts w:ascii="宋体" w:hAnsi="宋体" w:eastAsiaTheme="minorEastAsia" w:cstheme="minorBidi"/>
                <w:b/>
                <w:bCs/>
                <w:szCs w:val="21"/>
              </w:rPr>
            </w:pPr>
            <w:r>
              <w:rPr>
                <w:rFonts w:hint="eastAsia" w:asciiTheme="majorEastAsia" w:hAnsiTheme="majorEastAsia" w:eastAsiaTheme="majorEastAsia" w:cstheme="majorEastAsia"/>
                <w:szCs w:val="22"/>
              </w:rPr>
              <w:t>3、优惠主体资格的认定资料为《中小企业声明函》《残疾人福利性单位声明函》《监狱企业声明函》等承诺性质的资料（声明函样式见“第五章 投标文件格式”）；监狱企业如需享受优惠政策，除上述资料外，还须提供省级以上监狱管理局、戒毒管理局出具的监狱企业证明文件。</w:t>
            </w:r>
          </w:p>
        </w:tc>
      </w:tr>
    </w:tbl>
    <w:p>
      <w:pPr>
        <w:spacing w:line="440" w:lineRule="exact"/>
        <w:ind w:firstLine="422" w:firstLineChars="200"/>
        <w:rPr>
          <w:rFonts w:ascii="宋体" w:hAnsi="宋体"/>
          <w:b/>
          <w:bCs/>
          <w:szCs w:val="21"/>
        </w:rPr>
      </w:pPr>
      <w:r>
        <w:rPr>
          <w:rFonts w:hint="eastAsia" w:ascii="宋体" w:hAnsi="宋体"/>
          <w:b/>
          <w:bCs/>
          <w:szCs w:val="21"/>
        </w:rPr>
        <w:t>备注：</w:t>
      </w:r>
      <w:r>
        <w:rPr>
          <w:rFonts w:hint="eastAsia" w:ascii="宋体" w:hAnsi="宋体"/>
          <w:snapToGrid w:val="0"/>
          <w:kern w:val="0"/>
          <w:szCs w:val="21"/>
        </w:rPr>
        <w:t>用“</w:t>
      </w:r>
      <w:r>
        <w:rPr>
          <w:rFonts w:hint="eastAsia" w:ascii="MS Mincho" w:hAnsi="MS Mincho" w:cs="MS Mincho" w:eastAsiaTheme="minorEastAsia"/>
          <w:snapToGrid w:val="0"/>
          <w:kern w:val="0"/>
          <w:szCs w:val="21"/>
        </w:rPr>
        <w:t>■</w:t>
      </w:r>
      <w:r>
        <w:rPr>
          <w:rFonts w:hint="eastAsia" w:ascii="宋体" w:hAnsi="宋体"/>
          <w:snapToGrid w:val="0"/>
          <w:kern w:val="0"/>
          <w:szCs w:val="21"/>
        </w:rPr>
        <w:t>”标识时表明该选项被采购人选用，用“□”标识时表明该选项未被采购人选用。</w:t>
      </w:r>
    </w:p>
    <w:p>
      <w:pPr>
        <w:spacing w:line="440" w:lineRule="exact"/>
        <w:ind w:firstLine="422" w:firstLineChars="200"/>
        <w:rPr>
          <w:rFonts w:ascii="宋体" w:hAnsi="宋体"/>
          <w:b/>
          <w:bCs/>
          <w:szCs w:val="21"/>
        </w:rPr>
      </w:pPr>
      <w:r>
        <w:rPr>
          <w:rFonts w:hint="eastAsia" w:ascii="宋体" w:hAnsi="宋体"/>
          <w:b/>
          <w:bCs/>
          <w:szCs w:val="21"/>
        </w:rPr>
        <w:t>二、本项目评标信息</w:t>
      </w:r>
    </w:p>
    <w:p>
      <w:pPr>
        <w:spacing w:line="440" w:lineRule="exact"/>
        <w:ind w:firstLine="422" w:firstLineChars="200"/>
        <w:rPr>
          <w:rFonts w:ascii="宋体" w:hAnsi="宋体"/>
          <w:b/>
          <w:bCs/>
          <w:szCs w:val="21"/>
        </w:rPr>
      </w:pPr>
      <w:r>
        <w:rPr>
          <w:rFonts w:hint="eastAsia" w:ascii="宋体" w:hAnsi="宋体"/>
          <w:b/>
          <w:bCs/>
          <w:szCs w:val="21"/>
        </w:rPr>
        <w:t>1、</w:t>
      </w:r>
      <w:r>
        <w:rPr>
          <w:rFonts w:ascii="宋体" w:hAnsi="宋体"/>
          <w:b/>
          <w:bCs/>
          <w:szCs w:val="21"/>
        </w:rPr>
        <w:t>符合性检查表</w:t>
      </w:r>
    </w:p>
    <w:tbl>
      <w:tblPr>
        <w:tblStyle w:val="2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706"/>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12" w:type="dxa"/>
            <w:vAlign w:val="center"/>
          </w:tcPr>
          <w:p>
            <w:pPr>
              <w:spacing w:line="440" w:lineRule="exact"/>
              <w:jc w:val="center"/>
              <w:rPr>
                <w:rFonts w:ascii="宋体" w:hAnsi="宋体"/>
                <w:b/>
              </w:rPr>
            </w:pPr>
            <w:r>
              <w:rPr>
                <w:rFonts w:ascii="宋体" w:hAnsi="宋体"/>
                <w:b/>
              </w:rPr>
              <w:t>序号</w:t>
            </w:r>
          </w:p>
        </w:tc>
        <w:tc>
          <w:tcPr>
            <w:tcW w:w="6706" w:type="dxa"/>
            <w:vAlign w:val="center"/>
          </w:tcPr>
          <w:p>
            <w:pPr>
              <w:spacing w:line="440" w:lineRule="exact"/>
              <w:ind w:left="-828" w:firstLine="828"/>
              <w:jc w:val="center"/>
              <w:rPr>
                <w:rFonts w:ascii="宋体" w:hAnsi="宋体"/>
                <w:b/>
                <w:sz w:val="24"/>
              </w:rPr>
            </w:pPr>
            <w:r>
              <w:rPr>
                <w:rFonts w:ascii="宋体" w:hAnsi="宋体"/>
                <w:b/>
              </w:rPr>
              <w:t>评议内容</w:t>
            </w:r>
          </w:p>
        </w:tc>
        <w:tc>
          <w:tcPr>
            <w:tcW w:w="1497" w:type="dxa"/>
            <w:vAlign w:val="center"/>
          </w:tcPr>
          <w:p>
            <w:pPr>
              <w:spacing w:line="440" w:lineRule="exact"/>
              <w:ind w:left="44" w:hanging="44"/>
              <w:jc w:val="center"/>
              <w:rPr>
                <w:rFonts w:ascii="宋体" w:hAnsi="宋体"/>
                <w:b/>
                <w:sz w:val="24"/>
              </w:rPr>
            </w:pPr>
            <w:r>
              <w:rPr>
                <w:rFonts w:ascii="宋体" w:hAnsi="宋体"/>
                <w:b/>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1</w:t>
            </w:r>
          </w:p>
        </w:tc>
        <w:tc>
          <w:tcPr>
            <w:tcW w:w="6706" w:type="dxa"/>
            <w:vAlign w:val="center"/>
          </w:tcPr>
          <w:p>
            <w:pPr>
              <w:spacing w:line="440" w:lineRule="exact"/>
              <w:rPr>
                <w:rFonts w:ascii="宋体" w:hAnsi="宋体"/>
                <w:sz w:val="24"/>
              </w:rPr>
            </w:pPr>
            <w:r>
              <w:rPr>
                <w:rFonts w:hint="eastAsia" w:hAnsi="宋体"/>
                <w:szCs w:val="21"/>
              </w:rPr>
              <w:t>按照招标文件的格式详细填写“投标函”</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2</w:t>
            </w:r>
          </w:p>
        </w:tc>
        <w:tc>
          <w:tcPr>
            <w:tcW w:w="6706" w:type="dxa"/>
            <w:vAlign w:val="center"/>
          </w:tcPr>
          <w:p>
            <w:pPr>
              <w:spacing w:line="440" w:lineRule="exact"/>
              <w:rPr>
                <w:rFonts w:ascii="宋体" w:hAnsi="宋体"/>
              </w:rPr>
            </w:pPr>
            <w:r>
              <w:rPr>
                <w:rFonts w:hint="eastAsia" w:hAnsi="宋体"/>
                <w:szCs w:val="21"/>
              </w:rPr>
              <w:t>按照招标文件的格式详细填写“</w:t>
            </w:r>
            <w:r>
              <w:rPr>
                <w:rFonts w:hint="eastAsia" w:ascii="宋体" w:hAnsi="宋体"/>
              </w:rPr>
              <w:t>政府采购投标及履约承诺函</w:t>
            </w:r>
            <w:r>
              <w:rPr>
                <w:rFonts w:hint="eastAsia" w:hAnsi="宋体"/>
                <w:szCs w:val="21"/>
              </w:rPr>
              <w:t>”</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3</w:t>
            </w:r>
          </w:p>
        </w:tc>
        <w:tc>
          <w:tcPr>
            <w:tcW w:w="6706" w:type="dxa"/>
            <w:vAlign w:val="center"/>
          </w:tcPr>
          <w:p>
            <w:pPr>
              <w:spacing w:line="440" w:lineRule="exact"/>
              <w:rPr>
                <w:rFonts w:ascii="宋体" w:hAnsi="宋体"/>
              </w:rPr>
            </w:pPr>
            <w:r>
              <w:rPr>
                <w:rFonts w:hint="eastAsia" w:ascii="宋体" w:hAnsi="宋体"/>
              </w:rPr>
              <w:t>开标一览表未出现无报价、报价为零或有选择性报价</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4</w:t>
            </w:r>
          </w:p>
        </w:tc>
        <w:tc>
          <w:tcPr>
            <w:tcW w:w="6706" w:type="dxa"/>
            <w:vAlign w:val="center"/>
          </w:tcPr>
          <w:p>
            <w:pPr>
              <w:spacing w:line="440" w:lineRule="exact"/>
              <w:rPr>
                <w:rFonts w:ascii="宋体" w:hAnsi="宋体"/>
              </w:rPr>
            </w:pPr>
            <w:r>
              <w:rPr>
                <w:rFonts w:hint="eastAsia" w:ascii="宋体" w:hAnsi="宋体"/>
              </w:rPr>
              <w:t>投标总价</w:t>
            </w:r>
            <w:r>
              <w:rPr>
                <w:rFonts w:hint="eastAsia" w:ascii="宋体" w:hAnsi="宋体"/>
                <w:szCs w:val="21"/>
              </w:rPr>
              <w:t>或分项报价</w:t>
            </w:r>
            <w:r>
              <w:rPr>
                <w:rFonts w:hint="eastAsia" w:ascii="宋体" w:hAnsi="宋体"/>
              </w:rPr>
              <w:t>未超过预算金额</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5</w:t>
            </w:r>
          </w:p>
        </w:tc>
        <w:tc>
          <w:tcPr>
            <w:tcW w:w="6706" w:type="dxa"/>
            <w:vAlign w:val="center"/>
          </w:tcPr>
          <w:p>
            <w:pPr>
              <w:spacing w:line="440" w:lineRule="exact"/>
              <w:rPr>
                <w:rFonts w:asciiTheme="minorEastAsia" w:hAnsiTheme="minorEastAsia" w:eastAsiaTheme="minorEastAsia"/>
                <w:szCs w:val="21"/>
              </w:rPr>
            </w:pPr>
            <w:r>
              <w:rPr>
                <w:rFonts w:ascii="宋体" w:hAnsi="宋体"/>
              </w:rPr>
              <w:t>评标委员会认为投标人的报价明显低于其他通过符合性审查投标人的报价，有可能影响产品质量或者不能诚信履约的，投标人能在</w:t>
            </w:r>
            <w:r>
              <w:rPr>
                <w:rFonts w:hint="eastAsia" w:ascii="宋体" w:hAnsi="宋体"/>
              </w:rPr>
              <w:t>评标现场</w:t>
            </w:r>
            <w:r>
              <w:rPr>
                <w:rFonts w:ascii="宋体" w:hAnsi="宋体"/>
              </w:rPr>
              <w:t>合理的时间内提供书面说明</w:t>
            </w:r>
            <w:r>
              <w:rPr>
                <w:rFonts w:hint="eastAsia" w:ascii="宋体" w:hAnsi="宋体"/>
              </w:rPr>
              <w:t>（必要时提交相关证明材料）</w:t>
            </w:r>
            <w:r>
              <w:rPr>
                <w:rFonts w:ascii="宋体" w:hAnsi="宋体"/>
              </w:rPr>
              <w:t>或提交</w:t>
            </w:r>
            <w:r>
              <w:rPr>
                <w:rFonts w:hint="eastAsia" w:ascii="宋体" w:hAnsi="宋体"/>
              </w:rPr>
              <w:t>的书面说明</w:t>
            </w:r>
            <w:r>
              <w:rPr>
                <w:rFonts w:ascii="宋体" w:hAnsi="宋体"/>
              </w:rPr>
              <w:t>能证明其报价合理性</w:t>
            </w:r>
            <w:r>
              <w:rPr>
                <w:rFonts w:hint="eastAsia" w:ascii="宋体" w:hAnsi="宋体"/>
              </w:rPr>
              <w:t>。（若</w:t>
            </w:r>
            <w:r>
              <w:rPr>
                <w:rFonts w:ascii="宋体" w:hAnsi="宋体"/>
              </w:rPr>
              <w:t>评标委员会</w:t>
            </w:r>
            <w:r>
              <w:rPr>
                <w:rFonts w:hint="eastAsia" w:ascii="宋体" w:hAnsi="宋体"/>
              </w:rPr>
              <w:t>成员对是否须由投标人做出报价合理性说明，以及书面说明是否采纳等判断不一致的，按照“少数服从多数”的原则确定。）</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6</w:t>
            </w:r>
          </w:p>
        </w:tc>
        <w:tc>
          <w:tcPr>
            <w:tcW w:w="6706" w:type="dxa"/>
            <w:vAlign w:val="center"/>
          </w:tcPr>
          <w:p>
            <w:pPr>
              <w:spacing w:line="440" w:lineRule="exact"/>
              <w:rPr>
                <w:rFonts w:ascii="宋体" w:hAnsi="宋体"/>
              </w:rPr>
            </w:pPr>
            <w:r>
              <w:rPr>
                <w:szCs w:val="21"/>
              </w:rPr>
              <w:t>实质性满足招标文件要求</w:t>
            </w:r>
            <w:r>
              <w:rPr>
                <w:rFonts w:hint="eastAsia"/>
                <w:szCs w:val="21"/>
              </w:rPr>
              <w:t>和条件</w:t>
            </w:r>
            <w:r>
              <w:rPr>
                <w:szCs w:val="21"/>
              </w:rPr>
              <w:t>（</w:t>
            </w:r>
            <w:r>
              <w:rPr>
                <w:rFonts w:hint="eastAsia" w:ascii="宋体" w:hAnsi="宋体"/>
              </w:rPr>
              <w:t>不可偏离项检查</w:t>
            </w:r>
            <w:r>
              <w:rPr>
                <w:szCs w:val="21"/>
              </w:rPr>
              <w:t>）</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7</w:t>
            </w:r>
          </w:p>
        </w:tc>
        <w:tc>
          <w:tcPr>
            <w:tcW w:w="6706" w:type="dxa"/>
            <w:vAlign w:val="center"/>
          </w:tcPr>
          <w:p>
            <w:pPr>
              <w:spacing w:line="440" w:lineRule="exact"/>
              <w:rPr>
                <w:szCs w:val="21"/>
              </w:rPr>
            </w:pPr>
            <w:r>
              <w:rPr>
                <w:szCs w:val="21"/>
              </w:rPr>
              <w:t>投标文件载明的项目服务期</w:t>
            </w:r>
            <w:r>
              <w:rPr>
                <w:rFonts w:hint="eastAsia"/>
                <w:szCs w:val="21"/>
              </w:rPr>
              <w:t>符合</w:t>
            </w:r>
            <w:r>
              <w:rPr>
                <w:szCs w:val="21"/>
              </w:rPr>
              <w:t>招标文件规定的期限</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8</w:t>
            </w:r>
          </w:p>
        </w:tc>
        <w:tc>
          <w:tcPr>
            <w:tcW w:w="6706" w:type="dxa"/>
            <w:vAlign w:val="center"/>
          </w:tcPr>
          <w:p>
            <w:pPr>
              <w:spacing w:line="440" w:lineRule="exact"/>
              <w:jc w:val="left"/>
              <w:rPr>
                <w:rFonts w:ascii="宋体" w:hAnsi="宋体"/>
              </w:rPr>
            </w:pPr>
            <w:r>
              <w:rPr>
                <w:rFonts w:hint="eastAsia" w:hAnsi="宋体"/>
                <w:szCs w:val="21"/>
              </w:rPr>
              <w:t>《技术偏离表》和《商务偏离表》已提交</w:t>
            </w:r>
          </w:p>
        </w:tc>
        <w:tc>
          <w:tcPr>
            <w:tcW w:w="1497" w:type="dxa"/>
            <w:vAlign w:val="center"/>
          </w:tcPr>
          <w:p>
            <w:pPr>
              <w:spacing w:line="440" w:lineRule="exact"/>
              <w:ind w:left="57"/>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9</w:t>
            </w:r>
          </w:p>
        </w:tc>
        <w:tc>
          <w:tcPr>
            <w:tcW w:w="6706" w:type="dxa"/>
            <w:vAlign w:val="center"/>
          </w:tcPr>
          <w:p>
            <w:pPr>
              <w:spacing w:line="440" w:lineRule="exact"/>
              <w:rPr>
                <w:rFonts w:ascii="宋体" w:hAnsi="宋体"/>
              </w:rPr>
            </w:pPr>
            <w:r>
              <w:rPr>
                <w:rFonts w:hint="eastAsia" w:ascii="宋体" w:hAnsi="宋体"/>
              </w:rPr>
              <w:t>不存在“否决性条款”列明的其他情况</w:t>
            </w:r>
          </w:p>
        </w:tc>
        <w:tc>
          <w:tcPr>
            <w:tcW w:w="1497" w:type="dxa"/>
            <w:vAlign w:val="center"/>
          </w:tcPr>
          <w:p>
            <w:pPr>
              <w:spacing w:line="440" w:lineRule="exact"/>
              <w:jc w:val="center"/>
              <w:rPr>
                <w:rFonts w:ascii="宋体" w:hAnsi="宋体"/>
                <w:szCs w:val="21"/>
              </w:rPr>
            </w:pPr>
            <w:r>
              <w:rPr>
                <w:rFonts w:ascii="宋体" w:hAnsi="宋体"/>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rPr>
            </w:pPr>
            <w:r>
              <w:rPr>
                <w:rFonts w:hint="eastAsia" w:ascii="宋体" w:hAnsi="宋体"/>
              </w:rPr>
              <w:t>10</w:t>
            </w:r>
          </w:p>
        </w:tc>
        <w:tc>
          <w:tcPr>
            <w:tcW w:w="6706" w:type="dxa"/>
            <w:vAlign w:val="center"/>
          </w:tcPr>
          <w:p>
            <w:pPr>
              <w:spacing w:line="440" w:lineRule="exact"/>
              <w:rPr>
                <w:rFonts w:ascii="宋体" w:hAnsi="宋体"/>
                <w:szCs w:val="21"/>
              </w:rPr>
            </w:pPr>
            <w:r>
              <w:rPr>
                <w:rFonts w:ascii="宋体" w:hAnsi="宋体"/>
                <w:szCs w:val="21"/>
              </w:rPr>
              <w:t>结论</w:t>
            </w:r>
          </w:p>
        </w:tc>
        <w:tc>
          <w:tcPr>
            <w:tcW w:w="1497" w:type="dxa"/>
            <w:vAlign w:val="center"/>
          </w:tcPr>
          <w:p>
            <w:pPr>
              <w:spacing w:line="440" w:lineRule="exact"/>
              <w:jc w:val="center"/>
              <w:rPr>
                <w:rFonts w:ascii="宋体" w:hAnsi="宋体"/>
                <w:szCs w:val="21"/>
              </w:rPr>
            </w:pPr>
            <w:r>
              <w:rPr>
                <w:rFonts w:ascii="宋体" w:hAnsi="宋体"/>
                <w:szCs w:val="21"/>
              </w:rPr>
              <w:t>通过/不通过</w:t>
            </w:r>
          </w:p>
        </w:tc>
      </w:tr>
    </w:tbl>
    <w:p>
      <w:pPr>
        <w:spacing w:line="340" w:lineRule="exact"/>
        <w:ind w:firstLine="422" w:firstLineChars="200"/>
        <w:rPr>
          <w:rFonts w:ascii="宋体" w:hAnsi="宋体"/>
          <w:b/>
          <w:color w:val="000000"/>
          <w:szCs w:val="21"/>
        </w:rPr>
      </w:pPr>
      <w:r>
        <w:rPr>
          <w:rFonts w:hint="eastAsia" w:ascii="宋体" w:hAnsi="宋体"/>
          <w:b/>
          <w:color w:val="000000"/>
          <w:szCs w:val="21"/>
        </w:rPr>
        <w:t>2、评分表</w:t>
      </w:r>
    </w:p>
    <w:tbl>
      <w:tblPr>
        <w:tblStyle w:val="2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49"/>
        <w:gridCol w:w="1662"/>
        <w:gridCol w:w="679"/>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440" w:lineRule="exact"/>
              <w:jc w:val="center"/>
              <w:rPr>
                <w:rFonts w:ascii="宋体" w:hAnsi="宋体"/>
                <w:b/>
                <w:color w:val="0000FF"/>
                <w:szCs w:val="21"/>
              </w:rPr>
            </w:pPr>
            <w:r>
              <w:rPr>
                <w:rFonts w:hint="eastAsia" w:ascii="宋体" w:hAnsi="宋体"/>
                <w:b/>
                <w:color w:val="0000FF"/>
                <w:szCs w:val="21"/>
              </w:rPr>
              <w:t>序号</w:t>
            </w:r>
          </w:p>
        </w:tc>
        <w:tc>
          <w:tcPr>
            <w:tcW w:w="3090" w:type="dxa"/>
            <w:gridSpan w:val="3"/>
            <w:vAlign w:val="center"/>
          </w:tcPr>
          <w:p>
            <w:pPr>
              <w:spacing w:line="440" w:lineRule="exact"/>
              <w:jc w:val="center"/>
              <w:rPr>
                <w:rFonts w:ascii="宋体" w:hAnsi="宋体"/>
                <w:b/>
                <w:color w:val="0000FF"/>
                <w:szCs w:val="21"/>
              </w:rPr>
            </w:pPr>
            <w:r>
              <w:rPr>
                <w:rFonts w:hint="eastAsia" w:ascii="宋体" w:hAnsi="宋体"/>
                <w:b/>
                <w:color w:val="0000FF"/>
                <w:szCs w:val="21"/>
              </w:rPr>
              <w:t>评分项</w:t>
            </w:r>
          </w:p>
        </w:tc>
        <w:tc>
          <w:tcPr>
            <w:tcW w:w="5413" w:type="dxa"/>
            <w:vAlign w:val="center"/>
          </w:tcPr>
          <w:p>
            <w:pPr>
              <w:spacing w:line="440" w:lineRule="exact"/>
              <w:jc w:val="center"/>
              <w:rPr>
                <w:rFonts w:ascii="宋体" w:hAnsi="宋体"/>
                <w:b/>
                <w:color w:val="0000FF"/>
                <w:szCs w:val="21"/>
              </w:rPr>
            </w:pPr>
            <w:r>
              <w:rPr>
                <w:rFonts w:hint="eastAsia" w:ascii="宋体" w:hAnsi="宋体"/>
                <w:b/>
                <w:color w:val="0000FF"/>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440" w:lineRule="exact"/>
              <w:jc w:val="center"/>
              <w:rPr>
                <w:rFonts w:ascii="宋体" w:hAnsi="宋体"/>
                <w:b/>
                <w:color w:val="0000FF"/>
                <w:szCs w:val="21"/>
              </w:rPr>
            </w:pPr>
            <w:r>
              <w:rPr>
                <w:rFonts w:ascii="宋体" w:hAnsi="宋体"/>
                <w:b/>
                <w:color w:val="0000FF"/>
                <w:szCs w:val="21"/>
              </w:rPr>
              <w:t>1</w:t>
            </w:r>
          </w:p>
        </w:tc>
        <w:tc>
          <w:tcPr>
            <w:tcW w:w="3090" w:type="dxa"/>
            <w:gridSpan w:val="3"/>
            <w:vAlign w:val="center"/>
          </w:tcPr>
          <w:p>
            <w:pPr>
              <w:spacing w:line="440" w:lineRule="exact"/>
              <w:jc w:val="center"/>
              <w:rPr>
                <w:rFonts w:ascii="宋体" w:hAnsi="宋体"/>
                <w:b/>
                <w:color w:val="0000FF"/>
                <w:szCs w:val="21"/>
              </w:rPr>
            </w:pPr>
            <w:r>
              <w:rPr>
                <w:rFonts w:hint="eastAsia" w:ascii="宋体" w:hAnsi="宋体"/>
                <w:b/>
                <w:color w:val="0000FF"/>
                <w:szCs w:val="21"/>
              </w:rPr>
              <w:t>价格</w:t>
            </w:r>
          </w:p>
        </w:tc>
        <w:tc>
          <w:tcPr>
            <w:tcW w:w="5413" w:type="dxa"/>
            <w:vAlign w:val="center"/>
          </w:tcPr>
          <w:p>
            <w:pPr>
              <w:spacing w:line="440" w:lineRule="exact"/>
              <w:jc w:val="center"/>
              <w:rPr>
                <w:rFonts w:ascii="宋体" w:hAnsi="宋体"/>
                <w:b/>
                <w:color w:val="0000FF"/>
                <w:szCs w:val="21"/>
              </w:rPr>
            </w:pPr>
            <w:r>
              <w:rPr>
                <w:rFonts w:hint="eastAsia" w:ascii="宋体" w:hAnsi="宋体"/>
                <w:b/>
                <w:color w:val="0000FF"/>
                <w:szCs w:val="21"/>
              </w:rPr>
              <w:t>1</w:t>
            </w:r>
            <w:r>
              <w:rPr>
                <w:rFonts w:ascii="宋体" w:hAnsi="宋体"/>
                <w:b/>
                <w:color w:val="0000FF"/>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440" w:lineRule="exact"/>
              <w:jc w:val="center"/>
              <w:rPr>
                <w:rFonts w:ascii="宋体" w:hAnsi="宋体"/>
                <w:color w:val="0000FF"/>
                <w:szCs w:val="21"/>
              </w:rPr>
            </w:pPr>
          </w:p>
        </w:tc>
        <w:tc>
          <w:tcPr>
            <w:tcW w:w="8503" w:type="dxa"/>
            <w:gridSpan w:val="4"/>
            <w:vAlign w:val="center"/>
          </w:tcPr>
          <w:p>
            <w:pPr>
              <w:spacing w:line="440" w:lineRule="exact"/>
              <w:rPr>
                <w:rFonts w:ascii="宋体" w:hAnsi="宋体"/>
                <w:color w:val="0000FF"/>
                <w:szCs w:val="21"/>
              </w:rPr>
            </w:pPr>
            <w:r>
              <w:rPr>
                <w:rFonts w:hint="eastAsia" w:ascii="宋体" w:hAnsi="宋体"/>
                <w:color w:val="0000FF"/>
                <w:szCs w:val="21"/>
              </w:rPr>
              <w:t>投标报价价格分=（评标基准价/投标报价）×10</w:t>
            </w:r>
          </w:p>
          <w:p>
            <w:pPr>
              <w:spacing w:line="440" w:lineRule="exact"/>
              <w:jc w:val="left"/>
              <w:rPr>
                <w:rFonts w:ascii="宋体" w:hAnsi="宋体"/>
                <w:color w:val="0000FF"/>
                <w:szCs w:val="21"/>
              </w:rPr>
            </w:pPr>
            <w:r>
              <w:rPr>
                <w:rFonts w:hint="eastAsia" w:ascii="宋体" w:hAnsi="宋体"/>
                <w:color w:val="0000FF"/>
                <w:szCs w:val="21"/>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440" w:lineRule="exact"/>
              <w:jc w:val="center"/>
              <w:rPr>
                <w:rFonts w:ascii="宋体" w:hAnsi="宋体"/>
                <w:b/>
                <w:color w:val="0000FF"/>
                <w:szCs w:val="21"/>
              </w:rPr>
            </w:pPr>
            <w:r>
              <w:rPr>
                <w:rFonts w:ascii="宋体" w:hAnsi="宋体"/>
                <w:b/>
                <w:color w:val="0000FF"/>
                <w:szCs w:val="21"/>
              </w:rPr>
              <w:t>2</w:t>
            </w:r>
          </w:p>
        </w:tc>
        <w:tc>
          <w:tcPr>
            <w:tcW w:w="3090" w:type="dxa"/>
            <w:gridSpan w:val="3"/>
            <w:vAlign w:val="center"/>
          </w:tcPr>
          <w:p>
            <w:pPr>
              <w:spacing w:line="440" w:lineRule="exact"/>
              <w:jc w:val="center"/>
              <w:rPr>
                <w:rFonts w:ascii="宋体" w:hAnsi="宋体"/>
                <w:b/>
                <w:color w:val="0000FF"/>
                <w:szCs w:val="21"/>
              </w:rPr>
            </w:pPr>
            <w:r>
              <w:rPr>
                <w:rFonts w:hint="eastAsia" w:ascii="宋体" w:hAnsi="宋体"/>
                <w:b/>
                <w:color w:val="0000FF"/>
                <w:szCs w:val="21"/>
              </w:rPr>
              <w:t>技术部分</w:t>
            </w:r>
          </w:p>
        </w:tc>
        <w:tc>
          <w:tcPr>
            <w:tcW w:w="5413" w:type="dxa"/>
            <w:vAlign w:val="center"/>
          </w:tcPr>
          <w:p>
            <w:pPr>
              <w:spacing w:line="440" w:lineRule="exact"/>
              <w:jc w:val="center"/>
              <w:rPr>
                <w:rFonts w:ascii="宋体" w:hAnsi="宋体"/>
                <w:b/>
                <w:color w:val="0000FF"/>
                <w:szCs w:val="21"/>
              </w:rPr>
            </w:pPr>
            <w:r>
              <w:rPr>
                <w:rFonts w:hint="eastAsia" w:ascii="宋体" w:hAnsi="宋体"/>
                <w:b/>
                <w:color w:val="0000FF"/>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spacing w:line="440" w:lineRule="exact"/>
              <w:jc w:val="center"/>
              <w:rPr>
                <w:rFonts w:ascii="宋体" w:hAnsi="宋体"/>
                <w:color w:val="0000FF"/>
                <w:szCs w:val="21"/>
              </w:rPr>
            </w:pPr>
          </w:p>
        </w:tc>
        <w:tc>
          <w:tcPr>
            <w:tcW w:w="749" w:type="dxa"/>
            <w:vAlign w:val="center"/>
          </w:tcPr>
          <w:p>
            <w:pPr>
              <w:spacing w:line="440" w:lineRule="exact"/>
              <w:jc w:val="center"/>
              <w:rPr>
                <w:rFonts w:ascii="宋体" w:hAnsi="宋体"/>
                <w:b/>
                <w:color w:val="0000FF"/>
                <w:szCs w:val="21"/>
              </w:rPr>
            </w:pPr>
            <w:r>
              <w:rPr>
                <w:rFonts w:hint="eastAsia" w:ascii="宋体" w:hAnsi="宋体"/>
                <w:b/>
                <w:color w:val="0000FF"/>
                <w:szCs w:val="21"/>
              </w:rPr>
              <w:t>序号</w:t>
            </w:r>
          </w:p>
        </w:tc>
        <w:tc>
          <w:tcPr>
            <w:tcW w:w="1662" w:type="dxa"/>
            <w:vAlign w:val="center"/>
          </w:tcPr>
          <w:p>
            <w:pPr>
              <w:spacing w:line="440" w:lineRule="exact"/>
              <w:jc w:val="center"/>
              <w:rPr>
                <w:rFonts w:ascii="宋体" w:hAnsi="宋体"/>
                <w:b/>
                <w:color w:val="0000FF"/>
                <w:szCs w:val="21"/>
              </w:rPr>
            </w:pPr>
            <w:r>
              <w:rPr>
                <w:rFonts w:hint="eastAsia" w:ascii="宋体" w:hAnsi="宋体"/>
                <w:b/>
                <w:color w:val="0000FF"/>
                <w:szCs w:val="21"/>
              </w:rPr>
              <w:t>评分因素</w:t>
            </w:r>
          </w:p>
        </w:tc>
        <w:tc>
          <w:tcPr>
            <w:tcW w:w="679" w:type="dxa"/>
            <w:vAlign w:val="center"/>
          </w:tcPr>
          <w:p>
            <w:pPr>
              <w:spacing w:line="440" w:lineRule="exact"/>
              <w:jc w:val="center"/>
              <w:rPr>
                <w:rFonts w:ascii="宋体" w:hAnsi="宋体"/>
                <w:b/>
                <w:color w:val="0000FF"/>
                <w:szCs w:val="21"/>
              </w:rPr>
            </w:pPr>
            <w:r>
              <w:rPr>
                <w:rFonts w:hint="eastAsia" w:ascii="宋体" w:hAnsi="宋体"/>
                <w:b/>
                <w:color w:val="0000FF"/>
                <w:szCs w:val="21"/>
              </w:rPr>
              <w:t>权重</w:t>
            </w:r>
          </w:p>
        </w:tc>
        <w:tc>
          <w:tcPr>
            <w:tcW w:w="5413" w:type="dxa"/>
            <w:vAlign w:val="center"/>
          </w:tcPr>
          <w:p>
            <w:pPr>
              <w:spacing w:line="440" w:lineRule="exact"/>
              <w:jc w:val="center"/>
              <w:rPr>
                <w:rFonts w:ascii="宋体" w:hAnsi="宋体"/>
                <w:b/>
                <w:color w:val="0000FF"/>
                <w:szCs w:val="21"/>
              </w:rPr>
            </w:pPr>
            <w:r>
              <w:rPr>
                <w:rFonts w:hint="eastAsia" w:ascii="宋体" w:hAnsi="宋体"/>
                <w:b/>
                <w:color w:val="0000FF"/>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0"/>
              <w:rPr>
                <w:rFonts w:ascii="宋体" w:hAnsi="宋体"/>
                <w:color w:val="0000FF"/>
                <w:szCs w:val="21"/>
              </w:rPr>
            </w:pPr>
          </w:p>
        </w:tc>
        <w:tc>
          <w:tcPr>
            <w:tcW w:w="749" w:type="dxa"/>
            <w:vAlign w:val="center"/>
          </w:tcPr>
          <w:p>
            <w:pPr>
              <w:spacing w:line="440" w:lineRule="exact"/>
              <w:jc w:val="center"/>
              <w:rPr>
                <w:rFonts w:ascii="宋体" w:hAnsi="宋体"/>
                <w:color w:val="0000FF"/>
                <w:szCs w:val="21"/>
              </w:rPr>
            </w:pPr>
            <w:r>
              <w:rPr>
                <w:rFonts w:ascii="宋体" w:hAnsi="宋体"/>
                <w:color w:val="0000FF"/>
                <w:szCs w:val="21"/>
              </w:rPr>
              <w:t>1</w:t>
            </w:r>
          </w:p>
        </w:tc>
        <w:tc>
          <w:tcPr>
            <w:tcW w:w="1662" w:type="dxa"/>
            <w:vAlign w:val="center"/>
          </w:tcPr>
          <w:p>
            <w:pPr>
              <w:jc w:val="center"/>
              <w:rPr>
                <w:rFonts w:ascii="宋体" w:hAnsi="宋体" w:cs="宋体"/>
                <w:szCs w:val="21"/>
              </w:rPr>
            </w:pPr>
            <w:r>
              <w:rPr>
                <w:rFonts w:hint="eastAsia" w:ascii="宋体" w:hAnsi="宋体" w:cs="宋体"/>
                <w:szCs w:val="21"/>
              </w:rPr>
              <w:t>采购咨询</w:t>
            </w:r>
          </w:p>
          <w:p>
            <w:pPr>
              <w:jc w:val="center"/>
              <w:rPr>
                <w:rFonts w:ascii="宋体" w:hAnsi="宋体"/>
                <w:color w:val="0000FF"/>
                <w:szCs w:val="21"/>
              </w:rPr>
            </w:pPr>
            <w:r>
              <w:rPr>
                <w:rFonts w:hint="eastAsia" w:ascii="宋体" w:hAnsi="宋体" w:cs="宋体"/>
                <w:szCs w:val="21"/>
              </w:rPr>
              <w:t>服务方案</w:t>
            </w:r>
          </w:p>
        </w:tc>
        <w:tc>
          <w:tcPr>
            <w:tcW w:w="679" w:type="dxa"/>
            <w:vAlign w:val="center"/>
          </w:tcPr>
          <w:p>
            <w:pPr>
              <w:jc w:val="center"/>
              <w:rPr>
                <w:rFonts w:ascii="宋体" w:hAnsi="宋体"/>
                <w:color w:val="0000FF"/>
                <w:szCs w:val="21"/>
              </w:rPr>
            </w:pPr>
            <w:r>
              <w:rPr>
                <w:rFonts w:hint="eastAsia" w:ascii="宋体" w:hAnsi="宋体"/>
                <w:szCs w:val="21"/>
              </w:rPr>
              <w:t>15</w:t>
            </w:r>
          </w:p>
        </w:tc>
        <w:tc>
          <w:tcPr>
            <w:tcW w:w="5413" w:type="dxa"/>
          </w:tcPr>
          <w:p>
            <w:pPr>
              <w:jc w:val="left"/>
              <w:rPr>
                <w:rFonts w:ascii="宋体" w:hAnsi="宋体" w:cs="宋体"/>
                <w:szCs w:val="21"/>
              </w:rPr>
            </w:pPr>
            <w:r>
              <w:rPr>
                <w:rFonts w:hint="eastAsia" w:ascii="宋体" w:hAnsi="宋体" w:cs="宋体"/>
                <w:szCs w:val="21"/>
              </w:rPr>
              <w:t>（一）评审内容：</w:t>
            </w:r>
          </w:p>
          <w:p>
            <w:pPr>
              <w:spacing w:line="440" w:lineRule="exact"/>
              <w:jc w:val="left"/>
              <w:rPr>
                <w:rFonts w:ascii="宋体" w:hAnsi="宋体" w:cs="宋体"/>
                <w:szCs w:val="21"/>
              </w:rPr>
            </w:pPr>
            <w:r>
              <w:rPr>
                <w:rFonts w:hint="eastAsia" w:ascii="宋体" w:hAnsi="宋体" w:cs="宋体"/>
                <w:szCs w:val="21"/>
              </w:rPr>
              <w:t>根据投标人制定的项目服务方案进行评分。</w:t>
            </w:r>
          </w:p>
          <w:p>
            <w:pPr>
              <w:spacing w:line="440" w:lineRule="exact"/>
              <w:jc w:val="left"/>
              <w:rPr>
                <w:rFonts w:ascii="宋体" w:hAnsi="宋体" w:cs="宋体"/>
                <w:color w:val="000000"/>
                <w:szCs w:val="21"/>
              </w:rPr>
            </w:pPr>
            <w:r>
              <w:rPr>
                <w:rFonts w:hint="eastAsia" w:ascii="宋体" w:hAnsi="宋体" w:cs="宋体"/>
                <w:color w:val="000000"/>
                <w:szCs w:val="21"/>
              </w:rPr>
              <w:t>（二）评分依据：</w:t>
            </w:r>
          </w:p>
          <w:p>
            <w:pPr>
              <w:spacing w:line="440" w:lineRule="exact"/>
              <w:rPr>
                <w:rFonts w:ascii="宋体" w:hAnsi="宋体" w:cs="宋体"/>
                <w:bCs/>
                <w:szCs w:val="21"/>
              </w:rPr>
            </w:pPr>
            <w:r>
              <w:rPr>
                <w:rFonts w:hint="eastAsia" w:ascii="宋体" w:hAnsi="宋体" w:cs="宋体"/>
                <w:bCs/>
                <w:szCs w:val="21"/>
              </w:rPr>
              <w:t>1.对服务内容的理解深刻、可行性强、质量保障措施有力，</w:t>
            </w:r>
            <w:r>
              <w:rPr>
                <w:rFonts w:hint="eastAsia" w:ascii="宋体" w:hAnsi="宋体" w:cs="宋体"/>
                <w:color w:val="000000"/>
                <w:szCs w:val="21"/>
              </w:rPr>
              <w:t>评审为优的，</w:t>
            </w:r>
            <w:r>
              <w:rPr>
                <w:rFonts w:hint="eastAsia" w:ascii="宋体" w:hAnsi="宋体" w:cs="宋体"/>
                <w:bCs/>
                <w:szCs w:val="21"/>
              </w:rPr>
              <w:t>得15分；</w:t>
            </w:r>
          </w:p>
          <w:p>
            <w:pPr>
              <w:spacing w:line="440" w:lineRule="exact"/>
              <w:rPr>
                <w:rFonts w:ascii="宋体" w:hAnsi="宋体" w:cs="宋体"/>
                <w:bCs/>
                <w:szCs w:val="21"/>
              </w:rPr>
            </w:pPr>
            <w:r>
              <w:rPr>
                <w:rFonts w:hint="eastAsia" w:ascii="宋体" w:hAnsi="宋体" w:cs="宋体"/>
                <w:bCs/>
                <w:szCs w:val="21"/>
              </w:rPr>
              <w:t>2.对服务内容的理解良好、可行性较好，质量保障措施良好，</w:t>
            </w:r>
            <w:r>
              <w:rPr>
                <w:rFonts w:hint="eastAsia" w:ascii="宋体" w:hAnsi="宋体" w:cs="宋体"/>
                <w:color w:val="000000"/>
                <w:szCs w:val="21"/>
              </w:rPr>
              <w:t>评审为良的，</w:t>
            </w:r>
            <w:r>
              <w:rPr>
                <w:rFonts w:hint="eastAsia" w:ascii="宋体" w:hAnsi="宋体" w:cs="宋体"/>
                <w:bCs/>
                <w:szCs w:val="21"/>
              </w:rPr>
              <w:t>得</w:t>
            </w:r>
            <w:r>
              <w:rPr>
                <w:rFonts w:ascii="宋体" w:hAnsi="宋体" w:cs="宋体"/>
                <w:bCs/>
                <w:szCs w:val="21"/>
              </w:rPr>
              <w:t>10</w:t>
            </w:r>
            <w:r>
              <w:rPr>
                <w:rFonts w:hint="eastAsia" w:ascii="宋体" w:hAnsi="宋体" w:cs="宋体"/>
                <w:bCs/>
                <w:szCs w:val="21"/>
              </w:rPr>
              <w:t>分；</w:t>
            </w:r>
          </w:p>
          <w:p>
            <w:pPr>
              <w:spacing w:line="440" w:lineRule="exact"/>
              <w:rPr>
                <w:rFonts w:ascii="宋体" w:hAnsi="宋体" w:cs="宋体"/>
                <w:bCs/>
                <w:szCs w:val="21"/>
              </w:rPr>
            </w:pPr>
            <w:r>
              <w:rPr>
                <w:rFonts w:hint="eastAsia" w:ascii="宋体" w:hAnsi="宋体" w:cs="宋体"/>
                <w:bCs/>
                <w:szCs w:val="21"/>
              </w:rPr>
              <w:t>3.对服务内容理解一般、可行性一般、质量保障措施一般，</w:t>
            </w:r>
            <w:r>
              <w:rPr>
                <w:rFonts w:hint="eastAsia" w:ascii="宋体" w:hAnsi="宋体" w:cs="宋体"/>
                <w:color w:val="000000"/>
                <w:szCs w:val="21"/>
              </w:rPr>
              <w:t>评审为中的，</w:t>
            </w:r>
            <w:r>
              <w:rPr>
                <w:rFonts w:hint="eastAsia" w:ascii="宋体" w:hAnsi="宋体" w:cs="宋体"/>
                <w:bCs/>
                <w:szCs w:val="21"/>
              </w:rPr>
              <w:t>得5分；</w:t>
            </w:r>
          </w:p>
          <w:p>
            <w:pPr>
              <w:numPr>
                <w:ilvl w:val="0"/>
                <w:numId w:val="7"/>
              </w:numPr>
              <w:spacing w:line="440" w:lineRule="exact"/>
              <w:ind w:left="0" w:hanging="318"/>
              <w:jc w:val="left"/>
              <w:rPr>
                <w:rFonts w:ascii="宋体" w:hAnsi="宋体"/>
                <w:color w:val="0000FF"/>
                <w:szCs w:val="21"/>
              </w:rPr>
            </w:pPr>
            <w:r>
              <w:rPr>
                <w:rFonts w:hint="eastAsia" w:ascii="宋体" w:hAnsi="宋体" w:cs="宋体"/>
                <w:bCs/>
                <w:szCs w:val="21"/>
              </w:rPr>
              <w:t>4.对服务内容理解不符合项目需求、服务方案指导性和专业性较差、服务质量保障措施较差或无保障措施的，</w:t>
            </w:r>
            <w:r>
              <w:rPr>
                <w:rFonts w:hint="eastAsia" w:ascii="宋体" w:hAnsi="宋体" w:cs="宋体"/>
                <w:color w:val="000000"/>
                <w:szCs w:val="21"/>
              </w:rPr>
              <w:t>评审为差的，</w:t>
            </w:r>
            <w:r>
              <w:rPr>
                <w:rFonts w:hint="eastAsia" w:ascii="宋体" w:hAnsi="宋体" w:cs="宋体"/>
                <w:bCs/>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440" w:lineRule="exact"/>
              <w:jc w:val="center"/>
              <w:rPr>
                <w:rFonts w:ascii="宋体" w:hAnsi="宋体"/>
                <w:b/>
                <w:color w:val="0000FF"/>
                <w:szCs w:val="21"/>
              </w:rPr>
            </w:pPr>
            <w:r>
              <w:rPr>
                <w:rFonts w:ascii="宋体" w:hAnsi="宋体"/>
                <w:b/>
                <w:color w:val="0000FF"/>
                <w:szCs w:val="21"/>
              </w:rPr>
              <w:t>3</w:t>
            </w:r>
          </w:p>
        </w:tc>
        <w:tc>
          <w:tcPr>
            <w:tcW w:w="3090" w:type="dxa"/>
            <w:gridSpan w:val="3"/>
            <w:vAlign w:val="center"/>
          </w:tcPr>
          <w:p>
            <w:pPr>
              <w:spacing w:line="440" w:lineRule="exact"/>
              <w:jc w:val="center"/>
              <w:rPr>
                <w:rFonts w:ascii="宋体" w:hAnsi="宋体"/>
                <w:b/>
                <w:color w:val="0000FF"/>
                <w:szCs w:val="21"/>
              </w:rPr>
            </w:pPr>
            <w:r>
              <w:rPr>
                <w:rFonts w:hint="eastAsia" w:ascii="宋体" w:hAnsi="宋体"/>
                <w:b/>
                <w:color w:val="0000FF"/>
                <w:szCs w:val="21"/>
              </w:rPr>
              <w:t>商务部分</w:t>
            </w:r>
          </w:p>
        </w:tc>
        <w:tc>
          <w:tcPr>
            <w:tcW w:w="5413" w:type="dxa"/>
            <w:vAlign w:val="center"/>
          </w:tcPr>
          <w:p>
            <w:pPr>
              <w:spacing w:line="440" w:lineRule="exact"/>
              <w:jc w:val="center"/>
              <w:rPr>
                <w:rFonts w:ascii="宋体" w:hAnsi="宋体" w:cs="宋体"/>
                <w:b/>
                <w:color w:val="0000FF"/>
                <w:szCs w:val="21"/>
              </w:rPr>
            </w:pPr>
            <w:r>
              <w:rPr>
                <w:rFonts w:hint="eastAsia" w:ascii="宋体" w:hAnsi="宋体" w:cs="宋体"/>
                <w:b/>
                <w:color w:val="0000FF"/>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spacing w:line="440" w:lineRule="exact"/>
              <w:jc w:val="center"/>
              <w:outlineLvl w:val="0"/>
              <w:rPr>
                <w:rFonts w:ascii="宋体" w:hAnsi="宋体"/>
                <w:color w:val="0000FF"/>
                <w:szCs w:val="21"/>
              </w:rPr>
            </w:pPr>
          </w:p>
        </w:tc>
        <w:tc>
          <w:tcPr>
            <w:tcW w:w="749" w:type="dxa"/>
            <w:vAlign w:val="center"/>
          </w:tcPr>
          <w:p>
            <w:pPr>
              <w:spacing w:line="440" w:lineRule="exact"/>
              <w:jc w:val="center"/>
              <w:rPr>
                <w:rFonts w:ascii="宋体" w:hAnsi="宋体"/>
                <w:b/>
                <w:color w:val="0000FF"/>
                <w:szCs w:val="21"/>
              </w:rPr>
            </w:pPr>
            <w:r>
              <w:rPr>
                <w:rFonts w:hint="eastAsia" w:ascii="宋体" w:hAnsi="宋体"/>
                <w:b/>
                <w:color w:val="0000FF"/>
                <w:szCs w:val="21"/>
              </w:rPr>
              <w:t>序号</w:t>
            </w:r>
          </w:p>
        </w:tc>
        <w:tc>
          <w:tcPr>
            <w:tcW w:w="1662" w:type="dxa"/>
            <w:vAlign w:val="center"/>
          </w:tcPr>
          <w:p>
            <w:pPr>
              <w:spacing w:line="440" w:lineRule="exact"/>
              <w:jc w:val="center"/>
              <w:rPr>
                <w:rFonts w:ascii="宋体" w:hAnsi="宋体"/>
                <w:b/>
                <w:color w:val="0000FF"/>
                <w:szCs w:val="21"/>
              </w:rPr>
            </w:pPr>
            <w:r>
              <w:rPr>
                <w:rFonts w:hint="eastAsia" w:ascii="宋体" w:hAnsi="宋体"/>
                <w:b/>
                <w:color w:val="0000FF"/>
                <w:szCs w:val="21"/>
              </w:rPr>
              <w:t>评分因素</w:t>
            </w:r>
          </w:p>
        </w:tc>
        <w:tc>
          <w:tcPr>
            <w:tcW w:w="679" w:type="dxa"/>
            <w:vAlign w:val="center"/>
          </w:tcPr>
          <w:p>
            <w:pPr>
              <w:spacing w:line="440" w:lineRule="exact"/>
              <w:jc w:val="center"/>
              <w:rPr>
                <w:rFonts w:ascii="宋体" w:hAnsi="宋体"/>
                <w:b/>
                <w:color w:val="0000FF"/>
                <w:szCs w:val="21"/>
              </w:rPr>
            </w:pPr>
            <w:r>
              <w:rPr>
                <w:rFonts w:hint="eastAsia" w:ascii="宋体" w:hAnsi="宋体"/>
                <w:b/>
                <w:color w:val="0000FF"/>
                <w:szCs w:val="21"/>
              </w:rPr>
              <w:t>权重</w:t>
            </w:r>
          </w:p>
        </w:tc>
        <w:tc>
          <w:tcPr>
            <w:tcW w:w="5413" w:type="dxa"/>
            <w:vAlign w:val="center"/>
          </w:tcPr>
          <w:p>
            <w:pPr>
              <w:spacing w:line="440" w:lineRule="exact"/>
              <w:jc w:val="center"/>
              <w:rPr>
                <w:rFonts w:ascii="宋体" w:hAnsi="宋体"/>
                <w:b/>
                <w:color w:val="0000FF"/>
                <w:szCs w:val="21"/>
              </w:rPr>
            </w:pPr>
            <w:r>
              <w:rPr>
                <w:rFonts w:hint="eastAsia" w:ascii="宋体" w:hAnsi="宋体"/>
                <w:b/>
                <w:color w:val="0000FF"/>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0"/>
              <w:rPr>
                <w:rFonts w:ascii="宋体" w:hAnsi="宋体"/>
                <w:color w:val="0000FF"/>
                <w:szCs w:val="21"/>
              </w:rPr>
            </w:pPr>
          </w:p>
        </w:tc>
        <w:tc>
          <w:tcPr>
            <w:tcW w:w="749" w:type="dxa"/>
            <w:vAlign w:val="center"/>
          </w:tcPr>
          <w:p>
            <w:pPr>
              <w:spacing w:line="440" w:lineRule="exact"/>
              <w:jc w:val="center"/>
              <w:rPr>
                <w:rFonts w:ascii="宋体" w:hAnsi="宋体"/>
                <w:color w:val="0000FF"/>
                <w:szCs w:val="21"/>
              </w:rPr>
            </w:pPr>
            <w:r>
              <w:rPr>
                <w:rFonts w:ascii="宋体" w:hAnsi="宋体"/>
                <w:color w:val="0000FF"/>
                <w:szCs w:val="21"/>
              </w:rPr>
              <w:t>1</w:t>
            </w:r>
          </w:p>
        </w:tc>
        <w:tc>
          <w:tcPr>
            <w:tcW w:w="1662" w:type="dxa"/>
            <w:vAlign w:val="center"/>
          </w:tcPr>
          <w:p>
            <w:pPr>
              <w:jc w:val="center"/>
              <w:rPr>
                <w:rFonts w:ascii="宋体" w:hAnsi="宋体"/>
                <w:color w:val="0000FF"/>
                <w:szCs w:val="21"/>
              </w:rPr>
            </w:pPr>
            <w:r>
              <w:rPr>
                <w:rFonts w:hint="eastAsia" w:ascii="宋体" w:hAnsi="宋体" w:cs="宋体"/>
                <w:kern w:val="0"/>
                <w:szCs w:val="21"/>
              </w:rPr>
              <w:t>服务响应情况</w:t>
            </w:r>
          </w:p>
        </w:tc>
        <w:tc>
          <w:tcPr>
            <w:tcW w:w="679" w:type="dxa"/>
            <w:vAlign w:val="center"/>
          </w:tcPr>
          <w:p>
            <w:pPr>
              <w:jc w:val="center"/>
              <w:rPr>
                <w:rFonts w:ascii="宋体" w:hAnsi="宋体"/>
                <w:color w:val="0000FF"/>
                <w:szCs w:val="21"/>
              </w:rPr>
            </w:pPr>
            <w:r>
              <w:rPr>
                <w:rFonts w:hint="eastAsia" w:ascii="宋体" w:hAnsi="宋体"/>
                <w:szCs w:val="21"/>
              </w:rPr>
              <w:t>5</w:t>
            </w:r>
          </w:p>
        </w:tc>
        <w:tc>
          <w:tcPr>
            <w:tcW w:w="5413" w:type="dxa"/>
          </w:tcPr>
          <w:p>
            <w:pPr>
              <w:pStyle w:val="8"/>
              <w:spacing w:line="440" w:lineRule="exact"/>
              <w:rPr>
                <w:rFonts w:ascii="宋体" w:hAnsi="宋体" w:cs="宋体"/>
              </w:rPr>
            </w:pPr>
            <w:r>
              <w:rPr>
                <w:rFonts w:hint="eastAsia" w:ascii="宋体" w:hAnsi="宋体" w:cs="宋体"/>
              </w:rPr>
              <w:t>（一）评审内容：</w:t>
            </w:r>
          </w:p>
          <w:p>
            <w:pPr>
              <w:pStyle w:val="8"/>
              <w:spacing w:line="440" w:lineRule="exact"/>
              <w:rPr>
                <w:rFonts w:ascii="宋体" w:hAnsi="宋体" w:cs="宋体"/>
              </w:rPr>
            </w:pPr>
            <w:r>
              <w:rPr>
                <w:rFonts w:hint="eastAsia" w:ascii="宋体" w:hAnsi="宋体" w:cs="宋体"/>
              </w:rPr>
              <w:t>1</w:t>
            </w:r>
            <w:r>
              <w:rPr>
                <w:rFonts w:ascii="宋体" w:hAnsi="宋体" w:cs="宋体"/>
              </w:rPr>
              <w:t>.</w:t>
            </w:r>
            <w:r>
              <w:rPr>
                <w:rFonts w:hint="eastAsia" w:ascii="宋体" w:hAnsi="宋体" w:cs="宋体"/>
              </w:rPr>
              <w:t>投标人承诺服务响应时间在半小时（含）内的，得5分；</w:t>
            </w:r>
          </w:p>
          <w:p>
            <w:pPr>
              <w:pStyle w:val="8"/>
              <w:spacing w:line="440" w:lineRule="exact"/>
              <w:rPr>
                <w:rFonts w:ascii="宋体" w:hAnsi="宋体" w:cs="宋体"/>
              </w:rPr>
            </w:pPr>
            <w:r>
              <w:rPr>
                <w:rFonts w:hint="eastAsia" w:ascii="宋体" w:hAnsi="宋体" w:cs="宋体"/>
              </w:rPr>
              <w:t>2</w:t>
            </w:r>
            <w:r>
              <w:rPr>
                <w:rFonts w:ascii="宋体" w:hAnsi="宋体" w:cs="宋体"/>
              </w:rPr>
              <w:t>.</w:t>
            </w:r>
            <w:r>
              <w:rPr>
                <w:rFonts w:hint="eastAsia" w:ascii="宋体" w:hAnsi="宋体" w:cs="宋体"/>
              </w:rPr>
              <w:t>投标人承诺服务响应时间在1小时（含）内的，得3分；</w:t>
            </w:r>
          </w:p>
          <w:p>
            <w:pPr>
              <w:pStyle w:val="8"/>
              <w:spacing w:line="440" w:lineRule="exact"/>
              <w:rPr>
                <w:rFonts w:ascii="宋体" w:hAnsi="宋体" w:cs="宋体"/>
              </w:rPr>
            </w:pPr>
            <w:r>
              <w:rPr>
                <w:rFonts w:hint="eastAsia" w:ascii="宋体" w:hAnsi="宋体" w:cs="宋体"/>
              </w:rPr>
              <w:t>3</w:t>
            </w:r>
            <w:r>
              <w:rPr>
                <w:rFonts w:ascii="宋体" w:hAnsi="宋体" w:cs="宋体"/>
              </w:rPr>
              <w:t>.</w:t>
            </w:r>
            <w:r>
              <w:rPr>
                <w:rFonts w:hint="eastAsia" w:ascii="宋体" w:hAnsi="宋体" w:cs="宋体"/>
              </w:rPr>
              <w:t>投标人承诺服务响应时间在2小时（含）内的，得1分；</w:t>
            </w:r>
          </w:p>
          <w:p>
            <w:pPr>
              <w:pStyle w:val="8"/>
              <w:spacing w:line="440" w:lineRule="exact"/>
              <w:rPr>
                <w:rFonts w:ascii="宋体" w:hAnsi="宋体" w:cs="宋体"/>
              </w:rPr>
            </w:pPr>
            <w:r>
              <w:rPr>
                <w:rFonts w:hint="eastAsia" w:ascii="宋体" w:hAnsi="宋体" w:cs="宋体"/>
              </w:rPr>
              <w:t>4</w:t>
            </w:r>
            <w:r>
              <w:rPr>
                <w:rFonts w:ascii="宋体" w:hAnsi="宋体" w:cs="宋体"/>
              </w:rPr>
              <w:t>.</w:t>
            </w:r>
            <w:r>
              <w:rPr>
                <w:rFonts w:hint="eastAsia" w:ascii="宋体" w:hAnsi="宋体" w:cs="宋体"/>
              </w:rPr>
              <w:t>其它情况不得分。</w:t>
            </w:r>
          </w:p>
          <w:p>
            <w:pPr>
              <w:pStyle w:val="8"/>
              <w:spacing w:line="440" w:lineRule="exact"/>
              <w:rPr>
                <w:rFonts w:ascii="宋体" w:hAnsi="宋体" w:cs="宋体"/>
              </w:rPr>
            </w:pPr>
            <w:r>
              <w:rPr>
                <w:rFonts w:hint="eastAsia" w:ascii="宋体" w:hAnsi="宋体" w:cs="宋体"/>
              </w:rPr>
              <w:t>本项不得累计计分，最高得5分。</w:t>
            </w:r>
          </w:p>
          <w:p>
            <w:pPr>
              <w:pStyle w:val="8"/>
              <w:spacing w:line="440" w:lineRule="exact"/>
              <w:rPr>
                <w:rFonts w:ascii="宋体" w:hAnsi="宋体" w:cs="宋体"/>
              </w:rPr>
            </w:pPr>
            <w:r>
              <w:rPr>
                <w:rFonts w:hint="eastAsia" w:ascii="宋体" w:hAnsi="宋体" w:cs="宋体"/>
              </w:rPr>
              <w:t>（二）评分依据：</w:t>
            </w:r>
          </w:p>
          <w:p>
            <w:pPr>
              <w:spacing w:line="440" w:lineRule="exact"/>
              <w:rPr>
                <w:rFonts w:ascii="宋体" w:hAnsi="宋体"/>
                <w:color w:val="0000FF"/>
                <w:szCs w:val="21"/>
              </w:rPr>
            </w:pPr>
            <w:r>
              <w:rPr>
                <w:rFonts w:hint="eastAsia" w:ascii="宋体" w:hAnsi="宋体" w:cs="宋体"/>
              </w:rPr>
              <w:t>投标人提供承诺函（格式自拟）；未提供不得分。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2"/>
              <w:rPr>
                <w:rFonts w:ascii="宋体" w:hAnsi="宋体"/>
                <w:color w:val="0000FF"/>
                <w:szCs w:val="21"/>
              </w:rPr>
            </w:pPr>
          </w:p>
        </w:tc>
        <w:tc>
          <w:tcPr>
            <w:tcW w:w="749" w:type="dxa"/>
            <w:vAlign w:val="center"/>
          </w:tcPr>
          <w:p>
            <w:pPr>
              <w:spacing w:line="440" w:lineRule="exact"/>
              <w:jc w:val="center"/>
              <w:rPr>
                <w:rFonts w:ascii="宋体" w:hAnsi="宋体"/>
                <w:color w:val="0000FF"/>
                <w:szCs w:val="21"/>
              </w:rPr>
            </w:pPr>
            <w:r>
              <w:rPr>
                <w:rFonts w:ascii="宋体" w:hAnsi="宋体"/>
                <w:color w:val="0000FF"/>
                <w:szCs w:val="21"/>
              </w:rPr>
              <w:t>2</w:t>
            </w:r>
          </w:p>
        </w:tc>
        <w:tc>
          <w:tcPr>
            <w:tcW w:w="1662" w:type="dxa"/>
            <w:vAlign w:val="center"/>
          </w:tcPr>
          <w:p>
            <w:pPr>
              <w:jc w:val="center"/>
              <w:rPr>
                <w:rFonts w:ascii="宋体" w:hAnsi="宋体" w:cs="宋体"/>
                <w:szCs w:val="21"/>
              </w:rPr>
            </w:pPr>
            <w:r>
              <w:rPr>
                <w:rFonts w:hint="eastAsia" w:ascii="宋体" w:hAnsi="宋体" w:cs="宋体"/>
                <w:szCs w:val="21"/>
              </w:rPr>
              <w:t>采购咨询服务</w:t>
            </w:r>
          </w:p>
          <w:p>
            <w:pPr>
              <w:jc w:val="center"/>
              <w:rPr>
                <w:rFonts w:ascii="宋体" w:hAnsi="宋体" w:cs="宋体"/>
                <w:color w:val="0000FF"/>
                <w:szCs w:val="21"/>
              </w:rPr>
            </w:pPr>
            <w:r>
              <w:rPr>
                <w:rFonts w:hint="eastAsia" w:ascii="宋体" w:hAnsi="宋体" w:cs="宋体"/>
                <w:szCs w:val="21"/>
              </w:rPr>
              <w:t xml:space="preserve">业绩经验 </w:t>
            </w:r>
          </w:p>
        </w:tc>
        <w:tc>
          <w:tcPr>
            <w:tcW w:w="679" w:type="dxa"/>
            <w:vAlign w:val="center"/>
          </w:tcPr>
          <w:p>
            <w:pPr>
              <w:jc w:val="center"/>
              <w:rPr>
                <w:rFonts w:ascii="宋体" w:hAnsi="宋体"/>
                <w:color w:val="0000FF"/>
                <w:szCs w:val="21"/>
              </w:rPr>
            </w:pPr>
            <w:r>
              <w:rPr>
                <w:rFonts w:hint="eastAsia" w:ascii="宋体" w:hAnsi="宋体"/>
                <w:szCs w:val="21"/>
              </w:rPr>
              <w:t>50</w:t>
            </w:r>
          </w:p>
        </w:tc>
        <w:tc>
          <w:tcPr>
            <w:tcW w:w="5413" w:type="dxa"/>
            <w:vAlign w:val="center"/>
          </w:tcPr>
          <w:p>
            <w:pPr>
              <w:spacing w:line="440" w:lineRule="exact"/>
              <w:jc w:val="left"/>
              <w:rPr>
                <w:rFonts w:ascii="宋体" w:hAnsi="宋体" w:cs="宋体"/>
                <w:szCs w:val="21"/>
              </w:rPr>
            </w:pPr>
            <w:r>
              <w:rPr>
                <w:rFonts w:hint="eastAsia" w:ascii="宋体" w:hAnsi="宋体" w:cs="宋体"/>
                <w:szCs w:val="21"/>
              </w:rPr>
              <w:t>（一）评审内容</w:t>
            </w:r>
          </w:p>
          <w:p>
            <w:pPr>
              <w:spacing w:line="440" w:lineRule="exact"/>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投标人自2020年</w:t>
            </w:r>
            <w:r>
              <w:rPr>
                <w:rFonts w:ascii="宋体" w:hAnsi="宋体" w:cs="宋体"/>
                <w:szCs w:val="21"/>
              </w:rPr>
              <w:t>3</w:t>
            </w:r>
            <w:r>
              <w:rPr>
                <w:rFonts w:hint="eastAsia" w:ascii="宋体" w:hAnsi="宋体" w:cs="宋体"/>
                <w:szCs w:val="21"/>
              </w:rPr>
              <w:t>月1日至投标截止日期承接的重大项目（采购金额≥1000万及其他符合政策规定的重大项目）的采购咨询服务业绩进行评分，每提供一项得5分，最高</w:t>
            </w:r>
            <w:r>
              <w:rPr>
                <w:rFonts w:ascii="宋体" w:hAnsi="宋体" w:cs="宋体"/>
                <w:szCs w:val="21"/>
              </w:rPr>
              <w:t>20</w:t>
            </w:r>
            <w:r>
              <w:rPr>
                <w:rFonts w:hint="eastAsia" w:ascii="宋体" w:hAnsi="宋体" w:cs="宋体"/>
                <w:szCs w:val="21"/>
              </w:rPr>
              <w:t>分；</w:t>
            </w:r>
          </w:p>
          <w:p>
            <w:pPr>
              <w:spacing w:line="440" w:lineRule="exact"/>
              <w:jc w:val="left"/>
              <w:rPr>
                <w:rFonts w:ascii="宋体" w:hAnsi="宋体" w:cs="宋体"/>
                <w:szCs w:val="21"/>
              </w:rPr>
            </w:pPr>
            <w:r>
              <w:rPr>
                <w:rFonts w:ascii="宋体" w:hAnsi="宋体" w:cs="宋体"/>
                <w:szCs w:val="21"/>
              </w:rPr>
              <w:t>2.</w:t>
            </w:r>
            <w:r>
              <w:rPr>
                <w:rFonts w:hint="eastAsia" w:ascii="宋体" w:hAnsi="宋体" w:cs="宋体"/>
                <w:szCs w:val="21"/>
              </w:rPr>
              <w:t xml:space="preserve"> 投标人自2020年</w:t>
            </w:r>
            <w:r>
              <w:rPr>
                <w:rFonts w:ascii="宋体" w:hAnsi="宋体" w:cs="宋体"/>
                <w:szCs w:val="21"/>
              </w:rPr>
              <w:t>3</w:t>
            </w:r>
            <w:r>
              <w:rPr>
                <w:rFonts w:hint="eastAsia" w:ascii="宋体" w:hAnsi="宋体" w:cs="宋体"/>
                <w:szCs w:val="21"/>
              </w:rPr>
              <w:t>月1日至投标截止日期承接的重大项目（同类型为医院物业且采购金额≥1000万的重大项目）的采购咨询服务业绩进行评分，每提供一项得5分，最高</w:t>
            </w:r>
            <w:r>
              <w:rPr>
                <w:rFonts w:ascii="宋体" w:hAnsi="宋体" w:cs="宋体"/>
                <w:szCs w:val="21"/>
              </w:rPr>
              <w:t>30</w:t>
            </w:r>
            <w:r>
              <w:rPr>
                <w:rFonts w:hint="eastAsia" w:ascii="宋体" w:hAnsi="宋体" w:cs="宋体"/>
                <w:szCs w:val="21"/>
              </w:rPr>
              <w:t>分。</w:t>
            </w:r>
          </w:p>
          <w:p>
            <w:pPr>
              <w:spacing w:line="440" w:lineRule="exact"/>
              <w:rPr>
                <w:rFonts w:ascii="宋体" w:hAnsi="宋体" w:cs="宋体"/>
                <w:szCs w:val="21"/>
              </w:rPr>
            </w:pPr>
            <w:r>
              <w:rPr>
                <w:rFonts w:hint="eastAsia" w:ascii="宋体" w:hAnsi="宋体" w:cs="宋体"/>
                <w:szCs w:val="21"/>
              </w:rPr>
              <w:t>（二）评分依据</w:t>
            </w:r>
          </w:p>
          <w:p>
            <w:pPr>
              <w:spacing w:line="440" w:lineRule="exac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须提供能体现项目采购金额（如采购咨询服务合同或中标公告或中标通知书等）的证明材料；及体现合同签订时间、采购咨询服务业绩合同关键页（关键页指封面、内容页、签字盖章页等）的证明材料；</w:t>
            </w:r>
          </w:p>
          <w:p>
            <w:pPr>
              <w:spacing w:line="440" w:lineRule="exact"/>
              <w:rPr>
                <w:rFonts w:ascii="宋体" w:hAnsi="宋体" w:cs="宋体"/>
                <w:szCs w:val="21"/>
              </w:rPr>
            </w:pPr>
            <w:r>
              <w:rPr>
                <w:rFonts w:ascii="宋体" w:hAnsi="宋体" w:cs="宋体"/>
                <w:szCs w:val="21"/>
              </w:rPr>
              <w:t>2.</w:t>
            </w:r>
            <w:r>
              <w:rPr>
                <w:rFonts w:hint="eastAsia" w:ascii="宋体" w:hAnsi="宋体" w:cs="宋体"/>
                <w:szCs w:val="21"/>
              </w:rPr>
              <w:t xml:space="preserve"> 须提供能体现项目采购金额（如采购咨询服务合同或中标公告或中标通知书等）及同类型为医院物业的业绩证明材料；及体现合同签订时间、采购咨询服务业绩合同关键页（关键页指封面、内容页、签字盖章页等）的证明材料；</w:t>
            </w:r>
          </w:p>
          <w:p>
            <w:pPr>
              <w:spacing w:line="440" w:lineRule="exact"/>
              <w:rPr>
                <w:rFonts w:ascii="宋体" w:hAnsi="宋体" w:cs="宋体"/>
                <w:color w:val="0000FF"/>
                <w:szCs w:val="21"/>
              </w:rPr>
            </w:pPr>
            <w:r>
              <w:rPr>
                <w:rFonts w:ascii="宋体" w:hAnsi="宋体" w:cs="宋体"/>
                <w:szCs w:val="21"/>
              </w:rPr>
              <w:t>3.</w:t>
            </w:r>
            <w:r>
              <w:rPr>
                <w:rFonts w:hint="eastAsia" w:ascii="宋体" w:hAnsi="宋体" w:cs="宋体"/>
                <w:szCs w:val="21"/>
              </w:rPr>
              <w:t>资料不齐或不清晰导致评委无法认定的业绩不得分。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2"/>
              <w:rPr>
                <w:rFonts w:ascii="宋体" w:hAnsi="宋体"/>
                <w:color w:val="0000FF"/>
                <w:szCs w:val="21"/>
              </w:rPr>
            </w:pPr>
          </w:p>
        </w:tc>
        <w:tc>
          <w:tcPr>
            <w:tcW w:w="749" w:type="dxa"/>
            <w:vAlign w:val="center"/>
          </w:tcPr>
          <w:p>
            <w:pPr>
              <w:spacing w:line="440" w:lineRule="exact"/>
              <w:jc w:val="center"/>
              <w:rPr>
                <w:rFonts w:ascii="宋体" w:hAnsi="宋体"/>
                <w:color w:val="0000FF"/>
                <w:szCs w:val="21"/>
              </w:rPr>
            </w:pPr>
            <w:r>
              <w:rPr>
                <w:rFonts w:ascii="宋体" w:hAnsi="宋体"/>
                <w:color w:val="0000FF"/>
                <w:szCs w:val="21"/>
              </w:rPr>
              <w:t>3</w:t>
            </w:r>
          </w:p>
        </w:tc>
        <w:tc>
          <w:tcPr>
            <w:tcW w:w="1662" w:type="dxa"/>
            <w:vAlign w:val="center"/>
          </w:tcPr>
          <w:p>
            <w:pPr>
              <w:jc w:val="center"/>
              <w:rPr>
                <w:rFonts w:ascii="宋体" w:hAnsi="宋体"/>
                <w:color w:val="0000FF"/>
                <w:szCs w:val="21"/>
              </w:rPr>
            </w:pPr>
            <w:r>
              <w:rPr>
                <w:rFonts w:hint="eastAsia" w:ascii="宋体" w:hAnsi="宋体" w:cs="宋体"/>
                <w:szCs w:val="21"/>
              </w:rPr>
              <w:t>项目负责人情况</w:t>
            </w:r>
          </w:p>
        </w:tc>
        <w:tc>
          <w:tcPr>
            <w:tcW w:w="679" w:type="dxa"/>
            <w:vAlign w:val="center"/>
          </w:tcPr>
          <w:p>
            <w:pPr>
              <w:jc w:val="center"/>
              <w:rPr>
                <w:rFonts w:ascii="宋体" w:hAnsi="宋体"/>
                <w:color w:val="0000FF"/>
                <w:szCs w:val="21"/>
              </w:rPr>
            </w:pPr>
            <w:r>
              <w:rPr>
                <w:rFonts w:hint="eastAsia" w:ascii="宋体" w:hAnsi="宋体"/>
                <w:szCs w:val="21"/>
              </w:rPr>
              <w:t>15</w:t>
            </w:r>
          </w:p>
        </w:tc>
        <w:tc>
          <w:tcPr>
            <w:tcW w:w="5413" w:type="dxa"/>
            <w:vAlign w:val="center"/>
          </w:tcPr>
          <w:p>
            <w:pPr>
              <w:spacing w:line="440" w:lineRule="exact"/>
              <w:jc w:val="left"/>
              <w:rPr>
                <w:rFonts w:ascii="宋体" w:hAnsi="宋体" w:cs="宋体"/>
                <w:szCs w:val="21"/>
              </w:rPr>
            </w:pPr>
            <w:r>
              <w:rPr>
                <w:rFonts w:hint="eastAsia" w:ascii="宋体" w:hAnsi="宋体" w:cs="宋体"/>
                <w:szCs w:val="21"/>
              </w:rPr>
              <w:t>项目负责人（仅限一人）：</w:t>
            </w:r>
          </w:p>
          <w:p>
            <w:pPr>
              <w:pStyle w:val="2"/>
              <w:numPr>
                <w:ilvl w:val="0"/>
                <w:numId w:val="8"/>
              </w:numPr>
              <w:spacing w:line="440" w:lineRule="exact"/>
              <w:rPr>
                <w:rFonts w:hAnsi="宋体" w:cs="宋体"/>
                <w:szCs w:val="21"/>
              </w:rPr>
            </w:pPr>
            <w:r>
              <w:rPr>
                <w:rFonts w:hint="eastAsia" w:hAnsi="宋体" w:cs="宋体"/>
                <w:szCs w:val="21"/>
              </w:rPr>
              <w:t>学历：具有本科（或以上）学历的，得</w:t>
            </w:r>
            <w:r>
              <w:rPr>
                <w:rFonts w:hAnsi="宋体" w:cs="宋体"/>
                <w:szCs w:val="21"/>
              </w:rPr>
              <w:t>2</w:t>
            </w:r>
            <w:r>
              <w:rPr>
                <w:rFonts w:hint="eastAsia" w:hAnsi="宋体" w:cs="宋体"/>
                <w:szCs w:val="21"/>
              </w:rPr>
              <w:t>分；</w:t>
            </w:r>
          </w:p>
          <w:p>
            <w:pPr>
              <w:pStyle w:val="2"/>
              <w:numPr>
                <w:ilvl w:val="0"/>
                <w:numId w:val="8"/>
              </w:numPr>
              <w:spacing w:line="440" w:lineRule="exact"/>
              <w:rPr>
                <w:rFonts w:hAnsi="宋体" w:cs="宋体"/>
                <w:szCs w:val="21"/>
              </w:rPr>
            </w:pPr>
            <w:r>
              <w:rPr>
                <w:rFonts w:hint="eastAsia" w:hAnsi="宋体" w:cs="宋体"/>
                <w:szCs w:val="21"/>
              </w:rPr>
              <w:t>拟派项目负责人在投标单位从事采购咨询服务工作满3年的，得</w:t>
            </w:r>
            <w:r>
              <w:rPr>
                <w:rFonts w:hAnsi="宋体" w:cs="宋体"/>
                <w:szCs w:val="21"/>
              </w:rPr>
              <w:t>2</w:t>
            </w:r>
            <w:r>
              <w:rPr>
                <w:rFonts w:hint="eastAsia" w:hAnsi="宋体" w:cs="宋体"/>
                <w:szCs w:val="21"/>
              </w:rPr>
              <w:t>分；满5年的，得</w:t>
            </w:r>
            <w:r>
              <w:rPr>
                <w:rFonts w:hAnsi="宋体" w:cs="宋体"/>
                <w:szCs w:val="21"/>
              </w:rPr>
              <w:t>4</w:t>
            </w:r>
            <w:r>
              <w:rPr>
                <w:rFonts w:hint="eastAsia" w:hAnsi="宋体" w:cs="宋体"/>
                <w:szCs w:val="21"/>
              </w:rPr>
              <w:t xml:space="preserve">分； </w:t>
            </w:r>
          </w:p>
          <w:p>
            <w:pPr>
              <w:pStyle w:val="2"/>
              <w:numPr>
                <w:ilvl w:val="0"/>
                <w:numId w:val="8"/>
              </w:numPr>
              <w:spacing w:line="440" w:lineRule="exact"/>
              <w:rPr>
                <w:rFonts w:hAnsi="宋体" w:cs="宋体"/>
                <w:szCs w:val="21"/>
              </w:rPr>
            </w:pPr>
            <w:r>
              <w:rPr>
                <w:rFonts w:hint="eastAsia" w:hAnsi="宋体" w:cs="宋体"/>
                <w:szCs w:val="21"/>
              </w:rPr>
              <w:t>拟派项目负责人参与承接的重大项目（采购金额≥1000万及其他符合政策规定的重大项目）的采购咨询服务项目，每提供1项得</w:t>
            </w:r>
            <w:r>
              <w:rPr>
                <w:rFonts w:hAnsi="宋体" w:cs="宋体"/>
                <w:szCs w:val="21"/>
              </w:rPr>
              <w:t>1</w:t>
            </w:r>
            <w:r>
              <w:rPr>
                <w:rFonts w:hint="eastAsia" w:hAnsi="宋体" w:cs="宋体"/>
                <w:szCs w:val="21"/>
              </w:rPr>
              <w:t>分，最高得</w:t>
            </w:r>
            <w:r>
              <w:rPr>
                <w:rFonts w:hAnsi="宋体" w:cs="宋体"/>
                <w:szCs w:val="21"/>
              </w:rPr>
              <w:t>3</w:t>
            </w:r>
            <w:r>
              <w:rPr>
                <w:rFonts w:hint="eastAsia" w:hAnsi="宋体" w:cs="宋体"/>
                <w:szCs w:val="21"/>
              </w:rPr>
              <w:t>分。</w:t>
            </w:r>
          </w:p>
          <w:p>
            <w:pPr>
              <w:pStyle w:val="2"/>
              <w:numPr>
                <w:ilvl w:val="0"/>
                <w:numId w:val="8"/>
              </w:numPr>
              <w:spacing w:line="440" w:lineRule="exact"/>
              <w:rPr>
                <w:rFonts w:hAnsi="宋体" w:cs="宋体"/>
                <w:szCs w:val="21"/>
              </w:rPr>
            </w:pPr>
            <w:r>
              <w:rPr>
                <w:rFonts w:hint="eastAsia" w:hAnsi="宋体" w:cs="宋体"/>
                <w:szCs w:val="21"/>
              </w:rPr>
              <w:t>拟派项目负责人参与承接的重大项目（同类型为医院物业且采购金额≥1000万的重大项目）的采购咨询服务项目，每提供1项得</w:t>
            </w:r>
            <w:r>
              <w:rPr>
                <w:rFonts w:hAnsi="宋体" w:cs="宋体"/>
                <w:szCs w:val="21"/>
              </w:rPr>
              <w:t>2</w:t>
            </w:r>
            <w:r>
              <w:rPr>
                <w:rFonts w:hint="eastAsia" w:hAnsi="宋体" w:cs="宋体"/>
                <w:szCs w:val="21"/>
              </w:rPr>
              <w:t>分，最高得</w:t>
            </w:r>
            <w:r>
              <w:rPr>
                <w:rFonts w:hAnsi="宋体" w:cs="宋体"/>
                <w:szCs w:val="21"/>
              </w:rPr>
              <w:t>6</w:t>
            </w:r>
            <w:r>
              <w:rPr>
                <w:rFonts w:hint="eastAsia" w:hAnsi="宋体" w:cs="宋体"/>
                <w:szCs w:val="21"/>
              </w:rPr>
              <w:t xml:space="preserve">分。 </w:t>
            </w:r>
          </w:p>
          <w:p>
            <w:pPr>
              <w:spacing w:line="440" w:lineRule="exact"/>
              <w:rPr>
                <w:rFonts w:ascii="宋体" w:hAnsi="宋体" w:cs="宋体"/>
                <w:szCs w:val="21"/>
              </w:rPr>
            </w:pPr>
            <w:r>
              <w:rPr>
                <w:rFonts w:hint="eastAsia" w:ascii="宋体" w:hAnsi="宋体" w:cs="宋体"/>
                <w:szCs w:val="21"/>
              </w:rPr>
              <w:t>注：</w:t>
            </w:r>
          </w:p>
          <w:p>
            <w:pPr>
              <w:spacing w:line="440" w:lineRule="exac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须提供项目负责人相关证书复印件；</w:t>
            </w:r>
          </w:p>
          <w:p>
            <w:pPr>
              <w:spacing w:line="440" w:lineRule="exact"/>
              <w:rPr>
                <w:rFonts w:ascii="宋体" w:hAnsi="宋体" w:cs="宋体"/>
                <w:kern w:val="0"/>
                <w:szCs w:val="21"/>
              </w:rPr>
            </w:pPr>
            <w:r>
              <w:rPr>
                <w:rFonts w:hint="eastAsia" w:ascii="宋体" w:hAnsi="宋体" w:cs="宋体"/>
                <w:szCs w:val="21"/>
              </w:rPr>
              <w:t>2</w:t>
            </w:r>
            <w:r>
              <w:rPr>
                <w:rFonts w:ascii="宋体" w:hAnsi="宋体" w:cs="宋体"/>
                <w:szCs w:val="21"/>
              </w:rPr>
              <w:t>.</w:t>
            </w:r>
            <w:r>
              <w:rPr>
                <w:rFonts w:hint="eastAsia" w:hAnsi="宋体" w:cs="宋体"/>
                <w:szCs w:val="21"/>
              </w:rPr>
              <w:t>投标单位在近</w:t>
            </w:r>
            <w:r>
              <w:rPr>
                <w:rFonts w:hint="eastAsia" w:ascii="宋体" w:hAnsi="宋体" w:cs="宋体"/>
                <w:kern w:val="0"/>
                <w:szCs w:val="21"/>
              </w:rPr>
              <w:t>3</w:t>
            </w:r>
            <w:r>
              <w:rPr>
                <w:rFonts w:ascii="宋体" w:hAnsi="宋体" w:cs="宋体"/>
                <w:kern w:val="0"/>
                <w:szCs w:val="21"/>
              </w:rPr>
              <w:t>-5</w:t>
            </w:r>
            <w:r>
              <w:rPr>
                <w:rFonts w:hint="eastAsia" w:ascii="宋体" w:hAnsi="宋体" w:cs="宋体"/>
                <w:kern w:val="0"/>
                <w:szCs w:val="21"/>
              </w:rPr>
              <w:t>年（投标截止时间前1个月）</w:t>
            </w:r>
            <w:r>
              <w:rPr>
                <w:rFonts w:hint="eastAsia" w:hAnsi="宋体" w:cs="宋体"/>
                <w:szCs w:val="21"/>
              </w:rPr>
              <w:t>为项目负责人</w:t>
            </w:r>
            <w:r>
              <w:rPr>
                <w:rFonts w:hint="eastAsia" w:ascii="宋体" w:hAnsi="宋体" w:cs="宋体"/>
                <w:kern w:val="0"/>
                <w:szCs w:val="21"/>
              </w:rPr>
              <w:t>缴纳社保的证明资料；</w:t>
            </w:r>
          </w:p>
          <w:p>
            <w:pPr>
              <w:spacing w:line="440" w:lineRule="exact"/>
              <w:rPr>
                <w:rFonts w:ascii="宋体" w:hAnsi="宋体" w:cs="宋体"/>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szCs w:val="21"/>
              </w:rPr>
              <w:t>能体现项目负责人参与的项目采购金额的（如采购咨询服务合同</w:t>
            </w:r>
            <w:r>
              <w:rPr>
                <w:rFonts w:hint="eastAsia" w:hAnsi="宋体" w:cs="宋体"/>
                <w:szCs w:val="21"/>
              </w:rPr>
              <w:t>或</w:t>
            </w:r>
            <w:r>
              <w:rPr>
                <w:rFonts w:hint="eastAsia" w:ascii="宋体" w:hAnsi="宋体" w:cs="宋体"/>
                <w:szCs w:val="21"/>
              </w:rPr>
              <w:t>项目招标公告</w:t>
            </w:r>
            <w:r>
              <w:rPr>
                <w:rFonts w:hint="eastAsia" w:hAnsi="宋体" w:cs="宋体"/>
                <w:szCs w:val="21"/>
              </w:rPr>
              <w:t>或</w:t>
            </w:r>
            <w:r>
              <w:rPr>
                <w:rFonts w:hint="eastAsia" w:ascii="宋体" w:hAnsi="宋体" w:cs="宋体"/>
                <w:szCs w:val="21"/>
              </w:rPr>
              <w:t>中标公告</w:t>
            </w:r>
            <w:r>
              <w:rPr>
                <w:rFonts w:hint="eastAsia" w:hAnsi="宋体" w:cs="宋体"/>
                <w:szCs w:val="21"/>
              </w:rPr>
              <w:t>或</w:t>
            </w:r>
            <w:r>
              <w:rPr>
                <w:rFonts w:hint="eastAsia" w:ascii="宋体" w:hAnsi="宋体" w:cs="宋体"/>
                <w:szCs w:val="21"/>
              </w:rPr>
              <w:t>中标通知书等）证明材料，及体现合同签订时间、采购咨询服务业绩合同关键页（关键页指封面、内容页、签字盖章页等）的证明材料，且能证明项目负责人参与本项目的证明材料；</w:t>
            </w:r>
          </w:p>
          <w:p>
            <w:pPr>
              <w:spacing w:line="440" w:lineRule="exact"/>
              <w:rPr>
                <w:rFonts w:ascii="宋体" w:hAnsi="宋体"/>
                <w:color w:val="0000FF"/>
                <w:szCs w:val="21"/>
              </w:rPr>
            </w:pPr>
            <w:r>
              <w:rPr>
                <w:rFonts w:ascii="宋体" w:hAnsi="宋体" w:cs="宋体"/>
                <w:szCs w:val="21"/>
              </w:rPr>
              <w:t>4.</w:t>
            </w:r>
            <w:r>
              <w:rPr>
                <w:rFonts w:hint="eastAsia" w:ascii="宋体" w:hAnsi="宋体" w:cs="宋体"/>
                <w:szCs w:val="21"/>
              </w:rPr>
              <w:t>资料不齐或不清晰导致评委无法认定的不得分。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440" w:lineRule="exact"/>
              <w:jc w:val="center"/>
              <w:rPr>
                <w:rFonts w:ascii="宋体" w:hAnsi="宋体"/>
                <w:b/>
                <w:color w:val="0000FF"/>
                <w:szCs w:val="21"/>
              </w:rPr>
            </w:pPr>
            <w:r>
              <w:rPr>
                <w:rFonts w:ascii="宋体" w:hAnsi="宋体"/>
                <w:b/>
                <w:color w:val="0000FF"/>
                <w:szCs w:val="21"/>
              </w:rPr>
              <w:t>4</w:t>
            </w:r>
          </w:p>
        </w:tc>
        <w:tc>
          <w:tcPr>
            <w:tcW w:w="3090" w:type="dxa"/>
            <w:gridSpan w:val="3"/>
            <w:vAlign w:val="center"/>
          </w:tcPr>
          <w:p>
            <w:pPr>
              <w:spacing w:line="440" w:lineRule="exact"/>
              <w:jc w:val="center"/>
              <w:rPr>
                <w:rFonts w:ascii="宋体" w:hAnsi="宋体"/>
                <w:b/>
                <w:color w:val="0000FF"/>
                <w:szCs w:val="21"/>
              </w:rPr>
            </w:pPr>
            <w:r>
              <w:rPr>
                <w:rFonts w:hint="eastAsia" w:ascii="宋体" w:hAnsi="宋体"/>
                <w:b/>
                <w:color w:val="0000FF"/>
                <w:szCs w:val="21"/>
              </w:rPr>
              <w:t>诚信情况</w:t>
            </w:r>
          </w:p>
        </w:tc>
        <w:tc>
          <w:tcPr>
            <w:tcW w:w="5413" w:type="dxa"/>
            <w:vAlign w:val="center"/>
          </w:tcPr>
          <w:p>
            <w:pPr>
              <w:pStyle w:val="19"/>
              <w:numPr>
                <w:ilvl w:val="12"/>
                <w:numId w:val="0"/>
              </w:numPr>
              <w:pBdr>
                <w:bottom w:val="none" w:color="auto" w:sz="0" w:space="0"/>
              </w:pBdr>
              <w:tabs>
                <w:tab w:val="clear" w:pos="4153"/>
                <w:tab w:val="clear" w:pos="8306"/>
              </w:tabs>
              <w:spacing w:line="440" w:lineRule="exact"/>
              <w:rPr>
                <w:rFonts w:hAnsi="宋体"/>
                <w:b/>
                <w:color w:val="0000FF"/>
                <w:sz w:val="21"/>
                <w:szCs w:val="21"/>
              </w:rPr>
            </w:pPr>
            <w:r>
              <w:rPr>
                <w:rFonts w:hint="eastAsia" w:hAnsi="宋体"/>
                <w:b/>
                <w:color w:val="0000FF"/>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spacing w:line="440" w:lineRule="exact"/>
              <w:jc w:val="center"/>
              <w:rPr>
                <w:rFonts w:ascii="宋体" w:hAnsi="宋体"/>
                <w:b/>
                <w:color w:val="0000FF"/>
                <w:szCs w:val="21"/>
              </w:rPr>
            </w:pPr>
          </w:p>
        </w:tc>
        <w:tc>
          <w:tcPr>
            <w:tcW w:w="749" w:type="dxa"/>
            <w:vAlign w:val="center"/>
          </w:tcPr>
          <w:p>
            <w:pPr>
              <w:spacing w:line="440" w:lineRule="exact"/>
              <w:jc w:val="center"/>
              <w:rPr>
                <w:rFonts w:ascii="宋体" w:hAnsi="宋体"/>
                <w:b/>
                <w:color w:val="0000FF"/>
                <w:szCs w:val="21"/>
              </w:rPr>
            </w:pPr>
            <w:r>
              <w:rPr>
                <w:rFonts w:hint="eastAsia" w:ascii="宋体" w:hAnsi="宋体"/>
                <w:b/>
                <w:color w:val="0000FF"/>
                <w:szCs w:val="21"/>
              </w:rPr>
              <w:t>序号</w:t>
            </w:r>
          </w:p>
        </w:tc>
        <w:tc>
          <w:tcPr>
            <w:tcW w:w="1662" w:type="dxa"/>
            <w:vAlign w:val="center"/>
          </w:tcPr>
          <w:p>
            <w:pPr>
              <w:spacing w:line="440" w:lineRule="exact"/>
              <w:jc w:val="center"/>
              <w:rPr>
                <w:rFonts w:ascii="宋体" w:hAnsi="宋体"/>
                <w:b/>
                <w:color w:val="0000FF"/>
                <w:szCs w:val="21"/>
              </w:rPr>
            </w:pPr>
            <w:r>
              <w:rPr>
                <w:rFonts w:hint="eastAsia" w:ascii="宋体" w:hAnsi="宋体"/>
                <w:b/>
                <w:color w:val="0000FF"/>
                <w:szCs w:val="21"/>
              </w:rPr>
              <w:t>评分因素</w:t>
            </w:r>
          </w:p>
        </w:tc>
        <w:tc>
          <w:tcPr>
            <w:tcW w:w="679" w:type="dxa"/>
            <w:vAlign w:val="center"/>
          </w:tcPr>
          <w:p>
            <w:pPr>
              <w:spacing w:line="440" w:lineRule="exact"/>
              <w:jc w:val="center"/>
              <w:rPr>
                <w:rFonts w:ascii="宋体" w:hAnsi="宋体"/>
                <w:b/>
                <w:color w:val="0000FF"/>
                <w:szCs w:val="21"/>
              </w:rPr>
            </w:pPr>
            <w:r>
              <w:rPr>
                <w:rFonts w:hint="eastAsia" w:ascii="宋体" w:hAnsi="宋体"/>
                <w:b/>
                <w:color w:val="0000FF"/>
                <w:szCs w:val="21"/>
              </w:rPr>
              <w:t>权重</w:t>
            </w:r>
          </w:p>
        </w:tc>
        <w:tc>
          <w:tcPr>
            <w:tcW w:w="5413" w:type="dxa"/>
            <w:vAlign w:val="center"/>
          </w:tcPr>
          <w:p>
            <w:pPr>
              <w:spacing w:line="440" w:lineRule="exact"/>
              <w:jc w:val="center"/>
              <w:rPr>
                <w:rFonts w:ascii="宋体" w:hAnsi="宋体"/>
                <w:b/>
                <w:color w:val="0000FF"/>
                <w:szCs w:val="21"/>
              </w:rPr>
            </w:pPr>
            <w:r>
              <w:rPr>
                <w:rFonts w:hint="eastAsia" w:ascii="宋体" w:hAnsi="宋体"/>
                <w:b/>
                <w:color w:val="0000FF"/>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spacing w:line="440" w:lineRule="exact"/>
              <w:jc w:val="center"/>
              <w:outlineLvl w:val="0"/>
              <w:rPr>
                <w:rFonts w:ascii="宋体" w:hAnsi="宋体"/>
                <w:color w:val="0000FF"/>
                <w:szCs w:val="21"/>
              </w:rPr>
            </w:pPr>
          </w:p>
        </w:tc>
        <w:tc>
          <w:tcPr>
            <w:tcW w:w="749" w:type="dxa"/>
            <w:vAlign w:val="center"/>
          </w:tcPr>
          <w:p>
            <w:pPr>
              <w:spacing w:line="440" w:lineRule="exact"/>
              <w:jc w:val="center"/>
              <w:rPr>
                <w:rFonts w:ascii="宋体" w:hAnsi="宋体"/>
                <w:color w:val="0000FF"/>
                <w:szCs w:val="21"/>
              </w:rPr>
            </w:pPr>
            <w:r>
              <w:rPr>
                <w:rFonts w:ascii="宋体" w:hAnsi="宋体"/>
                <w:color w:val="0000FF"/>
                <w:szCs w:val="21"/>
              </w:rPr>
              <w:t>1</w:t>
            </w:r>
          </w:p>
        </w:tc>
        <w:tc>
          <w:tcPr>
            <w:tcW w:w="1662" w:type="dxa"/>
            <w:vAlign w:val="center"/>
          </w:tcPr>
          <w:p>
            <w:pPr>
              <w:spacing w:line="440" w:lineRule="exact"/>
              <w:jc w:val="center"/>
              <w:rPr>
                <w:rFonts w:ascii="宋体" w:hAnsi="宋体"/>
                <w:color w:val="0000FF"/>
                <w:szCs w:val="21"/>
              </w:rPr>
            </w:pPr>
            <w:r>
              <w:rPr>
                <w:rFonts w:hint="eastAsia" w:ascii="宋体" w:hAnsi="宋体"/>
                <w:color w:val="0000FF"/>
                <w:szCs w:val="21"/>
              </w:rPr>
              <w:t>诚信</w:t>
            </w:r>
          </w:p>
        </w:tc>
        <w:tc>
          <w:tcPr>
            <w:tcW w:w="679" w:type="dxa"/>
            <w:vAlign w:val="center"/>
          </w:tcPr>
          <w:p>
            <w:pPr>
              <w:spacing w:line="440" w:lineRule="exact"/>
              <w:jc w:val="center"/>
              <w:rPr>
                <w:rFonts w:ascii="宋体" w:hAnsi="宋体"/>
                <w:color w:val="0000FF"/>
                <w:szCs w:val="21"/>
              </w:rPr>
            </w:pPr>
            <w:r>
              <w:rPr>
                <w:rFonts w:ascii="宋体" w:hAnsi="宋体"/>
                <w:color w:val="0000FF"/>
                <w:szCs w:val="21"/>
              </w:rPr>
              <w:t>5</w:t>
            </w:r>
          </w:p>
        </w:tc>
        <w:tc>
          <w:tcPr>
            <w:tcW w:w="5413" w:type="dxa"/>
          </w:tcPr>
          <w:p>
            <w:pPr>
              <w:pStyle w:val="8"/>
              <w:spacing w:line="440" w:lineRule="exact"/>
            </w:pPr>
            <w:r>
              <w:rPr>
                <w:rFonts w:hint="eastAsia"/>
              </w:rPr>
              <w:t>投标人存在《诚信承诺函》所列情形但超出法定追诉时效，或情节轻微未给予禁止参与政府采购的行政处罚的，本项得0分，不存在上述情形的，本项得满分。</w:t>
            </w:r>
          </w:p>
          <w:p>
            <w:pPr>
              <w:pStyle w:val="8"/>
              <w:spacing w:line="440" w:lineRule="exact"/>
              <w:rPr>
                <w:rFonts w:ascii="宋体" w:hAnsi="宋体"/>
                <w:color w:val="0000FF"/>
                <w:szCs w:val="21"/>
              </w:rPr>
            </w:pPr>
            <w:r>
              <w:rPr>
                <w:rFonts w:hint="eastAsia"/>
              </w:rPr>
              <w:t>注：提供《诚信承诺函》盖投标人公章</w:t>
            </w:r>
            <w:r>
              <w:rPr>
                <w:rFonts w:hint="eastAsia"/>
                <w:highlight w:val="yellow"/>
              </w:rPr>
              <w:t>（详见“格式十二：诚信承诺函格式”）</w:t>
            </w:r>
            <w:r>
              <w:rPr>
                <w:rFonts w:hint="eastAsia"/>
              </w:rPr>
              <w:t>，投标人应对提供的《诚信承诺函》负责（格式必须按照招标文件格式要求，不得作出任何调整或修订，否则视为无效证明文件）。</w:t>
            </w:r>
          </w:p>
        </w:tc>
      </w:tr>
    </w:tbl>
    <w:p>
      <w:pPr>
        <w:spacing w:line="440" w:lineRule="exact"/>
        <w:ind w:firstLine="422" w:firstLineChars="200"/>
        <w:rPr>
          <w:rFonts w:ascii="宋体" w:hAnsi="宋体"/>
          <w:szCs w:val="21"/>
        </w:rPr>
      </w:pPr>
      <w:r>
        <w:rPr>
          <w:rFonts w:hint="eastAsia" w:ascii="宋体" w:hAnsi="宋体"/>
          <w:b/>
          <w:szCs w:val="21"/>
        </w:rPr>
        <w:t>说明：</w:t>
      </w:r>
      <w:r>
        <w:rPr>
          <w:rFonts w:hint="eastAsia" w:ascii="宋体" w:hAnsi="宋体"/>
          <w:szCs w:val="21"/>
        </w:rPr>
        <w:t>1、本评分表中每一栏的得分最高不得超过该项评审指标的分值。2、表中要求提供相关计分证明文件的内容，投标文件中须明确加以说明，未按要求提供相关文件或说明不清楚的按不符合要求处理。</w:t>
      </w:r>
    </w:p>
    <w:bookmarkEnd w:id="58"/>
    <w:p>
      <w:pPr>
        <w:spacing w:line="440" w:lineRule="exact"/>
        <w:ind w:firstLine="422" w:firstLineChars="200"/>
        <w:rPr>
          <w:rFonts w:ascii="宋体" w:hAnsi="宋体"/>
          <w:b/>
          <w:szCs w:val="21"/>
        </w:rPr>
      </w:pPr>
      <w:r>
        <w:rPr>
          <w:rFonts w:hint="eastAsia" w:ascii="宋体" w:hAnsi="宋体"/>
          <w:b/>
          <w:szCs w:val="21"/>
        </w:rPr>
        <w:t>三、评标及定标程序</w:t>
      </w:r>
    </w:p>
    <w:p>
      <w:pPr>
        <w:spacing w:line="440" w:lineRule="exact"/>
        <w:ind w:firstLine="422" w:firstLineChars="200"/>
        <w:rPr>
          <w:b/>
        </w:rPr>
      </w:pPr>
      <w:r>
        <w:rPr>
          <w:rFonts w:hint="eastAsia" w:ascii="宋体" w:hAnsi="宋体"/>
          <w:b/>
          <w:szCs w:val="21"/>
        </w:rPr>
        <w:t>（一）授权评标委员会确定中标单位的方式</w:t>
      </w:r>
    </w:p>
    <w:p>
      <w:pPr>
        <w:pStyle w:val="55"/>
        <w:numPr>
          <w:ilvl w:val="0"/>
          <w:numId w:val="9"/>
        </w:numPr>
        <w:spacing w:line="440" w:lineRule="exact"/>
        <w:ind w:firstLineChars="0"/>
        <w:rPr>
          <w:rFonts w:ascii="宋体" w:hAnsi="宋体"/>
          <w:b/>
          <w:szCs w:val="21"/>
        </w:rPr>
      </w:pPr>
      <w:r>
        <w:rPr>
          <w:rFonts w:ascii="宋体" w:hAnsi="宋体"/>
          <w:b/>
          <w:szCs w:val="21"/>
        </w:rPr>
        <w:t>综合评分法</w:t>
      </w:r>
    </w:p>
    <w:p>
      <w:pPr>
        <w:spacing w:line="440" w:lineRule="exact"/>
        <w:ind w:firstLine="422" w:firstLineChars="200"/>
        <w:rPr>
          <w:rFonts w:ascii="Calibri" w:hAnsi="Calibri"/>
          <w:b/>
          <w:szCs w:val="21"/>
        </w:rPr>
      </w:pPr>
      <w:r>
        <w:rPr>
          <w:rFonts w:hint="eastAsia" w:ascii="宋体" w:hAnsi="宋体"/>
          <w:b/>
          <w:szCs w:val="21"/>
        </w:rPr>
        <w:t>1、</w:t>
      </w:r>
      <w:r>
        <w:rPr>
          <w:rFonts w:ascii="Calibri" w:hAnsi="宋体"/>
          <w:b/>
          <w:szCs w:val="21"/>
        </w:rPr>
        <w:t>符合性检查</w:t>
      </w:r>
    </w:p>
    <w:p>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通过资格性审查的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pPr>
        <w:spacing w:line="440" w:lineRule="exact"/>
        <w:ind w:firstLine="422" w:firstLineChars="200"/>
        <w:rPr>
          <w:rFonts w:ascii="宋体" w:hAnsi="宋体"/>
          <w:b/>
          <w:szCs w:val="21"/>
        </w:rPr>
      </w:pPr>
      <w:r>
        <w:rPr>
          <w:rFonts w:hint="eastAsia" w:ascii="宋体" w:hAnsi="宋体"/>
          <w:b/>
          <w:szCs w:val="21"/>
        </w:rPr>
        <w:t>2、</w:t>
      </w:r>
      <w:r>
        <w:rPr>
          <w:rFonts w:ascii="宋体" w:hAnsi="宋体"/>
          <w:b/>
          <w:szCs w:val="21"/>
        </w:rPr>
        <w:t>商务</w:t>
      </w:r>
      <w:r>
        <w:rPr>
          <w:rFonts w:hint="eastAsia" w:ascii="宋体" w:hAnsi="宋体"/>
          <w:b/>
          <w:szCs w:val="21"/>
        </w:rPr>
        <w:t>、</w:t>
      </w:r>
      <w:r>
        <w:rPr>
          <w:rFonts w:ascii="宋体" w:hAnsi="宋体"/>
          <w:b/>
          <w:szCs w:val="21"/>
        </w:rPr>
        <w:t>技术及价格评议</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评标委员会根据《</w:t>
      </w:r>
      <w:r>
        <w:rPr>
          <w:rFonts w:hint="eastAsia" w:ascii="宋体" w:hAnsi="宋体"/>
          <w:szCs w:val="21"/>
        </w:rPr>
        <w:t>评分表</w:t>
      </w:r>
      <w:r>
        <w:rPr>
          <w:rFonts w:ascii="宋体" w:hAnsi="宋体"/>
          <w:szCs w:val="21"/>
        </w:rPr>
        <w:t>》的内容和标准，对通过</w:t>
      </w:r>
      <w:r>
        <w:rPr>
          <w:rFonts w:hint="eastAsia" w:ascii="宋体" w:hAnsi="宋体"/>
          <w:bCs/>
          <w:szCs w:val="21"/>
        </w:rPr>
        <w:t>资格性和</w:t>
      </w:r>
      <w:r>
        <w:rPr>
          <w:rFonts w:ascii="宋体" w:hAnsi="宋体"/>
          <w:bCs/>
          <w:szCs w:val="21"/>
        </w:rPr>
        <w:t>符合性</w:t>
      </w:r>
      <w:r>
        <w:rPr>
          <w:rFonts w:ascii="宋体" w:hAnsi="宋体"/>
          <w:szCs w:val="21"/>
        </w:rPr>
        <w:t>检查的投标进行商务</w:t>
      </w:r>
      <w:r>
        <w:rPr>
          <w:rFonts w:hint="eastAsia" w:ascii="宋体" w:hAnsi="宋体"/>
          <w:szCs w:val="21"/>
        </w:rPr>
        <w:t>、</w:t>
      </w:r>
      <w:r>
        <w:rPr>
          <w:rFonts w:ascii="宋体" w:hAnsi="宋体"/>
          <w:szCs w:val="21"/>
        </w:rPr>
        <w:t>技术</w:t>
      </w:r>
      <w:r>
        <w:rPr>
          <w:rFonts w:hint="eastAsia" w:ascii="宋体" w:hAnsi="宋体"/>
          <w:szCs w:val="21"/>
        </w:rPr>
        <w:t>及价格</w:t>
      </w:r>
      <w:r>
        <w:rPr>
          <w:rFonts w:ascii="宋体" w:hAnsi="宋体"/>
          <w:szCs w:val="21"/>
        </w:rPr>
        <w:t>评议。</w:t>
      </w:r>
    </w:p>
    <w:p>
      <w:pPr>
        <w:spacing w:line="440" w:lineRule="exact"/>
        <w:ind w:firstLine="420" w:firstLineChars="200"/>
        <w:rPr>
          <w:rFonts w:ascii="Calibri" w:hAnsi="Calibri"/>
          <w:szCs w:val="21"/>
        </w:rPr>
      </w:pPr>
      <w:r>
        <w:rPr>
          <w:rFonts w:hint="eastAsia" w:ascii="宋体" w:hAnsi="宋体"/>
          <w:szCs w:val="21"/>
        </w:rPr>
        <w:t>（2）</w:t>
      </w:r>
      <w:r>
        <w:rPr>
          <w:rFonts w:ascii="宋体" w:hAnsi="宋体"/>
          <w:szCs w:val="21"/>
        </w:rPr>
        <w:t>评</w:t>
      </w:r>
      <w:r>
        <w:rPr>
          <w:rFonts w:ascii="Calibri" w:hAnsi="宋体"/>
          <w:szCs w:val="21"/>
        </w:rPr>
        <w:t>标委员会将对照招标文件中的商务、技术需求条款和投标文件中的商务、技术条款响应进行评议</w:t>
      </w:r>
      <w:r>
        <w:rPr>
          <w:rFonts w:hint="eastAsia" w:ascii="Calibri" w:hAnsi="宋体"/>
          <w:szCs w:val="21"/>
        </w:rPr>
        <w:t>；</w:t>
      </w:r>
      <w:r>
        <w:rPr>
          <w:rFonts w:ascii="Calibri" w:hAnsi="宋体"/>
          <w:szCs w:val="21"/>
        </w:rPr>
        <w:t>评标委员会成员将按照《</w:t>
      </w:r>
      <w:r>
        <w:rPr>
          <w:rFonts w:hint="eastAsia" w:ascii="Calibri" w:hAnsi="宋体"/>
          <w:szCs w:val="21"/>
        </w:rPr>
        <w:t>评分表</w:t>
      </w:r>
      <w:r>
        <w:rPr>
          <w:rFonts w:ascii="Calibri" w:hAnsi="宋体"/>
          <w:szCs w:val="21"/>
        </w:rPr>
        <w:t>》确定的</w:t>
      </w:r>
      <w:r>
        <w:rPr>
          <w:rFonts w:hint="eastAsia" w:ascii="Calibri" w:hAnsi="宋体"/>
          <w:szCs w:val="21"/>
        </w:rPr>
        <w:t>分值</w:t>
      </w:r>
      <w:r>
        <w:rPr>
          <w:rFonts w:ascii="Calibri" w:hAnsi="宋体"/>
          <w:szCs w:val="21"/>
        </w:rPr>
        <w:t>独立对每个投标的商务</w:t>
      </w:r>
      <w:r>
        <w:rPr>
          <w:rFonts w:hint="eastAsia" w:ascii="Calibri" w:hAnsi="宋体"/>
          <w:szCs w:val="21"/>
        </w:rPr>
        <w:t>、</w:t>
      </w:r>
      <w:r>
        <w:rPr>
          <w:rFonts w:ascii="Calibri" w:hAnsi="宋体"/>
          <w:szCs w:val="21"/>
        </w:rPr>
        <w:t>技术</w:t>
      </w:r>
      <w:r>
        <w:rPr>
          <w:rFonts w:hint="eastAsia" w:ascii="Calibri" w:hAnsi="宋体"/>
          <w:szCs w:val="21"/>
        </w:rPr>
        <w:t>及价格</w:t>
      </w:r>
      <w:r>
        <w:rPr>
          <w:rFonts w:ascii="Calibri" w:hAnsi="宋体"/>
          <w:szCs w:val="21"/>
        </w:rPr>
        <w:t>部分以打分的方式进行评议。</w:t>
      </w:r>
    </w:p>
    <w:p>
      <w:pPr>
        <w:spacing w:line="440" w:lineRule="exact"/>
        <w:ind w:firstLine="422" w:firstLineChars="200"/>
        <w:rPr>
          <w:rFonts w:ascii="Calibri" w:hAnsi="Calibri"/>
          <w:b/>
          <w:szCs w:val="21"/>
        </w:rPr>
      </w:pPr>
      <w:r>
        <w:rPr>
          <w:rFonts w:hint="eastAsia" w:ascii="宋体" w:hAnsi="宋体"/>
          <w:b/>
          <w:szCs w:val="21"/>
        </w:rPr>
        <w:t>3、</w:t>
      </w:r>
      <w:r>
        <w:rPr>
          <w:rFonts w:ascii="Calibri" w:hAnsi="宋体"/>
          <w:b/>
          <w:szCs w:val="21"/>
        </w:rPr>
        <w:t>中标</w:t>
      </w:r>
      <w:r>
        <w:rPr>
          <w:rFonts w:hint="eastAsia" w:ascii="Calibri" w:hAnsi="宋体"/>
          <w:b/>
          <w:szCs w:val="21"/>
        </w:rPr>
        <w:t>单位</w:t>
      </w:r>
      <w:r>
        <w:rPr>
          <w:rFonts w:ascii="Calibri" w:hAnsi="宋体"/>
          <w:b/>
          <w:szCs w:val="21"/>
        </w:rPr>
        <w:t>的确定</w:t>
      </w:r>
    </w:p>
    <w:p>
      <w:pPr>
        <w:spacing w:line="440" w:lineRule="exact"/>
        <w:ind w:firstLine="422" w:firstLineChars="200"/>
        <w:rPr>
          <w:rFonts w:ascii="宋体" w:hAnsi="宋体"/>
          <w:b/>
          <w:szCs w:val="21"/>
        </w:rPr>
      </w:pPr>
      <w:r>
        <w:rPr>
          <w:rFonts w:hint="eastAsia" w:ascii="宋体" w:hAnsi="宋体"/>
          <w:b/>
          <w:szCs w:val="21"/>
        </w:rPr>
        <w:t xml:space="preserve">3.1  </w:t>
      </w:r>
      <w:r>
        <w:rPr>
          <w:rFonts w:hint="eastAsia" w:ascii="宋体" w:hAnsi="宋体"/>
          <w:b/>
          <w:bCs/>
          <w:szCs w:val="21"/>
        </w:rPr>
        <w:t>候选中标供应商推荐</w:t>
      </w:r>
    </w:p>
    <w:p>
      <w:pPr>
        <w:spacing w:line="440" w:lineRule="exact"/>
        <w:ind w:firstLine="420" w:firstLineChars="200"/>
        <w:rPr>
          <w:rFonts w:ascii="宋体" w:hAnsi="宋体"/>
          <w:bCs/>
          <w:szCs w:val="21"/>
        </w:rPr>
      </w:pPr>
      <w:r>
        <w:rPr>
          <w:rFonts w:hint="eastAsia" w:ascii="宋体" w:hAnsi="宋体"/>
          <w:bCs/>
          <w:szCs w:val="21"/>
        </w:rPr>
        <w:t>（1）每个投标单位的评标总得分以</w:t>
      </w:r>
      <w:r>
        <w:rPr>
          <w:rFonts w:hint="eastAsia" w:ascii="宋体" w:hAnsi="宋体"/>
          <w:szCs w:val="21"/>
        </w:rPr>
        <w:t>所有评标委员会成员的独立评分汇总</w:t>
      </w:r>
      <w:r>
        <w:rPr>
          <w:rFonts w:hint="eastAsia" w:ascii="宋体" w:hAnsi="宋体"/>
          <w:bCs/>
          <w:szCs w:val="21"/>
        </w:rPr>
        <w:t>后确定，</w:t>
      </w:r>
      <w:r>
        <w:rPr>
          <w:rFonts w:ascii="宋体" w:hAnsi="宋体"/>
          <w:bCs/>
          <w:szCs w:val="21"/>
        </w:rPr>
        <w:t>评标总得分相同的，按投标报价由低到高顺序排列；评标总得分且投标报价相同的，按技术指标</w:t>
      </w:r>
      <w:r>
        <w:rPr>
          <w:rFonts w:hint="eastAsia" w:ascii="宋体" w:hAnsi="宋体"/>
          <w:bCs/>
          <w:szCs w:val="21"/>
        </w:rPr>
        <w:t>（技术部分）</w:t>
      </w:r>
      <w:r>
        <w:rPr>
          <w:rFonts w:ascii="宋体" w:hAnsi="宋体"/>
          <w:bCs/>
          <w:szCs w:val="21"/>
        </w:rPr>
        <w:t>得分优劣顺序排列</w:t>
      </w:r>
      <w:r>
        <w:rPr>
          <w:rFonts w:hint="eastAsia" w:ascii="Calibri" w:hAnsi="宋体"/>
          <w:szCs w:val="21"/>
        </w:rPr>
        <w:t>；如</w:t>
      </w:r>
      <w:r>
        <w:rPr>
          <w:rFonts w:ascii="Calibri" w:hAnsi="宋体"/>
          <w:szCs w:val="21"/>
        </w:rPr>
        <w:t>技术指标</w:t>
      </w:r>
      <w:r>
        <w:rPr>
          <w:rFonts w:hint="eastAsia" w:ascii="Calibri" w:hAnsi="宋体"/>
          <w:szCs w:val="21"/>
        </w:rPr>
        <w:t>（技术部分）</w:t>
      </w:r>
      <w:r>
        <w:rPr>
          <w:rFonts w:ascii="Calibri" w:hAnsi="宋体"/>
          <w:szCs w:val="21"/>
        </w:rPr>
        <w:t>得分</w:t>
      </w:r>
      <w:r>
        <w:rPr>
          <w:rFonts w:hint="eastAsia" w:ascii="Calibri" w:hAnsi="宋体"/>
          <w:szCs w:val="21"/>
        </w:rPr>
        <w:t>仍然相同的，则采用抽签方式确定排序，</w:t>
      </w:r>
      <w:r>
        <w:rPr>
          <w:rFonts w:hint="eastAsia" w:asciiTheme="minorEastAsia" w:hAnsiTheme="minorEastAsia" w:eastAsiaTheme="minorEastAsia"/>
          <w:szCs w:val="21"/>
        </w:rPr>
        <w:t>具体操作办法及流程由评标委员会确定</w:t>
      </w:r>
      <w:r>
        <w:rPr>
          <w:rFonts w:ascii="宋体" w:hAnsi="宋体"/>
          <w:bCs/>
          <w:szCs w:val="21"/>
        </w:rPr>
        <w:t>。</w:t>
      </w:r>
    </w:p>
    <w:p>
      <w:pPr>
        <w:spacing w:line="440" w:lineRule="exact"/>
        <w:ind w:firstLine="420" w:firstLineChars="200"/>
        <w:rPr>
          <w:szCs w:val="21"/>
        </w:rPr>
      </w:pPr>
      <w:r>
        <w:rPr>
          <w:rFonts w:hint="eastAsia" w:ascii="宋体" w:hAnsi="宋体"/>
          <w:bCs/>
          <w:szCs w:val="21"/>
        </w:rPr>
        <w:t>（2）评标委员会按照综合评分的排名结果推荐中标候选供应商，</w:t>
      </w:r>
      <w:r>
        <w:rPr>
          <w:rFonts w:hint="eastAsia" w:ascii="宋体" w:hAnsi="宋体"/>
          <w:szCs w:val="21"/>
        </w:rPr>
        <w:t>排名</w:t>
      </w:r>
      <w:r>
        <w:rPr>
          <w:rFonts w:hint="eastAsia" w:ascii="宋体" w:hAnsi="宋体"/>
          <w:szCs w:val="21"/>
          <w:highlight w:val="yellow"/>
        </w:rPr>
        <w:t>前三</w:t>
      </w:r>
      <w:r>
        <w:rPr>
          <w:rFonts w:hint="eastAsia" w:ascii="宋体" w:hAnsi="宋体"/>
          <w:szCs w:val="21"/>
        </w:rPr>
        <w:t>的投标单位</w:t>
      </w:r>
      <w:r>
        <w:rPr>
          <w:rFonts w:hint="eastAsia" w:ascii="宋体" w:hAnsi="宋体"/>
          <w:bCs/>
          <w:szCs w:val="21"/>
        </w:rPr>
        <w:t>作为推荐的候选中标供应商。</w:t>
      </w:r>
    </w:p>
    <w:p>
      <w:pPr>
        <w:spacing w:line="440" w:lineRule="exact"/>
        <w:ind w:firstLine="422" w:firstLineChars="200"/>
        <w:rPr>
          <w:rFonts w:ascii="宋体" w:hAnsi="宋体"/>
          <w:b/>
          <w:bCs/>
          <w:szCs w:val="21"/>
        </w:rPr>
      </w:pPr>
      <w:r>
        <w:rPr>
          <w:rFonts w:hint="eastAsia" w:ascii="宋体" w:hAnsi="宋体"/>
          <w:b/>
          <w:bCs/>
          <w:szCs w:val="21"/>
        </w:rPr>
        <w:t>3.2  定标</w:t>
      </w:r>
    </w:p>
    <w:p>
      <w:pPr>
        <w:spacing w:line="440" w:lineRule="exact"/>
        <w:ind w:firstLine="420" w:firstLineChars="200"/>
        <w:rPr>
          <w:rFonts w:ascii="Calibri" w:hAnsi="Calibri"/>
          <w:szCs w:val="21"/>
        </w:rPr>
      </w:pPr>
      <w:r>
        <w:rPr>
          <w:rFonts w:hint="eastAsia" w:ascii="宋体" w:hAnsi="宋体"/>
          <w:bCs/>
          <w:szCs w:val="21"/>
        </w:rPr>
        <w:t>采购人授权评标委员会确定中标单位，确定评标总得分最高且</w:t>
      </w:r>
      <w:r>
        <w:rPr>
          <w:rFonts w:ascii="宋体" w:hAnsi="宋体"/>
          <w:bCs/>
          <w:szCs w:val="21"/>
        </w:rPr>
        <w:t>排名第一</w:t>
      </w:r>
      <w:r>
        <w:rPr>
          <w:rFonts w:hint="eastAsia" w:ascii="宋体" w:hAnsi="宋体"/>
          <w:bCs/>
          <w:szCs w:val="21"/>
        </w:rPr>
        <w:t>的投标人为中标单位。</w:t>
      </w:r>
    </w:p>
    <w:p>
      <w:pPr>
        <w:pStyle w:val="55"/>
        <w:numPr>
          <w:ilvl w:val="0"/>
          <w:numId w:val="9"/>
        </w:numPr>
        <w:spacing w:line="440" w:lineRule="exact"/>
        <w:ind w:firstLineChars="0"/>
        <w:rPr>
          <w:rFonts w:ascii="宋体" w:hAnsi="宋体"/>
          <w:b/>
          <w:szCs w:val="21"/>
        </w:rPr>
      </w:pPr>
      <w:r>
        <w:rPr>
          <w:b/>
          <w:szCs w:val="21"/>
        </w:rPr>
        <w:t>最低价法</w:t>
      </w:r>
      <w:r>
        <w:rPr>
          <w:rFonts w:hint="eastAsia"/>
          <w:b/>
          <w:szCs w:val="21"/>
        </w:rPr>
        <w:t>(本项目不适用)</w:t>
      </w:r>
    </w:p>
    <w:p>
      <w:pPr>
        <w:spacing w:line="440" w:lineRule="exact"/>
        <w:ind w:firstLine="422" w:firstLineChars="200"/>
        <w:rPr>
          <w:rFonts w:ascii="宋体" w:hAnsi="宋体"/>
          <w:b/>
          <w:szCs w:val="21"/>
        </w:rPr>
      </w:pPr>
      <w:r>
        <w:rPr>
          <w:rFonts w:hint="eastAsia" w:ascii="宋体" w:hAnsi="宋体"/>
          <w:b/>
          <w:szCs w:val="21"/>
        </w:rPr>
        <w:t>1、</w:t>
      </w:r>
      <w:r>
        <w:rPr>
          <w:rFonts w:ascii="宋体" w:hAnsi="宋体"/>
          <w:b/>
          <w:szCs w:val="21"/>
        </w:rPr>
        <w:t>符合性检查</w:t>
      </w:r>
    </w:p>
    <w:p>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pPr>
        <w:spacing w:line="440" w:lineRule="exact"/>
        <w:ind w:firstLine="422" w:firstLineChars="200"/>
        <w:rPr>
          <w:rFonts w:ascii="Calibri" w:hAnsi="Calibri"/>
          <w:b/>
          <w:szCs w:val="21"/>
        </w:rPr>
      </w:pPr>
      <w:r>
        <w:rPr>
          <w:rFonts w:hint="eastAsia" w:ascii="宋体" w:hAnsi="宋体"/>
          <w:b/>
          <w:szCs w:val="21"/>
        </w:rPr>
        <w:t>2、</w:t>
      </w:r>
      <w:r>
        <w:rPr>
          <w:rFonts w:ascii="Calibri" w:hAnsi="宋体"/>
          <w:b/>
          <w:szCs w:val="21"/>
        </w:rPr>
        <w:t>中标</w:t>
      </w:r>
      <w:r>
        <w:rPr>
          <w:rFonts w:hint="eastAsia" w:ascii="Calibri" w:hAnsi="宋体"/>
          <w:b/>
          <w:szCs w:val="21"/>
        </w:rPr>
        <w:t>单位</w:t>
      </w:r>
      <w:r>
        <w:rPr>
          <w:rFonts w:ascii="Calibri" w:hAnsi="宋体"/>
          <w:b/>
          <w:szCs w:val="21"/>
        </w:rPr>
        <w:t>的确定</w:t>
      </w:r>
    </w:p>
    <w:p>
      <w:pPr>
        <w:spacing w:line="440" w:lineRule="exact"/>
        <w:ind w:firstLine="422" w:firstLineChars="200"/>
        <w:rPr>
          <w:rFonts w:ascii="宋体" w:hAnsi="宋体"/>
          <w:b/>
          <w:szCs w:val="21"/>
        </w:rPr>
      </w:pPr>
      <w:r>
        <w:rPr>
          <w:rFonts w:ascii="宋体" w:hAnsi="宋体"/>
          <w:b/>
          <w:szCs w:val="21"/>
        </w:rPr>
        <w:t>2</w:t>
      </w:r>
      <w:r>
        <w:rPr>
          <w:rFonts w:hint="eastAsia" w:ascii="宋体" w:hAnsi="宋体"/>
          <w:b/>
          <w:szCs w:val="21"/>
        </w:rPr>
        <w:t xml:space="preserve">.1  </w:t>
      </w:r>
      <w:r>
        <w:rPr>
          <w:rFonts w:hint="eastAsia" w:ascii="宋体" w:hAnsi="宋体"/>
          <w:b/>
          <w:bCs/>
          <w:szCs w:val="21"/>
        </w:rPr>
        <w:t>候选中标供应商推荐</w:t>
      </w:r>
    </w:p>
    <w:p>
      <w:pPr>
        <w:spacing w:line="440" w:lineRule="exact"/>
        <w:ind w:firstLine="435"/>
        <w:rPr>
          <w:rFonts w:ascii="宋体" w:hAnsi="宋体"/>
          <w:szCs w:val="21"/>
        </w:rPr>
      </w:pPr>
      <w:r>
        <w:rPr>
          <w:rFonts w:hint="eastAsia" w:ascii="宋体" w:hAnsi="宋体"/>
          <w:szCs w:val="21"/>
        </w:rPr>
        <w:t>（1）</w:t>
      </w:r>
      <w:r>
        <w:rPr>
          <w:rFonts w:ascii="宋体" w:hAnsi="宋体"/>
          <w:szCs w:val="21"/>
        </w:rPr>
        <w:t>评标委员会对通过上述检查且最终报价不超过预算控制金额</w:t>
      </w:r>
      <w:r>
        <w:rPr>
          <w:rFonts w:hint="eastAsia" w:ascii="宋体" w:hAnsi="宋体"/>
          <w:szCs w:val="21"/>
        </w:rPr>
        <w:t>的投标单位进行审查，并</w:t>
      </w:r>
      <w:r>
        <w:rPr>
          <w:rFonts w:ascii="Calibri" w:hAnsi="宋体"/>
          <w:szCs w:val="21"/>
        </w:rPr>
        <w:t>按投标报价由低到高</w:t>
      </w:r>
      <w:r>
        <w:rPr>
          <w:rFonts w:hint="eastAsia" w:ascii="Calibri" w:hAnsi="宋体"/>
          <w:szCs w:val="21"/>
        </w:rPr>
        <w:t>排序；</w:t>
      </w:r>
      <w:r>
        <w:rPr>
          <w:rFonts w:ascii="Calibri" w:hAnsi="宋体"/>
          <w:szCs w:val="21"/>
        </w:rPr>
        <w:t>投标报价相同的，按技术指标优劣顺序排列</w:t>
      </w:r>
      <w:r>
        <w:rPr>
          <w:rFonts w:hint="eastAsia" w:ascii="Calibri" w:hAnsi="宋体"/>
          <w:szCs w:val="21"/>
        </w:rPr>
        <w:t>；技术指标仍然相同的，则采用抽签方式确定排序，</w:t>
      </w:r>
      <w:r>
        <w:rPr>
          <w:rFonts w:hint="eastAsia" w:asciiTheme="minorEastAsia" w:hAnsiTheme="minorEastAsia" w:eastAsiaTheme="minorEastAsia"/>
          <w:szCs w:val="21"/>
        </w:rPr>
        <w:t>具体操作办法及流程由评标委员会确定</w:t>
      </w:r>
      <w:r>
        <w:rPr>
          <w:rFonts w:ascii="Calibri" w:hAnsi="宋体"/>
          <w:szCs w:val="21"/>
        </w:rPr>
        <w:t>。</w:t>
      </w:r>
      <w:r>
        <w:rPr>
          <w:rFonts w:hint="eastAsia" w:ascii="宋体" w:hAnsi="宋体"/>
          <w:szCs w:val="21"/>
        </w:rPr>
        <w:t>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pPr>
        <w:spacing w:line="440" w:lineRule="exact"/>
        <w:ind w:firstLine="435"/>
        <w:rPr>
          <w:rFonts w:ascii="宋体" w:hAnsi="宋体"/>
          <w:b/>
          <w:bCs/>
          <w:color w:val="FF00FF"/>
          <w:szCs w:val="21"/>
        </w:rPr>
      </w:pPr>
      <w:r>
        <w:rPr>
          <w:rFonts w:hint="eastAsia" w:ascii="宋体" w:hAnsi="宋体"/>
          <w:bCs/>
          <w:szCs w:val="21"/>
        </w:rPr>
        <w:t>（2）评标委员会按照上述投标</w:t>
      </w:r>
      <w:r>
        <w:rPr>
          <w:rFonts w:ascii="宋体" w:hAnsi="宋体"/>
          <w:bCs/>
          <w:szCs w:val="21"/>
        </w:rPr>
        <w:t>报价的</w:t>
      </w:r>
      <w:r>
        <w:rPr>
          <w:rFonts w:hint="eastAsia" w:ascii="宋体" w:hAnsi="宋体"/>
          <w:bCs/>
          <w:szCs w:val="21"/>
        </w:rPr>
        <w:t>排序结果推荐中标候选供应商，</w:t>
      </w:r>
      <w:r>
        <w:rPr>
          <w:rFonts w:hint="eastAsia" w:ascii="宋体" w:hAnsi="宋体"/>
          <w:szCs w:val="21"/>
        </w:rPr>
        <w:t>排名</w:t>
      </w:r>
      <w:r>
        <w:rPr>
          <w:rFonts w:hint="eastAsia" w:ascii="宋体" w:hAnsi="宋体"/>
          <w:szCs w:val="21"/>
          <w:highlight w:val="yellow"/>
        </w:rPr>
        <w:t>前三</w:t>
      </w:r>
      <w:r>
        <w:rPr>
          <w:rFonts w:hint="eastAsia" w:ascii="宋体" w:hAnsi="宋体"/>
          <w:szCs w:val="21"/>
        </w:rPr>
        <w:t>的投标单位</w:t>
      </w:r>
      <w:r>
        <w:rPr>
          <w:rFonts w:hint="eastAsia" w:ascii="宋体" w:hAnsi="宋体"/>
          <w:bCs/>
          <w:szCs w:val="21"/>
        </w:rPr>
        <w:t>作为推荐的候选中标供应商。</w:t>
      </w:r>
    </w:p>
    <w:p>
      <w:pPr>
        <w:spacing w:line="440" w:lineRule="exact"/>
        <w:ind w:firstLine="435"/>
        <w:rPr>
          <w:rFonts w:ascii="宋体" w:hAnsi="宋体"/>
          <w:b/>
          <w:szCs w:val="21"/>
        </w:rPr>
      </w:pPr>
      <w:r>
        <w:rPr>
          <w:rFonts w:hint="eastAsia" w:ascii="宋体" w:hAnsi="宋体"/>
          <w:b/>
          <w:szCs w:val="21"/>
        </w:rPr>
        <w:t>2</w:t>
      </w:r>
      <w:r>
        <w:rPr>
          <w:rFonts w:ascii="宋体" w:hAnsi="宋体"/>
          <w:b/>
          <w:szCs w:val="21"/>
        </w:rPr>
        <w:t xml:space="preserve">.2  </w:t>
      </w:r>
      <w:r>
        <w:rPr>
          <w:rFonts w:hint="eastAsia" w:ascii="宋体" w:hAnsi="宋体"/>
          <w:b/>
          <w:szCs w:val="21"/>
        </w:rPr>
        <w:t>定标</w:t>
      </w:r>
    </w:p>
    <w:p>
      <w:pPr>
        <w:spacing w:line="440" w:lineRule="exact"/>
        <w:ind w:firstLine="435"/>
        <w:rPr>
          <w:rFonts w:ascii="宋体" w:hAnsi="宋体"/>
          <w:szCs w:val="21"/>
        </w:rPr>
      </w:pPr>
      <w:r>
        <w:rPr>
          <w:rFonts w:ascii="宋体" w:hAnsi="宋体"/>
          <w:szCs w:val="21"/>
        </w:rPr>
        <w:t>采购方授权评标委员会确定中标单位，</w:t>
      </w:r>
      <w:r>
        <w:rPr>
          <w:rFonts w:hint="eastAsia" w:ascii="宋体" w:hAnsi="宋体"/>
          <w:szCs w:val="21"/>
        </w:rPr>
        <w:t>确定</w:t>
      </w:r>
      <w:r>
        <w:rPr>
          <w:rFonts w:ascii="宋体" w:hAnsi="宋体"/>
          <w:szCs w:val="21"/>
        </w:rPr>
        <w:t>投标</w:t>
      </w:r>
      <w:r>
        <w:rPr>
          <w:rFonts w:hint="eastAsia" w:ascii="宋体" w:hAnsi="宋体"/>
          <w:szCs w:val="21"/>
        </w:rPr>
        <w:t>报价</w:t>
      </w:r>
      <w:r>
        <w:rPr>
          <w:rFonts w:ascii="宋体" w:hAnsi="宋体"/>
          <w:szCs w:val="21"/>
        </w:rPr>
        <w:t>最低</w:t>
      </w:r>
      <w:r>
        <w:rPr>
          <w:rFonts w:hint="eastAsia" w:ascii="宋体" w:hAnsi="宋体"/>
          <w:szCs w:val="21"/>
        </w:rPr>
        <w:t>且</w:t>
      </w:r>
      <w:r>
        <w:rPr>
          <w:rFonts w:ascii="宋体" w:hAnsi="宋体"/>
          <w:szCs w:val="21"/>
        </w:rPr>
        <w:t>排名第一的投标供应商为中标</w:t>
      </w:r>
      <w:r>
        <w:rPr>
          <w:rFonts w:hint="eastAsia" w:ascii="宋体" w:hAnsi="宋体"/>
          <w:szCs w:val="21"/>
        </w:rPr>
        <w:t>单位。</w:t>
      </w:r>
    </w:p>
    <w:p>
      <w:pPr>
        <w:spacing w:line="440" w:lineRule="exact"/>
        <w:ind w:firstLine="422" w:firstLineChars="200"/>
        <w:rPr>
          <w:b/>
        </w:rPr>
      </w:pPr>
      <w:r>
        <w:rPr>
          <w:rFonts w:hint="eastAsia"/>
          <w:b/>
        </w:rPr>
        <w:t>（二）评标和定标分离的方式</w:t>
      </w:r>
      <w:r>
        <w:rPr>
          <w:rFonts w:hint="eastAsia"/>
          <w:b/>
          <w:szCs w:val="21"/>
        </w:rPr>
        <w:t>(本项目不适用)</w:t>
      </w:r>
    </w:p>
    <w:p>
      <w:pPr>
        <w:spacing w:line="440" w:lineRule="exact"/>
        <w:ind w:firstLine="422" w:firstLineChars="200"/>
        <w:rPr>
          <w:rFonts w:ascii="宋体" w:hAnsi="宋体"/>
          <w:b/>
          <w:szCs w:val="21"/>
        </w:rPr>
      </w:pPr>
      <w:r>
        <w:rPr>
          <w:rFonts w:hint="eastAsia" w:ascii="宋体" w:hAnsi="宋体"/>
          <w:b/>
          <w:szCs w:val="21"/>
        </w:rPr>
        <w:t>1、</w:t>
      </w:r>
      <w:r>
        <w:rPr>
          <w:rFonts w:ascii="宋体" w:hAnsi="宋体"/>
          <w:b/>
          <w:szCs w:val="21"/>
        </w:rPr>
        <w:t>符合性检查</w:t>
      </w:r>
    </w:p>
    <w:p>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pPr>
        <w:spacing w:line="440" w:lineRule="exact"/>
        <w:ind w:firstLine="422" w:firstLineChars="200"/>
        <w:rPr>
          <w:rFonts w:ascii="宋体" w:hAnsi="宋体"/>
          <w:b/>
          <w:szCs w:val="21"/>
        </w:rPr>
      </w:pPr>
      <w:r>
        <w:rPr>
          <w:rFonts w:hint="eastAsia" w:ascii="宋体" w:hAnsi="宋体"/>
          <w:b/>
          <w:szCs w:val="21"/>
        </w:rPr>
        <w:t>2、</w:t>
      </w:r>
      <w:r>
        <w:rPr>
          <w:rFonts w:ascii="宋体" w:hAnsi="宋体"/>
          <w:b/>
          <w:szCs w:val="21"/>
        </w:rPr>
        <w:t>商务</w:t>
      </w:r>
      <w:r>
        <w:rPr>
          <w:rFonts w:hint="eastAsia" w:ascii="宋体" w:hAnsi="宋体"/>
          <w:b/>
          <w:szCs w:val="21"/>
        </w:rPr>
        <w:t>、</w:t>
      </w:r>
      <w:r>
        <w:rPr>
          <w:rFonts w:ascii="宋体" w:hAnsi="宋体"/>
          <w:b/>
          <w:szCs w:val="21"/>
        </w:rPr>
        <w:t>技术及价格评议</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评标委员会根据《</w:t>
      </w:r>
      <w:r>
        <w:rPr>
          <w:rFonts w:hint="eastAsia" w:ascii="宋体" w:hAnsi="宋体"/>
          <w:szCs w:val="21"/>
        </w:rPr>
        <w:t>评分表</w:t>
      </w:r>
      <w:r>
        <w:rPr>
          <w:rFonts w:ascii="宋体" w:hAnsi="宋体"/>
          <w:szCs w:val="21"/>
        </w:rPr>
        <w:t>》的内容和标准，对通过</w:t>
      </w:r>
      <w:r>
        <w:rPr>
          <w:rFonts w:hint="eastAsia" w:ascii="宋体" w:hAnsi="宋体"/>
          <w:bCs/>
          <w:szCs w:val="21"/>
        </w:rPr>
        <w:t>资格性和</w:t>
      </w:r>
      <w:r>
        <w:rPr>
          <w:rFonts w:ascii="宋体" w:hAnsi="宋体"/>
          <w:bCs/>
          <w:szCs w:val="21"/>
        </w:rPr>
        <w:t>符合性</w:t>
      </w:r>
      <w:r>
        <w:rPr>
          <w:rFonts w:ascii="宋体" w:hAnsi="宋体"/>
          <w:szCs w:val="21"/>
        </w:rPr>
        <w:t>检查的投标进行商务</w:t>
      </w:r>
      <w:r>
        <w:rPr>
          <w:rFonts w:hint="eastAsia" w:ascii="宋体" w:hAnsi="宋体"/>
          <w:szCs w:val="21"/>
        </w:rPr>
        <w:t>、</w:t>
      </w:r>
      <w:r>
        <w:rPr>
          <w:rFonts w:ascii="宋体" w:hAnsi="宋体"/>
          <w:szCs w:val="21"/>
        </w:rPr>
        <w:t>技术</w:t>
      </w:r>
      <w:r>
        <w:rPr>
          <w:rFonts w:hint="eastAsia" w:ascii="宋体" w:hAnsi="宋体"/>
          <w:szCs w:val="21"/>
        </w:rPr>
        <w:t>及价格</w:t>
      </w:r>
      <w:r>
        <w:rPr>
          <w:rFonts w:ascii="宋体" w:hAnsi="宋体"/>
          <w:szCs w:val="21"/>
        </w:rPr>
        <w:t>评议。</w:t>
      </w:r>
    </w:p>
    <w:p>
      <w:pPr>
        <w:spacing w:line="440" w:lineRule="exact"/>
        <w:ind w:firstLine="420" w:firstLineChars="200"/>
        <w:rPr>
          <w:rFonts w:ascii="Calibri" w:hAnsi="Calibri"/>
          <w:szCs w:val="21"/>
        </w:rPr>
      </w:pPr>
      <w:r>
        <w:rPr>
          <w:rFonts w:hint="eastAsia" w:ascii="宋体" w:hAnsi="宋体"/>
          <w:szCs w:val="21"/>
        </w:rPr>
        <w:t>（2）</w:t>
      </w:r>
      <w:r>
        <w:rPr>
          <w:rFonts w:ascii="宋体" w:hAnsi="宋体"/>
          <w:szCs w:val="21"/>
        </w:rPr>
        <w:t>评</w:t>
      </w:r>
      <w:r>
        <w:rPr>
          <w:rFonts w:ascii="Calibri" w:hAnsi="宋体"/>
          <w:szCs w:val="21"/>
        </w:rPr>
        <w:t>标委员会将对照招标文件中的商务、技术需求条款和投标文件中的商务、技术条款响应进行评议</w:t>
      </w:r>
      <w:r>
        <w:rPr>
          <w:rFonts w:hint="eastAsia" w:ascii="Calibri" w:hAnsi="宋体"/>
          <w:szCs w:val="21"/>
        </w:rPr>
        <w:t>；</w:t>
      </w:r>
      <w:r>
        <w:rPr>
          <w:rFonts w:ascii="Calibri" w:hAnsi="宋体"/>
          <w:szCs w:val="21"/>
        </w:rPr>
        <w:t>评标委员会成员将按照《</w:t>
      </w:r>
      <w:r>
        <w:rPr>
          <w:rFonts w:hint="eastAsia" w:ascii="Calibri" w:hAnsi="宋体"/>
          <w:szCs w:val="21"/>
        </w:rPr>
        <w:t>评分表</w:t>
      </w:r>
      <w:r>
        <w:rPr>
          <w:rFonts w:ascii="Calibri" w:hAnsi="宋体"/>
          <w:szCs w:val="21"/>
        </w:rPr>
        <w:t>》确定的</w:t>
      </w:r>
      <w:r>
        <w:rPr>
          <w:rFonts w:hint="eastAsia" w:ascii="Calibri" w:hAnsi="宋体"/>
          <w:szCs w:val="21"/>
        </w:rPr>
        <w:t>分值</w:t>
      </w:r>
      <w:r>
        <w:rPr>
          <w:rFonts w:ascii="Calibri" w:hAnsi="宋体"/>
          <w:szCs w:val="21"/>
        </w:rPr>
        <w:t>独立对每个投标的商务</w:t>
      </w:r>
      <w:r>
        <w:rPr>
          <w:rFonts w:hint="eastAsia" w:ascii="Calibri" w:hAnsi="宋体"/>
          <w:szCs w:val="21"/>
        </w:rPr>
        <w:t>、</w:t>
      </w:r>
      <w:r>
        <w:rPr>
          <w:rFonts w:ascii="Calibri" w:hAnsi="宋体"/>
          <w:szCs w:val="21"/>
        </w:rPr>
        <w:t>技术</w:t>
      </w:r>
      <w:r>
        <w:rPr>
          <w:rFonts w:hint="eastAsia" w:ascii="Calibri" w:hAnsi="宋体"/>
          <w:szCs w:val="21"/>
        </w:rPr>
        <w:t>及价格</w:t>
      </w:r>
      <w:r>
        <w:rPr>
          <w:rFonts w:ascii="Calibri" w:hAnsi="宋体"/>
          <w:szCs w:val="21"/>
        </w:rPr>
        <w:t>部分以打分的方式进行评议。</w:t>
      </w:r>
    </w:p>
    <w:p>
      <w:pPr>
        <w:spacing w:line="440" w:lineRule="exact"/>
        <w:ind w:firstLine="422" w:firstLineChars="200"/>
        <w:rPr>
          <w:rFonts w:ascii="Calibri" w:hAnsi="Calibri"/>
          <w:b/>
          <w:szCs w:val="21"/>
        </w:rPr>
      </w:pPr>
      <w:r>
        <w:rPr>
          <w:rFonts w:hint="eastAsia" w:ascii="宋体" w:hAnsi="宋体"/>
          <w:b/>
          <w:szCs w:val="21"/>
        </w:rPr>
        <w:t>3、</w:t>
      </w:r>
      <w:r>
        <w:rPr>
          <w:rFonts w:ascii="Calibri" w:hAnsi="宋体"/>
          <w:b/>
          <w:szCs w:val="21"/>
        </w:rPr>
        <w:t>中标</w:t>
      </w:r>
      <w:r>
        <w:rPr>
          <w:rFonts w:hint="eastAsia" w:ascii="Calibri" w:hAnsi="宋体"/>
          <w:b/>
          <w:szCs w:val="21"/>
        </w:rPr>
        <w:t>单位</w:t>
      </w:r>
      <w:r>
        <w:rPr>
          <w:rFonts w:ascii="Calibri" w:hAnsi="宋体"/>
          <w:b/>
          <w:szCs w:val="21"/>
        </w:rPr>
        <w:t>的确定</w:t>
      </w:r>
    </w:p>
    <w:p>
      <w:pPr>
        <w:spacing w:line="440" w:lineRule="exact"/>
        <w:ind w:firstLine="422" w:firstLineChars="200"/>
        <w:rPr>
          <w:rFonts w:ascii="宋体" w:hAnsi="宋体"/>
          <w:b/>
          <w:szCs w:val="21"/>
        </w:rPr>
      </w:pPr>
      <w:r>
        <w:rPr>
          <w:rFonts w:hint="eastAsia" w:ascii="宋体" w:hAnsi="宋体"/>
          <w:b/>
          <w:szCs w:val="21"/>
        </w:rPr>
        <w:t xml:space="preserve">3.1  </w:t>
      </w:r>
      <w:r>
        <w:rPr>
          <w:rFonts w:hint="eastAsia" w:ascii="宋体" w:hAnsi="宋体"/>
          <w:b/>
          <w:bCs/>
          <w:szCs w:val="21"/>
        </w:rPr>
        <w:t>候选中标供应商推荐</w:t>
      </w:r>
    </w:p>
    <w:p>
      <w:pPr>
        <w:spacing w:line="440" w:lineRule="exact"/>
        <w:ind w:firstLine="420" w:firstLineChars="200"/>
        <w:rPr>
          <w:rFonts w:ascii="宋体" w:hAnsi="宋体"/>
          <w:bCs/>
          <w:szCs w:val="21"/>
        </w:rPr>
      </w:pPr>
      <w:r>
        <w:rPr>
          <w:rFonts w:hint="eastAsia" w:ascii="宋体" w:hAnsi="宋体"/>
          <w:bCs/>
          <w:szCs w:val="21"/>
        </w:rPr>
        <w:t>（1）每个投标单位的评标总得分以</w:t>
      </w:r>
      <w:r>
        <w:rPr>
          <w:rFonts w:hint="eastAsia" w:ascii="宋体" w:hAnsi="宋体"/>
          <w:szCs w:val="21"/>
        </w:rPr>
        <w:t>所有评标委员会成员的独立评分汇总</w:t>
      </w:r>
      <w:r>
        <w:rPr>
          <w:rFonts w:hint="eastAsia" w:ascii="宋体" w:hAnsi="宋体"/>
          <w:bCs/>
          <w:szCs w:val="21"/>
        </w:rPr>
        <w:t>后确定，</w:t>
      </w:r>
      <w:r>
        <w:rPr>
          <w:rFonts w:ascii="宋体" w:hAnsi="宋体"/>
          <w:bCs/>
          <w:szCs w:val="21"/>
        </w:rPr>
        <w:t>评标总得分相同的，按投标报价由低到高顺序排列；评标总得分且投标报价相同的，按技术指标</w:t>
      </w:r>
      <w:r>
        <w:rPr>
          <w:rFonts w:hint="eastAsia" w:ascii="宋体" w:hAnsi="宋体"/>
          <w:bCs/>
          <w:szCs w:val="21"/>
        </w:rPr>
        <w:t>（技术部分）</w:t>
      </w:r>
      <w:r>
        <w:rPr>
          <w:rFonts w:ascii="宋体" w:hAnsi="宋体"/>
          <w:bCs/>
          <w:szCs w:val="21"/>
        </w:rPr>
        <w:t>得分优劣顺序排列</w:t>
      </w:r>
      <w:r>
        <w:rPr>
          <w:rFonts w:hint="eastAsia" w:ascii="Calibri" w:hAnsi="宋体"/>
          <w:szCs w:val="21"/>
        </w:rPr>
        <w:t>；如</w:t>
      </w:r>
      <w:r>
        <w:rPr>
          <w:rFonts w:ascii="Calibri" w:hAnsi="宋体"/>
          <w:szCs w:val="21"/>
        </w:rPr>
        <w:t>技术指标</w:t>
      </w:r>
      <w:r>
        <w:rPr>
          <w:rFonts w:hint="eastAsia" w:ascii="Calibri" w:hAnsi="宋体"/>
          <w:szCs w:val="21"/>
        </w:rPr>
        <w:t>（技术部分）</w:t>
      </w:r>
      <w:r>
        <w:rPr>
          <w:rFonts w:ascii="Calibri" w:hAnsi="宋体"/>
          <w:szCs w:val="21"/>
        </w:rPr>
        <w:t>得分</w:t>
      </w:r>
      <w:r>
        <w:rPr>
          <w:rFonts w:hint="eastAsia" w:ascii="Calibri" w:hAnsi="宋体"/>
          <w:szCs w:val="21"/>
        </w:rPr>
        <w:t>仍然相同的，则采用抽签方式确定排序，</w:t>
      </w:r>
      <w:r>
        <w:rPr>
          <w:rFonts w:hint="eastAsia" w:asciiTheme="minorEastAsia" w:hAnsiTheme="minorEastAsia" w:eastAsiaTheme="minorEastAsia"/>
          <w:szCs w:val="21"/>
        </w:rPr>
        <w:t>具体操作办法及流程由评标委员会确定</w:t>
      </w:r>
      <w:r>
        <w:rPr>
          <w:rFonts w:ascii="宋体" w:hAnsi="宋体"/>
          <w:bCs/>
          <w:szCs w:val="21"/>
        </w:rPr>
        <w:t>。</w:t>
      </w:r>
    </w:p>
    <w:p>
      <w:pPr>
        <w:spacing w:line="440" w:lineRule="exact"/>
        <w:ind w:firstLine="420" w:firstLineChars="200"/>
        <w:rPr>
          <w:szCs w:val="21"/>
        </w:rPr>
      </w:pPr>
      <w:r>
        <w:rPr>
          <w:rFonts w:hint="eastAsia" w:ascii="宋体" w:hAnsi="宋体"/>
          <w:bCs/>
          <w:szCs w:val="21"/>
        </w:rPr>
        <w:t>（2）评标委员会按照综合评分的排名结果推荐中标候选供应商，</w:t>
      </w:r>
      <w:r>
        <w:rPr>
          <w:rFonts w:hint="eastAsia" w:ascii="宋体" w:hAnsi="宋体"/>
          <w:szCs w:val="21"/>
        </w:rPr>
        <w:t>排名前三的投标单位</w:t>
      </w:r>
      <w:r>
        <w:rPr>
          <w:rFonts w:hint="eastAsia" w:ascii="宋体" w:hAnsi="宋体"/>
          <w:bCs/>
          <w:szCs w:val="21"/>
        </w:rPr>
        <w:t>作为推荐的候选中标供应商（排名不分先后）。</w:t>
      </w:r>
    </w:p>
    <w:p>
      <w:pPr>
        <w:spacing w:line="440" w:lineRule="exact"/>
        <w:ind w:firstLine="422" w:firstLineChars="200"/>
        <w:rPr>
          <w:rFonts w:ascii="宋体" w:hAnsi="宋体"/>
          <w:b/>
          <w:bCs/>
          <w:szCs w:val="21"/>
        </w:rPr>
      </w:pPr>
      <w:r>
        <w:rPr>
          <w:rFonts w:hint="eastAsia" w:ascii="宋体" w:hAnsi="宋体"/>
          <w:b/>
          <w:bCs/>
          <w:szCs w:val="21"/>
        </w:rPr>
        <w:t>3.2  定标</w:t>
      </w:r>
    </w:p>
    <w:p>
      <w:pPr>
        <w:spacing w:line="440" w:lineRule="exact"/>
        <w:ind w:firstLine="420" w:firstLineChars="200"/>
        <w:rPr>
          <w:rFonts w:ascii="宋体" w:hAnsi="宋体"/>
          <w:bCs/>
          <w:szCs w:val="21"/>
        </w:rPr>
      </w:pPr>
      <w:r>
        <w:rPr>
          <w:rFonts w:hint="eastAsia" w:ascii="宋体" w:hAnsi="宋体"/>
          <w:bCs/>
          <w:szCs w:val="21"/>
        </w:rPr>
        <w:t>采购单位从评标委员会推荐的候选中标供应商中，</w:t>
      </w:r>
      <w:r>
        <w:rPr>
          <w:rFonts w:ascii="宋体" w:hAnsi="宋体"/>
          <w:bCs/>
          <w:szCs w:val="21"/>
        </w:rPr>
        <w:t>采用</w:t>
      </w:r>
      <w:r>
        <w:rPr>
          <w:rFonts w:ascii="宋体" w:hAnsi="宋体"/>
          <w:b/>
          <w:bCs/>
          <w:szCs w:val="21"/>
        </w:rPr>
        <w:t>自定法</w:t>
      </w:r>
      <w:r>
        <w:rPr>
          <w:rFonts w:hint="eastAsia" w:ascii="宋体" w:hAnsi="宋体"/>
          <w:bCs/>
          <w:szCs w:val="21"/>
        </w:rPr>
        <w:t>自行选择确定一名中标单位，具体操作程序按照《深圳市政府采购评标定标分离管理办法》要求执行。</w:t>
      </w:r>
    </w:p>
    <w:p>
      <w:pPr>
        <w:spacing w:line="440" w:lineRule="exact"/>
        <w:ind w:firstLine="386" w:firstLineChars="183"/>
        <w:rPr>
          <w:rFonts w:ascii="宋体" w:hAnsi="宋体"/>
          <w:b/>
          <w:szCs w:val="21"/>
        </w:rPr>
      </w:pPr>
      <w:r>
        <w:rPr>
          <w:rFonts w:hint="eastAsia" w:ascii="宋体" w:hAnsi="宋体"/>
          <w:b/>
          <w:szCs w:val="21"/>
        </w:rPr>
        <w:t>4、质疑投诉处理：</w:t>
      </w:r>
      <w:r>
        <w:rPr>
          <w:rFonts w:hint="eastAsia" w:ascii="宋体" w:hAnsi="宋体"/>
          <w:szCs w:val="21"/>
        </w:rPr>
        <w:t>确定中标单位后出现质疑投诉的，按照以下程序进行处理：</w:t>
      </w:r>
      <w:r>
        <w:rPr>
          <w:rFonts w:hint="eastAsia" w:ascii="宋体" w:hAnsi="宋体"/>
          <w:szCs w:val="21"/>
          <w:highlight w:val="yellow"/>
        </w:rPr>
        <w:t>（1）中标单位因质疑、投诉等问题被取消或</w:t>
      </w:r>
      <w:r>
        <w:rPr>
          <w:rFonts w:ascii="宋体" w:hAnsi="宋体"/>
          <w:szCs w:val="21"/>
          <w:highlight w:val="yellow"/>
        </w:rPr>
        <w:t>放弃</w:t>
      </w:r>
      <w:r>
        <w:rPr>
          <w:rFonts w:hint="eastAsia" w:ascii="宋体" w:hAnsi="宋体"/>
          <w:szCs w:val="21"/>
          <w:highlight w:val="yellow"/>
        </w:rPr>
        <w:t>候选中标资格，候选</w:t>
      </w:r>
      <w:r>
        <w:rPr>
          <w:rFonts w:ascii="宋体" w:hAnsi="宋体"/>
          <w:szCs w:val="21"/>
          <w:highlight w:val="yellow"/>
        </w:rPr>
        <w:t>中标</w:t>
      </w:r>
      <w:r>
        <w:rPr>
          <w:rFonts w:hint="eastAsia" w:ascii="宋体" w:hAnsi="宋体"/>
          <w:szCs w:val="21"/>
          <w:highlight w:val="yellow"/>
        </w:rPr>
        <w:t>供应商</w:t>
      </w:r>
      <w:r>
        <w:rPr>
          <w:rFonts w:ascii="宋体" w:hAnsi="宋体"/>
          <w:szCs w:val="21"/>
          <w:highlight w:val="yellow"/>
        </w:rPr>
        <w:t>不再</w:t>
      </w:r>
      <w:r>
        <w:rPr>
          <w:rFonts w:hint="eastAsia" w:ascii="宋体" w:hAnsi="宋体"/>
          <w:szCs w:val="21"/>
          <w:highlight w:val="yellow"/>
        </w:rPr>
        <w:t>替补</w:t>
      </w:r>
      <w:r>
        <w:rPr>
          <w:rFonts w:ascii="宋体" w:hAnsi="宋体"/>
          <w:szCs w:val="21"/>
          <w:highlight w:val="yellow"/>
        </w:rPr>
        <w:t>，</w:t>
      </w:r>
      <w:r>
        <w:rPr>
          <w:rFonts w:hint="eastAsia" w:ascii="宋体" w:hAnsi="宋体"/>
          <w:szCs w:val="21"/>
          <w:highlight w:val="yellow"/>
        </w:rPr>
        <w:t>如有效</w:t>
      </w:r>
      <w:r>
        <w:rPr>
          <w:rFonts w:ascii="宋体" w:hAnsi="宋体"/>
          <w:szCs w:val="21"/>
          <w:highlight w:val="yellow"/>
        </w:rPr>
        <w:t>投标</w:t>
      </w:r>
      <w:r>
        <w:rPr>
          <w:rFonts w:hint="eastAsia" w:ascii="宋体" w:hAnsi="宋体"/>
          <w:szCs w:val="21"/>
          <w:highlight w:val="yellow"/>
        </w:rPr>
        <w:t>供应商满足</w:t>
      </w:r>
      <w:r>
        <w:rPr>
          <w:rFonts w:ascii="宋体" w:hAnsi="宋体"/>
          <w:szCs w:val="21"/>
          <w:highlight w:val="yellow"/>
        </w:rPr>
        <w:t>法定数量</w:t>
      </w:r>
      <w:r>
        <w:rPr>
          <w:rFonts w:hint="eastAsia" w:ascii="宋体" w:hAnsi="宋体"/>
          <w:szCs w:val="21"/>
          <w:highlight w:val="yellow"/>
        </w:rPr>
        <w:t>，可按</w:t>
      </w:r>
      <w:r>
        <w:rPr>
          <w:rFonts w:ascii="宋体" w:hAnsi="宋体"/>
          <w:szCs w:val="21"/>
          <w:highlight w:val="yellow"/>
        </w:rPr>
        <w:t>相关规定</w:t>
      </w:r>
      <w:r>
        <w:rPr>
          <w:rFonts w:hint="eastAsia" w:ascii="宋体" w:hAnsi="宋体"/>
          <w:szCs w:val="21"/>
          <w:highlight w:val="yellow"/>
        </w:rPr>
        <w:t>在</w:t>
      </w:r>
      <w:r>
        <w:rPr>
          <w:rFonts w:ascii="宋体" w:hAnsi="宋体"/>
          <w:szCs w:val="21"/>
          <w:highlight w:val="yellow"/>
        </w:rPr>
        <w:t>其他</w:t>
      </w:r>
      <w:r>
        <w:rPr>
          <w:rFonts w:hint="eastAsia" w:ascii="宋体" w:hAnsi="宋体"/>
          <w:szCs w:val="21"/>
          <w:highlight w:val="yellow"/>
        </w:rPr>
        <w:t>候选</w:t>
      </w:r>
      <w:r>
        <w:rPr>
          <w:rFonts w:ascii="宋体" w:hAnsi="宋体"/>
          <w:szCs w:val="21"/>
          <w:highlight w:val="yellow"/>
        </w:rPr>
        <w:t>中标</w:t>
      </w:r>
      <w:r>
        <w:rPr>
          <w:rFonts w:hint="eastAsia" w:ascii="宋体" w:hAnsi="宋体"/>
          <w:szCs w:val="21"/>
          <w:highlight w:val="yellow"/>
        </w:rPr>
        <w:t>供应商中另行</w:t>
      </w:r>
      <w:r>
        <w:rPr>
          <w:rFonts w:ascii="宋体" w:hAnsi="宋体"/>
          <w:szCs w:val="21"/>
          <w:highlight w:val="yellow"/>
        </w:rPr>
        <w:t>确定中标</w:t>
      </w:r>
      <w:r>
        <w:rPr>
          <w:rFonts w:hint="eastAsia" w:ascii="宋体" w:hAnsi="宋体"/>
          <w:szCs w:val="21"/>
          <w:highlight w:val="yellow"/>
        </w:rPr>
        <w:t>单位</w:t>
      </w:r>
      <w:r>
        <w:rPr>
          <w:rFonts w:ascii="宋体" w:hAnsi="宋体"/>
          <w:szCs w:val="21"/>
          <w:highlight w:val="yellow"/>
        </w:rPr>
        <w:t>，或者</w:t>
      </w:r>
      <w:r>
        <w:rPr>
          <w:rFonts w:hint="eastAsia" w:ascii="宋体" w:hAnsi="宋体"/>
          <w:szCs w:val="21"/>
          <w:highlight w:val="yellow"/>
        </w:rPr>
        <w:t>重新组织招标；（2）候选中标供应商因质疑、投诉等问题被取消候选中标资格，如有效</w:t>
      </w:r>
      <w:r>
        <w:rPr>
          <w:rFonts w:ascii="宋体" w:hAnsi="宋体"/>
          <w:szCs w:val="21"/>
          <w:highlight w:val="yellow"/>
        </w:rPr>
        <w:t>投标</w:t>
      </w:r>
      <w:r>
        <w:rPr>
          <w:rFonts w:hint="eastAsia" w:ascii="宋体" w:hAnsi="宋体"/>
          <w:szCs w:val="21"/>
          <w:highlight w:val="yellow"/>
        </w:rPr>
        <w:t>供应商满足</w:t>
      </w:r>
      <w:r>
        <w:rPr>
          <w:rFonts w:ascii="宋体" w:hAnsi="宋体"/>
          <w:szCs w:val="21"/>
          <w:highlight w:val="yellow"/>
        </w:rPr>
        <w:t>法定数量</w:t>
      </w:r>
      <w:r>
        <w:rPr>
          <w:rFonts w:hint="eastAsia" w:ascii="宋体" w:hAnsi="宋体"/>
          <w:szCs w:val="21"/>
          <w:highlight w:val="yellow"/>
        </w:rPr>
        <w:t>，则维持原中标结果；如有效</w:t>
      </w:r>
      <w:r>
        <w:rPr>
          <w:rFonts w:ascii="宋体" w:hAnsi="宋体"/>
          <w:szCs w:val="21"/>
          <w:highlight w:val="yellow"/>
        </w:rPr>
        <w:t>投标</w:t>
      </w:r>
      <w:r>
        <w:rPr>
          <w:rFonts w:hint="eastAsia" w:ascii="宋体" w:hAnsi="宋体"/>
          <w:szCs w:val="21"/>
          <w:highlight w:val="yellow"/>
        </w:rPr>
        <w:t>供应商不足</w:t>
      </w:r>
      <w:r>
        <w:rPr>
          <w:rFonts w:ascii="宋体" w:hAnsi="宋体"/>
          <w:szCs w:val="21"/>
          <w:highlight w:val="yellow"/>
        </w:rPr>
        <w:t>法定数量</w:t>
      </w:r>
      <w:r>
        <w:rPr>
          <w:rFonts w:hint="eastAsia" w:ascii="宋体" w:hAnsi="宋体"/>
          <w:szCs w:val="21"/>
          <w:highlight w:val="yellow"/>
        </w:rPr>
        <w:t>，则该项目作废标处理，重新组织招标。</w:t>
      </w:r>
    </w:p>
    <w:p>
      <w:pPr>
        <w:spacing w:line="0" w:lineRule="atLeast"/>
        <w:jc w:val="center"/>
        <w:outlineLvl w:val="0"/>
        <w:rPr>
          <w:rFonts w:ascii="微软雅黑" w:hAnsi="微软雅黑" w:eastAsia="微软雅黑" w:cs="微软雅黑"/>
          <w:b/>
          <w:color w:val="000000"/>
          <w:sz w:val="32"/>
          <w:szCs w:val="32"/>
        </w:rPr>
      </w:pPr>
      <w:r>
        <w:rPr>
          <w:rFonts w:ascii="宋体" w:hAnsi="宋体"/>
          <w:b/>
          <w:bCs/>
          <w:color w:val="000000"/>
          <w:sz w:val="24"/>
        </w:rPr>
        <w:br w:type="page"/>
      </w:r>
      <w:bookmarkStart w:id="69" w:name="_Toc12094"/>
      <w:r>
        <w:rPr>
          <w:rFonts w:hint="eastAsia" w:ascii="微软雅黑" w:hAnsi="微软雅黑" w:eastAsia="微软雅黑" w:cs="微软雅黑"/>
          <w:b/>
          <w:color w:val="000000"/>
          <w:sz w:val="32"/>
          <w:szCs w:val="32"/>
        </w:rPr>
        <w:t>第五章  投标文件格式</w:t>
      </w:r>
      <w:bookmarkEnd w:id="69"/>
    </w:p>
    <w:p>
      <w:pPr>
        <w:spacing w:line="440" w:lineRule="exact"/>
        <w:ind w:firstLine="420" w:firstLineChars="200"/>
        <w:rPr>
          <w:rFonts w:ascii="宋体" w:hAnsi="宋体"/>
          <w:color w:val="000000"/>
          <w:szCs w:val="21"/>
        </w:rPr>
      </w:pPr>
      <w:bookmarkStart w:id="70" w:name="_Toc5452"/>
      <w:bookmarkStart w:id="71" w:name="_Toc70231446"/>
      <w:bookmarkStart w:id="72" w:name="_Toc70231342"/>
    </w:p>
    <w:p>
      <w:pPr>
        <w:pStyle w:val="3"/>
        <w:keepNext w:val="0"/>
        <w:keepLines w:val="0"/>
        <w:spacing w:before="0" w:after="0" w:line="440" w:lineRule="exact"/>
        <w:rPr>
          <w:rFonts w:ascii="宋体" w:hAnsi="宋体"/>
          <w:color w:val="000000"/>
          <w:sz w:val="21"/>
          <w:szCs w:val="21"/>
        </w:rPr>
      </w:pPr>
      <w:r>
        <w:rPr>
          <w:rFonts w:hint="eastAsia" w:ascii="宋体" w:hAnsi="宋体"/>
          <w:color w:val="000000"/>
          <w:sz w:val="21"/>
          <w:szCs w:val="21"/>
        </w:rPr>
        <w:t>格式一：投标函格式</w:t>
      </w:r>
      <w:bookmarkEnd w:id="70"/>
      <w:bookmarkEnd w:id="71"/>
      <w:bookmarkEnd w:id="72"/>
    </w:p>
    <w:p>
      <w:pPr>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投标函</w:t>
      </w:r>
    </w:p>
    <w:p>
      <w:pPr>
        <w:spacing w:line="440" w:lineRule="exact"/>
        <w:rPr>
          <w:rFonts w:ascii="宋体" w:hAnsi="宋体"/>
          <w:color w:val="000000"/>
          <w:szCs w:val="21"/>
        </w:rPr>
      </w:pPr>
      <w:r>
        <w:rPr>
          <w:rFonts w:hint="eastAsia" w:ascii="宋体" w:hAnsi="宋体"/>
          <w:color w:val="000000"/>
          <w:szCs w:val="21"/>
        </w:rPr>
        <w:t>致：深圳市福田区第二人民医院</w:t>
      </w:r>
    </w:p>
    <w:p>
      <w:pPr>
        <w:spacing w:line="4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、根据已收到贵方的项目编号为</w:t>
      </w:r>
      <w:r>
        <w:rPr>
          <w:rFonts w:ascii="宋体" w:hAnsi="宋体"/>
          <w:color w:val="000000"/>
          <w:szCs w:val="21"/>
          <w:u w:val="single"/>
        </w:rPr>
        <w:t xml:space="preserve">   </w:t>
      </w:r>
      <w:r>
        <w:rPr>
          <w:rFonts w:hint="eastAsia" w:ascii="宋体" w:hAnsi="宋体"/>
          <w:color w:val="000000"/>
          <w:szCs w:val="21"/>
          <w:u w:val="single"/>
        </w:rPr>
        <w:t>（项目编号）</w:t>
      </w:r>
      <w:r>
        <w:rPr>
          <w:rFonts w:hint="eastAsia" w:ascii="宋体" w:hAnsi="宋体"/>
          <w:i/>
          <w:iCs/>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的</w:t>
      </w:r>
      <w:r>
        <w:rPr>
          <w:rFonts w:ascii="宋体" w:hAnsi="宋体"/>
          <w:color w:val="000000"/>
          <w:szCs w:val="21"/>
          <w:u w:val="single"/>
        </w:rPr>
        <w:t xml:space="preserve">   </w:t>
      </w:r>
      <w:r>
        <w:rPr>
          <w:rFonts w:hint="eastAsia" w:ascii="宋体" w:hAnsi="宋体"/>
          <w:color w:val="000000"/>
          <w:szCs w:val="21"/>
          <w:u w:val="single"/>
        </w:rPr>
        <w:t xml:space="preserve">（项目名称） </w:t>
      </w:r>
      <w:r>
        <w:rPr>
          <w:rFonts w:ascii="宋体" w:hAnsi="宋体"/>
          <w:color w:val="000000"/>
          <w:szCs w:val="21"/>
          <w:u w:val="single"/>
        </w:rPr>
        <w:t xml:space="preserve">   </w:t>
      </w:r>
      <w:r>
        <w:rPr>
          <w:rFonts w:hint="eastAsia" w:ascii="宋体" w:hAnsi="宋体"/>
          <w:color w:val="000000"/>
          <w:szCs w:val="21"/>
        </w:rPr>
        <w:t>项目的招标文件，遵照《中华人民共和国政府采购法》、《深圳经济特区政府采购条例》等法律法规的规定，我方经研究上述招标文件的投标须知、合同条款、技术规范及其他有关文件后，我方愿按“招标文件”的规定履行责任和义务；</w:t>
      </w:r>
    </w:p>
    <w:p>
      <w:pPr>
        <w:spacing w:line="440" w:lineRule="exact"/>
        <w:ind w:firstLine="420" w:firstLineChars="200"/>
        <w:rPr>
          <w:rFonts w:ascii="宋体" w:hAnsi="宋体"/>
          <w:color w:val="000000"/>
          <w:szCs w:val="21"/>
        </w:rPr>
      </w:pPr>
      <w:r>
        <w:rPr>
          <w:rFonts w:hint="eastAsia" w:ascii="宋体" w:hAnsi="宋体"/>
          <w:color w:val="000000"/>
          <w:szCs w:val="21"/>
        </w:rPr>
        <w:t>2、我方已详细审查全部招标文件，包括招标文件、澄清（答疑）、补充公告（说明）等。我方对此完全理解并同意放弃因对招标文件不明及误解而提出质疑抗辩的权利；</w:t>
      </w:r>
    </w:p>
    <w:p>
      <w:pPr>
        <w:spacing w:line="44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、我方同意提供贵方可能要求的与投标有关的一切数据或资料，完全理解并接受贵方不承担我方的任何投标费用；</w:t>
      </w:r>
    </w:p>
    <w:p>
      <w:pPr>
        <w:spacing w:line="440" w:lineRule="exact"/>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、我方愿以开标一览表中的投标报价并按招标文件要求承包上述项目并修补其任何缺陷；</w:t>
      </w:r>
    </w:p>
    <w:p>
      <w:pPr>
        <w:spacing w:line="440" w:lineRule="exact"/>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、我方会根据招标文件的规定,完成合同的责任和义务；</w:t>
      </w:r>
    </w:p>
    <w:p>
      <w:pPr>
        <w:spacing w:line="440" w:lineRule="exact"/>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、我方申明在本次投标中提供的所有资料，无论原件、复印件还是扫描件均是真实的；</w:t>
      </w:r>
    </w:p>
    <w:p>
      <w:pPr>
        <w:spacing w:line="440" w:lineRule="exact"/>
        <w:ind w:firstLine="420" w:firstLineChars="200"/>
        <w:rPr>
          <w:rFonts w:ascii="宋体" w:hAnsi="宋体"/>
          <w:color w:val="000000"/>
          <w:szCs w:val="21"/>
        </w:rPr>
      </w:pPr>
      <w:r>
        <w:rPr>
          <w:rFonts w:ascii="宋体" w:hAnsi="宋体"/>
          <w:color w:val="000000"/>
          <w:szCs w:val="21"/>
        </w:rPr>
        <w:t>7</w:t>
      </w:r>
      <w:r>
        <w:rPr>
          <w:rFonts w:hint="eastAsia" w:ascii="宋体" w:hAnsi="宋体"/>
          <w:color w:val="000000"/>
          <w:szCs w:val="21"/>
        </w:rPr>
        <w:t>、我方同意提供按照贵方可能要求的与投标有关的一切数据或资料；</w:t>
      </w:r>
    </w:p>
    <w:p>
      <w:pPr>
        <w:spacing w:line="440" w:lineRule="exact"/>
        <w:ind w:firstLine="420" w:firstLineChars="200"/>
        <w:rPr>
          <w:rFonts w:ascii="宋体" w:hAnsi="宋体"/>
          <w:color w:val="000000"/>
          <w:szCs w:val="21"/>
        </w:rPr>
      </w:pPr>
      <w:r>
        <w:rPr>
          <w:rFonts w:ascii="宋体" w:hAnsi="宋体"/>
          <w:color w:val="000000"/>
          <w:szCs w:val="21"/>
        </w:rPr>
        <w:t>8</w:t>
      </w:r>
      <w:r>
        <w:rPr>
          <w:rFonts w:hint="eastAsia" w:ascii="宋体" w:hAnsi="宋体"/>
          <w:color w:val="000000"/>
          <w:szCs w:val="21"/>
        </w:rPr>
        <w:t>、我方同意招标程序、评标办法以及评标委员会评标人员产生办法和组成，承认评标人员据此评标办法产生的中标供应商。</w:t>
      </w:r>
    </w:p>
    <w:p>
      <w:pPr>
        <w:spacing w:line="440" w:lineRule="exact"/>
        <w:ind w:firstLine="420" w:firstLineChars="200"/>
        <w:rPr>
          <w:rFonts w:ascii="宋体" w:hAnsi="宋体"/>
          <w:color w:val="000000"/>
          <w:szCs w:val="21"/>
        </w:rPr>
      </w:pPr>
      <w:r>
        <w:rPr>
          <w:rFonts w:ascii="宋体" w:hAnsi="宋体"/>
          <w:color w:val="000000"/>
          <w:szCs w:val="21"/>
        </w:rPr>
        <w:t>9</w:t>
      </w:r>
      <w:r>
        <w:rPr>
          <w:rFonts w:hint="eastAsia" w:ascii="宋体" w:hAnsi="宋体"/>
          <w:color w:val="000000"/>
          <w:szCs w:val="21"/>
        </w:rPr>
        <w:t>、</w:t>
      </w:r>
      <w:r>
        <w:rPr>
          <w:rFonts w:hint="eastAsia" w:ascii="宋体" w:hAnsi="宋体"/>
        </w:rPr>
        <w:t>我方</w:t>
      </w:r>
      <w:r>
        <w:rPr>
          <w:rFonts w:hint="eastAsia"/>
        </w:rPr>
        <w:t>已认真核实了投标文件的全部资料，所有资料均为真实资料。我方对投标文件中全部投标资料的真实性负责，如被证实我方的投标文件存在虚假资料的，则视为我方隐瞒真实情况、提供虚假资料，我方愿意接受主管部门作出的行政处罚。</w:t>
      </w:r>
    </w:p>
    <w:p>
      <w:pPr>
        <w:spacing w:line="440" w:lineRule="exact"/>
        <w:ind w:firstLine="420" w:firstLineChars="200"/>
        <w:rPr>
          <w:rFonts w:ascii="宋体" w:hAnsi="宋体"/>
          <w:color w:val="000000"/>
          <w:szCs w:val="21"/>
        </w:rPr>
      </w:pPr>
      <w:r>
        <w:rPr>
          <w:rFonts w:hint="eastAsia" w:ascii="宋体" w:hAnsi="宋体"/>
          <w:szCs w:val="21"/>
        </w:rPr>
        <w:t>10、</w:t>
      </w:r>
      <w:r>
        <w:rPr>
          <w:rFonts w:hint="eastAsia" w:ascii="宋体" w:hAnsi="宋体"/>
          <w:color w:val="000000"/>
          <w:szCs w:val="21"/>
        </w:rPr>
        <w:t>与本投标活动有关的一切正式往来文书（包括但不限质疑答复、投诉处理决定书等）如果我方未在贵单位要求的时间内前往贵单位领取，请将上述相关文书寄至如下地址或发送至如下电子邮箱或通过传真至如下传真号，上述任何一种送达方式我方均认可，如果我方提供的地址或传真号或电子邮箱号有误，一切不利法律后果我方自己承担：</w:t>
      </w:r>
    </w:p>
    <w:p>
      <w:pPr>
        <w:spacing w:line="440" w:lineRule="exact"/>
        <w:ind w:firstLine="420" w:firstLineChars="200"/>
        <w:rPr>
          <w:rFonts w:ascii="宋体" w:hAnsi="宋体"/>
          <w:color w:val="000000"/>
          <w:szCs w:val="21"/>
        </w:rPr>
      </w:pPr>
      <w:r>
        <w:rPr>
          <w:rFonts w:hint="eastAsia" w:ascii="宋体" w:hAnsi="宋体"/>
          <w:color w:val="000000"/>
          <w:szCs w:val="21"/>
        </w:rPr>
        <w:t>地址：</w:t>
      </w:r>
      <w:r>
        <w:rPr>
          <w:rFonts w:hint="eastAsia" w:ascii="宋体" w:hAnsi="宋体"/>
          <w:szCs w:val="21"/>
          <w:u w:val="single"/>
        </w:rPr>
        <w:t xml:space="preserve">                                         </w:t>
      </w:r>
    </w:p>
    <w:p>
      <w:pPr>
        <w:spacing w:line="440" w:lineRule="exact"/>
        <w:ind w:firstLine="420" w:firstLineChars="200"/>
        <w:rPr>
          <w:rFonts w:ascii="宋体" w:hAnsi="宋体"/>
          <w:color w:val="000000"/>
          <w:szCs w:val="21"/>
        </w:rPr>
      </w:pPr>
      <w:r>
        <w:rPr>
          <w:rFonts w:hint="eastAsia" w:ascii="宋体" w:hAnsi="宋体"/>
          <w:color w:val="000000"/>
          <w:szCs w:val="21"/>
        </w:rPr>
        <w:t>收件人：</w:t>
      </w:r>
      <w:r>
        <w:rPr>
          <w:rFonts w:hint="eastAsia" w:ascii="宋体" w:hAnsi="宋体"/>
          <w:szCs w:val="21"/>
          <w:u w:val="single"/>
        </w:rPr>
        <w:t xml:space="preserve">                             </w:t>
      </w:r>
    </w:p>
    <w:p>
      <w:pPr>
        <w:spacing w:line="440" w:lineRule="exact"/>
        <w:ind w:firstLine="420" w:firstLineChars="200"/>
        <w:rPr>
          <w:rFonts w:ascii="宋体" w:hAnsi="宋体"/>
          <w:color w:val="000000"/>
          <w:szCs w:val="21"/>
        </w:rPr>
      </w:pPr>
      <w:r>
        <w:rPr>
          <w:rFonts w:hint="eastAsia" w:ascii="宋体" w:hAnsi="宋体"/>
          <w:color w:val="000000"/>
          <w:szCs w:val="21"/>
        </w:rPr>
        <w:t>收件人联系电话：</w:t>
      </w:r>
      <w:r>
        <w:rPr>
          <w:rFonts w:hint="eastAsia" w:ascii="宋体" w:hAnsi="宋体"/>
          <w:szCs w:val="21"/>
          <w:u w:val="single"/>
        </w:rPr>
        <w:t xml:space="preserve">                     </w:t>
      </w:r>
    </w:p>
    <w:p>
      <w:pPr>
        <w:spacing w:line="440" w:lineRule="exact"/>
        <w:ind w:firstLine="420" w:firstLineChars="200"/>
        <w:rPr>
          <w:rFonts w:ascii="宋体" w:hAnsi="宋体"/>
          <w:color w:val="000000"/>
          <w:szCs w:val="21"/>
        </w:rPr>
      </w:pPr>
      <w:r>
        <w:rPr>
          <w:rFonts w:hint="eastAsia" w:ascii="宋体" w:hAnsi="宋体"/>
          <w:color w:val="000000"/>
          <w:szCs w:val="21"/>
        </w:rPr>
        <w:t>电子邮箱：</w:t>
      </w:r>
      <w:r>
        <w:rPr>
          <w:rFonts w:hint="eastAsia" w:ascii="宋体" w:hAnsi="宋体"/>
          <w:szCs w:val="21"/>
          <w:u w:val="single"/>
        </w:rPr>
        <w:t xml:space="preserve">                           </w:t>
      </w:r>
    </w:p>
    <w:p>
      <w:pPr>
        <w:spacing w:line="440" w:lineRule="exact"/>
        <w:ind w:firstLine="420" w:firstLineChars="200"/>
        <w:rPr>
          <w:rFonts w:ascii="宋体" w:hAnsi="宋体"/>
          <w:color w:val="000000"/>
          <w:szCs w:val="21"/>
        </w:rPr>
      </w:pPr>
      <w:r>
        <w:rPr>
          <w:rFonts w:hint="eastAsia" w:ascii="宋体" w:hAnsi="宋体"/>
          <w:color w:val="000000"/>
          <w:szCs w:val="21"/>
        </w:rPr>
        <w:t>投标人名称（盖章）：</w:t>
      </w:r>
      <w:r>
        <w:rPr>
          <w:rFonts w:hint="eastAsia" w:ascii="宋体" w:hAnsi="宋体"/>
          <w:szCs w:val="21"/>
          <w:u w:val="single"/>
        </w:rPr>
        <w:t xml:space="preserve">                              </w:t>
      </w:r>
    </w:p>
    <w:p>
      <w:pPr>
        <w:spacing w:line="440" w:lineRule="exact"/>
        <w:ind w:firstLine="420" w:firstLineChars="200"/>
        <w:rPr>
          <w:rFonts w:ascii="宋体" w:hAnsi="宋体"/>
          <w:b/>
          <w:bCs/>
          <w:color w:val="000000"/>
          <w:sz w:val="32"/>
          <w:szCs w:val="32"/>
        </w:rPr>
      </w:pPr>
      <w:r>
        <w:rPr>
          <w:rFonts w:hint="eastAsia" w:ascii="宋体" w:hAnsi="宋体"/>
          <w:color w:val="000000"/>
          <w:szCs w:val="21"/>
        </w:rPr>
        <w:t>日期：</w:t>
      </w:r>
      <w:r>
        <w:rPr>
          <w:rFonts w:hint="eastAsia" w:ascii="宋体" w:hAnsi="宋体"/>
          <w:szCs w:val="21"/>
          <w:u w:val="single"/>
        </w:rPr>
        <w:t xml:space="preserve">                               </w:t>
      </w:r>
    </w:p>
    <w:p>
      <w:pPr>
        <w:spacing w:line="440" w:lineRule="exact"/>
        <w:rPr>
          <w:rFonts w:asciiTheme="minorEastAsia" w:hAnsiTheme="minorEastAsia" w:eastAsiaTheme="minorEastAsia"/>
          <w:b/>
          <w:bCs/>
          <w:szCs w:val="21"/>
        </w:rPr>
      </w:pPr>
    </w:p>
    <w:p>
      <w:pPr>
        <w:pStyle w:val="3"/>
        <w:keepNext w:val="0"/>
        <w:keepLines w:val="0"/>
        <w:spacing w:before="0" w:after="0" w:line="440" w:lineRule="exact"/>
        <w:ind w:right="945"/>
        <w:jc w:val="right"/>
        <w:rPr>
          <w:rFonts w:ascii="宋体" w:hAnsi="宋体" w:cs="Times New Roman"/>
          <w:b w:val="0"/>
          <w:bCs w:val="0"/>
          <w:color w:val="000000"/>
          <w:sz w:val="21"/>
          <w:szCs w:val="21"/>
        </w:rPr>
      </w:pPr>
    </w:p>
    <w:p>
      <w:pPr>
        <w:pStyle w:val="3"/>
        <w:keepNext w:val="0"/>
        <w:keepLines w:val="0"/>
        <w:spacing w:before="0" w:after="0" w:line="440" w:lineRule="exact"/>
        <w:ind w:right="1365"/>
        <w:jc w:val="center"/>
        <w:rPr>
          <w:rFonts w:ascii="宋体" w:hAnsi="宋体" w:cs="Times New Roman"/>
          <w:b w:val="0"/>
          <w:bCs w:val="0"/>
          <w:color w:val="000000"/>
          <w:sz w:val="21"/>
          <w:szCs w:val="21"/>
        </w:rPr>
      </w:pPr>
      <w:r>
        <w:rPr>
          <w:rFonts w:hint="eastAsia" w:ascii="宋体" w:hAnsi="宋体" w:cs="Times New Roman"/>
          <w:b w:val="0"/>
          <w:bCs w:val="0"/>
          <w:color w:val="000000"/>
          <w:sz w:val="21"/>
          <w:szCs w:val="21"/>
        </w:rPr>
        <w:t xml:space="preserve"> </w:t>
      </w:r>
      <w:r>
        <w:rPr>
          <w:rFonts w:ascii="宋体" w:hAnsi="宋体" w:cs="Times New Roman"/>
          <w:b w:val="0"/>
          <w:bCs w:val="0"/>
          <w:color w:val="000000"/>
          <w:sz w:val="21"/>
          <w:szCs w:val="21"/>
        </w:rPr>
        <w:t xml:space="preserve">                       </w:t>
      </w:r>
      <w:r>
        <w:rPr>
          <w:rFonts w:hint="eastAsia" w:ascii="宋体" w:hAnsi="宋体" w:cs="Times New Roman"/>
          <w:b w:val="0"/>
          <w:bCs w:val="0"/>
          <w:color w:val="000000"/>
          <w:sz w:val="21"/>
          <w:szCs w:val="21"/>
        </w:rPr>
        <w:t>法定代表人或其授权委托人(签名或盖私章)</w:t>
      </w:r>
      <w:r>
        <w:rPr>
          <w:rFonts w:ascii="宋体" w:hAnsi="宋体" w:cs="Times New Roman"/>
          <w:b w:val="0"/>
          <w:bCs w:val="0"/>
          <w:color w:val="000000"/>
          <w:sz w:val="21"/>
          <w:szCs w:val="21"/>
        </w:rPr>
        <w:t>:</w:t>
      </w:r>
    </w:p>
    <w:p>
      <w:pPr>
        <w:spacing w:line="440" w:lineRule="exact"/>
        <w:ind w:firstLine="4949" w:firstLineChars="2357"/>
        <w:rPr>
          <w:rFonts w:ascii="宋体" w:hAnsi="宋体"/>
          <w:szCs w:val="21"/>
        </w:rPr>
      </w:pPr>
      <w:r>
        <w:rPr>
          <w:rFonts w:hint="eastAsia" w:ascii="宋体" w:hAnsi="宋体"/>
          <w:szCs w:val="21"/>
        </w:rPr>
        <w:t xml:space="preserve">投标单位名称（公章）： </w:t>
      </w:r>
    </w:p>
    <w:p>
      <w:pPr>
        <w:pStyle w:val="10"/>
        <w:spacing w:line="440" w:lineRule="exact"/>
        <w:ind w:firstLine="422" w:firstLineChars="200"/>
        <w:rPr>
          <w:rFonts w:ascii="宋体" w:hAnsi="宋体" w:eastAsia="宋体"/>
          <w:sz w:val="21"/>
          <w:szCs w:val="21"/>
        </w:rPr>
      </w:pPr>
      <w:r>
        <w:rPr>
          <w:rFonts w:hint="eastAsia" w:ascii="宋体"/>
          <w:b/>
          <w:sz w:val="21"/>
          <w:szCs w:val="21"/>
        </w:rPr>
        <w:t xml:space="preserve">                                                          </w:t>
      </w:r>
      <w:r>
        <w:rPr>
          <w:rFonts w:hint="eastAsia" w:ascii="宋体" w:hAnsi="宋体" w:eastAsia="宋体"/>
          <w:sz w:val="21"/>
          <w:szCs w:val="21"/>
        </w:rPr>
        <w:t xml:space="preserve">   年   月    日</w:t>
      </w:r>
    </w:p>
    <w:p>
      <w:pPr>
        <w:pStyle w:val="3"/>
        <w:keepNext w:val="0"/>
        <w:keepLines w:val="0"/>
        <w:spacing w:before="0" w:after="0" w:line="440" w:lineRule="exact"/>
        <w:ind w:right="945"/>
        <w:jc w:val="right"/>
        <w:rPr>
          <w:rFonts w:ascii="黑体" w:eastAsia="黑体"/>
          <w:b w:val="0"/>
          <w:sz w:val="24"/>
        </w:rPr>
      </w:pPr>
      <w:r>
        <w:rPr>
          <w:rFonts w:ascii="宋体" w:hAnsi="宋体"/>
          <w:b w:val="0"/>
          <w:bCs w:val="0"/>
          <w:color w:val="000000"/>
        </w:rPr>
        <w:br w:type="page"/>
      </w:r>
      <w:bookmarkStart w:id="73" w:name="_Toc70231343"/>
      <w:bookmarkStart w:id="74" w:name="_Toc70231447"/>
      <w:bookmarkStart w:id="75" w:name="_Toc18908"/>
      <w:r>
        <w:rPr>
          <w:rFonts w:hint="eastAsia" w:ascii="宋体" w:hAnsi="宋体"/>
          <w:color w:val="000000"/>
          <w:sz w:val="21"/>
          <w:szCs w:val="21"/>
        </w:rPr>
        <w:t>格式二：政府采购投标及履约承诺函格式</w:t>
      </w:r>
      <w:bookmarkEnd w:id="73"/>
      <w:bookmarkEnd w:id="74"/>
      <w:bookmarkEnd w:id="75"/>
    </w:p>
    <w:p>
      <w:pPr>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政府采购投标及履约承诺函</w:t>
      </w:r>
    </w:p>
    <w:p>
      <w:pPr>
        <w:spacing w:line="440" w:lineRule="exact"/>
        <w:rPr>
          <w:rFonts w:ascii="宋体" w:hAnsi="宋体"/>
          <w:szCs w:val="21"/>
        </w:rPr>
      </w:pPr>
      <w:r>
        <w:rPr>
          <w:rFonts w:hint="eastAsia" w:ascii="宋体" w:hAnsi="宋体"/>
          <w:szCs w:val="21"/>
        </w:rPr>
        <w:t>致：深圳市</w:t>
      </w:r>
      <w:r>
        <w:rPr>
          <w:rFonts w:hint="eastAsia" w:ascii="宋体" w:hAnsi="宋体"/>
          <w:color w:val="000000"/>
          <w:szCs w:val="21"/>
        </w:rPr>
        <w:t>福田区第二人民医院</w:t>
      </w:r>
    </w:p>
    <w:p>
      <w:pPr>
        <w:spacing w:line="440" w:lineRule="exact"/>
        <w:ind w:right="-815" w:firstLine="420" w:firstLineChars="200"/>
        <w:rPr>
          <w:rFonts w:ascii="宋体" w:hAnsi="宋体"/>
          <w:szCs w:val="21"/>
        </w:rPr>
      </w:pPr>
      <w:r>
        <w:rPr>
          <w:rFonts w:hint="eastAsia" w:ascii="宋体" w:hAnsi="宋体"/>
          <w:szCs w:val="21"/>
        </w:rPr>
        <w:t>我单位承诺：</w:t>
      </w:r>
    </w:p>
    <w:p>
      <w:pPr>
        <w:spacing w:line="440" w:lineRule="exact"/>
        <w:ind w:firstLine="420" w:firstLineChars="200"/>
        <w:rPr>
          <w:rFonts w:ascii="宋体" w:hAnsi="宋体"/>
          <w:szCs w:val="21"/>
        </w:rPr>
      </w:pPr>
      <w:r>
        <w:rPr>
          <w:rFonts w:hint="eastAsia" w:ascii="宋体" w:hAnsi="宋体"/>
          <w:szCs w:val="21"/>
        </w:rPr>
        <w:t>1.我单位为本招标项目所提供的货物、工程或服务未侵犯知识产权，如我单位在投标文件中提供了专利证书的，我单位保证所投对应产品具有该项专利；保证采购人拥有所投产品完整的所有权，不以保护知识产权或技术保密的名义对所有权和使用权进行任何限制。</w:t>
      </w:r>
    </w:p>
    <w:p>
      <w:pPr>
        <w:spacing w:line="440" w:lineRule="exact"/>
        <w:ind w:firstLine="420" w:firstLineChars="200"/>
        <w:rPr>
          <w:rFonts w:ascii="宋体" w:hAnsi="宋体"/>
          <w:szCs w:val="21"/>
        </w:rPr>
      </w:pPr>
      <w:r>
        <w:rPr>
          <w:rFonts w:hint="eastAsia" w:ascii="宋体" w:hAnsi="宋体"/>
          <w:szCs w:val="21"/>
        </w:rPr>
        <w:t>2.我单位参与本项目投标前三年内，在经营活动中没有重大违法记录，即我单位没有受到刑事处罚或者责令停产停业、吊销许可证或者执照、较大数额罚款等行政处罚。</w:t>
      </w:r>
    </w:p>
    <w:p>
      <w:pPr>
        <w:spacing w:line="440" w:lineRule="exact"/>
        <w:ind w:firstLine="420" w:firstLineChars="200"/>
        <w:rPr>
          <w:rFonts w:ascii="宋体" w:hAnsi="宋体"/>
          <w:szCs w:val="21"/>
        </w:rPr>
      </w:pPr>
      <w:r>
        <w:rPr>
          <w:rFonts w:hint="eastAsia" w:ascii="宋体" w:hAnsi="宋体"/>
          <w:szCs w:val="21"/>
        </w:rPr>
        <w:t>3.我单位参与本项目政府采购活动时不存在被有关部门禁止参与政府采购活动且在有效期内的情况。</w:t>
      </w:r>
    </w:p>
    <w:p>
      <w:pPr>
        <w:spacing w:line="440" w:lineRule="exact"/>
        <w:ind w:firstLine="420" w:firstLineChars="200"/>
        <w:rPr>
          <w:rFonts w:ascii="宋体" w:hAnsi="宋体"/>
          <w:szCs w:val="21"/>
        </w:rPr>
      </w:pPr>
      <w:r>
        <w:rPr>
          <w:rFonts w:hint="eastAsia" w:ascii="宋体" w:hAnsi="宋体"/>
          <w:szCs w:val="21"/>
        </w:rPr>
        <w:t>4.我单位近三年内无行贿犯罪记录；</w:t>
      </w:r>
    </w:p>
    <w:p>
      <w:pPr>
        <w:spacing w:line="440" w:lineRule="exact"/>
        <w:ind w:firstLine="420" w:firstLineChars="200"/>
        <w:rPr>
          <w:rFonts w:ascii="宋体" w:hAnsi="宋体"/>
          <w:szCs w:val="21"/>
        </w:rPr>
      </w:pPr>
      <w:r>
        <w:rPr>
          <w:rFonts w:hint="eastAsia" w:ascii="宋体" w:hAnsi="宋体"/>
          <w:szCs w:val="21"/>
        </w:rPr>
        <w:t>5.我单位具备《中华人民共和国政府采购法》第二十二条规定的资质。</w:t>
      </w:r>
    </w:p>
    <w:p>
      <w:pPr>
        <w:spacing w:line="440" w:lineRule="exact"/>
        <w:ind w:firstLine="420" w:firstLineChars="200"/>
        <w:rPr>
          <w:rFonts w:ascii="宋体" w:hAnsi="宋体"/>
          <w:szCs w:val="21"/>
        </w:rPr>
      </w:pPr>
      <w:r>
        <w:rPr>
          <w:rFonts w:hint="eastAsia" w:ascii="宋体" w:hAnsi="宋体"/>
          <w:szCs w:val="21"/>
        </w:rPr>
        <w:t>6.我单位未被列入失信被执行人、重大税收违法失信主体、政府采购严重违法失信行为记录名单。</w:t>
      </w:r>
    </w:p>
    <w:p>
      <w:pPr>
        <w:spacing w:line="440" w:lineRule="exact"/>
        <w:ind w:firstLine="420" w:firstLineChars="200"/>
        <w:rPr>
          <w:rFonts w:ascii="宋体" w:hAnsi="宋体"/>
          <w:szCs w:val="21"/>
        </w:rPr>
      </w:pPr>
      <w:r>
        <w:rPr>
          <w:rFonts w:ascii="宋体" w:hAnsi="宋体"/>
          <w:szCs w:val="21"/>
        </w:rPr>
        <w:t>7</w:t>
      </w:r>
      <w:r>
        <w:rPr>
          <w:rFonts w:hint="eastAsia" w:ascii="宋体" w:hAnsi="宋体"/>
          <w:szCs w:val="21"/>
        </w:rPr>
        <w:t>.我单位非为本项目提供整体设计、规范编制或者项目管理、监理、检测等服务的供应商。</w:t>
      </w:r>
    </w:p>
    <w:p>
      <w:pPr>
        <w:spacing w:line="440" w:lineRule="exact"/>
        <w:ind w:firstLine="420" w:firstLineChars="200"/>
        <w:rPr>
          <w:rFonts w:ascii="宋体" w:hAnsi="宋体"/>
          <w:szCs w:val="21"/>
        </w:rPr>
      </w:pPr>
      <w:r>
        <w:rPr>
          <w:rFonts w:ascii="宋体" w:hAnsi="宋体"/>
          <w:szCs w:val="21"/>
        </w:rPr>
        <w:t>8</w:t>
      </w:r>
      <w:r>
        <w:rPr>
          <w:rFonts w:hint="eastAsia" w:ascii="宋体" w:hAnsi="宋体"/>
          <w:szCs w:val="21"/>
        </w:rPr>
        <w:t>.我单位不存在“单位负责人为同一人或者存在直接控股、管理关系的不同供应商，参加同一合同项下的政府采购活动”的情形。</w:t>
      </w:r>
    </w:p>
    <w:p>
      <w:pPr>
        <w:spacing w:line="440" w:lineRule="exact"/>
        <w:ind w:firstLine="420" w:firstLineChars="200"/>
        <w:rPr>
          <w:rFonts w:ascii="宋体" w:hAnsi="宋体"/>
          <w:szCs w:val="21"/>
        </w:rPr>
      </w:pPr>
      <w:r>
        <w:rPr>
          <w:rFonts w:ascii="宋体" w:hAnsi="宋体"/>
          <w:szCs w:val="21"/>
        </w:rPr>
        <w:t>9</w:t>
      </w:r>
      <w:r>
        <w:rPr>
          <w:rFonts w:hint="eastAsia" w:ascii="宋体" w:hAnsi="宋体"/>
          <w:szCs w:val="21"/>
        </w:rPr>
        <w:t>.我单位参与该项目投标，严格遵守政府采购相关法律，投标做到诚实，不造假，不围标、串标、陪标。我单位已清楚，如违反上述要求，其投标将作废，被没收投标保证金，被列入不良记录名单并在网上曝光，同时将被提请政府采购监督管理部门给予一定年限内禁止参与政府采购活动或其他处罚。</w:t>
      </w:r>
    </w:p>
    <w:p>
      <w:pPr>
        <w:spacing w:line="440" w:lineRule="exact"/>
        <w:ind w:firstLine="420" w:firstLineChars="200"/>
        <w:rPr>
          <w:rFonts w:ascii="宋体" w:hAnsi="宋体"/>
          <w:szCs w:val="21"/>
        </w:rPr>
      </w:pPr>
      <w:r>
        <w:rPr>
          <w:rFonts w:ascii="宋体" w:hAnsi="宋体"/>
          <w:szCs w:val="21"/>
        </w:rPr>
        <w:t>10</w:t>
      </w:r>
      <w:r>
        <w:rPr>
          <w:rFonts w:hint="eastAsia" w:ascii="宋体" w:hAnsi="宋体"/>
          <w:szCs w:val="21"/>
        </w:rPr>
        <w:t>.我单位如果中标，做到守信，不偷工减料，依照本项目招标文件需求内容、签署的采购合同及本公司在投标中所作的一切承诺履约。项目验收达到全部指标合格，力争优良。</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投标保证金将不被退还，且愿意接受主管部门的处理处罚。</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.我单位承诺不非法转包、分包。</w:t>
      </w:r>
    </w:p>
    <w:p>
      <w:pPr>
        <w:spacing w:line="440" w:lineRule="exact"/>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spacing w:line="440" w:lineRule="exact"/>
        <w:ind w:firstLine="645"/>
        <w:rPr>
          <w:rFonts w:ascii="宋体" w:hAnsi="宋体"/>
          <w:szCs w:val="21"/>
        </w:rPr>
      </w:pPr>
      <w:r>
        <w:rPr>
          <w:rFonts w:hint="eastAsia" w:ascii="宋体" w:hAnsi="宋体"/>
          <w:szCs w:val="21"/>
        </w:rPr>
        <w:t xml:space="preserve">                 </w:t>
      </w:r>
    </w:p>
    <w:p>
      <w:pPr>
        <w:pStyle w:val="3"/>
        <w:keepNext w:val="0"/>
        <w:keepLines w:val="0"/>
        <w:spacing w:before="0" w:after="0" w:line="440" w:lineRule="exact"/>
        <w:ind w:right="945"/>
        <w:jc w:val="right"/>
        <w:rPr>
          <w:rFonts w:ascii="宋体" w:hAnsi="宋体"/>
          <w:szCs w:val="21"/>
        </w:rPr>
      </w:pPr>
    </w:p>
    <w:p>
      <w:pPr>
        <w:pStyle w:val="3"/>
        <w:keepNext w:val="0"/>
        <w:keepLines w:val="0"/>
        <w:spacing w:before="0" w:after="0" w:line="440" w:lineRule="exact"/>
        <w:ind w:right="1365"/>
        <w:jc w:val="center"/>
        <w:rPr>
          <w:rFonts w:ascii="宋体" w:hAnsi="宋体" w:cs="Times New Roman"/>
          <w:b w:val="0"/>
          <w:bCs w:val="0"/>
          <w:color w:val="000000"/>
          <w:sz w:val="21"/>
          <w:szCs w:val="21"/>
        </w:rPr>
      </w:pPr>
      <w:r>
        <w:rPr>
          <w:rFonts w:ascii="宋体" w:hAnsi="宋体"/>
          <w:szCs w:val="21"/>
        </w:rPr>
        <w:t xml:space="preserve">                </w:t>
      </w:r>
      <w:r>
        <w:rPr>
          <w:rFonts w:hint="eastAsia" w:ascii="宋体" w:hAnsi="宋体" w:cs="Times New Roman"/>
          <w:b w:val="0"/>
          <w:bCs w:val="0"/>
          <w:color w:val="000000"/>
          <w:sz w:val="21"/>
          <w:szCs w:val="21"/>
        </w:rPr>
        <w:t>法定代表人或其授权委托人(签名或盖私章)</w:t>
      </w:r>
      <w:r>
        <w:rPr>
          <w:rFonts w:ascii="宋体" w:hAnsi="宋体" w:cs="Times New Roman"/>
          <w:b w:val="0"/>
          <w:bCs w:val="0"/>
          <w:color w:val="000000"/>
          <w:sz w:val="21"/>
          <w:szCs w:val="21"/>
        </w:rPr>
        <w:t>:</w:t>
      </w:r>
    </w:p>
    <w:p>
      <w:pPr>
        <w:spacing w:line="440" w:lineRule="exact"/>
        <w:ind w:firstLine="4949" w:firstLineChars="2357"/>
        <w:rPr>
          <w:rFonts w:ascii="宋体" w:hAnsi="宋体"/>
          <w:szCs w:val="21"/>
        </w:rPr>
      </w:pPr>
      <w:r>
        <w:rPr>
          <w:rFonts w:hint="eastAsia" w:ascii="宋体" w:hAnsi="宋体"/>
          <w:szCs w:val="21"/>
        </w:rPr>
        <w:t xml:space="preserve">投标单位名称（公章）： </w:t>
      </w:r>
    </w:p>
    <w:p>
      <w:pPr>
        <w:pStyle w:val="10"/>
        <w:spacing w:line="440" w:lineRule="exact"/>
        <w:ind w:firstLine="422" w:firstLineChars="200"/>
        <w:rPr>
          <w:rFonts w:ascii="宋体" w:hAnsi="宋体" w:eastAsia="宋体"/>
          <w:sz w:val="21"/>
          <w:szCs w:val="21"/>
        </w:rPr>
      </w:pPr>
      <w:r>
        <w:rPr>
          <w:rFonts w:hint="eastAsia" w:ascii="宋体"/>
          <w:b/>
          <w:sz w:val="21"/>
          <w:szCs w:val="21"/>
        </w:rPr>
        <w:t xml:space="preserve">                                                          </w:t>
      </w:r>
      <w:r>
        <w:rPr>
          <w:rFonts w:hint="eastAsia" w:ascii="宋体" w:hAnsi="宋体" w:eastAsia="宋体"/>
          <w:sz w:val="21"/>
          <w:szCs w:val="21"/>
        </w:rPr>
        <w:t xml:space="preserve">   年   月    日</w:t>
      </w:r>
    </w:p>
    <w:p>
      <w:pPr>
        <w:pStyle w:val="3"/>
        <w:keepNext w:val="0"/>
        <w:keepLines w:val="0"/>
        <w:spacing w:before="0" w:after="0" w:line="440" w:lineRule="exact"/>
        <w:rPr>
          <w:rFonts w:ascii="宋体" w:hAnsi="宋体"/>
          <w:b w:val="0"/>
          <w:color w:val="000000"/>
          <w:szCs w:val="21"/>
        </w:rPr>
      </w:pPr>
      <w:r>
        <w:rPr>
          <w:rFonts w:ascii="宋体" w:hAnsi="宋体"/>
          <w:b w:val="0"/>
          <w:color w:val="000000"/>
          <w:szCs w:val="21"/>
        </w:rPr>
        <w:br w:type="page"/>
      </w:r>
      <w:bookmarkStart w:id="76" w:name="_Toc70231448"/>
      <w:bookmarkStart w:id="77" w:name="_Toc70231344"/>
      <w:bookmarkStart w:id="78" w:name="_Toc21231"/>
      <w:r>
        <w:rPr>
          <w:rFonts w:hint="eastAsia" w:ascii="宋体" w:hAnsi="宋体"/>
          <w:color w:val="000000"/>
          <w:sz w:val="21"/>
          <w:szCs w:val="21"/>
        </w:rPr>
        <w:t>格式三：开标一览表格式</w:t>
      </w:r>
      <w:bookmarkEnd w:id="76"/>
      <w:bookmarkEnd w:id="77"/>
      <w:bookmarkEnd w:id="78"/>
    </w:p>
    <w:p>
      <w:pPr>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开标一览表</w:t>
      </w:r>
    </w:p>
    <w:p>
      <w:pPr>
        <w:spacing w:line="440" w:lineRule="exact"/>
        <w:rPr>
          <w:rFonts w:ascii="宋体" w:hAnsi="宋体"/>
          <w:color w:val="000000"/>
          <w:szCs w:val="21"/>
        </w:rPr>
      </w:pPr>
      <w:r>
        <w:rPr>
          <w:rFonts w:hint="eastAsia" w:ascii="宋体" w:hAnsi="宋体"/>
          <w:color w:val="000000"/>
          <w:szCs w:val="21"/>
        </w:rPr>
        <w:t>投标方名称：</w:t>
      </w:r>
    </w:p>
    <w:p>
      <w:pPr>
        <w:spacing w:line="440" w:lineRule="exact"/>
        <w:rPr>
          <w:rFonts w:ascii="宋体" w:hAnsi="宋体"/>
          <w:color w:val="000000"/>
          <w:szCs w:val="21"/>
        </w:rPr>
      </w:pPr>
      <w:r>
        <w:rPr>
          <w:rFonts w:hint="eastAsia" w:ascii="宋体" w:hAnsi="宋体"/>
          <w:color w:val="000000"/>
          <w:szCs w:val="21"/>
        </w:rPr>
        <w:t>项目编号：</w:t>
      </w:r>
    </w:p>
    <w:p>
      <w:pPr>
        <w:spacing w:line="440" w:lineRule="exact"/>
        <w:rPr>
          <w:rFonts w:ascii="宋体" w:hAnsi="宋体"/>
          <w:color w:val="000000"/>
          <w:szCs w:val="21"/>
        </w:rPr>
      </w:pPr>
      <w:r>
        <w:rPr>
          <w:rFonts w:hint="eastAsia" w:ascii="宋体" w:hAnsi="宋体"/>
          <w:color w:val="000000"/>
          <w:szCs w:val="21"/>
        </w:rPr>
        <w:t xml:space="preserve">投标项目：                                  </w:t>
      </w:r>
    </w:p>
    <w:p>
      <w:pPr>
        <w:spacing w:line="440" w:lineRule="exact"/>
        <w:rPr>
          <w:rFonts w:ascii="宋体" w:hAnsi="宋体"/>
          <w:color w:val="000000"/>
          <w:szCs w:val="21"/>
        </w:rPr>
      </w:pPr>
      <w:r>
        <w:rPr>
          <w:rFonts w:hint="eastAsia" w:ascii="宋体" w:hAnsi="宋体"/>
          <w:color w:val="000000"/>
          <w:szCs w:val="21"/>
        </w:rPr>
        <w:t>投标总价（人民币大写）：</w:t>
      </w:r>
    </w:p>
    <w:p>
      <w:pPr>
        <w:spacing w:line="440" w:lineRule="exact"/>
        <w:rPr>
          <w:rFonts w:ascii="宋体" w:hAnsi="宋体"/>
          <w:color w:val="000000"/>
          <w:szCs w:val="21"/>
        </w:rPr>
      </w:pPr>
    </w:p>
    <w:p>
      <w:pPr>
        <w:spacing w:line="440" w:lineRule="exact"/>
        <w:rPr>
          <w:rFonts w:ascii="宋体" w:hAnsi="宋体"/>
          <w:color w:val="000000"/>
          <w:szCs w:val="21"/>
        </w:rPr>
      </w:pPr>
      <w:r>
        <w:rPr>
          <w:rFonts w:hint="eastAsia" w:ascii="宋体" w:hAnsi="宋体"/>
          <w:color w:val="000000"/>
          <w:szCs w:val="21"/>
        </w:rPr>
        <w:t xml:space="preserve"> </w:t>
      </w:r>
    </w:p>
    <w:p>
      <w:pPr>
        <w:spacing w:line="440" w:lineRule="exact"/>
        <w:rPr>
          <w:rFonts w:ascii="宋体" w:hAnsi="宋体"/>
          <w:color w:val="000000"/>
          <w:szCs w:val="21"/>
        </w:rPr>
      </w:pPr>
      <w:r>
        <w:rPr>
          <w:rFonts w:hint="eastAsia" w:ascii="宋体" w:hAnsi="宋体"/>
          <w:color w:val="000000"/>
          <w:szCs w:val="21"/>
        </w:rPr>
        <w:t>投标单位公章：</w:t>
      </w:r>
    </w:p>
    <w:p>
      <w:pPr>
        <w:spacing w:line="440" w:lineRule="exact"/>
        <w:rPr>
          <w:rFonts w:ascii="宋体" w:hAnsi="宋体"/>
          <w:color w:val="000000"/>
          <w:szCs w:val="21"/>
        </w:rPr>
      </w:pPr>
    </w:p>
    <w:p>
      <w:pPr>
        <w:spacing w:line="440" w:lineRule="exact"/>
        <w:rPr>
          <w:rFonts w:ascii="宋体" w:hAnsi="宋体"/>
          <w:color w:val="000000"/>
          <w:szCs w:val="21"/>
        </w:rPr>
      </w:pPr>
      <w:r>
        <w:rPr>
          <w:rFonts w:hint="eastAsia" w:ascii="宋体" w:hAnsi="宋体"/>
          <w:color w:val="000000"/>
          <w:szCs w:val="21"/>
        </w:rPr>
        <w:t>注：如投标人同时对多个项目包进行投标，开标一览表必须分包单独制作。</w:t>
      </w:r>
    </w:p>
    <w:p>
      <w:pPr>
        <w:spacing w:line="440" w:lineRule="exact"/>
        <w:ind w:left="1080" w:hanging="1080" w:hangingChars="450"/>
        <w:rPr>
          <w:rFonts w:ascii="宋体" w:hAnsi="宋体"/>
          <w:bCs/>
          <w:color w:val="000000"/>
          <w:sz w:val="24"/>
          <w:szCs w:val="24"/>
        </w:rPr>
      </w:pPr>
      <w:r>
        <w:rPr>
          <w:rFonts w:hint="eastAsia" w:ascii="宋体" w:hAnsi="宋体"/>
          <w:color w:val="000000"/>
          <w:sz w:val="24"/>
          <w:szCs w:val="24"/>
        </w:rPr>
        <w:t xml:space="preserve">     </w:t>
      </w:r>
    </w:p>
    <w:p>
      <w:pPr>
        <w:pStyle w:val="3"/>
        <w:keepNext w:val="0"/>
        <w:keepLines w:val="0"/>
        <w:spacing w:before="0" w:after="0" w:line="440" w:lineRule="exact"/>
        <w:rPr>
          <w:rFonts w:ascii="宋体" w:hAnsi="宋体"/>
          <w:color w:val="000000"/>
          <w:sz w:val="21"/>
          <w:szCs w:val="21"/>
        </w:rPr>
      </w:pPr>
      <w:bookmarkStart w:id="79" w:name="_Toc29345"/>
      <w:bookmarkStart w:id="80" w:name="_Toc70231449"/>
      <w:bookmarkStart w:id="81" w:name="_Toc70231345"/>
      <w:r>
        <w:rPr>
          <w:rFonts w:hint="eastAsia" w:ascii="宋体" w:hAnsi="宋体"/>
          <w:color w:val="000000"/>
          <w:sz w:val="21"/>
          <w:szCs w:val="21"/>
        </w:rPr>
        <w:t>格式四：投标报价明细表格式</w:t>
      </w:r>
      <w:bookmarkEnd w:id="79"/>
      <w:bookmarkEnd w:id="80"/>
      <w:bookmarkEnd w:id="81"/>
    </w:p>
    <w:p>
      <w:pPr>
        <w:jc w:val="center"/>
        <w:rPr>
          <w:rFonts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投标报价明细表</w:t>
      </w:r>
    </w:p>
    <w:p>
      <w:pPr>
        <w:spacing w:line="440" w:lineRule="exact"/>
        <w:rPr>
          <w:rFonts w:ascii="宋体" w:hAnsi="宋体"/>
          <w:bCs/>
          <w:color w:val="000000"/>
          <w:szCs w:val="21"/>
        </w:rPr>
      </w:pPr>
      <w:r>
        <w:rPr>
          <w:rFonts w:hint="eastAsia" w:ascii="宋体" w:hAnsi="宋体"/>
          <w:bCs/>
          <w:color w:val="000000"/>
          <w:szCs w:val="21"/>
        </w:rPr>
        <w:t>投标方名称：</w:t>
      </w:r>
    </w:p>
    <w:p>
      <w:pPr>
        <w:spacing w:line="440" w:lineRule="exact"/>
        <w:rPr>
          <w:rFonts w:ascii="宋体" w:hAnsi="宋体"/>
          <w:bCs/>
          <w:color w:val="000000"/>
          <w:szCs w:val="21"/>
        </w:rPr>
      </w:pPr>
      <w:r>
        <w:rPr>
          <w:rFonts w:hint="eastAsia" w:ascii="宋体" w:hAnsi="宋体"/>
          <w:bCs/>
          <w:color w:val="000000"/>
          <w:szCs w:val="21"/>
        </w:rPr>
        <w:t xml:space="preserve">项目编号： </w:t>
      </w:r>
    </w:p>
    <w:p>
      <w:pPr>
        <w:spacing w:line="440" w:lineRule="exact"/>
        <w:rPr>
          <w:rFonts w:ascii="宋体" w:hAnsi="宋体"/>
          <w:bCs/>
          <w:color w:val="000000"/>
          <w:szCs w:val="21"/>
        </w:rPr>
      </w:pPr>
      <w:r>
        <w:rPr>
          <w:rFonts w:hint="eastAsia" w:ascii="宋体" w:hAnsi="宋体"/>
          <w:bCs/>
          <w:color w:val="000000"/>
          <w:szCs w:val="21"/>
        </w:rPr>
        <w:t>投标项目：                                                       货币单位：人民币元</w:t>
      </w:r>
    </w:p>
    <w:tbl>
      <w:tblPr>
        <w:tblStyle w:val="29"/>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9215" w:type="dxa"/>
            <w:vAlign w:val="center"/>
          </w:tcPr>
          <w:p>
            <w:pPr>
              <w:spacing w:line="440" w:lineRule="exact"/>
              <w:jc w:val="center"/>
              <w:rPr>
                <w:rFonts w:ascii="宋体" w:hAnsi="宋体"/>
                <w:color w:val="000000"/>
                <w:szCs w:val="21"/>
              </w:rPr>
            </w:pPr>
            <w:r>
              <w:rPr>
                <w:rFonts w:hint="eastAsia" w:ascii="宋体" w:hAnsi="宋体"/>
                <w:b/>
                <w:color w:val="000000"/>
                <w:szCs w:val="21"/>
              </w:rPr>
              <w:t>投标人按第四章的要求自行制作投标报价明细表</w:t>
            </w:r>
          </w:p>
        </w:tc>
      </w:tr>
    </w:tbl>
    <w:p>
      <w:pPr>
        <w:spacing w:line="440" w:lineRule="exact"/>
        <w:rPr>
          <w:rFonts w:ascii="宋体" w:hAnsi="宋体"/>
          <w:bCs/>
          <w:color w:val="000000"/>
          <w:szCs w:val="21"/>
        </w:rPr>
      </w:pPr>
      <w:r>
        <w:rPr>
          <w:rFonts w:hint="eastAsia" w:ascii="宋体" w:hAnsi="宋体"/>
          <w:color w:val="000000"/>
          <w:szCs w:val="21"/>
        </w:rPr>
        <w:t xml:space="preserve"> </w:t>
      </w:r>
    </w:p>
    <w:p>
      <w:pPr>
        <w:spacing w:line="440" w:lineRule="exact"/>
        <w:rPr>
          <w:rFonts w:ascii="宋体" w:hAnsi="宋体"/>
          <w:bCs/>
          <w:color w:val="000000"/>
          <w:szCs w:val="21"/>
        </w:rPr>
      </w:pPr>
      <w:r>
        <w:rPr>
          <w:rFonts w:hint="eastAsia" w:ascii="宋体" w:hAnsi="宋体"/>
          <w:bCs/>
          <w:color w:val="000000"/>
          <w:szCs w:val="21"/>
        </w:rPr>
        <w:t>投标单位公章：</w:t>
      </w:r>
    </w:p>
    <w:p>
      <w:pPr>
        <w:spacing w:line="440" w:lineRule="exact"/>
        <w:rPr>
          <w:rFonts w:ascii="宋体" w:hAnsi="宋体"/>
          <w:bCs/>
          <w:color w:val="000000"/>
          <w:szCs w:val="21"/>
        </w:rPr>
      </w:pPr>
    </w:p>
    <w:p>
      <w:pPr>
        <w:spacing w:line="440" w:lineRule="exact"/>
        <w:ind w:firstLine="645"/>
        <w:jc w:val="center"/>
        <w:rPr>
          <w:rFonts w:ascii="宋体" w:hAnsi="宋体"/>
          <w:b/>
          <w:bCs/>
          <w:color w:val="000000"/>
          <w:sz w:val="32"/>
          <w:szCs w:val="32"/>
        </w:rPr>
      </w:pPr>
    </w:p>
    <w:p>
      <w:pPr>
        <w:pStyle w:val="3"/>
        <w:keepNext w:val="0"/>
        <w:keepLines w:val="0"/>
        <w:spacing w:before="0" w:after="0" w:line="440" w:lineRule="exact"/>
        <w:rPr>
          <w:rFonts w:ascii="宋体" w:hAnsi="宋体"/>
          <w:color w:val="000000"/>
          <w:sz w:val="21"/>
          <w:szCs w:val="21"/>
        </w:rPr>
      </w:pPr>
      <w:r>
        <w:rPr>
          <w:rFonts w:ascii="宋体" w:hAnsi="宋体"/>
          <w:b w:val="0"/>
          <w:bCs w:val="0"/>
          <w:color w:val="000000"/>
        </w:rPr>
        <w:br w:type="page"/>
      </w:r>
      <w:bookmarkStart w:id="82" w:name="_Toc5437"/>
      <w:bookmarkStart w:id="83" w:name="_Toc70231346"/>
      <w:bookmarkStart w:id="84" w:name="_Toc70231450"/>
      <w:r>
        <w:rPr>
          <w:rFonts w:hint="eastAsia" w:ascii="宋体" w:hAnsi="宋体"/>
          <w:color w:val="000000"/>
          <w:sz w:val="21"/>
          <w:szCs w:val="21"/>
        </w:rPr>
        <w:t>格式五：法定代表人证明书及授权委托书格式</w:t>
      </w:r>
      <w:bookmarkEnd w:id="82"/>
      <w:bookmarkEnd w:id="83"/>
      <w:bookmarkEnd w:id="84"/>
    </w:p>
    <w:p>
      <w:pPr>
        <w:jc w:val="center"/>
        <w:rPr>
          <w:rFonts w:ascii="微软雅黑" w:hAnsi="微软雅黑" w:eastAsia="微软雅黑" w:cs="微软雅黑"/>
          <w:b/>
          <w:bCs/>
          <w:sz w:val="30"/>
          <w:szCs w:val="30"/>
        </w:rPr>
      </w:pPr>
      <w:r>
        <w:rPr>
          <w:rFonts w:hint="eastAsia" w:ascii="微软雅黑" w:hAnsi="微软雅黑" w:eastAsia="微软雅黑" w:cs="微软雅黑"/>
          <w:b/>
          <w:bCs/>
          <w:color w:val="000000"/>
          <w:sz w:val="30"/>
          <w:szCs w:val="30"/>
        </w:rPr>
        <w:t>法定代表人证明书</w:t>
      </w:r>
    </w:p>
    <w:p>
      <w:pPr>
        <w:spacing w:line="440" w:lineRule="exact"/>
        <w:ind w:firstLine="420" w:firstLineChars="200"/>
        <w:rPr>
          <w:rFonts w:ascii="宋体" w:hAnsi="宋体"/>
          <w:u w:val="single"/>
          <w:bdr w:val="single" w:color="auto" w:sz="4" w:space="0"/>
        </w:rPr>
      </w:pPr>
      <w:r>
        <w:rPr>
          <w:rFonts w:ascii="宋体" w:hAnsi="宋体"/>
          <w:u w:val="single"/>
        </w:rPr>
        <w:t xml:space="preserve">    </w:t>
      </w:r>
      <w:r>
        <w:rPr>
          <w:rFonts w:hint="eastAsia" w:ascii="宋体" w:hAnsi="宋体"/>
          <w:color w:val="000000"/>
          <w:szCs w:val="21"/>
          <w:u w:val="single"/>
        </w:rPr>
        <w:t xml:space="preserve">（姓名） </w:t>
      </w:r>
      <w:r>
        <w:rPr>
          <w:rFonts w:ascii="宋体" w:hAnsi="宋体"/>
          <w:u w:val="single"/>
        </w:rPr>
        <w:t xml:space="preserve">    </w:t>
      </w:r>
      <w:r>
        <w:rPr>
          <w:rFonts w:ascii="宋体" w:hAnsi="宋体"/>
        </w:rPr>
        <w:t>同志，现任我单位</w:t>
      </w:r>
      <w:r>
        <w:rPr>
          <w:rFonts w:ascii="宋体" w:hAnsi="宋体"/>
          <w:u w:val="single"/>
        </w:rPr>
        <w:t xml:space="preserve">   </w:t>
      </w:r>
      <w:r>
        <w:rPr>
          <w:rFonts w:hint="eastAsia" w:ascii="宋体" w:hAnsi="宋体"/>
          <w:color w:val="000000"/>
          <w:szCs w:val="21"/>
          <w:u w:val="single"/>
        </w:rPr>
        <w:t>（职务名称）</w:t>
      </w:r>
      <w:r>
        <w:rPr>
          <w:rFonts w:hint="eastAsia" w:ascii="宋体" w:hAnsi="宋体"/>
          <w:i/>
          <w:iCs/>
          <w:color w:val="000000"/>
          <w:szCs w:val="21"/>
          <w:u w:val="single"/>
        </w:rPr>
        <w:t xml:space="preserve"> </w:t>
      </w:r>
      <w:r>
        <w:rPr>
          <w:rFonts w:ascii="宋体" w:hAnsi="宋体"/>
          <w:u w:val="single"/>
        </w:rPr>
        <w:t xml:space="preserve">   </w:t>
      </w:r>
      <w:r>
        <w:rPr>
          <w:rFonts w:ascii="宋体" w:hAnsi="宋体"/>
        </w:rPr>
        <w:t>职务，为法定代表人，特此证明。</w:t>
      </w:r>
    </w:p>
    <w:p>
      <w:pPr>
        <w:spacing w:line="440" w:lineRule="exact"/>
        <w:rPr>
          <w:rFonts w:ascii="宋体" w:hAnsi="宋体"/>
        </w:rPr>
      </w:pPr>
    </w:p>
    <w:p>
      <w:pPr>
        <w:spacing w:line="440" w:lineRule="exact"/>
        <w:ind w:firstLine="420" w:firstLineChars="200"/>
        <w:rPr>
          <w:rFonts w:ascii="宋体" w:hAnsi="宋体"/>
        </w:rPr>
      </w:pPr>
      <w:r>
        <w:rPr>
          <w:rFonts w:ascii="宋体" w:hAnsi="宋体"/>
        </w:rPr>
        <w:t>单位</w:t>
      </w:r>
      <w:r>
        <w:rPr>
          <w:rFonts w:hint="eastAsia" w:ascii="宋体" w:hAnsi="宋体"/>
        </w:rPr>
        <w:t>（盖章）</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440" w:lineRule="exact"/>
        <w:ind w:firstLine="420" w:firstLineChars="200"/>
        <w:rPr>
          <w:rFonts w:ascii="宋体" w:hAnsi="宋体"/>
          <w:szCs w:val="21"/>
        </w:rPr>
      </w:pPr>
      <w:r>
        <w:rPr>
          <w:rFonts w:ascii="宋体" w:hAnsi="宋体"/>
        </w:rPr>
        <w:t>签发日期：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spacing w:line="440" w:lineRule="exact"/>
        <w:rPr>
          <w:rFonts w:ascii="宋体" w:hAnsi="宋体"/>
        </w:rPr>
      </w:pPr>
    </w:p>
    <w:p>
      <w:pPr>
        <w:spacing w:line="440" w:lineRule="exact"/>
        <w:rPr>
          <w:b/>
          <w:szCs w:val="21"/>
        </w:rPr>
      </w:pPr>
      <w:r>
        <w:rPr>
          <w:rFonts w:hint="eastAsia"/>
          <w:b/>
          <w:szCs w:val="21"/>
        </w:rPr>
        <w:t>附：提供法定代表人身份证扫描件或复印件（正反两面，身份证必须在有效期内）</w:t>
      </w:r>
    </w:p>
    <w:p>
      <w:pPr>
        <w:spacing w:line="440" w:lineRule="exact"/>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1329690</wp:posOffset>
                </wp:positionH>
                <wp:positionV relativeFrom="paragraph">
                  <wp:posOffset>122555</wp:posOffset>
                </wp:positionV>
                <wp:extent cx="2815590" cy="1837690"/>
                <wp:effectExtent l="4445" t="4445" r="18415" b="5715"/>
                <wp:wrapNone/>
                <wp:docPr id="1" name="文本框 2"/>
                <wp:cNvGraphicFramePr/>
                <a:graphic xmlns:a="http://schemas.openxmlformats.org/drawingml/2006/main">
                  <a:graphicData uri="http://schemas.microsoft.com/office/word/2010/wordprocessingShape">
                    <wps:wsp>
                      <wps:cNvSpPr txBox="1"/>
                      <wps:spPr>
                        <a:xfrm>
                          <a:off x="0" y="0"/>
                          <a:ext cx="2815590" cy="1837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正面</w:t>
                            </w:r>
                          </w:p>
                        </w:txbxContent>
                      </wps:txbx>
                      <wps:bodyPr anchor="ctr" anchorCtr="0" upright="1"/>
                    </wps:wsp>
                  </a:graphicData>
                </a:graphic>
              </wp:anchor>
            </w:drawing>
          </mc:Choice>
          <mc:Fallback>
            <w:pict>
              <v:shape id="文本框 2" o:spid="_x0000_s1026" o:spt="202" type="#_x0000_t202" style="position:absolute;left:0pt;margin-left:104.7pt;margin-top:9.65pt;height:144.7pt;width:221.7pt;z-index:251659264;v-text-anchor:middle;mso-width-relative:page;mso-height-relative:page;" fillcolor="#FFFFFF" filled="t" stroked="t" coordsize="21600,21600" o:gfxdata="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ctUrWAAAACgEAAA8A&#10;AAAAAAAAAQAgAAAAIgAAAGRycy9kb3ducmV2LnhtbFBLAQIUABQAAAAIAIdO4kC40OVhGQIAAFIE&#10;AAAOAAAAAAAAAAEAIAAAACUBAABkcnMvZTJvRG9jLnhtbFBLBQYAAAAABgAGAFkBAACwBQAAAAA=&#10;">
                <v:fill on="t" focussize="0,0"/>
                <v:stroke color="#000000" joinstyle="miter"/>
                <v:imagedata o:title=""/>
                <o:lock v:ext="edit" aspectratio="f"/>
                <v:textbox>
                  <w:txbxContent>
                    <w:p>
                      <w:pPr>
                        <w:jc w:val="center"/>
                      </w:pPr>
                      <w:r>
                        <w:rPr>
                          <w:rFonts w:hint="eastAsia"/>
                        </w:rPr>
                        <w:t>正面</w:t>
                      </w:r>
                    </w:p>
                  </w:txbxContent>
                </v:textbox>
              </v:shape>
            </w:pict>
          </mc:Fallback>
        </mc:AlternateConten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1316355</wp:posOffset>
                </wp:positionH>
                <wp:positionV relativeFrom="paragraph">
                  <wp:posOffset>100330</wp:posOffset>
                </wp:positionV>
                <wp:extent cx="2815590" cy="1837690"/>
                <wp:effectExtent l="4445" t="4445" r="18415" b="5715"/>
                <wp:wrapNone/>
                <wp:docPr id="2" name="文本框 3"/>
                <wp:cNvGraphicFramePr/>
                <a:graphic xmlns:a="http://schemas.openxmlformats.org/drawingml/2006/main">
                  <a:graphicData uri="http://schemas.microsoft.com/office/word/2010/wordprocessingShape">
                    <wps:wsp>
                      <wps:cNvSpPr txBox="1"/>
                      <wps:spPr>
                        <a:xfrm>
                          <a:off x="0" y="0"/>
                          <a:ext cx="2815590" cy="1837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反面</w:t>
                            </w:r>
                          </w:p>
                        </w:txbxContent>
                      </wps:txbx>
                      <wps:bodyPr anchor="ctr" anchorCtr="0" upright="1"/>
                    </wps:wsp>
                  </a:graphicData>
                </a:graphic>
              </wp:anchor>
            </w:drawing>
          </mc:Choice>
          <mc:Fallback>
            <w:pict>
              <v:shape id="文本框 3" o:spid="_x0000_s1026" o:spt="202" type="#_x0000_t202" style="position:absolute;left:0pt;margin-left:103.65pt;margin-top:7.9pt;height:144.7pt;width:221.7pt;z-index:251660288;v-text-anchor:middle;mso-width-relative:page;mso-height-relative:page;" fillcolor="#FFFFFF" filled="t" stroked="t" coordsize="21600,21600" o:gfxdata="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XG7KNYAAAAKAQAA&#10;DwAAAAAAAAABACAAAAAiAAAAZHJzL2Rvd25yZXYueG1sUEsBAhQAFAAAAAgAh07iQIUh0a4bAgAA&#10;UgQAAA4AAAAAAAAAAQAgAAAAJQEAAGRycy9lMm9Eb2MueG1sUEsFBgAAAAAGAAYAWQEAALIFAAAA&#10;AA==&#10;">
                <v:fill on="t" focussize="0,0"/>
                <v:stroke color="#000000" joinstyle="miter"/>
                <v:imagedata o:title=""/>
                <o:lock v:ext="edit" aspectratio="f"/>
                <v:textbox>
                  <w:txbxContent>
                    <w:p>
                      <w:pPr>
                        <w:jc w:val="center"/>
                      </w:pPr>
                      <w:r>
                        <w:rPr>
                          <w:rFonts w:hint="eastAsia"/>
                        </w:rPr>
                        <w:t>反面</w:t>
                      </w:r>
                    </w:p>
                  </w:txbxContent>
                </v:textbox>
              </v:shape>
            </w:pict>
          </mc:Fallback>
        </mc:AlternateConten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r>
        <w:rPr>
          <w:rFonts w:ascii="宋体" w:hAnsi="宋体"/>
        </w:rPr>
        <w:t>说明：1.法定代表人为企业事业单位、国家机关、社会团体的主要行政负责人。</w:t>
      </w:r>
    </w:p>
    <w:p>
      <w:pPr>
        <w:spacing w:line="440" w:lineRule="exact"/>
        <w:rPr>
          <w:rFonts w:ascii="宋体" w:hAnsi="宋体"/>
        </w:rPr>
      </w:pPr>
      <w:r>
        <w:rPr>
          <w:rFonts w:ascii="宋体" w:hAnsi="宋体"/>
        </w:rPr>
        <w:t xml:space="preserve">      2.内容必须填写真实、清楚，涂改无效，不得转让、买卖。</w:t>
      </w:r>
    </w:p>
    <w:p>
      <w:pPr>
        <w:spacing w:line="440" w:lineRule="exact"/>
      </w:pPr>
    </w:p>
    <w:p>
      <w:pPr>
        <w:jc w:val="left"/>
        <w:rPr>
          <w:rFonts w:eastAsia="黑体"/>
          <w:sz w:val="30"/>
          <w:szCs w:val="30"/>
        </w:rPr>
      </w:pPr>
      <w:r>
        <w:rPr>
          <w:rFonts w:eastAsia="黑体"/>
          <w:sz w:val="30"/>
          <w:szCs w:val="30"/>
        </w:rPr>
        <w:br w:type="page"/>
      </w:r>
    </w:p>
    <w:p>
      <w:pPr>
        <w:jc w:val="center"/>
        <w:rPr>
          <w:rFonts w:ascii="微软雅黑" w:hAnsi="微软雅黑" w:eastAsia="微软雅黑" w:cs="微软雅黑"/>
          <w:b/>
          <w:bCs/>
          <w:sz w:val="30"/>
          <w:szCs w:val="30"/>
        </w:rPr>
      </w:pPr>
      <w:r>
        <w:rPr>
          <w:rFonts w:hint="eastAsia" w:ascii="微软雅黑" w:hAnsi="微软雅黑" w:eastAsia="微软雅黑" w:cs="微软雅黑"/>
          <w:b/>
          <w:bCs/>
          <w:sz w:val="30"/>
          <w:szCs w:val="30"/>
        </w:rPr>
        <w:t>法定代表人授权委托书</w:t>
      </w:r>
    </w:p>
    <w:p>
      <w:pPr>
        <w:spacing w:line="440" w:lineRule="exact"/>
        <w:ind w:firstLine="420"/>
        <w:rPr>
          <w:szCs w:val="21"/>
        </w:rPr>
      </w:pPr>
      <w:r>
        <w:rPr>
          <w:rFonts w:hint="eastAsia"/>
          <w:szCs w:val="21"/>
        </w:rPr>
        <w:t>本授权委托书声明：我</w:t>
      </w:r>
      <w:r>
        <w:rPr>
          <w:rFonts w:hint="eastAsia"/>
          <w:szCs w:val="21"/>
          <w:u w:val="single"/>
        </w:rPr>
        <w:t xml:space="preserve">      （姓名）     </w:t>
      </w:r>
      <w:r>
        <w:rPr>
          <w:rFonts w:hint="eastAsia"/>
          <w:szCs w:val="21"/>
        </w:rPr>
        <w:t>系</w:t>
      </w:r>
      <w:r>
        <w:rPr>
          <w:rFonts w:hint="eastAsia"/>
          <w:szCs w:val="21"/>
          <w:u w:val="single"/>
        </w:rPr>
        <w:t xml:space="preserve">         </w:t>
      </w:r>
      <w:r>
        <w:rPr>
          <w:rFonts w:hint="eastAsia"/>
          <w:i/>
          <w:iCs/>
          <w:szCs w:val="21"/>
          <w:u w:val="single"/>
        </w:rPr>
        <w:t xml:space="preserve"> </w:t>
      </w:r>
      <w:r>
        <w:rPr>
          <w:rFonts w:hint="eastAsia"/>
          <w:szCs w:val="21"/>
          <w:u w:val="single"/>
        </w:rPr>
        <w:t>（投标人名称）</w:t>
      </w:r>
      <w:r>
        <w:rPr>
          <w:rFonts w:hint="eastAsia"/>
          <w:i/>
          <w:iCs/>
          <w:szCs w:val="21"/>
          <w:u w:val="single"/>
        </w:rPr>
        <w:t xml:space="preserve"> </w:t>
      </w:r>
      <w:r>
        <w:rPr>
          <w:rFonts w:hint="eastAsia"/>
          <w:szCs w:val="21"/>
          <w:u w:val="single"/>
        </w:rPr>
        <w:t xml:space="preserve">        </w:t>
      </w:r>
      <w:r>
        <w:rPr>
          <w:rFonts w:hint="eastAsia"/>
          <w:szCs w:val="21"/>
        </w:rPr>
        <w:t>的法定代表人，现授权委托</w:t>
      </w:r>
      <w:r>
        <w:rPr>
          <w:rFonts w:hint="eastAsia"/>
          <w:szCs w:val="21"/>
          <w:u w:val="single"/>
        </w:rPr>
        <w:t xml:space="preserve">       （姓名）     </w:t>
      </w:r>
      <w:r>
        <w:rPr>
          <w:rFonts w:hint="eastAsia"/>
          <w:szCs w:val="21"/>
        </w:rPr>
        <w:t>为我单位签署</w:t>
      </w:r>
      <w:r>
        <w:rPr>
          <w:rFonts w:hint="eastAsia"/>
          <w:szCs w:val="21"/>
          <w:u w:val="single"/>
        </w:rPr>
        <w:t xml:space="preserve">           （项目名称）     </w:t>
      </w:r>
      <w:r>
        <w:rPr>
          <w:rFonts w:hint="eastAsia"/>
          <w:i/>
          <w:iCs/>
          <w:szCs w:val="21"/>
          <w:u w:val="single"/>
        </w:rPr>
        <w:t xml:space="preserve">   </w:t>
      </w:r>
      <w:r>
        <w:rPr>
          <w:rFonts w:hint="eastAsia"/>
          <w:szCs w:val="21"/>
        </w:rPr>
        <w:t>已递交的投标文件的法定代表人的授权委托代理人，代理人全权代表我所签署的本项目已递交的投标文件内容我均承认。</w:t>
      </w:r>
    </w:p>
    <w:p>
      <w:pPr>
        <w:spacing w:line="440" w:lineRule="exact"/>
        <w:ind w:firstLine="420"/>
        <w:rPr>
          <w:b/>
          <w:szCs w:val="21"/>
        </w:rPr>
      </w:pPr>
      <w:r>
        <w:rPr>
          <w:rFonts w:hint="eastAsia" w:ascii="宋体" w:hAnsi="宋体"/>
          <w:color w:val="000000"/>
          <w:szCs w:val="21"/>
        </w:rPr>
        <w:t>本授权委托书于签发之日生效，</w:t>
      </w:r>
      <w:r>
        <w:rPr>
          <w:rFonts w:hint="eastAsia"/>
          <w:szCs w:val="21"/>
        </w:rPr>
        <w:t>代理人无转委托权，特此委托。</w:t>
      </w:r>
    </w:p>
    <w:p>
      <w:pPr>
        <w:spacing w:line="440" w:lineRule="exact"/>
        <w:rPr>
          <w:rFonts w:ascii="宋体" w:hAnsi="宋体"/>
        </w:rPr>
      </w:pPr>
    </w:p>
    <w:p>
      <w:pPr>
        <w:spacing w:line="440" w:lineRule="exact"/>
        <w:ind w:firstLine="420" w:firstLineChars="200"/>
        <w:rPr>
          <w:rFonts w:ascii="宋体" w:hAnsi="宋体"/>
          <w:u w:val="single"/>
        </w:rPr>
      </w:pPr>
      <w:r>
        <w:rPr>
          <w:rFonts w:ascii="宋体" w:hAnsi="宋体"/>
        </w:rPr>
        <w:t>授权单位（盖章）：</w:t>
      </w:r>
      <w:r>
        <w:rPr>
          <w:rFonts w:ascii="宋体" w:hAnsi="宋体"/>
          <w:u w:val="single"/>
        </w:rPr>
        <w:t xml:space="preserve">                        </w:t>
      </w:r>
    </w:p>
    <w:p>
      <w:pPr>
        <w:spacing w:line="440" w:lineRule="exact"/>
        <w:ind w:firstLine="420" w:firstLineChars="200"/>
        <w:rPr>
          <w:rFonts w:ascii="宋体" w:hAnsi="宋体"/>
          <w:u w:val="single"/>
        </w:rPr>
      </w:pPr>
      <w:r>
        <w:rPr>
          <w:rFonts w:ascii="宋体" w:hAnsi="宋体"/>
        </w:rPr>
        <w:t>法定代表人（签名或盖章）：</w:t>
      </w:r>
      <w:r>
        <w:rPr>
          <w:rFonts w:ascii="宋体" w:hAnsi="宋体"/>
          <w:u w:val="single"/>
        </w:rPr>
        <w:t xml:space="preserve">                </w:t>
      </w:r>
    </w:p>
    <w:p>
      <w:pPr>
        <w:spacing w:line="440" w:lineRule="exact"/>
        <w:ind w:firstLine="420" w:firstLineChars="200"/>
        <w:rPr>
          <w:rFonts w:ascii="宋体" w:hAnsi="宋体"/>
          <w:szCs w:val="21"/>
        </w:rPr>
      </w:pPr>
      <w:r>
        <w:rPr>
          <w:rFonts w:ascii="宋体" w:hAnsi="宋体"/>
        </w:rPr>
        <w:t>签发日期：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spacing w:line="440" w:lineRule="exact"/>
        <w:rPr>
          <w:b/>
          <w:szCs w:val="21"/>
        </w:rPr>
      </w:pPr>
    </w:p>
    <w:p>
      <w:pPr>
        <w:spacing w:line="440" w:lineRule="exact"/>
        <w:rPr>
          <w:b/>
          <w:szCs w:val="21"/>
        </w:rPr>
      </w:pPr>
      <w:r>
        <w:rPr>
          <w:rFonts w:hint="eastAsia"/>
          <w:b/>
          <w:szCs w:val="21"/>
        </w:rPr>
        <w:t>附：提供授权委托代理人身份证扫描件或复印件（正反两面，身份证必须在有效期内）</w:t>
      </w:r>
    </w:p>
    <w:p>
      <w:pPr>
        <w:spacing w:line="440" w:lineRule="exact"/>
        <w:rPr>
          <w:rFonts w:ascii="宋体" w:hAnsi="宋体"/>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1365250</wp:posOffset>
                </wp:positionH>
                <wp:positionV relativeFrom="paragraph">
                  <wp:posOffset>125730</wp:posOffset>
                </wp:positionV>
                <wp:extent cx="2815590" cy="1837690"/>
                <wp:effectExtent l="4445" t="4445" r="18415" b="5715"/>
                <wp:wrapNone/>
                <wp:docPr id="3" name="文本框 4"/>
                <wp:cNvGraphicFramePr/>
                <a:graphic xmlns:a="http://schemas.openxmlformats.org/drawingml/2006/main">
                  <a:graphicData uri="http://schemas.microsoft.com/office/word/2010/wordprocessingShape">
                    <wps:wsp>
                      <wps:cNvSpPr txBox="1"/>
                      <wps:spPr>
                        <a:xfrm>
                          <a:off x="0" y="0"/>
                          <a:ext cx="2815590" cy="1837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正面</w:t>
                            </w:r>
                          </w:p>
                        </w:txbxContent>
                      </wps:txbx>
                      <wps:bodyPr anchor="ctr" anchorCtr="0" upright="1"/>
                    </wps:wsp>
                  </a:graphicData>
                </a:graphic>
              </wp:anchor>
            </w:drawing>
          </mc:Choice>
          <mc:Fallback>
            <w:pict>
              <v:shape id="文本框 4" o:spid="_x0000_s1026" o:spt="202" type="#_x0000_t202" style="position:absolute;left:0pt;margin-left:107.5pt;margin-top:9.9pt;height:144.7pt;width:221.7pt;z-index:251661312;v-text-anchor:middle;mso-width-relative:page;mso-height-relative:page;" fillcolor="#FFFFFF" filled="t" stroked="t" coordsize="21600,21600" o:gfxdata="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Mt/EtYAAAAKAQAA&#10;DwAAAAAAAAABACAAAAAiAAAAZHJzL2Rvd25yZXYueG1sUEsBAhQAFAAAAAgAh07iQACdGIkbAgAA&#10;UgQAAA4AAAAAAAAAAQAgAAAAJQEAAGRycy9lMm9Eb2MueG1sUEsFBgAAAAAGAAYAWQEAALIFAAAA&#10;AA==&#10;">
                <v:fill on="t" focussize="0,0"/>
                <v:stroke color="#000000" joinstyle="miter"/>
                <v:imagedata o:title=""/>
                <o:lock v:ext="edit" aspectratio="f"/>
                <v:textbox>
                  <w:txbxContent>
                    <w:p>
                      <w:pPr>
                        <w:jc w:val="center"/>
                      </w:pPr>
                      <w:r>
                        <w:rPr>
                          <w:rFonts w:hint="eastAsia"/>
                        </w:rPr>
                        <w:t>正面</w:t>
                      </w:r>
                    </w:p>
                  </w:txbxContent>
                </v:textbox>
              </v:shape>
            </w:pict>
          </mc:Fallback>
        </mc:AlternateConten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1365250</wp:posOffset>
                </wp:positionH>
                <wp:positionV relativeFrom="paragraph">
                  <wp:posOffset>250190</wp:posOffset>
                </wp:positionV>
                <wp:extent cx="2815590" cy="1837690"/>
                <wp:effectExtent l="4445" t="4445" r="18415" b="5715"/>
                <wp:wrapNone/>
                <wp:docPr id="4" name="文本框 5"/>
                <wp:cNvGraphicFramePr/>
                <a:graphic xmlns:a="http://schemas.openxmlformats.org/drawingml/2006/main">
                  <a:graphicData uri="http://schemas.microsoft.com/office/word/2010/wordprocessingShape">
                    <wps:wsp>
                      <wps:cNvSpPr txBox="1"/>
                      <wps:spPr>
                        <a:xfrm>
                          <a:off x="0" y="0"/>
                          <a:ext cx="2815590" cy="1837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反面</w:t>
                            </w:r>
                          </w:p>
                        </w:txbxContent>
                      </wps:txbx>
                      <wps:bodyPr anchor="ctr" anchorCtr="0" upright="1"/>
                    </wps:wsp>
                  </a:graphicData>
                </a:graphic>
              </wp:anchor>
            </w:drawing>
          </mc:Choice>
          <mc:Fallback>
            <w:pict>
              <v:shape id="文本框 5" o:spid="_x0000_s1026" o:spt="202" type="#_x0000_t202" style="position:absolute;left:0pt;margin-left:107.5pt;margin-top:19.7pt;height:144.7pt;width:221.7pt;z-index:251662336;v-text-anchor:middle;mso-width-relative:page;mso-height-relative:page;" fillcolor="#FFFFFF" filled="t" stroked="t" coordsize="21600,21600" o:gfxdata="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AGLsHXAAAACgEA&#10;AA8AAAAAAAAAAQAgAAAAIgAAAGRycy9kb3ducmV2LnhtbFBLAQIUABQAAAAIAIdO4kDn3364GwIA&#10;AFIEAAAOAAAAAAAAAAEAIAAAACYBAABkcnMvZTJvRG9jLnhtbFBLBQYAAAAABgAGAFkBAACzBQAA&#10;AAA=&#10;">
                <v:fill on="t" focussize="0,0"/>
                <v:stroke color="#000000" joinstyle="miter"/>
                <v:imagedata o:title=""/>
                <o:lock v:ext="edit" aspectratio="f"/>
                <v:textbox>
                  <w:txbxContent>
                    <w:p>
                      <w:pPr>
                        <w:jc w:val="center"/>
                      </w:pPr>
                      <w:r>
                        <w:rPr>
                          <w:rFonts w:hint="eastAsia"/>
                        </w:rPr>
                        <w:t>反面</w:t>
                      </w:r>
                    </w:p>
                  </w:txbxContent>
                </v:textbox>
              </v:shape>
            </w:pict>
          </mc:Fallback>
        </mc:AlternateConten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r>
        <w:rPr>
          <w:rFonts w:ascii="宋体" w:hAnsi="宋体"/>
        </w:rPr>
        <w:t>说明：1. 委托书内容必须填写真实、清楚，涂改无效。</w:t>
      </w:r>
    </w:p>
    <w:p>
      <w:pPr>
        <w:spacing w:line="440" w:lineRule="exact"/>
        <w:rPr>
          <w:rFonts w:ascii="宋体" w:hAnsi="宋体"/>
          <w:color w:val="000000"/>
          <w:szCs w:val="21"/>
        </w:rPr>
      </w:pPr>
      <w:r>
        <w:rPr>
          <w:rFonts w:ascii="宋体" w:hAnsi="宋体"/>
        </w:rPr>
        <w:t xml:space="preserve">      2. 委托书不得转让、买卖。</w:t>
      </w:r>
    </w:p>
    <w:p>
      <w:pPr>
        <w:pStyle w:val="3"/>
        <w:keepNext w:val="0"/>
        <w:keepLines w:val="0"/>
        <w:spacing w:before="0" w:after="0" w:line="440" w:lineRule="exact"/>
        <w:rPr>
          <w:rFonts w:ascii="宋体" w:hAnsi="宋体"/>
          <w:color w:val="000000"/>
          <w:sz w:val="21"/>
          <w:szCs w:val="21"/>
        </w:rPr>
      </w:pPr>
      <w:r>
        <w:rPr>
          <w:rFonts w:ascii="宋体" w:hAnsi="宋体"/>
          <w:b w:val="0"/>
          <w:color w:val="000000"/>
          <w:szCs w:val="21"/>
        </w:rPr>
        <w:br w:type="page"/>
      </w:r>
      <w:bookmarkStart w:id="85" w:name="_Toc70231451"/>
      <w:bookmarkStart w:id="86" w:name="_Toc70231347"/>
      <w:bookmarkStart w:id="87" w:name="_Toc20737"/>
      <w:r>
        <w:rPr>
          <w:rFonts w:hint="eastAsia" w:ascii="宋体" w:hAnsi="宋体"/>
          <w:color w:val="000000"/>
          <w:sz w:val="21"/>
          <w:szCs w:val="21"/>
        </w:rPr>
        <w:t>格式六：资格证明文件</w:t>
      </w:r>
      <w:bookmarkEnd w:id="85"/>
      <w:bookmarkEnd w:id="86"/>
      <w:bookmarkEnd w:id="87"/>
    </w:p>
    <w:p>
      <w:pPr>
        <w:jc w:val="center"/>
        <w:rPr>
          <w:rFonts w:ascii="微软雅黑" w:hAnsi="微软雅黑" w:eastAsia="微软雅黑" w:cs="微软雅黑"/>
          <w:b/>
          <w:bCs/>
          <w:color w:val="000000"/>
          <w:sz w:val="30"/>
          <w:szCs w:val="30"/>
        </w:rPr>
      </w:pPr>
      <w:r>
        <w:rPr>
          <w:rFonts w:hint="eastAsia" w:ascii="微软雅黑" w:hAnsi="微软雅黑" w:eastAsia="微软雅黑" w:cs="微软雅黑"/>
          <w:b/>
          <w:bCs/>
          <w:color w:val="000000"/>
          <w:sz w:val="30"/>
          <w:szCs w:val="30"/>
        </w:rPr>
        <w:t>资格证明文件</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4"/>
        </w:rPr>
        <w:t>1、</w:t>
      </w:r>
      <w:r>
        <w:rPr>
          <w:rFonts w:hint="eastAsia" w:asciiTheme="minorEastAsia" w:hAnsiTheme="minorEastAsia" w:eastAsiaTheme="minorEastAsia"/>
          <w:szCs w:val="21"/>
        </w:rPr>
        <w:t>营业证照（扫描件或复印件加盖公章）</w:t>
      </w: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szCs w:val="21"/>
        </w:rPr>
      </w:pPr>
      <w:r>
        <w:rPr>
          <w:rFonts w:hint="eastAsia" w:asciiTheme="minorEastAsia" w:hAnsiTheme="minorEastAsia" w:eastAsiaTheme="minorEastAsia"/>
        </w:rPr>
        <w:t>2、“招标公告”中“</w:t>
      </w:r>
      <w:r>
        <w:rPr>
          <w:rFonts w:hint="eastAsia" w:ascii="宋体" w:hAnsi="宋体"/>
          <w:color w:val="000000"/>
          <w:szCs w:val="21"/>
        </w:rPr>
        <w:t>投标人资质条件</w:t>
      </w:r>
      <w:r>
        <w:rPr>
          <w:rFonts w:hint="eastAsia" w:asciiTheme="minorEastAsia" w:hAnsiTheme="minorEastAsia" w:eastAsiaTheme="minorEastAsia"/>
        </w:rPr>
        <w:t>”</w:t>
      </w:r>
      <w:r>
        <w:rPr>
          <w:rFonts w:hint="eastAsia" w:asciiTheme="minorEastAsia" w:hAnsiTheme="minorEastAsia" w:eastAsiaTheme="minorEastAsia"/>
          <w:szCs w:val="21"/>
        </w:rPr>
        <w:t>要求的其他资质证明文件</w:t>
      </w:r>
    </w:p>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4"/>
        </w:rPr>
      </w:pPr>
      <w:r>
        <w:rPr>
          <w:rFonts w:hint="eastAsia" w:asciiTheme="minorEastAsia" w:hAnsiTheme="minorEastAsia" w:eastAsiaTheme="minorEastAsia"/>
          <w:szCs w:val="21"/>
        </w:rPr>
        <w:t>3、其它招标文件要求的资格证明文件</w:t>
      </w:r>
    </w:p>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4、投标人股东关系构成表</w:t>
      </w:r>
    </w:p>
    <w:tbl>
      <w:tblPr>
        <w:tblStyle w:val="29"/>
        <w:tblW w:w="9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2"/>
        <w:gridCol w:w="6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92"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rPr>
                <w:rFonts w:ascii="宋体" w:hAnsi="宋体"/>
                <w:szCs w:val="21"/>
              </w:rPr>
            </w:pPr>
            <w:r>
              <w:rPr>
                <w:rFonts w:hint="eastAsia" w:ascii="宋体" w:hAnsi="宋体"/>
                <w:szCs w:val="21"/>
              </w:rPr>
              <w:t>投标人名称</w:t>
            </w:r>
          </w:p>
        </w:tc>
        <w:tc>
          <w:tcPr>
            <w:tcW w:w="67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s="Segoe UI Symbo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92"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ascii="宋体" w:hAnsi="宋体"/>
                <w:szCs w:val="21"/>
              </w:rPr>
            </w:pPr>
            <w:r>
              <w:rPr>
                <w:rFonts w:hint="eastAsia" w:ascii="宋体" w:hAnsi="宋体"/>
                <w:szCs w:val="21"/>
              </w:rPr>
              <w:t>本单位负责人（法定代表人）姓名</w:t>
            </w:r>
          </w:p>
        </w:tc>
        <w:tc>
          <w:tcPr>
            <w:tcW w:w="67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s="Segoe UI Symbol"/>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392"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ascii="宋体" w:hAnsi="宋体"/>
                <w:szCs w:val="21"/>
              </w:rPr>
            </w:pPr>
            <w:r>
              <w:rPr>
                <w:rFonts w:hint="eastAsia" w:ascii="宋体" w:hAnsi="宋体"/>
                <w:szCs w:val="21"/>
              </w:rPr>
              <w:t>是否存在本单位的控股股东</w:t>
            </w:r>
          </w:p>
        </w:tc>
        <w:tc>
          <w:tcPr>
            <w:tcW w:w="67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s="Segoe UI Symbol"/>
                <w:kern w:val="0"/>
                <w:szCs w:val="21"/>
                <w:u w:val="single"/>
              </w:rPr>
            </w:pPr>
            <w:r>
              <w:rPr>
                <w:rFonts w:hint="eastAsia" w:ascii="宋体" w:hAnsi="宋体" w:cs="Segoe UI Symbol"/>
                <w:kern w:val="0"/>
                <w:szCs w:val="21"/>
              </w:rPr>
              <w:t>□是，其控股股东为：</w:t>
            </w:r>
            <w:r>
              <w:rPr>
                <w:rFonts w:hint="eastAsia" w:ascii="宋体" w:hAnsi="宋体" w:cs="Segoe UI Symbol"/>
                <w:kern w:val="0"/>
                <w:szCs w:val="21"/>
                <w:u w:val="single"/>
              </w:rPr>
              <w:t xml:space="preserve">              </w:t>
            </w:r>
            <w:r>
              <w:rPr>
                <w:rFonts w:hint="eastAsia" w:ascii="宋体" w:hAnsi="宋体" w:cs="Segoe UI Symbol"/>
                <w:kern w:val="0"/>
                <w:szCs w:val="21"/>
              </w:rPr>
              <w:t>，股份占比：</w:t>
            </w:r>
            <w:r>
              <w:rPr>
                <w:rFonts w:hint="eastAsia" w:ascii="宋体" w:hAnsi="宋体" w:cs="Segoe UI Symbol"/>
                <w:kern w:val="0"/>
                <w:szCs w:val="21"/>
                <w:u w:val="single"/>
              </w:rPr>
              <w:t xml:space="preserve">           </w:t>
            </w:r>
            <w:r>
              <w:rPr>
                <w:rFonts w:hint="eastAsia" w:ascii="宋体" w:hAnsi="宋体" w:cs="Segoe UI Symbol"/>
                <w:kern w:val="0"/>
                <w:szCs w:val="21"/>
              </w:rPr>
              <w:t>；</w:t>
            </w:r>
          </w:p>
          <w:p>
            <w:pPr>
              <w:autoSpaceDE w:val="0"/>
              <w:autoSpaceDN w:val="0"/>
              <w:adjustRightInd w:val="0"/>
              <w:snapToGrid w:val="0"/>
              <w:jc w:val="left"/>
              <w:rPr>
                <w:rFonts w:ascii="宋体" w:hAnsi="宋体" w:cs="Segoe UI Symbol"/>
                <w:kern w:val="0"/>
                <w:szCs w:val="21"/>
              </w:rPr>
            </w:pPr>
            <w:r>
              <w:rPr>
                <w:rFonts w:hint="eastAsia" w:ascii="宋体" w:hAnsi="宋体" w:cs="Segoe UI Symbol"/>
                <w:kern w:val="0"/>
                <w:szCs w:val="21"/>
              </w:rPr>
              <w:t>其他主要股东及其股份占比：</w:t>
            </w:r>
            <w:r>
              <w:rPr>
                <w:rFonts w:hint="eastAsia" w:ascii="宋体" w:hAnsi="宋体" w:cs="Segoe UI Symbol"/>
                <w:kern w:val="0"/>
                <w:szCs w:val="21"/>
                <w:u w:val="single"/>
              </w:rPr>
              <w:t xml:space="preserve">                               </w:t>
            </w:r>
            <w:r>
              <w:rPr>
                <w:rFonts w:hint="eastAsia" w:ascii="宋体" w:hAnsi="宋体" w:cs="Segoe UI Symbol"/>
                <w:kern w:val="0"/>
                <w:szCs w:val="21"/>
              </w:rPr>
              <w:t>。</w:t>
            </w:r>
          </w:p>
          <w:p>
            <w:pPr>
              <w:autoSpaceDE w:val="0"/>
              <w:autoSpaceDN w:val="0"/>
              <w:adjustRightInd w:val="0"/>
              <w:snapToGrid w:val="0"/>
              <w:jc w:val="left"/>
              <w:rPr>
                <w:rFonts w:ascii="宋体" w:hAnsi="宋体"/>
                <w:b/>
                <w:bCs/>
                <w:szCs w:val="21"/>
              </w:rPr>
            </w:pPr>
            <w:r>
              <w:rPr>
                <w:rFonts w:hint="eastAsia" w:ascii="宋体" w:hAnsi="宋体" w:cs="Segoe UI Symbol"/>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2392"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ascii="宋体" w:hAnsi="宋体"/>
                <w:szCs w:val="21"/>
              </w:rPr>
            </w:pPr>
            <w:r>
              <w:rPr>
                <w:rFonts w:hint="eastAsia" w:ascii="宋体" w:hAnsi="宋体"/>
                <w:szCs w:val="21"/>
              </w:rPr>
              <w:t>是否存在“与本单位存在管理关系的单位”</w:t>
            </w:r>
          </w:p>
        </w:tc>
        <w:tc>
          <w:tcPr>
            <w:tcW w:w="67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s="Segoe UI Symbol"/>
                <w:kern w:val="0"/>
                <w:szCs w:val="21"/>
                <w:u w:val="single"/>
              </w:rPr>
            </w:pPr>
            <w:r>
              <w:rPr>
                <w:rFonts w:hint="eastAsia" w:ascii="宋体" w:hAnsi="宋体" w:cs="Segoe UI Symbol"/>
                <w:kern w:val="0"/>
                <w:szCs w:val="21"/>
              </w:rPr>
              <w:t>□是，该单位为：</w:t>
            </w:r>
            <w:r>
              <w:rPr>
                <w:rFonts w:hint="eastAsia" w:ascii="宋体" w:hAnsi="宋体" w:cs="Segoe UI Symbol"/>
                <w:kern w:val="0"/>
                <w:szCs w:val="21"/>
                <w:u w:val="single"/>
              </w:rPr>
              <w:t xml:space="preserve">                                          </w:t>
            </w:r>
          </w:p>
          <w:p>
            <w:pPr>
              <w:autoSpaceDE w:val="0"/>
              <w:autoSpaceDN w:val="0"/>
              <w:adjustRightInd w:val="0"/>
              <w:snapToGrid w:val="0"/>
              <w:jc w:val="left"/>
              <w:rPr>
                <w:rFonts w:ascii="宋体" w:hAnsi="宋体"/>
                <w:b/>
                <w:bCs/>
                <w:szCs w:val="21"/>
              </w:rPr>
            </w:pPr>
            <w:r>
              <w:rPr>
                <w:rFonts w:hint="eastAsia" w:ascii="宋体" w:hAnsi="宋体" w:cs="Segoe UI Symbol"/>
                <w:kern w:val="0"/>
                <w:szCs w:val="21"/>
              </w:rPr>
              <w:t>□否</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Theme="minorEastAsia" w:hAnsiTheme="minorEastAsia" w:eastAsiaTheme="minorEastAsia"/>
        </w:rPr>
      </w:pPr>
    </w:p>
    <w:p>
      <w:pPr>
        <w:spacing w:line="440" w:lineRule="exact"/>
        <w:rPr>
          <w:rFonts w:asciiTheme="minorEastAsia" w:hAnsiTheme="minorEastAsia" w:eastAsiaTheme="minorEastAsia"/>
        </w:rPr>
      </w:pPr>
      <w:r>
        <w:rPr>
          <w:rFonts w:hint="eastAsia" w:asciiTheme="minorEastAsia" w:hAnsiTheme="minorEastAsia" w:eastAsiaTheme="minorEastAsia"/>
          <w:b/>
        </w:rPr>
        <w:t>备注：</w:t>
      </w:r>
      <w:r>
        <w:rPr>
          <w:rFonts w:hint="eastAsia" w:asciiTheme="minorEastAsia" w:hAnsiTheme="minorEastAsia" w:eastAsiaTheme="minorEastAsia"/>
        </w:rPr>
        <w:t>以上资质证明材料必须在投标文件中如实提供，一旦发现虚报、造假等违规行为，立即取消其投标资格并追究其相应法律责任。</w:t>
      </w:r>
    </w:p>
    <w:p>
      <w:pPr>
        <w:pStyle w:val="3"/>
        <w:keepNext w:val="0"/>
        <w:keepLines w:val="0"/>
        <w:spacing w:before="0" w:after="0" w:line="440" w:lineRule="exact"/>
        <w:rPr>
          <w:bCs w:val="0"/>
          <w:sz w:val="21"/>
          <w:szCs w:val="21"/>
        </w:rPr>
      </w:pPr>
      <w:r>
        <w:rPr>
          <w:color w:val="000000"/>
          <w:szCs w:val="21"/>
        </w:rPr>
        <w:br w:type="page"/>
      </w:r>
      <w:bookmarkStart w:id="88" w:name="_Toc30939"/>
      <w:bookmarkStart w:id="89" w:name="_Toc70231452"/>
      <w:bookmarkStart w:id="90" w:name="_Toc70231348"/>
      <w:r>
        <w:rPr>
          <w:rFonts w:hint="eastAsia"/>
          <w:bCs w:val="0"/>
          <w:sz w:val="21"/>
          <w:szCs w:val="21"/>
        </w:rPr>
        <w:t>格式七：中小企业声明函、残疾人福利性单位声明函及监狱企业声明函格式</w:t>
      </w:r>
      <w:bookmarkEnd w:id="88"/>
      <w:bookmarkEnd w:id="89"/>
      <w:bookmarkEnd w:id="90"/>
    </w:p>
    <w:p>
      <w:pPr>
        <w:spacing w:line="440" w:lineRule="exact"/>
      </w:pPr>
    </w:p>
    <w:p>
      <w:pPr>
        <w:spacing w:line="440" w:lineRule="exact"/>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填写指引：</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1、该部分内容供填写</w:t>
      </w:r>
      <w:r>
        <w:rPr>
          <w:rFonts w:asciiTheme="minorEastAsia" w:hAnsiTheme="minorEastAsia" w:eastAsiaTheme="minorEastAsia"/>
          <w:szCs w:val="21"/>
        </w:rPr>
        <w:t>参考，</w:t>
      </w:r>
      <w:r>
        <w:rPr>
          <w:rFonts w:hint="eastAsia" w:asciiTheme="minorEastAsia" w:hAnsiTheme="minorEastAsia" w:eastAsiaTheme="minorEastAsia"/>
          <w:szCs w:val="21"/>
        </w:rPr>
        <w:t>由供应商根据项目</w:t>
      </w:r>
      <w:r>
        <w:rPr>
          <w:rFonts w:asciiTheme="minorEastAsia" w:hAnsiTheme="minorEastAsia" w:eastAsiaTheme="minorEastAsia"/>
          <w:szCs w:val="21"/>
        </w:rPr>
        <w:t>特点和</w:t>
      </w:r>
      <w:r>
        <w:rPr>
          <w:rFonts w:hint="eastAsia" w:asciiTheme="minorEastAsia" w:hAnsiTheme="minorEastAsia" w:eastAsiaTheme="minorEastAsia"/>
          <w:szCs w:val="21"/>
        </w:rPr>
        <w:t>自身实际情况填写，不符合要求的供应商可以不填写或直接删除相应的声明函。投标人自行对声明内容的真实性负责；如提供虚假声明，将报送主管部门进行行政处罚。</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2、请依照提供的格式和内容填写声明函，满足多项优惠政策的企业，不重复享受多项价格扣除政策。</w:t>
      </w:r>
    </w:p>
    <w:p>
      <w:pPr>
        <w:spacing w:line="44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3、本项目采购标的对应的中小企业划分标准所属行业为</w:t>
      </w:r>
      <w:r>
        <w:rPr>
          <w:rFonts w:hint="eastAsia" w:asciiTheme="minorEastAsia" w:hAnsiTheme="minorEastAsia" w:eastAsiaTheme="minorEastAsia"/>
          <w:color w:val="FF0000"/>
          <w:szCs w:val="21"/>
          <w:u w:val="single"/>
        </w:rPr>
        <w:t>商业服务业或其他服务业</w:t>
      </w:r>
      <w:r>
        <w:rPr>
          <w:rFonts w:hint="eastAsia" w:asciiTheme="minorEastAsia" w:hAnsiTheme="minorEastAsia" w:eastAsiaTheme="minorEastAsia"/>
          <w:color w:val="FF0000"/>
          <w:szCs w:val="21"/>
        </w:rPr>
        <w:t>；</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4、声明是残疾人福利性单位、监狱企业须填写《残疾人福利性单位声明函》《监狱企业声明函》。</w:t>
      </w:r>
    </w:p>
    <w:p>
      <w:pPr>
        <w:spacing w:line="440" w:lineRule="exact"/>
        <w:ind w:firstLine="420" w:firstLineChars="200"/>
        <w:rPr>
          <w:rFonts w:ascii="黑体" w:hAnsi="宋体" w:eastAsia="黑体"/>
          <w:b/>
          <w:bCs/>
          <w:kern w:val="0"/>
          <w:szCs w:val="21"/>
        </w:rPr>
      </w:pPr>
      <w:r>
        <w:rPr>
          <w:rFonts w:hint="eastAsia" w:asciiTheme="minorEastAsia" w:hAnsiTheme="minorEastAsia" w:eastAsiaTheme="minorEastAsia"/>
          <w:szCs w:val="21"/>
        </w:rPr>
        <w:t>5、声明函的有效性最终由评审委员会判定；如评审委员会判定声明函无效，相关供应商不享受价格扣除（但不作投标无效处理）。</w:t>
      </w:r>
    </w:p>
    <w:p>
      <w:pPr>
        <w:jc w:val="center"/>
        <w:rPr>
          <w:rFonts w:ascii="微软雅黑" w:hAnsi="微软雅黑" w:eastAsia="微软雅黑" w:cs="微软雅黑"/>
          <w:b/>
          <w:bCs/>
          <w:color w:val="000000"/>
          <w:sz w:val="30"/>
          <w:szCs w:val="30"/>
        </w:rPr>
      </w:pPr>
      <w:bookmarkStart w:id="91" w:name="_Toc70231349"/>
      <w:bookmarkStart w:id="92" w:name="_Toc70231453"/>
      <w:bookmarkStart w:id="93" w:name="_Toc24077"/>
      <w:r>
        <w:rPr>
          <w:rFonts w:hint="eastAsia" w:ascii="微软雅黑" w:hAnsi="微软雅黑" w:eastAsia="微软雅黑" w:cs="微软雅黑"/>
          <w:b/>
          <w:bCs/>
          <w:color w:val="000000"/>
          <w:sz w:val="30"/>
          <w:szCs w:val="30"/>
        </w:rPr>
        <w:t>（一）中小企业声明函（服务）</w:t>
      </w:r>
      <w:bookmarkEnd w:id="91"/>
      <w:bookmarkEnd w:id="92"/>
      <w:bookmarkEnd w:id="93"/>
    </w:p>
    <w:p>
      <w:pPr>
        <w:spacing w:line="440" w:lineRule="exact"/>
        <w:ind w:firstLine="420" w:firstLineChars="200"/>
        <w:rPr>
          <w:rFonts w:ascii="宋体" w:hAnsi="宋体" w:cs="宋体"/>
          <w:szCs w:val="21"/>
        </w:rPr>
      </w:pPr>
      <w:r>
        <w:rPr>
          <w:rFonts w:hint="eastAsia" w:ascii="宋体" w:hAnsi="宋体" w:cs="宋体"/>
          <w:szCs w:val="21"/>
        </w:rPr>
        <w:t>本</w:t>
      </w:r>
      <w:r>
        <w:rPr>
          <w:rFonts w:hint="eastAsia" w:asciiTheme="minorEastAsia" w:hAnsiTheme="minorEastAsia" w:eastAsiaTheme="minorEastAsia"/>
          <w:szCs w:val="21"/>
        </w:rPr>
        <w:t>公司</w:t>
      </w:r>
      <w:r>
        <w:rPr>
          <w:rFonts w:hint="eastAsia" w:ascii="宋体" w:hAnsi="宋体" w:cs="宋体"/>
          <w:szCs w:val="21"/>
        </w:rPr>
        <w:t>（联合体）郑重声明，根据《政府采购促进中小企业发展管理办法》（财库〔2020〕46号）的规定，本公司（联合体）参加</w:t>
      </w:r>
      <w:r>
        <w:rPr>
          <w:rFonts w:hint="eastAsia" w:ascii="宋体" w:hAnsi="宋体" w:cs="宋体"/>
          <w:szCs w:val="21"/>
          <w:u w:val="single"/>
        </w:rPr>
        <w:t xml:space="preserve"> （单位名称）</w:t>
      </w:r>
      <w:r>
        <w:rPr>
          <w:rFonts w:hint="eastAsia" w:ascii="宋体" w:hAnsi="宋体" w:cs="宋体"/>
          <w:i/>
          <w:iCs/>
          <w:szCs w:val="21"/>
          <w:u w:val="single"/>
        </w:rPr>
        <w:t xml:space="preserve"> </w:t>
      </w:r>
      <w:r>
        <w:rPr>
          <w:rFonts w:hint="eastAsia" w:ascii="宋体" w:hAnsi="宋体" w:cs="宋体"/>
          <w:szCs w:val="21"/>
        </w:rPr>
        <w:t>的</w:t>
      </w:r>
      <w:r>
        <w:rPr>
          <w:rFonts w:hint="eastAsia" w:ascii="宋体" w:hAnsi="宋体" w:cs="宋体"/>
          <w:szCs w:val="21"/>
          <w:u w:val="single"/>
        </w:rPr>
        <w:t xml:space="preserve"> （项目名称）</w:t>
      </w:r>
      <w:r>
        <w:rPr>
          <w:rFonts w:hint="eastAsia" w:ascii="宋体" w:hAnsi="宋体" w:cs="宋体"/>
          <w:i/>
          <w:iCs/>
          <w:szCs w:val="21"/>
          <w:u w:val="single"/>
        </w:rPr>
        <w:t xml:space="preserve"> </w:t>
      </w:r>
      <w:r>
        <w:rPr>
          <w:rFonts w:hint="eastAsia" w:ascii="宋体" w:hAnsi="宋体" w:cs="宋体"/>
          <w:szCs w:val="21"/>
        </w:rPr>
        <w:t>采购活动，服务全部由符合政策要求的中小企业承接。相关企业（含联合体中的中小企业、签订分包意向协议的中小企业）的具体情况如下：</w:t>
      </w:r>
    </w:p>
    <w:p>
      <w:pPr>
        <w:spacing w:line="44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（金额）</w:t>
      </w:r>
      <w:r>
        <w:rPr>
          <w:rFonts w:hint="eastAsia" w:ascii="宋体" w:hAnsi="宋体" w:cs="宋体"/>
          <w:szCs w:val="21"/>
        </w:rPr>
        <w:t>万元，资产总额为</w:t>
      </w:r>
      <w:r>
        <w:rPr>
          <w:rFonts w:hint="eastAsia" w:ascii="宋体" w:hAnsi="宋体" w:cs="宋体"/>
          <w:szCs w:val="21"/>
          <w:u w:val="single"/>
        </w:rPr>
        <w:t>（金额）</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44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（金额）</w:t>
      </w:r>
      <w:r>
        <w:rPr>
          <w:rFonts w:hint="eastAsia" w:ascii="宋体" w:hAnsi="宋体" w:cs="宋体"/>
          <w:szCs w:val="21"/>
        </w:rPr>
        <w:t>万元，资产总额为</w:t>
      </w:r>
      <w:r>
        <w:rPr>
          <w:rFonts w:hint="eastAsia" w:ascii="宋体" w:hAnsi="宋体" w:cs="宋体"/>
          <w:szCs w:val="21"/>
          <w:u w:val="single"/>
        </w:rPr>
        <w:t>（金额）</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440" w:lineRule="exact"/>
        <w:ind w:firstLine="420" w:firstLineChars="200"/>
        <w:jc w:val="left"/>
        <w:rPr>
          <w:rFonts w:ascii="宋体" w:hAnsi="宋体" w:cs="宋体"/>
          <w:szCs w:val="21"/>
        </w:rPr>
      </w:pPr>
      <w:r>
        <w:rPr>
          <w:rFonts w:hint="eastAsia" w:ascii="宋体" w:hAnsi="宋体" w:cs="宋体"/>
          <w:szCs w:val="21"/>
        </w:rPr>
        <w:t>……</w:t>
      </w:r>
    </w:p>
    <w:p>
      <w:pPr>
        <w:spacing w:line="440" w:lineRule="exact"/>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440" w:lineRule="exact"/>
        <w:ind w:firstLine="420" w:firstLineChars="200"/>
        <w:jc w:val="left"/>
        <w:rPr>
          <w:rFonts w:ascii="宋体" w:hAnsi="宋体" w:cs="宋体" w:eastAsiaTheme="majorEastAsia"/>
          <w:szCs w:val="21"/>
        </w:rPr>
      </w:pPr>
      <w:r>
        <w:rPr>
          <w:rFonts w:hint="eastAsia" w:ascii="宋体" w:hAnsi="宋体" w:cs="宋体"/>
          <w:szCs w:val="21"/>
        </w:rPr>
        <w:t>如接受大中型企业与小微企业组成联合体或者允许大中型企业向一家或者多家小微企业分包，采用联合体投标（见联合体协议）或协议分包（见分包意向协议）的，以上企业，与联合体内其他企业、分包企</w:t>
      </w:r>
      <w:r>
        <w:rPr>
          <w:rFonts w:hint="eastAsia" w:asciiTheme="majorEastAsia" w:hAnsiTheme="majorEastAsia" w:eastAsiaTheme="majorEastAsia" w:cstheme="majorEastAsia"/>
          <w:szCs w:val="21"/>
        </w:rPr>
        <w:t>业之间不存在直接控股、管理关系。</w:t>
      </w:r>
    </w:p>
    <w:p>
      <w:pPr>
        <w:spacing w:line="440" w:lineRule="exact"/>
        <w:ind w:firstLine="420" w:firstLineChars="200"/>
        <w:jc w:val="left"/>
        <w:rPr>
          <w:rFonts w:ascii="宋体" w:hAnsi="宋体" w:cs="宋体"/>
          <w:szCs w:val="21"/>
        </w:rPr>
      </w:pPr>
      <w:r>
        <w:rPr>
          <w:rFonts w:hint="eastAsia" w:ascii="宋体" w:hAnsi="宋体" w:cs="宋体"/>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w:t>
      </w:r>
      <w:r>
        <w:rPr>
          <w:rFonts w:hint="eastAsia" w:ascii="宋体" w:hAnsi="宋体" w:cs="宋体"/>
          <w:szCs w:val="21"/>
          <w:lang w:eastAsia="zh-CN"/>
        </w:rPr>
        <w:t>《中华人民共和国政府采购法》</w:t>
      </w:r>
      <w:r>
        <w:rPr>
          <w:rFonts w:hint="eastAsia" w:ascii="宋体" w:hAnsi="宋体" w:cs="宋体"/>
          <w:szCs w:val="21"/>
        </w:rPr>
        <w:t>等政府采购有关法律法规规定追究相应责任。</w:t>
      </w:r>
    </w:p>
    <w:p>
      <w:pPr>
        <w:spacing w:line="440" w:lineRule="exact"/>
        <w:ind w:firstLine="420" w:firstLineChars="200"/>
        <w:jc w:val="left"/>
        <w:rPr>
          <w:rFonts w:ascii="宋体" w:hAnsi="宋体" w:cs="宋体"/>
          <w:szCs w:val="21"/>
        </w:rPr>
      </w:pPr>
    </w:p>
    <w:p>
      <w:pPr>
        <w:spacing w:line="440" w:lineRule="exact"/>
        <w:ind w:firstLine="420" w:firstLineChars="200"/>
        <w:jc w:val="left"/>
        <w:rPr>
          <w:rFonts w:ascii="宋体" w:hAnsi="宋体" w:cs="宋体"/>
          <w:szCs w:val="21"/>
        </w:rPr>
      </w:pPr>
      <w:r>
        <w:rPr>
          <w:rFonts w:hint="eastAsia" w:ascii="宋体" w:hAnsi="宋体" w:cs="宋体"/>
          <w:szCs w:val="21"/>
        </w:rPr>
        <w:t>企业名称（盖章）：</w:t>
      </w:r>
    </w:p>
    <w:p>
      <w:pPr>
        <w:spacing w:line="440" w:lineRule="exact"/>
        <w:ind w:firstLine="420" w:firstLineChars="200"/>
        <w:jc w:val="left"/>
        <w:rPr>
          <w:rFonts w:ascii="宋体" w:hAnsi="宋体" w:cs="宋体"/>
          <w:szCs w:val="21"/>
        </w:rPr>
      </w:pPr>
      <w:r>
        <w:rPr>
          <w:rFonts w:hint="eastAsia" w:ascii="宋体" w:hAnsi="宋体" w:cs="宋体"/>
          <w:szCs w:val="21"/>
        </w:rPr>
        <w:t>日期：</w:t>
      </w:r>
    </w:p>
    <w:p>
      <w:pPr>
        <w:spacing w:line="440" w:lineRule="exact"/>
        <w:ind w:firstLine="422" w:firstLineChars="200"/>
        <w:jc w:val="left"/>
        <w:rPr>
          <w:rFonts w:ascii="宋体" w:hAnsi="宋体" w:cs="宋体"/>
          <w:szCs w:val="21"/>
        </w:rPr>
      </w:pPr>
      <w:r>
        <w:rPr>
          <w:rFonts w:hint="eastAsia" w:ascii="宋体" w:hAnsi="宋体"/>
          <w:b/>
          <w:szCs w:val="21"/>
        </w:rPr>
        <w:t>备注：</w:t>
      </w:r>
    </w:p>
    <w:p>
      <w:pPr>
        <w:spacing w:line="44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pacing w:val="-6"/>
          <w:szCs w:val="21"/>
        </w:rPr>
        <w:t>从业人员、营业收入、资产总额填报上一年度数据，无上一年度数据的新成立企业可不填报。</w:t>
      </w:r>
    </w:p>
    <w:p>
      <w:pPr>
        <w:spacing w:line="440" w:lineRule="exact"/>
        <w:ind w:firstLine="420" w:firstLineChars="200"/>
        <w:jc w:val="left"/>
        <w:rPr>
          <w:rFonts w:asciiTheme="majorEastAsia" w:hAnsiTheme="majorEastAsia" w:eastAsiaTheme="majorEastAsia" w:cstheme="majorEastAsia"/>
          <w:szCs w:val="21"/>
        </w:rPr>
      </w:pPr>
      <w:r>
        <w:rPr>
          <w:rFonts w:hint="eastAsia" w:ascii="宋体" w:hAnsi="宋体" w:cs="宋体"/>
          <w:szCs w:val="21"/>
        </w:rPr>
        <w:t>2、本声明函</w:t>
      </w:r>
      <w:r>
        <w:rPr>
          <w:rFonts w:hint="eastAsia" w:ascii="宋体" w:hAnsi="宋体"/>
          <w:szCs w:val="21"/>
        </w:rPr>
        <w:t>仅适用于投标人为企业或个体工商户，其他组织形式单位不适用。</w:t>
      </w:r>
    </w:p>
    <w:p>
      <w:pPr>
        <w:jc w:val="center"/>
        <w:rPr>
          <w:rFonts w:ascii="微软雅黑" w:hAnsi="微软雅黑" w:eastAsia="微软雅黑" w:cs="微软雅黑"/>
          <w:b/>
          <w:bCs/>
          <w:color w:val="000000"/>
          <w:sz w:val="30"/>
          <w:szCs w:val="30"/>
        </w:rPr>
      </w:pPr>
      <w:bookmarkStart w:id="94" w:name="_Toc3499"/>
      <w:bookmarkStart w:id="95" w:name="_Toc70231350"/>
      <w:bookmarkStart w:id="96" w:name="_Toc70231454"/>
      <w:r>
        <w:rPr>
          <w:rFonts w:hint="eastAsia" w:ascii="微软雅黑" w:hAnsi="微软雅黑" w:eastAsia="微软雅黑" w:cs="微软雅黑"/>
          <w:b/>
          <w:bCs/>
          <w:color w:val="000000"/>
          <w:sz w:val="30"/>
          <w:szCs w:val="30"/>
        </w:rPr>
        <w:t>（二）残疾人福利性单位声明函（服务类）</w:t>
      </w:r>
      <w:bookmarkEnd w:id="94"/>
      <w:bookmarkEnd w:id="95"/>
      <w:bookmarkEnd w:id="96"/>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ajorEastAsia" w:hAnsiTheme="majorEastAsia" w:eastAsiaTheme="majorEastAsia" w:cstheme="majorEastAsia"/>
          <w:i/>
          <w:szCs w:val="21"/>
          <w:u w:val="single"/>
        </w:rPr>
        <w:t xml:space="preserve">  </w:t>
      </w:r>
      <w:r>
        <w:rPr>
          <w:rFonts w:hint="eastAsia" w:asciiTheme="majorEastAsia" w:hAnsiTheme="majorEastAsia" w:eastAsiaTheme="majorEastAsia" w:cstheme="majorEastAsia"/>
          <w:iCs/>
          <w:szCs w:val="21"/>
          <w:u w:val="single"/>
        </w:rPr>
        <w:t xml:space="preserve">（采购单位名称）  </w:t>
      </w:r>
      <w:r>
        <w:rPr>
          <w:rFonts w:hint="eastAsia" w:asciiTheme="majorEastAsia" w:hAnsiTheme="majorEastAsia" w:eastAsiaTheme="majorEastAsia" w:cstheme="majorEastAsia"/>
          <w:iCs/>
          <w:szCs w:val="21"/>
        </w:rPr>
        <w:t>单位的</w:t>
      </w:r>
      <w:r>
        <w:rPr>
          <w:rFonts w:hint="eastAsia" w:asciiTheme="majorEastAsia" w:hAnsiTheme="majorEastAsia" w:eastAsiaTheme="majorEastAsia" w:cstheme="majorEastAsia"/>
          <w:iCs/>
          <w:szCs w:val="21"/>
          <w:u w:val="single"/>
        </w:rPr>
        <w:t xml:space="preserve">  （采购项目名称）   </w:t>
      </w:r>
      <w:r>
        <w:rPr>
          <w:rFonts w:hint="eastAsia" w:asciiTheme="majorEastAsia" w:hAnsiTheme="majorEastAsia" w:eastAsiaTheme="majorEastAsia" w:cstheme="majorEastAsia"/>
          <w:iCs/>
          <w:szCs w:val="21"/>
        </w:rPr>
        <w:t>项目</w:t>
      </w:r>
      <w:r>
        <w:rPr>
          <w:rFonts w:hint="eastAsia" w:asciiTheme="majorEastAsia" w:hAnsiTheme="majorEastAsia" w:eastAsiaTheme="majorEastAsia" w:cstheme="majorEastAsia"/>
          <w:szCs w:val="21"/>
        </w:rPr>
        <w:t>采购活动，服务全部由符合政策要求的残疾人福利性单位承接。相关残疾人福利性单位的具体情况如下：</w:t>
      </w:r>
    </w:p>
    <w:p>
      <w:pPr>
        <w:pStyle w:val="2"/>
        <w:ind w:firstLine="420" w:firstLineChars="200"/>
        <w:rPr>
          <w:u w:val="single"/>
        </w:rPr>
      </w:pPr>
      <w:r>
        <w:rPr>
          <w:rFonts w:hint="eastAsia"/>
        </w:rPr>
        <w:t>1、</w:t>
      </w:r>
      <w:r>
        <w:rPr>
          <w:rFonts w:hint="eastAsia"/>
          <w:u w:val="single"/>
        </w:rPr>
        <w:t>（标的名称）</w:t>
      </w:r>
      <w:r>
        <w:rPr>
          <w:rFonts w:hint="eastAsia"/>
        </w:rPr>
        <w:t>，承接单位为</w:t>
      </w:r>
      <w:r>
        <w:rPr>
          <w:rFonts w:hint="eastAsia"/>
          <w:u w:val="single"/>
        </w:rPr>
        <w:t>（企业名称）</w:t>
      </w:r>
      <w:r>
        <w:rPr>
          <w:rFonts w:hint="eastAsia"/>
        </w:rPr>
        <w:t>，属于</w:t>
      </w:r>
      <w:r>
        <w:rPr>
          <w:rFonts w:hint="eastAsia"/>
          <w:u w:val="single"/>
        </w:rPr>
        <w:t>残疾人福利性单位</w:t>
      </w:r>
      <w:r>
        <w:rPr>
          <w:rFonts w:hint="eastAsia"/>
        </w:rPr>
        <w:t>；</w:t>
      </w:r>
    </w:p>
    <w:p>
      <w:pPr>
        <w:pStyle w:val="2"/>
        <w:ind w:firstLine="420" w:firstLineChars="200"/>
        <w:rPr>
          <w:u w:val="single"/>
        </w:rPr>
      </w:pPr>
      <w:r>
        <w:rPr>
          <w:rFonts w:hint="eastAsia"/>
        </w:rPr>
        <w:t>2、</w:t>
      </w:r>
      <w:r>
        <w:rPr>
          <w:rFonts w:hint="eastAsia"/>
          <w:u w:val="single"/>
        </w:rPr>
        <w:t>（标的名称）</w:t>
      </w:r>
      <w:r>
        <w:rPr>
          <w:rFonts w:hint="eastAsia"/>
        </w:rPr>
        <w:t>，承接单位为</w:t>
      </w:r>
      <w:r>
        <w:rPr>
          <w:rFonts w:hint="eastAsia"/>
          <w:u w:val="single"/>
        </w:rPr>
        <w:t>（企业名称）</w:t>
      </w:r>
      <w:r>
        <w:rPr>
          <w:rFonts w:hint="eastAsia"/>
        </w:rPr>
        <w:t>，属于</w:t>
      </w:r>
      <w:r>
        <w:rPr>
          <w:rFonts w:hint="eastAsia"/>
          <w:u w:val="single"/>
        </w:rPr>
        <w:t>残疾人福利性单位</w:t>
      </w:r>
      <w:r>
        <w:rPr>
          <w:rFonts w:hint="eastAsia"/>
        </w:rPr>
        <w:t>。</w:t>
      </w:r>
    </w:p>
    <w:p>
      <w:pPr>
        <w:spacing w:line="440" w:lineRule="exact"/>
        <w:ind w:firstLine="420" w:firstLineChars="200"/>
        <w:jc w:val="left"/>
        <w:rPr>
          <w:rFonts w:asciiTheme="majorEastAsia" w:hAnsiTheme="majorEastAsia" w:eastAsiaTheme="majorEastAsia" w:cstheme="majorEastAsia"/>
          <w:szCs w:val="21"/>
        </w:rPr>
      </w:pPr>
    </w:p>
    <w:p>
      <w:pPr>
        <w:spacing w:line="440" w:lineRule="exact"/>
        <w:ind w:firstLine="420" w:firstLineChars="200"/>
        <w:jc w:val="left"/>
        <w:rPr>
          <w:rFonts w:ascii="宋体" w:hAnsi="宋体" w:cs="宋体"/>
          <w:szCs w:val="21"/>
        </w:rPr>
      </w:pPr>
      <w:r>
        <w:rPr>
          <w:rFonts w:hint="eastAsia" w:asciiTheme="majorEastAsia" w:hAnsiTheme="majorEastAsia" w:eastAsiaTheme="majorEastAsia" w:cstheme="majorEastAsia"/>
          <w:szCs w:val="21"/>
        </w:rPr>
        <w:t>本单位已</w:t>
      </w:r>
      <w:r>
        <w:rPr>
          <w:rFonts w:hint="eastAsia" w:ascii="宋体" w:hAnsi="宋体" w:cs="宋体"/>
          <w:szCs w:val="21"/>
        </w:rPr>
        <w:t>知悉《关于促进残疾人就业政府采购政策的通知》（财库〔2017〕141 号）的规定，承诺提供的声明函内容是真实的，如提供声明函内容不实，则依法追究相关法律责任。</w:t>
      </w:r>
    </w:p>
    <w:p>
      <w:pPr>
        <w:spacing w:line="440" w:lineRule="exact"/>
        <w:ind w:firstLine="420" w:firstLineChars="200"/>
        <w:jc w:val="left"/>
        <w:rPr>
          <w:rFonts w:ascii="宋体" w:hAnsi="宋体" w:cs="宋体"/>
          <w:szCs w:val="21"/>
        </w:rPr>
      </w:pPr>
    </w:p>
    <w:p>
      <w:pPr>
        <w:spacing w:line="440" w:lineRule="exact"/>
        <w:ind w:firstLine="420" w:firstLineChars="200"/>
        <w:jc w:val="left"/>
        <w:rPr>
          <w:rFonts w:ascii="宋体" w:hAnsi="宋体" w:cs="宋体"/>
          <w:szCs w:val="21"/>
        </w:rPr>
      </w:pPr>
      <w:r>
        <w:rPr>
          <w:rFonts w:hint="eastAsia" w:ascii="宋体" w:hAnsi="宋体" w:cs="宋体"/>
          <w:szCs w:val="21"/>
        </w:rPr>
        <w:t>企业名称（盖章）：</w:t>
      </w:r>
    </w:p>
    <w:p>
      <w:pPr>
        <w:spacing w:line="440" w:lineRule="exact"/>
        <w:ind w:firstLine="420" w:firstLineChars="200"/>
        <w:jc w:val="left"/>
        <w:rPr>
          <w:rFonts w:asciiTheme="majorEastAsia" w:hAnsiTheme="majorEastAsia" w:eastAsiaTheme="majorEastAsia" w:cstheme="majorEastAsia"/>
          <w:szCs w:val="21"/>
        </w:rPr>
      </w:pPr>
      <w:r>
        <w:rPr>
          <w:rFonts w:hint="eastAsia" w:ascii="宋体" w:hAnsi="宋体" w:cs="宋体"/>
          <w:szCs w:val="21"/>
        </w:rPr>
        <w:t>日期：</w:t>
      </w:r>
    </w:p>
    <w:p>
      <w:pPr>
        <w:jc w:val="center"/>
        <w:rPr>
          <w:rFonts w:ascii="微软雅黑" w:hAnsi="微软雅黑" w:eastAsia="微软雅黑" w:cs="微软雅黑"/>
          <w:b/>
          <w:bCs/>
          <w:color w:val="000000"/>
          <w:sz w:val="30"/>
          <w:szCs w:val="30"/>
        </w:rPr>
      </w:pPr>
      <w:bookmarkStart w:id="97" w:name="_Toc70231455"/>
      <w:bookmarkStart w:id="98" w:name="_Toc16612"/>
      <w:bookmarkStart w:id="99" w:name="_Toc70231351"/>
      <w:r>
        <w:rPr>
          <w:rFonts w:hint="eastAsia" w:ascii="微软雅黑" w:hAnsi="微软雅黑" w:eastAsia="微软雅黑" w:cs="微软雅黑"/>
          <w:b/>
          <w:bCs/>
          <w:color w:val="000000"/>
          <w:sz w:val="30"/>
          <w:szCs w:val="30"/>
        </w:rPr>
        <w:t>（三）监狱企业声明函（样表）</w:t>
      </w:r>
      <w:bookmarkEnd w:id="97"/>
      <w:bookmarkEnd w:id="98"/>
      <w:bookmarkEnd w:id="99"/>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本单位郑重声明，根据《财政部 司法部关于政府采购支持监狱企业发展有关问题的通知》（财库〔2014〕68号）的规定，本单位为符合条件的监狱企业，且本单位参加</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iCs/>
          <w:szCs w:val="21"/>
          <w:u w:val="single"/>
        </w:rPr>
        <w:t xml:space="preserve"> （采购单位名称） </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单位的</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iCs/>
          <w:szCs w:val="21"/>
          <w:u w:val="single"/>
        </w:rPr>
        <w:t xml:space="preserve">（采购项目名称）  </w:t>
      </w:r>
      <w:r>
        <w:rPr>
          <w:rFonts w:hint="eastAsia" w:asciiTheme="majorEastAsia" w:hAnsiTheme="majorEastAsia" w:eastAsiaTheme="majorEastAsia" w:cstheme="majorEastAsia"/>
          <w:szCs w:val="21"/>
        </w:rPr>
        <w:t>项目采购活动，服务全部由符合政策要求的监狱企业承接。相关监狱企业的具体情况如下:</w:t>
      </w:r>
    </w:p>
    <w:p>
      <w:pPr>
        <w:pStyle w:val="2"/>
        <w:ind w:firstLine="420" w:firstLineChars="200"/>
        <w:rPr>
          <w:u w:val="single"/>
        </w:rPr>
      </w:pPr>
      <w:r>
        <w:rPr>
          <w:rFonts w:hint="eastAsia"/>
        </w:rPr>
        <w:t>1、</w:t>
      </w:r>
      <w:r>
        <w:rPr>
          <w:rFonts w:hint="eastAsia"/>
          <w:u w:val="single"/>
        </w:rPr>
        <w:t>（标的名称）</w:t>
      </w:r>
      <w:r>
        <w:rPr>
          <w:rFonts w:hint="eastAsia"/>
        </w:rPr>
        <w:t>，承接单位为</w:t>
      </w:r>
      <w:r>
        <w:rPr>
          <w:rFonts w:hint="eastAsia"/>
          <w:u w:val="single"/>
        </w:rPr>
        <w:t>（企业名称）</w:t>
      </w:r>
      <w:r>
        <w:rPr>
          <w:rFonts w:hint="eastAsia"/>
        </w:rPr>
        <w:t>，属于</w:t>
      </w:r>
      <w:r>
        <w:rPr>
          <w:rFonts w:hint="eastAsia"/>
          <w:u w:val="single"/>
        </w:rPr>
        <w:t>监狱企业</w:t>
      </w:r>
      <w:r>
        <w:rPr>
          <w:rFonts w:hint="eastAsia"/>
        </w:rPr>
        <w:t>；</w:t>
      </w:r>
    </w:p>
    <w:p>
      <w:pPr>
        <w:pStyle w:val="2"/>
        <w:ind w:firstLine="420" w:firstLineChars="200"/>
        <w:rPr>
          <w:u w:val="single"/>
        </w:rPr>
      </w:pPr>
      <w:r>
        <w:rPr>
          <w:rFonts w:hint="eastAsia"/>
        </w:rPr>
        <w:t>2、</w:t>
      </w:r>
      <w:r>
        <w:rPr>
          <w:rFonts w:hint="eastAsia"/>
          <w:u w:val="single"/>
        </w:rPr>
        <w:t>（标的名称）</w:t>
      </w:r>
      <w:r>
        <w:rPr>
          <w:rFonts w:hint="eastAsia"/>
        </w:rPr>
        <w:t>，承接单位为</w:t>
      </w:r>
      <w:r>
        <w:rPr>
          <w:rFonts w:hint="eastAsia"/>
          <w:u w:val="single"/>
        </w:rPr>
        <w:t>（企业名称）</w:t>
      </w:r>
      <w:r>
        <w:rPr>
          <w:rFonts w:hint="eastAsia"/>
        </w:rPr>
        <w:t>，属于</w:t>
      </w:r>
      <w:r>
        <w:rPr>
          <w:rFonts w:hint="eastAsia"/>
          <w:u w:val="single"/>
        </w:rPr>
        <w:t>监狱企业</w:t>
      </w:r>
      <w:r>
        <w:rPr>
          <w:rFonts w:hint="eastAsia"/>
        </w:rPr>
        <w:t>。</w:t>
      </w:r>
    </w:p>
    <w:p>
      <w:pPr>
        <w:pStyle w:val="2"/>
        <w:ind w:firstLine="420" w:firstLineChars="200"/>
      </w:pPr>
      <w:r>
        <w:t>……</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本单位对上述声明的真实性负责。如有虚假，将依法承担相应责任。</w:t>
      </w:r>
    </w:p>
    <w:p>
      <w:pPr>
        <w:spacing w:line="440" w:lineRule="exact"/>
        <w:ind w:firstLine="422" w:firstLineChars="200"/>
        <w:jc w:val="left"/>
        <w:rPr>
          <w:rFonts w:ascii="宋体" w:hAnsi="宋体" w:cs="宋体"/>
          <w:szCs w:val="21"/>
        </w:rPr>
      </w:pPr>
      <w:r>
        <w:rPr>
          <w:rFonts w:hint="eastAsia" w:asciiTheme="majorEastAsia" w:hAnsiTheme="majorEastAsia" w:eastAsiaTheme="majorEastAsia" w:cstheme="majorEastAsia"/>
          <w:b/>
          <w:szCs w:val="21"/>
        </w:rPr>
        <w:t>附：</w:t>
      </w:r>
      <w:r>
        <w:rPr>
          <w:rFonts w:hint="eastAsia" w:asciiTheme="majorEastAsia" w:hAnsiTheme="majorEastAsia" w:eastAsiaTheme="majorEastAsia" w:cstheme="majorEastAsia"/>
          <w:spacing w:val="-6"/>
          <w:szCs w:val="21"/>
        </w:rPr>
        <w:t>省级以上监狱管理局、戒毒管理局（含新疆生产建设兵团）出具的监狱企业证明文件。</w:t>
      </w:r>
    </w:p>
    <w:p>
      <w:pPr>
        <w:spacing w:line="440" w:lineRule="exact"/>
        <w:ind w:firstLine="420" w:firstLineChars="200"/>
        <w:jc w:val="left"/>
        <w:rPr>
          <w:rFonts w:ascii="宋体" w:hAnsi="宋体" w:cs="宋体"/>
          <w:szCs w:val="21"/>
        </w:rPr>
      </w:pPr>
    </w:p>
    <w:p>
      <w:pPr>
        <w:spacing w:line="440" w:lineRule="exact"/>
        <w:ind w:firstLine="420" w:firstLineChars="200"/>
        <w:jc w:val="left"/>
        <w:rPr>
          <w:rFonts w:ascii="宋体" w:hAnsi="宋体" w:cs="宋体"/>
          <w:szCs w:val="21"/>
        </w:rPr>
      </w:pPr>
      <w:r>
        <w:rPr>
          <w:rFonts w:hint="eastAsia" w:ascii="宋体" w:hAnsi="宋体" w:cs="宋体"/>
          <w:szCs w:val="21"/>
        </w:rPr>
        <w:t>企业名称（盖章）：</w:t>
      </w:r>
    </w:p>
    <w:p>
      <w:pPr>
        <w:spacing w:line="440" w:lineRule="exact"/>
        <w:ind w:firstLine="420" w:firstLineChars="200"/>
        <w:jc w:val="left"/>
        <w:rPr>
          <w:rFonts w:ascii="宋体" w:hAnsi="宋体" w:cs="宋体"/>
          <w:szCs w:val="21"/>
        </w:rPr>
      </w:pPr>
      <w:r>
        <w:rPr>
          <w:rFonts w:hint="eastAsia" w:ascii="宋体" w:hAnsi="宋体" w:cs="宋体"/>
          <w:szCs w:val="21"/>
        </w:rPr>
        <w:t>日期：</w:t>
      </w:r>
    </w:p>
    <w:p>
      <w:pPr>
        <w:pStyle w:val="3"/>
        <w:keepNext w:val="0"/>
        <w:keepLines w:val="0"/>
        <w:spacing w:before="0" w:after="0" w:line="440" w:lineRule="exact"/>
        <w:rPr>
          <w:rFonts w:ascii="宋体" w:hAnsi="宋体"/>
          <w:color w:val="000000"/>
          <w:sz w:val="21"/>
          <w:szCs w:val="21"/>
        </w:rPr>
      </w:pPr>
      <w:bookmarkStart w:id="100" w:name="_Toc70231352"/>
      <w:bookmarkStart w:id="101" w:name="_Toc70231456"/>
      <w:bookmarkStart w:id="102" w:name="_Toc494"/>
      <w:r>
        <w:rPr>
          <w:rFonts w:hint="eastAsia" w:ascii="宋体" w:hAnsi="宋体"/>
          <w:color w:val="000000"/>
          <w:sz w:val="21"/>
          <w:szCs w:val="21"/>
        </w:rPr>
        <w:t>格式八：技术偏离表格式</w:t>
      </w:r>
      <w:bookmarkEnd w:id="100"/>
      <w:bookmarkEnd w:id="101"/>
      <w:bookmarkEnd w:id="102"/>
    </w:p>
    <w:p>
      <w:pPr>
        <w:jc w:val="center"/>
        <w:rPr>
          <w:rFonts w:ascii="微软雅黑" w:hAnsi="微软雅黑" w:eastAsia="微软雅黑" w:cs="微软雅黑"/>
          <w:b/>
          <w:bCs/>
          <w:color w:val="000000"/>
          <w:sz w:val="30"/>
          <w:szCs w:val="30"/>
        </w:rPr>
      </w:pPr>
      <w:r>
        <w:rPr>
          <w:rFonts w:hint="eastAsia" w:ascii="微软雅黑" w:hAnsi="微软雅黑" w:eastAsia="微软雅黑" w:cs="微软雅黑"/>
          <w:b/>
          <w:bCs/>
          <w:color w:val="000000"/>
          <w:sz w:val="30"/>
          <w:szCs w:val="30"/>
        </w:rPr>
        <w:t>技术偏离表</w:t>
      </w:r>
    </w:p>
    <w:p>
      <w:pPr>
        <w:spacing w:line="4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项目编号</w:t>
      </w:r>
      <w:r>
        <w:rPr>
          <w:color w:val="000000"/>
          <w:szCs w:val="21"/>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2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57"/>
        <w:gridCol w:w="2184"/>
        <w:gridCol w:w="2250"/>
        <w:gridCol w:w="117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b/>
                <w:color w:val="000000"/>
                <w:szCs w:val="21"/>
              </w:rPr>
            </w:pPr>
            <w:r>
              <w:rPr>
                <w:rFonts w:hint="eastAsia" w:ascii="宋体" w:hAnsi="宋体"/>
                <w:b/>
                <w:color w:val="000000"/>
                <w:szCs w:val="21"/>
              </w:rPr>
              <w:t>序号</w:t>
            </w:r>
          </w:p>
        </w:tc>
        <w:tc>
          <w:tcPr>
            <w:tcW w:w="1657" w:type="dxa"/>
            <w:vAlign w:val="center"/>
          </w:tcPr>
          <w:p>
            <w:pPr>
              <w:spacing w:line="0" w:lineRule="atLeast"/>
              <w:jc w:val="center"/>
              <w:rPr>
                <w:rFonts w:ascii="宋体" w:hAnsi="宋体"/>
                <w:b/>
                <w:color w:val="000000"/>
                <w:szCs w:val="21"/>
              </w:rPr>
            </w:pPr>
            <w:r>
              <w:rPr>
                <w:rFonts w:hint="eastAsia" w:ascii="宋体" w:hAnsi="宋体"/>
                <w:b/>
                <w:color w:val="000000"/>
                <w:szCs w:val="21"/>
              </w:rPr>
              <w:t>差别项名称</w:t>
            </w:r>
          </w:p>
        </w:tc>
        <w:tc>
          <w:tcPr>
            <w:tcW w:w="2184" w:type="dxa"/>
            <w:vAlign w:val="center"/>
          </w:tcPr>
          <w:p>
            <w:pPr>
              <w:spacing w:line="0" w:lineRule="atLeast"/>
              <w:jc w:val="center"/>
              <w:rPr>
                <w:rFonts w:ascii="宋体" w:hAnsi="宋体"/>
                <w:b/>
                <w:szCs w:val="21"/>
              </w:rPr>
            </w:pPr>
            <w:r>
              <w:rPr>
                <w:rFonts w:hint="eastAsia" w:ascii="宋体" w:hAnsi="宋体"/>
                <w:b/>
                <w:szCs w:val="21"/>
              </w:rPr>
              <w:t>招标文件技术要求</w:t>
            </w:r>
          </w:p>
        </w:tc>
        <w:tc>
          <w:tcPr>
            <w:tcW w:w="2250" w:type="dxa"/>
            <w:vAlign w:val="center"/>
          </w:tcPr>
          <w:p>
            <w:pPr>
              <w:spacing w:line="0" w:lineRule="atLeast"/>
              <w:jc w:val="center"/>
              <w:rPr>
                <w:rFonts w:ascii="宋体" w:hAnsi="宋体"/>
                <w:b/>
                <w:szCs w:val="21"/>
              </w:rPr>
            </w:pPr>
            <w:r>
              <w:rPr>
                <w:rFonts w:hint="eastAsia" w:ascii="宋体" w:hAnsi="宋体"/>
                <w:b/>
                <w:szCs w:val="21"/>
              </w:rPr>
              <w:t>投标文件技术响应</w:t>
            </w:r>
          </w:p>
        </w:tc>
        <w:tc>
          <w:tcPr>
            <w:tcW w:w="1176" w:type="dxa"/>
            <w:vAlign w:val="center"/>
          </w:tcPr>
          <w:p>
            <w:pPr>
              <w:spacing w:line="0" w:lineRule="atLeast"/>
              <w:jc w:val="center"/>
              <w:rPr>
                <w:rFonts w:ascii="宋体" w:hAnsi="宋体"/>
                <w:b/>
                <w:color w:val="000000"/>
                <w:szCs w:val="21"/>
              </w:rPr>
            </w:pPr>
            <w:r>
              <w:rPr>
                <w:rFonts w:hint="eastAsia" w:ascii="宋体" w:hAnsi="宋体"/>
                <w:b/>
                <w:color w:val="000000"/>
                <w:szCs w:val="21"/>
              </w:rPr>
              <w:t>偏离度</w:t>
            </w:r>
          </w:p>
        </w:tc>
        <w:tc>
          <w:tcPr>
            <w:tcW w:w="1178" w:type="dxa"/>
            <w:vAlign w:val="center"/>
          </w:tcPr>
          <w:p>
            <w:pPr>
              <w:spacing w:line="0" w:lineRule="atLeast"/>
              <w:jc w:val="center"/>
              <w:rPr>
                <w:rFonts w:ascii="宋体" w:hAnsi="宋体"/>
                <w:b/>
                <w:color w:val="000000"/>
                <w:szCs w:val="21"/>
              </w:rPr>
            </w:pPr>
            <w:r>
              <w:rPr>
                <w:rFonts w:hint="eastAsia" w:ascii="宋体" w:hAnsi="宋体"/>
                <w:b/>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Cs w:val="21"/>
              </w:rPr>
            </w:pPr>
          </w:p>
        </w:tc>
        <w:tc>
          <w:tcPr>
            <w:tcW w:w="1657" w:type="dxa"/>
            <w:vAlign w:val="center"/>
          </w:tcPr>
          <w:p>
            <w:pPr>
              <w:spacing w:line="0" w:lineRule="atLeast"/>
              <w:jc w:val="center"/>
              <w:rPr>
                <w:rFonts w:ascii="宋体" w:hAnsi="宋体"/>
                <w:color w:val="000000"/>
                <w:szCs w:val="21"/>
              </w:rPr>
            </w:pPr>
          </w:p>
        </w:tc>
        <w:tc>
          <w:tcPr>
            <w:tcW w:w="2184" w:type="dxa"/>
            <w:vAlign w:val="center"/>
          </w:tcPr>
          <w:p>
            <w:pPr>
              <w:spacing w:line="0" w:lineRule="atLeast"/>
              <w:jc w:val="center"/>
              <w:rPr>
                <w:rFonts w:ascii="宋体" w:hAnsi="宋体"/>
                <w:color w:val="000000"/>
                <w:szCs w:val="21"/>
              </w:rPr>
            </w:pPr>
          </w:p>
        </w:tc>
        <w:tc>
          <w:tcPr>
            <w:tcW w:w="2250" w:type="dxa"/>
            <w:vAlign w:val="center"/>
          </w:tcPr>
          <w:p>
            <w:pPr>
              <w:spacing w:line="0" w:lineRule="atLeast"/>
              <w:jc w:val="center"/>
              <w:rPr>
                <w:rFonts w:ascii="宋体" w:hAnsi="宋体"/>
                <w:color w:val="000000"/>
                <w:szCs w:val="21"/>
              </w:rPr>
            </w:pPr>
          </w:p>
        </w:tc>
        <w:tc>
          <w:tcPr>
            <w:tcW w:w="1176" w:type="dxa"/>
            <w:vAlign w:val="center"/>
          </w:tcPr>
          <w:p>
            <w:pPr>
              <w:spacing w:line="0" w:lineRule="atLeast"/>
              <w:jc w:val="center"/>
              <w:rPr>
                <w:rFonts w:ascii="宋体" w:hAnsi="宋体"/>
                <w:color w:val="000000"/>
                <w:szCs w:val="21"/>
              </w:rPr>
            </w:pPr>
          </w:p>
        </w:tc>
        <w:tc>
          <w:tcPr>
            <w:tcW w:w="1178"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r>
              <w:rPr>
                <w:rFonts w:hint="eastAsia" w:ascii="宋体" w:hAnsi="宋体"/>
                <w:color w:val="000000"/>
                <w:sz w:val="24"/>
              </w:rPr>
              <w:t>……</w:t>
            </w: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15" w:type="dxa"/>
            <w:gridSpan w:val="6"/>
            <w:vAlign w:val="center"/>
          </w:tcPr>
          <w:p>
            <w:pPr>
              <w:spacing w:line="0" w:lineRule="atLeast"/>
              <w:jc w:val="center"/>
              <w:rPr>
                <w:rFonts w:ascii="宋体" w:hAnsi="宋体"/>
                <w:b/>
                <w:color w:val="000000"/>
                <w:sz w:val="24"/>
                <w:szCs w:val="24"/>
              </w:rPr>
            </w:pPr>
            <w:r>
              <w:rPr>
                <w:rFonts w:hint="eastAsia" w:asciiTheme="majorEastAsia" w:hAnsiTheme="majorEastAsia" w:eastAsiaTheme="majorEastAsia"/>
                <w:b/>
                <w:color w:val="000000"/>
                <w:sz w:val="24"/>
                <w:szCs w:val="24"/>
              </w:rPr>
              <w:t>除上述条款以外，我司承诺全部接受并按照招标文件的要求承担本项目。</w:t>
            </w:r>
          </w:p>
        </w:tc>
      </w:tr>
    </w:tbl>
    <w:p>
      <w:pPr>
        <w:spacing w:line="320" w:lineRule="exact"/>
        <w:rPr>
          <w:rFonts w:ascii="宋体" w:hAnsi="宋体"/>
          <w:color w:val="000000"/>
          <w:sz w:val="18"/>
        </w:rPr>
      </w:pPr>
      <w:r>
        <w:rPr>
          <w:rFonts w:hint="eastAsia" w:ascii="宋体" w:hAnsi="宋体"/>
          <w:color w:val="000000"/>
          <w:sz w:val="18"/>
        </w:rPr>
        <w:t>说明：</w:t>
      </w:r>
    </w:p>
    <w:p>
      <w:pPr>
        <w:spacing w:line="320" w:lineRule="exact"/>
        <w:jc w:val="left"/>
        <w:rPr>
          <w:rFonts w:ascii="宋体" w:hAnsi="宋体"/>
          <w:b/>
          <w:color w:val="000000"/>
          <w:sz w:val="18"/>
        </w:rPr>
      </w:pPr>
      <w:r>
        <w:rPr>
          <w:rFonts w:ascii="宋体" w:hAnsi="宋体"/>
          <w:b/>
          <w:color w:val="000000"/>
          <w:sz w:val="18"/>
        </w:rPr>
        <w:t>1</w:t>
      </w:r>
      <w:r>
        <w:rPr>
          <w:rFonts w:hint="eastAsia" w:ascii="宋体" w:hAnsi="宋体"/>
          <w:b/>
          <w:color w:val="000000"/>
          <w:sz w:val="18"/>
        </w:rPr>
        <w:t>、本表中“差别项”是指投标文件技术响应和招标文件技术要求不一致的项目，包括高于或低于招标文件要求的所有项目，</w:t>
      </w:r>
      <w:r>
        <w:rPr>
          <w:rFonts w:hint="eastAsia" w:ascii="宋体" w:hAnsi="宋体"/>
          <w:b/>
          <w:color w:val="000000"/>
          <w:sz w:val="18"/>
          <w:u w:val="single"/>
        </w:rPr>
        <w:t>没有不一致的，本表可空白</w:t>
      </w:r>
      <w:r>
        <w:rPr>
          <w:rFonts w:hint="eastAsia" w:ascii="宋体" w:hAnsi="宋体"/>
          <w:b/>
          <w:color w:val="000000"/>
          <w:sz w:val="18"/>
        </w:rPr>
        <w:t>；“</w:t>
      </w:r>
      <w:r>
        <w:rPr>
          <w:rFonts w:ascii="宋体" w:hAnsi="宋体"/>
          <w:b/>
          <w:color w:val="000000"/>
          <w:sz w:val="18"/>
        </w:rPr>
        <w:t>招标文件</w:t>
      </w:r>
      <w:r>
        <w:rPr>
          <w:rFonts w:hint="eastAsia" w:ascii="宋体" w:hAnsi="宋体"/>
          <w:b/>
          <w:color w:val="000000"/>
          <w:sz w:val="18"/>
        </w:rPr>
        <w:t>技术要求”</w:t>
      </w:r>
      <w:r>
        <w:rPr>
          <w:rFonts w:ascii="宋体" w:hAnsi="宋体"/>
          <w:b/>
          <w:color w:val="000000"/>
          <w:sz w:val="18"/>
        </w:rPr>
        <w:t>来自于 “</w:t>
      </w:r>
      <w:r>
        <w:rPr>
          <w:rFonts w:hint="eastAsia" w:ascii="宋体" w:hAnsi="宋体"/>
          <w:b/>
          <w:color w:val="000000"/>
          <w:sz w:val="18"/>
          <w:highlight w:val="yellow"/>
        </w:rPr>
        <w:t>技术</w:t>
      </w:r>
      <w:r>
        <w:rPr>
          <w:rFonts w:ascii="宋体" w:hAnsi="宋体"/>
          <w:b/>
          <w:color w:val="000000"/>
          <w:sz w:val="18"/>
          <w:highlight w:val="yellow"/>
        </w:rPr>
        <w:t>需求</w:t>
      </w:r>
      <w:r>
        <w:rPr>
          <w:rFonts w:hint="eastAsia" w:ascii="宋体" w:hAnsi="宋体"/>
          <w:b/>
          <w:color w:val="000000"/>
          <w:sz w:val="18"/>
          <w:highlight w:val="yellow"/>
        </w:rPr>
        <w:t>明细</w:t>
      </w:r>
      <w:r>
        <w:rPr>
          <w:rFonts w:ascii="宋体" w:hAnsi="宋体"/>
          <w:b/>
          <w:color w:val="000000"/>
          <w:sz w:val="18"/>
        </w:rPr>
        <w:t>”。</w:t>
      </w:r>
    </w:p>
    <w:p>
      <w:pPr>
        <w:spacing w:line="320" w:lineRule="exact"/>
        <w:rPr>
          <w:rFonts w:ascii="宋体" w:hAnsi="宋体"/>
          <w:color w:val="000000"/>
          <w:sz w:val="18"/>
        </w:rPr>
      </w:pPr>
      <w:r>
        <w:rPr>
          <w:rFonts w:hint="eastAsia" w:ascii="宋体" w:hAnsi="宋体"/>
          <w:color w:val="000000"/>
          <w:sz w:val="18"/>
        </w:rPr>
        <w:t>2、对“偏离度”一栏，填写“正偏离”或“负偏离”。其中正偏离是指所响应条款优于招标文件所规定的要求；负偏离是指所响应条款低于招标文件所规定的要求。</w:t>
      </w:r>
    </w:p>
    <w:p>
      <w:pPr>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、投标人须及时留意</w:t>
      </w:r>
      <w:r>
        <w:rPr>
          <w:rFonts w:hint="eastAsia" w:ascii="宋体" w:hAnsi="宋体" w:cs="宋体"/>
          <w:color w:val="000000"/>
          <w:kern w:val="0"/>
          <w:sz w:val="18"/>
          <w:szCs w:val="18"/>
        </w:rPr>
        <w:t>采购人</w:t>
      </w:r>
      <w:r>
        <w:rPr>
          <w:rFonts w:ascii="宋体" w:hAnsi="宋体" w:cs="宋体"/>
          <w:color w:val="000000"/>
          <w:kern w:val="0"/>
          <w:sz w:val="18"/>
          <w:szCs w:val="18"/>
        </w:rPr>
        <w:t>可能发布的招标答疑、修改或澄清公告，其为招标文件的有效组成部分，如投标文件</w:t>
      </w:r>
      <w:r>
        <w:rPr>
          <w:rFonts w:hint="eastAsia" w:ascii="宋体" w:hAnsi="宋体" w:cs="宋体"/>
          <w:color w:val="000000"/>
          <w:kern w:val="0"/>
          <w:sz w:val="18"/>
          <w:szCs w:val="18"/>
        </w:rPr>
        <w:t>中</w:t>
      </w:r>
      <w:r>
        <w:rPr>
          <w:rFonts w:ascii="宋体" w:hAnsi="宋体" w:cs="宋体"/>
          <w:color w:val="000000"/>
          <w:kern w:val="0"/>
          <w:sz w:val="18"/>
          <w:szCs w:val="18"/>
        </w:rPr>
        <w:t>出现招标</w:t>
      </w:r>
      <w:r>
        <w:rPr>
          <w:rFonts w:hint="eastAsia" w:ascii="宋体" w:hAnsi="宋体" w:cs="宋体"/>
          <w:color w:val="000000"/>
          <w:kern w:val="0"/>
          <w:sz w:val="18"/>
          <w:szCs w:val="18"/>
        </w:rPr>
        <w:t>文件服务需求</w:t>
      </w:r>
      <w:r>
        <w:rPr>
          <w:rFonts w:ascii="宋体" w:hAnsi="宋体" w:cs="宋体"/>
          <w:color w:val="000000"/>
          <w:kern w:val="0"/>
          <w:sz w:val="18"/>
          <w:szCs w:val="18"/>
        </w:rPr>
        <w:t>与</w:t>
      </w:r>
      <w:r>
        <w:rPr>
          <w:rFonts w:hint="eastAsia" w:ascii="宋体" w:hAnsi="宋体" w:cs="宋体"/>
          <w:color w:val="000000"/>
          <w:kern w:val="0"/>
          <w:sz w:val="18"/>
          <w:szCs w:val="18"/>
        </w:rPr>
        <w:t>采购人</w:t>
      </w:r>
      <w:r>
        <w:rPr>
          <w:rFonts w:ascii="宋体" w:hAnsi="宋体" w:cs="宋体"/>
          <w:color w:val="000000"/>
          <w:kern w:val="0"/>
          <w:sz w:val="18"/>
          <w:szCs w:val="18"/>
        </w:rPr>
        <w:t>最终公布的内容不一致（包括答疑、修改公告、</w:t>
      </w:r>
      <w:r>
        <w:rPr>
          <w:rFonts w:hint="eastAsia" w:ascii="宋体" w:hAnsi="宋体" w:cs="宋体"/>
          <w:color w:val="000000"/>
          <w:kern w:val="0"/>
          <w:sz w:val="18"/>
          <w:szCs w:val="18"/>
        </w:rPr>
        <w:t>澄清</w:t>
      </w:r>
      <w:r>
        <w:rPr>
          <w:rFonts w:ascii="宋体" w:hAnsi="宋体" w:cs="宋体"/>
          <w:color w:val="000000"/>
          <w:kern w:val="0"/>
          <w:sz w:val="18"/>
          <w:szCs w:val="18"/>
        </w:rPr>
        <w:t>公告等内容）的，该条</w:t>
      </w:r>
      <w:r>
        <w:rPr>
          <w:rFonts w:hint="eastAsia" w:ascii="宋体" w:hAnsi="宋体" w:cs="宋体"/>
          <w:color w:val="000000"/>
          <w:kern w:val="0"/>
          <w:sz w:val="18"/>
          <w:szCs w:val="18"/>
        </w:rPr>
        <w:t>服务需求</w:t>
      </w:r>
      <w:r>
        <w:rPr>
          <w:rFonts w:ascii="宋体" w:hAnsi="宋体" w:cs="宋体"/>
          <w:color w:val="000000"/>
          <w:kern w:val="0"/>
          <w:sz w:val="18"/>
          <w:szCs w:val="18"/>
        </w:rPr>
        <w:t>一律视为负偏离，如该条</w:t>
      </w:r>
      <w:r>
        <w:rPr>
          <w:rFonts w:hint="eastAsia" w:ascii="宋体" w:hAnsi="宋体" w:cs="宋体"/>
          <w:color w:val="000000"/>
          <w:kern w:val="0"/>
          <w:sz w:val="18"/>
          <w:szCs w:val="18"/>
        </w:rPr>
        <w:t>服务需求</w:t>
      </w:r>
      <w:r>
        <w:rPr>
          <w:rFonts w:ascii="宋体" w:hAnsi="宋体" w:cs="宋体"/>
          <w:color w:val="000000"/>
          <w:kern w:val="0"/>
          <w:sz w:val="18"/>
          <w:szCs w:val="18"/>
        </w:rPr>
        <w:t>为</w:t>
      </w:r>
      <w:r>
        <w:rPr>
          <w:rFonts w:hint="eastAsia" w:ascii="宋体" w:hAnsi="宋体" w:cs="宋体"/>
          <w:color w:val="000000"/>
          <w:kern w:val="0"/>
          <w:sz w:val="18"/>
          <w:szCs w:val="18"/>
        </w:rPr>
        <w:t>不可偏离项</w:t>
      </w:r>
      <w:r>
        <w:rPr>
          <w:rFonts w:ascii="宋体" w:hAnsi="宋体" w:cs="宋体"/>
          <w:color w:val="000000"/>
          <w:kern w:val="0"/>
          <w:sz w:val="18"/>
          <w:szCs w:val="18"/>
        </w:rPr>
        <w:t>，则</w:t>
      </w:r>
      <w:r>
        <w:rPr>
          <w:rFonts w:hint="eastAsia" w:ascii="宋体" w:hAnsi="宋体" w:cs="宋体"/>
          <w:color w:val="000000"/>
          <w:kern w:val="0"/>
          <w:sz w:val="18"/>
          <w:szCs w:val="18"/>
        </w:rPr>
        <w:t>可能</w:t>
      </w:r>
      <w:r>
        <w:rPr>
          <w:rFonts w:ascii="宋体" w:hAnsi="宋体" w:cs="宋体"/>
          <w:color w:val="000000"/>
          <w:kern w:val="0"/>
          <w:sz w:val="18"/>
          <w:szCs w:val="18"/>
        </w:rPr>
        <w:t xml:space="preserve">导致废标。 </w:t>
      </w:r>
    </w:p>
    <w:p>
      <w:pPr>
        <w:spacing w:line="320" w:lineRule="exact"/>
        <w:jc w:val="left"/>
        <w:rPr>
          <w:rFonts w:ascii="宋体" w:hAnsi="宋体" w:cs="宋体"/>
          <w:color w:val="000000"/>
          <w:kern w:val="0"/>
          <w:sz w:val="18"/>
          <w:szCs w:val="18"/>
        </w:rPr>
      </w:pPr>
      <w:r>
        <w:rPr>
          <w:rFonts w:hint="eastAsia" w:ascii="宋体" w:hAnsi="宋体" w:cs="宋体"/>
          <w:kern w:val="0"/>
          <w:sz w:val="18"/>
          <w:szCs w:val="18"/>
        </w:rPr>
        <w:t>4</w:t>
      </w:r>
      <w:r>
        <w:rPr>
          <w:rFonts w:ascii="宋体" w:hAnsi="宋体" w:cs="宋体"/>
          <w:kern w:val="0"/>
          <w:sz w:val="18"/>
          <w:szCs w:val="18"/>
        </w:rPr>
        <w:t>、投标人应按其所</w:t>
      </w:r>
      <w:r>
        <w:rPr>
          <w:rFonts w:hint="eastAsia" w:ascii="宋体" w:hAnsi="宋体" w:cs="宋体"/>
          <w:kern w:val="0"/>
          <w:sz w:val="18"/>
          <w:szCs w:val="18"/>
        </w:rPr>
        <w:t>提供服务</w:t>
      </w:r>
      <w:r>
        <w:rPr>
          <w:rFonts w:ascii="宋体" w:hAnsi="宋体" w:cs="宋体"/>
          <w:kern w:val="0"/>
          <w:sz w:val="18"/>
          <w:szCs w:val="18"/>
        </w:rPr>
        <w:t>实际情况填写相应的投标</w:t>
      </w:r>
      <w:r>
        <w:rPr>
          <w:rFonts w:hint="eastAsia" w:ascii="宋体" w:hAnsi="宋体" w:cs="宋体"/>
          <w:kern w:val="0"/>
          <w:sz w:val="18"/>
          <w:szCs w:val="18"/>
        </w:rPr>
        <w:t>技术响应</w:t>
      </w:r>
      <w:r>
        <w:rPr>
          <w:rFonts w:ascii="宋体" w:hAnsi="宋体" w:cs="宋体"/>
          <w:kern w:val="0"/>
          <w:sz w:val="18"/>
          <w:szCs w:val="18"/>
        </w:rPr>
        <w:t>，如出现</w:t>
      </w:r>
      <w:r>
        <w:rPr>
          <w:rFonts w:hint="eastAsia" w:ascii="宋体" w:hAnsi="宋体" w:cs="宋体"/>
          <w:kern w:val="0"/>
          <w:sz w:val="18"/>
          <w:szCs w:val="18"/>
        </w:rPr>
        <w:t>与</w:t>
      </w:r>
      <w:r>
        <w:rPr>
          <w:rFonts w:ascii="宋体" w:hAnsi="宋体" w:cs="宋体"/>
          <w:kern w:val="0"/>
          <w:sz w:val="18"/>
          <w:szCs w:val="18"/>
        </w:rPr>
        <w:t>招标要求不一致的情况，评标委员会将根据具体情况给予是否偏离的认定，并以此认定为最终评判标准。</w:t>
      </w:r>
      <w:r>
        <w:rPr>
          <w:rFonts w:ascii="宋体" w:hAnsi="宋体" w:cs="宋体"/>
          <w:kern w:val="0"/>
          <w:sz w:val="18"/>
          <w:szCs w:val="18"/>
        </w:rPr>
        <w:br w:type="textWrapping"/>
      </w:r>
      <w:r>
        <w:rPr>
          <w:rFonts w:hint="eastAsia" w:ascii="宋体" w:hAnsi="宋体" w:cs="宋体"/>
          <w:color w:val="000000"/>
          <w:kern w:val="0"/>
          <w:sz w:val="18"/>
          <w:szCs w:val="18"/>
        </w:rPr>
        <w:t>5、评标委员会有权对以谋取中标为目的的虚假响应予以认定，并视情况报政府采购监督管理部门予以处罚。</w:t>
      </w:r>
    </w:p>
    <w:p>
      <w:pPr>
        <w:spacing w:line="340" w:lineRule="exact"/>
        <w:rPr>
          <w:rFonts w:ascii="宋体" w:hAnsi="宋体" w:cs="宋体"/>
          <w:color w:val="000000"/>
          <w:kern w:val="0"/>
          <w:sz w:val="18"/>
          <w:szCs w:val="18"/>
        </w:rPr>
      </w:pPr>
      <w:r>
        <w:rPr>
          <w:rFonts w:hint="eastAsia" w:ascii="宋体" w:hAnsi="宋体" w:cs="宋体"/>
          <w:color w:val="000000"/>
          <w:kern w:val="0"/>
          <w:sz w:val="18"/>
          <w:szCs w:val="18"/>
        </w:rPr>
        <w:t>6、投标文件中所有与招标文件要求不一致的内容必须在本表中做出说明，未在本表中做出说明的差异，即使在投标文件的其他部分做出了说明，采购人也有权在谈判时或履行合同时拒绝接受，并可要求中标供应商按照招标文件的要求履行合同，供应商拒绝履行的将视为违约。</w:t>
      </w:r>
    </w:p>
    <w:p>
      <w:pPr>
        <w:spacing w:line="440" w:lineRule="exact"/>
        <w:rPr>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投标单位公章：</w:t>
      </w:r>
    </w:p>
    <w:p>
      <w:pPr>
        <w:spacing w:line="440" w:lineRule="exact"/>
        <w:rPr>
          <w:color w:val="000000"/>
          <w:szCs w:val="21"/>
        </w:rPr>
      </w:pPr>
      <w:r>
        <w:rPr>
          <w:rFonts w:hint="eastAsia"/>
          <w:color w:val="000000"/>
          <w:szCs w:val="21"/>
        </w:rPr>
        <w:t xml:space="preserve"> </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p>
    <w:p>
      <w:pPr>
        <w:spacing w:line="440" w:lineRule="exact"/>
        <w:rPr>
          <w:rFonts w:ascii="宋体" w:hAnsi="宋体"/>
          <w:color w:val="000000"/>
          <w:szCs w:val="21"/>
        </w:rPr>
      </w:pPr>
      <w:r>
        <w:rPr>
          <w:rFonts w:hint="eastAsia"/>
          <w:color w:val="000000"/>
          <w:szCs w:val="21"/>
        </w:rPr>
        <w:t>注：本表格需如实填写，将作为重要评标依据。</w:t>
      </w:r>
    </w:p>
    <w:p>
      <w:pPr>
        <w:pStyle w:val="3"/>
        <w:keepNext w:val="0"/>
        <w:keepLines w:val="0"/>
        <w:spacing w:before="0" w:after="0" w:line="440" w:lineRule="exact"/>
        <w:rPr>
          <w:rFonts w:ascii="宋体" w:hAnsi="宋体"/>
          <w:b w:val="0"/>
          <w:color w:val="000000"/>
          <w:szCs w:val="21"/>
        </w:rPr>
      </w:pPr>
      <w:r>
        <w:rPr>
          <w:rFonts w:ascii="宋体" w:hAnsi="宋体"/>
          <w:b w:val="0"/>
          <w:color w:val="000000"/>
          <w:szCs w:val="21"/>
        </w:rPr>
        <w:br w:type="page"/>
      </w:r>
      <w:bookmarkStart w:id="103" w:name="_Toc70231353"/>
      <w:bookmarkStart w:id="104" w:name="_Toc3040"/>
      <w:bookmarkStart w:id="105" w:name="_Toc70231457"/>
      <w:r>
        <w:rPr>
          <w:rFonts w:hint="eastAsia" w:ascii="宋体" w:hAnsi="宋体"/>
          <w:color w:val="000000"/>
          <w:sz w:val="21"/>
          <w:szCs w:val="21"/>
        </w:rPr>
        <w:t>格式九：商务偏离表格式</w:t>
      </w:r>
      <w:bookmarkEnd w:id="103"/>
      <w:bookmarkEnd w:id="104"/>
      <w:bookmarkEnd w:id="105"/>
    </w:p>
    <w:p>
      <w:pPr>
        <w:jc w:val="center"/>
        <w:rPr>
          <w:rFonts w:ascii="微软雅黑" w:hAnsi="微软雅黑" w:eastAsia="微软雅黑" w:cs="微软雅黑"/>
          <w:b/>
          <w:bCs/>
          <w:color w:val="000000"/>
          <w:sz w:val="30"/>
          <w:szCs w:val="30"/>
        </w:rPr>
      </w:pPr>
      <w:r>
        <w:rPr>
          <w:rFonts w:hint="eastAsia" w:ascii="微软雅黑" w:hAnsi="微软雅黑" w:eastAsia="微软雅黑" w:cs="微软雅黑"/>
          <w:b/>
          <w:bCs/>
          <w:color w:val="000000"/>
          <w:sz w:val="30"/>
          <w:szCs w:val="30"/>
        </w:rPr>
        <w:t>商务偏离表</w:t>
      </w:r>
    </w:p>
    <w:p>
      <w:pPr>
        <w:spacing w:line="4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项目编号</w:t>
      </w:r>
      <w:r>
        <w:rPr>
          <w:color w:val="000000"/>
          <w:szCs w:val="21"/>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2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57"/>
        <w:gridCol w:w="2184"/>
        <w:gridCol w:w="2250"/>
        <w:gridCol w:w="117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b/>
                <w:color w:val="000000"/>
                <w:szCs w:val="21"/>
              </w:rPr>
            </w:pPr>
            <w:r>
              <w:rPr>
                <w:rFonts w:hint="eastAsia" w:ascii="宋体" w:hAnsi="宋体"/>
                <w:b/>
                <w:color w:val="000000"/>
                <w:szCs w:val="21"/>
              </w:rPr>
              <w:t>序号</w:t>
            </w:r>
          </w:p>
        </w:tc>
        <w:tc>
          <w:tcPr>
            <w:tcW w:w="1657" w:type="dxa"/>
            <w:vAlign w:val="center"/>
          </w:tcPr>
          <w:p>
            <w:pPr>
              <w:spacing w:line="0" w:lineRule="atLeast"/>
              <w:jc w:val="center"/>
              <w:rPr>
                <w:rFonts w:ascii="宋体" w:hAnsi="宋体"/>
                <w:b/>
                <w:color w:val="000000"/>
                <w:szCs w:val="21"/>
              </w:rPr>
            </w:pPr>
            <w:r>
              <w:rPr>
                <w:rFonts w:hint="eastAsia" w:ascii="宋体" w:hAnsi="宋体"/>
                <w:b/>
                <w:color w:val="000000"/>
                <w:szCs w:val="21"/>
              </w:rPr>
              <w:t>差别项名称</w:t>
            </w:r>
          </w:p>
        </w:tc>
        <w:tc>
          <w:tcPr>
            <w:tcW w:w="2184" w:type="dxa"/>
            <w:vAlign w:val="center"/>
          </w:tcPr>
          <w:p>
            <w:pPr>
              <w:spacing w:line="0" w:lineRule="atLeast"/>
              <w:jc w:val="center"/>
              <w:rPr>
                <w:rFonts w:ascii="宋体" w:hAnsi="宋体"/>
                <w:b/>
                <w:szCs w:val="21"/>
              </w:rPr>
            </w:pPr>
            <w:r>
              <w:rPr>
                <w:rFonts w:hint="eastAsia" w:ascii="宋体" w:hAnsi="宋体"/>
                <w:b/>
                <w:szCs w:val="21"/>
              </w:rPr>
              <w:t>招标文件商务要求</w:t>
            </w:r>
          </w:p>
        </w:tc>
        <w:tc>
          <w:tcPr>
            <w:tcW w:w="2250" w:type="dxa"/>
            <w:vAlign w:val="center"/>
          </w:tcPr>
          <w:p>
            <w:pPr>
              <w:spacing w:line="0" w:lineRule="atLeast"/>
              <w:jc w:val="center"/>
              <w:rPr>
                <w:rFonts w:ascii="宋体" w:hAnsi="宋体"/>
                <w:b/>
                <w:szCs w:val="21"/>
              </w:rPr>
            </w:pPr>
            <w:r>
              <w:rPr>
                <w:rFonts w:hint="eastAsia" w:ascii="宋体" w:hAnsi="宋体"/>
                <w:b/>
                <w:szCs w:val="21"/>
              </w:rPr>
              <w:t>投标文件商务响应</w:t>
            </w:r>
          </w:p>
        </w:tc>
        <w:tc>
          <w:tcPr>
            <w:tcW w:w="1176" w:type="dxa"/>
            <w:vAlign w:val="center"/>
          </w:tcPr>
          <w:p>
            <w:pPr>
              <w:spacing w:line="0" w:lineRule="atLeast"/>
              <w:jc w:val="center"/>
              <w:rPr>
                <w:rFonts w:ascii="宋体" w:hAnsi="宋体"/>
                <w:b/>
                <w:color w:val="000000"/>
                <w:szCs w:val="21"/>
              </w:rPr>
            </w:pPr>
            <w:r>
              <w:rPr>
                <w:rFonts w:hint="eastAsia" w:ascii="宋体" w:hAnsi="宋体"/>
                <w:b/>
                <w:color w:val="000000"/>
                <w:szCs w:val="21"/>
              </w:rPr>
              <w:t>偏离度</w:t>
            </w:r>
          </w:p>
        </w:tc>
        <w:tc>
          <w:tcPr>
            <w:tcW w:w="1178" w:type="dxa"/>
            <w:vAlign w:val="center"/>
          </w:tcPr>
          <w:p>
            <w:pPr>
              <w:spacing w:line="0" w:lineRule="atLeast"/>
              <w:jc w:val="center"/>
              <w:rPr>
                <w:rFonts w:ascii="宋体" w:hAnsi="宋体"/>
                <w:b/>
                <w:color w:val="000000"/>
                <w:szCs w:val="21"/>
              </w:rPr>
            </w:pPr>
            <w:r>
              <w:rPr>
                <w:rFonts w:hint="eastAsia" w:ascii="宋体" w:hAnsi="宋体"/>
                <w:b/>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Cs w:val="21"/>
              </w:rPr>
            </w:pPr>
          </w:p>
        </w:tc>
        <w:tc>
          <w:tcPr>
            <w:tcW w:w="1657" w:type="dxa"/>
            <w:vAlign w:val="center"/>
          </w:tcPr>
          <w:p>
            <w:pPr>
              <w:spacing w:line="0" w:lineRule="atLeast"/>
              <w:jc w:val="center"/>
              <w:rPr>
                <w:rFonts w:ascii="宋体" w:hAnsi="宋体"/>
                <w:color w:val="000000"/>
                <w:szCs w:val="21"/>
              </w:rPr>
            </w:pPr>
          </w:p>
        </w:tc>
        <w:tc>
          <w:tcPr>
            <w:tcW w:w="2184" w:type="dxa"/>
            <w:vAlign w:val="center"/>
          </w:tcPr>
          <w:p>
            <w:pPr>
              <w:spacing w:line="0" w:lineRule="atLeast"/>
              <w:jc w:val="center"/>
              <w:rPr>
                <w:rFonts w:ascii="宋体" w:hAnsi="宋体"/>
                <w:color w:val="000000"/>
                <w:szCs w:val="21"/>
              </w:rPr>
            </w:pPr>
          </w:p>
        </w:tc>
        <w:tc>
          <w:tcPr>
            <w:tcW w:w="2250" w:type="dxa"/>
            <w:vAlign w:val="center"/>
          </w:tcPr>
          <w:p>
            <w:pPr>
              <w:spacing w:line="0" w:lineRule="atLeast"/>
              <w:jc w:val="center"/>
              <w:rPr>
                <w:rFonts w:ascii="宋体" w:hAnsi="宋体"/>
                <w:color w:val="000000"/>
                <w:szCs w:val="21"/>
              </w:rPr>
            </w:pPr>
          </w:p>
        </w:tc>
        <w:tc>
          <w:tcPr>
            <w:tcW w:w="1176" w:type="dxa"/>
            <w:vAlign w:val="center"/>
          </w:tcPr>
          <w:p>
            <w:pPr>
              <w:spacing w:line="0" w:lineRule="atLeast"/>
              <w:jc w:val="center"/>
              <w:rPr>
                <w:rFonts w:ascii="宋体" w:hAnsi="宋体"/>
                <w:color w:val="000000"/>
                <w:szCs w:val="21"/>
              </w:rPr>
            </w:pPr>
          </w:p>
        </w:tc>
        <w:tc>
          <w:tcPr>
            <w:tcW w:w="1178" w:type="dxa"/>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0" w:type="dxa"/>
            <w:vAlign w:val="center"/>
          </w:tcPr>
          <w:p>
            <w:pPr>
              <w:spacing w:line="0" w:lineRule="atLeast"/>
              <w:jc w:val="center"/>
              <w:rPr>
                <w:rFonts w:ascii="宋体" w:hAnsi="宋体"/>
                <w:color w:val="000000"/>
                <w:sz w:val="24"/>
              </w:rPr>
            </w:pPr>
            <w:r>
              <w:rPr>
                <w:rFonts w:hint="eastAsia" w:ascii="宋体" w:hAnsi="宋体"/>
                <w:color w:val="000000"/>
                <w:sz w:val="24"/>
              </w:rPr>
              <w:t>……</w:t>
            </w:r>
          </w:p>
        </w:tc>
        <w:tc>
          <w:tcPr>
            <w:tcW w:w="1657" w:type="dxa"/>
            <w:vAlign w:val="center"/>
          </w:tcPr>
          <w:p>
            <w:pPr>
              <w:spacing w:line="0" w:lineRule="atLeast"/>
              <w:jc w:val="center"/>
              <w:rPr>
                <w:rFonts w:ascii="宋体" w:hAnsi="宋体"/>
                <w:color w:val="000000"/>
                <w:sz w:val="24"/>
              </w:rPr>
            </w:pPr>
          </w:p>
        </w:tc>
        <w:tc>
          <w:tcPr>
            <w:tcW w:w="2184" w:type="dxa"/>
            <w:vAlign w:val="center"/>
          </w:tcPr>
          <w:p>
            <w:pPr>
              <w:spacing w:line="0" w:lineRule="atLeast"/>
              <w:jc w:val="center"/>
              <w:rPr>
                <w:rFonts w:ascii="宋体" w:hAnsi="宋体"/>
                <w:color w:val="000000"/>
                <w:sz w:val="24"/>
              </w:rPr>
            </w:pPr>
          </w:p>
        </w:tc>
        <w:tc>
          <w:tcPr>
            <w:tcW w:w="2250" w:type="dxa"/>
            <w:vAlign w:val="center"/>
          </w:tcPr>
          <w:p>
            <w:pPr>
              <w:spacing w:line="0" w:lineRule="atLeast"/>
              <w:jc w:val="center"/>
              <w:rPr>
                <w:rFonts w:ascii="宋体" w:hAnsi="宋体"/>
                <w:color w:val="000000"/>
                <w:sz w:val="24"/>
              </w:rPr>
            </w:pPr>
          </w:p>
        </w:tc>
        <w:tc>
          <w:tcPr>
            <w:tcW w:w="1176" w:type="dxa"/>
            <w:vAlign w:val="center"/>
          </w:tcPr>
          <w:p>
            <w:pPr>
              <w:spacing w:line="0" w:lineRule="atLeast"/>
              <w:jc w:val="center"/>
              <w:rPr>
                <w:rFonts w:ascii="宋体" w:hAnsi="宋体"/>
                <w:color w:val="000000"/>
                <w:sz w:val="24"/>
              </w:rPr>
            </w:pPr>
          </w:p>
        </w:tc>
        <w:tc>
          <w:tcPr>
            <w:tcW w:w="1178" w:type="dxa"/>
            <w:vAlign w:val="center"/>
          </w:tcPr>
          <w:p>
            <w:pPr>
              <w:spacing w:line="0" w:lineRule="atLeas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15" w:type="dxa"/>
            <w:gridSpan w:val="6"/>
            <w:vAlign w:val="center"/>
          </w:tcPr>
          <w:p>
            <w:pPr>
              <w:spacing w:line="0" w:lineRule="atLeast"/>
              <w:jc w:val="center"/>
              <w:rPr>
                <w:rFonts w:ascii="宋体" w:hAnsi="宋体"/>
                <w:b/>
                <w:color w:val="000000"/>
                <w:sz w:val="24"/>
                <w:szCs w:val="24"/>
              </w:rPr>
            </w:pPr>
            <w:r>
              <w:rPr>
                <w:rFonts w:hint="eastAsia" w:asciiTheme="majorEastAsia" w:hAnsiTheme="majorEastAsia" w:eastAsiaTheme="majorEastAsia"/>
                <w:b/>
                <w:color w:val="000000"/>
                <w:sz w:val="24"/>
                <w:szCs w:val="24"/>
              </w:rPr>
              <w:t>除上述条款以外，我司承诺全部接受并按照招标文件的要求承担本项目。</w:t>
            </w:r>
          </w:p>
        </w:tc>
      </w:tr>
    </w:tbl>
    <w:p>
      <w:pPr>
        <w:spacing w:line="320" w:lineRule="exact"/>
        <w:rPr>
          <w:rFonts w:ascii="宋体" w:hAnsi="宋体"/>
          <w:color w:val="000000"/>
          <w:sz w:val="18"/>
        </w:rPr>
      </w:pPr>
      <w:r>
        <w:rPr>
          <w:rFonts w:hint="eastAsia" w:ascii="宋体" w:hAnsi="宋体"/>
          <w:color w:val="000000"/>
          <w:sz w:val="18"/>
        </w:rPr>
        <w:t>说明：</w:t>
      </w:r>
    </w:p>
    <w:p>
      <w:pPr>
        <w:spacing w:line="320" w:lineRule="exact"/>
        <w:jc w:val="left"/>
        <w:rPr>
          <w:rFonts w:ascii="宋体" w:hAnsi="宋体"/>
          <w:b/>
          <w:color w:val="000000"/>
          <w:sz w:val="18"/>
        </w:rPr>
      </w:pPr>
      <w:r>
        <w:rPr>
          <w:rFonts w:ascii="宋体" w:hAnsi="宋体"/>
          <w:b/>
          <w:color w:val="000000"/>
          <w:sz w:val="18"/>
        </w:rPr>
        <w:t>1</w:t>
      </w:r>
      <w:r>
        <w:rPr>
          <w:rFonts w:hint="eastAsia" w:ascii="宋体" w:hAnsi="宋体"/>
          <w:b/>
          <w:color w:val="000000"/>
          <w:sz w:val="18"/>
        </w:rPr>
        <w:t>、本表中“差别项”是指投标文件商务响应和招标文件商务要求不一致的项目，包括高于或低于招标文件要求的所有项目，</w:t>
      </w:r>
      <w:r>
        <w:rPr>
          <w:rFonts w:hint="eastAsia" w:ascii="宋体" w:hAnsi="宋体"/>
          <w:b/>
          <w:color w:val="000000"/>
          <w:sz w:val="18"/>
          <w:u w:val="single"/>
        </w:rPr>
        <w:t>没有不一致的，本表可空白</w:t>
      </w:r>
      <w:r>
        <w:rPr>
          <w:rFonts w:hint="eastAsia" w:ascii="宋体" w:hAnsi="宋体"/>
          <w:b/>
          <w:color w:val="000000"/>
          <w:sz w:val="18"/>
        </w:rPr>
        <w:t>；“</w:t>
      </w:r>
      <w:r>
        <w:rPr>
          <w:rFonts w:ascii="宋体" w:hAnsi="宋体"/>
          <w:b/>
          <w:color w:val="000000"/>
          <w:sz w:val="18"/>
        </w:rPr>
        <w:t>招标文件</w:t>
      </w:r>
      <w:r>
        <w:rPr>
          <w:rFonts w:hint="eastAsia" w:ascii="宋体" w:hAnsi="宋体"/>
          <w:b/>
          <w:color w:val="000000"/>
          <w:sz w:val="18"/>
        </w:rPr>
        <w:t>商务要求”</w:t>
      </w:r>
      <w:r>
        <w:rPr>
          <w:rFonts w:ascii="宋体" w:hAnsi="宋体"/>
          <w:b/>
          <w:color w:val="000000"/>
          <w:sz w:val="18"/>
        </w:rPr>
        <w:t>来自于 “</w:t>
      </w:r>
      <w:r>
        <w:rPr>
          <w:rFonts w:hint="eastAsia" w:ascii="宋体" w:hAnsi="宋体"/>
          <w:b/>
          <w:color w:val="000000"/>
          <w:sz w:val="18"/>
          <w:highlight w:val="yellow"/>
        </w:rPr>
        <w:t>商务</w:t>
      </w:r>
      <w:r>
        <w:rPr>
          <w:rFonts w:ascii="宋体" w:hAnsi="宋体"/>
          <w:b/>
          <w:color w:val="000000"/>
          <w:sz w:val="18"/>
          <w:highlight w:val="yellow"/>
        </w:rPr>
        <w:t>需求</w:t>
      </w:r>
      <w:r>
        <w:rPr>
          <w:rFonts w:hint="eastAsia" w:ascii="宋体" w:hAnsi="宋体"/>
          <w:b/>
          <w:color w:val="000000"/>
          <w:sz w:val="18"/>
          <w:highlight w:val="yellow"/>
        </w:rPr>
        <w:t>明细</w:t>
      </w:r>
      <w:r>
        <w:rPr>
          <w:rFonts w:ascii="宋体" w:hAnsi="宋体"/>
          <w:b/>
          <w:color w:val="000000"/>
          <w:sz w:val="18"/>
        </w:rPr>
        <w:t>”。</w:t>
      </w:r>
    </w:p>
    <w:p>
      <w:pPr>
        <w:spacing w:line="320" w:lineRule="exact"/>
        <w:rPr>
          <w:rFonts w:ascii="宋体" w:hAnsi="宋体"/>
          <w:color w:val="000000"/>
          <w:sz w:val="18"/>
        </w:rPr>
      </w:pPr>
      <w:r>
        <w:rPr>
          <w:rFonts w:hint="eastAsia" w:ascii="宋体" w:hAnsi="宋体"/>
          <w:color w:val="000000"/>
          <w:sz w:val="18"/>
        </w:rPr>
        <w:t>2、对“偏离度”一栏，填写“正偏离”或“负偏离”。其中正偏离是指所响应条款优于招标文件所规定的要求；负偏离是指所响应条款低于招标文件所规定的要求。</w:t>
      </w:r>
    </w:p>
    <w:p>
      <w:pPr>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、投标人须及时留意</w:t>
      </w:r>
      <w:r>
        <w:rPr>
          <w:rFonts w:hint="eastAsia" w:ascii="宋体" w:hAnsi="宋体" w:cs="宋体"/>
          <w:color w:val="000000"/>
          <w:kern w:val="0"/>
          <w:sz w:val="18"/>
          <w:szCs w:val="18"/>
        </w:rPr>
        <w:t>采购人</w:t>
      </w:r>
      <w:r>
        <w:rPr>
          <w:rFonts w:ascii="宋体" w:hAnsi="宋体" w:cs="宋体"/>
          <w:color w:val="000000"/>
          <w:kern w:val="0"/>
          <w:sz w:val="18"/>
          <w:szCs w:val="18"/>
        </w:rPr>
        <w:t>可能发布的招标答疑、修改或澄清公告，其为招标文件的有效组成部分，如投标文件</w:t>
      </w:r>
      <w:r>
        <w:rPr>
          <w:rFonts w:hint="eastAsia" w:ascii="宋体" w:hAnsi="宋体" w:cs="宋体"/>
          <w:color w:val="000000"/>
          <w:kern w:val="0"/>
          <w:sz w:val="18"/>
          <w:szCs w:val="18"/>
        </w:rPr>
        <w:t>中</w:t>
      </w:r>
      <w:r>
        <w:rPr>
          <w:rFonts w:ascii="宋体" w:hAnsi="宋体" w:cs="宋体"/>
          <w:color w:val="000000"/>
          <w:kern w:val="0"/>
          <w:sz w:val="18"/>
          <w:szCs w:val="18"/>
        </w:rPr>
        <w:t>出现招标</w:t>
      </w:r>
      <w:r>
        <w:rPr>
          <w:rFonts w:hint="eastAsia" w:ascii="宋体" w:hAnsi="宋体" w:cs="宋体"/>
          <w:color w:val="000000"/>
          <w:kern w:val="0"/>
          <w:sz w:val="18"/>
          <w:szCs w:val="18"/>
        </w:rPr>
        <w:t>文件服务需求</w:t>
      </w:r>
      <w:r>
        <w:rPr>
          <w:rFonts w:ascii="宋体" w:hAnsi="宋体" w:cs="宋体"/>
          <w:color w:val="000000"/>
          <w:kern w:val="0"/>
          <w:sz w:val="18"/>
          <w:szCs w:val="18"/>
        </w:rPr>
        <w:t>与</w:t>
      </w:r>
      <w:r>
        <w:rPr>
          <w:rFonts w:hint="eastAsia" w:ascii="宋体" w:hAnsi="宋体" w:cs="宋体"/>
          <w:color w:val="000000"/>
          <w:kern w:val="0"/>
          <w:sz w:val="18"/>
          <w:szCs w:val="18"/>
        </w:rPr>
        <w:t>采购人</w:t>
      </w:r>
      <w:r>
        <w:rPr>
          <w:rFonts w:ascii="宋体" w:hAnsi="宋体" w:cs="宋体"/>
          <w:color w:val="000000"/>
          <w:kern w:val="0"/>
          <w:sz w:val="18"/>
          <w:szCs w:val="18"/>
        </w:rPr>
        <w:t>最终公布的内容不一致（包括答疑、修改公告、</w:t>
      </w:r>
      <w:r>
        <w:rPr>
          <w:rFonts w:hint="eastAsia" w:ascii="宋体" w:hAnsi="宋体" w:cs="宋体"/>
          <w:color w:val="000000"/>
          <w:kern w:val="0"/>
          <w:sz w:val="18"/>
          <w:szCs w:val="18"/>
        </w:rPr>
        <w:t>澄清</w:t>
      </w:r>
      <w:r>
        <w:rPr>
          <w:rFonts w:ascii="宋体" w:hAnsi="宋体" w:cs="宋体"/>
          <w:color w:val="000000"/>
          <w:kern w:val="0"/>
          <w:sz w:val="18"/>
          <w:szCs w:val="18"/>
        </w:rPr>
        <w:t>公告等内容）的，该条</w:t>
      </w:r>
      <w:r>
        <w:rPr>
          <w:rFonts w:hint="eastAsia" w:ascii="宋体" w:hAnsi="宋体" w:cs="宋体"/>
          <w:color w:val="000000"/>
          <w:kern w:val="0"/>
          <w:sz w:val="18"/>
          <w:szCs w:val="18"/>
        </w:rPr>
        <w:t>服务需求</w:t>
      </w:r>
      <w:r>
        <w:rPr>
          <w:rFonts w:ascii="宋体" w:hAnsi="宋体" w:cs="宋体"/>
          <w:color w:val="000000"/>
          <w:kern w:val="0"/>
          <w:sz w:val="18"/>
          <w:szCs w:val="18"/>
        </w:rPr>
        <w:t>一律视为负偏离，如该条</w:t>
      </w:r>
      <w:r>
        <w:rPr>
          <w:rFonts w:hint="eastAsia" w:ascii="宋体" w:hAnsi="宋体" w:cs="宋体"/>
          <w:color w:val="000000"/>
          <w:kern w:val="0"/>
          <w:sz w:val="18"/>
          <w:szCs w:val="18"/>
        </w:rPr>
        <w:t>服务需求</w:t>
      </w:r>
      <w:r>
        <w:rPr>
          <w:rFonts w:ascii="宋体" w:hAnsi="宋体" w:cs="宋体"/>
          <w:color w:val="000000"/>
          <w:kern w:val="0"/>
          <w:sz w:val="18"/>
          <w:szCs w:val="18"/>
        </w:rPr>
        <w:t>为</w:t>
      </w:r>
      <w:r>
        <w:rPr>
          <w:rFonts w:hint="eastAsia" w:ascii="宋体" w:hAnsi="宋体" w:cs="宋体"/>
          <w:color w:val="000000"/>
          <w:kern w:val="0"/>
          <w:sz w:val="18"/>
          <w:szCs w:val="18"/>
        </w:rPr>
        <w:t>不可偏离项</w:t>
      </w:r>
      <w:r>
        <w:rPr>
          <w:rFonts w:ascii="宋体" w:hAnsi="宋体" w:cs="宋体"/>
          <w:color w:val="000000"/>
          <w:kern w:val="0"/>
          <w:sz w:val="18"/>
          <w:szCs w:val="18"/>
        </w:rPr>
        <w:t>，则</w:t>
      </w:r>
      <w:r>
        <w:rPr>
          <w:rFonts w:hint="eastAsia" w:ascii="宋体" w:hAnsi="宋体" w:cs="宋体"/>
          <w:color w:val="000000"/>
          <w:kern w:val="0"/>
          <w:sz w:val="18"/>
          <w:szCs w:val="18"/>
        </w:rPr>
        <w:t>可能</w:t>
      </w:r>
      <w:r>
        <w:rPr>
          <w:rFonts w:ascii="宋体" w:hAnsi="宋体" w:cs="宋体"/>
          <w:color w:val="000000"/>
          <w:kern w:val="0"/>
          <w:sz w:val="18"/>
          <w:szCs w:val="18"/>
        </w:rPr>
        <w:t xml:space="preserve">导致废标。 </w:t>
      </w:r>
    </w:p>
    <w:p>
      <w:pPr>
        <w:spacing w:line="320" w:lineRule="exact"/>
        <w:jc w:val="left"/>
        <w:rPr>
          <w:rFonts w:ascii="宋体" w:hAnsi="宋体" w:cs="宋体"/>
          <w:color w:val="000000"/>
          <w:kern w:val="0"/>
          <w:sz w:val="18"/>
          <w:szCs w:val="18"/>
        </w:rPr>
      </w:pPr>
      <w:r>
        <w:rPr>
          <w:rFonts w:hint="eastAsia" w:ascii="宋体" w:hAnsi="宋体" w:cs="宋体"/>
          <w:kern w:val="0"/>
          <w:sz w:val="18"/>
          <w:szCs w:val="18"/>
        </w:rPr>
        <w:t>4</w:t>
      </w:r>
      <w:r>
        <w:rPr>
          <w:rFonts w:ascii="宋体" w:hAnsi="宋体" w:cs="宋体"/>
          <w:kern w:val="0"/>
          <w:sz w:val="18"/>
          <w:szCs w:val="18"/>
        </w:rPr>
        <w:t>、投标人应按其所</w:t>
      </w:r>
      <w:r>
        <w:rPr>
          <w:rFonts w:hint="eastAsia" w:ascii="宋体" w:hAnsi="宋体" w:cs="宋体"/>
          <w:kern w:val="0"/>
          <w:sz w:val="18"/>
          <w:szCs w:val="18"/>
        </w:rPr>
        <w:t>提供服务</w:t>
      </w:r>
      <w:r>
        <w:rPr>
          <w:rFonts w:ascii="宋体" w:hAnsi="宋体" w:cs="宋体"/>
          <w:kern w:val="0"/>
          <w:sz w:val="18"/>
          <w:szCs w:val="18"/>
        </w:rPr>
        <w:t>实际情况填写相应的投标</w:t>
      </w:r>
      <w:r>
        <w:rPr>
          <w:rFonts w:hint="eastAsia" w:ascii="宋体" w:hAnsi="宋体" w:cs="宋体"/>
          <w:kern w:val="0"/>
          <w:sz w:val="18"/>
          <w:szCs w:val="18"/>
        </w:rPr>
        <w:t>商务响应</w:t>
      </w:r>
      <w:r>
        <w:rPr>
          <w:rFonts w:ascii="宋体" w:hAnsi="宋体" w:cs="宋体"/>
          <w:kern w:val="0"/>
          <w:sz w:val="18"/>
          <w:szCs w:val="18"/>
        </w:rPr>
        <w:t>，如出现</w:t>
      </w:r>
      <w:r>
        <w:rPr>
          <w:rFonts w:hint="eastAsia" w:ascii="宋体" w:hAnsi="宋体" w:cs="宋体"/>
          <w:kern w:val="0"/>
          <w:sz w:val="18"/>
          <w:szCs w:val="18"/>
        </w:rPr>
        <w:t>与</w:t>
      </w:r>
      <w:r>
        <w:rPr>
          <w:rFonts w:ascii="宋体" w:hAnsi="宋体" w:cs="宋体"/>
          <w:kern w:val="0"/>
          <w:sz w:val="18"/>
          <w:szCs w:val="18"/>
        </w:rPr>
        <w:t>招标要求不一致的情况，评标委员会将根据具体情况给予是否偏离的认定，并以此认定为最终评判标准。</w:t>
      </w:r>
      <w:r>
        <w:rPr>
          <w:rFonts w:ascii="宋体" w:hAnsi="宋体" w:cs="宋体"/>
          <w:kern w:val="0"/>
          <w:sz w:val="18"/>
          <w:szCs w:val="18"/>
        </w:rPr>
        <w:br w:type="textWrapping"/>
      </w:r>
      <w:r>
        <w:rPr>
          <w:rFonts w:hint="eastAsia" w:ascii="宋体" w:hAnsi="宋体" w:cs="宋体"/>
          <w:color w:val="000000"/>
          <w:kern w:val="0"/>
          <w:sz w:val="18"/>
          <w:szCs w:val="18"/>
        </w:rPr>
        <w:t>5、评标委员会有权对以谋取中标为目的的虚假响应予以认定，并视情况报政府采购监督管理部门予以处罚。</w:t>
      </w:r>
    </w:p>
    <w:p>
      <w:pPr>
        <w:spacing w:line="340" w:lineRule="exact"/>
        <w:rPr>
          <w:rFonts w:ascii="宋体" w:hAnsi="宋体" w:cs="宋体"/>
          <w:color w:val="000000"/>
          <w:kern w:val="0"/>
          <w:sz w:val="18"/>
          <w:szCs w:val="18"/>
        </w:rPr>
      </w:pPr>
      <w:r>
        <w:rPr>
          <w:rFonts w:hint="eastAsia" w:ascii="宋体" w:hAnsi="宋体" w:cs="宋体"/>
          <w:color w:val="000000"/>
          <w:kern w:val="0"/>
          <w:sz w:val="18"/>
          <w:szCs w:val="18"/>
        </w:rPr>
        <w:t>6、投标文件中所有与招标文件要求不一致的内容必须在本表中做出说明，未在本表中做出说明的差异，即使在投标文件的其他部分做出了说明，采购人也有权在谈判时或履行合同时拒绝接受，并可要求中标供应商按照招标文件的要求履行合同，供应商拒绝履行的将视为违约。</w:t>
      </w:r>
    </w:p>
    <w:p>
      <w:pPr>
        <w:spacing w:line="360" w:lineRule="exact"/>
        <w:ind w:left="180"/>
        <w:rPr>
          <w:rFonts w:ascii="宋体" w:hAnsi="宋体"/>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投标单位公章：</w:t>
      </w:r>
    </w:p>
    <w:p>
      <w:pPr>
        <w:spacing w:line="440" w:lineRule="exact"/>
        <w:rPr>
          <w:color w:val="000000"/>
          <w:szCs w:val="21"/>
        </w:rPr>
      </w:pPr>
      <w:r>
        <w:rPr>
          <w:rFonts w:hint="eastAsia"/>
          <w:color w:val="000000"/>
          <w:szCs w:val="21"/>
        </w:rPr>
        <w:t xml:space="preserve"> </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p>
    <w:p>
      <w:pPr>
        <w:spacing w:line="440" w:lineRule="exact"/>
        <w:rPr>
          <w:color w:val="000000"/>
          <w:szCs w:val="21"/>
        </w:rPr>
      </w:pPr>
      <w:r>
        <w:rPr>
          <w:rFonts w:hint="eastAsia"/>
          <w:color w:val="000000"/>
          <w:szCs w:val="21"/>
        </w:rPr>
        <w:t>注：本表格需如实填写，将作为重要评标依据。</w:t>
      </w:r>
    </w:p>
    <w:p>
      <w:pPr>
        <w:spacing w:line="0" w:lineRule="atLeast"/>
        <w:jc w:val="center"/>
        <w:rPr>
          <w:rFonts w:ascii="宋体" w:hAnsi="宋体"/>
          <w:b/>
          <w:color w:val="000000"/>
          <w:sz w:val="24"/>
        </w:rPr>
      </w:pPr>
    </w:p>
    <w:p>
      <w:pPr>
        <w:pStyle w:val="3"/>
        <w:keepNext w:val="0"/>
        <w:keepLines w:val="0"/>
        <w:spacing w:before="0" w:after="0" w:line="440" w:lineRule="exact"/>
        <w:rPr>
          <w:rFonts w:ascii="宋体" w:hAnsi="宋体"/>
          <w:b w:val="0"/>
          <w:color w:val="000000"/>
          <w:szCs w:val="21"/>
        </w:rPr>
      </w:pPr>
      <w:r>
        <w:rPr>
          <w:rFonts w:ascii="宋体" w:hAnsi="宋体"/>
          <w:color w:val="000000"/>
          <w:szCs w:val="21"/>
        </w:rPr>
        <w:br w:type="page"/>
      </w:r>
      <w:bookmarkStart w:id="106" w:name="_Toc12108"/>
      <w:bookmarkStart w:id="107" w:name="_Toc70231354"/>
      <w:bookmarkStart w:id="108" w:name="_Toc70231458"/>
      <w:r>
        <w:rPr>
          <w:rFonts w:hint="eastAsia" w:ascii="宋体" w:hAnsi="宋体"/>
          <w:color w:val="000000"/>
          <w:sz w:val="21"/>
          <w:szCs w:val="21"/>
        </w:rPr>
        <w:t>格式十：项目负责人情况格式</w:t>
      </w:r>
      <w:bookmarkEnd w:id="106"/>
      <w:bookmarkEnd w:id="107"/>
      <w:bookmarkEnd w:id="108"/>
    </w:p>
    <w:p>
      <w:pPr>
        <w:jc w:val="center"/>
        <w:rPr>
          <w:rFonts w:ascii="微软雅黑" w:hAnsi="微软雅黑" w:eastAsia="微软雅黑" w:cs="微软雅黑"/>
          <w:b/>
          <w:bCs/>
          <w:color w:val="000000"/>
          <w:sz w:val="30"/>
          <w:szCs w:val="30"/>
        </w:rPr>
      </w:pPr>
      <w:r>
        <w:rPr>
          <w:rFonts w:hint="eastAsia" w:ascii="微软雅黑" w:hAnsi="微软雅黑" w:eastAsia="微软雅黑" w:cs="微软雅黑"/>
          <w:b/>
          <w:bCs/>
          <w:color w:val="000000"/>
          <w:sz w:val="30"/>
          <w:szCs w:val="30"/>
        </w:rPr>
        <w:t>项目负责人情况</w:t>
      </w:r>
    </w:p>
    <w:p>
      <w:pPr>
        <w:spacing w:line="440" w:lineRule="exact"/>
        <w:rPr>
          <w:rFonts w:ascii="宋体" w:hAnsi="宋体"/>
          <w:b/>
          <w:szCs w:val="21"/>
        </w:rPr>
      </w:pPr>
      <w:bookmarkStart w:id="109" w:name="_Toc101074903"/>
      <w:bookmarkStart w:id="110" w:name="_Toc100052473"/>
      <w:r>
        <w:rPr>
          <w:rFonts w:hint="eastAsia" w:ascii="宋体" w:hAnsi="宋体"/>
          <w:b/>
          <w:szCs w:val="21"/>
        </w:rPr>
        <w:t>（一）</w:t>
      </w:r>
      <w:bookmarkEnd w:id="109"/>
      <w:bookmarkEnd w:id="110"/>
      <w:bookmarkStart w:id="111" w:name="_Toc100052474"/>
      <w:bookmarkStart w:id="112" w:name="_Toc73521619"/>
      <w:bookmarkStart w:id="113" w:name="_Toc73521707"/>
      <w:bookmarkStart w:id="114" w:name="_Toc101074904"/>
      <w:r>
        <w:rPr>
          <w:rFonts w:hint="eastAsia" w:ascii="宋体" w:hAnsi="宋体"/>
          <w:b/>
          <w:szCs w:val="21"/>
        </w:rPr>
        <w:t>项目负责人简历表</w:t>
      </w:r>
      <w:bookmarkEnd w:id="111"/>
      <w:bookmarkEnd w:id="112"/>
      <w:bookmarkEnd w:id="113"/>
      <w:bookmarkEnd w:id="114"/>
    </w:p>
    <w:tbl>
      <w:tblPr>
        <w:tblStyle w:val="2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52"/>
        <w:gridCol w:w="455"/>
        <w:gridCol w:w="1297"/>
        <w:gridCol w:w="173"/>
        <w:gridCol w:w="1051"/>
        <w:gridCol w:w="210"/>
        <w:gridCol w:w="1506"/>
        <w:gridCol w:w="214"/>
        <w:gridCol w:w="874"/>
        <w:gridCol w:w="70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5" w:type="dxa"/>
            <w:vAlign w:val="center"/>
          </w:tcPr>
          <w:p>
            <w:pPr>
              <w:jc w:val="center"/>
              <w:rPr>
                <w:rFonts w:ascii="宋体" w:hAnsi="宋体"/>
                <w:szCs w:val="21"/>
              </w:rPr>
            </w:pPr>
            <w:r>
              <w:rPr>
                <w:rFonts w:hint="eastAsia" w:ascii="宋体" w:hAnsi="宋体"/>
                <w:szCs w:val="21"/>
              </w:rPr>
              <w:t>姓名</w:t>
            </w:r>
          </w:p>
        </w:tc>
        <w:tc>
          <w:tcPr>
            <w:tcW w:w="2277" w:type="dxa"/>
            <w:gridSpan w:val="4"/>
            <w:vAlign w:val="center"/>
          </w:tcPr>
          <w:p>
            <w:pPr>
              <w:jc w:val="center"/>
              <w:rPr>
                <w:rFonts w:ascii="宋体" w:hAnsi="宋体"/>
                <w:szCs w:val="21"/>
              </w:rPr>
            </w:pPr>
          </w:p>
        </w:tc>
        <w:tc>
          <w:tcPr>
            <w:tcW w:w="1051" w:type="dxa"/>
            <w:vAlign w:val="center"/>
          </w:tcPr>
          <w:p>
            <w:pPr>
              <w:jc w:val="center"/>
              <w:rPr>
                <w:rFonts w:ascii="宋体" w:hAnsi="宋体"/>
                <w:szCs w:val="21"/>
              </w:rPr>
            </w:pPr>
            <w:r>
              <w:rPr>
                <w:rFonts w:hint="eastAsia" w:ascii="宋体" w:hAnsi="宋体"/>
                <w:szCs w:val="21"/>
              </w:rPr>
              <w:t>性别</w:t>
            </w:r>
          </w:p>
        </w:tc>
        <w:tc>
          <w:tcPr>
            <w:tcW w:w="1716" w:type="dxa"/>
            <w:gridSpan w:val="2"/>
            <w:vAlign w:val="center"/>
          </w:tcPr>
          <w:p>
            <w:pPr>
              <w:jc w:val="center"/>
              <w:rPr>
                <w:rFonts w:ascii="宋体" w:hAnsi="宋体"/>
                <w:szCs w:val="21"/>
              </w:rPr>
            </w:pPr>
          </w:p>
        </w:tc>
        <w:tc>
          <w:tcPr>
            <w:tcW w:w="1088" w:type="dxa"/>
            <w:gridSpan w:val="2"/>
            <w:vAlign w:val="center"/>
          </w:tcPr>
          <w:p>
            <w:pPr>
              <w:jc w:val="center"/>
              <w:rPr>
                <w:rFonts w:ascii="宋体" w:hAnsi="宋体"/>
                <w:szCs w:val="21"/>
              </w:rPr>
            </w:pPr>
            <w:r>
              <w:rPr>
                <w:rFonts w:hint="eastAsia" w:ascii="宋体" w:hAnsi="宋体"/>
                <w:szCs w:val="21"/>
              </w:rPr>
              <w:t>年龄</w:t>
            </w:r>
          </w:p>
        </w:tc>
        <w:tc>
          <w:tcPr>
            <w:tcW w:w="1858"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5" w:type="dxa"/>
            <w:vAlign w:val="center"/>
          </w:tcPr>
          <w:p>
            <w:pPr>
              <w:jc w:val="center"/>
              <w:rPr>
                <w:rFonts w:ascii="宋体" w:hAnsi="宋体"/>
                <w:szCs w:val="21"/>
              </w:rPr>
            </w:pPr>
            <w:r>
              <w:rPr>
                <w:rFonts w:hint="eastAsia" w:ascii="宋体" w:hAnsi="宋体"/>
                <w:szCs w:val="21"/>
              </w:rPr>
              <w:t>职务</w:t>
            </w:r>
          </w:p>
        </w:tc>
        <w:tc>
          <w:tcPr>
            <w:tcW w:w="2277" w:type="dxa"/>
            <w:gridSpan w:val="4"/>
            <w:vAlign w:val="center"/>
          </w:tcPr>
          <w:p>
            <w:pPr>
              <w:jc w:val="center"/>
              <w:rPr>
                <w:rFonts w:ascii="宋体" w:hAnsi="宋体"/>
                <w:szCs w:val="21"/>
              </w:rPr>
            </w:pPr>
          </w:p>
        </w:tc>
        <w:tc>
          <w:tcPr>
            <w:tcW w:w="1051" w:type="dxa"/>
            <w:vAlign w:val="center"/>
          </w:tcPr>
          <w:p>
            <w:pPr>
              <w:jc w:val="center"/>
              <w:rPr>
                <w:rFonts w:ascii="宋体" w:hAnsi="宋体"/>
                <w:szCs w:val="21"/>
              </w:rPr>
            </w:pPr>
            <w:r>
              <w:rPr>
                <w:rFonts w:hint="eastAsia" w:ascii="宋体" w:hAnsi="宋体"/>
                <w:szCs w:val="21"/>
              </w:rPr>
              <w:t>职称</w:t>
            </w:r>
          </w:p>
        </w:tc>
        <w:tc>
          <w:tcPr>
            <w:tcW w:w="1716" w:type="dxa"/>
            <w:gridSpan w:val="2"/>
            <w:vAlign w:val="center"/>
          </w:tcPr>
          <w:p>
            <w:pPr>
              <w:jc w:val="center"/>
              <w:rPr>
                <w:rFonts w:ascii="宋体" w:hAnsi="宋体"/>
                <w:szCs w:val="21"/>
              </w:rPr>
            </w:pPr>
          </w:p>
        </w:tc>
        <w:tc>
          <w:tcPr>
            <w:tcW w:w="1088" w:type="dxa"/>
            <w:gridSpan w:val="2"/>
            <w:vAlign w:val="center"/>
          </w:tcPr>
          <w:p>
            <w:pPr>
              <w:jc w:val="center"/>
              <w:rPr>
                <w:rFonts w:ascii="宋体" w:hAnsi="宋体"/>
                <w:szCs w:val="21"/>
              </w:rPr>
            </w:pPr>
            <w:r>
              <w:rPr>
                <w:rFonts w:hint="eastAsia" w:ascii="宋体" w:hAnsi="宋体"/>
                <w:szCs w:val="21"/>
              </w:rPr>
              <w:t>学历</w:t>
            </w:r>
          </w:p>
        </w:tc>
        <w:tc>
          <w:tcPr>
            <w:tcW w:w="1858"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2" w:type="dxa"/>
            <w:gridSpan w:val="3"/>
            <w:vAlign w:val="center"/>
          </w:tcPr>
          <w:p>
            <w:pPr>
              <w:jc w:val="center"/>
              <w:rPr>
                <w:rFonts w:ascii="宋体" w:hAnsi="宋体"/>
                <w:szCs w:val="21"/>
              </w:rPr>
            </w:pPr>
            <w:r>
              <w:rPr>
                <w:rFonts w:hint="eastAsia" w:ascii="宋体" w:hAnsi="宋体"/>
                <w:szCs w:val="21"/>
              </w:rPr>
              <w:t>参加工作时间</w:t>
            </w:r>
          </w:p>
        </w:tc>
        <w:tc>
          <w:tcPr>
            <w:tcW w:w="7183"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15" w:type="dxa"/>
            <w:gridSpan w:val="12"/>
            <w:vAlign w:val="center"/>
          </w:tcPr>
          <w:p>
            <w:pPr>
              <w:jc w:val="center"/>
              <w:rPr>
                <w:rFonts w:ascii="宋体" w:hAnsi="宋体"/>
                <w:szCs w:val="21"/>
              </w:rPr>
            </w:pPr>
            <w:r>
              <w:rPr>
                <w:rFonts w:hint="eastAsia" w:ascii="宋体" w:hAnsi="宋体"/>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gridSpan w:val="2"/>
            <w:vAlign w:val="center"/>
          </w:tcPr>
          <w:p>
            <w:pPr>
              <w:jc w:val="center"/>
              <w:rPr>
                <w:rFonts w:ascii="宋体" w:hAnsi="宋体"/>
                <w:szCs w:val="21"/>
              </w:rPr>
            </w:pPr>
            <w:r>
              <w:rPr>
                <w:rFonts w:hint="eastAsia" w:ascii="宋体" w:hAnsi="宋体"/>
                <w:szCs w:val="21"/>
              </w:rPr>
              <w:t>采购单位</w:t>
            </w:r>
          </w:p>
        </w:tc>
        <w:tc>
          <w:tcPr>
            <w:tcW w:w="1752" w:type="dxa"/>
            <w:gridSpan w:val="2"/>
            <w:vAlign w:val="center"/>
          </w:tcPr>
          <w:p>
            <w:pPr>
              <w:jc w:val="center"/>
              <w:rPr>
                <w:rFonts w:ascii="宋体" w:hAnsi="宋体"/>
                <w:szCs w:val="21"/>
              </w:rPr>
            </w:pPr>
            <w:r>
              <w:rPr>
                <w:rFonts w:hint="eastAsia" w:ascii="宋体" w:hAnsi="宋体"/>
                <w:szCs w:val="21"/>
              </w:rPr>
              <w:t>项目名称</w:t>
            </w:r>
          </w:p>
        </w:tc>
        <w:tc>
          <w:tcPr>
            <w:tcW w:w="1434" w:type="dxa"/>
            <w:gridSpan w:val="3"/>
            <w:vAlign w:val="center"/>
          </w:tcPr>
          <w:p>
            <w:pPr>
              <w:jc w:val="center"/>
              <w:rPr>
                <w:rFonts w:ascii="宋体" w:hAnsi="宋体"/>
                <w:szCs w:val="21"/>
              </w:rPr>
            </w:pPr>
            <w:r>
              <w:rPr>
                <w:rFonts w:hint="eastAsia" w:ascii="宋体" w:hAnsi="宋体"/>
                <w:szCs w:val="21"/>
              </w:rPr>
              <w:t>项目规模</w:t>
            </w:r>
          </w:p>
        </w:tc>
        <w:tc>
          <w:tcPr>
            <w:tcW w:w="1720" w:type="dxa"/>
            <w:gridSpan w:val="2"/>
            <w:vAlign w:val="center"/>
          </w:tcPr>
          <w:p>
            <w:pPr>
              <w:jc w:val="center"/>
              <w:rPr>
                <w:rFonts w:ascii="宋体" w:hAnsi="宋体"/>
                <w:szCs w:val="21"/>
              </w:rPr>
            </w:pPr>
            <w:r>
              <w:rPr>
                <w:rFonts w:hint="eastAsia" w:ascii="宋体" w:hAnsi="宋体"/>
                <w:szCs w:val="21"/>
              </w:rPr>
              <w:t>项目执行日期</w:t>
            </w:r>
          </w:p>
        </w:tc>
        <w:tc>
          <w:tcPr>
            <w:tcW w:w="1578" w:type="dxa"/>
            <w:gridSpan w:val="2"/>
            <w:vAlign w:val="center"/>
          </w:tcPr>
          <w:p>
            <w:pPr>
              <w:jc w:val="center"/>
              <w:rPr>
                <w:rFonts w:ascii="宋体" w:hAnsi="宋体"/>
                <w:szCs w:val="21"/>
              </w:rPr>
            </w:pPr>
            <w:r>
              <w:rPr>
                <w:rFonts w:hint="eastAsia" w:ascii="宋体" w:hAnsi="宋体"/>
                <w:szCs w:val="21"/>
              </w:rPr>
              <w:t>在执行或已完</w:t>
            </w:r>
          </w:p>
        </w:tc>
        <w:tc>
          <w:tcPr>
            <w:tcW w:w="1154" w:type="dxa"/>
            <w:vAlign w:val="center"/>
          </w:tcPr>
          <w:p>
            <w:pPr>
              <w:jc w:val="center"/>
              <w:rPr>
                <w:rFonts w:ascii="宋体" w:hAnsi="宋体"/>
                <w:szCs w:val="21"/>
              </w:rPr>
            </w:pPr>
            <w:r>
              <w:rPr>
                <w:rFonts w:hint="eastAsia" w:ascii="宋体" w:hAnsi="宋体"/>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gridSpan w:val="2"/>
            <w:vAlign w:val="center"/>
          </w:tcPr>
          <w:p>
            <w:pPr>
              <w:rPr>
                <w:rFonts w:ascii="宋体" w:hAnsi="宋体"/>
                <w:szCs w:val="21"/>
              </w:rPr>
            </w:pPr>
          </w:p>
        </w:tc>
        <w:tc>
          <w:tcPr>
            <w:tcW w:w="1752" w:type="dxa"/>
            <w:gridSpan w:val="2"/>
            <w:vAlign w:val="center"/>
          </w:tcPr>
          <w:p>
            <w:pPr>
              <w:rPr>
                <w:rFonts w:ascii="宋体" w:hAnsi="宋体"/>
                <w:szCs w:val="21"/>
              </w:rPr>
            </w:pPr>
          </w:p>
        </w:tc>
        <w:tc>
          <w:tcPr>
            <w:tcW w:w="1434" w:type="dxa"/>
            <w:gridSpan w:val="3"/>
            <w:vAlign w:val="center"/>
          </w:tcPr>
          <w:p>
            <w:pPr>
              <w:rPr>
                <w:rFonts w:ascii="宋体" w:hAnsi="宋体"/>
                <w:szCs w:val="21"/>
              </w:rPr>
            </w:pPr>
          </w:p>
        </w:tc>
        <w:tc>
          <w:tcPr>
            <w:tcW w:w="1720" w:type="dxa"/>
            <w:gridSpan w:val="2"/>
            <w:vAlign w:val="center"/>
          </w:tcPr>
          <w:p>
            <w:pPr>
              <w:rPr>
                <w:rFonts w:ascii="宋体" w:hAnsi="宋体"/>
                <w:szCs w:val="21"/>
              </w:rPr>
            </w:pPr>
          </w:p>
        </w:tc>
        <w:tc>
          <w:tcPr>
            <w:tcW w:w="1578" w:type="dxa"/>
            <w:gridSpan w:val="2"/>
            <w:vAlign w:val="center"/>
          </w:tcPr>
          <w:p>
            <w:pPr>
              <w:rPr>
                <w:rFonts w:ascii="宋体" w:hAnsi="宋体"/>
                <w:szCs w:val="21"/>
              </w:rPr>
            </w:pPr>
          </w:p>
        </w:tc>
        <w:tc>
          <w:tcPr>
            <w:tcW w:w="1154" w:type="dxa"/>
            <w:vAlign w:val="center"/>
          </w:tcPr>
          <w:p>
            <w:pPr>
              <w:rPr>
                <w:rFonts w:ascii="宋体" w:hAnsi="宋体"/>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5" w:name="_Toc100052475"/>
      <w:bookmarkStart w:id="116" w:name="_Toc101074905"/>
      <w:bookmarkStart w:id="117" w:name="_Toc73521620"/>
      <w:bookmarkStart w:id="118" w:name="_Toc73521708"/>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b/>
          <w:szCs w:val="21"/>
        </w:rPr>
      </w:pPr>
      <w:r>
        <w:rPr>
          <w:rFonts w:hint="eastAsia" w:ascii="宋体" w:hAnsi="宋体"/>
          <w:color w:val="000000"/>
          <w:szCs w:val="21"/>
        </w:rPr>
        <w:t xml:space="preserve"> </w:t>
      </w:r>
    </w:p>
    <w:bookmarkEnd w:id="115"/>
    <w:bookmarkEnd w:id="116"/>
    <w:bookmarkEnd w:id="117"/>
    <w:bookmarkEnd w:id="118"/>
    <w:p>
      <w:pPr>
        <w:pStyle w:val="3"/>
        <w:keepNext w:val="0"/>
        <w:keepLines w:val="0"/>
        <w:spacing w:before="0" w:after="0" w:line="440" w:lineRule="exact"/>
        <w:rPr>
          <w:rFonts w:ascii="宋体" w:hAnsi="宋体"/>
          <w:b w:val="0"/>
          <w:color w:val="000000"/>
          <w:szCs w:val="21"/>
        </w:rPr>
      </w:pPr>
      <w:r>
        <w:rPr>
          <w:rFonts w:ascii="宋体" w:hAnsi="宋体"/>
          <w:b w:val="0"/>
          <w:color w:val="000000"/>
          <w:szCs w:val="21"/>
        </w:rPr>
        <w:br w:type="page"/>
      </w:r>
      <w:bookmarkStart w:id="119" w:name="_Toc70231459"/>
      <w:bookmarkStart w:id="120" w:name="_Toc18416"/>
      <w:bookmarkStart w:id="121" w:name="_Toc70231355"/>
      <w:r>
        <w:rPr>
          <w:rFonts w:hint="eastAsia" w:ascii="宋体" w:hAnsi="宋体"/>
          <w:color w:val="000000"/>
          <w:sz w:val="21"/>
          <w:szCs w:val="21"/>
        </w:rPr>
        <w:t>格式十一：服务方案格式</w:t>
      </w:r>
      <w:bookmarkEnd w:id="119"/>
      <w:bookmarkEnd w:id="120"/>
      <w:bookmarkEnd w:id="121"/>
    </w:p>
    <w:p>
      <w:pPr>
        <w:jc w:val="center"/>
        <w:rPr>
          <w:rFonts w:ascii="微软雅黑" w:hAnsi="微软雅黑" w:eastAsia="微软雅黑" w:cs="微软雅黑"/>
          <w:b/>
          <w:bCs/>
          <w:color w:val="000000"/>
          <w:sz w:val="30"/>
          <w:szCs w:val="30"/>
        </w:rPr>
      </w:pPr>
      <w:r>
        <w:rPr>
          <w:rFonts w:hint="eastAsia" w:ascii="微软雅黑" w:hAnsi="微软雅黑" w:eastAsia="微软雅黑" w:cs="微软雅黑"/>
          <w:b/>
          <w:bCs/>
          <w:color w:val="000000"/>
          <w:sz w:val="30"/>
          <w:szCs w:val="30"/>
        </w:rPr>
        <w:t>服务方案</w:t>
      </w:r>
    </w:p>
    <w:p>
      <w:pPr>
        <w:spacing w:line="360" w:lineRule="exact"/>
        <w:jc w:val="center"/>
        <w:rPr>
          <w:rFonts w:ascii="宋体" w:hAnsi="宋体"/>
          <w:color w:val="000000"/>
          <w:szCs w:val="21"/>
        </w:rPr>
      </w:pPr>
    </w:p>
    <w:p>
      <w:pPr>
        <w:spacing w:line="440" w:lineRule="exact"/>
        <w:jc w:val="center"/>
        <w:rPr>
          <w:rFonts w:ascii="宋体" w:hAnsi="宋体"/>
          <w:color w:val="000000"/>
          <w:szCs w:val="21"/>
        </w:rPr>
      </w:pPr>
      <w:r>
        <w:rPr>
          <w:rFonts w:hint="eastAsia" w:ascii="宋体" w:hAnsi="宋体"/>
          <w:color w:val="000000"/>
          <w:szCs w:val="21"/>
        </w:rPr>
        <w:t>（格式自拟）</w:t>
      </w:r>
    </w:p>
    <w:p>
      <w:pPr>
        <w:spacing w:line="0" w:lineRule="atLeast"/>
        <w:ind w:firstLine="241" w:firstLineChars="100"/>
        <w:jc w:val="center"/>
        <w:rPr>
          <w:rFonts w:ascii="宋体" w:hAnsi="宋体"/>
          <w:b/>
          <w:color w:val="000000"/>
          <w:sz w:val="24"/>
        </w:rPr>
      </w:pPr>
    </w:p>
    <w:p>
      <w:pPr>
        <w:spacing w:line="0" w:lineRule="atLeast"/>
        <w:ind w:firstLine="241" w:firstLineChars="100"/>
        <w:jc w:val="center"/>
        <w:rPr>
          <w:rFonts w:ascii="宋体" w:hAnsi="宋体"/>
          <w:b/>
          <w:color w:val="000000"/>
          <w:sz w:val="24"/>
        </w:rPr>
      </w:pPr>
    </w:p>
    <w:p>
      <w:pPr>
        <w:spacing w:line="0" w:lineRule="atLeast"/>
        <w:ind w:firstLine="241" w:firstLineChars="100"/>
        <w:jc w:val="center"/>
        <w:rPr>
          <w:rFonts w:ascii="宋体" w:hAnsi="宋体"/>
          <w:b/>
          <w:color w:val="000000"/>
          <w:sz w:val="24"/>
        </w:rPr>
      </w:pPr>
    </w:p>
    <w:p>
      <w:pPr>
        <w:pStyle w:val="3"/>
        <w:keepNext w:val="0"/>
        <w:keepLines w:val="0"/>
        <w:spacing w:before="0" w:after="0" w:line="440" w:lineRule="exact"/>
        <w:rPr>
          <w:rFonts w:ascii="宋体" w:hAnsi="宋体"/>
          <w:b w:val="0"/>
          <w:szCs w:val="21"/>
        </w:rPr>
      </w:pPr>
      <w:r>
        <w:rPr>
          <w:rFonts w:ascii="宋体" w:hAnsi="宋体"/>
          <w:b w:val="0"/>
          <w:color w:val="000000"/>
          <w:szCs w:val="21"/>
        </w:rPr>
        <w:br w:type="page"/>
      </w:r>
      <w:bookmarkStart w:id="122" w:name="_Toc24886"/>
      <w:bookmarkStart w:id="123" w:name="_Toc70231460"/>
      <w:bookmarkStart w:id="124" w:name="_Toc70231356"/>
      <w:r>
        <w:rPr>
          <w:rFonts w:hint="eastAsia" w:ascii="宋体" w:hAnsi="宋体"/>
          <w:color w:val="000000"/>
          <w:sz w:val="21"/>
          <w:szCs w:val="21"/>
        </w:rPr>
        <w:t>格式十二：</w:t>
      </w:r>
      <w:r>
        <w:rPr>
          <w:rFonts w:hint="eastAsia" w:ascii="宋体" w:hAnsi="宋体"/>
          <w:sz w:val="21"/>
          <w:szCs w:val="21"/>
        </w:rPr>
        <w:t>诚信承诺函格式</w:t>
      </w:r>
    </w:p>
    <w:p>
      <w:pPr>
        <w:rPr>
          <w:rFonts w:ascii="宋体" w:hAnsi="宋体"/>
          <w:szCs w:val="21"/>
        </w:rPr>
      </w:pPr>
      <w:r>
        <w:rPr>
          <w:rFonts w:hint="eastAsia" w:ascii="宋体" w:hAnsi="宋体"/>
          <w:szCs w:val="21"/>
        </w:rPr>
        <w:t>（请投标人按照招标文件要求提供，否则将对综合评分造成分值影响）</w:t>
      </w:r>
    </w:p>
    <w:p>
      <w:pPr>
        <w:spacing w:line="0" w:lineRule="atLeast"/>
        <w:jc w:val="center"/>
        <w:rPr>
          <w:rFonts w:ascii="黑体" w:hAnsi="宋体" w:eastAsia="黑体"/>
          <w:bCs/>
          <w:sz w:val="30"/>
          <w:szCs w:val="30"/>
        </w:rPr>
      </w:pPr>
      <w:bookmarkStart w:id="125" w:name="OLE_LINK22"/>
      <w:r>
        <w:rPr>
          <w:rFonts w:hint="eastAsia" w:ascii="黑体" w:hAnsi="宋体" w:eastAsia="黑体"/>
          <w:bCs/>
          <w:sz w:val="30"/>
          <w:szCs w:val="30"/>
        </w:rPr>
        <w:t>诚信承诺函</w:t>
      </w:r>
      <w:bookmarkEnd w:id="125"/>
    </w:p>
    <w:p>
      <w:pPr>
        <w:spacing w:line="360" w:lineRule="exact"/>
        <w:rPr>
          <w:rFonts w:ascii="宋体" w:hAnsi="宋体"/>
          <w:szCs w:val="21"/>
        </w:rPr>
      </w:pPr>
      <w:r>
        <w:rPr>
          <w:rFonts w:hint="eastAsia" w:ascii="宋体" w:hAnsi="宋体"/>
          <w:szCs w:val="21"/>
        </w:rPr>
        <w:t>致：深圳市</w:t>
      </w:r>
      <w:r>
        <w:rPr>
          <w:rFonts w:hint="eastAsia" w:ascii="宋体" w:hAnsi="宋体"/>
          <w:color w:val="000000"/>
          <w:szCs w:val="21"/>
        </w:rPr>
        <w:t>福田区第二人民医院</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我单位承诺在政府采购招标投标活动中，不存在以下行为超出法定追诉时效未被追诉、或者情节轻微未给予禁止参加政府采购的行政处罚的情形：</w:t>
      </w:r>
    </w:p>
    <w:p>
      <w:pPr>
        <w:spacing w:line="360" w:lineRule="exact"/>
        <w:ind w:firstLine="420" w:firstLineChars="200"/>
        <w:rPr>
          <w:rFonts w:ascii="宋体" w:hAnsi="宋体"/>
          <w:szCs w:val="21"/>
        </w:rPr>
      </w:pPr>
      <w:r>
        <w:rPr>
          <w:rFonts w:hint="eastAsia" w:ascii="宋体" w:hAnsi="宋体"/>
          <w:szCs w:val="21"/>
        </w:rPr>
        <w:t>（一）被纪检监察部门立案调查，违法违规事实成立的；</w:t>
      </w:r>
    </w:p>
    <w:p>
      <w:pPr>
        <w:spacing w:line="360" w:lineRule="exact"/>
        <w:ind w:firstLine="420" w:firstLineChars="200"/>
        <w:rPr>
          <w:rFonts w:ascii="宋体" w:hAnsi="宋体"/>
          <w:szCs w:val="21"/>
        </w:rPr>
      </w:pPr>
      <w:r>
        <w:rPr>
          <w:rFonts w:hint="eastAsia" w:ascii="宋体" w:hAnsi="宋体"/>
          <w:szCs w:val="21"/>
        </w:rPr>
        <w:t>（二）未按本条例规定签订、履行采购合同，造成严重后果的；</w:t>
      </w:r>
    </w:p>
    <w:p>
      <w:pPr>
        <w:spacing w:line="360" w:lineRule="exact"/>
        <w:ind w:firstLine="420" w:firstLineChars="200"/>
        <w:rPr>
          <w:rFonts w:ascii="宋体" w:hAnsi="宋体"/>
          <w:szCs w:val="21"/>
        </w:rPr>
      </w:pPr>
      <w:r>
        <w:rPr>
          <w:rFonts w:hint="eastAsia" w:ascii="宋体" w:hAnsi="宋体"/>
          <w:szCs w:val="21"/>
        </w:rPr>
        <w:t>（三）隐瞒真实情况，提供虚假资料的；</w:t>
      </w:r>
    </w:p>
    <w:p>
      <w:pPr>
        <w:spacing w:line="360" w:lineRule="exact"/>
        <w:ind w:firstLine="420" w:firstLineChars="200"/>
        <w:rPr>
          <w:rFonts w:ascii="宋体" w:hAnsi="宋体"/>
          <w:szCs w:val="21"/>
        </w:rPr>
      </w:pPr>
      <w:r>
        <w:rPr>
          <w:rFonts w:hint="eastAsia" w:ascii="宋体" w:hAnsi="宋体"/>
          <w:szCs w:val="21"/>
        </w:rPr>
        <w:t>（四）以非法手段排斥其他供应商参与竞争的；</w:t>
      </w:r>
    </w:p>
    <w:p>
      <w:pPr>
        <w:spacing w:line="360" w:lineRule="exact"/>
        <w:ind w:firstLine="420" w:firstLineChars="200"/>
        <w:rPr>
          <w:rFonts w:ascii="宋体" w:hAnsi="宋体"/>
          <w:szCs w:val="21"/>
        </w:rPr>
      </w:pPr>
      <w:r>
        <w:rPr>
          <w:rFonts w:hint="eastAsia" w:ascii="宋体" w:hAnsi="宋体"/>
          <w:szCs w:val="21"/>
        </w:rPr>
        <w:t>（五）与其他采购参加人串通投标的；</w:t>
      </w:r>
    </w:p>
    <w:p>
      <w:pPr>
        <w:spacing w:line="360" w:lineRule="exact"/>
        <w:ind w:firstLine="420" w:firstLineChars="200"/>
        <w:rPr>
          <w:rFonts w:ascii="宋体" w:hAnsi="宋体"/>
          <w:szCs w:val="21"/>
        </w:rPr>
      </w:pPr>
      <w:r>
        <w:rPr>
          <w:rFonts w:hint="eastAsia" w:ascii="宋体" w:hAnsi="宋体"/>
          <w:szCs w:val="21"/>
        </w:rPr>
        <w:t xml:space="preserve">（六）在采购活动中应当回避而未回避的； </w:t>
      </w:r>
    </w:p>
    <w:p>
      <w:pPr>
        <w:spacing w:line="360" w:lineRule="exact"/>
        <w:ind w:firstLine="420" w:firstLineChars="200"/>
        <w:rPr>
          <w:rFonts w:ascii="宋体" w:hAnsi="宋体"/>
          <w:szCs w:val="21"/>
        </w:rPr>
      </w:pPr>
      <w:r>
        <w:rPr>
          <w:rFonts w:hint="eastAsia" w:ascii="宋体" w:hAnsi="宋体"/>
          <w:szCs w:val="21"/>
        </w:rPr>
        <w:t xml:space="preserve">（七）恶意投诉的； </w:t>
      </w:r>
    </w:p>
    <w:p>
      <w:pPr>
        <w:spacing w:line="360" w:lineRule="exact"/>
        <w:ind w:firstLine="420" w:firstLineChars="200"/>
        <w:rPr>
          <w:rFonts w:ascii="宋体" w:hAnsi="宋体"/>
          <w:szCs w:val="21"/>
        </w:rPr>
      </w:pPr>
      <w:r>
        <w:rPr>
          <w:rFonts w:hint="eastAsia" w:ascii="宋体" w:hAnsi="宋体"/>
          <w:szCs w:val="21"/>
        </w:rPr>
        <w:t xml:space="preserve">（八）向采购项目相关人行贿或者提供其他不当利益的； </w:t>
      </w:r>
    </w:p>
    <w:p>
      <w:pPr>
        <w:spacing w:line="360" w:lineRule="exact"/>
        <w:ind w:firstLine="420" w:firstLineChars="200"/>
        <w:rPr>
          <w:rFonts w:ascii="宋体" w:hAnsi="宋体"/>
          <w:szCs w:val="21"/>
        </w:rPr>
      </w:pPr>
      <w:r>
        <w:rPr>
          <w:rFonts w:hint="eastAsia" w:ascii="宋体" w:hAnsi="宋体"/>
          <w:szCs w:val="21"/>
        </w:rPr>
        <w:t>（九）阻碍、抗拒主管部门监督检查的；</w:t>
      </w:r>
    </w:p>
    <w:p>
      <w:pPr>
        <w:spacing w:line="360" w:lineRule="exact"/>
        <w:ind w:firstLine="420" w:firstLineChars="200"/>
        <w:rPr>
          <w:rFonts w:ascii="宋体" w:hAnsi="宋体"/>
          <w:szCs w:val="21"/>
        </w:rPr>
      </w:pPr>
      <w:r>
        <w:rPr>
          <w:rFonts w:hint="eastAsia" w:ascii="宋体" w:hAnsi="宋体"/>
          <w:szCs w:val="21"/>
        </w:rPr>
        <w:t>（十）履约检查不合格或者评价为差的；</w:t>
      </w:r>
    </w:p>
    <w:p>
      <w:pPr>
        <w:spacing w:line="360" w:lineRule="exact"/>
        <w:ind w:firstLine="420" w:firstLineChars="200"/>
        <w:rPr>
          <w:rFonts w:ascii="宋体" w:hAnsi="宋体"/>
          <w:szCs w:val="21"/>
        </w:rPr>
      </w:pPr>
      <w:r>
        <w:rPr>
          <w:rFonts w:hint="eastAsia" w:ascii="宋体" w:hAnsi="宋体"/>
          <w:szCs w:val="21"/>
        </w:rPr>
        <w:t>（十一）主管部门认定的其他情形。</w:t>
      </w:r>
    </w:p>
    <w:p>
      <w:pPr>
        <w:spacing w:line="360" w:lineRule="exact"/>
        <w:ind w:firstLine="420" w:firstLineChars="200"/>
        <w:rPr>
          <w:rFonts w:ascii="宋体" w:hAnsi="宋体"/>
          <w:szCs w:val="21"/>
        </w:rPr>
      </w:pPr>
      <w:r>
        <w:rPr>
          <w:rFonts w:hint="eastAsia" w:ascii="宋体" w:hAnsi="宋体"/>
          <w:szCs w:val="21"/>
        </w:rPr>
        <w:t>如我单位存在以上情形，自愿承担虚假应标以及其他一切不利的法律后果。</w:t>
      </w:r>
    </w:p>
    <w:p>
      <w:pPr>
        <w:spacing w:line="360" w:lineRule="exact"/>
        <w:ind w:firstLine="420" w:firstLineChars="200"/>
        <w:rPr>
          <w:rFonts w:ascii="宋体" w:hAnsi="宋体"/>
          <w:szCs w:val="21"/>
        </w:rPr>
      </w:pPr>
      <w:r>
        <w:rPr>
          <w:rFonts w:hint="eastAsia" w:ascii="宋体" w:hAnsi="宋体"/>
          <w:szCs w:val="21"/>
        </w:rPr>
        <w:t>特此承诺。</w:t>
      </w:r>
    </w:p>
    <w:p>
      <w:pPr>
        <w:spacing w:line="360" w:lineRule="exact"/>
        <w:ind w:firstLine="420" w:firstLineChars="200"/>
        <w:rPr>
          <w:rFonts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（公章）</w:t>
      </w:r>
    </w:p>
    <w:p>
      <w:pPr>
        <w:spacing w:line="360" w:lineRule="exact"/>
        <w:ind w:firstLine="420" w:firstLineChars="200"/>
        <w:rPr>
          <w:rFonts w:ascii="宋体" w:hAnsi="宋体"/>
          <w:szCs w:val="21"/>
          <w:u w:val="single"/>
        </w:rPr>
      </w:pPr>
      <w:r>
        <w:rPr>
          <w:rFonts w:hint="eastAsia" w:ascii="宋体" w:hAnsi="宋体"/>
          <w:szCs w:val="21"/>
        </w:rPr>
        <w:t xml:space="preserve"> </w:t>
      </w:r>
    </w:p>
    <w:p>
      <w:pPr>
        <w:spacing w:line="440" w:lineRule="exact"/>
        <w:ind w:firstLine="420" w:firstLineChars="200"/>
        <w:rPr>
          <w:rFonts w:ascii="宋体" w:hAnsi="宋体"/>
          <w:bCs/>
          <w:szCs w:val="21"/>
        </w:rPr>
      </w:pPr>
      <w:r>
        <w:rPr>
          <w:rFonts w:hint="eastAsia" w:ascii="宋体" w:hAnsi="宋体"/>
          <w:bCs/>
          <w:szCs w:val="21"/>
        </w:rPr>
        <w:t>日期：    年   月  日</w:t>
      </w:r>
    </w:p>
    <w:p>
      <w:pPr>
        <w:jc w:val="left"/>
        <w:outlineLvl w:val="1"/>
        <w:rPr>
          <w:rFonts w:ascii="宋体" w:hAnsi="宋体" w:cs="宋体"/>
          <w:b/>
          <w:bCs/>
          <w:szCs w:val="21"/>
        </w:rPr>
      </w:pPr>
      <w:r>
        <w:rPr>
          <w:rFonts w:hint="eastAsia" w:ascii="宋体" w:hAnsi="宋体" w:cs="宋体"/>
          <w:b/>
          <w:bCs/>
          <w:szCs w:val="21"/>
        </w:rPr>
        <w:t>格式十三：政府采购违法行为风险知悉确认书格式</w:t>
      </w:r>
    </w:p>
    <w:p>
      <w:pPr>
        <w:jc w:val="center"/>
      </w:pPr>
      <w:r>
        <w:rPr>
          <w:rFonts w:hint="eastAsia" w:asciiTheme="majorEastAsia" w:hAnsiTheme="majorEastAsia" w:eastAsiaTheme="majorEastAsia" w:cstheme="majorEastAsia"/>
          <w:b/>
          <w:bCs/>
        </w:rPr>
        <w:t>政府采购违法行为风险知悉确认书</w:t>
      </w:r>
    </w:p>
    <w:p>
      <w:pPr>
        <w:spacing w:line="340" w:lineRule="exact"/>
      </w:pPr>
      <w:r>
        <w:rPr>
          <w:rFonts w:hint="eastAsia"/>
        </w:rPr>
        <w:t>本公司在投标前已充分知悉以下情形为参与政府采购活动时的重大风险事项，并承诺已对下述风险提示事项重点排查，做到严谨、诚信、依法依规参与政府采购活动。</w:t>
      </w:r>
    </w:p>
    <w:p>
      <w:pPr>
        <w:spacing w:line="340" w:lineRule="exact"/>
      </w:pPr>
      <w:r>
        <w:rPr>
          <w:rFonts w:hint="eastAsia"/>
        </w:rPr>
        <w:t>一、本公司已充分知悉“隐瞒真实情况，提供虚假资料”的法定情形，相关情形包括但不限于：</w:t>
      </w:r>
    </w:p>
    <w:p>
      <w:pPr>
        <w:spacing w:line="340" w:lineRule="exact"/>
      </w:pPr>
      <w:r>
        <w:rPr>
          <w:rFonts w:hint="eastAsia"/>
        </w:rPr>
        <w:t>（一）通过转让或者租借等方式从其他单位获取资格或者资质证书投标的。</w:t>
      </w:r>
    </w:p>
    <w:p>
      <w:pPr>
        <w:spacing w:line="340" w:lineRule="exact"/>
      </w:pPr>
      <w:r>
        <w:rPr>
          <w:rFonts w:hint="eastAsia"/>
        </w:rPr>
        <w:t>（二）由其他单位或者其他单位负责人在投标供应商编制的投标文件上加盖印章或者签字的。</w:t>
      </w:r>
    </w:p>
    <w:p>
      <w:pPr>
        <w:spacing w:line="340" w:lineRule="exact"/>
      </w:pPr>
      <w:r>
        <w:rPr>
          <w:rFonts w:hint="eastAsia"/>
        </w:rPr>
        <w:t>（三）项目负责人或者主要技术人员不是本单位人员的。</w:t>
      </w:r>
    </w:p>
    <w:p>
      <w:pPr>
        <w:spacing w:line="340" w:lineRule="exact"/>
      </w:pPr>
      <w:r>
        <w:rPr>
          <w:rFonts w:hint="eastAsia"/>
        </w:rPr>
        <w:t>（四）投标保证金不是从投标供应商基本账户转出的。</w:t>
      </w:r>
    </w:p>
    <w:p>
      <w:pPr>
        <w:spacing w:line="340" w:lineRule="exact"/>
      </w:pPr>
      <w:r>
        <w:rPr>
          <w:rFonts w:hint="eastAsia"/>
        </w:rPr>
        <w:t>（五）其他隐瞒真实情况、提供虚假资料的行为。</w:t>
      </w:r>
    </w:p>
    <w:p>
      <w:pPr>
        <w:spacing w:line="340" w:lineRule="exact"/>
      </w:pPr>
      <w:r>
        <w:rPr>
          <w:rFonts w:hint="eastAsia"/>
        </w:rPr>
        <w:t>二、本公司已充分知悉“与其他采购参加人串通投标”的法定情形，相关情形包括但不限于：</w:t>
      </w:r>
    </w:p>
    <w:p>
      <w:pPr>
        <w:spacing w:line="340" w:lineRule="exact"/>
      </w:pPr>
      <w:r>
        <w:rPr>
          <w:rFonts w:hint="eastAsia"/>
        </w:rPr>
        <w:t>（一）投标供应商之间相互约定给予未中标的供应商利益补偿。</w:t>
      </w:r>
    </w:p>
    <w:p>
      <w:pPr>
        <w:spacing w:line="340" w:lineRule="exact"/>
      </w:pPr>
      <w:r>
        <w:rPr>
          <w:rFonts w:hint="eastAsia"/>
        </w:rPr>
        <w:t>（二）不同投标供应商的法定代表人、主要经营负责人、项目投标授权代表人、项目负责人、主要技术人员为同一人、属同一单位或者在同一单位缴纳社会保险。</w:t>
      </w:r>
    </w:p>
    <w:p>
      <w:pPr>
        <w:spacing w:line="340" w:lineRule="exact"/>
      </w:pPr>
      <w:r>
        <w:rPr>
          <w:rFonts w:hint="eastAsia"/>
        </w:rPr>
        <w:t>（三）不同投标供应商的投标文件由同一单位或者同一人编制，或者由同一人分阶段参与编制的。</w:t>
      </w:r>
    </w:p>
    <w:p>
      <w:pPr>
        <w:spacing w:line="340" w:lineRule="exact"/>
      </w:pPr>
      <w:r>
        <w:rPr>
          <w:rFonts w:hint="eastAsia"/>
        </w:rPr>
        <w:t>（四）不同投标供应商的投标文件或部分投标文件相互混装。</w:t>
      </w:r>
    </w:p>
    <w:p>
      <w:pPr>
        <w:spacing w:line="340" w:lineRule="exact"/>
      </w:pPr>
      <w:r>
        <w:rPr>
          <w:rFonts w:hint="eastAsia"/>
        </w:rPr>
        <w:t>（五）不同投标供应商的投标文件内容存在非正常一致。</w:t>
      </w:r>
    </w:p>
    <w:p>
      <w:pPr>
        <w:spacing w:line="340" w:lineRule="exact"/>
      </w:pPr>
      <w:r>
        <w:rPr>
          <w:rFonts w:hint="eastAsia"/>
        </w:rPr>
        <w:t>（六）由同一单位工作人员为两家以上（含两家）供应商进行同一项投标活动的。</w:t>
      </w:r>
    </w:p>
    <w:p>
      <w:pPr>
        <w:spacing w:line="340" w:lineRule="exact"/>
      </w:pPr>
      <w:r>
        <w:rPr>
          <w:rFonts w:hint="eastAsia"/>
        </w:rPr>
        <w:t>（七）不同投标人的投标报价呈规律性差异。</w:t>
      </w:r>
    </w:p>
    <w:p>
      <w:pPr>
        <w:spacing w:line="340" w:lineRule="exact"/>
      </w:pPr>
      <w:r>
        <w:rPr>
          <w:rFonts w:hint="eastAsia"/>
        </w:rPr>
        <w:t>（八）不同投标人的投标保证金从同一单位或者个人的账户转出。</w:t>
      </w:r>
    </w:p>
    <w:p>
      <w:pPr>
        <w:spacing w:line="340" w:lineRule="exact"/>
      </w:pPr>
      <w:r>
        <w:rPr>
          <w:rFonts w:hint="eastAsia"/>
        </w:rPr>
        <w:t>（九）主管部门依照法律、法规认定的其他情形。</w:t>
      </w:r>
    </w:p>
    <w:p>
      <w:pPr>
        <w:spacing w:line="340" w:lineRule="exact"/>
      </w:pPr>
      <w:r>
        <w:rPr>
          <w:rFonts w:hint="eastAsia"/>
        </w:rPr>
        <w:t>三、本公司已充分知悉下列情形所对应的法律风险，并在投标前已对相关风险事项进行排查。</w:t>
      </w:r>
    </w:p>
    <w:p>
      <w:pPr>
        <w:spacing w:line="340" w:lineRule="exact"/>
      </w:pPr>
      <w:r>
        <w:rPr>
          <w:rFonts w:hint="eastAsia"/>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340" w:lineRule="exact"/>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40" w:lineRule="exact"/>
      </w:pPr>
      <w:r>
        <w:rPr>
          <w:rFonts w:hint="eastAsia"/>
        </w:rPr>
        <w:t>（三）对于涉及安全生产、特种作业、抢险救灾、防疫等政府采购项目，供应商实施提供虚假资料、串通投标等违法行为的，主管部门将依法从严处理。</w:t>
      </w:r>
    </w:p>
    <w:p>
      <w:pPr>
        <w:spacing w:line="340" w:lineRule="exact"/>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40" w:lineRule="exact"/>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40" w:lineRule="exact"/>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40" w:lineRule="exact"/>
      </w:pPr>
      <w:r>
        <w:rPr>
          <w:rFonts w:hint="eastAsia"/>
        </w:rPr>
        <w:t>四、本公司已充分知悉政府采购违法、违规行为的法律后果。</w:t>
      </w:r>
    </w:p>
    <w:p>
      <w:pPr>
        <w:spacing w:line="340" w:lineRule="exact"/>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40" w:lineRule="exact"/>
      </w:pPr>
      <w:r>
        <w:rPr>
          <w:rFonts w:hint="eastAsia"/>
        </w:rPr>
        <w:t>以下文字请投标供应商抄写并确认：“本公司已仔细阅读《政府采购违法行为风险知悉确认书》，充分知悉违法行为的法律后果，并承诺将严谨、诚信、依法依规参与政府采购活动。</w:t>
      </w:r>
    </w:p>
    <w:p>
      <w:pPr>
        <w:spacing w:line="340" w:lineRule="exact"/>
      </w:pPr>
      <w:r>
        <w:rPr>
          <w:rFonts w:hint="eastAsia"/>
          <w:u w:val="single"/>
        </w:rPr>
        <w:t xml:space="preserve">                                                                               </w:t>
      </w:r>
    </w:p>
    <w:p>
      <w:pPr>
        <w:spacing w:line="340" w:lineRule="exact"/>
      </w:pPr>
      <w:r>
        <w:rPr>
          <w:rFonts w:hint="eastAsia"/>
          <w:u w:val="single"/>
        </w:rPr>
        <w:t xml:space="preserve">                                                                             </w:t>
      </w:r>
    </w:p>
    <w:p>
      <w:pPr>
        <w:spacing w:line="340" w:lineRule="exact"/>
        <w:rPr>
          <w:b/>
          <w:u w:val="single"/>
        </w:rPr>
      </w:pPr>
      <w:r>
        <w:rPr>
          <w:rFonts w:hint="eastAsia"/>
          <w:b/>
        </w:rPr>
        <w:t>负责人/投标授权代表签名：</w:t>
      </w:r>
      <w:r>
        <w:rPr>
          <w:rFonts w:hint="eastAsia"/>
          <w:u w:val="single"/>
        </w:rPr>
        <w:t xml:space="preserve">                       </w:t>
      </w:r>
    </w:p>
    <w:p>
      <w:pPr>
        <w:spacing w:line="340" w:lineRule="exact"/>
      </w:pPr>
      <w:r>
        <w:rPr>
          <w:rFonts w:hint="eastAsia"/>
        </w:rPr>
        <w:t>知悉人（公章）：</w:t>
      </w:r>
      <w:r>
        <w:rPr>
          <w:rFonts w:hint="eastAsia"/>
          <w:u w:val="single"/>
        </w:rPr>
        <w:t xml:space="preserve">                       </w:t>
      </w:r>
    </w:p>
    <w:p>
      <w:pPr>
        <w:spacing w:line="340" w:lineRule="exact"/>
        <w:rPr>
          <w:u w:val="single"/>
        </w:rPr>
      </w:pPr>
      <w:r>
        <w:rPr>
          <w:rFonts w:hint="eastAsia"/>
        </w:rPr>
        <w:t>日期：</w:t>
      </w:r>
      <w:r>
        <w:rPr>
          <w:rFonts w:hint="eastAsia"/>
          <w:u w:val="single"/>
        </w:rPr>
        <w:t xml:space="preserve">                       </w:t>
      </w:r>
    </w:p>
    <w:p>
      <w:pPr>
        <w:pStyle w:val="10"/>
      </w:pPr>
    </w:p>
    <w:p/>
    <w:p>
      <w:pPr>
        <w:pStyle w:val="3"/>
        <w:keepNext w:val="0"/>
        <w:keepLines w:val="0"/>
        <w:spacing w:before="0" w:after="0" w:line="440" w:lineRule="exact"/>
        <w:rPr>
          <w:rFonts w:ascii="宋体" w:hAnsi="宋体"/>
          <w:b w:val="0"/>
          <w:color w:val="000000"/>
          <w:szCs w:val="21"/>
        </w:rPr>
      </w:pPr>
      <w:r>
        <w:rPr>
          <w:rFonts w:hint="eastAsia"/>
          <w:bCs w:val="0"/>
          <w:color w:val="000000"/>
          <w:sz w:val="21"/>
          <w:szCs w:val="21"/>
        </w:rPr>
        <w:t>格式十四：</w:t>
      </w:r>
      <w:r>
        <w:rPr>
          <w:rFonts w:hint="eastAsia" w:ascii="宋体" w:hAnsi="宋体"/>
          <w:color w:val="000000"/>
          <w:sz w:val="21"/>
          <w:szCs w:val="21"/>
        </w:rPr>
        <w:t>其他格式（自行设置）</w:t>
      </w:r>
      <w:bookmarkEnd w:id="122"/>
      <w:bookmarkEnd w:id="123"/>
      <w:bookmarkEnd w:id="124"/>
    </w:p>
    <w:p>
      <w:pPr>
        <w:jc w:val="center"/>
        <w:rPr>
          <w:rFonts w:ascii="微软雅黑" w:hAnsi="微软雅黑" w:eastAsia="微软雅黑" w:cs="微软雅黑"/>
          <w:b/>
          <w:bCs/>
          <w:color w:val="000000"/>
          <w:sz w:val="30"/>
          <w:szCs w:val="30"/>
        </w:rPr>
      </w:pPr>
      <w:r>
        <w:rPr>
          <w:rFonts w:hint="eastAsia" w:ascii="微软雅黑" w:hAnsi="微软雅黑" w:eastAsia="微软雅黑" w:cs="微软雅黑"/>
          <w:b/>
          <w:bCs/>
          <w:color w:val="000000"/>
          <w:sz w:val="30"/>
          <w:szCs w:val="30"/>
        </w:rPr>
        <w:t>其   他</w:t>
      </w:r>
    </w:p>
    <w:p>
      <w:pPr>
        <w:spacing w:line="440" w:lineRule="exact"/>
        <w:ind w:firstLine="2310" w:firstLineChars="1100"/>
        <w:rPr>
          <w:rFonts w:ascii="宋体" w:hAnsi="宋体"/>
          <w:color w:val="000000"/>
          <w:szCs w:val="21"/>
        </w:rPr>
      </w:pPr>
      <w:r>
        <w:rPr>
          <w:rFonts w:hint="eastAsia" w:ascii="宋体" w:hAnsi="宋体"/>
          <w:color w:val="000000"/>
          <w:szCs w:val="21"/>
        </w:rPr>
        <w:t>1、最近三年本公司牵涉的主要诉讼案件</w:t>
      </w:r>
    </w:p>
    <w:p>
      <w:pPr>
        <w:spacing w:line="440" w:lineRule="exact"/>
        <w:ind w:firstLine="2310" w:firstLineChars="1100"/>
        <w:rPr>
          <w:rFonts w:ascii="宋体" w:hAnsi="宋体"/>
          <w:color w:val="000000"/>
          <w:szCs w:val="21"/>
        </w:rPr>
      </w:pPr>
      <w:r>
        <w:rPr>
          <w:rFonts w:hint="eastAsia" w:ascii="宋体" w:hAnsi="宋体"/>
          <w:color w:val="000000"/>
          <w:szCs w:val="21"/>
        </w:rPr>
        <w:t>2、其他招标文件要求和投标人认为有必要的内容</w:t>
      </w:r>
    </w:p>
    <w:p>
      <w:pPr>
        <w:spacing w:line="440" w:lineRule="exact"/>
        <w:outlineLvl w:val="0"/>
        <w:rPr>
          <w:rFonts w:ascii="宋体" w:hAnsi="宋体"/>
          <w:bCs/>
          <w:color w:val="000000"/>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40" w:lineRule="exact"/>
        <w:jc w:val="center"/>
        <w:outlineLvl w:val="0"/>
        <w:rPr>
          <w:rFonts w:ascii="微软雅黑" w:hAnsi="微软雅黑" w:eastAsia="微软雅黑" w:cs="微软雅黑"/>
          <w:b/>
          <w:color w:val="000000"/>
          <w:sz w:val="32"/>
          <w:szCs w:val="32"/>
        </w:rPr>
      </w:pPr>
      <w:bookmarkStart w:id="126" w:name="_Toc26623"/>
      <w:r>
        <w:rPr>
          <w:rFonts w:hint="eastAsia" w:ascii="微软雅黑" w:hAnsi="微软雅黑" w:eastAsia="微软雅黑" w:cs="微软雅黑"/>
          <w:b/>
          <w:color w:val="000000"/>
          <w:sz w:val="32"/>
          <w:szCs w:val="32"/>
        </w:rPr>
        <w:t>第六章  公开招标失败后后续采购程序和须知</w:t>
      </w:r>
      <w:bookmarkEnd w:id="126"/>
    </w:p>
    <w:p>
      <w:pPr>
        <w:spacing w:line="440" w:lineRule="exact"/>
        <w:ind w:firstLine="480" w:firstLineChars="200"/>
        <w:rPr>
          <w:rFonts w:ascii="宋体" w:hAnsi="宋体"/>
          <w:bCs/>
          <w:color w:val="000000"/>
          <w:sz w:val="24"/>
        </w:rPr>
      </w:pPr>
    </w:p>
    <w:p>
      <w:pPr>
        <w:spacing w:line="440" w:lineRule="exact"/>
        <w:ind w:firstLine="420" w:firstLineChars="200"/>
        <w:rPr>
          <w:rFonts w:ascii="宋体" w:hAnsi="宋体"/>
          <w:bCs/>
          <w:color w:val="000000"/>
          <w:szCs w:val="21"/>
        </w:rPr>
      </w:pPr>
      <w:r>
        <w:rPr>
          <w:rFonts w:hint="eastAsia" w:ascii="宋体" w:hAnsi="宋体"/>
          <w:bCs/>
          <w:color w:val="000000"/>
          <w:szCs w:val="21"/>
        </w:rPr>
        <w:t>1、公开招标失败后后续处理有三种形式：</w:t>
      </w:r>
    </w:p>
    <w:p>
      <w:pPr>
        <w:spacing w:line="440" w:lineRule="exact"/>
        <w:ind w:firstLine="420" w:firstLineChars="200"/>
        <w:rPr>
          <w:rFonts w:ascii="宋体" w:hAnsi="宋体"/>
          <w:bCs/>
          <w:color w:val="000000"/>
          <w:szCs w:val="21"/>
        </w:rPr>
      </w:pPr>
      <w:r>
        <w:rPr>
          <w:rFonts w:hint="eastAsia" w:ascii="宋体" w:hAnsi="宋体"/>
          <w:bCs/>
          <w:color w:val="000000"/>
          <w:szCs w:val="21"/>
        </w:rPr>
        <w:t>1.1  由采购人选择重新公开招标；</w:t>
      </w:r>
    </w:p>
    <w:p>
      <w:pPr>
        <w:spacing w:line="440" w:lineRule="exact"/>
        <w:ind w:firstLine="420" w:firstLineChars="200"/>
        <w:rPr>
          <w:rFonts w:ascii="宋体" w:hAnsi="宋体"/>
          <w:bCs/>
          <w:color w:val="000000"/>
          <w:szCs w:val="21"/>
        </w:rPr>
      </w:pPr>
      <w:r>
        <w:rPr>
          <w:rFonts w:hint="eastAsia" w:ascii="宋体" w:hAnsi="宋体"/>
          <w:bCs/>
          <w:color w:val="000000"/>
          <w:szCs w:val="21"/>
        </w:rPr>
        <w:t>1.2  由采购人提出要求转为竞争性谈判采购并提出选用原招标文件的评标方法或采用最低价评标方法的书面函交招标机构（其中，转为竞争性谈判参加投标的单位必须在两家及以上的情况），再由招标机构向政府采购</w:t>
      </w:r>
      <w:r>
        <w:rPr>
          <w:rFonts w:hint="eastAsia" w:ascii="宋体" w:hAnsi="宋体"/>
          <w:color w:val="000000"/>
          <w:szCs w:val="21"/>
        </w:rPr>
        <w:t>监督管理</w:t>
      </w:r>
      <w:r>
        <w:rPr>
          <w:rFonts w:hint="eastAsia" w:ascii="宋体" w:hAnsi="宋体"/>
          <w:bCs/>
          <w:color w:val="000000"/>
          <w:szCs w:val="21"/>
        </w:rPr>
        <w:t xml:space="preserve">部门提交“非公开招标方式呈批表”，待批复后，招标机构再按批复规定的招标方式和评标办法通知采购人组织后续招标； </w:t>
      </w:r>
    </w:p>
    <w:p>
      <w:pPr>
        <w:spacing w:line="440" w:lineRule="exact"/>
        <w:ind w:firstLine="420" w:firstLineChars="200"/>
        <w:rPr>
          <w:rFonts w:ascii="宋体" w:hAnsi="宋体"/>
          <w:bCs/>
          <w:color w:val="000000"/>
          <w:szCs w:val="21"/>
        </w:rPr>
      </w:pPr>
      <w:r>
        <w:rPr>
          <w:rFonts w:hint="eastAsia" w:ascii="宋体" w:hAnsi="宋体"/>
          <w:bCs/>
          <w:color w:val="000000"/>
          <w:szCs w:val="21"/>
        </w:rPr>
        <w:t>1.3  由采购人提出要求转为单一来源谈判采购的书面函交招标机构，再由招标机构向政府采购</w:t>
      </w:r>
      <w:r>
        <w:rPr>
          <w:rFonts w:hint="eastAsia" w:ascii="宋体" w:hAnsi="宋体"/>
          <w:color w:val="000000"/>
          <w:szCs w:val="21"/>
        </w:rPr>
        <w:t>监督管理</w:t>
      </w:r>
      <w:r>
        <w:rPr>
          <w:rFonts w:hint="eastAsia" w:ascii="宋体" w:hAnsi="宋体"/>
          <w:bCs/>
          <w:color w:val="000000"/>
          <w:szCs w:val="21"/>
        </w:rPr>
        <w:t>部门提交“非公开招标方式呈批表”，待批复后，招标机构再按批复规定的招标方式和评标办法通知采购人组织后续招标。</w:t>
      </w:r>
    </w:p>
    <w:p>
      <w:pPr>
        <w:spacing w:line="440" w:lineRule="exact"/>
        <w:ind w:firstLine="420" w:firstLineChars="200"/>
        <w:rPr>
          <w:rFonts w:ascii="宋体" w:hAnsi="宋体"/>
          <w:bCs/>
          <w:color w:val="000000"/>
          <w:szCs w:val="21"/>
        </w:rPr>
      </w:pPr>
      <w:r>
        <w:rPr>
          <w:rFonts w:hint="eastAsia" w:ascii="宋体" w:hAnsi="宋体"/>
          <w:bCs/>
          <w:color w:val="000000"/>
          <w:szCs w:val="21"/>
        </w:rPr>
        <w:t>2、谈判组织及方式</w:t>
      </w:r>
    </w:p>
    <w:p>
      <w:pPr>
        <w:spacing w:line="440" w:lineRule="exact"/>
        <w:ind w:right="-134" w:rightChars="-64" w:firstLine="420" w:firstLineChars="200"/>
        <w:rPr>
          <w:rFonts w:ascii="宋体" w:hAnsi="宋体"/>
          <w:bCs/>
          <w:color w:val="000000"/>
          <w:szCs w:val="21"/>
        </w:rPr>
      </w:pPr>
      <w:r>
        <w:rPr>
          <w:rFonts w:hint="eastAsia" w:ascii="宋体" w:hAnsi="宋体"/>
          <w:bCs/>
          <w:color w:val="000000"/>
          <w:szCs w:val="21"/>
        </w:rPr>
        <w:t xml:space="preserve">2.1  </w:t>
      </w:r>
      <w:r>
        <w:rPr>
          <w:rFonts w:hint="eastAsia" w:ascii="宋体" w:hAnsi="宋体"/>
          <w:color w:val="000000"/>
          <w:szCs w:val="21"/>
        </w:rPr>
        <w:t>公开招标失败的采购项目经政府采购监督管理部门批准转为竞争性谈判或单一来源谈判方式采购的，</w:t>
      </w:r>
      <w:r>
        <w:rPr>
          <w:rFonts w:hint="eastAsia" w:ascii="宋体" w:hAnsi="宋体"/>
          <w:bCs/>
          <w:color w:val="000000"/>
          <w:szCs w:val="21"/>
        </w:rPr>
        <w:t>招标机构</w:t>
      </w:r>
      <w:r>
        <w:rPr>
          <w:rFonts w:hint="eastAsia" w:ascii="宋体" w:hAnsi="宋体"/>
          <w:color w:val="000000"/>
          <w:szCs w:val="21"/>
        </w:rPr>
        <w:t xml:space="preserve">可就原招标文件中资质、技术及评标方法等变动情况向拟谈判对象发出谈判邀请，与原招标文件具同等效力，变动部分以谈判邀请文件为准。 </w:t>
      </w:r>
    </w:p>
    <w:p>
      <w:pPr>
        <w:spacing w:line="440" w:lineRule="exact"/>
        <w:ind w:firstLine="420" w:firstLineChars="200"/>
        <w:rPr>
          <w:rFonts w:ascii="宋体" w:hAnsi="宋体"/>
          <w:bCs/>
          <w:color w:val="000000"/>
          <w:szCs w:val="21"/>
        </w:rPr>
      </w:pPr>
      <w:r>
        <w:rPr>
          <w:rFonts w:hint="eastAsia" w:ascii="宋体" w:hAnsi="宋体"/>
          <w:bCs/>
          <w:color w:val="000000"/>
          <w:szCs w:val="21"/>
        </w:rPr>
        <w:t xml:space="preserve">2.2  </w:t>
      </w:r>
      <w:r>
        <w:rPr>
          <w:rFonts w:hint="eastAsia" w:ascii="宋体" w:hAnsi="宋体"/>
          <w:color w:val="000000"/>
          <w:szCs w:val="21"/>
        </w:rPr>
        <w:t>招标机构将按谈判邀请书规定的时间和地点组织谈判。投标人应委派代表参加，参加谈判的代表应签名报到以证明出席；</w:t>
      </w:r>
    </w:p>
    <w:p>
      <w:pPr>
        <w:spacing w:line="440" w:lineRule="exact"/>
        <w:ind w:firstLine="420" w:firstLineChars="200"/>
        <w:rPr>
          <w:rFonts w:ascii="宋体" w:hAnsi="宋体"/>
          <w:bCs/>
          <w:color w:val="000000"/>
          <w:szCs w:val="21"/>
        </w:rPr>
      </w:pPr>
      <w:r>
        <w:rPr>
          <w:rFonts w:hint="eastAsia" w:ascii="宋体" w:hAnsi="宋体"/>
          <w:bCs/>
          <w:color w:val="000000"/>
          <w:szCs w:val="21"/>
        </w:rPr>
        <w:t xml:space="preserve">2.3  </w:t>
      </w:r>
      <w:r>
        <w:rPr>
          <w:rFonts w:hint="eastAsia" w:ascii="宋体" w:hAnsi="宋体"/>
          <w:color w:val="000000"/>
          <w:szCs w:val="21"/>
        </w:rPr>
        <w:t>参加谈判的代表，必须是法定代表人或法定代表人授权委托人，此次谈判必须开具法定代表人授权委托书（法定代表人参加的除外）附在谈判文件里，竞争性谈判最低评标价法交：正本文件1份、副本文件3份；竞争性谈判综合评分法交：正本文件1份、副本4份；单一来源谈判交正本1份、副本2份。</w:t>
      </w:r>
    </w:p>
    <w:p>
      <w:pPr>
        <w:spacing w:line="440" w:lineRule="exact"/>
        <w:ind w:firstLine="420" w:firstLineChars="200"/>
        <w:rPr>
          <w:rFonts w:ascii="宋体" w:hAnsi="宋体"/>
          <w:bCs/>
          <w:color w:val="000000"/>
          <w:szCs w:val="21"/>
        </w:rPr>
      </w:pPr>
      <w:r>
        <w:rPr>
          <w:rFonts w:hint="eastAsia" w:ascii="宋体" w:hAnsi="宋体"/>
          <w:bCs/>
          <w:color w:val="000000"/>
          <w:szCs w:val="21"/>
        </w:rPr>
        <w:t>2.4  竞争性谈判小组成员由采购人和两名以上专家（单数）组成，招标机构为主持人。对投标人是否通过资格性审查和符合性审查由谈判小组定，谈判小组意见不一致时，按少数服从多数原则作出决定；</w:t>
      </w:r>
    </w:p>
    <w:p>
      <w:pPr>
        <w:spacing w:line="440" w:lineRule="exact"/>
        <w:ind w:firstLine="420" w:firstLineChars="200"/>
        <w:rPr>
          <w:rFonts w:ascii="宋体" w:hAnsi="宋体"/>
          <w:color w:val="000000"/>
          <w:szCs w:val="21"/>
        </w:rPr>
      </w:pPr>
      <w:r>
        <w:rPr>
          <w:rFonts w:hint="eastAsia" w:ascii="宋体" w:hAnsi="宋体"/>
          <w:color w:val="000000"/>
          <w:szCs w:val="21"/>
        </w:rPr>
        <w:t>2.5  谈判的内容包括：投标价格、项目实施方案、售后服务方案和其它相关事项。</w:t>
      </w:r>
    </w:p>
    <w:p>
      <w:pPr>
        <w:spacing w:line="440" w:lineRule="exact"/>
        <w:ind w:firstLine="420" w:firstLineChars="200"/>
        <w:rPr>
          <w:rFonts w:ascii="宋体" w:hAnsi="宋体"/>
          <w:bCs/>
          <w:color w:val="000000"/>
          <w:szCs w:val="21"/>
        </w:rPr>
      </w:pPr>
      <w:r>
        <w:rPr>
          <w:rFonts w:hint="eastAsia" w:ascii="宋体" w:hAnsi="宋体"/>
          <w:color w:val="000000"/>
          <w:szCs w:val="21"/>
        </w:rPr>
        <w:t>原招标文件或谈判邀请文件有实质性变动的，应当通知所有参加谈判的供应商；</w:t>
      </w:r>
    </w:p>
    <w:p>
      <w:pPr>
        <w:spacing w:line="440" w:lineRule="exact"/>
        <w:ind w:firstLine="420" w:firstLineChars="200"/>
        <w:rPr>
          <w:rFonts w:ascii="宋体" w:hAnsi="宋体"/>
          <w:bCs/>
          <w:color w:val="000000"/>
          <w:szCs w:val="21"/>
        </w:rPr>
      </w:pPr>
      <w:r>
        <w:rPr>
          <w:rFonts w:hint="eastAsia" w:ascii="宋体" w:hAnsi="宋体"/>
          <w:color w:val="000000"/>
          <w:szCs w:val="21"/>
        </w:rPr>
        <w:t>2.6  谈判小组主持人宣布谈判规则和谈判纪律；</w:t>
      </w:r>
    </w:p>
    <w:p>
      <w:pPr>
        <w:spacing w:line="440" w:lineRule="exact"/>
        <w:ind w:firstLine="420" w:firstLineChars="200"/>
        <w:rPr>
          <w:rFonts w:ascii="宋体" w:hAnsi="宋体"/>
          <w:color w:val="000000"/>
          <w:szCs w:val="21"/>
        </w:rPr>
      </w:pPr>
      <w:r>
        <w:rPr>
          <w:rFonts w:hint="eastAsia" w:ascii="宋体" w:hAnsi="宋体"/>
          <w:color w:val="000000"/>
          <w:szCs w:val="21"/>
        </w:rPr>
        <w:t>2.7  当投标人出现下列情况之一的将视为无效投标，不得进入谈判，具体内容如下：</w:t>
      </w:r>
    </w:p>
    <w:p>
      <w:pPr>
        <w:spacing w:line="440" w:lineRule="exact"/>
        <w:ind w:right="-29" w:rightChars="-14" w:firstLine="420" w:firstLineChars="200"/>
        <w:rPr>
          <w:rFonts w:ascii="宋体" w:hAnsi="宋体"/>
          <w:color w:val="000000"/>
          <w:szCs w:val="21"/>
        </w:rPr>
      </w:pPr>
      <w:r>
        <w:rPr>
          <w:rFonts w:hint="eastAsia" w:ascii="宋体" w:hAnsi="宋体"/>
          <w:color w:val="000000"/>
          <w:szCs w:val="21"/>
        </w:rPr>
        <w:t>（1）投标人未按照谈判文件（或邀请书或谈判通知）规定递交谈判文件截止时间前递交谈判文件或签到的；</w:t>
      </w:r>
    </w:p>
    <w:p>
      <w:pPr>
        <w:spacing w:line="440" w:lineRule="exact"/>
        <w:ind w:right="-29" w:rightChars="-14" w:firstLine="420" w:firstLineChars="200"/>
        <w:rPr>
          <w:rFonts w:ascii="宋体" w:hAnsi="宋体"/>
          <w:color w:val="000000"/>
          <w:szCs w:val="21"/>
        </w:rPr>
      </w:pPr>
      <w:r>
        <w:rPr>
          <w:rFonts w:hint="eastAsia" w:ascii="宋体" w:hAnsi="宋体"/>
          <w:color w:val="000000"/>
          <w:szCs w:val="21"/>
        </w:rPr>
        <w:t>（2）投标（或谈判）文件无法定代表人签字或盖章，或签字人无法定代表人有效授权委托书原件的；</w:t>
      </w:r>
    </w:p>
    <w:p>
      <w:pPr>
        <w:spacing w:line="440" w:lineRule="exact"/>
        <w:ind w:right="-344" w:rightChars="-164" w:firstLine="420" w:firstLineChars="200"/>
        <w:rPr>
          <w:rFonts w:ascii="宋体" w:hAnsi="宋体"/>
          <w:color w:val="000000"/>
          <w:szCs w:val="21"/>
        </w:rPr>
      </w:pPr>
      <w:r>
        <w:rPr>
          <w:rFonts w:hint="eastAsia" w:ascii="宋体" w:hAnsi="宋体"/>
          <w:color w:val="000000"/>
          <w:szCs w:val="21"/>
        </w:rPr>
        <w:t>（3）投标人不具备国家有关法律规定的有关资质和不具备招标文件以及谈判邀请中相应的变动部分所列资格要求的，未提交相应的资格证明资料的，未提交规定的谈判文件的</w:t>
      </w:r>
      <w:r>
        <w:rPr>
          <w:rFonts w:hint="eastAsia"/>
          <w:color w:val="000000"/>
          <w:szCs w:val="21"/>
        </w:rPr>
        <w:t>；</w:t>
      </w:r>
    </w:p>
    <w:p>
      <w:pPr>
        <w:spacing w:line="440" w:lineRule="exact"/>
        <w:ind w:right="-134" w:rightChars="-64" w:firstLine="455" w:firstLineChars="217"/>
        <w:rPr>
          <w:rFonts w:hint="eastAsia" w:ascii="宋体" w:hAnsi="宋体"/>
          <w:color w:val="000000"/>
          <w:szCs w:val="21"/>
        </w:rPr>
      </w:pPr>
      <w:r>
        <w:rPr>
          <w:rFonts w:hint="eastAsia" w:ascii="宋体" w:hAnsi="宋体"/>
          <w:color w:val="000000"/>
          <w:szCs w:val="21"/>
        </w:rPr>
        <w:t>（4）组成联合体投标的，投标文件未附联合体各方共同投标协议；</w:t>
      </w:r>
    </w:p>
    <w:p>
      <w:pPr>
        <w:spacing w:line="440" w:lineRule="exact"/>
        <w:ind w:firstLine="420" w:firstLineChars="200"/>
        <w:rPr>
          <w:rFonts w:ascii="宋体" w:hAnsi="宋体"/>
          <w:szCs w:val="21"/>
        </w:rPr>
      </w:pPr>
      <w:r>
        <w:rPr>
          <w:rFonts w:hint="eastAsia" w:ascii="宋体" w:hAnsi="宋体"/>
          <w:bCs/>
          <w:color w:val="000000"/>
          <w:szCs w:val="21"/>
        </w:rPr>
        <w:t xml:space="preserve">2．8 </w:t>
      </w:r>
      <w:r>
        <w:rPr>
          <w:rFonts w:hint="eastAsia" w:ascii="宋体" w:hAnsi="宋体"/>
          <w:color w:val="000000"/>
          <w:szCs w:val="21"/>
        </w:rPr>
        <w:t>谈判小组可以要求各供应商对其谈判应答文件含义不明确的内容作必要的澄清或者说明，供应商应须以书面形式进行澄清、说明；</w:t>
      </w:r>
    </w:p>
    <w:p>
      <w:pPr>
        <w:spacing w:line="440" w:lineRule="exact"/>
        <w:ind w:firstLine="420" w:firstLineChars="200"/>
        <w:rPr>
          <w:rFonts w:ascii="宋体" w:hAnsi="宋体"/>
          <w:szCs w:val="21"/>
        </w:rPr>
      </w:pPr>
      <w:r>
        <w:rPr>
          <w:rFonts w:hint="eastAsia" w:ascii="宋体" w:hAnsi="宋体"/>
          <w:szCs w:val="21"/>
        </w:rPr>
        <w:t>2．9 供应商对谈判应答文件进行修改，都应形成文字材料，并经供应商谈判授权人签字认可；</w:t>
      </w:r>
    </w:p>
    <w:p>
      <w:pPr>
        <w:spacing w:line="440" w:lineRule="exact"/>
        <w:ind w:firstLine="420" w:firstLineChars="200"/>
        <w:rPr>
          <w:rFonts w:ascii="宋体" w:hAnsi="宋体"/>
          <w:szCs w:val="21"/>
        </w:rPr>
      </w:pPr>
      <w:r>
        <w:rPr>
          <w:rFonts w:hint="eastAsia" w:ascii="宋体" w:hAnsi="宋体"/>
          <w:szCs w:val="21"/>
        </w:rPr>
        <w:t>2.10谈判小组所有成员集中与单一供应商分别进行谈判。在谈判中，</w:t>
      </w:r>
      <w:r>
        <w:rPr>
          <w:rFonts w:hint="eastAsia" w:ascii="宋体" w:hAnsi="宋体"/>
          <w:bCs/>
          <w:szCs w:val="21"/>
        </w:rPr>
        <w:t>谈判小组于每一轮谈判前向所有供应商公布各供应商最新的承诺及报价排名，但不得透露每一家供应商的具体报价及技术资料</w:t>
      </w:r>
      <w:r>
        <w:rPr>
          <w:rFonts w:hint="eastAsia" w:ascii="宋体" w:hAnsi="宋体"/>
          <w:szCs w:val="21"/>
        </w:rPr>
        <w:t>；供应商应在规定的时间内提出书面承诺。</w:t>
      </w:r>
    </w:p>
    <w:p>
      <w:pPr>
        <w:spacing w:line="440" w:lineRule="exact"/>
        <w:ind w:firstLine="420" w:firstLineChars="200"/>
        <w:rPr>
          <w:rFonts w:ascii="宋体" w:hAnsi="宋体"/>
          <w:szCs w:val="21"/>
        </w:rPr>
      </w:pPr>
      <w:r>
        <w:rPr>
          <w:rFonts w:hint="eastAsia" w:ascii="宋体" w:hAnsi="宋体"/>
          <w:szCs w:val="21"/>
        </w:rPr>
        <w:t>2.11有下列情形之一的，该供应商的谈判结果作废标处理：</w:t>
      </w:r>
    </w:p>
    <w:p>
      <w:pPr>
        <w:spacing w:line="440" w:lineRule="exact"/>
        <w:ind w:firstLine="420" w:firstLineChars="200"/>
        <w:rPr>
          <w:rFonts w:ascii="宋体" w:hAnsi="宋体"/>
          <w:szCs w:val="21"/>
        </w:rPr>
      </w:pPr>
      <w:r>
        <w:rPr>
          <w:rFonts w:hint="eastAsia" w:ascii="宋体" w:hAnsi="宋体"/>
          <w:szCs w:val="21"/>
        </w:rPr>
        <w:t>（1）将一个包或一个项目的内容拆开投标；</w:t>
      </w:r>
    </w:p>
    <w:p>
      <w:pPr>
        <w:spacing w:line="440" w:lineRule="exact"/>
        <w:ind w:firstLine="420" w:firstLineChars="200"/>
        <w:rPr>
          <w:rFonts w:ascii="宋体" w:hAnsi="宋体"/>
          <w:szCs w:val="21"/>
        </w:rPr>
      </w:pPr>
      <w:r>
        <w:rPr>
          <w:rFonts w:hint="eastAsia" w:ascii="宋体" w:hAnsi="宋体"/>
          <w:szCs w:val="21"/>
        </w:rPr>
        <w:t>（2）最终的投标总价高于财政预算金额的；</w:t>
      </w:r>
    </w:p>
    <w:p>
      <w:pPr>
        <w:spacing w:line="440" w:lineRule="exact"/>
        <w:ind w:firstLine="420" w:firstLineChars="200"/>
        <w:rPr>
          <w:rFonts w:ascii="宋体" w:hAnsi="宋体"/>
          <w:szCs w:val="21"/>
        </w:rPr>
      </w:pPr>
      <w:r>
        <w:rPr>
          <w:rFonts w:hint="eastAsia" w:ascii="宋体" w:hAnsi="宋体"/>
          <w:szCs w:val="21"/>
        </w:rPr>
        <w:t>（3）</w:t>
      </w:r>
      <w:r>
        <w:rPr>
          <w:rFonts w:hint="eastAsia" w:ascii="宋体" w:hAnsi="宋体"/>
          <w:spacing w:val="-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szCs w:val="21"/>
        </w:rPr>
        <w:t>（4）所投产品、工程、服务在质量、技术、方案等方面没有实质性满足招标文件要求的（是否实质性满足招标文件要求，由评标委员会来做出评判）；</w:t>
      </w:r>
    </w:p>
    <w:p>
      <w:pPr>
        <w:spacing w:line="440" w:lineRule="exact"/>
        <w:ind w:firstLine="420" w:firstLineChars="200"/>
        <w:rPr>
          <w:rFonts w:ascii="宋体" w:hAnsi="宋体"/>
          <w:szCs w:val="21"/>
        </w:rPr>
      </w:pPr>
      <w:r>
        <w:rPr>
          <w:rFonts w:hint="eastAsia" w:ascii="宋体" w:hAnsi="宋体"/>
          <w:szCs w:val="21"/>
        </w:rPr>
        <w:t>（5）法律、法规规定的其他情形。</w:t>
      </w:r>
    </w:p>
    <w:p>
      <w:pPr>
        <w:spacing w:line="440" w:lineRule="exact"/>
        <w:ind w:firstLine="420" w:firstLineChars="200"/>
        <w:rPr>
          <w:rFonts w:ascii="宋体" w:hAnsi="宋体"/>
          <w:color w:val="000000"/>
          <w:szCs w:val="21"/>
        </w:rPr>
      </w:pPr>
      <w:r>
        <w:rPr>
          <w:rFonts w:hint="eastAsia" w:ascii="宋体" w:hAnsi="宋体"/>
          <w:szCs w:val="21"/>
        </w:rPr>
        <w:t>2.12</w:t>
      </w:r>
      <w:r>
        <w:rPr>
          <w:rFonts w:hint="eastAsia" w:ascii="宋体" w:hAnsi="宋体"/>
          <w:bCs/>
          <w:szCs w:val="21"/>
        </w:rPr>
        <w:t>竞争性谈判</w:t>
      </w:r>
      <w:r>
        <w:rPr>
          <w:rFonts w:hint="eastAsia" w:ascii="宋体" w:hAnsi="宋体"/>
          <w:szCs w:val="21"/>
        </w:rPr>
        <w:t>所有通过资格性审查和</w:t>
      </w:r>
      <w:r>
        <w:rPr>
          <w:rFonts w:hint="eastAsia" w:ascii="宋体" w:hAnsi="宋体"/>
          <w:color w:val="000000"/>
          <w:szCs w:val="21"/>
        </w:rPr>
        <w:t>符合性审查的投标人分别报出投标报价，投标文件的报价作为第一次报价，共有三次报价机会（当所有通过资格性审查和符合性审查的投标人的第三次报价都超过预算控制金额时，由谈判小组决定是否继续报价）。第三次报价所有参加谈判的供应商将最终报价及承诺在现场以书面形式签署，同时交给谈判小组（单一来源谈判此条选择不适用），再由谈判小组根据定标原则确定中标人。</w:t>
      </w:r>
    </w:p>
    <w:p>
      <w:pPr>
        <w:spacing w:line="440" w:lineRule="exact"/>
        <w:ind w:firstLine="420" w:firstLineChars="200"/>
        <w:rPr>
          <w:rFonts w:ascii="宋体" w:hAnsi="宋体"/>
          <w:color w:val="000000"/>
          <w:szCs w:val="21"/>
        </w:rPr>
      </w:pPr>
      <w:r>
        <w:rPr>
          <w:rFonts w:hint="eastAsia" w:ascii="宋体" w:hAnsi="宋体"/>
          <w:color w:val="000000"/>
          <w:szCs w:val="21"/>
        </w:rPr>
        <w:t>2.13谈判结束后，谈判小组根据供应商提供的谈判应答文件、谈判过程中产生的相关资料，对供应商谈判应答文件进行评估与比较，提出书面评审意见。</w:t>
      </w:r>
    </w:p>
    <w:p>
      <w:pPr>
        <w:spacing w:line="440" w:lineRule="exact"/>
        <w:ind w:firstLine="420" w:firstLineChars="200"/>
        <w:rPr>
          <w:rFonts w:ascii="宋体" w:hAnsi="宋体"/>
          <w:color w:val="000000"/>
          <w:szCs w:val="21"/>
        </w:rPr>
      </w:pPr>
      <w:r>
        <w:rPr>
          <w:rFonts w:hint="eastAsia" w:ascii="宋体" w:hAnsi="宋体"/>
          <w:color w:val="000000"/>
          <w:szCs w:val="21"/>
        </w:rPr>
        <w:t>2.14 谈判小组将对谈判过程进行记录，以存档备查。</w:t>
      </w:r>
    </w:p>
    <w:p>
      <w:pPr>
        <w:tabs>
          <w:tab w:val="left" w:pos="3150"/>
        </w:tabs>
        <w:spacing w:line="440" w:lineRule="exact"/>
        <w:ind w:firstLine="420" w:firstLineChars="200"/>
        <w:rPr>
          <w:rFonts w:ascii="宋体" w:hAnsi="宋体"/>
          <w:bCs/>
          <w:color w:val="000000"/>
          <w:szCs w:val="21"/>
        </w:rPr>
      </w:pPr>
      <w:r>
        <w:rPr>
          <w:rFonts w:hint="eastAsia" w:ascii="宋体" w:hAnsi="宋体"/>
          <w:bCs/>
          <w:color w:val="000000"/>
          <w:szCs w:val="21"/>
        </w:rPr>
        <w:t>3、定标原则</w:t>
      </w:r>
    </w:p>
    <w:p>
      <w:pPr>
        <w:tabs>
          <w:tab w:val="left" w:pos="3150"/>
        </w:tabs>
        <w:spacing w:line="440" w:lineRule="exact"/>
        <w:ind w:firstLine="420" w:firstLineChars="200"/>
        <w:rPr>
          <w:rFonts w:ascii="宋体" w:hAnsi="宋体"/>
          <w:bCs/>
          <w:color w:val="000000"/>
          <w:szCs w:val="21"/>
        </w:rPr>
      </w:pPr>
      <w:r>
        <w:rPr>
          <w:rFonts w:hint="eastAsia" w:ascii="宋体" w:hAnsi="宋体"/>
          <w:bCs/>
          <w:color w:val="000000"/>
          <w:szCs w:val="21"/>
        </w:rPr>
        <w:t>3.1  竞争性谈判最低评标价法的定标原则</w:t>
      </w:r>
    </w:p>
    <w:p>
      <w:pPr>
        <w:tabs>
          <w:tab w:val="left" w:pos="3150"/>
        </w:tabs>
        <w:spacing w:line="440" w:lineRule="exact"/>
        <w:ind w:firstLine="420" w:firstLineChars="200"/>
        <w:rPr>
          <w:rFonts w:ascii="宋体" w:hAnsi="宋体"/>
          <w:bCs/>
          <w:szCs w:val="21"/>
        </w:rPr>
      </w:pPr>
      <w:r>
        <w:rPr>
          <w:rFonts w:hint="eastAsia" w:ascii="宋体" w:hAnsi="宋体"/>
          <w:bCs/>
          <w:color w:val="000000"/>
          <w:szCs w:val="21"/>
        </w:rPr>
        <w:t>3.1.1  除按投标人须知第32条规定之外和</w:t>
      </w:r>
      <w:r>
        <w:rPr>
          <w:rFonts w:hint="eastAsia" w:ascii="宋体" w:hAnsi="宋体"/>
          <w:bCs/>
          <w:szCs w:val="21"/>
        </w:rPr>
        <w:t>谈判邀请文件规定，</w:t>
      </w:r>
      <w:r>
        <w:rPr>
          <w:rFonts w:hint="eastAsia" w:ascii="宋体" w:hAnsi="宋体" w:cs="宋体"/>
          <w:bCs/>
          <w:szCs w:val="21"/>
        </w:rPr>
        <w:t>招标机构</w:t>
      </w:r>
      <w:r>
        <w:rPr>
          <w:rFonts w:hint="eastAsia" w:ascii="宋体" w:hAnsi="宋体"/>
          <w:bCs/>
          <w:szCs w:val="21"/>
        </w:rPr>
        <w:t>将把合同授予通过资格性审查和符合性审查且最终报价不超过预算控制金额的、满足招标文件实质性要求且投标价最低的投标人；</w:t>
      </w:r>
    </w:p>
    <w:p>
      <w:pPr>
        <w:tabs>
          <w:tab w:val="left" w:pos="3150"/>
        </w:tabs>
        <w:spacing w:line="440" w:lineRule="exact"/>
        <w:ind w:firstLine="420" w:firstLineChars="200"/>
        <w:rPr>
          <w:rFonts w:ascii="宋体" w:hAnsi="宋体"/>
          <w:bCs/>
          <w:szCs w:val="21"/>
        </w:rPr>
      </w:pPr>
      <w:r>
        <w:rPr>
          <w:rFonts w:hint="eastAsia" w:ascii="宋体" w:hAnsi="宋体"/>
          <w:bCs/>
          <w:szCs w:val="21"/>
        </w:rPr>
        <w:t>当通过资格性检查和符合性检查第三次报价在预算控制金额内且最低报价为两家以上的，由最低报价相同的投标人再作第四次报价，第三次报价高于最低报价的供应商不能再参加第四次报价。</w:t>
      </w:r>
    </w:p>
    <w:p>
      <w:pPr>
        <w:spacing w:line="440" w:lineRule="exact"/>
        <w:ind w:firstLine="420" w:firstLineChars="200"/>
        <w:rPr>
          <w:rFonts w:ascii="宋体" w:hAnsi="宋体"/>
          <w:bCs/>
          <w:szCs w:val="21"/>
        </w:rPr>
      </w:pPr>
      <w:r>
        <w:rPr>
          <w:rFonts w:hint="eastAsia" w:ascii="宋体" w:hAnsi="宋体"/>
          <w:szCs w:val="21"/>
        </w:rPr>
        <w:t xml:space="preserve">3.1.2  </w:t>
      </w:r>
      <w:r>
        <w:rPr>
          <w:rFonts w:hint="eastAsia" w:ascii="宋体" w:hAnsi="宋体"/>
          <w:bCs/>
          <w:szCs w:val="21"/>
        </w:rPr>
        <w:t>根据《深圳市财政委员会关于加强招投标评审环节诚信管理的通知》(深财购[2013]27号)及《深圳市财政委员会关于印发&lt;深圳市政府采购供应商诚信管理暂行办法操作细则&gt;的通知(深财购[2017]42号)》文的要求，投标人在参与政府采购活动中存在诚信相关问题且在主管部门相关处理措施实施期限内的，在该企业投标报价的基础上上浮10%后参与价格评比。投标人无需提供任何证明材料，由本项目谈判小组在评标时通过深圳市政府采购网系统查询。</w:t>
      </w:r>
    </w:p>
    <w:p>
      <w:pPr>
        <w:spacing w:line="440" w:lineRule="exact"/>
        <w:ind w:firstLine="420" w:firstLineChars="200"/>
        <w:rPr>
          <w:rFonts w:ascii="宋体" w:hAnsi="宋体"/>
          <w:szCs w:val="21"/>
        </w:rPr>
      </w:pPr>
      <w:r>
        <w:rPr>
          <w:rFonts w:hint="eastAsia" w:ascii="宋体" w:hAnsi="宋体"/>
          <w:bCs/>
          <w:szCs w:val="21"/>
        </w:rPr>
        <w:t>3.1.3  对于小微企业、监狱企业或残疾人福利性单位价格评审的优惠政策见本招标文件的相关规定。</w:t>
      </w:r>
    </w:p>
    <w:p>
      <w:pPr>
        <w:tabs>
          <w:tab w:val="left" w:pos="3150"/>
        </w:tabs>
        <w:spacing w:line="440" w:lineRule="exact"/>
        <w:ind w:right="-344" w:rightChars="-164" w:firstLine="420" w:firstLineChars="200"/>
        <w:rPr>
          <w:rFonts w:ascii="宋体" w:hAnsi="宋体"/>
          <w:bCs/>
          <w:color w:val="000000"/>
          <w:szCs w:val="21"/>
        </w:rPr>
      </w:pPr>
      <w:r>
        <w:rPr>
          <w:rFonts w:hint="eastAsia" w:ascii="宋体" w:hAnsi="宋体"/>
          <w:bCs/>
          <w:color w:val="000000"/>
          <w:szCs w:val="21"/>
        </w:rPr>
        <w:t>3.2  竞争性谈判综合评分法定标原则：按照招标文件的综合评分法的规定进行评标。</w:t>
      </w:r>
    </w:p>
    <w:p>
      <w:pPr>
        <w:tabs>
          <w:tab w:val="left" w:pos="3150"/>
        </w:tabs>
        <w:spacing w:line="440" w:lineRule="exact"/>
        <w:ind w:right="-344" w:rightChars="-164" w:firstLine="420" w:firstLineChars="200"/>
        <w:rPr>
          <w:rFonts w:ascii="宋体" w:hAnsi="宋体"/>
          <w:bCs/>
          <w:color w:val="000000"/>
          <w:szCs w:val="21"/>
        </w:rPr>
      </w:pPr>
      <w:r>
        <w:rPr>
          <w:rFonts w:hint="eastAsia" w:ascii="宋体" w:hAnsi="宋体"/>
          <w:bCs/>
          <w:color w:val="000000"/>
          <w:szCs w:val="21"/>
        </w:rPr>
        <w:t xml:space="preserve">3.3  </w:t>
      </w:r>
      <w:r>
        <w:rPr>
          <w:rFonts w:hint="eastAsia" w:ascii="宋体" w:hAnsi="宋体"/>
          <w:color w:val="000000"/>
          <w:szCs w:val="21"/>
        </w:rPr>
        <w:t>谈判小组向采购人提交书面评标报告，确定中标供应商。</w:t>
      </w:r>
    </w:p>
    <w:p>
      <w:pPr>
        <w:spacing w:line="440" w:lineRule="exact"/>
        <w:ind w:firstLine="420" w:firstLineChars="200"/>
        <w:rPr>
          <w:rFonts w:ascii="宋体" w:hAnsi="宋体"/>
          <w:bCs/>
          <w:color w:val="000000"/>
          <w:szCs w:val="21"/>
        </w:rPr>
      </w:pPr>
      <w:r>
        <w:rPr>
          <w:rFonts w:hint="eastAsia" w:ascii="宋体" w:hAnsi="宋体"/>
          <w:bCs/>
          <w:color w:val="000000"/>
          <w:szCs w:val="21"/>
        </w:rPr>
        <w:t>4、关于谈判文件</w:t>
      </w:r>
    </w:p>
    <w:p>
      <w:pPr>
        <w:spacing w:line="440" w:lineRule="exact"/>
        <w:ind w:firstLine="420" w:firstLineChars="200"/>
        <w:rPr>
          <w:rFonts w:ascii="宋体" w:hAnsi="宋体"/>
          <w:bCs/>
          <w:color w:val="000000"/>
          <w:szCs w:val="21"/>
        </w:rPr>
      </w:pPr>
      <w:r>
        <w:rPr>
          <w:rFonts w:hint="eastAsia" w:ascii="宋体" w:hAnsi="宋体"/>
          <w:bCs/>
          <w:color w:val="000000"/>
          <w:szCs w:val="21"/>
        </w:rPr>
        <w:t>4.1  按深财购[2006]17号文的有关规定，为提高采购效率，采购人可不另行制作谈判文件。</w:t>
      </w:r>
    </w:p>
    <w:p>
      <w:pPr>
        <w:spacing w:line="440" w:lineRule="exact"/>
        <w:ind w:firstLine="420" w:firstLineChars="200"/>
        <w:rPr>
          <w:rFonts w:ascii="宋体" w:hAnsi="宋体"/>
          <w:bCs/>
          <w:color w:val="000000"/>
          <w:szCs w:val="21"/>
        </w:rPr>
      </w:pPr>
      <w:r>
        <w:rPr>
          <w:rFonts w:hint="eastAsia" w:ascii="宋体" w:hAnsi="宋体"/>
          <w:bCs/>
          <w:color w:val="000000"/>
          <w:szCs w:val="21"/>
        </w:rPr>
        <w:t>4.2  如果采购方就原招标文件中的资质、技术及评标方法等有变动，采购人将向拟谈判对象发出谈判邀请，谈判（文件）邀请（或通知）与原招标文件具同等效力，变动部分以变动后的谈判邀请文件</w:t>
      </w:r>
      <w:r>
        <w:rPr>
          <w:rFonts w:hint="eastAsia" w:ascii="宋体" w:hAnsi="宋体"/>
          <w:color w:val="000000"/>
          <w:szCs w:val="21"/>
        </w:rPr>
        <w:t>（或邀请书或谈判通知）</w:t>
      </w:r>
      <w:r>
        <w:rPr>
          <w:rFonts w:hint="eastAsia" w:ascii="宋体" w:hAnsi="宋体"/>
          <w:bCs/>
          <w:color w:val="000000"/>
          <w:szCs w:val="21"/>
        </w:rPr>
        <w:t>为准。</w:t>
      </w:r>
    </w:p>
    <w:p>
      <w:pPr>
        <w:spacing w:line="440" w:lineRule="exact"/>
        <w:ind w:firstLine="420" w:firstLineChars="200"/>
        <w:rPr>
          <w:rFonts w:ascii="宋体" w:hAnsi="宋体"/>
          <w:bCs/>
          <w:color w:val="000000"/>
          <w:szCs w:val="21"/>
        </w:rPr>
      </w:pPr>
      <w:r>
        <w:rPr>
          <w:rFonts w:hint="eastAsia" w:ascii="宋体" w:hAnsi="宋体"/>
          <w:bCs/>
          <w:color w:val="000000"/>
          <w:szCs w:val="21"/>
        </w:rPr>
        <w:t>5、特别说明</w:t>
      </w:r>
    </w:p>
    <w:p>
      <w:pPr>
        <w:spacing w:line="440" w:lineRule="exact"/>
        <w:ind w:firstLine="420" w:firstLineChars="200"/>
        <w:rPr>
          <w:rFonts w:ascii="宋体" w:hAnsi="宋体"/>
          <w:bCs/>
          <w:color w:val="000000"/>
          <w:szCs w:val="21"/>
        </w:rPr>
      </w:pPr>
      <w:r>
        <w:rPr>
          <w:rFonts w:hint="eastAsia" w:ascii="宋体" w:hAnsi="宋体"/>
          <w:bCs/>
          <w:color w:val="000000"/>
          <w:szCs w:val="21"/>
        </w:rPr>
        <w:t>如项目为采购人自行采购项目，由采购人自行监管，不属于政府采购</w:t>
      </w:r>
      <w:r>
        <w:rPr>
          <w:rFonts w:hint="eastAsia" w:ascii="宋体" w:hAnsi="宋体"/>
          <w:color w:val="000000"/>
          <w:szCs w:val="21"/>
        </w:rPr>
        <w:t>监督管理</w:t>
      </w:r>
      <w:r>
        <w:rPr>
          <w:rFonts w:hint="eastAsia" w:ascii="宋体" w:hAnsi="宋体"/>
          <w:bCs/>
          <w:color w:val="000000"/>
          <w:szCs w:val="21"/>
        </w:rPr>
        <w:t>部门监督审批范围，公开招标失败后后续处理方式，按采购人的来函意见执行。</w:t>
      </w:r>
    </w:p>
    <w:p>
      <w:pPr>
        <w:rPr>
          <w:rFonts w:ascii="宋体" w:hAnsi="宋体"/>
          <w:bCs/>
          <w:color w:val="000000"/>
          <w:szCs w:val="21"/>
        </w:rPr>
      </w:pPr>
      <w:r>
        <w:rPr>
          <w:rFonts w:hint="eastAsia" w:ascii="宋体" w:hAnsi="宋体"/>
          <w:bCs/>
          <w:color w:val="000000"/>
          <w:szCs w:val="21"/>
        </w:rPr>
        <w:br w:type="page"/>
      </w:r>
    </w:p>
    <w:p>
      <w:pPr>
        <w:pStyle w:val="2"/>
        <w:rPr>
          <w:rFonts w:hint="eastAsia"/>
        </w:rPr>
      </w:pPr>
    </w:p>
    <w:sectPr>
      <w:headerReference r:id="rId3" w:type="default"/>
      <w:footerReference r:id="rId4" w:type="default"/>
      <w:footerReference r:id="rId5" w:type="even"/>
      <w:pgSz w:w="11907" w:h="16840"/>
      <w:pgMar w:top="1843" w:right="1349" w:bottom="1383" w:left="1559" w:header="851" w:footer="992" w:gutter="0"/>
      <w:pgNumType w:start="0"/>
      <w:cols w:space="720" w:num="1"/>
      <w:titlePg/>
      <w:docGrid w:type="lines" w:linePitch="5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30</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asciiTheme="minorEastAsia" w:hAnsiTheme="minorEastAsia" w:eastAsiaTheme="minorEastAsia"/>
      </w:rPr>
    </w:pPr>
    <w:r>
      <w:rPr>
        <w:rFonts w:hint="eastAsia" w:asciiTheme="minorEastAsia" w:hAnsiTheme="minorEastAsia" w:eastAsiaTheme="minor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2962"/>
    <w:multiLevelType w:val="multilevel"/>
    <w:tmpl w:val="02E829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760861"/>
    <w:multiLevelType w:val="multilevel"/>
    <w:tmpl w:val="15760861"/>
    <w:lvl w:ilvl="0" w:tentative="0">
      <w:start w:val="1"/>
      <w:numFmt w:val="decimal"/>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20DED988"/>
    <w:multiLevelType w:val="singleLevel"/>
    <w:tmpl w:val="20DED988"/>
    <w:lvl w:ilvl="0" w:tentative="0">
      <w:start w:val="1"/>
      <w:numFmt w:val="decimal"/>
      <w:suff w:val="nothing"/>
      <w:lvlText w:val="%1、"/>
      <w:lvlJc w:val="left"/>
    </w:lvl>
  </w:abstractNum>
  <w:abstractNum w:abstractNumId="3">
    <w:nsid w:val="276467F7"/>
    <w:multiLevelType w:val="multilevel"/>
    <w:tmpl w:val="276467F7"/>
    <w:lvl w:ilvl="0" w:tentative="0">
      <w:start w:val="1"/>
      <w:numFmt w:val="decimal"/>
      <w:lvlText w:val="%1、"/>
      <w:lvlJc w:val="left"/>
      <w:pPr>
        <w:ind w:left="840" w:hanging="420"/>
      </w:pPr>
      <w:rPr>
        <w:rFonts w:hint="default" w:ascii="仿宋" w:hAnsi="仿宋" w:eastAsia="仿宋" w:cs="Times New Roman"/>
        <w:b w:val="0"/>
        <w:i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A8A216A"/>
    <w:multiLevelType w:val="multilevel"/>
    <w:tmpl w:val="2A8A216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5">
    <w:nsid w:val="324F2DE5"/>
    <w:multiLevelType w:val="multilevel"/>
    <w:tmpl w:val="324F2DE5"/>
    <w:lvl w:ilvl="0" w:tentative="0">
      <w:start w:val="1"/>
      <w:numFmt w:val="decimal"/>
      <w:lvlText w:val="%1、"/>
      <w:lvlJc w:val="left"/>
      <w:pPr>
        <w:ind w:left="840" w:hanging="420"/>
      </w:pPr>
      <w:rPr>
        <w:rFonts w:hint="default" w:ascii="仿宋" w:hAnsi="仿宋" w:eastAsia="仿宋" w:cs="Times New Roman"/>
        <w:b w:val="0"/>
        <w:i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6D77934"/>
    <w:multiLevelType w:val="multilevel"/>
    <w:tmpl w:val="46D77934"/>
    <w:lvl w:ilvl="0" w:tentative="0">
      <w:start w:val="1"/>
      <w:numFmt w:val="decimal"/>
      <w:lvlText w:val="%1、"/>
      <w:lvlJc w:val="left"/>
      <w:pPr>
        <w:ind w:left="840" w:hanging="420"/>
      </w:pPr>
      <w:rPr>
        <w:rFonts w:hint="default" w:ascii="仿宋" w:hAnsi="仿宋" w:eastAsia="仿宋" w:cs="Times New Roman"/>
        <w:b w:val="0"/>
        <w:i w:val="0"/>
        <w:color w:val="000000" w:themeColor="text1"/>
        <w:sz w:val="21"/>
        <w:szCs w:val="21"/>
        <w14:textFill>
          <w14:solidFill>
            <w14:schemeClr w14:val="tx1"/>
          </w14:solidFill>
        </w14:textFil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F845B51"/>
    <w:multiLevelType w:val="multilevel"/>
    <w:tmpl w:val="6F845B51"/>
    <w:lvl w:ilvl="0" w:tentative="0">
      <w:start w:val="1"/>
      <w:numFmt w:val="decimal"/>
      <w:lvlText w:val="%1、"/>
      <w:lvlJc w:val="left"/>
      <w:pPr>
        <w:ind w:left="840" w:hanging="420"/>
      </w:pPr>
      <w:rPr>
        <w:rFonts w:hint="default" w:ascii="仿宋" w:hAnsi="仿宋" w:eastAsia="仿宋" w:cs="Times New Roman"/>
        <w:b w:val="0"/>
        <w:i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99A6D35"/>
    <w:multiLevelType w:val="multilevel"/>
    <w:tmpl w:val="799A6D35"/>
    <w:lvl w:ilvl="0" w:tentative="0">
      <w:start w:val="1"/>
      <w:numFmt w:val="decimal"/>
      <w:lvlText w:val="%1、"/>
      <w:lvlJc w:val="left"/>
      <w:pPr>
        <w:ind w:left="840" w:hanging="420"/>
      </w:pPr>
      <w:rPr>
        <w:rFonts w:hint="default" w:ascii="仿宋" w:hAnsi="仿宋" w:eastAsia="仿宋" w:cs="Times New Roman"/>
        <w:b w:val="0"/>
        <w:i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3"/>
  </w:num>
  <w:num w:numId="3">
    <w:abstractNumId w:val="7"/>
  </w:num>
  <w:num w:numId="4">
    <w:abstractNumId w:val="1"/>
  </w:num>
  <w:num w:numId="5">
    <w:abstractNumId w:val="8"/>
  </w:num>
  <w:num w:numId="6">
    <w:abstractNumId w:val="5"/>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0"/>
  <w:drawingGridVerticalSpacing w:val="25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OGY5YmVkMjBhOTE5YzE5MDI0ZmRmYWY2NTVjNzIifQ=="/>
  </w:docVars>
  <w:rsids>
    <w:rsidRoot w:val="00172A27"/>
    <w:rsid w:val="000050D1"/>
    <w:rsid w:val="000117C6"/>
    <w:rsid w:val="00011EE7"/>
    <w:rsid w:val="00012531"/>
    <w:rsid w:val="0001382A"/>
    <w:rsid w:val="00022F4A"/>
    <w:rsid w:val="00024BE4"/>
    <w:rsid w:val="00025146"/>
    <w:rsid w:val="00032853"/>
    <w:rsid w:val="00033803"/>
    <w:rsid w:val="00035A8D"/>
    <w:rsid w:val="000375E2"/>
    <w:rsid w:val="000434D7"/>
    <w:rsid w:val="0004670F"/>
    <w:rsid w:val="00050E8F"/>
    <w:rsid w:val="00051D4A"/>
    <w:rsid w:val="00052679"/>
    <w:rsid w:val="0005637B"/>
    <w:rsid w:val="000657BC"/>
    <w:rsid w:val="00071522"/>
    <w:rsid w:val="00071EAB"/>
    <w:rsid w:val="00073630"/>
    <w:rsid w:val="00074328"/>
    <w:rsid w:val="00074E70"/>
    <w:rsid w:val="0008304D"/>
    <w:rsid w:val="0008619F"/>
    <w:rsid w:val="0008657B"/>
    <w:rsid w:val="00086F11"/>
    <w:rsid w:val="00090365"/>
    <w:rsid w:val="00091C89"/>
    <w:rsid w:val="000944E3"/>
    <w:rsid w:val="000962BE"/>
    <w:rsid w:val="000A1734"/>
    <w:rsid w:val="000A3243"/>
    <w:rsid w:val="000A4D47"/>
    <w:rsid w:val="000A72BB"/>
    <w:rsid w:val="000B25B3"/>
    <w:rsid w:val="000B49A8"/>
    <w:rsid w:val="000C69E1"/>
    <w:rsid w:val="000D6615"/>
    <w:rsid w:val="000E315D"/>
    <w:rsid w:val="000F55E0"/>
    <w:rsid w:val="001006FE"/>
    <w:rsid w:val="00103910"/>
    <w:rsid w:val="00104312"/>
    <w:rsid w:val="00104F4F"/>
    <w:rsid w:val="00106D5A"/>
    <w:rsid w:val="001078A0"/>
    <w:rsid w:val="00110A41"/>
    <w:rsid w:val="0011201E"/>
    <w:rsid w:val="00113154"/>
    <w:rsid w:val="0011439F"/>
    <w:rsid w:val="00115E53"/>
    <w:rsid w:val="00120A33"/>
    <w:rsid w:val="00123AF3"/>
    <w:rsid w:val="001259C1"/>
    <w:rsid w:val="00127185"/>
    <w:rsid w:val="001415A3"/>
    <w:rsid w:val="00141BD5"/>
    <w:rsid w:val="0014488C"/>
    <w:rsid w:val="00145AD7"/>
    <w:rsid w:val="00151899"/>
    <w:rsid w:val="001545E1"/>
    <w:rsid w:val="0016072E"/>
    <w:rsid w:val="00163BBA"/>
    <w:rsid w:val="001666E7"/>
    <w:rsid w:val="00167F19"/>
    <w:rsid w:val="0017003A"/>
    <w:rsid w:val="00172A27"/>
    <w:rsid w:val="0017594F"/>
    <w:rsid w:val="00177BF1"/>
    <w:rsid w:val="00177F76"/>
    <w:rsid w:val="00181EE5"/>
    <w:rsid w:val="0018463D"/>
    <w:rsid w:val="001862EC"/>
    <w:rsid w:val="00190975"/>
    <w:rsid w:val="00192573"/>
    <w:rsid w:val="00193C3D"/>
    <w:rsid w:val="00194AF4"/>
    <w:rsid w:val="001A5E5B"/>
    <w:rsid w:val="001A77C6"/>
    <w:rsid w:val="001A7F5F"/>
    <w:rsid w:val="001B5BCF"/>
    <w:rsid w:val="001B6C49"/>
    <w:rsid w:val="001B6F52"/>
    <w:rsid w:val="001C1702"/>
    <w:rsid w:val="001C5380"/>
    <w:rsid w:val="001D35D2"/>
    <w:rsid w:val="001D4AC8"/>
    <w:rsid w:val="001D73EC"/>
    <w:rsid w:val="001E23DD"/>
    <w:rsid w:val="001E246E"/>
    <w:rsid w:val="001E4844"/>
    <w:rsid w:val="001E5299"/>
    <w:rsid w:val="001F2B6A"/>
    <w:rsid w:val="001F3E1C"/>
    <w:rsid w:val="001F4D64"/>
    <w:rsid w:val="001F4D9B"/>
    <w:rsid w:val="001F53B7"/>
    <w:rsid w:val="00200D78"/>
    <w:rsid w:val="00200DED"/>
    <w:rsid w:val="00212855"/>
    <w:rsid w:val="0021325B"/>
    <w:rsid w:val="00217740"/>
    <w:rsid w:val="00220038"/>
    <w:rsid w:val="00220391"/>
    <w:rsid w:val="00222E13"/>
    <w:rsid w:val="00226B33"/>
    <w:rsid w:val="002353DB"/>
    <w:rsid w:val="00240B8E"/>
    <w:rsid w:val="00250203"/>
    <w:rsid w:val="00252DD7"/>
    <w:rsid w:val="0026178E"/>
    <w:rsid w:val="0026517D"/>
    <w:rsid w:val="0026707A"/>
    <w:rsid w:val="002715AF"/>
    <w:rsid w:val="002718B0"/>
    <w:rsid w:val="00280974"/>
    <w:rsid w:val="0029228F"/>
    <w:rsid w:val="00293572"/>
    <w:rsid w:val="00297C85"/>
    <w:rsid w:val="002A0792"/>
    <w:rsid w:val="002A43BE"/>
    <w:rsid w:val="002A6382"/>
    <w:rsid w:val="002B0ECA"/>
    <w:rsid w:val="002B1715"/>
    <w:rsid w:val="002B4E7D"/>
    <w:rsid w:val="002C0A7C"/>
    <w:rsid w:val="002C21DB"/>
    <w:rsid w:val="002C3F75"/>
    <w:rsid w:val="002C560D"/>
    <w:rsid w:val="002D68A1"/>
    <w:rsid w:val="002E0C58"/>
    <w:rsid w:val="002E7C42"/>
    <w:rsid w:val="002F3927"/>
    <w:rsid w:val="002F68C1"/>
    <w:rsid w:val="003065F4"/>
    <w:rsid w:val="003166ED"/>
    <w:rsid w:val="00317123"/>
    <w:rsid w:val="00324118"/>
    <w:rsid w:val="00330AA2"/>
    <w:rsid w:val="00331053"/>
    <w:rsid w:val="00333E01"/>
    <w:rsid w:val="0033775C"/>
    <w:rsid w:val="00340202"/>
    <w:rsid w:val="00343703"/>
    <w:rsid w:val="00344338"/>
    <w:rsid w:val="003478F3"/>
    <w:rsid w:val="00350E7F"/>
    <w:rsid w:val="00351210"/>
    <w:rsid w:val="00356D6B"/>
    <w:rsid w:val="00357212"/>
    <w:rsid w:val="00360615"/>
    <w:rsid w:val="0036255D"/>
    <w:rsid w:val="0036298D"/>
    <w:rsid w:val="0036531B"/>
    <w:rsid w:val="0036635F"/>
    <w:rsid w:val="003824E8"/>
    <w:rsid w:val="0039181C"/>
    <w:rsid w:val="00393A54"/>
    <w:rsid w:val="003A7616"/>
    <w:rsid w:val="003B0542"/>
    <w:rsid w:val="003B21CF"/>
    <w:rsid w:val="003B2CEF"/>
    <w:rsid w:val="003B7A5B"/>
    <w:rsid w:val="003C36D9"/>
    <w:rsid w:val="003C5F38"/>
    <w:rsid w:val="003C6FEE"/>
    <w:rsid w:val="003D25CD"/>
    <w:rsid w:val="003D262F"/>
    <w:rsid w:val="003D5A32"/>
    <w:rsid w:val="003E3422"/>
    <w:rsid w:val="003E45AE"/>
    <w:rsid w:val="003E604B"/>
    <w:rsid w:val="003E66BB"/>
    <w:rsid w:val="003F4465"/>
    <w:rsid w:val="003F473A"/>
    <w:rsid w:val="00402D49"/>
    <w:rsid w:val="00402E58"/>
    <w:rsid w:val="00405F43"/>
    <w:rsid w:val="00407B35"/>
    <w:rsid w:val="00416DB5"/>
    <w:rsid w:val="0042045D"/>
    <w:rsid w:val="004213A0"/>
    <w:rsid w:val="00421BED"/>
    <w:rsid w:val="00422F26"/>
    <w:rsid w:val="004235DF"/>
    <w:rsid w:val="00423A91"/>
    <w:rsid w:val="004264A4"/>
    <w:rsid w:val="004272FB"/>
    <w:rsid w:val="0043109B"/>
    <w:rsid w:val="00432D54"/>
    <w:rsid w:val="0043687E"/>
    <w:rsid w:val="00436954"/>
    <w:rsid w:val="004377D5"/>
    <w:rsid w:val="004401CA"/>
    <w:rsid w:val="004426A7"/>
    <w:rsid w:val="00443CB5"/>
    <w:rsid w:val="00446E2D"/>
    <w:rsid w:val="0045596B"/>
    <w:rsid w:val="004617AF"/>
    <w:rsid w:val="00462423"/>
    <w:rsid w:val="004637DA"/>
    <w:rsid w:val="00463EFF"/>
    <w:rsid w:val="00466A4D"/>
    <w:rsid w:val="00467859"/>
    <w:rsid w:val="00482AAC"/>
    <w:rsid w:val="00483D0A"/>
    <w:rsid w:val="00486591"/>
    <w:rsid w:val="00496A54"/>
    <w:rsid w:val="00497729"/>
    <w:rsid w:val="004A0297"/>
    <w:rsid w:val="004A04C8"/>
    <w:rsid w:val="004A62D7"/>
    <w:rsid w:val="004A771B"/>
    <w:rsid w:val="004B0D8C"/>
    <w:rsid w:val="004B13AB"/>
    <w:rsid w:val="004B2E92"/>
    <w:rsid w:val="004B6675"/>
    <w:rsid w:val="004D1B37"/>
    <w:rsid w:val="004D62C7"/>
    <w:rsid w:val="004D68FA"/>
    <w:rsid w:val="004E1A4C"/>
    <w:rsid w:val="004E24A1"/>
    <w:rsid w:val="004E506C"/>
    <w:rsid w:val="004F3125"/>
    <w:rsid w:val="00507062"/>
    <w:rsid w:val="00525033"/>
    <w:rsid w:val="00525653"/>
    <w:rsid w:val="00530667"/>
    <w:rsid w:val="00531F51"/>
    <w:rsid w:val="0053618A"/>
    <w:rsid w:val="00536CDC"/>
    <w:rsid w:val="00537054"/>
    <w:rsid w:val="0053710F"/>
    <w:rsid w:val="005379EB"/>
    <w:rsid w:val="00540205"/>
    <w:rsid w:val="00541213"/>
    <w:rsid w:val="00543245"/>
    <w:rsid w:val="005479CF"/>
    <w:rsid w:val="00550C4C"/>
    <w:rsid w:val="005513FF"/>
    <w:rsid w:val="005529C9"/>
    <w:rsid w:val="00553749"/>
    <w:rsid w:val="00553FD5"/>
    <w:rsid w:val="00555BBA"/>
    <w:rsid w:val="00556076"/>
    <w:rsid w:val="00564531"/>
    <w:rsid w:val="00571A26"/>
    <w:rsid w:val="00574834"/>
    <w:rsid w:val="00575622"/>
    <w:rsid w:val="005861AA"/>
    <w:rsid w:val="005902A1"/>
    <w:rsid w:val="00590508"/>
    <w:rsid w:val="00590FF8"/>
    <w:rsid w:val="0059200C"/>
    <w:rsid w:val="00594020"/>
    <w:rsid w:val="00594AA0"/>
    <w:rsid w:val="005A11ED"/>
    <w:rsid w:val="005A1315"/>
    <w:rsid w:val="005A7F30"/>
    <w:rsid w:val="005B19FC"/>
    <w:rsid w:val="005B1E35"/>
    <w:rsid w:val="005B6A83"/>
    <w:rsid w:val="005B7394"/>
    <w:rsid w:val="005C2AB8"/>
    <w:rsid w:val="005C4077"/>
    <w:rsid w:val="005C4936"/>
    <w:rsid w:val="005C599E"/>
    <w:rsid w:val="005C6A5B"/>
    <w:rsid w:val="005D2264"/>
    <w:rsid w:val="005D5C94"/>
    <w:rsid w:val="005D772F"/>
    <w:rsid w:val="005D7D75"/>
    <w:rsid w:val="005E06D6"/>
    <w:rsid w:val="005E3BFB"/>
    <w:rsid w:val="005E7D9B"/>
    <w:rsid w:val="005F3F33"/>
    <w:rsid w:val="005F4542"/>
    <w:rsid w:val="006004B6"/>
    <w:rsid w:val="00601D2B"/>
    <w:rsid w:val="00606195"/>
    <w:rsid w:val="00606520"/>
    <w:rsid w:val="00607948"/>
    <w:rsid w:val="00607E68"/>
    <w:rsid w:val="0061279E"/>
    <w:rsid w:val="00614B6F"/>
    <w:rsid w:val="00616CA6"/>
    <w:rsid w:val="00624FCC"/>
    <w:rsid w:val="00626C08"/>
    <w:rsid w:val="00630010"/>
    <w:rsid w:val="006311C6"/>
    <w:rsid w:val="006316B4"/>
    <w:rsid w:val="00632D96"/>
    <w:rsid w:val="006367B1"/>
    <w:rsid w:val="006403A6"/>
    <w:rsid w:val="00641426"/>
    <w:rsid w:val="00642BFE"/>
    <w:rsid w:val="0065023A"/>
    <w:rsid w:val="0066753A"/>
    <w:rsid w:val="00675309"/>
    <w:rsid w:val="0068496B"/>
    <w:rsid w:val="00684983"/>
    <w:rsid w:val="00684BAC"/>
    <w:rsid w:val="00684D26"/>
    <w:rsid w:val="00697FE6"/>
    <w:rsid w:val="006A3079"/>
    <w:rsid w:val="006A3195"/>
    <w:rsid w:val="006A3A07"/>
    <w:rsid w:val="006A3B22"/>
    <w:rsid w:val="006C24BA"/>
    <w:rsid w:val="006C2D01"/>
    <w:rsid w:val="006D5924"/>
    <w:rsid w:val="006D62C0"/>
    <w:rsid w:val="006E1374"/>
    <w:rsid w:val="006E6EC3"/>
    <w:rsid w:val="006F2D7A"/>
    <w:rsid w:val="006F34DE"/>
    <w:rsid w:val="006F77FF"/>
    <w:rsid w:val="00703579"/>
    <w:rsid w:val="007047F0"/>
    <w:rsid w:val="007075E5"/>
    <w:rsid w:val="007124B5"/>
    <w:rsid w:val="00714F4D"/>
    <w:rsid w:val="00717003"/>
    <w:rsid w:val="0071700E"/>
    <w:rsid w:val="0072308A"/>
    <w:rsid w:val="00725FF4"/>
    <w:rsid w:val="00726F8D"/>
    <w:rsid w:val="007277BF"/>
    <w:rsid w:val="007346E6"/>
    <w:rsid w:val="00735520"/>
    <w:rsid w:val="007362D9"/>
    <w:rsid w:val="007363D8"/>
    <w:rsid w:val="00737534"/>
    <w:rsid w:val="007376F3"/>
    <w:rsid w:val="00742E25"/>
    <w:rsid w:val="00742FA7"/>
    <w:rsid w:val="00743D9A"/>
    <w:rsid w:val="0075175B"/>
    <w:rsid w:val="007601EF"/>
    <w:rsid w:val="0076069E"/>
    <w:rsid w:val="00761D83"/>
    <w:rsid w:val="00762C72"/>
    <w:rsid w:val="0076437E"/>
    <w:rsid w:val="00767C19"/>
    <w:rsid w:val="00772E5C"/>
    <w:rsid w:val="00775939"/>
    <w:rsid w:val="00782412"/>
    <w:rsid w:val="007860D0"/>
    <w:rsid w:val="00795A1D"/>
    <w:rsid w:val="00797801"/>
    <w:rsid w:val="00797A29"/>
    <w:rsid w:val="007A0111"/>
    <w:rsid w:val="007A214E"/>
    <w:rsid w:val="007A3634"/>
    <w:rsid w:val="007A4FEE"/>
    <w:rsid w:val="007A63A6"/>
    <w:rsid w:val="007B5DE3"/>
    <w:rsid w:val="007B7330"/>
    <w:rsid w:val="007C0BD1"/>
    <w:rsid w:val="007C14CE"/>
    <w:rsid w:val="007C2A30"/>
    <w:rsid w:val="007C6FCE"/>
    <w:rsid w:val="007C7508"/>
    <w:rsid w:val="007D010F"/>
    <w:rsid w:val="007D011B"/>
    <w:rsid w:val="007D2EFA"/>
    <w:rsid w:val="007E18DD"/>
    <w:rsid w:val="007E4E36"/>
    <w:rsid w:val="007E63AE"/>
    <w:rsid w:val="007E6B2E"/>
    <w:rsid w:val="007E6FE5"/>
    <w:rsid w:val="007F1039"/>
    <w:rsid w:val="007F42E2"/>
    <w:rsid w:val="007F7E7C"/>
    <w:rsid w:val="0080403E"/>
    <w:rsid w:val="00804FB9"/>
    <w:rsid w:val="00806F2D"/>
    <w:rsid w:val="0081342E"/>
    <w:rsid w:val="00813D39"/>
    <w:rsid w:val="0082197D"/>
    <w:rsid w:val="00825F79"/>
    <w:rsid w:val="00834A3D"/>
    <w:rsid w:val="00846670"/>
    <w:rsid w:val="00850DE6"/>
    <w:rsid w:val="00852F30"/>
    <w:rsid w:val="00856A0D"/>
    <w:rsid w:val="00864A35"/>
    <w:rsid w:val="00867B91"/>
    <w:rsid w:val="0087312C"/>
    <w:rsid w:val="0087577F"/>
    <w:rsid w:val="00881264"/>
    <w:rsid w:val="008949BD"/>
    <w:rsid w:val="00895A34"/>
    <w:rsid w:val="008A094D"/>
    <w:rsid w:val="008A1F38"/>
    <w:rsid w:val="008A39A9"/>
    <w:rsid w:val="008A7412"/>
    <w:rsid w:val="008B136F"/>
    <w:rsid w:val="008B21AF"/>
    <w:rsid w:val="008B63E2"/>
    <w:rsid w:val="008C07AF"/>
    <w:rsid w:val="008C0E57"/>
    <w:rsid w:val="008C1C4A"/>
    <w:rsid w:val="008C56E8"/>
    <w:rsid w:val="008C6CC9"/>
    <w:rsid w:val="008D1149"/>
    <w:rsid w:val="008D7E9F"/>
    <w:rsid w:val="008E04F1"/>
    <w:rsid w:val="008E5209"/>
    <w:rsid w:val="008F1747"/>
    <w:rsid w:val="008F714E"/>
    <w:rsid w:val="00911E47"/>
    <w:rsid w:val="00914297"/>
    <w:rsid w:val="0091544A"/>
    <w:rsid w:val="009223E9"/>
    <w:rsid w:val="009254AB"/>
    <w:rsid w:val="009264D9"/>
    <w:rsid w:val="00926E68"/>
    <w:rsid w:val="00934CEE"/>
    <w:rsid w:val="0094038A"/>
    <w:rsid w:val="00944727"/>
    <w:rsid w:val="009447ED"/>
    <w:rsid w:val="00944B32"/>
    <w:rsid w:val="0095370D"/>
    <w:rsid w:val="00954046"/>
    <w:rsid w:val="009547C8"/>
    <w:rsid w:val="00964033"/>
    <w:rsid w:val="009731D8"/>
    <w:rsid w:val="00973306"/>
    <w:rsid w:val="00975C51"/>
    <w:rsid w:val="0098016D"/>
    <w:rsid w:val="00982C46"/>
    <w:rsid w:val="00983094"/>
    <w:rsid w:val="009861DC"/>
    <w:rsid w:val="00986926"/>
    <w:rsid w:val="00987357"/>
    <w:rsid w:val="00990ECD"/>
    <w:rsid w:val="00992D07"/>
    <w:rsid w:val="009A233B"/>
    <w:rsid w:val="009A3C47"/>
    <w:rsid w:val="009A5C0D"/>
    <w:rsid w:val="009B2783"/>
    <w:rsid w:val="009B330B"/>
    <w:rsid w:val="009B506C"/>
    <w:rsid w:val="009C006F"/>
    <w:rsid w:val="009C2978"/>
    <w:rsid w:val="009C6216"/>
    <w:rsid w:val="009C7AF3"/>
    <w:rsid w:val="009D7655"/>
    <w:rsid w:val="009E2538"/>
    <w:rsid w:val="009E62A5"/>
    <w:rsid w:val="009E6B16"/>
    <w:rsid w:val="009F0E79"/>
    <w:rsid w:val="009F1C42"/>
    <w:rsid w:val="009F2E8B"/>
    <w:rsid w:val="009F5F80"/>
    <w:rsid w:val="00A07FA7"/>
    <w:rsid w:val="00A12F1B"/>
    <w:rsid w:val="00A1374F"/>
    <w:rsid w:val="00A1728C"/>
    <w:rsid w:val="00A3275A"/>
    <w:rsid w:val="00A32872"/>
    <w:rsid w:val="00A32DA4"/>
    <w:rsid w:val="00A33EDA"/>
    <w:rsid w:val="00A33EDF"/>
    <w:rsid w:val="00A3535A"/>
    <w:rsid w:val="00A424FE"/>
    <w:rsid w:val="00A430E9"/>
    <w:rsid w:val="00A44BC7"/>
    <w:rsid w:val="00A46AD2"/>
    <w:rsid w:val="00A50A11"/>
    <w:rsid w:val="00A53846"/>
    <w:rsid w:val="00A608CD"/>
    <w:rsid w:val="00A62162"/>
    <w:rsid w:val="00A638C8"/>
    <w:rsid w:val="00A66D16"/>
    <w:rsid w:val="00A73B2B"/>
    <w:rsid w:val="00A7464E"/>
    <w:rsid w:val="00A81860"/>
    <w:rsid w:val="00A8416C"/>
    <w:rsid w:val="00A847E4"/>
    <w:rsid w:val="00A86EA5"/>
    <w:rsid w:val="00A91067"/>
    <w:rsid w:val="00A93F8E"/>
    <w:rsid w:val="00A94029"/>
    <w:rsid w:val="00A97C77"/>
    <w:rsid w:val="00AA25A3"/>
    <w:rsid w:val="00AA5199"/>
    <w:rsid w:val="00AB3704"/>
    <w:rsid w:val="00AB5BDD"/>
    <w:rsid w:val="00AC469B"/>
    <w:rsid w:val="00AC6026"/>
    <w:rsid w:val="00AE00B7"/>
    <w:rsid w:val="00AE0BC3"/>
    <w:rsid w:val="00AE1690"/>
    <w:rsid w:val="00AE1DA6"/>
    <w:rsid w:val="00AE5879"/>
    <w:rsid w:val="00AF7172"/>
    <w:rsid w:val="00B0215F"/>
    <w:rsid w:val="00B02CF6"/>
    <w:rsid w:val="00B037ED"/>
    <w:rsid w:val="00B0418C"/>
    <w:rsid w:val="00B0521C"/>
    <w:rsid w:val="00B100B2"/>
    <w:rsid w:val="00B11E05"/>
    <w:rsid w:val="00B13FBC"/>
    <w:rsid w:val="00B178DE"/>
    <w:rsid w:val="00B17E81"/>
    <w:rsid w:val="00B23A8D"/>
    <w:rsid w:val="00B37E37"/>
    <w:rsid w:val="00B37F13"/>
    <w:rsid w:val="00B40E4C"/>
    <w:rsid w:val="00B414E3"/>
    <w:rsid w:val="00B42EA9"/>
    <w:rsid w:val="00B43E3F"/>
    <w:rsid w:val="00B457DE"/>
    <w:rsid w:val="00B459D1"/>
    <w:rsid w:val="00B512B9"/>
    <w:rsid w:val="00B54D33"/>
    <w:rsid w:val="00B5604B"/>
    <w:rsid w:val="00B61679"/>
    <w:rsid w:val="00B62AD1"/>
    <w:rsid w:val="00B64781"/>
    <w:rsid w:val="00B648A2"/>
    <w:rsid w:val="00B665C4"/>
    <w:rsid w:val="00B70B10"/>
    <w:rsid w:val="00B740BB"/>
    <w:rsid w:val="00B745EB"/>
    <w:rsid w:val="00B758ED"/>
    <w:rsid w:val="00B76F89"/>
    <w:rsid w:val="00B77997"/>
    <w:rsid w:val="00B8607C"/>
    <w:rsid w:val="00B86E02"/>
    <w:rsid w:val="00B93227"/>
    <w:rsid w:val="00B97D70"/>
    <w:rsid w:val="00BA1697"/>
    <w:rsid w:val="00BA1A60"/>
    <w:rsid w:val="00BA2537"/>
    <w:rsid w:val="00BB102C"/>
    <w:rsid w:val="00BB1D07"/>
    <w:rsid w:val="00BC4BF3"/>
    <w:rsid w:val="00BC6ECF"/>
    <w:rsid w:val="00BF0BAA"/>
    <w:rsid w:val="00BF3D54"/>
    <w:rsid w:val="00C01315"/>
    <w:rsid w:val="00C01C79"/>
    <w:rsid w:val="00C07A0E"/>
    <w:rsid w:val="00C126F9"/>
    <w:rsid w:val="00C1402D"/>
    <w:rsid w:val="00C148DA"/>
    <w:rsid w:val="00C16A78"/>
    <w:rsid w:val="00C21C0E"/>
    <w:rsid w:val="00C21ECD"/>
    <w:rsid w:val="00C23A53"/>
    <w:rsid w:val="00C23C8F"/>
    <w:rsid w:val="00C30BF3"/>
    <w:rsid w:val="00C325D6"/>
    <w:rsid w:val="00C356B1"/>
    <w:rsid w:val="00C36A13"/>
    <w:rsid w:val="00C37C68"/>
    <w:rsid w:val="00C4045A"/>
    <w:rsid w:val="00C4342A"/>
    <w:rsid w:val="00C44E45"/>
    <w:rsid w:val="00C561D2"/>
    <w:rsid w:val="00C63D78"/>
    <w:rsid w:val="00C641DB"/>
    <w:rsid w:val="00C64C92"/>
    <w:rsid w:val="00C70612"/>
    <w:rsid w:val="00C70A4F"/>
    <w:rsid w:val="00C70CDB"/>
    <w:rsid w:val="00C7421F"/>
    <w:rsid w:val="00C8196D"/>
    <w:rsid w:val="00C84172"/>
    <w:rsid w:val="00C84753"/>
    <w:rsid w:val="00C9066F"/>
    <w:rsid w:val="00C91857"/>
    <w:rsid w:val="00C91B04"/>
    <w:rsid w:val="00C9573A"/>
    <w:rsid w:val="00CA0939"/>
    <w:rsid w:val="00CA2528"/>
    <w:rsid w:val="00CA2F8C"/>
    <w:rsid w:val="00CA3575"/>
    <w:rsid w:val="00CA4B3C"/>
    <w:rsid w:val="00CB3CB9"/>
    <w:rsid w:val="00CB69C3"/>
    <w:rsid w:val="00CC1FC9"/>
    <w:rsid w:val="00CC62A2"/>
    <w:rsid w:val="00CD098F"/>
    <w:rsid w:val="00CD2768"/>
    <w:rsid w:val="00CD4413"/>
    <w:rsid w:val="00CE2E7D"/>
    <w:rsid w:val="00CE4060"/>
    <w:rsid w:val="00CF2274"/>
    <w:rsid w:val="00CF36E5"/>
    <w:rsid w:val="00D064F2"/>
    <w:rsid w:val="00D1172A"/>
    <w:rsid w:val="00D16A30"/>
    <w:rsid w:val="00D30EC4"/>
    <w:rsid w:val="00D3112B"/>
    <w:rsid w:val="00D33FDE"/>
    <w:rsid w:val="00D36E38"/>
    <w:rsid w:val="00D40AB4"/>
    <w:rsid w:val="00D43062"/>
    <w:rsid w:val="00D449DB"/>
    <w:rsid w:val="00D504D7"/>
    <w:rsid w:val="00D5104C"/>
    <w:rsid w:val="00D5465A"/>
    <w:rsid w:val="00D546CB"/>
    <w:rsid w:val="00D66FFB"/>
    <w:rsid w:val="00D713F3"/>
    <w:rsid w:val="00D740C8"/>
    <w:rsid w:val="00D748D0"/>
    <w:rsid w:val="00D75695"/>
    <w:rsid w:val="00D8028E"/>
    <w:rsid w:val="00D87B2F"/>
    <w:rsid w:val="00D9176D"/>
    <w:rsid w:val="00D95646"/>
    <w:rsid w:val="00D969DC"/>
    <w:rsid w:val="00DA4F09"/>
    <w:rsid w:val="00DA5C62"/>
    <w:rsid w:val="00DA741A"/>
    <w:rsid w:val="00DB3EE6"/>
    <w:rsid w:val="00DC1D58"/>
    <w:rsid w:val="00DD0AAE"/>
    <w:rsid w:val="00DD1BED"/>
    <w:rsid w:val="00DD3906"/>
    <w:rsid w:val="00DD6081"/>
    <w:rsid w:val="00DE16C9"/>
    <w:rsid w:val="00DE43AA"/>
    <w:rsid w:val="00DE519B"/>
    <w:rsid w:val="00DE63F6"/>
    <w:rsid w:val="00DF014B"/>
    <w:rsid w:val="00DF615E"/>
    <w:rsid w:val="00E046DF"/>
    <w:rsid w:val="00E06923"/>
    <w:rsid w:val="00E0694E"/>
    <w:rsid w:val="00E10FB7"/>
    <w:rsid w:val="00E11121"/>
    <w:rsid w:val="00E237C3"/>
    <w:rsid w:val="00E25770"/>
    <w:rsid w:val="00E26603"/>
    <w:rsid w:val="00E272F7"/>
    <w:rsid w:val="00E274A9"/>
    <w:rsid w:val="00E32740"/>
    <w:rsid w:val="00E53525"/>
    <w:rsid w:val="00E5665D"/>
    <w:rsid w:val="00E71FE6"/>
    <w:rsid w:val="00E74A4B"/>
    <w:rsid w:val="00E81A30"/>
    <w:rsid w:val="00E81AB4"/>
    <w:rsid w:val="00E83EF9"/>
    <w:rsid w:val="00E85947"/>
    <w:rsid w:val="00E90A50"/>
    <w:rsid w:val="00E936F3"/>
    <w:rsid w:val="00E93C48"/>
    <w:rsid w:val="00E9493D"/>
    <w:rsid w:val="00E956EC"/>
    <w:rsid w:val="00EA310E"/>
    <w:rsid w:val="00EA4F04"/>
    <w:rsid w:val="00EB3258"/>
    <w:rsid w:val="00EB549C"/>
    <w:rsid w:val="00EB592E"/>
    <w:rsid w:val="00EC35A4"/>
    <w:rsid w:val="00EC5D78"/>
    <w:rsid w:val="00EC7B01"/>
    <w:rsid w:val="00ED0C2E"/>
    <w:rsid w:val="00ED29BE"/>
    <w:rsid w:val="00ED4E8D"/>
    <w:rsid w:val="00EE1496"/>
    <w:rsid w:val="00EF3C05"/>
    <w:rsid w:val="00EF4F28"/>
    <w:rsid w:val="00EF69AB"/>
    <w:rsid w:val="00EF6B02"/>
    <w:rsid w:val="00F03AA9"/>
    <w:rsid w:val="00F06C6B"/>
    <w:rsid w:val="00F13C6D"/>
    <w:rsid w:val="00F30CFE"/>
    <w:rsid w:val="00F339CE"/>
    <w:rsid w:val="00F35707"/>
    <w:rsid w:val="00F455E5"/>
    <w:rsid w:val="00F50965"/>
    <w:rsid w:val="00F52A9E"/>
    <w:rsid w:val="00F5581A"/>
    <w:rsid w:val="00F57735"/>
    <w:rsid w:val="00F741FE"/>
    <w:rsid w:val="00F74C42"/>
    <w:rsid w:val="00F75432"/>
    <w:rsid w:val="00F81715"/>
    <w:rsid w:val="00F81A38"/>
    <w:rsid w:val="00F84ACF"/>
    <w:rsid w:val="00F91E1D"/>
    <w:rsid w:val="00F92D11"/>
    <w:rsid w:val="00F942AB"/>
    <w:rsid w:val="00F94404"/>
    <w:rsid w:val="00F94890"/>
    <w:rsid w:val="00FA2E11"/>
    <w:rsid w:val="00FB0414"/>
    <w:rsid w:val="00FB24E1"/>
    <w:rsid w:val="00FB5B24"/>
    <w:rsid w:val="00FC2004"/>
    <w:rsid w:val="00FC317C"/>
    <w:rsid w:val="00FC351C"/>
    <w:rsid w:val="00FC47D5"/>
    <w:rsid w:val="00FC68F7"/>
    <w:rsid w:val="00FC6E1B"/>
    <w:rsid w:val="00FD00B4"/>
    <w:rsid w:val="00FD303F"/>
    <w:rsid w:val="00FD64DD"/>
    <w:rsid w:val="00FE00FF"/>
    <w:rsid w:val="00FE3055"/>
    <w:rsid w:val="00FE683B"/>
    <w:rsid w:val="00FE7940"/>
    <w:rsid w:val="00FE7B24"/>
    <w:rsid w:val="00FF62AA"/>
    <w:rsid w:val="01093315"/>
    <w:rsid w:val="02380517"/>
    <w:rsid w:val="02DA47B0"/>
    <w:rsid w:val="03074776"/>
    <w:rsid w:val="04043572"/>
    <w:rsid w:val="04490B49"/>
    <w:rsid w:val="047E720E"/>
    <w:rsid w:val="04DF2CE8"/>
    <w:rsid w:val="059D319F"/>
    <w:rsid w:val="05D55C73"/>
    <w:rsid w:val="06901E04"/>
    <w:rsid w:val="06AA61ED"/>
    <w:rsid w:val="081E0F95"/>
    <w:rsid w:val="08C65AA6"/>
    <w:rsid w:val="0B484BCB"/>
    <w:rsid w:val="0C7A76DF"/>
    <w:rsid w:val="0CC35A2E"/>
    <w:rsid w:val="0CD5721D"/>
    <w:rsid w:val="0D2819B9"/>
    <w:rsid w:val="0DD063E2"/>
    <w:rsid w:val="0E9D4194"/>
    <w:rsid w:val="0FCE7940"/>
    <w:rsid w:val="110572EC"/>
    <w:rsid w:val="11132BCA"/>
    <w:rsid w:val="12B95FCE"/>
    <w:rsid w:val="14787678"/>
    <w:rsid w:val="14A36E58"/>
    <w:rsid w:val="15115E61"/>
    <w:rsid w:val="15177029"/>
    <w:rsid w:val="15414E18"/>
    <w:rsid w:val="180040AC"/>
    <w:rsid w:val="1957189F"/>
    <w:rsid w:val="1BDE1B01"/>
    <w:rsid w:val="1BF141B2"/>
    <w:rsid w:val="1D404650"/>
    <w:rsid w:val="1FFE1237"/>
    <w:rsid w:val="216534D5"/>
    <w:rsid w:val="23BA4A05"/>
    <w:rsid w:val="25837C1E"/>
    <w:rsid w:val="25C97F11"/>
    <w:rsid w:val="25F93509"/>
    <w:rsid w:val="27F73231"/>
    <w:rsid w:val="288E022A"/>
    <w:rsid w:val="2923760F"/>
    <w:rsid w:val="29543F45"/>
    <w:rsid w:val="297E391F"/>
    <w:rsid w:val="29CE6DCE"/>
    <w:rsid w:val="2B97763C"/>
    <w:rsid w:val="2C121CCE"/>
    <w:rsid w:val="2F7475D7"/>
    <w:rsid w:val="2FF578C6"/>
    <w:rsid w:val="311029E2"/>
    <w:rsid w:val="31691EDF"/>
    <w:rsid w:val="32692E53"/>
    <w:rsid w:val="32D93D55"/>
    <w:rsid w:val="33277544"/>
    <w:rsid w:val="33D72ED2"/>
    <w:rsid w:val="346D3137"/>
    <w:rsid w:val="35B377C7"/>
    <w:rsid w:val="35D07D9D"/>
    <w:rsid w:val="35DA4E61"/>
    <w:rsid w:val="37E5321C"/>
    <w:rsid w:val="38444114"/>
    <w:rsid w:val="384A0053"/>
    <w:rsid w:val="39004472"/>
    <w:rsid w:val="39655777"/>
    <w:rsid w:val="39664567"/>
    <w:rsid w:val="39EA7366"/>
    <w:rsid w:val="3B916C83"/>
    <w:rsid w:val="3C3A34C8"/>
    <w:rsid w:val="3C98199A"/>
    <w:rsid w:val="3CB306EB"/>
    <w:rsid w:val="3CC77F7A"/>
    <w:rsid w:val="3EE315EA"/>
    <w:rsid w:val="40D1237D"/>
    <w:rsid w:val="44AA1D0D"/>
    <w:rsid w:val="45241075"/>
    <w:rsid w:val="454E2B39"/>
    <w:rsid w:val="45B032FB"/>
    <w:rsid w:val="45DF0F4B"/>
    <w:rsid w:val="47316886"/>
    <w:rsid w:val="478B4C9E"/>
    <w:rsid w:val="4B1B3CC1"/>
    <w:rsid w:val="4D5735E1"/>
    <w:rsid w:val="4D670AE1"/>
    <w:rsid w:val="4E8B25A5"/>
    <w:rsid w:val="4F1E17F7"/>
    <w:rsid w:val="4F32461D"/>
    <w:rsid w:val="5099030C"/>
    <w:rsid w:val="50DC0BB9"/>
    <w:rsid w:val="542914E6"/>
    <w:rsid w:val="54844DA3"/>
    <w:rsid w:val="54BB1302"/>
    <w:rsid w:val="559F6F87"/>
    <w:rsid w:val="586F79CA"/>
    <w:rsid w:val="58EE0D49"/>
    <w:rsid w:val="5A563F67"/>
    <w:rsid w:val="5AB24091"/>
    <w:rsid w:val="5B8F21D6"/>
    <w:rsid w:val="5C2F1B0C"/>
    <w:rsid w:val="5C834F51"/>
    <w:rsid w:val="5CE41EA8"/>
    <w:rsid w:val="5CFF0718"/>
    <w:rsid w:val="5DC27E04"/>
    <w:rsid w:val="5E98650E"/>
    <w:rsid w:val="5EC36CBA"/>
    <w:rsid w:val="5F86536F"/>
    <w:rsid w:val="60745751"/>
    <w:rsid w:val="61EE32C8"/>
    <w:rsid w:val="61FB4186"/>
    <w:rsid w:val="62235367"/>
    <w:rsid w:val="62F87C41"/>
    <w:rsid w:val="647F5676"/>
    <w:rsid w:val="64940E9D"/>
    <w:rsid w:val="64D76EBC"/>
    <w:rsid w:val="650A7365"/>
    <w:rsid w:val="6562180B"/>
    <w:rsid w:val="65E5727D"/>
    <w:rsid w:val="65ED3561"/>
    <w:rsid w:val="662D27DB"/>
    <w:rsid w:val="668243E8"/>
    <w:rsid w:val="66AC457E"/>
    <w:rsid w:val="6756556A"/>
    <w:rsid w:val="68FE2387"/>
    <w:rsid w:val="693571CD"/>
    <w:rsid w:val="69655934"/>
    <w:rsid w:val="69D871B1"/>
    <w:rsid w:val="69EC3547"/>
    <w:rsid w:val="6AA15078"/>
    <w:rsid w:val="6AF26F8B"/>
    <w:rsid w:val="6B9869C5"/>
    <w:rsid w:val="6BE4247B"/>
    <w:rsid w:val="6CF424AE"/>
    <w:rsid w:val="6CFC70EA"/>
    <w:rsid w:val="6D1E3E68"/>
    <w:rsid w:val="6E385FA4"/>
    <w:rsid w:val="6FC301C1"/>
    <w:rsid w:val="6FCB490D"/>
    <w:rsid w:val="71417C9C"/>
    <w:rsid w:val="75392427"/>
    <w:rsid w:val="76FC214D"/>
    <w:rsid w:val="795A618D"/>
    <w:rsid w:val="79936DE0"/>
    <w:rsid w:val="79E6004D"/>
    <w:rsid w:val="7A1A0D84"/>
    <w:rsid w:val="7AD84347"/>
    <w:rsid w:val="7DE53140"/>
    <w:rsid w:val="7E323574"/>
    <w:rsid w:val="7EE61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56"/>
    <w:qFormat/>
    <w:uiPriority w:val="0"/>
    <w:pPr>
      <w:keepNext/>
      <w:keepLines/>
      <w:spacing w:before="260" w:after="260" w:line="415" w:lineRule="auto"/>
      <w:outlineLvl w:val="1"/>
    </w:pPr>
    <w:rPr>
      <w:rFonts w:ascii="Cambria" w:hAnsi="Cambria" w:cs="宋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Plain Text"/>
    <w:basedOn w:val="1"/>
    <w:link w:val="58"/>
    <w:qFormat/>
    <w:uiPriority w:val="99"/>
    <w:rPr>
      <w:rFonts w:ascii="宋体" w:hAnsi="Courier New"/>
    </w:rPr>
  </w:style>
  <w:style w:type="paragraph" w:styleId="5">
    <w:name w:val="toc 7"/>
    <w:basedOn w:val="1"/>
    <w:next w:val="1"/>
    <w:semiHidden/>
    <w:qFormat/>
    <w:uiPriority w:val="0"/>
    <w:pPr>
      <w:ind w:left="1260"/>
      <w:jc w:val="left"/>
    </w:pPr>
    <w:rPr>
      <w:sz w:val="18"/>
      <w:szCs w:val="18"/>
    </w:rPr>
  </w:style>
  <w:style w:type="paragraph" w:styleId="6">
    <w:name w:val="Normal Indent"/>
    <w:basedOn w:val="1"/>
    <w:link w:val="52"/>
    <w:qFormat/>
    <w:uiPriority w:val="0"/>
    <w:pPr>
      <w:ind w:firstLine="420" w:firstLineChars="200"/>
    </w:pPr>
    <w:rPr>
      <w:szCs w:val="24"/>
    </w:rPr>
  </w:style>
  <w:style w:type="paragraph" w:styleId="7">
    <w:name w:val="Document Map"/>
    <w:basedOn w:val="1"/>
    <w:link w:val="51"/>
    <w:qFormat/>
    <w:uiPriority w:val="0"/>
    <w:rPr>
      <w:rFonts w:ascii="宋体"/>
      <w:sz w:val="18"/>
      <w:szCs w:val="18"/>
    </w:rPr>
  </w:style>
  <w:style w:type="paragraph" w:styleId="8">
    <w:name w:val="annotation text"/>
    <w:basedOn w:val="1"/>
    <w:link w:val="54"/>
    <w:qFormat/>
    <w:uiPriority w:val="0"/>
    <w:pPr>
      <w:jc w:val="left"/>
    </w:pPr>
  </w:style>
  <w:style w:type="paragraph" w:styleId="9">
    <w:name w:val="Body Text 3"/>
    <w:basedOn w:val="1"/>
    <w:qFormat/>
    <w:uiPriority w:val="0"/>
    <w:pPr>
      <w:spacing w:line="440" w:lineRule="exact"/>
    </w:pPr>
    <w:rPr>
      <w:rFonts w:eastAsia="仿宋_GB2312"/>
      <w:sz w:val="28"/>
    </w:rPr>
  </w:style>
  <w:style w:type="paragraph" w:styleId="10">
    <w:name w:val="Body Text"/>
    <w:basedOn w:val="1"/>
    <w:next w:val="1"/>
    <w:qFormat/>
    <w:uiPriority w:val="0"/>
    <w:rPr>
      <w:rFonts w:ascii="仿宋_GB2312" w:eastAsia="仿宋_GB2312"/>
      <w:sz w:val="32"/>
    </w:rPr>
  </w:style>
  <w:style w:type="paragraph" w:styleId="11">
    <w:name w:val="Body Text Indent"/>
    <w:basedOn w:val="1"/>
    <w:qFormat/>
    <w:uiPriority w:val="0"/>
    <w:pPr>
      <w:spacing w:before="120" w:line="400" w:lineRule="exact"/>
      <w:ind w:firstLine="600"/>
    </w:pPr>
    <w:rPr>
      <w:sz w:val="28"/>
    </w:rPr>
  </w:style>
  <w:style w:type="paragraph" w:styleId="12">
    <w:name w:val="toc 5"/>
    <w:basedOn w:val="1"/>
    <w:next w:val="1"/>
    <w:semiHidden/>
    <w:qFormat/>
    <w:uiPriority w:val="0"/>
    <w:pPr>
      <w:ind w:left="840"/>
      <w:jc w:val="left"/>
    </w:pPr>
    <w:rPr>
      <w:sz w:val="18"/>
      <w:szCs w:val="18"/>
    </w:rPr>
  </w:style>
  <w:style w:type="paragraph" w:styleId="13">
    <w:name w:val="toc 3"/>
    <w:basedOn w:val="1"/>
    <w:next w:val="1"/>
    <w:qFormat/>
    <w:uiPriority w:val="39"/>
    <w:pPr>
      <w:tabs>
        <w:tab w:val="right" w:leader="dot" w:pos="8989"/>
      </w:tabs>
      <w:spacing w:line="440" w:lineRule="exact"/>
      <w:ind w:left="420"/>
      <w:jc w:val="left"/>
    </w:pPr>
    <w:rPr>
      <w:rFonts w:ascii="宋体" w:hAnsi="宋体"/>
      <w:b/>
      <w:iCs/>
      <w:szCs w:val="21"/>
    </w:rPr>
  </w:style>
  <w:style w:type="paragraph" w:styleId="14">
    <w:name w:val="toc 8"/>
    <w:basedOn w:val="1"/>
    <w:next w:val="1"/>
    <w:semiHidden/>
    <w:qFormat/>
    <w:uiPriority w:val="0"/>
    <w:pPr>
      <w:ind w:left="1470"/>
      <w:jc w:val="left"/>
    </w:pPr>
    <w:rPr>
      <w:sz w:val="18"/>
      <w:szCs w:val="18"/>
    </w:rPr>
  </w:style>
  <w:style w:type="paragraph" w:styleId="15">
    <w:name w:val="Date"/>
    <w:basedOn w:val="1"/>
    <w:next w:val="1"/>
    <w:qFormat/>
    <w:uiPriority w:val="0"/>
    <w:pPr>
      <w:adjustRightInd w:val="0"/>
      <w:spacing w:line="312" w:lineRule="atLeast"/>
      <w:jc w:val="right"/>
      <w:textAlignment w:val="baseline"/>
    </w:pPr>
    <w:rPr>
      <w:kern w:val="0"/>
      <w:sz w:val="32"/>
    </w:rPr>
  </w:style>
  <w:style w:type="paragraph" w:styleId="16">
    <w:name w:val="Body Text Indent 2"/>
    <w:basedOn w:val="1"/>
    <w:qFormat/>
    <w:uiPriority w:val="0"/>
    <w:pPr>
      <w:autoSpaceDE w:val="0"/>
      <w:autoSpaceDN w:val="0"/>
      <w:adjustRightInd w:val="0"/>
      <w:spacing w:line="360" w:lineRule="auto"/>
      <w:ind w:left="560" w:firstLine="565"/>
      <w:jc w:val="left"/>
      <w:textAlignment w:val="baseline"/>
    </w:pPr>
    <w:rPr>
      <w:rFonts w:ascii="宋体"/>
      <w:kern w:val="0"/>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rPr>
  </w:style>
  <w:style w:type="paragraph" w:styleId="19">
    <w:name w:val="header"/>
    <w:basedOn w:val="1"/>
    <w:link w:val="53"/>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rPr>
  </w:style>
  <w:style w:type="paragraph" w:styleId="20">
    <w:name w:val="toc 1"/>
    <w:basedOn w:val="1"/>
    <w:next w:val="1"/>
    <w:qFormat/>
    <w:uiPriority w:val="39"/>
    <w:pPr>
      <w:tabs>
        <w:tab w:val="right" w:leader="dot" w:pos="8989"/>
      </w:tabs>
      <w:spacing w:line="440" w:lineRule="exact"/>
      <w:jc w:val="left"/>
    </w:pPr>
    <w:rPr>
      <w:rFonts w:ascii="宋体" w:hAnsi="宋体"/>
      <w:b/>
      <w:bCs/>
      <w:caps/>
      <w:szCs w:val="21"/>
    </w:rPr>
  </w:style>
  <w:style w:type="paragraph" w:styleId="21">
    <w:name w:val="toc 4"/>
    <w:basedOn w:val="1"/>
    <w:next w:val="1"/>
    <w:qFormat/>
    <w:uiPriority w:val="39"/>
    <w:pPr>
      <w:ind w:left="630"/>
      <w:jc w:val="left"/>
    </w:pPr>
    <w:rPr>
      <w:sz w:val="18"/>
      <w:szCs w:val="18"/>
    </w:rPr>
  </w:style>
  <w:style w:type="paragraph" w:styleId="22">
    <w:name w:val="toc 6"/>
    <w:basedOn w:val="1"/>
    <w:next w:val="1"/>
    <w:semiHidden/>
    <w:qFormat/>
    <w:uiPriority w:val="0"/>
    <w:pPr>
      <w:ind w:left="1050"/>
      <w:jc w:val="left"/>
    </w:pPr>
    <w:rPr>
      <w:sz w:val="18"/>
      <w:szCs w:val="18"/>
    </w:rPr>
  </w:style>
  <w:style w:type="paragraph" w:styleId="23">
    <w:name w:val="Body Text Indent 3"/>
    <w:basedOn w:val="1"/>
    <w:qFormat/>
    <w:uiPriority w:val="0"/>
    <w:pPr>
      <w:autoSpaceDE w:val="0"/>
      <w:autoSpaceDN w:val="0"/>
      <w:adjustRightInd w:val="0"/>
      <w:spacing w:line="360" w:lineRule="auto"/>
      <w:ind w:left="560"/>
      <w:jc w:val="left"/>
      <w:textAlignment w:val="baseline"/>
    </w:pPr>
    <w:rPr>
      <w:rFonts w:ascii="宋体"/>
      <w:kern w:val="0"/>
      <w:sz w:val="28"/>
    </w:rPr>
  </w:style>
  <w:style w:type="paragraph" w:styleId="24">
    <w:name w:val="toc 2"/>
    <w:basedOn w:val="1"/>
    <w:next w:val="1"/>
    <w:qFormat/>
    <w:uiPriority w:val="39"/>
    <w:pPr>
      <w:ind w:left="210"/>
      <w:jc w:val="left"/>
    </w:pPr>
    <w:rPr>
      <w:smallCaps/>
      <w:sz w:val="20"/>
    </w:rPr>
  </w:style>
  <w:style w:type="paragraph" w:styleId="25">
    <w:name w:val="toc 9"/>
    <w:basedOn w:val="1"/>
    <w:next w:val="1"/>
    <w:semiHidden/>
    <w:qFormat/>
    <w:uiPriority w:val="0"/>
    <w:pPr>
      <w:ind w:left="1680"/>
      <w:jc w:val="left"/>
    </w:pPr>
    <w:rPr>
      <w:sz w:val="18"/>
      <w:szCs w:val="18"/>
    </w:rPr>
  </w:style>
  <w:style w:type="paragraph" w:styleId="26">
    <w:name w:val="Body Text 2"/>
    <w:basedOn w:val="1"/>
    <w:qFormat/>
    <w:uiPriority w:val="0"/>
    <w:rPr>
      <w:rFonts w:ascii="仿宋_GB2312" w:eastAsia="仿宋_GB2312"/>
      <w:b/>
      <w:bCs/>
      <w:spacing w:val="20"/>
      <w:sz w:val="2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57"/>
    <w:semiHidden/>
    <w:unhideWhenUsed/>
    <w:qFormat/>
    <w:uiPriority w:val="0"/>
    <w:rPr>
      <w:b/>
      <w:bCs/>
    </w:rPr>
  </w:style>
  <w:style w:type="table" w:styleId="30">
    <w:name w:val="Table Grid"/>
    <w:basedOn w:val="2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semiHidden/>
    <w:unhideWhenUsed/>
    <w:qFormat/>
    <w:uiPriority w:val="0"/>
    <w:rPr>
      <w:color w:val="333333"/>
      <w:u w:val="none"/>
    </w:rPr>
  </w:style>
  <w:style w:type="character" w:styleId="35">
    <w:name w:val="Emphasis"/>
    <w:basedOn w:val="31"/>
    <w:qFormat/>
    <w:uiPriority w:val="0"/>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basedOn w:val="31"/>
    <w:qFormat/>
    <w:uiPriority w:val="99"/>
    <w:rPr>
      <w:color w:val="0000FF"/>
      <w:u w:val="none"/>
    </w:rPr>
  </w:style>
  <w:style w:type="character" w:styleId="40">
    <w:name w:val="HTML Code"/>
    <w:basedOn w:val="31"/>
    <w:semiHidden/>
    <w:unhideWhenUsed/>
    <w:qFormat/>
    <w:uiPriority w:val="0"/>
    <w:rPr>
      <w:rFonts w:hint="default" w:ascii="Arial" w:hAnsi="Arial" w:cs="Arial"/>
      <w:color w:val="333333"/>
      <w:sz w:val="18"/>
      <w:szCs w:val="18"/>
    </w:rPr>
  </w:style>
  <w:style w:type="character" w:styleId="41">
    <w:name w:val="annotation reference"/>
    <w:basedOn w:val="31"/>
    <w:qFormat/>
    <w:uiPriority w:val="0"/>
    <w:rPr>
      <w:sz w:val="21"/>
      <w:szCs w:val="21"/>
    </w:rPr>
  </w:style>
  <w:style w:type="character" w:styleId="42">
    <w:name w:val="HTML Cite"/>
    <w:basedOn w:val="31"/>
    <w:semiHidden/>
    <w:unhideWhenUsed/>
    <w:qFormat/>
    <w:uiPriority w:val="0"/>
  </w:style>
  <w:style w:type="paragraph" w:customStyle="1" w:styleId="43">
    <w:name w:val="Char Char Char Char"/>
    <w:basedOn w:val="1"/>
    <w:qFormat/>
    <w:uiPriority w:val="0"/>
    <w:rPr>
      <w:rFonts w:ascii="Tahoma" w:hAnsi="Tahoma"/>
      <w:sz w:val="24"/>
    </w:rPr>
  </w:style>
  <w:style w:type="paragraph" w:customStyle="1" w:styleId="44">
    <w:name w:val="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5">
    <w:name w:val="Char Char1"/>
    <w:basedOn w:val="1"/>
    <w:qFormat/>
    <w:uiPriority w:val="0"/>
    <w:rPr>
      <w:rFonts w:ascii="Tahoma" w:hAnsi="Tahoma" w:cs="Tahoma"/>
      <w:sz w:val="24"/>
      <w:szCs w:val="24"/>
    </w:rPr>
  </w:style>
  <w:style w:type="paragraph" w:customStyle="1" w:styleId="46">
    <w:name w:val="Char"/>
    <w:basedOn w:val="1"/>
    <w:qFormat/>
    <w:uiPriority w:val="0"/>
    <w:pPr>
      <w:adjustRightInd w:val="0"/>
      <w:spacing w:line="360" w:lineRule="auto"/>
    </w:pPr>
    <w:rPr>
      <w:kern w:val="0"/>
      <w:sz w:val="24"/>
    </w:rPr>
  </w:style>
  <w:style w:type="paragraph" w:customStyle="1" w:styleId="47">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8">
    <w:name w:val="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0">
    <w:name w:val="Char Char11"/>
    <w:basedOn w:val="1"/>
    <w:qFormat/>
    <w:uiPriority w:val="0"/>
    <w:rPr>
      <w:rFonts w:ascii="Tahoma" w:hAnsi="Tahoma" w:cs="Tahoma"/>
      <w:sz w:val="24"/>
      <w:szCs w:val="24"/>
    </w:rPr>
  </w:style>
  <w:style w:type="character" w:customStyle="1" w:styleId="51">
    <w:name w:val="文档结构图 字符"/>
    <w:basedOn w:val="31"/>
    <w:link w:val="7"/>
    <w:qFormat/>
    <w:uiPriority w:val="0"/>
    <w:rPr>
      <w:rFonts w:ascii="宋体"/>
      <w:kern w:val="2"/>
      <w:sz w:val="18"/>
      <w:szCs w:val="18"/>
    </w:rPr>
  </w:style>
  <w:style w:type="character" w:customStyle="1" w:styleId="52">
    <w:name w:val="正文缩进 字符"/>
    <w:basedOn w:val="31"/>
    <w:link w:val="6"/>
    <w:qFormat/>
    <w:uiPriority w:val="0"/>
    <w:rPr>
      <w:kern w:val="2"/>
      <w:sz w:val="21"/>
      <w:szCs w:val="24"/>
    </w:rPr>
  </w:style>
  <w:style w:type="character" w:customStyle="1" w:styleId="53">
    <w:name w:val="页眉 字符"/>
    <w:basedOn w:val="31"/>
    <w:link w:val="19"/>
    <w:qFormat/>
    <w:uiPriority w:val="0"/>
    <w:rPr>
      <w:rFonts w:ascii="宋体"/>
      <w:sz w:val="18"/>
    </w:rPr>
  </w:style>
  <w:style w:type="character" w:customStyle="1" w:styleId="54">
    <w:name w:val="批注文字 字符"/>
    <w:basedOn w:val="31"/>
    <w:link w:val="8"/>
    <w:qFormat/>
    <w:uiPriority w:val="0"/>
    <w:rPr>
      <w:kern w:val="2"/>
      <w:sz w:val="21"/>
    </w:rPr>
  </w:style>
  <w:style w:type="paragraph" w:styleId="55">
    <w:name w:val="List Paragraph"/>
    <w:basedOn w:val="1"/>
    <w:qFormat/>
    <w:uiPriority w:val="34"/>
    <w:pPr>
      <w:ind w:firstLine="420" w:firstLineChars="200"/>
    </w:pPr>
    <w:rPr>
      <w:rFonts w:ascii="Calibri" w:hAnsi="Calibri"/>
      <w:szCs w:val="22"/>
    </w:rPr>
  </w:style>
  <w:style w:type="character" w:customStyle="1" w:styleId="56">
    <w:name w:val="标题 2 字符"/>
    <w:basedOn w:val="31"/>
    <w:link w:val="3"/>
    <w:qFormat/>
    <w:uiPriority w:val="0"/>
    <w:rPr>
      <w:rFonts w:ascii="Cambria" w:hAnsi="Cambria" w:cs="宋体"/>
      <w:b/>
      <w:bCs/>
      <w:kern w:val="2"/>
      <w:sz w:val="32"/>
      <w:szCs w:val="32"/>
    </w:rPr>
  </w:style>
  <w:style w:type="character" w:customStyle="1" w:styleId="57">
    <w:name w:val="批注主题 字符"/>
    <w:basedOn w:val="54"/>
    <w:link w:val="28"/>
    <w:semiHidden/>
    <w:qFormat/>
    <w:uiPriority w:val="0"/>
    <w:rPr>
      <w:b/>
      <w:bCs/>
      <w:kern w:val="2"/>
      <w:sz w:val="21"/>
    </w:rPr>
  </w:style>
  <w:style w:type="character" w:customStyle="1" w:styleId="58">
    <w:name w:val="纯文本 字符"/>
    <w:basedOn w:val="31"/>
    <w:link w:val="2"/>
    <w:qFormat/>
    <w:uiPriority w:val="99"/>
    <w:rPr>
      <w:rFonts w:ascii="宋体" w:hAnsi="Courier New"/>
      <w:kern w:val="2"/>
      <w:sz w:val="21"/>
    </w:rPr>
  </w:style>
  <w:style w:type="character" w:customStyle="1" w:styleId="59">
    <w:name w:val="bsharetext"/>
    <w:basedOn w:val="31"/>
    <w:qFormat/>
    <w:uiPriority w:val="0"/>
  </w:style>
  <w:style w:type="character" w:customStyle="1" w:styleId="60">
    <w:name w:val="laypage_curr"/>
    <w:basedOn w:val="31"/>
    <w:qFormat/>
    <w:uiPriority w:val="0"/>
    <w:rPr>
      <w:color w:val="FFFDF4"/>
      <w:shd w:val="clear" w:color="auto" w:fill="0B67A6"/>
    </w:rPr>
  </w:style>
  <w:style w:type="character" w:customStyle="1" w:styleId="61">
    <w:name w:val="gwds_nopic"/>
    <w:basedOn w:val="31"/>
    <w:qFormat/>
    <w:uiPriority w:val="0"/>
  </w:style>
  <w:style w:type="character" w:customStyle="1" w:styleId="62">
    <w:name w:val="gwds_nopic1"/>
    <w:basedOn w:val="31"/>
    <w:qFormat/>
    <w:uiPriority w:val="0"/>
  </w:style>
  <w:style w:type="character" w:customStyle="1" w:styleId="63">
    <w:name w:val="gwds_nopic2"/>
    <w:basedOn w:val="31"/>
    <w:qFormat/>
    <w:uiPriority w:val="0"/>
  </w:style>
  <w:style w:type="character" w:customStyle="1" w:styleId="64">
    <w:name w:val="place"/>
    <w:basedOn w:val="31"/>
    <w:qFormat/>
    <w:uiPriority w:val="0"/>
    <w:rPr>
      <w:rFonts w:ascii="微软雅黑" w:hAnsi="微软雅黑" w:eastAsia="微软雅黑" w:cs="微软雅黑"/>
      <w:color w:val="888888"/>
      <w:sz w:val="25"/>
      <w:szCs w:val="25"/>
    </w:rPr>
  </w:style>
  <w:style w:type="character" w:customStyle="1" w:styleId="65">
    <w:name w:val="place1"/>
    <w:basedOn w:val="31"/>
    <w:qFormat/>
    <w:uiPriority w:val="0"/>
  </w:style>
  <w:style w:type="character" w:customStyle="1" w:styleId="66">
    <w:name w:val="place2"/>
    <w:basedOn w:val="31"/>
    <w:qFormat/>
    <w:uiPriority w:val="0"/>
  </w:style>
  <w:style w:type="character" w:customStyle="1" w:styleId="67">
    <w:name w:val="place3"/>
    <w:basedOn w:val="31"/>
    <w:qFormat/>
    <w:uiPriority w:val="0"/>
  </w:style>
  <w:style w:type="character" w:customStyle="1" w:styleId="68">
    <w:name w:val="hover19"/>
    <w:basedOn w:val="31"/>
    <w:qFormat/>
    <w:uiPriority w:val="0"/>
    <w:rPr>
      <w:color w:val="025291"/>
    </w:rPr>
  </w:style>
  <w:style w:type="character" w:customStyle="1" w:styleId="69">
    <w:name w:val="noline"/>
    <w:basedOn w:val="31"/>
    <w:qFormat/>
    <w:uiPriority w:val="0"/>
  </w:style>
  <w:style w:type="character" w:customStyle="1" w:styleId="70">
    <w:name w:val="font"/>
    <w:basedOn w:val="31"/>
    <w:qFormat/>
    <w:uiPriority w:val="0"/>
  </w:style>
  <w:style w:type="character" w:customStyle="1" w:styleId="71">
    <w:name w:val="font1"/>
    <w:basedOn w:val="31"/>
    <w:qFormat/>
    <w:uiPriority w:val="0"/>
  </w:style>
  <w:style w:type="character" w:customStyle="1" w:styleId="72">
    <w:name w:val="ico01"/>
    <w:basedOn w:val="31"/>
    <w:qFormat/>
    <w:uiPriority w:val="0"/>
  </w:style>
  <w:style w:type="character" w:customStyle="1" w:styleId="73">
    <w:name w:val="ico011"/>
    <w:basedOn w:val="31"/>
    <w:qFormat/>
    <w:uiPriority w:val="0"/>
    <w:rPr>
      <w:shd w:val="clear" w:color="auto" w:fill="004C85"/>
    </w:rPr>
  </w:style>
  <w:style w:type="character" w:customStyle="1" w:styleId="74">
    <w:name w:val="ico02"/>
    <w:basedOn w:val="31"/>
    <w:qFormat/>
    <w:uiPriority w:val="0"/>
  </w:style>
  <w:style w:type="character" w:customStyle="1" w:styleId="75">
    <w:name w:val="ico021"/>
    <w:basedOn w:val="31"/>
    <w:qFormat/>
    <w:uiPriority w:val="0"/>
    <w:rPr>
      <w:shd w:val="clear" w:color="auto" w:fill="004C85"/>
    </w:rPr>
  </w:style>
  <w:style w:type="paragraph" w:customStyle="1" w:styleId="76">
    <w:name w:val="修订1"/>
    <w:hidden/>
    <w:semiHidden/>
    <w:qFormat/>
    <w:uiPriority w:val="99"/>
    <w:rPr>
      <w:rFonts w:ascii="Times New Roman" w:hAnsi="Times New Roman" w:eastAsia="宋体" w:cs="Times New Roman"/>
      <w:kern w:val="2"/>
      <w:sz w:val="21"/>
      <w:lang w:val="en-US" w:eastAsia="zh-CN" w:bidi="ar-SA"/>
    </w:rPr>
  </w:style>
  <w:style w:type="character" w:customStyle="1" w:styleId="77">
    <w:name w:val="Unresolved Mention"/>
    <w:basedOn w:val="3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8E296-A83C-445C-9D0E-2D40B8007475}">
  <ds:schemaRefs/>
</ds:datastoreItem>
</file>

<file path=docProps/app.xml><?xml version="1.0" encoding="utf-8"?>
<Properties xmlns="http://schemas.openxmlformats.org/officeDocument/2006/extended-properties" xmlns:vt="http://schemas.openxmlformats.org/officeDocument/2006/docPropsVTypes">
  <Template>Normal.dotm</Template>
  <Company>czj</Company>
  <Pages>59</Pages>
  <Words>33739</Words>
  <Characters>34670</Characters>
  <Lines>287</Lines>
  <Paragraphs>80</Paragraphs>
  <TotalTime>1925</TotalTime>
  <ScaleCrop>false</ScaleCrop>
  <LinksUpToDate>false</LinksUpToDate>
  <CharactersWithSpaces>37221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2019-06-03T08:18:00Z</dcterms:created>
  <dc:creator>gaofeng</dc:creator>
  <cp:lastModifiedBy>尐安逸丶</cp:lastModifiedBy>
  <cp:lastPrinted>2012-08-22T01:45:00Z</cp:lastPrinted>
  <dcterms:modified xsi:type="dcterms:W3CDTF">2023-08-11T10:12:44Z</dcterms:modified>
  <dc:title>深圳市行政事业单位</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CF9578F5A0A54098BEA920CE71BAFB75</vt:lpwstr>
  </property>
</Properties>
</file>