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 xml:space="preserve">）每家经销公司参与投标的同品名、同规格的品种，不得超过1个。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）设备保修期限36个月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w:t>
            </w:r>
            <w:r>
              <w:rPr>
                <w:rFonts w:hint="eastAsia" w:asciiTheme="minorEastAsia" w:hAnsiTheme="minorEastAsia" w:cstheme="minorEastAsia"/>
                <w:szCs w:val="21"/>
                <w:lang w:eastAsia="zh-CN"/>
              </w:rPr>
              <w:t>总价</w:t>
            </w:r>
            <w:bookmarkStart w:id="0" w:name="_GoBack"/>
            <w:bookmarkEnd w:id="0"/>
            <w:r>
              <w:rPr>
                <w:rFonts w:hint="eastAsia" w:asciiTheme="minorEastAsia" w:hAnsiTheme="minorEastAsia" w:cstheme="minorEastAsia"/>
                <w:szCs w:val="21"/>
              </w:rPr>
              <w:t>（大写）：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hint="eastAsia" w:asciiTheme="minorEastAsia" w:hAnsiTheme="minorEastAsia" w:cstheme="minorEastAsia"/>
          <w:sz w:val="24"/>
        </w:rPr>
      </w:pPr>
      <w:r>
        <w:rPr>
          <w:rFonts w:hint="eastAsia" w:asciiTheme="minorEastAsia" w:hAnsiTheme="minorEastAsia" w:cstheme="minorEastAsia"/>
          <w:sz w:val="24"/>
        </w:rPr>
        <w:t xml:space="preserve">                 </w:t>
      </w: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numPr>
          <w:ilvl w:val="0"/>
          <w:numId w:val="1"/>
        </w:numPr>
        <w:jc w:val="center"/>
        <w:rPr>
          <w:rFonts w:hint="eastAsia"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numPr>
          <w:numId w:val="0"/>
        </w:numPr>
        <w:jc w:val="both"/>
        <w:rPr>
          <w:rFonts w:hint="eastAsia" w:asciiTheme="minorEastAsia" w:hAnsiTheme="minorEastAsia" w:cstheme="minorEastAsia"/>
          <w:sz w:val="24"/>
        </w:rPr>
      </w:pPr>
    </w:p>
    <w:p>
      <w:pPr>
        <w:rPr>
          <w:rFonts w:hint="eastAsia" w:asciiTheme="minorEastAsia" w:hAnsiTheme="minorEastAsia" w:cstheme="minorEastAsia"/>
          <w:szCs w:val="21"/>
        </w:rPr>
      </w:pPr>
      <w:r>
        <w:rPr>
          <w:rFonts w:hint="eastAsia" w:asciiTheme="minorEastAsia" w:hAnsiTheme="minorEastAsia" w:cstheme="minorEastAsia"/>
          <w:szCs w:val="21"/>
        </w:rPr>
        <w:t>货物名称:</w:t>
      </w:r>
      <w:r>
        <w:rPr>
          <w:rFonts w:hint="eastAsia" w:asciiTheme="minorEastAsia" w:hAnsiTheme="minorEastAsia" w:cstheme="minorEastAsia"/>
          <w:szCs w:val="21"/>
          <w:lang w:eastAsia="zh-CN"/>
        </w:rPr>
        <w:t>临床教学模型</w:t>
      </w:r>
    </w:p>
    <w:p>
      <w:pPr>
        <w:rPr>
          <w:rFonts w:asciiTheme="minorEastAsia" w:hAnsiTheme="minorEastAsia" w:cstheme="minorEastAsia"/>
          <w:szCs w:val="21"/>
        </w:rPr>
      </w:pPr>
    </w:p>
    <w:tbl>
      <w:tblPr>
        <w:tblStyle w:val="6"/>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60"/>
        <w:gridCol w:w="4620"/>
        <w:gridCol w:w="112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序号</w:t>
            </w:r>
          </w:p>
        </w:tc>
        <w:tc>
          <w:tcPr>
            <w:tcW w:w="156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货物名称</w:t>
            </w:r>
          </w:p>
        </w:tc>
        <w:tc>
          <w:tcPr>
            <w:tcW w:w="462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技术要求</w:t>
            </w:r>
          </w:p>
        </w:tc>
        <w:tc>
          <w:tcPr>
            <w:tcW w:w="112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偏离情况</w:t>
            </w:r>
          </w:p>
        </w:tc>
        <w:tc>
          <w:tcPr>
            <w:tcW w:w="1433"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9" w:type="dxa"/>
            <w:vMerge w:val="restart"/>
          </w:tcPr>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1</w:t>
            </w:r>
          </w:p>
        </w:tc>
        <w:tc>
          <w:tcPr>
            <w:tcW w:w="1560" w:type="dxa"/>
            <w:vMerge w:val="restart"/>
            <w:vAlign w:val="center"/>
          </w:tcPr>
          <w:p>
            <w:pPr>
              <w:keepNext w:val="0"/>
              <w:keepLines w:val="0"/>
              <w:widowControl/>
              <w:suppressLineNumbers w:val="0"/>
              <w:jc w:val="center"/>
              <w:textAlignment w:val="center"/>
              <w:rPr>
                <w:rFonts w:hint="eastAsia" w:asciiTheme="minorEastAsia" w:hAnsiTheme="minorEastAsia" w:cstheme="minorEastAsia"/>
                <w:b w:val="0"/>
                <w:bCs/>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成人鼻胃管训练模型</w:t>
            </w: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1、模型为成人上半身 解剖结构精确，口腔内有牙、舌、悬雍垂、 呼吸道声门、会厌、喉等解剖结构，具有气管、支气管、左右肺脏、心脏、食管、胃、膈、肝脏、胆囊、胰腺以及小肠、结肠等结构。适合通过人工，器械等进行气道管理训练。</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2、使用人工和器械方法进行气管插管</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3、可插入口咽和鼻咽通气道，光导气管插管</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4、经口、鼻插管，可全程观察胃管进出胃腔的过程，胃管头端的位置，灌洗液在胃腔内的冲洗情况。</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5、模型一侧颊部设有透明示教区域，可清晰准确的见到口腔及悬雍垂、呼吸道声门、会厌、喉等解剖结构。</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6、模型带旋转支架可摆放不同角度的体位（左侧卧位、端坐位，可实现仰卧位等），头部可旋转，并可向左右两侧分别转动 90°。</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7、中切牙距贲门距离在 45~55cm 范围内，当胃管插入时均会显示每到一个关键解剖部位的提示：贲门、胃体、幽门、十二指肠并以高灯体现，对操作者有教学引导性作用。</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8、瞳孔示教：在控制设备上可根据操作的需求自动设置瞳孔的状态，瞳孔可根据设置的病情性质转变：瞳孔散大、瞳孔缩小、瞳孔正常；如可按照演示有机磷中毒的病情来转变瞳孔变化等生命迹象。</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9、颈动脉搏动：在电子控制设备上设置颈动脉的频率。</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10、通气时有逼真的胸部起伏。</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11、胃部听诊确认插管的位置。</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12、可手动模拟动脉搏动。</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13、便携设计，配有专用包装袋。</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2</w:t>
            </w:r>
          </w:p>
        </w:tc>
        <w:tc>
          <w:tcPr>
            <w:tcW w:w="156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透明男性导尿模型</w:t>
            </w:r>
          </w:p>
        </w:tc>
        <w:tc>
          <w:tcPr>
            <w:tcW w:w="46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1、外部生殖器官造型逼真、手感真实。</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 xml:space="preserve">2、可通过透明的模型观察骨盆和膀胱的相对位置， 骨盆位置固定，可观察膀胱的位置和插入导管的角度。 </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3、插入导管的阻力和压力与真实人体相似。</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4、</w:t>
            </w:r>
            <w:r>
              <w:rPr>
                <w:rFonts w:hint="default" w:asciiTheme="minorEastAsia" w:hAnsiTheme="minorEastAsia" w:cstheme="minorEastAsia"/>
                <w:b w:val="0"/>
                <w:bCs/>
                <w:sz w:val="21"/>
                <w:szCs w:val="21"/>
                <w:vertAlign w:val="baseline"/>
                <w:lang w:val="en-US" w:eastAsia="zh-CN"/>
              </w:rPr>
              <w:t>练习插入导管的各个步骤，可以从外部观察到气囊导管膨胀和膨胀后导管的位置等。</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5、</w:t>
            </w:r>
            <w:r>
              <w:rPr>
                <w:rFonts w:hint="default" w:asciiTheme="minorEastAsia" w:hAnsiTheme="minorEastAsia" w:cstheme="minorEastAsia"/>
                <w:b w:val="0"/>
                <w:bCs/>
                <w:sz w:val="21"/>
                <w:szCs w:val="21"/>
                <w:vertAlign w:val="baseline"/>
                <w:lang w:val="en-US" w:eastAsia="zh-CN"/>
              </w:rPr>
              <w:t>可使用临床标准双腔管或三腔管</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3</w:t>
            </w:r>
          </w:p>
        </w:tc>
        <w:tc>
          <w:tcPr>
            <w:tcW w:w="1560" w:type="dxa"/>
            <w:vMerge w:val="restart"/>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透明女性导尿模型</w:t>
            </w: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1、插入导管的阻力和压力与真实人体相似。</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2、生殖器官逼真，小阴唇可分开，暴露尿道口与阴道。</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3、可通过透明的模型观察骨盆和膀胱的相对位置。骨盆位置固定，可以观察膀胱的位置和插入导管的角度等。</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4、可使用临床标准双腔管或三腔管进行导尿。</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4</w:t>
            </w:r>
          </w:p>
        </w:tc>
        <w:tc>
          <w:tcPr>
            <w:tcW w:w="1560" w:type="dxa"/>
            <w:vMerge w:val="restart"/>
          </w:tcPr>
          <w:p>
            <w:pPr>
              <w:jc w:val="left"/>
              <w:rPr>
                <w:rFonts w:hint="eastAsia" w:asciiTheme="minorEastAsia" w:hAnsiTheme="minorEastAsia" w:cstheme="minorEastAsia"/>
                <w:b w:val="0"/>
                <w:bCs/>
                <w:szCs w:val="21"/>
                <w:vertAlign w:val="baseline"/>
                <w:lang w:val="en-US" w:eastAsia="zh-CN"/>
              </w:rPr>
            </w:pPr>
            <w:r>
              <w:rPr>
                <w:rFonts w:hint="eastAsia"/>
              </w:rPr>
              <w:t>吸痰练习模型</w:t>
            </w: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1、经鼻、口插入吸引管技术练习。</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2、吸引管可以插入鼻腔和口腔，可以模拟吸痰。</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3、吸引管可以插入到气管内，练习气管内吸引。</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4、脸部一侧打开，可以显示插入导管的位置。</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5、显示鼻腔口腔的解剖结构和颈部结构。</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6、模拟痰液可以放在口腔、鼻腔和气管内，增强练习插管技巧的真实效果。</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5</w:t>
            </w:r>
          </w:p>
        </w:tc>
        <w:tc>
          <w:tcPr>
            <w:tcW w:w="1560" w:type="dxa"/>
            <w:vMerge w:val="restart"/>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静脉穿刺训练模拟手臂</w:t>
            </w: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1、手臂上分布的八条主要静脉血管系统，可进行静脉的注射、输液（血）、抽血等穿刺训练功能。</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 xml:space="preserve">2、进针时有明显的落空感，正确穿刺有回血产生。 </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3、产品解剖标志明显，内置标准关节结构部件，能够清楚看到肘关节和腕关节的解剖标志，并能触摸到肘关节和腕关节的逼真手感。</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6</w:t>
            </w:r>
          </w:p>
        </w:tc>
        <w:tc>
          <w:tcPr>
            <w:tcW w:w="1560" w:type="dxa"/>
            <w:vMerge w:val="restart"/>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瘘管造口术后护理模型</w:t>
            </w: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1、结肠造口能够进行术后造瘘口的扩大练习，造瘘口冲洗练习，安装护理粪袋和灌肠练习。</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2、粘稠的人造粪便可以用水稀释，并可以反复练习。</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3、回肠造瘘口可进行管饲练习等。</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4、配有底座便于固定模型和摆放各种体位。</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7</w:t>
            </w:r>
          </w:p>
        </w:tc>
        <w:tc>
          <w:tcPr>
            <w:tcW w:w="1560" w:type="dxa"/>
            <w:vMerge w:val="restart"/>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高级褥疮护理模型</w:t>
            </w: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1、由压力溃疡所形成的四个阶段的褥疮均有显示。</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2、显示错综复杂的褥疮类型：窦、瘘、腐痂、褥疮感染、骨头暴露、焦痂、缝合的伤口、疮疹和念珠菌感染。</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8</w:t>
            </w:r>
          </w:p>
        </w:tc>
        <w:tc>
          <w:tcPr>
            <w:tcW w:w="156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基础护理操作模型</w:t>
            </w: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1、该模型共分为 4 个部件组成，能进行洗头、洗脸；眼耳的冲洗、滴药；口腔护理；氧气吸入疗法；气管切开护理；口鼻气管插管训练；鼻饲法；洗胃法；三角肌注射；静脉注射；静脉输液（血）；臀部肌肉注射；静脉穿刺；皮下穿刺；</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女性导尿术；男性导尿术；女性膀胱冲洗术；</w:t>
            </w:r>
          </w:p>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男性膀胱冲洗术；灌肠法；造瘘引流术等 20 项以上操作。</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9</w:t>
            </w:r>
          </w:p>
        </w:tc>
        <w:tc>
          <w:tcPr>
            <w:tcW w:w="1560" w:type="dxa"/>
            <w:vMerge w:val="restart"/>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全功能护理人训练模型（女性）</w:t>
            </w: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1、模拟瞳孔：一侧为正常瞳孔，一侧为散大瞳孔，可进行临床示教。</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2、具有基础护理功能：洗头、洗脸、眼、耳清洗、口腔护理、假牙护理；气管切开护理；吸氧疗法，鼻饲法，洗胃法，造瘘口护理；胸腔、腰椎穿刺（无液体）临床示教；手臂静脉穿刺，注射，输液（输血）三角肌皮下注射；股外侧肌、臀部肌肉注射；男性导尿术，膀胱冲洗术，灌肠法等操作。</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3、整体护理：四肢关节可活动，可进行擦浴、穿换衣服、冷热疗法等操作。</w:t>
            </w: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cstheme="minorEastAsia"/>
                <w:b w:val="0"/>
                <w:bCs/>
                <w:sz w:val="21"/>
                <w:szCs w:val="21"/>
                <w:vertAlign w:val="baseline"/>
                <w:lang w:val="en-US" w:eastAsia="zh-CN"/>
              </w:rPr>
              <w:t>4、可模拟不同疾病时（如呕血、咯血、口腔疾病等）血液从口腔流出的临床症状，进行相应临床护理。</w:t>
            </w:r>
          </w:p>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bl>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货物名称</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四、</w:t>
      </w:r>
      <w:r>
        <w:rPr>
          <w:rFonts w:hint="eastAsia" w:asciiTheme="minorEastAsia" w:hAnsiTheme="minorEastAsia" w:cstheme="minorEastAsia"/>
          <w:sz w:val="24"/>
        </w:rPr>
        <w:t>售后服务承诺：</w:t>
      </w: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2"/>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leftChars="100" w:hanging="210" w:hangingChars="100"/>
        <w:jc w:val="left"/>
        <w:rPr>
          <w:rFonts w:ascii="宋体" w:hAnsi="宋体" w:cs="宋体"/>
          <w:szCs w:val="21"/>
        </w:rPr>
      </w:pPr>
      <w:r>
        <w:rPr>
          <w:rFonts w:ascii="宋体" w:hAnsi="宋体" w:cs="宋体"/>
          <w:szCs w:val="21"/>
        </w:rPr>
        <w:t>2.由我方提供售后服务，</w:t>
      </w:r>
      <w:r>
        <w:rPr>
          <w:rFonts w:hint="eastAsia" w:ascii="宋体" w:hAnsi="宋体" w:cs="宋体"/>
          <w:szCs w:val="21"/>
          <w:lang w:val="en-US" w:eastAsia="zh-CN"/>
        </w:rPr>
        <w:t>4</w:t>
      </w:r>
      <w:r>
        <w:rPr>
          <w:rFonts w:ascii="宋体" w:hAnsi="宋体" w:cs="宋体"/>
          <w:szCs w:val="21"/>
        </w:rPr>
        <w:t>小时内响应，</w:t>
      </w:r>
      <w:r>
        <w:rPr>
          <w:rFonts w:hint="eastAsia" w:ascii="宋体" w:hAnsi="宋体" w:cs="宋体"/>
          <w:szCs w:val="21"/>
          <w:lang w:val="en-US" w:eastAsia="zh-CN"/>
        </w:rPr>
        <w:t>24</w:t>
      </w:r>
      <w:r>
        <w:rPr>
          <w:rFonts w:ascii="宋体" w:hAnsi="宋体" w:cs="宋体"/>
          <w:szCs w:val="21"/>
        </w:rPr>
        <w:t>小时维修到位（不可抗力情况除外）。消耗品和零配件供应及时，特殊情况下可提供备用机。</w:t>
      </w:r>
      <w:r>
        <w:rPr>
          <w:rFonts w:hint="eastAsia" w:ascii="宋体" w:hAnsi="宋体" w:cs="宋体"/>
          <w:szCs w:val="21"/>
        </w:rPr>
        <w:t xml:space="preserve">   </w:t>
      </w:r>
    </w:p>
    <w:p>
      <w:pPr>
        <w:jc w:val="center"/>
        <w:rPr>
          <w:rFonts w:hint="eastAsia" w:ascii="宋体" w:hAnsi="宋体" w:cs="宋体"/>
          <w:b/>
          <w:bCs/>
          <w:color w:val="000000" w:themeColor="text1"/>
          <w:sz w:val="28"/>
          <w:szCs w:val="28"/>
          <w:lang w:eastAsia="zh-CN"/>
        </w:rPr>
      </w:pPr>
    </w:p>
    <w:p>
      <w:pPr>
        <w:jc w:val="both"/>
        <w:rPr>
          <w:rFonts w:hint="eastAsia" w:ascii="宋体" w:hAnsi="宋体" w:cs="宋体" w:eastAsiaTheme="minorEastAsia"/>
          <w:b/>
          <w:bCs/>
          <w:color w:val="000000" w:themeColor="text1"/>
          <w:sz w:val="28"/>
          <w:szCs w:val="28"/>
          <w:lang w:eastAsia="zh-CN"/>
        </w:rPr>
      </w:pPr>
    </w:p>
    <w:p>
      <w:pPr>
        <w:numPr>
          <w:ilvl w:val="0"/>
          <w:numId w:val="0"/>
        </w:numPr>
        <w:ind w:leftChars="-100"/>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abstractNum w:abstractNumId="1">
    <w:nsid w:val="0E452196"/>
    <w:multiLevelType w:val="singleLevel"/>
    <w:tmpl w:val="0E4521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F2B57C3"/>
    <w:rsid w:val="0F3833E7"/>
    <w:rsid w:val="12DD6F01"/>
    <w:rsid w:val="16FD7F75"/>
    <w:rsid w:val="1FD62EFA"/>
    <w:rsid w:val="29833AC2"/>
    <w:rsid w:val="2BCC3CAB"/>
    <w:rsid w:val="2DAF1E9A"/>
    <w:rsid w:val="2F623005"/>
    <w:rsid w:val="38AA1DD4"/>
    <w:rsid w:val="3FF9372A"/>
    <w:rsid w:val="4000052B"/>
    <w:rsid w:val="40624EF6"/>
    <w:rsid w:val="437A1489"/>
    <w:rsid w:val="486B29D8"/>
    <w:rsid w:val="494A4D03"/>
    <w:rsid w:val="528965FF"/>
    <w:rsid w:val="55223429"/>
    <w:rsid w:val="58EB2CD9"/>
    <w:rsid w:val="5D045FFD"/>
    <w:rsid w:val="697B41FF"/>
    <w:rsid w:val="6B7258C3"/>
    <w:rsid w:val="70A95EF1"/>
    <w:rsid w:val="755469EE"/>
    <w:rsid w:val="77813724"/>
    <w:rsid w:val="780A23D9"/>
    <w:rsid w:val="786D4A31"/>
    <w:rsid w:val="7A2747BD"/>
    <w:rsid w:val="7A74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 w:type="paragraph" w:customStyle="1" w:styleId="11">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3357</Words>
  <Characters>3429</Characters>
  <Lines>31</Lines>
  <Paragraphs>8</Paragraphs>
  <TotalTime>10</TotalTime>
  <ScaleCrop>false</ScaleCrop>
  <LinksUpToDate>false</LinksUpToDate>
  <CharactersWithSpaces>3695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2023-04-21T06:57:47Z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E22E6180E9BC42218675102372457424</vt:lpwstr>
  </property>
</Properties>
</file>