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福田区第二人民医院医疗设备/耗材投标单位须知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1、深圳市福田区第二人民医院对本单位部分医疗设备采购/耗材进行公开招标。欢迎各有医疗器械经营许可权或医疗设备生产许可权的经营企业或生产企业参加投标。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w:t>
      </w:r>
      <w:r>
        <w:rPr>
          <w:rFonts w:hint="eastAsia" w:asciiTheme="minorEastAsia" w:hAnsiTheme="minorEastAsia" w:cstheme="minorEastAsia"/>
          <w:color w:val="000000" w:themeColor="text1"/>
          <w:szCs w:val="21"/>
          <w:lang w:eastAsia="zh-CN"/>
        </w:rPr>
        <w:t>（同类业绩）</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(8)货比三家资料(发票复印件)、彩页等，耗材类需提供样品一份，设备类提供产品彩页。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 xml:space="preserve">（12）投标价格一经公布，不得更改，如有错误，作废标处理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（16）医用材料招标项目合同的执行期为12个月，设备保修期限36个月</w:t>
      </w:r>
      <w:r>
        <w:rPr>
          <w:rFonts w:hint="eastAsia" w:asciiTheme="minorEastAsia" w:hAnsiTheme="minorEastAsia" w:cstheme="minorEastAsia"/>
          <w:szCs w:val="21"/>
          <w:lang w:eastAsia="zh-CN"/>
        </w:rPr>
        <w:t>以上</w:t>
      </w: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（17）合同有效期内，如政府调价或市政府统一招标，双方应无条件按上级文件执行，并相应修改合同的有关条款，招标方不向投标方作任何补偿与解释。否则，招标方有权终止合同。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 xml:space="preserve">（20）招标评审组由院领导、相关科室专家、设备科、财务科、医院纪检部门等组成。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（21）参加投标企业需投标前15分钟到达开标地点。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一、</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（3年或以上）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二、</w:t>
      </w:r>
      <w:r>
        <w:rPr>
          <w:rFonts w:hint="eastAsia" w:asciiTheme="minorEastAsia" w:hAnsiTheme="minorEastAsia" w:cstheme="minorEastAsia"/>
          <w:sz w:val="24"/>
        </w:rPr>
        <w:t>福田区第二人民医院技术规格偏离表</w:t>
      </w: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5"/>
        <w:tblW w:w="4214"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90"/>
        <w:gridCol w:w="1576"/>
        <w:gridCol w:w="2955"/>
        <w:gridCol w:w="160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3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12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货物名称</w:t>
            </w:r>
          </w:p>
        </w:tc>
        <w:tc>
          <w:tcPr>
            <w:tcW w:w="210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招标货物</w:t>
            </w:r>
            <w:r>
              <w:rPr>
                <w:rFonts w:hint="eastAsia" w:asciiTheme="minorEastAsia" w:hAnsiTheme="minorEastAsia" w:cstheme="minorEastAsia"/>
                <w:szCs w:val="21"/>
                <w:lang w:eastAsia="zh-CN"/>
              </w:rPr>
              <w:t>技术参数</w:t>
            </w:r>
            <w:r>
              <w:rPr>
                <w:rFonts w:hint="eastAsia" w:asciiTheme="minorEastAsia" w:hAnsiTheme="minorEastAsia" w:cstheme="minorEastAsia"/>
                <w:szCs w:val="21"/>
              </w:rPr>
              <w:t>参数</w:t>
            </w:r>
          </w:p>
        </w:tc>
        <w:tc>
          <w:tcPr>
            <w:tcW w:w="114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2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lang w:eastAsia="zh-CN"/>
        </w:rPr>
        <w:t>三、</w:t>
      </w: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品名</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lang w:eastAsia="zh-CN"/>
        </w:rPr>
        <w:t>四、</w:t>
      </w:r>
      <w:r>
        <w:rPr>
          <w:rFonts w:hint="eastAsia" w:asciiTheme="minorEastAsia" w:hAnsiTheme="minorEastAsia" w:cstheme="minorEastAsia"/>
          <w:sz w:val="24"/>
        </w:rPr>
        <w:t>售后服务承诺：</w:t>
      </w:r>
    </w:p>
    <w:p>
      <w:pPr>
        <w:widowControl/>
        <w:spacing w:after="200" w:line="220" w:lineRule="atLeast"/>
        <w:jc w:val="center"/>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1"/>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hanging="420" w:hangingChars="200"/>
        <w:jc w:val="left"/>
        <w:rPr>
          <w:rFonts w:ascii="宋体" w:hAnsi="宋体" w:cs="宋体"/>
          <w:szCs w:val="21"/>
        </w:rPr>
      </w:pPr>
      <w:r>
        <w:rPr>
          <w:rFonts w:ascii="宋体" w:hAnsi="宋体" w:cs="宋体"/>
          <w:szCs w:val="21"/>
        </w:rPr>
        <w:t>2.由我方提供售后服务，2小时内响应，8小时维修到位（不可抗力情况除外）。消耗品和零配件供应及时，特殊情况下可提供备用机。</w:t>
      </w:r>
      <w:r>
        <w:rPr>
          <w:rFonts w:hint="eastAsia" w:ascii="宋体" w:hAnsi="宋体" w:cs="宋体"/>
          <w:szCs w:val="21"/>
        </w:rPr>
        <w:t xml:space="preserve">   </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rPr>
        <w:t>五、信息化服务</w:t>
      </w:r>
    </w:p>
    <w:p>
      <w:pPr>
        <w:widowControl/>
        <w:spacing w:after="200" w:line="220" w:lineRule="atLeast"/>
        <w:ind w:left="420" w:hanging="420" w:hangingChars="200"/>
        <w:jc w:val="left"/>
        <w:rPr>
          <w:rFonts w:ascii="宋体" w:hAnsi="宋体" w:cs="宋体"/>
          <w:color w:val="000000" w:themeColor="text1"/>
          <w:szCs w:val="21"/>
        </w:rPr>
      </w:pPr>
      <w:r>
        <w:rPr>
          <w:rFonts w:hint="eastAsia" w:ascii="宋体" w:hAnsi="宋体" w:cs="宋体"/>
          <w:color w:val="FF0000"/>
          <w:szCs w:val="21"/>
        </w:rPr>
        <w:t xml:space="preserve">       </w:t>
      </w:r>
      <w:r>
        <w:rPr>
          <w:rFonts w:hint="eastAsia" w:ascii="宋体" w:hAnsi="宋体" w:cs="宋体"/>
          <w:color w:val="000000" w:themeColor="text1"/>
          <w:szCs w:val="21"/>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jc w:val="center"/>
        <w:rPr>
          <w:rFonts w:hint="eastAsia" w:ascii="宋体" w:hAnsi="宋体" w:cs="宋体"/>
          <w:b/>
          <w:bCs/>
          <w:color w:val="000000" w:themeColor="text1"/>
          <w:sz w:val="28"/>
          <w:szCs w:val="28"/>
          <w:lang w:eastAsia="zh-CN"/>
        </w:rPr>
      </w:pPr>
    </w:p>
    <w:p>
      <w:pPr>
        <w:jc w:val="center"/>
        <w:rPr>
          <w:rFonts w:hint="eastAsia" w:ascii="宋体" w:hAnsi="宋体" w:cs="宋体"/>
          <w:b/>
          <w:bCs/>
          <w:color w:val="000000" w:themeColor="text1"/>
          <w:sz w:val="28"/>
          <w:szCs w:val="28"/>
          <w:lang w:eastAsia="zh-CN"/>
        </w:rPr>
      </w:pPr>
    </w:p>
    <w:p>
      <w:pPr>
        <w:numPr>
          <w:ilvl w:val="0"/>
          <w:numId w:val="0"/>
        </w:numPr>
        <w:ind w:leftChars="-100"/>
        <w:rPr>
          <w:rFonts w:hint="eastAsia" w:ascii="宋体" w:hAnsi="宋体" w:cs="宋体"/>
          <w:color w:val="000000" w:themeColor="text1"/>
          <w:szCs w:val="21"/>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F2B57C3"/>
    <w:rsid w:val="0F3833E7"/>
    <w:rsid w:val="12DD6F01"/>
    <w:rsid w:val="16FD7F75"/>
    <w:rsid w:val="29833AC2"/>
    <w:rsid w:val="2F623005"/>
    <w:rsid w:val="38AA1DD4"/>
    <w:rsid w:val="3C844841"/>
    <w:rsid w:val="3FF9372A"/>
    <w:rsid w:val="4000052B"/>
    <w:rsid w:val="40624EF6"/>
    <w:rsid w:val="437A1489"/>
    <w:rsid w:val="486B29D8"/>
    <w:rsid w:val="494A4D03"/>
    <w:rsid w:val="528965FF"/>
    <w:rsid w:val="55223429"/>
    <w:rsid w:val="58EB2CD9"/>
    <w:rsid w:val="5D045FFD"/>
    <w:rsid w:val="6B7258C3"/>
    <w:rsid w:val="70A95EF1"/>
    <w:rsid w:val="755469EE"/>
    <w:rsid w:val="77813724"/>
    <w:rsid w:val="780A23D9"/>
    <w:rsid w:val="786D4A31"/>
    <w:rsid w:val="7A2747BD"/>
    <w:rsid w:val="7A74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unhideWhenUsed/>
    <w:qFormat/>
    <w:uiPriority w:val="99"/>
    <w:rPr>
      <w:rFonts w:ascii="宋体" w:hAnsi="Courier New" w:eastAsia="宋体" w:cs="Times New Roman"/>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semiHidden/>
    <w:qFormat/>
    <w:uiPriority w:val="99"/>
    <w:rPr>
      <w:rFonts w:ascii="宋体" w:hAnsi="Courier New" w:eastAsia="宋体" w:cs="Times New Roman"/>
      <w:szCs w:val="20"/>
    </w:rPr>
  </w:style>
  <w:style w:type="paragraph" w:customStyle="1" w:styleId="10">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2966</Words>
  <Characters>3040</Characters>
  <Lines>31</Lines>
  <Paragraphs>8</Paragraphs>
  <TotalTime>3</TotalTime>
  <ScaleCrop>false</ScaleCrop>
  <LinksUpToDate>false</LinksUpToDate>
  <CharactersWithSpaces>3307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2023-11-15T04:03:21Z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E22E6180E9BC42218675102372457424</vt:lpwstr>
  </property>
</Properties>
</file>